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DD53F" w14:textId="77777777" w:rsidR="00864E1C" w:rsidRPr="00864E1C" w:rsidRDefault="00864E1C" w:rsidP="00864E1C">
      <w:pPr>
        <w:spacing w:after="0" w:line="360" w:lineRule="auto"/>
        <w:rPr>
          <w:rFonts w:ascii="Arial" w:hAnsi="Arial" w:cs="Arial"/>
          <w:b/>
          <w:bCs/>
          <w:iCs/>
          <w:sz w:val="28"/>
          <w:szCs w:val="28"/>
        </w:rPr>
      </w:pPr>
      <w:bookmarkStart w:id="0" w:name="_GoBack"/>
      <w:bookmarkEnd w:id="0"/>
      <w:r w:rsidRPr="00864E1C">
        <w:rPr>
          <w:rFonts w:ascii="Arial" w:hAnsi="Arial" w:cs="Arial"/>
          <w:b/>
          <w:bCs/>
          <w:iCs/>
          <w:sz w:val="28"/>
          <w:szCs w:val="28"/>
        </w:rPr>
        <w:t>Working Capital Management and Financial Performance of UK Listed Firms: A Contingency Approach</w:t>
      </w:r>
    </w:p>
    <w:p w14:paraId="095AAE80" w14:textId="77777777" w:rsidR="00864E1C" w:rsidRPr="00864E1C" w:rsidRDefault="00864E1C" w:rsidP="00864E1C">
      <w:pPr>
        <w:spacing w:after="0" w:line="360" w:lineRule="auto"/>
        <w:rPr>
          <w:rFonts w:ascii="Arial" w:hAnsi="Arial" w:cs="Arial"/>
          <w:b/>
          <w:bCs/>
          <w:iCs/>
          <w:sz w:val="28"/>
          <w:szCs w:val="28"/>
        </w:rPr>
      </w:pPr>
    </w:p>
    <w:p w14:paraId="76E52B74" w14:textId="77777777" w:rsidR="00864E1C" w:rsidRPr="00864E1C" w:rsidRDefault="00864E1C" w:rsidP="00864E1C">
      <w:pPr>
        <w:spacing w:after="0" w:line="360" w:lineRule="auto"/>
        <w:rPr>
          <w:rFonts w:ascii="Arial" w:hAnsi="Arial" w:cs="Arial"/>
          <w:b/>
          <w:bCs/>
          <w:iCs/>
          <w:sz w:val="28"/>
          <w:szCs w:val="28"/>
          <w:lang w:val="it-IT"/>
        </w:rPr>
      </w:pPr>
    </w:p>
    <w:p w14:paraId="50C101DE" w14:textId="77777777" w:rsidR="00864E1C" w:rsidRPr="00864E1C" w:rsidRDefault="00864E1C" w:rsidP="00864E1C">
      <w:pPr>
        <w:spacing w:after="0" w:line="360" w:lineRule="auto"/>
        <w:rPr>
          <w:rFonts w:ascii="Arial" w:hAnsi="Arial" w:cs="Arial"/>
          <w:b/>
          <w:bCs/>
          <w:iCs/>
          <w:sz w:val="28"/>
          <w:szCs w:val="28"/>
          <w:lang w:val="it-IT"/>
        </w:rPr>
      </w:pPr>
    </w:p>
    <w:p w14:paraId="17717DBD" w14:textId="77777777" w:rsidR="00864E1C" w:rsidRPr="00864E1C" w:rsidRDefault="00864E1C" w:rsidP="00864E1C">
      <w:pPr>
        <w:spacing w:after="0" w:line="360" w:lineRule="auto"/>
        <w:rPr>
          <w:rFonts w:ascii="Arial" w:hAnsi="Arial" w:cs="Arial"/>
          <w:b/>
          <w:bCs/>
          <w:iCs/>
          <w:sz w:val="28"/>
          <w:szCs w:val="28"/>
          <w:lang w:val="it-IT"/>
        </w:rPr>
      </w:pPr>
    </w:p>
    <w:p w14:paraId="77F17833" w14:textId="77777777" w:rsidR="00864E1C" w:rsidRPr="00864E1C" w:rsidRDefault="00864E1C" w:rsidP="00864E1C">
      <w:pPr>
        <w:spacing w:after="0" w:line="360" w:lineRule="auto"/>
        <w:rPr>
          <w:rFonts w:ascii="Arial" w:hAnsi="Arial" w:cs="Arial"/>
          <w:b/>
          <w:bCs/>
          <w:iCs/>
          <w:sz w:val="28"/>
          <w:szCs w:val="28"/>
          <w:lang w:val="it-IT"/>
        </w:rPr>
      </w:pPr>
    </w:p>
    <w:p w14:paraId="059D33BE" w14:textId="77777777" w:rsidR="00864E1C" w:rsidRPr="00864E1C" w:rsidRDefault="00864E1C" w:rsidP="00864E1C">
      <w:pPr>
        <w:spacing w:after="0" w:line="360" w:lineRule="auto"/>
        <w:rPr>
          <w:rFonts w:ascii="Arial" w:hAnsi="Arial" w:cs="Arial"/>
          <w:b/>
          <w:bCs/>
          <w:iCs/>
          <w:sz w:val="28"/>
          <w:szCs w:val="28"/>
          <w:lang w:val="it-IT"/>
        </w:rPr>
      </w:pPr>
    </w:p>
    <w:p w14:paraId="7AD6B332" w14:textId="77777777" w:rsidR="00864E1C" w:rsidRPr="00864E1C" w:rsidRDefault="00864E1C" w:rsidP="00864E1C">
      <w:pPr>
        <w:spacing w:after="0" w:line="360" w:lineRule="auto"/>
        <w:jc w:val="center"/>
        <w:rPr>
          <w:rFonts w:ascii="Arial" w:hAnsi="Arial" w:cs="Arial"/>
          <w:b/>
          <w:bCs/>
          <w:iCs/>
          <w:sz w:val="28"/>
          <w:szCs w:val="28"/>
        </w:rPr>
      </w:pPr>
      <w:r w:rsidRPr="00864E1C">
        <w:rPr>
          <w:rFonts w:ascii="Arial" w:hAnsi="Arial" w:cs="Arial"/>
          <w:b/>
          <w:bCs/>
          <w:iCs/>
          <w:sz w:val="28"/>
          <w:szCs w:val="28"/>
          <w:lang w:val="it-IT"/>
        </w:rPr>
        <w:lastRenderedPageBreak/>
        <w:t>Ishmael Tingbani</w:t>
      </w:r>
      <w:r w:rsidRPr="00864E1C">
        <w:rPr>
          <w:rFonts w:ascii="Arial" w:hAnsi="Arial" w:cs="Arial"/>
          <w:b/>
          <w:bCs/>
          <w:iCs/>
          <w:sz w:val="28"/>
          <w:szCs w:val="28"/>
          <w:vertAlign w:val="superscript"/>
          <w:lang w:val="it-IT"/>
        </w:rPr>
        <w:footnoteReference w:id="1"/>
      </w:r>
      <w:r w:rsidRPr="00864E1C">
        <w:rPr>
          <w:rFonts w:ascii="Arial" w:hAnsi="Arial" w:cs="Arial"/>
          <w:b/>
          <w:bCs/>
          <w:iCs/>
          <w:sz w:val="28"/>
          <w:szCs w:val="28"/>
          <w:lang w:val="it-IT"/>
        </w:rPr>
        <w:t>,    Venancio Tauringana</w:t>
      </w:r>
      <w:r w:rsidRPr="00864E1C">
        <w:rPr>
          <w:rFonts w:ascii="Arial" w:hAnsi="Arial" w:cs="Arial"/>
          <w:b/>
          <w:bCs/>
          <w:iCs/>
          <w:sz w:val="28"/>
          <w:szCs w:val="28"/>
          <w:vertAlign w:val="superscript"/>
          <w:lang w:val="it-IT"/>
        </w:rPr>
        <w:footnoteReference w:id="2"/>
      </w:r>
      <w:r w:rsidRPr="00864E1C">
        <w:rPr>
          <w:rFonts w:ascii="Arial" w:hAnsi="Arial" w:cs="Arial"/>
          <w:b/>
          <w:bCs/>
          <w:iCs/>
          <w:sz w:val="28"/>
          <w:szCs w:val="28"/>
          <w:vertAlign w:val="superscript"/>
          <w:lang w:val="it-IT"/>
        </w:rPr>
        <w:t xml:space="preserve"> </w:t>
      </w:r>
      <w:r w:rsidRPr="00864E1C">
        <w:rPr>
          <w:rFonts w:ascii="Arial" w:hAnsi="Arial" w:cs="Arial"/>
          <w:b/>
          <w:bCs/>
          <w:iCs/>
          <w:sz w:val="28"/>
          <w:szCs w:val="28"/>
          <w:lang w:val="it-IT"/>
        </w:rPr>
        <w:t xml:space="preserve">, </w:t>
      </w:r>
      <w:r w:rsidRPr="00864E1C">
        <w:rPr>
          <w:rFonts w:ascii="Arial" w:hAnsi="Arial" w:cs="Arial"/>
          <w:b/>
          <w:bCs/>
          <w:iCs/>
          <w:sz w:val="28"/>
          <w:szCs w:val="28"/>
        </w:rPr>
        <w:t xml:space="preserve">Isaac Sakyi Damoah </w:t>
      </w:r>
      <w:r w:rsidRPr="00864E1C">
        <w:rPr>
          <w:rFonts w:ascii="Arial" w:hAnsi="Arial" w:cs="Arial"/>
          <w:b/>
          <w:bCs/>
          <w:iCs/>
          <w:sz w:val="28"/>
          <w:szCs w:val="28"/>
          <w:vertAlign w:val="superscript"/>
        </w:rPr>
        <w:footnoteReference w:id="3"/>
      </w:r>
      <w:r w:rsidRPr="00864E1C">
        <w:rPr>
          <w:rFonts w:ascii="Arial" w:hAnsi="Arial" w:cs="Arial"/>
          <w:b/>
          <w:bCs/>
          <w:iCs/>
          <w:sz w:val="28"/>
          <w:szCs w:val="28"/>
        </w:rPr>
        <w:t xml:space="preserve"> and Widin Bongasu Sha'ven</w:t>
      </w:r>
      <w:r w:rsidRPr="00864E1C">
        <w:rPr>
          <w:rFonts w:ascii="Arial" w:hAnsi="Arial" w:cs="Arial"/>
          <w:b/>
          <w:bCs/>
          <w:iCs/>
          <w:sz w:val="28"/>
          <w:szCs w:val="28"/>
          <w:vertAlign w:val="superscript"/>
        </w:rPr>
        <w:footnoteReference w:id="4"/>
      </w:r>
    </w:p>
    <w:p w14:paraId="19A587B1" w14:textId="77777777" w:rsidR="00864E1C" w:rsidRPr="00864E1C" w:rsidRDefault="00864E1C" w:rsidP="00864E1C">
      <w:pPr>
        <w:spacing w:after="0" w:line="360" w:lineRule="auto"/>
        <w:rPr>
          <w:rFonts w:ascii="Arial" w:hAnsi="Arial" w:cs="Arial"/>
          <w:b/>
          <w:bCs/>
          <w:iCs/>
          <w:sz w:val="28"/>
          <w:szCs w:val="28"/>
          <w:lang w:val="it-IT"/>
        </w:rPr>
      </w:pPr>
    </w:p>
    <w:p w14:paraId="7E5354CF" w14:textId="77777777" w:rsidR="00864E1C" w:rsidRPr="00864E1C" w:rsidRDefault="00864E1C" w:rsidP="00864E1C">
      <w:pPr>
        <w:spacing w:after="0" w:line="360" w:lineRule="auto"/>
        <w:rPr>
          <w:rFonts w:ascii="Arial" w:hAnsi="Arial" w:cs="Arial"/>
          <w:b/>
          <w:bCs/>
          <w:iCs/>
          <w:sz w:val="28"/>
          <w:szCs w:val="28"/>
        </w:rPr>
      </w:pPr>
    </w:p>
    <w:p w14:paraId="5DE97C4A" w14:textId="77777777" w:rsidR="00864E1C" w:rsidRPr="00864E1C" w:rsidRDefault="00864E1C" w:rsidP="00864E1C">
      <w:pPr>
        <w:spacing w:after="0" w:line="360" w:lineRule="auto"/>
        <w:rPr>
          <w:rFonts w:ascii="Arial" w:hAnsi="Arial" w:cs="Arial"/>
          <w:b/>
          <w:bCs/>
          <w:iCs/>
          <w:sz w:val="28"/>
          <w:szCs w:val="28"/>
        </w:rPr>
      </w:pPr>
    </w:p>
    <w:p w14:paraId="6151FCB8" w14:textId="77777777" w:rsidR="00864E1C" w:rsidRPr="00864E1C" w:rsidRDefault="00864E1C" w:rsidP="00864E1C">
      <w:pPr>
        <w:spacing w:after="0" w:line="360" w:lineRule="auto"/>
        <w:rPr>
          <w:rFonts w:ascii="Arial" w:hAnsi="Arial" w:cs="Arial"/>
          <w:b/>
          <w:bCs/>
          <w:iCs/>
          <w:sz w:val="28"/>
          <w:szCs w:val="28"/>
        </w:rPr>
      </w:pPr>
    </w:p>
    <w:p w14:paraId="215916E2" w14:textId="77777777" w:rsidR="00864E1C" w:rsidRPr="00864E1C" w:rsidRDefault="00864E1C" w:rsidP="00864E1C">
      <w:pPr>
        <w:spacing w:after="0" w:line="360" w:lineRule="auto"/>
        <w:rPr>
          <w:rFonts w:ascii="Arial" w:hAnsi="Arial" w:cs="Arial"/>
          <w:b/>
          <w:bCs/>
          <w:iCs/>
          <w:sz w:val="28"/>
          <w:szCs w:val="28"/>
        </w:rPr>
      </w:pPr>
    </w:p>
    <w:p w14:paraId="71CF8F20" w14:textId="77777777" w:rsidR="00864E1C" w:rsidRPr="00864E1C" w:rsidRDefault="00864E1C" w:rsidP="00864E1C">
      <w:pPr>
        <w:spacing w:after="0" w:line="360" w:lineRule="auto"/>
        <w:rPr>
          <w:rFonts w:ascii="Arial" w:hAnsi="Arial" w:cs="Arial"/>
          <w:b/>
          <w:bCs/>
          <w:iCs/>
          <w:sz w:val="28"/>
          <w:szCs w:val="28"/>
        </w:rPr>
      </w:pPr>
    </w:p>
    <w:p w14:paraId="42B2B337" w14:textId="77777777" w:rsidR="00864E1C" w:rsidRPr="00864E1C" w:rsidRDefault="00864E1C" w:rsidP="00864E1C">
      <w:pPr>
        <w:spacing w:after="0" w:line="360" w:lineRule="auto"/>
        <w:rPr>
          <w:rFonts w:ascii="Arial" w:hAnsi="Arial" w:cs="Arial"/>
          <w:b/>
          <w:bCs/>
          <w:iCs/>
          <w:sz w:val="28"/>
          <w:szCs w:val="28"/>
        </w:rPr>
      </w:pPr>
    </w:p>
    <w:p w14:paraId="5C9210BB" w14:textId="77777777" w:rsidR="00864E1C" w:rsidRPr="00864E1C" w:rsidRDefault="00864E1C" w:rsidP="00864E1C">
      <w:pPr>
        <w:spacing w:after="0" w:line="360" w:lineRule="auto"/>
        <w:rPr>
          <w:rFonts w:ascii="Arial" w:hAnsi="Arial" w:cs="Arial"/>
          <w:b/>
          <w:bCs/>
          <w:iCs/>
          <w:sz w:val="28"/>
          <w:szCs w:val="28"/>
        </w:rPr>
      </w:pPr>
    </w:p>
    <w:p w14:paraId="6A98C846" w14:textId="77777777" w:rsidR="00864E1C" w:rsidRPr="00864E1C" w:rsidRDefault="00864E1C" w:rsidP="00864E1C">
      <w:pPr>
        <w:spacing w:after="0" w:line="360" w:lineRule="auto"/>
        <w:rPr>
          <w:rFonts w:ascii="Arial" w:hAnsi="Arial" w:cs="Arial"/>
          <w:b/>
          <w:bCs/>
          <w:iCs/>
          <w:sz w:val="28"/>
          <w:szCs w:val="28"/>
        </w:rPr>
      </w:pPr>
    </w:p>
    <w:p w14:paraId="02480651" w14:textId="77777777" w:rsidR="00864E1C" w:rsidRPr="00864E1C" w:rsidRDefault="00864E1C" w:rsidP="00864E1C">
      <w:pPr>
        <w:spacing w:after="0" w:line="360" w:lineRule="auto"/>
        <w:rPr>
          <w:rFonts w:ascii="Arial" w:hAnsi="Arial" w:cs="Arial"/>
          <w:b/>
          <w:bCs/>
          <w:iCs/>
          <w:sz w:val="28"/>
          <w:szCs w:val="28"/>
        </w:rPr>
      </w:pPr>
    </w:p>
    <w:p w14:paraId="2026FF95" w14:textId="77777777" w:rsidR="00864E1C" w:rsidRPr="00864E1C" w:rsidRDefault="00864E1C" w:rsidP="00864E1C">
      <w:pPr>
        <w:spacing w:after="0" w:line="360" w:lineRule="auto"/>
        <w:rPr>
          <w:rFonts w:ascii="Arial" w:hAnsi="Arial" w:cs="Arial"/>
          <w:b/>
          <w:bCs/>
          <w:iCs/>
          <w:sz w:val="28"/>
          <w:szCs w:val="28"/>
        </w:rPr>
      </w:pPr>
    </w:p>
    <w:p w14:paraId="3C2B7B0B" w14:textId="77777777" w:rsidR="004F00F6" w:rsidRPr="00D90164" w:rsidRDefault="004F00F6" w:rsidP="00864E1C">
      <w:pPr>
        <w:tabs>
          <w:tab w:val="center" w:pos="4513"/>
        </w:tabs>
        <w:spacing w:after="0" w:line="360" w:lineRule="auto"/>
        <w:rPr>
          <w:rFonts w:ascii="Arial" w:hAnsi="Arial" w:cs="Arial"/>
          <w:b/>
          <w:bCs/>
          <w:sz w:val="28"/>
          <w:szCs w:val="28"/>
        </w:rPr>
      </w:pPr>
    </w:p>
    <w:p w14:paraId="33EC5B75" w14:textId="77777777" w:rsidR="004F00F6" w:rsidRPr="00D96911" w:rsidRDefault="004F00F6" w:rsidP="004E32E2">
      <w:pPr>
        <w:spacing w:after="0" w:line="360" w:lineRule="auto"/>
        <w:jc w:val="both"/>
        <w:rPr>
          <w:rFonts w:ascii="Arial" w:hAnsi="Arial" w:cs="Arial"/>
          <w:b/>
          <w:bCs/>
          <w:sz w:val="24"/>
          <w:szCs w:val="24"/>
          <w:lang w:val="it-IT"/>
        </w:rPr>
      </w:pPr>
      <w:r w:rsidRPr="00D96911">
        <w:rPr>
          <w:rFonts w:ascii="Arial" w:hAnsi="Arial" w:cs="Arial"/>
          <w:b/>
          <w:bCs/>
          <w:sz w:val="24"/>
          <w:szCs w:val="24"/>
        </w:rPr>
        <w:t>Abstract</w:t>
      </w:r>
    </w:p>
    <w:p w14:paraId="42A524E7" w14:textId="36D29604" w:rsidR="00F850E6" w:rsidRPr="0079000A" w:rsidRDefault="00973092" w:rsidP="004E32E2">
      <w:pPr>
        <w:spacing w:after="0" w:line="360" w:lineRule="auto"/>
        <w:jc w:val="both"/>
        <w:rPr>
          <w:rFonts w:ascii="Arial" w:hAnsi="Arial" w:cs="Arial"/>
          <w:bCs/>
          <w:iCs/>
          <w:sz w:val="24"/>
          <w:szCs w:val="24"/>
        </w:rPr>
      </w:pPr>
      <w:r>
        <w:rPr>
          <w:rFonts w:ascii="Arial" w:hAnsi="Arial" w:cs="Arial"/>
          <w:bCs/>
          <w:sz w:val="24"/>
          <w:szCs w:val="24"/>
        </w:rPr>
        <w:t>E</w:t>
      </w:r>
      <w:r w:rsidR="00592468">
        <w:rPr>
          <w:rFonts w:ascii="Arial" w:hAnsi="Arial" w:cs="Arial"/>
          <w:bCs/>
          <w:sz w:val="24"/>
          <w:szCs w:val="24"/>
        </w:rPr>
        <w:t xml:space="preserve">xisting empirical </w:t>
      </w:r>
      <w:r>
        <w:rPr>
          <w:rFonts w:ascii="Arial" w:hAnsi="Arial" w:cs="Arial"/>
          <w:bCs/>
          <w:sz w:val="24"/>
          <w:szCs w:val="24"/>
        </w:rPr>
        <w:t xml:space="preserve">research </w:t>
      </w:r>
      <w:r w:rsidR="00592468">
        <w:rPr>
          <w:rFonts w:ascii="Arial" w:hAnsi="Arial" w:cs="Arial"/>
          <w:bCs/>
          <w:sz w:val="24"/>
          <w:szCs w:val="24"/>
        </w:rPr>
        <w:t xml:space="preserve">findings </w:t>
      </w:r>
      <w:r w:rsidR="00F850E6">
        <w:rPr>
          <w:rFonts w:ascii="Arial" w:hAnsi="Arial" w:cs="Arial"/>
          <w:bCs/>
          <w:sz w:val="24"/>
          <w:szCs w:val="24"/>
        </w:rPr>
        <w:t xml:space="preserve">generally suggest that </w:t>
      </w:r>
      <w:r w:rsidR="00592468">
        <w:rPr>
          <w:rFonts w:ascii="Arial" w:hAnsi="Arial" w:cs="Arial"/>
          <w:bCs/>
          <w:sz w:val="24"/>
          <w:szCs w:val="24"/>
        </w:rPr>
        <w:t xml:space="preserve">working capital management (WCM) </w:t>
      </w:r>
      <w:r w:rsidR="00F850E6">
        <w:rPr>
          <w:rFonts w:ascii="Arial" w:hAnsi="Arial" w:cs="Arial"/>
          <w:bCs/>
          <w:sz w:val="24"/>
          <w:szCs w:val="24"/>
        </w:rPr>
        <w:t xml:space="preserve">affects </w:t>
      </w:r>
      <w:r>
        <w:rPr>
          <w:rFonts w:ascii="Arial" w:hAnsi="Arial" w:cs="Arial"/>
          <w:bCs/>
          <w:sz w:val="24"/>
          <w:szCs w:val="24"/>
        </w:rPr>
        <w:t xml:space="preserve">and </w:t>
      </w:r>
      <w:r w:rsidR="00F850E6">
        <w:rPr>
          <w:rFonts w:ascii="Arial" w:hAnsi="Arial" w:cs="Arial"/>
          <w:bCs/>
          <w:sz w:val="24"/>
          <w:szCs w:val="24"/>
        </w:rPr>
        <w:t xml:space="preserve">the </w:t>
      </w:r>
      <w:r w:rsidR="00592468">
        <w:rPr>
          <w:rFonts w:ascii="Arial" w:hAnsi="Arial" w:cs="Arial"/>
          <w:bCs/>
          <w:sz w:val="24"/>
          <w:szCs w:val="24"/>
        </w:rPr>
        <w:t>firms’ financial performance</w:t>
      </w:r>
      <w:r w:rsidR="00F850E6">
        <w:rPr>
          <w:rFonts w:ascii="Arial" w:hAnsi="Arial" w:cs="Arial"/>
          <w:bCs/>
          <w:sz w:val="24"/>
          <w:szCs w:val="24"/>
        </w:rPr>
        <w:t>.</w:t>
      </w:r>
      <w:r>
        <w:rPr>
          <w:rFonts w:ascii="Arial" w:hAnsi="Arial" w:cs="Arial"/>
          <w:bCs/>
          <w:sz w:val="24"/>
          <w:szCs w:val="24"/>
        </w:rPr>
        <w:t xml:space="preserve"> </w:t>
      </w:r>
      <w:r w:rsidR="004F00F6" w:rsidRPr="00D96911">
        <w:rPr>
          <w:rFonts w:ascii="Arial" w:hAnsi="Arial" w:cs="Arial"/>
          <w:bCs/>
          <w:sz w:val="24"/>
          <w:szCs w:val="24"/>
        </w:rPr>
        <w:t xml:space="preserve">This paper adopts </w:t>
      </w:r>
      <w:r w:rsidR="004504C6">
        <w:rPr>
          <w:rFonts w:ascii="Arial" w:hAnsi="Arial" w:cs="Arial"/>
          <w:bCs/>
          <w:sz w:val="24"/>
          <w:szCs w:val="24"/>
        </w:rPr>
        <w:t xml:space="preserve">contingency </w:t>
      </w:r>
      <w:r w:rsidR="00580907">
        <w:rPr>
          <w:rFonts w:ascii="Arial" w:hAnsi="Arial" w:cs="Arial"/>
          <w:bCs/>
          <w:sz w:val="24"/>
          <w:szCs w:val="24"/>
        </w:rPr>
        <w:t>theory</w:t>
      </w:r>
      <w:r w:rsidR="00CA2AB6">
        <w:rPr>
          <w:rFonts w:ascii="Arial" w:hAnsi="Arial" w:cs="Arial"/>
          <w:bCs/>
          <w:sz w:val="24"/>
          <w:szCs w:val="24"/>
        </w:rPr>
        <w:t xml:space="preserve"> framework</w:t>
      </w:r>
      <w:r w:rsidR="00580907">
        <w:rPr>
          <w:rFonts w:ascii="Arial" w:hAnsi="Arial" w:cs="Arial"/>
          <w:bCs/>
          <w:sz w:val="24"/>
          <w:szCs w:val="24"/>
        </w:rPr>
        <w:t xml:space="preserve"> </w:t>
      </w:r>
      <w:r w:rsidR="004F00F6" w:rsidRPr="00D96911">
        <w:rPr>
          <w:rFonts w:ascii="Arial" w:hAnsi="Arial" w:cs="Arial"/>
          <w:bCs/>
          <w:sz w:val="24"/>
          <w:szCs w:val="24"/>
        </w:rPr>
        <w:t>to</w:t>
      </w:r>
      <w:r w:rsidR="00592468">
        <w:rPr>
          <w:rFonts w:ascii="Arial" w:hAnsi="Arial" w:cs="Arial"/>
          <w:bCs/>
          <w:sz w:val="24"/>
          <w:szCs w:val="24"/>
        </w:rPr>
        <w:t xml:space="preserve"> </w:t>
      </w:r>
      <w:r w:rsidR="00580907">
        <w:rPr>
          <w:rFonts w:ascii="Arial" w:hAnsi="Arial" w:cs="Arial"/>
          <w:bCs/>
          <w:sz w:val="24"/>
          <w:szCs w:val="24"/>
        </w:rPr>
        <w:t>investigate</w:t>
      </w:r>
      <w:r w:rsidR="00592468">
        <w:rPr>
          <w:rFonts w:ascii="Arial" w:hAnsi="Arial" w:cs="Arial"/>
          <w:bCs/>
          <w:sz w:val="24"/>
          <w:szCs w:val="24"/>
        </w:rPr>
        <w:t xml:space="preserve"> how</w:t>
      </w:r>
      <w:r w:rsidR="004F00F6" w:rsidRPr="00D96911">
        <w:rPr>
          <w:rFonts w:ascii="Arial" w:hAnsi="Arial" w:cs="Arial"/>
          <w:bCs/>
          <w:sz w:val="24"/>
          <w:szCs w:val="24"/>
        </w:rPr>
        <w:t xml:space="preserve"> the relationship between </w:t>
      </w:r>
      <w:r w:rsidR="00592468">
        <w:rPr>
          <w:rFonts w:ascii="Arial" w:hAnsi="Arial" w:cs="Arial"/>
          <w:bCs/>
          <w:sz w:val="24"/>
          <w:szCs w:val="24"/>
        </w:rPr>
        <w:t xml:space="preserve">WCM </w:t>
      </w:r>
      <w:r w:rsidR="004F00F6" w:rsidRPr="00D96911">
        <w:rPr>
          <w:rFonts w:ascii="Arial" w:hAnsi="Arial" w:cs="Arial"/>
          <w:bCs/>
          <w:sz w:val="24"/>
          <w:szCs w:val="24"/>
        </w:rPr>
        <w:t xml:space="preserve">and </w:t>
      </w:r>
      <w:r w:rsidR="00592468">
        <w:rPr>
          <w:rFonts w:ascii="Arial" w:hAnsi="Arial" w:cs="Arial"/>
          <w:bCs/>
          <w:sz w:val="24"/>
          <w:szCs w:val="24"/>
        </w:rPr>
        <w:t>financial</w:t>
      </w:r>
      <w:r w:rsidR="004504C6">
        <w:rPr>
          <w:rFonts w:ascii="Arial" w:hAnsi="Arial" w:cs="Arial"/>
          <w:bCs/>
          <w:sz w:val="24"/>
          <w:szCs w:val="24"/>
        </w:rPr>
        <w:t xml:space="preserve"> performance</w:t>
      </w:r>
      <w:r w:rsidR="00592468">
        <w:rPr>
          <w:rFonts w:ascii="Arial" w:hAnsi="Arial" w:cs="Arial"/>
          <w:bCs/>
          <w:sz w:val="24"/>
          <w:szCs w:val="24"/>
        </w:rPr>
        <w:t xml:space="preserve"> is affected by the firms’ environment, resources and management capability. </w:t>
      </w:r>
      <w:bookmarkStart w:id="1" w:name="OLE_LINK146"/>
      <w:r w:rsidR="00B11AED">
        <w:rPr>
          <w:rFonts w:ascii="Arial" w:hAnsi="Arial" w:cs="Arial"/>
          <w:bCs/>
          <w:sz w:val="24"/>
          <w:szCs w:val="24"/>
        </w:rPr>
        <w:t xml:space="preserve">Our sample </w:t>
      </w:r>
      <w:bookmarkStart w:id="2" w:name="OLE_LINK27"/>
      <w:bookmarkStart w:id="3" w:name="OLE_LINK28"/>
      <w:r w:rsidR="00B11AED">
        <w:rPr>
          <w:rFonts w:ascii="Arial" w:hAnsi="Arial" w:cs="Arial"/>
          <w:bCs/>
          <w:sz w:val="24"/>
          <w:szCs w:val="24"/>
        </w:rPr>
        <w:t xml:space="preserve">consist of </w:t>
      </w:r>
      <w:r w:rsidR="00F035A4">
        <w:rPr>
          <w:rFonts w:ascii="Arial" w:hAnsi="Arial" w:cs="Arial"/>
          <w:bCs/>
          <w:sz w:val="24"/>
          <w:szCs w:val="24"/>
        </w:rPr>
        <w:t xml:space="preserve">an </w:t>
      </w:r>
      <w:r w:rsidR="00F035A4" w:rsidRPr="00F035A4">
        <w:rPr>
          <w:rFonts w:ascii="Arial" w:hAnsi="Arial" w:cs="Arial"/>
          <w:bCs/>
          <w:iCs/>
          <w:sz w:val="24"/>
          <w:szCs w:val="24"/>
        </w:rPr>
        <w:t xml:space="preserve">unbalanced panel of </w:t>
      </w:r>
      <w:r w:rsidR="00905C95">
        <w:rPr>
          <w:rFonts w:ascii="Arial" w:hAnsi="Arial" w:cs="Arial"/>
          <w:bCs/>
          <w:iCs/>
          <w:sz w:val="24"/>
          <w:szCs w:val="24"/>
        </w:rPr>
        <w:t>802</w:t>
      </w:r>
      <w:r w:rsidR="00F035A4" w:rsidRPr="00F035A4">
        <w:rPr>
          <w:rFonts w:ascii="Arial" w:hAnsi="Arial" w:cs="Arial"/>
          <w:bCs/>
          <w:iCs/>
          <w:sz w:val="24"/>
          <w:szCs w:val="24"/>
        </w:rPr>
        <w:t xml:space="preserve"> </w:t>
      </w:r>
      <w:r w:rsidR="00905C95">
        <w:rPr>
          <w:rFonts w:ascii="Arial" w:hAnsi="Arial" w:cs="Arial"/>
          <w:bCs/>
          <w:iCs/>
          <w:sz w:val="24"/>
          <w:szCs w:val="24"/>
        </w:rPr>
        <w:t>firms listed on the London Stock Exchange (LSE)</w:t>
      </w:r>
      <w:r w:rsidR="00B11AED">
        <w:rPr>
          <w:rFonts w:ascii="Arial" w:hAnsi="Arial" w:cs="Arial"/>
          <w:bCs/>
          <w:sz w:val="24"/>
          <w:szCs w:val="24"/>
        </w:rPr>
        <w:t xml:space="preserve"> from </w:t>
      </w:r>
      <w:r w:rsidR="00E41B03">
        <w:rPr>
          <w:rFonts w:ascii="Arial" w:hAnsi="Arial" w:cs="Arial"/>
          <w:bCs/>
          <w:sz w:val="24"/>
          <w:szCs w:val="24"/>
        </w:rPr>
        <w:t xml:space="preserve">2004 to </w:t>
      </w:r>
      <w:r w:rsidR="00CF3856">
        <w:rPr>
          <w:rFonts w:ascii="Arial" w:hAnsi="Arial" w:cs="Arial"/>
          <w:bCs/>
          <w:sz w:val="24"/>
          <w:szCs w:val="24"/>
        </w:rPr>
        <w:t>2014</w:t>
      </w:r>
      <w:r w:rsidR="00316405">
        <w:rPr>
          <w:rFonts w:ascii="Arial" w:hAnsi="Arial" w:cs="Arial"/>
          <w:bCs/>
          <w:sz w:val="24"/>
          <w:szCs w:val="24"/>
        </w:rPr>
        <w:t xml:space="preserve"> </w:t>
      </w:r>
      <w:bookmarkEnd w:id="1"/>
      <w:bookmarkEnd w:id="2"/>
      <w:bookmarkEnd w:id="3"/>
      <w:r w:rsidR="00316405">
        <w:rPr>
          <w:rFonts w:ascii="Arial" w:hAnsi="Arial" w:cs="Arial"/>
          <w:bCs/>
          <w:sz w:val="24"/>
          <w:szCs w:val="24"/>
        </w:rPr>
        <w:t>on which a</w:t>
      </w:r>
      <w:r w:rsidR="004F00F6" w:rsidRPr="00D96911">
        <w:rPr>
          <w:rFonts w:ascii="Arial" w:hAnsi="Arial" w:cs="Arial"/>
          <w:bCs/>
          <w:sz w:val="24"/>
          <w:szCs w:val="24"/>
        </w:rPr>
        <w:t xml:space="preserve"> dynamic panel data analysis </w:t>
      </w:r>
      <w:r w:rsidR="00316405">
        <w:rPr>
          <w:rFonts w:ascii="Arial" w:hAnsi="Arial" w:cs="Arial"/>
          <w:bCs/>
          <w:sz w:val="24"/>
          <w:szCs w:val="24"/>
        </w:rPr>
        <w:t>was performed</w:t>
      </w:r>
      <w:r w:rsidR="006F4459">
        <w:rPr>
          <w:rFonts w:ascii="Arial" w:hAnsi="Arial" w:cs="Arial"/>
          <w:bCs/>
          <w:sz w:val="24"/>
          <w:szCs w:val="24"/>
        </w:rPr>
        <w:t xml:space="preserve"> using</w:t>
      </w:r>
      <w:r w:rsidR="006F4459" w:rsidRPr="00D96911">
        <w:rPr>
          <w:rFonts w:ascii="Arial" w:hAnsi="Arial" w:cs="Arial"/>
          <w:bCs/>
          <w:sz w:val="24"/>
          <w:szCs w:val="24"/>
        </w:rPr>
        <w:t xml:space="preserve"> a series of interactive models</w:t>
      </w:r>
      <w:r w:rsidR="00316405">
        <w:rPr>
          <w:rFonts w:ascii="Arial" w:hAnsi="Arial" w:cs="Arial"/>
          <w:bCs/>
          <w:sz w:val="24"/>
          <w:szCs w:val="24"/>
        </w:rPr>
        <w:t xml:space="preserve"> </w:t>
      </w:r>
      <w:r w:rsidR="006F4459">
        <w:rPr>
          <w:rFonts w:ascii="Arial" w:hAnsi="Arial" w:cs="Arial"/>
          <w:bCs/>
          <w:sz w:val="24"/>
          <w:szCs w:val="24"/>
        </w:rPr>
        <w:t>to estimate the</w:t>
      </w:r>
      <w:r w:rsidR="004F00F6" w:rsidRPr="00D96911">
        <w:rPr>
          <w:rFonts w:ascii="Arial" w:hAnsi="Arial" w:cs="Arial"/>
          <w:bCs/>
          <w:sz w:val="24"/>
          <w:szCs w:val="24"/>
        </w:rPr>
        <w:t xml:space="preserve"> relationship. The </w:t>
      </w:r>
      <w:r w:rsidR="004C6C5D" w:rsidRPr="00D96911">
        <w:rPr>
          <w:rFonts w:ascii="Arial" w:hAnsi="Arial" w:cs="Arial"/>
          <w:bCs/>
          <w:sz w:val="24"/>
          <w:szCs w:val="24"/>
        </w:rPr>
        <w:t xml:space="preserve">findings </w:t>
      </w:r>
      <w:r w:rsidR="004C6C5D">
        <w:rPr>
          <w:rFonts w:ascii="Arial" w:hAnsi="Arial" w:cs="Arial"/>
          <w:bCs/>
          <w:sz w:val="24"/>
          <w:szCs w:val="24"/>
        </w:rPr>
        <w:t xml:space="preserve">suggest </w:t>
      </w:r>
      <w:r w:rsidR="004C6C5D" w:rsidRPr="004C6C5D">
        <w:rPr>
          <w:rFonts w:ascii="Arial" w:hAnsi="Arial" w:cs="Arial"/>
          <w:bCs/>
          <w:iCs/>
          <w:sz w:val="24"/>
          <w:szCs w:val="24"/>
        </w:rPr>
        <w:t xml:space="preserve">that the impact of </w:t>
      </w:r>
      <w:r w:rsidR="005D4A92">
        <w:rPr>
          <w:rFonts w:ascii="Arial" w:hAnsi="Arial" w:cs="Arial"/>
          <w:bCs/>
          <w:iCs/>
          <w:sz w:val="24"/>
          <w:szCs w:val="24"/>
        </w:rPr>
        <w:t xml:space="preserve">WCM </w:t>
      </w:r>
      <w:r w:rsidR="004C6C5D" w:rsidRPr="004C6C5D">
        <w:rPr>
          <w:rFonts w:ascii="Arial" w:hAnsi="Arial" w:cs="Arial"/>
          <w:bCs/>
          <w:iCs/>
          <w:sz w:val="24"/>
          <w:szCs w:val="24"/>
        </w:rPr>
        <w:t xml:space="preserve">on </w:t>
      </w:r>
      <w:r w:rsidR="005D4A92">
        <w:rPr>
          <w:rFonts w:ascii="Arial" w:hAnsi="Arial" w:cs="Arial"/>
          <w:bCs/>
          <w:iCs/>
          <w:sz w:val="24"/>
          <w:szCs w:val="24"/>
        </w:rPr>
        <w:t xml:space="preserve">financial </w:t>
      </w:r>
      <w:r w:rsidR="004C6C5D" w:rsidRPr="004C6C5D">
        <w:rPr>
          <w:rFonts w:ascii="Arial" w:hAnsi="Arial" w:cs="Arial"/>
          <w:bCs/>
          <w:iCs/>
          <w:sz w:val="24"/>
          <w:szCs w:val="24"/>
        </w:rPr>
        <w:t xml:space="preserve">performance changes to reflect </w:t>
      </w:r>
      <w:r w:rsidR="004C6C5D" w:rsidRPr="004C6C5D">
        <w:rPr>
          <w:rFonts w:ascii="Arial" w:hAnsi="Arial" w:cs="Arial"/>
          <w:bCs/>
          <w:iCs/>
          <w:sz w:val="24"/>
          <w:szCs w:val="24"/>
        </w:rPr>
        <w:lastRenderedPageBreak/>
        <w:t>number contingency variables such as environmental, resource</w:t>
      </w:r>
      <w:r w:rsidR="006F4459">
        <w:rPr>
          <w:rFonts w:ascii="Arial" w:hAnsi="Arial" w:cs="Arial"/>
          <w:bCs/>
          <w:iCs/>
          <w:sz w:val="24"/>
          <w:szCs w:val="24"/>
        </w:rPr>
        <w:t>s</w:t>
      </w:r>
      <w:r w:rsidR="004C6C5D" w:rsidRPr="004C6C5D">
        <w:rPr>
          <w:rFonts w:ascii="Arial" w:hAnsi="Arial" w:cs="Arial"/>
          <w:bCs/>
          <w:iCs/>
          <w:sz w:val="24"/>
          <w:szCs w:val="24"/>
        </w:rPr>
        <w:t xml:space="preserve"> and mana</w:t>
      </w:r>
      <w:r w:rsidR="004C6C5D">
        <w:rPr>
          <w:rFonts w:ascii="Arial" w:hAnsi="Arial" w:cs="Arial"/>
          <w:bCs/>
          <w:iCs/>
          <w:sz w:val="24"/>
          <w:szCs w:val="24"/>
        </w:rPr>
        <w:t>gement capabilities of the firm</w:t>
      </w:r>
      <w:r w:rsidR="00F850E6">
        <w:rPr>
          <w:rFonts w:ascii="Arial" w:hAnsi="Arial" w:cs="Arial"/>
          <w:bCs/>
          <w:iCs/>
          <w:sz w:val="24"/>
          <w:szCs w:val="24"/>
        </w:rPr>
        <w:t>.</w:t>
      </w:r>
      <w:r w:rsidR="002E100F">
        <w:rPr>
          <w:rFonts w:ascii="Arial" w:hAnsi="Arial" w:cs="Arial"/>
          <w:bCs/>
          <w:iCs/>
          <w:sz w:val="24"/>
          <w:szCs w:val="24"/>
        </w:rPr>
        <w:t xml:space="preserve"> These findings are significant because </w:t>
      </w:r>
      <w:r w:rsidR="00F850E6" w:rsidRPr="00381A1F">
        <w:rPr>
          <w:rFonts w:ascii="Arial" w:hAnsi="Arial" w:cs="Arial"/>
          <w:bCs/>
          <w:iCs/>
          <w:color w:val="000000" w:themeColor="text1"/>
          <w:sz w:val="24"/>
          <w:szCs w:val="24"/>
        </w:rPr>
        <w:t>the</w:t>
      </w:r>
      <w:r w:rsidR="00284C40">
        <w:rPr>
          <w:rFonts w:ascii="Arial" w:hAnsi="Arial" w:cs="Arial"/>
          <w:bCs/>
          <w:iCs/>
          <w:color w:val="000000" w:themeColor="text1"/>
          <w:sz w:val="24"/>
          <w:szCs w:val="24"/>
        </w:rPr>
        <w:t xml:space="preserve">y demonstrate for the first time </w:t>
      </w:r>
      <w:r w:rsidR="00F850E6" w:rsidRPr="00381A1F">
        <w:rPr>
          <w:rFonts w:ascii="Arial" w:hAnsi="Arial" w:cs="Arial"/>
          <w:bCs/>
          <w:iCs/>
          <w:color w:val="000000" w:themeColor="text1"/>
          <w:sz w:val="24"/>
          <w:szCs w:val="24"/>
        </w:rPr>
        <w:t xml:space="preserve">how the firms’ ability to enhance performance through investment in working capital is influenced by contingent factors such as environmental, resource and management capabilities of the firm. </w:t>
      </w:r>
      <w:r w:rsidR="00351C6E">
        <w:rPr>
          <w:rFonts w:ascii="Arial" w:hAnsi="Arial" w:cs="Arial"/>
          <w:bCs/>
          <w:iCs/>
          <w:color w:val="000000" w:themeColor="text1"/>
          <w:sz w:val="24"/>
          <w:szCs w:val="24"/>
        </w:rPr>
        <w:t>Our</w:t>
      </w:r>
      <w:r w:rsidR="00284C40">
        <w:rPr>
          <w:rFonts w:ascii="Arial" w:hAnsi="Arial" w:cs="Arial"/>
          <w:bCs/>
          <w:iCs/>
          <w:color w:val="000000" w:themeColor="text1"/>
          <w:sz w:val="24"/>
          <w:szCs w:val="24"/>
        </w:rPr>
        <w:t xml:space="preserve"> results are also important as they show that </w:t>
      </w:r>
      <w:r w:rsidR="00F850E6" w:rsidRPr="00381A1F">
        <w:rPr>
          <w:rFonts w:ascii="Arial" w:hAnsi="Arial" w:cs="Arial"/>
          <w:bCs/>
          <w:iCs/>
          <w:color w:val="000000" w:themeColor="text1"/>
          <w:sz w:val="24"/>
          <w:szCs w:val="24"/>
        </w:rPr>
        <w:t xml:space="preserve">contingency </w:t>
      </w:r>
      <w:r w:rsidR="00284C40">
        <w:rPr>
          <w:rFonts w:ascii="Arial" w:hAnsi="Arial" w:cs="Arial"/>
          <w:bCs/>
          <w:iCs/>
          <w:color w:val="000000" w:themeColor="text1"/>
          <w:sz w:val="24"/>
          <w:szCs w:val="24"/>
        </w:rPr>
        <w:t xml:space="preserve">theory </w:t>
      </w:r>
      <w:r w:rsidR="00F850E6" w:rsidRPr="00381A1F">
        <w:rPr>
          <w:rFonts w:ascii="Arial" w:hAnsi="Arial" w:cs="Arial"/>
          <w:bCs/>
          <w:iCs/>
          <w:color w:val="000000" w:themeColor="text1"/>
          <w:sz w:val="24"/>
          <w:szCs w:val="24"/>
        </w:rPr>
        <w:t>helps to provide an understanding on the condi</w:t>
      </w:r>
      <w:r w:rsidR="00351C6E">
        <w:rPr>
          <w:rFonts w:ascii="Arial" w:hAnsi="Arial" w:cs="Arial"/>
          <w:bCs/>
          <w:iCs/>
          <w:color w:val="000000" w:themeColor="text1"/>
          <w:sz w:val="24"/>
          <w:szCs w:val="24"/>
        </w:rPr>
        <w:t xml:space="preserve">tions under which investment in </w:t>
      </w:r>
      <w:r w:rsidR="00F850E6" w:rsidRPr="00381A1F">
        <w:rPr>
          <w:rFonts w:ascii="Arial" w:hAnsi="Arial" w:cs="Arial"/>
          <w:bCs/>
          <w:iCs/>
          <w:color w:val="000000" w:themeColor="text1"/>
          <w:sz w:val="24"/>
          <w:szCs w:val="24"/>
        </w:rPr>
        <w:t>working capital can be</w:t>
      </w:r>
      <w:r w:rsidR="00351C6E">
        <w:rPr>
          <w:rFonts w:ascii="Arial" w:hAnsi="Arial" w:cs="Arial"/>
          <w:bCs/>
          <w:iCs/>
          <w:color w:val="000000" w:themeColor="text1"/>
          <w:sz w:val="24"/>
          <w:szCs w:val="24"/>
        </w:rPr>
        <w:t xml:space="preserve"> an effective tool in enhancing</w:t>
      </w:r>
      <w:r w:rsidR="00F850E6" w:rsidRPr="00381A1F">
        <w:rPr>
          <w:rFonts w:ascii="Arial" w:hAnsi="Arial" w:cs="Arial"/>
          <w:bCs/>
          <w:iCs/>
          <w:color w:val="000000" w:themeColor="text1"/>
          <w:sz w:val="24"/>
          <w:szCs w:val="24"/>
        </w:rPr>
        <w:t xml:space="preserve"> </w:t>
      </w:r>
      <w:r w:rsidR="00F850E6">
        <w:rPr>
          <w:rFonts w:ascii="Arial" w:hAnsi="Arial" w:cs="Arial"/>
          <w:bCs/>
          <w:iCs/>
          <w:color w:val="000000" w:themeColor="text1"/>
          <w:sz w:val="24"/>
          <w:szCs w:val="24"/>
        </w:rPr>
        <w:t xml:space="preserve">financial </w:t>
      </w:r>
      <w:r w:rsidR="00F850E6" w:rsidRPr="00381A1F">
        <w:rPr>
          <w:rFonts w:ascii="Arial" w:hAnsi="Arial" w:cs="Arial"/>
          <w:bCs/>
          <w:iCs/>
          <w:color w:val="000000" w:themeColor="text1"/>
          <w:sz w:val="24"/>
          <w:szCs w:val="24"/>
        </w:rPr>
        <w:t xml:space="preserve">performance and </w:t>
      </w:r>
      <w:r w:rsidR="00C830B0">
        <w:rPr>
          <w:rFonts w:ascii="Arial" w:hAnsi="Arial" w:cs="Arial"/>
          <w:bCs/>
          <w:iCs/>
          <w:color w:val="000000" w:themeColor="text1"/>
          <w:sz w:val="24"/>
          <w:szCs w:val="24"/>
        </w:rPr>
        <w:t xml:space="preserve">the relevant </w:t>
      </w:r>
      <w:r w:rsidR="00F850E6" w:rsidRPr="00381A1F">
        <w:rPr>
          <w:rFonts w:ascii="Arial" w:hAnsi="Arial" w:cs="Arial"/>
          <w:bCs/>
          <w:iCs/>
          <w:color w:val="000000" w:themeColor="text1"/>
          <w:sz w:val="24"/>
          <w:szCs w:val="24"/>
        </w:rPr>
        <w:t>contingencies</w:t>
      </w:r>
      <w:r w:rsidR="00C830B0">
        <w:rPr>
          <w:rFonts w:ascii="Arial" w:hAnsi="Arial" w:cs="Arial"/>
          <w:bCs/>
          <w:iCs/>
          <w:color w:val="000000" w:themeColor="text1"/>
          <w:sz w:val="24"/>
          <w:szCs w:val="24"/>
        </w:rPr>
        <w:t>.</w:t>
      </w:r>
      <w:r w:rsidR="00F850E6" w:rsidRPr="00381A1F">
        <w:rPr>
          <w:rFonts w:ascii="Arial" w:hAnsi="Arial" w:cs="Arial"/>
          <w:bCs/>
          <w:iCs/>
          <w:color w:val="000000" w:themeColor="text1"/>
          <w:sz w:val="24"/>
          <w:szCs w:val="24"/>
        </w:rPr>
        <w:t xml:space="preserve"> </w:t>
      </w:r>
    </w:p>
    <w:p w14:paraId="22FBDB64" w14:textId="77777777" w:rsidR="00F850E6" w:rsidRDefault="00F850E6" w:rsidP="004E32E2">
      <w:pPr>
        <w:spacing w:after="0" w:line="360" w:lineRule="auto"/>
        <w:jc w:val="both"/>
        <w:rPr>
          <w:rFonts w:ascii="Arial" w:hAnsi="Arial" w:cs="Arial"/>
          <w:bCs/>
          <w:sz w:val="24"/>
          <w:szCs w:val="24"/>
        </w:rPr>
      </w:pPr>
    </w:p>
    <w:p w14:paraId="4F381229" w14:textId="77777777" w:rsidR="004F00F6" w:rsidRDefault="004F00F6" w:rsidP="004E32E2">
      <w:pPr>
        <w:spacing w:after="0" w:line="360" w:lineRule="auto"/>
        <w:jc w:val="both"/>
        <w:rPr>
          <w:rFonts w:ascii="Arial" w:hAnsi="Arial" w:cs="Arial"/>
          <w:bCs/>
          <w:sz w:val="24"/>
          <w:szCs w:val="24"/>
        </w:rPr>
      </w:pPr>
      <w:r w:rsidRPr="00D96911">
        <w:rPr>
          <w:rFonts w:ascii="Arial" w:hAnsi="Arial" w:cs="Arial"/>
          <w:b/>
          <w:bCs/>
          <w:sz w:val="24"/>
          <w:szCs w:val="24"/>
        </w:rPr>
        <w:t xml:space="preserve">Keywords– </w:t>
      </w:r>
      <w:r w:rsidRPr="00D96911">
        <w:rPr>
          <w:rFonts w:ascii="Arial" w:hAnsi="Arial" w:cs="Arial"/>
          <w:bCs/>
          <w:sz w:val="24"/>
          <w:szCs w:val="24"/>
        </w:rPr>
        <w:t xml:space="preserve">Working Capital Management, </w:t>
      </w:r>
      <w:r w:rsidR="00ED7D5D">
        <w:rPr>
          <w:rFonts w:ascii="Arial" w:hAnsi="Arial" w:cs="Arial"/>
          <w:bCs/>
          <w:sz w:val="24"/>
          <w:szCs w:val="24"/>
        </w:rPr>
        <w:t xml:space="preserve">Financial </w:t>
      </w:r>
      <w:r w:rsidRPr="00D96911">
        <w:rPr>
          <w:rFonts w:ascii="Arial" w:hAnsi="Arial" w:cs="Arial"/>
          <w:bCs/>
          <w:sz w:val="24"/>
          <w:szCs w:val="24"/>
        </w:rPr>
        <w:t>Performance, Contingency Approach, Interactive Models.</w:t>
      </w:r>
    </w:p>
    <w:p w14:paraId="351D8C2E" w14:textId="77777777" w:rsidR="004C6C5D" w:rsidRDefault="004C6C5D" w:rsidP="004E32E2">
      <w:pPr>
        <w:spacing w:after="0" w:line="360" w:lineRule="auto"/>
        <w:jc w:val="both"/>
        <w:rPr>
          <w:rFonts w:ascii="Arial" w:hAnsi="Arial" w:cs="Arial"/>
          <w:bCs/>
          <w:sz w:val="24"/>
          <w:szCs w:val="24"/>
        </w:rPr>
      </w:pPr>
    </w:p>
    <w:p w14:paraId="6845A0BF" w14:textId="77777777" w:rsidR="0093235F" w:rsidRPr="0093235F" w:rsidRDefault="0093235F" w:rsidP="0093235F">
      <w:pPr>
        <w:spacing w:after="0" w:line="240" w:lineRule="auto"/>
        <w:jc w:val="both"/>
        <w:rPr>
          <w:rFonts w:ascii="Times New Roman" w:eastAsia="SimSun" w:hAnsi="Times New Roman" w:cs="Times New Roman"/>
          <w:sz w:val="24"/>
          <w:szCs w:val="24"/>
          <w:lang w:eastAsia="zh-CN"/>
        </w:rPr>
      </w:pPr>
      <w:r w:rsidRPr="0093235F">
        <w:rPr>
          <w:rFonts w:ascii="Arial" w:hAnsi="Arial" w:cs="Arial"/>
          <w:b/>
          <w:bCs/>
          <w:sz w:val="24"/>
          <w:szCs w:val="24"/>
        </w:rPr>
        <w:t>JEL Classification</w:t>
      </w:r>
      <w:r>
        <w:rPr>
          <w:rFonts w:ascii="Arial" w:hAnsi="Arial" w:cs="Arial"/>
          <w:b/>
          <w:bCs/>
          <w:sz w:val="24"/>
          <w:szCs w:val="24"/>
        </w:rPr>
        <w:t>:</w:t>
      </w:r>
      <w:r w:rsidRPr="0093235F">
        <w:rPr>
          <w:rFonts w:ascii="Arial" w:hAnsi="Arial" w:cs="Arial"/>
          <w:bCs/>
          <w:sz w:val="24"/>
          <w:szCs w:val="24"/>
        </w:rPr>
        <w:t xml:space="preserve">  </w:t>
      </w:r>
      <w:r w:rsidRPr="002563C7">
        <w:rPr>
          <w:rFonts w:ascii="Arial" w:eastAsia="SimSun" w:hAnsi="Arial" w:cs="Arial"/>
          <w:sz w:val="24"/>
          <w:szCs w:val="24"/>
          <w:lang w:eastAsia="zh-CN"/>
        </w:rPr>
        <w:t xml:space="preserve">G30; G32; L25; M40 </w:t>
      </w:r>
    </w:p>
    <w:p w14:paraId="5234A9B6" w14:textId="77777777" w:rsidR="0093235F" w:rsidRPr="0093235F" w:rsidRDefault="0093235F" w:rsidP="0093235F">
      <w:pPr>
        <w:spacing w:after="0" w:line="360" w:lineRule="auto"/>
        <w:jc w:val="both"/>
        <w:rPr>
          <w:rFonts w:ascii="Arial" w:hAnsi="Arial" w:cs="Arial"/>
          <w:bCs/>
          <w:sz w:val="24"/>
          <w:szCs w:val="24"/>
        </w:rPr>
      </w:pPr>
    </w:p>
    <w:p w14:paraId="495F7B4A" w14:textId="77777777" w:rsidR="004E32E2" w:rsidRDefault="004E32E2" w:rsidP="004E32E2">
      <w:pPr>
        <w:spacing w:after="0" w:line="360" w:lineRule="auto"/>
        <w:jc w:val="both"/>
        <w:rPr>
          <w:rFonts w:ascii="Arial" w:hAnsi="Arial" w:cs="Arial"/>
          <w:bCs/>
          <w:sz w:val="24"/>
          <w:szCs w:val="24"/>
        </w:rPr>
      </w:pPr>
    </w:p>
    <w:p w14:paraId="614C7657" w14:textId="77777777" w:rsidR="004E32E2" w:rsidRDefault="004E32E2" w:rsidP="004E32E2">
      <w:pPr>
        <w:spacing w:after="0" w:line="360" w:lineRule="auto"/>
        <w:jc w:val="both"/>
        <w:rPr>
          <w:rFonts w:ascii="Arial" w:hAnsi="Arial" w:cs="Arial"/>
          <w:bCs/>
          <w:sz w:val="24"/>
          <w:szCs w:val="24"/>
        </w:rPr>
      </w:pPr>
    </w:p>
    <w:p w14:paraId="5ED569B0" w14:textId="77777777" w:rsidR="00F52374" w:rsidRDefault="00F52374" w:rsidP="004E32E2">
      <w:pPr>
        <w:spacing w:after="0" w:line="360" w:lineRule="auto"/>
        <w:jc w:val="both"/>
        <w:rPr>
          <w:rFonts w:ascii="Arial" w:hAnsi="Arial" w:cs="Arial"/>
          <w:bCs/>
          <w:sz w:val="24"/>
          <w:szCs w:val="24"/>
        </w:rPr>
      </w:pPr>
    </w:p>
    <w:p w14:paraId="3C445F3A" w14:textId="77777777" w:rsidR="00F52374" w:rsidRDefault="00F52374" w:rsidP="004E32E2">
      <w:pPr>
        <w:spacing w:after="0" w:line="360" w:lineRule="auto"/>
        <w:jc w:val="both"/>
        <w:rPr>
          <w:rFonts w:ascii="Arial" w:hAnsi="Arial" w:cs="Arial"/>
          <w:bCs/>
          <w:sz w:val="24"/>
          <w:szCs w:val="24"/>
        </w:rPr>
      </w:pPr>
    </w:p>
    <w:p w14:paraId="7FCC7BEF" w14:textId="77777777" w:rsidR="00FD4BB4" w:rsidRDefault="00FD4BB4" w:rsidP="004E32E2">
      <w:pPr>
        <w:spacing w:after="0" w:line="360" w:lineRule="auto"/>
        <w:jc w:val="both"/>
        <w:rPr>
          <w:rFonts w:ascii="Arial" w:hAnsi="Arial" w:cs="Arial"/>
          <w:bCs/>
          <w:sz w:val="24"/>
          <w:szCs w:val="24"/>
        </w:rPr>
      </w:pPr>
    </w:p>
    <w:p w14:paraId="5012E16C" w14:textId="77777777" w:rsidR="00864E1C" w:rsidRDefault="00864E1C" w:rsidP="004E32E2">
      <w:pPr>
        <w:spacing w:after="0" w:line="360" w:lineRule="auto"/>
        <w:jc w:val="both"/>
        <w:rPr>
          <w:rFonts w:ascii="Arial" w:hAnsi="Arial" w:cs="Arial"/>
          <w:bCs/>
          <w:sz w:val="24"/>
          <w:szCs w:val="24"/>
        </w:rPr>
      </w:pPr>
    </w:p>
    <w:p w14:paraId="7F5EC386" w14:textId="77777777" w:rsidR="00864E1C" w:rsidRDefault="00864E1C" w:rsidP="004E32E2">
      <w:pPr>
        <w:spacing w:after="0" w:line="360" w:lineRule="auto"/>
        <w:jc w:val="both"/>
        <w:rPr>
          <w:rFonts w:ascii="Arial" w:hAnsi="Arial" w:cs="Arial"/>
          <w:bCs/>
          <w:sz w:val="24"/>
          <w:szCs w:val="24"/>
        </w:rPr>
      </w:pPr>
    </w:p>
    <w:p w14:paraId="486A9B65" w14:textId="77777777" w:rsidR="00AC5B0A" w:rsidRDefault="00AC5B0A" w:rsidP="004E32E2">
      <w:pPr>
        <w:spacing w:after="0" w:line="360" w:lineRule="auto"/>
        <w:jc w:val="both"/>
        <w:rPr>
          <w:rFonts w:ascii="Arial" w:hAnsi="Arial" w:cs="Arial"/>
          <w:bCs/>
          <w:sz w:val="24"/>
          <w:szCs w:val="24"/>
        </w:rPr>
      </w:pPr>
    </w:p>
    <w:p w14:paraId="3CD854F9" w14:textId="77777777" w:rsidR="00AC5B0A" w:rsidRDefault="00AC5B0A" w:rsidP="004E32E2">
      <w:pPr>
        <w:spacing w:after="0" w:line="360" w:lineRule="auto"/>
        <w:jc w:val="both"/>
        <w:rPr>
          <w:rFonts w:ascii="Arial" w:hAnsi="Arial" w:cs="Arial"/>
          <w:bCs/>
          <w:sz w:val="24"/>
          <w:szCs w:val="24"/>
        </w:rPr>
      </w:pPr>
    </w:p>
    <w:p w14:paraId="4D64D23A" w14:textId="77777777" w:rsidR="004E32E2" w:rsidRDefault="004E32E2" w:rsidP="004E32E2">
      <w:pPr>
        <w:spacing w:after="0" w:line="360" w:lineRule="auto"/>
        <w:jc w:val="both"/>
        <w:rPr>
          <w:rFonts w:ascii="Arial" w:hAnsi="Arial" w:cs="Arial"/>
          <w:bCs/>
          <w:sz w:val="24"/>
          <w:szCs w:val="24"/>
        </w:rPr>
      </w:pPr>
    </w:p>
    <w:p w14:paraId="3D678D6C" w14:textId="77777777" w:rsidR="004F00F6" w:rsidRPr="00AD0A7E" w:rsidRDefault="004F00F6" w:rsidP="004E32E2">
      <w:pPr>
        <w:pStyle w:val="ListParagraph"/>
        <w:numPr>
          <w:ilvl w:val="0"/>
          <w:numId w:val="1"/>
        </w:numPr>
        <w:spacing w:after="0" w:line="360" w:lineRule="auto"/>
        <w:jc w:val="both"/>
        <w:rPr>
          <w:rFonts w:ascii="Arial" w:hAnsi="Arial" w:cs="Arial"/>
          <w:b/>
          <w:bCs/>
          <w:sz w:val="24"/>
          <w:szCs w:val="24"/>
          <w:lang w:val="en-US"/>
        </w:rPr>
      </w:pPr>
      <w:r w:rsidRPr="00AD0A7E">
        <w:rPr>
          <w:rFonts w:ascii="Arial" w:hAnsi="Arial" w:cs="Arial"/>
          <w:b/>
          <w:bCs/>
          <w:sz w:val="24"/>
          <w:szCs w:val="24"/>
          <w:lang w:val="en-US"/>
        </w:rPr>
        <w:t>Introduction</w:t>
      </w:r>
    </w:p>
    <w:p w14:paraId="48A94E96" w14:textId="735D6EB3" w:rsidR="004F00F6" w:rsidRPr="00E71A68" w:rsidRDefault="004F00F6" w:rsidP="004E32E2">
      <w:pPr>
        <w:spacing w:after="0" w:line="360" w:lineRule="auto"/>
        <w:ind w:firstLine="720"/>
        <w:jc w:val="both"/>
        <w:rPr>
          <w:rFonts w:ascii="Arial" w:hAnsi="Arial" w:cs="Arial"/>
          <w:sz w:val="24"/>
          <w:szCs w:val="24"/>
          <w:lang w:val="en-US"/>
        </w:rPr>
      </w:pPr>
      <w:bookmarkStart w:id="4" w:name="OLE_LINK6"/>
      <w:bookmarkStart w:id="5" w:name="OLE_LINK7"/>
      <w:bookmarkStart w:id="6" w:name="OLE_LINK8"/>
      <w:r w:rsidRPr="00D96911">
        <w:rPr>
          <w:rFonts w:ascii="Arial" w:hAnsi="Arial" w:cs="Arial"/>
          <w:sz w:val="24"/>
          <w:szCs w:val="24"/>
          <w:lang w:val="en-US"/>
        </w:rPr>
        <w:t>Existing literature ha</w:t>
      </w:r>
      <w:r w:rsidR="00F52374">
        <w:rPr>
          <w:rFonts w:ascii="Arial" w:hAnsi="Arial" w:cs="Arial"/>
          <w:sz w:val="24"/>
          <w:szCs w:val="24"/>
          <w:lang w:val="en-US"/>
        </w:rPr>
        <w:t>s</w:t>
      </w:r>
      <w:r w:rsidRPr="00D96911">
        <w:rPr>
          <w:rFonts w:ascii="Arial" w:hAnsi="Arial" w:cs="Arial"/>
          <w:sz w:val="24"/>
          <w:szCs w:val="24"/>
          <w:lang w:val="en-US"/>
        </w:rPr>
        <w:t xml:space="preserve"> made several theoretical and empirical contributions on the relationship between working capital manage</w:t>
      </w:r>
      <w:r w:rsidR="00DD3BD9">
        <w:rPr>
          <w:rFonts w:ascii="Arial" w:hAnsi="Arial" w:cs="Arial"/>
          <w:sz w:val="24"/>
          <w:szCs w:val="24"/>
          <w:lang w:val="en-US"/>
        </w:rPr>
        <w:t xml:space="preserve">ment (WCM) and </w:t>
      </w:r>
      <w:r w:rsidR="00C265FB">
        <w:rPr>
          <w:rFonts w:ascii="Arial" w:hAnsi="Arial" w:cs="Arial"/>
          <w:sz w:val="24"/>
          <w:szCs w:val="24"/>
          <w:lang w:val="en-US"/>
        </w:rPr>
        <w:t xml:space="preserve">financial </w:t>
      </w:r>
      <w:r w:rsidR="00DD3BD9">
        <w:rPr>
          <w:rFonts w:ascii="Arial" w:hAnsi="Arial" w:cs="Arial"/>
          <w:sz w:val="24"/>
          <w:szCs w:val="24"/>
          <w:lang w:val="en-US"/>
        </w:rPr>
        <w:t xml:space="preserve">performance </w:t>
      </w:r>
      <w:r w:rsidR="00131976">
        <w:rPr>
          <w:rFonts w:ascii="Arial" w:hAnsi="Arial" w:cs="Arial"/>
          <w:sz w:val="24"/>
          <w:szCs w:val="24"/>
          <w:lang w:val="en-US"/>
        </w:rPr>
        <w:fldChar w:fldCharType="begin" w:fldLock="1"/>
      </w:r>
      <w:r w:rsidR="00031DA3">
        <w:rPr>
          <w:rFonts w:ascii="Arial" w:hAnsi="Arial" w:cs="Arial"/>
          <w:sz w:val="24"/>
          <w:szCs w:val="24"/>
          <w:lang w:val="en-US"/>
        </w:rPr>
        <w:instrText>ADDIN CSL_CITATION { "citationItems" : [ { "id" : "ITEM-1", "itemData" : { "author" : [ { "dropping-particle" : "", "family" : "Deloof", "given" : "M.", "non-dropping-particle" : "", "parse-names" : false, "suffix" : "" } ], "container-title" : "Journal of Business Finance and Accounting", "id" : "ITEM-1", "issue" : "3", "issued" : { "date-parts" : [ [ "2003" ] ] }, "page" : "573-587", "title" : "Does working capital management affects profitability of Belgian firms?", "type" : "article-journal", "volume" : "30" }, "uris" : [ "http://www.mendeley.com/documents/?uuid=9f9f81c8-5bcc-4a89-862b-bc628865d8b6" ] }, { "id" : "ITEM-2", "itemData" : { "DOI" : "10.1016/j.jbusres.2013.07.012", "ISSN" : "01482963", "abstract" : "In this research, we have analyzed the impact of financial leverage on the relationship between working capital and company value and how financial constraints on access to financing affect this relationship. In addition, we have analyzed the relationship between working capital and company value. Using a sample of Brazilian public companies listed on BM&amp;FBOVESPA from 1995 through 2009, we found evidence for the following conclusions: an extra Real (R$) of investment in working capital is significantly less worth, on average, than an extra Real (R$) of investment in cash; and, on average, increasing the level of working capital at the beginning of a fiscal year reduces company value.", "author" : [ { "dropping-particle" : "", "family" : "Almeida", "given" : "Juliano Ribeiro", "non-dropping-particle" : "de", "parse-names" : false, "suffix" : "" }, { "dropping-particle" : "", "family" : "Eid", "given" : "William", "non-dropping-particle" : "", "parse-names" : false, "suffix" : "" } ], "container-title" : "Journal of Business Research", "id" : "ITEM-2", "issue" : "5", "issued" : { "date-parts" : [ [ "2014", "5" ] ] }, "page" : "924-934", "title" : "Access to finance, working capital management and company value: Evidences from Brazilian companies listed on BM&amp;FBOVESPA", "type" : "article-journal", "volume" : "67" }, "uris" : [ "http://www.mendeley.com/documents/?uuid=120a4606-2c6a-4fc7-bf77-7a6bf12d048a" ] }, { "id" : "ITEM-3", "itemData" : { "DOI" : "10.1111/j.1467-629X.2009.00331.x", "ISBN" : "1467-629X", "ISSN" : "1467-629X", "abstract" : "This paper analyses the determinants of Cash Conversion Cycle (CCC) for small- and medium-sized firms. It has been found that these firms have a target CCC length to which they attempt to converge, and that they try to adjust to their target quickly. The results also show that it is longer for older firms and companies with greater cash flows. In contrast, firms with more growth opportunities, and firms with higher leverage, investment in fixed assets and return on assets have a more aggressive working capital policy.", "author" : [ { "dropping-particle" : "", "family" : "Ba\u00f1os-Caballero", "given" : "Sonia", "non-dropping-particle" : "", "parse-names" : false, "suffix" : "" }, { "dropping-particle" : "", "family" : "Garc\u00eda-Teruel", "given" : "Pedro J.", "non-dropping-particle" : "", "parse-names" : false, "suffix" : "" }, { "dropping-particle" : "", "family" : "Mart\u00ednez-Solano", "given" : "Pedro", "non-dropping-particle" : "", "parse-names" : false, "suffix" : "" } ], "container-title" : "Accounting &amp; Finance", "id" : "ITEM-3", "issue" : "3", "issued" : { "date-parts" : [ [ "2010" ] ] }, "page" : "511-527", "title" : "Working capital management in SMEs", "type" : "article-journal", "volume" : "50" }, "uris" : [ "http://www.mendeley.com/documents/?uuid=1e53153e-bb94-4e67-8904-bcde6c5e6145" ] }, { "id" : "ITEM-4", "itemData" : { "DOI" : "10.1016/j.jcorpfin.2014.12.008", "ISSN" : "09291199", "abstract" : "a r t i c l e i n f o a b s t r a c t We examine the value effect of working capital management (WCM) for a large sample of US firms between 1982\u20132011. Our results indicate (i) the existence of an optimal level of working capital policy; and (ii) firms that converge to that optimal level (either by increasing or decreasing their investment in working capital) improve their stock and operating performance. We also doc-ument that corporate investment is the channel through which efficient WCM translates into su-perior firm performance. In particular, efficient WCM allows firms to redeploy underutilized corporate resources to higher-valued use, such as the funding of cash acquisitions.", "author" : [ { "dropping-particle" : "", "family" : "Aktas", "given" : "Nihat", "non-dropping-particle" : "", "parse-names" : false, "suffix" : "" }, { "dropping-particle" : "", "family" : "Croci", "given" : "Ettore", "non-dropping-particle" : "", "parse-names" : false, "suffix" : "" }, { "dropping-particle" : "", "family" : "Petmezas", "given" : "Dimitris", "non-dropping-particle" : "", "parse-names" : false, "suffix" : "" } ], "container-title" : "Journal of Corporate Finance", "id" : "ITEM-4", "issued" : { "date-parts" : [ [ "2015", "2" ] ] }, "page" : "98-113", "title" : "Is working capital management value-enhancing? Evidence from firm performance and investments", "type" : "article-journal", "volume" : "30" }, "uris" : [ "http://www.mendeley.com/documents/?uuid=8ff849cd-5b67-47b5-a152-f2c61ab6a878" ] } ], "mendeley" : { "formattedCitation" : "(Deloof, 2003; Ba\u00f1os-Caballero, Garc\u00eda-Teruel and Mart\u00ednez-Solano, 2010; de Almeida and Eid, 2014; Aktas, Croci and Petmezas, 2015)", "manualFormatting" : "(Aktas, Croci, and Petmezas 2015; Ba\u00f1os-Caballero, Garc\u00eda-Teruel, and Mart\u00ednez-Solano 2010; Deloof 2003; de Almeida and Eid 2014)", "plainTextFormattedCitation" : "(Deloof, 2003; Ba\u00f1os-Caballero, Garc\u00eda-Teruel and Mart\u00ednez-Solano, 2010; de Almeida and Eid, 2014; Aktas, Croci and Petmezas, 2015)", "previouslyFormattedCitation" : "(Deloof, 2003; Ba\u00f1os-Caballero, Garc\u00eda-Teruel and Mart\u00ednez-Solano, 2010; de Almeida and Eid, 2014; Aktas, Croci and Petmezas, 2015)" }, "properties" : {  }, "schema" : "https://github.com/citation-style-language/schema/raw/master/csl-citation.json" }</w:instrText>
      </w:r>
      <w:r w:rsidR="00131976">
        <w:rPr>
          <w:rFonts w:ascii="Arial" w:hAnsi="Arial" w:cs="Arial"/>
          <w:sz w:val="24"/>
          <w:szCs w:val="24"/>
          <w:lang w:val="en-US"/>
        </w:rPr>
        <w:fldChar w:fldCharType="separate"/>
      </w:r>
      <w:r w:rsidR="00131976" w:rsidRPr="00131976">
        <w:rPr>
          <w:rFonts w:ascii="Arial" w:hAnsi="Arial" w:cs="Arial"/>
          <w:noProof/>
          <w:sz w:val="24"/>
          <w:szCs w:val="24"/>
          <w:lang w:val="en-US"/>
        </w:rPr>
        <w:t>(</w:t>
      </w:r>
      <w:r w:rsidR="00901B16" w:rsidRPr="00131976">
        <w:rPr>
          <w:rFonts w:ascii="Arial" w:hAnsi="Arial" w:cs="Arial"/>
          <w:noProof/>
          <w:sz w:val="24"/>
          <w:szCs w:val="24"/>
          <w:lang w:val="en-US"/>
        </w:rPr>
        <w:t>Aktas, Croci, and Petmezas 2015</w:t>
      </w:r>
      <w:r w:rsidR="00901B16">
        <w:rPr>
          <w:rFonts w:ascii="Arial" w:hAnsi="Arial" w:cs="Arial"/>
          <w:noProof/>
          <w:sz w:val="24"/>
          <w:szCs w:val="24"/>
          <w:lang w:val="en-US"/>
        </w:rPr>
        <w:t xml:space="preserve">; </w:t>
      </w:r>
      <w:r w:rsidR="00901B16" w:rsidRPr="00131976">
        <w:rPr>
          <w:rFonts w:ascii="Arial" w:hAnsi="Arial" w:cs="Arial"/>
          <w:noProof/>
          <w:sz w:val="24"/>
          <w:szCs w:val="24"/>
          <w:lang w:val="en-US"/>
        </w:rPr>
        <w:t>Baños-Caballero, García-Teruel, and Martínez-Solano 2010</w:t>
      </w:r>
      <w:r w:rsidR="00901B16">
        <w:rPr>
          <w:rFonts w:ascii="Arial" w:hAnsi="Arial" w:cs="Arial"/>
          <w:noProof/>
          <w:sz w:val="24"/>
          <w:szCs w:val="24"/>
          <w:lang w:val="en-US"/>
        </w:rPr>
        <w:t xml:space="preserve">; </w:t>
      </w:r>
      <w:r w:rsidR="00131976" w:rsidRPr="00131976">
        <w:rPr>
          <w:rFonts w:ascii="Arial" w:hAnsi="Arial" w:cs="Arial"/>
          <w:noProof/>
          <w:sz w:val="24"/>
          <w:szCs w:val="24"/>
          <w:lang w:val="en-US"/>
        </w:rPr>
        <w:t>Deloof 2003; de Alm</w:t>
      </w:r>
      <w:r w:rsidR="00901B16">
        <w:rPr>
          <w:rFonts w:ascii="Arial" w:hAnsi="Arial" w:cs="Arial"/>
          <w:noProof/>
          <w:sz w:val="24"/>
          <w:szCs w:val="24"/>
          <w:lang w:val="en-US"/>
        </w:rPr>
        <w:t>eida and Eid 2014</w:t>
      </w:r>
      <w:r w:rsidR="00131976" w:rsidRPr="00131976">
        <w:rPr>
          <w:rFonts w:ascii="Arial" w:hAnsi="Arial" w:cs="Arial"/>
          <w:noProof/>
          <w:sz w:val="24"/>
          <w:szCs w:val="24"/>
          <w:lang w:val="en-US"/>
        </w:rPr>
        <w:t>)</w:t>
      </w:r>
      <w:r w:rsidR="00131976">
        <w:rPr>
          <w:rFonts w:ascii="Arial" w:hAnsi="Arial" w:cs="Arial"/>
          <w:sz w:val="24"/>
          <w:szCs w:val="24"/>
          <w:lang w:val="en-US"/>
        </w:rPr>
        <w:fldChar w:fldCharType="end"/>
      </w:r>
      <w:r w:rsidR="00901B16">
        <w:rPr>
          <w:rFonts w:ascii="Arial" w:hAnsi="Arial" w:cs="Arial"/>
          <w:sz w:val="24"/>
          <w:szCs w:val="24"/>
          <w:lang w:val="en-US"/>
        </w:rPr>
        <w:t>.</w:t>
      </w:r>
      <w:r w:rsidRPr="00D96911">
        <w:rPr>
          <w:rFonts w:ascii="Arial" w:hAnsi="Arial" w:cs="Arial"/>
          <w:sz w:val="24"/>
          <w:szCs w:val="24"/>
          <w:lang w:val="en-US"/>
        </w:rPr>
        <w:t xml:space="preserve"> Evidence from these studies supports the traditional belief that WCM affects firm’s </w:t>
      </w:r>
      <w:r w:rsidR="00C265FB">
        <w:rPr>
          <w:rFonts w:ascii="Arial" w:hAnsi="Arial" w:cs="Arial"/>
          <w:sz w:val="24"/>
          <w:szCs w:val="24"/>
          <w:lang w:val="en-US"/>
        </w:rPr>
        <w:t xml:space="preserve">financial </w:t>
      </w:r>
      <w:r w:rsidRPr="00D96911">
        <w:rPr>
          <w:rFonts w:ascii="Arial" w:hAnsi="Arial" w:cs="Arial"/>
          <w:sz w:val="24"/>
          <w:szCs w:val="24"/>
          <w:lang w:val="en-US"/>
        </w:rPr>
        <w:t xml:space="preserve">performance, risk and consequently its value </w:t>
      </w:r>
      <w:r w:rsidR="00DD3BD9">
        <w:rPr>
          <w:rFonts w:ascii="Arial" w:hAnsi="Arial" w:cs="Arial"/>
          <w:sz w:val="24"/>
          <w:szCs w:val="24"/>
          <w:lang w:val="en-US"/>
        </w:rPr>
        <w:fldChar w:fldCharType="begin" w:fldLock="1"/>
      </w:r>
      <w:r w:rsidR="00031DA3">
        <w:rPr>
          <w:rFonts w:ascii="Arial" w:hAnsi="Arial" w:cs="Arial"/>
          <w:sz w:val="24"/>
          <w:szCs w:val="24"/>
          <w:lang w:val="en-US"/>
        </w:rPr>
        <w:instrText>ADDIN CSL_CITATION { "citationItems" : [ { "id" : "ITEM-1", "itemData" : { "DOI" : "10.1016/j.jcorpfin.2014.12.008", "ISSN" : "09291199", "abstract" : "a r t i c l e i n f o a b s t r a c t We examine the value effect of working capital management (WCM) for a large sample of US firms between 1982\u20132011. Our results indicate (i) the existence of an optimal level of working capital policy; and (ii) firms that converge to that optimal level (either by increasing or decreasing their investment in working capital) improve their stock and operating performance. We also doc-ument that corporate investment is the channel through which efficient WCM translates into su-perior firm performance. In particular, efficient WCM allows firms to redeploy underutilized corporate resources to higher-valued use, such as the funding of cash acquisitions.", "author" : [ { "dropping-particle" : "", "family" : "Aktas", "given" : "Nihat", "non-dropping-particle" : "", "parse-names" : false, "suffix" : "" }, { "dropping-particle" : "", "family" : "Croci", "given" : "Ettore", "non-dropping-particle" : "", "parse-names" : false, "suffix" : "" }, { "dropping-particle" : "", "family" : "Petmezas", "given" : "Dimitris", "non-dropping-particle" : "", "parse-names" : false, "suffix" : "" } ], "container-title" : "Journal of Corporate Finance", "id" : "ITEM-1", "issued" : { "date-parts" : [ [ "2015", "2" ] ] }, "page" : "98-113", "title" : "Is working capital management value-enhancing? Evidence from firm performance and investments", "type" : "article-journal", "volume" : "30" }, "uris" : [ "http://www.mendeley.com/documents/?uuid=8ff849cd-5b67-47b5-a152-f2c61ab6a878" ] } ], "mendeley" : { "formattedCitation" : "(Aktas, Croci and Petmezas, 2015)", "manualFormatting" : "(Aktas et al., 2015)", "plainTextFormattedCitation" : "(Aktas, Croci and Petmezas, 2015)", "previouslyFormattedCitation" : "(Aktas, Croci and Petmezas, 2015)" }, "properties" : {  }, "schema" : "https://github.com/citation-style-language/schema/raw/master/csl-citation.json" }</w:instrText>
      </w:r>
      <w:r w:rsidR="00DD3BD9">
        <w:rPr>
          <w:rFonts w:ascii="Arial" w:hAnsi="Arial" w:cs="Arial"/>
          <w:sz w:val="24"/>
          <w:szCs w:val="24"/>
          <w:lang w:val="en-US"/>
        </w:rPr>
        <w:fldChar w:fldCharType="separate"/>
      </w:r>
      <w:r w:rsidR="00DD3BD9">
        <w:rPr>
          <w:rFonts w:ascii="Arial" w:hAnsi="Arial" w:cs="Arial"/>
          <w:noProof/>
          <w:sz w:val="24"/>
          <w:szCs w:val="24"/>
          <w:lang w:val="en-US"/>
        </w:rPr>
        <w:t xml:space="preserve">(Aktas et al., </w:t>
      </w:r>
      <w:r w:rsidR="00DD3BD9" w:rsidRPr="00DD3BD9">
        <w:rPr>
          <w:rFonts w:ascii="Arial" w:hAnsi="Arial" w:cs="Arial"/>
          <w:noProof/>
          <w:sz w:val="24"/>
          <w:szCs w:val="24"/>
          <w:lang w:val="en-US"/>
        </w:rPr>
        <w:t>2015)</w:t>
      </w:r>
      <w:r w:rsidR="00DD3BD9">
        <w:rPr>
          <w:rFonts w:ascii="Arial" w:hAnsi="Arial" w:cs="Arial"/>
          <w:sz w:val="24"/>
          <w:szCs w:val="24"/>
          <w:lang w:val="en-US"/>
        </w:rPr>
        <w:fldChar w:fldCharType="end"/>
      </w:r>
      <w:r w:rsidRPr="00D96911">
        <w:rPr>
          <w:rFonts w:ascii="Arial" w:hAnsi="Arial" w:cs="Arial"/>
          <w:sz w:val="24"/>
          <w:szCs w:val="24"/>
          <w:lang w:val="en-US"/>
        </w:rPr>
        <w:t>.</w:t>
      </w:r>
      <w:bookmarkEnd w:id="4"/>
      <w:bookmarkEnd w:id="5"/>
      <w:bookmarkEnd w:id="6"/>
      <w:r w:rsidR="00AD3E5C">
        <w:rPr>
          <w:rFonts w:ascii="Arial" w:hAnsi="Arial" w:cs="Arial"/>
          <w:sz w:val="24"/>
          <w:szCs w:val="24"/>
          <w:lang w:val="en-US"/>
        </w:rPr>
        <w:t xml:space="preserve"> </w:t>
      </w:r>
      <w:r w:rsidRPr="00E71A68">
        <w:rPr>
          <w:rFonts w:ascii="Arial" w:hAnsi="Arial" w:cs="Arial"/>
          <w:sz w:val="24"/>
          <w:szCs w:val="24"/>
          <w:lang w:val="en-US"/>
        </w:rPr>
        <w:t xml:space="preserve">Despite the strengths of these theoretical and empirical arguments, a number of empirical studies indicate that firms policies change over time as </w:t>
      </w:r>
      <w:r w:rsidR="00C265FB">
        <w:rPr>
          <w:rFonts w:ascii="Arial" w:hAnsi="Arial" w:cs="Arial"/>
          <w:sz w:val="24"/>
          <w:szCs w:val="24"/>
          <w:lang w:val="en-US"/>
        </w:rPr>
        <w:t>they</w:t>
      </w:r>
      <w:r w:rsidRPr="00E71A68">
        <w:rPr>
          <w:rFonts w:ascii="Arial" w:hAnsi="Arial" w:cs="Arial"/>
          <w:sz w:val="24"/>
          <w:szCs w:val="24"/>
          <w:lang w:val="en-US"/>
        </w:rPr>
        <w:t xml:space="preserve"> adjust to the demands of their environment</w:t>
      </w:r>
      <w:r w:rsidR="00DD3BD9" w:rsidRPr="00E71A68">
        <w:rPr>
          <w:rFonts w:ascii="Arial" w:hAnsi="Arial" w:cs="Arial"/>
          <w:sz w:val="24"/>
          <w:szCs w:val="24"/>
          <w:lang w:val="en-US"/>
        </w:rPr>
        <w:t xml:space="preserve"> </w:t>
      </w:r>
      <w:r w:rsidR="00901B16" w:rsidRPr="00E71A68">
        <w:rPr>
          <w:rFonts w:ascii="Arial" w:hAnsi="Arial" w:cs="Arial"/>
          <w:sz w:val="24"/>
          <w:szCs w:val="24"/>
          <w:lang w:val="en-US"/>
        </w:rPr>
        <w:fldChar w:fldCharType="begin" w:fldLock="1"/>
      </w:r>
      <w:r w:rsidR="00031DA3" w:rsidRPr="00E71A68">
        <w:rPr>
          <w:rFonts w:ascii="Arial" w:hAnsi="Arial" w:cs="Arial"/>
          <w:sz w:val="24"/>
          <w:szCs w:val="24"/>
          <w:lang w:val="en-US"/>
        </w:rPr>
        <w:instrText>ADDIN CSL_CITATION { "citationItems" : [ { "id" : "ITEM-1", "itemData" : { "DOI" : "10.1111/j.1467-8551.2008.00610.x", "ISBN" : "1045-3172", "ISSN" : "10453172", "PMID" : "36570761", "abstract" : "The aim of this paper is to extend the concept of dynamic capabilities. Building on prior research, we suggest that there are three levels of dynamic capabilities which are related to managers' perceptions of environmental dynamism. At the first level we find incremental dynamic capabilities: those capabilities concerned with the continuous improvement of the firm's resource base. At the second level are renewing dynamic capabilities, those that refresh, adapt and augment the resource base. These two levels are usually conceived as one and represent what the literature refers to as dynamic capabilities. At the third level are regenerative dynamic capabilities, which impact, not on the firm's resource base, but on its current set of dynamic capabilities, i.e. these change the way the firm changes its resource base. We explore the three levels using illustrative examples and conclude that regenerative dynamic capabilities may either come from inside the firm or enter the firm from outside, via changes in leadership or the intervention of external change agents.", "author" : [ { "dropping-particle" : "", "family" : "Ambrosini", "given" : "V\u00e9ronique", "non-dropping-particle" : "", "parse-names" : false, "suffix" : "" }, { "dropping-particle" : "", "family" : "Bowman", "given" : "Cliff", "non-dropping-particle" : "", "parse-names" : false, "suffix" : "" }, { "dropping-particle" : "", "family" : "Collier", "given" : "Nardine", "non-dropping-particle" : "", "parse-names" : false, "suffix" : "" } ], "container-title" : "British Journal of Management", "id" : "ITEM-1", "issue" : "SUPP. 1", "issued" : { "date-parts" : [ [ "2009" ] ] }, "title" : "Dynamic capabilities: An exploration of how firms renew their resource base", "type" : "article-journal", "volume" : "20" }, "uris" : [ "http://www.mendeley.com/documents/?uuid=aba6a340-4934-49ea-9650-89b0e2b6759a" ] }, { "id" : "ITEM-2", "itemData" : { "DOI" : "10.1016/j.mar.2016.02.001", "ISBN" : "1044-5005", "ISSN" : "10445005", "abstract" : "This article reviews the literature on the contingency theory of management accounting since the 1980 review by the author. It traces the expansion of this literature and critically outlines some of the major themes explored over this period. It argues that a mechanistic approach that will develop into a predictive mechanism for the design of optimal control systems is misguided. Rather the existence of management control 'packages' that are continually changing and developing requires studies that follow these changes over time and seek to explain the mechanisms that are obserdved to be deployed. The 'package' concept has not yet been taken seriously in the design of most empirical studies although this is fundamental to the design of future studies. That is, different elements of control system packages are developed quasi independently by different actors at different times and are only loosely co-ordinated. Full coordination is precluded for several reasons, most notably the rapid pace of change and the addition of new or amended systems at a faster rate than the coordination process can develop. It is suggested that the narrow view of contingency that relies on responses to generally applicable questionnaires needs to be replaced by a more tailored approach that takes into account the context of specific organizations.", "author" : [ { "dropping-particle" : "", "family" : "Otley", "given" : "David", "non-dropping-particle" : "", "parse-names" : false, "suffix" : "" } ], "container-title" : "Management Accounting Research", "id" : "ITEM-2", "issued" : { "date-parts" : [ [ "2016" ] ] }, "page" : "45-62", "publisher" : "Elsevier Ltd", "title" : "The contingency theory of management accounting and control: 1980-2014", "type" : "article-journal", "volume" : "31" }, "uris" : [ "http://www.mendeley.com/documents/?uuid=d4379323-e895-424d-b831-c3f54a7ae420" ] }, { "id" : "ITEM-3", "itemData" : { "DOI" : "10.1111/j.1467-8551.2007.00538.x", "ISBN" : "10453172\\r14678551", "ISSN" : "10453172", "PMID" : "31849061", "abstract" : "Drawing on the resource-based view of the firm, we examine how complexity, uncertainty and munificence in the general business environment moderate the association between a firm's stakeholder integration capability and its environmental strategy. Our data were drawn from 134 ski resorts in 12 countries in western Europe and North America. Our study finds that (1) an organizational capability of stakeholder integration is associated with a service firm's adoption of a proactive environmental strategy; (2) an uncertain business environment has a direct positive influence and a complex business environment has a direct negative influence on a firm's environmental strategy; and (3) complexity has a negative moderating influence on the relationship between a firm's stakeholder integration capability and its environmental strategy.", "author" : [ { "dropping-particle" : "", "family" : "Rueda-Manzanares", "given" : "Antonio", "non-dropping-particle" : "", "parse-names" : false, "suffix" : "" }, { "dropping-particle" : "", "family" : "Arag\u00f3n-Correa", "given" : "J. Alberto", "non-dropping-particle" : "", "parse-names" : false, "suffix" : "" }, { "dropping-particle" : "", "family" : "Sharma", "given" : "Sanjay", "non-dropping-particle" : "", "parse-names" : false, "suffix" : "" } ], "container-title" : "British Journal of Management", "id" : "ITEM-3", "issue" : "2", "issued" : { "date-parts" : [ [ "2008" ] ] }, "page" : "185-203", "title" : "The influence of stakeholders on the environmental strategy of service firms: The moderating effects of complexity, uncertainty and munificence", "type" : "article-journal", "volume" : "19" }, "uris" : [ "http://www.mendeley.com/documents/?uuid=8d16a3f9-cea8-4e02-ae4c-929a9ed298d5" ] } ], "mendeley" : { "formattedCitation" : "(Rueda-Manzanares, Arag\u00f3n-Correa and Sharma, 2008; Ambrosini, Bowman and Collier, 2009; Otley, 2016)", "plainTextFormattedCitation" : "(Rueda-Manzanares, Arag\u00f3n-Correa and Sharma, 2008; Ambrosini, Bowman and Collier, 2009; Otley, 2016)", "previouslyFormattedCitation" : "(Rueda-Manzanares, Arag\u00f3n-Correa and Sharma, 2008; Ambrosini, Bowman and Collier, 2009; Otley, 2016)" }, "properties" : {  }, "schema" : "https://github.com/citation-style-language/schema/raw/master/csl-citation.json" }</w:instrText>
      </w:r>
      <w:r w:rsidR="00901B16" w:rsidRPr="00E71A68">
        <w:rPr>
          <w:rFonts w:ascii="Arial" w:hAnsi="Arial" w:cs="Arial"/>
          <w:sz w:val="24"/>
          <w:szCs w:val="24"/>
          <w:lang w:val="en-US"/>
        </w:rPr>
        <w:fldChar w:fldCharType="separate"/>
      </w:r>
      <w:r w:rsidR="00031DA3" w:rsidRPr="00E71A68">
        <w:rPr>
          <w:rFonts w:ascii="Arial" w:hAnsi="Arial" w:cs="Arial"/>
          <w:noProof/>
          <w:sz w:val="24"/>
          <w:szCs w:val="24"/>
          <w:lang w:val="en-US"/>
        </w:rPr>
        <w:t xml:space="preserve">(Rueda-Manzanares, Aragón-Correa and Sharma, 2008; Ambrosini, Bowman and Collier, </w:t>
      </w:r>
      <w:r w:rsidR="00031DA3" w:rsidRPr="00E71A68">
        <w:rPr>
          <w:rFonts w:ascii="Arial" w:hAnsi="Arial" w:cs="Arial"/>
          <w:noProof/>
          <w:sz w:val="24"/>
          <w:szCs w:val="24"/>
          <w:lang w:val="en-US"/>
        </w:rPr>
        <w:lastRenderedPageBreak/>
        <w:t>2009; Otley, 2016)</w:t>
      </w:r>
      <w:r w:rsidR="00901B16" w:rsidRPr="00E71A68">
        <w:rPr>
          <w:rFonts w:ascii="Arial" w:hAnsi="Arial" w:cs="Arial"/>
          <w:sz w:val="24"/>
          <w:szCs w:val="24"/>
          <w:lang w:val="en-US"/>
        </w:rPr>
        <w:fldChar w:fldCharType="end"/>
      </w:r>
      <w:r w:rsidR="00901B16" w:rsidRPr="00E71A68">
        <w:rPr>
          <w:rFonts w:ascii="Arial" w:hAnsi="Arial" w:cs="Arial"/>
          <w:sz w:val="24"/>
          <w:szCs w:val="24"/>
          <w:lang w:val="en-US"/>
        </w:rPr>
        <w:t>,</w:t>
      </w:r>
      <w:r w:rsidRPr="00E71A68">
        <w:rPr>
          <w:rFonts w:ascii="Arial" w:hAnsi="Arial" w:cs="Arial"/>
          <w:sz w:val="24"/>
          <w:szCs w:val="24"/>
          <w:lang w:val="en-US"/>
        </w:rPr>
        <w:t xml:space="preserve"> their resource </w:t>
      </w:r>
      <w:r w:rsidR="00901B16" w:rsidRPr="00E71A68">
        <w:rPr>
          <w:rFonts w:ascii="Arial" w:hAnsi="Arial" w:cs="Arial"/>
          <w:sz w:val="24"/>
          <w:szCs w:val="24"/>
          <w:lang w:val="en-US"/>
        </w:rPr>
        <w:fldChar w:fldCharType="begin" w:fldLock="1"/>
      </w:r>
      <w:r w:rsidR="00031DA3" w:rsidRPr="00E71A68">
        <w:rPr>
          <w:rFonts w:ascii="Arial" w:hAnsi="Arial" w:cs="Arial"/>
          <w:sz w:val="24"/>
          <w:szCs w:val="24"/>
          <w:lang w:val="en-US"/>
        </w:rPr>
        <w:instrText>ADDIN CSL_CITATION { "citationItems" : [ { "id" : "ITEM-1", "itemData" : { "DOI" : "10.1111/j.1467-8551.2010.00711.x", "ISBN" : "1467-8551", "ISSN" : "10453172", "abstract" : "Examining the relationship between the competitive processes between and within organizations, we use selection system theory to link resource value to product value. We identify three dimensions (in-selection, before-selection and after-selection) that facilitate determining the value of resources based on the functions they serve in the competitive process between organizations in the product market, i.e. the external selection system. Subsequently, we use these dimensions to explore the competitive process among resource providers within organizations, i.e. the internal selection system. This leads us to formulate three propositions that link the competitive process within organizations to the competitive process between organizations. First, we posit that if resources that individually score highly along only one of the three dimensions are bundled, it is more likely that organizational performance can be sustained. Second, we argue that providers of resources scoring highly along multiple dimensions will enjoy stronger means of appropriation in comparison with providers of resources scoring highly along only one of the three dimensions. Third, we contend that the extent to which an organization endeavours to remunerate its resource providers based on their perceived contribution to the organization's competitive position has a curvilinear (inverted U-shaped) relationship with organizational performance. [ABSTRACT FROM AUTHOR]", "author" : [ { "dropping-particle" : "", "family" : "Mol", "given" : "Joeri M.", "non-dropping-particle" : "", "parse-names" : false, "suffix" : "" }, { "dropping-particle" : "", "family" : "Wijnberg", "given" : "Nachoem M.", "non-dropping-particle" : "", "parse-names" : false, "suffix" : "" } ], "container-title" : "British Journal of Management", "id" : "ITEM-1", "issue" : "1", "issued" : { "date-parts" : [ [ "2011" ] ] }, "page" : "77-95", "title" : "From Resources to Value and Back: Competition Between and Within Organizations", "type" : "article-journal", "volume" : "22" }, "uris" : [ "http://www.mendeley.com/documents/?uuid=dda9dd16-dfeb-44d5-8021-65d4a8ef0281" ] } ], "mendeley" : { "formattedCitation" : "(Mol and Wijnberg, 2011)", "plainTextFormattedCitation" : "(Mol and Wijnberg, 2011)", "previouslyFormattedCitation" : "(Mol and Wijnberg, 2011)" }, "properties" : {  }, "schema" : "https://github.com/citation-style-language/schema/raw/master/csl-citation.json" }</w:instrText>
      </w:r>
      <w:r w:rsidR="00901B16" w:rsidRPr="00E71A68">
        <w:rPr>
          <w:rFonts w:ascii="Arial" w:hAnsi="Arial" w:cs="Arial"/>
          <w:sz w:val="24"/>
          <w:szCs w:val="24"/>
          <w:lang w:val="en-US"/>
        </w:rPr>
        <w:fldChar w:fldCharType="separate"/>
      </w:r>
      <w:r w:rsidR="00031DA3" w:rsidRPr="00E71A68">
        <w:rPr>
          <w:rFonts w:ascii="Arial" w:hAnsi="Arial" w:cs="Arial"/>
          <w:noProof/>
          <w:sz w:val="24"/>
          <w:szCs w:val="24"/>
          <w:lang w:val="en-US"/>
        </w:rPr>
        <w:t>(Mol and Wijnberg, 2011)</w:t>
      </w:r>
      <w:r w:rsidR="00901B16" w:rsidRPr="00E71A68">
        <w:rPr>
          <w:rFonts w:ascii="Arial" w:hAnsi="Arial" w:cs="Arial"/>
          <w:sz w:val="24"/>
          <w:szCs w:val="24"/>
          <w:lang w:val="en-US"/>
        </w:rPr>
        <w:fldChar w:fldCharType="end"/>
      </w:r>
      <w:r w:rsidRPr="00E71A68">
        <w:rPr>
          <w:rFonts w:ascii="Arial" w:hAnsi="Arial" w:cs="Arial"/>
          <w:sz w:val="24"/>
          <w:szCs w:val="24"/>
        </w:rPr>
        <w:t xml:space="preserve"> </w:t>
      </w:r>
      <w:r w:rsidRPr="00E71A68">
        <w:rPr>
          <w:rFonts w:ascii="Arial" w:hAnsi="Arial" w:cs="Arial"/>
          <w:sz w:val="24"/>
          <w:szCs w:val="24"/>
          <w:lang w:val="en-US"/>
        </w:rPr>
        <w:t xml:space="preserve">and management capabilities </w:t>
      </w:r>
      <w:r w:rsidR="00901B16" w:rsidRPr="00E71A68">
        <w:rPr>
          <w:rFonts w:ascii="Arial" w:hAnsi="Arial" w:cs="Arial"/>
          <w:sz w:val="24"/>
          <w:szCs w:val="24"/>
          <w:lang w:val="en-US"/>
        </w:rPr>
        <w:fldChar w:fldCharType="begin" w:fldLock="1"/>
      </w:r>
      <w:r w:rsidR="00031DA3" w:rsidRPr="00E71A68">
        <w:rPr>
          <w:rFonts w:ascii="Arial" w:hAnsi="Arial" w:cs="Arial"/>
          <w:sz w:val="24"/>
          <w:szCs w:val="24"/>
          <w:lang w:val="en-US"/>
        </w:rPr>
        <w:instrText>ADDIN CSL_CITATION { "citationItems" : [ { "id" : "ITEM-1", "itemData" : { "DOI" : "10.1002/smj.2112", "ISBN" : "1097-0266", "ISSN" : "10970266", "PMID" : "31767271", "abstract" : "Like governance structure and alliance scope, partner selection may serve to safeguard firms\u2019 intellectual assets in R&amp;D alliances. We categorize potential alliance partners into friends, acquaintances, and strangers, depending on their previous alliance experience. Data on 1,159 R&amp;D alliances indicate that the more radical an alliance\u2019s innovation goals, the more likely it is that partners are friends rather than strangers. However, strangers are preferred to acquaintances, suggesting partner selection preferences are not transitive. Moreover, results suggest that firms use partner selection, governance structure, and alliance scope as substitute mechanisms to protect valuable technological assets from appropriation in R&amp;D alliances.", "author" : [ { "dropping-particle" : "", "family" : "Luo", "given" : "Xueming", "non-dropping-particle" : "", "parse-names" : false, "suffix" : "" }, { "dropping-particle" : "", "family" : "Kanuri", "given" : "Vamsi K.", "non-dropping-particle" : "", "parse-names" : false, "suffix" : "" }, { "dropping-particle" : "", "family" : "Andrews", "given" : "Michelle", "non-dropping-particle" : "", "parse-names" : false, "suffix" : "" } ], "container-title" : "Strategic Management Journal", "id" : "ITEM-1", "issue" : "4", "issued" : { "date-parts" : [ [ "2014" ] ] }, "page" : "492-511", "title" : "How does CEO tenure matter? the mediating role of firm-employee and firm-customer relationships", "type" : "article-journal", "volume" : "35" }, "uris" : [ "http://www.mendeley.com/documents/?uuid=3143708b-26e3-4232-a46a-54564fd08cff" ] } ], "mendeley" : { "formattedCitation" : "(Luo, Kanuri and Andrews, 2014)", "plainTextFormattedCitation" : "(Luo, Kanuri and Andrews, 2014)", "previouslyFormattedCitation" : "(Luo, Kanuri and Andrews, 2014)" }, "properties" : {  }, "schema" : "https://github.com/citation-style-language/schema/raw/master/csl-citation.json" }</w:instrText>
      </w:r>
      <w:r w:rsidR="00901B16" w:rsidRPr="00E71A68">
        <w:rPr>
          <w:rFonts w:ascii="Arial" w:hAnsi="Arial" w:cs="Arial"/>
          <w:sz w:val="24"/>
          <w:szCs w:val="24"/>
          <w:lang w:val="en-US"/>
        </w:rPr>
        <w:fldChar w:fldCharType="separate"/>
      </w:r>
      <w:r w:rsidR="00031DA3" w:rsidRPr="00E71A68">
        <w:rPr>
          <w:rFonts w:ascii="Arial" w:hAnsi="Arial" w:cs="Arial"/>
          <w:noProof/>
          <w:sz w:val="24"/>
          <w:szCs w:val="24"/>
          <w:lang w:val="en-US"/>
        </w:rPr>
        <w:t>(Luo, Kanuri and Andrews, 2014)</w:t>
      </w:r>
      <w:r w:rsidR="00901B16" w:rsidRPr="00E71A68">
        <w:rPr>
          <w:rFonts w:ascii="Arial" w:hAnsi="Arial" w:cs="Arial"/>
          <w:sz w:val="24"/>
          <w:szCs w:val="24"/>
          <w:lang w:val="en-US"/>
        </w:rPr>
        <w:fldChar w:fldCharType="end"/>
      </w:r>
      <w:bookmarkStart w:id="7" w:name="OLE_LINK59"/>
      <w:bookmarkStart w:id="8" w:name="OLE_LINK60"/>
      <w:r w:rsidRPr="00E71A68">
        <w:rPr>
          <w:rFonts w:ascii="Arial" w:hAnsi="Arial" w:cs="Arial"/>
          <w:sz w:val="24"/>
          <w:szCs w:val="24"/>
          <w:lang w:val="en-US"/>
        </w:rPr>
        <w:t xml:space="preserve"> </w:t>
      </w:r>
      <w:bookmarkEnd w:id="7"/>
      <w:bookmarkEnd w:id="8"/>
      <w:r w:rsidRPr="00E71A68">
        <w:rPr>
          <w:rFonts w:ascii="Arial" w:hAnsi="Arial" w:cs="Arial"/>
          <w:sz w:val="24"/>
          <w:szCs w:val="24"/>
          <w:lang w:val="en-US"/>
        </w:rPr>
        <w:t xml:space="preserve">with the view influencing </w:t>
      </w:r>
      <w:r w:rsidR="00C265FB">
        <w:rPr>
          <w:rFonts w:ascii="Arial" w:hAnsi="Arial" w:cs="Arial"/>
          <w:sz w:val="24"/>
          <w:szCs w:val="24"/>
          <w:lang w:val="en-US"/>
        </w:rPr>
        <w:t xml:space="preserve">their financial </w:t>
      </w:r>
      <w:r w:rsidRPr="00E71A68">
        <w:rPr>
          <w:rFonts w:ascii="Arial" w:hAnsi="Arial" w:cs="Arial"/>
          <w:sz w:val="24"/>
          <w:szCs w:val="24"/>
          <w:lang w:val="en-US"/>
        </w:rPr>
        <w:t>performance. For example, according to the structure-conduct-performance (SCP) model, the degree of concentration in the industry determines firm behaviour and p</w:t>
      </w:r>
      <w:r w:rsidR="00DD7F15" w:rsidRPr="00E71A68">
        <w:rPr>
          <w:rFonts w:ascii="Arial" w:hAnsi="Arial" w:cs="Arial"/>
          <w:sz w:val="24"/>
          <w:szCs w:val="24"/>
          <w:lang w:val="en-US"/>
        </w:rPr>
        <w:t>erformance</w:t>
      </w:r>
      <w:r w:rsidRPr="00E71A68">
        <w:rPr>
          <w:rFonts w:ascii="Arial" w:hAnsi="Arial" w:cs="Arial"/>
          <w:sz w:val="24"/>
          <w:szCs w:val="24"/>
          <w:lang w:val="en-US"/>
        </w:rPr>
        <w:t xml:space="preserve">. This is because higher concentration enables collusion between firms which leads to higher profits. It has </w:t>
      </w:r>
      <w:r w:rsidR="00C265FB">
        <w:rPr>
          <w:rFonts w:ascii="Arial" w:hAnsi="Arial" w:cs="Arial"/>
          <w:sz w:val="24"/>
          <w:szCs w:val="24"/>
          <w:lang w:val="en-US"/>
        </w:rPr>
        <w:t xml:space="preserve">also </w:t>
      </w:r>
      <w:r w:rsidRPr="00E71A68">
        <w:rPr>
          <w:rFonts w:ascii="Arial" w:hAnsi="Arial" w:cs="Arial"/>
          <w:sz w:val="24"/>
          <w:szCs w:val="24"/>
          <w:lang w:val="en-US"/>
        </w:rPr>
        <w:t>been suggested that industrial characteristics such as industry concentration often results in barriers to entry for new firms and enable established firms to share industry profits a</w:t>
      </w:r>
      <w:r w:rsidR="00DD7F15" w:rsidRPr="00E71A68">
        <w:rPr>
          <w:rFonts w:ascii="Arial" w:hAnsi="Arial" w:cs="Arial"/>
          <w:sz w:val="24"/>
          <w:szCs w:val="24"/>
          <w:lang w:val="en-US"/>
        </w:rPr>
        <w:t>mong themselves</w:t>
      </w:r>
      <w:r w:rsidR="00162EFC" w:rsidRPr="00E71A68">
        <w:rPr>
          <w:rFonts w:ascii="Arial" w:hAnsi="Arial" w:cs="Arial"/>
          <w:sz w:val="24"/>
          <w:szCs w:val="24"/>
          <w:lang w:val="en-US"/>
        </w:rPr>
        <w:t xml:space="preserve"> </w:t>
      </w:r>
      <w:r w:rsidR="00162EFC" w:rsidRPr="00E71A68">
        <w:rPr>
          <w:rFonts w:ascii="Arial" w:hAnsi="Arial" w:cs="Arial"/>
          <w:sz w:val="24"/>
          <w:szCs w:val="24"/>
          <w:lang w:val="en-US"/>
        </w:rPr>
        <w:fldChar w:fldCharType="begin" w:fldLock="1"/>
      </w:r>
      <w:r w:rsidR="00031DA3" w:rsidRPr="00E71A68">
        <w:rPr>
          <w:rFonts w:ascii="Arial" w:hAnsi="Arial" w:cs="Arial"/>
          <w:sz w:val="24"/>
          <w:szCs w:val="24"/>
          <w:lang w:val="en-US"/>
        </w:rPr>
        <w:instrText>ADDIN CSL_CITATION { "citationItems" : [ { "id" : "ITEM-1", "itemData" : { "DOI" : "10.1002/jsc.540", "ISBN" : "9780684841489", "ISSN" : "1086-1718", "PMID" : "7079897", "abstract" : "Advises managers on analyzing their competitors in terms of the industry structure, forecasting trends, developing competitive strategies, and selecting new industries to enter", "author" : [ { "dropping-particle" : "", "family" : "Porter", "given" : "Michael E", "non-dropping-particle" : "", "parse-names" : false, "suffix" : "" } ], "container-title" : "Techniques for Analyzing Industries and Competitors : with a New Introduction", "id" : "ITEM-1", "issued" : { "date-parts" : [ [ "1980" ] ] }, "page" : "1-422", "title" : "Competitive Strategy", "type" : "article" }, "uris" : [ "http://www.mendeley.com/documents/?uuid=a90761f5-a535-41ce-8120-e4b421194ef1" ] } ], "mendeley" : { "formattedCitation" : "(Porter, 1980)", "plainTextFormattedCitation" : "(Porter, 1980)", "previouslyFormattedCitation" : "(Porter, 1980)" }, "properties" : {  }, "schema" : "https://github.com/citation-style-language/schema/raw/master/csl-citation.json" }</w:instrText>
      </w:r>
      <w:r w:rsidR="00162EFC" w:rsidRPr="00E71A68">
        <w:rPr>
          <w:rFonts w:ascii="Arial" w:hAnsi="Arial" w:cs="Arial"/>
          <w:sz w:val="24"/>
          <w:szCs w:val="24"/>
          <w:lang w:val="en-US"/>
        </w:rPr>
        <w:fldChar w:fldCharType="separate"/>
      </w:r>
      <w:r w:rsidR="00031DA3" w:rsidRPr="00E71A68">
        <w:rPr>
          <w:rFonts w:ascii="Arial" w:hAnsi="Arial" w:cs="Arial"/>
          <w:noProof/>
          <w:sz w:val="24"/>
          <w:szCs w:val="24"/>
          <w:lang w:val="en-US"/>
        </w:rPr>
        <w:t>(Porter, 1980)</w:t>
      </w:r>
      <w:r w:rsidR="00162EFC" w:rsidRPr="00E71A68">
        <w:rPr>
          <w:rFonts w:ascii="Arial" w:hAnsi="Arial" w:cs="Arial"/>
          <w:sz w:val="24"/>
          <w:szCs w:val="24"/>
          <w:lang w:val="en-US"/>
        </w:rPr>
        <w:fldChar w:fldCharType="end"/>
      </w:r>
      <w:r w:rsidR="00162EFC" w:rsidRPr="00E71A68">
        <w:rPr>
          <w:rFonts w:ascii="Arial" w:hAnsi="Arial" w:cs="Arial"/>
          <w:sz w:val="24"/>
          <w:szCs w:val="24"/>
          <w:lang w:val="en-US"/>
        </w:rPr>
        <w:t>.</w:t>
      </w:r>
    </w:p>
    <w:p w14:paraId="2238AEFB" w14:textId="7719E4B8" w:rsidR="004F00F6" w:rsidRPr="00E71A68" w:rsidRDefault="00AD3E5C" w:rsidP="004E32E2">
      <w:pPr>
        <w:spacing w:after="0" w:line="360" w:lineRule="auto"/>
        <w:ind w:firstLine="720"/>
        <w:jc w:val="both"/>
        <w:rPr>
          <w:rFonts w:ascii="Arial" w:hAnsi="Arial" w:cs="Arial"/>
          <w:sz w:val="24"/>
          <w:szCs w:val="24"/>
          <w:lang w:val="en-US"/>
        </w:rPr>
      </w:pPr>
      <w:r>
        <w:rPr>
          <w:rFonts w:ascii="Arial" w:hAnsi="Arial" w:cs="Arial"/>
          <w:sz w:val="24"/>
          <w:szCs w:val="24"/>
          <w:lang w:val="en-US"/>
        </w:rPr>
        <w:t>This study extends existing studies by investigating</w:t>
      </w:r>
      <w:r w:rsidR="004F00F6" w:rsidRPr="00E71A68">
        <w:rPr>
          <w:rFonts w:ascii="Arial" w:hAnsi="Arial" w:cs="Arial"/>
          <w:sz w:val="24"/>
          <w:szCs w:val="24"/>
          <w:lang w:val="en-US"/>
        </w:rPr>
        <w:t xml:space="preserve"> </w:t>
      </w:r>
      <w:r w:rsidR="00D90164">
        <w:rPr>
          <w:rFonts w:ascii="Arial" w:hAnsi="Arial" w:cs="Arial"/>
          <w:sz w:val="24"/>
          <w:szCs w:val="24"/>
          <w:lang w:val="en-US"/>
        </w:rPr>
        <w:t>how the impact</w:t>
      </w:r>
      <w:r>
        <w:rPr>
          <w:rFonts w:ascii="Arial" w:hAnsi="Arial" w:cs="Arial"/>
          <w:sz w:val="24"/>
          <w:szCs w:val="24"/>
          <w:lang w:val="en-US"/>
        </w:rPr>
        <w:t xml:space="preserve"> of WCM on financial performance </w:t>
      </w:r>
      <w:r w:rsidR="004F00F6" w:rsidRPr="00E71A68">
        <w:rPr>
          <w:rFonts w:ascii="Arial" w:hAnsi="Arial" w:cs="Arial"/>
          <w:sz w:val="24"/>
          <w:szCs w:val="24"/>
          <w:lang w:val="en-US"/>
        </w:rPr>
        <w:t xml:space="preserve">is likely to change to reflect a number of contingent factors such as environment, resources and management capability of the firm as postulated </w:t>
      </w:r>
      <w:r w:rsidR="0048215F">
        <w:rPr>
          <w:rFonts w:ascii="Arial" w:hAnsi="Arial" w:cs="Arial"/>
          <w:sz w:val="24"/>
          <w:szCs w:val="24"/>
          <w:lang w:val="en-US"/>
        </w:rPr>
        <w:t xml:space="preserve">by </w:t>
      </w:r>
      <w:r w:rsidR="0048215F" w:rsidRPr="00E71A68">
        <w:rPr>
          <w:rFonts w:ascii="Arial" w:hAnsi="Arial" w:cs="Arial"/>
          <w:sz w:val="24"/>
          <w:szCs w:val="24"/>
          <w:lang w:val="en-US"/>
        </w:rPr>
        <w:lastRenderedPageBreak/>
        <w:t>contingency</w:t>
      </w:r>
      <w:r w:rsidR="004F00F6" w:rsidRPr="00E71A68">
        <w:rPr>
          <w:rFonts w:ascii="Arial" w:hAnsi="Arial" w:cs="Arial"/>
          <w:sz w:val="24"/>
          <w:szCs w:val="24"/>
          <w:lang w:val="en-US"/>
        </w:rPr>
        <w:t xml:space="preserve"> </w:t>
      </w:r>
      <w:r w:rsidR="00C265FB">
        <w:rPr>
          <w:rFonts w:ascii="Arial" w:hAnsi="Arial" w:cs="Arial"/>
          <w:sz w:val="24"/>
          <w:szCs w:val="24"/>
          <w:lang w:val="en-US"/>
        </w:rPr>
        <w:t>theory</w:t>
      </w:r>
      <w:r w:rsidR="004F00F6" w:rsidRPr="00E71A68">
        <w:rPr>
          <w:rFonts w:ascii="Arial" w:hAnsi="Arial" w:cs="Arial"/>
          <w:sz w:val="24"/>
          <w:szCs w:val="24"/>
          <w:lang w:val="en-US"/>
        </w:rPr>
        <w:t>.</w:t>
      </w:r>
      <w:bookmarkStart w:id="9" w:name="OLE_LINK29"/>
      <w:bookmarkStart w:id="10" w:name="OLE_LINK30"/>
      <w:r w:rsidR="004F00F6" w:rsidRPr="00E71A68">
        <w:rPr>
          <w:rFonts w:ascii="Arial" w:hAnsi="Arial" w:cs="Arial"/>
          <w:sz w:val="24"/>
          <w:szCs w:val="24"/>
          <w:lang w:val="en-US"/>
        </w:rPr>
        <w:t xml:space="preserve"> </w:t>
      </w:r>
      <w:r w:rsidR="004F00F6" w:rsidRPr="00E71A68">
        <w:rPr>
          <w:rFonts w:ascii="Arial" w:hAnsi="Arial" w:cs="Arial"/>
          <w:bCs/>
          <w:iCs/>
          <w:sz w:val="24"/>
          <w:szCs w:val="24"/>
        </w:rPr>
        <w:t>This extension is essential for three reasons</w:t>
      </w:r>
      <w:bookmarkEnd w:id="9"/>
      <w:bookmarkEnd w:id="10"/>
      <w:r w:rsidR="004F00F6" w:rsidRPr="00E71A68">
        <w:rPr>
          <w:rFonts w:ascii="Arial" w:hAnsi="Arial" w:cs="Arial"/>
          <w:bCs/>
          <w:iCs/>
          <w:sz w:val="24"/>
          <w:szCs w:val="24"/>
        </w:rPr>
        <w:t xml:space="preserve">. First, </w:t>
      </w:r>
      <w:r w:rsidR="004F00F6" w:rsidRPr="00E71A68">
        <w:rPr>
          <w:rFonts w:ascii="Arial" w:hAnsi="Arial" w:cs="Arial"/>
          <w:bCs/>
          <w:iCs/>
          <w:sz w:val="24"/>
          <w:szCs w:val="24"/>
          <w:lang w:val="en-US"/>
        </w:rPr>
        <w:t>recent studies</w:t>
      </w:r>
      <w:r w:rsidR="00162EFC" w:rsidRPr="00E71A68">
        <w:rPr>
          <w:rFonts w:ascii="Arial" w:hAnsi="Arial" w:cs="Arial"/>
          <w:bCs/>
          <w:iCs/>
          <w:sz w:val="24"/>
          <w:szCs w:val="24"/>
          <w:lang w:val="en-US"/>
        </w:rPr>
        <w:t xml:space="preserve"> </w:t>
      </w:r>
      <w:r w:rsidR="00162EFC" w:rsidRPr="00E71A68">
        <w:rPr>
          <w:rFonts w:ascii="Arial" w:hAnsi="Arial" w:cs="Arial"/>
          <w:bCs/>
          <w:iCs/>
          <w:sz w:val="24"/>
          <w:szCs w:val="24"/>
          <w:lang w:val="en-US"/>
        </w:rPr>
        <w:fldChar w:fldCharType="begin" w:fldLock="1"/>
      </w:r>
      <w:r w:rsidR="00031DA3" w:rsidRPr="00E71A68">
        <w:rPr>
          <w:rFonts w:ascii="Arial" w:hAnsi="Arial" w:cs="Arial"/>
          <w:bCs/>
          <w:iCs/>
          <w:sz w:val="24"/>
          <w:szCs w:val="24"/>
          <w:lang w:val="en-US"/>
        </w:rPr>
        <w:instrText>ADDIN CSL_CITATION { "citationItems" : [ { "id" : "ITEM-1", "itemData" : { "DOI" : "10.1016/j.jbusres.2012.03.015", "ISSN" : "01482963", "abstract" : "This paper investigates the use of trade credit by firms from countries that have recently undergone a financial crisis. The paper examines a sample of 147 firms from Argentina, Brazil, and Turkey and finds empirical evidence that supports the substitution hypothesis between bank credit and trade credit. The paper also supports the matching hypothesis in which firms that delay collection from their customers then demand long-term trade credit from their suppliers. Specifically, the paper finds that firms that present high levels of days-of-sales outstanding and a high probability of insolvency use more trade credit and that these relations are enhanced during a financial crisis. Results suggest that credit constraints during a financial crisis cause firms holding high levels of accounts receivable to postpone payments to suppliers. Specifically, high-risk firms postpone suppliers' payments to avoid insolvency. These results can be interpreted as evidence of a credit contagion in the supply chain.", "author" : [ { "dropping-particle" : "", "family" : "Bastos", "given" : "Rafael", "non-dropping-particle" : "", "parse-names" : false, "suffix" : "" }, { "dropping-particle" : "", "family" : "Pindado", "given" : "Julio", "non-dropping-particle" : "", "parse-names" : false, "suffix" : "" } ], "container-title" : "Journal of Business Research", "id" : "ITEM-1", "issue" : "5", "issued" : { "date-parts" : [ [ "2013" ] ] }, "page" : "614-620", "title" : "Trade credit during a financial crisis: A panel data analysis", "type" : "article-journal", "volume" : "66" }, "uris" : [ "http://www.mendeley.com/documents/?uuid=698cfebf-6f36-3c72-846c-47f8b2d8562b" ] }, { "id" : "ITEM-2", "itemData" : { "DOI" : "10.1016/j.ribaf.2014.03.005", "ISBN" : "0275-5319", "ISSN" : "02755319", "abstract" : "The recent economic downturn of 2007-2008 has brought renewed focus on working capital policies. In this paper we examine the role of business cycles on the working capital-profitability relationship using a sample of Finnish listed companies over an 18-year period. We find the impact of business cycle on the working capital-profitability relationship is more pronounced in economic downturns relative to economic booms. We further show that the significance of efficient inventory management and accounts receivables conversion periods increase during periods of economic downturns. Our results demonstrate that active working capital management matters and, thus, should be included in firms' financial planning. ?? 2014 Elsevier B.V.", "author" : [ { "dropping-particle" : "", "family" : "Enqvist", "given" : "Julius", "non-dropping-particle" : "", "parse-names" : false, "suffix" : "" }, { "dropping-particle" : "", "family" : "Graham", "given" : "Michael", "non-dropping-particle" : "", "parse-names" : false, "suffix" : "" }, { "dropping-particle" : "", "family" : "Nikkinen", "given" : "Jussi", "non-dropping-particle" : "", "parse-names" : false, "suffix" : "" } ], "container-title" : "Research in International Business and Finance", "id" : "ITEM-2", "issued" : { "date-parts" : [ [ "2014" ] ] }, "title" : "The impact of working capital management on firm profitability in different business cycles: Evidence from Finland", "type" : "article-journal", "volume" : "32" }, "uris" : [ "http://www.mendeley.com/documents/?uuid=f35eccb9-42ed-3a62-ac13-a64be6d2811e" ] } ], "mendeley" : { "formattedCitation" : "(Bastos and Pindado, 2013; Enqvist, Graham and Nikkinen, 2014)", "plainTextFormattedCitation" : "(Bastos and Pindado, 2013; Enqvist, Graham and Nikkinen, 2014)", "previouslyFormattedCitation" : "(Bastos and Pindado, 2013; Enqvist, Graham and Nikkinen, 2014)" }, "properties" : {  }, "schema" : "https://github.com/citation-style-language/schema/raw/master/csl-citation.json" }</w:instrText>
      </w:r>
      <w:r w:rsidR="00162EFC" w:rsidRPr="00E71A68">
        <w:rPr>
          <w:rFonts w:ascii="Arial" w:hAnsi="Arial" w:cs="Arial"/>
          <w:bCs/>
          <w:iCs/>
          <w:sz w:val="24"/>
          <w:szCs w:val="24"/>
          <w:lang w:val="en-US"/>
        </w:rPr>
        <w:fldChar w:fldCharType="separate"/>
      </w:r>
      <w:r w:rsidR="00031DA3" w:rsidRPr="00E71A68">
        <w:rPr>
          <w:rFonts w:ascii="Arial" w:hAnsi="Arial" w:cs="Arial"/>
          <w:bCs/>
          <w:iCs/>
          <w:noProof/>
          <w:sz w:val="24"/>
          <w:szCs w:val="24"/>
          <w:lang w:val="en-US"/>
        </w:rPr>
        <w:t>(Bastos and Pindado, 2013; Enqvist, Graham and Nikkinen, 2014)</w:t>
      </w:r>
      <w:r w:rsidR="00162EFC" w:rsidRPr="00E71A68">
        <w:rPr>
          <w:rFonts w:ascii="Arial" w:hAnsi="Arial" w:cs="Arial"/>
          <w:bCs/>
          <w:iCs/>
          <w:sz w:val="24"/>
          <w:szCs w:val="24"/>
          <w:lang w:val="en-US"/>
        </w:rPr>
        <w:fldChar w:fldCharType="end"/>
      </w:r>
      <w:r w:rsidR="004F00F6" w:rsidRPr="00E71A68">
        <w:rPr>
          <w:rFonts w:ascii="Arial" w:hAnsi="Arial" w:cs="Arial"/>
          <w:bCs/>
          <w:iCs/>
          <w:sz w:val="24"/>
          <w:szCs w:val="24"/>
          <w:lang w:val="en-US"/>
        </w:rPr>
        <w:t xml:space="preserve"> have shown that firms cash and liquidity management change to reflect </w:t>
      </w:r>
      <w:bookmarkStart w:id="11" w:name="OLE_LINK44"/>
      <w:bookmarkStart w:id="12" w:name="OLE_LINK45"/>
      <w:r w:rsidR="004F00F6" w:rsidRPr="00E71A68">
        <w:rPr>
          <w:rFonts w:ascii="Arial" w:hAnsi="Arial" w:cs="Arial"/>
          <w:bCs/>
          <w:iCs/>
          <w:sz w:val="24"/>
          <w:szCs w:val="24"/>
          <w:lang w:val="en-US"/>
        </w:rPr>
        <w:t>external environmental conditions</w:t>
      </w:r>
      <w:bookmarkEnd w:id="11"/>
      <w:bookmarkEnd w:id="12"/>
      <w:r w:rsidR="004F00F6" w:rsidRPr="00E71A68">
        <w:rPr>
          <w:rFonts w:ascii="Arial" w:hAnsi="Arial" w:cs="Arial"/>
          <w:bCs/>
          <w:iCs/>
          <w:sz w:val="24"/>
          <w:szCs w:val="24"/>
          <w:lang w:val="en-US"/>
        </w:rPr>
        <w:t xml:space="preserve">. According to </w:t>
      </w:r>
      <w:r w:rsidR="00162EFC" w:rsidRPr="00E71A68">
        <w:rPr>
          <w:rFonts w:ascii="Arial" w:hAnsi="Arial" w:cs="Arial"/>
          <w:bCs/>
          <w:iCs/>
          <w:sz w:val="24"/>
          <w:szCs w:val="24"/>
          <w:lang w:val="en-US"/>
        </w:rPr>
        <w:fldChar w:fldCharType="begin" w:fldLock="1"/>
      </w:r>
      <w:r w:rsidR="00031DA3" w:rsidRPr="00E71A68">
        <w:rPr>
          <w:rFonts w:ascii="Arial" w:hAnsi="Arial" w:cs="Arial"/>
          <w:bCs/>
          <w:iCs/>
          <w:sz w:val="24"/>
          <w:szCs w:val="24"/>
          <w:lang w:val="en-US"/>
        </w:rPr>
        <w:instrText>ADDIN CSL_CITATION { "citationItems" : [ { "id" : "ITEM-1", "itemData" : { "DOI" : "10.1016/j.mar.2016.02.001", "ISBN" : "1044-5005", "ISSN" : "10445005", "abstract" : "This article reviews the literature on the contingency theory of management accounting since the 1980 review by the author. It traces the expansion of this literature and critically outlines some of the major themes explored over this period. It argues that a mechanistic approach that will develop into a predictive mechanism for the design of optimal control systems is misguided. Rather the existence of management control 'packages' that are continually changing and developing requires studies that follow these changes over time and seek to explain the mechanisms that are obserdved to be deployed. The 'package' concept has not yet been taken seriously in the design of most empirical studies although this is fundamental to the design of future studies. That is, different elements of control system packages are developed quasi independently by different actors at different times and are only loosely co-ordinated. Full coordination is precluded for several reasons, most notably the rapid pace of change and the addition of new or amended systems at a faster rate than the coordination process can develop. It is suggested that the narrow view of contingency that relies on responses to generally applicable questionnaires needs to be replaced by a more tailored approach that takes into account the context of specific organizations.", "author" : [ { "dropping-particle" : "", "family" : "Otley", "given" : "David", "non-dropping-particle" : "", "parse-names" : false, "suffix" : "" } ], "container-title" : "Management Accounting Research", "id" : "ITEM-1", "issued" : { "date-parts" : [ [ "2016" ] ] }, "page" : "45-62", "publisher" : "Elsevier Ltd", "title" : "The contingency theory of management accounting and control: 1980-2014", "type" : "article-journal", "volume" : "31" }, "uris" : [ "http://www.mendeley.com/documents/?uuid=d4379323-e895-424d-b831-c3f54a7ae420" ] } ], "mendeley" : { "formattedCitation" : "(Otley, 2016)", "manualFormatting" : "Otley (2016)", "plainTextFormattedCitation" : "(Otley, 2016)", "previouslyFormattedCitation" : "(Otley, 2016)" }, "properties" : {  }, "schema" : "https://github.com/citation-style-language/schema/raw/master/csl-citation.json" }</w:instrText>
      </w:r>
      <w:r w:rsidR="00162EFC" w:rsidRPr="00E71A68">
        <w:rPr>
          <w:rFonts w:ascii="Arial" w:hAnsi="Arial" w:cs="Arial"/>
          <w:bCs/>
          <w:iCs/>
          <w:sz w:val="24"/>
          <w:szCs w:val="24"/>
          <w:lang w:val="en-US"/>
        </w:rPr>
        <w:fldChar w:fldCharType="separate"/>
      </w:r>
      <w:r w:rsidR="00162EFC" w:rsidRPr="00E71A68">
        <w:rPr>
          <w:rFonts w:ascii="Arial" w:hAnsi="Arial" w:cs="Arial"/>
          <w:bCs/>
          <w:iCs/>
          <w:noProof/>
          <w:sz w:val="24"/>
          <w:szCs w:val="24"/>
          <w:lang w:val="en-US"/>
        </w:rPr>
        <w:t>Otley (2016)</w:t>
      </w:r>
      <w:r w:rsidR="00162EFC" w:rsidRPr="00E71A68">
        <w:rPr>
          <w:rFonts w:ascii="Arial" w:hAnsi="Arial" w:cs="Arial"/>
          <w:bCs/>
          <w:iCs/>
          <w:sz w:val="24"/>
          <w:szCs w:val="24"/>
          <w:lang w:val="en-US"/>
        </w:rPr>
        <w:fldChar w:fldCharType="end"/>
      </w:r>
      <w:r w:rsidR="00162EFC" w:rsidRPr="00E71A68">
        <w:rPr>
          <w:rFonts w:ascii="Arial" w:hAnsi="Arial" w:cs="Arial"/>
          <w:bCs/>
          <w:iCs/>
          <w:sz w:val="24"/>
          <w:szCs w:val="24"/>
          <w:lang w:val="en-US"/>
        </w:rPr>
        <w:t>,</w:t>
      </w:r>
      <w:r w:rsidR="004F00F6" w:rsidRPr="00E71A68">
        <w:rPr>
          <w:rFonts w:ascii="Arial" w:hAnsi="Arial" w:cs="Arial"/>
          <w:bCs/>
          <w:iCs/>
          <w:sz w:val="24"/>
          <w:szCs w:val="24"/>
          <w:lang w:val="en-US"/>
        </w:rPr>
        <w:t xml:space="preserve"> firms tend to adopt more formal control and traditional management control systems to enhance their performance during a period of adverse external environmental conditions than </w:t>
      </w:r>
      <w:r w:rsidR="00AC0B6B" w:rsidRPr="00E71A68">
        <w:rPr>
          <w:rFonts w:ascii="Arial" w:hAnsi="Arial" w:cs="Arial"/>
          <w:bCs/>
          <w:iCs/>
          <w:sz w:val="24"/>
          <w:szCs w:val="24"/>
          <w:lang w:val="en-US"/>
        </w:rPr>
        <w:t>favorable</w:t>
      </w:r>
      <w:r w:rsidR="004F00F6" w:rsidRPr="00E71A68">
        <w:rPr>
          <w:rFonts w:ascii="Arial" w:hAnsi="Arial" w:cs="Arial"/>
          <w:bCs/>
          <w:iCs/>
          <w:sz w:val="24"/>
          <w:szCs w:val="24"/>
          <w:lang w:val="en-US"/>
        </w:rPr>
        <w:t xml:space="preserve"> conditions</w:t>
      </w:r>
      <w:bookmarkStart w:id="13" w:name="OLE_LINK67"/>
      <w:bookmarkStart w:id="14" w:name="OLE_LINK68"/>
      <w:bookmarkStart w:id="15" w:name="OLE_LINK69"/>
      <w:r w:rsidR="004F00F6" w:rsidRPr="00E71A68">
        <w:rPr>
          <w:rFonts w:ascii="Arial" w:hAnsi="Arial" w:cs="Arial"/>
          <w:bCs/>
          <w:iCs/>
          <w:sz w:val="24"/>
          <w:szCs w:val="24"/>
          <w:lang w:val="en-US"/>
        </w:rPr>
        <w:t xml:space="preserve">. </w:t>
      </w:r>
      <w:bookmarkStart w:id="16" w:name="OLE_LINK61"/>
      <w:bookmarkStart w:id="17" w:name="OLE_LINK62"/>
      <w:bookmarkStart w:id="18" w:name="OLE_LINK63"/>
      <w:r w:rsidR="004F00F6" w:rsidRPr="00E71A68">
        <w:rPr>
          <w:rFonts w:ascii="Arial" w:hAnsi="Arial" w:cs="Arial"/>
          <w:bCs/>
          <w:iCs/>
          <w:sz w:val="24"/>
          <w:szCs w:val="24"/>
        </w:rPr>
        <w:t xml:space="preserve">According to </w:t>
      </w:r>
      <w:r w:rsidR="004F00F6" w:rsidRPr="00E71A68">
        <w:rPr>
          <w:rFonts w:ascii="Arial" w:hAnsi="Arial" w:cs="Arial"/>
          <w:bCs/>
          <w:iCs/>
          <w:sz w:val="24"/>
          <w:szCs w:val="24"/>
        </w:rPr>
        <w:fldChar w:fldCharType="begin" w:fldLock="1"/>
      </w:r>
      <w:r w:rsidR="00031DA3" w:rsidRPr="00E71A68">
        <w:rPr>
          <w:rFonts w:ascii="Arial" w:hAnsi="Arial" w:cs="Arial"/>
          <w:bCs/>
          <w:iCs/>
          <w:sz w:val="24"/>
          <w:szCs w:val="24"/>
        </w:rPr>
        <w:instrText>ADDIN CSL_CITATION { "citationItems" : [ { "id" : "ITEM-1", "itemData" : { "DOI" : "10.1111/j.1467-629X.2011.00452.x", "ISSN" : "08105391", "abstract" : "We investigate whether the 2008 financial crisis had an impact on companies\u2019 trade credit, and whether changes in trade credit mitigated the crisis\u2019s impact on firm profitability. We document that the availability of trade credit decreased, and that this decline is more pronounced, the higher the companies\u2019 pre-crisis reliance on short-term debt. We further report evidence that the redistribution hypothesis holds during crisis periods. Finally, we show that the crisis had a neg- ative impact on company performance, but that this impact was lower (greater) for firms that report an increase in trade receivables (payables) in crisis compared to pre-crisis periods", "author" : [ { "dropping-particle" : "", "family" : "Kestens", "given" : "Katrien", "non-dropping-particle" : "", "parse-names" : false, "suffix" : "" }, { "dropping-particle" : "", "family" : "Cauwenberge", "given" : "Philippe", "non-dropping-particle" : "Van", "parse-names" : false, "suffix" : "" }, { "dropping-particle" : "Vander", "family" : "Bauwhede", "given" : "Heidi", "non-dropping-particle" : "", "parse-names" : false, "suffix" : "" } ], "container-title" : "Accounting and Finance", "id" : "ITEM-1", "issue" : "4", "issued" : { "date-parts" : [ [ "2012" ] ] }, "page" : "1125-1151", "title" : "Trade credit and company performance during the 2008 financial crisis", "type" : "article-journal", "volume" : "52" }, "uris" : [ "http://www.mendeley.com/documents/?uuid=41200933-d537-4c56-99c6-16fdb0d894da" ] } ], "mendeley" : { "formattedCitation" : "(Kestens, Van Cauwenberge and Bauwhede, 2012)", "manualFormatting" : "Kestens et al. (2012)", "plainTextFormattedCitation" : "(Kestens, Van Cauwenberge and Bauwhede, 2012)", "previouslyFormattedCitation" : "(Kestens, Van Cauwenberge and Bauwhede, 2012)" }, "properties" : {  }, "schema" : "https://github.com/citation-style-language/schema/raw/master/csl-citation.json" }</w:instrText>
      </w:r>
      <w:r w:rsidR="004F00F6" w:rsidRPr="00E71A68">
        <w:rPr>
          <w:rFonts w:ascii="Arial" w:hAnsi="Arial" w:cs="Arial"/>
          <w:bCs/>
          <w:iCs/>
          <w:sz w:val="24"/>
          <w:szCs w:val="24"/>
        </w:rPr>
        <w:fldChar w:fldCharType="separate"/>
      </w:r>
      <w:bookmarkStart w:id="19" w:name="OLE_LINK43"/>
      <w:bookmarkStart w:id="20" w:name="OLE_LINK42"/>
      <w:bookmarkStart w:id="21" w:name="OLE_LINK41"/>
      <w:r w:rsidR="004F00F6" w:rsidRPr="00E71A68">
        <w:rPr>
          <w:rFonts w:ascii="Arial" w:hAnsi="Arial" w:cs="Arial"/>
          <w:bCs/>
          <w:iCs/>
          <w:noProof/>
          <w:sz w:val="24"/>
          <w:szCs w:val="24"/>
        </w:rPr>
        <w:t>Kestens et al. (2012</w:t>
      </w:r>
      <w:bookmarkEnd w:id="19"/>
      <w:bookmarkEnd w:id="20"/>
      <w:bookmarkEnd w:id="21"/>
      <w:r w:rsidR="004F00F6" w:rsidRPr="00E71A68">
        <w:rPr>
          <w:rFonts w:ascii="Arial" w:hAnsi="Arial" w:cs="Arial"/>
          <w:bCs/>
          <w:iCs/>
          <w:noProof/>
          <w:sz w:val="24"/>
          <w:szCs w:val="24"/>
        </w:rPr>
        <w:t>)</w:t>
      </w:r>
      <w:r w:rsidR="004F00F6" w:rsidRPr="00E71A68">
        <w:rPr>
          <w:rFonts w:ascii="Arial" w:hAnsi="Arial" w:cs="Arial"/>
          <w:sz w:val="24"/>
          <w:szCs w:val="24"/>
        </w:rPr>
        <w:fldChar w:fldCharType="end"/>
      </w:r>
      <w:r w:rsidR="004F00F6" w:rsidRPr="00E71A68">
        <w:rPr>
          <w:rFonts w:ascii="Arial" w:hAnsi="Arial" w:cs="Arial"/>
          <w:bCs/>
          <w:iCs/>
          <w:sz w:val="24"/>
          <w:szCs w:val="24"/>
        </w:rPr>
        <w:t xml:space="preserve">, during a period economic meltdown, firms that use suppliers credit are in better position to keep their operational activities stable and are less likely to experience liquidity constraints. On the other hand, firms that reach a helping hand to their customers by increasing trade credit offered are more likely to achieve additional sales </w:t>
      </w:r>
      <w:r w:rsidR="004F00F6" w:rsidRPr="00E71A68">
        <w:rPr>
          <w:rFonts w:ascii="Arial" w:hAnsi="Arial" w:cs="Arial"/>
          <w:bCs/>
          <w:iCs/>
          <w:sz w:val="24"/>
          <w:szCs w:val="24"/>
        </w:rPr>
        <w:fldChar w:fldCharType="begin" w:fldLock="1"/>
      </w:r>
      <w:r w:rsidR="00031DA3" w:rsidRPr="00E71A68">
        <w:rPr>
          <w:rFonts w:ascii="Arial" w:hAnsi="Arial" w:cs="Arial"/>
          <w:bCs/>
          <w:iCs/>
          <w:sz w:val="24"/>
          <w:szCs w:val="24"/>
        </w:rPr>
        <w:instrText>ADDIN CSL_CITATION { "citationItems" : [ { "id" : "ITEM-1", "itemData" : { "DOI" : "10.2307/1912790", "ISSN" : "00129682", "abstract" : "This paper estimates a model specifying the determinants of trade credit in the United States total manufacturing sector for the postwar period. Trade credit is considered as a selling expense, like advertising outlays. Its determinants are derived from a profit maximization model in which the price, volume of output, and the selling costs are all variables to be jointly determined. The opportunity or user cost of accounts receivable and accounts payable are specified and the response of these accounts as well as net trade credit to changes in various monetary decision variables is examined.", "author" : [ { "dropping-particle" : "", "family" : "Nadiri", "given" : "M I", "non-dropping-particle" : "", "parse-names" : false, "suffix" : "" } ], "container-title" : "Econometrica (pre-1986)", "id" : "ITEM-1", "issue" : "3", "issued" : { "date-parts" : [ [ "1969" ] ] }, "page" : "408", "title" : "The Determinants of Trade Credit in the U.s. Total Manufacturing Sector", "type" : "article-journal", "volume" : "37" }, "uris" : [ "http://www.mendeley.com/documents/?uuid=6731a6e4-2ac4-4000-9dec-a020f95c8d82" ] }, { "id" : "ITEM-2", "itemData" : { "DOI" : "10.1111/j.1467-629X.2009.00331.x", "ISBN" : "1467-629X", "ISSN" : "1467-629X", "abstract" : "This paper analyses the determinants of Cash Conversion Cycle (CCC) for small- and medium-sized firms. It has been found that these firms have a target CCC length to which they attempt to converge, and that they try to adjust to their target quickly. The results also show that it is longer for older firms and companies with greater cash flows. In contrast, firms with more growth opportunities, and firms with higher leverage, investment in fixed assets and return on assets have a more aggressive working capital policy.", "author" : [ { "dropping-particle" : "", "family" : "Ba\u00f1os-Caballero", "given" : "Sonia", "non-dropping-particle" : "", "parse-names" : false, "suffix" : "" }, { "dropping-particle" : "", "family" : "Garc\u00eda-Teruel", "given" : "Pedro J.", "non-dropping-particle" : "", "parse-names" : false, "suffix" : "" }, { "dropping-particle" : "", "family" : "Mart\u00ednez-Solano", "given" : "Pedro", "non-dropping-particle" : "", "parse-names" : false, "suffix" : "" } ], "container-title" : "Accounting &amp; Finance", "id" : "ITEM-2", "issue" : "3", "issued" : { "date-parts" : [ [ "2010" ] ] }, "page" : "511-527", "title" : "Working capital management in SMEs", "type" : "article-journal", "volume" : "50" }, "uris" : [ "http://www.mendeley.com/documents/?uuid=1e53153e-bb94-4e67-8904-bcde6c5e6145" ] } ], "mendeley" : { "formattedCitation" : "(Nadiri, 1969; Ba\u00f1os-Caballero, Garc\u00eda-Teruel and Mart\u00ednez-Solano, 2010)", "plainTextFormattedCitation" : "(Nadiri, 1969; Ba\u00f1os-Caballero, Garc\u00eda-Teruel and Mart\u00ednez-Solano, 2010)", "previouslyFormattedCitation" : "(Nadiri, 1969; Ba\u00f1os-Caballero, Garc\u00eda-Teruel and Mart\u00ednez-Solano, 2010)" }, "properties" : {  }, "schema" : "https://github.com/citation-style-language/schema/raw/master/csl-citation.json" }</w:instrText>
      </w:r>
      <w:r w:rsidR="004F00F6" w:rsidRPr="00E71A68">
        <w:rPr>
          <w:rFonts w:ascii="Arial" w:hAnsi="Arial" w:cs="Arial"/>
          <w:bCs/>
          <w:iCs/>
          <w:sz w:val="24"/>
          <w:szCs w:val="24"/>
        </w:rPr>
        <w:fldChar w:fldCharType="separate"/>
      </w:r>
      <w:r w:rsidR="00031DA3" w:rsidRPr="00E71A68">
        <w:rPr>
          <w:rFonts w:ascii="Arial" w:hAnsi="Arial" w:cs="Arial"/>
          <w:bCs/>
          <w:iCs/>
          <w:noProof/>
          <w:sz w:val="24"/>
          <w:szCs w:val="24"/>
        </w:rPr>
        <w:t xml:space="preserve">(Nadiri, 1969; Baños-Caballero, García-Teruel and Martínez-Solano, </w:t>
      </w:r>
      <w:r w:rsidR="00031DA3" w:rsidRPr="00E71A68">
        <w:rPr>
          <w:rFonts w:ascii="Arial" w:hAnsi="Arial" w:cs="Arial"/>
          <w:bCs/>
          <w:iCs/>
          <w:noProof/>
          <w:sz w:val="24"/>
          <w:szCs w:val="24"/>
        </w:rPr>
        <w:lastRenderedPageBreak/>
        <w:t>2010)</w:t>
      </w:r>
      <w:r w:rsidR="004F00F6" w:rsidRPr="00E71A68">
        <w:rPr>
          <w:rFonts w:ascii="Arial" w:hAnsi="Arial" w:cs="Arial"/>
          <w:sz w:val="24"/>
          <w:szCs w:val="24"/>
        </w:rPr>
        <w:fldChar w:fldCharType="end"/>
      </w:r>
      <w:r w:rsidR="004F00F6" w:rsidRPr="00E71A68">
        <w:rPr>
          <w:rFonts w:ascii="Arial" w:hAnsi="Arial" w:cs="Arial"/>
          <w:bCs/>
          <w:iCs/>
          <w:sz w:val="24"/>
          <w:szCs w:val="24"/>
          <w:lang w:val="en-US"/>
        </w:rPr>
        <w:t>.</w:t>
      </w:r>
      <w:bookmarkEnd w:id="13"/>
      <w:bookmarkEnd w:id="14"/>
      <w:bookmarkEnd w:id="15"/>
      <w:r w:rsidR="004F00F6" w:rsidRPr="00E71A68">
        <w:rPr>
          <w:rFonts w:ascii="Arial" w:hAnsi="Arial" w:cs="Arial"/>
          <w:bCs/>
          <w:iCs/>
          <w:sz w:val="24"/>
          <w:szCs w:val="24"/>
        </w:rPr>
        <w:t xml:space="preserve"> </w:t>
      </w:r>
      <w:bookmarkStart w:id="22" w:name="OLE_LINK90"/>
      <w:bookmarkStart w:id="23" w:name="OLE_LINK91"/>
      <w:bookmarkStart w:id="24" w:name="OLE_LINK92"/>
      <w:bookmarkStart w:id="25" w:name="OLE_LINK93"/>
      <w:bookmarkStart w:id="26" w:name="OLE_LINK5"/>
      <w:bookmarkStart w:id="27" w:name="OLE_LINK9"/>
      <w:bookmarkEnd w:id="16"/>
      <w:bookmarkEnd w:id="17"/>
      <w:bookmarkEnd w:id="18"/>
      <w:r w:rsidR="004F00F6" w:rsidRPr="00E71A68">
        <w:rPr>
          <w:rFonts w:ascii="Arial" w:hAnsi="Arial" w:cs="Arial"/>
          <w:bCs/>
          <w:iCs/>
          <w:sz w:val="24"/>
          <w:szCs w:val="24"/>
        </w:rPr>
        <w:t xml:space="preserve">Building on prior evidence, we determine how </w:t>
      </w:r>
      <w:r w:rsidR="004F00F6" w:rsidRPr="00E71A68">
        <w:rPr>
          <w:rFonts w:ascii="Arial" w:hAnsi="Arial" w:cs="Arial"/>
          <w:bCs/>
          <w:iCs/>
          <w:sz w:val="24"/>
          <w:szCs w:val="24"/>
          <w:lang w:val="en-US"/>
        </w:rPr>
        <w:t xml:space="preserve">external environment impacts on </w:t>
      </w:r>
      <w:r w:rsidR="004F00F6" w:rsidRPr="00E71A68">
        <w:rPr>
          <w:rFonts w:ascii="Arial" w:hAnsi="Arial" w:cs="Arial"/>
          <w:bCs/>
          <w:iCs/>
          <w:sz w:val="24"/>
          <w:szCs w:val="24"/>
        </w:rPr>
        <w:t xml:space="preserve">working capital performance relationship. Specifically, </w:t>
      </w:r>
      <w:r w:rsidR="004F00F6" w:rsidRPr="00E71A68">
        <w:rPr>
          <w:rFonts w:ascii="Arial" w:hAnsi="Arial" w:cs="Arial"/>
          <w:bCs/>
          <w:iCs/>
          <w:sz w:val="24"/>
          <w:szCs w:val="24"/>
          <w:lang w:val="en-US"/>
        </w:rPr>
        <w:t xml:space="preserve">positive </w:t>
      </w:r>
      <w:r w:rsidR="004F00F6" w:rsidRPr="00E71A68">
        <w:rPr>
          <w:rFonts w:ascii="Arial" w:hAnsi="Arial" w:cs="Arial"/>
          <w:bCs/>
          <w:iCs/>
          <w:sz w:val="24"/>
          <w:szCs w:val="24"/>
        </w:rPr>
        <w:t>increase in investment in working capital</w:t>
      </w:r>
      <w:r w:rsidR="004F00F6" w:rsidRPr="00E71A68">
        <w:rPr>
          <w:rFonts w:ascii="Arial" w:hAnsi="Arial" w:cs="Arial"/>
          <w:bCs/>
          <w:iCs/>
          <w:sz w:val="24"/>
          <w:szCs w:val="24"/>
          <w:lang w:val="en-US"/>
        </w:rPr>
        <w:t xml:space="preserve"> is likely to act as insurance during times of </w:t>
      </w:r>
      <w:r w:rsidR="004F00F6" w:rsidRPr="00E71A68">
        <w:rPr>
          <w:rFonts w:ascii="Arial" w:hAnsi="Arial" w:cs="Arial"/>
          <w:bCs/>
          <w:iCs/>
          <w:sz w:val="24"/>
          <w:szCs w:val="24"/>
        </w:rPr>
        <w:t>economic downturns. Therefore, firms are less likely to be affected by the adverse effect of holding a substantial level of working capital investment during economic downturns relative to economic booms.</w:t>
      </w:r>
      <w:bookmarkEnd w:id="22"/>
      <w:bookmarkEnd w:id="23"/>
      <w:bookmarkEnd w:id="24"/>
      <w:bookmarkEnd w:id="25"/>
      <w:bookmarkEnd w:id="26"/>
      <w:bookmarkEnd w:id="27"/>
    </w:p>
    <w:p w14:paraId="739D8888" w14:textId="77777777" w:rsidR="004F00F6" w:rsidRPr="00E71A68" w:rsidRDefault="004F00F6" w:rsidP="004E32E2">
      <w:pPr>
        <w:spacing w:after="0" w:line="360" w:lineRule="auto"/>
        <w:ind w:firstLine="720"/>
        <w:jc w:val="both"/>
        <w:rPr>
          <w:rFonts w:ascii="Arial" w:hAnsi="Arial" w:cs="Arial"/>
          <w:sz w:val="24"/>
          <w:szCs w:val="24"/>
          <w:lang w:val="en-US"/>
        </w:rPr>
      </w:pPr>
      <w:r w:rsidRPr="00E71A68">
        <w:rPr>
          <w:rFonts w:ascii="Arial" w:hAnsi="Arial" w:cs="Arial"/>
          <w:sz w:val="24"/>
          <w:szCs w:val="24"/>
          <w:lang w:val="en-US"/>
        </w:rPr>
        <w:t>Second, evidence from the resource-based v</w:t>
      </w:r>
      <w:r w:rsidR="00F55BCC">
        <w:rPr>
          <w:rFonts w:ascii="Arial" w:hAnsi="Arial" w:cs="Arial"/>
          <w:sz w:val="24"/>
          <w:szCs w:val="24"/>
          <w:lang w:val="en-US"/>
        </w:rPr>
        <w:t xml:space="preserve">iew </w:t>
      </w:r>
      <w:r w:rsidRPr="00E71A68">
        <w:rPr>
          <w:rFonts w:ascii="Arial" w:hAnsi="Arial" w:cs="Arial"/>
          <w:sz w:val="24"/>
          <w:szCs w:val="24"/>
          <w:lang w:val="en-US"/>
        </w:rPr>
        <w:t xml:space="preserve">theory of the firm, suggests that </w:t>
      </w:r>
      <w:r w:rsidRPr="00E71A68">
        <w:rPr>
          <w:rFonts w:ascii="Arial" w:hAnsi="Arial" w:cs="Arial"/>
          <w:sz w:val="24"/>
          <w:szCs w:val="24"/>
        </w:rPr>
        <w:t xml:space="preserve">resource heterogeneity produces performance differentials among competing firms </w:t>
      </w:r>
      <w:r w:rsidR="00162EFC" w:rsidRPr="00E71A68">
        <w:rPr>
          <w:rFonts w:ascii="Arial" w:hAnsi="Arial" w:cs="Arial"/>
          <w:sz w:val="24"/>
          <w:szCs w:val="24"/>
        </w:rPr>
        <w:fldChar w:fldCharType="begin" w:fldLock="1"/>
      </w:r>
      <w:r w:rsidR="00031DA3" w:rsidRPr="00E71A68">
        <w:rPr>
          <w:rFonts w:ascii="Arial" w:hAnsi="Arial" w:cs="Arial"/>
          <w:sz w:val="24"/>
          <w:szCs w:val="24"/>
        </w:rPr>
        <w:instrText>ADDIN CSL_CITATION { "citationItems" : [ { "id" : "ITEM-1", "itemData" : { "DOI" : "10.1093/icc/dtn008", "ISBN" : "0960-6491", "ISSN" : "09606491", "PMID" : "32966714", "abstract" : "The question of how firms differ is paramount to strategy scholars. This question has motivated empirical research on the factors influencing performance differences among close competitors. It also has motivated work on factors that increase or decrease the mean performance of firms in an industry. Theories about resources and capabilities tend to dominate discussions of heterogeneity in performance and superior performance. Yet, the strategy field lacks a cumulative body of empirical work showing how firms differ. This article derives conclusions and questions from empirical work on capabilities. We then discuss work that complements but lies beyond the boundaries of traditional capabilities research. We conclude by suggesting approaches to and areas of future work.", "author" : [ { "dropping-particle" : "", "family" : "Hoopes", "given" : "David G.", "non-dropping-particle" : "", "parse-names" : false, "suffix" : "" }, { "dropping-particle" : "", "family" : "Madsen", "given" : "Tammy L.", "non-dropping-particle" : "", "parse-names" : false, "suffix" : "" } ], "container-title" : "Industrial and Corporate Change", "id" : "ITEM-1", "issue" : "3", "issued" : { "date-parts" : [ [ "2008" ] ] }, "page" : "393-426", "title" : "A capability-based view of competitive heterogeneity", "type" : "article-journal", "volume" : "17" }, "uris" : [ "http://www.mendeley.com/documents/?uuid=6606edb0-858d-48d5-a0d2-7fbb34bc72f3" ] }, { "id" : "ITEM-2", "itemData" : { "DOI" : "10.1002/smj.4250140303", "ISBN" : "01432095", "ISSN" : "10970266", "PMID" : "12496687",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"author" : [ { "dropping-particle" : "", "family" : "Peteraf", "given" : "Margaret A.", "non-dropping-particle" : "", "parse-names" : false, "suffix" : "" } ], "container-title" : "Strategic Management Journal", "id" : "ITEM-2", "issue" : "3", "issued" : { "date-parts" : [ [ "1993" ] ] }, "page" : "179-191", "title" : "The cornerstones of competitive advantage: A resource\u2010based view", "type" : "article-journal", "volume" : "14" }, "uris" : [ "http://www.mendeley.com/documents/?uuid=564e01e8-2514-447d-9f4c-fab9c6b982de" ] } ], "mendeley" : { "formattedCitation" : "(Peteraf, 1993; Hoopes and Madsen, 2008)", "plainTextFormattedCitation" : "(Peteraf, 1993; Hoopes and Madsen, 2008)", "previouslyFormattedCitation" : "(Peteraf, 1993; Hoopes and Madsen, 2008)" }, "properties" : {  }, "schema" : "https://github.com/citation-style-language/schema/raw/master/csl-citation.json" }</w:instrText>
      </w:r>
      <w:r w:rsidR="00162EFC" w:rsidRPr="00E71A68">
        <w:rPr>
          <w:rFonts w:ascii="Arial" w:hAnsi="Arial" w:cs="Arial"/>
          <w:sz w:val="24"/>
          <w:szCs w:val="24"/>
        </w:rPr>
        <w:fldChar w:fldCharType="separate"/>
      </w:r>
      <w:r w:rsidR="00031DA3" w:rsidRPr="00E71A68">
        <w:rPr>
          <w:rFonts w:ascii="Arial" w:hAnsi="Arial" w:cs="Arial"/>
          <w:noProof/>
          <w:sz w:val="24"/>
          <w:szCs w:val="24"/>
        </w:rPr>
        <w:t>(Peteraf, 1993; Hoopes and Madsen, 2008)</w:t>
      </w:r>
      <w:r w:rsidR="00162EFC" w:rsidRPr="00E71A68">
        <w:rPr>
          <w:rFonts w:ascii="Arial" w:hAnsi="Arial" w:cs="Arial"/>
          <w:sz w:val="24"/>
          <w:szCs w:val="24"/>
        </w:rPr>
        <w:fldChar w:fldCharType="end"/>
      </w:r>
      <w:r w:rsidR="00162EFC" w:rsidRPr="00E71A68">
        <w:rPr>
          <w:rFonts w:ascii="Arial" w:hAnsi="Arial" w:cs="Arial"/>
          <w:sz w:val="24"/>
          <w:szCs w:val="24"/>
        </w:rPr>
        <w:t>.</w:t>
      </w:r>
      <w:r w:rsidRPr="00E71A68">
        <w:rPr>
          <w:rFonts w:ascii="Arial" w:hAnsi="Arial" w:cs="Arial"/>
          <w:sz w:val="24"/>
          <w:szCs w:val="24"/>
          <w:lang w:val="en-US"/>
        </w:rPr>
        <w:t xml:space="preserve"> </w:t>
      </w:r>
      <w:r w:rsidRPr="00E71A68">
        <w:rPr>
          <w:rFonts w:ascii="Arial" w:hAnsi="Arial" w:cs="Arial"/>
          <w:bCs/>
          <w:iCs/>
          <w:sz w:val="24"/>
          <w:szCs w:val="24"/>
        </w:rPr>
        <w:t xml:space="preserve">Several studies have highlighted that working capital investment varies depending on the size of firms due to their resource heterogeneity </w:t>
      </w:r>
      <w:r w:rsidR="00162EFC" w:rsidRPr="00E71A68">
        <w:rPr>
          <w:rFonts w:ascii="Arial" w:hAnsi="Arial" w:cs="Arial"/>
          <w:bCs/>
          <w:iCs/>
          <w:sz w:val="24"/>
          <w:szCs w:val="24"/>
        </w:rPr>
        <w:fldChar w:fldCharType="begin" w:fldLock="1"/>
      </w:r>
      <w:r w:rsidR="00031DA3" w:rsidRPr="00E71A68">
        <w:rPr>
          <w:rFonts w:ascii="Arial" w:hAnsi="Arial" w:cs="Arial"/>
          <w:bCs/>
          <w:iCs/>
          <w:sz w:val="24"/>
          <w:szCs w:val="24"/>
        </w:rPr>
        <w:instrText>ADDIN CSL_CITATION { "citationItems" : [ { "id" : "ITEM-1", "itemData" : { "DOI" : "10.1016/S1044-5005(03)00022-2", "ISBN" : "10445005", "ISSN" : "10445005", "abstract" : "Working capital management routines of a large random sample of small companies in the UK are examined. Considerable variability in the take-up of 11 working capital management routines was detected. Principal components analysis and cluster analysis confirm the identification of four distinct 'types' of companies with regard to patterns of working capital management. The first three 'types' of companies focused upon cash management, stock or debtors routines respectively, whilst the fourth 'type' were less likely to take-up any working capital management routines. Influences on the amount and focus of working capital management are discussed. Multinomial logistic regression analysis suggests that the selected independent variables successfully discriminated between the four 'types' of companies. The results suggest that small companies focus only on areas of working capital management where they expect to improve marginal returns. The difficulties of establishing causality are highlighted and implications for academics, policy-makers and practitioners are reported. \u00a9 2003 Elsevier Science Ltd. All rights reserved.", "author" : [ { "dropping-particle" : "", "family" : "Howorth", "given" : "Carole", "non-dropping-particle" : "", "parse-names" : false, "suffix" : "" }, { "dropping-particle" : "", "family" : "Westhead", "given" : "Paul", "non-dropping-particle" : "", "parse-names" : false, "suffix" : "" } ], "container-title" : "Management Accounting Research", "id" : "ITEM-1", "issue" : "2", "issued" : { "date-parts" : [ [ "2003" ] ] }, "page" : "94-111", "title" : "The focus of working capital management in UK small firms", "type" : "article", "volume" : "14" }, "uris" : [ "http://www.mendeley.com/documents/?uuid=335d1b84-048d-4c3d-9349-c2b65d042f60" ] }, { "id" : "ITEM-2", "itemData" : { "DOI" : "10.1177/0266242600182001", "ISBN" : "0893-3200", "ISSN" : "17412870", "PMID" : "803973233", "abstract" : "The fastener design for the transfer of concentrated transverse (out of plane, pull-out) loads to random glass fiber reinforced thermoset polymers was investigated. The elastic material properties, void content,a nd glass content of the composite were determined and a finite element model was used to analyze and compare the performance of the various washer designs for reducing the stress and strain levels near the edge of the washer at a bolted joint. Experimental studies were conducted to verify the finite element model.", "author" : [ { "dropping-particle" : "", "family" : "Peel", "given" : "Michael J.", "non-dropping-particle" : "", "parse-names" : false, "suffix" : "" }, { "dropping-particle" : "", "family" : "Wilson", "given" : "Nicholas", "non-dropping-particle" : "", "parse-names" : false, "suffix" : "" }, { "dropping-particle" : "", "family" : "Howorth", "given" : "Carole", "non-dropping-particle" : "", "parse-names" : false, "suffix" : "" } ], "container-title" : "International Small Business Journal", "id" : "ITEM-2", "issue" : "2", "issued" : { "date-parts" : [ [ "2000" ] ] }, "page" : "17-37", "title" : "Late Payment and Credit Management in the Small Firm Sector: Some Empirical Evidence", "type" : "article-journal", "volume" : "18" }, "uris" : [ "http://www.mendeley.com/documents/?uuid=3b930f45-b61f-4e17-a304-0e240176b075" ] } ], "mendeley" : { "formattedCitation" : "(Peel, Wilson and Howorth, 2000; Howorth and Westhead, 2003)", "plainTextFormattedCitation" : "(Peel, Wilson and Howorth, 2000; Howorth and Westhead, 2003)", "previouslyFormattedCitation" : "(Peel, Wilson and Howorth, 2000; Howorth and Westhead, 2003)" }, "properties" : {  }, "schema" : "https://github.com/citation-style-language/schema/raw/master/csl-citation.json" }</w:instrText>
      </w:r>
      <w:r w:rsidR="00162EFC" w:rsidRPr="00E71A68">
        <w:rPr>
          <w:rFonts w:ascii="Arial" w:hAnsi="Arial" w:cs="Arial"/>
          <w:bCs/>
          <w:iCs/>
          <w:sz w:val="24"/>
          <w:szCs w:val="24"/>
        </w:rPr>
        <w:fldChar w:fldCharType="separate"/>
      </w:r>
      <w:r w:rsidR="00031DA3" w:rsidRPr="00E71A68">
        <w:rPr>
          <w:rFonts w:ascii="Arial" w:hAnsi="Arial" w:cs="Arial"/>
          <w:bCs/>
          <w:iCs/>
          <w:noProof/>
          <w:sz w:val="24"/>
          <w:szCs w:val="24"/>
        </w:rPr>
        <w:t>(Peel, Wilson and Howorth, 2000; Howorth and Westhead, 2003)</w:t>
      </w:r>
      <w:r w:rsidR="00162EFC" w:rsidRPr="00E71A68">
        <w:rPr>
          <w:rFonts w:ascii="Arial" w:hAnsi="Arial" w:cs="Arial"/>
          <w:bCs/>
          <w:iCs/>
          <w:sz w:val="24"/>
          <w:szCs w:val="24"/>
        </w:rPr>
        <w:fldChar w:fldCharType="end"/>
      </w:r>
      <w:r w:rsidR="00162EFC" w:rsidRPr="00E71A68">
        <w:rPr>
          <w:rFonts w:ascii="Arial" w:hAnsi="Arial" w:cs="Arial"/>
          <w:bCs/>
          <w:iCs/>
          <w:sz w:val="24"/>
          <w:szCs w:val="24"/>
        </w:rPr>
        <w:t>.</w:t>
      </w:r>
      <w:r w:rsidRPr="00E71A68">
        <w:rPr>
          <w:rFonts w:ascii="Arial" w:hAnsi="Arial" w:cs="Arial"/>
          <w:bCs/>
          <w:iCs/>
          <w:sz w:val="24"/>
          <w:szCs w:val="24"/>
        </w:rPr>
        <w:t xml:space="preserve"> Peel </w:t>
      </w:r>
      <w:r w:rsidRPr="00E71A68">
        <w:rPr>
          <w:rFonts w:ascii="Arial" w:hAnsi="Arial" w:cs="Arial"/>
          <w:bCs/>
          <w:iCs/>
          <w:sz w:val="24"/>
          <w:szCs w:val="24"/>
        </w:rPr>
        <w:lastRenderedPageBreak/>
        <w:t xml:space="preserve">et al. (2000) assert that smaller firms invest in working capital than large firms. This can be explained by the fact that large firms have </w:t>
      </w:r>
      <w:r w:rsidRPr="00E71A68">
        <w:rPr>
          <w:rFonts w:ascii="Arial" w:hAnsi="Arial" w:cs="Arial"/>
          <w:bCs/>
          <w:iCs/>
          <w:sz w:val="24"/>
          <w:szCs w:val="24"/>
          <w:lang w:val="en-US"/>
        </w:rPr>
        <w:t xml:space="preserve">regular </w:t>
      </w:r>
      <w:r w:rsidRPr="00E71A68">
        <w:rPr>
          <w:rFonts w:ascii="Arial" w:hAnsi="Arial" w:cs="Arial"/>
          <w:bCs/>
          <w:iCs/>
          <w:sz w:val="24"/>
          <w:szCs w:val="24"/>
        </w:rPr>
        <w:t>working capital management routines and they show a higher prevalence of ad hoc or subjective working capital decision-making</w:t>
      </w:r>
      <w:r w:rsidR="00162EFC" w:rsidRPr="00E71A68">
        <w:rPr>
          <w:rFonts w:ascii="Arial" w:hAnsi="Arial" w:cs="Arial"/>
          <w:bCs/>
          <w:iCs/>
          <w:sz w:val="24"/>
          <w:szCs w:val="24"/>
        </w:rPr>
        <w:t xml:space="preserve"> </w:t>
      </w:r>
      <w:r w:rsidR="00162EFC" w:rsidRPr="00E71A68">
        <w:rPr>
          <w:rFonts w:ascii="Arial" w:hAnsi="Arial" w:cs="Arial"/>
          <w:bCs/>
          <w:iCs/>
          <w:sz w:val="24"/>
          <w:szCs w:val="24"/>
        </w:rPr>
        <w:fldChar w:fldCharType="begin" w:fldLock="1"/>
      </w:r>
      <w:r w:rsidR="00031DA3" w:rsidRPr="00E71A68">
        <w:rPr>
          <w:rFonts w:ascii="Arial" w:hAnsi="Arial" w:cs="Arial"/>
          <w:bCs/>
          <w:iCs/>
          <w:sz w:val="24"/>
          <w:szCs w:val="24"/>
        </w:rPr>
        <w:instrText>ADDIN CSL_CITATION { "citationItems" : [ { "id" : "ITEM-1", "itemData" : { "DOI" : "10.1016/1044-0283(91)90012-V", "ISSN" : "08250383", "abstract" : "A study motivated by the desire to better understand how working capital is managed by smaller firms in Canada is presented. It includes the management of current asset and current liability accounts, as well as the working capital of the firm in the aggregate. A survey instrument used in 3 earlier comprehensive surveys of working capital practices was used. The study ended up with 18 questions that are comparable across 4 surveys spanning 2 decades and 3 countries, which allowed a view of how working capital practices have varied over time and also across international borders. These comparisons also provide a useful perspective for considering future research directions in working capital management.", "author" : [ { "dropping-particle" : "", "family" : "Khoury", "given" : "Nabil T", "non-dropping-particle" : "", "parse-names" : false, "suffix" : "" }, { "dropping-particle" : "V", "family" : "Smith", "given" : "Keith", "non-dropping-particle" : "", "parse-names" : false, "suffix" : "" }, { "dropping-particle" : "", "family" : "MacKay", "given" : "Peter I", "non-dropping-particle" : "", "parse-names" : false, "suffix" : "" } ], "container-title" : "Revue Canadienne des Sciences de l'Administration", "id" : "ITEM-1", "issue" : "1", "issued" : { "date-parts" : [ [ "1999" ] ] }, "page" : "53-57", "title" : "Comparing working capital practices in Canada, the United States, and Australia: A note", "type" : "article-journal", "volume" : "16" }, "uris" : [ "http://www.mendeley.com/documents/?uuid=f7bb3668-6672-4989-b7a0-a168b504b22a" ] } ], "mendeley" : { "formattedCitation" : "(Khoury, Smith and MacKay, 1999)", "manualFormatting" : "(Nayak and Greenfield, 1994; Khoury, Smith, and MacKay 1999)", "plainTextFormattedCitation" : "(Khoury, Smith and MacKay, 1999)", "previouslyFormattedCitation" : "(Khoury, Smith and MacKay, 1999)" }, "properties" : {  }, "schema" : "https://github.com/citation-style-language/schema/raw/master/csl-citation.json" }</w:instrText>
      </w:r>
      <w:r w:rsidR="00162EFC" w:rsidRPr="00E71A68">
        <w:rPr>
          <w:rFonts w:ascii="Arial" w:hAnsi="Arial" w:cs="Arial"/>
          <w:bCs/>
          <w:iCs/>
          <w:sz w:val="24"/>
          <w:szCs w:val="24"/>
        </w:rPr>
        <w:fldChar w:fldCharType="separate"/>
      </w:r>
      <w:r w:rsidR="00162EFC" w:rsidRPr="00E71A68">
        <w:rPr>
          <w:rFonts w:ascii="Arial" w:hAnsi="Arial" w:cs="Arial"/>
          <w:bCs/>
          <w:iCs/>
          <w:noProof/>
          <w:sz w:val="24"/>
          <w:szCs w:val="24"/>
        </w:rPr>
        <w:t>(Nayak and Greenfield, 1994; Khoury, Smith, and MacKay 1999)</w:t>
      </w:r>
      <w:r w:rsidR="00162EFC" w:rsidRPr="00E71A68">
        <w:rPr>
          <w:rFonts w:ascii="Arial" w:hAnsi="Arial" w:cs="Arial"/>
          <w:bCs/>
          <w:iCs/>
          <w:sz w:val="24"/>
          <w:szCs w:val="24"/>
        </w:rPr>
        <w:fldChar w:fldCharType="end"/>
      </w:r>
      <w:r w:rsidR="00162EFC" w:rsidRPr="00E71A68">
        <w:rPr>
          <w:rFonts w:ascii="Arial" w:hAnsi="Arial" w:cs="Arial"/>
          <w:bCs/>
          <w:iCs/>
          <w:sz w:val="24"/>
          <w:szCs w:val="24"/>
        </w:rPr>
        <w:t xml:space="preserve">. </w:t>
      </w:r>
      <w:r w:rsidRPr="00E71A68">
        <w:rPr>
          <w:rFonts w:ascii="Arial" w:hAnsi="Arial" w:cs="Arial"/>
          <w:bCs/>
          <w:iCs/>
          <w:sz w:val="24"/>
          <w:szCs w:val="24"/>
        </w:rPr>
        <w:t>Against this backdrop, we can expect that the positive (negative) impact of holding a low (high) level of working capital investment on firm value is more (less) pronounced among smaller firms relative to large firms.</w:t>
      </w:r>
    </w:p>
    <w:p w14:paraId="7D8BAFD4" w14:textId="56950C44" w:rsidR="004F00F6" w:rsidRPr="00E71A68" w:rsidRDefault="004F00F6" w:rsidP="004E32E2">
      <w:pPr>
        <w:spacing w:after="0" w:line="360" w:lineRule="auto"/>
        <w:ind w:firstLine="720"/>
        <w:jc w:val="both"/>
        <w:rPr>
          <w:rFonts w:ascii="Arial" w:hAnsi="Arial" w:cs="Arial"/>
          <w:sz w:val="24"/>
          <w:szCs w:val="24"/>
          <w:lang w:val="en-US"/>
        </w:rPr>
      </w:pPr>
      <w:r w:rsidRPr="00E71A68">
        <w:rPr>
          <w:rFonts w:ascii="Arial" w:hAnsi="Arial" w:cs="Arial"/>
          <w:sz w:val="24"/>
          <w:szCs w:val="24"/>
        </w:rPr>
        <w:t xml:space="preserve">Third, it has also been suggested that </w:t>
      </w:r>
      <w:r w:rsidRPr="00E71A68">
        <w:rPr>
          <w:rFonts w:ascii="Arial" w:hAnsi="Arial" w:cs="Arial"/>
          <w:sz w:val="24"/>
          <w:szCs w:val="24"/>
          <w:lang w:val="en-US"/>
        </w:rPr>
        <w:t xml:space="preserve">a firm’s </w:t>
      </w:r>
      <w:r w:rsidR="00C265FB">
        <w:rPr>
          <w:rFonts w:ascii="Arial" w:hAnsi="Arial" w:cs="Arial"/>
          <w:sz w:val="24"/>
          <w:szCs w:val="24"/>
          <w:lang w:val="en-US"/>
        </w:rPr>
        <w:t xml:space="preserve">financial </w:t>
      </w:r>
      <w:r w:rsidRPr="00E71A68">
        <w:rPr>
          <w:rFonts w:ascii="Arial" w:hAnsi="Arial" w:cs="Arial"/>
          <w:sz w:val="24"/>
          <w:szCs w:val="24"/>
          <w:lang w:val="en-US"/>
        </w:rPr>
        <w:t xml:space="preserve">performance depends on its conduct in matters such as its management policy </w:t>
      </w:r>
      <w:r w:rsidR="00162EFC" w:rsidRPr="00E71A68">
        <w:rPr>
          <w:rFonts w:ascii="Arial" w:hAnsi="Arial" w:cs="Arial"/>
          <w:sz w:val="24"/>
          <w:szCs w:val="24"/>
          <w:lang w:val="en-US"/>
        </w:rPr>
        <w:fldChar w:fldCharType="begin" w:fldLock="1"/>
      </w:r>
      <w:r w:rsidR="00031DA3" w:rsidRPr="00E71A68">
        <w:rPr>
          <w:rFonts w:ascii="Arial" w:hAnsi="Arial" w:cs="Arial"/>
          <w:sz w:val="24"/>
          <w:szCs w:val="24"/>
          <w:lang w:val="en-US"/>
        </w:rPr>
        <w:instrText>ADDIN CSL_CITATION { "citationItems" : [ { "id" : "ITEM-1", "itemData" : { "DOI" : "10.1002/smj.369", "ISBN" : "8-9", "ISSN" : "01432095", "PMID" : "188117200003", "abstract" : "The present study examines the impact of firm and industry-specific factors on profitability, using census data on Greek manufacturing. At the firm level, particular attention is given to strategy effects. Based on a modification of Porter\u2019s typology, these effects are captured through different forms of both \u2018pure\u2019 and \u2018hybrid\u2019 strategies. Industry effects are represented using industry concentration, entry barriers, and growth. Hypotheses are developed taking into account both previous research and the particular idiosyncrasies of the national context. The results obtained provide important insights on specific determinants of firm profitability. With respect to strategy, results confirm the hypothesis that hybrid strategies are clearly preferable compared to pure ones. In addition, it was found that the more generic strategy dimensions are included in the strategy mix, the more profitable the strategy is, provided that one of the key ingredients is low cost. Industry-level effects, although weaker, show strong impact of industry entry barriers. Moreover, the findings suggest that while both sets of factors significantly contribute to firm profitability, firm-specific factors explain more than twice as much profit variability as industry factors.", "author" : [ { "dropping-particle" : "", "family" : "Spanos", "given" : "Yiannis E.", "non-dropping-particle" : "", "parse-names" : false, "suffix" : "" }, { "dropping-particle" : "", "family" : "Zaralis", "given" : "George", "non-dropping-particle" : "", "parse-names" : false, "suffix" : "" }, { "dropping-particle" : "", "family" : "Lioukas", "given" : "Spyros", "non-dropping-particle" : "", "parse-names" : false, "suffix" : "" } ], "container-title" : "Strategic Management Journal", "id" : "ITEM-1", "issue" : "2", "issued" : { "date-parts" : [ [ "2004" ] ] }, "page" : "139-165", "title" : "Strategy and industry effects on profitability: Evidence from Greece", "type" : "article-journal", "volume" : "25" }, "uris" : [ "http://www.mendeley.com/documents/?uuid=a4c3dffe-ec2c-4590-8271-4f66ed09b8d9" ] } ], "mendeley" : { "formattedCitation" : "(Spanos, Zaralis and Lioukas, 2004)", "plainTextFormattedCitation" : "(Spanos, Zaralis and Lioukas, 2004)", "previouslyFormattedCitation" : "(Spanos, Zaralis and Lioukas, 2004)" }, "properties" : {  }, "schema" : "https://github.com/citation-style-language/schema/raw/master/csl-citation.json" }</w:instrText>
      </w:r>
      <w:r w:rsidR="00162EFC" w:rsidRPr="00E71A68">
        <w:rPr>
          <w:rFonts w:ascii="Arial" w:hAnsi="Arial" w:cs="Arial"/>
          <w:sz w:val="24"/>
          <w:szCs w:val="24"/>
          <w:lang w:val="en-US"/>
        </w:rPr>
        <w:fldChar w:fldCharType="separate"/>
      </w:r>
      <w:r w:rsidR="00031DA3" w:rsidRPr="00E71A68">
        <w:rPr>
          <w:rFonts w:ascii="Arial" w:hAnsi="Arial" w:cs="Arial"/>
          <w:noProof/>
          <w:sz w:val="24"/>
          <w:szCs w:val="24"/>
          <w:lang w:val="en-US"/>
        </w:rPr>
        <w:t>(Spanos, Zaralis and Lioukas, 2004)</w:t>
      </w:r>
      <w:r w:rsidR="00162EFC" w:rsidRPr="00E71A68">
        <w:rPr>
          <w:rFonts w:ascii="Arial" w:hAnsi="Arial" w:cs="Arial"/>
          <w:sz w:val="24"/>
          <w:szCs w:val="24"/>
          <w:lang w:val="en-US"/>
        </w:rPr>
        <w:fldChar w:fldCharType="end"/>
      </w:r>
      <w:r w:rsidR="00162EFC" w:rsidRPr="00E71A68">
        <w:rPr>
          <w:rFonts w:ascii="Arial" w:hAnsi="Arial" w:cs="Arial"/>
          <w:sz w:val="24"/>
          <w:szCs w:val="24"/>
          <w:lang w:val="en-US"/>
        </w:rPr>
        <w:t>.</w:t>
      </w:r>
      <w:r w:rsidRPr="00E71A68">
        <w:rPr>
          <w:rFonts w:ascii="Arial" w:hAnsi="Arial" w:cs="Arial"/>
          <w:sz w:val="24"/>
          <w:szCs w:val="24"/>
          <w:lang w:val="en-US"/>
        </w:rPr>
        <w:t xml:space="preserve"> One of such management policies discussed over the years has been on the firms’ corporate governance polices</w:t>
      </w:r>
      <w:r w:rsidR="00C003C2" w:rsidRPr="00E71A68">
        <w:rPr>
          <w:rFonts w:ascii="Arial" w:hAnsi="Arial" w:cs="Arial"/>
          <w:sz w:val="24"/>
          <w:szCs w:val="24"/>
          <w:lang w:val="en-US"/>
        </w:rPr>
        <w:t xml:space="preserve"> </w:t>
      </w:r>
      <w:r w:rsidR="00C003C2" w:rsidRPr="00E71A68">
        <w:rPr>
          <w:rFonts w:ascii="Arial" w:hAnsi="Arial" w:cs="Arial"/>
          <w:sz w:val="24"/>
          <w:szCs w:val="24"/>
          <w:lang w:val="en-US"/>
        </w:rPr>
        <w:fldChar w:fldCharType="begin" w:fldLock="1"/>
      </w:r>
      <w:r w:rsidR="00031DA3" w:rsidRPr="00E71A68">
        <w:rPr>
          <w:rFonts w:ascii="Arial" w:hAnsi="Arial" w:cs="Arial"/>
          <w:sz w:val="24"/>
          <w:szCs w:val="24"/>
          <w:lang w:val="en-US"/>
        </w:rPr>
        <w:instrText>ADDIN CSL_CITATION { "citationItems" : [ { "id" : "ITEM-1", "itemData" : { "DOI" : "10.4324/9780203888711", "ISBN" : "0203888715", "ISSN" : "03637425", "PMID" : "2202133", "abstract" : "Recent research developments underscore the need for research on the processes that link board demography with firm performance. In this article we develop a model of board processes by integrating the literature on boards of directors with the literature on group dynamics and workgroup effectiveness. The resulting model illuminates the complexity of board dynamics and paves the way for future empirical research that expands and refines our understanding of what makes boards effective.", "author" : [ { "dropping-particle" : "", "family" : "Forbes", "given" : "Daniel P.", "non-dropping-particle" : "", "parse-names" : false, "suffix" : "" }, { "dropping-particle" : "", "family" : "Milliken", "given" : "Frances J.", "non-dropping-particle" : "", "parse-names" : false, "suffix" : "" } ], "container-title" : "The Value Creating Board: Corporate Governance and Organizational Behaviour", "id" : "ITEM-1", "issued" : { "date-parts" : [ [ "2008" ] ] }, "page" : "190-217", "title" : "Cognition and corporate governance: Understanding boards of directors as strategic decision making groups", "type" : "chapter" }, "uris" : [ "http://www.mendeley.com/documents/?uuid=13be7bf4-7149-4ad9-be16-ac335a57bd2c" ] }, { "id" : "ITEM-2", "itemData" : { "DOI" : "10.1111/j.1467-8551.2011.00805.x", "ISSN" : "10453172", "abstract" : "This study asserts that the effects of board characteristics on firm innovation need to be evaluated with reference to contingency variables. A literature review suggests that relatively few studies adopt a contingency view when examining the outcomes of boards of directors. This study examines the influence on firm innovation of characteristics such as board size, outsider ratio and board diversity, and suggests that their influence is contingent upon firm size. The model is tested on a sample of Italian companies and finds support for the contingency hypothesis. This study advances research on boards of directors by emphasizing the importance of context.", "author" : [ { "dropping-particle" : "", "family" : "Zona", "given" : "Fabio", "non-dropping-particle" : "", "parse-names" : false, "suffix" : "" }, { "dropping-particle" : "", "family" : "Zattoni", "given" : "Alessandro", "non-dropping-particle" : "", "parse-names" : false, "suffix" : "" }, { "dropping-particle" : "", "family" : "Minichilli", "given" : "Alessandro", "non-dropping-particle" : "", "parse-names" : false, "suffix" : "" } ], "container-title" : "British Journal of Management", "id" : "ITEM-2", "issue" : "3", "issued" : { "date-parts" : [ [ "2013" ] ] }, "page" : "299-315", "title" : "A Contingency Model of Boards of Directors and Firm Innovation: The Moderating Role of Firm Size", "type" : "article-journal", "volume" : "24" }, "uris" : [ "http://www.mendeley.com/documents/?uuid=8636e9e8-c07f-4f8b-acc6-b9e37fb7146e" ] }, { "id" : "ITEM-3", "itemData" : { "DOI" : "10.1108/14720700410521925", "ISBN" : "1472-0701", "ISSN" : "1472-0701", "abstract" : "To date, corporate governance research agendas have tended to concentrate on one particular role that a board performs. For instance, agency theory concentrates on the monitoring role, resource dependence theory concentrates on the board providing access to resources and stewardship theory concentrates on the board\u2019s advice-giving or strategic role. While these approaches provide practitioners with useful guidelines regarding issues such as board independence, we contend that practitioners need to take care not to act on the recommendations from a single theory in isolation from the others. To address this concern, we provide a model of board effectiveness that uses the construct of board intellectual capital to integrate the predominant theories of corporate governance and illustrate how the board can drive corporate performance. We further contend that boards that wish to improve their performance need to review their intellectual capital. We conclude by linking the model to a practitioner-focused framework that identifies four key areas on which a board must concentrate to develop its intellectual capital.", "author" : [ { "dropping-particle" : "", "family" : "Nicholson", "given" : "Gavin J.", "non-dropping-particle" : "", "parse-names" : false, "suffix" : "" }, { "dropping-particle" : "", "family" : "Kiel", "given" : "Geoffrey C.", "non-dropping-particle" : "", "parse-names" : false, "suffix" : "" } ], "container-title" : "Corporate Governance: The international journal of business in society", "id" : "ITEM-3", "issue" : "1", "issued" : { "date-parts" : [ [ "2004" ] ] }, "page" : "5-23", "title" : "Breakthrough board performance: how to harness your board\u2019s intellectual capital[1]", "type" : "article-journal", "volume" : "4" }, "uris" : [ "http://www.mendeley.com/documents/?uuid=3a69ec45-eca3-4af2-9d5c-a7ab301786ec" ] } ], "mendeley" : { "formattedCitation" : "(Nicholson and Kiel, 2004; Forbes and Milliken, 2008; Zona, Zattoni and Minichilli, 2013)", "plainTextFormattedCitation" : "(Nicholson and Kiel, 2004; Forbes and Milliken, 2008; Zona, Zattoni and Minichilli, 2013)", "previouslyFormattedCitation" : "(Nicholson and Kiel, 2004; Forbes and Milliken, 2008; Zona, Zattoni and Minichilli, 2013)" }, "properties" : {  }, "schema" : "https://github.com/citation-style-language/schema/raw/master/csl-citation.json" }</w:instrText>
      </w:r>
      <w:r w:rsidR="00C003C2" w:rsidRPr="00E71A68">
        <w:rPr>
          <w:rFonts w:ascii="Arial" w:hAnsi="Arial" w:cs="Arial"/>
          <w:sz w:val="24"/>
          <w:szCs w:val="24"/>
          <w:lang w:val="en-US"/>
        </w:rPr>
        <w:fldChar w:fldCharType="separate"/>
      </w:r>
      <w:r w:rsidR="00031DA3" w:rsidRPr="00E71A68">
        <w:rPr>
          <w:rFonts w:ascii="Arial" w:hAnsi="Arial" w:cs="Arial"/>
          <w:noProof/>
          <w:sz w:val="24"/>
          <w:szCs w:val="24"/>
          <w:lang w:val="en-US"/>
        </w:rPr>
        <w:t xml:space="preserve">(Nicholson and Kiel, 2004; Forbes and Milliken, </w:t>
      </w:r>
      <w:r w:rsidR="00031DA3" w:rsidRPr="00E71A68">
        <w:rPr>
          <w:rFonts w:ascii="Arial" w:hAnsi="Arial" w:cs="Arial"/>
          <w:noProof/>
          <w:sz w:val="24"/>
          <w:szCs w:val="24"/>
          <w:lang w:val="en-US"/>
        </w:rPr>
        <w:lastRenderedPageBreak/>
        <w:t>2008; Zona, Zattoni and Minichilli, 2013)</w:t>
      </w:r>
      <w:r w:rsidR="00C003C2" w:rsidRPr="00E71A68">
        <w:rPr>
          <w:rFonts w:ascii="Arial" w:hAnsi="Arial" w:cs="Arial"/>
          <w:sz w:val="24"/>
          <w:szCs w:val="24"/>
          <w:lang w:val="en-US"/>
        </w:rPr>
        <w:fldChar w:fldCharType="end"/>
      </w:r>
      <w:r w:rsidR="00C003C2" w:rsidRPr="00E71A68">
        <w:rPr>
          <w:rFonts w:ascii="Arial" w:hAnsi="Arial" w:cs="Arial"/>
          <w:sz w:val="24"/>
          <w:szCs w:val="24"/>
          <w:lang w:val="en-US"/>
        </w:rPr>
        <w:t xml:space="preserve">. </w:t>
      </w:r>
      <w:r w:rsidRPr="00E71A68">
        <w:rPr>
          <w:rFonts w:ascii="Arial" w:hAnsi="Arial" w:cs="Arial"/>
          <w:bCs/>
          <w:iCs/>
          <w:sz w:val="24"/>
          <w:szCs w:val="24"/>
        </w:rPr>
        <w:t xml:space="preserve">Several studies have argued that strong corporate governance is necessary to create and maintain sound working capital management policies for the firm to enhance the value of shareholders </w:t>
      </w:r>
      <w:r w:rsidRPr="00E71A68">
        <w:rPr>
          <w:rFonts w:ascii="Arial" w:hAnsi="Arial" w:cs="Arial"/>
          <w:bCs/>
          <w:iCs/>
          <w:sz w:val="24"/>
          <w:szCs w:val="24"/>
        </w:rPr>
        <w:fldChar w:fldCharType="begin" w:fldLock="1"/>
      </w:r>
      <w:r w:rsidR="00031DA3" w:rsidRPr="00E71A68">
        <w:rPr>
          <w:rFonts w:ascii="Arial" w:hAnsi="Arial" w:cs="Arial"/>
          <w:bCs/>
          <w:iCs/>
          <w:sz w:val="24"/>
          <w:szCs w:val="24"/>
        </w:rPr>
        <w:instrText>ADDIN CSL_CITATION { "citationItems" : [ { "id" : "ITEM-1", "itemData" : { "DOI" : "10.1108/03074351311293981", "ISBN" : "0307-4358", "ISSN" : "0307-4358", "abstract" : "Purpose - The purpose of this study is to investigate the impact of corporate governance on working capital management efficiency. This study also seeks to extend the findings of Gill and Shah. Design/methodology/approach - This study applied a co-relational research design. A sample was selected of 180 American manufacturing firms listed on the New York Stock Exchange (NYSE) for a period of 3 years (from 2009-2011). Findings - The findings of this study indicate that corporate governance plays some role in improving the efficiency of working capital management. Research limitations/implications - This is a co-relational study that investigated the association between corporate governance and working capital management efficiency. There is not necessarily a causal relationship between the two, although the paper provides some conjectures to the findings. The findings of this study may only be generalized to firms similar to those that were included in this research. Originality/value - This study contributes to the literature on the factors that improve the efficiency of working capital management, and in particular on the association between several features of corporate governance and the efficiency of working capital management. The findings may be useful for financial managers, investors, financial management consultants, and other stakeholders.", "author" : [ { "dropping-particle" : "", "family" : "Gill", "given" : "Amarjit S.", "non-dropping-particle" : "", "parse-names" : false, "suffix" : "" }, { "dropping-particle" : "", "family" : "Biger", "given" : "Nahum", "non-dropping-particle" : "", "parse-names" : false, "suffix" : "" } ], "container-title" : "Managerial Finance", "id" : "ITEM-1", "issue" : "2", "issued" : { "date-parts" : [ [ "2013" ] ] }, "page" : "116-132", "title" : "The impact of corporate governance on working capital management efficiency of American manufacturing firms", "type" : "article-journal", "volume" : "39" }, "uris" : [ "http://www.mendeley.com/documents/?uuid=1f20a53c-5a07-41fb-9520-c873241dbb83" ] }, { "id" : "ITEM-2", "itemData" : { "DOI" : "10.1007/s11408-007-0052-8", "ISBN" : "1555-4961\\r1555-497X", "ISSN" : "15554961", "abstract" : "This paper investigates the determinants of cash holdings for a comprehen-sive sample of Swiss non-financial firms between 1995 and 2004. The median Swiss firm holds almost twice as much cash and cash equivalents as the median US or UK firm. Our results indicate that asset tangibility and firm size are both negatively re-lated to corporate cash holdings, and that there is a non-linear relationship between the leverage ratio and liquidity. Dividend payments and operating cash flows are posi-tively related to cash reserves, but we cannot detect a significant relationship between growth opportunities and cash holdings. Most of these empirical findings, but not all of them, can be explained by the transaction costs motive and/or the precautionary motive. Analyzing the corporate governance structures of Swiss firms, we document a non-linear relationship between managerial ownership and cash holdings, indicating an incentive alignment effect and an opposing effect related to increasing risk aver-sion. Finally, our results suggest that firms in which the CEO simultaneously serves as the COB hold significantly more cash.", "author" : [ { "dropping-particle" : "", "family" : "Drobetz", "given" : "Wolfgang", "non-dropping-particle" : "", "parse-names" : false, "suffix" : "" }, { "dropping-particle" : "", "family" : "Gr\u00fcninger", "given" : "Matthias C.", "non-dropping-particle" : "", "parse-names" : false, "suffix" : "" } ], "container-title" : "Financial Markets and Portfolio Management", "id" : "ITEM-2", "issue" : "3", "issued" : { "date-parts" : [ [ "2007" ] ] }, "page" : "293-324", "title" : "Corporate cash holdings: Evidence from Switzerland", "type" : "article-journal", "volume" : "21" }, "uris" : [ "http://www.mendeley.com/documents/?uuid=f89d1d82-3d06-4539-a2da-cbb02ca33ed4" ] } ], "mendeley" : { "formattedCitation" : "(Drobetz and Gr\u00fcninger, 2007; Gill and Biger, 2013)", "plainTextFormattedCitation" : "(Drobetz and Gr\u00fcninger, 2007; Gill and Biger, 2013)", "previouslyFormattedCitation" : "(Drobetz and Gr\u00fcninger, 2007; Gill and Biger, 2013)" }, "properties" : {  }, "schema" : "https://github.com/citation-style-language/schema/raw/master/csl-citation.json" }</w:instrText>
      </w:r>
      <w:r w:rsidRPr="00E71A68">
        <w:rPr>
          <w:rFonts w:ascii="Arial" w:hAnsi="Arial" w:cs="Arial"/>
          <w:bCs/>
          <w:iCs/>
          <w:sz w:val="24"/>
          <w:szCs w:val="24"/>
        </w:rPr>
        <w:fldChar w:fldCharType="separate"/>
      </w:r>
      <w:r w:rsidR="00031DA3" w:rsidRPr="00E71A68">
        <w:rPr>
          <w:rFonts w:ascii="Arial" w:hAnsi="Arial" w:cs="Arial"/>
          <w:bCs/>
          <w:iCs/>
          <w:noProof/>
          <w:sz w:val="24"/>
          <w:szCs w:val="24"/>
        </w:rPr>
        <w:t>(Drobetz and Grüninger, 2007; Gill and Biger, 2013)</w:t>
      </w:r>
      <w:r w:rsidRPr="00E71A68">
        <w:rPr>
          <w:rFonts w:ascii="Arial" w:hAnsi="Arial" w:cs="Arial"/>
          <w:sz w:val="24"/>
          <w:szCs w:val="24"/>
        </w:rPr>
        <w:fldChar w:fldCharType="end"/>
      </w:r>
      <w:r w:rsidRPr="00E71A68">
        <w:rPr>
          <w:rFonts w:ascii="Arial" w:hAnsi="Arial" w:cs="Arial"/>
          <w:bCs/>
          <w:iCs/>
          <w:sz w:val="24"/>
          <w:szCs w:val="24"/>
        </w:rPr>
        <w:t xml:space="preserve">. </w:t>
      </w:r>
      <w:r w:rsidR="006C02E9" w:rsidRPr="00E92D44">
        <w:rPr>
          <w:rFonts w:ascii="Arial" w:hAnsi="Arial" w:cs="Arial"/>
          <w:bCs/>
          <w:iCs/>
          <w:sz w:val="24"/>
          <w:szCs w:val="24"/>
        </w:rPr>
        <w:t xml:space="preserve">Strong corporate governance is a system by which companies are directed and controlled that facilitates an effective, entrepreneurial and prudent management that can deliver the long-term success of a company. </w:t>
      </w:r>
      <w:r w:rsidRPr="00E92D44">
        <w:rPr>
          <w:rFonts w:ascii="Arial" w:hAnsi="Arial" w:cs="Arial"/>
          <w:bCs/>
          <w:iCs/>
          <w:sz w:val="24"/>
          <w:szCs w:val="24"/>
        </w:rPr>
        <w:t>F</w:t>
      </w:r>
      <w:r w:rsidRPr="00E71A68">
        <w:rPr>
          <w:rFonts w:ascii="Arial" w:hAnsi="Arial" w:cs="Arial"/>
          <w:bCs/>
          <w:iCs/>
          <w:sz w:val="24"/>
          <w:szCs w:val="24"/>
        </w:rPr>
        <w:t xml:space="preserve">or instance, </w:t>
      </w:r>
      <w:r w:rsidRPr="00E71A68">
        <w:rPr>
          <w:rFonts w:ascii="Arial" w:hAnsi="Arial" w:cs="Arial"/>
          <w:bCs/>
          <w:iCs/>
          <w:sz w:val="24"/>
          <w:szCs w:val="24"/>
          <w:lang w:val="en-US"/>
        </w:rPr>
        <w:fldChar w:fldCharType="begin" w:fldLock="1"/>
      </w:r>
      <w:r w:rsidR="00031DA3" w:rsidRPr="00E71A68">
        <w:rPr>
          <w:rFonts w:ascii="Arial" w:hAnsi="Arial" w:cs="Arial"/>
          <w:bCs/>
          <w:iCs/>
          <w:sz w:val="24"/>
          <w:szCs w:val="24"/>
          <w:lang w:val="en-US"/>
        </w:rPr>
        <w:instrText>ADDIN CSL_CITATION { "citationItems" : [ { "id" : "ITEM-1", "itemData" : { "DOI" : "10.1108/03074351311293981", "ISBN" : "0307-4358", "ISSN" : "0307-4358", "abstract" : "Purpose - The purpose of this study is to investigate the impact of corporate governance on working capital management efficiency. This study also seeks to extend the findings of Gill and Shah. Design/methodology/approach - This study applied a co-relational research design. A sample was selected of 180 American manufacturing firms listed on the New York Stock Exchange (NYSE) for a period of 3 years (from 2009-2011). Findings - The findings of this study indicate that corporate governance plays some role in improving the efficiency of working capital management. Research limitations/implications - This is a co-relational study that investigated the association between corporate governance and working capital management efficiency. There is not necessarily a causal relationship between the two, although the paper provides some conjectures to the findings. The findings of this study may only be generalized to firms similar to those that were included in this research. Originality/value - This study contributes to the literature on the factors that improve the efficiency of working capital management, and in particular on the association between several features of corporate governance and the efficiency of working capital management. The findings may be useful for financial managers, investors, financial management consultants, and other stakeholders.", "author" : [ { "dropping-particle" : "", "family" : "Gill", "given" : "Amarjit S.", "non-dropping-particle" : "", "parse-names" : false, "suffix" : "" }, { "dropping-particle" : "", "family" : "Biger", "given" : "Nahum", "non-dropping-particle" : "", "parse-names" : false, "suffix" : "" } ], "container-title" : "Managerial Finance", "id" : "ITEM-1", "issue" : "2", "issued" : { "date-parts" : [ [ "2013" ] ] }, "page" : "116-132", "title" : "The impact of corporate governance on working capital management efficiency of American manufacturing firms", "type" : "article-journal", "volume" : "39" }, "uris" : [ "http://www.mendeley.com/documents/?uuid=1f20a53c-5a07-41fb-9520-c873241dbb83" ] } ], "mendeley" : { "formattedCitation" : "(Gill and Biger, 2013)", "manualFormatting" : " Gill and Biger, (2013)", "plainTextFormattedCitation" : "(Gill and Biger, 2013)", "previouslyFormattedCitation" : "(Gill and Biger, 2013)" }, "properties" : {  }, "schema" : "https://github.com/citation-style-language/schema/raw/master/csl-citation.json" }</w:instrText>
      </w:r>
      <w:r w:rsidRPr="00E71A68">
        <w:rPr>
          <w:rFonts w:ascii="Arial" w:hAnsi="Arial" w:cs="Arial"/>
          <w:bCs/>
          <w:iCs/>
          <w:sz w:val="24"/>
          <w:szCs w:val="24"/>
          <w:lang w:val="en-US"/>
        </w:rPr>
        <w:fldChar w:fldCharType="separate"/>
      </w:r>
      <w:r w:rsidRPr="00E71A68">
        <w:rPr>
          <w:rFonts w:ascii="Arial" w:hAnsi="Arial" w:cs="Arial"/>
          <w:bCs/>
          <w:iCs/>
          <w:noProof/>
          <w:sz w:val="24"/>
          <w:szCs w:val="24"/>
          <w:lang w:val="en-US"/>
        </w:rPr>
        <w:t xml:space="preserve"> Gill and Biger, (2013)</w:t>
      </w:r>
      <w:r w:rsidRPr="00E71A68">
        <w:rPr>
          <w:rFonts w:ascii="Arial" w:hAnsi="Arial" w:cs="Arial"/>
          <w:sz w:val="24"/>
          <w:szCs w:val="24"/>
        </w:rPr>
        <w:fldChar w:fldCharType="end"/>
      </w:r>
      <w:r w:rsidRPr="00E71A68">
        <w:rPr>
          <w:rFonts w:ascii="Arial" w:hAnsi="Arial" w:cs="Arial"/>
          <w:bCs/>
          <w:iCs/>
          <w:sz w:val="24"/>
          <w:szCs w:val="24"/>
        </w:rPr>
        <w:t xml:space="preserve"> show that </w:t>
      </w:r>
      <w:r w:rsidR="006C02E9">
        <w:rPr>
          <w:rFonts w:ascii="Arial" w:hAnsi="Arial" w:cs="Arial"/>
          <w:bCs/>
          <w:iCs/>
          <w:sz w:val="24"/>
          <w:szCs w:val="24"/>
        </w:rPr>
        <w:t xml:space="preserve">strong </w:t>
      </w:r>
      <w:r w:rsidRPr="00E71A68">
        <w:rPr>
          <w:rFonts w:ascii="Arial" w:hAnsi="Arial" w:cs="Arial"/>
          <w:bCs/>
          <w:iCs/>
          <w:sz w:val="24"/>
          <w:szCs w:val="24"/>
        </w:rPr>
        <w:t xml:space="preserve">corporate governance plays an important role in improving the efficiency of working capital management. According to the authors, firms with strong corporate governance structures can efficiently manage of working capital better. Therefore, strong corporate governance, we </w:t>
      </w:r>
      <w:r w:rsidRPr="00E71A68">
        <w:rPr>
          <w:rFonts w:ascii="Arial" w:hAnsi="Arial" w:cs="Arial"/>
          <w:bCs/>
          <w:iCs/>
          <w:sz w:val="24"/>
          <w:szCs w:val="24"/>
        </w:rPr>
        <w:lastRenderedPageBreak/>
        <w:t xml:space="preserve">argue, is necessary to create and maintain sound working capital management policies to enhance firms’ </w:t>
      </w:r>
      <w:r w:rsidR="00C421D3">
        <w:rPr>
          <w:rFonts w:ascii="Arial" w:hAnsi="Arial" w:cs="Arial"/>
          <w:bCs/>
          <w:iCs/>
          <w:sz w:val="24"/>
          <w:szCs w:val="24"/>
        </w:rPr>
        <w:t xml:space="preserve">financial </w:t>
      </w:r>
      <w:r w:rsidRPr="00E71A68">
        <w:rPr>
          <w:rFonts w:ascii="Arial" w:hAnsi="Arial" w:cs="Arial"/>
          <w:bCs/>
          <w:iCs/>
          <w:sz w:val="24"/>
          <w:szCs w:val="24"/>
        </w:rPr>
        <w:t>performance.</w:t>
      </w:r>
      <w:r w:rsidRPr="00E71A68">
        <w:rPr>
          <w:rFonts w:ascii="Arial" w:hAnsi="Arial" w:cs="Arial"/>
          <w:sz w:val="24"/>
          <w:szCs w:val="24"/>
        </w:rPr>
        <w:t xml:space="preserve"> </w:t>
      </w:r>
    </w:p>
    <w:p w14:paraId="72E563E7" w14:textId="154CF102" w:rsidR="004F00F6" w:rsidRPr="00E71A68" w:rsidRDefault="004F00F6" w:rsidP="00905C95">
      <w:pPr>
        <w:spacing w:after="0" w:line="360" w:lineRule="auto"/>
        <w:jc w:val="both"/>
        <w:rPr>
          <w:rFonts w:ascii="Arial" w:hAnsi="Arial" w:cs="Arial"/>
          <w:bCs/>
          <w:sz w:val="24"/>
          <w:szCs w:val="24"/>
        </w:rPr>
      </w:pPr>
      <w:r w:rsidRPr="00E71A68">
        <w:rPr>
          <w:rFonts w:ascii="Arial" w:hAnsi="Arial" w:cs="Arial"/>
          <w:bCs/>
          <w:sz w:val="24"/>
          <w:szCs w:val="24"/>
        </w:rPr>
        <w:t>To test these distin</w:t>
      </w:r>
      <w:r w:rsidR="000F799C">
        <w:rPr>
          <w:rFonts w:ascii="Arial" w:hAnsi="Arial" w:cs="Arial"/>
          <w:bCs/>
          <w:sz w:val="24"/>
          <w:szCs w:val="24"/>
        </w:rPr>
        <w:t>ct channels of influence, we adopt</w:t>
      </w:r>
      <w:r w:rsidRPr="00E71A68">
        <w:rPr>
          <w:rFonts w:ascii="Arial" w:hAnsi="Arial" w:cs="Arial"/>
          <w:bCs/>
          <w:sz w:val="24"/>
          <w:szCs w:val="24"/>
        </w:rPr>
        <w:t xml:space="preserve"> a dynamic panel data analysis </w:t>
      </w:r>
      <w:r w:rsidR="000F799C">
        <w:rPr>
          <w:rFonts w:ascii="Arial" w:hAnsi="Arial" w:cs="Arial"/>
          <w:bCs/>
          <w:sz w:val="24"/>
          <w:szCs w:val="24"/>
        </w:rPr>
        <w:t xml:space="preserve">using general methods of moments (GMM) </w:t>
      </w:r>
      <w:r w:rsidRPr="00E71A68">
        <w:rPr>
          <w:rFonts w:ascii="Arial" w:hAnsi="Arial" w:cs="Arial"/>
          <w:bCs/>
          <w:sz w:val="24"/>
          <w:szCs w:val="24"/>
        </w:rPr>
        <w:t>on a sample</w:t>
      </w:r>
      <w:r w:rsidRPr="00E71A68">
        <w:rPr>
          <w:rFonts w:ascii="Arial" w:hAnsi="Arial" w:cs="Arial"/>
          <w:bCs/>
          <w:sz w:val="24"/>
          <w:szCs w:val="24"/>
          <w:lang w:val="en-US"/>
        </w:rPr>
        <w:t xml:space="preserve"> </w:t>
      </w:r>
      <w:r w:rsidR="00905C95" w:rsidRPr="00E71A68">
        <w:rPr>
          <w:rFonts w:ascii="Arial" w:hAnsi="Arial" w:cs="Arial"/>
          <w:bCs/>
          <w:sz w:val="24"/>
          <w:szCs w:val="24"/>
          <w:lang w:val="en-US"/>
        </w:rPr>
        <w:t>of</w:t>
      </w:r>
      <w:r w:rsidR="00905C95" w:rsidRPr="0079000A">
        <w:rPr>
          <w:rFonts w:ascii="Arial" w:hAnsi="Arial" w:cs="Arial"/>
          <w:bCs/>
          <w:sz w:val="24"/>
          <w:szCs w:val="24"/>
        </w:rPr>
        <w:t xml:space="preserve"> an</w:t>
      </w:r>
      <w:r w:rsidR="0079000A" w:rsidRPr="0079000A">
        <w:rPr>
          <w:rFonts w:ascii="Arial" w:hAnsi="Arial" w:cs="Arial"/>
          <w:bCs/>
          <w:sz w:val="24"/>
          <w:szCs w:val="24"/>
        </w:rPr>
        <w:t xml:space="preserve"> </w:t>
      </w:r>
      <w:r w:rsidR="0079000A" w:rsidRPr="0079000A">
        <w:rPr>
          <w:rFonts w:ascii="Arial" w:hAnsi="Arial" w:cs="Arial"/>
          <w:bCs/>
          <w:iCs/>
          <w:sz w:val="24"/>
          <w:szCs w:val="24"/>
        </w:rPr>
        <w:t xml:space="preserve">unbalanced panel of </w:t>
      </w:r>
      <w:r w:rsidR="00905C95" w:rsidRPr="00905C95">
        <w:rPr>
          <w:rFonts w:ascii="Arial" w:hAnsi="Arial" w:cs="Arial"/>
          <w:bCs/>
          <w:iCs/>
          <w:sz w:val="24"/>
          <w:szCs w:val="24"/>
        </w:rPr>
        <w:t>802 firms liste</w:t>
      </w:r>
      <w:r w:rsidR="00905C95">
        <w:rPr>
          <w:rFonts w:ascii="Arial" w:hAnsi="Arial" w:cs="Arial"/>
          <w:bCs/>
          <w:iCs/>
          <w:sz w:val="24"/>
          <w:szCs w:val="24"/>
        </w:rPr>
        <w:t xml:space="preserve">d on the </w:t>
      </w:r>
      <w:r w:rsidR="00905C95" w:rsidRPr="00905C95">
        <w:rPr>
          <w:rFonts w:ascii="Arial" w:hAnsi="Arial" w:cs="Arial"/>
          <w:bCs/>
          <w:iCs/>
          <w:sz w:val="24"/>
          <w:szCs w:val="24"/>
        </w:rPr>
        <w:t>LSE</w:t>
      </w:r>
      <w:r w:rsidR="00905C95" w:rsidRPr="00905C95">
        <w:rPr>
          <w:rFonts w:ascii="Arial" w:hAnsi="Arial" w:cs="Arial"/>
          <w:bCs/>
          <w:sz w:val="24"/>
          <w:szCs w:val="24"/>
        </w:rPr>
        <w:t xml:space="preserve"> from 2004 to 2014</w:t>
      </w:r>
      <w:r w:rsidR="00905C95">
        <w:rPr>
          <w:rFonts w:ascii="Arial" w:hAnsi="Arial" w:cs="Arial"/>
          <w:bCs/>
          <w:sz w:val="24"/>
          <w:szCs w:val="24"/>
        </w:rPr>
        <w:t xml:space="preserve">. </w:t>
      </w:r>
      <w:r w:rsidRPr="00E71A68">
        <w:rPr>
          <w:rFonts w:ascii="Arial" w:hAnsi="Arial" w:cs="Arial"/>
          <w:bCs/>
          <w:sz w:val="24"/>
          <w:szCs w:val="24"/>
        </w:rPr>
        <w:t xml:space="preserve">Evidence of our study offers support to these relational pathways for the effects of WCM on firm </w:t>
      </w:r>
      <w:r w:rsidR="00C421D3">
        <w:rPr>
          <w:rFonts w:ascii="Arial" w:hAnsi="Arial" w:cs="Arial"/>
          <w:bCs/>
          <w:sz w:val="24"/>
          <w:szCs w:val="24"/>
        </w:rPr>
        <w:t xml:space="preserve">financial </w:t>
      </w:r>
      <w:r w:rsidRPr="00E71A68">
        <w:rPr>
          <w:rFonts w:ascii="Arial" w:hAnsi="Arial" w:cs="Arial"/>
          <w:bCs/>
          <w:sz w:val="24"/>
          <w:szCs w:val="24"/>
        </w:rPr>
        <w:t>performance.</w:t>
      </w:r>
      <w:r w:rsidRPr="00E71A68">
        <w:rPr>
          <w:rFonts w:ascii="Arial" w:hAnsi="Arial" w:cs="Arial"/>
          <w:sz w:val="24"/>
          <w:szCs w:val="24"/>
          <w:lang w:val="en-US"/>
        </w:rPr>
        <w:t xml:space="preserve"> </w:t>
      </w:r>
      <w:r w:rsidRPr="00E71A68">
        <w:rPr>
          <w:rFonts w:ascii="Arial" w:hAnsi="Arial" w:cs="Arial"/>
          <w:bCs/>
          <w:sz w:val="24"/>
          <w:szCs w:val="24"/>
          <w:lang w:val="en-US"/>
        </w:rPr>
        <w:t xml:space="preserve">We find that the impact of working capital management on </w:t>
      </w:r>
      <w:r w:rsidR="00C421D3">
        <w:rPr>
          <w:rFonts w:ascii="Arial" w:hAnsi="Arial" w:cs="Arial"/>
          <w:bCs/>
          <w:sz w:val="24"/>
          <w:szCs w:val="24"/>
          <w:lang w:val="en-US"/>
        </w:rPr>
        <w:t xml:space="preserve">financial </w:t>
      </w:r>
      <w:r w:rsidRPr="00E71A68">
        <w:rPr>
          <w:rFonts w:ascii="Arial" w:hAnsi="Arial" w:cs="Arial"/>
          <w:bCs/>
          <w:sz w:val="24"/>
          <w:szCs w:val="24"/>
          <w:lang w:val="en-US"/>
        </w:rPr>
        <w:t>performance</w:t>
      </w:r>
      <w:r w:rsidRPr="00E71A68">
        <w:rPr>
          <w:rFonts w:ascii="Arial" w:hAnsi="Arial" w:cs="Arial"/>
          <w:bCs/>
          <w:sz w:val="24"/>
          <w:szCs w:val="24"/>
        </w:rPr>
        <w:t xml:space="preserve"> changes to reflect </w:t>
      </w:r>
      <w:r w:rsidR="009560DD" w:rsidRPr="00E71A68">
        <w:rPr>
          <w:rFonts w:ascii="Arial" w:hAnsi="Arial" w:cs="Arial"/>
          <w:bCs/>
          <w:sz w:val="24"/>
          <w:szCs w:val="24"/>
        </w:rPr>
        <w:t>number contingency variables</w:t>
      </w:r>
      <w:r w:rsidRPr="00E71A68">
        <w:rPr>
          <w:rFonts w:ascii="Arial" w:hAnsi="Arial" w:cs="Arial"/>
          <w:bCs/>
          <w:sz w:val="24"/>
          <w:szCs w:val="24"/>
        </w:rPr>
        <w:t xml:space="preserve"> such as environmental, resource and management capabilities of the firm.</w:t>
      </w:r>
    </w:p>
    <w:p w14:paraId="653699EA" w14:textId="49719C15" w:rsidR="00F55BCC" w:rsidRPr="00381A1F" w:rsidRDefault="00F55BCC" w:rsidP="00CF3856">
      <w:pPr>
        <w:spacing w:after="0" w:line="360" w:lineRule="auto"/>
        <w:ind w:firstLine="720"/>
        <w:jc w:val="both"/>
        <w:rPr>
          <w:rFonts w:ascii="Arial" w:hAnsi="Arial" w:cs="Arial"/>
          <w:bCs/>
          <w:iCs/>
          <w:color w:val="000000" w:themeColor="text1"/>
          <w:sz w:val="24"/>
          <w:szCs w:val="24"/>
        </w:rPr>
      </w:pPr>
      <w:bookmarkStart w:id="28" w:name="OLE_LINK101"/>
      <w:bookmarkStart w:id="29" w:name="OLE_LINK102"/>
      <w:bookmarkStart w:id="30" w:name="OLE_LINK106"/>
      <w:r>
        <w:rPr>
          <w:rFonts w:ascii="Arial" w:hAnsi="Arial" w:cs="Arial"/>
          <w:sz w:val="24"/>
          <w:szCs w:val="24"/>
        </w:rPr>
        <w:t>Our main contribution is by</w:t>
      </w:r>
      <w:r w:rsidR="004F00F6" w:rsidRPr="00E71A68">
        <w:rPr>
          <w:rFonts w:ascii="Arial" w:hAnsi="Arial" w:cs="Arial"/>
          <w:color w:val="FF0000"/>
          <w:sz w:val="24"/>
          <w:szCs w:val="24"/>
        </w:rPr>
        <w:t xml:space="preserve"> </w:t>
      </w:r>
      <w:r w:rsidR="004F00F6" w:rsidRPr="00381A1F">
        <w:rPr>
          <w:rFonts w:ascii="Arial" w:hAnsi="Arial" w:cs="Arial"/>
          <w:bCs/>
          <w:iCs/>
          <w:color w:val="000000" w:themeColor="text1"/>
          <w:sz w:val="24"/>
          <w:szCs w:val="24"/>
          <w:lang w:val="en-US"/>
        </w:rPr>
        <w:t>demonstrat</w:t>
      </w:r>
      <w:r w:rsidRPr="00381A1F">
        <w:rPr>
          <w:rFonts w:ascii="Arial" w:hAnsi="Arial" w:cs="Arial"/>
          <w:bCs/>
          <w:iCs/>
          <w:color w:val="000000" w:themeColor="text1"/>
          <w:sz w:val="24"/>
          <w:szCs w:val="24"/>
          <w:lang w:val="en-US"/>
        </w:rPr>
        <w:t>ing</w:t>
      </w:r>
      <w:r w:rsidR="00C91AFE">
        <w:rPr>
          <w:rFonts w:ascii="Arial" w:hAnsi="Arial" w:cs="Arial"/>
          <w:bCs/>
          <w:iCs/>
          <w:color w:val="000000" w:themeColor="text1"/>
          <w:sz w:val="24"/>
          <w:szCs w:val="24"/>
          <w:lang w:val="en-US"/>
        </w:rPr>
        <w:t>,</w:t>
      </w:r>
      <w:r w:rsidR="004F00F6" w:rsidRPr="00381A1F">
        <w:rPr>
          <w:rFonts w:ascii="Arial" w:hAnsi="Arial" w:cs="Arial"/>
          <w:bCs/>
          <w:iCs/>
          <w:color w:val="000000" w:themeColor="text1"/>
          <w:sz w:val="24"/>
          <w:szCs w:val="24"/>
          <w:lang w:val="en-US"/>
        </w:rPr>
        <w:t xml:space="preserve"> for the first time</w:t>
      </w:r>
      <w:r w:rsidR="00C91AFE">
        <w:rPr>
          <w:rFonts w:ascii="Arial" w:hAnsi="Arial" w:cs="Arial"/>
          <w:bCs/>
          <w:iCs/>
          <w:color w:val="000000" w:themeColor="text1"/>
          <w:sz w:val="24"/>
          <w:szCs w:val="24"/>
          <w:lang w:val="en-US"/>
        </w:rPr>
        <w:t>,</w:t>
      </w:r>
      <w:r w:rsidR="004F00F6" w:rsidRPr="00381A1F">
        <w:rPr>
          <w:rFonts w:ascii="Arial" w:hAnsi="Arial" w:cs="Arial"/>
          <w:bCs/>
          <w:iCs/>
          <w:color w:val="000000" w:themeColor="text1"/>
          <w:sz w:val="24"/>
          <w:szCs w:val="24"/>
          <w:lang w:val="en-US"/>
        </w:rPr>
        <w:t xml:space="preserve"> how the</w:t>
      </w:r>
      <w:r w:rsidR="004F00F6" w:rsidRPr="00381A1F">
        <w:rPr>
          <w:rFonts w:ascii="Arial" w:hAnsi="Arial" w:cs="Arial"/>
          <w:bCs/>
          <w:iCs/>
          <w:color w:val="000000" w:themeColor="text1"/>
          <w:sz w:val="24"/>
          <w:szCs w:val="24"/>
        </w:rPr>
        <w:t xml:space="preserve"> impact of WCM on </w:t>
      </w:r>
      <w:r w:rsidR="00C421D3" w:rsidRPr="00381A1F">
        <w:rPr>
          <w:rFonts w:ascii="Arial" w:hAnsi="Arial" w:cs="Arial"/>
          <w:bCs/>
          <w:iCs/>
          <w:color w:val="000000" w:themeColor="text1"/>
          <w:sz w:val="24"/>
          <w:szCs w:val="24"/>
        </w:rPr>
        <w:t>firms’ financial performance</w:t>
      </w:r>
      <w:r w:rsidR="004F00F6" w:rsidRPr="00381A1F">
        <w:rPr>
          <w:rFonts w:ascii="Arial" w:hAnsi="Arial" w:cs="Arial"/>
          <w:bCs/>
          <w:iCs/>
          <w:color w:val="000000" w:themeColor="text1"/>
          <w:sz w:val="24"/>
          <w:szCs w:val="24"/>
        </w:rPr>
        <w:t xml:space="preserve"> changes under different conditions. While prior studies </w:t>
      </w:r>
      <w:r w:rsidR="004F00F6" w:rsidRPr="00381A1F">
        <w:rPr>
          <w:rFonts w:ascii="Arial" w:hAnsi="Arial" w:cs="Arial"/>
          <w:bCs/>
          <w:iCs/>
          <w:color w:val="000000" w:themeColor="text1"/>
          <w:sz w:val="24"/>
          <w:szCs w:val="24"/>
        </w:rPr>
        <w:lastRenderedPageBreak/>
        <w:t xml:space="preserve">have provided extensive empirical evidence on the impact of WCM on </w:t>
      </w:r>
      <w:r w:rsidR="00C421D3" w:rsidRPr="00381A1F">
        <w:rPr>
          <w:rFonts w:ascii="Arial" w:hAnsi="Arial" w:cs="Arial"/>
          <w:bCs/>
          <w:iCs/>
          <w:color w:val="000000" w:themeColor="text1"/>
          <w:sz w:val="24"/>
          <w:szCs w:val="24"/>
        </w:rPr>
        <w:t>firms’ financial performance</w:t>
      </w:r>
      <w:r w:rsidR="004F00F6" w:rsidRPr="00381A1F">
        <w:rPr>
          <w:rFonts w:ascii="Arial" w:hAnsi="Arial" w:cs="Arial"/>
          <w:bCs/>
          <w:iCs/>
          <w:color w:val="000000" w:themeColor="text1"/>
          <w:sz w:val="24"/>
          <w:szCs w:val="24"/>
        </w:rPr>
        <w:t xml:space="preserve">, there is still no evidence to demonstrate how the firms’ ability to enhance performance through investment in working capital is influenced by contingent factors such as environmental, resource and management capabilities of the firm. We argue that WCM - performance relationship needs to </w:t>
      </w:r>
      <w:r w:rsidRPr="00381A1F">
        <w:rPr>
          <w:rFonts w:ascii="Arial" w:hAnsi="Arial" w:cs="Arial"/>
          <w:bCs/>
          <w:iCs/>
          <w:color w:val="000000" w:themeColor="text1"/>
          <w:sz w:val="24"/>
          <w:szCs w:val="24"/>
        </w:rPr>
        <w:t xml:space="preserve">be </w:t>
      </w:r>
      <w:r w:rsidR="004F00F6" w:rsidRPr="00381A1F">
        <w:rPr>
          <w:rFonts w:ascii="Arial" w:hAnsi="Arial" w:cs="Arial"/>
          <w:bCs/>
          <w:iCs/>
          <w:color w:val="000000" w:themeColor="text1"/>
          <w:sz w:val="24"/>
          <w:szCs w:val="24"/>
        </w:rPr>
        <w:t>underst</w:t>
      </w:r>
      <w:r w:rsidRPr="00381A1F">
        <w:rPr>
          <w:rFonts w:ascii="Arial" w:hAnsi="Arial" w:cs="Arial"/>
          <w:bCs/>
          <w:iCs/>
          <w:color w:val="000000" w:themeColor="text1"/>
          <w:sz w:val="24"/>
          <w:szCs w:val="24"/>
        </w:rPr>
        <w:t>ood</w:t>
      </w:r>
      <w:r w:rsidR="004F00F6" w:rsidRPr="00381A1F">
        <w:rPr>
          <w:rFonts w:ascii="Arial" w:hAnsi="Arial" w:cs="Arial"/>
          <w:bCs/>
          <w:iCs/>
          <w:color w:val="000000" w:themeColor="text1"/>
          <w:sz w:val="24"/>
          <w:szCs w:val="24"/>
        </w:rPr>
        <w:t xml:space="preserve"> in the context these firm-specific characteristics. That is</w:t>
      </w:r>
      <w:r w:rsidR="00C91AFE">
        <w:rPr>
          <w:rFonts w:ascii="Arial" w:hAnsi="Arial" w:cs="Arial"/>
          <w:bCs/>
          <w:iCs/>
          <w:color w:val="000000" w:themeColor="text1"/>
          <w:sz w:val="24"/>
          <w:szCs w:val="24"/>
        </w:rPr>
        <w:t>,</w:t>
      </w:r>
      <w:r w:rsidR="004F00F6" w:rsidRPr="00381A1F">
        <w:rPr>
          <w:rFonts w:ascii="Arial" w:hAnsi="Arial" w:cs="Arial"/>
          <w:bCs/>
          <w:iCs/>
          <w:color w:val="000000" w:themeColor="text1"/>
          <w:sz w:val="24"/>
          <w:szCs w:val="24"/>
        </w:rPr>
        <w:t xml:space="preserve"> </w:t>
      </w:r>
      <w:bookmarkStart w:id="31" w:name="OLE_LINK220"/>
      <w:bookmarkStart w:id="32" w:name="OLE_LINK221"/>
      <w:r w:rsidR="004F00F6" w:rsidRPr="00381A1F">
        <w:rPr>
          <w:rFonts w:ascii="Arial" w:hAnsi="Arial" w:cs="Arial"/>
          <w:bCs/>
          <w:iCs/>
          <w:color w:val="000000" w:themeColor="text1"/>
          <w:sz w:val="24"/>
          <w:szCs w:val="24"/>
        </w:rPr>
        <w:t>the contingency framework helps to provide an understanding on the conditions under which investment in working capital can be an effective tool in enhancing firms</w:t>
      </w:r>
      <w:r w:rsidR="00C91AFE">
        <w:rPr>
          <w:rFonts w:ascii="Arial" w:hAnsi="Arial" w:cs="Arial"/>
          <w:bCs/>
          <w:iCs/>
          <w:color w:val="000000" w:themeColor="text1"/>
          <w:sz w:val="24"/>
          <w:szCs w:val="24"/>
        </w:rPr>
        <w:t>’</w:t>
      </w:r>
      <w:r w:rsidR="004F00F6" w:rsidRPr="00381A1F">
        <w:rPr>
          <w:rFonts w:ascii="Arial" w:hAnsi="Arial" w:cs="Arial"/>
          <w:bCs/>
          <w:iCs/>
          <w:color w:val="000000" w:themeColor="text1"/>
          <w:sz w:val="24"/>
          <w:szCs w:val="24"/>
        </w:rPr>
        <w:t xml:space="preserve"> </w:t>
      </w:r>
      <w:r w:rsidR="00C91AFE">
        <w:rPr>
          <w:rFonts w:ascii="Arial" w:hAnsi="Arial" w:cs="Arial"/>
          <w:bCs/>
          <w:iCs/>
          <w:color w:val="000000" w:themeColor="text1"/>
          <w:sz w:val="24"/>
          <w:szCs w:val="24"/>
        </w:rPr>
        <w:t xml:space="preserve">financial </w:t>
      </w:r>
      <w:r w:rsidR="004F00F6" w:rsidRPr="00381A1F">
        <w:rPr>
          <w:rFonts w:ascii="Arial" w:hAnsi="Arial" w:cs="Arial"/>
          <w:bCs/>
          <w:iCs/>
          <w:color w:val="000000" w:themeColor="text1"/>
          <w:sz w:val="24"/>
          <w:szCs w:val="24"/>
        </w:rPr>
        <w:t>performance and which contingencies enhance or constrain firms’ ability to achieve this objective</w:t>
      </w:r>
      <w:bookmarkEnd w:id="31"/>
      <w:bookmarkEnd w:id="32"/>
      <w:r w:rsidR="004F00F6" w:rsidRPr="00381A1F">
        <w:rPr>
          <w:rFonts w:ascii="Arial" w:hAnsi="Arial" w:cs="Arial"/>
          <w:bCs/>
          <w:iCs/>
          <w:color w:val="000000" w:themeColor="text1"/>
          <w:sz w:val="24"/>
          <w:szCs w:val="24"/>
        </w:rPr>
        <w:t xml:space="preserve">. </w:t>
      </w:r>
    </w:p>
    <w:p w14:paraId="7ABB8FBA" w14:textId="1F8211ED" w:rsidR="004F00F6" w:rsidRPr="00381A1F" w:rsidRDefault="00F55BCC" w:rsidP="004E32E2">
      <w:pPr>
        <w:spacing w:after="0" w:line="360" w:lineRule="auto"/>
        <w:ind w:firstLine="720"/>
        <w:jc w:val="both"/>
        <w:rPr>
          <w:rFonts w:ascii="Arial" w:hAnsi="Arial" w:cs="Arial"/>
          <w:bCs/>
          <w:iCs/>
          <w:color w:val="000000" w:themeColor="text1"/>
          <w:sz w:val="24"/>
          <w:szCs w:val="24"/>
        </w:rPr>
      </w:pPr>
      <w:r w:rsidRPr="00381A1F">
        <w:rPr>
          <w:rFonts w:ascii="Arial" w:hAnsi="Arial" w:cs="Arial"/>
          <w:bCs/>
          <w:color w:val="000000" w:themeColor="text1"/>
          <w:sz w:val="24"/>
          <w:szCs w:val="24"/>
          <w:lang w:val="en-US"/>
        </w:rPr>
        <w:lastRenderedPageBreak/>
        <w:t xml:space="preserve">We also </w:t>
      </w:r>
      <w:r w:rsidR="004F00F6" w:rsidRPr="00381A1F">
        <w:rPr>
          <w:rFonts w:ascii="Arial" w:hAnsi="Arial" w:cs="Arial"/>
          <w:bCs/>
          <w:color w:val="000000" w:themeColor="text1"/>
          <w:sz w:val="24"/>
          <w:szCs w:val="24"/>
          <w:lang w:val="en-US"/>
        </w:rPr>
        <w:t xml:space="preserve">contribute to the limited research evidence on the </w:t>
      </w:r>
      <w:r w:rsidR="00C91AFE">
        <w:rPr>
          <w:rFonts w:ascii="Arial" w:hAnsi="Arial" w:cs="Arial"/>
          <w:bCs/>
          <w:color w:val="000000" w:themeColor="text1"/>
          <w:sz w:val="24"/>
          <w:szCs w:val="24"/>
          <w:lang w:val="en-US"/>
        </w:rPr>
        <w:t xml:space="preserve">direct </w:t>
      </w:r>
      <w:r w:rsidR="004F00F6" w:rsidRPr="00381A1F">
        <w:rPr>
          <w:rFonts w:ascii="Arial" w:hAnsi="Arial" w:cs="Arial"/>
          <w:bCs/>
          <w:color w:val="000000" w:themeColor="text1"/>
          <w:sz w:val="24"/>
          <w:szCs w:val="24"/>
          <w:lang w:val="en-US"/>
        </w:rPr>
        <w:t xml:space="preserve">relationship between WCM and </w:t>
      </w:r>
      <w:r w:rsidR="00C91AFE">
        <w:rPr>
          <w:rFonts w:ascii="Arial" w:hAnsi="Arial" w:cs="Arial"/>
          <w:bCs/>
          <w:color w:val="000000" w:themeColor="text1"/>
          <w:sz w:val="24"/>
          <w:szCs w:val="24"/>
          <w:lang w:val="en-US"/>
        </w:rPr>
        <w:t xml:space="preserve">financial </w:t>
      </w:r>
      <w:r w:rsidR="004F00F6" w:rsidRPr="00381A1F">
        <w:rPr>
          <w:rFonts w:ascii="Arial" w:hAnsi="Arial" w:cs="Arial"/>
          <w:bCs/>
          <w:color w:val="000000" w:themeColor="text1"/>
          <w:sz w:val="24"/>
          <w:szCs w:val="24"/>
          <w:lang w:val="en-US"/>
        </w:rPr>
        <w:t>performance in the UK where current knowledge and understanding is limited given that late payment problems have been identified as a source of business failure.</w:t>
      </w:r>
      <w:r w:rsidR="004F00F6" w:rsidRPr="00381A1F">
        <w:rPr>
          <w:rFonts w:ascii="Arial" w:hAnsi="Arial" w:cs="Arial"/>
          <w:bCs/>
          <w:iCs/>
          <w:color w:val="000000" w:themeColor="text1"/>
          <w:sz w:val="24"/>
          <w:szCs w:val="24"/>
        </w:rPr>
        <w:t xml:space="preserve"> The few existing studies </w:t>
      </w:r>
      <w:r w:rsidR="00C91AFE">
        <w:rPr>
          <w:rFonts w:ascii="Arial" w:hAnsi="Arial" w:cs="Arial"/>
          <w:bCs/>
          <w:iCs/>
          <w:color w:val="000000" w:themeColor="text1"/>
          <w:sz w:val="24"/>
          <w:szCs w:val="24"/>
        </w:rPr>
        <w:t xml:space="preserve">that exist </w:t>
      </w:r>
      <w:r w:rsidR="00C003C2" w:rsidRPr="00381A1F">
        <w:rPr>
          <w:rFonts w:ascii="Arial" w:hAnsi="Arial" w:cs="Arial"/>
          <w:bCs/>
          <w:iCs/>
          <w:color w:val="000000" w:themeColor="text1"/>
          <w:sz w:val="24"/>
          <w:szCs w:val="24"/>
        </w:rPr>
        <w:fldChar w:fldCharType="begin" w:fldLock="1"/>
      </w:r>
      <w:r w:rsidR="0093010E">
        <w:rPr>
          <w:rFonts w:ascii="Arial" w:hAnsi="Arial" w:cs="Arial"/>
          <w:bCs/>
          <w:iCs/>
          <w:color w:val="000000" w:themeColor="text1"/>
          <w:sz w:val="24"/>
          <w:szCs w:val="24"/>
        </w:rPr>
        <w:instrText>ADDIN CSL_CITATION { "citationItems" : [ { "id" : "ITEM-1", "itemData" : { "DOI" : "10.1016/S1044-5005(03)00022-2", "ISBN" : "10445005", "ISSN" : "10445005", "abstract" : "Working capital management routines of a large random sample of small companies in the UK are examined. Considerable variability in the take-up of 11 working capital management routines was detected. Principal components analysis and cluster analysis confirm the identification of four distinct 'types' of companies with regard to patterns of working capital management. The first three 'types' of companies focused upon cash management, stock or debtors routines respectively, whilst the fourth 'type' were less likely to take-up any working capital management routines. Influences on the amount and focus of working capital management are discussed. Multinomial logistic regression analysis suggests that the selected independent variables successfully discriminated between the four 'types' of companies. The results suggest that small companies focus only on areas of working capital management where they expect to improve marginal returns. The difficulties of establishing causality are highlighted and implications for academics, policy-makers and practitioners are reported. \u00a9 2003 Elsevier Science Ltd. All rights reserved.", "author" : [ { "dropping-particle" : "", "family" : "Howorth", "given" : "Carole", "non-dropping-particle" : "", "parse-names" : false, "suffix" : "" }, { "dropping-particle" : "", "family" : "Westhead", "given" : "Paul", "non-dropping-particle" : "", "parse-names" : false, "suffix" : "" } ], "container-title" : "Management Accounting Research", "id" : "ITEM-1", "issue" : "2", "issued" : { "date-parts" : [ [ "2003" ] ] }, "page" : "94-111", "title" : "The focus of working capital management in UK small firms", "type" : "article", "volume" : "14" }, "uris" : [ "http://www.mendeley.com/documents/?uuid=335d1b84-048d-4c3d-9349-c2b65d042f60" ] }, { "id" : "ITEM-2", "itemData" : { "DOI" : "10.1108/jsbed-12-2011-0029", "ISBN" : "14626004", "ISSN" : "1462-6004", "PMID" : "1428881529", "abstract" : "Purpose - This paper aims to report the results of an investigation of the relative importance of working capital management, measured by the cash conversion cycle (CCC), and its components (inventory, accounts receivable and accounts payable) to the profitability of SMEs. Design/methodology/approach - The paper employs panel data regression analysis and a questionnaire survey on a sample of 133 Alternative Investment Market (AIM) listed SMEs. The panel data analysis utilises financial data for the period 2005 to 2009. The questionnaire survey results are based on 19 SMEs that responded. Findings - Panel data analysis results show that the management of accounts payable (AP) and accounts receivable (AR) is important for SMEs profitability. However, AP management is relatively more important than AR management. Inventory (INV) and CCC management is not important for SMEs profitability. Questionnaire results suggest that management of CCC and all its components is perceived as important for SMEs profitability. In terms of relative importance, AR management is most important, followed by AP, INV and CCC respectively. Research limitations/implications - The sample is limited to AIM listed SMEs, and therefore the findings cannot be generalised to all companies. Practical implications - Overall the results imply that the SMEs need to concentrate their limited resources on managing AR and AP in order to be more profitable. Originality/value - The study is the first to investigate the relative importance of WCM and its components to SMEs profitability and use both regression analysis and questionnaire survey.", "author" : [ { "dropping-particle" : "", "family" : "Tauringana", "given" : "Venancio", "non-dropping-particle" : "", "parse-names" : false, "suffix" : "" }, { "dropping-particle" : "", "family" : "Godfred Adjapong", "given" : "Afrifa", "non-dropping-particle" : "", "parse-names" : false, "suffix" : "" } ], "container-title" : "Journal of Small Business and Enterprise Development", "id" : "ITEM-2", "issue" : "3", "issued" : { "date-parts" : [ [ "2013" ] ] }, "page" : "453-469", "title" : "The relative importance of working capital management and its components to SMEs' profitability", "type" : "article-journal", "volume" : "20" }, "uris" : [ "http://www.mendeley.com/documents/?uuid=654362ec-e01b-4380-af80-1c7c73c64f0f" ] } ], "mendeley" : { "formattedCitation" : "(Howorth and Westhead, 2003; Tauringana and Godfred Adjapong, 2013)", "manualFormatting" : "(e.g., Howorth and Westhead 2003; Tauringana and Afrifa 2013)", "plainTextFormattedCitation" : "(Howorth and Westhead, 2003; Tauringana and Godfred Adjapong, 2013)", "previouslyFormattedCitation" : "(Howorth and Westhead, 2003; Tauringana and Godfred Adjapong, 2013)" }, "properties" : {  }, "schema" : "https://github.com/citation-style-language/schema/raw/master/csl-citation.json" }</w:instrText>
      </w:r>
      <w:r w:rsidR="00C003C2" w:rsidRPr="00381A1F">
        <w:rPr>
          <w:rFonts w:ascii="Arial" w:hAnsi="Arial" w:cs="Arial"/>
          <w:bCs/>
          <w:iCs/>
          <w:color w:val="000000" w:themeColor="text1"/>
          <w:sz w:val="24"/>
          <w:szCs w:val="24"/>
        </w:rPr>
        <w:fldChar w:fldCharType="separate"/>
      </w:r>
      <w:r w:rsidR="00C003C2" w:rsidRPr="00381A1F">
        <w:rPr>
          <w:rFonts w:ascii="Arial" w:hAnsi="Arial" w:cs="Arial"/>
          <w:bCs/>
          <w:iCs/>
          <w:noProof/>
          <w:color w:val="000000" w:themeColor="text1"/>
          <w:sz w:val="24"/>
          <w:szCs w:val="24"/>
        </w:rPr>
        <w:t>(</w:t>
      </w:r>
      <w:r w:rsidR="00C91AFE">
        <w:rPr>
          <w:rFonts w:ascii="Arial" w:hAnsi="Arial" w:cs="Arial"/>
          <w:bCs/>
          <w:iCs/>
          <w:noProof/>
          <w:color w:val="000000" w:themeColor="text1"/>
          <w:sz w:val="24"/>
          <w:szCs w:val="24"/>
        </w:rPr>
        <w:t xml:space="preserve">e.g., </w:t>
      </w:r>
      <w:r w:rsidR="00C003C2" w:rsidRPr="00381A1F">
        <w:rPr>
          <w:rFonts w:ascii="Arial" w:hAnsi="Arial" w:cs="Arial"/>
          <w:bCs/>
          <w:iCs/>
          <w:noProof/>
          <w:color w:val="000000" w:themeColor="text1"/>
          <w:sz w:val="24"/>
          <w:szCs w:val="24"/>
        </w:rPr>
        <w:t>Howorth and Westhead 2003; Tauringana and Afrifa 2013)</w:t>
      </w:r>
      <w:r w:rsidR="00C003C2" w:rsidRPr="00381A1F">
        <w:rPr>
          <w:rFonts w:ascii="Arial" w:hAnsi="Arial" w:cs="Arial"/>
          <w:bCs/>
          <w:iCs/>
          <w:color w:val="000000" w:themeColor="text1"/>
          <w:sz w:val="24"/>
          <w:szCs w:val="24"/>
        </w:rPr>
        <w:fldChar w:fldCharType="end"/>
      </w:r>
      <w:r w:rsidR="004F00F6" w:rsidRPr="00381A1F">
        <w:rPr>
          <w:rFonts w:ascii="Arial" w:hAnsi="Arial" w:cs="Arial"/>
          <w:bCs/>
          <w:iCs/>
          <w:color w:val="000000" w:themeColor="text1"/>
          <w:sz w:val="24"/>
          <w:szCs w:val="24"/>
        </w:rPr>
        <w:t xml:space="preserve"> </w:t>
      </w:r>
      <w:r w:rsidR="00C91AFE">
        <w:rPr>
          <w:rFonts w:ascii="Arial" w:hAnsi="Arial" w:cs="Arial"/>
          <w:bCs/>
          <w:iCs/>
          <w:color w:val="000000" w:themeColor="text1"/>
          <w:sz w:val="24"/>
          <w:szCs w:val="24"/>
        </w:rPr>
        <w:t xml:space="preserve">are based on a sample of </w:t>
      </w:r>
      <w:r w:rsidR="004F00F6" w:rsidRPr="00381A1F">
        <w:rPr>
          <w:rFonts w:ascii="Arial" w:hAnsi="Arial" w:cs="Arial"/>
          <w:bCs/>
          <w:iCs/>
          <w:color w:val="000000" w:themeColor="text1"/>
          <w:sz w:val="24"/>
          <w:szCs w:val="24"/>
        </w:rPr>
        <w:t>small firms.</w:t>
      </w:r>
      <w:r w:rsidR="004F00F6" w:rsidRPr="00381A1F">
        <w:rPr>
          <w:rFonts w:ascii="Arial" w:hAnsi="Arial" w:cs="Arial"/>
          <w:bCs/>
          <w:color w:val="000000" w:themeColor="text1"/>
          <w:sz w:val="24"/>
          <w:szCs w:val="24"/>
        </w:rPr>
        <w:t xml:space="preserve"> </w:t>
      </w:r>
      <w:r w:rsidR="00C91AFE">
        <w:rPr>
          <w:rFonts w:ascii="Arial" w:hAnsi="Arial" w:cs="Arial"/>
          <w:bCs/>
          <w:color w:val="000000" w:themeColor="text1"/>
          <w:sz w:val="24"/>
          <w:szCs w:val="24"/>
        </w:rPr>
        <w:t xml:space="preserve">Our </w:t>
      </w:r>
      <w:r w:rsidR="004F00F6" w:rsidRPr="00381A1F">
        <w:rPr>
          <w:rFonts w:ascii="Arial" w:hAnsi="Arial" w:cs="Arial"/>
          <w:bCs/>
          <w:color w:val="000000" w:themeColor="text1"/>
          <w:sz w:val="24"/>
          <w:szCs w:val="24"/>
        </w:rPr>
        <w:t xml:space="preserve">results </w:t>
      </w:r>
      <w:r w:rsidR="00C91AFE">
        <w:rPr>
          <w:rFonts w:ascii="Arial" w:hAnsi="Arial" w:cs="Arial"/>
          <w:bCs/>
          <w:color w:val="000000" w:themeColor="text1"/>
          <w:sz w:val="24"/>
          <w:szCs w:val="24"/>
        </w:rPr>
        <w:t xml:space="preserve">based on </w:t>
      </w:r>
      <w:r w:rsidR="004F00F6" w:rsidRPr="00381A1F">
        <w:rPr>
          <w:rFonts w:ascii="Arial" w:hAnsi="Arial" w:cs="Arial"/>
          <w:bCs/>
          <w:color w:val="000000" w:themeColor="text1"/>
          <w:sz w:val="24"/>
          <w:szCs w:val="24"/>
        </w:rPr>
        <w:t xml:space="preserve">large </w:t>
      </w:r>
      <w:r w:rsidR="00C91AFE">
        <w:rPr>
          <w:rFonts w:ascii="Arial" w:hAnsi="Arial" w:cs="Arial"/>
          <w:bCs/>
          <w:color w:val="000000" w:themeColor="text1"/>
          <w:sz w:val="24"/>
          <w:szCs w:val="24"/>
        </w:rPr>
        <w:t xml:space="preserve">listed firms </w:t>
      </w:r>
      <w:r w:rsidR="004F00F6" w:rsidRPr="00381A1F">
        <w:rPr>
          <w:rFonts w:ascii="Arial" w:hAnsi="Arial" w:cs="Arial"/>
          <w:bCs/>
          <w:color w:val="000000" w:themeColor="text1"/>
          <w:sz w:val="24"/>
          <w:szCs w:val="24"/>
        </w:rPr>
        <w:t xml:space="preserve">may be different </w:t>
      </w:r>
      <w:r w:rsidR="00C91AFE">
        <w:rPr>
          <w:rFonts w:ascii="Arial" w:hAnsi="Arial" w:cs="Arial"/>
          <w:bCs/>
          <w:color w:val="000000" w:themeColor="text1"/>
          <w:sz w:val="24"/>
          <w:szCs w:val="24"/>
        </w:rPr>
        <w:t xml:space="preserve">to those based on small firms </w:t>
      </w:r>
      <w:r w:rsidR="004F00F6" w:rsidRPr="00381A1F">
        <w:rPr>
          <w:rFonts w:ascii="Arial" w:hAnsi="Arial" w:cs="Arial"/>
          <w:bCs/>
          <w:color w:val="000000" w:themeColor="text1"/>
          <w:sz w:val="24"/>
          <w:szCs w:val="24"/>
        </w:rPr>
        <w:t xml:space="preserve">given that </w:t>
      </w:r>
      <w:r w:rsidR="004F00F6" w:rsidRPr="00381A1F">
        <w:rPr>
          <w:rFonts w:ascii="Arial" w:hAnsi="Arial" w:cs="Arial"/>
          <w:bCs/>
          <w:iCs/>
          <w:color w:val="000000" w:themeColor="text1"/>
          <w:sz w:val="24"/>
          <w:szCs w:val="24"/>
        </w:rPr>
        <w:t xml:space="preserve">Wilson (2008) suggests that large firms tend to use their market power to exploit their ‘dominant' positions as buyers in competitive supply markets by taking ‘extended' trade credit and thus leveraging their profit and cash-flow.  </w:t>
      </w:r>
      <w:bookmarkEnd w:id="28"/>
      <w:bookmarkEnd w:id="29"/>
      <w:bookmarkEnd w:id="30"/>
    </w:p>
    <w:p w14:paraId="0885DE17" w14:textId="77777777" w:rsidR="004F00F6" w:rsidRDefault="004F00F6" w:rsidP="004E32E2">
      <w:pPr>
        <w:spacing w:after="0" w:line="360" w:lineRule="auto"/>
        <w:jc w:val="both"/>
        <w:rPr>
          <w:rFonts w:ascii="Arial" w:hAnsi="Arial" w:cs="Arial"/>
          <w:sz w:val="24"/>
          <w:szCs w:val="24"/>
          <w:lang w:val="en-US"/>
        </w:rPr>
      </w:pPr>
      <w:r w:rsidRPr="00E71A68">
        <w:rPr>
          <w:rFonts w:ascii="Arial" w:hAnsi="Arial" w:cs="Arial"/>
          <w:bCs/>
          <w:iCs/>
          <w:sz w:val="24"/>
          <w:szCs w:val="24"/>
        </w:rPr>
        <w:t xml:space="preserve"> </w:t>
      </w:r>
      <w:r w:rsidR="00F55BCC">
        <w:rPr>
          <w:rFonts w:ascii="Arial" w:hAnsi="Arial" w:cs="Arial"/>
          <w:bCs/>
          <w:iCs/>
          <w:sz w:val="24"/>
          <w:szCs w:val="24"/>
        </w:rPr>
        <w:tab/>
      </w:r>
      <w:r w:rsidRPr="00E71A68">
        <w:rPr>
          <w:rFonts w:ascii="Arial" w:hAnsi="Arial" w:cs="Arial"/>
          <w:sz w:val="24"/>
          <w:szCs w:val="24"/>
          <w:lang w:val="en-US"/>
        </w:rPr>
        <w:t>The rest of this study is structured as follows: Section 2 is the literature review inclu</w:t>
      </w:r>
      <w:r w:rsidR="00AD3E5C">
        <w:rPr>
          <w:rFonts w:ascii="Arial" w:hAnsi="Arial" w:cs="Arial"/>
          <w:sz w:val="24"/>
          <w:szCs w:val="24"/>
          <w:lang w:val="en-US"/>
        </w:rPr>
        <w:t>ding hypotheses development.</w:t>
      </w:r>
      <w:r w:rsidRPr="00E71A68">
        <w:rPr>
          <w:rFonts w:ascii="Arial" w:hAnsi="Arial" w:cs="Arial"/>
          <w:sz w:val="24"/>
          <w:szCs w:val="24"/>
          <w:lang w:val="en-US"/>
        </w:rPr>
        <w:t xml:space="preserve"> In section 3, we discuss the data and describe the </w:t>
      </w:r>
      <w:r w:rsidRPr="00E71A68">
        <w:rPr>
          <w:rFonts w:ascii="Arial" w:hAnsi="Arial" w:cs="Arial"/>
          <w:sz w:val="24"/>
          <w:szCs w:val="24"/>
          <w:lang w:val="en-US"/>
        </w:rPr>
        <w:lastRenderedPageBreak/>
        <w:t>empirical method used to analyse the data. Section 4 presents and discusses the empirical results. Section 5 is the summary and conclusion.</w:t>
      </w:r>
    </w:p>
    <w:p w14:paraId="12A5D43A" w14:textId="77777777" w:rsidR="00D90164" w:rsidRPr="00E71A68" w:rsidRDefault="00D90164" w:rsidP="004E32E2">
      <w:pPr>
        <w:spacing w:after="0" w:line="360" w:lineRule="auto"/>
        <w:jc w:val="both"/>
        <w:rPr>
          <w:rFonts w:ascii="Arial" w:hAnsi="Arial" w:cs="Arial"/>
          <w:sz w:val="24"/>
          <w:szCs w:val="24"/>
          <w:lang w:val="en-US"/>
        </w:rPr>
      </w:pPr>
    </w:p>
    <w:p w14:paraId="7ECB6D90" w14:textId="77777777" w:rsidR="004F00F6" w:rsidRPr="00E71A68" w:rsidRDefault="004F00F6" w:rsidP="004E32E2">
      <w:pPr>
        <w:pStyle w:val="ListParagraph"/>
        <w:numPr>
          <w:ilvl w:val="0"/>
          <w:numId w:val="1"/>
        </w:numPr>
        <w:spacing w:after="0" w:line="360" w:lineRule="auto"/>
        <w:ind w:left="0"/>
        <w:jc w:val="both"/>
        <w:rPr>
          <w:rFonts w:ascii="Arial" w:hAnsi="Arial" w:cs="Arial"/>
          <w:b/>
          <w:sz w:val="24"/>
          <w:szCs w:val="24"/>
          <w:lang w:val="en-US"/>
        </w:rPr>
      </w:pPr>
      <w:r w:rsidRPr="00E71A68">
        <w:rPr>
          <w:rFonts w:ascii="Arial" w:hAnsi="Arial" w:cs="Arial"/>
          <w:b/>
          <w:sz w:val="24"/>
          <w:szCs w:val="24"/>
          <w:lang w:val="en-US"/>
        </w:rPr>
        <w:t>Literature Review and Hypotheses</w:t>
      </w:r>
      <w:r w:rsidR="0009489C">
        <w:rPr>
          <w:rFonts w:ascii="Arial" w:hAnsi="Arial" w:cs="Arial"/>
          <w:b/>
          <w:sz w:val="24"/>
          <w:szCs w:val="24"/>
          <w:lang w:val="en-US"/>
        </w:rPr>
        <w:t xml:space="preserve"> development </w:t>
      </w:r>
    </w:p>
    <w:p w14:paraId="5D372BDD" w14:textId="77777777" w:rsidR="004F00F6" w:rsidRPr="006412CA" w:rsidRDefault="00AD0A7E" w:rsidP="004E32E2">
      <w:pPr>
        <w:spacing w:after="0" w:line="360" w:lineRule="auto"/>
        <w:jc w:val="both"/>
        <w:rPr>
          <w:rFonts w:ascii="Arial" w:hAnsi="Arial" w:cs="Arial"/>
          <w:i/>
          <w:sz w:val="24"/>
          <w:szCs w:val="24"/>
          <w:lang w:val="en-US"/>
        </w:rPr>
      </w:pPr>
      <w:r w:rsidRPr="00E71A68">
        <w:rPr>
          <w:rFonts w:ascii="Arial" w:hAnsi="Arial" w:cs="Arial"/>
          <w:i/>
          <w:sz w:val="24"/>
          <w:szCs w:val="24"/>
          <w:lang w:val="en-US"/>
        </w:rPr>
        <w:t>2.</w:t>
      </w:r>
      <w:r w:rsidRPr="006412CA">
        <w:rPr>
          <w:rFonts w:ascii="Arial" w:hAnsi="Arial" w:cs="Arial"/>
          <w:i/>
          <w:sz w:val="24"/>
          <w:szCs w:val="24"/>
          <w:lang w:val="en-US"/>
        </w:rPr>
        <w:t xml:space="preserve">1 </w:t>
      </w:r>
      <w:r w:rsidR="00D90164" w:rsidRPr="006412CA">
        <w:rPr>
          <w:rFonts w:ascii="Arial" w:hAnsi="Arial" w:cs="Arial"/>
          <w:i/>
          <w:sz w:val="24"/>
          <w:szCs w:val="24"/>
          <w:lang w:val="en-US"/>
        </w:rPr>
        <w:t xml:space="preserve">Theoretical </w:t>
      </w:r>
      <w:r w:rsidR="0009489C" w:rsidRPr="006412CA">
        <w:rPr>
          <w:rFonts w:ascii="Arial" w:hAnsi="Arial" w:cs="Arial"/>
          <w:i/>
          <w:sz w:val="24"/>
          <w:szCs w:val="24"/>
          <w:lang w:val="en-US"/>
        </w:rPr>
        <w:t>f</w:t>
      </w:r>
      <w:r w:rsidR="004F00F6" w:rsidRPr="006412CA">
        <w:rPr>
          <w:rFonts w:ascii="Arial" w:hAnsi="Arial" w:cs="Arial"/>
          <w:i/>
          <w:sz w:val="24"/>
          <w:szCs w:val="24"/>
          <w:lang w:val="en-US"/>
        </w:rPr>
        <w:t xml:space="preserve">ramework </w:t>
      </w:r>
    </w:p>
    <w:p w14:paraId="289AB58C" w14:textId="0379A986" w:rsidR="004F00F6" w:rsidRPr="006412CA" w:rsidRDefault="00D90164" w:rsidP="004E32E2">
      <w:pPr>
        <w:spacing w:after="0" w:line="360" w:lineRule="auto"/>
        <w:ind w:firstLine="720"/>
        <w:jc w:val="both"/>
        <w:rPr>
          <w:rFonts w:ascii="Arial" w:hAnsi="Arial" w:cs="Arial"/>
          <w:sz w:val="24"/>
          <w:szCs w:val="24"/>
        </w:rPr>
      </w:pPr>
      <w:r w:rsidRPr="006412CA">
        <w:rPr>
          <w:rFonts w:ascii="Arial" w:hAnsi="Arial" w:cs="Arial"/>
          <w:sz w:val="24"/>
          <w:szCs w:val="24"/>
        </w:rPr>
        <w:t>This study adopts contingency theory</w:t>
      </w:r>
      <w:r w:rsidR="004504C6" w:rsidRPr="006412CA">
        <w:rPr>
          <w:rFonts w:ascii="Arial" w:hAnsi="Arial" w:cs="Arial"/>
          <w:sz w:val="24"/>
          <w:szCs w:val="24"/>
        </w:rPr>
        <w:t xml:space="preserve"> </w:t>
      </w:r>
      <w:r w:rsidRPr="006412CA">
        <w:rPr>
          <w:rFonts w:ascii="Arial" w:hAnsi="Arial" w:cs="Arial"/>
          <w:sz w:val="24"/>
          <w:szCs w:val="24"/>
        </w:rPr>
        <w:t xml:space="preserve">to explain why environment, resources and management variables may moderate the relationship between WCM and financial performance. The theory </w:t>
      </w:r>
      <w:r w:rsidR="004F00F6" w:rsidRPr="006412CA">
        <w:rPr>
          <w:rFonts w:ascii="Arial" w:hAnsi="Arial" w:cs="Arial"/>
          <w:sz w:val="24"/>
          <w:szCs w:val="24"/>
        </w:rPr>
        <w:t xml:space="preserve">offers a cogent explanation on the interrelationships among organisational sub-systems as well as between the organisational system and its environment (Fridman and Ostman, 1989). The framework is built on the idea that there is no universally appropriate performance management system that applies equally to </w:t>
      </w:r>
      <w:r w:rsidR="004F00F6" w:rsidRPr="006412CA">
        <w:rPr>
          <w:rFonts w:ascii="Arial" w:hAnsi="Arial" w:cs="Arial"/>
          <w:sz w:val="24"/>
          <w:szCs w:val="24"/>
        </w:rPr>
        <w:lastRenderedPageBreak/>
        <w:t>all organisations in all conditions, but particular features of the system and its effectiveness depend on specific organisational and context factors</w:t>
      </w:r>
      <w:r w:rsidR="000F799C" w:rsidRPr="006412CA">
        <w:rPr>
          <w:rFonts w:ascii="Arial" w:hAnsi="Arial" w:cs="Arial"/>
          <w:sz w:val="24"/>
          <w:szCs w:val="24"/>
        </w:rPr>
        <w:t xml:space="preserve"> </w:t>
      </w:r>
      <w:r w:rsidR="00C003C2"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"DOI" : "10.2139/ssrn.682984", "ISSN" : "15565068", "abstract" : "This paper puts forward the Performance Management and Control (PMC) framework as a research tool for describing the structure and operation of management control systems (MCS). The framework has been inductively generated from the observation of MCS design and use practices in four different organizations, and from our reflections on the strengths and weaknesses of previous frameworks that have been used to examine control systems. It is also based on our understanding of the major issues in the design and use of performance management and control systems acquired from previous experience in conducting such studies. This paper begins by reporting on the differing ways in which management control systems were designed and used in four different organizations. These organizations were selected to be different in several ways, whilst having control systems that were believed to be effective. The study uses the frameworks proposed by Simons (1995) and Otley (1999) to characterise various aspects of control systems design. The two frameworks used both proved useful in illuminating different aspects of management control systems design, but each also had weaknesses or blind spots. Building on these frameworks, on the case study material, our wider experience and on our understanding of the literature, we propose an extended framework that both elaborates Otley's five questions into twelve questions, and also integrates it with Simons' framework. In particular, it argues that it is the coherence of the links between the aspects of the system identified by Otley (1999) that are crucial to effective outcomes. It is believed that this extended framework will provide a useful research tool for those wishing to study the design and operation of performance management and control systems.", "author" : [ { "dropping-particle" : "", "family" : "Ferreira", "given" : "Aldonio", "non-dropping-particle" : "", "parse-names" : false, "suffix" : "" }, { "dropping-particle" : "", "family" : "Otley", "given" : "David", "non-dropping-particle" : "", "parse-names" : false, "suffix" : "" } ], "container-title" : "AAA 2006 Management Accounting Section Meeting", "id" : "ITEM-1", "issue" : "October", "issued" : { "date-parts" : [ [ "2005" ] ] }, "page" : "1-54", "title" : "The design and use of management control systems : An extended framework for analysis", "type" : "article-journal" }, "uris" : [ "http://www.mendeley.com/documents/?uuid=e6d5f099-0064-4956-a695-7643d49ba4bc" ] }, { "id" : "ITEM-2", "itemData" : { "DOI" : "10.1016/0361-3682(80)90040-9", "ISBN" : "0361-3682", "ISSN" : "03613682", "abstract" : "Contingency theories of management accounting have become a current vogue but have produced few significant new results. By surveying the development and content of these theories it is argued that they have been based on an inadequate and insufficiently articulated model. An improved model, based on ideas of organisational control and effectiveness, is put forward which suggests appropriate directions for future work that will be both perceptive and cumulative. \u00a9 1980.", "author" : [ { "dropping-particle" : "", "family" : "Otley", "given" : "David T.", "non-dropping-particle" : "", "parse-names" : false, "suffix" : "" } ], "container-title" : "Accounting, Organizations and Society", "id" : "ITEM-2", "issue" : "4", "issued" : { "date-parts" : [ [ "1980" ] ] }, "page" : "413-428", "title" : "The contingency theory of management accounting: Achievement and prognosis", "type" : "article-journal", "volume" : "5" }, "uris" : [ "http://www.mendeley.com/documents/?uuid=2a23c716-d2ff-4bcb-8222-b883d6b47e81" ] }, { "id" : "ITEM-3", "itemData" : { "DOI" : "10.1108/IJPPM-09-2013-0161", "ISBN" : "1020120096", "ISSN" : "1741-0401", "PMID" : "42012058", "abstract" : "Contingency theory, performance management and organisational effectiveness in the third sector: A theoretical framework", "author" : [ { "dropping-particle" : "", "family" : "Wadongo", "given" : "Billy", "non-dropping-particle" : "", "parse-names" : false, "suffix" : "" }, { "dropping-particle" : "", "family" : "Abdel-Kader", "given" : "Magdy", "non-dropping-particle" : "", "parse-names" : false, "suffix" : "" } ], "container-title" : "International Journal of Productivity and Performance Management", "id" : "ITEM-3", "issue" : "6", "issued" : { "date-parts" : [ [ "2014" ] ] }, "page" : "680-703", "title" : "Contingency theory, performance management and organisational effectiveness in the third sector: A theoretical framework", "type" : "article-journal", "volume" : "63" }, "uris" : [ "http://www.mendeley.com/documents/?uuid=bfbe0f17-bc1e-4e31-a349-bf0ed27129f3" ] } ], "mendeley" : { "formattedCitation" : "(Otley, 1980; Ferreira and Otley, 2005; Wadongo and Abdel-Kader, 2014)", "plainTextFormattedCitation" : "(Otley, 1980; Ferreira and Otley, 2005; Wadongo and Abdel-Kader, 2014)", "previouslyFormattedCitation" : "(Otley, 1980; Ferreira and Otley, 2005; Wadongo and Abdel-Kader, 2014)" }, "properties" : {  }, "schema" : "https://github.com/citation-style-language/schema/raw/master/csl-citation.json" }</w:instrText>
      </w:r>
      <w:r w:rsidR="00C003C2" w:rsidRPr="006412CA">
        <w:rPr>
          <w:rFonts w:ascii="Arial" w:hAnsi="Arial" w:cs="Arial"/>
          <w:sz w:val="24"/>
          <w:szCs w:val="24"/>
        </w:rPr>
        <w:fldChar w:fldCharType="separate"/>
      </w:r>
      <w:r w:rsidR="00031DA3" w:rsidRPr="006412CA">
        <w:rPr>
          <w:rFonts w:ascii="Arial" w:hAnsi="Arial" w:cs="Arial"/>
          <w:noProof/>
          <w:sz w:val="24"/>
          <w:szCs w:val="24"/>
        </w:rPr>
        <w:t>(Otley, 1980; Ferreira and Otley, 2005; Wadongo and Abdel-Kader, 2014)</w:t>
      </w:r>
      <w:r w:rsidR="00C003C2" w:rsidRPr="006412CA">
        <w:rPr>
          <w:rFonts w:ascii="Arial" w:hAnsi="Arial" w:cs="Arial"/>
          <w:sz w:val="24"/>
          <w:szCs w:val="24"/>
        </w:rPr>
        <w:fldChar w:fldCharType="end"/>
      </w:r>
      <w:r w:rsidR="00C003C2" w:rsidRPr="006412CA">
        <w:rPr>
          <w:rFonts w:ascii="Arial" w:hAnsi="Arial" w:cs="Arial"/>
          <w:sz w:val="24"/>
          <w:szCs w:val="24"/>
        </w:rPr>
        <w:t xml:space="preserve">. </w:t>
      </w:r>
      <w:r w:rsidR="004F00F6" w:rsidRPr="006412CA">
        <w:rPr>
          <w:rFonts w:ascii="Arial" w:hAnsi="Arial" w:cs="Arial"/>
          <w:sz w:val="24"/>
          <w:szCs w:val="24"/>
        </w:rPr>
        <w:t>Therefore, organisations have to adapt their systems and structures to be congruent with the various contingencies or circumstances of their external environment to be effective (Otley, 2016).</w:t>
      </w:r>
    </w:p>
    <w:p w14:paraId="523383CA" w14:textId="4EF6B7DC" w:rsidR="004F00F6" w:rsidRDefault="004F00F6" w:rsidP="004E32E2">
      <w:pPr>
        <w:spacing w:after="0" w:line="360" w:lineRule="auto"/>
        <w:jc w:val="both"/>
        <w:rPr>
          <w:rFonts w:ascii="Arial" w:hAnsi="Arial" w:cs="Arial"/>
          <w:sz w:val="24"/>
          <w:szCs w:val="24"/>
        </w:rPr>
      </w:pPr>
      <w:r w:rsidRPr="006412CA">
        <w:rPr>
          <w:rFonts w:ascii="Arial" w:hAnsi="Arial" w:cs="Arial"/>
          <w:sz w:val="24"/>
          <w:szCs w:val="24"/>
        </w:rPr>
        <w:t xml:space="preserve"> </w:t>
      </w:r>
      <w:r w:rsidR="00052C9B" w:rsidRPr="006412CA">
        <w:rPr>
          <w:rFonts w:ascii="Arial" w:hAnsi="Arial" w:cs="Arial"/>
          <w:sz w:val="24"/>
          <w:szCs w:val="24"/>
        </w:rPr>
        <w:tab/>
        <w:t xml:space="preserve">Further, contingency theory </w:t>
      </w:r>
      <w:r w:rsidRPr="006412CA">
        <w:rPr>
          <w:rFonts w:ascii="Arial" w:hAnsi="Arial" w:cs="Arial"/>
          <w:sz w:val="24"/>
          <w:szCs w:val="24"/>
        </w:rPr>
        <w:t xml:space="preserve">postulates that the effectiveness of the organisation in coping with the demands of its environment is contingent upon the different elements of its various sub-systems being designed by the requirements of the environment with which they interact </w:t>
      </w:r>
      <w:r w:rsidR="007C1CEA"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"ISBN" : "01708406", "ISSN" : "01708406", "PMID" : "5963638", "abstract" : "Reviews the book 'Sociological Paradigms and Organizational Analysis,' by Gibson Burrell and Gareth Morgan.", "author" : [ { "dropping-particle" : "", "family" : "Burrell", "given" : "M", "non-dropping-particle" : "", "parse-names" : false, "suffix" : "" } ], "container-title" : "Sociology The Journal Of The British Sociological Association", "id" : "ITEM-1", "issue" : "4", "issued" : { "date-parts" : [ [ "1979" ] ] }, "page" : "380-381", "title" : "Burrell and Morgan \u2018 s", "type" : "article-journal", "volume" : "3" }, "uris" : [ "http://www.mendeley.com/documents/?uuid=111dfbca-5c30-4833-972c-c308a24f3df9" ] } ], "mendeley" : { "formattedCitation" : "(Burrell, 1979)", "plainTextFormattedCitation" : "(Burrell, 1979)", "previouslyFormattedCitation" : "(Burrell, 1979)" }, "properties" : {  }, "schema" : "https://github.com/citation-style-language/schema/raw/master/csl-citation.json" }</w:instrText>
      </w:r>
      <w:r w:rsidR="007C1CEA" w:rsidRPr="006412CA">
        <w:rPr>
          <w:rFonts w:ascii="Arial" w:hAnsi="Arial" w:cs="Arial"/>
          <w:sz w:val="24"/>
          <w:szCs w:val="24"/>
        </w:rPr>
        <w:fldChar w:fldCharType="separate"/>
      </w:r>
      <w:r w:rsidR="00031DA3" w:rsidRPr="006412CA">
        <w:rPr>
          <w:rFonts w:ascii="Arial" w:hAnsi="Arial" w:cs="Arial"/>
          <w:noProof/>
          <w:sz w:val="24"/>
          <w:szCs w:val="24"/>
        </w:rPr>
        <w:t>(Burrell, 1979)</w:t>
      </w:r>
      <w:r w:rsidR="007C1CEA" w:rsidRPr="006412CA">
        <w:rPr>
          <w:rFonts w:ascii="Arial" w:hAnsi="Arial" w:cs="Arial"/>
          <w:sz w:val="24"/>
          <w:szCs w:val="24"/>
        </w:rPr>
        <w:fldChar w:fldCharType="end"/>
      </w:r>
      <w:r w:rsidR="007C1CEA" w:rsidRPr="006412CA">
        <w:rPr>
          <w:rFonts w:ascii="Arial" w:hAnsi="Arial" w:cs="Arial"/>
          <w:sz w:val="24"/>
          <w:szCs w:val="24"/>
        </w:rPr>
        <w:t>.</w:t>
      </w:r>
      <w:r w:rsidRPr="006412CA">
        <w:rPr>
          <w:rFonts w:ascii="Arial" w:hAnsi="Arial" w:cs="Arial"/>
          <w:sz w:val="24"/>
          <w:szCs w:val="24"/>
        </w:rPr>
        <w:t xml:space="preserve"> The contingency approach holds that organisations will be more effective when a match is ac</w:t>
      </w:r>
      <w:r w:rsidR="0070321F" w:rsidRPr="006412CA">
        <w:rPr>
          <w:rFonts w:ascii="Arial" w:hAnsi="Arial" w:cs="Arial"/>
          <w:sz w:val="24"/>
          <w:szCs w:val="24"/>
        </w:rPr>
        <w:t>hieved between the organisation’</w:t>
      </w:r>
      <w:r w:rsidRPr="006412CA">
        <w:rPr>
          <w:rFonts w:ascii="Arial" w:hAnsi="Arial" w:cs="Arial"/>
          <w:sz w:val="24"/>
          <w:szCs w:val="24"/>
        </w:rPr>
        <w:t xml:space="preserve">s contextual factors or contingencies (environment, resources and management) and </w:t>
      </w:r>
      <w:r w:rsidRPr="006412CA">
        <w:rPr>
          <w:rFonts w:ascii="Arial" w:hAnsi="Arial" w:cs="Arial"/>
          <w:sz w:val="24"/>
          <w:szCs w:val="24"/>
        </w:rPr>
        <w:lastRenderedPageBreak/>
        <w:t xml:space="preserve">its corporate strategy and organisational structure </w:t>
      </w:r>
      <w:r w:rsidR="007C1CEA"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"DOI" : "10.2307/257902", "ISBN" : "03637425", "ISSN" : "03637425", "abstract" : "Recent formal recognition of situational influences on the management of complex organizations has led to an increasing number of contingency models, but a comprehensive and integrative theoretical framework for contingency management has been lacking. A General Contingency Theory (GCT) of Management is introduced as an overall framework that integrates the diverse process, quantitative and behavioral approaches to management; incorporates the environment; and begins to bridge the gap between management theory and practice.", "author" : [ { "dropping-particle" : "", "family" : "Luthans", "given" : "Fred", "non-dropping-particle" : "", "parse-names" : false, "suffix" : "" }, { "dropping-particle" : "", "family" : "Stewart", "given" : "Todd I", "non-dropping-particle" : "", "parse-names" : false, "suffix" : "" } ], "container-title" : "Academy of management review", "id" : "ITEM-1", "issue" : "2", "issued" : { "date-parts" : [ [ "1977" ] ] }, "page" : "181-195", "title" : "A general contingency theory of management", "type" : "article-journal", "volume" : "2" }, "uris" : [ "http://www.mendeley.com/documents/?uuid=c09f47bb-7f83-4b9d-bbaf-2d9b5b45ea19" ] } ], "mendeley" : { "formattedCitation" : "(Luthans and Stewart, 1977)", "plainTextFormattedCitation" : "(Luthans and Stewart, 1977)", "previouslyFormattedCitation" : "(Luthans and Stewart, 1977)" }, "properties" : {  }, "schema" : "https://github.com/citation-style-language/schema/raw/master/csl-citation.json" }</w:instrText>
      </w:r>
      <w:r w:rsidR="007C1CEA" w:rsidRPr="006412CA">
        <w:rPr>
          <w:rFonts w:ascii="Arial" w:hAnsi="Arial" w:cs="Arial"/>
          <w:sz w:val="24"/>
          <w:szCs w:val="24"/>
        </w:rPr>
        <w:fldChar w:fldCharType="separate"/>
      </w:r>
      <w:r w:rsidR="00031DA3" w:rsidRPr="006412CA">
        <w:rPr>
          <w:rFonts w:ascii="Arial" w:hAnsi="Arial" w:cs="Arial"/>
          <w:noProof/>
          <w:sz w:val="24"/>
          <w:szCs w:val="24"/>
        </w:rPr>
        <w:t>(Luthans and Stewart, 1977)</w:t>
      </w:r>
      <w:r w:rsidR="007C1CEA" w:rsidRPr="006412CA">
        <w:rPr>
          <w:rFonts w:ascii="Arial" w:hAnsi="Arial" w:cs="Arial"/>
          <w:sz w:val="24"/>
          <w:szCs w:val="24"/>
        </w:rPr>
        <w:fldChar w:fldCharType="end"/>
      </w:r>
      <w:r w:rsidR="007C1CEA" w:rsidRPr="006412CA">
        <w:rPr>
          <w:rFonts w:ascii="Arial" w:hAnsi="Arial" w:cs="Arial"/>
          <w:sz w:val="24"/>
          <w:szCs w:val="24"/>
        </w:rPr>
        <w:t>.</w:t>
      </w:r>
      <w:r w:rsidRPr="006412CA">
        <w:rPr>
          <w:rFonts w:ascii="Arial" w:hAnsi="Arial" w:cs="Arial"/>
          <w:sz w:val="24"/>
          <w:szCs w:val="24"/>
        </w:rPr>
        <w:t xml:space="preserve"> Therefore</w:t>
      </w:r>
      <w:r w:rsidR="0070321F" w:rsidRPr="006412CA">
        <w:rPr>
          <w:rFonts w:ascii="Arial" w:hAnsi="Arial" w:cs="Arial"/>
          <w:sz w:val="24"/>
          <w:szCs w:val="24"/>
        </w:rPr>
        <w:t>,</w:t>
      </w:r>
      <w:r w:rsidRPr="006412CA">
        <w:rPr>
          <w:rFonts w:ascii="Arial" w:hAnsi="Arial" w:cs="Arial"/>
          <w:sz w:val="24"/>
          <w:szCs w:val="24"/>
        </w:rPr>
        <w:t xml:space="preserve"> an organisation performance depends on the extent to which the policy that it seeks to pursue is aligned with its organisational design. This alignment between strategy and performance is described as "fit" in the strategic management literature</w:t>
      </w:r>
      <w:r w:rsidR="000B164B" w:rsidRPr="006412CA">
        <w:rPr>
          <w:rFonts w:ascii="Arial" w:hAnsi="Arial" w:cs="Arial"/>
          <w:sz w:val="24"/>
          <w:szCs w:val="24"/>
        </w:rPr>
        <w:t xml:space="preserve"> </w:t>
      </w:r>
      <w:r w:rsidR="000B164B"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"DOI" : "10.1002/smj.4250110102", "ISBN" : "1097-0266", "ISSN" : "10970266", "abstract" : "The positive perfornmance impact of a coalignnient between the environment and strategy of a buisiness is ani inmportant theoretical proposition in strategic management. In spite of its importance and intuitive appeal, the extent of empirical suipport is equlivocal and riddled with problems of conceptualizing and testing for coalignment. This paper evaluates alternate approaches to testing such a proposition an1d arguies in favor of specifying coalignmnent as 'profile deviation', which states that coalignment is the degree to which strategic resouirce deployments adhere to an 'ideal profile! for a given environment. Slubsequently, this proposition is tested across two time periods, and eight distinct environments in two different samples drawn from the PIMS data base. Resuilts, which were generally robuist across the two per-iods, stronigly suippor t the pr-opositioni of a positive performs?anice im?pact of environment-strategy coalignment. Implications and res earch directions are developed.", "author" : [ { "dropping-particle" : "", "family" : "Venkatraman", "given" : "N.", "non-dropping-particle" : "", "parse-names" : false, "suffix" : "" }, { "dropping-particle" : "", "family" : "Prescott", "given" : "John E.", "non-dropping-particle" : "", "parse-names" : false, "suffix" : "" } ], "container-title" : "Strategic Management Journal", "id" : "ITEM-1", "issue" : "1", "issued" : { "date-parts" : [ [ "1990" ] ] }, "page" : "1-23", "title" : "Environment\u2010strategy coalignment: An empirical test of its performance implications", "type" : "article-journal", "volume" : "11" }, "uris" : [ "http://www.mendeley.com/documents/?uuid=2abce278-484d-4537-9085-fa771ebcf141" ] } ], "mendeley" : { "formattedCitation" : "(Venkatraman and Prescott, 1990)", "plainTextFormattedCitation" : "(Venkatraman and Prescott, 1990)", "previouslyFormattedCitation" : "(Venkatraman and Prescott, 1990)" }, "properties" : {  }, "schema" : "https://github.com/citation-style-language/schema/raw/master/csl-citation.json" }</w:instrText>
      </w:r>
      <w:r w:rsidR="000B164B" w:rsidRPr="006412CA">
        <w:rPr>
          <w:rFonts w:ascii="Arial" w:hAnsi="Arial" w:cs="Arial"/>
          <w:sz w:val="24"/>
          <w:szCs w:val="24"/>
        </w:rPr>
        <w:fldChar w:fldCharType="separate"/>
      </w:r>
      <w:r w:rsidR="00031DA3" w:rsidRPr="006412CA">
        <w:rPr>
          <w:rFonts w:ascii="Arial" w:hAnsi="Arial" w:cs="Arial"/>
          <w:noProof/>
          <w:sz w:val="24"/>
          <w:szCs w:val="24"/>
        </w:rPr>
        <w:t>(Venkatraman and Prescott, 1990)</w:t>
      </w:r>
      <w:r w:rsidR="000B164B" w:rsidRPr="006412CA">
        <w:rPr>
          <w:rFonts w:ascii="Arial" w:hAnsi="Arial" w:cs="Arial"/>
          <w:sz w:val="24"/>
          <w:szCs w:val="24"/>
        </w:rPr>
        <w:fldChar w:fldCharType="end"/>
      </w:r>
      <w:r w:rsidRPr="006412CA">
        <w:rPr>
          <w:rFonts w:ascii="Arial" w:hAnsi="Arial" w:cs="Arial"/>
          <w:sz w:val="24"/>
          <w:szCs w:val="24"/>
        </w:rPr>
        <w:t xml:space="preserve"> The fit is interpreted as an interaction effect of organisational structure and context on performance (Van de Ven and Ferry, 1980). When a firm’s structural variable fits at a level that is equal to its organisational contingencies, profitability is enhanced and vice versa (Donaldson, 2001). The better the fit, the more efficient the organisation becomes</w:t>
      </w:r>
      <w:r w:rsidR="00BF03C3" w:rsidRPr="006412CA">
        <w:rPr>
          <w:rFonts w:ascii="Arial" w:hAnsi="Arial" w:cs="Arial"/>
          <w:sz w:val="24"/>
          <w:szCs w:val="24"/>
        </w:rPr>
        <w:t xml:space="preserve"> </w:t>
      </w:r>
      <w:r w:rsidR="00663029" w:rsidRPr="006412CA">
        <w:rPr>
          <w:rFonts w:ascii="Arial" w:hAnsi="Arial" w:cs="Arial"/>
          <w:sz w:val="24"/>
          <w:szCs w:val="24"/>
        </w:rPr>
        <w:t xml:space="preserve"> </w:t>
      </w:r>
      <w:r w:rsidR="00663029"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"DOI" : "10.2307/2392695", "ISBN" : "8392185130040", "ISSN" : "00018392", "PMID" : "4013921", "abstract" : "This paper examines the selection, interaction, and systems approaches to fit in structural contingency theory. These are empirically examined as related to a task-contingency theory of work-unit design in 629 employment security units in California and Wisconsin. Evidence was found to support the selection and systems approaches in these data but not the interaction approach. The generalizability of these findings is discussed in terms of using alternative approaches to fit to explain context-structure-performance relationships in contingency theory", "author" : [ { "dropping-particle" : "", "family" : "Drazin", "given" : "Robert", "non-dropping-particle" : "", "parse-names" : false, "suffix" : "" }, { "dropping-particle" : "Van De", "family" : "Ven", "given" : "Andrew H", "non-dropping-particle" : "", "parse-names" : false, "suffix" : "" } ], "container-title" : "Administrative science quarterly", "id" : "ITEM-1", "issue" : "4", "issued" : { "date-parts" : [ [ "2013" ] ] }, "page" : "514-539", "title" : "Alternative Forms of Fit in Contingency Theory Alternative Forms of Fit in Contingency Theory and", "type" : "article-journal", "volume" : "30" }, "uris" : [ "http://www.mendeley.com/documents/?uuid=3cfaf339-b6b5-4fbb-a539-7d18d5ec1f6e" ] } ], "mendeley" : { "formattedCitation" : "(Drazin and Ven, 2013)", "plainTextFormattedCitation" : "(Drazin and Ven, 2013)", "previouslyFormattedCitation" : "(Drazin and Ven, 2013)" }, "properties" : {  }, "schema" : "https://github.com/citation-style-language/schema/raw/master/csl-citation.json" }</w:instrText>
      </w:r>
      <w:r w:rsidR="00663029" w:rsidRPr="006412CA">
        <w:rPr>
          <w:rFonts w:ascii="Arial" w:hAnsi="Arial" w:cs="Arial"/>
          <w:sz w:val="24"/>
          <w:szCs w:val="24"/>
        </w:rPr>
        <w:fldChar w:fldCharType="separate"/>
      </w:r>
      <w:r w:rsidR="00031DA3" w:rsidRPr="006412CA">
        <w:rPr>
          <w:rFonts w:ascii="Arial" w:hAnsi="Arial" w:cs="Arial"/>
          <w:noProof/>
          <w:sz w:val="24"/>
          <w:szCs w:val="24"/>
        </w:rPr>
        <w:t>(Drazin and Ven, 2013)</w:t>
      </w:r>
      <w:r w:rsidR="00663029" w:rsidRPr="006412CA">
        <w:rPr>
          <w:rFonts w:ascii="Arial" w:hAnsi="Arial" w:cs="Arial"/>
          <w:sz w:val="24"/>
          <w:szCs w:val="24"/>
        </w:rPr>
        <w:fldChar w:fldCharType="end"/>
      </w:r>
      <w:r w:rsidRPr="006412CA">
        <w:rPr>
          <w:rFonts w:ascii="Arial" w:hAnsi="Arial" w:cs="Arial"/>
          <w:sz w:val="24"/>
          <w:szCs w:val="24"/>
        </w:rPr>
        <w:t xml:space="preserve">. To date, research studies results </w:t>
      </w:r>
      <w:r w:rsidR="008C3642" w:rsidRPr="006412CA">
        <w:rPr>
          <w:rFonts w:ascii="Arial" w:hAnsi="Arial" w:cs="Arial"/>
          <w:sz w:val="24"/>
          <w:szCs w:val="24"/>
        </w:rPr>
        <w:t xml:space="preserve">in </w:t>
      </w:r>
      <w:r w:rsidR="00970A4E" w:rsidRPr="006412CA">
        <w:rPr>
          <w:rFonts w:ascii="Arial" w:hAnsi="Arial" w:cs="Arial"/>
          <w:sz w:val="24"/>
          <w:szCs w:val="24"/>
        </w:rPr>
        <w:t xml:space="preserve">other areas </w:t>
      </w:r>
      <w:r w:rsidRPr="006412CA">
        <w:rPr>
          <w:rFonts w:ascii="Arial" w:hAnsi="Arial" w:cs="Arial"/>
          <w:sz w:val="24"/>
          <w:szCs w:val="24"/>
        </w:rPr>
        <w:t xml:space="preserve">are consistent with contingency theory </w:t>
      </w:r>
      <w:r w:rsidR="00BF03C3" w:rsidRPr="006412CA">
        <w:rPr>
          <w:rFonts w:ascii="Arial" w:hAnsi="Arial" w:cs="Arial"/>
          <w:sz w:val="24"/>
          <w:szCs w:val="24"/>
        </w:rPr>
        <w:fldChar w:fldCharType="begin" w:fldLock="1"/>
      </w:r>
      <w:r w:rsidR="0093010E" w:rsidRPr="006412CA">
        <w:rPr>
          <w:rFonts w:ascii="Arial" w:hAnsi="Arial" w:cs="Arial"/>
          <w:sz w:val="24"/>
          <w:szCs w:val="24"/>
        </w:rPr>
        <w:instrText>ADDIN CSL_CITATION { "citationItems" : [ { "id" : "ITEM-1", "itemData" : { "DOI" : "10.2307/259138", "ISBN" : "1930-3807", "ISSN" : "03637425", "PMID" : "2202133", "abstract" : "Recent research developments underscore the need for research on the processes that link board demography with firm performance. In this article we develop a model of board processes by integrating the literature on boards of directors with the literature on group dynamics and workgroup effectiveness. The resulting model illuminates the complexity of board dynamics and paves the way for future empirical research that expands and refines our understanding of what makes boards effective.", "author" : [ { "dropping-particle" : "", "family" : "Forbes", "given" : "Daniel P .", "non-dropping-particle" : "", "parse-names" : false, "suffix" : "" }, { "dropping-particle" : "", "family" : "Milliken", "given" : "Frances J .", "non-dropping-particle" : "", "parse-names" : false, "suffix" : "" } ], "container-title" : "Academy of Management Review", "id" : "ITEM-1", "issue" : "3", "issued" : { "date-parts" : [ [ "1999" ] ] }, "page" : "489-505", "title" : "Cognition and Corporate Governance : Understanding Boards of Directors as Strategic Decision-Making Groups Daniel P . Forbes ; Frances J . Milliken", "type" : "article-journal", "volume" : "24" }, "uris" : [ "http://www.mendeley.com/documents/?uuid=407b3f12-edb5-4c5b-833a-61a2468a1c88" ] }, { "id" : "ITEM-2", "itemData" : { "DOI" : "10.1111/j.1467-8551.2009.00674.x", "ISBN" : "10453172", "ISSN" : "10453172", "abstract" : "Firms in government-supported strategic networks tend to rely on professional network board members for support and assistance. As such, two significant issues arise: should board members be compensated and under which circumstances is compensation more \u2013 or less \u2013 effective for network performance. Based on yearly panel data from 53 government-supported strategic networks of small- and medium-sized enterprises over a five-year period, this study examines the effects of compensating network board members. Advocating for a contingency approach, we combine the agency and stewardship literatures to posit that the effects of compensation are moderated by contingency factors that stimulate either an agency or stewardship relationship between the network board and the networking firms. Our findings indicate that significant funding, network firms represented on the network board, and top-down network formation stimulate board members to become agents rather than stewards. This therefore explains the higher effect of board member compensation under such conditions. [ABSTRACT FROM AUTHOR]; Copyright of British Journal of Management is the property of Wiley-Blackwell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 "author" : [ { "dropping-particle" : "", "family" : "Thorgren", "given" : "Sara", "non-dropping-particle" : "", "parse-names" : false, "suffix" : "" }, { "dropping-particle" : "", "family" : "Wincent", "given" : "Joakim", "non-dropping-particle" : "", "parse-names" : false, "suffix" : "" }, { "dropping-particle" : "", "family" : "Anokhin", "given" : "Sergey", "non-dropping-particle" : "", "parse-names" : false, "suffix" : "" } ], "container-title" : "British Journal of Management", "id" : "ITEM-2", "issue" : "1", "issued" : { "date-parts" : [ [ "2010" ] ] }, "page" : "131-151", "title" : "The importance of compensating strategic network board members for network performance: A contingency approach", "type" : "article-journal", "volume" : "21" }, "uris" : [ "http://www.mendeley.com/documents/?uuid=f7d4983d-3e4f-42c5-929b-e397f4aa804a" ] }, { "id" : "ITEM-3", "itemData" : { "DOI" : "10.1111/j.1467-8551.2011.00805.x", "ISSN" : "10453172", "abstract" : "This study asserts that the effects of board characteristics on firm innovation need to be evaluated with reference to contingency variables. A literature review suggests that relatively few studies adopt a contingency view when examining the outcomes of boards of directors. This study examines the influence on firm innovation of characteristics such as board size, outsider ratio and board diversity, and suggests that their influence is contingent upon firm size. The model is tested on a sample of Italian companies and finds support for the contingency hypothesis. This study advances research on boards of directors by emphasizing the importance of context.", "author" : [ { "dropping-particle" : "", "family" : "Zona", "given" : "Fabio", "non-dropping-particle" : "", "parse-names" : false, "suffix" : "" }, { "dropping-particle" : "", "family" : "Zattoni", "given" : "Alessandro", "non-dropping-particle" : "", "parse-names" : false, "suffix" : "" }, { "dropping-particle" : "", "family" : "Minichilli", "given" : "Alessandro", "non-dropping-particle" : "", "parse-names" : false, "suffix" : "" } ], "container-title" : "British Journal of Management", "id" : "ITEM-3", "issue" : "3", "issued" : { "date-parts" : [ [ "2013" ] ] }, "page" : "299-315", "title" : "A Contingency Model of Boards of Directors and Firm Innovation: The Moderating Role of Firm Size", "type" : "article-journal", "volume" : "24" }, "uris" : [ "http://www.mendeley.com/documents/?uuid=8636e9e8-c07f-4f8b-acc6-b9e37fb7146e" ] } ], "mendeley" : { "formattedCitation" : "(Forbes and Milliken, 1999; Thorgren, Wincent and Anokhin, 2010; Zona, Zattoni and Minichilli, 2013)", "manualFormatting" : "(e.g., Forbes and Milliken 1999; Thorgren, Wincent, and Anokhin 2010; Zona, Zattoni, and Minichilli 2013)", "plainTextFormattedCitation" : "(Forbes and Milliken, 1999; Thorgren, Wincent and Anokhin, 2010; Zona, Zattoni and Minichilli, 2013)", "previouslyFormattedCitation" : "(Forbes and Milliken, 1999; Thorgren, Wincent and Anokhin, 2010; Zona, Zattoni and Minichilli, 2013)" }, "properties" : {  }, "schema" : "https://github.com/citation-style-language/schema/raw/master/csl-citation.json" }</w:instrText>
      </w:r>
      <w:r w:rsidR="00BF03C3" w:rsidRPr="006412CA">
        <w:rPr>
          <w:rFonts w:ascii="Arial" w:hAnsi="Arial" w:cs="Arial"/>
          <w:sz w:val="24"/>
          <w:szCs w:val="24"/>
        </w:rPr>
        <w:fldChar w:fldCharType="separate"/>
      </w:r>
      <w:r w:rsidR="00BF03C3" w:rsidRPr="006412CA">
        <w:rPr>
          <w:rFonts w:ascii="Arial" w:hAnsi="Arial" w:cs="Arial"/>
          <w:noProof/>
          <w:sz w:val="24"/>
          <w:szCs w:val="24"/>
        </w:rPr>
        <w:t>(e</w:t>
      </w:r>
      <w:r w:rsidR="00052C9B" w:rsidRPr="006412CA">
        <w:rPr>
          <w:rFonts w:ascii="Arial" w:hAnsi="Arial" w:cs="Arial"/>
          <w:noProof/>
          <w:sz w:val="24"/>
          <w:szCs w:val="24"/>
        </w:rPr>
        <w:t>.</w:t>
      </w:r>
      <w:r w:rsidR="00BF03C3" w:rsidRPr="006412CA">
        <w:rPr>
          <w:rFonts w:ascii="Arial" w:hAnsi="Arial" w:cs="Arial"/>
          <w:noProof/>
          <w:sz w:val="24"/>
          <w:szCs w:val="24"/>
        </w:rPr>
        <w:t>g.</w:t>
      </w:r>
      <w:r w:rsidR="00052C9B" w:rsidRPr="006412CA">
        <w:rPr>
          <w:rFonts w:ascii="Arial" w:hAnsi="Arial" w:cs="Arial"/>
          <w:noProof/>
          <w:sz w:val="24"/>
          <w:szCs w:val="24"/>
        </w:rPr>
        <w:t>,</w:t>
      </w:r>
      <w:r w:rsidR="00BF03C3" w:rsidRPr="006412CA">
        <w:rPr>
          <w:rFonts w:ascii="Arial" w:hAnsi="Arial" w:cs="Arial"/>
          <w:noProof/>
          <w:sz w:val="24"/>
          <w:szCs w:val="24"/>
        </w:rPr>
        <w:t xml:space="preserve"> </w:t>
      </w:r>
      <w:r w:rsidR="00BF03C3" w:rsidRPr="006412CA">
        <w:rPr>
          <w:rFonts w:ascii="Arial" w:hAnsi="Arial" w:cs="Arial"/>
          <w:noProof/>
          <w:sz w:val="24"/>
          <w:szCs w:val="24"/>
        </w:rPr>
        <w:lastRenderedPageBreak/>
        <w:t>Forbes and Milliken 1999; Thorgren, Wincent, and Anokhin 2010; Zona, Zattoni, and Minichilli 2013)</w:t>
      </w:r>
      <w:r w:rsidR="00BF03C3" w:rsidRPr="006412CA">
        <w:rPr>
          <w:rFonts w:ascii="Arial" w:hAnsi="Arial" w:cs="Arial"/>
          <w:sz w:val="24"/>
          <w:szCs w:val="24"/>
        </w:rPr>
        <w:fldChar w:fldCharType="end"/>
      </w:r>
      <w:r w:rsidR="00BF03C3" w:rsidRPr="006412CA">
        <w:rPr>
          <w:rFonts w:ascii="Arial" w:hAnsi="Arial" w:cs="Arial"/>
          <w:sz w:val="24"/>
          <w:szCs w:val="24"/>
        </w:rPr>
        <w:t>.</w:t>
      </w:r>
      <w:r w:rsidRPr="006412CA">
        <w:rPr>
          <w:rFonts w:ascii="Arial" w:hAnsi="Arial" w:cs="Arial"/>
          <w:sz w:val="24"/>
          <w:szCs w:val="24"/>
        </w:rPr>
        <w:t xml:space="preserve"> </w:t>
      </w:r>
    </w:p>
    <w:p w14:paraId="3C4D3F5B" w14:textId="77777777" w:rsidR="004B240A" w:rsidRPr="006412CA" w:rsidRDefault="004B240A" w:rsidP="004E32E2">
      <w:pPr>
        <w:spacing w:after="0" w:line="360" w:lineRule="auto"/>
        <w:jc w:val="both"/>
        <w:rPr>
          <w:rFonts w:ascii="Arial" w:hAnsi="Arial" w:cs="Arial"/>
          <w:sz w:val="24"/>
          <w:szCs w:val="24"/>
        </w:rPr>
      </w:pPr>
    </w:p>
    <w:p w14:paraId="1D53C49C" w14:textId="77777777" w:rsidR="00052C9B" w:rsidRPr="006412CA" w:rsidRDefault="00052C9B" w:rsidP="004E32E2">
      <w:pPr>
        <w:spacing w:after="0" w:line="360" w:lineRule="auto"/>
        <w:jc w:val="both"/>
        <w:rPr>
          <w:rFonts w:ascii="Arial" w:hAnsi="Arial" w:cs="Arial"/>
          <w:i/>
          <w:sz w:val="24"/>
          <w:szCs w:val="24"/>
        </w:rPr>
      </w:pPr>
    </w:p>
    <w:p w14:paraId="31AA618D" w14:textId="77777777" w:rsidR="004F00F6" w:rsidRPr="006412CA" w:rsidRDefault="00AD0A7E" w:rsidP="004E32E2">
      <w:pPr>
        <w:spacing w:after="0" w:line="360" w:lineRule="auto"/>
        <w:jc w:val="both"/>
        <w:rPr>
          <w:rFonts w:ascii="Arial" w:hAnsi="Arial" w:cs="Arial"/>
          <w:i/>
          <w:sz w:val="24"/>
          <w:szCs w:val="24"/>
        </w:rPr>
      </w:pPr>
      <w:r w:rsidRPr="006412CA">
        <w:rPr>
          <w:rFonts w:ascii="Arial" w:hAnsi="Arial" w:cs="Arial"/>
          <w:i/>
          <w:sz w:val="24"/>
          <w:szCs w:val="24"/>
        </w:rPr>
        <w:t xml:space="preserve">2.2 </w:t>
      </w:r>
      <w:r w:rsidR="004F00F6" w:rsidRPr="006412CA">
        <w:rPr>
          <w:rFonts w:ascii="Arial" w:hAnsi="Arial" w:cs="Arial"/>
          <w:i/>
          <w:sz w:val="24"/>
          <w:szCs w:val="24"/>
        </w:rPr>
        <w:t>En</w:t>
      </w:r>
      <w:r w:rsidR="00D90164" w:rsidRPr="006412CA">
        <w:rPr>
          <w:rFonts w:ascii="Arial" w:hAnsi="Arial" w:cs="Arial"/>
          <w:i/>
          <w:sz w:val="24"/>
          <w:szCs w:val="24"/>
        </w:rPr>
        <w:t xml:space="preserve">vironmental Conditions, WCM </w:t>
      </w:r>
      <w:r w:rsidR="004F00F6" w:rsidRPr="006412CA">
        <w:rPr>
          <w:rFonts w:ascii="Arial" w:hAnsi="Arial" w:cs="Arial"/>
          <w:i/>
          <w:sz w:val="24"/>
          <w:szCs w:val="24"/>
        </w:rPr>
        <w:t>and F</w:t>
      </w:r>
      <w:r w:rsidR="00D90164" w:rsidRPr="006412CA">
        <w:rPr>
          <w:rFonts w:ascii="Arial" w:hAnsi="Arial" w:cs="Arial"/>
          <w:i/>
          <w:sz w:val="24"/>
          <w:szCs w:val="24"/>
        </w:rPr>
        <w:t xml:space="preserve">inancial </w:t>
      </w:r>
      <w:r w:rsidR="004F00F6" w:rsidRPr="006412CA">
        <w:rPr>
          <w:rFonts w:ascii="Arial" w:hAnsi="Arial" w:cs="Arial"/>
          <w:i/>
          <w:sz w:val="24"/>
          <w:szCs w:val="24"/>
        </w:rPr>
        <w:t>Performance</w:t>
      </w:r>
    </w:p>
    <w:p w14:paraId="706D1FA2" w14:textId="23B2E5E3" w:rsidR="004F00F6" w:rsidRPr="006412CA" w:rsidRDefault="004F00F6" w:rsidP="004E32E2">
      <w:pPr>
        <w:spacing w:after="0" w:line="360" w:lineRule="auto"/>
        <w:ind w:firstLine="720"/>
        <w:jc w:val="both"/>
        <w:rPr>
          <w:rFonts w:ascii="Arial" w:hAnsi="Arial" w:cs="Arial"/>
          <w:sz w:val="24"/>
          <w:szCs w:val="24"/>
        </w:rPr>
      </w:pPr>
      <w:bookmarkStart w:id="33" w:name="OLE_LINK97"/>
      <w:bookmarkStart w:id="34" w:name="OLE_LINK98"/>
      <w:r w:rsidRPr="006412CA">
        <w:rPr>
          <w:rFonts w:ascii="Arial" w:hAnsi="Arial" w:cs="Arial"/>
          <w:sz w:val="24"/>
          <w:szCs w:val="24"/>
        </w:rPr>
        <w:t xml:space="preserve">Environmental Conditions </w:t>
      </w:r>
      <w:bookmarkEnd w:id="33"/>
      <w:bookmarkEnd w:id="34"/>
      <w:r w:rsidRPr="006412CA">
        <w:rPr>
          <w:rFonts w:ascii="Arial" w:hAnsi="Arial" w:cs="Arial"/>
          <w:sz w:val="24"/>
          <w:szCs w:val="24"/>
        </w:rPr>
        <w:t>(EC) are conditions that affect the organisation but are beyond the direct or positive control of the organisation's resource managers (</w:t>
      </w:r>
      <w:bookmarkStart w:id="35" w:name="OLE_LINK112"/>
      <w:bookmarkStart w:id="36" w:name="OLE_LINK113"/>
      <w:r w:rsidRPr="006412CA">
        <w:rPr>
          <w:rFonts w:ascii="Arial" w:hAnsi="Arial" w:cs="Arial"/>
          <w:sz w:val="24"/>
          <w:szCs w:val="24"/>
        </w:rPr>
        <w:t>Churchman, 1968</w:t>
      </w:r>
      <w:bookmarkEnd w:id="35"/>
      <w:bookmarkEnd w:id="36"/>
      <w:r w:rsidRPr="006412CA">
        <w:rPr>
          <w:rFonts w:ascii="Arial" w:hAnsi="Arial" w:cs="Arial"/>
          <w:sz w:val="24"/>
          <w:szCs w:val="24"/>
        </w:rPr>
        <w:t xml:space="preserve">). They are usually considered as "givens" or independent variables in the contingency framework since they are not subject to the direct control of management. </w:t>
      </w:r>
      <w:bookmarkStart w:id="37" w:name="OLE_LINK160"/>
      <w:bookmarkStart w:id="38" w:name="OLE_LINK161"/>
      <w:bookmarkStart w:id="39" w:name="OLE_LINK162"/>
      <w:r w:rsidRPr="006412CA">
        <w:rPr>
          <w:rFonts w:ascii="Arial" w:hAnsi="Arial" w:cs="Arial"/>
          <w:sz w:val="24"/>
          <w:szCs w:val="24"/>
        </w:rPr>
        <w:t xml:space="preserve">Wadongo and Abdel-Kader (2013) observed that </w:t>
      </w:r>
      <w:bookmarkStart w:id="40" w:name="OLE_LINK88"/>
      <w:bookmarkStart w:id="41" w:name="OLE_LINK89"/>
      <w:r w:rsidRPr="006412CA">
        <w:rPr>
          <w:rFonts w:ascii="Arial" w:hAnsi="Arial" w:cs="Arial"/>
          <w:sz w:val="24"/>
          <w:szCs w:val="24"/>
        </w:rPr>
        <w:t xml:space="preserve">EC </w:t>
      </w:r>
      <w:bookmarkEnd w:id="40"/>
      <w:bookmarkEnd w:id="41"/>
      <w:r w:rsidRPr="006412CA">
        <w:rPr>
          <w:rFonts w:ascii="Arial" w:hAnsi="Arial" w:cs="Arial"/>
          <w:sz w:val="24"/>
          <w:szCs w:val="24"/>
        </w:rPr>
        <w:t xml:space="preserve">(i.e. environmental unpredictability, turbulence and competition) as one of the most significant contingent variable </w:t>
      </w:r>
      <w:r w:rsidRPr="006412CA">
        <w:rPr>
          <w:rFonts w:ascii="Arial" w:hAnsi="Arial" w:cs="Arial"/>
          <w:sz w:val="24"/>
          <w:szCs w:val="24"/>
        </w:rPr>
        <w:lastRenderedPageBreak/>
        <w:t>faced by the organisation</w:t>
      </w:r>
      <w:bookmarkEnd w:id="37"/>
      <w:bookmarkEnd w:id="38"/>
      <w:bookmarkEnd w:id="39"/>
      <w:r w:rsidRPr="006412CA">
        <w:rPr>
          <w:rFonts w:ascii="Arial" w:hAnsi="Arial" w:cs="Arial"/>
          <w:sz w:val="24"/>
          <w:szCs w:val="24"/>
        </w:rPr>
        <w:t xml:space="preserve">. </w:t>
      </w:r>
      <w:bookmarkStart w:id="42" w:name="OLE_LINK163"/>
      <w:bookmarkStart w:id="43" w:name="OLE_LINK164"/>
      <w:bookmarkStart w:id="44" w:name="OLE_LINK165"/>
      <w:r w:rsidRPr="006412CA">
        <w:rPr>
          <w:rFonts w:ascii="Arial" w:hAnsi="Arial" w:cs="Arial"/>
          <w:sz w:val="24"/>
          <w:szCs w:val="24"/>
        </w:rPr>
        <w:t xml:space="preserve">According to </w:t>
      </w:r>
      <w:bookmarkStart w:id="45" w:name="OLE_LINK119"/>
      <w:bookmarkStart w:id="46" w:name="OLE_LINK120"/>
      <w:r w:rsidRPr="006412CA">
        <w:rPr>
          <w:rFonts w:ascii="Arial" w:hAnsi="Arial" w:cs="Arial"/>
          <w:sz w:val="24"/>
          <w:szCs w:val="24"/>
        </w:rPr>
        <w:t>Chenhall</w:t>
      </w:r>
      <w:bookmarkEnd w:id="45"/>
      <w:bookmarkEnd w:id="46"/>
      <w:r w:rsidRPr="006412CA">
        <w:rPr>
          <w:rFonts w:ascii="Arial" w:hAnsi="Arial" w:cs="Arial"/>
          <w:sz w:val="24"/>
          <w:szCs w:val="24"/>
        </w:rPr>
        <w:t xml:space="preserve"> (2007, p. 173), “[t]he more hostile and turbulent the external environment, the greater the reliance </w:t>
      </w:r>
      <w:bookmarkStart w:id="47" w:name="OLE_LINK94"/>
      <w:bookmarkStart w:id="48" w:name="OLE_LINK95"/>
      <w:bookmarkStart w:id="49" w:name="OLE_LINK96"/>
      <w:r w:rsidRPr="006412CA">
        <w:rPr>
          <w:rFonts w:ascii="Arial" w:hAnsi="Arial" w:cs="Arial"/>
          <w:sz w:val="24"/>
          <w:szCs w:val="24"/>
        </w:rPr>
        <w:t xml:space="preserve">on formal controls </w:t>
      </w:r>
      <w:bookmarkEnd w:id="47"/>
      <w:bookmarkEnd w:id="48"/>
      <w:bookmarkEnd w:id="49"/>
      <w:r w:rsidRPr="006412CA">
        <w:rPr>
          <w:rFonts w:ascii="Arial" w:hAnsi="Arial" w:cs="Arial"/>
          <w:sz w:val="24"/>
          <w:szCs w:val="24"/>
        </w:rPr>
        <w:t>and emphasis on traditional budgets”</w:t>
      </w:r>
      <w:r w:rsidR="000A1B63" w:rsidRPr="006412CA">
        <w:rPr>
          <w:rFonts w:ascii="Arial" w:hAnsi="Arial" w:cs="Arial"/>
          <w:sz w:val="24"/>
          <w:szCs w:val="24"/>
        </w:rPr>
        <w:t>.</w:t>
      </w:r>
      <w:r w:rsidRPr="006412CA">
        <w:rPr>
          <w:rFonts w:ascii="Arial" w:hAnsi="Arial" w:cs="Arial"/>
          <w:sz w:val="24"/>
          <w:szCs w:val="24"/>
        </w:rPr>
        <w:t xml:space="preserve"> </w:t>
      </w:r>
      <w:bookmarkEnd w:id="42"/>
      <w:bookmarkEnd w:id="43"/>
      <w:bookmarkEnd w:id="44"/>
      <w:r w:rsidRPr="006412CA">
        <w:rPr>
          <w:rFonts w:ascii="Arial" w:hAnsi="Arial" w:cs="Arial"/>
          <w:sz w:val="24"/>
          <w:szCs w:val="24"/>
        </w:rPr>
        <w:t>Otley (1978)</w:t>
      </w:r>
      <w:r w:rsidR="000A1B63" w:rsidRPr="006412CA">
        <w:rPr>
          <w:rFonts w:ascii="Arial" w:hAnsi="Arial" w:cs="Arial"/>
          <w:sz w:val="24"/>
          <w:szCs w:val="24"/>
        </w:rPr>
        <w:t xml:space="preserve"> similarly</w:t>
      </w:r>
      <w:r w:rsidRPr="006412CA">
        <w:rPr>
          <w:rFonts w:ascii="Arial" w:hAnsi="Arial" w:cs="Arial"/>
          <w:sz w:val="24"/>
          <w:szCs w:val="24"/>
        </w:rPr>
        <w:t xml:space="preserve"> suggests that tight budget control should be used when faced with severe conditions.</w:t>
      </w:r>
    </w:p>
    <w:p w14:paraId="743E8914" w14:textId="02EAFFCE" w:rsidR="004F00F6" w:rsidRPr="006412CA" w:rsidRDefault="00B44460" w:rsidP="004E32E2">
      <w:pPr>
        <w:spacing w:after="0" w:line="360" w:lineRule="auto"/>
        <w:ind w:firstLine="720"/>
        <w:jc w:val="both"/>
        <w:rPr>
          <w:rFonts w:ascii="Arial" w:hAnsi="Arial" w:cs="Arial"/>
          <w:bCs/>
          <w:iCs/>
          <w:sz w:val="24"/>
          <w:szCs w:val="24"/>
          <w:lang w:val="en-US"/>
        </w:rPr>
      </w:pPr>
      <w:r w:rsidRPr="006412CA">
        <w:rPr>
          <w:rFonts w:ascii="Arial" w:hAnsi="Arial" w:cs="Arial"/>
          <w:bCs/>
          <w:iCs/>
          <w:sz w:val="24"/>
          <w:szCs w:val="24"/>
          <w:lang w:val="en-US"/>
        </w:rPr>
        <w:t xml:space="preserve">Prior </w:t>
      </w:r>
      <w:r w:rsidR="004F00F6" w:rsidRPr="006412CA">
        <w:rPr>
          <w:rFonts w:ascii="Arial" w:hAnsi="Arial" w:cs="Arial"/>
          <w:bCs/>
          <w:iCs/>
          <w:sz w:val="24"/>
          <w:szCs w:val="24"/>
          <w:lang w:val="en-US"/>
        </w:rPr>
        <w:t xml:space="preserve">studies </w:t>
      </w:r>
      <w:r w:rsidR="004F00F6" w:rsidRPr="006412CA">
        <w:rPr>
          <w:rFonts w:ascii="Arial" w:hAnsi="Arial" w:cs="Arial"/>
          <w:bCs/>
          <w:iCs/>
          <w:sz w:val="24"/>
          <w:szCs w:val="24"/>
          <w:lang w:val="en-US"/>
        </w:rPr>
        <w:fldChar w:fldCharType="begin" w:fldLock="1"/>
      </w:r>
      <w:r w:rsidR="00031DA3" w:rsidRPr="006412CA">
        <w:rPr>
          <w:rFonts w:ascii="Arial" w:hAnsi="Arial" w:cs="Arial"/>
          <w:bCs/>
          <w:iCs/>
          <w:sz w:val="24"/>
          <w:szCs w:val="24"/>
          <w:lang w:val="en-US"/>
        </w:rPr>
        <w:instrText>ADDIN CSL_CITATION { "citationItems" : [ { "id" : "ITEM-1", "itemData" : { "DOI" : "10.1016/j.ribaf.2014.03.005", "ISBN" : "0275-5319", "ISSN" : "02755319", "abstract" : "The recent economic downturn of 2007-2008 has brought renewed focus on working capital policies. In this paper we examine the role of business cycles on the working capital-profitability relationship using a sample of Finnish listed companies over an 18-year period. We find the impact of business cycle on the working capital-profitability relationship is more pronounced in economic downturns relative to economic booms. We further show that the significance of efficient inventory management and accounts receivables conversion periods increase during periods of economic downturns. Our results demonstrate that active working capital management matters and, thus, should be included in firms' financial planning. ?? 2014 Elsevier B.V.", "author" : [ { "dropping-particle" : "", "family" : "Enqvist", "given" : "Julius", "non-dropping-particle" : "", "parse-names" : false, "suffix" : "" }, { "dropping-particle" : "", "family" : "Graham", "given" : "Michael", "non-dropping-particle" : "", "parse-names" : false, "suffix" : "" }, { "dropping-particle" : "", "family" : "Nikkinen", "given" : "Jussi", "non-dropping-particle" : "", "parse-names" : false, "suffix" : "" } ], "container-title" : "Research in International Business and Finance", "id" : "ITEM-1", "issued" : { "date-parts" : [ [ "2014" ] ] }, "title" : "The impact of working capital management on firm profitability in different business cycles: Evidence from Finland", "type" : "article-journal", "volume" : "32" }, "uris" : [ "http://www.mendeley.com/documents/?uuid=f35eccb9-42ed-3a62-ac13-a64be6d2811e" ] }, { "id" : "ITEM-2", "itemData" : { "DOI" : "10.1016/j.jbusres.2012.03.015", "ISSN" : "01482963", "abstract" : "This paper investigates the use of trade credit by firms from countries that have recently undergone a financial crisis. The paper examines a sample of 147 firms from Argentina, Brazil, and Turkey and finds empirical evidence that supports the substitution hypothesis between bank credit and trade credit. The paper also supports the matching hypothesis in which firms that delay collection from their customers then demand long-term trade credit from their suppliers. Specifically, the paper finds that firms that present high levels of days-of-sales outstanding and a high probability of insolvency use more trade credit and that these relations are enhanced during a financial crisis. Results suggest that credit constraints during a financial crisis cause firms holding high levels of accounts receivable to postpone payments to suppliers. Specifically, high-risk firms postpone suppliers' payments to avoid insolvency. These results can be interpreted as evidence of a credit contagion in the supply chain.", "author" : [ { "dropping-particle" : "", "family" : "Bastos", "given" : "Rafael", "non-dropping-particle" : "", "parse-names" : false, "suffix" : "" }, { "dropping-particle" : "", "family" : "Pindado", "given" : "Julio", "non-dropping-particle" : "", "parse-names" : false, "suffix" : "" } ], "container-title" : "Journal of Business Research", "id" : "ITEM-2", "issue" : "5", "issued" : { "date-parts" : [ [ "2013" ] ] }, "page" : "614-620", "title" : "Trade credit during a financial crisis: A panel data analysis", "type" : "article-journal", "volume" : "66" }, "uris" : [ "http://www.mendeley.com/documents/?uuid=698cfebf-6f36-3c72-846c-47f8b2d8562b" ] } ], "mendeley" : { "formattedCitation" : "(Bastos and Pindado, 2013; Enqvist, Graham and Nikkinen, 2014)", "manualFormatting" : "(Bastos and Pindado 2013; Enqvist, Graham, and Nikkinen, 2014 Kestens et al. 2012)", "plainTextFormattedCitation" : "(Bastos and Pindado, 2013; Enqvist, Graham and Nikkinen, 2014)", "previouslyFormattedCitation" : "(Bastos and Pindado, 2013; Enqvist, Graham and Nikkinen, 2014)" }, "properties" : {  }, "schema" : "https://github.com/citation-style-language/schema/raw/master/csl-citation.json" }</w:instrText>
      </w:r>
      <w:r w:rsidR="004F00F6" w:rsidRPr="006412CA">
        <w:rPr>
          <w:rFonts w:ascii="Arial" w:hAnsi="Arial" w:cs="Arial"/>
          <w:bCs/>
          <w:iCs/>
          <w:sz w:val="24"/>
          <w:szCs w:val="24"/>
          <w:lang w:val="en-US"/>
        </w:rPr>
        <w:fldChar w:fldCharType="separate"/>
      </w:r>
      <w:r w:rsidR="004F00F6" w:rsidRPr="006412CA">
        <w:rPr>
          <w:rFonts w:ascii="Arial" w:hAnsi="Arial" w:cs="Arial"/>
          <w:bCs/>
          <w:iCs/>
          <w:noProof/>
          <w:sz w:val="24"/>
          <w:szCs w:val="24"/>
          <w:lang w:val="en-US"/>
        </w:rPr>
        <w:t xml:space="preserve">(Bastos and Pindado 2013; </w:t>
      </w:r>
      <w:r w:rsidR="005F449A" w:rsidRPr="006412CA">
        <w:rPr>
          <w:rFonts w:ascii="Arial" w:hAnsi="Arial" w:cs="Arial"/>
          <w:bCs/>
          <w:iCs/>
          <w:noProof/>
          <w:sz w:val="24"/>
          <w:szCs w:val="24"/>
          <w:lang w:val="en-US"/>
        </w:rPr>
        <w:fldChar w:fldCharType="begin" w:fldLock="1"/>
      </w:r>
      <w:r w:rsidR="00031DA3" w:rsidRPr="006412CA">
        <w:rPr>
          <w:rFonts w:ascii="Arial" w:hAnsi="Arial" w:cs="Arial"/>
          <w:bCs/>
          <w:iCs/>
          <w:noProof/>
          <w:sz w:val="24"/>
          <w:szCs w:val="24"/>
          <w:lang w:val="en-US"/>
        </w:rPr>
        <w:instrText>ADDIN CSL_CITATION { "citationItems" : [ { "id" : "ITEM-1", "itemData" : { "DOI" : "10.1016/j.ribaf.2014.03.005", "ISBN" : "0275-5319", "ISSN" : "02755319", "abstract" : "The recent economic downturn of 2007-2008 has brought renewed focus on working capital policies. In this paper we examine the role of business cycles on the working capital-profitability relationship using a sample of Finnish listed companies over an 18-year period. We find the impact of business cycle on the working capital-profitability relationship is more pronounced in economic downturns relative to economic booms. We further show that the significance of efficient inventory management and accounts receivables conversion periods increase during periods of economic downturns. Our results demonstrate that active working capital management matters and, thus, should be included in firms' financial planning. ?? 2014 Elsevier B.V.", "author" : [ { "dropping-particle" : "", "family" : "Enqvist", "given" : "Julius", "non-dropping-particle" : "", "parse-names" : false, "suffix" : "" }, { "dropping-particle" : "", "family" : "Graham", "given" : "Michael", "non-dropping-particle" : "", "parse-names" : false, "suffix" : "" }, { "dropping-particle" : "", "family" : "Nikkinen", "given" : "Jussi", "non-dropping-particle" : "", "parse-names" : false, "suffix" : "" } ], "container-title" : "Research in International Business and Finance", "id" : "ITEM-1", "issued" : { "date-parts" : [ [ "2014" ] ] }, "title" : "The impact of working capital management on firm profitability in different business cycles: Evidence from Finland", "type" : "article-journal", "volume" : "32" }, "uris" : [ "http://www.mendeley.com/documents/?uuid=f35eccb9-42ed-3a62-ac13-a64be6d2811e" ] } ], "mendeley" : { "formattedCitation" : "(Enqvist, Graham and Nikkinen, 2014)", "manualFormatting" : "Enqvist, Graham, and Nikkinen, 2014", "plainTextFormattedCitation" : "(Enqvist, Graham and Nikkinen, 2014)", "previouslyFormattedCitation" : "(Enqvist, Graham and Nikkinen, 2014)" }, "properties" : {  }, "schema" : "https://github.com/citation-style-language/schema/raw/master/csl-citation.json" }</w:instrText>
      </w:r>
      <w:r w:rsidR="005F449A" w:rsidRPr="006412CA">
        <w:rPr>
          <w:rFonts w:ascii="Arial" w:hAnsi="Arial" w:cs="Arial"/>
          <w:bCs/>
          <w:iCs/>
          <w:noProof/>
          <w:sz w:val="24"/>
          <w:szCs w:val="24"/>
          <w:lang w:val="en-US"/>
        </w:rPr>
        <w:fldChar w:fldCharType="separate"/>
      </w:r>
      <w:r w:rsidR="005F449A" w:rsidRPr="006412CA">
        <w:rPr>
          <w:rFonts w:ascii="Arial" w:hAnsi="Arial" w:cs="Arial"/>
          <w:bCs/>
          <w:iCs/>
          <w:noProof/>
          <w:sz w:val="24"/>
          <w:szCs w:val="24"/>
          <w:lang w:val="en-US"/>
        </w:rPr>
        <w:t>Enqvist, Graham, and Nikkinen, 2014</w:t>
      </w:r>
      <w:r w:rsidR="005F449A" w:rsidRPr="006412CA">
        <w:rPr>
          <w:rFonts w:ascii="Arial" w:hAnsi="Arial" w:cs="Arial"/>
          <w:bCs/>
          <w:iCs/>
          <w:noProof/>
          <w:sz w:val="24"/>
          <w:szCs w:val="24"/>
        </w:rPr>
        <w:fldChar w:fldCharType="end"/>
      </w:r>
      <w:r w:rsidR="005F449A" w:rsidRPr="006412CA">
        <w:rPr>
          <w:rFonts w:ascii="Arial" w:hAnsi="Arial" w:cs="Arial"/>
          <w:bCs/>
          <w:iCs/>
          <w:noProof/>
          <w:sz w:val="24"/>
          <w:szCs w:val="24"/>
        </w:rPr>
        <w:t xml:space="preserve"> Kestens et al. 2012</w:t>
      </w:r>
      <w:r w:rsidR="004F00F6" w:rsidRPr="006412CA">
        <w:rPr>
          <w:rFonts w:ascii="Arial" w:hAnsi="Arial" w:cs="Arial"/>
          <w:bCs/>
          <w:iCs/>
          <w:noProof/>
          <w:sz w:val="24"/>
          <w:szCs w:val="24"/>
          <w:lang w:val="en-US"/>
        </w:rPr>
        <w:t>)</w:t>
      </w:r>
      <w:r w:rsidR="004F00F6" w:rsidRPr="006412CA">
        <w:rPr>
          <w:rFonts w:ascii="Arial" w:hAnsi="Arial" w:cs="Arial"/>
          <w:sz w:val="24"/>
          <w:szCs w:val="24"/>
        </w:rPr>
        <w:fldChar w:fldCharType="end"/>
      </w:r>
      <w:r w:rsidR="004F00F6" w:rsidRPr="006412CA">
        <w:rPr>
          <w:rFonts w:ascii="Arial" w:hAnsi="Arial" w:cs="Arial"/>
          <w:bCs/>
          <w:iCs/>
          <w:sz w:val="24"/>
          <w:szCs w:val="24"/>
          <w:lang w:val="en-US"/>
        </w:rPr>
        <w:t xml:space="preserve"> demonstrate that firms</w:t>
      </w:r>
      <w:r w:rsidRPr="006412CA">
        <w:rPr>
          <w:rFonts w:ascii="Arial" w:hAnsi="Arial" w:cs="Arial"/>
          <w:bCs/>
          <w:iCs/>
          <w:sz w:val="24"/>
          <w:szCs w:val="24"/>
          <w:lang w:val="en-US"/>
        </w:rPr>
        <w:t>’</w:t>
      </w:r>
      <w:r w:rsidR="004F00F6" w:rsidRPr="006412CA">
        <w:rPr>
          <w:rFonts w:ascii="Arial" w:hAnsi="Arial" w:cs="Arial"/>
          <w:bCs/>
          <w:iCs/>
          <w:sz w:val="24"/>
          <w:szCs w:val="24"/>
          <w:lang w:val="en-US"/>
        </w:rPr>
        <w:t xml:space="preserve"> cash and liquidity management change to reflect external environmental conditions. For instance, </w:t>
      </w:r>
      <w:bookmarkStart w:id="50" w:name="OLE_LINK126"/>
      <w:r w:rsidR="004F00F6" w:rsidRPr="006412CA">
        <w:rPr>
          <w:rFonts w:ascii="Arial" w:hAnsi="Arial" w:cs="Arial"/>
          <w:bCs/>
          <w:iCs/>
          <w:sz w:val="24"/>
          <w:szCs w:val="24"/>
          <w:lang w:val="en-US"/>
        </w:rPr>
        <w:fldChar w:fldCharType="begin" w:fldLock="1"/>
      </w:r>
      <w:r w:rsidR="00031DA3" w:rsidRPr="006412CA">
        <w:rPr>
          <w:rFonts w:ascii="Arial" w:hAnsi="Arial" w:cs="Arial"/>
          <w:bCs/>
          <w:iCs/>
          <w:sz w:val="24"/>
          <w:szCs w:val="24"/>
          <w:lang w:val="en-US"/>
        </w:rPr>
        <w:instrText>ADDIN CSL_CITATION { "citationItems" : [ { "id" : "ITEM-1", "itemData" : { "DOI" : "10.1016/j.ribaf.2014.03.005", "ISBN" : "0275-5319", "ISSN" : "02755319", "abstract" : "The recent economic downturn of 2007-2008 has brought renewed focus on working capital policies. In this paper we examine the role of business cycles on the working capital-profitability relationship using a sample of Finnish listed companies over an 18-year period. We find the impact of business cycle on the working capital-profitability relationship is more pronounced in economic downturns relative to economic booms. We further show that the significance of efficient inventory management and accounts receivables conversion periods increase during periods of economic downturns. Our results demonstrate that active working capital management matters and, thus, should be included in firms' financial planning. ?? 2014 Elsevier B.V.", "author" : [ { "dropping-particle" : "", "family" : "Enqvist", "given" : "Julius", "non-dropping-particle" : "", "parse-names" : false, "suffix" : "" }, { "dropping-particle" : "", "family" : "Graham", "given" : "Michael", "non-dropping-particle" : "", "parse-names" : false, "suffix" : "" }, { "dropping-particle" : "", "family" : "Nikkinen", "given" : "Jussi", "non-dropping-particle" : "", "parse-names" : false, "suffix" : "" } ], "container-title" : "Research in International Business and Finance", "id" : "ITEM-1", "issued" : { "date-parts" : [ [ "2014" ] ] }, "title" : "The impact of working capital management on firm profitability in different business cycles: Evidence from Finland", "type" : "article-journal", "volume" : "32" }, "uris" : [ "http://www.mendeley.com/documents/?uuid=f35eccb9-42ed-3a62-ac13-a64be6d2811e" ] } ], "mendeley" : { "formattedCitation" : "(Enqvist, Graham and Nikkinen, 2014)", "manualFormatting" : "Enqvist, Graham, and Nikkinen (2014)", "plainTextFormattedCitation" : "(Enqvist, Graham and Nikkinen, 2014)", "previouslyFormattedCitation" : "(Enqvist, Graham and Nikkinen, 2014)" }, "properties" : {  }, "schema" : "https://github.com/citation-style-language/schema/raw/master/csl-citation.json" }</w:instrText>
      </w:r>
      <w:r w:rsidR="004F00F6" w:rsidRPr="006412CA">
        <w:rPr>
          <w:rFonts w:ascii="Arial" w:hAnsi="Arial" w:cs="Arial"/>
          <w:bCs/>
          <w:iCs/>
          <w:sz w:val="24"/>
          <w:szCs w:val="24"/>
          <w:lang w:val="en-US"/>
        </w:rPr>
        <w:fldChar w:fldCharType="separate"/>
      </w:r>
      <w:r w:rsidR="004F00F6" w:rsidRPr="006412CA">
        <w:rPr>
          <w:rFonts w:ascii="Arial" w:hAnsi="Arial" w:cs="Arial"/>
          <w:bCs/>
          <w:iCs/>
          <w:noProof/>
          <w:sz w:val="24"/>
          <w:szCs w:val="24"/>
          <w:lang w:val="en-US"/>
        </w:rPr>
        <w:t>Enqvist, Graham, and Nikkinen (2014)</w:t>
      </w:r>
      <w:r w:rsidR="004F00F6" w:rsidRPr="006412CA">
        <w:rPr>
          <w:rFonts w:ascii="Arial" w:hAnsi="Arial" w:cs="Arial"/>
          <w:bCs/>
          <w:iCs/>
          <w:sz w:val="24"/>
          <w:szCs w:val="24"/>
          <w:lang w:val="en-US"/>
        </w:rPr>
        <w:fldChar w:fldCharType="end"/>
      </w:r>
      <w:bookmarkEnd w:id="50"/>
      <w:r w:rsidR="004F00F6" w:rsidRPr="006412CA">
        <w:rPr>
          <w:rFonts w:ascii="Arial" w:hAnsi="Arial" w:cs="Arial"/>
          <w:bCs/>
          <w:iCs/>
          <w:sz w:val="24"/>
          <w:szCs w:val="24"/>
          <w:lang w:val="en-US"/>
        </w:rPr>
        <w:t xml:space="preserve"> assert that </w:t>
      </w:r>
      <w:r w:rsidR="004F00F6" w:rsidRPr="006412CA">
        <w:rPr>
          <w:rFonts w:ascii="Arial" w:hAnsi="Arial" w:cs="Arial"/>
          <w:bCs/>
          <w:iCs/>
          <w:sz w:val="24"/>
          <w:szCs w:val="24"/>
        </w:rPr>
        <w:t>the impact of the business cycle on the working capital–profitability relationship is more pronounced in economic downturns relative to economic booms.</w:t>
      </w:r>
      <w:r w:rsidR="004F00F6" w:rsidRPr="006412CA">
        <w:rPr>
          <w:rFonts w:ascii="Arial" w:hAnsi="Arial" w:cs="Arial"/>
          <w:bCs/>
          <w:iCs/>
          <w:sz w:val="24"/>
          <w:szCs w:val="24"/>
          <w:lang w:val="en-US"/>
        </w:rPr>
        <w:t xml:space="preserve"> </w:t>
      </w:r>
      <w:r w:rsidR="004F00F6" w:rsidRPr="006412CA">
        <w:rPr>
          <w:rFonts w:ascii="Arial" w:hAnsi="Arial" w:cs="Arial"/>
          <w:bCs/>
          <w:iCs/>
          <w:sz w:val="24"/>
          <w:szCs w:val="24"/>
        </w:rPr>
        <w:t xml:space="preserve">According to </w:t>
      </w:r>
      <w:r w:rsidR="004F00F6" w:rsidRPr="006412CA">
        <w:rPr>
          <w:rFonts w:ascii="Arial" w:hAnsi="Arial" w:cs="Arial"/>
          <w:bCs/>
          <w:iCs/>
          <w:sz w:val="24"/>
          <w:szCs w:val="24"/>
        </w:rPr>
        <w:fldChar w:fldCharType="begin" w:fldLock="1"/>
      </w:r>
      <w:r w:rsidR="00031DA3" w:rsidRPr="006412CA">
        <w:rPr>
          <w:rFonts w:ascii="Arial" w:hAnsi="Arial" w:cs="Arial"/>
          <w:bCs/>
          <w:iCs/>
          <w:sz w:val="24"/>
          <w:szCs w:val="24"/>
        </w:rPr>
        <w:instrText>ADDIN CSL_CITATION { "citationItems" : [ { "id" : "ITEM-1", "itemData" : { "DOI" : "10.1111/j.1467-629X.2011.00452.x", "ISSN" : "08105391", "abstract" : "We investigate whether the 2008 financial crisis had an impact on companies\u2019 trade credit, and whether changes in trade credit mitigated the crisis\u2019s impact on firm profitability. We document that the availability of trade credit decreased, and that this decline is more pronounced, the higher the companies\u2019 pre-crisis reliance on short-term debt. We further report evidence that the redistribution hypothesis holds during crisis periods. Finally, we show that the crisis had a neg- ative impact on company performance, but that this impact was lower (greater) for firms that report an increase in trade receivables (payables) in crisis compared to pre-crisis periods", "author" : [ { "dropping-particle" : "", "family" : "Kestens", "given" : "Katrien", "non-dropping-particle" : "", "parse-names" : false, "suffix" : "" }, { "dropping-particle" : "", "family" : "Cauwenberge", "given" : "Philippe", "non-dropping-particle" : "Van", "parse-names" : false, "suffix" : "" }, { "dropping-particle" : "Vander", "family" : "Bauwhede", "given" : "Heidi", "non-dropping-particle" : "", "parse-names" : false, "suffix" : "" } ], "container-title" : "Accounting and Finance", "id" : "ITEM-1", "issue" : "4", "issued" : { "date-parts" : [ [ "2012" ] ] }, "page" : "1125-1151", "title" : "Trade credit and company performance during the 2008 financial crisis", "type" : "article-journal", "volume" : "52" }, "uris" : [ "http://www.mendeley.com/documents/?uuid=41200933-d537-4c56-99c6-16fdb0d894da" ] } ], "mendeley" : { "formattedCitation" : "(Kestens, Van Cauwenberge and Bauwhede, 2012)", "manualFormatting" : "Kestens et al. (2012)", "plainTextFormattedCitation" : "(Kestens, Van Cauwenberge and Bauwhede, 2012)", "previouslyFormattedCitation" : "(Kestens, Van Cauwenberge and Bauwhede, 2012)" }, "properties" : {  }, "schema" : "https://github.com/citation-style-language/schema/raw/master/csl-citation.json" }</w:instrText>
      </w:r>
      <w:r w:rsidR="004F00F6" w:rsidRPr="006412CA">
        <w:rPr>
          <w:rFonts w:ascii="Arial" w:hAnsi="Arial" w:cs="Arial"/>
          <w:bCs/>
          <w:iCs/>
          <w:sz w:val="24"/>
          <w:szCs w:val="24"/>
        </w:rPr>
        <w:fldChar w:fldCharType="separate"/>
      </w:r>
      <w:r w:rsidR="004F00F6" w:rsidRPr="006412CA">
        <w:rPr>
          <w:rFonts w:ascii="Arial" w:hAnsi="Arial" w:cs="Arial"/>
          <w:bCs/>
          <w:iCs/>
          <w:noProof/>
          <w:sz w:val="24"/>
          <w:szCs w:val="24"/>
        </w:rPr>
        <w:t>Kestens et al. (2012)</w:t>
      </w:r>
      <w:r w:rsidR="004F00F6" w:rsidRPr="006412CA">
        <w:rPr>
          <w:rFonts w:ascii="Arial" w:hAnsi="Arial" w:cs="Arial"/>
          <w:bCs/>
          <w:iCs/>
          <w:sz w:val="24"/>
          <w:szCs w:val="24"/>
          <w:lang w:val="en-US"/>
        </w:rPr>
        <w:fldChar w:fldCharType="end"/>
      </w:r>
      <w:r w:rsidR="004F00F6" w:rsidRPr="006412CA">
        <w:rPr>
          <w:rFonts w:ascii="Arial" w:hAnsi="Arial" w:cs="Arial"/>
          <w:bCs/>
          <w:iCs/>
          <w:sz w:val="24"/>
          <w:szCs w:val="24"/>
        </w:rPr>
        <w:t xml:space="preserve">, </w:t>
      </w:r>
      <w:bookmarkStart w:id="51" w:name="OLE_LINK75"/>
      <w:bookmarkStart w:id="52" w:name="OLE_LINK76"/>
      <w:bookmarkStart w:id="53" w:name="OLE_LINK77"/>
      <w:r w:rsidR="004F00F6" w:rsidRPr="006412CA">
        <w:rPr>
          <w:rFonts w:ascii="Arial" w:hAnsi="Arial" w:cs="Arial"/>
          <w:bCs/>
          <w:iCs/>
          <w:sz w:val="24"/>
          <w:szCs w:val="24"/>
        </w:rPr>
        <w:t>during a period financial meltdown</w:t>
      </w:r>
      <w:bookmarkEnd w:id="51"/>
      <w:bookmarkEnd w:id="52"/>
      <w:bookmarkEnd w:id="53"/>
      <w:r w:rsidR="004F00F6" w:rsidRPr="006412CA">
        <w:rPr>
          <w:rFonts w:ascii="Arial" w:hAnsi="Arial" w:cs="Arial"/>
          <w:bCs/>
          <w:iCs/>
          <w:sz w:val="24"/>
          <w:szCs w:val="24"/>
        </w:rPr>
        <w:t xml:space="preserve">, firms that use suppliers credit are in better position to keep </w:t>
      </w:r>
      <w:bookmarkStart w:id="54" w:name="OLE_LINK81"/>
      <w:bookmarkStart w:id="55" w:name="OLE_LINK82"/>
      <w:bookmarkStart w:id="56" w:name="OLE_LINK83"/>
      <w:r w:rsidR="004F00F6" w:rsidRPr="006412CA">
        <w:rPr>
          <w:rFonts w:ascii="Arial" w:hAnsi="Arial" w:cs="Arial"/>
          <w:bCs/>
          <w:iCs/>
          <w:sz w:val="24"/>
          <w:szCs w:val="24"/>
        </w:rPr>
        <w:t xml:space="preserve">their operational activities </w:t>
      </w:r>
      <w:bookmarkEnd w:id="54"/>
      <w:bookmarkEnd w:id="55"/>
      <w:bookmarkEnd w:id="56"/>
      <w:r w:rsidR="004F00F6" w:rsidRPr="006412CA">
        <w:rPr>
          <w:rFonts w:ascii="Arial" w:hAnsi="Arial" w:cs="Arial"/>
          <w:bCs/>
          <w:iCs/>
          <w:sz w:val="24"/>
          <w:szCs w:val="24"/>
        </w:rPr>
        <w:lastRenderedPageBreak/>
        <w:t xml:space="preserve">stable and are less likely to experience liquidity constraints. On the other hand, firms that reach a helping hand to their customers by increasing their trade credit offered are more likely to achieve additional sales </w:t>
      </w:r>
      <w:r w:rsidR="004F00F6" w:rsidRPr="006412CA">
        <w:rPr>
          <w:rFonts w:ascii="Arial" w:hAnsi="Arial" w:cs="Arial"/>
          <w:bCs/>
          <w:iCs/>
          <w:sz w:val="24"/>
          <w:szCs w:val="24"/>
        </w:rPr>
        <w:fldChar w:fldCharType="begin" w:fldLock="1"/>
      </w:r>
      <w:r w:rsidR="00031DA3" w:rsidRPr="006412CA">
        <w:rPr>
          <w:rFonts w:ascii="Arial" w:hAnsi="Arial" w:cs="Arial"/>
          <w:bCs/>
          <w:iCs/>
          <w:sz w:val="24"/>
          <w:szCs w:val="24"/>
        </w:rPr>
        <w:instrText>ADDIN CSL_CITATION { "citationItems" : [ { "id" : "ITEM-1", "itemData" : { "DOI" : "10.2307/1912790", "ISSN" : "00129682", "abstract" : "This paper estimates a model specifying the determinants of trade credit in the United States total manufacturing sector for the postwar period. Trade credit is considered as a selling expense, like advertising outlays. Its determinants are derived from a profit maximization model in which the price, volume of output, and the selling costs are all variables to be jointly determined. The opportunity or user cost of accounts receivable and accounts payable are specified and the response of these accounts as well as net trade credit to changes in various monetary decision variables is examined.", "author" : [ { "dropping-particle" : "", "family" : "Nadiri", "given" : "M I", "non-dropping-particle" : "", "parse-names" : false, "suffix" : "" } ], "container-title" : "Econometrica (pre-1986)", "id" : "ITEM-1", "issue" : "3", "issued" : { "date-parts" : [ [ "1969" ] ] }, "page" : "408", "title" : "The Determinants of Trade Credit in the U.s. Total Manufacturing Sector", "type" : "article-journal", "volume" : "37" }, "uris" : [ "http://www.mendeley.com/documents/?uuid=6731a6e4-2ac4-4000-9dec-a020f95c8d82" ] }, { "id" : "ITEM-2", "itemData" : { "DOI" : "10.1111/j.1467-629X.2009.00331.x", "ISBN" : "1467-629X", "ISSN" : "1467-629X", "abstract" : "This paper analyses the determinants of Cash Conversion Cycle (CCC) for small- and medium-sized firms. It has been found that these firms have a target CCC length to which they attempt to converge, and that they try to adjust to their target quickly. The results also show that it is longer for older firms and companies with greater cash flows. In contrast, firms with more growth opportunities, and firms with higher leverage, investment in fixed assets and return on assets have a more aggressive working capital policy.", "author" : [ { "dropping-particle" : "", "family" : "Ba\u00f1os-Caballero", "given" : "Sonia", "non-dropping-particle" : "", "parse-names" : false, "suffix" : "" }, { "dropping-particle" : "", "family" : "Garc\u00eda-Teruel", "given" : "Pedro J.", "non-dropping-particle" : "", "parse-names" : false, "suffix" : "" }, { "dropping-particle" : "", "family" : "Mart\u00ednez-Solano", "given" : "Pedro", "non-dropping-particle" : "", "parse-names" : false, "suffix" : "" } ], "container-title" : "Accounting &amp; Finance", "id" : "ITEM-2", "issue" : "3", "issued" : { "date-parts" : [ [ "2010" ] ] }, "page" : "511-527", "title" : "Working capital management in SMEs", "type" : "article-journal", "volume" : "50" }, "uris" : [ "http://www.mendeley.com/documents/?uuid=1e53153e-bb94-4e67-8904-bcde6c5e6145" ] } ], "mendeley" : { "formattedCitation" : "(Nadiri, 1969; Ba\u00f1os-Caballero, Garc\u00eda-Teruel and Mart\u00ednez-Solano, 2010)", "plainTextFormattedCitation" : "(Nadiri, 1969; Ba\u00f1os-Caballero, Garc\u00eda-Teruel and Mart\u00ednez-Solano, 2010)", "previouslyFormattedCitation" : "(Nadiri, 1969; Ba\u00f1os-Caballero, Garc\u00eda-Teruel and Mart\u00ednez-Solano, 2010)" }, "properties" : {  }, "schema" : "https://github.com/citation-style-language/schema/raw/master/csl-citation.json" }</w:instrText>
      </w:r>
      <w:r w:rsidR="004F00F6" w:rsidRPr="006412CA">
        <w:rPr>
          <w:rFonts w:ascii="Arial" w:hAnsi="Arial" w:cs="Arial"/>
          <w:bCs/>
          <w:iCs/>
          <w:sz w:val="24"/>
          <w:szCs w:val="24"/>
        </w:rPr>
        <w:fldChar w:fldCharType="separate"/>
      </w:r>
      <w:r w:rsidR="00031DA3" w:rsidRPr="006412CA">
        <w:rPr>
          <w:rFonts w:ascii="Arial" w:hAnsi="Arial" w:cs="Arial"/>
          <w:bCs/>
          <w:iCs/>
          <w:noProof/>
          <w:sz w:val="24"/>
          <w:szCs w:val="24"/>
        </w:rPr>
        <w:t>(Nadiri, 1969; Baños-Caballero, García-Teruel and Martínez-Solano, 2010)</w:t>
      </w:r>
      <w:r w:rsidR="004F00F6" w:rsidRPr="006412CA">
        <w:rPr>
          <w:rFonts w:ascii="Arial" w:hAnsi="Arial" w:cs="Arial"/>
          <w:bCs/>
          <w:iCs/>
          <w:sz w:val="24"/>
          <w:szCs w:val="24"/>
          <w:lang w:val="en-US"/>
        </w:rPr>
        <w:fldChar w:fldCharType="end"/>
      </w:r>
      <w:r w:rsidR="004F00F6" w:rsidRPr="006412CA">
        <w:rPr>
          <w:rFonts w:ascii="Arial" w:hAnsi="Arial" w:cs="Arial"/>
          <w:bCs/>
          <w:iCs/>
          <w:sz w:val="24"/>
          <w:szCs w:val="24"/>
          <w:lang w:val="en-US"/>
        </w:rPr>
        <w:t>.</w:t>
      </w:r>
    </w:p>
    <w:p w14:paraId="1E1DB1D0" w14:textId="15B848CC" w:rsidR="004F00F6" w:rsidRPr="006412CA" w:rsidRDefault="00812000" w:rsidP="004E32E2">
      <w:pPr>
        <w:spacing w:after="0" w:line="360" w:lineRule="auto"/>
        <w:jc w:val="both"/>
        <w:rPr>
          <w:rFonts w:ascii="Arial" w:hAnsi="Arial" w:cs="Arial"/>
          <w:bCs/>
          <w:iCs/>
          <w:sz w:val="24"/>
          <w:szCs w:val="24"/>
          <w:lang w:val="en-US"/>
        </w:rPr>
      </w:pPr>
      <w:r w:rsidRPr="006412CA">
        <w:rPr>
          <w:rFonts w:ascii="Arial" w:hAnsi="Arial" w:cs="Arial"/>
          <w:bCs/>
          <w:iCs/>
          <w:sz w:val="24"/>
          <w:szCs w:val="24"/>
          <w:lang w:val="en-US"/>
        </w:rPr>
        <w:tab/>
      </w:r>
      <w:r w:rsidR="005F6F28" w:rsidRPr="006412CA">
        <w:rPr>
          <w:rFonts w:ascii="Arial" w:hAnsi="Arial" w:cs="Arial"/>
          <w:bCs/>
          <w:iCs/>
          <w:sz w:val="24"/>
          <w:szCs w:val="24"/>
          <w:lang w:val="en-US"/>
        </w:rPr>
        <w:fldChar w:fldCharType="begin" w:fldLock="1"/>
      </w:r>
      <w:r w:rsidR="00031DA3" w:rsidRPr="006412CA">
        <w:rPr>
          <w:rFonts w:ascii="Arial" w:hAnsi="Arial" w:cs="Arial"/>
          <w:bCs/>
          <w:iCs/>
          <w:sz w:val="24"/>
          <w:szCs w:val="24"/>
          <w:lang w:val="en-US"/>
        </w:rPr>
        <w:instrText>ADDIN CSL_CITATION { "citationItems" : [ { "id" : "ITEM-1", "itemData" : { "DOI" : "10.1016/j.jfineco.2005.11.002", "ISBN" : "0304405X", "ISSN" : "0304405X", "abstract" : "This paper studies the effect of financial crises on trade credit for a sample of 890 firms in six emerging economies. Although the provision of trade credit increases right after a crisis, it contracts in the following months and years. Firms that are financially more vulnerable to crises extend less trade credit to their customers. We argue that the decline in aggregate trade credit ratios is driven by the reduction in the supply of trade credit that follows a bank credit crunch, consistent with the \"redistribution view\" of trade credit provision, whereby bank credit is redistributed via trade credit from financially stronger firms to weaker firms. ?? 2006 Elsevier B.V. All rights reserved.", "author" : [ { "dropping-particle" : "", "family" : "Love", "given" : "Inessa", "non-dropping-particle" : "", "parse-names" : false, "suffix" : "" }, { "dropping-particle" : "", "family" : "Preve", "given" : "Lorenzo A.", "non-dropping-particle" : "", "parse-names" : false, "suffix" : "" }, { "dropping-particle" : "", "family" : "Sarria-Allende", "given" : "Virginia", "non-dropping-particle" : "", "parse-names" : false, "suffix" : "" } ], "container-title" : "Journal of Financial Economics", "id" : "ITEM-1", "issue" : "2", "issued" : { "date-parts" : [ [ "2007" ] ] }, "page" : "453-469", "title" : "Trade credit and bank credit: Evidence from recent financial crises", "type" : "article-journal", "volume" : "83" }, "uris" : [ "http://www.mendeley.com/documents/?uuid=a773d51d-6892-4cfb-8170-25b928090242" ] } ], "mendeley" : { "formattedCitation" : "(Love, Preve and Sarria-Allende, 2007)", "manualFormatting" : "Love et al. (2007)", "plainTextFormattedCitation" : "(Love, Preve and Sarria-Allende, 2007)", "previouslyFormattedCitation" : "(Love, Preve and Sarria-Allende, 2007)" }, "properties" : {  }, "schema" : "https://github.com/citation-style-language/schema/raw/master/csl-citation.json" }</w:instrText>
      </w:r>
      <w:r w:rsidR="005F6F28" w:rsidRPr="006412CA">
        <w:rPr>
          <w:rFonts w:ascii="Arial" w:hAnsi="Arial" w:cs="Arial"/>
          <w:bCs/>
          <w:iCs/>
          <w:sz w:val="24"/>
          <w:szCs w:val="24"/>
          <w:lang w:val="en-US"/>
        </w:rPr>
        <w:fldChar w:fldCharType="separate"/>
      </w:r>
      <w:r w:rsidR="005F6F28" w:rsidRPr="006412CA">
        <w:rPr>
          <w:rFonts w:ascii="Arial" w:hAnsi="Arial" w:cs="Arial"/>
          <w:bCs/>
          <w:iCs/>
          <w:noProof/>
          <w:sz w:val="24"/>
          <w:szCs w:val="24"/>
          <w:lang w:val="en-US"/>
        </w:rPr>
        <w:t>Love et al. (2007)</w:t>
      </w:r>
      <w:r w:rsidR="005F6F28" w:rsidRPr="006412CA">
        <w:rPr>
          <w:rFonts w:ascii="Arial" w:hAnsi="Arial" w:cs="Arial"/>
          <w:bCs/>
          <w:iCs/>
          <w:sz w:val="24"/>
          <w:szCs w:val="24"/>
          <w:lang w:val="en-US"/>
        </w:rPr>
        <w:fldChar w:fldCharType="end"/>
      </w:r>
      <w:r w:rsidR="004F00F6" w:rsidRPr="006412CA">
        <w:rPr>
          <w:rFonts w:ascii="Arial" w:hAnsi="Arial" w:cs="Arial"/>
          <w:bCs/>
          <w:iCs/>
          <w:sz w:val="24"/>
          <w:szCs w:val="24"/>
        </w:rPr>
        <w:t xml:space="preserve"> finds </w:t>
      </w:r>
      <w:r w:rsidR="00B44460" w:rsidRPr="006412CA">
        <w:rPr>
          <w:rFonts w:ascii="Arial" w:hAnsi="Arial" w:cs="Arial"/>
          <w:bCs/>
          <w:iCs/>
          <w:sz w:val="24"/>
          <w:szCs w:val="24"/>
        </w:rPr>
        <w:t xml:space="preserve">that </w:t>
      </w:r>
      <w:r w:rsidR="004F00F6" w:rsidRPr="006412CA">
        <w:rPr>
          <w:rFonts w:ascii="Arial" w:hAnsi="Arial" w:cs="Arial"/>
          <w:bCs/>
          <w:iCs/>
          <w:sz w:val="24"/>
          <w:szCs w:val="24"/>
        </w:rPr>
        <w:t>financially vulnerable firms adopt an aggressive trade credit policy by reducing their investment in trade credit during period</w:t>
      </w:r>
      <w:r w:rsidR="00357828" w:rsidRPr="006412CA">
        <w:rPr>
          <w:rFonts w:ascii="Arial" w:hAnsi="Arial" w:cs="Arial"/>
          <w:bCs/>
          <w:iCs/>
          <w:sz w:val="24"/>
          <w:szCs w:val="24"/>
        </w:rPr>
        <w:t>s</w:t>
      </w:r>
      <w:r w:rsidR="004F00F6" w:rsidRPr="006412CA">
        <w:rPr>
          <w:rFonts w:ascii="Arial" w:hAnsi="Arial" w:cs="Arial"/>
          <w:bCs/>
          <w:iCs/>
          <w:sz w:val="24"/>
          <w:szCs w:val="24"/>
        </w:rPr>
        <w:t xml:space="preserve"> </w:t>
      </w:r>
      <w:r w:rsidR="00B44460" w:rsidRPr="006412CA">
        <w:rPr>
          <w:rFonts w:ascii="Arial" w:hAnsi="Arial" w:cs="Arial"/>
          <w:bCs/>
          <w:iCs/>
          <w:sz w:val="24"/>
          <w:szCs w:val="24"/>
        </w:rPr>
        <w:t xml:space="preserve">of </w:t>
      </w:r>
      <w:r w:rsidR="00357828" w:rsidRPr="006412CA">
        <w:rPr>
          <w:rFonts w:ascii="Arial" w:hAnsi="Arial" w:cs="Arial"/>
          <w:bCs/>
          <w:iCs/>
          <w:sz w:val="24"/>
          <w:szCs w:val="24"/>
        </w:rPr>
        <w:t>crise</w:t>
      </w:r>
      <w:r w:rsidR="004F00F6" w:rsidRPr="006412CA">
        <w:rPr>
          <w:rFonts w:ascii="Arial" w:hAnsi="Arial" w:cs="Arial"/>
          <w:bCs/>
          <w:iCs/>
          <w:sz w:val="24"/>
          <w:szCs w:val="24"/>
        </w:rPr>
        <w:t>s. The authors attribute this to the fact that d</w:t>
      </w:r>
      <w:r w:rsidR="004F00F6" w:rsidRPr="006412CA">
        <w:rPr>
          <w:rFonts w:ascii="Arial" w:eastAsia="Calibri" w:hAnsi="Arial" w:cs="Arial"/>
          <w:sz w:val="24"/>
          <w:szCs w:val="24"/>
        </w:rPr>
        <w:t xml:space="preserve">uring </w:t>
      </w:r>
      <w:r w:rsidR="004F00F6" w:rsidRPr="006412CA">
        <w:rPr>
          <w:rFonts w:ascii="Arial" w:eastAsia="Calibri" w:hAnsi="Arial" w:cs="Arial"/>
          <w:bCs/>
          <w:iCs/>
          <w:sz w:val="24"/>
          <w:szCs w:val="24"/>
        </w:rPr>
        <w:t xml:space="preserve">a period </w:t>
      </w:r>
      <w:r w:rsidR="00357828" w:rsidRPr="006412CA">
        <w:rPr>
          <w:rFonts w:ascii="Arial" w:eastAsia="Calibri" w:hAnsi="Arial" w:cs="Arial"/>
          <w:bCs/>
          <w:iCs/>
          <w:sz w:val="24"/>
          <w:szCs w:val="24"/>
        </w:rPr>
        <w:t xml:space="preserve">of </w:t>
      </w:r>
      <w:r w:rsidR="004F00F6" w:rsidRPr="006412CA">
        <w:rPr>
          <w:rFonts w:ascii="Arial" w:eastAsia="Calibri" w:hAnsi="Arial" w:cs="Arial"/>
          <w:bCs/>
          <w:iCs/>
          <w:sz w:val="24"/>
          <w:szCs w:val="24"/>
        </w:rPr>
        <w:t>economic meltdown</w:t>
      </w:r>
      <w:r w:rsidR="004F00F6" w:rsidRPr="006412CA">
        <w:rPr>
          <w:rFonts w:ascii="Arial" w:eastAsia="Calibri" w:hAnsi="Arial" w:cs="Arial"/>
          <w:sz w:val="24"/>
          <w:szCs w:val="24"/>
        </w:rPr>
        <w:t>, alternative sources of financing become scarce as stock markets crash and foreign lenders pull out their money. That is, as all the potential sources of funds dry up, there may be nothing left to redistribute in the form working capital.</w:t>
      </w:r>
      <w:r w:rsidR="004F00F6" w:rsidRPr="006412CA">
        <w:rPr>
          <w:rFonts w:ascii="Arial" w:hAnsi="Arial" w:cs="Arial"/>
          <w:bCs/>
          <w:iCs/>
          <w:sz w:val="24"/>
          <w:szCs w:val="24"/>
          <w:lang w:val="en-US"/>
        </w:rPr>
        <w:t xml:space="preserve"> </w:t>
      </w:r>
      <w:r w:rsidR="004F00F6" w:rsidRPr="006412CA">
        <w:rPr>
          <w:rFonts w:ascii="Arial" w:hAnsi="Arial" w:cs="Arial"/>
          <w:bCs/>
          <w:iCs/>
          <w:sz w:val="24"/>
          <w:szCs w:val="24"/>
        </w:rPr>
        <w:t xml:space="preserve">While firms may demand more </w:t>
      </w:r>
      <w:r w:rsidR="004F00F6" w:rsidRPr="006412CA">
        <w:rPr>
          <w:rFonts w:ascii="Arial" w:hAnsi="Arial" w:cs="Arial"/>
          <w:bCs/>
          <w:iCs/>
          <w:sz w:val="24"/>
          <w:szCs w:val="24"/>
        </w:rPr>
        <w:lastRenderedPageBreak/>
        <w:t xml:space="preserve">of suppliers’ credit, suppliers may not be willing to </w:t>
      </w:r>
      <w:r w:rsidR="00357828" w:rsidRPr="006412CA">
        <w:rPr>
          <w:rFonts w:ascii="Arial" w:hAnsi="Arial" w:cs="Arial"/>
          <w:bCs/>
          <w:iCs/>
          <w:sz w:val="24"/>
          <w:szCs w:val="24"/>
        </w:rPr>
        <w:t>grant</w:t>
      </w:r>
      <w:r w:rsidR="004F00F6" w:rsidRPr="006412CA">
        <w:rPr>
          <w:rFonts w:ascii="Arial" w:hAnsi="Arial" w:cs="Arial"/>
          <w:bCs/>
          <w:iCs/>
          <w:sz w:val="24"/>
          <w:szCs w:val="24"/>
        </w:rPr>
        <w:t xml:space="preserve"> such request due to contraction of access to external finance. </w:t>
      </w:r>
      <w:bookmarkStart w:id="57" w:name="OLE_LINK125"/>
      <w:bookmarkStart w:id="58" w:name="OLE_LINK23"/>
      <w:bookmarkStart w:id="59" w:name="OLE_LINK24"/>
      <w:bookmarkStart w:id="60" w:name="OLE_LINK127"/>
      <w:bookmarkStart w:id="61" w:name="OLE_LINK128"/>
      <w:r w:rsidR="002C2395" w:rsidRPr="006412CA">
        <w:rPr>
          <w:rFonts w:ascii="Arial" w:hAnsi="Arial" w:cs="Arial"/>
          <w:bCs/>
          <w:iCs/>
          <w:sz w:val="24"/>
          <w:szCs w:val="24"/>
        </w:rPr>
        <w:fldChar w:fldCharType="begin" w:fldLock="1"/>
      </w:r>
      <w:r w:rsidR="00031DA3" w:rsidRPr="006412CA">
        <w:rPr>
          <w:rFonts w:ascii="Arial" w:hAnsi="Arial" w:cs="Arial"/>
          <w:bCs/>
          <w:iCs/>
          <w:sz w:val="24"/>
          <w:szCs w:val="24"/>
        </w:rPr>
        <w:instrText>ADDIN CSL_CITATION { "citationItems" : [ { "id" : "ITEM-1", "itemData" : { "DOI" : "10.1080/1351847X.2014.883549", "ISSN" : "14664364", "abstract" : "This paper documents the behaviour of corporate treasurers who are involved in the decision-making process in the areas of cash, inventory, accounts receivable, accounts payable and risk management during the global financial crisis. Using a survey questionnaire, we attempt to find out if working capital managers are prone to certain heuristic-driven biases, such as loss aversion, high confidence level, anchoring and self-serving biases. Our findings show that these professionals exhibit signs of behavioural biases. Although the biases lead to sub-optimal decisions in certain areas of working capital management (WCM), they can also be desirable attributes in other aspects of WCM. We propose a profile of a good working capital manager. [ABSTRACT FROM AUTHOR]", "author" : [ { "dropping-particle" : "", "family" : "Ramiah", "given" : "Vikash", "non-dropping-particle" : "", "parse-names" : false, "suffix" : "" }, { "dropping-particle" : "", "family" : "Zhao", "given" : "Yilang", "non-dropping-particle" : "", "parse-names" : false, "suffix" : "" }, { "dropping-particle" : "", "family" : "Moosa", "given" : "Imad", "non-dropping-particle" : "", "parse-names" : false, "suffix" : "" }, { "dropping-particle" : "", "family" : "Graham", "given" : "Michael", "non-dropping-particle" : "", "parse-names" : false, "suffix" : "" } ], "container-title" : "European Journal of Finance", "id" : "ITEM-1", "issue" : "8-9", "issued" : { "date-parts" : [ [ "2016" ] ] }, "page" : "662-687", "title" : "A behavioural finance approach to working capital management", "type" : "article-journal", "volume" : "22" }, "uris" : [ "http://www.mendeley.com/documents/?uuid=87874edb-cf0d-4a8b-a515-3c87c776ff95" ] } ], "mendeley" : { "formattedCitation" : "(Ramiah &lt;i&gt;et al.&lt;/i&gt;, 2016)", "manualFormatting" : "Ramiah et al. (2016)", "plainTextFormattedCitation" : "(Ramiah et al., 2016)", "previouslyFormattedCitation" : "(Ramiah &lt;i&gt;et al.&lt;/i&gt;, 2016)" }, "properties" : {  }, "schema" : "https://github.com/citation-style-language/schema/raw/master/csl-citation.json" }</w:instrText>
      </w:r>
      <w:r w:rsidR="002C2395" w:rsidRPr="006412CA">
        <w:rPr>
          <w:rFonts w:ascii="Arial" w:hAnsi="Arial" w:cs="Arial"/>
          <w:bCs/>
          <w:iCs/>
          <w:sz w:val="24"/>
          <w:szCs w:val="24"/>
        </w:rPr>
        <w:fldChar w:fldCharType="separate"/>
      </w:r>
      <w:r w:rsidR="002C2395" w:rsidRPr="006412CA">
        <w:rPr>
          <w:rFonts w:ascii="Arial" w:hAnsi="Arial" w:cs="Arial"/>
          <w:bCs/>
          <w:iCs/>
          <w:noProof/>
          <w:sz w:val="24"/>
          <w:szCs w:val="24"/>
        </w:rPr>
        <w:t>Ramiah et al. (2016)</w:t>
      </w:r>
      <w:r w:rsidR="002C2395" w:rsidRPr="006412CA">
        <w:rPr>
          <w:rFonts w:ascii="Arial" w:hAnsi="Arial" w:cs="Arial"/>
          <w:bCs/>
          <w:iCs/>
          <w:sz w:val="24"/>
          <w:szCs w:val="24"/>
        </w:rPr>
        <w:fldChar w:fldCharType="end"/>
      </w:r>
      <w:bookmarkEnd w:id="57"/>
      <w:bookmarkEnd w:id="58"/>
      <w:bookmarkEnd w:id="59"/>
      <w:r w:rsidR="002C2395" w:rsidRPr="006412CA">
        <w:rPr>
          <w:rFonts w:ascii="Arial" w:hAnsi="Arial" w:cs="Arial"/>
          <w:sz w:val="24"/>
          <w:szCs w:val="24"/>
        </w:rPr>
        <w:t>,</w:t>
      </w:r>
      <w:r w:rsidR="004F00F6" w:rsidRPr="006412CA">
        <w:rPr>
          <w:rFonts w:ascii="Arial" w:hAnsi="Arial" w:cs="Arial"/>
          <w:sz w:val="24"/>
          <w:szCs w:val="24"/>
        </w:rPr>
        <w:t xml:space="preserve"> </w:t>
      </w:r>
      <w:bookmarkEnd w:id="60"/>
      <w:bookmarkEnd w:id="61"/>
      <w:r w:rsidR="00357828" w:rsidRPr="006412CA">
        <w:rPr>
          <w:rFonts w:ascii="Arial" w:hAnsi="Arial" w:cs="Arial"/>
          <w:sz w:val="24"/>
          <w:szCs w:val="24"/>
        </w:rPr>
        <w:t>explains that during crise</w:t>
      </w:r>
      <w:r w:rsidR="004F00F6" w:rsidRPr="006412CA">
        <w:rPr>
          <w:rFonts w:ascii="Arial" w:hAnsi="Arial" w:cs="Arial"/>
          <w:sz w:val="24"/>
          <w:szCs w:val="24"/>
        </w:rPr>
        <w:t xml:space="preserve">s periods, firms focus more on the preservation of cash and reduction of their cash conversion cycles to secure additional funding buffers for </w:t>
      </w:r>
      <w:r w:rsidR="004F00F6" w:rsidRPr="006412CA">
        <w:rPr>
          <w:rFonts w:ascii="Arial" w:hAnsi="Arial" w:cs="Arial"/>
          <w:bCs/>
          <w:iCs/>
          <w:sz w:val="24"/>
          <w:szCs w:val="24"/>
        </w:rPr>
        <w:t>their operational activities</w:t>
      </w:r>
      <w:r w:rsidR="004F00F6" w:rsidRPr="006412CA">
        <w:rPr>
          <w:rFonts w:ascii="Arial" w:hAnsi="Arial" w:cs="Arial"/>
          <w:bCs/>
          <w:iCs/>
          <w:sz w:val="24"/>
          <w:szCs w:val="24"/>
          <w:lang w:val="en-US"/>
        </w:rPr>
        <w:t>. Therefore</w:t>
      </w:r>
      <w:r w:rsidR="00357828" w:rsidRPr="006412CA">
        <w:rPr>
          <w:rFonts w:ascii="Arial" w:hAnsi="Arial" w:cs="Arial"/>
          <w:bCs/>
          <w:iCs/>
          <w:sz w:val="24"/>
          <w:szCs w:val="24"/>
          <w:lang w:val="en-US"/>
        </w:rPr>
        <w:t>,</w:t>
      </w:r>
      <w:r w:rsidR="004F00F6" w:rsidRPr="006412CA">
        <w:rPr>
          <w:rFonts w:ascii="Arial" w:hAnsi="Arial" w:cs="Arial"/>
          <w:bCs/>
          <w:iCs/>
          <w:sz w:val="24"/>
          <w:szCs w:val="24"/>
          <w:lang w:val="en-US"/>
        </w:rPr>
        <w:t xml:space="preserve"> by </w:t>
      </w:r>
      <w:r w:rsidR="004F00F6" w:rsidRPr="006412CA">
        <w:rPr>
          <w:rFonts w:ascii="Arial" w:hAnsi="Arial" w:cs="Arial"/>
          <w:bCs/>
          <w:iCs/>
          <w:sz w:val="24"/>
          <w:szCs w:val="24"/>
        </w:rPr>
        <w:t>adopting an aggressive WCM policy, firms can free up all the excess cash tied up in working capital for profitable investment opportunities.</w:t>
      </w:r>
    </w:p>
    <w:p w14:paraId="20512810" w14:textId="3225A79E" w:rsidR="004E32E2" w:rsidRPr="006412CA" w:rsidRDefault="004F00F6" w:rsidP="002E780D">
      <w:pPr>
        <w:spacing w:after="0" w:line="360" w:lineRule="auto"/>
        <w:ind w:firstLine="720"/>
        <w:jc w:val="both"/>
        <w:rPr>
          <w:rFonts w:ascii="Arial" w:hAnsi="Arial" w:cs="Arial"/>
          <w:sz w:val="24"/>
          <w:szCs w:val="24"/>
        </w:rPr>
      </w:pPr>
      <w:r w:rsidRPr="006412CA">
        <w:rPr>
          <w:rFonts w:ascii="Arial" w:hAnsi="Arial" w:cs="Arial"/>
          <w:sz w:val="24"/>
          <w:szCs w:val="24"/>
        </w:rPr>
        <w:t xml:space="preserve">Several studies </w:t>
      </w:r>
      <w:r w:rsidR="00162B71" w:rsidRPr="006412CA">
        <w:rPr>
          <w:rFonts w:ascii="Arial" w:hAnsi="Arial" w:cs="Arial"/>
          <w:sz w:val="24"/>
          <w:szCs w:val="24"/>
        </w:rPr>
        <w:t>focus</w:t>
      </w:r>
      <w:r w:rsidRPr="006412CA">
        <w:rPr>
          <w:rFonts w:ascii="Arial" w:hAnsi="Arial" w:cs="Arial"/>
          <w:sz w:val="24"/>
          <w:szCs w:val="24"/>
        </w:rPr>
        <w:t xml:space="preserve"> their analyses on differences in working capital management across industries </w:t>
      </w:r>
      <w:r w:rsidR="002C2395"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"DOI" : "10.1108/19355181200500007", "ISBN" : "0895-1772", "ISSN" : "1935-5181", "abstract" : "Firms are able to reduce financing costs and/or increase the funds available for expansion by minimizing the amount of funds tied up in current assets. We provide insights into the performance of surveyed firms across key components of working capital management by using the CFO magazine's annual Working Capital Management Survey. We discover that significant differences exist between industries in working capital measures across time. In addition, we discover that these measures for working capital change significantly within industries across time.", "author" : [ { "dropping-particle" : "", "family" : "Filbeck", "given" : "Greg", "non-dropping-particle" : "", "parse-names" : false, "suffix" : "" }, { "dropping-particle" : "", "family" : "Krueger", "given" : "Thomas M.", "non-dropping-particle" : "", "parse-names" : false, "suffix" : "" } ], "container-title" : "American Journal of Business", "id" : "ITEM-1", "issue" : "2", "issued" : { "date-parts" : [ [ "2005" ] ] }, "page" : "11-20", "title" : "An Analysis of Working Capital Management Results Across Industries", "type" : "article-journal", "volume" : "20" }, "uris" : [ "http://www.mendeley.com/documents/?uuid=4e891050-fd3b-4564-82ca-0daf2180f06e" ] }, { "id" : "ITEM-2", "itemData" : { "abstract" : "Trade credit is created whenever a supplier offers terms that allow the buyer to delay payment. In this paper we document the rich variation in interfirm credit terms and credit policies across industries. We examine empirically the firm's ba- sic credit policy choices: whether to extend credit or to require cash payment; and, if credit is extended, whether to adopt simple net terms or terms with discounts for prompt payment. We also examine determinants of variations in two-part terms. Results are supportive primarily of theories that explain credit terms as con- tractual solutions to information problems concerning product quality and buyer creditworthiness. TRADE", "author" : [ { "dropping-particle" : "", "family" : "Ng", "given" : "Ck", "non-dropping-particle" : "", "parse-names" : false, "suffix" : "" }, { "dropping-particle" : "", "family" : "Smith", "given" : "Jk", "non-dropping-particle" : "", "parse-names" : false, "suffix" : "" }, { "dropping-particle" : "", "family" : "Smith", "given" : "Rl", "non-dropping-particle" : "", "parse-names" : false, "suffix" : "" } ], "container-title" : "The Journal of Finance", "id" : "ITEM-2", "issue" : "3", "issued" : { "date-parts" : [ [ "1999" ] ] }, "page" : "1109-1129", "title" : "Evidence on the determinants of credit terms used in interfirm trade", "type" : "article-journal", "volume" : "54" }, "uris" : [ "http://www.mendeley.com/documents/?uuid=d215d674-d4f8-4e6d-b3a2-78d94066e1eb" ] } ], "mendeley" : { "formattedCitation" : "(Ng, Smith and Smith, 1999; Filbeck and Krueger, 2005)", "plainTextFormattedCitation" : "(Ng, Smith and Smith, 1999; Filbeck and Krueger, 2005)", "previouslyFormattedCitation" : "(Ng, Smith and Smith, 1999; Filbeck and Krueger, 2005)" }, "properties" : {  }, "schema" : "https://github.com/citation-style-language/schema/raw/master/csl-citation.json" }</w:instrText>
      </w:r>
      <w:r w:rsidR="002C2395" w:rsidRPr="006412CA">
        <w:rPr>
          <w:rFonts w:ascii="Arial" w:hAnsi="Arial" w:cs="Arial"/>
          <w:sz w:val="24"/>
          <w:szCs w:val="24"/>
        </w:rPr>
        <w:fldChar w:fldCharType="separate"/>
      </w:r>
      <w:r w:rsidR="00031DA3" w:rsidRPr="006412CA">
        <w:rPr>
          <w:rFonts w:ascii="Arial" w:hAnsi="Arial" w:cs="Arial"/>
          <w:noProof/>
          <w:sz w:val="24"/>
          <w:szCs w:val="24"/>
        </w:rPr>
        <w:t>(Ng, Smith and Smith, 1999; Filbeck and Krueger, 2005)</w:t>
      </w:r>
      <w:r w:rsidR="002C2395" w:rsidRPr="006412CA">
        <w:rPr>
          <w:rFonts w:ascii="Arial" w:hAnsi="Arial" w:cs="Arial"/>
          <w:sz w:val="24"/>
          <w:szCs w:val="24"/>
        </w:rPr>
        <w:fldChar w:fldCharType="end"/>
      </w:r>
      <w:r w:rsidR="002C2395" w:rsidRPr="006412CA">
        <w:rPr>
          <w:rFonts w:ascii="Arial" w:hAnsi="Arial" w:cs="Arial"/>
          <w:sz w:val="24"/>
          <w:szCs w:val="24"/>
        </w:rPr>
        <w:t>.</w:t>
      </w:r>
      <w:r w:rsidRPr="006412CA">
        <w:rPr>
          <w:rFonts w:ascii="Arial" w:hAnsi="Arial" w:cs="Arial"/>
          <w:sz w:val="24"/>
          <w:szCs w:val="24"/>
        </w:rPr>
        <w:t xml:space="preserve"> According to Porter (1980), the differences in the performance level of companies within an industry also depends on the bargaining power between the supplier and customer. In an industry with few suppliers but many customers, suppliers may enjoy an enhanced </w:t>
      </w:r>
      <w:r w:rsidR="00162B71" w:rsidRPr="006412CA">
        <w:rPr>
          <w:rFonts w:ascii="Arial" w:hAnsi="Arial" w:cs="Arial"/>
          <w:sz w:val="24"/>
          <w:szCs w:val="24"/>
        </w:rPr>
        <w:lastRenderedPageBreak/>
        <w:t xml:space="preserve">financial </w:t>
      </w:r>
      <w:r w:rsidRPr="006412CA">
        <w:rPr>
          <w:rFonts w:ascii="Arial" w:hAnsi="Arial" w:cs="Arial"/>
          <w:sz w:val="24"/>
          <w:szCs w:val="24"/>
        </w:rPr>
        <w:t xml:space="preserve">performance by dictating to customers; such as determining the price of the products and even the terms of credit to be offered. Nonetheless, fast-growing firms or those operating in competitive markets are more likely to adopt a less formalised and conservative WCM policy to enhance their market share. These firms offer additional credit to extend their market share, and in return, they demand more credit from their suppliers to create equilibrium in their cash conversion cycle </w:t>
      </w:r>
      <w:bookmarkStart w:id="62" w:name="OLE_LINK133"/>
      <w:bookmarkStart w:id="63" w:name="OLE_LINK134"/>
      <w:r w:rsidR="002C2395" w:rsidRPr="006412CA">
        <w:rPr>
          <w:rFonts w:ascii="Arial" w:hAnsi="Arial" w:cs="Arial"/>
          <w:sz w:val="24"/>
          <w:szCs w:val="24"/>
        </w:rPr>
        <w:fldChar w:fldCharType="begin" w:fldLock="1"/>
      </w:r>
      <w:r w:rsidR="0093010E" w:rsidRPr="006412CA">
        <w:rPr>
          <w:rFonts w:ascii="Arial" w:hAnsi="Arial" w:cs="Arial"/>
          <w:sz w:val="24"/>
          <w:szCs w:val="24"/>
        </w:rPr>
        <w:instrText>ADDIN CSL_CITATION { "citationItems" : [ { "id" : "ITEM-1", "itemData" : { "DOI" : "DOI: 10.1016/j.bar.2008.05.007", "ISBN" : "0890-8389", "ISSN" : "08908389", "abstract" : "Trade credit management represents an important strategic opportunity for firms to enhance performance, liquidity and profitability. This paper synthesises existing understandings of trade credit, with particular (but not exclusive) reference to the UK, with a view to identifying a research agenda in this field. The size, macroeconomic significance, absence of regulation and presence of significant internal risk associated with trade credit suggest that such an enhanced meta-level understanding of this substantial financial market that shadows regular business-to-business operations is imperative. The paper synthesises what is known about the basic parameters of trade credit operations, suppliers' motivations and imperatives for granting credit to trade customers and the factors that determine credit periods and terms. We identify where further research would advance understanding in this area.", "author" : [ { "dropping-particle" : "", "family" : "Paul", "given" : "Salima", "non-dropping-particle" : "", "parse-names" : false, "suffix" : "" }, { "dropping-particle" : "", "family" : "Boden", "given" : "Rebecca", "non-dropping-particle" : "", "parse-names" : false, "suffix" : "" } ], "container-title" : "The British Accounting Review", "id" : "ITEM-1", "issue" : "3", "issued" : { "date-parts" : [ [ "2008" ] ] }, "page" : "272-281", "title" : "The secret life of UK trade credit supply: Setting a new research agenda", "type" : "article-journal", "volume" : "40" }, "uris" : [ "http://www.mendeley.com/documents/?uuid=f9d545a6-99c7-40ba-bd02-3ea75240347f" ] } ], "mendeley" : { "formattedCitation" : "(Paul and Boden, 2008)", "manualFormatting" : "(Paul and Boden 2008)", "plainTextFormattedCitation" : "(Paul and Boden, 2008)", "previouslyFormattedCitation" : "(Paul and Boden, 2008)" }, "properties" : {  }, "schema" : "https://github.com/citation-style-language/schema/raw/master/csl-citation.json" }</w:instrText>
      </w:r>
      <w:r w:rsidR="002C2395" w:rsidRPr="006412CA">
        <w:rPr>
          <w:rFonts w:ascii="Arial" w:hAnsi="Arial" w:cs="Arial"/>
          <w:sz w:val="24"/>
          <w:szCs w:val="24"/>
        </w:rPr>
        <w:fldChar w:fldCharType="separate"/>
      </w:r>
      <w:r w:rsidR="00A52E31" w:rsidRPr="006412CA">
        <w:rPr>
          <w:rFonts w:ascii="Arial" w:hAnsi="Arial" w:cs="Arial"/>
          <w:noProof/>
          <w:sz w:val="24"/>
          <w:szCs w:val="24"/>
        </w:rPr>
        <w:t>(Paul and Boden</w:t>
      </w:r>
      <w:r w:rsidR="00031DA3" w:rsidRPr="006412CA">
        <w:rPr>
          <w:rFonts w:ascii="Arial" w:hAnsi="Arial" w:cs="Arial"/>
          <w:noProof/>
          <w:sz w:val="24"/>
          <w:szCs w:val="24"/>
        </w:rPr>
        <w:t xml:space="preserve"> 2008)</w:t>
      </w:r>
      <w:r w:rsidR="002C2395" w:rsidRPr="006412CA">
        <w:rPr>
          <w:rFonts w:ascii="Arial" w:hAnsi="Arial" w:cs="Arial"/>
          <w:sz w:val="24"/>
          <w:szCs w:val="24"/>
        </w:rPr>
        <w:fldChar w:fldCharType="end"/>
      </w:r>
      <w:bookmarkEnd w:id="62"/>
      <w:bookmarkEnd w:id="63"/>
      <w:r w:rsidR="002C2395" w:rsidRPr="006412CA">
        <w:rPr>
          <w:rFonts w:ascii="Arial" w:hAnsi="Arial" w:cs="Arial"/>
          <w:sz w:val="24"/>
          <w:szCs w:val="24"/>
        </w:rPr>
        <w:t>.</w:t>
      </w:r>
      <w:r w:rsidRPr="006412CA">
        <w:rPr>
          <w:rFonts w:ascii="Arial" w:hAnsi="Arial" w:cs="Arial"/>
          <w:sz w:val="24"/>
          <w:szCs w:val="24"/>
        </w:rPr>
        <w:t xml:space="preserve"> By investing in working capital, firms can make higher p</w:t>
      </w:r>
      <w:r w:rsidR="006279EE" w:rsidRPr="006412CA">
        <w:rPr>
          <w:rFonts w:ascii="Arial" w:hAnsi="Arial" w:cs="Arial"/>
          <w:sz w:val="24"/>
          <w:szCs w:val="24"/>
        </w:rPr>
        <w:t>erformance</w:t>
      </w:r>
      <w:r w:rsidRPr="006412CA">
        <w:rPr>
          <w:rFonts w:ascii="Arial" w:hAnsi="Arial" w:cs="Arial"/>
          <w:sz w:val="24"/>
          <w:szCs w:val="24"/>
        </w:rPr>
        <w:t xml:space="preserve"> through enhanced operational efficiencies</w:t>
      </w:r>
      <w:r w:rsidR="00FE7E27" w:rsidRPr="006412CA">
        <w:rPr>
          <w:rFonts w:ascii="Arial" w:hAnsi="Arial" w:cs="Arial"/>
          <w:sz w:val="24"/>
          <w:szCs w:val="24"/>
        </w:rPr>
        <w:t xml:space="preserve"> and also increase sales</w:t>
      </w:r>
      <w:r w:rsidRPr="006412CA">
        <w:rPr>
          <w:rFonts w:ascii="Arial" w:hAnsi="Arial" w:cs="Arial"/>
          <w:sz w:val="24"/>
          <w:szCs w:val="24"/>
        </w:rPr>
        <w:t xml:space="preserve">. </w:t>
      </w:r>
      <w:r w:rsidRPr="006412CA">
        <w:rPr>
          <w:rFonts w:ascii="Arial" w:hAnsi="Arial" w:cs="Arial"/>
          <w:bCs/>
          <w:iCs/>
          <w:sz w:val="24"/>
          <w:szCs w:val="24"/>
        </w:rPr>
        <w:t>Building on prior evidence, we determine</w:t>
      </w:r>
      <w:r w:rsidR="00A52E31" w:rsidRPr="006412CA">
        <w:rPr>
          <w:rFonts w:ascii="Arial" w:hAnsi="Arial" w:cs="Arial"/>
          <w:bCs/>
          <w:iCs/>
          <w:sz w:val="24"/>
          <w:szCs w:val="24"/>
        </w:rPr>
        <w:t>,</w:t>
      </w:r>
      <w:r w:rsidRPr="006412CA">
        <w:rPr>
          <w:rFonts w:ascii="Arial" w:hAnsi="Arial" w:cs="Arial"/>
          <w:bCs/>
          <w:iCs/>
          <w:sz w:val="24"/>
          <w:szCs w:val="24"/>
        </w:rPr>
        <w:t xml:space="preserve"> for the first time, how </w:t>
      </w:r>
      <w:r w:rsidRPr="006412CA">
        <w:rPr>
          <w:rFonts w:ascii="Arial" w:hAnsi="Arial" w:cs="Arial"/>
          <w:bCs/>
          <w:iCs/>
          <w:sz w:val="24"/>
          <w:szCs w:val="24"/>
          <w:lang w:val="en-US"/>
        </w:rPr>
        <w:t xml:space="preserve">EC impacts on </w:t>
      </w:r>
      <w:r w:rsidR="00A52E31" w:rsidRPr="006412CA">
        <w:rPr>
          <w:rFonts w:ascii="Arial" w:hAnsi="Arial" w:cs="Arial"/>
          <w:bCs/>
          <w:iCs/>
          <w:sz w:val="24"/>
          <w:szCs w:val="24"/>
        </w:rPr>
        <w:t xml:space="preserve">WCM- financial </w:t>
      </w:r>
      <w:r w:rsidRPr="006412CA">
        <w:rPr>
          <w:rFonts w:ascii="Arial" w:hAnsi="Arial" w:cs="Arial"/>
          <w:bCs/>
          <w:iCs/>
          <w:sz w:val="24"/>
          <w:szCs w:val="24"/>
        </w:rPr>
        <w:t>performance rela</w:t>
      </w:r>
      <w:r w:rsidRPr="006412CA">
        <w:rPr>
          <w:rFonts w:ascii="Arial" w:hAnsi="Arial" w:cs="Arial"/>
          <w:bCs/>
          <w:iCs/>
          <w:sz w:val="24"/>
          <w:szCs w:val="24"/>
        </w:rPr>
        <w:lastRenderedPageBreak/>
        <w:t xml:space="preserve">tionship. Specifically, </w:t>
      </w:r>
      <w:r w:rsidRPr="006412CA">
        <w:rPr>
          <w:rFonts w:ascii="Arial" w:hAnsi="Arial" w:cs="Arial"/>
          <w:bCs/>
          <w:iCs/>
          <w:sz w:val="24"/>
          <w:szCs w:val="24"/>
          <w:lang w:val="en-US"/>
        </w:rPr>
        <w:t>we propose that</w:t>
      </w:r>
      <w:r w:rsidRPr="006412CA">
        <w:rPr>
          <w:rFonts w:ascii="Arial" w:hAnsi="Arial" w:cs="Arial"/>
          <w:bCs/>
          <w:iCs/>
          <w:sz w:val="24"/>
          <w:szCs w:val="24"/>
        </w:rPr>
        <w:t xml:space="preserve"> an </w:t>
      </w:r>
      <w:r w:rsidR="006279EE" w:rsidRPr="006412CA">
        <w:rPr>
          <w:rFonts w:ascii="Arial" w:hAnsi="Arial" w:cs="Arial"/>
          <w:bCs/>
          <w:iCs/>
          <w:sz w:val="24"/>
          <w:szCs w:val="24"/>
        </w:rPr>
        <w:t>increase in</w:t>
      </w:r>
      <w:r w:rsidR="005D1499" w:rsidRPr="006412CA">
        <w:rPr>
          <w:rFonts w:ascii="Arial" w:hAnsi="Arial" w:cs="Arial"/>
          <w:bCs/>
          <w:iCs/>
          <w:sz w:val="24"/>
          <w:szCs w:val="24"/>
        </w:rPr>
        <w:t xml:space="preserve"> the severity of EC positively</w:t>
      </w:r>
      <w:r w:rsidR="00A52E31" w:rsidRPr="006412CA">
        <w:rPr>
          <w:rFonts w:ascii="Arial" w:hAnsi="Arial" w:cs="Arial"/>
          <w:bCs/>
          <w:iCs/>
          <w:sz w:val="24"/>
          <w:szCs w:val="24"/>
        </w:rPr>
        <w:t xml:space="preserve"> affect how</w:t>
      </w:r>
      <w:r w:rsidR="005D1499" w:rsidRPr="006412CA">
        <w:rPr>
          <w:rFonts w:ascii="Arial" w:hAnsi="Arial" w:cs="Arial"/>
          <w:bCs/>
          <w:iCs/>
          <w:sz w:val="24"/>
          <w:szCs w:val="24"/>
        </w:rPr>
        <w:t xml:space="preserve"> much </w:t>
      </w:r>
      <w:r w:rsidRPr="006412CA">
        <w:rPr>
          <w:rFonts w:ascii="Arial" w:hAnsi="Arial" w:cs="Arial"/>
          <w:bCs/>
          <w:iCs/>
          <w:sz w:val="24"/>
          <w:szCs w:val="24"/>
        </w:rPr>
        <w:t xml:space="preserve">investment in working </w:t>
      </w:r>
      <w:r w:rsidR="005D1499" w:rsidRPr="006412CA">
        <w:rPr>
          <w:rFonts w:ascii="Arial" w:hAnsi="Arial" w:cs="Arial"/>
          <w:bCs/>
          <w:iCs/>
          <w:sz w:val="24"/>
          <w:szCs w:val="24"/>
        </w:rPr>
        <w:t xml:space="preserve">capital firms need to make in order </w:t>
      </w:r>
      <w:r w:rsidRPr="006412CA">
        <w:rPr>
          <w:rFonts w:ascii="Arial" w:hAnsi="Arial" w:cs="Arial"/>
          <w:bCs/>
          <w:iCs/>
          <w:sz w:val="24"/>
          <w:szCs w:val="24"/>
        </w:rPr>
        <w:t xml:space="preserve">to enhance their </w:t>
      </w:r>
      <w:r w:rsidR="00A52E31" w:rsidRPr="006412CA">
        <w:rPr>
          <w:rFonts w:ascii="Arial" w:hAnsi="Arial" w:cs="Arial"/>
          <w:bCs/>
          <w:iCs/>
          <w:sz w:val="24"/>
          <w:szCs w:val="24"/>
        </w:rPr>
        <w:t xml:space="preserve">financial </w:t>
      </w:r>
      <w:r w:rsidRPr="006412CA">
        <w:rPr>
          <w:rFonts w:ascii="Arial" w:hAnsi="Arial" w:cs="Arial"/>
          <w:bCs/>
          <w:iCs/>
          <w:sz w:val="24"/>
          <w:szCs w:val="24"/>
        </w:rPr>
        <w:t xml:space="preserve">performance. </w:t>
      </w:r>
      <w:r w:rsidR="007C4EC5" w:rsidRPr="006412CA">
        <w:rPr>
          <w:rFonts w:ascii="Arial" w:hAnsi="Arial" w:cs="Arial"/>
          <w:bCs/>
          <w:iCs/>
          <w:sz w:val="24"/>
          <w:szCs w:val="24"/>
        </w:rPr>
        <w:t xml:space="preserve">We, therefore, </w:t>
      </w:r>
      <w:r w:rsidR="006B1A6C" w:rsidRPr="006412CA">
        <w:rPr>
          <w:rFonts w:ascii="Arial" w:hAnsi="Arial" w:cs="Arial"/>
          <w:bCs/>
          <w:iCs/>
          <w:sz w:val="24"/>
          <w:szCs w:val="24"/>
        </w:rPr>
        <w:t>hypothesis</w:t>
      </w:r>
      <w:r w:rsidR="007C4EC5" w:rsidRPr="006412CA">
        <w:rPr>
          <w:rFonts w:ascii="Arial" w:hAnsi="Arial" w:cs="Arial"/>
          <w:bCs/>
          <w:iCs/>
          <w:sz w:val="24"/>
          <w:szCs w:val="24"/>
        </w:rPr>
        <w:t>e</w:t>
      </w:r>
      <w:r w:rsidR="006B1A6C" w:rsidRPr="006412CA">
        <w:rPr>
          <w:rFonts w:ascii="Arial" w:hAnsi="Arial" w:cs="Arial"/>
          <w:bCs/>
          <w:iCs/>
          <w:sz w:val="24"/>
          <w:szCs w:val="24"/>
        </w:rPr>
        <w:t xml:space="preserve"> </w:t>
      </w:r>
      <w:r w:rsidR="007C4EC5" w:rsidRPr="006412CA">
        <w:rPr>
          <w:rFonts w:ascii="Arial" w:hAnsi="Arial" w:cs="Arial"/>
          <w:bCs/>
          <w:iCs/>
          <w:sz w:val="24"/>
          <w:szCs w:val="24"/>
        </w:rPr>
        <w:t>that:</w:t>
      </w:r>
    </w:p>
    <w:p w14:paraId="304834A5" w14:textId="2817A849" w:rsidR="00E812D2" w:rsidRDefault="004F00F6" w:rsidP="004E32E2">
      <w:pPr>
        <w:spacing w:after="0" w:line="360" w:lineRule="auto"/>
        <w:contextualSpacing/>
        <w:jc w:val="both"/>
        <w:rPr>
          <w:rFonts w:ascii="Arial" w:hAnsi="Arial" w:cs="Arial"/>
          <w:bCs/>
          <w:i/>
          <w:iCs/>
          <w:sz w:val="24"/>
          <w:szCs w:val="24"/>
        </w:rPr>
      </w:pPr>
      <w:r w:rsidRPr="006412CA">
        <w:rPr>
          <w:rFonts w:ascii="Arial" w:hAnsi="Arial" w:cs="Arial"/>
          <w:bCs/>
          <w:i/>
          <w:iCs/>
          <w:sz w:val="24"/>
          <w:szCs w:val="24"/>
        </w:rPr>
        <w:t>Hypothesis 1: Environmental</w:t>
      </w:r>
      <w:r w:rsidR="00A52E31" w:rsidRPr="006412CA">
        <w:rPr>
          <w:rFonts w:ascii="Arial" w:hAnsi="Arial" w:cs="Arial"/>
          <w:bCs/>
          <w:i/>
          <w:iCs/>
          <w:sz w:val="24"/>
          <w:szCs w:val="24"/>
        </w:rPr>
        <w:t xml:space="preserve"> conditions positively moderate</w:t>
      </w:r>
      <w:r w:rsidRPr="006412CA">
        <w:rPr>
          <w:rFonts w:ascii="Arial" w:hAnsi="Arial" w:cs="Arial"/>
          <w:bCs/>
          <w:i/>
          <w:iCs/>
          <w:sz w:val="24"/>
          <w:szCs w:val="24"/>
        </w:rPr>
        <w:t xml:space="preserve"> the </w:t>
      </w:r>
      <w:r w:rsidR="00E92D44">
        <w:rPr>
          <w:rFonts w:ascii="Arial" w:hAnsi="Arial" w:cs="Arial"/>
          <w:bCs/>
          <w:i/>
          <w:iCs/>
          <w:color w:val="FF0000"/>
          <w:sz w:val="24"/>
          <w:szCs w:val="24"/>
        </w:rPr>
        <w:t>nega</w:t>
      </w:r>
      <w:r w:rsidR="00E812D2" w:rsidRPr="00754683">
        <w:rPr>
          <w:rFonts w:ascii="Arial" w:hAnsi="Arial" w:cs="Arial"/>
          <w:bCs/>
          <w:i/>
          <w:iCs/>
          <w:color w:val="FF0000"/>
          <w:sz w:val="24"/>
          <w:szCs w:val="24"/>
        </w:rPr>
        <w:t>tive</w:t>
      </w:r>
      <w:r w:rsidR="00E812D2">
        <w:rPr>
          <w:rFonts w:ascii="Arial" w:hAnsi="Arial" w:cs="Arial"/>
          <w:bCs/>
          <w:i/>
          <w:iCs/>
          <w:sz w:val="24"/>
          <w:szCs w:val="24"/>
        </w:rPr>
        <w:t xml:space="preserve"> </w:t>
      </w:r>
      <w:r w:rsidRPr="006412CA">
        <w:rPr>
          <w:rFonts w:ascii="Arial" w:hAnsi="Arial" w:cs="Arial"/>
          <w:bCs/>
          <w:i/>
          <w:iCs/>
          <w:sz w:val="24"/>
          <w:szCs w:val="24"/>
        </w:rPr>
        <w:t xml:space="preserve">relationship </w:t>
      </w:r>
    </w:p>
    <w:p w14:paraId="4D0E2B30" w14:textId="0E1FAC30" w:rsidR="00A52E31" w:rsidRPr="006412CA" w:rsidRDefault="00E812D2" w:rsidP="004E32E2">
      <w:pPr>
        <w:spacing w:after="0" w:line="360" w:lineRule="auto"/>
        <w:contextualSpacing/>
        <w:jc w:val="both"/>
        <w:rPr>
          <w:rFonts w:ascii="Arial" w:hAnsi="Arial" w:cs="Arial"/>
          <w:bCs/>
          <w:i/>
          <w:iCs/>
          <w:sz w:val="24"/>
          <w:szCs w:val="24"/>
        </w:rPr>
      </w:pPr>
      <w:r>
        <w:rPr>
          <w:rFonts w:ascii="Arial" w:hAnsi="Arial" w:cs="Arial"/>
          <w:bCs/>
          <w:i/>
          <w:iCs/>
          <w:sz w:val="24"/>
          <w:szCs w:val="24"/>
        </w:rPr>
        <w:t xml:space="preserve">                      </w:t>
      </w:r>
      <w:r w:rsidR="004F00F6" w:rsidRPr="006412CA">
        <w:rPr>
          <w:rFonts w:ascii="Arial" w:hAnsi="Arial" w:cs="Arial"/>
          <w:bCs/>
          <w:i/>
          <w:iCs/>
          <w:sz w:val="24"/>
          <w:szCs w:val="24"/>
        </w:rPr>
        <w:t>b</w:t>
      </w:r>
      <w:r w:rsidR="00E963A1" w:rsidRPr="006412CA">
        <w:rPr>
          <w:rFonts w:ascii="Arial" w:hAnsi="Arial" w:cs="Arial"/>
          <w:bCs/>
          <w:i/>
          <w:iCs/>
          <w:sz w:val="24"/>
          <w:szCs w:val="24"/>
        </w:rPr>
        <w:t>etween WCM and fi</w:t>
      </w:r>
      <w:r w:rsidR="003F543F" w:rsidRPr="006412CA">
        <w:rPr>
          <w:rFonts w:ascii="Arial" w:hAnsi="Arial" w:cs="Arial"/>
          <w:bCs/>
          <w:i/>
          <w:iCs/>
          <w:sz w:val="24"/>
          <w:szCs w:val="24"/>
        </w:rPr>
        <w:t>nancial</w:t>
      </w:r>
      <w:r w:rsidR="00E963A1" w:rsidRPr="006412CA">
        <w:rPr>
          <w:rFonts w:ascii="Arial" w:hAnsi="Arial" w:cs="Arial"/>
          <w:bCs/>
          <w:i/>
          <w:iCs/>
          <w:sz w:val="24"/>
          <w:szCs w:val="24"/>
        </w:rPr>
        <w:t xml:space="preserve"> performance</w:t>
      </w:r>
    </w:p>
    <w:p w14:paraId="339BAACD" w14:textId="77777777" w:rsidR="00A52E31" w:rsidRPr="006412CA" w:rsidRDefault="00A52E31" w:rsidP="004E32E2">
      <w:pPr>
        <w:spacing w:after="0" w:line="360" w:lineRule="auto"/>
        <w:contextualSpacing/>
        <w:jc w:val="both"/>
        <w:rPr>
          <w:rFonts w:ascii="Arial" w:hAnsi="Arial" w:cs="Arial"/>
          <w:bCs/>
          <w:i/>
          <w:iCs/>
          <w:sz w:val="24"/>
          <w:szCs w:val="24"/>
        </w:rPr>
      </w:pPr>
    </w:p>
    <w:p w14:paraId="772E5071" w14:textId="77777777" w:rsidR="004F00F6" w:rsidRPr="006412CA" w:rsidRDefault="00AD0A7E" w:rsidP="004E32E2">
      <w:pPr>
        <w:spacing w:after="0" w:line="360" w:lineRule="auto"/>
        <w:jc w:val="both"/>
        <w:rPr>
          <w:rFonts w:ascii="Arial" w:hAnsi="Arial" w:cs="Arial"/>
          <w:i/>
          <w:sz w:val="24"/>
          <w:szCs w:val="24"/>
        </w:rPr>
      </w:pPr>
      <w:r w:rsidRPr="006412CA">
        <w:rPr>
          <w:rFonts w:ascii="Arial" w:hAnsi="Arial" w:cs="Arial"/>
          <w:i/>
          <w:sz w:val="24"/>
          <w:szCs w:val="24"/>
        </w:rPr>
        <w:t xml:space="preserve">2.3 </w:t>
      </w:r>
      <w:r w:rsidR="004F00F6" w:rsidRPr="006412CA">
        <w:rPr>
          <w:rFonts w:ascii="Arial" w:hAnsi="Arial" w:cs="Arial"/>
          <w:i/>
          <w:sz w:val="24"/>
          <w:szCs w:val="24"/>
        </w:rPr>
        <w:t xml:space="preserve">Resource Capability, Working Capital Management and Firms Performance </w:t>
      </w:r>
    </w:p>
    <w:p w14:paraId="46D0EFE5" w14:textId="490F7C71" w:rsidR="003F5B4B" w:rsidRPr="006412CA" w:rsidRDefault="004F00F6" w:rsidP="004E32E2">
      <w:pPr>
        <w:spacing w:after="0" w:line="360" w:lineRule="auto"/>
        <w:ind w:firstLine="720"/>
        <w:jc w:val="both"/>
        <w:rPr>
          <w:rFonts w:ascii="Arial" w:eastAsia="Calibri" w:hAnsi="Arial" w:cs="Arial"/>
          <w:sz w:val="24"/>
          <w:szCs w:val="24"/>
        </w:rPr>
      </w:pPr>
      <w:r w:rsidRPr="006412CA">
        <w:rPr>
          <w:rFonts w:ascii="Arial" w:eastAsia="Calibri" w:hAnsi="Arial" w:cs="Arial"/>
          <w:sz w:val="24"/>
          <w:szCs w:val="24"/>
          <w:lang w:val="en-US"/>
        </w:rPr>
        <w:t xml:space="preserve">Another essential contingent factor discussed over recent years is resource capability position of organisations. Evidence </w:t>
      </w:r>
      <w:r w:rsidRPr="006412CA">
        <w:rPr>
          <w:rFonts w:ascii="Arial" w:eastAsia="Calibri" w:hAnsi="Arial" w:cs="Arial"/>
          <w:sz w:val="24"/>
          <w:szCs w:val="24"/>
        </w:rPr>
        <w:t xml:space="preserve">rooted in the resource-based perspective </w:t>
      </w:r>
      <w:r w:rsidRPr="006412CA">
        <w:rPr>
          <w:rFonts w:ascii="Arial" w:eastAsia="Calibri" w:hAnsi="Arial" w:cs="Arial"/>
          <w:sz w:val="24"/>
          <w:szCs w:val="24"/>
          <w:lang w:val="en-US"/>
        </w:rPr>
        <w:t xml:space="preserve">of the firm </w:t>
      </w:r>
      <w:r w:rsidRPr="006412CA">
        <w:rPr>
          <w:rFonts w:ascii="Arial" w:eastAsia="Calibri" w:hAnsi="Arial" w:cs="Arial"/>
          <w:sz w:val="24"/>
          <w:szCs w:val="24"/>
        </w:rPr>
        <w:t xml:space="preserve">has uncovered that the development, deployment and utilisation of resources and capabilities of firms </w:t>
      </w:r>
      <w:r w:rsidR="0067256D">
        <w:rPr>
          <w:rFonts w:ascii="Arial" w:eastAsia="Calibri" w:hAnsi="Arial" w:cs="Arial"/>
          <w:sz w:val="24"/>
          <w:szCs w:val="24"/>
        </w:rPr>
        <w:t>is</w:t>
      </w:r>
      <w:r w:rsidRPr="006412CA">
        <w:rPr>
          <w:rFonts w:ascii="Arial" w:eastAsia="Calibri" w:hAnsi="Arial" w:cs="Arial"/>
          <w:sz w:val="24"/>
          <w:szCs w:val="24"/>
        </w:rPr>
        <w:t xml:space="preserve"> more likely to determine a firm's ability to enhance their </w:t>
      </w:r>
      <w:r w:rsidRPr="006412CA">
        <w:rPr>
          <w:rFonts w:ascii="Arial" w:eastAsia="Calibri" w:hAnsi="Arial" w:cs="Arial"/>
          <w:sz w:val="24"/>
          <w:szCs w:val="24"/>
        </w:rPr>
        <w:lastRenderedPageBreak/>
        <w:t xml:space="preserve">performance </w:t>
      </w:r>
      <w:r w:rsidR="002C2395" w:rsidRPr="006412CA">
        <w:rPr>
          <w:rFonts w:ascii="Arial" w:eastAsia="Calibri" w:hAnsi="Arial" w:cs="Arial"/>
          <w:sz w:val="24"/>
          <w:szCs w:val="24"/>
        </w:rPr>
        <w:fldChar w:fldCharType="begin" w:fldLock="1"/>
      </w:r>
      <w:r w:rsidR="00031DA3" w:rsidRPr="006412CA">
        <w:rPr>
          <w:rFonts w:ascii="Arial" w:eastAsia="Calibri" w:hAnsi="Arial" w:cs="Arial"/>
          <w:sz w:val="24"/>
          <w:szCs w:val="24"/>
        </w:rPr>
        <w:instrText>ADDIN CSL_CITATION { "citationItems" : [ { "id" : "ITEM-1", "itemData" : { "DOI" : "10.1287/mnsc.38.10.1445", "ISBN" : "00251909", "ISSN" : "0025-1909", "PMID" : "4731155", "abstract" : "This exploratory study of 57 large bankruptcies and 57 matched survivors examined the top managemeni team (TMT) characteristics associated with major corporate failure. Prior research was used to guide selection ol specific team characteristics for study. Noi only did the failing firms show significant annual, or cross-sectional, divergence from survivors on several indicators of TMT composition, but also those divergences became more pronounced, even accelerating, over the last five years of the bankrupts' lives. The results thus suggest that deterioration of the top management team is a central element of the downward spiral of large corporate failures. Based upon a limited test of causality, the authors propose that a two-way process is at work: (I ) team deficiencies bring about or aggravate coiporate deterioration, cither through strategic errors or stakeholder uneasiness with the flawed team; and (2) corporate deterioration brings about leam deterioration, through a combination of voluntary departures, scapegoating, and limited resources for attracting new executive talent.", "author" : [ { "dropping-particle" : "", "family" : "Hambrick", "given" : "D. C.", "non-dropping-particle" : "", "parse-names" : false, "suffix" : "" }, { "dropping-particle" : "", "family" : "D'Aveni", "given" : "R. a.", "non-dropping-particle" : "", "parse-names" : false, "suffix" : "" } ], "container-title" : "Management Science", "id" : "ITEM-1", "issue" : "10", "issued" : { "date-parts" : [ [ "1992" ] ] }, "page" : "1445-1466", "title" : "Top Team Deterioration as Part of the Downward Spiral of Large Corporate Bankruptcies", "type" : "article-journal", "volume" : "38" }, "uris" : [ "http://www.mendeley.com/documents/?uuid=63da456d-fa90-457b-8308-3a1629a25e91" ] }, { "id" : "ITEM-2", "itemData" : { "DOI" : "10.1023/A:1024433630958", "ISBN" : "0921898X", "ISSN" : "0921898X", "abstract" : "New firms are believed to have high closure rates and these closures are believed to be failures, but two U.S. Census Bureau data sources illustrate that these assumptions may not be justified. The Business Information Tracking Series (BITS) showed that about half of new employer firms survive beyond four years and the Characteristics of Business Owners (CBO) showed that about a third of closed businesses were successful at closure. The CBO also made it possible to compare results of models of business survival and business success, but because of non-response bias logit models were used. Similar to previous studies, firms having more resources -- that were larger, with better financing and having employees -- were found to have better chances of survival. Factors that were characteristic of closure -- such as having no start-up capital and having a relatively young owner -- were also common in businesses considered successful at closure. Hence, few defining factors can be isolated leading to true failures. The significant proportion of businesses that closed while successful calls into question the use of ``business closure'' as a meaningful measure of business outcome. It appears that many owners may have executed a planned exit strategy, closed a business without excess debt, sold a viable business, or retired from the work force. It is also worth noting that such inborn factors as race and gender played negligible roles in determining survivability and success at closure.", "author" : [ { "dropping-particle" : "", "family" : "Headd", "given" : "Brian", "non-dropping-particle" : "", "parse-names" : false, "suffix" : "" } ], "container-title" : "Small Business Economics", "id" : "ITEM-2", "issue" : "1", "issued" : { "date-parts" : [ [ "2003" ] ] }, "page" : "51-61", "title" : "Redefining Business Success: Distinguishing between Closure and Failure", "type" : "article", "volume" : "21" }, "uris" : [ "http://www.mendeley.com/documents/?uuid=bc679bb9-5408-4295-9018-48f290b1fbd9" ] } ], "mendeley" : { "formattedCitation" : "(Hambrick and D\u2019Aveni, 1992; Headd, 2003)", "plainTextFormattedCitation" : "(Hambrick and D\u2019Aveni, 1992; Headd, 2003)", "previouslyFormattedCitation" : "(Hambrick and D\u2019Aveni, 1992; Headd, 2003)" }, "properties" : {  }, "schema" : "https://github.com/citation-style-language/schema/raw/master/csl-citation.json" }</w:instrText>
      </w:r>
      <w:r w:rsidR="002C2395" w:rsidRPr="006412CA">
        <w:rPr>
          <w:rFonts w:ascii="Arial" w:eastAsia="Calibri" w:hAnsi="Arial" w:cs="Arial"/>
          <w:sz w:val="24"/>
          <w:szCs w:val="24"/>
        </w:rPr>
        <w:fldChar w:fldCharType="separate"/>
      </w:r>
      <w:r w:rsidR="00031DA3" w:rsidRPr="006412CA">
        <w:rPr>
          <w:rFonts w:ascii="Arial" w:eastAsia="Calibri" w:hAnsi="Arial" w:cs="Arial"/>
          <w:noProof/>
          <w:sz w:val="24"/>
          <w:szCs w:val="24"/>
        </w:rPr>
        <w:t>(Hambrick and D’Aveni, 1992; Headd, 2003)</w:t>
      </w:r>
      <w:r w:rsidR="002C2395" w:rsidRPr="006412CA">
        <w:rPr>
          <w:rFonts w:ascii="Arial" w:eastAsia="Calibri" w:hAnsi="Arial" w:cs="Arial"/>
          <w:sz w:val="24"/>
          <w:szCs w:val="24"/>
        </w:rPr>
        <w:fldChar w:fldCharType="end"/>
      </w:r>
      <w:r w:rsidR="009A4D2B" w:rsidRPr="006412CA">
        <w:rPr>
          <w:rFonts w:ascii="Arial" w:eastAsia="Calibri" w:hAnsi="Arial" w:cs="Arial"/>
          <w:sz w:val="24"/>
          <w:szCs w:val="24"/>
        </w:rPr>
        <w:t>.</w:t>
      </w:r>
      <w:r w:rsidRPr="006412CA">
        <w:rPr>
          <w:rFonts w:ascii="Arial" w:eastAsia="Calibri" w:hAnsi="Arial" w:cs="Arial"/>
          <w:sz w:val="24"/>
          <w:szCs w:val="24"/>
        </w:rPr>
        <w:t xml:space="preserve"> The review indicates</w:t>
      </w:r>
      <w:r w:rsidRPr="006412CA">
        <w:rPr>
          <w:rFonts w:ascii="Arial" w:eastAsia="Calibri" w:hAnsi="Arial" w:cs="Arial"/>
          <w:sz w:val="24"/>
          <w:szCs w:val="24"/>
          <w:lang w:val="en-US"/>
        </w:rPr>
        <w:t xml:space="preserve"> that </w:t>
      </w:r>
      <w:r w:rsidRPr="006412CA">
        <w:rPr>
          <w:rFonts w:ascii="Arial" w:eastAsia="Calibri" w:hAnsi="Arial" w:cs="Arial"/>
          <w:sz w:val="24"/>
          <w:szCs w:val="24"/>
        </w:rPr>
        <w:t xml:space="preserve">resource heterogeneity produces performance differentials among competing firms </w:t>
      </w:r>
      <w:r w:rsidR="00F34377" w:rsidRPr="006412CA">
        <w:rPr>
          <w:rFonts w:ascii="Arial" w:eastAsia="Calibri" w:hAnsi="Arial" w:cs="Arial"/>
          <w:sz w:val="24"/>
          <w:szCs w:val="24"/>
        </w:rPr>
        <w:fldChar w:fldCharType="begin" w:fldLock="1"/>
      </w:r>
      <w:r w:rsidR="00031DA3" w:rsidRPr="006412CA">
        <w:rPr>
          <w:rFonts w:ascii="Arial" w:eastAsia="Calibri" w:hAnsi="Arial" w:cs="Arial"/>
          <w:sz w:val="24"/>
          <w:szCs w:val="24"/>
        </w:rPr>
        <w:instrText>ADDIN CSL_CITATION { "citationItems" : [ { "id" : "ITEM-1", "itemData" : { "DOI" : "10.1002/smj.4250140303", "ISBN" : "01432095", "ISSN" : "10970266", "PMID" : "12496687", "abstract" : "JSTOR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"author" : [ { "dropping-particle" : "", "family" : "Peteraf", "given" : "Margaret A.", "non-dropping-particle" : "", "parse-names" : false, "suffix" : "" } ], "container-title" : "Strategic Management Journal", "id" : "ITEM-1", "issue" : "3", "issued" : { "date-parts" : [ [ "1993" ] ] }, "page" : "179-191", "title" : "The cornerstones of competitive advantage: A resource\u2010based view", "type" : "article-journal", "volume" : "14" }, "uris" : [ "http://www.mendeley.com/documents/?uuid=564e01e8-2514-447d-9f4c-fab9c6b982de" ] }, { "id" : "ITEM-2", "itemData" : { "DOI" : "10.1093/icc/dtn008", "ISBN" : "0960-6491", "ISSN" : "09606491", "PMID" : "32966714", "abstract" : "The question of how firms differ is paramount to strategy scholars. This question has motivated empirical research on the factors influencing performance differences among close competitors. It also has motivated work on factors that increase or decrease the mean performance of firms in an industry. Theories about resources and capabilities tend to dominate discussions of heterogeneity in performance and superior performance. Yet, the strategy field lacks a cumulative body of empirical work showing how firms differ. This article derives conclusions and questions from empirical work on capabilities. We then discuss work that complements but lies beyond the boundaries of traditional capabilities research. We conclude by suggesting approaches to and areas of future work.", "author" : [ { "dropping-particle" : "", "family" : "Hoopes", "given" : "David G.", "non-dropping-particle" : "", "parse-names" : false, "suffix" : "" }, { "dropping-particle" : "", "family" : "Madsen", "given" : "Tammy L.", "non-dropping-particle" : "", "parse-names" : false, "suffix" : "" } ], "container-title" : "Industrial and Corporate Change", "id" : "ITEM-2", "issue" : "3", "issued" : { "date-parts" : [ [ "2008" ] ] }, "page" : "393-426", "title" : "A capability-based view of competitive heterogeneity", "type" : "article-journal", "volume" : "17" }, "uris" : [ "http://www.mendeley.com/documents/?uuid=6606edb0-858d-48d5-a0d2-7fbb34bc72f3" ] } ], "mendeley" : { "formattedCitation" : "(Peteraf, 1993; Hoopes and Madsen, 2008)", "plainTextFormattedCitation" : "(Peteraf, 1993; Hoopes and Madsen, 2008)", "previouslyFormattedCitation" : "(Peteraf, 1993; Hoopes and Madsen, 2008)" }, "properties" : {  }, "schema" : "https://github.com/citation-style-language/schema/raw/master/csl-citation.json" }</w:instrText>
      </w:r>
      <w:r w:rsidR="00F34377" w:rsidRPr="006412CA">
        <w:rPr>
          <w:rFonts w:ascii="Arial" w:eastAsia="Calibri" w:hAnsi="Arial" w:cs="Arial"/>
          <w:sz w:val="24"/>
          <w:szCs w:val="24"/>
        </w:rPr>
        <w:fldChar w:fldCharType="separate"/>
      </w:r>
      <w:r w:rsidR="00031DA3" w:rsidRPr="006412CA">
        <w:rPr>
          <w:rFonts w:ascii="Arial" w:eastAsia="Calibri" w:hAnsi="Arial" w:cs="Arial"/>
          <w:noProof/>
          <w:sz w:val="24"/>
          <w:szCs w:val="24"/>
        </w:rPr>
        <w:t>(Peteraf, 1993; Hoopes and Madsen, 2008)</w:t>
      </w:r>
      <w:r w:rsidR="00F34377" w:rsidRPr="006412CA">
        <w:rPr>
          <w:rFonts w:ascii="Arial" w:eastAsia="Calibri" w:hAnsi="Arial" w:cs="Arial"/>
          <w:sz w:val="24"/>
          <w:szCs w:val="24"/>
        </w:rPr>
        <w:fldChar w:fldCharType="end"/>
      </w:r>
      <w:r w:rsidR="00F34377" w:rsidRPr="006412CA">
        <w:rPr>
          <w:rFonts w:ascii="Arial" w:eastAsia="Calibri" w:hAnsi="Arial" w:cs="Arial"/>
          <w:sz w:val="24"/>
          <w:szCs w:val="24"/>
        </w:rPr>
        <w:t>.</w:t>
      </w:r>
      <w:r w:rsidRPr="006412CA">
        <w:rPr>
          <w:rFonts w:ascii="Arial" w:eastAsia="Calibri" w:hAnsi="Arial" w:cs="Arial"/>
          <w:sz w:val="24"/>
          <w:szCs w:val="24"/>
        </w:rPr>
        <w:t xml:space="preserve"> According to Headd (2003), firms well-endowed with abundant and quality financial resources and human capital are less likely to fail compared to those with fewer resources. </w:t>
      </w:r>
    </w:p>
    <w:p w14:paraId="588FECF2" w14:textId="4B86537F" w:rsidR="004F00F6" w:rsidRPr="0067256D" w:rsidRDefault="005F734D" w:rsidP="004E32E2">
      <w:pPr>
        <w:spacing w:after="0" w:line="360" w:lineRule="auto"/>
        <w:ind w:firstLine="720"/>
        <w:jc w:val="both"/>
        <w:rPr>
          <w:rFonts w:ascii="Arial" w:eastAsia="Calibri" w:hAnsi="Arial" w:cs="Arial"/>
          <w:color w:val="FF0000"/>
          <w:sz w:val="24"/>
          <w:szCs w:val="24"/>
        </w:rPr>
      </w:pPr>
      <w:r w:rsidRPr="006412CA">
        <w:rPr>
          <w:rFonts w:ascii="Arial" w:eastAsia="Calibri" w:hAnsi="Arial" w:cs="Arial"/>
          <w:sz w:val="24"/>
          <w:szCs w:val="24"/>
        </w:rPr>
        <w:t xml:space="preserve">One important contingent resource variable which </w:t>
      </w:r>
      <w:r w:rsidR="001F17E6" w:rsidRPr="006412CA">
        <w:rPr>
          <w:rFonts w:ascii="Arial" w:eastAsia="Calibri" w:hAnsi="Arial" w:cs="Arial"/>
          <w:sz w:val="24"/>
          <w:szCs w:val="24"/>
        </w:rPr>
        <w:t>has</w:t>
      </w:r>
      <w:r w:rsidRPr="006412CA">
        <w:rPr>
          <w:rFonts w:ascii="Arial" w:eastAsia="Calibri" w:hAnsi="Arial" w:cs="Arial"/>
          <w:sz w:val="24"/>
          <w:szCs w:val="24"/>
        </w:rPr>
        <w:t xml:space="preserve"> received</w:t>
      </w:r>
      <w:r w:rsidR="001F17E6" w:rsidRPr="006412CA">
        <w:rPr>
          <w:rFonts w:ascii="Arial" w:eastAsia="Calibri" w:hAnsi="Arial" w:cs="Arial"/>
          <w:sz w:val="24"/>
          <w:szCs w:val="24"/>
        </w:rPr>
        <w:t xml:space="preserve"> limited evidence in management accounting literature is size. Chenhall</w:t>
      </w:r>
      <w:r w:rsidRPr="006412CA">
        <w:rPr>
          <w:rFonts w:ascii="Arial" w:eastAsia="Calibri" w:hAnsi="Arial" w:cs="Arial"/>
          <w:sz w:val="24"/>
          <w:szCs w:val="24"/>
        </w:rPr>
        <w:t xml:space="preserve"> (2007, p. 183) finds that only a few studies </w:t>
      </w:r>
      <w:r w:rsidR="001F17E6" w:rsidRPr="006412CA">
        <w:rPr>
          <w:rFonts w:ascii="Arial" w:eastAsia="Calibri" w:hAnsi="Arial" w:cs="Arial"/>
          <w:sz w:val="24"/>
          <w:szCs w:val="24"/>
        </w:rPr>
        <w:t xml:space="preserve">explicitly </w:t>
      </w:r>
      <w:r w:rsidRPr="006412CA">
        <w:rPr>
          <w:rFonts w:ascii="Arial" w:eastAsia="Calibri" w:hAnsi="Arial" w:cs="Arial"/>
          <w:sz w:val="24"/>
          <w:szCs w:val="24"/>
        </w:rPr>
        <w:t xml:space="preserve">use size as a contingency variable </w:t>
      </w:r>
      <w:r w:rsidR="00603C66" w:rsidRPr="006412CA">
        <w:rPr>
          <w:rFonts w:ascii="Arial" w:eastAsia="Calibri" w:hAnsi="Arial" w:cs="Arial"/>
          <w:sz w:val="24"/>
          <w:szCs w:val="24"/>
        </w:rPr>
        <w:fldChar w:fldCharType="begin" w:fldLock="1"/>
      </w:r>
      <w:r w:rsidR="00031DA3" w:rsidRPr="006412CA">
        <w:rPr>
          <w:rFonts w:ascii="Arial" w:eastAsia="Calibri" w:hAnsi="Arial" w:cs="Arial"/>
          <w:sz w:val="24"/>
          <w:szCs w:val="24"/>
        </w:rPr>
        <w:instrText>ADDIN CSL_CITATION { "citationItems" : [ { "id" : "ITEM-1", "itemData" : { "DOI" : "10.2307/2490360", "ISBN" : "0021-8456", "ISSN" : "0021-8456", "PMID" : "6405870", "abstract" : "The article presents an analysis of the interactions and impacts between organizational structure and budgets as control sources within businesses. Questionnaire research is produced and results suggesting strong correlations between degrees of structural attention such as centralization and autonomy are analyzed. The conceptual connections between perceived control and organizational structure are discussed. Distinctions between various influential environmental factors of several reviewed organizations are highlighted, concluding that budget formation and application is non-uniform.", "author" : [ { "dropping-particle" : "", "family" : "Bruns Jr.", "given" : "William J", "non-dropping-particle" : "", "parse-names" : false, "suffix" : "" }, { "dropping-particle" : "", "family" : "Waterhouse", "given" : "John H", "non-dropping-particle" : "", "parse-names" : false, "suffix" : "" } ], "container-title" : "Journal of Accounting Research", "id" : "ITEM-1", "issue" : "2", "issued" : { "date-parts" : [ [ "1975" ] ] }, "page" : "177-203", "title" : "Budgetary Control and Organization Structure", "type" : "article-journal", "volume" : "13" }, "uris" : [ "http://www.mendeley.com/documents/?uuid=02b6a681-d5fa-4998-9e33-13915ce8f34e" ] }, { "id" : "ITEM-2", "itemData" : { "DOI" : "10.2307/247203", "ISBN" : "00014826", "ISSN" : "00014826", "PMID" : "4481664", "abstract" : "This study investigates how differences in corporate-level budgeting sys- tems are related to corporate size, diversity, and degree of decentralization, and how dif- ferent choices in system design and use are related to organizational performance and manager motivation and attitudes. A model was developed from related findings in re- search in accounting and organizational behavior, and the expectations in the model were explored with data gathered from 19 firms in the electronics industry. The results generally support the model. They show that budgeting, as part of the corporate control strategy, is related to the corporate context. Larger firms tend to make relatively high use of more formal administrative, as opposed to interpersonal, controls. In all firms, the more formal and elaborate budgeting processes are generally received well by the managers, but in larger firms they appear to be more positively linked with performance. A", "author" : [ { "dropping-particle" : "", "family" : "Merchant", "given" : "Kenneth A.", "non-dropping-particle" : "", "parse-names" : false, "suffix" : "" } ], "container-title" : "The Accounting Review", "id" : "ITEM-2", "issue" : "4", "issued" : { "date-parts" : [ [ "1981" ] ] }, "page" : "813-829", "title" : "The Design of the Corporate Budgeting System : Influences on Managerial Behavior and Performance", "type" : "article-journal", "volume" : "56" }, "uris" : [ "http://www.mendeley.com/documents/?uuid=40e0762b-d047-4bb5-9e2e-f9118384a924" ] }, { "id" : "ITEM-3", "itemData" : { "DOI" : "10.1016/S1044-5005(90)70057-1", "ISBN" : "1044-5005", "ISSN" : "10445005", "abstract" : "This study provides the results of an empirical investigation into the impact of various contextual variables on the design of the corporate budgeting system. The results support earlier findings linking contextual variables to budgetary characteristics. Further, the results indicate that compared with corporate context variables as measured by managerial autonomy and size, the external variable represented by perceived environmental uncertainty (PEU) had a greater impact on the design of budget characteristics. The results also suggest that the impact of PEU was much stronger for larger size companies compared with smaller size companies. \u00a9 1990, Academic Press Limited. All rights reserved.", "author" : [ { "dropping-particle" : "", "family" : "Ezzamel", "given" : "Mahmoud", "non-dropping-particle" : "", "parse-names" : false, "suffix" : "" } ], "container-title" : "Management Accounting Research", "id" : "ITEM-3", "issue" : "3", "issued" : { "date-parts" : [ [ "1990" ] ] }, "page" : "181-197", "title" : "The impact of environmental uncertainty, managerial autonomy and size on budget characteristics", "type" : "article-journal", "volume" : "1" }, "uris" : [ "http://www.mendeley.com/documents/?uuid=53d81163-b14f-4305-a865-36e07fd7d0e4" ] } ], "mendeley" : { "formattedCitation" : "(Bruns Jr. and Waterhouse, 1975; Merchant, 1981; Ezzamel, 1990)", "manualFormatting" : "(see, for example,  Bruns and Waterhouse 1975; Merchant 1981; Ezzamel 1990)", "plainTextFormattedCitation" : "(Bruns Jr. and Waterhouse, 1975; Merchant, 1981; Ezzamel, 1990)", "previouslyFormattedCitation" : "(Bruns Jr. and Waterhouse, 1975; Merchant, 1981; Ezzamel, 1990)" }, "properties" : {  }, "schema" : "https://github.com/citation-style-language/schema/raw/master/csl-citation.json" }</w:instrText>
      </w:r>
      <w:r w:rsidR="00603C66" w:rsidRPr="006412CA">
        <w:rPr>
          <w:rFonts w:ascii="Arial" w:eastAsia="Calibri" w:hAnsi="Arial" w:cs="Arial"/>
          <w:sz w:val="24"/>
          <w:szCs w:val="24"/>
        </w:rPr>
        <w:fldChar w:fldCharType="separate"/>
      </w:r>
      <w:r w:rsidR="00603C66" w:rsidRPr="006412CA">
        <w:rPr>
          <w:rFonts w:ascii="Arial" w:eastAsia="Calibri" w:hAnsi="Arial" w:cs="Arial"/>
          <w:noProof/>
          <w:sz w:val="24"/>
          <w:szCs w:val="24"/>
        </w:rPr>
        <w:t>(see, for example,  Bruns and Waterhouse 1975; Merchant 1981; Ezzamel 1990)</w:t>
      </w:r>
      <w:r w:rsidR="00603C66" w:rsidRPr="006412CA">
        <w:rPr>
          <w:rFonts w:ascii="Arial" w:eastAsia="Calibri" w:hAnsi="Arial" w:cs="Arial"/>
          <w:sz w:val="24"/>
          <w:szCs w:val="24"/>
        </w:rPr>
        <w:fldChar w:fldCharType="end"/>
      </w:r>
      <w:r w:rsidR="00603C66" w:rsidRPr="006412CA">
        <w:rPr>
          <w:rFonts w:ascii="Arial" w:eastAsia="Calibri" w:hAnsi="Arial" w:cs="Arial"/>
          <w:sz w:val="24"/>
          <w:szCs w:val="24"/>
        </w:rPr>
        <w:t>.</w:t>
      </w:r>
      <w:r w:rsidR="001F17E6" w:rsidRPr="006412CA">
        <w:rPr>
          <w:rFonts w:ascii="Arial" w:eastAsia="Calibri" w:hAnsi="Arial" w:cs="Arial"/>
          <w:sz w:val="24"/>
          <w:szCs w:val="24"/>
        </w:rPr>
        <w:t xml:space="preserve"> </w:t>
      </w:r>
      <w:r w:rsidR="001F17E6" w:rsidRPr="006412CA">
        <w:rPr>
          <w:rFonts w:ascii="Arial" w:hAnsi="Arial" w:cs="Arial"/>
          <w:sz w:val="24"/>
          <w:szCs w:val="24"/>
        </w:rPr>
        <w:t>Donaldson (2001) contend that the size of an organisation is positively associated with a higher degree of formalisa</w:t>
      </w:r>
      <w:r w:rsidR="001F17E6" w:rsidRPr="006412CA">
        <w:rPr>
          <w:rFonts w:ascii="Arial" w:hAnsi="Arial" w:cs="Arial"/>
          <w:sz w:val="24"/>
          <w:szCs w:val="24"/>
        </w:rPr>
        <w:lastRenderedPageBreak/>
        <w:t xml:space="preserve">tion. </w:t>
      </w:r>
      <w:bookmarkStart w:id="64" w:name="OLE_LINK40"/>
      <w:bookmarkStart w:id="65" w:name="OLE_LINK46"/>
      <w:r w:rsidR="00603C66"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"DOI" : "10.1016/0361-3682(84)90013-8", "ISBN" : "0361-3682", "ISSN" : "03613682", "abstract" : "This paper reports the results of a study designed to test whether or not differences in approaches to budgeting at the departmental level are systematically related to differences in production technologies, market factors and organizational characteristics. The results suggest that budgeting is related to departmental size, functional differentiation and degree of automation of production processes, but not the products' stage in the product life cycle or the company's strength of market position. \u00a9 1984.", "author" : [ { "dropping-particle" : "", "family" : "Merchant", "given" : "Kenneth A.", "non-dropping-particle" : "", "parse-names" : false, "suffix" : "" } ], "container-title" : "Accounting, Organizations and Society", "id" : "ITEM-1", "issue" : "3-4", "issued" : { "date-parts" : [ [ "1984" ] ] }, "page" : "291-307", "title" : "Influences on departmental budgeting: an empirical examination of a contingency model", "type" : "article-journal", "volume" : "9" }, "uris" : [ "http://www.mendeley.com/documents/?uuid=03995680-6585-46f9-a49a-f06be7a9380a" ] } ], "mendeley" : { "formattedCitation" : "(Merchant, 1984)", "manualFormatting" : "Merchant (1984)", "plainTextFormattedCitation" : "(Merchant, 1984)", "previouslyFormattedCitation" : "(Merchant, 1984)" }, "properties" : {  }, "schema" : "https://github.com/citation-style-language/schema/raw/master/csl-citation.json" }</w:instrText>
      </w:r>
      <w:r w:rsidR="00603C66" w:rsidRPr="006412CA">
        <w:rPr>
          <w:rFonts w:ascii="Arial" w:hAnsi="Arial" w:cs="Arial"/>
          <w:sz w:val="24"/>
          <w:szCs w:val="24"/>
        </w:rPr>
        <w:fldChar w:fldCharType="separate"/>
      </w:r>
      <w:r w:rsidR="00603C66" w:rsidRPr="006412CA">
        <w:rPr>
          <w:rFonts w:ascii="Arial" w:hAnsi="Arial" w:cs="Arial"/>
          <w:noProof/>
          <w:sz w:val="24"/>
          <w:szCs w:val="24"/>
        </w:rPr>
        <w:t>Merchant (1984)</w:t>
      </w:r>
      <w:r w:rsidR="00603C66" w:rsidRPr="006412CA">
        <w:rPr>
          <w:rFonts w:ascii="Arial" w:hAnsi="Arial" w:cs="Arial"/>
          <w:sz w:val="24"/>
          <w:szCs w:val="24"/>
        </w:rPr>
        <w:fldChar w:fldCharType="end"/>
      </w:r>
      <w:r w:rsidR="001F17E6" w:rsidRPr="006412CA">
        <w:rPr>
          <w:rFonts w:ascii="Arial" w:hAnsi="Arial" w:cs="Arial"/>
          <w:sz w:val="24"/>
          <w:szCs w:val="24"/>
        </w:rPr>
        <w:t xml:space="preserve"> </w:t>
      </w:r>
      <w:bookmarkEnd w:id="64"/>
      <w:bookmarkEnd w:id="65"/>
      <w:r w:rsidR="001F17E6" w:rsidRPr="006412CA">
        <w:rPr>
          <w:rFonts w:ascii="Arial" w:hAnsi="Arial" w:cs="Arial"/>
          <w:sz w:val="24"/>
          <w:szCs w:val="24"/>
        </w:rPr>
        <w:t xml:space="preserve">argues that </w:t>
      </w:r>
      <w:r w:rsidR="00875254" w:rsidRPr="006412CA">
        <w:rPr>
          <w:rFonts w:ascii="Arial" w:hAnsi="Arial" w:cs="Arial"/>
          <w:sz w:val="24"/>
          <w:szCs w:val="24"/>
        </w:rPr>
        <w:t xml:space="preserve">as the </w:t>
      </w:r>
      <w:r w:rsidR="001F17E6" w:rsidRPr="006412CA">
        <w:rPr>
          <w:rFonts w:ascii="Arial" w:hAnsi="Arial" w:cs="Arial"/>
          <w:sz w:val="24"/>
          <w:szCs w:val="24"/>
        </w:rPr>
        <w:t>number of people in any organisation increases</w:t>
      </w:r>
      <w:r w:rsidR="00875254" w:rsidRPr="006412CA">
        <w:rPr>
          <w:rFonts w:ascii="Arial" w:hAnsi="Arial" w:cs="Arial"/>
          <w:sz w:val="24"/>
          <w:szCs w:val="24"/>
        </w:rPr>
        <w:t>,</w:t>
      </w:r>
      <w:r w:rsidR="001F17E6" w:rsidRPr="006412CA">
        <w:rPr>
          <w:rFonts w:ascii="Arial" w:hAnsi="Arial" w:cs="Arial"/>
          <w:sz w:val="24"/>
          <w:szCs w:val="24"/>
        </w:rPr>
        <w:t xml:space="preserve"> it becomes less practical to use informal methods of communication and control</w:t>
      </w:r>
      <w:r w:rsidR="001F17E6" w:rsidRPr="0067256D">
        <w:rPr>
          <w:rFonts w:ascii="Arial" w:hAnsi="Arial" w:cs="Arial"/>
          <w:color w:val="FF0000"/>
          <w:sz w:val="24"/>
          <w:szCs w:val="24"/>
        </w:rPr>
        <w:t xml:space="preserve">.  </w:t>
      </w:r>
    </w:p>
    <w:p w14:paraId="2481E811" w14:textId="77777777" w:rsidR="004F00F6" w:rsidRPr="006412CA" w:rsidRDefault="004F00F6" w:rsidP="004E32E2">
      <w:pPr>
        <w:spacing w:after="0" w:line="360" w:lineRule="auto"/>
        <w:ind w:firstLine="720"/>
        <w:jc w:val="both"/>
        <w:rPr>
          <w:rFonts w:ascii="Arial" w:hAnsi="Arial" w:cs="Arial"/>
          <w:sz w:val="24"/>
          <w:szCs w:val="24"/>
        </w:rPr>
      </w:pPr>
      <w:bookmarkStart w:id="66" w:name="OLE_LINK50"/>
      <w:r w:rsidRPr="006412CA">
        <w:rPr>
          <w:rFonts w:ascii="Arial" w:hAnsi="Arial" w:cs="Arial"/>
          <w:sz w:val="24"/>
          <w:szCs w:val="24"/>
        </w:rPr>
        <w:t xml:space="preserve">Howorth and Westhead (2003), assert that small firms need to control and monitor their working capital mainly. This is because they are associated with a higher proportion of current assets relative to large firms, less liquidity, volatile cash flows, and a reliance on short-term debt </w:t>
      </w:r>
      <w:r w:rsidR="00603C66"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"DOI" : "10.1177/0266242600182001", "ISBN" : "0893-3200", "ISSN" : "17412870", "PMID" : "803973233", "abstract" : "The fastener design for the transfer of concentrated transverse (out of plane, pull-out) loads to random glass fiber reinforced thermoset polymers was investigated. The elastic material properties, void content,a nd glass content of the composite were determined and a finite element model was used to analyze and compare the performance of the various washer designs for reducing the stress and strain levels near the edge of the washer at a bolted joint. Experimental studies were conducted to verify the finite element model.", "author" : [ { "dropping-particle" : "", "family" : "Peel", "given" : "Michael J.", "non-dropping-particle" : "", "parse-names" : false, "suffix" : "" }, { "dropping-particle" : "", "family" : "Wilson", "given" : "Nicholas", "non-dropping-particle" : "", "parse-names" : false, "suffix" : "" }, { "dropping-particle" : "", "family" : "Howorth", "given" : "Carole", "non-dropping-particle" : "", "parse-names" : false, "suffix" : "" } ], "container-title" : "International Small Business Journal", "id" : "ITEM-1", "issue" : "2", "issued" : { "date-parts" : [ [ "2000" ] ] }, "page" : "17-37", "title" : "Late Payment and Credit Management in the Small Firm Sector: Some Empirical Evidence", "type" : "article-journal", "volume" : "18" }, "uris" : [ "http://www.mendeley.com/documents/?uuid=3b930f45-b61f-4e17-a304-0e240176b075" ] } ], "mendeley" : { "formattedCitation" : "(Peel, Wilson and Howorth, 2000)", "manualFormatting" : "(Peel et al. 2000)", "plainTextFormattedCitation" : "(Peel, Wilson and Howorth, 2000)", "previouslyFormattedCitation" : "(Peel, Wilson and Howorth, 2000)" }, "properties" : {  }, "schema" : "https://github.com/citation-style-language/schema/raw/master/csl-citation.json" }</w:instrText>
      </w:r>
      <w:r w:rsidR="00603C66" w:rsidRPr="006412CA">
        <w:rPr>
          <w:rFonts w:ascii="Arial" w:hAnsi="Arial" w:cs="Arial"/>
          <w:sz w:val="24"/>
          <w:szCs w:val="24"/>
        </w:rPr>
        <w:fldChar w:fldCharType="separate"/>
      </w:r>
      <w:r w:rsidR="00603C66" w:rsidRPr="006412CA">
        <w:rPr>
          <w:rFonts w:ascii="Arial" w:hAnsi="Arial" w:cs="Arial"/>
          <w:noProof/>
          <w:sz w:val="24"/>
          <w:szCs w:val="24"/>
        </w:rPr>
        <w:t>(Peel et al. 2000)</w:t>
      </w:r>
      <w:r w:rsidR="00603C66" w:rsidRPr="006412CA">
        <w:rPr>
          <w:rFonts w:ascii="Arial" w:hAnsi="Arial" w:cs="Arial"/>
          <w:sz w:val="24"/>
          <w:szCs w:val="24"/>
        </w:rPr>
        <w:fldChar w:fldCharType="end"/>
      </w:r>
      <w:r w:rsidR="00603C66" w:rsidRPr="006412CA">
        <w:rPr>
          <w:rFonts w:ascii="Arial" w:hAnsi="Arial" w:cs="Arial"/>
          <w:sz w:val="24"/>
          <w:szCs w:val="24"/>
        </w:rPr>
        <w:t>.</w:t>
      </w:r>
      <w:r w:rsidRPr="006412CA">
        <w:rPr>
          <w:rFonts w:ascii="Arial" w:hAnsi="Arial" w:cs="Arial"/>
          <w:sz w:val="24"/>
          <w:szCs w:val="24"/>
        </w:rPr>
        <w:t xml:space="preserve"> Evidence suggests that</w:t>
      </w:r>
      <w:r w:rsidR="00755B96" w:rsidRPr="006412CA">
        <w:rPr>
          <w:rFonts w:ascii="Arial" w:hAnsi="Arial" w:cs="Arial"/>
          <w:sz w:val="24"/>
          <w:szCs w:val="24"/>
        </w:rPr>
        <w:t xml:space="preserve"> due to resource constraints,</w:t>
      </w:r>
      <w:r w:rsidRPr="006412CA">
        <w:rPr>
          <w:rFonts w:ascii="Arial" w:hAnsi="Arial" w:cs="Arial"/>
          <w:sz w:val="24"/>
          <w:szCs w:val="24"/>
        </w:rPr>
        <w:t xml:space="preserve"> relatively few small firms utilise basic working capital management routines and they show a higher prevalence of ad hoc or subjective working capital decision-mak</w:t>
      </w:r>
      <w:r w:rsidR="00EC6694" w:rsidRPr="006412CA">
        <w:rPr>
          <w:rFonts w:ascii="Arial" w:hAnsi="Arial" w:cs="Arial"/>
          <w:sz w:val="24"/>
          <w:szCs w:val="24"/>
        </w:rPr>
        <w:t>ing (Nayak and Greenfield, 1994</w:t>
      </w:r>
      <w:r w:rsidRPr="006412CA">
        <w:rPr>
          <w:rFonts w:ascii="Arial" w:hAnsi="Arial" w:cs="Arial"/>
          <w:sz w:val="24"/>
          <w:szCs w:val="24"/>
        </w:rPr>
        <w:t>).</w:t>
      </w:r>
    </w:p>
    <w:p w14:paraId="26B09A16" w14:textId="3BDF9681" w:rsidR="004F00F6" w:rsidRPr="006412CA" w:rsidRDefault="004F00F6" w:rsidP="004E32E2">
      <w:pPr>
        <w:spacing w:after="0" w:line="360" w:lineRule="auto"/>
        <w:ind w:firstLine="720"/>
        <w:jc w:val="both"/>
        <w:rPr>
          <w:rFonts w:ascii="Arial" w:hAnsi="Arial" w:cs="Arial"/>
          <w:sz w:val="24"/>
          <w:szCs w:val="24"/>
        </w:rPr>
      </w:pPr>
      <w:r w:rsidRPr="006412CA">
        <w:rPr>
          <w:rFonts w:ascii="Arial" w:hAnsi="Arial" w:cs="Arial"/>
          <w:sz w:val="24"/>
          <w:szCs w:val="24"/>
        </w:rPr>
        <w:lastRenderedPageBreak/>
        <w:t xml:space="preserve">According to </w:t>
      </w:r>
      <w:bookmarkStart w:id="67" w:name="OLE_LINK57"/>
      <w:bookmarkStart w:id="68" w:name="OLE_LINK65"/>
      <w:r w:rsidR="00EC6694"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"DOI" : "10.1177/0266242696142004", "ISSN" : "0266-2426", "abstract" : "MICHAELJ. PEEL IS A LECTURER IN accountancy and finance at Cardiff Business School, University of Wales, and Nicholas Wilson is Professor of Credit Management at the University of Bradford, England. Very little research has been conducted on the capital budgeting and working capital practices of small firms. The purpose of this paper is to present the results of a preliminary study on the working capital and financial management practices of a sample of small firms located in the north of England. In general, the results of the survey indicated that a relatively high proportion of small firms in the sample claimed to use quantitative capital budgeting and working capital techniques and to review various aspects of their companies' working capital. In addition, the firms which claimed to use the more sophisticated discounted cash flow capital budgeting techniques, or which had been active in terms of reducing stock levels or the debtors' credit period, on average tended to be more active in respect of working capital management practices. It is hoped that the issues raised will stimulate further theoretical and empirical contributions on this neglected and important area of small business research.", "author" : [ { "dropping-particle" : "", "family" : "Peel", "given" : "M. J.", "non-dropping-particle" : "", "parse-names" : false, "suffix" : "" }, { "dropping-particle" : "", "family" : "Wilson", "given" : "N.", "non-dropping-particle" : "", "parse-names" : false, "suffix" : "" } ], "container-title" : "International Small Business Journal", "id" : "ITEM-1", "issue" : "2", "issued" : { "date-parts" : [ [ "1996" ] ] }, "page" : "52-68", "title" : "Working Capital and Financial Management Practices in the Small Firm Sector", "type" : "article-journal", "volume" : "14" }, "uris" : [ "http://www.mendeley.com/documents/?uuid=e90f810a-36ef-4df0-983f-e03f6de71105" ] } ], "mendeley" : { "formattedCitation" : "(Peel and Wilson, 1996)", "manualFormatting" : "Peel and Wilson (1996)", "plainTextFormattedCitation" : "(Peel and Wilson, 1996)", "previouslyFormattedCitation" : "(Peel and Wilson, 1996)" }, "properties" : {  }, "schema" : "https://github.com/citation-style-language/schema/raw/master/csl-citation.json" }</w:instrText>
      </w:r>
      <w:r w:rsidR="00EC6694" w:rsidRPr="006412CA">
        <w:rPr>
          <w:rFonts w:ascii="Arial" w:hAnsi="Arial" w:cs="Arial"/>
          <w:sz w:val="24"/>
          <w:szCs w:val="24"/>
        </w:rPr>
        <w:fldChar w:fldCharType="separate"/>
      </w:r>
      <w:r w:rsidR="00EC6694" w:rsidRPr="006412CA">
        <w:rPr>
          <w:rFonts w:ascii="Arial" w:hAnsi="Arial" w:cs="Arial"/>
          <w:noProof/>
          <w:sz w:val="24"/>
          <w:szCs w:val="24"/>
        </w:rPr>
        <w:t>Peel and Wilson (1996)</w:t>
      </w:r>
      <w:r w:rsidR="00EC6694" w:rsidRPr="006412CA">
        <w:rPr>
          <w:rFonts w:ascii="Arial" w:hAnsi="Arial" w:cs="Arial"/>
          <w:sz w:val="24"/>
          <w:szCs w:val="24"/>
        </w:rPr>
        <w:fldChar w:fldCharType="end"/>
      </w:r>
      <w:bookmarkEnd w:id="67"/>
      <w:bookmarkEnd w:id="68"/>
      <w:r w:rsidR="00EC6694" w:rsidRPr="006412CA">
        <w:rPr>
          <w:rFonts w:ascii="Arial" w:hAnsi="Arial" w:cs="Arial"/>
          <w:sz w:val="24"/>
          <w:szCs w:val="24"/>
        </w:rPr>
        <w:t>,</w:t>
      </w:r>
      <w:r w:rsidRPr="006412CA">
        <w:rPr>
          <w:rFonts w:ascii="Arial" w:hAnsi="Arial" w:cs="Arial"/>
          <w:sz w:val="24"/>
          <w:szCs w:val="24"/>
        </w:rPr>
        <w:t xml:space="preserve"> smaller firms adopt formal working capital management routines to reduce the probability of business closure, as well as to enhance business performance</w:t>
      </w:r>
      <w:r w:rsidR="00755B96" w:rsidRPr="006412CA">
        <w:rPr>
          <w:rFonts w:ascii="Arial" w:hAnsi="Arial" w:cs="Arial"/>
          <w:sz w:val="24"/>
          <w:szCs w:val="24"/>
        </w:rPr>
        <w:t xml:space="preserve"> since they have very limited resource capability</w:t>
      </w:r>
      <w:r w:rsidRPr="006412CA">
        <w:rPr>
          <w:rFonts w:ascii="Arial" w:hAnsi="Arial" w:cs="Arial"/>
          <w:sz w:val="24"/>
          <w:szCs w:val="24"/>
        </w:rPr>
        <w:t xml:space="preserve">. A firm’s working capital management routines require a formalised method of planning and control. In line with this suggestion, </w:t>
      </w:r>
      <w:bookmarkEnd w:id="66"/>
      <w:r w:rsidRPr="006412CA">
        <w:rPr>
          <w:rFonts w:ascii="Arial" w:hAnsi="Arial" w:cs="Arial"/>
          <w:sz w:val="24"/>
          <w:szCs w:val="24"/>
        </w:rPr>
        <w:t>we argue that</w:t>
      </w:r>
      <w:r w:rsidRPr="006412CA">
        <w:rPr>
          <w:rFonts w:ascii="Arial" w:hAnsi="Arial" w:cs="Arial"/>
          <w:bCs/>
          <w:iCs/>
          <w:sz w:val="24"/>
          <w:szCs w:val="24"/>
        </w:rPr>
        <w:t xml:space="preserve"> resource constraint firms that adopt formal controls</w:t>
      </w:r>
      <w:r w:rsidRPr="006412CA">
        <w:rPr>
          <w:rFonts w:ascii="Arial" w:hAnsi="Arial" w:cs="Arial"/>
          <w:sz w:val="24"/>
          <w:szCs w:val="24"/>
        </w:rPr>
        <w:t xml:space="preserve"> </w:t>
      </w:r>
      <w:r w:rsidRPr="006412CA">
        <w:rPr>
          <w:rFonts w:ascii="Arial" w:hAnsi="Arial" w:cs="Arial"/>
          <w:bCs/>
          <w:iCs/>
          <w:sz w:val="24"/>
          <w:szCs w:val="24"/>
        </w:rPr>
        <w:t xml:space="preserve">WCM routines such as reducing investment in working capital can free up excess </w:t>
      </w:r>
      <w:bookmarkStart w:id="69" w:name="OLE_LINK99"/>
      <w:bookmarkStart w:id="70" w:name="OLE_LINK100"/>
      <w:r w:rsidR="004779D9" w:rsidRPr="006412CA">
        <w:rPr>
          <w:rFonts w:ascii="Arial" w:hAnsi="Arial" w:cs="Arial"/>
          <w:bCs/>
          <w:iCs/>
          <w:sz w:val="24"/>
          <w:szCs w:val="24"/>
        </w:rPr>
        <w:t>cash for profitable investment</w:t>
      </w:r>
      <w:r w:rsidR="004779D9" w:rsidRPr="006412CA">
        <w:rPr>
          <w:rFonts w:ascii="Arial" w:eastAsia="Calibri" w:hAnsi="Arial" w:cs="Arial"/>
          <w:sz w:val="24"/>
          <w:szCs w:val="24"/>
          <w:lang w:eastAsia="en-GB"/>
        </w:rPr>
        <w:t xml:space="preserve"> therefore </w:t>
      </w:r>
      <w:r w:rsidR="004779D9" w:rsidRPr="006412CA">
        <w:rPr>
          <w:rFonts w:ascii="Arial" w:eastAsia="Calibri" w:hAnsi="Arial" w:cs="Arial"/>
          <w:noProof/>
          <w:sz w:val="24"/>
          <w:szCs w:val="24"/>
          <w:lang w:eastAsia="en-GB"/>
        </w:rPr>
        <w:t>preventing</w:t>
      </w:r>
      <w:r w:rsidR="004779D9" w:rsidRPr="006412CA">
        <w:rPr>
          <w:rFonts w:ascii="Arial" w:eastAsia="Calibri" w:hAnsi="Arial" w:cs="Arial"/>
          <w:sz w:val="24"/>
          <w:szCs w:val="24"/>
          <w:lang w:eastAsia="en-GB"/>
        </w:rPr>
        <w:t xml:space="preserve"> the need for expensive external finance </w:t>
      </w:r>
      <w:r w:rsidR="00EC6694" w:rsidRPr="006412CA">
        <w:rPr>
          <w:rFonts w:ascii="Arial" w:eastAsia="Calibri" w:hAnsi="Arial" w:cs="Arial"/>
          <w:sz w:val="24"/>
          <w:szCs w:val="24"/>
          <w:lang w:eastAsia="en-GB"/>
        </w:rPr>
        <w:fldChar w:fldCharType="begin" w:fldLock="1"/>
      </w:r>
      <w:r w:rsidR="00031DA3" w:rsidRPr="006412CA">
        <w:rPr>
          <w:rFonts w:ascii="Arial" w:eastAsia="Calibri" w:hAnsi="Arial" w:cs="Arial"/>
          <w:sz w:val="24"/>
          <w:szCs w:val="24"/>
          <w:lang w:eastAsia="en-GB"/>
        </w:rPr>
        <w:instrText>ADDIN CSL_CITATION { "citationItems" : [ { "id" : "ITEM-1", "itemData" : { "DOI" : "10.2139/ssrn.1836900", "ISSN" : "1556-5068", "abstract" : "Although companies deal with day-to-day short term financial decisions, in corporate finance the emphasis is being put on long term financial issues when talking about company\u2019s value. In this paper a sample of French listed companies was chosen to assess the importance of short term financial decisions to company\u2019s value by testing the following hypotheses: an extra euro invested in cash or net working capital is valued less than one euro. Running a panel data analysis, evidences prove that shareholders undervalue cash holdings and net working capital. The results of this paper alert management not to underestimate importance of cash holdings and working capital management; moreover, the results encourage investors to follow company\u2019s actions in this area to maximise their return on investment.", "author" : [ { "dropping-particle" : "", "family" : "Autukaite", "given" : "Ruta", "non-dropping-particle" : "", "parse-names" : false, "suffix" : "" }, { "dropping-particle" : "", "family" : "Molay", "given" : "Eric", "non-dropping-particle" : "", "parse-names" : false, "suffix" : "" } ], "container-title" : "SSRN Electronic Journal", "id" : "ITEM-1", "issued" : { "date-parts" : [ [ "2011" ] ] }, "page" : "1-22", "title" : "CASH HOLDINGS , WORKING CAPITAL AND FIRM VALUE: EVIDENCE FROM FRANCE", "type" : "article-journal", "volume" : "30" }, "uris" : [ "http://www.mendeley.com/documents/?uuid=96e580f3-2a18-4d68-8f8d-eca8e441e632" ] } ], "mendeley" : { "formattedCitation" : "(Autukaite and Molay, 2011)", "plainTextFormattedCitation" : "(Autukaite and Molay, 2011)", "previouslyFormattedCitation" : "(Autukaite and Molay, 2011)" }, "properties" : {  }, "schema" : "https://github.com/citation-style-language/schema/raw/master/csl-citation.json" }</w:instrText>
      </w:r>
      <w:r w:rsidR="00EC6694" w:rsidRPr="006412CA">
        <w:rPr>
          <w:rFonts w:ascii="Arial" w:eastAsia="Calibri" w:hAnsi="Arial" w:cs="Arial"/>
          <w:sz w:val="24"/>
          <w:szCs w:val="24"/>
          <w:lang w:eastAsia="en-GB"/>
        </w:rPr>
        <w:fldChar w:fldCharType="separate"/>
      </w:r>
      <w:r w:rsidR="00031DA3" w:rsidRPr="006412CA">
        <w:rPr>
          <w:rFonts w:ascii="Arial" w:eastAsia="Calibri" w:hAnsi="Arial" w:cs="Arial"/>
          <w:noProof/>
          <w:sz w:val="24"/>
          <w:szCs w:val="24"/>
          <w:lang w:eastAsia="en-GB"/>
        </w:rPr>
        <w:t>(Autukaite and Molay, 2011)</w:t>
      </w:r>
      <w:r w:rsidR="00EC6694" w:rsidRPr="006412CA">
        <w:rPr>
          <w:rFonts w:ascii="Arial" w:eastAsia="Calibri" w:hAnsi="Arial" w:cs="Arial"/>
          <w:sz w:val="24"/>
          <w:szCs w:val="24"/>
          <w:lang w:eastAsia="en-GB"/>
        </w:rPr>
        <w:fldChar w:fldCharType="end"/>
      </w:r>
      <w:r w:rsidR="00EC6694" w:rsidRPr="006412CA">
        <w:rPr>
          <w:rFonts w:ascii="Arial" w:eastAsia="Calibri" w:hAnsi="Arial" w:cs="Arial"/>
          <w:sz w:val="24"/>
          <w:szCs w:val="24"/>
          <w:lang w:eastAsia="en-GB"/>
        </w:rPr>
        <w:t>.</w:t>
      </w:r>
      <w:r w:rsidR="004779D9" w:rsidRPr="006412CA">
        <w:rPr>
          <w:rFonts w:ascii="Arial" w:eastAsia="Calibri" w:hAnsi="Arial" w:cs="Arial"/>
          <w:sz w:val="24"/>
          <w:szCs w:val="24"/>
          <w:lang w:eastAsia="en-GB"/>
        </w:rPr>
        <w:t xml:space="preserve"> </w:t>
      </w:r>
      <w:bookmarkEnd w:id="69"/>
      <w:bookmarkEnd w:id="70"/>
      <w:r w:rsidR="004779D9" w:rsidRPr="006412CA">
        <w:rPr>
          <w:rFonts w:ascii="Arial" w:eastAsia="Calibri" w:hAnsi="Arial" w:cs="Arial"/>
          <w:sz w:val="24"/>
          <w:szCs w:val="24"/>
          <w:lang w:eastAsia="en-GB"/>
        </w:rPr>
        <w:t>The delaying of payments to suppliers as a result of indulging in an aggressive strategy of WCM can also improve firm performance.</w:t>
      </w:r>
      <w:bookmarkStart w:id="71" w:name="OLE_LINK103"/>
      <w:bookmarkStart w:id="72" w:name="OLE_LINK104"/>
      <w:bookmarkStart w:id="73" w:name="OLE_LINK105"/>
      <w:r w:rsidR="00755B96" w:rsidRPr="006412CA">
        <w:rPr>
          <w:rFonts w:ascii="Arial" w:hAnsi="Arial" w:cs="Arial"/>
          <w:bCs/>
          <w:iCs/>
          <w:sz w:val="24"/>
          <w:szCs w:val="24"/>
        </w:rPr>
        <w:t xml:space="preserve"> </w:t>
      </w:r>
      <w:r w:rsidRPr="006412CA">
        <w:rPr>
          <w:rFonts w:ascii="Arial" w:hAnsi="Arial" w:cs="Arial"/>
          <w:sz w:val="24"/>
          <w:szCs w:val="24"/>
        </w:rPr>
        <w:t>Accordingly, we hypothesise</w:t>
      </w:r>
      <w:r w:rsidR="007C4EC5" w:rsidRPr="006412CA">
        <w:rPr>
          <w:rFonts w:ascii="Arial" w:hAnsi="Arial" w:cs="Arial"/>
          <w:sz w:val="24"/>
          <w:szCs w:val="24"/>
        </w:rPr>
        <w:t xml:space="preserve"> that</w:t>
      </w:r>
      <w:r w:rsidRPr="006412CA">
        <w:rPr>
          <w:rFonts w:ascii="Arial" w:hAnsi="Arial" w:cs="Arial"/>
          <w:sz w:val="24"/>
          <w:szCs w:val="24"/>
        </w:rPr>
        <w:t>:</w:t>
      </w:r>
    </w:p>
    <w:p w14:paraId="60140386" w14:textId="77777777" w:rsidR="004E32E2" w:rsidRPr="006412CA" w:rsidRDefault="004E32E2" w:rsidP="004E32E2">
      <w:pPr>
        <w:spacing w:after="0" w:line="360" w:lineRule="auto"/>
        <w:ind w:firstLine="720"/>
        <w:jc w:val="both"/>
        <w:rPr>
          <w:rFonts w:ascii="Arial" w:hAnsi="Arial" w:cs="Arial"/>
          <w:bCs/>
          <w:iCs/>
          <w:sz w:val="24"/>
          <w:szCs w:val="24"/>
        </w:rPr>
      </w:pPr>
    </w:p>
    <w:p w14:paraId="39E12DA0" w14:textId="6AA404B3" w:rsidR="00754683" w:rsidRDefault="004F00F6" w:rsidP="004E32E2">
      <w:pPr>
        <w:spacing w:after="0" w:line="360" w:lineRule="auto"/>
        <w:contextualSpacing/>
        <w:jc w:val="both"/>
        <w:rPr>
          <w:rFonts w:ascii="Arial" w:hAnsi="Arial" w:cs="Arial"/>
          <w:bCs/>
          <w:i/>
          <w:iCs/>
          <w:sz w:val="24"/>
          <w:szCs w:val="24"/>
        </w:rPr>
      </w:pPr>
      <w:r w:rsidRPr="006412CA">
        <w:rPr>
          <w:rFonts w:ascii="Arial" w:hAnsi="Arial" w:cs="Arial"/>
          <w:bCs/>
          <w:i/>
          <w:iCs/>
          <w:sz w:val="24"/>
          <w:szCs w:val="24"/>
        </w:rPr>
        <w:lastRenderedPageBreak/>
        <w:t xml:space="preserve">Hypothesis 2: Resource capability positively moderates the </w:t>
      </w:r>
      <w:r w:rsidR="00E92D44">
        <w:rPr>
          <w:rFonts w:ascii="Arial" w:hAnsi="Arial" w:cs="Arial"/>
          <w:bCs/>
          <w:i/>
          <w:iCs/>
          <w:color w:val="FF0000"/>
          <w:sz w:val="24"/>
          <w:szCs w:val="24"/>
        </w:rPr>
        <w:t xml:space="preserve">negative </w:t>
      </w:r>
      <w:r w:rsidRPr="006412CA">
        <w:rPr>
          <w:rFonts w:ascii="Arial" w:hAnsi="Arial" w:cs="Arial"/>
          <w:bCs/>
          <w:i/>
          <w:iCs/>
          <w:sz w:val="24"/>
          <w:szCs w:val="24"/>
        </w:rPr>
        <w:t xml:space="preserve">relationship </w:t>
      </w:r>
    </w:p>
    <w:p w14:paraId="4F946BBE" w14:textId="3311E415" w:rsidR="004F00F6" w:rsidRPr="006412CA" w:rsidRDefault="00754683" w:rsidP="004E32E2">
      <w:pPr>
        <w:spacing w:after="0" w:line="360" w:lineRule="auto"/>
        <w:contextualSpacing/>
        <w:jc w:val="both"/>
        <w:rPr>
          <w:rFonts w:ascii="Arial" w:hAnsi="Arial" w:cs="Arial"/>
          <w:bCs/>
          <w:i/>
          <w:iCs/>
          <w:sz w:val="24"/>
          <w:szCs w:val="24"/>
        </w:rPr>
      </w:pPr>
      <w:r>
        <w:rPr>
          <w:rFonts w:ascii="Arial" w:hAnsi="Arial" w:cs="Arial"/>
          <w:bCs/>
          <w:i/>
          <w:iCs/>
          <w:sz w:val="24"/>
          <w:szCs w:val="24"/>
        </w:rPr>
        <w:t xml:space="preserve">                      </w:t>
      </w:r>
      <w:r w:rsidR="004F00F6" w:rsidRPr="006412CA">
        <w:rPr>
          <w:rFonts w:ascii="Arial" w:hAnsi="Arial" w:cs="Arial"/>
          <w:bCs/>
          <w:i/>
          <w:iCs/>
          <w:sz w:val="24"/>
          <w:szCs w:val="24"/>
        </w:rPr>
        <w:t xml:space="preserve">between </w:t>
      </w:r>
      <w:r>
        <w:rPr>
          <w:rFonts w:ascii="Arial" w:hAnsi="Arial" w:cs="Arial"/>
          <w:bCs/>
          <w:i/>
          <w:iCs/>
          <w:sz w:val="24"/>
          <w:szCs w:val="24"/>
        </w:rPr>
        <w:t>W</w:t>
      </w:r>
      <w:r w:rsidR="004F00F6" w:rsidRPr="006412CA">
        <w:rPr>
          <w:rFonts w:ascii="Arial" w:hAnsi="Arial" w:cs="Arial"/>
          <w:bCs/>
          <w:i/>
          <w:iCs/>
          <w:sz w:val="24"/>
          <w:szCs w:val="24"/>
        </w:rPr>
        <w:t>CM and fi</w:t>
      </w:r>
      <w:r w:rsidR="004E32E2" w:rsidRPr="006412CA">
        <w:rPr>
          <w:rFonts w:ascii="Arial" w:hAnsi="Arial" w:cs="Arial"/>
          <w:bCs/>
          <w:i/>
          <w:iCs/>
          <w:sz w:val="24"/>
          <w:szCs w:val="24"/>
        </w:rPr>
        <w:t xml:space="preserve">nancial </w:t>
      </w:r>
      <w:r w:rsidR="004F00F6" w:rsidRPr="006412CA">
        <w:rPr>
          <w:rFonts w:ascii="Arial" w:hAnsi="Arial" w:cs="Arial"/>
          <w:bCs/>
          <w:i/>
          <w:iCs/>
          <w:sz w:val="24"/>
          <w:szCs w:val="24"/>
        </w:rPr>
        <w:t>performance</w:t>
      </w:r>
    </w:p>
    <w:p w14:paraId="0BF633F7" w14:textId="77777777" w:rsidR="00E963A1" w:rsidRPr="006412CA" w:rsidRDefault="00E963A1" w:rsidP="004E32E2">
      <w:pPr>
        <w:spacing w:after="0" w:line="360" w:lineRule="auto"/>
        <w:contextualSpacing/>
        <w:jc w:val="both"/>
        <w:rPr>
          <w:rFonts w:ascii="Arial" w:hAnsi="Arial" w:cs="Arial"/>
          <w:bCs/>
          <w:i/>
          <w:iCs/>
          <w:sz w:val="24"/>
          <w:szCs w:val="24"/>
        </w:rPr>
      </w:pPr>
    </w:p>
    <w:bookmarkEnd w:id="71"/>
    <w:bookmarkEnd w:id="72"/>
    <w:bookmarkEnd w:id="73"/>
    <w:p w14:paraId="7F343955" w14:textId="7E00F813" w:rsidR="004F00F6" w:rsidRPr="006412CA" w:rsidRDefault="00AD0A7E" w:rsidP="004E32E2">
      <w:pPr>
        <w:spacing w:after="0" w:line="360" w:lineRule="auto"/>
        <w:jc w:val="both"/>
        <w:rPr>
          <w:rFonts w:ascii="Arial" w:hAnsi="Arial" w:cs="Arial"/>
          <w:bCs/>
          <w:i/>
          <w:iCs/>
          <w:sz w:val="24"/>
          <w:szCs w:val="24"/>
        </w:rPr>
      </w:pPr>
      <w:r w:rsidRPr="006412CA">
        <w:rPr>
          <w:rFonts w:ascii="Arial" w:hAnsi="Arial" w:cs="Arial"/>
          <w:bCs/>
          <w:i/>
          <w:iCs/>
          <w:sz w:val="24"/>
          <w:szCs w:val="24"/>
        </w:rPr>
        <w:t xml:space="preserve">2.4 </w:t>
      </w:r>
      <w:r w:rsidR="00FA5592">
        <w:rPr>
          <w:rFonts w:ascii="Arial" w:hAnsi="Arial" w:cs="Arial"/>
          <w:bCs/>
          <w:i/>
          <w:iCs/>
          <w:sz w:val="24"/>
          <w:szCs w:val="24"/>
        </w:rPr>
        <w:t>Manage</w:t>
      </w:r>
      <w:r w:rsidR="0095264A">
        <w:rPr>
          <w:rFonts w:ascii="Arial" w:hAnsi="Arial" w:cs="Arial"/>
          <w:bCs/>
          <w:i/>
          <w:iCs/>
          <w:sz w:val="24"/>
          <w:szCs w:val="24"/>
        </w:rPr>
        <w:t>ment</w:t>
      </w:r>
      <w:r w:rsidR="004F00F6" w:rsidRPr="006412CA">
        <w:rPr>
          <w:rFonts w:ascii="Arial" w:hAnsi="Arial" w:cs="Arial"/>
          <w:bCs/>
          <w:i/>
          <w:iCs/>
          <w:sz w:val="24"/>
          <w:szCs w:val="24"/>
        </w:rPr>
        <w:t xml:space="preserve"> </w:t>
      </w:r>
      <w:r w:rsidR="0095264A">
        <w:rPr>
          <w:rFonts w:ascii="Arial" w:hAnsi="Arial" w:cs="Arial"/>
          <w:bCs/>
          <w:i/>
          <w:iCs/>
          <w:sz w:val="24"/>
          <w:szCs w:val="24"/>
        </w:rPr>
        <w:t>Capability</w:t>
      </w:r>
      <w:r w:rsidR="004F00F6" w:rsidRPr="006412CA">
        <w:rPr>
          <w:rFonts w:ascii="Arial" w:hAnsi="Arial" w:cs="Arial"/>
          <w:bCs/>
          <w:i/>
          <w:iCs/>
          <w:sz w:val="24"/>
          <w:szCs w:val="24"/>
        </w:rPr>
        <w:t>, W</w:t>
      </w:r>
      <w:r w:rsidR="004E32E2" w:rsidRPr="006412CA">
        <w:rPr>
          <w:rFonts w:ascii="Arial" w:hAnsi="Arial" w:cs="Arial"/>
          <w:bCs/>
          <w:i/>
          <w:iCs/>
          <w:sz w:val="24"/>
          <w:szCs w:val="24"/>
        </w:rPr>
        <w:t>CM</w:t>
      </w:r>
      <w:r w:rsidR="004F00F6" w:rsidRPr="006412CA">
        <w:rPr>
          <w:rFonts w:ascii="Arial" w:hAnsi="Arial" w:cs="Arial"/>
          <w:bCs/>
          <w:i/>
          <w:iCs/>
          <w:sz w:val="24"/>
          <w:szCs w:val="24"/>
        </w:rPr>
        <w:t xml:space="preserve"> and Fi</w:t>
      </w:r>
      <w:r w:rsidR="004E32E2" w:rsidRPr="006412CA">
        <w:rPr>
          <w:rFonts w:ascii="Arial" w:hAnsi="Arial" w:cs="Arial"/>
          <w:bCs/>
          <w:i/>
          <w:iCs/>
          <w:sz w:val="24"/>
          <w:szCs w:val="24"/>
        </w:rPr>
        <w:t>nancial</w:t>
      </w:r>
      <w:r w:rsidR="004F00F6" w:rsidRPr="006412CA">
        <w:rPr>
          <w:rFonts w:ascii="Arial" w:hAnsi="Arial" w:cs="Arial"/>
          <w:bCs/>
          <w:i/>
          <w:iCs/>
          <w:sz w:val="24"/>
          <w:szCs w:val="24"/>
        </w:rPr>
        <w:t xml:space="preserve"> Performance </w:t>
      </w:r>
    </w:p>
    <w:p w14:paraId="11887156" w14:textId="45530EBA" w:rsidR="00AD6D32" w:rsidRPr="006412CA" w:rsidRDefault="004F00F6" w:rsidP="004E32E2">
      <w:pPr>
        <w:spacing w:after="0" w:line="360" w:lineRule="auto"/>
        <w:ind w:firstLine="720"/>
        <w:jc w:val="both"/>
        <w:rPr>
          <w:rFonts w:ascii="Arial" w:hAnsi="Arial" w:cs="Arial"/>
          <w:bCs/>
          <w:iCs/>
          <w:sz w:val="24"/>
          <w:szCs w:val="24"/>
        </w:rPr>
      </w:pPr>
      <w:r w:rsidRPr="006412CA">
        <w:rPr>
          <w:rFonts w:ascii="Arial" w:hAnsi="Arial" w:cs="Arial"/>
          <w:sz w:val="24"/>
          <w:szCs w:val="24"/>
        </w:rPr>
        <w:t>Organisational leadership has been one of the gener</w:t>
      </w:r>
      <w:r w:rsidR="00572BF2" w:rsidRPr="006412CA">
        <w:rPr>
          <w:rFonts w:ascii="Arial" w:hAnsi="Arial" w:cs="Arial"/>
          <w:sz w:val="24"/>
          <w:szCs w:val="24"/>
        </w:rPr>
        <w:t>ic contingent variables examined</w:t>
      </w:r>
      <w:r w:rsidRPr="006412CA">
        <w:rPr>
          <w:rFonts w:ascii="Arial" w:hAnsi="Arial" w:cs="Arial"/>
          <w:sz w:val="24"/>
          <w:szCs w:val="24"/>
        </w:rPr>
        <w:t xml:space="preserve"> over the years. According to </w:t>
      </w:r>
      <w:bookmarkStart w:id="74" w:name="OLE_LINK66"/>
      <w:bookmarkStart w:id="75" w:name="OLE_LINK70"/>
      <w:r w:rsidR="00A2462A" w:rsidRPr="006412CA">
        <w:rPr>
          <w:rFonts w:ascii="Arial" w:hAnsi="Arial" w:cs="Arial"/>
          <w:sz w:val="24"/>
          <w:szCs w:val="24"/>
        </w:rPr>
        <w:fldChar w:fldCharType="begin" w:fldLock="1"/>
      </w:r>
      <w:r w:rsidR="00031DA3" w:rsidRPr="006412CA">
        <w:rPr>
          <w:rFonts w:ascii="Arial" w:hAnsi="Arial" w:cs="Arial"/>
          <w:sz w:val="24"/>
          <w:szCs w:val="24"/>
        </w:rPr>
        <w:instrText>ADDIN CSL_CITATION { "citationItems" : [ { "id" : "ITEM-1", "itemData" : { "DOI" : "10.1016/j.leaqua.2010.03.007", "abstract" : "This paper bridges the leadership and organizational change literatures by exploring the relationship between managers' leadership competencies (namely, their effectiveness at person-oriented and task-oriented behaviors) and the likelihood that they will emphasize the different activities involved in planned organizational change implementation (namely, communicating the need for change, mobilizing others to support the change, and evaluating the change implementation). We examine this relationship using data from 89 clinical managers at the United Kingdom National Health Service who implemented change projects between 2003 and 2004. Our results lend overall support to the proposed theory. This finding suggests that treating planned organizational change as a generic phenomenon might mask important idiosyncrasies associated both with the different activities involved in the change implementation process and with the unique functions that leadership competencies might play in the execution of these activities.", "author" : [ { "dropping-particle" : "", "family" : "Battilana", "given" : "J", "non-dropping-particle" : "", "parse-names" : false, "suffix" : "" }, { "dropping-particle" : "", "family" : "Gilmartin", "given" : "M", "non-dropping-particle" : "", "parse-names" : false, "suffix" : "" }, { "dropping-particle" : "", "family" : "Sengul", "given" : "M", "non-dropping-particle" : "", "parse-names" : false, "suffix" : "" }, { "dropping-particle" : "", "family" : "Pache", "given" : "A C", "non-dropping-particle" : "", "parse-names" : false, "suffix" : "" }, { "dropping-particle" : "", "family" : "Alexander", "given" : "J A", "non-dropping-particle" : "", "parse-names" : false, "suffix" : "" } ], "container-title" : "The Leadership Quarterly", "id" : "ITEM-1", "issued" : { "date-parts" : [ [ "2010" ] ] }, "page" : "422-438", "title" : "Leadership competencies for implementing planned organisational change", "type" : "article-journal", "volume" : "21" }, "uris" : [ "http://www.mendeley.com/documents/?uuid=bb03bb4b-6e79-422f-bdff-1bf44f35a5f8" ] } ], "mendeley" : { "formattedCitation" : "(Battilana &lt;i&gt;et al.&lt;/i&gt;, 2010)", "manualFormatting" : "Battilana et al. (2010)", "plainTextFormattedCitation" : "(Battilana et al., 2010)", "previouslyFormattedCitation" : "(Battilana &lt;i&gt;et al.&lt;/i&gt;, 2010)" }, "properties" : {  }, "schema" : "https://github.com/citation-style-language/schema/raw/master/csl-citation.json" }</w:instrText>
      </w:r>
      <w:r w:rsidR="00A2462A" w:rsidRPr="006412CA">
        <w:rPr>
          <w:rFonts w:ascii="Arial" w:hAnsi="Arial" w:cs="Arial"/>
          <w:sz w:val="24"/>
          <w:szCs w:val="24"/>
        </w:rPr>
        <w:fldChar w:fldCharType="separate"/>
      </w:r>
      <w:r w:rsidR="00A2462A" w:rsidRPr="006412CA">
        <w:rPr>
          <w:rFonts w:ascii="Arial" w:hAnsi="Arial" w:cs="Arial"/>
          <w:noProof/>
          <w:sz w:val="24"/>
          <w:szCs w:val="24"/>
        </w:rPr>
        <w:t>Battilana et al. (2010)</w:t>
      </w:r>
      <w:r w:rsidR="00A2462A" w:rsidRPr="006412CA">
        <w:rPr>
          <w:rFonts w:ascii="Arial" w:hAnsi="Arial" w:cs="Arial"/>
          <w:sz w:val="24"/>
          <w:szCs w:val="24"/>
        </w:rPr>
        <w:fldChar w:fldCharType="end"/>
      </w:r>
      <w:bookmarkEnd w:id="74"/>
      <w:bookmarkEnd w:id="75"/>
      <w:r w:rsidRPr="006412CA">
        <w:rPr>
          <w:rFonts w:ascii="Arial" w:hAnsi="Arial" w:cs="Arial"/>
          <w:sz w:val="24"/>
          <w:szCs w:val="24"/>
        </w:rPr>
        <w:t xml:space="preserve"> effective organisational leadership is essential in addressing performance challenges of an organisation. </w:t>
      </w:r>
      <w:r w:rsidRPr="006412CA">
        <w:rPr>
          <w:rFonts w:ascii="Arial" w:hAnsi="Arial" w:cs="Arial"/>
          <w:sz w:val="24"/>
          <w:szCs w:val="24"/>
          <w:lang w:val="en-US"/>
        </w:rPr>
        <w:t xml:space="preserve">One of such management policies discussed over the years has been on the firms' corporate governance </w:t>
      </w:r>
      <w:r w:rsidR="00875254" w:rsidRPr="006412CA">
        <w:rPr>
          <w:rFonts w:ascii="Arial" w:hAnsi="Arial" w:cs="Arial"/>
          <w:sz w:val="24"/>
          <w:szCs w:val="24"/>
          <w:lang w:val="en-US"/>
        </w:rPr>
        <w:t>policies (see Zonal et al. 2013</w:t>
      </w:r>
      <w:r w:rsidRPr="006412CA">
        <w:rPr>
          <w:rFonts w:ascii="Arial" w:hAnsi="Arial" w:cs="Arial"/>
          <w:sz w:val="24"/>
          <w:szCs w:val="24"/>
          <w:lang w:val="en-US"/>
        </w:rPr>
        <w:t xml:space="preserve">). </w:t>
      </w:r>
      <w:bookmarkStart w:id="76" w:name="OLE_LINK51"/>
      <w:bookmarkStart w:id="77" w:name="OLE_LINK52"/>
      <w:bookmarkStart w:id="78" w:name="OLE_LINK53"/>
      <w:bookmarkStart w:id="79" w:name="OLE_LINK54"/>
      <w:bookmarkStart w:id="80" w:name="OLE_LINK58"/>
      <w:bookmarkStart w:id="81" w:name="OLE_LINK64"/>
      <w:r w:rsidR="00AD6D32" w:rsidRPr="006412CA">
        <w:rPr>
          <w:rFonts w:ascii="Arial" w:hAnsi="Arial" w:cs="Arial"/>
          <w:bCs/>
          <w:iCs/>
          <w:sz w:val="24"/>
          <w:szCs w:val="24"/>
        </w:rPr>
        <w:t xml:space="preserve">Several studies </w:t>
      </w:r>
      <w:r w:rsidR="00B810CC" w:rsidRPr="006412CA">
        <w:rPr>
          <w:rFonts w:ascii="Arial" w:hAnsi="Arial" w:cs="Arial"/>
          <w:bCs/>
          <w:iCs/>
          <w:sz w:val="24"/>
          <w:szCs w:val="24"/>
        </w:rPr>
        <w:fldChar w:fldCharType="begin" w:fldLock="1"/>
      </w:r>
      <w:r w:rsidR="00031DA3" w:rsidRPr="006412CA">
        <w:rPr>
          <w:rFonts w:ascii="Arial" w:hAnsi="Arial" w:cs="Arial"/>
          <w:bCs/>
          <w:iCs/>
          <w:sz w:val="24"/>
          <w:szCs w:val="24"/>
        </w:rPr>
        <w:instrText>ADDIN CSL_CITATION { "citationItems" : [ { "id" : "ITEM-1", "itemData" : { "DOI" : "10.1111/j.1467-6486.2007.00708.x", "ISBN" : "0022-2380", "ISSN" : "00222380", "abstract" : "Prior studies of the relationship between the composition of boards of directors and firm performance offer equivocal results. Drawing on agency and power circulation theories, we attempt to reduce this equivocality by asserting that CEO power moderates the relationship. Specifically, an outside director dominated board is needed to check a powerful CEO, but monitoring by other executives provides sufficient constraints on CEOs with low power. We used event study methodology to test the effects of the interaction between board composition and CEO power on stock market reaction to 73 unexpected CEO deaths. We found support for our theorizing among two of three sources of CEO power. Thus, although regulatory trends increasingly support outside director dominated boards, our findings indicate that this may not always benefit shareholders and that CEO power should be considered when constructing boards. [ABSTRACT FROM AUTHOR]", "author" : [ { "dropping-particle" : "", "family" : "Combs", "given" : "James G.", "non-dropping-particle" : "", "parse-names" : false, "suffix" : "" }, { "dropping-particle" : "", "family" : "Ketchen", "given" : "David J.", "non-dropping-particle" : "", "parse-names" : false, "suffix" : "" }, { "dropping-particle" : "", "family" : "Perryman", "given" : "Alexa A.", "non-dropping-particle" : "", "parse-names" : false, "suffix" : "" }, { "dropping-particle" : "", "family" : "Donahue", "given" : "Maura S.", "non-dropping-particle" : "", "parse-names" : false, "suffix" : "" } ], "container-title" : "Journal of Management Studies", "id" : "ITEM-1", "issue" : "8", "issued" : { "date-parts" : [ [ "2007" ] ] }, "page" : "1299-1323", "title" : "The moderating effect of CEO power on the board composition-firm performance relationship", "type" : "article-journal", "volume" : "44" }, "uris" : [ "http://www.mendeley.com/documents/?uuid=4d03ea42-fbce-4e45-9e61-be2b0852f5de" ] }, { "id" : "ITEM-2", "itemData" : { "DOI" : "10.1016/j.jm.2003.02.004", "ISBN" : "1905688555", "ISSN" : "01492063", "PMID" : "13021041", "abstract" : "This study examines the relationship between top management team duality and the decision to release false financial information. Using a matched sample of 103 firms that were convicted of issuing fraudulent financial statements in the period from 1992 to 1996, the results show that this form of illegal corporate behavior is more likely to occur when there is a concentration of power in the hands of insiders. For these firms, insiders control the top management team and the Board of Directors by simultaneously occupying the key managerial positions of clout within the firm while also sitting on the Board (duality), and through their ownership interest in the firm. \u00a9 2003 Elsevier Inc. All rights reserved.", "author" : [ { "dropping-particle" : "", "family" : "Dunn", "given" : "Paul", "non-dropping-particle" : "", "parse-names" : false, "suffix" : "" } ], "container-title" : "Journal of Management", "id" : "ITEM-2", "issue" : "3", "issued" : { "date-parts" : [ [ "2004" ] ] }, "page" : "397-412", "title" : "The impact of insider power on fraudulent financial reporting", "type" : "article-journal", "volume" : "30" }, "uris" : [ "http://www.mendeley.com/documents/?uuid=00796c41-3a90-42c6-ad39-c6202084bfd6" ] } ], "mendeley" : { "formattedCitation" : "(Dunn, 2004; Combs &lt;i&gt;et al.&lt;/i&gt;, 2007)", "plainTextFormattedCitation" : "(Dunn, 2004; Combs et al., 2007)", "previouslyFormattedCitation" : "(Dunn, 2004; Combs &lt;i&gt;et al.&lt;/i&gt;, 2007)" }, "properties" : {  }, "schema" : "https://github.com/citation-style-language/schema/raw/master/csl-citation.json" }</w:instrText>
      </w:r>
      <w:r w:rsidR="00B810CC" w:rsidRPr="006412CA">
        <w:rPr>
          <w:rFonts w:ascii="Arial" w:hAnsi="Arial" w:cs="Arial"/>
          <w:bCs/>
          <w:iCs/>
          <w:sz w:val="24"/>
          <w:szCs w:val="24"/>
        </w:rPr>
        <w:fldChar w:fldCharType="separate"/>
      </w:r>
      <w:r w:rsidR="00031DA3" w:rsidRPr="006412CA">
        <w:rPr>
          <w:rFonts w:ascii="Arial" w:hAnsi="Arial" w:cs="Arial"/>
          <w:bCs/>
          <w:iCs/>
          <w:noProof/>
          <w:sz w:val="24"/>
          <w:szCs w:val="24"/>
        </w:rPr>
        <w:t>(Dunn, 2004; Combs et al., 2007)</w:t>
      </w:r>
      <w:r w:rsidR="00B810CC" w:rsidRPr="006412CA">
        <w:rPr>
          <w:rFonts w:ascii="Arial" w:hAnsi="Arial" w:cs="Arial"/>
          <w:bCs/>
          <w:iCs/>
          <w:sz w:val="24"/>
          <w:szCs w:val="24"/>
        </w:rPr>
        <w:fldChar w:fldCharType="end"/>
      </w:r>
      <w:r w:rsidR="00AD6D32" w:rsidRPr="006412CA">
        <w:rPr>
          <w:rFonts w:ascii="Arial" w:hAnsi="Arial" w:cs="Arial"/>
          <w:bCs/>
          <w:iCs/>
          <w:sz w:val="24"/>
          <w:szCs w:val="24"/>
        </w:rPr>
        <w:t xml:space="preserve"> suggest</w:t>
      </w:r>
      <w:r w:rsidR="00042F22" w:rsidRPr="006412CA">
        <w:rPr>
          <w:rFonts w:ascii="Arial" w:hAnsi="Arial" w:cs="Arial"/>
          <w:bCs/>
          <w:iCs/>
          <w:sz w:val="24"/>
          <w:szCs w:val="24"/>
        </w:rPr>
        <w:t xml:space="preserve"> that</w:t>
      </w:r>
      <w:r w:rsidR="00AD6D32" w:rsidRPr="006412CA">
        <w:rPr>
          <w:rFonts w:ascii="Arial" w:hAnsi="Arial" w:cs="Arial"/>
          <w:bCs/>
          <w:iCs/>
          <w:sz w:val="24"/>
          <w:szCs w:val="24"/>
        </w:rPr>
        <w:t xml:space="preserve"> CEOs </w:t>
      </w:r>
      <w:r w:rsidR="00AD6D32" w:rsidRPr="006412CA">
        <w:rPr>
          <w:rFonts w:ascii="Arial" w:hAnsi="Arial" w:cs="Arial"/>
          <w:bCs/>
          <w:iCs/>
          <w:sz w:val="24"/>
          <w:szCs w:val="24"/>
          <w:lang w:val="en"/>
        </w:rPr>
        <w:t>whose power remains unchecked by outside directors</w:t>
      </w:r>
      <w:r w:rsidR="007C4EC5" w:rsidRPr="006412CA">
        <w:rPr>
          <w:rFonts w:ascii="Arial" w:hAnsi="Arial" w:cs="Arial"/>
          <w:bCs/>
          <w:iCs/>
          <w:sz w:val="24"/>
          <w:szCs w:val="24"/>
          <w:lang w:val="en"/>
        </w:rPr>
        <w:t>’</w:t>
      </w:r>
      <w:r w:rsidR="00AD6D32" w:rsidRPr="006412CA">
        <w:rPr>
          <w:rFonts w:ascii="Arial" w:hAnsi="Arial" w:cs="Arial"/>
          <w:bCs/>
          <w:iCs/>
          <w:sz w:val="24"/>
          <w:szCs w:val="24"/>
          <w:lang w:val="en"/>
        </w:rPr>
        <w:t xml:space="preserve"> </w:t>
      </w:r>
      <w:r w:rsidR="00AD6D32" w:rsidRPr="006412CA">
        <w:rPr>
          <w:rFonts w:ascii="Arial" w:hAnsi="Arial" w:cs="Arial"/>
          <w:bCs/>
          <w:iCs/>
          <w:sz w:val="24"/>
          <w:szCs w:val="24"/>
        </w:rPr>
        <w:t xml:space="preserve">CEO might be risk averse, less willing to take on new business ventures and </w:t>
      </w:r>
      <w:r w:rsidR="00AD6D32" w:rsidRPr="006412CA">
        <w:rPr>
          <w:rFonts w:ascii="Arial" w:hAnsi="Arial" w:cs="Arial"/>
          <w:bCs/>
          <w:iCs/>
          <w:sz w:val="24"/>
          <w:szCs w:val="24"/>
          <w:lang w:val="en"/>
        </w:rPr>
        <w:t xml:space="preserve">are more </w:t>
      </w:r>
      <w:r w:rsidR="00AD6D32" w:rsidRPr="006412CA">
        <w:rPr>
          <w:rFonts w:ascii="Arial" w:hAnsi="Arial" w:cs="Arial"/>
          <w:bCs/>
          <w:iCs/>
          <w:sz w:val="24"/>
          <w:szCs w:val="24"/>
          <w:lang w:val="en"/>
        </w:rPr>
        <w:lastRenderedPageBreak/>
        <w:t>likely to take self-serving actions that decrease shareholder wealth. According to the power circulation theory, low CEO's power enhances sufficient monitor</w:t>
      </w:r>
      <w:r w:rsidR="007C4EC5" w:rsidRPr="006412CA">
        <w:rPr>
          <w:rFonts w:ascii="Arial" w:hAnsi="Arial" w:cs="Arial"/>
          <w:bCs/>
          <w:iCs/>
          <w:sz w:val="24"/>
          <w:szCs w:val="24"/>
          <w:lang w:val="en"/>
        </w:rPr>
        <w:t>ing</w:t>
      </w:r>
      <w:r w:rsidR="00AD6D32" w:rsidRPr="006412CA">
        <w:rPr>
          <w:rFonts w:ascii="Arial" w:hAnsi="Arial" w:cs="Arial"/>
          <w:bCs/>
          <w:iCs/>
          <w:sz w:val="24"/>
          <w:szCs w:val="24"/>
          <w:lang w:val="en"/>
        </w:rPr>
        <w:t xml:space="preserve"> by other executives to protect shareholders </w:t>
      </w:r>
      <w:r w:rsidR="00B810CC" w:rsidRPr="006412CA">
        <w:rPr>
          <w:rFonts w:ascii="Arial" w:hAnsi="Arial" w:cs="Arial"/>
          <w:bCs/>
          <w:iCs/>
          <w:sz w:val="24"/>
          <w:szCs w:val="24"/>
          <w:lang w:val="en"/>
        </w:rPr>
        <w:t>interest (see Combs et al., 2007</w:t>
      </w:r>
      <w:r w:rsidR="00AD6D32" w:rsidRPr="006412CA">
        <w:rPr>
          <w:rFonts w:ascii="Arial" w:hAnsi="Arial" w:cs="Arial"/>
          <w:bCs/>
          <w:iCs/>
          <w:sz w:val="24"/>
          <w:szCs w:val="24"/>
          <w:lang w:val="en"/>
        </w:rPr>
        <w:t>).</w:t>
      </w:r>
      <w:r w:rsidR="00AD6D32" w:rsidRPr="006412CA">
        <w:rPr>
          <w:rFonts w:ascii="Arial" w:hAnsi="Arial" w:cs="Arial"/>
          <w:bCs/>
          <w:iCs/>
          <w:sz w:val="24"/>
          <w:szCs w:val="24"/>
        </w:rPr>
        <w:t xml:space="preserve"> On the other hand, </w:t>
      </w:r>
      <w:r w:rsidR="00E74227">
        <w:rPr>
          <w:rFonts w:ascii="Arial" w:hAnsi="Arial" w:cs="Arial"/>
          <w:bCs/>
          <w:iCs/>
          <w:sz w:val="24"/>
          <w:szCs w:val="24"/>
        </w:rPr>
        <w:t>powerful</w:t>
      </w:r>
      <w:r w:rsidR="00E74227" w:rsidRPr="006412CA">
        <w:rPr>
          <w:rFonts w:ascii="Arial" w:hAnsi="Arial" w:cs="Arial"/>
          <w:bCs/>
          <w:iCs/>
          <w:sz w:val="24"/>
          <w:szCs w:val="24"/>
        </w:rPr>
        <w:t xml:space="preserve"> </w:t>
      </w:r>
      <w:r w:rsidR="00AD6D32" w:rsidRPr="006412CA">
        <w:rPr>
          <w:rFonts w:ascii="Arial" w:hAnsi="Arial" w:cs="Arial"/>
          <w:bCs/>
          <w:iCs/>
          <w:sz w:val="24"/>
          <w:szCs w:val="24"/>
        </w:rPr>
        <w:t>CEO</w:t>
      </w:r>
      <w:r w:rsidR="007C4EC5" w:rsidRPr="006412CA">
        <w:rPr>
          <w:rFonts w:ascii="Arial" w:hAnsi="Arial" w:cs="Arial"/>
          <w:bCs/>
          <w:iCs/>
          <w:sz w:val="24"/>
          <w:szCs w:val="24"/>
        </w:rPr>
        <w:t>s</w:t>
      </w:r>
      <w:r w:rsidR="00AD6D32" w:rsidRPr="006412CA">
        <w:rPr>
          <w:rFonts w:ascii="Arial" w:hAnsi="Arial" w:cs="Arial"/>
          <w:bCs/>
          <w:iCs/>
          <w:sz w:val="24"/>
          <w:szCs w:val="24"/>
        </w:rPr>
        <w:t xml:space="preserve"> may have</w:t>
      </w:r>
      <w:r w:rsidR="007C4EC5" w:rsidRPr="006412CA">
        <w:rPr>
          <w:rFonts w:ascii="Arial" w:hAnsi="Arial" w:cs="Arial"/>
          <w:bCs/>
          <w:iCs/>
          <w:sz w:val="24"/>
          <w:szCs w:val="24"/>
        </w:rPr>
        <w:t xml:space="preserve"> a</w:t>
      </w:r>
      <w:r w:rsidR="00AD6D32" w:rsidRPr="006412CA">
        <w:rPr>
          <w:rFonts w:ascii="Arial" w:hAnsi="Arial" w:cs="Arial"/>
          <w:bCs/>
          <w:iCs/>
          <w:sz w:val="24"/>
          <w:szCs w:val="24"/>
        </w:rPr>
        <w:t xml:space="preserve"> positive effect on performance due to their ability to control and influence key boards’ decisions despite the potential discontentment from other executives </w:t>
      </w:r>
      <w:r w:rsidR="00B810CC" w:rsidRPr="006412CA">
        <w:rPr>
          <w:rFonts w:ascii="Arial" w:hAnsi="Arial" w:cs="Arial"/>
          <w:bCs/>
          <w:iCs/>
          <w:sz w:val="24"/>
          <w:szCs w:val="24"/>
        </w:rPr>
        <w:fldChar w:fldCharType="begin" w:fldLock="1"/>
      </w:r>
      <w:r w:rsidR="00031DA3" w:rsidRPr="006412CA">
        <w:rPr>
          <w:rFonts w:ascii="Arial" w:hAnsi="Arial" w:cs="Arial"/>
          <w:bCs/>
          <w:iCs/>
          <w:sz w:val="24"/>
          <w:szCs w:val="24"/>
        </w:rPr>
        <w:instrText>ADDIN CSL_CITATION { "citationItems" : [ { "id" : "ITEM-1", "itemData" : { "DOI" : "10.1086/467037", "ISBN" : "3126020011", "ISSN" : "0022-2186", "PMID" : "12154455", "abstract" : "This paper analyzes the survival of organizations in which decision agents do not bear a major share of the wealth effects of their decisions. This is what the literature on large corporations calls separation of ownership and control. Such separation of decision and risk bearing functions is also common to organizations like large professional partnerships, financial mutuals and nonprofits. We contend that separation of decision and risk bearing functions survives in these organizations in part because of the benefits of specialization of management and risk bearing but also because of an effective common approach to controlling the implied agency problems. In particular, the contract structures of all these organizations separate the ratification and monitoring of decisions from the initiation and implementation of the decisions.", "author" : [ { "dropping-particle" : "", "family" : "Fama", "given" : "Eugene F", "non-dropping-particle" : "", "parse-names" : false, "suffix" : "" }, { "dropping-particle" : "", "family" : "Jensen", "given" : "Michael C", "non-dropping-particle" : "", "parse-names" : false, "suffix" : "" } ], "container-title" : "Journal of law and economics", "id" : "ITEM-1", "issue" : "2", "issued" : { "date-parts" : [ [ "1983" ] ] }, "page" : "301-325", "title" : "Separation of Ownership and Control Separation of Ownership and Control", "type" : "article-journal", "volume" : "26" }, "uris" : [ "http://www.mendeley.com/documents/?uuid=a5771343-fc14-4d7f-8cb4-24026d6f8971" ] } ], "mendeley" : { "formattedCitation" : "(Fama and Jensen, 1983)", "plainTextFormattedCitation" : "(Fama and Jensen, 1983)", "previouslyFormattedCitation" : "(Fama and Jensen, 1983)" }, "properties" : {  }, "schema" : "https://github.com/citation-style-language/schema/raw/master/csl-citation.json" }</w:instrText>
      </w:r>
      <w:r w:rsidR="00B810CC" w:rsidRPr="006412CA">
        <w:rPr>
          <w:rFonts w:ascii="Arial" w:hAnsi="Arial" w:cs="Arial"/>
          <w:bCs/>
          <w:iCs/>
          <w:sz w:val="24"/>
          <w:szCs w:val="24"/>
        </w:rPr>
        <w:fldChar w:fldCharType="separate"/>
      </w:r>
      <w:r w:rsidR="00031DA3" w:rsidRPr="006412CA">
        <w:rPr>
          <w:rFonts w:ascii="Arial" w:hAnsi="Arial" w:cs="Arial"/>
          <w:bCs/>
          <w:iCs/>
          <w:noProof/>
          <w:sz w:val="24"/>
          <w:szCs w:val="24"/>
        </w:rPr>
        <w:t>(Fama and Jensen, 1983)</w:t>
      </w:r>
      <w:r w:rsidR="00B810CC" w:rsidRPr="006412CA">
        <w:rPr>
          <w:rFonts w:ascii="Arial" w:hAnsi="Arial" w:cs="Arial"/>
          <w:bCs/>
          <w:iCs/>
          <w:sz w:val="24"/>
          <w:szCs w:val="24"/>
        </w:rPr>
        <w:fldChar w:fldCharType="end"/>
      </w:r>
      <w:r w:rsidR="00B810CC" w:rsidRPr="006412CA">
        <w:rPr>
          <w:rFonts w:ascii="Arial" w:hAnsi="Arial" w:cs="Arial"/>
          <w:bCs/>
          <w:iCs/>
          <w:sz w:val="24"/>
          <w:szCs w:val="24"/>
        </w:rPr>
        <w:t>.</w:t>
      </w:r>
      <w:r w:rsidR="00AD6D32" w:rsidRPr="006412CA">
        <w:rPr>
          <w:rFonts w:ascii="Arial" w:hAnsi="Arial" w:cs="Arial"/>
          <w:bCs/>
          <w:iCs/>
          <w:sz w:val="24"/>
          <w:szCs w:val="24"/>
        </w:rPr>
        <w:t xml:space="preserve"> </w:t>
      </w:r>
      <w:bookmarkStart w:id="82" w:name="OLE_LINK80"/>
      <w:bookmarkStart w:id="83" w:name="OLE_LINK107"/>
      <w:r w:rsidR="00155DEA" w:rsidRPr="006412CA">
        <w:rPr>
          <w:rFonts w:ascii="Arial" w:hAnsi="Arial" w:cs="Arial"/>
          <w:bCs/>
          <w:iCs/>
          <w:sz w:val="24"/>
          <w:szCs w:val="24"/>
        </w:rPr>
        <w:fldChar w:fldCharType="begin" w:fldLock="1"/>
      </w:r>
      <w:r w:rsidR="0093010E" w:rsidRPr="006412CA">
        <w:rPr>
          <w:rFonts w:ascii="Arial" w:hAnsi="Arial" w:cs="Arial"/>
          <w:bCs/>
          <w:iCs/>
          <w:sz w:val="24"/>
          <w:szCs w:val="24"/>
        </w:rPr>
        <w:instrText>ADDIN CSL_CITATION { "citationItems" : [ { "id" : "ITEM-1", "itemData" : { "DOI" : "10.1093/rfs/hhi030", "ISBN" : "08939454", "ISSN" : "08939454", "PMID" : "18877241", "abstract" : "Executives can only impact firm outcomes if they have influence over crucial decisions. On the basis of this idea, we develop and test the hypothesis that firms whose CEOs have more decision-making power should experience more variability in performance. Focusing primarily on the power the CEO has over the board and other top executives as a consequence of his formal position and titles, status as a founder, and status as the board\u2019s sole insider, we find that stock returns are more variable for firms run by powerful CEOs. Our findings suggest that the interaction between executive characteristics and organizational variables has important consequences for firm performance.", "author" : [ { "dropping-particle" : "", "family" : "Adams", "given" : "Ren\u00e9e B.", "non-dropping-particle" : "", "parse-names" : false, "suffix" : "" }, { "dropping-particle" : "", "family" : "Almeida", "given" : "Heitor", "non-dropping-particle" : "", "parse-names" : false, "suffix" : "" }, { "dropping-particle" : "", "family" : "Ferreira", "given" : "Daniel", "non-dropping-particle" : "", "parse-names" : false, "suffix" : "" } ], "container-title" : "Review of Financial Studies", "id" : "ITEM-1", "issue" : "4", "issued" : { "date-parts" : [ [ "2005" ] ] }, "page" : "1403-1432", "title" : "Powerful CEOs and their impact on corporate performance", "type" : "article", "volume" : "18" }, "uris" : [ "http://www.mendeley.com/documents/?uuid=938023a3-a53f-4897-9add-1f87712eb2f0" ] } ], "mendeley" : { "formattedCitation" : "(Adams, Almeida and Ferreira, 2005)", "manualFormatting" : "Adams, Almeida and Ferreira (2005)", "plainTextFormattedCitation" : "(Adams, Almeida and Ferreira, 2005)", "previouslyFormattedCitation" : "(Adams, Almeida and Ferreira, 2005)" }, "properties" : {  }, "schema" : "https://github.com/citation-style-language/schema/raw/master/csl-citation.json" }</w:instrText>
      </w:r>
      <w:r w:rsidR="00155DEA" w:rsidRPr="006412CA">
        <w:rPr>
          <w:rFonts w:ascii="Arial" w:hAnsi="Arial" w:cs="Arial"/>
          <w:bCs/>
          <w:iCs/>
          <w:sz w:val="24"/>
          <w:szCs w:val="24"/>
        </w:rPr>
        <w:fldChar w:fldCharType="separate"/>
      </w:r>
      <w:r w:rsidR="007C4EC5" w:rsidRPr="006412CA">
        <w:rPr>
          <w:rFonts w:ascii="Arial" w:hAnsi="Arial" w:cs="Arial"/>
          <w:bCs/>
          <w:iCs/>
          <w:noProof/>
          <w:sz w:val="24"/>
          <w:szCs w:val="24"/>
        </w:rPr>
        <w:t>Adams, Almeida and Ferreira</w:t>
      </w:r>
      <w:r w:rsidR="00031DA3" w:rsidRPr="006412CA">
        <w:rPr>
          <w:rFonts w:ascii="Arial" w:hAnsi="Arial" w:cs="Arial"/>
          <w:bCs/>
          <w:iCs/>
          <w:noProof/>
          <w:sz w:val="24"/>
          <w:szCs w:val="24"/>
        </w:rPr>
        <w:t xml:space="preserve"> </w:t>
      </w:r>
      <w:r w:rsidR="007C4EC5" w:rsidRPr="006412CA">
        <w:rPr>
          <w:rFonts w:ascii="Arial" w:hAnsi="Arial" w:cs="Arial"/>
          <w:bCs/>
          <w:iCs/>
          <w:noProof/>
          <w:sz w:val="24"/>
          <w:szCs w:val="24"/>
        </w:rPr>
        <w:t>(</w:t>
      </w:r>
      <w:r w:rsidR="00031DA3" w:rsidRPr="006412CA">
        <w:rPr>
          <w:rFonts w:ascii="Arial" w:hAnsi="Arial" w:cs="Arial"/>
          <w:bCs/>
          <w:iCs/>
          <w:noProof/>
          <w:sz w:val="24"/>
          <w:szCs w:val="24"/>
        </w:rPr>
        <w:t>2005)</w:t>
      </w:r>
      <w:r w:rsidR="00155DEA" w:rsidRPr="006412CA">
        <w:rPr>
          <w:rFonts w:ascii="Arial" w:hAnsi="Arial" w:cs="Arial"/>
          <w:bCs/>
          <w:iCs/>
          <w:sz w:val="24"/>
          <w:szCs w:val="24"/>
        </w:rPr>
        <w:fldChar w:fldCharType="end"/>
      </w:r>
      <w:r w:rsidR="00AD6D32" w:rsidRPr="006412CA">
        <w:rPr>
          <w:rFonts w:ascii="Arial" w:hAnsi="Arial" w:cs="Arial"/>
          <w:bCs/>
          <w:iCs/>
          <w:sz w:val="24"/>
          <w:szCs w:val="24"/>
        </w:rPr>
        <w:t xml:space="preserve"> </w:t>
      </w:r>
      <w:bookmarkEnd w:id="82"/>
      <w:bookmarkEnd w:id="83"/>
      <w:r w:rsidR="00AD6D32" w:rsidRPr="006412CA">
        <w:rPr>
          <w:rFonts w:ascii="Arial" w:hAnsi="Arial" w:cs="Arial"/>
          <w:bCs/>
          <w:iCs/>
          <w:sz w:val="24"/>
          <w:szCs w:val="24"/>
        </w:rPr>
        <w:t>report a positive association with the CEOs’ power and the variance in stock returns, and also</w:t>
      </w:r>
      <w:r w:rsidR="00155DEA" w:rsidRPr="006412CA">
        <w:rPr>
          <w:rFonts w:ascii="Arial" w:hAnsi="Arial" w:cs="Arial"/>
          <w:bCs/>
          <w:iCs/>
          <w:sz w:val="24"/>
          <w:szCs w:val="24"/>
        </w:rPr>
        <w:t xml:space="preserve"> </w:t>
      </w:r>
      <w:r w:rsidR="00155DEA" w:rsidRPr="006412CA">
        <w:rPr>
          <w:rFonts w:ascii="Arial" w:hAnsi="Arial" w:cs="Arial"/>
          <w:bCs/>
          <w:iCs/>
          <w:sz w:val="24"/>
          <w:szCs w:val="24"/>
        </w:rPr>
        <w:fldChar w:fldCharType="begin" w:fldLock="1"/>
      </w:r>
      <w:r w:rsidR="00031DA3" w:rsidRPr="006412CA">
        <w:rPr>
          <w:rFonts w:ascii="Arial" w:hAnsi="Arial" w:cs="Arial"/>
          <w:bCs/>
          <w:iCs/>
          <w:sz w:val="24"/>
          <w:szCs w:val="24"/>
        </w:rPr>
        <w:instrText>ADDIN CSL_CITATION { "citationItems" : [ { "id" : "ITEM-1", "itemData" : { "DOI" : "10.1108/20408741111113510", "ISBN" : "2040-8749", "ISSN" : "2040-8749", "abstract" : "Purpose ? The purpose of this paper is to investigate how disclosure quality affects the relation between chief executive officer (CEO) power and the variability of firm performance. Moreover, it also examines the impacts of ownership structure and disclosure quality on the relationship between CEO power and performance variability.Design/methodology/approach ? Empirical research was carried out.Findings ? It was found that: first, firms whose CEOs have more power will exhibit higher performance, but display more variability in firm performance. Second, disclosure quality can affect the relationship between CEO power and the variability of firm performance and more specifically, increase in disclosure quality reduces the performance variability caused by CEO power. Third, the effects of CEO power on the variability of firm performance are higher in state?owned firms than in non?state?owned firms. Moreover, the effect of higher disclosure quality for lowering the variability of firm performance is stronger in state?owned firms than in non?state?owned firms.Practical implications ? First, the authors find that when evaluating corporate governance practices, both firm performance and the variability of firm performance should be taken into account. Second, this paper fills the void in the extant literatures by demonstrating that CEO power, as well as disclosure quality, can affect firms' operational risk. Third, for firm owners, when firms are facing large uncertainty from institutional environment, a great trade?off between firm performance and operational risk, when determining the degree of CEO power, will play an important role in corporate governance.Originality/value ? This paper complements the extant literatures by examining the impacts of CEO power to firm output from the dimensions of both firm performance and operational risk; and by examining the impacts of ownership structure and disclosure quality on the relationship between CEO power and performance variability.", "author" : [ { "dropping-particle" : "", "family" : "Wu", "given" : "Shinong", "non-dropping-particle" : "", "parse-names" : false, "suffix" : "" }, { "dropping-particle" : "", "family" : "Quan", "given" : "Xiaofeng", "non-dropping-particle" : "", "parse-names" : false, "suffix" : "" }, { "dropping-particle" : "", "family" : "Xu", "given" : "Liang", "non-dropping-particle" : "", "parse-names" : false, "suffix" : "" } ], "container-title" : "Nankai Business Review International", "id" : "ITEM-1", "issue" : "1", "issued" : { "date-parts" : [ [ "2011" ] ] }, "page" : "79-97", "title" : "CEO power, disclosure quality and the variability of firm performance", "type" : "article-journal", "volume" : "2" }, "uris" : [ "http://www.mendeley.com/documents/?uuid=3a40ad2c-f486-4937-a992-46dc03824b06" ] } ], "mendeley" : { "formattedCitation" : "(Wu, Quan and Xu, 2011)", "manualFormatting" : "Wu et al. (2011)", "plainTextFormattedCitation" : "(Wu, Quan and Xu, 2011)", "previouslyFormattedCitation" : "(Wu, Quan and Xu, 2011)" }, "properties" : {  }, "schema" : "https://github.com/citation-style-language/schema/raw/master/csl-citation.json" }</w:instrText>
      </w:r>
      <w:r w:rsidR="00155DEA" w:rsidRPr="006412CA">
        <w:rPr>
          <w:rFonts w:ascii="Arial" w:hAnsi="Arial" w:cs="Arial"/>
          <w:bCs/>
          <w:iCs/>
          <w:sz w:val="24"/>
          <w:szCs w:val="24"/>
        </w:rPr>
        <w:fldChar w:fldCharType="separate"/>
      </w:r>
      <w:r w:rsidR="00155DEA" w:rsidRPr="006412CA">
        <w:rPr>
          <w:rFonts w:ascii="Arial" w:hAnsi="Arial" w:cs="Arial"/>
          <w:bCs/>
          <w:iCs/>
          <w:noProof/>
          <w:sz w:val="24"/>
          <w:szCs w:val="24"/>
        </w:rPr>
        <w:t>Wu et al. (2011)</w:t>
      </w:r>
      <w:r w:rsidR="00155DEA" w:rsidRPr="006412CA">
        <w:rPr>
          <w:rFonts w:ascii="Arial" w:hAnsi="Arial" w:cs="Arial"/>
          <w:bCs/>
          <w:iCs/>
          <w:sz w:val="24"/>
          <w:szCs w:val="24"/>
        </w:rPr>
        <w:fldChar w:fldCharType="end"/>
      </w:r>
      <w:r w:rsidR="00AD6D32" w:rsidRPr="006412CA">
        <w:rPr>
          <w:rFonts w:ascii="Arial" w:hAnsi="Arial" w:cs="Arial"/>
          <w:bCs/>
          <w:iCs/>
          <w:sz w:val="24"/>
          <w:szCs w:val="24"/>
        </w:rPr>
        <w:t xml:space="preserve"> find a positive relationship between the CEOs’ power </w:t>
      </w:r>
      <w:r w:rsidR="00C421D3" w:rsidRPr="006412CA">
        <w:rPr>
          <w:rFonts w:ascii="Arial" w:hAnsi="Arial" w:cs="Arial"/>
          <w:bCs/>
          <w:iCs/>
          <w:sz w:val="24"/>
          <w:szCs w:val="24"/>
        </w:rPr>
        <w:t>and the variability in the firms’ financial performance</w:t>
      </w:r>
      <w:r w:rsidR="00AD6D32" w:rsidRPr="006412CA">
        <w:rPr>
          <w:rFonts w:ascii="Arial" w:hAnsi="Arial" w:cs="Arial"/>
          <w:bCs/>
          <w:iCs/>
          <w:sz w:val="24"/>
          <w:szCs w:val="24"/>
        </w:rPr>
        <w:t>.</w:t>
      </w:r>
    </w:p>
    <w:p w14:paraId="3A70A2AB" w14:textId="0774B65C" w:rsidR="004779D9" w:rsidRPr="006412CA" w:rsidRDefault="00AD6D32" w:rsidP="004E32E2">
      <w:pPr>
        <w:spacing w:after="0" w:line="360" w:lineRule="auto"/>
        <w:jc w:val="both"/>
        <w:rPr>
          <w:rFonts w:ascii="Arial" w:hAnsi="Arial" w:cs="Arial"/>
          <w:bCs/>
          <w:iCs/>
          <w:sz w:val="24"/>
          <w:szCs w:val="24"/>
        </w:rPr>
      </w:pPr>
      <w:r w:rsidRPr="006412CA">
        <w:rPr>
          <w:rFonts w:ascii="Arial" w:hAnsi="Arial" w:cs="Arial"/>
          <w:bCs/>
          <w:iCs/>
          <w:sz w:val="24"/>
          <w:szCs w:val="24"/>
        </w:rPr>
        <w:t xml:space="preserve"> </w:t>
      </w:r>
      <w:r w:rsidR="004E32E2" w:rsidRPr="006412CA">
        <w:rPr>
          <w:rFonts w:ascii="Arial" w:hAnsi="Arial" w:cs="Arial"/>
          <w:bCs/>
          <w:iCs/>
          <w:sz w:val="24"/>
          <w:szCs w:val="24"/>
        </w:rPr>
        <w:tab/>
      </w:r>
      <w:r w:rsidR="00155DEA" w:rsidRPr="006412CA">
        <w:rPr>
          <w:rFonts w:ascii="Arial" w:hAnsi="Arial" w:cs="Arial"/>
          <w:bCs/>
          <w:iCs/>
          <w:sz w:val="24"/>
          <w:szCs w:val="24"/>
        </w:rPr>
        <w:fldChar w:fldCharType="begin" w:fldLock="1"/>
      </w:r>
      <w:r w:rsidR="00031DA3" w:rsidRPr="006412CA">
        <w:rPr>
          <w:rFonts w:ascii="Arial" w:hAnsi="Arial" w:cs="Arial"/>
          <w:bCs/>
          <w:iCs/>
          <w:sz w:val="24"/>
          <w:szCs w:val="24"/>
        </w:rPr>
        <w:instrText>ADDIN CSL_CITATION { "citationItems" : [ { "id" : "ITEM-1", "itemData" : { "DOI" : "10.1111/j.1467-8683.2005.00419.x", "ISBN" : "0964-8410", "ISSN" : "09648410", "abstract" : "The study examined the effect of corporate governance on the performance of firms in Africa by using both market and accounting based performance measures. Unique data from 103 firms drawn from Ghana, South Africa, Nigeria and Kenya covering the five year period 1997-2001 was used and analysis done within the dynamic panel data framework. Results indicate that the direction and the extent of impact of governance is dependent on the performance measure being examined. Specifically, our findings show that large and independent boards enhance firm value and that combining the positions of CEO and board chair has a negative impact on corporate performance. We also find that CEO's tenure in office enhances a firm's profitability whiles board activity intensity affects profitability negatively. The size of audit committees and the frequency of their meetings have positive influence on market based performance measures and that institutional shareholding enhances market valuation of firms. For enhanced performance of corporate entities, we recommend a clear separation of the positions of CEO and board chair and also to maintain relatively independent audit committees.", "author" : [ { "dropping-particle" : "", "family" : "Kyereboah-Coleman", "given" : "Anthony", "non-dropping-particle" : "", "parse-names" : false, "suffix" : "" } ], "container-title" : "Studies in Economics and Econometrics", "id" : "ITEM-1", "issue" : "2", "issued" : { "date-parts" : [ [ "2008" ] ] }, "page" : "1-24", "title" : "Corporate Governance and Firm Performance in Afica : A Dynamic Panel Data Analysis", "type" : "article-journal", "volume" : "32" }, "uris" : [ "http://www.mendeley.com/documents/?uuid=b40a9870-a1ed-4992-abec-437d06ee37b4" ] } ], "mendeley" : { "formattedCitation" : "(Kyereboah-Coleman, 2008)", "manualFormatting" : "Kyereboah-Coleman (2008)", "plainTextFormattedCitation" : "(Kyereboah-Coleman, 2008)", "previouslyFormattedCitation" : "(Kyereboah-Coleman, 2008)" }, "properties" : {  }, "schema" : "https://github.com/citation-style-language/schema/raw/master/csl-citation.json" }</w:instrText>
      </w:r>
      <w:r w:rsidR="00155DEA" w:rsidRPr="006412CA">
        <w:rPr>
          <w:rFonts w:ascii="Arial" w:hAnsi="Arial" w:cs="Arial"/>
          <w:bCs/>
          <w:iCs/>
          <w:sz w:val="24"/>
          <w:szCs w:val="24"/>
        </w:rPr>
        <w:fldChar w:fldCharType="separate"/>
      </w:r>
      <w:r w:rsidR="00155DEA" w:rsidRPr="006412CA">
        <w:rPr>
          <w:rFonts w:ascii="Arial" w:hAnsi="Arial" w:cs="Arial"/>
          <w:bCs/>
          <w:iCs/>
          <w:noProof/>
          <w:sz w:val="24"/>
          <w:szCs w:val="24"/>
        </w:rPr>
        <w:t>Kyereboah-Coleman (2008)</w:t>
      </w:r>
      <w:r w:rsidR="00155DEA" w:rsidRPr="006412CA">
        <w:rPr>
          <w:rFonts w:ascii="Arial" w:hAnsi="Arial" w:cs="Arial"/>
          <w:bCs/>
          <w:iCs/>
          <w:sz w:val="24"/>
          <w:szCs w:val="24"/>
        </w:rPr>
        <w:fldChar w:fldCharType="end"/>
      </w:r>
      <w:r w:rsidRPr="006412CA">
        <w:rPr>
          <w:rFonts w:ascii="Arial" w:hAnsi="Arial" w:cs="Arial"/>
          <w:bCs/>
          <w:iCs/>
          <w:sz w:val="24"/>
          <w:szCs w:val="24"/>
        </w:rPr>
        <w:t xml:space="preserve"> describe tha</w:t>
      </w:r>
      <w:r w:rsidR="007C4EC5" w:rsidRPr="006412CA">
        <w:rPr>
          <w:rFonts w:ascii="Arial" w:hAnsi="Arial" w:cs="Arial"/>
          <w:bCs/>
          <w:iCs/>
          <w:sz w:val="24"/>
          <w:szCs w:val="24"/>
        </w:rPr>
        <w:t>t with dual-responsibility, CEO</w:t>
      </w:r>
      <w:r w:rsidRPr="006412CA">
        <w:rPr>
          <w:rFonts w:ascii="Arial" w:hAnsi="Arial" w:cs="Arial"/>
          <w:bCs/>
          <w:iCs/>
          <w:sz w:val="24"/>
          <w:szCs w:val="24"/>
        </w:rPr>
        <w:t xml:space="preserve">s who double as board chairs can serve the interests of the management team better due to the </w:t>
      </w:r>
      <w:r w:rsidRPr="006412CA">
        <w:rPr>
          <w:rFonts w:ascii="Arial" w:hAnsi="Arial" w:cs="Arial"/>
          <w:bCs/>
          <w:iCs/>
          <w:sz w:val="24"/>
          <w:szCs w:val="24"/>
        </w:rPr>
        <w:lastRenderedPageBreak/>
        <w:t xml:space="preserve">lack of undue influence of bureaucratic structures. </w:t>
      </w:r>
      <w:bookmarkStart w:id="84" w:name="OLE_LINK47"/>
      <w:bookmarkStart w:id="85" w:name="OLE_LINK48"/>
      <w:bookmarkStart w:id="86" w:name="OLE_LINK49"/>
      <w:r w:rsidRPr="006412CA">
        <w:rPr>
          <w:rFonts w:ascii="Arial" w:hAnsi="Arial" w:cs="Arial"/>
          <w:bCs/>
          <w:iCs/>
          <w:sz w:val="24"/>
          <w:szCs w:val="24"/>
        </w:rPr>
        <w:t xml:space="preserve">According to </w:t>
      </w:r>
      <w:r w:rsidR="00155DEA" w:rsidRPr="006412CA">
        <w:rPr>
          <w:rFonts w:ascii="Arial" w:hAnsi="Arial" w:cs="Arial"/>
          <w:bCs/>
          <w:iCs/>
          <w:sz w:val="24"/>
          <w:szCs w:val="24"/>
        </w:rPr>
        <w:fldChar w:fldCharType="begin" w:fldLock="1"/>
      </w:r>
      <w:r w:rsidR="00031DA3" w:rsidRPr="006412CA">
        <w:rPr>
          <w:rFonts w:ascii="Arial" w:hAnsi="Arial" w:cs="Arial"/>
          <w:bCs/>
          <w:iCs/>
          <w:sz w:val="24"/>
          <w:szCs w:val="24"/>
        </w:rPr>
        <w:instrText>ADDIN CSL_CITATION { "citationItems" : [ { "id" : "ITEM-1", "itemData" : { "ISBN" : "13547798", "abstract" : "Compares the leadership structures of corporations in the United States and Great Britain. Prevalence of chief executive officer (CEO) duality practice, wherein the same individual acts as the chairman of the board and CEO; Impact of CEO duality on firm performance; Pros and cons of dual CEO; Implications for corporate governance.", "author" : [ { "dropping-particle" : "", "family" : "Dahya", "given" : "Jay", "non-dropping-particle" : "", "parse-names" : false, "suffix" : "" }, { "dropping-particle" : "", "family" : "Travlos", "given" : "Nickolaos G", "non-dropping-particle" : "", "parse-names" : false, "suffix" : "" } ], "container-title" : "European Financial Management", "id" : "ITEM-1", "issue" : "1", "issued" : { "date-parts" : [ [ "2000" ] ] }, "page" : "85", "title" : "Does the one man show pay? Theory and evidence on the dual CEO revisited", "type" : "article-journal", "volume" : "6" }, "uris" : [ "http://www.mendeley.com/documents/?uuid=ba739a00-16a4-405c-9485-028434a50ca2" ] } ], "mendeley" : { "formattedCitation" : "(Dahya and Travlos, 2000)", "manualFormatting" : "Dahya and Travlos (2000)", "plainTextFormattedCitation" : "(Dahya and Travlos, 2000)", "previouslyFormattedCitation" : "(Dahya and Travlos, 2000)" }, "properties" : {  }, "schema" : "https://github.com/citation-style-language/schema/raw/master/csl-citation.json" }</w:instrText>
      </w:r>
      <w:r w:rsidR="00155DEA" w:rsidRPr="006412CA">
        <w:rPr>
          <w:rFonts w:ascii="Arial" w:hAnsi="Arial" w:cs="Arial"/>
          <w:bCs/>
          <w:iCs/>
          <w:sz w:val="24"/>
          <w:szCs w:val="24"/>
        </w:rPr>
        <w:fldChar w:fldCharType="separate"/>
      </w:r>
      <w:r w:rsidR="00155DEA" w:rsidRPr="006412CA">
        <w:rPr>
          <w:rFonts w:ascii="Arial" w:hAnsi="Arial" w:cs="Arial"/>
          <w:bCs/>
          <w:iCs/>
          <w:noProof/>
          <w:sz w:val="24"/>
          <w:szCs w:val="24"/>
        </w:rPr>
        <w:t>Dahya and Travlos (2000)</w:t>
      </w:r>
      <w:r w:rsidR="00155DEA" w:rsidRPr="006412CA">
        <w:rPr>
          <w:rFonts w:ascii="Arial" w:hAnsi="Arial" w:cs="Arial"/>
          <w:bCs/>
          <w:iCs/>
          <w:sz w:val="24"/>
          <w:szCs w:val="24"/>
        </w:rPr>
        <w:fldChar w:fldCharType="end"/>
      </w:r>
      <w:r w:rsidRPr="006412CA">
        <w:rPr>
          <w:rFonts w:ascii="Arial" w:hAnsi="Arial" w:cs="Arial"/>
          <w:bCs/>
          <w:iCs/>
          <w:sz w:val="24"/>
          <w:szCs w:val="24"/>
        </w:rPr>
        <w:t xml:space="preserve"> one way to protect the team's position is to hold excessive corporate liquidity, which negatively affects the firms' net working capital </w:t>
      </w:r>
      <w:bookmarkEnd w:id="84"/>
      <w:bookmarkEnd w:id="85"/>
      <w:bookmarkEnd w:id="86"/>
      <w:r w:rsidRPr="006412CA">
        <w:rPr>
          <w:rFonts w:ascii="Arial" w:hAnsi="Arial" w:cs="Arial"/>
          <w:bCs/>
          <w:iCs/>
          <w:sz w:val="24"/>
          <w:szCs w:val="24"/>
        </w:rPr>
        <w:t>and also firms performance</w:t>
      </w:r>
      <w:r w:rsidR="007C4EC5" w:rsidRPr="006412CA">
        <w:rPr>
          <w:rFonts w:ascii="Arial" w:hAnsi="Arial" w:cs="Arial"/>
          <w:bCs/>
          <w:iCs/>
          <w:sz w:val="24"/>
          <w:szCs w:val="24"/>
        </w:rPr>
        <w:t xml:space="preserve"> </w:t>
      </w:r>
      <w:r w:rsidR="00155DEA" w:rsidRPr="006412CA">
        <w:rPr>
          <w:rFonts w:ascii="Arial" w:hAnsi="Arial" w:cs="Arial"/>
          <w:bCs/>
          <w:iCs/>
          <w:sz w:val="24"/>
          <w:szCs w:val="24"/>
        </w:rPr>
        <w:fldChar w:fldCharType="begin" w:fldLock="1"/>
      </w:r>
      <w:r w:rsidR="00031DA3" w:rsidRPr="006412CA">
        <w:rPr>
          <w:rFonts w:ascii="Arial" w:hAnsi="Arial" w:cs="Arial"/>
          <w:bCs/>
          <w:iCs/>
          <w:sz w:val="24"/>
          <w:szCs w:val="24"/>
        </w:rPr>
        <w:instrText>ADDIN CSL_CITATION { "citationItems" : [ { "id" : "ITEM-1", "itemData" : { "DOI" : "10.1016/j.jcorpfin.2014.12.008", "ISSN" : "09291199", "abstract" : "a r t i c l e i n f o a b s t r a c t We examine the value effect of working capital management (WCM) for a large sample of US firms between 1982\u20132011. Our results indicate (i) the existence of an optimal level of working capital policy; and (ii) firms that converge to that optimal level (either by increasing or decreasing their investment in working capital) improve their stock and operating performance. We also doc-ument that corporate investment is the channel through which efficient WCM translates into su-perior firm performance. In particular, efficient WCM allows firms to redeploy underutilized corporate resources to higher-valued use, such as the funding of cash acquisitions.", "author" : [ { "dropping-particle" : "", "family" : "Aktas", "given" : "Nihat", "non-dropping-particle" : "", "parse-names" : false, "suffix" : "" }, { "dropping-particle" : "", "family" : "Croci", "given" : "Ettore", "non-dropping-particle" : "", "parse-names" : false, "suffix" : "" }, { "dropping-particle" : "", "family" : "Petmezas", "given" : "Dimitris", "non-dropping-particle" : "", "parse-names" : false, "suffix" : "" } ], "container-title" : "Journal of Corporate Finance", "id" : "ITEM-1", "issued" : { "date-parts" : [ [ "2015", "2" ] ] }, "page" : "98-113", "title" : "Is working capital management value-enhancing? Evidence from firm performance and investments", "type" : "article-journal", "volume" : "30" }, "uris" : [ "http://www.mendeley.com/documents/?uuid=8ff849cd-5b67-47b5-a152-f2c61ab6a878" ] }, { "id" : "ITEM-2", "itemData" : { "DOI" : "10.1007/s11187-011-9317-8", "ISBN" : "0921898X", "ISSN" : "0921898X", "PMID" : "15974422", "abstract" : "This paper analyzes the relation between working capital management and profitability for small and medium-sized enterprises (SMEs) by controlling for unobservable heterogeneity and possible endogeneity. Unlike previous studies, we examine a non-linear relation between these two variables. Our results show that there is a non-monotonic (concave) relationship between working capital level and firm profitability, which indicates that SMEs have an optimal working capital level that maximizes their profitability. In addition, a robustness check of our results confirms that firms' profitability decreases as they move away from their optimal level.", "author" : [ { "dropping-particle" : "", "family" : "Ba\u00f1os-Caballero", "given" : "Sonia", "non-dropping-particle" : "", "parse-names" : false, "suffix" : "" }, { "dropping-particle" : "", "family" : "Garc\u00eda-Teruel", "given" : "Pedro J.", "non-dropping-particle" : "", "parse-names" : false, "suffix" : "" }, { "dropping-particle" : "", "family" : "Mart\u00ednez-Solano", "given" : "Pedro", "non-dropping-particle" : "", "parse-names" : false, "suffix" : "" } ], "container-title" : "Small Business Economics", "id" : "ITEM-2", "issue" : "2", "issued" : { "date-parts" : [ [ "2012" ] ] }, "page" : "517-529", "title" : "How does working capital management affect the profitability of Spanish SMEs?", "type" : "article-journal", "volume" : "39" }, "uris" : [ "http://www.mendeley.com/documents/?uuid=e5f6f9d6-2a1f-4a52-a387-9cc34352b26b" ] } ], "mendeley" : { "formattedCitation" : "(Ba\u00f1os-Caballero, Garc\u00eda-Teruel and Mart\u00ednez-Solano, 2012; Aktas, Croci and Petmezas, 2015)", "plainTextFormattedCitation" : "(Ba\u00f1os-Caballero, Garc\u00eda-Teruel and Mart\u00ednez-Solano, 2012; Aktas, Croci and Petmezas, 2015)", "previouslyFormattedCitation" : "(Ba\u00f1os-Caballero, Garc\u00eda-Teruel and Mart\u00ednez-Solano, 2012; Aktas, Croci and Petmezas, 2015)" }, "properties" : {  }, "schema" : "https://github.com/citation-style-language/schema/raw/master/csl-citation.json" }</w:instrText>
      </w:r>
      <w:r w:rsidR="00155DEA" w:rsidRPr="006412CA">
        <w:rPr>
          <w:rFonts w:ascii="Arial" w:hAnsi="Arial" w:cs="Arial"/>
          <w:bCs/>
          <w:iCs/>
          <w:sz w:val="24"/>
          <w:szCs w:val="24"/>
        </w:rPr>
        <w:fldChar w:fldCharType="separate"/>
      </w:r>
      <w:r w:rsidR="00031DA3" w:rsidRPr="006412CA">
        <w:rPr>
          <w:rFonts w:ascii="Arial" w:hAnsi="Arial" w:cs="Arial"/>
          <w:bCs/>
          <w:iCs/>
          <w:noProof/>
          <w:sz w:val="24"/>
          <w:szCs w:val="24"/>
        </w:rPr>
        <w:t>(Baños-Caballero, García-Teruel and Martínez-Solano, 2012; Aktas, Croci and Petmezas, 2015)</w:t>
      </w:r>
      <w:r w:rsidR="00155DEA" w:rsidRPr="006412CA">
        <w:rPr>
          <w:rFonts w:ascii="Arial" w:hAnsi="Arial" w:cs="Arial"/>
          <w:bCs/>
          <w:iCs/>
          <w:sz w:val="24"/>
          <w:szCs w:val="24"/>
        </w:rPr>
        <w:fldChar w:fldCharType="end"/>
      </w:r>
      <w:r w:rsidR="00155DEA" w:rsidRPr="006412CA">
        <w:rPr>
          <w:rFonts w:ascii="Arial" w:hAnsi="Arial" w:cs="Arial"/>
          <w:bCs/>
          <w:iCs/>
          <w:sz w:val="24"/>
          <w:szCs w:val="24"/>
        </w:rPr>
        <w:t xml:space="preserve">. </w:t>
      </w:r>
      <w:r w:rsidRPr="006412CA">
        <w:rPr>
          <w:rFonts w:ascii="Arial" w:hAnsi="Arial" w:cs="Arial"/>
          <w:bCs/>
          <w:iCs/>
          <w:sz w:val="24"/>
          <w:szCs w:val="24"/>
        </w:rPr>
        <w:t>Therefore, strong corporate governance, we argue, is necessary to create and maintain sound working capital management policies to enhance firms'</w:t>
      </w:r>
      <w:r w:rsidR="00C421D3" w:rsidRPr="006412CA">
        <w:rPr>
          <w:rFonts w:ascii="Arial" w:hAnsi="Arial" w:cs="Arial"/>
          <w:bCs/>
          <w:iCs/>
          <w:sz w:val="24"/>
          <w:szCs w:val="24"/>
        </w:rPr>
        <w:t xml:space="preserve"> financial</w:t>
      </w:r>
      <w:r w:rsidRPr="006412CA">
        <w:rPr>
          <w:rFonts w:ascii="Arial" w:hAnsi="Arial" w:cs="Arial"/>
          <w:bCs/>
          <w:iCs/>
          <w:sz w:val="24"/>
          <w:szCs w:val="24"/>
        </w:rPr>
        <w:t xml:space="preserve"> performance. According to </w:t>
      </w:r>
      <w:r w:rsidRPr="006412CA">
        <w:rPr>
          <w:rFonts w:ascii="Arial" w:hAnsi="Arial" w:cs="Arial"/>
          <w:bCs/>
          <w:iCs/>
          <w:sz w:val="24"/>
          <w:szCs w:val="24"/>
          <w:lang w:val="en-US"/>
        </w:rPr>
        <w:fldChar w:fldCharType="begin" w:fldLock="1"/>
      </w:r>
      <w:r w:rsidR="0093010E" w:rsidRPr="006412CA">
        <w:rPr>
          <w:rFonts w:ascii="Arial" w:hAnsi="Arial" w:cs="Arial"/>
          <w:bCs/>
          <w:iCs/>
          <w:sz w:val="24"/>
          <w:szCs w:val="24"/>
          <w:lang w:val="en-US"/>
        </w:rPr>
        <w:instrText>ADDIN CSL_CITATION { "citationItems" : [ { "id" : "ITEM-1", "itemData" : { "DOI" : "10.1108/03074351311293981", "ISBN" : "0307-4358", "ISSN" : "0307-4358", "abstract" : "Purpose - The purpose of this study is to investigate the impact of corporate governance on working capital management efficiency. This study also seeks to extend the findings of Gill and Shah. Design/methodology/approach - This study applied a co-relational research design. A sample was selected of 180 American manufacturing firms listed on the New York Stock Exchange (NYSE) for a period of 3 years (from 2009-2011). Findings - The findings of this study indicate that corporate governance plays some role in improving the efficiency of working capital management. Research limitations/implications - This is a co-relational study that investigated the association between corporate governance and working capital management efficiency. There is not necessarily a causal relationship between the two, although the paper provides some conjectures to the findings. The findings of this study may only be generalized to firms similar to those that were included in this research. Originality/value - This study contributes to the literature on the factors that improve the efficiency of working capital management, and in particular on the association between several features of corporate governance and the efficiency of working capital management. The findings may be useful for financial managers, investors, financial management consultants, and other stakeholders.", "author" : [ { "dropping-particle" : "", "family" : "Gill", "given" : "Amarjit S.", "non-dropping-particle" : "", "parse-names" : false, "suffix" : "" }, { "dropping-particle" : "", "family" : "Biger", "given" : "Nahum", "non-dropping-particle" : "", "parse-names" : false, "suffix" : "" } ], "container-title" : "Managerial Finance", "id" : "ITEM-1", "issue" : "2", "issued" : { "date-parts" : [ [ "2013" ] ] }, "page" : "116-132", "title" : "The impact of corporate governance on working capital management efficiency of American manufacturing firms", "type" : "article-journal", "volume" : "39" }, "uris" : [ "http://www.mendeley.com/documents/?uuid=1f20a53c-5a07-41fb-9520-c873241dbb83" ] } ], "mendeley" : { "formattedCitation" : "(Gill and Biger, 2013)", "manualFormatting" : "Gill and Biger (2013)", "plainTextFormattedCitation" : "(Gill and Biger, 2013)", "previouslyFormattedCitation" : "(Gill and Biger, 2013)" }, "properties" : {  }, "schema" : "https://github.com/citation-style-language/schema/raw/master/csl-citation.json" }</w:instrText>
      </w:r>
      <w:r w:rsidRPr="006412CA">
        <w:rPr>
          <w:rFonts w:ascii="Arial" w:hAnsi="Arial" w:cs="Arial"/>
          <w:bCs/>
          <w:iCs/>
          <w:sz w:val="24"/>
          <w:szCs w:val="24"/>
          <w:lang w:val="en-US"/>
        </w:rPr>
        <w:fldChar w:fldCharType="separate"/>
      </w:r>
      <w:r w:rsidR="007C4EC5" w:rsidRPr="006412CA">
        <w:rPr>
          <w:rFonts w:ascii="Arial" w:hAnsi="Arial" w:cs="Arial"/>
          <w:bCs/>
          <w:iCs/>
          <w:noProof/>
          <w:sz w:val="24"/>
          <w:szCs w:val="24"/>
          <w:lang w:val="en-US"/>
        </w:rPr>
        <w:t>Gill and Biger</w:t>
      </w:r>
      <w:r w:rsidRPr="006412CA">
        <w:rPr>
          <w:rFonts w:ascii="Arial" w:hAnsi="Arial" w:cs="Arial"/>
          <w:bCs/>
          <w:iCs/>
          <w:noProof/>
          <w:sz w:val="24"/>
          <w:szCs w:val="24"/>
          <w:lang w:val="en-US"/>
        </w:rPr>
        <w:t xml:space="preserve"> (2013)</w:t>
      </w:r>
      <w:r w:rsidRPr="006412CA">
        <w:rPr>
          <w:rFonts w:ascii="Arial" w:hAnsi="Arial" w:cs="Arial"/>
          <w:sz w:val="24"/>
          <w:szCs w:val="24"/>
          <w:lang w:val="en-US"/>
        </w:rPr>
        <w:fldChar w:fldCharType="end"/>
      </w:r>
      <w:r w:rsidRPr="006412CA">
        <w:rPr>
          <w:rFonts w:ascii="Arial" w:hAnsi="Arial" w:cs="Arial"/>
          <w:bCs/>
          <w:iCs/>
          <w:sz w:val="24"/>
          <w:szCs w:val="24"/>
        </w:rPr>
        <w:t xml:space="preserve"> firms with strong corporate governance structures can efficiently manage of working capital better</w:t>
      </w:r>
      <w:r w:rsidR="007C4EC5" w:rsidRPr="006412CA">
        <w:rPr>
          <w:rFonts w:ascii="Arial" w:hAnsi="Arial" w:cs="Arial"/>
          <w:bCs/>
          <w:iCs/>
          <w:sz w:val="24"/>
          <w:szCs w:val="24"/>
        </w:rPr>
        <w:t xml:space="preserve"> and </w:t>
      </w:r>
      <w:r w:rsidRPr="006412CA">
        <w:rPr>
          <w:rFonts w:ascii="Arial" w:hAnsi="Arial" w:cs="Arial"/>
          <w:bCs/>
          <w:iCs/>
          <w:sz w:val="24"/>
          <w:szCs w:val="24"/>
        </w:rPr>
        <w:t>is likely to enhance firms</w:t>
      </w:r>
      <w:r w:rsidR="007C4EC5" w:rsidRPr="006412CA">
        <w:rPr>
          <w:rFonts w:ascii="Arial" w:hAnsi="Arial" w:cs="Arial"/>
          <w:bCs/>
          <w:iCs/>
          <w:sz w:val="24"/>
          <w:szCs w:val="24"/>
        </w:rPr>
        <w:t>’ financial</w:t>
      </w:r>
      <w:r w:rsidRPr="006412CA">
        <w:rPr>
          <w:rFonts w:ascii="Arial" w:hAnsi="Arial" w:cs="Arial"/>
          <w:bCs/>
          <w:iCs/>
          <w:sz w:val="24"/>
          <w:szCs w:val="24"/>
        </w:rPr>
        <w:t xml:space="preserve"> performance. </w:t>
      </w:r>
      <w:bookmarkEnd w:id="76"/>
      <w:bookmarkEnd w:id="77"/>
      <w:bookmarkEnd w:id="78"/>
      <w:bookmarkEnd w:id="79"/>
      <w:r w:rsidRPr="006412CA">
        <w:rPr>
          <w:rFonts w:ascii="Arial" w:hAnsi="Arial" w:cs="Arial"/>
          <w:bCs/>
          <w:iCs/>
          <w:sz w:val="24"/>
          <w:szCs w:val="24"/>
        </w:rPr>
        <w:t>Accord</w:t>
      </w:r>
      <w:r w:rsidR="00E963A1" w:rsidRPr="006412CA">
        <w:rPr>
          <w:rFonts w:ascii="Arial" w:hAnsi="Arial" w:cs="Arial"/>
          <w:bCs/>
          <w:iCs/>
          <w:sz w:val="24"/>
          <w:szCs w:val="24"/>
        </w:rPr>
        <w:t>ingly, we hypothesise</w:t>
      </w:r>
      <w:r w:rsidR="007C4EC5" w:rsidRPr="006412CA">
        <w:rPr>
          <w:rFonts w:ascii="Arial" w:hAnsi="Arial" w:cs="Arial"/>
          <w:bCs/>
          <w:iCs/>
          <w:sz w:val="24"/>
          <w:szCs w:val="24"/>
        </w:rPr>
        <w:t xml:space="preserve"> that</w:t>
      </w:r>
      <w:r w:rsidR="00E963A1" w:rsidRPr="006412CA">
        <w:rPr>
          <w:rFonts w:ascii="Arial" w:hAnsi="Arial" w:cs="Arial"/>
          <w:bCs/>
          <w:iCs/>
          <w:sz w:val="24"/>
          <w:szCs w:val="24"/>
        </w:rPr>
        <w:t>:</w:t>
      </w:r>
    </w:p>
    <w:bookmarkEnd w:id="80"/>
    <w:bookmarkEnd w:id="81"/>
    <w:p w14:paraId="0E1D5D54" w14:textId="77777777" w:rsidR="004E32E2" w:rsidRPr="006412CA" w:rsidRDefault="004E32E2" w:rsidP="004E32E2">
      <w:pPr>
        <w:spacing w:after="0" w:line="360" w:lineRule="auto"/>
        <w:contextualSpacing/>
        <w:jc w:val="both"/>
        <w:rPr>
          <w:rFonts w:ascii="Arial" w:hAnsi="Arial" w:cs="Arial"/>
          <w:bCs/>
          <w:i/>
          <w:iCs/>
          <w:sz w:val="24"/>
          <w:szCs w:val="24"/>
        </w:rPr>
      </w:pPr>
    </w:p>
    <w:p w14:paraId="38C589B2" w14:textId="727920F4" w:rsidR="00754683" w:rsidRDefault="00526FFA" w:rsidP="004E32E2">
      <w:pPr>
        <w:spacing w:after="0" w:line="360" w:lineRule="auto"/>
        <w:contextualSpacing/>
        <w:jc w:val="both"/>
        <w:rPr>
          <w:rFonts w:ascii="Arial" w:hAnsi="Arial" w:cs="Arial"/>
          <w:bCs/>
          <w:i/>
          <w:iCs/>
          <w:sz w:val="24"/>
          <w:szCs w:val="24"/>
        </w:rPr>
      </w:pPr>
      <w:r>
        <w:rPr>
          <w:rFonts w:ascii="Arial" w:hAnsi="Arial" w:cs="Arial"/>
          <w:bCs/>
          <w:i/>
          <w:iCs/>
          <w:sz w:val="24"/>
          <w:szCs w:val="24"/>
        </w:rPr>
        <w:t xml:space="preserve">Hypothesis 3: </w:t>
      </w:r>
      <w:r w:rsidR="0095264A" w:rsidRPr="0095264A">
        <w:rPr>
          <w:rFonts w:ascii="Arial" w:hAnsi="Arial" w:cs="Arial"/>
          <w:bCs/>
          <w:i/>
          <w:iCs/>
          <w:sz w:val="24"/>
          <w:szCs w:val="24"/>
          <w:lang w:val="en-US"/>
        </w:rPr>
        <w:t xml:space="preserve">management capability </w:t>
      </w:r>
      <w:r w:rsidR="004779D9" w:rsidRPr="006412CA">
        <w:rPr>
          <w:rFonts w:ascii="Arial" w:hAnsi="Arial" w:cs="Arial"/>
          <w:bCs/>
          <w:i/>
          <w:iCs/>
          <w:sz w:val="24"/>
          <w:szCs w:val="24"/>
        </w:rPr>
        <w:t xml:space="preserve">positively moderates the </w:t>
      </w:r>
      <w:r w:rsidR="00E92D44" w:rsidRPr="00864E1C">
        <w:rPr>
          <w:rFonts w:ascii="Arial" w:hAnsi="Arial" w:cs="Arial"/>
          <w:bCs/>
          <w:i/>
          <w:iCs/>
          <w:color w:val="000000" w:themeColor="text1"/>
          <w:sz w:val="24"/>
          <w:szCs w:val="24"/>
        </w:rPr>
        <w:t xml:space="preserve">negative  </w:t>
      </w:r>
      <w:r w:rsidR="004779D9" w:rsidRPr="00864E1C">
        <w:rPr>
          <w:rFonts w:ascii="Arial" w:hAnsi="Arial" w:cs="Arial"/>
          <w:bCs/>
          <w:i/>
          <w:iCs/>
          <w:color w:val="000000" w:themeColor="text1"/>
          <w:sz w:val="24"/>
          <w:szCs w:val="24"/>
        </w:rPr>
        <w:t xml:space="preserve">relationship </w:t>
      </w:r>
    </w:p>
    <w:p w14:paraId="5CC3CB5B" w14:textId="6888923D" w:rsidR="004779D9" w:rsidRPr="006412CA" w:rsidRDefault="00754683" w:rsidP="004E32E2">
      <w:pPr>
        <w:spacing w:after="0" w:line="360" w:lineRule="auto"/>
        <w:contextualSpacing/>
        <w:jc w:val="both"/>
        <w:rPr>
          <w:rFonts w:ascii="Arial" w:hAnsi="Arial" w:cs="Arial"/>
          <w:bCs/>
          <w:i/>
          <w:iCs/>
          <w:sz w:val="24"/>
          <w:szCs w:val="24"/>
        </w:rPr>
      </w:pPr>
      <w:r>
        <w:rPr>
          <w:rFonts w:ascii="Arial" w:hAnsi="Arial" w:cs="Arial"/>
          <w:bCs/>
          <w:i/>
          <w:iCs/>
          <w:sz w:val="24"/>
          <w:szCs w:val="24"/>
        </w:rPr>
        <w:lastRenderedPageBreak/>
        <w:tab/>
      </w:r>
      <w:r>
        <w:rPr>
          <w:rFonts w:ascii="Arial" w:hAnsi="Arial" w:cs="Arial"/>
          <w:bCs/>
          <w:i/>
          <w:iCs/>
          <w:sz w:val="24"/>
          <w:szCs w:val="24"/>
        </w:rPr>
        <w:tab/>
      </w:r>
      <w:r w:rsidR="004779D9" w:rsidRPr="006412CA">
        <w:rPr>
          <w:rFonts w:ascii="Arial" w:hAnsi="Arial" w:cs="Arial"/>
          <w:bCs/>
          <w:i/>
          <w:iCs/>
          <w:sz w:val="24"/>
          <w:szCs w:val="24"/>
        </w:rPr>
        <w:t>between WCM and fi</w:t>
      </w:r>
      <w:r w:rsidR="004E32E2" w:rsidRPr="006412CA">
        <w:rPr>
          <w:rFonts w:ascii="Arial" w:hAnsi="Arial" w:cs="Arial"/>
          <w:bCs/>
          <w:i/>
          <w:iCs/>
          <w:sz w:val="24"/>
          <w:szCs w:val="24"/>
        </w:rPr>
        <w:t xml:space="preserve">nancial </w:t>
      </w:r>
      <w:r w:rsidR="004779D9" w:rsidRPr="006412CA">
        <w:rPr>
          <w:rFonts w:ascii="Arial" w:hAnsi="Arial" w:cs="Arial"/>
          <w:bCs/>
          <w:i/>
          <w:iCs/>
          <w:sz w:val="24"/>
          <w:szCs w:val="24"/>
        </w:rPr>
        <w:t>performance</w:t>
      </w:r>
    </w:p>
    <w:p w14:paraId="5E5D38C0" w14:textId="77777777" w:rsidR="00E963A1" w:rsidRPr="006412CA" w:rsidRDefault="00E963A1" w:rsidP="004E32E2">
      <w:pPr>
        <w:spacing w:after="0" w:line="360" w:lineRule="auto"/>
        <w:contextualSpacing/>
        <w:jc w:val="both"/>
        <w:rPr>
          <w:rFonts w:ascii="Arial" w:hAnsi="Arial" w:cs="Arial"/>
          <w:bCs/>
          <w:i/>
          <w:iCs/>
          <w:sz w:val="24"/>
          <w:szCs w:val="24"/>
        </w:rPr>
      </w:pPr>
    </w:p>
    <w:p w14:paraId="3956FDA9" w14:textId="77777777" w:rsidR="0067039F" w:rsidRPr="006412CA" w:rsidRDefault="0067039F" w:rsidP="004E32E2">
      <w:pPr>
        <w:pStyle w:val="ListParagraph"/>
        <w:numPr>
          <w:ilvl w:val="0"/>
          <w:numId w:val="1"/>
        </w:numPr>
        <w:spacing w:after="0" w:line="360" w:lineRule="auto"/>
        <w:jc w:val="both"/>
        <w:rPr>
          <w:rFonts w:ascii="Arial" w:hAnsi="Arial" w:cs="Arial"/>
          <w:b/>
          <w:bCs/>
          <w:sz w:val="24"/>
          <w:szCs w:val="24"/>
          <w:lang w:val="en-US"/>
        </w:rPr>
      </w:pPr>
      <w:r w:rsidRPr="006412CA">
        <w:rPr>
          <w:rFonts w:ascii="Arial" w:hAnsi="Arial" w:cs="Arial"/>
          <w:b/>
          <w:bCs/>
          <w:sz w:val="24"/>
          <w:szCs w:val="24"/>
          <w:lang w:val="en-US"/>
        </w:rPr>
        <w:t>Data and empirical method description</w:t>
      </w:r>
    </w:p>
    <w:p w14:paraId="594E030D" w14:textId="77777777" w:rsidR="0067039F" w:rsidRPr="006412CA" w:rsidRDefault="00AD0A7E" w:rsidP="004E32E2">
      <w:pPr>
        <w:spacing w:after="0" w:line="360" w:lineRule="auto"/>
        <w:jc w:val="both"/>
        <w:rPr>
          <w:rFonts w:ascii="Arial" w:hAnsi="Arial" w:cs="Arial"/>
          <w:bCs/>
          <w:i/>
          <w:sz w:val="24"/>
          <w:szCs w:val="24"/>
          <w:lang w:val="en-US"/>
        </w:rPr>
      </w:pPr>
      <w:r w:rsidRPr="006412CA">
        <w:rPr>
          <w:rFonts w:ascii="Arial" w:hAnsi="Arial" w:cs="Arial"/>
          <w:bCs/>
          <w:i/>
          <w:sz w:val="24"/>
          <w:szCs w:val="24"/>
          <w:lang w:val="en-US"/>
        </w:rPr>
        <w:t xml:space="preserve">3.1 </w:t>
      </w:r>
      <w:r w:rsidR="00B815C0" w:rsidRPr="006412CA">
        <w:rPr>
          <w:rFonts w:ascii="Arial" w:hAnsi="Arial" w:cs="Arial"/>
          <w:bCs/>
          <w:i/>
          <w:sz w:val="24"/>
          <w:szCs w:val="24"/>
          <w:lang w:val="en-US"/>
        </w:rPr>
        <w:t>Data:</w:t>
      </w:r>
      <w:r w:rsidR="00B815C0" w:rsidRPr="006412CA">
        <w:rPr>
          <w:rFonts w:ascii="Arial" w:eastAsia="Calibri" w:hAnsi="Arial" w:cs="Arial"/>
          <w:i/>
          <w:sz w:val="24"/>
          <w:szCs w:val="24"/>
          <w:lang w:eastAsia="en-GB"/>
        </w:rPr>
        <w:t xml:space="preserve"> </w:t>
      </w:r>
      <w:r w:rsidR="00B815C0" w:rsidRPr="006412CA">
        <w:rPr>
          <w:rFonts w:ascii="Arial" w:hAnsi="Arial" w:cs="Arial"/>
          <w:bCs/>
          <w:i/>
          <w:sz w:val="24"/>
          <w:szCs w:val="24"/>
        </w:rPr>
        <w:t>sample selection, sources, and description</w:t>
      </w:r>
    </w:p>
    <w:p w14:paraId="34D5C4CE" w14:textId="2F215FA3" w:rsidR="00027747" w:rsidRPr="005A566B" w:rsidRDefault="00027747" w:rsidP="00027747">
      <w:pPr>
        <w:spacing w:after="0" w:line="360" w:lineRule="auto"/>
        <w:ind w:firstLine="720"/>
        <w:jc w:val="both"/>
        <w:rPr>
          <w:rFonts w:ascii="Arial" w:hAnsi="Arial" w:cs="Arial"/>
          <w:bCs/>
          <w:iCs/>
          <w:sz w:val="24"/>
          <w:szCs w:val="24"/>
          <w:lang w:val="en-US"/>
        </w:rPr>
      </w:pPr>
      <w:r w:rsidRPr="005A566B">
        <w:rPr>
          <w:rFonts w:ascii="Arial" w:hAnsi="Arial" w:cs="Arial"/>
          <w:sz w:val="24"/>
          <w:szCs w:val="24"/>
          <w:lang w:val="en-US"/>
        </w:rPr>
        <w:t xml:space="preserve">The population for the study consists of a sample of 802 firms listed on the London Stock Exchange listed firms for the period 2004 to 2014. To arrive at our final sample, we excluded financial firms such as banks and insurance </w:t>
      </w:r>
      <w:r w:rsidRPr="005A566B">
        <w:rPr>
          <w:rFonts w:ascii="Arial" w:hAnsi="Arial" w:cs="Arial"/>
          <w:sz w:val="24"/>
          <w:szCs w:val="24"/>
        </w:rPr>
        <w:t xml:space="preserve">because they have different accounting requirements (e.g. </w:t>
      </w:r>
      <w:r w:rsidR="007F7428" w:rsidRPr="005A566B">
        <w:rPr>
          <w:rFonts w:ascii="Arial" w:hAnsi="Arial" w:cs="Arial"/>
          <w:sz w:val="24"/>
          <w:szCs w:val="24"/>
        </w:rPr>
        <w:t xml:space="preserve">Zalata et.al. 2018; </w:t>
      </w:r>
      <w:r w:rsidRPr="005A566B">
        <w:rPr>
          <w:rFonts w:ascii="Arial" w:hAnsi="Arial" w:cs="Arial"/>
          <w:sz w:val="24"/>
          <w:szCs w:val="24"/>
        </w:rPr>
        <w:t xml:space="preserve">Hill et al., 2010). </w:t>
      </w:r>
      <w:r w:rsidRPr="005A566B">
        <w:rPr>
          <w:rFonts w:ascii="Arial" w:hAnsi="Arial" w:cs="Arial"/>
          <w:bCs/>
          <w:iCs/>
          <w:sz w:val="24"/>
          <w:szCs w:val="24"/>
          <w:lang w:val="en-US"/>
        </w:rPr>
        <w:t xml:space="preserve">The criteria were necessary to allow for easy comparability with similar studies and also to </w:t>
      </w:r>
      <w:r w:rsidRPr="005A566B">
        <w:rPr>
          <w:rFonts w:ascii="Arial" w:hAnsi="Arial" w:cs="Arial"/>
          <w:sz w:val="24"/>
          <w:szCs w:val="24"/>
          <w:lang w:val="en-US"/>
        </w:rPr>
        <w:t xml:space="preserve">permit the use of unbalanced panel data, which has the advantage, as argued by Gujarati (2003), of more degrees of freedom and less multicollinearity among variables. </w:t>
      </w:r>
      <w:r w:rsidRPr="005A566B">
        <w:rPr>
          <w:rFonts w:ascii="Arial" w:hAnsi="Arial" w:cs="Arial"/>
          <w:bCs/>
          <w:iCs/>
          <w:sz w:val="24"/>
          <w:szCs w:val="24"/>
        </w:rPr>
        <w:t xml:space="preserve">By allowing </w:t>
      </w:r>
      <w:r w:rsidRPr="005A566B">
        <w:rPr>
          <w:rFonts w:ascii="Arial" w:hAnsi="Arial" w:cs="Arial"/>
          <w:bCs/>
          <w:iCs/>
          <w:sz w:val="24"/>
          <w:szCs w:val="24"/>
        </w:rPr>
        <w:lastRenderedPageBreak/>
        <w:t>for both entry and exit, the use of an unbalanced panel partially mitigates potential selection and survivor bias.</w:t>
      </w:r>
      <w:r w:rsidRPr="005A566B">
        <w:rPr>
          <w:rFonts w:ascii="Arial" w:hAnsi="Arial" w:cs="Arial"/>
          <w:bCs/>
          <w:iCs/>
          <w:sz w:val="24"/>
          <w:szCs w:val="24"/>
          <w:lang w:val="en-US"/>
        </w:rPr>
        <w:t xml:space="preserve"> The final sample </w:t>
      </w:r>
      <w:r w:rsidRPr="005A566B">
        <w:rPr>
          <w:rFonts w:ascii="Arial" w:hAnsi="Arial" w:cs="Arial"/>
          <w:bCs/>
          <w:iCs/>
          <w:sz w:val="24"/>
          <w:szCs w:val="24"/>
        </w:rPr>
        <w:t xml:space="preserve">extracted from three data sources (Thompson one Analytics, Boardex and Fame accounting data stream.), </w:t>
      </w:r>
      <w:r w:rsidRPr="005A566B">
        <w:rPr>
          <w:rFonts w:ascii="Arial" w:hAnsi="Arial" w:cs="Arial"/>
          <w:bCs/>
          <w:iCs/>
          <w:sz w:val="24"/>
          <w:szCs w:val="24"/>
          <w:lang w:val="en-US"/>
        </w:rPr>
        <w:t xml:space="preserve">was narrowed down from 1316 listed firms to </w:t>
      </w:r>
      <w:r w:rsidRPr="005A566B">
        <w:rPr>
          <w:rFonts w:ascii="Arial" w:hAnsi="Arial" w:cs="Arial"/>
          <w:bCs/>
          <w:iCs/>
          <w:sz w:val="24"/>
          <w:szCs w:val="24"/>
        </w:rPr>
        <w:t xml:space="preserve">an unbalanced panel of 802 firms, representing 6,424 firm-year observations. </w:t>
      </w:r>
    </w:p>
    <w:p w14:paraId="0A75BFDE" w14:textId="77777777" w:rsidR="00721B82" w:rsidRPr="00E92D44" w:rsidRDefault="00721B82" w:rsidP="004E32E2">
      <w:pPr>
        <w:spacing w:after="0" w:line="360" w:lineRule="auto"/>
        <w:jc w:val="both"/>
        <w:rPr>
          <w:rFonts w:ascii="Arial" w:hAnsi="Arial" w:cs="Arial"/>
          <w:bCs/>
          <w:i/>
          <w:iCs/>
          <w:sz w:val="24"/>
          <w:szCs w:val="24"/>
        </w:rPr>
      </w:pPr>
    </w:p>
    <w:p w14:paraId="16E869FA" w14:textId="77777777" w:rsidR="00B22107" w:rsidRPr="005A566B" w:rsidRDefault="00AD0A7E" w:rsidP="004E32E2">
      <w:pPr>
        <w:spacing w:after="0" w:line="360" w:lineRule="auto"/>
        <w:jc w:val="both"/>
        <w:rPr>
          <w:rFonts w:ascii="Arial" w:hAnsi="Arial" w:cs="Arial"/>
          <w:bCs/>
          <w:iCs/>
          <w:sz w:val="24"/>
          <w:szCs w:val="24"/>
        </w:rPr>
      </w:pPr>
      <w:r w:rsidRPr="005A566B">
        <w:rPr>
          <w:rFonts w:ascii="Arial" w:hAnsi="Arial" w:cs="Arial"/>
          <w:bCs/>
          <w:i/>
          <w:iCs/>
          <w:sz w:val="24"/>
          <w:szCs w:val="24"/>
        </w:rPr>
        <w:t>3.1.1 Dependent variable</w:t>
      </w:r>
    </w:p>
    <w:p w14:paraId="6D3656DD" w14:textId="77406698" w:rsidR="00D57E7A" w:rsidRPr="005A566B" w:rsidRDefault="00787636" w:rsidP="000F0BD0">
      <w:pPr>
        <w:spacing w:after="0" w:line="360" w:lineRule="auto"/>
        <w:ind w:firstLine="720"/>
        <w:jc w:val="both"/>
        <w:rPr>
          <w:rFonts w:ascii="Arial" w:hAnsi="Arial" w:cs="Arial"/>
          <w:bCs/>
          <w:iCs/>
          <w:sz w:val="24"/>
          <w:szCs w:val="24"/>
        </w:rPr>
      </w:pPr>
      <w:r w:rsidRPr="005A566B">
        <w:rPr>
          <w:rFonts w:ascii="Arial" w:hAnsi="Arial" w:cs="Arial"/>
          <w:bCs/>
          <w:iCs/>
          <w:sz w:val="24"/>
          <w:szCs w:val="24"/>
        </w:rPr>
        <w:t>The study adopts two main dependent variable</w:t>
      </w:r>
      <w:r w:rsidR="00B22107" w:rsidRPr="005A566B">
        <w:rPr>
          <w:rFonts w:ascii="Arial" w:hAnsi="Arial" w:cs="Arial"/>
          <w:bCs/>
          <w:iCs/>
          <w:sz w:val="24"/>
          <w:szCs w:val="24"/>
        </w:rPr>
        <w:t>s</w:t>
      </w:r>
      <w:r w:rsidRPr="005A566B">
        <w:rPr>
          <w:rFonts w:ascii="Arial" w:hAnsi="Arial" w:cs="Arial"/>
          <w:bCs/>
          <w:iCs/>
          <w:sz w:val="24"/>
          <w:szCs w:val="24"/>
        </w:rPr>
        <w:t xml:space="preserve"> to </w:t>
      </w:r>
      <w:r w:rsidR="00B815C0" w:rsidRPr="005A566B">
        <w:rPr>
          <w:rFonts w:ascii="Arial" w:hAnsi="Arial" w:cs="Arial"/>
          <w:bCs/>
          <w:iCs/>
          <w:sz w:val="24"/>
          <w:szCs w:val="24"/>
        </w:rPr>
        <w:t xml:space="preserve">measure </w:t>
      </w:r>
      <w:r w:rsidR="004E32E2" w:rsidRPr="005A566B">
        <w:rPr>
          <w:rFonts w:ascii="Arial" w:hAnsi="Arial" w:cs="Arial"/>
          <w:bCs/>
          <w:iCs/>
          <w:sz w:val="24"/>
          <w:szCs w:val="24"/>
        </w:rPr>
        <w:t>financial</w:t>
      </w:r>
      <w:r w:rsidR="00BA5AB5" w:rsidRPr="005A566B">
        <w:rPr>
          <w:rFonts w:ascii="Arial" w:hAnsi="Arial" w:cs="Arial"/>
          <w:bCs/>
          <w:iCs/>
          <w:sz w:val="24"/>
          <w:szCs w:val="24"/>
        </w:rPr>
        <w:t xml:space="preserve"> performance: r</w:t>
      </w:r>
      <w:r w:rsidRPr="005A566B">
        <w:rPr>
          <w:rFonts w:ascii="Arial" w:hAnsi="Arial" w:cs="Arial"/>
          <w:bCs/>
          <w:iCs/>
          <w:sz w:val="24"/>
          <w:szCs w:val="24"/>
        </w:rPr>
        <w:t>eturn on asset</w:t>
      </w:r>
      <w:r w:rsidR="00BA5AB5" w:rsidRPr="005A566B">
        <w:rPr>
          <w:rFonts w:ascii="Arial" w:hAnsi="Arial" w:cs="Arial"/>
          <w:bCs/>
          <w:iCs/>
          <w:sz w:val="24"/>
          <w:szCs w:val="24"/>
        </w:rPr>
        <w:t>s (ROA) and Tobin’s</w:t>
      </w:r>
      <w:r w:rsidRPr="005A566B">
        <w:rPr>
          <w:rFonts w:ascii="Arial" w:hAnsi="Arial" w:cs="Arial"/>
          <w:bCs/>
          <w:iCs/>
          <w:sz w:val="24"/>
          <w:szCs w:val="24"/>
        </w:rPr>
        <w:t xml:space="preserve"> q ratio (QRATIO). Consistent with prior literature </w:t>
      </w:r>
      <w:r w:rsidR="00815315" w:rsidRPr="005A566B">
        <w:rPr>
          <w:rFonts w:ascii="Arial" w:hAnsi="Arial" w:cs="Arial"/>
          <w:bCs/>
          <w:iCs/>
          <w:sz w:val="24"/>
          <w:szCs w:val="24"/>
        </w:rPr>
        <w:fldChar w:fldCharType="begin" w:fldLock="1"/>
      </w:r>
      <w:r w:rsidR="00027747" w:rsidRPr="005A566B">
        <w:rPr>
          <w:rFonts w:ascii="Arial" w:hAnsi="Arial" w:cs="Arial"/>
          <w:bCs/>
          <w:iCs/>
          <w:sz w:val="24"/>
          <w:szCs w:val="24"/>
        </w:rPr>
        <w:instrText>ADDIN CSL_CITATION { "citationItems" : [ { "id" : "ITEM-1", "itemData" : { "DOI" : "10.1108/jsbed-12-2011-0029", "ISBN" : "14626004", "ISSN" : "1462-6004", "PMID" : "1428881529", "abstract" : "Purpose - This paper aims to report the results of an investigation of the relative importance of working capital management, measured by the cash conversion cycle (CCC), and its components (inventory, accounts receivable and accounts payable) to the profitability of SMEs. Design/methodology/approach - The paper employs panel data regression analysis and a questionnaire survey on a sample of 133 Alternative Investment Market (AIM) listed SMEs. The panel data analysis utilises financial data for the period 2005 to 2009. The questionnaire survey results are based on 19 SMEs that responded. Findings - Panel data analysis results show that the management of accounts payable (AP) and accounts receivable (AR) is important for SMEs profitability. However, AP management is relatively more important than AR management. Inventory (INV) and CCC management is not important for SMEs profitability. Questionnaire results suggest that management of CCC and all its components is perceived as important for SMEs profitability. In terms of relative importance, AR management is most important, followed by AP, INV and CCC respectively. Research limitations/implications - The sample is limited to AIM listed SMEs, and therefore the findings cannot be generalised to all companies. Practical implications - Overall the results imply that the SMEs need to concentrate their limited resources on managing AR and AP in order to be more profitable. Originality/value - The study is the first to investigate the relative importance of WCM and its components to SMEs profitability and use both regression analysis and questionnaire survey.", "author" : [ { "dropping-particle" : "", "family" : "Tauringana", "given" : "Venancio", "non-dropping-particle" : "", "parse-names" : false, "suffix" : "" }, { "dropping-particle" : "", "family" : "Godfred Adjapong", "given" : "Afrifa", "non-dropping-particle" : "", "parse-names" : false, "suffix" : "" } ], "container-title" : "Journal of Small Business and Enterprise Development", "id" : "ITEM-1", "issue" : "3", "issued" : { "date-parts" : [ [ "2013" ] ] }, "page" : "453-469", "title" : "The relative importance of working capital management and its components to SMEs' profitability", "type" : "article-journal", "volume" : "20" }, "uris" : [ "http://www.mendeley.com/documents/?uuid=654362ec-e01b-4380-af80-1c7c73c64f0f" ] }, { "id" : "ITEM-2", "itemData" : { "author" : [ { "dropping-particle" : "", "family" : "Afrifa, G;Tingbani", "given" : "Ishmael", "non-dropping-particle" : "", "parse-names" : false, "suffix" : "" } ], "container-title" : "Int. J. Banking, Accounting and Finance,", "id" : "ITEM-2", "issue" : "1", "issued" : { "date-parts" : [ [ "2018" ] ] }, "title" : "Working capital management , cash flow and SMEs \u2019 performance", "type" : "article-journal", "volume" : "9" }, "uris" : [ "http://www.mendeley.com/documents/?uuid=3f7851ab-f46b-42eb-b70f-850bb79cfdfe" ] } ], "mendeley" : { "formattedCitation" : "(Tauringana and Godfred Adjapong, 2013; Afrifa, G;Tingbani, 2018)", "manualFormatting" : "(e.g., Tauringana and Afrifa 2013)", "plainTextFormattedCitation" : "(Tauringana and Godfred Adjapong, 2013; Afrifa, G;Tingbani, 2018)", "previouslyFormattedCitation" : "(Tauringana and Godfred Adjapong, 2013; Afrifa, G;Tingbani, 2018)" }, "properties" : {  }, "schema" : "https://github.com/citation-style-language/schema/raw/master/csl-citation.json" }</w:instrText>
      </w:r>
      <w:r w:rsidR="00815315" w:rsidRPr="005A566B">
        <w:rPr>
          <w:rFonts w:ascii="Arial" w:hAnsi="Arial" w:cs="Arial"/>
          <w:bCs/>
          <w:iCs/>
          <w:sz w:val="24"/>
          <w:szCs w:val="24"/>
        </w:rPr>
        <w:fldChar w:fldCharType="separate"/>
      </w:r>
      <w:r w:rsidR="00815315" w:rsidRPr="005A566B">
        <w:rPr>
          <w:rFonts w:ascii="Arial" w:hAnsi="Arial" w:cs="Arial"/>
          <w:bCs/>
          <w:iCs/>
          <w:noProof/>
          <w:sz w:val="24"/>
          <w:szCs w:val="24"/>
        </w:rPr>
        <w:t>(e</w:t>
      </w:r>
      <w:r w:rsidR="000F0BD0" w:rsidRPr="005A566B">
        <w:rPr>
          <w:rFonts w:ascii="Arial" w:hAnsi="Arial" w:cs="Arial"/>
          <w:bCs/>
          <w:iCs/>
          <w:noProof/>
          <w:sz w:val="24"/>
          <w:szCs w:val="24"/>
        </w:rPr>
        <w:t>.</w:t>
      </w:r>
      <w:r w:rsidR="00815315" w:rsidRPr="005A566B">
        <w:rPr>
          <w:rFonts w:ascii="Arial" w:hAnsi="Arial" w:cs="Arial"/>
          <w:bCs/>
          <w:iCs/>
          <w:noProof/>
          <w:sz w:val="24"/>
          <w:szCs w:val="24"/>
        </w:rPr>
        <w:t>g.</w:t>
      </w:r>
      <w:r w:rsidR="000F0BD0" w:rsidRPr="005A566B">
        <w:rPr>
          <w:rFonts w:ascii="Arial" w:hAnsi="Arial" w:cs="Arial"/>
          <w:bCs/>
          <w:iCs/>
          <w:noProof/>
          <w:sz w:val="24"/>
          <w:szCs w:val="24"/>
        </w:rPr>
        <w:t>,</w:t>
      </w:r>
      <w:r w:rsidR="00815315" w:rsidRPr="005A566B">
        <w:rPr>
          <w:rFonts w:ascii="Arial" w:hAnsi="Arial" w:cs="Arial"/>
          <w:bCs/>
          <w:iCs/>
          <w:noProof/>
          <w:sz w:val="24"/>
          <w:szCs w:val="24"/>
        </w:rPr>
        <w:t xml:space="preserve"> Tauringana and Afrifa 2013)</w:t>
      </w:r>
      <w:r w:rsidR="00815315" w:rsidRPr="005A566B">
        <w:rPr>
          <w:rFonts w:ascii="Arial" w:hAnsi="Arial" w:cs="Arial"/>
          <w:bCs/>
          <w:iCs/>
          <w:sz w:val="24"/>
          <w:szCs w:val="24"/>
        </w:rPr>
        <w:fldChar w:fldCharType="end"/>
      </w:r>
      <w:r w:rsidR="00815315" w:rsidRPr="00E92D44">
        <w:rPr>
          <w:rFonts w:ascii="Arial" w:hAnsi="Arial" w:cs="Arial"/>
          <w:bCs/>
          <w:iCs/>
          <w:sz w:val="24"/>
          <w:szCs w:val="24"/>
        </w:rPr>
        <w:t>,</w:t>
      </w:r>
      <w:r w:rsidRPr="005A566B">
        <w:rPr>
          <w:rFonts w:ascii="Arial" w:hAnsi="Arial" w:cs="Arial"/>
          <w:bCs/>
          <w:iCs/>
          <w:sz w:val="24"/>
          <w:szCs w:val="24"/>
        </w:rPr>
        <w:t xml:space="preserve"> ROA is measured as the ratio of net income for the year scaled </w:t>
      </w:r>
      <w:r w:rsidR="000F0BD0" w:rsidRPr="005A566B">
        <w:rPr>
          <w:rFonts w:ascii="Arial" w:hAnsi="Arial" w:cs="Arial"/>
          <w:bCs/>
          <w:iCs/>
          <w:sz w:val="24"/>
          <w:szCs w:val="24"/>
        </w:rPr>
        <w:t xml:space="preserve">by </w:t>
      </w:r>
      <w:r w:rsidRPr="005A566B">
        <w:rPr>
          <w:rFonts w:ascii="Arial" w:hAnsi="Arial" w:cs="Arial"/>
          <w:bCs/>
          <w:iCs/>
          <w:sz w:val="24"/>
          <w:szCs w:val="24"/>
        </w:rPr>
        <w:t>total assets. It captures how firm</w:t>
      </w:r>
      <w:r w:rsidR="000F0BD0" w:rsidRPr="005A566B">
        <w:rPr>
          <w:rFonts w:ascii="Arial" w:hAnsi="Arial" w:cs="Arial"/>
          <w:bCs/>
          <w:iCs/>
          <w:sz w:val="24"/>
          <w:szCs w:val="24"/>
        </w:rPr>
        <w:t>s’</w:t>
      </w:r>
      <w:r w:rsidRPr="005A566B">
        <w:rPr>
          <w:rFonts w:ascii="Arial" w:hAnsi="Arial" w:cs="Arial"/>
          <w:bCs/>
          <w:iCs/>
          <w:sz w:val="24"/>
          <w:szCs w:val="24"/>
        </w:rPr>
        <w:t xml:space="preserve"> internal utilisation of resources </w:t>
      </w:r>
      <w:r w:rsidRPr="005A566B">
        <w:rPr>
          <w:rFonts w:ascii="Arial" w:hAnsi="Arial" w:cs="Arial"/>
          <w:bCs/>
          <w:iCs/>
          <w:sz w:val="24"/>
          <w:szCs w:val="24"/>
        </w:rPr>
        <w:lastRenderedPageBreak/>
        <w:t xml:space="preserve">could be translated into internal performance. However, since these firms are listed firms, we adopt QRATIO to determine how effective utilisation of the firm resources could be used to create value to shareholders. Moreover, </w:t>
      </w:r>
      <w:r w:rsidR="00815315" w:rsidRPr="005A566B">
        <w:rPr>
          <w:rFonts w:ascii="Arial" w:hAnsi="Arial" w:cs="Arial"/>
          <w:bCs/>
          <w:iCs/>
          <w:sz w:val="24"/>
          <w:szCs w:val="24"/>
        </w:rPr>
        <w:t>Afrifa and Tingbani (2018)</w:t>
      </w:r>
      <w:r w:rsidRPr="005A566B">
        <w:rPr>
          <w:rFonts w:ascii="Arial" w:hAnsi="Arial" w:cs="Arial"/>
          <w:bCs/>
          <w:iCs/>
          <w:sz w:val="24"/>
          <w:szCs w:val="24"/>
        </w:rPr>
        <w:t xml:space="preserve"> argues that </w:t>
      </w:r>
      <w:bookmarkStart w:id="87" w:name="OLE_LINK222"/>
      <w:bookmarkStart w:id="88" w:name="OLE_LINK224"/>
      <w:bookmarkStart w:id="89" w:name="OLE_LINK225"/>
      <w:r w:rsidRPr="005A566B">
        <w:rPr>
          <w:rFonts w:ascii="Arial" w:hAnsi="Arial" w:cs="Arial"/>
          <w:bCs/>
          <w:iCs/>
          <w:sz w:val="24"/>
          <w:szCs w:val="24"/>
        </w:rPr>
        <w:t xml:space="preserve">market based performance </w:t>
      </w:r>
      <w:bookmarkEnd w:id="87"/>
      <w:bookmarkEnd w:id="88"/>
      <w:bookmarkEnd w:id="89"/>
      <w:r w:rsidRPr="005A566B">
        <w:rPr>
          <w:rFonts w:ascii="Arial" w:hAnsi="Arial" w:cs="Arial"/>
          <w:bCs/>
          <w:iCs/>
          <w:sz w:val="24"/>
          <w:szCs w:val="24"/>
        </w:rPr>
        <w:t xml:space="preserve">measure is best suited for listed firms because it affects investments and financing choices of firms </w:t>
      </w:r>
      <w:r w:rsidR="009A5E00" w:rsidRPr="005A566B">
        <w:rPr>
          <w:rFonts w:ascii="Arial" w:hAnsi="Arial" w:cs="Arial"/>
          <w:bCs/>
          <w:iCs/>
          <w:sz w:val="24"/>
          <w:szCs w:val="24"/>
        </w:rPr>
        <w:fldChar w:fldCharType="begin" w:fldLock="1"/>
      </w:r>
      <w:r w:rsidR="00031DA3" w:rsidRPr="005A566B">
        <w:rPr>
          <w:rFonts w:ascii="Arial" w:hAnsi="Arial" w:cs="Arial"/>
          <w:bCs/>
          <w:iCs/>
          <w:sz w:val="24"/>
          <w:szCs w:val="24"/>
        </w:rPr>
        <w:instrText>ADDIN CSL_CITATION { "citationItems" : [ { "id" : "ITEM-1", "itemData" : { "DOI" : "10.1093/rof/rfs043", "ISSN" : "15723097", "abstract" : "We provide the first empirical study of the relationship between corporate working capital management and shareholders\u2019 wealth. Examining US corporations from 1990 through 2006, we find evidence that: the incremental dollar invested in net operating working capital is worth less than the incremental dollar held in cash for the average firm; the valuation of the incremental dollar invested in net operating working capital is significantly influenced by a firm\u2019s future sales expectations, its debt load, its financial constraints, and its bankruptcy risk; and the value of the incremental dollar extended in credit to one\u2019s customers has a greater effect on shareholders\u2019 wealth than the incremental dollar invested in inventories for the average firm.", "author" : [ { "dropping-particle" : "", "family" : "Kieschnick", "given" : "Robert", "non-dropping-particle" : "", "parse-names" : false, "suffix" : "" }, { "dropping-particle" : "", "family" : "Laplante", "given" : "Mark", "non-dropping-particle" : "", "parse-names" : false, "suffix" : "" }, { "dropping-particle" : "", "family" : "Moussawi", "given" : "Rabih", "non-dropping-particle" : "", "parse-names" : false, "suffix" : "" } ], "container-title" : "Review of Finance", "id" : "ITEM-1", "issue" : "5", "issued" : { "date-parts" : [ [ "2013" ] ] }, "page" : "1827-1852", "title" : "Working capital management and shareholders' wealth", "type" : "article-journal", "volume" : "17" }, "uris" : [ "http://www.mendeley.com/documents/?uuid=feb15f17-50b9-494c-8711-01cd50907c99" ] }, { "id" : "ITEM-2", "itemData" : { "ISSN" : "17532574", "abstract" : "Working capital is the lifeblood of a business. Too much investment ties up working capital, that could be used more efficiently elsewhere, as well as masking inefficiencies in the underlying business. Conversely, too little investment in this area runs the risk of not having product available and also alienating both customers and suppliers. The authors' experience suggests that there is tremendous scope for improving, or optimising, one or more areas of working capital in most businesses. However, at the start of any working capital optimisation drive, two key challenges these businesses often face are: (1) is there a right level of working capital for their business, and if 50 (2) how to determine this level? This paper will outline options that provide businesses with ways to deal with the two challenges and to be able to size the prize' as well as identifying the trade-offs linked to achieving the prize. [ABSTRACT FROM AUTHOR]", "author" : [ { "dropping-particle" : "", "family" : "R. Ek ; S. Guerin", "given" : "", "non-dropping-particle" : "", "parse-names" : false, "suffix" : "" } ], "container-title" : "Journal of Corporate Treasury Management", "id" : "ITEM-2", "issue" : "2", "issued" : { "date-parts" : [ [ "2011" ] ] }, "page" : "137-149", "title" : "Is there a right level of working capital?", "type" : "article-journal", "volume" : "4" }, "uris" : [ "http://www.mendeley.com/documents/?uuid=f1249bb8-29dc-4ad8-b3a2-5d6a0b3de51b" ] } ], "mendeley" : { "formattedCitation" : "(R. Ek\u202f; S. Guerin, 2011; Kieschnick, Laplante and Moussawi, 2013)", "manualFormatting" : "(Kieschnick, Laplante, and Moussawi 2013; Ek\u202fand  Guerin 2011)", "plainTextFormattedCitation" : "(R. Ek\u202f; S. Guerin, 2011; Kieschnick, Laplante and Moussawi, 2013)", "previouslyFormattedCitation" : "(R. Ek\u202f; S. Guerin, 2011; Kieschnick, Laplante and Moussawi, 2013)" }, "properties" : {  }, "schema" : "https://github.com/citation-style-language/schema/raw/master/csl-citation.json" }</w:instrText>
      </w:r>
      <w:r w:rsidR="009A5E00" w:rsidRPr="005A566B">
        <w:rPr>
          <w:rFonts w:ascii="Arial" w:hAnsi="Arial" w:cs="Arial"/>
          <w:bCs/>
          <w:iCs/>
          <w:sz w:val="24"/>
          <w:szCs w:val="24"/>
        </w:rPr>
        <w:fldChar w:fldCharType="separate"/>
      </w:r>
      <w:r w:rsidR="009A5E00" w:rsidRPr="005A566B">
        <w:rPr>
          <w:rFonts w:ascii="Arial" w:hAnsi="Arial" w:cs="Arial"/>
          <w:bCs/>
          <w:iCs/>
          <w:noProof/>
          <w:sz w:val="24"/>
          <w:szCs w:val="24"/>
        </w:rPr>
        <w:t>(Kieschnick, Laplante, and Moussawi 2013; Ek and  Guerin 2011)</w:t>
      </w:r>
      <w:r w:rsidR="009A5E00" w:rsidRPr="005A566B">
        <w:rPr>
          <w:rFonts w:ascii="Arial" w:hAnsi="Arial" w:cs="Arial"/>
          <w:bCs/>
          <w:iCs/>
          <w:sz w:val="24"/>
          <w:szCs w:val="24"/>
        </w:rPr>
        <w:fldChar w:fldCharType="end"/>
      </w:r>
      <w:r w:rsidR="009A5E00" w:rsidRPr="00E92D44">
        <w:rPr>
          <w:rFonts w:ascii="Arial" w:hAnsi="Arial" w:cs="Arial"/>
          <w:bCs/>
          <w:iCs/>
          <w:sz w:val="24"/>
          <w:szCs w:val="24"/>
        </w:rPr>
        <w:t>.</w:t>
      </w:r>
    </w:p>
    <w:p w14:paraId="58AF3B38" w14:textId="77777777" w:rsidR="004E32E2" w:rsidRPr="005A566B" w:rsidRDefault="004E32E2" w:rsidP="004E32E2">
      <w:pPr>
        <w:spacing w:after="0" w:line="360" w:lineRule="auto"/>
        <w:jc w:val="both"/>
        <w:rPr>
          <w:rFonts w:ascii="Arial" w:hAnsi="Arial" w:cs="Arial"/>
          <w:bCs/>
          <w:i/>
          <w:iCs/>
          <w:sz w:val="24"/>
          <w:szCs w:val="24"/>
        </w:rPr>
      </w:pPr>
    </w:p>
    <w:p w14:paraId="557FB294" w14:textId="77777777" w:rsidR="00B22107" w:rsidRPr="005A566B" w:rsidRDefault="00AD0A7E" w:rsidP="004E32E2">
      <w:pPr>
        <w:spacing w:after="0" w:line="360" w:lineRule="auto"/>
        <w:jc w:val="both"/>
        <w:rPr>
          <w:rFonts w:ascii="Arial" w:hAnsi="Arial" w:cs="Arial"/>
          <w:bCs/>
          <w:i/>
          <w:iCs/>
          <w:sz w:val="24"/>
          <w:szCs w:val="24"/>
        </w:rPr>
      </w:pPr>
      <w:r w:rsidRPr="005A566B">
        <w:rPr>
          <w:rFonts w:ascii="Arial" w:hAnsi="Arial" w:cs="Arial"/>
          <w:bCs/>
          <w:i/>
          <w:iCs/>
          <w:sz w:val="24"/>
          <w:szCs w:val="24"/>
        </w:rPr>
        <w:t xml:space="preserve">3.1.2 </w:t>
      </w:r>
      <w:r w:rsidR="00B22107" w:rsidRPr="005A566B">
        <w:rPr>
          <w:rFonts w:ascii="Arial" w:hAnsi="Arial" w:cs="Arial"/>
          <w:bCs/>
          <w:i/>
          <w:iCs/>
          <w:sz w:val="24"/>
          <w:szCs w:val="24"/>
        </w:rPr>
        <w:t>Independent variables</w:t>
      </w:r>
    </w:p>
    <w:p w14:paraId="1EF2AC70" w14:textId="77777777" w:rsidR="002D355B" w:rsidRPr="005A566B" w:rsidRDefault="00B22107" w:rsidP="000F0BD0">
      <w:pPr>
        <w:spacing w:after="0" w:line="360" w:lineRule="auto"/>
        <w:ind w:firstLine="720"/>
        <w:jc w:val="both"/>
        <w:rPr>
          <w:rFonts w:ascii="Arial" w:hAnsi="Arial" w:cs="Arial"/>
          <w:bCs/>
          <w:iCs/>
          <w:sz w:val="24"/>
          <w:szCs w:val="24"/>
        </w:rPr>
      </w:pPr>
      <w:r w:rsidRPr="005A566B">
        <w:rPr>
          <w:rFonts w:ascii="Arial" w:hAnsi="Arial" w:cs="Arial"/>
          <w:bCs/>
          <w:iCs/>
          <w:sz w:val="24"/>
          <w:szCs w:val="24"/>
        </w:rPr>
        <w:t>The study has two sets of independent variables. The fi</w:t>
      </w:r>
      <w:r w:rsidR="002D355B" w:rsidRPr="005A566B">
        <w:rPr>
          <w:rFonts w:ascii="Arial" w:hAnsi="Arial" w:cs="Arial"/>
          <w:bCs/>
          <w:iCs/>
          <w:sz w:val="24"/>
          <w:szCs w:val="24"/>
        </w:rPr>
        <w:t>rst variable of interest is WCM,</w:t>
      </w:r>
      <w:r w:rsidR="00B815C0" w:rsidRPr="005A566B">
        <w:rPr>
          <w:rFonts w:ascii="Arial" w:hAnsi="Arial" w:cs="Arial"/>
          <w:bCs/>
          <w:iCs/>
          <w:sz w:val="24"/>
          <w:szCs w:val="24"/>
        </w:rPr>
        <w:t xml:space="preserve"> which measure</w:t>
      </w:r>
      <w:r w:rsidR="002D355B" w:rsidRPr="005A566B">
        <w:rPr>
          <w:rFonts w:ascii="Arial" w:hAnsi="Arial" w:cs="Arial"/>
          <w:bCs/>
          <w:iCs/>
          <w:sz w:val="24"/>
          <w:szCs w:val="24"/>
        </w:rPr>
        <w:t>s</w:t>
      </w:r>
      <w:r w:rsidR="00B815C0" w:rsidRPr="005A566B">
        <w:rPr>
          <w:rFonts w:ascii="Arial" w:hAnsi="Arial" w:cs="Arial"/>
          <w:bCs/>
          <w:iCs/>
          <w:sz w:val="24"/>
          <w:szCs w:val="24"/>
        </w:rPr>
        <w:t xml:space="preserve"> </w:t>
      </w:r>
      <w:r w:rsidR="002D355B" w:rsidRPr="005A566B">
        <w:rPr>
          <w:rFonts w:ascii="Arial" w:hAnsi="Arial" w:cs="Arial"/>
          <w:bCs/>
          <w:iCs/>
          <w:sz w:val="24"/>
          <w:szCs w:val="24"/>
        </w:rPr>
        <w:t>the</w:t>
      </w:r>
      <w:r w:rsidR="00B815C0" w:rsidRPr="005A566B">
        <w:rPr>
          <w:rFonts w:ascii="Arial" w:hAnsi="Arial" w:cs="Arial"/>
          <w:bCs/>
          <w:iCs/>
          <w:sz w:val="24"/>
          <w:szCs w:val="24"/>
        </w:rPr>
        <w:t xml:space="preserve"> firm’s </w:t>
      </w:r>
      <w:bookmarkStart w:id="90" w:name="OLE_LINK239"/>
      <w:bookmarkStart w:id="91" w:name="OLE_LINK240"/>
      <w:bookmarkStart w:id="92" w:name="OLE_LINK244"/>
      <w:r w:rsidR="00B815C0" w:rsidRPr="005A566B">
        <w:rPr>
          <w:rFonts w:ascii="Arial" w:hAnsi="Arial" w:cs="Arial"/>
          <w:bCs/>
          <w:iCs/>
          <w:sz w:val="24"/>
          <w:szCs w:val="24"/>
        </w:rPr>
        <w:t xml:space="preserve">investment in working capital. </w:t>
      </w:r>
      <w:bookmarkEnd w:id="90"/>
      <w:bookmarkEnd w:id="91"/>
      <w:bookmarkEnd w:id="92"/>
      <w:r w:rsidR="007F3FE1" w:rsidRPr="005A566B">
        <w:rPr>
          <w:rFonts w:ascii="Arial" w:hAnsi="Arial" w:cs="Arial"/>
          <w:bCs/>
          <w:iCs/>
          <w:sz w:val="24"/>
          <w:szCs w:val="24"/>
        </w:rPr>
        <w:t xml:space="preserve">Consistent with other </w:t>
      </w:r>
      <w:r w:rsidR="007F3FE1" w:rsidRPr="005A566B">
        <w:rPr>
          <w:rFonts w:ascii="Arial" w:hAnsi="Arial" w:cs="Arial"/>
          <w:bCs/>
          <w:iCs/>
          <w:sz w:val="24"/>
          <w:szCs w:val="24"/>
        </w:rPr>
        <w:lastRenderedPageBreak/>
        <w:t xml:space="preserve">studies </w:t>
      </w:r>
      <w:r w:rsidR="009A5E00" w:rsidRPr="005A566B">
        <w:rPr>
          <w:rFonts w:ascii="Arial" w:hAnsi="Arial" w:cs="Arial"/>
          <w:bCs/>
          <w:iCs/>
          <w:sz w:val="24"/>
          <w:szCs w:val="24"/>
        </w:rPr>
        <w:fldChar w:fldCharType="begin" w:fldLock="1"/>
      </w:r>
      <w:r w:rsidR="00031DA3" w:rsidRPr="005A566B">
        <w:rPr>
          <w:rFonts w:ascii="Arial" w:hAnsi="Arial" w:cs="Arial"/>
          <w:bCs/>
          <w:iCs/>
          <w:sz w:val="24"/>
          <w:szCs w:val="24"/>
        </w:rPr>
        <w:instrText>ADDIN CSL_CITATION { "citationItems" : [ { "id" : "ITEM-1", "itemData" : { "DOI" : "10.1016/j.jcorpfin.2014.12.008", "ISSN" : "09291199", "abstract" : "a r t i c l e i n f o a b s t r a c t We examine the value effect of working capital management (WCM) for a large sample of US firms between 1982\u20132011. Our results indicate (i) the existence of an optimal level of working capital policy; and (ii) firms that converge to that optimal level (either by increasing or decreasing their investment in working capital) improve their stock and operating performance. We also doc-ument that corporate investment is the channel through which efficient WCM translates into su-perior firm performance. In particular, efficient WCM allows firms to redeploy underutilized corporate resources to higher-valued use, such as the funding of cash acquisitions.", "author" : [ { "dropping-particle" : "", "family" : "Aktas", "given" : "Nihat", "non-dropping-particle" : "", "parse-names" : false, "suffix" : "" }, { "dropping-particle" : "", "family" : "Croci", "given" : "Ettore", "non-dropping-particle" : "", "parse-names" : false, "suffix" : "" }, { "dropping-particle" : "", "family" : "Petmezas", "given" : "Dimitris", "non-dropping-particle" : "", "parse-names" : false, "suffix" : "" } ], "container-title" : "Journal of Corporate Finance", "id" : "ITEM-1", "issued" : { "date-parts" : [ [ "2015", "2" ] ] }, "page" : "98-113", "title" : "Is working capital management value-enhancing? Evidence from firm performance and investments", "type" : "article-journal", "volume" : "30" }, "uris" : [ "http://www.mendeley.com/documents/?uuid=8ff849cd-5b67-47b5-a152-f2c61ab6a878" ] }, { "id" : "ITEM-2", "itemData" : { "DOI" : "10.1111/j.1755-053X.2012.01198.x", "ISBN" : "1755-053X", "ISSN" : "00463892", "abstract" : "We examine shareholder wealth implications of supplying financing to customers. Robust results suggest that excess returns and changes in trade receivables are directly and significantly related. Further evidence indicates the value of receivables is higher for suppliers with stronger motives relating to operating and contracting costs. The results also suggest a discounted value of receivables for financially unconstrained firms. Overall, we conclude that investors recognize trade credit as an effective instrument in mitigating frictions hindering sales growth. Thus, certain suppliers are positioned to derive increased strategic benefits from credit policy.", "author" : [ { "dropping-particle" : "", "family" : "Hill", "given" : "Matthew D.", "non-dropping-particle" : "", "parse-names" : false, "suffix" : "" }, { "dropping-particle" : "", "family" : "Kelly", "given" : "G. Wayne", "non-dropping-particle" : "", "parse-names" : false, "suffix" : "" }, { "dropping-particle" : "", "family" : "Lockhart", "given" : "G. Brandon", "non-dropping-particle" : "", "parse-names" : false, "suffix" : "" } ], "container-title" : "Financial Management", "id" : "ITEM-2", "issue" : "1", "issued" : { "date-parts" : [ [ "2012" ] ] }, "page" : "255-280", "title" : "Shareholder Returns from Supplying Trade Credit", "type" : "article-journal", "volume" : "41" }, "uris" : [ "http://www.mendeley.com/documents/?uuid=3a7614f8-97bf-466b-a1b1-e8b77a1bdf00" ] } ], "mendeley" : { "formattedCitation" : "(Hill, Kelly and Lockhart, 2012; Aktas, Croci and Petmezas, 2015)", "manualFormatting" : "(Aktas et al. 2015; Hill et al. 2012)", "plainTextFormattedCitation" : "(Hill, Kelly and Lockhart, 2012; Aktas, Croci and Petmezas, 2015)", "previouslyFormattedCitation" : "(Hill, Kelly and Lockhart, 2012; Aktas, Croci and Petmezas, 2015)" }, "properties" : {  }, "schema" : "https://github.com/citation-style-language/schema/raw/master/csl-citation.json" }</w:instrText>
      </w:r>
      <w:r w:rsidR="009A5E00" w:rsidRPr="005A566B">
        <w:rPr>
          <w:rFonts w:ascii="Arial" w:hAnsi="Arial" w:cs="Arial"/>
          <w:bCs/>
          <w:iCs/>
          <w:sz w:val="24"/>
          <w:szCs w:val="24"/>
        </w:rPr>
        <w:fldChar w:fldCharType="separate"/>
      </w:r>
      <w:r w:rsidR="009A5E00" w:rsidRPr="005A566B">
        <w:rPr>
          <w:rFonts w:ascii="Arial" w:hAnsi="Arial" w:cs="Arial"/>
          <w:bCs/>
          <w:iCs/>
          <w:noProof/>
          <w:sz w:val="24"/>
          <w:szCs w:val="24"/>
        </w:rPr>
        <w:t>(Aktas et al. 2015; Hill et al. 2012)</w:t>
      </w:r>
      <w:r w:rsidR="009A5E00" w:rsidRPr="005A566B">
        <w:rPr>
          <w:rFonts w:ascii="Arial" w:hAnsi="Arial" w:cs="Arial"/>
          <w:bCs/>
          <w:iCs/>
          <w:sz w:val="24"/>
          <w:szCs w:val="24"/>
        </w:rPr>
        <w:fldChar w:fldCharType="end"/>
      </w:r>
      <w:r w:rsidR="009A5E00" w:rsidRPr="00E92D44">
        <w:rPr>
          <w:rFonts w:ascii="Arial" w:hAnsi="Arial" w:cs="Arial"/>
          <w:bCs/>
          <w:iCs/>
          <w:sz w:val="24"/>
          <w:szCs w:val="24"/>
        </w:rPr>
        <w:t xml:space="preserve"> </w:t>
      </w:r>
      <w:r w:rsidR="007F3FE1" w:rsidRPr="005A566B">
        <w:rPr>
          <w:rFonts w:ascii="Arial" w:hAnsi="Arial" w:cs="Arial"/>
          <w:bCs/>
          <w:iCs/>
          <w:sz w:val="24"/>
          <w:szCs w:val="24"/>
        </w:rPr>
        <w:t xml:space="preserve">we define WCM </w:t>
      </w:r>
      <w:r w:rsidR="00807710" w:rsidRPr="005A566B">
        <w:rPr>
          <w:rFonts w:ascii="Arial" w:hAnsi="Arial" w:cs="Arial"/>
          <w:bCs/>
          <w:iCs/>
          <w:sz w:val="24"/>
          <w:szCs w:val="24"/>
        </w:rPr>
        <w:t xml:space="preserve">as the </w:t>
      </w:r>
      <w:bookmarkStart w:id="93" w:name="OLE_LINK237"/>
      <w:bookmarkStart w:id="94" w:name="OLE_LINK238"/>
      <w:r w:rsidR="00807710" w:rsidRPr="005A566B">
        <w:rPr>
          <w:rFonts w:ascii="Arial" w:hAnsi="Arial" w:cs="Arial"/>
          <w:bCs/>
          <w:iCs/>
          <w:sz w:val="24"/>
          <w:szCs w:val="24"/>
        </w:rPr>
        <w:t>Net operating working capital (inventories plus receivables minus acc</w:t>
      </w:r>
      <w:r w:rsidR="00BA5AB5" w:rsidRPr="005A566B">
        <w:rPr>
          <w:rFonts w:ascii="Arial" w:hAnsi="Arial" w:cs="Arial"/>
          <w:bCs/>
          <w:iCs/>
          <w:sz w:val="24"/>
          <w:szCs w:val="24"/>
        </w:rPr>
        <w:t>ounts payable) scaled by sales</w:t>
      </w:r>
      <w:bookmarkEnd w:id="93"/>
      <w:bookmarkEnd w:id="94"/>
      <w:r w:rsidR="00BA5AB5" w:rsidRPr="005A566B">
        <w:rPr>
          <w:rFonts w:ascii="Arial" w:hAnsi="Arial" w:cs="Arial"/>
          <w:bCs/>
          <w:iCs/>
          <w:sz w:val="24"/>
          <w:szCs w:val="24"/>
        </w:rPr>
        <w:t>.</w:t>
      </w:r>
      <w:r w:rsidR="004E32E2" w:rsidRPr="005A566B">
        <w:rPr>
          <w:rFonts w:ascii="Arial" w:hAnsi="Arial" w:cs="Arial"/>
          <w:bCs/>
          <w:iCs/>
          <w:sz w:val="24"/>
          <w:szCs w:val="24"/>
        </w:rPr>
        <w:t xml:space="preserve"> </w:t>
      </w:r>
      <w:r w:rsidR="002D355B" w:rsidRPr="005A566B">
        <w:rPr>
          <w:rFonts w:ascii="Arial" w:hAnsi="Arial" w:cs="Arial"/>
          <w:bCs/>
          <w:iCs/>
          <w:sz w:val="24"/>
          <w:szCs w:val="24"/>
        </w:rPr>
        <w:t>The second set of variables includes the set of contingent variables. These variables moderate the relationship bet</w:t>
      </w:r>
      <w:r w:rsidR="00BA5AB5" w:rsidRPr="005A566B">
        <w:rPr>
          <w:rFonts w:ascii="Arial" w:hAnsi="Arial" w:cs="Arial"/>
          <w:bCs/>
          <w:iCs/>
          <w:sz w:val="24"/>
          <w:szCs w:val="24"/>
        </w:rPr>
        <w:t xml:space="preserve">ween WCM and firms performance. </w:t>
      </w:r>
      <w:r w:rsidR="002D355B" w:rsidRPr="005A566B">
        <w:rPr>
          <w:rFonts w:ascii="Arial" w:hAnsi="Arial" w:cs="Arial"/>
          <w:bCs/>
          <w:iCs/>
          <w:sz w:val="24"/>
          <w:szCs w:val="24"/>
          <w:lang w:val="en-US"/>
        </w:rPr>
        <w:t xml:space="preserve">These contingencies are classified into three components by Luthan and Steward (1977): Environmental, Resources and Management variables of the firm. </w:t>
      </w:r>
      <w:r w:rsidR="002D355B" w:rsidRPr="005A566B">
        <w:rPr>
          <w:rFonts w:ascii="Arial" w:eastAsia="Calibri" w:hAnsi="Arial" w:cs="Arial"/>
          <w:bCs/>
          <w:sz w:val="24"/>
          <w:szCs w:val="24"/>
        </w:rPr>
        <w:t>Environmental variables</w:t>
      </w:r>
      <w:r w:rsidR="00392A88" w:rsidRPr="005A566B">
        <w:rPr>
          <w:rFonts w:ascii="Arial" w:eastAsia="Calibri" w:hAnsi="Arial" w:cs="Arial"/>
          <w:bCs/>
          <w:sz w:val="24"/>
          <w:szCs w:val="24"/>
        </w:rPr>
        <w:t xml:space="preserve"> (E)</w:t>
      </w:r>
      <w:r w:rsidR="002D355B" w:rsidRPr="005A566B">
        <w:rPr>
          <w:rFonts w:ascii="Arial" w:eastAsia="Calibri" w:hAnsi="Arial" w:cs="Arial"/>
          <w:bCs/>
          <w:sz w:val="24"/>
          <w:szCs w:val="24"/>
        </w:rPr>
        <w:t xml:space="preserve"> include factors that affect the organization, but are beyond the direct or positive control of the organization's resource managers Churchman (1968).</w:t>
      </w:r>
      <w:r w:rsidR="008C67C9" w:rsidRPr="005A566B">
        <w:rPr>
          <w:rFonts w:ascii="Arial" w:hAnsi="Arial" w:cs="Arial"/>
          <w:bCs/>
          <w:iCs/>
          <w:sz w:val="24"/>
          <w:szCs w:val="24"/>
        </w:rPr>
        <w:t xml:space="preserve"> According to, Chenhall (2007, p. 173), “[t]he more hostile and turbulent the external environment, the greater the reliance on formal controls”. Following prior studies of Wadongo and Abdel-Kader (2013)</w:t>
      </w:r>
      <w:r w:rsidR="00A552B6" w:rsidRPr="005A566B">
        <w:rPr>
          <w:rFonts w:ascii="Arial" w:hAnsi="Arial" w:cs="Arial"/>
          <w:bCs/>
          <w:iCs/>
          <w:sz w:val="24"/>
          <w:szCs w:val="24"/>
        </w:rPr>
        <w:t xml:space="preserve">, </w:t>
      </w:r>
      <w:bookmarkStart w:id="95" w:name="OLE_LINK229"/>
      <w:bookmarkStart w:id="96" w:name="OLE_LINK230"/>
      <w:r w:rsidR="00A552B6" w:rsidRPr="005A566B">
        <w:rPr>
          <w:rFonts w:ascii="Arial" w:hAnsi="Arial" w:cs="Arial"/>
          <w:bCs/>
          <w:iCs/>
          <w:sz w:val="24"/>
          <w:szCs w:val="24"/>
        </w:rPr>
        <w:t xml:space="preserve">we </w:t>
      </w:r>
      <w:bookmarkStart w:id="97" w:name="OLE_LINK231"/>
      <w:bookmarkStart w:id="98" w:name="OLE_LINK232"/>
      <w:r w:rsidR="00A552B6" w:rsidRPr="005A566B">
        <w:rPr>
          <w:rFonts w:ascii="Arial" w:hAnsi="Arial" w:cs="Arial"/>
          <w:bCs/>
          <w:iCs/>
          <w:sz w:val="24"/>
          <w:szCs w:val="24"/>
        </w:rPr>
        <w:t>adopt</w:t>
      </w:r>
      <w:r w:rsidR="008C67C9" w:rsidRPr="005A566B">
        <w:rPr>
          <w:rFonts w:ascii="Arial" w:hAnsi="Arial" w:cs="Arial"/>
          <w:bCs/>
          <w:iCs/>
          <w:sz w:val="24"/>
          <w:szCs w:val="24"/>
        </w:rPr>
        <w:t xml:space="preserve"> </w:t>
      </w:r>
      <w:bookmarkStart w:id="99" w:name="OLE_LINK166"/>
      <w:bookmarkStart w:id="100" w:name="OLE_LINK167"/>
      <w:bookmarkStart w:id="101" w:name="OLE_LINK336"/>
      <w:bookmarkStart w:id="102" w:name="OLE_LINK337"/>
      <w:bookmarkStart w:id="103" w:name="OLE_LINK338"/>
      <w:r w:rsidR="00424CD3" w:rsidRPr="005A566B">
        <w:rPr>
          <w:rFonts w:ascii="Arial" w:hAnsi="Arial" w:cs="Arial"/>
          <w:bCs/>
          <w:iCs/>
          <w:sz w:val="24"/>
          <w:szCs w:val="24"/>
        </w:rPr>
        <w:t xml:space="preserve">financial </w:t>
      </w:r>
      <w:r w:rsidR="008C67C9" w:rsidRPr="005A566B">
        <w:rPr>
          <w:rFonts w:ascii="Arial" w:hAnsi="Arial" w:cs="Arial"/>
          <w:bCs/>
          <w:iCs/>
          <w:sz w:val="24"/>
          <w:szCs w:val="24"/>
        </w:rPr>
        <w:t>market turbulence</w:t>
      </w:r>
      <w:bookmarkEnd w:id="99"/>
      <w:bookmarkEnd w:id="100"/>
      <w:r w:rsidR="008C67C9" w:rsidRPr="005A566B">
        <w:rPr>
          <w:rFonts w:ascii="Arial" w:hAnsi="Arial" w:cs="Arial"/>
          <w:bCs/>
          <w:iCs/>
          <w:sz w:val="24"/>
          <w:szCs w:val="24"/>
        </w:rPr>
        <w:t xml:space="preserve"> </w:t>
      </w:r>
      <w:bookmarkEnd w:id="101"/>
      <w:bookmarkEnd w:id="102"/>
      <w:bookmarkEnd w:id="103"/>
      <w:r w:rsidR="008C67C9" w:rsidRPr="005A566B">
        <w:rPr>
          <w:rFonts w:ascii="Arial" w:hAnsi="Arial" w:cs="Arial"/>
          <w:bCs/>
          <w:iCs/>
          <w:sz w:val="24"/>
          <w:szCs w:val="24"/>
        </w:rPr>
        <w:t>and</w:t>
      </w:r>
      <w:r w:rsidR="00B856E4" w:rsidRPr="005A566B">
        <w:rPr>
          <w:rFonts w:ascii="Arial" w:hAnsi="Arial" w:cs="Arial"/>
          <w:bCs/>
          <w:iCs/>
          <w:sz w:val="24"/>
          <w:szCs w:val="24"/>
        </w:rPr>
        <w:t xml:space="preserve"> competitive intensity</w:t>
      </w:r>
      <w:r w:rsidR="00A552B6" w:rsidRPr="005A566B">
        <w:rPr>
          <w:rFonts w:ascii="Arial" w:hAnsi="Arial" w:cs="Arial"/>
          <w:bCs/>
          <w:iCs/>
          <w:sz w:val="24"/>
          <w:szCs w:val="24"/>
        </w:rPr>
        <w:t xml:space="preserve"> as the main </w:t>
      </w:r>
      <w:r w:rsidR="00A552B6" w:rsidRPr="005A566B">
        <w:rPr>
          <w:rFonts w:ascii="Arial" w:hAnsi="Arial" w:cs="Arial"/>
          <w:bCs/>
          <w:iCs/>
          <w:sz w:val="24"/>
          <w:szCs w:val="24"/>
        </w:rPr>
        <w:lastRenderedPageBreak/>
        <w:t>measures of environmental condition.</w:t>
      </w:r>
      <w:r w:rsidR="00424CD3" w:rsidRPr="005A566B">
        <w:rPr>
          <w:rFonts w:ascii="Arial" w:hAnsi="Arial" w:cs="Arial"/>
          <w:bCs/>
          <w:iCs/>
          <w:sz w:val="24"/>
          <w:szCs w:val="24"/>
        </w:rPr>
        <w:t xml:space="preserve"> </w:t>
      </w:r>
      <w:bookmarkEnd w:id="97"/>
      <w:bookmarkEnd w:id="98"/>
      <w:r w:rsidR="00424CD3" w:rsidRPr="005A566B">
        <w:rPr>
          <w:rFonts w:ascii="Arial" w:hAnsi="Arial" w:cs="Arial"/>
          <w:bCs/>
          <w:iCs/>
          <w:sz w:val="24"/>
          <w:szCs w:val="24"/>
        </w:rPr>
        <w:t>Financial market turbulence is proxy by the recent financial crisis, which assumes the value of 1 for the crisis period (2007-2009) and 0 other wise.</w:t>
      </w:r>
      <w:r w:rsidR="00A552B6" w:rsidRPr="005A566B">
        <w:rPr>
          <w:rFonts w:ascii="Arial" w:hAnsi="Arial" w:cs="Arial"/>
          <w:bCs/>
          <w:iCs/>
          <w:sz w:val="24"/>
          <w:szCs w:val="24"/>
        </w:rPr>
        <w:t xml:space="preserve"> </w:t>
      </w:r>
      <w:r w:rsidR="00424CD3" w:rsidRPr="005A566B">
        <w:rPr>
          <w:rFonts w:ascii="Arial" w:hAnsi="Arial" w:cs="Arial"/>
          <w:bCs/>
          <w:iCs/>
          <w:sz w:val="24"/>
          <w:szCs w:val="24"/>
        </w:rPr>
        <w:t xml:space="preserve">We measured </w:t>
      </w:r>
      <w:bookmarkStart w:id="104" w:name="OLE_LINK331"/>
      <w:bookmarkStart w:id="105" w:name="OLE_LINK332"/>
      <w:bookmarkStart w:id="106" w:name="OLE_LINK333"/>
      <w:r w:rsidR="00424CD3" w:rsidRPr="005A566B">
        <w:rPr>
          <w:rFonts w:ascii="Arial" w:hAnsi="Arial" w:cs="Arial"/>
          <w:bCs/>
          <w:iCs/>
          <w:sz w:val="24"/>
          <w:szCs w:val="24"/>
        </w:rPr>
        <w:t>competitive intensity</w:t>
      </w:r>
      <w:bookmarkEnd w:id="104"/>
      <w:bookmarkEnd w:id="105"/>
      <w:bookmarkEnd w:id="106"/>
      <w:r w:rsidR="00A552B6" w:rsidRPr="005A566B">
        <w:rPr>
          <w:rFonts w:ascii="Arial" w:hAnsi="Arial" w:cs="Arial"/>
          <w:bCs/>
          <w:iCs/>
          <w:sz w:val="24"/>
          <w:szCs w:val="24"/>
        </w:rPr>
        <w:t xml:space="preserve"> as the degre</w:t>
      </w:r>
      <w:r w:rsidR="00424CD3" w:rsidRPr="005A566B">
        <w:rPr>
          <w:rFonts w:ascii="Arial" w:hAnsi="Arial" w:cs="Arial"/>
          <w:bCs/>
          <w:iCs/>
          <w:sz w:val="24"/>
          <w:szCs w:val="24"/>
        </w:rPr>
        <w:t xml:space="preserve">e of competition in an industry using </w:t>
      </w:r>
      <w:r w:rsidR="00041A69" w:rsidRPr="005A566B">
        <w:rPr>
          <w:rFonts w:ascii="Arial" w:hAnsi="Arial" w:cs="Arial"/>
          <w:bCs/>
          <w:iCs/>
          <w:sz w:val="24"/>
          <w:szCs w:val="24"/>
        </w:rPr>
        <w:t xml:space="preserve">Herfindahl index. Following </w:t>
      </w:r>
      <w:bookmarkStart w:id="107" w:name="OLE_LINK115"/>
      <w:bookmarkStart w:id="108" w:name="OLE_LINK116"/>
      <w:bookmarkStart w:id="109" w:name="OLE_LINK121"/>
      <w:bookmarkStart w:id="110" w:name="OLE_LINK122"/>
      <w:r w:rsidR="009A5E00" w:rsidRPr="005A566B">
        <w:rPr>
          <w:rFonts w:ascii="Arial" w:hAnsi="Arial" w:cs="Arial"/>
          <w:bCs/>
          <w:iCs/>
          <w:sz w:val="24"/>
          <w:szCs w:val="24"/>
        </w:rPr>
        <w:fldChar w:fldCharType="begin" w:fldLock="1"/>
      </w:r>
      <w:r w:rsidR="00031DA3" w:rsidRPr="005A566B">
        <w:rPr>
          <w:rFonts w:ascii="Arial" w:hAnsi="Arial" w:cs="Arial"/>
          <w:bCs/>
          <w:iCs/>
          <w:sz w:val="24"/>
          <w:szCs w:val="24"/>
        </w:rPr>
        <w:instrText>ADDIN CSL_CITATION { "citationItems" : [ { "id" : "ITEM-1", "itemData" : { "DOI" : "10.1108/IJMF-12-2015-0222", "ISSN" : "1743-9132", "abstract" : "\u00a9 2017, \u00a9 Emerald Publishing Limited.Purpose: The purpose of this paper is to extend the literature on trade receivables and trade payables by examining the determinants of net trade credit. Design/methodology/approach: To do that, a sample of 67,047 firms in the UK with 443,190 firm year observations is used. Findings: The results are robust to unobserved heterogeneity and industry effects. The evidence suggests that firms with more inventories, market share and are financially distressed invest less in trade credit. Moreover, higher operating cash flow, annual sales growth, export propensity, access to bank credit and larger firms lead to higher investment in trade credit. Originality/value: Additionally, the paper broadens the scope of the literature by analysing the determinants of net trade credit around the financial crisis and industry competitiveness.", "author" : [ { "dropping-particle" : "", "family" : "Afrifa", "given" : "Godfred Adjapong", "non-dropping-particle" : "", "parse-names" : false, "suffix" : "" }, { "dropping-particle" : "", "family" : "Gyapong", "given" : "Ernest", "non-dropping-particle" : "", "parse-names" : false, "suffix" : "" } ], "container-title" : "International Journal of Managerial Finance", "id" : "ITEM-1", "issue" : "3", "issued" : { "date-parts" : [ [ "2017" ] ] }, "page" : "246-266", "title" : "Net trade credit: what are the determinants?", "type" : "article-journal", "volume" : "13" }, "uris" : [ "http://www.mendeley.com/documents/?uuid=faf9aa55-6240-4965-a228-94f73d612d42" ] } ], "mendeley" : { "formattedCitation" : "(Afrifa and Gyapong, 2017)", "plainTextFormattedCitation" : "(Afrifa and Gyapong, 2017)", "previouslyFormattedCitation" : "(Afrifa and Gyapong, 2017)" }, "properties" : {  }, "schema" : "https://github.com/citation-style-language/schema/raw/master/csl-citation.json" }</w:instrText>
      </w:r>
      <w:r w:rsidR="009A5E00" w:rsidRPr="005A566B">
        <w:rPr>
          <w:rFonts w:ascii="Arial" w:hAnsi="Arial" w:cs="Arial"/>
          <w:bCs/>
          <w:iCs/>
          <w:sz w:val="24"/>
          <w:szCs w:val="24"/>
        </w:rPr>
        <w:fldChar w:fldCharType="separate"/>
      </w:r>
      <w:r w:rsidR="00031DA3" w:rsidRPr="005A566B">
        <w:rPr>
          <w:rFonts w:ascii="Arial" w:hAnsi="Arial" w:cs="Arial"/>
          <w:bCs/>
          <w:iCs/>
          <w:noProof/>
          <w:sz w:val="24"/>
          <w:szCs w:val="24"/>
        </w:rPr>
        <w:t>(Afrifa and Gyapong, 2017)</w:t>
      </w:r>
      <w:r w:rsidR="009A5E00" w:rsidRPr="005A566B">
        <w:rPr>
          <w:rFonts w:ascii="Arial" w:hAnsi="Arial" w:cs="Arial"/>
          <w:bCs/>
          <w:iCs/>
          <w:sz w:val="24"/>
          <w:szCs w:val="24"/>
        </w:rPr>
        <w:fldChar w:fldCharType="end"/>
      </w:r>
      <w:bookmarkEnd w:id="107"/>
      <w:bookmarkEnd w:id="108"/>
      <w:bookmarkEnd w:id="109"/>
      <w:bookmarkEnd w:id="110"/>
      <w:r w:rsidR="009A5E00" w:rsidRPr="00E92D44">
        <w:rPr>
          <w:rFonts w:ascii="Arial" w:hAnsi="Arial" w:cs="Arial"/>
          <w:bCs/>
          <w:iCs/>
          <w:sz w:val="24"/>
          <w:szCs w:val="24"/>
        </w:rPr>
        <w:t>,</w:t>
      </w:r>
      <w:r w:rsidR="00041A69" w:rsidRPr="005A566B">
        <w:rPr>
          <w:rFonts w:ascii="Arial" w:hAnsi="Arial" w:cs="Arial"/>
          <w:bCs/>
          <w:iCs/>
          <w:sz w:val="24"/>
          <w:szCs w:val="24"/>
        </w:rPr>
        <w:t xml:space="preserve"> we defined the </w:t>
      </w:r>
      <w:bookmarkStart w:id="111" w:name="OLE_LINK339"/>
      <w:bookmarkStart w:id="112" w:name="OLE_LINK340"/>
      <w:bookmarkStart w:id="113" w:name="OLE_LINK341"/>
      <w:r w:rsidR="00041A69" w:rsidRPr="005A566B">
        <w:rPr>
          <w:rFonts w:ascii="Arial" w:hAnsi="Arial" w:cs="Arial"/>
          <w:bCs/>
          <w:iCs/>
          <w:sz w:val="24"/>
          <w:szCs w:val="24"/>
        </w:rPr>
        <w:t>Herfindahl-Hirschman index as the sum of the squares of the sales market shares o</w:t>
      </w:r>
      <w:r w:rsidR="00BA5AB5" w:rsidRPr="005A566B">
        <w:rPr>
          <w:rFonts w:ascii="Arial" w:hAnsi="Arial" w:cs="Arial"/>
          <w:bCs/>
          <w:iCs/>
          <w:sz w:val="24"/>
          <w:szCs w:val="24"/>
        </w:rPr>
        <w:t>f all the firms in an industry</w:t>
      </w:r>
      <w:bookmarkEnd w:id="95"/>
      <w:bookmarkEnd w:id="96"/>
      <w:bookmarkEnd w:id="111"/>
      <w:bookmarkEnd w:id="112"/>
      <w:bookmarkEnd w:id="113"/>
      <w:r w:rsidR="00BA5AB5" w:rsidRPr="005A566B">
        <w:rPr>
          <w:rFonts w:ascii="Arial" w:hAnsi="Arial" w:cs="Arial"/>
          <w:bCs/>
          <w:iCs/>
          <w:sz w:val="24"/>
          <w:szCs w:val="24"/>
        </w:rPr>
        <w:t>.</w:t>
      </w:r>
    </w:p>
    <w:p w14:paraId="5ECE01E7" w14:textId="77777777" w:rsidR="009776DB" w:rsidRPr="005A566B" w:rsidRDefault="00180709" w:rsidP="004E32E2">
      <w:pPr>
        <w:spacing w:after="0" w:line="360" w:lineRule="auto"/>
        <w:ind w:firstLine="720"/>
        <w:jc w:val="both"/>
        <w:rPr>
          <w:rFonts w:ascii="Arial" w:hAnsi="Arial" w:cs="Arial"/>
          <w:bCs/>
          <w:iCs/>
          <w:sz w:val="24"/>
          <w:szCs w:val="24"/>
        </w:rPr>
      </w:pPr>
      <w:r w:rsidRPr="005A566B">
        <w:rPr>
          <w:rFonts w:ascii="Arial" w:hAnsi="Arial" w:cs="Arial"/>
          <w:bCs/>
          <w:iCs/>
          <w:sz w:val="24"/>
          <w:szCs w:val="24"/>
        </w:rPr>
        <w:t>Resource variables</w:t>
      </w:r>
      <w:r w:rsidR="00392A88" w:rsidRPr="005A566B">
        <w:rPr>
          <w:rFonts w:ascii="Arial" w:hAnsi="Arial" w:cs="Arial"/>
          <w:bCs/>
          <w:iCs/>
          <w:sz w:val="24"/>
          <w:szCs w:val="24"/>
        </w:rPr>
        <w:t xml:space="preserve"> (R)</w:t>
      </w:r>
      <w:r w:rsidRPr="005A566B">
        <w:rPr>
          <w:rFonts w:ascii="Arial" w:hAnsi="Arial" w:cs="Arial"/>
          <w:bCs/>
          <w:iCs/>
          <w:sz w:val="24"/>
          <w:szCs w:val="24"/>
        </w:rPr>
        <w:t xml:space="preserve"> include those </w:t>
      </w:r>
      <w:bookmarkStart w:id="114" w:name="OLE_LINK329"/>
      <w:bookmarkStart w:id="115" w:name="OLE_LINK330"/>
      <w:r w:rsidRPr="005A566B">
        <w:rPr>
          <w:rFonts w:ascii="Arial" w:hAnsi="Arial" w:cs="Arial"/>
          <w:bCs/>
          <w:iCs/>
          <w:sz w:val="24"/>
          <w:szCs w:val="24"/>
        </w:rPr>
        <w:t xml:space="preserve">tangible and intangible factors over which management has more direct control and on which it operates to produce desired changes in the organizational system or its environmental supra-system </w:t>
      </w:r>
      <w:bookmarkEnd w:id="114"/>
      <w:bookmarkEnd w:id="115"/>
      <w:r w:rsidRPr="005A566B">
        <w:rPr>
          <w:rFonts w:ascii="Arial" w:hAnsi="Arial" w:cs="Arial"/>
          <w:bCs/>
          <w:iCs/>
          <w:sz w:val="24"/>
          <w:szCs w:val="24"/>
        </w:rPr>
        <w:t xml:space="preserve">(Churchman, 1968). </w:t>
      </w:r>
      <w:r w:rsidR="009776DB" w:rsidRPr="005A566B">
        <w:rPr>
          <w:rFonts w:ascii="Arial" w:hAnsi="Arial" w:cs="Arial"/>
          <w:bCs/>
          <w:iCs/>
          <w:sz w:val="24"/>
          <w:szCs w:val="24"/>
        </w:rPr>
        <w:t>Following prior studies in contingency research (Chenhall 2007,</w:t>
      </w:r>
      <w:r w:rsidR="009776DB" w:rsidRPr="005A566B">
        <w:rPr>
          <w:rFonts w:ascii="Arial" w:hAnsi="Arial" w:cs="Arial"/>
          <w:sz w:val="24"/>
          <w:szCs w:val="24"/>
        </w:rPr>
        <w:t xml:space="preserve"> </w:t>
      </w:r>
      <w:r w:rsidR="009776DB" w:rsidRPr="005A566B">
        <w:rPr>
          <w:rFonts w:ascii="Arial" w:hAnsi="Arial" w:cs="Arial"/>
          <w:bCs/>
          <w:iCs/>
          <w:sz w:val="24"/>
          <w:szCs w:val="24"/>
        </w:rPr>
        <w:t xml:space="preserve">Donaldson </w:t>
      </w:r>
      <w:r w:rsidR="009776DB" w:rsidRPr="005A566B">
        <w:rPr>
          <w:rFonts w:ascii="Arial" w:hAnsi="Arial" w:cs="Arial"/>
          <w:bCs/>
          <w:iCs/>
          <w:sz w:val="24"/>
          <w:szCs w:val="24"/>
        </w:rPr>
        <w:lastRenderedPageBreak/>
        <w:t>2001; Otley 2016)</w:t>
      </w:r>
      <w:r w:rsidR="00784FCB" w:rsidRPr="005A566B">
        <w:rPr>
          <w:rFonts w:ascii="Arial" w:hAnsi="Arial" w:cs="Arial"/>
          <w:bCs/>
          <w:iCs/>
          <w:sz w:val="24"/>
          <w:szCs w:val="24"/>
        </w:rPr>
        <w:t>;</w:t>
      </w:r>
      <w:r w:rsidR="009776DB" w:rsidRPr="005A566B">
        <w:rPr>
          <w:rFonts w:ascii="Arial" w:hAnsi="Arial" w:cs="Arial"/>
          <w:bCs/>
          <w:iCs/>
          <w:sz w:val="24"/>
          <w:szCs w:val="24"/>
        </w:rPr>
        <w:t xml:space="preserve"> we adopt</w:t>
      </w:r>
      <w:bookmarkStart w:id="116" w:name="OLE_LINK291"/>
      <w:bookmarkStart w:id="117" w:name="OLE_LINK292"/>
      <w:r w:rsidR="009776DB" w:rsidRPr="005A566B">
        <w:rPr>
          <w:rFonts w:ascii="Arial" w:hAnsi="Arial" w:cs="Arial"/>
          <w:bCs/>
          <w:iCs/>
          <w:sz w:val="24"/>
          <w:szCs w:val="24"/>
        </w:rPr>
        <w:t xml:space="preserve"> size</w:t>
      </w:r>
      <w:r w:rsidR="00784FCB" w:rsidRPr="005A566B">
        <w:rPr>
          <w:rFonts w:ascii="Arial" w:hAnsi="Arial" w:cs="Arial"/>
          <w:bCs/>
          <w:iCs/>
          <w:sz w:val="24"/>
          <w:szCs w:val="24"/>
        </w:rPr>
        <w:t xml:space="preserve">, which is measured by the </w:t>
      </w:r>
      <w:bookmarkStart w:id="118" w:name="OLE_LINK293"/>
      <w:bookmarkStart w:id="119" w:name="OLE_LINK303"/>
      <w:bookmarkStart w:id="120" w:name="OLE_LINK304"/>
      <w:r w:rsidR="00784FCB" w:rsidRPr="005A566B">
        <w:rPr>
          <w:rFonts w:ascii="Arial" w:hAnsi="Arial" w:cs="Arial"/>
          <w:bCs/>
          <w:iCs/>
          <w:sz w:val="24"/>
          <w:szCs w:val="24"/>
        </w:rPr>
        <w:t>total number of employees</w:t>
      </w:r>
      <w:bookmarkEnd w:id="116"/>
      <w:bookmarkEnd w:id="117"/>
      <w:bookmarkEnd w:id="118"/>
      <w:bookmarkEnd w:id="119"/>
      <w:bookmarkEnd w:id="120"/>
      <w:r w:rsidR="00784FCB" w:rsidRPr="005A566B">
        <w:rPr>
          <w:rFonts w:ascii="Arial" w:hAnsi="Arial" w:cs="Arial"/>
          <w:bCs/>
          <w:iCs/>
          <w:sz w:val="24"/>
          <w:szCs w:val="24"/>
        </w:rPr>
        <w:t>,</w:t>
      </w:r>
      <w:r w:rsidR="009776DB" w:rsidRPr="005A566B">
        <w:rPr>
          <w:rFonts w:ascii="Arial" w:hAnsi="Arial" w:cs="Arial"/>
          <w:bCs/>
          <w:iCs/>
          <w:sz w:val="24"/>
          <w:szCs w:val="24"/>
          <w:lang w:val="en-US"/>
        </w:rPr>
        <w:t xml:space="preserve"> </w:t>
      </w:r>
      <w:r w:rsidR="009776DB" w:rsidRPr="005A566B">
        <w:rPr>
          <w:rFonts w:ascii="Arial" w:hAnsi="Arial" w:cs="Arial"/>
          <w:bCs/>
          <w:iCs/>
          <w:sz w:val="24"/>
          <w:szCs w:val="24"/>
        </w:rPr>
        <w:t>as a proxy fo</w:t>
      </w:r>
      <w:r w:rsidR="00BA5AB5" w:rsidRPr="005A566B">
        <w:rPr>
          <w:rFonts w:ascii="Arial" w:hAnsi="Arial" w:cs="Arial"/>
          <w:bCs/>
          <w:iCs/>
          <w:sz w:val="24"/>
          <w:szCs w:val="24"/>
        </w:rPr>
        <w:t>r the firm’s resource variable.</w:t>
      </w:r>
    </w:p>
    <w:p w14:paraId="202BE41F" w14:textId="71263B43" w:rsidR="00784FCB" w:rsidRPr="005A566B" w:rsidRDefault="00784FCB" w:rsidP="004E32E2">
      <w:pPr>
        <w:spacing w:after="0" w:line="360" w:lineRule="auto"/>
        <w:ind w:firstLine="720"/>
        <w:jc w:val="both"/>
        <w:rPr>
          <w:rFonts w:ascii="Arial" w:hAnsi="Arial" w:cs="Arial"/>
          <w:bCs/>
          <w:iCs/>
          <w:sz w:val="24"/>
          <w:szCs w:val="24"/>
        </w:rPr>
      </w:pPr>
      <w:r w:rsidRPr="005A566B">
        <w:rPr>
          <w:rFonts w:ascii="Arial" w:hAnsi="Arial" w:cs="Arial"/>
          <w:bCs/>
          <w:iCs/>
          <w:sz w:val="24"/>
          <w:szCs w:val="24"/>
        </w:rPr>
        <w:t>Management variables</w:t>
      </w:r>
      <w:r w:rsidR="00392A88" w:rsidRPr="005A566B">
        <w:rPr>
          <w:rFonts w:ascii="Arial" w:hAnsi="Arial" w:cs="Arial"/>
          <w:bCs/>
          <w:iCs/>
          <w:sz w:val="24"/>
          <w:szCs w:val="24"/>
        </w:rPr>
        <w:t xml:space="preserve"> (M)</w:t>
      </w:r>
      <w:r w:rsidRPr="005A566B">
        <w:rPr>
          <w:rFonts w:ascii="Arial" w:hAnsi="Arial" w:cs="Arial"/>
          <w:bCs/>
          <w:iCs/>
          <w:sz w:val="24"/>
          <w:szCs w:val="24"/>
        </w:rPr>
        <w:t xml:space="preserve"> include those </w:t>
      </w:r>
      <w:bookmarkStart w:id="121" w:name="OLE_LINK326"/>
      <w:bookmarkStart w:id="122" w:name="OLE_LINK327"/>
      <w:bookmarkStart w:id="123" w:name="OLE_LINK328"/>
      <w:r w:rsidRPr="005A566B">
        <w:rPr>
          <w:rFonts w:ascii="Arial" w:hAnsi="Arial" w:cs="Arial"/>
          <w:bCs/>
          <w:iCs/>
          <w:sz w:val="24"/>
          <w:szCs w:val="24"/>
        </w:rPr>
        <w:t>concepts and techniques expressed in policies, practices and procedures used by the manager to operate on available resource variables in defining and accomplishing system objectives</w:t>
      </w:r>
      <w:bookmarkEnd w:id="121"/>
      <w:bookmarkEnd w:id="122"/>
      <w:bookmarkEnd w:id="123"/>
      <w:r w:rsidRPr="005A566B">
        <w:rPr>
          <w:rFonts w:ascii="Arial" w:hAnsi="Arial" w:cs="Arial"/>
          <w:bCs/>
          <w:iCs/>
          <w:sz w:val="24"/>
          <w:szCs w:val="24"/>
        </w:rPr>
        <w:t xml:space="preserve"> </w:t>
      </w:r>
      <w:r w:rsidR="009A5E00" w:rsidRPr="005A566B">
        <w:rPr>
          <w:rFonts w:ascii="Arial" w:hAnsi="Arial" w:cs="Arial"/>
          <w:bCs/>
          <w:iCs/>
          <w:sz w:val="24"/>
          <w:szCs w:val="24"/>
        </w:rPr>
        <w:fldChar w:fldCharType="begin" w:fldLock="1"/>
      </w:r>
      <w:r w:rsidR="00031DA3" w:rsidRPr="005A566B">
        <w:rPr>
          <w:rFonts w:ascii="Arial" w:hAnsi="Arial" w:cs="Arial"/>
          <w:bCs/>
          <w:iCs/>
          <w:sz w:val="24"/>
          <w:szCs w:val="24"/>
        </w:rPr>
        <w:instrText>ADDIN CSL_CITATION { "citationItems" : [ { "id" : "ITEM-1", "itemData" : { "DOI" : "10.2307/257902", "ISBN" : "03637425", "ISSN" : "03637425", "abstract" : "Recent formal recognition of situational influences on the management of complex organizations has led to an increasing number of contingency models, but a comprehensive and integrative theoretical framework for contingency management has been lacking. A General Contingency Theory (GCT) of Management is introduced as an overall framework that integrates the diverse process, quantitative and behavioral approaches to management; incorporates the environment; and begins to bridge the gap between management theory and practice.", "author" : [ { "dropping-particle" : "", "family" : "Luthans", "given" : "Fred", "non-dropping-particle" : "", "parse-names" : false, "suffix" : "" }, { "dropping-particle" : "", "family" : "Stewart", "given" : "Todd I", "non-dropping-particle" : "", "parse-names" : false, "suffix" : "" } ], "container-title" : "Academy of management review", "id" : "ITEM-1", "issue" : "2", "issued" : { "date-parts" : [ [ "1977" ] ] }, "page" : "181-195", "title" : "A general contingency theory of management", "type" : "article-journal", "volume" : "2" }, "uris" : [ "http://www.mendeley.com/documents/?uuid=c09f47bb-7f83-4b9d-bbaf-2d9b5b45ea19" ] } ], "mendeley" : { "formattedCitation" : "(Luthans and Stewart, 1977)", "plainTextFormattedCitation" : "(Luthans and Stewart, 1977)", "previouslyFormattedCitation" : "(Luthans and Stewart, 1977)" }, "properties" : {  }, "schema" : "https://github.com/citation-style-language/schema/raw/master/csl-citation.json" }</w:instrText>
      </w:r>
      <w:r w:rsidR="009A5E00" w:rsidRPr="005A566B">
        <w:rPr>
          <w:rFonts w:ascii="Arial" w:hAnsi="Arial" w:cs="Arial"/>
          <w:bCs/>
          <w:iCs/>
          <w:sz w:val="24"/>
          <w:szCs w:val="24"/>
        </w:rPr>
        <w:fldChar w:fldCharType="separate"/>
      </w:r>
      <w:r w:rsidR="00031DA3" w:rsidRPr="005A566B">
        <w:rPr>
          <w:rFonts w:ascii="Arial" w:hAnsi="Arial" w:cs="Arial"/>
          <w:bCs/>
          <w:iCs/>
          <w:noProof/>
          <w:sz w:val="24"/>
          <w:szCs w:val="24"/>
        </w:rPr>
        <w:t>(Luthans and Stewart, 1977)</w:t>
      </w:r>
      <w:r w:rsidR="009A5E00" w:rsidRPr="005A566B">
        <w:rPr>
          <w:rFonts w:ascii="Arial" w:hAnsi="Arial" w:cs="Arial"/>
          <w:bCs/>
          <w:iCs/>
          <w:sz w:val="24"/>
          <w:szCs w:val="24"/>
        </w:rPr>
        <w:fldChar w:fldCharType="end"/>
      </w:r>
      <w:r w:rsidR="009A5E00" w:rsidRPr="00E92D44">
        <w:rPr>
          <w:rFonts w:ascii="Arial" w:hAnsi="Arial" w:cs="Arial"/>
          <w:bCs/>
          <w:iCs/>
          <w:sz w:val="24"/>
          <w:szCs w:val="24"/>
        </w:rPr>
        <w:t>.</w:t>
      </w:r>
      <w:r w:rsidRPr="005A566B">
        <w:rPr>
          <w:rFonts w:ascii="Arial" w:hAnsi="Arial" w:cs="Arial"/>
          <w:bCs/>
          <w:iCs/>
          <w:sz w:val="24"/>
          <w:szCs w:val="24"/>
        </w:rPr>
        <w:t xml:space="preserve"> </w:t>
      </w:r>
      <w:r w:rsidR="006D0162" w:rsidRPr="005A566B">
        <w:rPr>
          <w:rFonts w:ascii="Arial" w:hAnsi="Arial" w:cs="Arial"/>
          <w:bCs/>
          <w:iCs/>
          <w:sz w:val="24"/>
          <w:szCs w:val="24"/>
        </w:rPr>
        <w:t xml:space="preserve">In order to measure </w:t>
      </w:r>
      <w:r w:rsidR="0095264A" w:rsidRPr="005A566B">
        <w:rPr>
          <w:rFonts w:ascii="Arial" w:hAnsi="Arial" w:cs="Arial"/>
          <w:bCs/>
          <w:iCs/>
          <w:sz w:val="24"/>
          <w:szCs w:val="24"/>
          <w:lang w:val="en-US"/>
        </w:rPr>
        <w:t>management capability</w:t>
      </w:r>
      <w:r w:rsidR="006D0162" w:rsidRPr="005A566B">
        <w:rPr>
          <w:rFonts w:ascii="Arial" w:hAnsi="Arial" w:cs="Arial"/>
          <w:bCs/>
          <w:iCs/>
          <w:sz w:val="24"/>
          <w:szCs w:val="24"/>
        </w:rPr>
        <w:t xml:space="preserve">, </w:t>
      </w:r>
      <w:bookmarkStart w:id="124" w:name="OLE_LINK308"/>
      <w:bookmarkStart w:id="125" w:name="OLE_LINK315"/>
      <w:bookmarkStart w:id="126" w:name="OLE_LINK316"/>
      <w:r w:rsidR="006D0162" w:rsidRPr="005A566B">
        <w:rPr>
          <w:rFonts w:ascii="Arial" w:hAnsi="Arial" w:cs="Arial"/>
          <w:bCs/>
          <w:iCs/>
          <w:sz w:val="24"/>
          <w:szCs w:val="24"/>
        </w:rPr>
        <w:t xml:space="preserve">we construct a measure for </w:t>
      </w:r>
      <w:bookmarkStart w:id="127" w:name="OLE_LINK305"/>
      <w:bookmarkStart w:id="128" w:name="OLE_LINK306"/>
      <w:bookmarkStart w:id="129" w:name="OLE_LINK307"/>
      <w:r w:rsidR="00E74227" w:rsidRPr="005A566B">
        <w:rPr>
          <w:rFonts w:ascii="Arial" w:hAnsi="Arial" w:cs="Arial"/>
          <w:bCs/>
          <w:iCs/>
          <w:sz w:val="24"/>
          <w:szCs w:val="24"/>
        </w:rPr>
        <w:t>CEO ability</w:t>
      </w:r>
      <w:bookmarkEnd w:id="127"/>
      <w:bookmarkEnd w:id="128"/>
      <w:bookmarkEnd w:id="129"/>
      <w:r w:rsidR="006D0162" w:rsidRPr="005A566B">
        <w:rPr>
          <w:rFonts w:ascii="Arial" w:hAnsi="Arial" w:cs="Arial"/>
          <w:bCs/>
          <w:iCs/>
          <w:sz w:val="24"/>
          <w:szCs w:val="24"/>
        </w:rPr>
        <w:t xml:space="preserve">. Following </w:t>
      </w:r>
      <w:r w:rsidR="006D0162" w:rsidRPr="005A566B">
        <w:rPr>
          <w:rFonts w:ascii="Arial" w:hAnsi="Arial" w:cs="Arial"/>
          <w:bCs/>
          <w:iCs/>
          <w:sz w:val="24"/>
          <w:szCs w:val="24"/>
        </w:rPr>
        <w:fldChar w:fldCharType="begin" w:fldLock="1"/>
      </w:r>
      <w:r w:rsidR="00031DA3" w:rsidRPr="005A566B">
        <w:rPr>
          <w:rFonts w:ascii="Arial" w:hAnsi="Arial" w:cs="Arial"/>
          <w:bCs/>
          <w:iCs/>
          <w:sz w:val="24"/>
          <w:szCs w:val="24"/>
        </w:rPr>
        <w:instrText>ADDIN CSL_CITATION { "citationItems" : [ { "id" : "ITEM-1", "itemData" : { "DOI" : "10.1016/j.jfs.2016.09.003", "ISSN" : "15723089", "abstract" : "The global financial sector recently suffered from two interrelated crises: the credit crisis and the sovereign debt crisis. A common question is whether the recent experience with the credit crisis has helped in dealing with the sovereign debt crisis. We study more specifically whether banks with powerful CEOs perform better or worse than other banks, and if there is any difference in this relationship between the two crises. Using unique hand-collected data for 378 large global banks, we find that CEO power has a significant positive relation to bank profitability and asset quality, but also to insolvency risk, during the sovereign debt crisis. Thus, strong CEOs do not appear to be detrimental to bank performance. Our results also support the idea that deposit insurance may have contributed to the credit crisis.", "author" : [ { "dropping-particle" : "", "family" : "Mollah", "given" : "Sabur", "non-dropping-particle" : "", "parse-names" : false, "suffix" : "" }, { "dropping-particle" : "", "family" : "Liljeblom", "given" : "Eva", "non-dropping-particle" : "", "parse-names" : false, "suffix" : "" } ], "container-title" : "Journal of Financial Stability", "id" : "ITEM-1", "issue" : "September", "issued" : { "date-parts" : [ [ "2016" ] ] }, "page" : "59-73", "title" : "Governance and bank characteristics in the credit and sovereign debt crises \u2013 the impact of CEO power", "type" : "article-journal", "volume" : "27" }, "uris" : [ "http://www.mendeley.com/documents/?uuid=f58eb7e3-f3e3-4e2d-acb8-b91dc791dfd4" ] } ], "mendeley" : { "formattedCitation" : "(Mollah and Liljeblom, 2016)", "manualFormatting" : "Mollah and Liljeblom (2016)", "plainTextFormattedCitation" : "(Mollah and Liljeblom, 2016)", "previouslyFormattedCitation" : "(Mollah and Liljeblom, 2016)" }, "properties" : {  }, "schema" : "https://github.com/citation-style-language/schema/raw/master/csl-citation.json" }</w:instrText>
      </w:r>
      <w:r w:rsidR="006D0162" w:rsidRPr="005A566B">
        <w:rPr>
          <w:rFonts w:ascii="Arial" w:hAnsi="Arial" w:cs="Arial"/>
          <w:bCs/>
          <w:iCs/>
          <w:sz w:val="24"/>
          <w:szCs w:val="24"/>
        </w:rPr>
        <w:fldChar w:fldCharType="separate"/>
      </w:r>
      <w:r w:rsidR="006D0162" w:rsidRPr="005A566B">
        <w:rPr>
          <w:rFonts w:ascii="Arial" w:hAnsi="Arial" w:cs="Arial"/>
          <w:bCs/>
          <w:iCs/>
          <w:noProof/>
          <w:sz w:val="24"/>
          <w:szCs w:val="24"/>
        </w:rPr>
        <w:t>Mollah and Liljeblom (2016)</w:t>
      </w:r>
      <w:r w:rsidR="006D0162" w:rsidRPr="005A566B">
        <w:rPr>
          <w:rFonts w:ascii="Arial" w:hAnsi="Arial" w:cs="Arial"/>
          <w:bCs/>
          <w:iCs/>
          <w:sz w:val="24"/>
          <w:szCs w:val="24"/>
        </w:rPr>
        <w:fldChar w:fldCharType="end"/>
      </w:r>
      <w:r w:rsidR="006D0162" w:rsidRPr="00E92D44">
        <w:rPr>
          <w:rFonts w:ascii="Arial" w:hAnsi="Arial" w:cs="Arial"/>
          <w:bCs/>
          <w:iCs/>
          <w:sz w:val="24"/>
          <w:szCs w:val="24"/>
        </w:rPr>
        <w:t xml:space="preserve">, we construct an index based on six dummy variables </w:t>
      </w:r>
      <w:bookmarkEnd w:id="124"/>
      <w:bookmarkEnd w:id="125"/>
      <w:bookmarkEnd w:id="126"/>
      <w:r w:rsidR="006D0162" w:rsidRPr="00E92D44">
        <w:rPr>
          <w:rFonts w:ascii="Arial" w:hAnsi="Arial" w:cs="Arial"/>
          <w:bCs/>
          <w:iCs/>
          <w:sz w:val="24"/>
          <w:szCs w:val="24"/>
        </w:rPr>
        <w:t xml:space="preserve">(i.e. it is a sum of six binary variables). The variables measure </w:t>
      </w:r>
      <w:bookmarkStart w:id="130" w:name="OLE_LINK317"/>
      <w:bookmarkStart w:id="131" w:name="OLE_LINK324"/>
      <w:bookmarkStart w:id="132" w:name="OLE_LINK325"/>
      <w:r w:rsidR="006D0162" w:rsidRPr="00E92D44">
        <w:rPr>
          <w:rFonts w:ascii="Arial" w:hAnsi="Arial" w:cs="Arial"/>
          <w:bCs/>
          <w:iCs/>
          <w:sz w:val="24"/>
          <w:szCs w:val="24"/>
        </w:rPr>
        <w:t>(a) if there is a C</w:t>
      </w:r>
      <w:r w:rsidR="006D0162" w:rsidRPr="005A566B">
        <w:rPr>
          <w:rFonts w:ascii="Arial" w:hAnsi="Arial" w:cs="Arial"/>
          <w:bCs/>
          <w:iCs/>
          <w:sz w:val="24"/>
          <w:szCs w:val="24"/>
        </w:rPr>
        <w:t xml:space="preserve">EO-Chair duality, (b) if the CEO is internally recruited, (c) if the age of the CEO is greater than median age, (d) if the CEO’s tenure is greater than median </w:t>
      </w:r>
      <w:r w:rsidR="006D0162" w:rsidRPr="005A566B">
        <w:rPr>
          <w:rFonts w:ascii="Arial" w:hAnsi="Arial" w:cs="Arial"/>
          <w:bCs/>
          <w:iCs/>
          <w:sz w:val="24"/>
          <w:szCs w:val="24"/>
        </w:rPr>
        <w:lastRenderedPageBreak/>
        <w:t xml:space="preserve">tenure, (e) if the CEO’s banking experience is greater than the median banking experience, and (f) if the CEO’s qualifications surpass the median qualifications. If a condition exists, the dummy </w:t>
      </w:r>
      <w:r w:rsidR="00BA5AB5" w:rsidRPr="005A566B">
        <w:rPr>
          <w:rFonts w:ascii="Arial" w:hAnsi="Arial" w:cs="Arial"/>
          <w:bCs/>
          <w:iCs/>
          <w:sz w:val="24"/>
          <w:szCs w:val="24"/>
        </w:rPr>
        <w:t>equals one, and zero otherwise.</w:t>
      </w:r>
      <w:bookmarkEnd w:id="130"/>
      <w:bookmarkEnd w:id="131"/>
      <w:bookmarkEnd w:id="132"/>
    </w:p>
    <w:p w14:paraId="4EDB2DA3" w14:textId="77777777" w:rsidR="004E32E2" w:rsidRPr="005A566B" w:rsidRDefault="004E32E2" w:rsidP="004E32E2">
      <w:pPr>
        <w:spacing w:after="0" w:line="360" w:lineRule="auto"/>
        <w:ind w:firstLine="720"/>
        <w:jc w:val="both"/>
        <w:rPr>
          <w:rFonts w:ascii="Arial" w:hAnsi="Arial" w:cs="Arial"/>
          <w:bCs/>
          <w:iCs/>
          <w:sz w:val="24"/>
          <w:szCs w:val="24"/>
        </w:rPr>
      </w:pPr>
    </w:p>
    <w:p w14:paraId="49729EC8" w14:textId="77777777" w:rsidR="00A44DB5" w:rsidRPr="005A566B" w:rsidRDefault="00A44DB5" w:rsidP="004E32E2">
      <w:pPr>
        <w:spacing w:after="0" w:line="360" w:lineRule="auto"/>
        <w:ind w:left="1440" w:firstLine="720"/>
        <w:jc w:val="both"/>
        <w:rPr>
          <w:rFonts w:ascii="Arial" w:hAnsi="Arial" w:cs="Arial"/>
          <w:b/>
          <w:bCs/>
          <w:iCs/>
          <w:sz w:val="24"/>
          <w:szCs w:val="24"/>
        </w:rPr>
      </w:pPr>
      <w:r w:rsidRPr="005A566B">
        <w:rPr>
          <w:rFonts w:ascii="Arial" w:hAnsi="Arial" w:cs="Arial"/>
          <w:b/>
          <w:bCs/>
          <w:iCs/>
          <w:sz w:val="24"/>
          <w:szCs w:val="24"/>
        </w:rPr>
        <w:t>[Insert Table 1 about here]</w:t>
      </w:r>
    </w:p>
    <w:p w14:paraId="4D422CF5" w14:textId="77777777" w:rsidR="004E32E2" w:rsidRPr="005A566B" w:rsidRDefault="004E32E2" w:rsidP="004E32E2">
      <w:pPr>
        <w:spacing w:after="0" w:line="360" w:lineRule="auto"/>
        <w:ind w:left="1440" w:firstLine="720"/>
        <w:jc w:val="both"/>
        <w:rPr>
          <w:rFonts w:ascii="Arial" w:hAnsi="Arial" w:cs="Arial"/>
          <w:b/>
          <w:bCs/>
          <w:iCs/>
          <w:sz w:val="24"/>
          <w:szCs w:val="24"/>
        </w:rPr>
      </w:pPr>
    </w:p>
    <w:p w14:paraId="7EC385B9" w14:textId="77777777" w:rsidR="00801320" w:rsidRPr="005A566B" w:rsidRDefault="00AD0A7E" w:rsidP="004E32E2">
      <w:pPr>
        <w:spacing w:after="0" w:line="360" w:lineRule="auto"/>
        <w:jc w:val="both"/>
        <w:rPr>
          <w:rFonts w:ascii="Arial" w:hAnsi="Arial" w:cs="Arial"/>
          <w:bCs/>
          <w:i/>
          <w:iCs/>
          <w:sz w:val="24"/>
          <w:szCs w:val="24"/>
        </w:rPr>
      </w:pPr>
      <w:r w:rsidRPr="005A566B">
        <w:rPr>
          <w:rFonts w:ascii="Arial" w:hAnsi="Arial" w:cs="Arial"/>
          <w:bCs/>
          <w:i/>
          <w:iCs/>
          <w:sz w:val="24"/>
          <w:szCs w:val="24"/>
        </w:rPr>
        <w:t xml:space="preserve">3.1.3 </w:t>
      </w:r>
      <w:r w:rsidR="00801320" w:rsidRPr="005A566B">
        <w:rPr>
          <w:rFonts w:ascii="Arial" w:hAnsi="Arial" w:cs="Arial"/>
          <w:bCs/>
          <w:i/>
          <w:iCs/>
          <w:sz w:val="24"/>
          <w:szCs w:val="24"/>
        </w:rPr>
        <w:t xml:space="preserve">Control Variables </w:t>
      </w:r>
    </w:p>
    <w:p w14:paraId="2DEDF86E" w14:textId="2AD68028" w:rsidR="00807710" w:rsidRPr="005A566B" w:rsidRDefault="00801320" w:rsidP="004E32E2">
      <w:pPr>
        <w:spacing w:after="0" w:line="360" w:lineRule="auto"/>
        <w:ind w:firstLine="720"/>
        <w:jc w:val="both"/>
        <w:rPr>
          <w:rFonts w:ascii="Arial" w:hAnsi="Arial" w:cs="Arial"/>
          <w:bCs/>
          <w:iCs/>
          <w:sz w:val="24"/>
          <w:szCs w:val="24"/>
        </w:rPr>
      </w:pPr>
      <w:r w:rsidRPr="005A566B">
        <w:rPr>
          <w:rFonts w:ascii="Arial" w:eastAsia="Calibri" w:hAnsi="Arial" w:cs="Arial"/>
          <w:sz w:val="24"/>
          <w:szCs w:val="24"/>
        </w:rPr>
        <w:t xml:space="preserve">We include other variables </w:t>
      </w:r>
      <w:r w:rsidRPr="005A566B">
        <w:rPr>
          <w:rFonts w:ascii="Arial" w:eastAsia="Calibri" w:hAnsi="Arial" w:cs="Arial"/>
          <w:bCs/>
          <w:iCs/>
          <w:sz w:val="24"/>
          <w:szCs w:val="24"/>
        </w:rPr>
        <w:t>to control for other changes in financial characteristics.</w:t>
      </w:r>
      <w:r w:rsidRPr="005A566B">
        <w:rPr>
          <w:rFonts w:ascii="Arial" w:eastAsia="Calibri" w:hAnsi="Arial" w:cs="Arial"/>
          <w:sz w:val="24"/>
          <w:szCs w:val="24"/>
        </w:rPr>
        <w:t xml:space="preserve"> </w:t>
      </w:r>
      <w:r w:rsidRPr="005A566B">
        <w:rPr>
          <w:rFonts w:ascii="Arial" w:eastAsia="Calibri" w:hAnsi="Arial" w:cs="Arial"/>
          <w:bCs/>
          <w:iCs/>
          <w:sz w:val="24"/>
          <w:szCs w:val="24"/>
        </w:rPr>
        <w:t>These control variables include: financial leverage</w:t>
      </w:r>
      <w:r w:rsidR="00392A88" w:rsidRPr="005A566B">
        <w:rPr>
          <w:rFonts w:ascii="Arial" w:eastAsia="Calibri" w:hAnsi="Arial" w:cs="Arial"/>
          <w:bCs/>
          <w:iCs/>
          <w:sz w:val="24"/>
          <w:szCs w:val="24"/>
        </w:rPr>
        <w:t xml:space="preserve"> (FLEV)</w:t>
      </w:r>
      <w:r w:rsidRPr="005A566B">
        <w:rPr>
          <w:rFonts w:ascii="Arial" w:eastAsia="Calibri" w:hAnsi="Arial" w:cs="Arial"/>
          <w:bCs/>
          <w:iCs/>
          <w:sz w:val="24"/>
          <w:szCs w:val="24"/>
        </w:rPr>
        <w:t>, which is defined as the total debt as a percentage of total assets (Aktas et al., 2015);</w:t>
      </w:r>
      <w:r w:rsidRPr="005A566B">
        <w:rPr>
          <w:rFonts w:ascii="Arial" w:hAnsi="Arial" w:cs="Arial"/>
          <w:bCs/>
          <w:iCs/>
          <w:sz w:val="24"/>
          <w:szCs w:val="24"/>
        </w:rPr>
        <w:t xml:space="preserve"> </w:t>
      </w:r>
      <w:r w:rsidRPr="005A566B">
        <w:rPr>
          <w:rFonts w:ascii="Arial" w:eastAsia="Calibri" w:hAnsi="Arial" w:cs="Arial"/>
          <w:bCs/>
          <w:iCs/>
          <w:sz w:val="24"/>
          <w:szCs w:val="24"/>
        </w:rPr>
        <w:t>firm age</w:t>
      </w:r>
      <w:r w:rsidR="00392A88" w:rsidRPr="005A566B">
        <w:rPr>
          <w:rFonts w:ascii="Arial" w:eastAsia="Calibri" w:hAnsi="Arial" w:cs="Arial"/>
          <w:bCs/>
          <w:iCs/>
          <w:sz w:val="24"/>
          <w:szCs w:val="24"/>
        </w:rPr>
        <w:t xml:space="preserve"> (AGE)</w:t>
      </w:r>
      <w:r w:rsidRPr="005A566B">
        <w:rPr>
          <w:rFonts w:ascii="Arial" w:eastAsia="Calibri" w:hAnsi="Arial" w:cs="Arial"/>
          <w:bCs/>
          <w:iCs/>
          <w:sz w:val="24"/>
          <w:szCs w:val="24"/>
        </w:rPr>
        <w:t xml:space="preserve">, which is defined as the number of years between incorporation and the calendar year end </w:t>
      </w:r>
      <w:r w:rsidRPr="005A566B">
        <w:rPr>
          <w:rFonts w:ascii="Arial" w:eastAsia="Calibri" w:hAnsi="Arial" w:cs="Arial"/>
          <w:bCs/>
          <w:iCs/>
          <w:sz w:val="24"/>
          <w:szCs w:val="24"/>
        </w:rPr>
        <w:lastRenderedPageBreak/>
        <w:t>of each</w:t>
      </w:r>
      <w:r w:rsidR="00FE0A22" w:rsidRPr="005A566B">
        <w:rPr>
          <w:rFonts w:ascii="Arial" w:eastAsia="Calibri" w:hAnsi="Arial" w:cs="Arial"/>
          <w:bCs/>
          <w:iCs/>
          <w:sz w:val="24"/>
          <w:szCs w:val="24"/>
        </w:rPr>
        <w:t xml:space="preserve"> firm (</w:t>
      </w:r>
      <w:bookmarkStart w:id="133" w:name="OLE_LINK123"/>
      <w:bookmarkStart w:id="134" w:name="OLE_LINK124"/>
      <w:r w:rsidR="00FE0A22" w:rsidRPr="005A566B">
        <w:rPr>
          <w:rFonts w:ascii="Arial" w:eastAsia="Calibri" w:hAnsi="Arial" w:cs="Arial"/>
          <w:bCs/>
          <w:iCs/>
          <w:sz w:val="24"/>
          <w:szCs w:val="24"/>
        </w:rPr>
        <w:t>Afrifa and Tingbani, 2018</w:t>
      </w:r>
      <w:bookmarkEnd w:id="133"/>
      <w:bookmarkEnd w:id="134"/>
      <w:r w:rsidRPr="005A566B">
        <w:rPr>
          <w:rFonts w:ascii="Arial" w:eastAsia="Calibri" w:hAnsi="Arial" w:cs="Arial"/>
          <w:bCs/>
          <w:iCs/>
          <w:sz w:val="24"/>
          <w:szCs w:val="24"/>
        </w:rPr>
        <w:t>);</w:t>
      </w:r>
      <w:r w:rsidRPr="005A566B">
        <w:rPr>
          <w:rFonts w:ascii="Arial" w:hAnsi="Arial" w:cs="Arial"/>
          <w:bCs/>
          <w:iCs/>
          <w:sz w:val="24"/>
          <w:szCs w:val="24"/>
        </w:rPr>
        <w:t xml:space="preserve"> </w:t>
      </w:r>
      <w:bookmarkStart w:id="135" w:name="OLE_LINK157"/>
      <w:bookmarkStart w:id="136" w:name="OLE_LINK158"/>
      <w:r w:rsidRPr="005A566B">
        <w:rPr>
          <w:rFonts w:ascii="Arial" w:eastAsia="Calibri" w:hAnsi="Arial" w:cs="Arial"/>
          <w:bCs/>
          <w:iCs/>
          <w:sz w:val="24"/>
          <w:szCs w:val="24"/>
        </w:rPr>
        <w:t>tangible fixed assets</w:t>
      </w:r>
      <w:r w:rsidR="00392A88" w:rsidRPr="005A566B">
        <w:rPr>
          <w:rFonts w:ascii="Arial" w:eastAsia="Calibri" w:hAnsi="Arial" w:cs="Arial"/>
          <w:bCs/>
          <w:iCs/>
          <w:sz w:val="24"/>
          <w:szCs w:val="24"/>
        </w:rPr>
        <w:t xml:space="preserve"> </w:t>
      </w:r>
      <w:bookmarkEnd w:id="135"/>
      <w:bookmarkEnd w:id="136"/>
      <w:r w:rsidR="00392A88" w:rsidRPr="005A566B">
        <w:rPr>
          <w:rFonts w:ascii="Arial" w:eastAsia="Calibri" w:hAnsi="Arial" w:cs="Arial"/>
          <w:bCs/>
          <w:iCs/>
          <w:sz w:val="24"/>
          <w:szCs w:val="24"/>
        </w:rPr>
        <w:t>(TAN)</w:t>
      </w:r>
      <w:r w:rsidRPr="005A566B">
        <w:rPr>
          <w:rFonts w:ascii="Arial" w:eastAsia="Calibri" w:hAnsi="Arial" w:cs="Arial"/>
          <w:bCs/>
          <w:iCs/>
          <w:sz w:val="24"/>
          <w:szCs w:val="24"/>
        </w:rPr>
        <w:t xml:space="preserve">, which is defined as the fixed assets as a percentage of total assets </w:t>
      </w:r>
      <w:r w:rsidR="00FE0A22" w:rsidRPr="005A566B">
        <w:rPr>
          <w:rFonts w:ascii="Arial" w:eastAsia="Calibri" w:hAnsi="Arial" w:cs="Arial"/>
          <w:bCs/>
          <w:iCs/>
          <w:sz w:val="24"/>
          <w:szCs w:val="24"/>
        </w:rPr>
        <w:fldChar w:fldCharType="begin" w:fldLock="1"/>
      </w:r>
      <w:r w:rsidR="00031DA3" w:rsidRPr="005A566B">
        <w:rPr>
          <w:rFonts w:ascii="Arial" w:eastAsia="Calibri" w:hAnsi="Arial" w:cs="Arial"/>
          <w:bCs/>
          <w:iCs/>
          <w:sz w:val="24"/>
          <w:szCs w:val="24"/>
        </w:rPr>
        <w:instrText>ADDIN CSL_CITATION { "citationItems" : [ { "id" : "ITEM-1", "itemData" : { "DOI" : "10.1108/RAF-02-2015-0031", "ISSN" : "1475-7702", "abstract" : "Purpose - This paper aims to examine the influence of cash flow on the\\nrelationship between net working capital and firm performance.\\nDesign/methodology/approach - The paper uses unbalanced panel data\\nregression analysis on a sample of 6,926 non-financial small and medium\\nenterprises in the UK for the period from 2004 to 2013.\\nFindings - The results indicate a strong concave relationship between\\nnet working capital and performance in the absence of cash flow;\\nhowever, the relationship becomes convex after taking cash flow into\\nconsideration. The results further show that firms with cash flow below\\nthe sample median exhibit lower investment in working capital, but firms\\nwith cash flow above the sample median have higher investment in working\\ncapital. The results suggest that managers should consider their firms\\ncash flow when determining the appropriate investment to be made in\\nworking capital, so as to improve performance.\\nPractical implications - Overall, the results suggest that whilst firms\\nwith limited cash flow should strive to reduce investment in working\\ncapital, firms with available cash flow should increase investment in\\nworking capital to improve performance.\\nOriginality/value - This current study incorporates the relevance of\\ncash flow in assessing the association between working capital\\nmanagement and firm performance.", "author" : [ { "dropping-particle" : "", "family" : "Afrifa", "given" : "Godfred Adjappong", "non-dropping-particle" : "", "parse-names" : false, "suffix" : "" } ], "container-title" : "REVIEW OF ACCOUNTING AND FINANCE", "id" : "ITEM-1", "issue" : "1", "issued" : { "date-parts" : [ [ "2016" ] ] }, "page" : "21-44", "title" : "Net working capital, cash flow and performance of UK SMEs", "type" : "article-journal", "volume" : "15" }, "uris" : [ "http://www.mendeley.com/documents/?uuid=a5aabdb4-342c-471c-9cc7-1f074da301f6" ] } ], "mendeley" : { "formattedCitation" : "(Afrifa, 2016)", "manualFormatting" : "(Afrifa 2016)", "plainTextFormattedCitation" : "(Afrifa, 2016)", "previouslyFormattedCitation" : "(Afrifa, 2016)" }, "properties" : {  }, "schema" : "https://github.com/citation-style-language/schema/raw/master/csl-citation.json" }</w:instrText>
      </w:r>
      <w:r w:rsidR="00FE0A22" w:rsidRPr="005A566B">
        <w:rPr>
          <w:rFonts w:ascii="Arial" w:eastAsia="Calibri" w:hAnsi="Arial" w:cs="Arial"/>
          <w:bCs/>
          <w:iCs/>
          <w:sz w:val="24"/>
          <w:szCs w:val="24"/>
        </w:rPr>
        <w:fldChar w:fldCharType="separate"/>
      </w:r>
      <w:r w:rsidR="00FE0A22" w:rsidRPr="005A566B">
        <w:rPr>
          <w:rFonts w:ascii="Arial" w:eastAsia="Calibri" w:hAnsi="Arial" w:cs="Arial"/>
          <w:bCs/>
          <w:iCs/>
          <w:noProof/>
          <w:sz w:val="24"/>
          <w:szCs w:val="24"/>
        </w:rPr>
        <w:t>(Afrifa</w:t>
      </w:r>
      <w:r w:rsidR="003E07CE" w:rsidRPr="005A566B">
        <w:rPr>
          <w:rFonts w:ascii="Arial" w:eastAsia="Calibri" w:hAnsi="Arial" w:cs="Arial"/>
          <w:bCs/>
          <w:iCs/>
          <w:noProof/>
          <w:sz w:val="24"/>
          <w:szCs w:val="24"/>
        </w:rPr>
        <w:t xml:space="preserve"> et. al., 2015</w:t>
      </w:r>
      <w:r w:rsidR="00FE0A22" w:rsidRPr="005A566B">
        <w:rPr>
          <w:rFonts w:ascii="Arial" w:eastAsia="Calibri" w:hAnsi="Arial" w:cs="Arial"/>
          <w:bCs/>
          <w:iCs/>
          <w:noProof/>
          <w:sz w:val="24"/>
          <w:szCs w:val="24"/>
        </w:rPr>
        <w:t>)</w:t>
      </w:r>
      <w:r w:rsidR="00FE0A22" w:rsidRPr="005A566B">
        <w:rPr>
          <w:rFonts w:ascii="Arial" w:eastAsia="Calibri" w:hAnsi="Arial" w:cs="Arial"/>
          <w:bCs/>
          <w:iCs/>
          <w:sz w:val="24"/>
          <w:szCs w:val="24"/>
        </w:rPr>
        <w:fldChar w:fldCharType="end"/>
      </w:r>
      <w:r w:rsidRPr="00E92D44">
        <w:rPr>
          <w:rFonts w:ascii="Arial" w:eastAsia="Calibri" w:hAnsi="Arial" w:cs="Arial"/>
          <w:bCs/>
          <w:iCs/>
          <w:sz w:val="24"/>
          <w:szCs w:val="24"/>
        </w:rPr>
        <w:t>;</w:t>
      </w:r>
      <w:r w:rsidRPr="005A566B">
        <w:rPr>
          <w:rFonts w:ascii="Arial" w:hAnsi="Arial" w:cs="Arial"/>
          <w:bCs/>
          <w:iCs/>
          <w:sz w:val="24"/>
          <w:szCs w:val="24"/>
        </w:rPr>
        <w:t xml:space="preserve"> </w:t>
      </w:r>
      <w:bookmarkStart w:id="137" w:name="OLE_LINK159"/>
      <w:bookmarkStart w:id="138" w:name="OLE_LINK168"/>
      <w:bookmarkStart w:id="139" w:name="OLE_LINK169"/>
      <w:r w:rsidRPr="005A566B">
        <w:rPr>
          <w:rFonts w:ascii="Arial" w:hAnsi="Arial" w:cs="Arial"/>
          <w:bCs/>
          <w:iCs/>
          <w:sz w:val="24"/>
          <w:szCs w:val="24"/>
        </w:rPr>
        <w:t>sales growth</w:t>
      </w:r>
      <w:r w:rsidR="00392A88" w:rsidRPr="005A566B">
        <w:rPr>
          <w:rFonts w:ascii="Arial" w:hAnsi="Arial" w:cs="Arial"/>
          <w:bCs/>
          <w:iCs/>
          <w:sz w:val="24"/>
          <w:szCs w:val="24"/>
        </w:rPr>
        <w:t xml:space="preserve"> </w:t>
      </w:r>
      <w:bookmarkEnd w:id="137"/>
      <w:bookmarkEnd w:id="138"/>
      <w:bookmarkEnd w:id="139"/>
      <w:r w:rsidR="00392A88" w:rsidRPr="005A566B">
        <w:rPr>
          <w:rFonts w:ascii="Arial" w:hAnsi="Arial" w:cs="Arial"/>
          <w:bCs/>
          <w:iCs/>
          <w:sz w:val="24"/>
          <w:szCs w:val="24"/>
        </w:rPr>
        <w:t>(GROWTH)</w:t>
      </w:r>
      <w:r w:rsidRPr="005A566B">
        <w:rPr>
          <w:rFonts w:ascii="Arial" w:hAnsi="Arial" w:cs="Arial"/>
          <w:bCs/>
          <w:iCs/>
          <w:sz w:val="24"/>
          <w:szCs w:val="24"/>
        </w:rPr>
        <w:t xml:space="preserve">, which is defined as the annual sales growth (Sales – Salest−1)/Salest−1 </w:t>
      </w:r>
      <w:r w:rsidRPr="005A566B">
        <w:rPr>
          <w:rFonts w:ascii="Arial" w:hAnsi="Arial" w:cs="Arial"/>
          <w:bCs/>
          <w:iCs/>
          <w:sz w:val="24"/>
          <w:szCs w:val="24"/>
        </w:rPr>
        <w:fldChar w:fldCharType="begin"/>
      </w:r>
      <w:r w:rsidRPr="005A566B">
        <w:rPr>
          <w:rFonts w:ascii="Arial" w:hAnsi="Arial" w:cs="Arial"/>
          <w:bCs/>
          <w:iCs/>
          <w:sz w:val="24"/>
          <w:szCs w:val="24"/>
        </w:rPr>
        <w:instrText xml:space="preserve"> ADDIN EN.CITE &lt;EndNote&gt;&lt;Cite&gt;&lt;Author&gt;Baños-Caballero&lt;/Author&gt;&lt;Year&gt;2014&lt;/Year&gt;&lt;RecNum&gt;254&lt;/RecNum&gt;&lt;DisplayText&gt;(Baños-Caballero, et al., 2014)&lt;/DisplayText&gt;&lt;record&gt;&lt;rec-number&gt;254&lt;/rec-number&gt;&lt;foreign-keys&gt;&lt;key app="EN" db-id="fsexrwpwydxw0oewd5yxxppstzvzsewes0ta"&gt;254&lt;/key&gt;&lt;key app="ENWeb" db-id="Ss3bFgrtqgcAAGTyI5k"&gt;368&lt;/key&gt;&lt;/foreign-keys&gt;&lt;ref-type name="Journal Article"&gt;17&lt;/ref-type&gt;&lt;contributors&gt;&lt;authors&gt;&lt;author&gt;Baños-Caballero, Sonia&lt;/author&gt;&lt;author&gt;García-Teruel, Pedro J.&lt;/author&gt;&lt;author&gt;Martínez-Solano, Pedro&lt;/author&gt;&lt;/authors&gt;&lt;/contributors&gt;&lt;titles&gt;&lt;title&gt;Working capital management, corporate performance, and financial constraints&lt;/title&gt;&lt;secondary-title&gt;Journal of Business Research&lt;/secondary-title&gt;&lt;/titles&gt;&lt;periodical&gt;&lt;full-title&gt;Journal of Business Research&lt;/full-title&gt;&lt;/periodical&gt;&lt;pages&gt;332-338&lt;/pages&gt;&lt;volume&gt;67&lt;/volume&gt;&lt;number&gt;3&lt;/number&gt;&lt;keywords&gt;&lt;keyword&gt;Working capital&lt;/keyword&gt;&lt;keyword&gt;Corporate performance&lt;/keyword&gt;&lt;keyword&gt;Financial constraints&lt;/keyword&gt;&lt;/keywords&gt;&lt;dates&gt;&lt;year&gt;2014&lt;/year&gt;&lt;pub-dates&gt;&lt;date&gt;3//&lt;/date&gt;&lt;/pub-dates&gt;&lt;/dates&gt;&lt;isbn&gt;0148-2963&lt;/isbn&gt;&lt;urls&gt;&lt;related-urls&gt;&lt;url&gt;http://www.sciencedirect.com/science/article/pii/S0148296313000180&lt;/url&gt;&lt;/related-urls&gt;&lt;/urls&gt;&lt;electronic-resource-num&gt;http://dx.doi.org/10.1016/j.jbusres.2013.01.016&lt;/electronic-resource-num&gt;&lt;/record&gt;&lt;/Cite&gt;&lt;/EndNote&gt;</w:instrText>
      </w:r>
      <w:r w:rsidRPr="005A566B">
        <w:rPr>
          <w:rFonts w:ascii="Arial" w:hAnsi="Arial" w:cs="Arial"/>
          <w:bCs/>
          <w:iCs/>
          <w:sz w:val="24"/>
          <w:szCs w:val="24"/>
        </w:rPr>
        <w:fldChar w:fldCharType="separate"/>
      </w:r>
      <w:r w:rsidRPr="005A566B">
        <w:rPr>
          <w:rFonts w:ascii="Arial" w:hAnsi="Arial" w:cs="Arial"/>
          <w:bCs/>
          <w:iCs/>
          <w:sz w:val="24"/>
          <w:szCs w:val="24"/>
        </w:rPr>
        <w:t>(Baños-Caballero, et al., 2014)</w:t>
      </w:r>
      <w:r w:rsidRPr="005A566B">
        <w:rPr>
          <w:rFonts w:ascii="Arial" w:hAnsi="Arial" w:cs="Arial"/>
          <w:bCs/>
          <w:iCs/>
          <w:sz w:val="24"/>
          <w:szCs w:val="24"/>
        </w:rPr>
        <w:fldChar w:fldCharType="end"/>
      </w:r>
      <w:r w:rsidRPr="00E92D44">
        <w:rPr>
          <w:rFonts w:ascii="Arial" w:hAnsi="Arial" w:cs="Arial"/>
          <w:bCs/>
          <w:iCs/>
          <w:sz w:val="24"/>
          <w:szCs w:val="24"/>
        </w:rPr>
        <w:t xml:space="preserve"> and </w:t>
      </w:r>
      <w:r w:rsidR="006B1A6C" w:rsidRPr="005A566B">
        <w:rPr>
          <w:rFonts w:ascii="Arial" w:hAnsi="Arial" w:cs="Arial"/>
          <w:bCs/>
          <w:iCs/>
          <w:sz w:val="24"/>
          <w:szCs w:val="24"/>
        </w:rPr>
        <w:t xml:space="preserve">Current ratio  (CR), </w:t>
      </w:r>
      <w:r w:rsidRPr="005A566B">
        <w:rPr>
          <w:rFonts w:ascii="Arial" w:hAnsi="Arial" w:cs="Arial"/>
          <w:bCs/>
          <w:iCs/>
          <w:sz w:val="24"/>
          <w:szCs w:val="24"/>
        </w:rPr>
        <w:t xml:space="preserve">measured as </w:t>
      </w:r>
      <w:bookmarkStart w:id="140" w:name="OLE_LINK254"/>
      <w:bookmarkStart w:id="141" w:name="OLE_LINK255"/>
      <w:bookmarkStart w:id="142" w:name="OLE_LINK267"/>
      <w:r w:rsidRPr="005A566B">
        <w:rPr>
          <w:rFonts w:ascii="Arial" w:hAnsi="Arial" w:cs="Arial"/>
          <w:bCs/>
          <w:iCs/>
          <w:sz w:val="24"/>
          <w:szCs w:val="24"/>
        </w:rPr>
        <w:t xml:space="preserve">current assets divided by current liabilities at the end of the financial </w:t>
      </w:r>
      <w:bookmarkEnd w:id="140"/>
      <w:bookmarkEnd w:id="141"/>
      <w:bookmarkEnd w:id="142"/>
      <w:r w:rsidRPr="005A566B">
        <w:rPr>
          <w:rFonts w:ascii="Arial" w:hAnsi="Arial" w:cs="Arial"/>
          <w:bCs/>
          <w:iCs/>
          <w:sz w:val="24"/>
          <w:szCs w:val="24"/>
        </w:rPr>
        <w:t>year</w:t>
      </w:r>
      <w:r w:rsidR="00B301DB" w:rsidRPr="005A566B">
        <w:rPr>
          <w:rFonts w:ascii="Arial" w:hAnsi="Arial" w:cs="Arial"/>
          <w:sz w:val="24"/>
          <w:szCs w:val="24"/>
        </w:rPr>
        <w:t xml:space="preserve"> (</w:t>
      </w:r>
      <w:r w:rsidR="00B301DB" w:rsidRPr="005A566B">
        <w:rPr>
          <w:rFonts w:ascii="Arial" w:hAnsi="Arial" w:cs="Arial"/>
          <w:bCs/>
          <w:iCs/>
          <w:sz w:val="24"/>
          <w:szCs w:val="24"/>
        </w:rPr>
        <w:t>Tauringana and Afrifa, 2013)</w:t>
      </w:r>
      <w:r w:rsidRPr="005A566B">
        <w:rPr>
          <w:rFonts w:ascii="Arial" w:hAnsi="Arial" w:cs="Arial"/>
          <w:bCs/>
          <w:iCs/>
          <w:sz w:val="24"/>
          <w:szCs w:val="24"/>
        </w:rPr>
        <w:t>.</w:t>
      </w:r>
    </w:p>
    <w:p w14:paraId="1D604EEF" w14:textId="77777777" w:rsidR="004E32E2" w:rsidRPr="005A566B" w:rsidRDefault="004E32E2" w:rsidP="004E32E2">
      <w:pPr>
        <w:spacing w:after="0" w:line="360" w:lineRule="auto"/>
        <w:jc w:val="both"/>
        <w:rPr>
          <w:rFonts w:ascii="Arial" w:hAnsi="Arial" w:cs="Arial"/>
          <w:bCs/>
          <w:i/>
          <w:iCs/>
          <w:sz w:val="24"/>
          <w:szCs w:val="24"/>
        </w:rPr>
      </w:pPr>
    </w:p>
    <w:p w14:paraId="12C0D86E" w14:textId="77777777" w:rsidR="00807710" w:rsidRPr="005A566B" w:rsidRDefault="00AD0A7E" w:rsidP="004E32E2">
      <w:pPr>
        <w:spacing w:after="0" w:line="360" w:lineRule="auto"/>
        <w:jc w:val="both"/>
        <w:rPr>
          <w:rFonts w:ascii="Arial" w:hAnsi="Arial" w:cs="Arial"/>
          <w:bCs/>
          <w:i/>
          <w:iCs/>
          <w:sz w:val="24"/>
          <w:szCs w:val="24"/>
        </w:rPr>
      </w:pPr>
      <w:r w:rsidRPr="005A566B">
        <w:rPr>
          <w:rFonts w:ascii="Arial" w:hAnsi="Arial" w:cs="Arial"/>
          <w:bCs/>
          <w:i/>
          <w:iCs/>
          <w:sz w:val="24"/>
          <w:szCs w:val="24"/>
        </w:rPr>
        <w:t xml:space="preserve">3.2 </w:t>
      </w:r>
      <w:r w:rsidR="00AA055A" w:rsidRPr="005A566B">
        <w:rPr>
          <w:rFonts w:ascii="Arial" w:hAnsi="Arial" w:cs="Arial"/>
          <w:bCs/>
          <w:i/>
          <w:iCs/>
          <w:sz w:val="24"/>
          <w:szCs w:val="24"/>
        </w:rPr>
        <w:t>Regression Model and Specification</w:t>
      </w:r>
    </w:p>
    <w:p w14:paraId="0B3BB0E2" w14:textId="77777777" w:rsidR="0055743F" w:rsidRPr="005A566B" w:rsidRDefault="00AD0A7E" w:rsidP="004E32E2">
      <w:pPr>
        <w:spacing w:after="0" w:line="360" w:lineRule="auto"/>
        <w:jc w:val="both"/>
        <w:rPr>
          <w:rFonts w:ascii="Arial" w:hAnsi="Arial" w:cs="Arial"/>
          <w:bCs/>
          <w:i/>
          <w:iCs/>
          <w:sz w:val="24"/>
          <w:szCs w:val="24"/>
        </w:rPr>
      </w:pPr>
      <w:r w:rsidRPr="005A566B">
        <w:rPr>
          <w:rFonts w:ascii="Arial" w:hAnsi="Arial" w:cs="Arial"/>
          <w:bCs/>
          <w:i/>
          <w:iCs/>
          <w:sz w:val="24"/>
          <w:szCs w:val="24"/>
        </w:rPr>
        <w:t xml:space="preserve">3.2.1 </w:t>
      </w:r>
      <w:r w:rsidR="0055743F" w:rsidRPr="005A566B">
        <w:rPr>
          <w:rFonts w:ascii="Arial" w:hAnsi="Arial" w:cs="Arial"/>
          <w:bCs/>
          <w:i/>
          <w:iCs/>
          <w:sz w:val="24"/>
          <w:szCs w:val="24"/>
        </w:rPr>
        <w:t>Econometric estimation</w:t>
      </w:r>
    </w:p>
    <w:p w14:paraId="61EF4F5A" w14:textId="77777777" w:rsidR="006412CA" w:rsidRPr="005A566B" w:rsidRDefault="0055743F" w:rsidP="007E3802">
      <w:pPr>
        <w:spacing w:after="0" w:line="360" w:lineRule="auto"/>
        <w:ind w:firstLine="720"/>
        <w:jc w:val="both"/>
        <w:rPr>
          <w:rFonts w:ascii="Arial" w:hAnsi="Arial" w:cs="Arial"/>
          <w:bCs/>
          <w:iCs/>
          <w:sz w:val="24"/>
          <w:szCs w:val="24"/>
        </w:rPr>
      </w:pPr>
      <w:r w:rsidRPr="005A566B">
        <w:rPr>
          <w:rFonts w:ascii="Arial" w:hAnsi="Arial" w:cs="Arial"/>
          <w:bCs/>
          <w:iCs/>
          <w:sz w:val="24"/>
          <w:szCs w:val="24"/>
        </w:rPr>
        <w:lastRenderedPageBreak/>
        <w:t>The following dynamic panel models using the generalized method of moments (GMM) approach (</w:t>
      </w:r>
      <w:bookmarkStart w:id="143" w:name="OLE_LINK129"/>
      <w:r w:rsidRPr="005A566B">
        <w:rPr>
          <w:rFonts w:ascii="Arial" w:hAnsi="Arial" w:cs="Arial"/>
          <w:bCs/>
          <w:iCs/>
          <w:sz w:val="24"/>
          <w:szCs w:val="24"/>
        </w:rPr>
        <w:t>Arellano and Bond, 1991</w:t>
      </w:r>
      <w:bookmarkEnd w:id="143"/>
      <w:r w:rsidRPr="005A566B">
        <w:rPr>
          <w:rFonts w:ascii="Arial" w:hAnsi="Arial" w:cs="Arial"/>
          <w:bCs/>
          <w:iCs/>
          <w:sz w:val="24"/>
          <w:szCs w:val="24"/>
        </w:rPr>
        <w:t xml:space="preserve">) are used to estimate the relationship between working capital, its contingencies and </w:t>
      </w:r>
      <w:r w:rsidR="006438D1" w:rsidRPr="005A566B">
        <w:rPr>
          <w:rFonts w:ascii="Arial" w:hAnsi="Arial" w:cs="Arial"/>
          <w:bCs/>
          <w:iCs/>
          <w:sz w:val="24"/>
          <w:szCs w:val="24"/>
        </w:rPr>
        <w:t xml:space="preserve">financial </w:t>
      </w:r>
      <w:r w:rsidRPr="005A566B">
        <w:rPr>
          <w:rFonts w:ascii="Arial" w:hAnsi="Arial" w:cs="Arial"/>
          <w:bCs/>
          <w:iCs/>
          <w:sz w:val="24"/>
          <w:szCs w:val="24"/>
        </w:rPr>
        <w:t xml:space="preserve">performance. The estimation approach used is </w:t>
      </w:r>
      <w:bookmarkStart w:id="144" w:name="OLE_LINK130"/>
      <w:bookmarkStart w:id="145" w:name="OLE_LINK131"/>
      <w:r w:rsidR="00FE0A22" w:rsidRPr="005A566B">
        <w:rPr>
          <w:rFonts w:ascii="Arial" w:hAnsi="Arial" w:cs="Arial"/>
          <w:bCs/>
          <w:iCs/>
          <w:sz w:val="24"/>
          <w:szCs w:val="24"/>
        </w:rPr>
        <w:fldChar w:fldCharType="begin" w:fldLock="1"/>
      </w:r>
      <w:r w:rsidR="00031DA3" w:rsidRPr="005A566B">
        <w:rPr>
          <w:rFonts w:ascii="Arial" w:hAnsi="Arial" w:cs="Arial"/>
          <w:bCs/>
          <w:iCs/>
          <w:sz w:val="24"/>
          <w:szCs w:val="24"/>
        </w:rPr>
        <w:instrText>ADDIN CSL_CITATION { "citationItems" : [ { "id" : "ITEM-1", "itemData" : { "DOI" : "10.1016/0304-4076(94)01642-D", "ISBN" : "0304407694016", "ISSN" : "03044076", "abstract" : "This article develops a framework for efficient IV estimators of random effects models with information in levels which can accommodate predetermined variables. Our formu-lation clarifies the relationship between the existing estimators and the role of trans-formations in panel data models. We characterize the valid transformations for relevant models and show that optimal estimators are invariant to the transformation used to remove individual effects. We present an alternative transformation for models with predetermined instruments which preserves the orthogonality among the errors. Finally, we consider models with predetermined variables that have constant correlation with the effects and illustrate their importance with simulations.", "author" : [ { "dropping-particle" : "", "family" : "Arellano", "given" : "Manuel", "non-dropping-particle" : "", "parse-names" : false, "suffix" : "" }, { "dropping-particle" : "", "family" : "Bover", "given" : "Olympia", "non-dropping-particle" : "", "parse-names" : false, "suffix" : "" } ], "container-title" : "Journal of econometrics", "id" : "ITEM-1", "issue" : "1", "issued" : { "date-parts" : [ [ "1995" ] ] }, "page" : "29-52", "title" : "Another Look at the Instrumental Variable Estimation of Error-Component Models", "type" : "article-journal", "volume" : "68" }, "uris" : [ "http://www.mendeley.com/documents/?uuid=603a1237-da80-4fd3-9496-5163eaaa6d39" ] } ], "mendeley" : { "formattedCitation" : "(Arellano and Bover, 1995)", "manualFormatting" : "Arellano and Bover (1995)", "plainTextFormattedCitation" : "(Arellano and Bover, 1995)", "previouslyFormattedCitation" : "(Arellano and Bover, 1995)" }, "properties" : {  }, "schema" : "https://github.com/citation-style-language/schema/raw/master/csl-citation.json" }</w:instrText>
      </w:r>
      <w:r w:rsidR="00FE0A22" w:rsidRPr="005A566B">
        <w:rPr>
          <w:rFonts w:ascii="Arial" w:hAnsi="Arial" w:cs="Arial"/>
          <w:bCs/>
          <w:iCs/>
          <w:sz w:val="24"/>
          <w:szCs w:val="24"/>
        </w:rPr>
        <w:fldChar w:fldCharType="separate"/>
      </w:r>
      <w:r w:rsidR="00FE0A22" w:rsidRPr="005A566B">
        <w:rPr>
          <w:rFonts w:ascii="Arial" w:hAnsi="Arial" w:cs="Arial"/>
          <w:bCs/>
          <w:iCs/>
          <w:noProof/>
          <w:sz w:val="24"/>
          <w:szCs w:val="24"/>
        </w:rPr>
        <w:t>Arellano and Bover (1995)</w:t>
      </w:r>
      <w:r w:rsidR="00FE0A22" w:rsidRPr="005A566B">
        <w:rPr>
          <w:rFonts w:ascii="Arial" w:hAnsi="Arial" w:cs="Arial"/>
          <w:bCs/>
          <w:iCs/>
          <w:sz w:val="24"/>
          <w:szCs w:val="24"/>
        </w:rPr>
        <w:fldChar w:fldCharType="end"/>
      </w:r>
      <w:bookmarkEnd w:id="144"/>
      <w:bookmarkEnd w:id="145"/>
      <w:r w:rsidRPr="00E92D44">
        <w:rPr>
          <w:rFonts w:ascii="Arial" w:hAnsi="Arial" w:cs="Arial"/>
          <w:bCs/>
          <w:iCs/>
          <w:sz w:val="24"/>
          <w:szCs w:val="24"/>
        </w:rPr>
        <w:t xml:space="preserve"> and </w:t>
      </w:r>
      <w:bookmarkStart w:id="146" w:name="OLE_LINK132"/>
      <w:r w:rsidR="00FE0A22" w:rsidRPr="005A566B">
        <w:rPr>
          <w:rFonts w:ascii="Arial" w:hAnsi="Arial" w:cs="Arial"/>
          <w:bCs/>
          <w:iCs/>
          <w:sz w:val="24"/>
          <w:szCs w:val="24"/>
        </w:rPr>
        <w:fldChar w:fldCharType="begin" w:fldLock="1"/>
      </w:r>
      <w:r w:rsidR="00031DA3" w:rsidRPr="005A566B">
        <w:rPr>
          <w:rFonts w:ascii="Arial" w:hAnsi="Arial" w:cs="Arial"/>
          <w:bCs/>
          <w:iCs/>
          <w:sz w:val="24"/>
          <w:szCs w:val="24"/>
        </w:rPr>
        <w:instrText>ADDIN CSL_CITATION { "citationItems" : [ { "id" : "ITEM-1", "itemData" : { "DOI" : "10.1016/S0304-4076(98)00009-8", "ISBN" : "0304-4076", "ISSN" : "03044076", "abstract" : "Estimation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 "author" : [ { "dropping-particle" : "", "family" : "Blundell", "given" : "Richard", "non-dropping-particle" : "", "parse-names" : false, "suffix" : "" }, { "dropping-particle" : "", "family" : "Bond", "given" : "Stephen", "non-dropping-particle" : "", "parse-names" : false, "suffix" : "" } ], "container-title" : "Journal of Econometrics", "id" : "ITEM-1", "issue" : "1", "issued" : { "date-parts" : [ [ "1998" ] ] }, "page" : "115-143", "title" : "Initial conditions and moment restrictions in dynamic panel data models", "type" : "article-journal", "volume" : "87" }, "uris" : [ "http://www.mendeley.com/documents/?uuid=f8b3702b-2405-488b-b83c-8b2e041194b9" ] } ], "mendeley" : { "formattedCitation" : "(Blundell and Bond, 1998)", "manualFormatting" : "Blundell and Bond (1998)", "plainTextFormattedCitation" : "(Blundell and Bond, 1998)", "previouslyFormattedCitation" : "(Blundell and Bond, 1998)" }, "properties" : {  }, "schema" : "https://github.com/citation-style-language/schema/raw/master/csl-citation.json" }</w:instrText>
      </w:r>
      <w:r w:rsidR="00FE0A22" w:rsidRPr="005A566B">
        <w:rPr>
          <w:rFonts w:ascii="Arial" w:hAnsi="Arial" w:cs="Arial"/>
          <w:bCs/>
          <w:iCs/>
          <w:sz w:val="24"/>
          <w:szCs w:val="24"/>
        </w:rPr>
        <w:fldChar w:fldCharType="separate"/>
      </w:r>
      <w:r w:rsidR="00FE0A22" w:rsidRPr="005A566B">
        <w:rPr>
          <w:rFonts w:ascii="Arial" w:hAnsi="Arial" w:cs="Arial"/>
          <w:bCs/>
          <w:iCs/>
          <w:noProof/>
          <w:sz w:val="24"/>
          <w:szCs w:val="24"/>
        </w:rPr>
        <w:t>Blundell and Bond (1998)</w:t>
      </w:r>
      <w:r w:rsidR="00FE0A22" w:rsidRPr="005A566B">
        <w:rPr>
          <w:rFonts w:ascii="Arial" w:hAnsi="Arial" w:cs="Arial"/>
          <w:bCs/>
          <w:iCs/>
          <w:sz w:val="24"/>
          <w:szCs w:val="24"/>
        </w:rPr>
        <w:fldChar w:fldCharType="end"/>
      </w:r>
      <w:r w:rsidRPr="00E92D44">
        <w:rPr>
          <w:rFonts w:ascii="Arial" w:hAnsi="Arial" w:cs="Arial"/>
          <w:bCs/>
          <w:iCs/>
          <w:sz w:val="24"/>
          <w:szCs w:val="24"/>
        </w:rPr>
        <w:t xml:space="preserve"> </w:t>
      </w:r>
      <w:bookmarkEnd w:id="146"/>
      <w:r w:rsidRPr="00E92D44">
        <w:rPr>
          <w:rFonts w:ascii="Arial" w:hAnsi="Arial" w:cs="Arial"/>
          <w:bCs/>
          <w:iCs/>
          <w:sz w:val="24"/>
          <w:szCs w:val="24"/>
        </w:rPr>
        <w:t>‘system GMM’. The system GMM estimator ha</w:t>
      </w:r>
      <w:r w:rsidR="007F33AB" w:rsidRPr="005A566B">
        <w:rPr>
          <w:rFonts w:ascii="Arial" w:hAnsi="Arial" w:cs="Arial"/>
          <w:bCs/>
          <w:iCs/>
          <w:sz w:val="24"/>
          <w:szCs w:val="24"/>
        </w:rPr>
        <w:t>s</w:t>
      </w:r>
      <w:r w:rsidRPr="005A566B">
        <w:rPr>
          <w:rFonts w:ascii="Arial" w:hAnsi="Arial" w:cs="Arial"/>
          <w:bCs/>
          <w:iCs/>
          <w:sz w:val="24"/>
          <w:szCs w:val="24"/>
        </w:rPr>
        <w:t xml:space="preserve"> the advantage of controlling for endogeneity of the individual explanatory variables, control for the non-observable constant heterogeneity arising out of the specific features of each firm that remain over </w:t>
      </w:r>
      <w:r w:rsidR="00BA5AB5" w:rsidRPr="005A566B">
        <w:rPr>
          <w:rFonts w:ascii="Arial" w:hAnsi="Arial" w:cs="Arial"/>
          <w:bCs/>
          <w:iCs/>
          <w:sz w:val="24"/>
          <w:szCs w:val="24"/>
        </w:rPr>
        <w:t xml:space="preserve">time and above all improve the </w:t>
      </w:r>
      <w:r w:rsidRPr="005A566B">
        <w:rPr>
          <w:rFonts w:ascii="Arial" w:hAnsi="Arial" w:cs="Arial"/>
          <w:bCs/>
          <w:iCs/>
          <w:sz w:val="24"/>
          <w:szCs w:val="24"/>
        </w:rPr>
        <w:t xml:space="preserve">efficiency of econometric estimates as it allows the introduction of more instruments. </w:t>
      </w:r>
    </w:p>
    <w:p w14:paraId="0BFD7511" w14:textId="34C42DBA" w:rsidR="007F1758" w:rsidRPr="005A566B" w:rsidRDefault="0055743F" w:rsidP="007E3802">
      <w:pPr>
        <w:spacing w:after="0" w:line="360" w:lineRule="auto"/>
        <w:ind w:firstLine="720"/>
        <w:jc w:val="both"/>
        <w:rPr>
          <w:rFonts w:ascii="Arial" w:hAnsi="Arial" w:cs="Arial"/>
          <w:bCs/>
          <w:iCs/>
          <w:sz w:val="24"/>
          <w:szCs w:val="24"/>
        </w:rPr>
      </w:pPr>
      <w:r w:rsidRPr="005A566B">
        <w:rPr>
          <w:rFonts w:ascii="Arial" w:hAnsi="Arial" w:cs="Arial"/>
          <w:bCs/>
          <w:iCs/>
          <w:sz w:val="24"/>
          <w:szCs w:val="24"/>
        </w:rPr>
        <w:lastRenderedPageBreak/>
        <w:t>We control for firm-specific, time-invariant effects, and for the possible endogeneity of the regressors, by using a first-difference GMM approach. Lags of each of the regressors (including the interaction terms) are used as instruments. Both time dummies and industry dummies interacted with time dummies</w:t>
      </w:r>
      <w:r w:rsidR="00CA3209" w:rsidRPr="005A566B">
        <w:rPr>
          <w:rFonts w:ascii="Arial" w:hAnsi="Arial" w:cs="Arial"/>
          <w:bCs/>
          <w:iCs/>
          <w:sz w:val="24"/>
          <w:szCs w:val="24"/>
        </w:rPr>
        <w:t xml:space="preserve"> and included</w:t>
      </w:r>
      <w:r w:rsidRPr="005A566B">
        <w:rPr>
          <w:rFonts w:ascii="Arial" w:hAnsi="Arial" w:cs="Arial"/>
          <w:bCs/>
          <w:iCs/>
          <w:sz w:val="24"/>
          <w:szCs w:val="24"/>
        </w:rPr>
        <w:t xml:space="preserve"> in all our regressions. The validity of GMM estimates depends on the absence of second-order serial autocorrelation in the residuals and on the validity of the instruments analysed: note that first-order serial correlations are significant by way of construction. For this reason, we report both the first- (AR1) and the second-order (AR2) test for serial correlation, which are asymptotically distributed as a standard normal under the null of no serial correlation of the differenced residuals. In addition</w:t>
      </w:r>
      <w:r w:rsidR="00494731" w:rsidRPr="005A566B">
        <w:rPr>
          <w:rFonts w:ascii="Arial" w:hAnsi="Arial" w:cs="Arial"/>
          <w:bCs/>
          <w:iCs/>
          <w:sz w:val="24"/>
          <w:szCs w:val="24"/>
        </w:rPr>
        <w:t>,</w:t>
      </w:r>
      <w:r w:rsidRPr="005A566B">
        <w:rPr>
          <w:rFonts w:ascii="Arial" w:hAnsi="Arial" w:cs="Arial"/>
          <w:bCs/>
          <w:iCs/>
          <w:sz w:val="24"/>
          <w:szCs w:val="24"/>
        </w:rPr>
        <w:t xml:space="preserve"> we also report the Hansen </w:t>
      </w:r>
      <w:r w:rsidRPr="005A566B">
        <w:rPr>
          <w:rFonts w:ascii="Arial" w:hAnsi="Arial" w:cs="Arial"/>
          <w:bCs/>
          <w:iCs/>
          <w:sz w:val="24"/>
          <w:szCs w:val="24"/>
        </w:rPr>
        <w:lastRenderedPageBreak/>
        <w:t>test for over-identifying restrictions that confirms the validity of the selected instruments. All these conditions we</w:t>
      </w:r>
      <w:r w:rsidR="00D57E7A" w:rsidRPr="005A566B">
        <w:rPr>
          <w:rFonts w:ascii="Arial" w:hAnsi="Arial" w:cs="Arial"/>
          <w:bCs/>
          <w:iCs/>
          <w:sz w:val="24"/>
          <w:szCs w:val="24"/>
        </w:rPr>
        <w:t xml:space="preserve">re met in all our estimations. </w:t>
      </w:r>
    </w:p>
    <w:p w14:paraId="1580D20A" w14:textId="77777777" w:rsidR="00764E04" w:rsidRPr="005A566B" w:rsidRDefault="00CF3976" w:rsidP="004E32E2">
      <w:pPr>
        <w:spacing w:after="0" w:line="360" w:lineRule="auto"/>
        <w:ind w:left="720"/>
        <w:jc w:val="both"/>
        <w:rPr>
          <w:rFonts w:ascii="Arial" w:eastAsia="Calibri" w:hAnsi="Arial" w:cs="Arial"/>
          <w:bCs/>
          <w:iCs/>
          <w:sz w:val="24"/>
          <w:szCs w:val="24"/>
        </w:rPr>
      </w:pPr>
      <m:oMath>
        <m:sSub>
          <m:sSubPr>
            <m:ctrlPr>
              <w:rPr>
                <w:rFonts w:ascii="Cambria Math" w:eastAsia="Calibri" w:hAnsi="Cambria Math" w:cs="Arial"/>
                <w:bCs/>
                <w:i/>
                <w:iCs/>
                <w:sz w:val="24"/>
                <w:szCs w:val="24"/>
              </w:rPr>
            </m:ctrlPr>
          </m:sSubPr>
          <m:e>
            <m:r>
              <w:rPr>
                <w:rFonts w:ascii="Cambria Math" w:eastAsia="Calibri" w:hAnsi="Cambria Math" w:cs="Arial"/>
                <w:sz w:val="24"/>
                <w:szCs w:val="24"/>
              </w:rPr>
              <m:t>γ</m:t>
            </m:r>
          </m:e>
          <m:sub>
            <m:r>
              <w:rPr>
                <w:rFonts w:ascii="Cambria Math" w:eastAsia="Calibri" w:hAnsi="Cambria Math" w:cs="Arial"/>
                <w:sz w:val="24"/>
                <w:szCs w:val="24"/>
              </w:rPr>
              <m:t>i,t</m:t>
            </m:r>
          </m:sub>
        </m:sSub>
        <m:r>
          <w:rPr>
            <w:rFonts w:ascii="Cambria Math" w:eastAsia="Calibri" w:hAnsi="Cambria Math" w:cs="Arial"/>
            <w:sz w:val="24"/>
            <w:szCs w:val="24"/>
          </w:rPr>
          <m:t>=</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0</m:t>
            </m:r>
          </m:sub>
        </m:sSub>
        <m:r>
          <w:rPr>
            <w:rFonts w:ascii="Cambria Math" w:eastAsia="Calibri" w:hAnsi="Cambria Math" w:cs="Arial"/>
            <w:sz w:val="24"/>
            <w:szCs w:val="24"/>
          </w:rPr>
          <m:t>+</m:t>
        </m:r>
        <w:bookmarkStart w:id="147" w:name="OLE_LINK3"/>
        <w:bookmarkStart w:id="148" w:name="OLE_LINK4"/>
        <w:bookmarkStart w:id="149" w:name="OLE_LINK10"/>
        <m:sSub>
          <m:sSubPr>
            <m:ctrlPr>
              <w:rPr>
                <w:rFonts w:ascii="Cambria Math" w:eastAsia="Calibri" w:hAnsi="Cambria Math" w:cs="Arial"/>
                <w:bCs/>
                <w:i/>
                <w:iCs/>
                <w:sz w:val="24"/>
                <w:szCs w:val="24"/>
              </w:rPr>
            </m:ctrlPr>
          </m:sSubPr>
          <m:e>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 xml:space="preserve">1  </m:t>
                </m:r>
              </m:sub>
            </m:sSub>
            <m:r>
              <w:rPr>
                <w:rFonts w:ascii="Cambria Math" w:eastAsia="Calibri" w:hAnsi="Cambria Math" w:cs="Arial"/>
                <w:sz w:val="24"/>
                <w:szCs w:val="24"/>
              </w:rPr>
              <m:t>γ</m:t>
            </m:r>
          </m:e>
          <m:sub>
            <m:r>
              <w:rPr>
                <w:rFonts w:ascii="Cambria Math" w:eastAsia="Calibri" w:hAnsi="Cambria Math" w:cs="Arial"/>
                <w:sz w:val="24"/>
                <w:szCs w:val="24"/>
              </w:rPr>
              <m:t>i,t-1</m:t>
            </m:r>
          </m:sub>
        </m:sSub>
        <w:bookmarkEnd w:id="147"/>
        <w:bookmarkEnd w:id="148"/>
        <w:bookmarkEnd w:id="149"/>
        <m:r>
          <w:rPr>
            <w:rFonts w:ascii="Cambria Math" w:eastAsia="Calibri" w:hAnsi="Cambria Math" w:cs="Arial"/>
            <w:sz w:val="24"/>
            <w:szCs w:val="24"/>
          </w:rPr>
          <m:t>+</m:t>
        </m:r>
        <m:sSub>
          <m:sSubPr>
            <m:ctrlPr>
              <w:rPr>
                <w:rFonts w:ascii="Cambria Math" w:eastAsia="Calibri" w:hAnsi="Cambria Math" w:cs="Arial"/>
                <w:bCs/>
                <w:i/>
                <w:iCs/>
                <w:sz w:val="24"/>
                <w:szCs w:val="24"/>
              </w:rPr>
            </m:ctrlPr>
          </m:sSubPr>
          <m:e>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 xml:space="preserve">2  </m:t>
                </m:r>
              </m:sub>
            </m:sSub>
            <m:r>
              <w:rPr>
                <w:rFonts w:ascii="Cambria Math" w:eastAsia="Calibri" w:hAnsi="Cambria Math" w:cs="Arial"/>
                <w:sz w:val="24"/>
                <w:szCs w:val="24"/>
              </w:rPr>
              <m:t>X</m:t>
            </m:r>
          </m:e>
          <m:sub>
            <m:r>
              <w:rPr>
                <w:rFonts w:ascii="Cambria Math" w:eastAsia="Calibri" w:hAnsi="Cambria Math" w:cs="Arial"/>
                <w:sz w:val="24"/>
                <w:szCs w:val="24"/>
              </w:rPr>
              <m:t>i,t</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3</m:t>
            </m:r>
          </m:sub>
        </m:sSub>
        <m:sSub>
          <m:sSubPr>
            <m:ctrlPr>
              <w:rPr>
                <w:rFonts w:ascii="Cambria Math" w:eastAsia="Calibri" w:hAnsi="Cambria Math" w:cs="Arial"/>
                <w:bCs/>
                <w:i/>
                <w:iCs/>
                <w:sz w:val="24"/>
                <w:szCs w:val="24"/>
              </w:rPr>
            </m:ctrlPr>
          </m:sSubPr>
          <m:e>
            <m:r>
              <w:rPr>
                <w:rFonts w:ascii="Cambria Math" w:eastAsia="Calibri" w:hAnsi="Cambria Math" w:cs="Arial"/>
                <w:sz w:val="24"/>
                <w:szCs w:val="24"/>
              </w:rPr>
              <m:t>Z</m:t>
            </m:r>
          </m:e>
          <m:sub>
            <m:r>
              <w:rPr>
                <w:rFonts w:ascii="Cambria Math" w:eastAsia="Calibri" w:hAnsi="Cambria Math" w:cs="Arial"/>
                <w:sz w:val="24"/>
                <w:szCs w:val="24"/>
              </w:rPr>
              <m:t>i,t</m:t>
            </m:r>
          </m:sub>
        </m:sSub>
        <m:r>
          <w:rPr>
            <w:rFonts w:ascii="Cambria Math" w:eastAsia="Calibri" w:hAnsi="Cambria Math" w:cs="Arial"/>
            <w:sz w:val="24"/>
            <w:szCs w:val="24"/>
          </w:rPr>
          <m:t xml:space="preserve">+ </m:t>
        </m:r>
        <w:bookmarkStart w:id="150" w:name="OLE_LINK17"/>
        <w:bookmarkStart w:id="151" w:name="OLE_LINK18"/>
        <w:bookmarkStart w:id="152" w:name="OLE_LINK19"/>
        <w:bookmarkStart w:id="153" w:name="OLE_LINK20"/>
        <m:sSub>
          <m:sSubPr>
            <m:ctrlPr>
              <w:rPr>
                <w:rFonts w:ascii="Cambria Math" w:eastAsia="Calibri" w:hAnsi="Cambria Math" w:cs="Arial"/>
                <w:bCs/>
                <w:i/>
                <w:iCs/>
                <w:sz w:val="24"/>
                <w:szCs w:val="24"/>
              </w:rPr>
            </m:ctrlPr>
          </m:sSubPr>
          <m:e>
            <m:r>
              <w:rPr>
                <w:rFonts w:ascii="Cambria Math" w:eastAsia="Calibri" w:hAnsi="Cambria Math" w:cs="Arial"/>
                <w:sz w:val="24"/>
                <w:szCs w:val="24"/>
              </w:rPr>
              <m:t>λ</m:t>
            </m:r>
          </m:e>
          <m:sub>
            <m:r>
              <w:rPr>
                <w:rFonts w:ascii="Cambria Math" w:eastAsia="Calibri" w:hAnsi="Cambria Math" w:cs="Arial"/>
                <w:sz w:val="24"/>
                <w:szCs w:val="24"/>
              </w:rPr>
              <m:t>t</m:t>
            </m:r>
          </m:sub>
        </m:sSub>
        <m:r>
          <w:rPr>
            <w:rFonts w:ascii="Cambria Math" w:eastAsia="Calibri" w:hAnsi="Cambria Math" w:cs="Arial"/>
            <w:sz w:val="24"/>
            <w:szCs w:val="24"/>
          </w:rPr>
          <m:t>+</m:t>
        </m:r>
        <w:bookmarkEnd w:id="150"/>
        <w:bookmarkEnd w:id="151"/>
        <w:bookmarkEnd w:id="152"/>
        <w:bookmarkEnd w:id="153"/>
        <m:sSub>
          <m:sSubPr>
            <m:ctrlPr>
              <w:rPr>
                <w:rFonts w:ascii="Cambria Math" w:eastAsia="Calibri" w:hAnsi="Cambria Math" w:cs="Arial"/>
                <w:bCs/>
                <w:i/>
                <w:iCs/>
                <w:sz w:val="24"/>
                <w:szCs w:val="24"/>
              </w:rPr>
            </m:ctrlPr>
          </m:sSubPr>
          <m:e>
            <m:r>
              <w:rPr>
                <w:rFonts w:ascii="Cambria Math" w:eastAsia="Calibri" w:hAnsi="Cambria Math" w:cs="Arial"/>
                <w:sz w:val="24"/>
                <w:szCs w:val="24"/>
              </w:rPr>
              <m:t>V</m:t>
            </m:r>
          </m:e>
          <m:sub>
            <m:r>
              <w:rPr>
                <w:rFonts w:ascii="Cambria Math" w:eastAsia="Calibri" w:hAnsi="Cambria Math" w:cs="Arial"/>
                <w:sz w:val="24"/>
                <w:szCs w:val="24"/>
              </w:rPr>
              <m:t>i</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ε</m:t>
            </m:r>
          </m:e>
          <m:sub>
            <m:r>
              <w:rPr>
                <w:rFonts w:ascii="Cambria Math" w:eastAsia="Calibri" w:hAnsi="Cambria Math" w:cs="Arial"/>
                <w:sz w:val="24"/>
                <w:szCs w:val="24"/>
              </w:rPr>
              <m:t>i,t</m:t>
            </m:r>
          </m:sub>
        </m:sSub>
      </m:oMath>
      <w:r w:rsidR="00D96911" w:rsidRPr="00E92D44">
        <w:rPr>
          <w:rFonts w:ascii="Arial" w:eastAsia="Calibri" w:hAnsi="Arial" w:cs="Arial"/>
          <w:bCs/>
          <w:iCs/>
          <w:sz w:val="24"/>
          <w:szCs w:val="24"/>
        </w:rPr>
        <w:t xml:space="preserve">                                 </w:t>
      </w:r>
      <w:r w:rsidR="00764E04" w:rsidRPr="005A566B">
        <w:rPr>
          <w:rFonts w:ascii="Arial" w:eastAsia="Calibri" w:hAnsi="Arial" w:cs="Arial"/>
          <w:bCs/>
          <w:iCs/>
          <w:sz w:val="24"/>
          <w:szCs w:val="24"/>
        </w:rPr>
        <w:t xml:space="preserve">   </w:t>
      </w:r>
      <w:r w:rsidR="00764E04" w:rsidRPr="005A566B">
        <w:rPr>
          <w:rFonts w:ascii="Arial" w:eastAsia="Calibri" w:hAnsi="Arial" w:cs="Arial"/>
          <w:b/>
          <w:bCs/>
          <w:iCs/>
          <w:sz w:val="24"/>
          <w:szCs w:val="24"/>
        </w:rPr>
        <w:t>(1)</w:t>
      </w:r>
      <w:r w:rsidR="00764E04" w:rsidRPr="005A566B">
        <w:rPr>
          <w:rFonts w:ascii="Arial" w:eastAsia="Calibri" w:hAnsi="Arial" w:cs="Arial"/>
          <w:bCs/>
          <w:iCs/>
          <w:sz w:val="24"/>
          <w:szCs w:val="24"/>
        </w:rPr>
        <w:t xml:space="preserve">                                                                                                                                                         </w:t>
      </w:r>
    </w:p>
    <w:bookmarkStart w:id="154" w:name="OLE_LINK14"/>
    <w:bookmarkStart w:id="155" w:name="OLE_LINK15"/>
    <w:bookmarkStart w:id="156" w:name="OLE_LINK16"/>
    <w:p w14:paraId="0A067A57" w14:textId="77777777" w:rsidR="00764E04" w:rsidRPr="005A566B" w:rsidRDefault="00CF3976" w:rsidP="004E32E2">
      <w:pPr>
        <w:spacing w:after="0" w:line="360" w:lineRule="auto"/>
        <w:ind w:left="720"/>
        <w:jc w:val="both"/>
        <w:rPr>
          <w:rFonts w:ascii="Arial" w:eastAsia="Calibri" w:hAnsi="Arial" w:cs="Arial"/>
          <w:bCs/>
          <w:iCs/>
          <w:sz w:val="24"/>
          <w:szCs w:val="24"/>
        </w:rPr>
      </w:pPr>
      <m:oMath>
        <m:sSub>
          <m:sSubPr>
            <m:ctrlPr>
              <w:rPr>
                <w:rFonts w:ascii="Cambria Math" w:eastAsia="Calibri" w:hAnsi="Cambria Math" w:cs="Arial"/>
                <w:bCs/>
                <w:i/>
                <w:iCs/>
                <w:sz w:val="24"/>
                <w:szCs w:val="24"/>
              </w:rPr>
            </m:ctrlPr>
          </m:sSubPr>
          <m:e>
            <m:r>
              <w:rPr>
                <w:rFonts w:ascii="Cambria Math" w:eastAsia="Calibri" w:hAnsi="Cambria Math" w:cs="Arial"/>
                <w:sz w:val="24"/>
                <w:szCs w:val="24"/>
              </w:rPr>
              <m:t>γ</m:t>
            </m:r>
          </m:e>
          <m:sub>
            <m:r>
              <w:rPr>
                <w:rFonts w:ascii="Cambria Math" w:eastAsia="Calibri" w:hAnsi="Cambria Math" w:cs="Arial"/>
                <w:sz w:val="24"/>
                <w:szCs w:val="24"/>
              </w:rPr>
              <m:t>i,t</m:t>
            </m:r>
          </m:sub>
        </m:sSub>
        <w:bookmarkEnd w:id="154"/>
        <w:bookmarkEnd w:id="155"/>
        <w:bookmarkEnd w:id="156"/>
        <m:r>
          <w:rPr>
            <w:rFonts w:ascii="Cambria Math" w:eastAsia="Calibri" w:hAnsi="Cambria Math" w:cs="Arial"/>
            <w:sz w:val="24"/>
            <w:szCs w:val="24"/>
          </w:rPr>
          <m:t>=</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0</m:t>
            </m:r>
          </m:sub>
        </m:sSub>
        <m:r>
          <w:rPr>
            <w:rFonts w:ascii="Cambria Math" w:eastAsia="Calibri" w:hAnsi="Cambria Math" w:cs="Arial"/>
            <w:sz w:val="24"/>
            <w:szCs w:val="24"/>
          </w:rPr>
          <m:t>+</m:t>
        </m:r>
        <w:bookmarkStart w:id="157" w:name="OLE_LINK11"/>
        <w:bookmarkStart w:id="158" w:name="OLE_LINK12"/>
        <w:bookmarkStart w:id="159" w:name="OLE_LINK13"/>
        <m:sSub>
          <m:sSubPr>
            <m:ctrlPr>
              <w:rPr>
                <w:rFonts w:ascii="Cambria Math" w:eastAsia="Calibri" w:hAnsi="Cambria Math" w:cs="Arial"/>
                <w:bCs/>
                <w:i/>
                <w:iCs/>
                <w:sz w:val="24"/>
                <w:szCs w:val="24"/>
              </w:rPr>
            </m:ctrlPr>
          </m:sSubPr>
          <m:e>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 xml:space="preserve">1  </m:t>
                </m:r>
              </m:sub>
            </m:sSub>
            <m:r>
              <w:rPr>
                <w:rFonts w:ascii="Cambria Math" w:eastAsia="Calibri" w:hAnsi="Cambria Math" w:cs="Arial"/>
                <w:sz w:val="24"/>
                <w:szCs w:val="24"/>
              </w:rPr>
              <m:t>γ</m:t>
            </m:r>
          </m:e>
          <m:sub>
            <m:r>
              <w:rPr>
                <w:rFonts w:ascii="Cambria Math" w:eastAsia="Calibri" w:hAnsi="Cambria Math" w:cs="Arial"/>
                <w:sz w:val="24"/>
                <w:szCs w:val="24"/>
              </w:rPr>
              <m:t>i,t-1</m:t>
            </m:r>
          </m:sub>
        </m:sSub>
        <w:bookmarkEnd w:id="157"/>
        <w:bookmarkEnd w:id="158"/>
        <w:bookmarkEnd w:id="159"/>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2</m:t>
                </m:r>
              </m:sub>
            </m:sSub>
            <m:r>
              <w:rPr>
                <w:rFonts w:ascii="Cambria Math" w:eastAsia="Calibri" w:hAnsi="Cambria Math" w:cs="Arial"/>
                <w:sz w:val="24"/>
                <w:szCs w:val="24"/>
              </w:rPr>
              <m:t>X</m:t>
            </m:r>
          </m:e>
          <m:sub>
            <m:r>
              <w:rPr>
                <w:rFonts w:ascii="Cambria Math" w:eastAsia="Calibri" w:hAnsi="Cambria Math" w:cs="Arial"/>
                <w:sz w:val="24"/>
                <w:szCs w:val="24"/>
              </w:rPr>
              <m:t>i,t</m:t>
            </m:r>
          </m:sub>
        </m:sSub>
        <m:r>
          <w:rPr>
            <w:rFonts w:ascii="Cambria Math" w:eastAsia="Calibri" w:hAnsi="Cambria Math" w:cs="Arial"/>
            <w:sz w:val="24"/>
            <w:szCs w:val="24"/>
          </w:rPr>
          <m:t>+</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3</m:t>
            </m:r>
          </m:sub>
        </m:sSub>
        <m:sSub>
          <m:sSubPr>
            <m:ctrlPr>
              <w:rPr>
                <w:rFonts w:ascii="Cambria Math" w:eastAsia="Calibri" w:hAnsi="Cambria Math" w:cs="Arial"/>
                <w:bCs/>
                <w:i/>
                <w:iCs/>
                <w:sz w:val="24"/>
                <w:szCs w:val="24"/>
              </w:rPr>
            </m:ctrlPr>
          </m:sSubPr>
          <m:e>
            <m:r>
              <w:rPr>
                <w:rFonts w:ascii="Cambria Math" w:eastAsia="Calibri" w:hAnsi="Cambria Math" w:cs="Arial"/>
                <w:sz w:val="24"/>
                <w:szCs w:val="24"/>
              </w:rPr>
              <m:t>Z</m:t>
            </m:r>
          </m:e>
          <m:sub>
            <m:r>
              <w:rPr>
                <w:rFonts w:ascii="Cambria Math" w:eastAsia="Calibri" w:hAnsi="Cambria Math" w:cs="Arial"/>
                <w:sz w:val="24"/>
                <w:szCs w:val="24"/>
              </w:rPr>
              <m:t>i,t</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4</m:t>
            </m:r>
          </m:sub>
        </m:sSub>
        <m:sSub>
          <m:sSubPr>
            <m:ctrlPr>
              <w:rPr>
                <w:rFonts w:ascii="Cambria Math" w:eastAsia="Calibri" w:hAnsi="Cambria Math" w:cs="Arial"/>
                <w:bCs/>
                <w:i/>
                <w:iCs/>
                <w:sz w:val="24"/>
                <w:szCs w:val="24"/>
              </w:rPr>
            </m:ctrlPr>
          </m:sSubPr>
          <m:e>
            <m:r>
              <w:rPr>
                <w:rFonts w:ascii="Cambria Math" w:eastAsia="Calibri" w:hAnsi="Cambria Math" w:cs="Arial"/>
                <w:sz w:val="24"/>
                <w:szCs w:val="24"/>
              </w:rPr>
              <m:t>K</m:t>
            </m:r>
          </m:e>
          <m:sub>
            <m:r>
              <w:rPr>
                <w:rFonts w:ascii="Cambria Math" w:eastAsia="Calibri" w:hAnsi="Cambria Math" w:cs="Arial"/>
                <w:sz w:val="24"/>
                <w:szCs w:val="24"/>
              </w:rPr>
              <m:t>i,t</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λ</m:t>
            </m:r>
          </m:e>
          <m:sub>
            <m:r>
              <w:rPr>
                <w:rFonts w:ascii="Cambria Math" w:eastAsia="Calibri" w:hAnsi="Cambria Math" w:cs="Arial"/>
                <w:sz w:val="24"/>
                <w:szCs w:val="24"/>
              </w:rPr>
              <m:t xml:space="preserve">t  </m:t>
            </m:r>
          </m:sub>
        </m:sSub>
        <m:r>
          <w:rPr>
            <w:rFonts w:ascii="Cambria Math" w:eastAsia="Calibri" w:hAnsi="Cambria Math" w:cs="Arial"/>
            <w:sz w:val="24"/>
            <w:szCs w:val="24"/>
          </w:rPr>
          <m:t>+</m:t>
        </m:r>
        <m:sSub>
          <m:sSubPr>
            <m:ctrlPr>
              <w:rPr>
                <w:rFonts w:ascii="Cambria Math" w:eastAsia="Calibri" w:hAnsi="Cambria Math" w:cs="Arial"/>
                <w:bCs/>
                <w:i/>
                <w:iCs/>
                <w:sz w:val="24"/>
                <w:szCs w:val="24"/>
              </w:rPr>
            </m:ctrlPr>
          </m:sSubPr>
          <m:e>
            <m:r>
              <w:rPr>
                <w:rFonts w:ascii="Cambria Math" w:eastAsia="Calibri" w:hAnsi="Cambria Math" w:cs="Arial"/>
                <w:sz w:val="24"/>
                <w:szCs w:val="24"/>
              </w:rPr>
              <m:t>V</m:t>
            </m:r>
          </m:e>
          <m:sub>
            <m:r>
              <w:rPr>
                <w:rFonts w:ascii="Cambria Math" w:eastAsia="Calibri" w:hAnsi="Cambria Math" w:cs="Arial"/>
                <w:sz w:val="24"/>
                <w:szCs w:val="24"/>
              </w:rPr>
              <m:t>i</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ε</m:t>
            </m:r>
          </m:e>
          <m:sub>
            <m:r>
              <w:rPr>
                <w:rFonts w:ascii="Cambria Math" w:eastAsia="Calibri" w:hAnsi="Cambria Math" w:cs="Arial"/>
                <w:sz w:val="24"/>
                <w:szCs w:val="24"/>
              </w:rPr>
              <m:t>i,t</m:t>
            </m:r>
          </m:sub>
        </m:sSub>
      </m:oMath>
      <w:r w:rsidR="00D96911" w:rsidRPr="00E92D44">
        <w:rPr>
          <w:rFonts w:ascii="Arial" w:eastAsia="Calibri" w:hAnsi="Arial" w:cs="Arial"/>
          <w:bCs/>
          <w:iCs/>
          <w:sz w:val="24"/>
          <w:szCs w:val="24"/>
        </w:rPr>
        <w:t xml:space="preserve">       </w:t>
      </w:r>
      <w:r w:rsidR="00764E04" w:rsidRPr="005A566B">
        <w:rPr>
          <w:rFonts w:ascii="Arial" w:eastAsia="Calibri" w:hAnsi="Arial" w:cs="Arial"/>
          <w:bCs/>
          <w:iCs/>
          <w:sz w:val="24"/>
          <w:szCs w:val="24"/>
        </w:rPr>
        <w:t xml:space="preserve">  </w:t>
      </w:r>
      <w:r w:rsidR="0046546A" w:rsidRPr="005A566B">
        <w:rPr>
          <w:rFonts w:ascii="Arial" w:eastAsia="Calibri" w:hAnsi="Arial" w:cs="Arial"/>
          <w:bCs/>
          <w:iCs/>
          <w:sz w:val="24"/>
          <w:szCs w:val="24"/>
        </w:rPr>
        <w:t xml:space="preserve">       </w:t>
      </w:r>
      <w:r w:rsidR="00D96911" w:rsidRPr="005A566B">
        <w:rPr>
          <w:rFonts w:ascii="Arial" w:eastAsia="Calibri" w:hAnsi="Arial" w:cs="Arial"/>
          <w:bCs/>
          <w:iCs/>
          <w:sz w:val="24"/>
          <w:szCs w:val="24"/>
        </w:rPr>
        <w:t xml:space="preserve">    </w:t>
      </w:r>
      <w:r w:rsidR="0046546A" w:rsidRPr="005A566B">
        <w:rPr>
          <w:rFonts w:ascii="Arial" w:eastAsia="Calibri" w:hAnsi="Arial" w:cs="Arial"/>
          <w:bCs/>
          <w:iCs/>
          <w:sz w:val="24"/>
          <w:szCs w:val="24"/>
        </w:rPr>
        <w:t xml:space="preserve">  </w:t>
      </w:r>
      <w:r w:rsidR="00764E04" w:rsidRPr="005A566B">
        <w:rPr>
          <w:rFonts w:ascii="Arial" w:eastAsia="Calibri" w:hAnsi="Arial" w:cs="Arial"/>
          <w:bCs/>
          <w:iCs/>
          <w:sz w:val="24"/>
          <w:szCs w:val="24"/>
        </w:rPr>
        <w:t xml:space="preserve"> </w:t>
      </w:r>
      <w:r w:rsidR="00764E04" w:rsidRPr="005A566B">
        <w:rPr>
          <w:rFonts w:ascii="Arial" w:eastAsia="Calibri" w:hAnsi="Arial" w:cs="Arial"/>
          <w:b/>
          <w:bCs/>
          <w:iCs/>
          <w:sz w:val="24"/>
          <w:szCs w:val="24"/>
        </w:rPr>
        <w:t xml:space="preserve">(2)                                                                             </w:t>
      </w:r>
    </w:p>
    <w:p w14:paraId="359011A1" w14:textId="77777777" w:rsidR="00764E04" w:rsidRPr="005A566B" w:rsidRDefault="00764E04" w:rsidP="004E32E2">
      <w:pPr>
        <w:spacing w:after="0" w:line="360" w:lineRule="auto"/>
        <w:jc w:val="both"/>
        <w:rPr>
          <w:rFonts w:ascii="Arial" w:eastAsia="Calibri" w:hAnsi="Arial" w:cs="Arial"/>
          <w:bCs/>
          <w:iCs/>
          <w:sz w:val="24"/>
          <w:szCs w:val="24"/>
        </w:rPr>
      </w:pPr>
    </w:p>
    <w:p w14:paraId="730125E7" w14:textId="77777777" w:rsidR="00B815C0" w:rsidRPr="005A566B" w:rsidRDefault="00CF3976" w:rsidP="004E32E2">
      <w:pPr>
        <w:spacing w:after="0" w:line="360" w:lineRule="auto"/>
        <w:jc w:val="both"/>
        <w:rPr>
          <w:rFonts w:ascii="Arial" w:hAnsi="Arial" w:cs="Arial"/>
          <w:bCs/>
          <w:sz w:val="24"/>
          <w:szCs w:val="24"/>
        </w:rPr>
      </w:pPr>
      <m:oMath>
        <m:sSub>
          <m:sSubPr>
            <m:ctrlPr>
              <w:rPr>
                <w:rFonts w:ascii="Cambria Math" w:hAnsi="Cambria Math" w:cs="Arial"/>
                <w:bCs/>
                <w:i/>
                <w:iCs/>
                <w:sz w:val="24"/>
                <w:szCs w:val="24"/>
              </w:rPr>
            </m:ctrlPr>
          </m:sSubPr>
          <m:e>
            <m:r>
              <w:rPr>
                <w:rFonts w:ascii="Cambria Math" w:hAnsi="Cambria Math" w:cs="Arial"/>
                <w:sz w:val="24"/>
                <w:szCs w:val="24"/>
              </w:rPr>
              <m:t>γ</m:t>
            </m:r>
          </m:e>
          <m:sub>
            <m:r>
              <w:rPr>
                <w:rFonts w:ascii="Cambria Math" w:hAnsi="Cambria Math" w:cs="Arial"/>
                <w:sz w:val="24"/>
                <w:szCs w:val="24"/>
              </w:rPr>
              <m:t>i,t</m:t>
            </m:r>
          </m:sub>
        </m:sSub>
      </m:oMath>
      <w:r w:rsidR="00321079" w:rsidRPr="00E92D44">
        <w:rPr>
          <w:rFonts w:ascii="Arial" w:hAnsi="Arial" w:cs="Arial"/>
          <w:bCs/>
          <w:sz w:val="24"/>
          <w:szCs w:val="24"/>
        </w:rPr>
        <w:t xml:space="preserve"> is</w:t>
      </w:r>
      <w:r w:rsidR="007C6D2F" w:rsidRPr="005A566B">
        <w:rPr>
          <w:rFonts w:ascii="Arial" w:hAnsi="Arial" w:cs="Arial"/>
          <w:bCs/>
          <w:sz w:val="24"/>
          <w:szCs w:val="24"/>
        </w:rPr>
        <w:t xml:space="preserve"> firm performance measured by</w:t>
      </w:r>
      <w:r w:rsidR="00321079" w:rsidRPr="005A566B">
        <w:rPr>
          <w:rFonts w:ascii="Arial" w:hAnsi="Arial" w:cs="Arial"/>
          <w:bCs/>
          <w:sz w:val="24"/>
          <w:szCs w:val="24"/>
        </w:rPr>
        <w:t>:</w:t>
      </w:r>
      <w:r w:rsidR="00321079" w:rsidRPr="005A566B">
        <w:rPr>
          <w:rFonts w:ascii="Arial" w:hAnsi="Arial" w:cs="Arial"/>
          <w:bCs/>
          <w:iCs/>
          <w:sz w:val="24"/>
          <w:szCs w:val="24"/>
        </w:rPr>
        <w:t xml:space="preserve"> ROA and QRATIO;</w:t>
      </w:r>
      <w:r w:rsidR="00D97E65" w:rsidRPr="005A566B">
        <w:rPr>
          <w:rFonts w:ascii="Arial" w:hAnsi="Arial" w:cs="Arial"/>
          <w:b/>
          <w:bCs/>
          <w:iCs/>
          <w:sz w:val="24"/>
          <w:szCs w:val="24"/>
        </w:rPr>
        <w:t xml:space="preserve"> </w:t>
      </w:r>
      <w:r w:rsidR="00D97E65" w:rsidRPr="005A566B">
        <w:rPr>
          <w:rFonts w:ascii="Arial" w:hAnsi="Arial" w:cs="Arial"/>
          <w:bCs/>
          <w:iCs/>
          <w:sz w:val="24"/>
          <w:szCs w:val="24"/>
        </w:rPr>
        <w:t>Xi,t</w:t>
      </w:r>
      <w:r w:rsidR="00321079" w:rsidRPr="005A566B">
        <w:rPr>
          <w:rFonts w:ascii="Arial" w:hAnsi="Arial" w:cs="Arial"/>
          <w:bCs/>
          <w:iCs/>
          <w:sz w:val="24"/>
          <w:szCs w:val="24"/>
        </w:rPr>
        <w:t xml:space="preserve"> is a matrix of </w:t>
      </w:r>
      <w:r w:rsidR="00392A88" w:rsidRPr="005A566B">
        <w:rPr>
          <w:rFonts w:ascii="Arial" w:hAnsi="Arial" w:cs="Arial"/>
          <w:bCs/>
          <w:iCs/>
          <w:sz w:val="24"/>
          <w:szCs w:val="24"/>
        </w:rPr>
        <w:t xml:space="preserve">the main independent variable of interest </w:t>
      </w:r>
      <w:bookmarkStart w:id="160" w:name="OLE_LINK170"/>
      <w:bookmarkStart w:id="161" w:name="OLE_LINK171"/>
      <w:r w:rsidR="00CE541C" w:rsidRPr="005A566B">
        <w:rPr>
          <w:rFonts w:ascii="Arial" w:hAnsi="Arial" w:cs="Arial"/>
          <w:bCs/>
          <w:iCs/>
          <w:sz w:val="24"/>
          <w:szCs w:val="24"/>
        </w:rPr>
        <w:t xml:space="preserve">working capital management </w:t>
      </w:r>
      <w:bookmarkEnd w:id="160"/>
      <w:bookmarkEnd w:id="161"/>
      <w:r w:rsidR="00CE541C" w:rsidRPr="005A566B">
        <w:rPr>
          <w:rFonts w:ascii="Arial" w:hAnsi="Arial" w:cs="Arial"/>
          <w:bCs/>
          <w:iCs/>
          <w:sz w:val="24"/>
          <w:szCs w:val="24"/>
        </w:rPr>
        <w:t>(</w:t>
      </w:r>
      <w:r w:rsidR="00392A88" w:rsidRPr="005A566B">
        <w:rPr>
          <w:rFonts w:ascii="Arial" w:hAnsi="Arial" w:cs="Arial"/>
          <w:bCs/>
          <w:iCs/>
          <w:sz w:val="24"/>
          <w:szCs w:val="24"/>
        </w:rPr>
        <w:t>WCM</w:t>
      </w:r>
      <w:r w:rsidR="00CE541C" w:rsidRPr="005A566B">
        <w:rPr>
          <w:rFonts w:ascii="Arial" w:hAnsi="Arial" w:cs="Arial"/>
          <w:bCs/>
          <w:iCs/>
          <w:sz w:val="24"/>
          <w:szCs w:val="24"/>
        </w:rPr>
        <w:t>i,t)</w:t>
      </w:r>
      <w:r w:rsidR="00392A88" w:rsidRPr="005A566B">
        <w:rPr>
          <w:rFonts w:ascii="Arial" w:hAnsi="Arial" w:cs="Arial"/>
          <w:bCs/>
          <w:iCs/>
          <w:sz w:val="24"/>
          <w:szCs w:val="24"/>
        </w:rPr>
        <w:t xml:space="preserve">. </w:t>
      </w:r>
      <w:r w:rsidR="00321079" w:rsidRPr="005A566B">
        <w:rPr>
          <w:rFonts w:ascii="Arial" w:hAnsi="Arial" w:cs="Arial"/>
          <w:bCs/>
          <w:iCs/>
          <w:sz w:val="24"/>
          <w:szCs w:val="24"/>
        </w:rPr>
        <w:t xml:space="preserve"> Z is a vector representing the</w:t>
      </w:r>
      <w:r w:rsidR="007F1758" w:rsidRPr="005A566B">
        <w:rPr>
          <w:rFonts w:ascii="Arial" w:hAnsi="Arial" w:cs="Arial"/>
          <w:bCs/>
          <w:iCs/>
          <w:sz w:val="24"/>
          <w:szCs w:val="24"/>
        </w:rPr>
        <w:t xml:space="preserve"> control variables (</w:t>
      </w:r>
      <w:r w:rsidR="00CE541C" w:rsidRPr="005A566B">
        <w:rPr>
          <w:rFonts w:ascii="Arial" w:hAnsi="Arial" w:cs="Arial"/>
          <w:bCs/>
          <w:iCs/>
          <w:sz w:val="24"/>
          <w:szCs w:val="24"/>
        </w:rPr>
        <w:t>financial leverage (</w:t>
      </w:r>
      <w:r w:rsidR="007F1758" w:rsidRPr="005A566B">
        <w:rPr>
          <w:rFonts w:ascii="Arial" w:hAnsi="Arial" w:cs="Arial"/>
          <w:bCs/>
          <w:iCs/>
          <w:sz w:val="24"/>
          <w:szCs w:val="24"/>
        </w:rPr>
        <w:t>FLEV</w:t>
      </w:r>
      <w:r w:rsidR="00CE541C" w:rsidRPr="005A566B">
        <w:rPr>
          <w:rFonts w:ascii="Arial" w:hAnsi="Arial" w:cs="Arial"/>
          <w:bCs/>
          <w:iCs/>
          <w:sz w:val="24"/>
          <w:szCs w:val="24"/>
        </w:rPr>
        <w:t>i,t)</w:t>
      </w:r>
      <w:r w:rsidR="007F1758" w:rsidRPr="005A566B">
        <w:rPr>
          <w:rFonts w:ascii="Arial" w:hAnsi="Arial" w:cs="Arial"/>
          <w:bCs/>
          <w:iCs/>
          <w:sz w:val="24"/>
          <w:szCs w:val="24"/>
        </w:rPr>
        <w:t xml:space="preserve">, </w:t>
      </w:r>
      <w:r w:rsidR="00CE541C" w:rsidRPr="005A566B">
        <w:rPr>
          <w:rFonts w:ascii="Arial" w:hAnsi="Arial" w:cs="Arial"/>
          <w:bCs/>
          <w:iCs/>
          <w:sz w:val="24"/>
          <w:szCs w:val="24"/>
        </w:rPr>
        <w:t>firm age (</w:t>
      </w:r>
      <w:r w:rsidR="007F1758" w:rsidRPr="005A566B">
        <w:rPr>
          <w:rFonts w:ascii="Arial" w:hAnsi="Arial" w:cs="Arial"/>
          <w:bCs/>
          <w:iCs/>
          <w:sz w:val="24"/>
          <w:szCs w:val="24"/>
        </w:rPr>
        <w:t>AGE</w:t>
      </w:r>
      <w:r w:rsidR="00CE541C" w:rsidRPr="005A566B">
        <w:rPr>
          <w:rFonts w:ascii="Arial" w:hAnsi="Arial" w:cs="Arial"/>
          <w:bCs/>
          <w:iCs/>
          <w:sz w:val="24"/>
          <w:szCs w:val="24"/>
        </w:rPr>
        <w:t>i,t)</w:t>
      </w:r>
      <w:r w:rsidR="007F1758" w:rsidRPr="005A566B">
        <w:rPr>
          <w:rFonts w:ascii="Arial" w:hAnsi="Arial" w:cs="Arial"/>
          <w:bCs/>
          <w:iCs/>
          <w:sz w:val="24"/>
          <w:szCs w:val="24"/>
        </w:rPr>
        <w:t xml:space="preserve">, </w:t>
      </w:r>
      <w:r w:rsidR="00CE541C" w:rsidRPr="005A566B">
        <w:rPr>
          <w:rFonts w:ascii="Arial" w:hAnsi="Arial" w:cs="Arial"/>
          <w:bCs/>
          <w:iCs/>
          <w:sz w:val="24"/>
          <w:szCs w:val="24"/>
        </w:rPr>
        <w:t>tangible fixed assets (</w:t>
      </w:r>
      <w:r w:rsidR="007F1758" w:rsidRPr="005A566B">
        <w:rPr>
          <w:rFonts w:ascii="Arial" w:hAnsi="Arial" w:cs="Arial"/>
          <w:bCs/>
          <w:iCs/>
          <w:sz w:val="24"/>
          <w:szCs w:val="24"/>
        </w:rPr>
        <w:t>TAN</w:t>
      </w:r>
      <w:r w:rsidR="00CE541C" w:rsidRPr="005A566B">
        <w:rPr>
          <w:rFonts w:ascii="Arial" w:hAnsi="Arial" w:cs="Arial"/>
          <w:bCs/>
          <w:iCs/>
          <w:sz w:val="24"/>
          <w:szCs w:val="24"/>
        </w:rPr>
        <w:t>i,t)</w:t>
      </w:r>
      <w:r w:rsidR="00321079" w:rsidRPr="005A566B">
        <w:rPr>
          <w:rFonts w:ascii="Arial" w:hAnsi="Arial" w:cs="Arial"/>
          <w:bCs/>
          <w:iCs/>
          <w:sz w:val="24"/>
          <w:szCs w:val="24"/>
        </w:rPr>
        <w:t xml:space="preserve">, </w:t>
      </w:r>
      <w:r w:rsidR="00A44DB5" w:rsidRPr="005A566B">
        <w:rPr>
          <w:rFonts w:ascii="Arial" w:hAnsi="Arial" w:cs="Arial"/>
          <w:bCs/>
          <w:iCs/>
          <w:sz w:val="24"/>
          <w:szCs w:val="24"/>
        </w:rPr>
        <w:t xml:space="preserve">and </w:t>
      </w:r>
      <w:r w:rsidR="00CE541C" w:rsidRPr="005A566B">
        <w:rPr>
          <w:rFonts w:ascii="Arial" w:hAnsi="Arial" w:cs="Arial"/>
          <w:bCs/>
          <w:iCs/>
          <w:sz w:val="24"/>
          <w:szCs w:val="24"/>
        </w:rPr>
        <w:t>sales growth (</w:t>
      </w:r>
      <w:r w:rsidR="00A44DB5" w:rsidRPr="005A566B">
        <w:rPr>
          <w:rFonts w:ascii="Arial" w:hAnsi="Arial" w:cs="Arial"/>
          <w:bCs/>
          <w:iCs/>
          <w:sz w:val="24"/>
          <w:szCs w:val="24"/>
        </w:rPr>
        <w:t>GROWTH</w:t>
      </w:r>
      <w:r w:rsidR="00CE541C" w:rsidRPr="005A566B">
        <w:rPr>
          <w:rFonts w:ascii="Arial" w:hAnsi="Arial" w:cs="Arial"/>
          <w:bCs/>
          <w:iCs/>
          <w:sz w:val="24"/>
          <w:szCs w:val="24"/>
        </w:rPr>
        <w:t>i,t)</w:t>
      </w:r>
      <w:r w:rsidR="007F1758" w:rsidRPr="005A566B">
        <w:rPr>
          <w:rFonts w:ascii="Arial" w:hAnsi="Arial" w:cs="Arial"/>
          <w:bCs/>
          <w:iCs/>
          <w:sz w:val="24"/>
          <w:szCs w:val="24"/>
        </w:rPr>
        <w:t>). K</w:t>
      </w:r>
      <w:r w:rsidR="00321079" w:rsidRPr="005A566B">
        <w:rPr>
          <w:rFonts w:ascii="Arial" w:hAnsi="Arial" w:cs="Arial"/>
          <w:bCs/>
          <w:iCs/>
          <w:sz w:val="24"/>
          <w:szCs w:val="24"/>
        </w:rPr>
        <w:t xml:space="preserve"> represents the interactive term</w:t>
      </w:r>
      <w:r w:rsidR="007F1758" w:rsidRPr="005A566B">
        <w:rPr>
          <w:rFonts w:ascii="Arial" w:hAnsi="Arial" w:cs="Arial"/>
          <w:bCs/>
          <w:iCs/>
          <w:sz w:val="24"/>
          <w:szCs w:val="24"/>
        </w:rPr>
        <w:t xml:space="preserve"> between </w:t>
      </w:r>
      <w:bookmarkStart w:id="162" w:name="OLE_LINK172"/>
      <w:bookmarkStart w:id="163" w:name="OLE_LINK173"/>
      <w:r w:rsidR="00CE541C" w:rsidRPr="005A566B">
        <w:rPr>
          <w:rFonts w:ascii="Arial" w:hAnsi="Arial" w:cs="Arial"/>
          <w:bCs/>
          <w:iCs/>
          <w:sz w:val="24"/>
          <w:szCs w:val="24"/>
        </w:rPr>
        <w:t>working capital management</w:t>
      </w:r>
      <w:r w:rsidR="00F11C88" w:rsidRPr="005A566B">
        <w:rPr>
          <w:rFonts w:ascii="Arial" w:hAnsi="Arial" w:cs="Arial"/>
          <w:bCs/>
          <w:iCs/>
          <w:sz w:val="24"/>
          <w:szCs w:val="24"/>
        </w:rPr>
        <w:t xml:space="preserve"> and </w:t>
      </w:r>
      <w:bookmarkEnd w:id="162"/>
      <w:bookmarkEnd w:id="163"/>
      <w:r w:rsidR="00F11C88" w:rsidRPr="005A566B">
        <w:rPr>
          <w:rFonts w:ascii="Arial" w:hAnsi="Arial" w:cs="Arial"/>
          <w:bCs/>
          <w:iCs/>
          <w:sz w:val="24"/>
          <w:szCs w:val="24"/>
        </w:rPr>
        <w:t>E</w:t>
      </w:r>
      <w:r w:rsidR="00CE541C" w:rsidRPr="005A566B">
        <w:rPr>
          <w:rFonts w:ascii="Arial" w:hAnsi="Arial" w:cs="Arial"/>
          <w:bCs/>
          <w:iCs/>
          <w:sz w:val="24"/>
          <w:szCs w:val="24"/>
        </w:rPr>
        <w:t>nvironmental variables</w:t>
      </w:r>
      <w:r w:rsidR="00F11C88" w:rsidRPr="005A566B">
        <w:rPr>
          <w:rFonts w:ascii="Arial" w:hAnsi="Arial" w:cs="Arial"/>
          <w:bCs/>
          <w:iCs/>
          <w:sz w:val="24"/>
          <w:szCs w:val="24"/>
        </w:rPr>
        <w:t xml:space="preserve"> (WCM</w:t>
      </w:r>
      <w:r w:rsidR="00556B0E" w:rsidRPr="005A566B">
        <w:rPr>
          <w:rFonts w:ascii="Arial" w:hAnsi="Arial" w:cs="Arial"/>
          <w:bCs/>
          <w:iCs/>
          <w:sz w:val="24"/>
          <w:szCs w:val="24"/>
        </w:rPr>
        <w:t xml:space="preserve"> x </w:t>
      </w:r>
      <w:r w:rsidR="00F11C88" w:rsidRPr="005A566B">
        <w:rPr>
          <w:rFonts w:ascii="Arial" w:hAnsi="Arial" w:cs="Arial"/>
          <w:bCs/>
          <w:iCs/>
          <w:sz w:val="24"/>
          <w:szCs w:val="24"/>
        </w:rPr>
        <w:t xml:space="preserve">E); </w:t>
      </w:r>
      <w:r w:rsidR="00CE541C" w:rsidRPr="005A566B">
        <w:rPr>
          <w:rFonts w:ascii="Arial" w:hAnsi="Arial" w:cs="Arial"/>
          <w:bCs/>
          <w:iCs/>
          <w:sz w:val="24"/>
          <w:szCs w:val="24"/>
        </w:rPr>
        <w:t>working capital management and Resource variable</w:t>
      </w:r>
      <w:r w:rsidR="00F11C88" w:rsidRPr="005A566B">
        <w:rPr>
          <w:rFonts w:ascii="Arial" w:hAnsi="Arial" w:cs="Arial"/>
          <w:bCs/>
          <w:iCs/>
          <w:sz w:val="24"/>
          <w:szCs w:val="24"/>
        </w:rPr>
        <w:t xml:space="preserve"> (WCM</w:t>
      </w:r>
      <w:r w:rsidR="00556B0E" w:rsidRPr="005A566B">
        <w:rPr>
          <w:rFonts w:ascii="Arial" w:hAnsi="Arial" w:cs="Arial"/>
          <w:bCs/>
          <w:iCs/>
          <w:sz w:val="24"/>
          <w:szCs w:val="24"/>
        </w:rPr>
        <w:t xml:space="preserve"> x </w:t>
      </w:r>
      <w:r w:rsidR="00F11C88" w:rsidRPr="005A566B">
        <w:rPr>
          <w:rFonts w:ascii="Arial" w:hAnsi="Arial" w:cs="Arial"/>
          <w:bCs/>
          <w:iCs/>
          <w:sz w:val="24"/>
          <w:szCs w:val="24"/>
        </w:rPr>
        <w:t xml:space="preserve">R); </w:t>
      </w:r>
      <w:r w:rsidR="00CE541C" w:rsidRPr="005A566B">
        <w:rPr>
          <w:rFonts w:ascii="Arial" w:hAnsi="Arial" w:cs="Arial"/>
          <w:bCs/>
          <w:iCs/>
          <w:sz w:val="24"/>
          <w:szCs w:val="24"/>
        </w:rPr>
        <w:t xml:space="preserve">working capital </w:t>
      </w:r>
      <w:r w:rsidR="00CE541C" w:rsidRPr="005A566B">
        <w:rPr>
          <w:rFonts w:ascii="Arial" w:hAnsi="Arial" w:cs="Arial"/>
          <w:bCs/>
          <w:iCs/>
          <w:sz w:val="24"/>
          <w:szCs w:val="24"/>
        </w:rPr>
        <w:lastRenderedPageBreak/>
        <w:t>management and Management variables (</w:t>
      </w:r>
      <w:r w:rsidR="00F11C88" w:rsidRPr="005A566B">
        <w:rPr>
          <w:rFonts w:ascii="Arial" w:hAnsi="Arial" w:cs="Arial"/>
          <w:bCs/>
          <w:iCs/>
          <w:sz w:val="24"/>
          <w:szCs w:val="24"/>
        </w:rPr>
        <w:t>WCM</w:t>
      </w:r>
      <w:r w:rsidR="00556B0E" w:rsidRPr="005A566B">
        <w:rPr>
          <w:rFonts w:ascii="Arial" w:hAnsi="Arial" w:cs="Arial"/>
          <w:bCs/>
          <w:iCs/>
          <w:sz w:val="24"/>
          <w:szCs w:val="24"/>
        </w:rPr>
        <w:t xml:space="preserve"> x </w:t>
      </w:r>
      <w:r w:rsidR="00F11C88" w:rsidRPr="005A566B">
        <w:rPr>
          <w:rFonts w:ascii="Arial" w:hAnsi="Arial" w:cs="Arial"/>
          <w:bCs/>
          <w:iCs/>
          <w:sz w:val="24"/>
          <w:szCs w:val="24"/>
        </w:rPr>
        <w:t>M)</w:t>
      </w:r>
      <w:r w:rsidR="006B1A6C" w:rsidRPr="005A566B">
        <w:rPr>
          <w:rFonts w:ascii="Arial" w:hAnsi="Arial" w:cs="Arial"/>
          <w:bCs/>
          <w:iCs/>
          <w:sz w:val="24"/>
          <w:szCs w:val="24"/>
        </w:rPr>
        <w:t xml:space="preserve">. </w:t>
      </w:r>
      <w:r w:rsidR="00321079" w:rsidRPr="005A566B">
        <w:rPr>
          <w:rFonts w:ascii="Arial" w:hAnsi="Arial" w:cs="Arial"/>
          <w:bCs/>
          <w:iCs/>
          <w:sz w:val="24"/>
          <w:szCs w:val="24"/>
        </w:rPr>
        <w:t>The</w:t>
      </w:r>
      <m:oMath>
        <m:r>
          <w:rPr>
            <w:rFonts w:ascii="Cambria Math" w:hAnsi="Cambria Math" w:cs="Arial"/>
            <w:sz w:val="24"/>
            <w:szCs w:val="24"/>
          </w:rPr>
          <m:t xml:space="preserve"> </m:t>
        </m:r>
        <m:sSub>
          <m:sSubPr>
            <m:ctrlPr>
              <w:rPr>
                <w:rFonts w:ascii="Cambria Math" w:hAnsi="Cambria Math" w:cs="Arial"/>
                <w:bCs/>
                <w:iCs/>
                <w:sz w:val="24"/>
                <w:szCs w:val="24"/>
              </w:rPr>
            </m:ctrlPr>
          </m:sSubPr>
          <m:e>
            <m:r>
              <m:rPr>
                <m:sty m:val="p"/>
              </m:rPr>
              <w:rPr>
                <w:rFonts w:ascii="Cambria Math" w:hAnsi="Cambria Math" w:cs="Arial"/>
                <w:sz w:val="24"/>
                <w:szCs w:val="24"/>
              </w:rPr>
              <m:t xml:space="preserve"> V</m:t>
            </m:r>
          </m:e>
          <m:sub>
            <m:r>
              <m:rPr>
                <m:sty m:val="p"/>
              </m:rPr>
              <w:rPr>
                <w:rFonts w:ascii="Cambria Math" w:hAnsi="Cambria Math" w:cs="Arial"/>
                <w:sz w:val="24"/>
                <w:szCs w:val="24"/>
              </w:rPr>
              <m:t>i</m:t>
            </m:r>
          </m:sub>
        </m:sSub>
      </m:oMath>
      <w:r w:rsidR="00F11C88" w:rsidRPr="00E92D44">
        <w:rPr>
          <w:rFonts w:ascii="Arial" w:hAnsi="Arial" w:cs="Arial"/>
          <w:bCs/>
          <w:iCs/>
          <w:sz w:val="24"/>
          <w:szCs w:val="24"/>
        </w:rPr>
        <w:t xml:space="preserve"> is</w:t>
      </w:r>
      <w:r w:rsidR="00321079" w:rsidRPr="005A566B">
        <w:rPr>
          <w:rFonts w:ascii="Arial" w:hAnsi="Arial" w:cs="Arial"/>
          <w:bCs/>
          <w:iCs/>
          <w:sz w:val="24"/>
          <w:szCs w:val="24"/>
        </w:rPr>
        <w:t xml:space="preserve"> the unobserved firm effects (fixed effects)</w:t>
      </w:r>
      <w:r w:rsidR="00F71EBD" w:rsidRPr="005A566B">
        <w:rPr>
          <w:rFonts w:ascii="Arial" w:hAnsi="Arial" w:cs="Arial"/>
          <w:bCs/>
          <w:iCs/>
          <w:sz w:val="24"/>
          <w:szCs w:val="24"/>
        </w:rPr>
        <w:t>,</w:t>
      </w:r>
      <w:r w:rsidR="00CE541C" w:rsidRPr="005A566B">
        <w:rPr>
          <w:rFonts w:ascii="Arial" w:hAnsi="Arial" w:cs="Arial"/>
          <w:bCs/>
          <w:iCs/>
          <w:sz w:val="24"/>
          <w:szCs w:val="24"/>
        </w:rPr>
        <w:t xml:space="preserve"> the parameter</w:t>
      </w:r>
      <w:r w:rsidR="00321079" w:rsidRPr="005A566B">
        <w:rPr>
          <w:rFonts w:ascii="Arial" w:hAnsi="Arial" w:cs="Arial"/>
          <w:bCs/>
          <w:iCs/>
          <w:sz w:val="24"/>
          <w:szCs w:val="24"/>
        </w:rPr>
        <w:t xml:space="preserve"> </w:t>
      </w:r>
      <m:oMath>
        <m:r>
          <w:rPr>
            <w:rFonts w:ascii="Cambria Math" w:hAnsi="Cambria Math" w:cs="Arial"/>
            <w:sz w:val="24"/>
            <w:szCs w:val="24"/>
          </w:rPr>
          <m:t xml:space="preserve"> </m:t>
        </m:r>
        <m:sSub>
          <m:sSubPr>
            <m:ctrlPr>
              <w:rPr>
                <w:rFonts w:ascii="Cambria Math" w:hAnsi="Cambria Math" w:cs="Arial"/>
                <w:bCs/>
                <w:i/>
                <w:iCs/>
                <w:sz w:val="24"/>
                <w:szCs w:val="24"/>
              </w:rPr>
            </m:ctrlPr>
          </m:sSubPr>
          <m:e>
            <m:r>
              <w:rPr>
                <w:rFonts w:ascii="Cambria Math" w:hAnsi="Cambria Math" w:cs="Arial"/>
                <w:sz w:val="24"/>
                <w:szCs w:val="24"/>
              </w:rPr>
              <m:t>λ</m:t>
            </m:r>
          </m:e>
          <m:sub>
            <m:r>
              <w:rPr>
                <w:rFonts w:ascii="Cambria Math" w:hAnsi="Cambria Math" w:cs="Arial"/>
                <w:sz w:val="24"/>
                <w:szCs w:val="24"/>
              </w:rPr>
              <m:t>t</m:t>
            </m:r>
          </m:sub>
        </m:sSub>
        <m:r>
          <w:rPr>
            <w:rFonts w:ascii="Cambria Math" w:hAnsi="Cambria Math" w:cs="Arial"/>
            <w:sz w:val="24"/>
            <w:szCs w:val="24"/>
          </w:rPr>
          <m:t xml:space="preserve">  </m:t>
        </m:r>
      </m:oMath>
      <w:r w:rsidR="00F71EBD" w:rsidRPr="005A566B">
        <w:rPr>
          <w:rFonts w:ascii="Arial" w:hAnsi="Arial" w:cs="Arial"/>
          <w:bCs/>
          <w:iCs/>
          <w:sz w:val="24"/>
          <w:szCs w:val="24"/>
        </w:rPr>
        <w:t>is the</w:t>
      </w:r>
      <w:r w:rsidR="006E0D50" w:rsidRPr="005A566B">
        <w:rPr>
          <w:rFonts w:ascii="Arial" w:hAnsi="Arial" w:cs="Arial"/>
          <w:bCs/>
          <w:iCs/>
          <w:sz w:val="24"/>
          <w:szCs w:val="24"/>
        </w:rPr>
        <w:t xml:space="preserve"> </w:t>
      </w:r>
      <w:r w:rsidR="00D97E65" w:rsidRPr="005A566B">
        <w:rPr>
          <w:rFonts w:ascii="Arial" w:hAnsi="Arial" w:cs="Arial"/>
          <w:bCs/>
          <w:iCs/>
          <w:sz w:val="24"/>
          <w:szCs w:val="24"/>
        </w:rPr>
        <w:t xml:space="preserve">time dummy variable; </w:t>
      </w:r>
      <m:oMath>
        <m:r>
          <m:rPr>
            <m:sty m:val="p"/>
          </m:rPr>
          <w:rPr>
            <w:rFonts w:ascii="Cambria Math" w:hAnsi="Cambria Math" w:cs="Arial"/>
            <w:sz w:val="24"/>
            <w:szCs w:val="24"/>
          </w:rPr>
          <m:t xml:space="preserve"> </m:t>
        </m:r>
        <m:sSub>
          <m:sSubPr>
            <m:ctrlPr>
              <w:rPr>
                <w:rFonts w:ascii="Cambria Math" w:hAnsi="Cambria Math" w:cs="Arial"/>
                <w:bCs/>
                <w:iCs/>
                <w:sz w:val="24"/>
                <w:szCs w:val="24"/>
              </w:rPr>
            </m:ctrlPr>
          </m:sSubPr>
          <m:e>
            <m:r>
              <m:rPr>
                <m:sty m:val="p"/>
              </m:rPr>
              <w:rPr>
                <w:rFonts w:ascii="Cambria Math" w:hAnsi="Cambria Math" w:cs="Arial"/>
                <w:sz w:val="24"/>
                <w:szCs w:val="24"/>
              </w:rPr>
              <m:t>ε</m:t>
            </m:r>
          </m:e>
          <m:sub>
            <m:r>
              <m:rPr>
                <m:sty m:val="p"/>
              </m:rPr>
              <w:rPr>
                <w:rFonts w:ascii="Cambria Math" w:hAnsi="Cambria Math" w:cs="Arial"/>
                <w:sz w:val="24"/>
                <w:szCs w:val="24"/>
              </w:rPr>
              <m:t>it</m:t>
            </m:r>
          </m:sub>
        </m:sSub>
      </m:oMath>
      <w:r w:rsidR="00321079" w:rsidRPr="00E92D44">
        <w:rPr>
          <w:rFonts w:ascii="Arial" w:hAnsi="Arial" w:cs="Arial"/>
          <w:bCs/>
          <w:iCs/>
          <w:sz w:val="24"/>
          <w:szCs w:val="24"/>
        </w:rPr>
        <w:t xml:space="preserve"> the idiosyncratic shocks.</w:t>
      </w:r>
      <w:r w:rsidR="00321079" w:rsidRPr="005A566B">
        <w:rPr>
          <w:rFonts w:ascii="Arial" w:hAnsi="Arial" w:cs="Arial"/>
          <w:bCs/>
          <w:sz w:val="24"/>
          <w:szCs w:val="24"/>
        </w:rPr>
        <w:t xml:space="preserve"> </w:t>
      </w:r>
      <m:oMath>
        <m:sSub>
          <m:sSubPr>
            <m:ctrlPr>
              <w:rPr>
                <w:rFonts w:ascii="Cambria Math" w:hAnsi="Cambria Math" w:cs="Arial"/>
                <w:b/>
                <w:bCs/>
                <w:i/>
                <w:iCs/>
                <w:sz w:val="24"/>
                <w:szCs w:val="24"/>
              </w:rPr>
            </m:ctrlPr>
          </m:sSubPr>
          <m:e>
            <m:r>
              <m:rPr>
                <m:sty m:val="bi"/>
              </m:rPr>
              <w:rPr>
                <w:rFonts w:ascii="Cambria Math" w:hAnsi="Cambria Math" w:cs="Arial"/>
                <w:sz w:val="24"/>
                <w:szCs w:val="24"/>
              </w:rPr>
              <m:t>β</m:t>
            </m:r>
          </m:e>
          <m:sub>
            <m:r>
              <m:rPr>
                <m:sty m:val="bi"/>
              </m:rPr>
              <w:rPr>
                <w:rFonts w:ascii="Cambria Math" w:hAnsi="Cambria Math" w:cs="Arial"/>
                <w:sz w:val="24"/>
                <w:szCs w:val="24"/>
              </w:rPr>
              <m:t xml:space="preserve">1  </m:t>
            </m:r>
          </m:sub>
        </m:sSub>
      </m:oMath>
      <w:r w:rsidR="00321079" w:rsidRPr="00E92D44">
        <w:rPr>
          <w:rFonts w:ascii="Arial" w:hAnsi="Arial" w:cs="Arial"/>
          <w:b/>
          <w:bCs/>
          <w:iCs/>
          <w:sz w:val="24"/>
          <w:szCs w:val="24"/>
        </w:rPr>
        <w:t xml:space="preserve"> </w:t>
      </w:r>
      <w:r w:rsidR="00321079" w:rsidRPr="005A566B">
        <w:rPr>
          <w:rFonts w:ascii="Arial" w:hAnsi="Arial" w:cs="Arial"/>
          <w:bCs/>
          <w:iCs/>
          <w:sz w:val="24"/>
          <w:szCs w:val="24"/>
        </w:rPr>
        <w:t>and</w:t>
      </w:r>
      <m:oMath>
        <m:sSub>
          <m:sSubPr>
            <m:ctrlPr>
              <w:rPr>
                <w:rFonts w:ascii="Cambria Math" w:hAnsi="Cambria Math" w:cs="Arial"/>
                <w:b/>
                <w:bCs/>
                <w:i/>
                <w:iCs/>
                <w:sz w:val="24"/>
                <w:szCs w:val="24"/>
              </w:rPr>
            </m:ctrlPr>
          </m:sSubPr>
          <m:e>
            <m:r>
              <m:rPr>
                <m:sty m:val="bi"/>
              </m:rPr>
              <w:rPr>
                <w:rFonts w:ascii="Cambria Math" w:hAnsi="Cambria Math" w:cs="Arial"/>
                <w:sz w:val="24"/>
                <w:szCs w:val="24"/>
              </w:rPr>
              <m:t xml:space="preserve"> β</m:t>
            </m:r>
          </m:e>
          <m:sub>
            <m:r>
              <m:rPr>
                <m:sty m:val="bi"/>
              </m:rPr>
              <w:rPr>
                <w:rFonts w:ascii="Cambria Math" w:hAnsi="Cambria Math" w:cs="Arial"/>
                <w:sz w:val="24"/>
                <w:szCs w:val="24"/>
              </w:rPr>
              <m:t xml:space="preserve">2 </m:t>
            </m:r>
          </m:sub>
        </m:sSub>
      </m:oMath>
      <w:r w:rsidR="00321079" w:rsidRPr="00E92D44">
        <w:rPr>
          <w:rFonts w:ascii="Arial" w:hAnsi="Arial" w:cs="Arial"/>
          <w:bCs/>
          <w:iCs/>
          <w:sz w:val="24"/>
          <w:szCs w:val="24"/>
        </w:rPr>
        <w:t>are vectors of parameters to be estimated.</w:t>
      </w:r>
    </w:p>
    <w:p w14:paraId="0E17F5A6" w14:textId="77777777" w:rsidR="009E0B32" w:rsidRPr="005A566B" w:rsidRDefault="009E0B32" w:rsidP="004E32E2">
      <w:pPr>
        <w:spacing w:after="0" w:line="360" w:lineRule="auto"/>
        <w:jc w:val="both"/>
        <w:rPr>
          <w:rFonts w:ascii="Arial" w:hAnsi="Arial" w:cs="Arial"/>
          <w:bCs/>
          <w:sz w:val="24"/>
          <w:szCs w:val="24"/>
        </w:rPr>
      </w:pPr>
    </w:p>
    <w:p w14:paraId="17818C43" w14:textId="52C49BAF" w:rsidR="009E0B32" w:rsidRPr="005A566B" w:rsidRDefault="00BA2D49" w:rsidP="00BA2D49">
      <w:pPr>
        <w:spacing w:after="0" w:line="360" w:lineRule="auto"/>
        <w:ind w:left="2160" w:firstLine="720"/>
        <w:jc w:val="both"/>
        <w:rPr>
          <w:rFonts w:ascii="Arial" w:hAnsi="Arial" w:cs="Arial"/>
          <w:b/>
          <w:bCs/>
          <w:sz w:val="24"/>
          <w:szCs w:val="24"/>
        </w:rPr>
      </w:pPr>
      <w:r w:rsidRPr="005A566B">
        <w:rPr>
          <w:rFonts w:ascii="Arial" w:hAnsi="Arial" w:cs="Arial"/>
          <w:b/>
          <w:bCs/>
          <w:sz w:val="24"/>
          <w:szCs w:val="24"/>
        </w:rPr>
        <w:t>[Insert Table 2 about here]</w:t>
      </w:r>
    </w:p>
    <w:p w14:paraId="5FEEA427" w14:textId="77777777" w:rsidR="00A44DB5" w:rsidRPr="005A566B" w:rsidRDefault="00AD0A7E" w:rsidP="004E32E2">
      <w:pPr>
        <w:spacing w:after="0" w:line="360" w:lineRule="auto"/>
        <w:jc w:val="both"/>
        <w:rPr>
          <w:rFonts w:ascii="Arial" w:hAnsi="Arial" w:cs="Arial"/>
          <w:bCs/>
          <w:i/>
          <w:iCs/>
          <w:sz w:val="24"/>
          <w:szCs w:val="24"/>
          <w:lang w:val="en-US"/>
        </w:rPr>
      </w:pPr>
      <w:r w:rsidRPr="005A566B">
        <w:rPr>
          <w:rFonts w:ascii="Arial" w:hAnsi="Arial" w:cs="Arial"/>
          <w:bCs/>
          <w:i/>
          <w:iCs/>
          <w:sz w:val="24"/>
          <w:szCs w:val="24"/>
          <w:lang w:val="en-US"/>
        </w:rPr>
        <w:t xml:space="preserve">3.2.2 </w:t>
      </w:r>
      <w:r w:rsidR="00A44DB5" w:rsidRPr="005A566B">
        <w:rPr>
          <w:rFonts w:ascii="Arial" w:hAnsi="Arial" w:cs="Arial"/>
          <w:bCs/>
          <w:i/>
          <w:iCs/>
          <w:sz w:val="24"/>
          <w:szCs w:val="24"/>
          <w:lang w:val="en-US"/>
        </w:rPr>
        <w:t>Descriptive Statistics</w:t>
      </w:r>
    </w:p>
    <w:p w14:paraId="623E4502" w14:textId="18E38B93" w:rsidR="00BA2D49" w:rsidRPr="005A566B" w:rsidRDefault="00BA2D49" w:rsidP="00BA2D49">
      <w:pPr>
        <w:spacing w:after="0" w:line="360" w:lineRule="auto"/>
        <w:ind w:firstLine="720"/>
        <w:jc w:val="both"/>
        <w:rPr>
          <w:rFonts w:ascii="Arial" w:eastAsia="Calibri" w:hAnsi="Arial" w:cs="Arial"/>
          <w:bCs/>
          <w:iCs/>
          <w:sz w:val="24"/>
          <w:szCs w:val="24"/>
        </w:rPr>
      </w:pPr>
      <w:bookmarkStart w:id="164" w:name="OLE_LINK362"/>
      <w:bookmarkStart w:id="165" w:name="OLE_LINK363"/>
      <w:bookmarkStart w:id="166" w:name="OLE_LINK364"/>
      <w:bookmarkStart w:id="167" w:name="OLE_LINK656"/>
      <w:bookmarkStart w:id="168" w:name="OLE_LINK657"/>
      <w:bookmarkStart w:id="169" w:name="OLE_LINK149"/>
      <w:bookmarkStart w:id="170" w:name="OLE_LINK150"/>
      <w:bookmarkStart w:id="171" w:name="OLE_LINK151"/>
      <w:r w:rsidRPr="005A566B">
        <w:rPr>
          <w:rFonts w:ascii="Arial" w:eastAsia="Calibri" w:hAnsi="Arial" w:cs="Arial"/>
          <w:bCs/>
          <w:iCs/>
          <w:sz w:val="24"/>
          <w:szCs w:val="24"/>
        </w:rPr>
        <w:t xml:space="preserve">Descriptive statistics of the independent and dependent variables are presented in Table 2.  From the table, firms make an annual average return on assets and QRATIO of 5 per cent and 1.492 respectively. </w:t>
      </w:r>
    </w:p>
    <w:p w14:paraId="09EA467B" w14:textId="77777777" w:rsidR="00BA2D49" w:rsidRPr="005A566B" w:rsidRDefault="00BA2D49" w:rsidP="00BA2D49">
      <w:pPr>
        <w:spacing w:after="0" w:line="360" w:lineRule="auto"/>
        <w:ind w:firstLine="720"/>
        <w:jc w:val="both"/>
        <w:rPr>
          <w:rFonts w:ascii="Arial" w:eastAsia="Calibri" w:hAnsi="Arial" w:cs="Arial"/>
          <w:bCs/>
          <w:iCs/>
          <w:sz w:val="24"/>
          <w:szCs w:val="24"/>
        </w:rPr>
      </w:pPr>
      <w:r w:rsidRPr="005A566B">
        <w:rPr>
          <w:rFonts w:ascii="Arial" w:eastAsia="Calibri" w:hAnsi="Arial" w:cs="Arial"/>
          <w:bCs/>
          <w:iCs/>
          <w:sz w:val="24"/>
          <w:szCs w:val="24"/>
        </w:rPr>
        <w:t xml:space="preserve">The average mean and median of CCC is 65.901 days and 72.446 days respectively, which suggests that on average most listed firms are slow in converting their </w:t>
      </w:r>
      <w:r w:rsidRPr="005A566B">
        <w:rPr>
          <w:rFonts w:ascii="Arial" w:eastAsia="Calibri" w:hAnsi="Arial" w:cs="Arial"/>
          <w:bCs/>
          <w:iCs/>
          <w:sz w:val="24"/>
          <w:szCs w:val="24"/>
        </w:rPr>
        <w:lastRenderedPageBreak/>
        <w:t>inventory into sales and paying their suppliers but fast in receiving payments from their customers. The evidence confirms Wilson’s (2008) findings of late payment problem among UK firms with large firms being the worse culprits due to their long bureaucratic procedures for processing invoices. According to Wilson (2008), larger firms take an average of over 74 days to settle their invoices whiles small and medium firms take over 58 day. The average GROWTH is 12.696 per cent with a median of 12.479 per cent. FLEV has a mean 11.398 per cent and median of 5.710 per cent. The mean and median CR is 1.590 and 1.280 respectively.  For ATAN, the mean is 37.179 per cent with a median of 26.204 per cent. Finally, the results show an average age and a mean of mean of 19.842 years and 15.71 years respectively.</w:t>
      </w:r>
      <w:bookmarkEnd w:id="164"/>
      <w:bookmarkEnd w:id="165"/>
      <w:bookmarkEnd w:id="166"/>
    </w:p>
    <w:p w14:paraId="7867C0A9" w14:textId="7782D7A9" w:rsidR="009E0B32" w:rsidRPr="005A566B" w:rsidRDefault="00003F50" w:rsidP="00BA2D49">
      <w:pPr>
        <w:spacing w:after="0" w:line="360" w:lineRule="auto"/>
        <w:ind w:firstLine="720"/>
        <w:jc w:val="both"/>
        <w:rPr>
          <w:rFonts w:ascii="Arial" w:hAnsi="Arial" w:cs="Arial"/>
          <w:bCs/>
          <w:iCs/>
          <w:sz w:val="24"/>
          <w:szCs w:val="24"/>
        </w:rPr>
      </w:pPr>
      <w:r w:rsidRPr="005A566B">
        <w:rPr>
          <w:rFonts w:ascii="Arial" w:hAnsi="Arial" w:cs="Arial"/>
          <w:bCs/>
          <w:iCs/>
          <w:sz w:val="24"/>
          <w:szCs w:val="24"/>
        </w:rPr>
        <w:lastRenderedPageBreak/>
        <w:t>Table 3</w:t>
      </w:r>
      <w:r w:rsidR="00267566" w:rsidRPr="005A566B">
        <w:rPr>
          <w:rFonts w:ascii="Arial" w:hAnsi="Arial" w:cs="Arial"/>
          <w:bCs/>
          <w:iCs/>
          <w:sz w:val="24"/>
          <w:szCs w:val="24"/>
        </w:rPr>
        <w:t xml:space="preserve"> presents the correlation matrix for all the continuous variables included to test the association between </w:t>
      </w:r>
      <w:r w:rsidRPr="005A566B">
        <w:rPr>
          <w:rFonts w:ascii="Arial" w:hAnsi="Arial" w:cs="Arial"/>
          <w:bCs/>
          <w:iCs/>
          <w:sz w:val="24"/>
          <w:szCs w:val="24"/>
        </w:rPr>
        <w:t>WCM</w:t>
      </w:r>
      <w:r w:rsidR="00267566" w:rsidRPr="005A566B">
        <w:rPr>
          <w:rFonts w:ascii="Arial" w:hAnsi="Arial" w:cs="Arial"/>
          <w:bCs/>
          <w:iCs/>
          <w:sz w:val="24"/>
          <w:szCs w:val="24"/>
        </w:rPr>
        <w:t xml:space="preserve"> and firms’</w:t>
      </w:r>
      <w:r w:rsidR="00C421D3" w:rsidRPr="005A566B">
        <w:rPr>
          <w:rFonts w:ascii="Arial" w:hAnsi="Arial" w:cs="Arial"/>
          <w:bCs/>
          <w:iCs/>
          <w:sz w:val="24"/>
          <w:szCs w:val="24"/>
        </w:rPr>
        <w:t xml:space="preserve"> financial</w:t>
      </w:r>
      <w:r w:rsidR="00267566" w:rsidRPr="005A566B">
        <w:rPr>
          <w:rFonts w:ascii="Arial" w:hAnsi="Arial" w:cs="Arial"/>
          <w:bCs/>
          <w:iCs/>
          <w:sz w:val="24"/>
          <w:szCs w:val="24"/>
        </w:rPr>
        <w:t xml:space="preserve"> performance. The evidence presented in the table </w:t>
      </w:r>
      <w:bookmarkEnd w:id="167"/>
      <w:bookmarkEnd w:id="168"/>
      <w:r w:rsidR="00267566" w:rsidRPr="005A566B">
        <w:rPr>
          <w:rFonts w:ascii="Arial" w:hAnsi="Arial" w:cs="Arial"/>
          <w:bCs/>
          <w:iCs/>
          <w:sz w:val="24"/>
          <w:szCs w:val="24"/>
        </w:rPr>
        <w:t>indicates significant correlations among the various continuous variables. The variables (</w:t>
      </w:r>
      <w:bookmarkStart w:id="172" w:name="OLE_LINK223"/>
      <w:r w:rsidR="00267566" w:rsidRPr="005A566B">
        <w:rPr>
          <w:rFonts w:ascii="Arial" w:hAnsi="Arial" w:cs="Arial"/>
          <w:bCs/>
          <w:iCs/>
          <w:sz w:val="24"/>
          <w:szCs w:val="24"/>
        </w:rPr>
        <w:t xml:space="preserve">ROA and QRATIO) </w:t>
      </w:r>
      <w:bookmarkEnd w:id="172"/>
      <w:r w:rsidR="00267566" w:rsidRPr="005A566B">
        <w:rPr>
          <w:rFonts w:ascii="Arial" w:hAnsi="Arial" w:cs="Arial"/>
          <w:bCs/>
          <w:iCs/>
          <w:sz w:val="24"/>
          <w:szCs w:val="24"/>
        </w:rPr>
        <w:t xml:space="preserve">show a significantly negative correlation with </w:t>
      </w:r>
      <w:r w:rsidRPr="005A566B">
        <w:rPr>
          <w:rFonts w:ascii="Arial" w:hAnsi="Arial" w:cs="Arial"/>
          <w:bCs/>
          <w:iCs/>
          <w:sz w:val="24"/>
          <w:szCs w:val="24"/>
        </w:rPr>
        <w:t xml:space="preserve">WCM. </w:t>
      </w:r>
      <w:r w:rsidR="00267566" w:rsidRPr="005A566B">
        <w:rPr>
          <w:rFonts w:ascii="Arial" w:hAnsi="Arial" w:cs="Arial"/>
          <w:bCs/>
          <w:iCs/>
          <w:sz w:val="24"/>
          <w:szCs w:val="24"/>
        </w:rPr>
        <w:t xml:space="preserve"> Variables ROA and QRATIO show </w:t>
      </w:r>
      <w:bookmarkStart w:id="173" w:name="OLE_LINK685"/>
      <w:bookmarkStart w:id="174" w:name="OLE_LINK686"/>
      <w:bookmarkStart w:id="175" w:name="OLE_LINK687"/>
      <w:r w:rsidR="00267566" w:rsidRPr="005A566B">
        <w:rPr>
          <w:rFonts w:ascii="Arial" w:hAnsi="Arial" w:cs="Arial"/>
          <w:bCs/>
          <w:iCs/>
          <w:sz w:val="24"/>
          <w:szCs w:val="24"/>
        </w:rPr>
        <w:t>significant</w:t>
      </w:r>
      <w:r w:rsidR="00D45878" w:rsidRPr="005A566B">
        <w:rPr>
          <w:rFonts w:ascii="Arial" w:hAnsi="Arial" w:cs="Arial"/>
          <w:bCs/>
          <w:iCs/>
          <w:sz w:val="24"/>
          <w:szCs w:val="24"/>
        </w:rPr>
        <w:t xml:space="preserve">ly </w:t>
      </w:r>
      <w:r w:rsidR="0009489C" w:rsidRPr="005A566B">
        <w:rPr>
          <w:rFonts w:ascii="Arial" w:hAnsi="Arial" w:cs="Arial"/>
          <w:bCs/>
          <w:iCs/>
          <w:sz w:val="24"/>
          <w:szCs w:val="24"/>
        </w:rPr>
        <w:t>positive</w:t>
      </w:r>
      <w:r w:rsidR="00267566" w:rsidRPr="005A566B">
        <w:rPr>
          <w:rFonts w:ascii="Arial" w:hAnsi="Arial" w:cs="Arial"/>
          <w:bCs/>
          <w:iCs/>
          <w:sz w:val="24"/>
          <w:szCs w:val="24"/>
        </w:rPr>
        <w:t xml:space="preserve"> correlations with AGE</w:t>
      </w:r>
      <w:bookmarkEnd w:id="173"/>
      <w:bookmarkEnd w:id="174"/>
      <w:bookmarkEnd w:id="175"/>
      <w:r w:rsidR="00D45878" w:rsidRPr="005A566B">
        <w:rPr>
          <w:rFonts w:ascii="Arial" w:hAnsi="Arial" w:cs="Arial"/>
          <w:bCs/>
          <w:iCs/>
          <w:sz w:val="24"/>
          <w:szCs w:val="24"/>
        </w:rPr>
        <w:t>,</w:t>
      </w:r>
      <w:r w:rsidRPr="005A566B">
        <w:rPr>
          <w:rFonts w:ascii="Arial" w:hAnsi="Arial" w:cs="Arial"/>
          <w:bCs/>
          <w:iCs/>
          <w:sz w:val="24"/>
          <w:szCs w:val="24"/>
        </w:rPr>
        <w:t xml:space="preserve"> </w:t>
      </w:r>
      <w:r w:rsidR="00D45878" w:rsidRPr="005A566B">
        <w:rPr>
          <w:rFonts w:ascii="Arial" w:hAnsi="Arial" w:cs="Arial"/>
          <w:bCs/>
          <w:iCs/>
          <w:sz w:val="24"/>
          <w:szCs w:val="24"/>
        </w:rPr>
        <w:t xml:space="preserve">CR </w:t>
      </w:r>
      <w:r w:rsidRPr="005A566B">
        <w:rPr>
          <w:rFonts w:ascii="Arial" w:hAnsi="Arial" w:cs="Arial"/>
          <w:bCs/>
          <w:iCs/>
          <w:sz w:val="24"/>
          <w:szCs w:val="24"/>
        </w:rPr>
        <w:t xml:space="preserve">and </w:t>
      </w:r>
      <w:r w:rsidR="00267566" w:rsidRPr="005A566B">
        <w:rPr>
          <w:rFonts w:ascii="Arial" w:hAnsi="Arial" w:cs="Arial"/>
          <w:bCs/>
          <w:iCs/>
          <w:sz w:val="24"/>
          <w:szCs w:val="24"/>
        </w:rPr>
        <w:t xml:space="preserve">GROWTH, while negatively correlated with, ATAN and </w:t>
      </w:r>
      <w:r w:rsidRPr="005A566B">
        <w:rPr>
          <w:rFonts w:ascii="Arial" w:hAnsi="Arial" w:cs="Arial"/>
          <w:bCs/>
          <w:iCs/>
          <w:sz w:val="24"/>
          <w:szCs w:val="24"/>
        </w:rPr>
        <w:t>F</w:t>
      </w:r>
      <w:r w:rsidR="00267566" w:rsidRPr="005A566B">
        <w:rPr>
          <w:rFonts w:ascii="Arial" w:hAnsi="Arial" w:cs="Arial"/>
          <w:bCs/>
          <w:iCs/>
          <w:sz w:val="24"/>
          <w:szCs w:val="24"/>
        </w:rPr>
        <w:t>LEV.</w:t>
      </w:r>
      <w:bookmarkEnd w:id="169"/>
      <w:bookmarkEnd w:id="170"/>
      <w:bookmarkEnd w:id="171"/>
    </w:p>
    <w:p w14:paraId="3F571240" w14:textId="77777777" w:rsidR="00267566" w:rsidRPr="005A566B" w:rsidRDefault="00003F50" w:rsidP="004E32E2">
      <w:pPr>
        <w:spacing w:after="0" w:line="360" w:lineRule="auto"/>
        <w:ind w:left="1440" w:firstLine="720"/>
        <w:jc w:val="both"/>
        <w:rPr>
          <w:rFonts w:ascii="Arial" w:hAnsi="Arial" w:cs="Arial"/>
          <w:b/>
          <w:bCs/>
          <w:iCs/>
          <w:sz w:val="24"/>
          <w:szCs w:val="24"/>
        </w:rPr>
      </w:pPr>
      <w:bookmarkStart w:id="176" w:name="OLE_LINK154"/>
      <w:bookmarkStart w:id="177" w:name="OLE_LINK155"/>
      <w:r w:rsidRPr="005A566B">
        <w:rPr>
          <w:rFonts w:ascii="Arial" w:hAnsi="Arial" w:cs="Arial"/>
          <w:b/>
          <w:bCs/>
          <w:iCs/>
          <w:sz w:val="24"/>
          <w:szCs w:val="24"/>
        </w:rPr>
        <w:t>[Insert Table 3</w:t>
      </w:r>
      <w:r w:rsidR="00D57E7A" w:rsidRPr="005A566B">
        <w:rPr>
          <w:rFonts w:ascii="Arial" w:hAnsi="Arial" w:cs="Arial"/>
          <w:b/>
          <w:bCs/>
          <w:iCs/>
          <w:sz w:val="24"/>
          <w:szCs w:val="24"/>
        </w:rPr>
        <w:t xml:space="preserve"> about here]</w:t>
      </w:r>
    </w:p>
    <w:p w14:paraId="0A63E8A9" w14:textId="77777777" w:rsidR="009E0B32" w:rsidRPr="005A566B" w:rsidRDefault="009E0B32" w:rsidP="004E32E2">
      <w:pPr>
        <w:spacing w:after="0" w:line="360" w:lineRule="auto"/>
        <w:ind w:left="1440" w:firstLine="720"/>
        <w:jc w:val="both"/>
        <w:rPr>
          <w:rFonts w:ascii="Arial" w:hAnsi="Arial" w:cs="Arial"/>
          <w:b/>
          <w:bCs/>
          <w:iCs/>
          <w:sz w:val="24"/>
          <w:szCs w:val="24"/>
        </w:rPr>
      </w:pPr>
    </w:p>
    <w:bookmarkEnd w:id="176"/>
    <w:bookmarkEnd w:id="177"/>
    <w:p w14:paraId="35E152D8" w14:textId="77777777" w:rsidR="00267566" w:rsidRPr="005A566B" w:rsidRDefault="00267566" w:rsidP="004E32E2">
      <w:pPr>
        <w:pStyle w:val="ListParagraph"/>
        <w:numPr>
          <w:ilvl w:val="0"/>
          <w:numId w:val="1"/>
        </w:numPr>
        <w:spacing w:after="0" w:line="360" w:lineRule="auto"/>
        <w:jc w:val="both"/>
        <w:rPr>
          <w:rFonts w:ascii="Arial" w:hAnsi="Arial" w:cs="Arial"/>
          <w:b/>
          <w:bCs/>
          <w:iCs/>
          <w:sz w:val="24"/>
          <w:szCs w:val="24"/>
        </w:rPr>
      </w:pPr>
      <w:r w:rsidRPr="005A566B">
        <w:rPr>
          <w:rFonts w:ascii="Arial" w:hAnsi="Arial" w:cs="Arial"/>
          <w:b/>
          <w:bCs/>
          <w:iCs/>
          <w:sz w:val="24"/>
          <w:szCs w:val="24"/>
        </w:rPr>
        <w:t>Empirical Results</w:t>
      </w:r>
    </w:p>
    <w:p w14:paraId="2033EBD5" w14:textId="77777777" w:rsidR="00267566" w:rsidRPr="005A566B" w:rsidRDefault="00AE4F33" w:rsidP="004E32E2">
      <w:pPr>
        <w:spacing w:after="0" w:line="360" w:lineRule="auto"/>
        <w:jc w:val="both"/>
        <w:rPr>
          <w:rFonts w:ascii="Arial" w:hAnsi="Arial" w:cs="Arial"/>
          <w:bCs/>
          <w:i/>
          <w:iCs/>
          <w:sz w:val="24"/>
          <w:szCs w:val="24"/>
        </w:rPr>
      </w:pPr>
      <w:r w:rsidRPr="005A566B">
        <w:rPr>
          <w:rFonts w:ascii="Arial" w:hAnsi="Arial" w:cs="Arial"/>
          <w:bCs/>
          <w:i/>
          <w:iCs/>
          <w:sz w:val="24"/>
          <w:szCs w:val="24"/>
        </w:rPr>
        <w:t xml:space="preserve">4.1 </w:t>
      </w:r>
      <w:r w:rsidR="00267566" w:rsidRPr="005A566B">
        <w:rPr>
          <w:rFonts w:ascii="Arial" w:hAnsi="Arial" w:cs="Arial"/>
          <w:bCs/>
          <w:i/>
          <w:iCs/>
          <w:sz w:val="24"/>
          <w:szCs w:val="24"/>
        </w:rPr>
        <w:t>The baseline specification and method</w:t>
      </w:r>
    </w:p>
    <w:p w14:paraId="030A4B8B" w14:textId="77777777" w:rsidR="006412CA" w:rsidRPr="005A566B" w:rsidRDefault="00D77892" w:rsidP="009E0B32">
      <w:pPr>
        <w:spacing w:after="0" w:line="360" w:lineRule="auto"/>
        <w:ind w:firstLine="720"/>
        <w:jc w:val="both"/>
        <w:rPr>
          <w:rFonts w:ascii="Arial" w:hAnsi="Arial" w:cs="Arial"/>
          <w:bCs/>
          <w:iCs/>
          <w:sz w:val="24"/>
          <w:szCs w:val="24"/>
        </w:rPr>
      </w:pPr>
      <w:r w:rsidRPr="005A566B">
        <w:rPr>
          <w:rFonts w:ascii="Arial" w:hAnsi="Arial" w:cs="Arial"/>
          <w:bCs/>
          <w:iCs/>
          <w:sz w:val="24"/>
          <w:szCs w:val="24"/>
        </w:rPr>
        <w:lastRenderedPageBreak/>
        <w:t>Table 4</w:t>
      </w:r>
      <w:r w:rsidR="00267566" w:rsidRPr="005A566B">
        <w:rPr>
          <w:rFonts w:ascii="Arial" w:hAnsi="Arial" w:cs="Arial"/>
          <w:bCs/>
          <w:iCs/>
          <w:sz w:val="24"/>
          <w:szCs w:val="24"/>
        </w:rPr>
        <w:t xml:space="preserve"> presents the baseline estimation on the re</w:t>
      </w:r>
      <w:r w:rsidR="00761532" w:rsidRPr="005A566B">
        <w:rPr>
          <w:rFonts w:ascii="Arial" w:hAnsi="Arial" w:cs="Arial"/>
          <w:bCs/>
          <w:iCs/>
          <w:sz w:val="24"/>
          <w:szCs w:val="24"/>
        </w:rPr>
        <w:t>lationship between WCM and financial</w:t>
      </w:r>
      <w:r w:rsidR="00267566" w:rsidRPr="005A566B">
        <w:rPr>
          <w:rFonts w:ascii="Arial" w:hAnsi="Arial" w:cs="Arial"/>
          <w:bCs/>
          <w:iCs/>
          <w:sz w:val="24"/>
          <w:szCs w:val="24"/>
        </w:rPr>
        <w:t xml:space="preserve"> performance </w:t>
      </w:r>
      <w:r w:rsidR="00761532" w:rsidRPr="005A566B">
        <w:rPr>
          <w:rFonts w:ascii="Arial" w:hAnsi="Arial" w:cs="Arial"/>
          <w:bCs/>
          <w:iCs/>
          <w:sz w:val="24"/>
          <w:szCs w:val="24"/>
        </w:rPr>
        <w:t xml:space="preserve">of the </w:t>
      </w:r>
      <w:r w:rsidR="00267566" w:rsidRPr="005A566B">
        <w:rPr>
          <w:rFonts w:ascii="Arial" w:hAnsi="Arial" w:cs="Arial"/>
          <w:bCs/>
          <w:iCs/>
          <w:sz w:val="24"/>
          <w:szCs w:val="24"/>
        </w:rPr>
        <w:t xml:space="preserve">firms in our panel and their characteristics. </w:t>
      </w:r>
      <w:bookmarkStart w:id="178" w:name="OLE_LINK289"/>
      <w:bookmarkStart w:id="179" w:name="OLE_LINK290"/>
      <w:r w:rsidR="00D45878" w:rsidRPr="005A566B">
        <w:rPr>
          <w:rFonts w:ascii="Arial" w:hAnsi="Arial" w:cs="Arial"/>
          <w:bCs/>
          <w:iCs/>
          <w:sz w:val="24"/>
          <w:szCs w:val="24"/>
        </w:rPr>
        <w:t>Column 1 and 2 i</w:t>
      </w:r>
      <w:r w:rsidRPr="005A566B">
        <w:rPr>
          <w:rFonts w:ascii="Arial" w:hAnsi="Arial" w:cs="Arial"/>
          <w:bCs/>
          <w:iCs/>
          <w:sz w:val="24"/>
          <w:szCs w:val="24"/>
        </w:rPr>
        <w:t>n Table 4</w:t>
      </w:r>
      <w:r w:rsidR="00761532" w:rsidRPr="005A566B">
        <w:rPr>
          <w:rFonts w:ascii="Arial" w:hAnsi="Arial" w:cs="Arial"/>
          <w:bCs/>
          <w:iCs/>
          <w:sz w:val="24"/>
          <w:szCs w:val="24"/>
        </w:rPr>
        <w:t xml:space="preserve"> ignore</w:t>
      </w:r>
      <w:r w:rsidR="00267566" w:rsidRPr="005A566B">
        <w:rPr>
          <w:rFonts w:ascii="Arial" w:hAnsi="Arial" w:cs="Arial"/>
          <w:bCs/>
          <w:iCs/>
          <w:sz w:val="24"/>
          <w:szCs w:val="24"/>
        </w:rPr>
        <w:t xml:space="preserve"> the influence of the controls, while the remaining columns (3 and 4) include the control variables. Consistent with our expectations, both columns </w:t>
      </w:r>
      <w:r w:rsidR="00761532" w:rsidRPr="005A566B">
        <w:rPr>
          <w:rFonts w:ascii="Arial" w:hAnsi="Arial" w:cs="Arial"/>
          <w:bCs/>
          <w:iCs/>
          <w:sz w:val="24"/>
          <w:szCs w:val="24"/>
        </w:rPr>
        <w:t>confirm a significant</w:t>
      </w:r>
      <w:r w:rsidR="00267566" w:rsidRPr="005A566B">
        <w:rPr>
          <w:rFonts w:ascii="Arial" w:hAnsi="Arial" w:cs="Arial"/>
          <w:bCs/>
          <w:iCs/>
          <w:sz w:val="24"/>
          <w:szCs w:val="24"/>
        </w:rPr>
        <w:t xml:space="preserve"> negative relation</w:t>
      </w:r>
      <w:r w:rsidR="00761532" w:rsidRPr="005A566B">
        <w:rPr>
          <w:rFonts w:ascii="Arial" w:hAnsi="Arial" w:cs="Arial"/>
          <w:bCs/>
          <w:iCs/>
          <w:sz w:val="24"/>
          <w:szCs w:val="24"/>
        </w:rPr>
        <w:t>ship</w:t>
      </w:r>
      <w:r w:rsidR="00267566" w:rsidRPr="005A566B">
        <w:rPr>
          <w:rFonts w:ascii="Arial" w:hAnsi="Arial" w:cs="Arial"/>
          <w:bCs/>
          <w:iCs/>
          <w:sz w:val="24"/>
          <w:szCs w:val="24"/>
        </w:rPr>
        <w:t xml:space="preserve"> between firms’</w:t>
      </w:r>
      <w:r w:rsidR="00C421D3" w:rsidRPr="005A566B">
        <w:rPr>
          <w:rFonts w:ascii="Arial" w:hAnsi="Arial" w:cs="Arial"/>
          <w:bCs/>
          <w:iCs/>
          <w:sz w:val="24"/>
          <w:szCs w:val="24"/>
        </w:rPr>
        <w:t xml:space="preserve"> financial</w:t>
      </w:r>
      <w:r w:rsidR="00267566" w:rsidRPr="005A566B">
        <w:rPr>
          <w:rFonts w:ascii="Arial" w:hAnsi="Arial" w:cs="Arial"/>
          <w:bCs/>
          <w:iCs/>
          <w:sz w:val="24"/>
          <w:szCs w:val="24"/>
        </w:rPr>
        <w:t xml:space="preserve"> performance (ROA and QRATIO) and WCM. </w:t>
      </w:r>
      <w:bookmarkEnd w:id="178"/>
      <w:bookmarkEnd w:id="179"/>
      <w:r w:rsidR="00761532" w:rsidRPr="005A566B">
        <w:rPr>
          <w:rFonts w:ascii="Arial" w:hAnsi="Arial" w:cs="Arial"/>
          <w:bCs/>
          <w:iCs/>
          <w:sz w:val="24"/>
          <w:szCs w:val="24"/>
        </w:rPr>
        <w:t xml:space="preserve">The relationship is significant </w:t>
      </w:r>
      <w:r w:rsidR="00267566" w:rsidRPr="005A566B">
        <w:rPr>
          <w:rFonts w:ascii="Arial" w:hAnsi="Arial" w:cs="Arial"/>
          <w:bCs/>
          <w:iCs/>
          <w:sz w:val="24"/>
          <w:szCs w:val="24"/>
        </w:rPr>
        <w:t xml:space="preserve">at 1 per cent in all the columns. </w:t>
      </w:r>
    </w:p>
    <w:p w14:paraId="02EB092C" w14:textId="3D00C76C" w:rsidR="00267566" w:rsidRPr="005A566B" w:rsidRDefault="00874676" w:rsidP="009E0B32">
      <w:pPr>
        <w:spacing w:after="0" w:line="360" w:lineRule="auto"/>
        <w:ind w:firstLine="720"/>
        <w:jc w:val="both"/>
        <w:rPr>
          <w:rFonts w:ascii="Arial" w:hAnsi="Arial" w:cs="Arial"/>
          <w:bCs/>
          <w:iCs/>
          <w:sz w:val="24"/>
          <w:szCs w:val="24"/>
        </w:rPr>
      </w:pPr>
      <w:r w:rsidRPr="005A566B">
        <w:rPr>
          <w:rFonts w:ascii="Arial" w:hAnsi="Arial" w:cs="Arial"/>
          <w:bCs/>
          <w:iCs/>
          <w:sz w:val="24"/>
          <w:szCs w:val="24"/>
        </w:rPr>
        <w:t xml:space="preserve">The relationship between WCM and financial performance is also significant once the control variables have been included in Columns 3 and 4 in Table 4. </w:t>
      </w:r>
      <w:r w:rsidR="00267566" w:rsidRPr="005A566B">
        <w:rPr>
          <w:rFonts w:ascii="Arial" w:hAnsi="Arial" w:cs="Arial"/>
          <w:bCs/>
          <w:iCs/>
          <w:sz w:val="24"/>
          <w:szCs w:val="24"/>
        </w:rPr>
        <w:t>Our evidence suggests that reducing investment in WCM can help boost the performance of firms. High level of WMC often generates higher opportunity and financing costs (Kieschnick et al., 2013) w</w:t>
      </w:r>
      <w:r w:rsidR="00761532" w:rsidRPr="005A566B">
        <w:rPr>
          <w:rFonts w:ascii="Arial" w:hAnsi="Arial" w:cs="Arial"/>
          <w:bCs/>
          <w:iCs/>
          <w:sz w:val="24"/>
          <w:szCs w:val="24"/>
        </w:rPr>
        <w:t>hich could seriously constrain the</w:t>
      </w:r>
      <w:r w:rsidR="00267566" w:rsidRPr="005A566B">
        <w:rPr>
          <w:rFonts w:ascii="Arial" w:hAnsi="Arial" w:cs="Arial"/>
          <w:bCs/>
          <w:iCs/>
          <w:sz w:val="24"/>
          <w:szCs w:val="24"/>
        </w:rPr>
        <w:t xml:space="preserve"> firms’ ability to pursue an optimal </w:t>
      </w:r>
      <w:r w:rsidR="00267566" w:rsidRPr="005A566B">
        <w:rPr>
          <w:rFonts w:ascii="Arial" w:hAnsi="Arial" w:cs="Arial"/>
          <w:bCs/>
          <w:iCs/>
          <w:sz w:val="24"/>
          <w:szCs w:val="24"/>
        </w:rPr>
        <w:lastRenderedPageBreak/>
        <w:t xml:space="preserve">investment policy so as to enhance their </w:t>
      </w:r>
      <w:r w:rsidR="00761532" w:rsidRPr="005A566B">
        <w:rPr>
          <w:rFonts w:ascii="Arial" w:hAnsi="Arial" w:cs="Arial"/>
          <w:bCs/>
          <w:iCs/>
          <w:sz w:val="24"/>
          <w:szCs w:val="24"/>
        </w:rPr>
        <w:t xml:space="preserve">financial </w:t>
      </w:r>
      <w:r w:rsidR="00267566" w:rsidRPr="005A566B">
        <w:rPr>
          <w:rFonts w:ascii="Arial" w:hAnsi="Arial" w:cs="Arial"/>
          <w:bCs/>
          <w:iCs/>
          <w:sz w:val="24"/>
          <w:szCs w:val="24"/>
        </w:rPr>
        <w:t xml:space="preserve">performance. Therefore, by reducing investment in WCM, firms are able to free the excess cash tied up in working capital for value enhancing investment projects in the short run (Aktas et al. 2015). These results support the findings by prior studies (Aktas et al., 2015; Garcia-Teruel and Martinez-Solano, 2007 and Autukaite and Molay, 2011) that reducing the requirement in working capital leads to less need for external financing and less cost of capital, which increases performance. </w:t>
      </w:r>
    </w:p>
    <w:p w14:paraId="0DCB98B5" w14:textId="77777777" w:rsidR="00267566" w:rsidRPr="005A566B" w:rsidRDefault="00267566" w:rsidP="009E0B32">
      <w:pPr>
        <w:spacing w:after="0" w:line="360" w:lineRule="auto"/>
        <w:ind w:firstLine="720"/>
        <w:jc w:val="both"/>
        <w:rPr>
          <w:rFonts w:ascii="Arial" w:hAnsi="Arial" w:cs="Arial"/>
          <w:bCs/>
          <w:iCs/>
          <w:sz w:val="24"/>
          <w:szCs w:val="24"/>
        </w:rPr>
      </w:pPr>
      <w:r w:rsidRPr="005A566B">
        <w:rPr>
          <w:rFonts w:ascii="Arial" w:hAnsi="Arial" w:cs="Arial"/>
          <w:bCs/>
          <w:iCs/>
          <w:sz w:val="24"/>
          <w:szCs w:val="24"/>
        </w:rPr>
        <w:t xml:space="preserve">Regarding the control variables, the study finds the coefficient estimates of AGE, FLEV, ATAN and GROWTH to be statistically significant at conventional level. In particular, we find performance to decrease with AGE, ATAN and FLEV. This is consistent prior studies (Aktas et al 2015; </w:t>
      </w:r>
      <w:r w:rsidR="00D25854" w:rsidRPr="005A566B">
        <w:rPr>
          <w:rFonts w:ascii="Arial" w:hAnsi="Arial" w:cs="Arial"/>
          <w:bCs/>
          <w:iCs/>
          <w:sz w:val="24"/>
          <w:szCs w:val="24"/>
        </w:rPr>
        <w:t>Afrifa and Tingbani 2018</w:t>
      </w:r>
      <w:r w:rsidRPr="005A566B">
        <w:rPr>
          <w:rFonts w:ascii="Arial" w:hAnsi="Arial" w:cs="Arial"/>
          <w:bCs/>
          <w:iCs/>
          <w:sz w:val="24"/>
          <w:szCs w:val="24"/>
        </w:rPr>
        <w:t xml:space="preserve">). Consistent with Afrifa and </w:t>
      </w:r>
      <w:r w:rsidRPr="005A566B">
        <w:rPr>
          <w:rFonts w:ascii="Arial" w:hAnsi="Arial" w:cs="Arial"/>
          <w:bCs/>
          <w:iCs/>
          <w:sz w:val="24"/>
          <w:szCs w:val="24"/>
        </w:rPr>
        <w:lastRenderedPageBreak/>
        <w:t>Tingbani (2017), we also found GROWTH to be significant and positive association with performance, indicating that higher sales improve firm performance.</w:t>
      </w:r>
    </w:p>
    <w:p w14:paraId="56AE0251" w14:textId="77777777" w:rsidR="009E0B32" w:rsidRPr="005A566B" w:rsidRDefault="009E0B32" w:rsidP="004E32E2">
      <w:pPr>
        <w:spacing w:after="0" w:line="360" w:lineRule="auto"/>
        <w:ind w:left="1440" w:firstLine="720"/>
        <w:jc w:val="both"/>
        <w:rPr>
          <w:rFonts w:ascii="Arial" w:hAnsi="Arial" w:cs="Arial"/>
          <w:b/>
          <w:bCs/>
          <w:iCs/>
          <w:sz w:val="24"/>
          <w:szCs w:val="24"/>
        </w:rPr>
      </w:pPr>
      <w:bookmarkStart w:id="180" w:name="OLE_LINK283"/>
      <w:bookmarkStart w:id="181" w:name="OLE_LINK284"/>
      <w:bookmarkStart w:id="182" w:name="OLE_LINK285"/>
    </w:p>
    <w:p w14:paraId="6C9BAE7F" w14:textId="5AC59668" w:rsidR="00267566" w:rsidRPr="005A566B" w:rsidRDefault="00267566" w:rsidP="004E32E2">
      <w:pPr>
        <w:spacing w:after="0" w:line="360" w:lineRule="auto"/>
        <w:ind w:left="1440" w:firstLine="720"/>
        <w:jc w:val="both"/>
        <w:rPr>
          <w:rFonts w:ascii="Arial" w:hAnsi="Arial" w:cs="Arial"/>
          <w:b/>
          <w:bCs/>
          <w:iCs/>
          <w:sz w:val="24"/>
          <w:szCs w:val="24"/>
        </w:rPr>
      </w:pPr>
      <w:r w:rsidRPr="005A566B">
        <w:rPr>
          <w:rFonts w:ascii="Arial" w:hAnsi="Arial" w:cs="Arial"/>
          <w:b/>
          <w:bCs/>
          <w:iCs/>
          <w:sz w:val="24"/>
          <w:szCs w:val="24"/>
        </w:rPr>
        <w:t>[Ins</w:t>
      </w:r>
      <w:r w:rsidR="00D77892" w:rsidRPr="005A566B">
        <w:rPr>
          <w:rFonts w:ascii="Arial" w:hAnsi="Arial" w:cs="Arial"/>
          <w:b/>
          <w:bCs/>
          <w:iCs/>
          <w:sz w:val="24"/>
          <w:szCs w:val="24"/>
        </w:rPr>
        <w:t>ert Table 4</w:t>
      </w:r>
      <w:r w:rsidRPr="005A566B">
        <w:rPr>
          <w:rFonts w:ascii="Arial" w:hAnsi="Arial" w:cs="Arial"/>
          <w:b/>
          <w:bCs/>
          <w:iCs/>
          <w:sz w:val="24"/>
          <w:szCs w:val="24"/>
        </w:rPr>
        <w:t xml:space="preserve"> about here]</w:t>
      </w:r>
    </w:p>
    <w:p w14:paraId="2FC4795B" w14:textId="2EE17F71" w:rsidR="00BA2D49" w:rsidRPr="005A566B" w:rsidRDefault="00BA2D49" w:rsidP="004E32E2">
      <w:pPr>
        <w:spacing w:after="0" w:line="360" w:lineRule="auto"/>
        <w:ind w:left="1440" w:firstLine="720"/>
        <w:jc w:val="both"/>
        <w:rPr>
          <w:rFonts w:ascii="Arial" w:hAnsi="Arial" w:cs="Arial"/>
          <w:b/>
          <w:bCs/>
          <w:iCs/>
          <w:sz w:val="24"/>
          <w:szCs w:val="24"/>
        </w:rPr>
      </w:pPr>
    </w:p>
    <w:p w14:paraId="1BE2E0E1" w14:textId="77777777" w:rsidR="00BA2D49" w:rsidRPr="005A566B" w:rsidRDefault="00BA2D49" w:rsidP="004E32E2">
      <w:pPr>
        <w:spacing w:after="0" w:line="360" w:lineRule="auto"/>
        <w:ind w:left="1440" w:firstLine="720"/>
        <w:jc w:val="both"/>
        <w:rPr>
          <w:rFonts w:ascii="Arial" w:hAnsi="Arial" w:cs="Arial"/>
          <w:b/>
          <w:bCs/>
          <w:iCs/>
          <w:sz w:val="24"/>
          <w:szCs w:val="24"/>
        </w:rPr>
      </w:pPr>
    </w:p>
    <w:p w14:paraId="2B822C82" w14:textId="77777777" w:rsidR="00CF3856" w:rsidRPr="005A566B" w:rsidRDefault="00CF3856" w:rsidP="0009489C">
      <w:pPr>
        <w:spacing w:after="0" w:line="360" w:lineRule="auto"/>
        <w:jc w:val="both"/>
        <w:rPr>
          <w:rFonts w:ascii="Arial" w:hAnsi="Arial" w:cs="Arial"/>
          <w:b/>
          <w:bCs/>
          <w:iCs/>
          <w:sz w:val="24"/>
          <w:szCs w:val="24"/>
        </w:rPr>
      </w:pPr>
    </w:p>
    <w:bookmarkEnd w:id="180"/>
    <w:bookmarkEnd w:id="181"/>
    <w:bookmarkEnd w:id="182"/>
    <w:p w14:paraId="3BF24022" w14:textId="77777777" w:rsidR="00267566" w:rsidRPr="005A566B" w:rsidRDefault="00AE4F33" w:rsidP="004E32E2">
      <w:pPr>
        <w:spacing w:after="0" w:line="360" w:lineRule="auto"/>
        <w:jc w:val="both"/>
        <w:rPr>
          <w:rFonts w:ascii="Arial" w:hAnsi="Arial" w:cs="Arial"/>
          <w:bCs/>
          <w:iCs/>
          <w:sz w:val="24"/>
          <w:szCs w:val="24"/>
        </w:rPr>
      </w:pPr>
      <w:r w:rsidRPr="005A566B">
        <w:rPr>
          <w:rFonts w:ascii="Arial" w:hAnsi="Arial" w:cs="Arial"/>
          <w:bCs/>
          <w:i/>
          <w:iCs/>
          <w:sz w:val="24"/>
          <w:szCs w:val="24"/>
        </w:rPr>
        <w:t xml:space="preserve">4.2 </w:t>
      </w:r>
      <w:r w:rsidR="00267566" w:rsidRPr="005A566B">
        <w:rPr>
          <w:rFonts w:ascii="Arial" w:hAnsi="Arial" w:cs="Arial"/>
          <w:bCs/>
          <w:i/>
          <w:iCs/>
          <w:sz w:val="24"/>
          <w:szCs w:val="24"/>
        </w:rPr>
        <w:t xml:space="preserve">Environmental Conditions, Working Capital Management and </w:t>
      </w:r>
      <w:r w:rsidR="009E0B32" w:rsidRPr="005A566B">
        <w:rPr>
          <w:rFonts w:ascii="Arial" w:hAnsi="Arial" w:cs="Arial"/>
          <w:bCs/>
          <w:i/>
          <w:iCs/>
          <w:sz w:val="24"/>
          <w:szCs w:val="24"/>
        </w:rPr>
        <w:t xml:space="preserve">Financial </w:t>
      </w:r>
      <w:r w:rsidR="00267566" w:rsidRPr="005A566B">
        <w:rPr>
          <w:rFonts w:ascii="Arial" w:hAnsi="Arial" w:cs="Arial"/>
          <w:bCs/>
          <w:i/>
          <w:iCs/>
          <w:sz w:val="24"/>
          <w:szCs w:val="24"/>
        </w:rPr>
        <w:t>Performance</w:t>
      </w:r>
      <w:r w:rsidR="00267566" w:rsidRPr="005A566B">
        <w:rPr>
          <w:rFonts w:ascii="Arial" w:hAnsi="Arial" w:cs="Arial"/>
          <w:bCs/>
          <w:iCs/>
          <w:sz w:val="24"/>
          <w:szCs w:val="24"/>
        </w:rPr>
        <w:t xml:space="preserve"> </w:t>
      </w:r>
    </w:p>
    <w:p w14:paraId="2C8C9149" w14:textId="77777777" w:rsidR="00D1471F" w:rsidRPr="005A566B" w:rsidRDefault="00267566" w:rsidP="009E0B32">
      <w:pPr>
        <w:spacing w:after="0" w:line="360" w:lineRule="auto"/>
        <w:ind w:firstLine="720"/>
        <w:jc w:val="both"/>
        <w:rPr>
          <w:rFonts w:ascii="Arial" w:hAnsi="Arial" w:cs="Arial"/>
          <w:bCs/>
          <w:iCs/>
          <w:sz w:val="24"/>
          <w:szCs w:val="24"/>
        </w:rPr>
      </w:pPr>
      <w:r w:rsidRPr="005A566B">
        <w:rPr>
          <w:rFonts w:ascii="Arial" w:hAnsi="Arial" w:cs="Arial"/>
          <w:bCs/>
          <w:iCs/>
          <w:sz w:val="24"/>
          <w:szCs w:val="24"/>
        </w:rPr>
        <w:t>As proposed in model 2, there are interactions that influence the scale of the impact of WCM on firm</w:t>
      </w:r>
      <w:r w:rsidR="007C1C65" w:rsidRPr="005A566B">
        <w:rPr>
          <w:rFonts w:ascii="Arial" w:hAnsi="Arial" w:cs="Arial"/>
          <w:bCs/>
          <w:iCs/>
          <w:sz w:val="24"/>
          <w:szCs w:val="24"/>
        </w:rPr>
        <w:t>s’ financial</w:t>
      </w:r>
      <w:r w:rsidRPr="005A566B">
        <w:rPr>
          <w:rFonts w:ascii="Arial" w:hAnsi="Arial" w:cs="Arial"/>
          <w:bCs/>
          <w:iCs/>
          <w:sz w:val="24"/>
          <w:szCs w:val="24"/>
        </w:rPr>
        <w:t xml:space="preserve"> performance. The most important of these discussed in the </w:t>
      </w:r>
      <w:r w:rsidRPr="005A566B">
        <w:rPr>
          <w:rFonts w:ascii="Arial" w:hAnsi="Arial" w:cs="Arial"/>
          <w:bCs/>
          <w:iCs/>
          <w:sz w:val="24"/>
          <w:szCs w:val="24"/>
        </w:rPr>
        <w:lastRenderedPageBreak/>
        <w:t>literature are environmental conditions such as competition and financial market turbulence. The central hypothesis is that firms are more likely to adopt more formal controls such as reducing investment in working capital to enhance their performance when faced with severe EC.</w:t>
      </w:r>
      <w:r w:rsidR="009E0B32" w:rsidRPr="005A566B">
        <w:rPr>
          <w:rFonts w:ascii="Arial" w:hAnsi="Arial" w:cs="Arial"/>
          <w:bCs/>
          <w:iCs/>
          <w:sz w:val="24"/>
          <w:szCs w:val="24"/>
        </w:rPr>
        <w:t xml:space="preserve"> </w:t>
      </w:r>
    </w:p>
    <w:p w14:paraId="57932813" w14:textId="06215BA6" w:rsidR="00267566" w:rsidRPr="005A566B" w:rsidRDefault="00D77892" w:rsidP="009E0B32">
      <w:pPr>
        <w:spacing w:after="0" w:line="360" w:lineRule="auto"/>
        <w:ind w:firstLine="720"/>
        <w:jc w:val="both"/>
        <w:rPr>
          <w:rFonts w:ascii="Arial" w:hAnsi="Arial" w:cs="Arial"/>
          <w:bCs/>
          <w:iCs/>
          <w:sz w:val="24"/>
          <w:szCs w:val="24"/>
        </w:rPr>
      </w:pPr>
      <w:r w:rsidRPr="005A566B">
        <w:rPr>
          <w:rFonts w:ascii="Arial" w:hAnsi="Arial" w:cs="Arial"/>
          <w:bCs/>
          <w:iCs/>
          <w:sz w:val="24"/>
          <w:szCs w:val="24"/>
        </w:rPr>
        <w:t>Table 5 and 6</w:t>
      </w:r>
      <w:r w:rsidR="00267566" w:rsidRPr="005A566B">
        <w:rPr>
          <w:rFonts w:ascii="Arial" w:hAnsi="Arial" w:cs="Arial"/>
          <w:bCs/>
          <w:iCs/>
          <w:sz w:val="24"/>
          <w:szCs w:val="24"/>
        </w:rPr>
        <w:t xml:space="preserve"> pres</w:t>
      </w:r>
      <w:r w:rsidR="00BA2D49" w:rsidRPr="005A566B">
        <w:rPr>
          <w:rFonts w:ascii="Arial" w:hAnsi="Arial" w:cs="Arial"/>
          <w:bCs/>
          <w:iCs/>
          <w:sz w:val="24"/>
          <w:szCs w:val="24"/>
        </w:rPr>
        <w:t>ent</w:t>
      </w:r>
      <w:r w:rsidR="00267566" w:rsidRPr="005A566B">
        <w:rPr>
          <w:rFonts w:ascii="Arial" w:hAnsi="Arial" w:cs="Arial"/>
          <w:bCs/>
          <w:iCs/>
          <w:sz w:val="24"/>
          <w:szCs w:val="24"/>
        </w:rPr>
        <w:t xml:space="preserve"> empirical evidence on the relati</w:t>
      </w:r>
      <w:r w:rsidR="00D1471F" w:rsidRPr="005A566B">
        <w:rPr>
          <w:rFonts w:ascii="Arial" w:hAnsi="Arial" w:cs="Arial"/>
          <w:bCs/>
          <w:iCs/>
          <w:sz w:val="24"/>
          <w:szCs w:val="24"/>
        </w:rPr>
        <w:t xml:space="preserve">onship between WCM, EC and firms’ financial </w:t>
      </w:r>
      <w:r w:rsidR="00267566" w:rsidRPr="005A566B">
        <w:rPr>
          <w:rFonts w:ascii="Arial" w:hAnsi="Arial" w:cs="Arial"/>
          <w:bCs/>
          <w:iCs/>
          <w:sz w:val="24"/>
          <w:szCs w:val="24"/>
        </w:rPr>
        <w:t xml:space="preserve">performance. </w:t>
      </w:r>
      <w:bookmarkStart w:id="183" w:name="OLE_LINK241"/>
      <w:bookmarkStart w:id="184" w:name="OLE_LINK242"/>
      <w:bookmarkStart w:id="185" w:name="OLE_LINK243"/>
      <w:r w:rsidR="00267566" w:rsidRPr="005A566B">
        <w:rPr>
          <w:rFonts w:ascii="Arial" w:hAnsi="Arial" w:cs="Arial"/>
          <w:bCs/>
          <w:iCs/>
          <w:sz w:val="24"/>
          <w:szCs w:val="24"/>
        </w:rPr>
        <w:t>Evidence from both regres</w:t>
      </w:r>
      <w:r w:rsidRPr="005A566B">
        <w:rPr>
          <w:rFonts w:ascii="Arial" w:hAnsi="Arial" w:cs="Arial"/>
          <w:bCs/>
          <w:iCs/>
          <w:sz w:val="24"/>
          <w:szCs w:val="24"/>
        </w:rPr>
        <w:t>sions (columns 1 and 3, Tables 5 and 6</w:t>
      </w:r>
      <w:r w:rsidR="00267566" w:rsidRPr="005A566B">
        <w:rPr>
          <w:rFonts w:ascii="Arial" w:hAnsi="Arial" w:cs="Arial"/>
          <w:bCs/>
          <w:iCs/>
          <w:sz w:val="24"/>
          <w:szCs w:val="24"/>
        </w:rPr>
        <w:t>) show significantly positive relation between competitive intensity and firm</w:t>
      </w:r>
      <w:r w:rsidR="000F78AE" w:rsidRPr="005A566B">
        <w:rPr>
          <w:rFonts w:ascii="Arial" w:hAnsi="Arial" w:cs="Arial"/>
          <w:bCs/>
          <w:iCs/>
          <w:sz w:val="24"/>
          <w:szCs w:val="24"/>
        </w:rPr>
        <w:t>s’ financial</w:t>
      </w:r>
      <w:r w:rsidR="00267566" w:rsidRPr="005A566B">
        <w:rPr>
          <w:rFonts w:ascii="Arial" w:hAnsi="Arial" w:cs="Arial"/>
          <w:bCs/>
          <w:iCs/>
          <w:sz w:val="24"/>
          <w:szCs w:val="24"/>
        </w:rPr>
        <w:t xml:space="preserve"> performance (ROA and QRATIO). </w:t>
      </w:r>
      <w:bookmarkStart w:id="186" w:name="OLE_LINK297"/>
      <w:bookmarkStart w:id="187" w:name="OLE_LINK298"/>
      <w:bookmarkStart w:id="188" w:name="OLE_LINK299"/>
      <w:r w:rsidR="00267566" w:rsidRPr="005A566B">
        <w:rPr>
          <w:rFonts w:ascii="Arial" w:hAnsi="Arial" w:cs="Arial"/>
          <w:bCs/>
          <w:iCs/>
          <w:sz w:val="24"/>
          <w:szCs w:val="24"/>
        </w:rPr>
        <w:t xml:space="preserve">The findings suggest that </w:t>
      </w:r>
      <w:bookmarkStart w:id="189" w:name="OLE_LINK138"/>
      <w:r w:rsidR="00267566" w:rsidRPr="005A566B">
        <w:rPr>
          <w:rFonts w:ascii="Arial" w:hAnsi="Arial" w:cs="Arial"/>
          <w:bCs/>
          <w:iCs/>
          <w:sz w:val="24"/>
          <w:szCs w:val="24"/>
        </w:rPr>
        <w:t>competiti</w:t>
      </w:r>
      <w:r w:rsidR="000F78AE" w:rsidRPr="005A566B">
        <w:rPr>
          <w:rFonts w:ascii="Arial" w:hAnsi="Arial" w:cs="Arial"/>
          <w:bCs/>
          <w:iCs/>
          <w:sz w:val="24"/>
          <w:szCs w:val="24"/>
        </w:rPr>
        <w:t>on</w:t>
      </w:r>
      <w:r w:rsidR="00267566" w:rsidRPr="005A566B">
        <w:rPr>
          <w:rFonts w:ascii="Arial" w:hAnsi="Arial" w:cs="Arial"/>
          <w:bCs/>
          <w:iCs/>
          <w:sz w:val="24"/>
          <w:szCs w:val="24"/>
        </w:rPr>
        <w:t xml:space="preserve"> intensity has a significa</w:t>
      </w:r>
      <w:r w:rsidR="000F78AE" w:rsidRPr="005A566B">
        <w:rPr>
          <w:rFonts w:ascii="Arial" w:hAnsi="Arial" w:cs="Arial"/>
          <w:bCs/>
          <w:iCs/>
          <w:sz w:val="24"/>
          <w:szCs w:val="24"/>
        </w:rPr>
        <w:t xml:space="preserve">ntly positive influence on firms’ financial </w:t>
      </w:r>
      <w:r w:rsidR="00267566" w:rsidRPr="005A566B">
        <w:rPr>
          <w:rFonts w:ascii="Arial" w:hAnsi="Arial" w:cs="Arial"/>
          <w:bCs/>
          <w:iCs/>
          <w:sz w:val="24"/>
          <w:szCs w:val="24"/>
        </w:rPr>
        <w:t>performance</w:t>
      </w:r>
      <w:bookmarkEnd w:id="189"/>
      <w:r w:rsidR="00267566" w:rsidRPr="005A566B">
        <w:rPr>
          <w:rFonts w:ascii="Arial" w:hAnsi="Arial" w:cs="Arial"/>
          <w:bCs/>
          <w:iCs/>
          <w:sz w:val="24"/>
          <w:szCs w:val="24"/>
        </w:rPr>
        <w:t>. This is consistent</w:t>
      </w:r>
      <w:r w:rsidR="00C065DE" w:rsidRPr="005A566B">
        <w:rPr>
          <w:rFonts w:ascii="Arial" w:hAnsi="Arial" w:cs="Arial"/>
          <w:bCs/>
          <w:iCs/>
          <w:sz w:val="24"/>
          <w:szCs w:val="24"/>
        </w:rPr>
        <w:t xml:space="preserve"> with </w:t>
      </w:r>
      <w:r w:rsidR="00267566" w:rsidRPr="005A566B">
        <w:rPr>
          <w:rFonts w:ascii="Arial" w:hAnsi="Arial" w:cs="Arial"/>
          <w:bCs/>
          <w:iCs/>
          <w:sz w:val="24"/>
          <w:szCs w:val="24"/>
        </w:rPr>
        <w:t xml:space="preserve"> </w:t>
      </w:r>
      <w:bookmarkStart w:id="190" w:name="OLE_LINK135"/>
      <w:bookmarkStart w:id="191" w:name="OLE_LINK136"/>
      <w:bookmarkStart w:id="192" w:name="OLE_LINK137"/>
      <w:bookmarkStart w:id="193" w:name="OLE_LINK139"/>
      <w:bookmarkStart w:id="194" w:name="OLE_LINK140"/>
      <w:r w:rsidR="00C065DE" w:rsidRPr="005A566B">
        <w:rPr>
          <w:rFonts w:ascii="Arial" w:hAnsi="Arial" w:cs="Arial"/>
          <w:bCs/>
          <w:iCs/>
          <w:sz w:val="24"/>
          <w:szCs w:val="24"/>
        </w:rPr>
        <w:fldChar w:fldCharType="begin" w:fldLock="1"/>
      </w:r>
      <w:r w:rsidR="00031DA3" w:rsidRPr="005A566B">
        <w:rPr>
          <w:rFonts w:ascii="Arial" w:hAnsi="Arial" w:cs="Arial"/>
          <w:bCs/>
          <w:iCs/>
          <w:sz w:val="24"/>
          <w:szCs w:val="24"/>
        </w:rPr>
        <w:instrText>ADDIN CSL_CITATION { "citationItems" : [ { "id" : "ITEM-1", "itemData" : { "DOI" : "10.1016/S0927-5371(99)00005-6", "ISSN" : "09275371", "abstract" : "The concern of this paper is whether monopoly power in the product market impacts badly on the performance of the labour market. There is strong evidence of the sharing of monopoly rents and of higher wages being associated with market power. It is not clear whether this is simply a union effect or whether it applies in the non-union sector. The balance of the evidence also suggests a negative relationship between product market power and productivity performance.", "author" : [ { "dropping-particle" : "", "family" : "Nickell", "given" : "S", "non-dropping-particle" : "", "parse-names" : false, "suffix" : "" } ], "container-title" : "Labour Economics", "id" : "ITEM-1", "issue" : "1", "issued" : { "date-parts" : [ [ "1999" ] ] }, "page" : "1-20", "title" : "Product markets and labour markets", "type" : "article-journal", "volume" : "6" }, "uris" : [ "http://www.mendeley.com/documents/?uuid=d89b0473-847e-4467-9166-c6060ff94443" ] } ], "mendeley" : { "formattedCitation" : "(Nickell, 1999)", "manualFormatting" : "Nickell (1999)", "plainTextFormattedCitation" : "(Nickell, 1999)", "previouslyFormattedCitation" : "(Nickell, 1999)" }, "properties" : {  }, "schema" : "https://github.com/citation-style-language/schema/raw/master/csl-citation.json" }</w:instrText>
      </w:r>
      <w:r w:rsidR="00C065DE" w:rsidRPr="005A566B">
        <w:rPr>
          <w:rFonts w:ascii="Arial" w:hAnsi="Arial" w:cs="Arial"/>
          <w:bCs/>
          <w:iCs/>
          <w:sz w:val="24"/>
          <w:szCs w:val="24"/>
        </w:rPr>
        <w:fldChar w:fldCharType="separate"/>
      </w:r>
      <w:r w:rsidR="00C065DE" w:rsidRPr="005A566B">
        <w:rPr>
          <w:rFonts w:ascii="Arial" w:hAnsi="Arial" w:cs="Arial"/>
          <w:bCs/>
          <w:iCs/>
          <w:noProof/>
          <w:sz w:val="24"/>
          <w:szCs w:val="24"/>
        </w:rPr>
        <w:t>Nickell (1999)</w:t>
      </w:r>
      <w:r w:rsidR="00C065DE" w:rsidRPr="005A566B">
        <w:rPr>
          <w:rFonts w:ascii="Arial" w:hAnsi="Arial" w:cs="Arial"/>
          <w:bCs/>
          <w:iCs/>
          <w:sz w:val="24"/>
          <w:szCs w:val="24"/>
        </w:rPr>
        <w:fldChar w:fldCharType="end"/>
      </w:r>
      <w:bookmarkEnd w:id="190"/>
      <w:bookmarkEnd w:id="191"/>
      <w:bookmarkEnd w:id="192"/>
      <w:r w:rsidR="00267566" w:rsidRPr="005A566B">
        <w:rPr>
          <w:rFonts w:ascii="Arial" w:hAnsi="Arial" w:cs="Arial"/>
          <w:bCs/>
          <w:iCs/>
          <w:sz w:val="24"/>
          <w:szCs w:val="24"/>
        </w:rPr>
        <w:t xml:space="preserve">. </w:t>
      </w:r>
      <w:bookmarkEnd w:id="193"/>
      <w:bookmarkEnd w:id="194"/>
      <w:r w:rsidR="00267566" w:rsidRPr="005A566B">
        <w:rPr>
          <w:rFonts w:ascii="Arial" w:hAnsi="Arial" w:cs="Arial"/>
          <w:bCs/>
          <w:iCs/>
          <w:sz w:val="24"/>
          <w:szCs w:val="24"/>
        </w:rPr>
        <w:t xml:space="preserve">We also find a significantly negative relationship between financial crisis and firm performance, which suggests that financial market </w:t>
      </w:r>
      <w:r w:rsidR="00267566" w:rsidRPr="005A566B">
        <w:rPr>
          <w:rFonts w:ascii="Arial" w:hAnsi="Arial" w:cs="Arial"/>
          <w:bCs/>
          <w:iCs/>
          <w:sz w:val="24"/>
          <w:szCs w:val="24"/>
        </w:rPr>
        <w:lastRenderedPageBreak/>
        <w:t>turbulence adversely affect the performance of firms. The overall evidence from measures of EC suggests that EC significantly impacts on the performance of firms.</w:t>
      </w:r>
      <w:bookmarkEnd w:id="183"/>
      <w:bookmarkEnd w:id="184"/>
      <w:bookmarkEnd w:id="185"/>
      <w:bookmarkEnd w:id="186"/>
      <w:bookmarkEnd w:id="187"/>
      <w:bookmarkEnd w:id="188"/>
    </w:p>
    <w:p w14:paraId="04E24B1C" w14:textId="41A26E0D" w:rsidR="00D57E7A" w:rsidRPr="005A566B" w:rsidRDefault="00267566" w:rsidP="005F75A4">
      <w:pPr>
        <w:spacing w:after="0" w:line="360" w:lineRule="auto"/>
        <w:ind w:firstLine="720"/>
        <w:jc w:val="both"/>
        <w:rPr>
          <w:rFonts w:ascii="Arial" w:hAnsi="Arial" w:cs="Arial"/>
          <w:bCs/>
          <w:iCs/>
          <w:sz w:val="24"/>
          <w:szCs w:val="24"/>
        </w:rPr>
      </w:pPr>
      <w:bookmarkStart w:id="195" w:name="OLE_LINK251"/>
      <w:bookmarkStart w:id="196" w:name="OLE_LINK252"/>
      <w:bookmarkStart w:id="197" w:name="OLE_LINK253"/>
      <w:r w:rsidRPr="005A566B">
        <w:rPr>
          <w:rFonts w:ascii="Arial" w:hAnsi="Arial" w:cs="Arial"/>
          <w:bCs/>
          <w:iCs/>
          <w:sz w:val="24"/>
          <w:szCs w:val="24"/>
        </w:rPr>
        <w:t xml:space="preserve">However, when we interact the </w:t>
      </w:r>
      <w:r w:rsidR="00D77892" w:rsidRPr="005A566B">
        <w:rPr>
          <w:rFonts w:ascii="Arial" w:hAnsi="Arial" w:cs="Arial"/>
          <w:bCs/>
          <w:iCs/>
          <w:sz w:val="24"/>
          <w:szCs w:val="24"/>
        </w:rPr>
        <w:t>EC variables with WCM in Table 6</w:t>
      </w:r>
      <w:r w:rsidRPr="005A566B">
        <w:rPr>
          <w:rFonts w:ascii="Arial" w:hAnsi="Arial" w:cs="Arial"/>
          <w:bCs/>
          <w:iCs/>
          <w:sz w:val="24"/>
          <w:szCs w:val="24"/>
        </w:rPr>
        <w:t>, we find the interactive terms (WCM X COMPETITION and WCM X CRISIS) becomes significantly positive confirming H1 that EC positively moderates the relationship between WCM and firm</w:t>
      </w:r>
      <w:r w:rsidR="005F75A4" w:rsidRPr="005A566B">
        <w:rPr>
          <w:rFonts w:ascii="Arial" w:hAnsi="Arial" w:cs="Arial"/>
          <w:bCs/>
          <w:iCs/>
          <w:sz w:val="24"/>
          <w:szCs w:val="24"/>
        </w:rPr>
        <w:t>s’ financial</w:t>
      </w:r>
      <w:r w:rsidRPr="005A566B">
        <w:rPr>
          <w:rFonts w:ascii="Arial" w:hAnsi="Arial" w:cs="Arial"/>
          <w:bCs/>
          <w:iCs/>
          <w:sz w:val="24"/>
          <w:szCs w:val="24"/>
        </w:rPr>
        <w:t xml:space="preserve"> performance. In particular, the evidence suggests that relationship between WCM and firm performance is influenced by </w:t>
      </w:r>
      <w:bookmarkEnd w:id="195"/>
      <w:bookmarkEnd w:id="196"/>
      <w:bookmarkEnd w:id="197"/>
      <w:r w:rsidRPr="005A566B">
        <w:rPr>
          <w:rFonts w:ascii="Arial" w:hAnsi="Arial" w:cs="Arial"/>
          <w:bCs/>
          <w:iCs/>
          <w:sz w:val="24"/>
          <w:szCs w:val="24"/>
        </w:rPr>
        <w:t xml:space="preserve">EC (COMPETITION and CRISIS) such as the degree of competition in the industry and financial market turbulence. According </w:t>
      </w:r>
      <w:bookmarkStart w:id="198" w:name="OLE_LINK262"/>
      <w:bookmarkStart w:id="199" w:name="OLE_LINK263"/>
      <w:bookmarkStart w:id="200" w:name="OLE_LINK264"/>
      <w:r w:rsidRPr="005A566B">
        <w:rPr>
          <w:rFonts w:ascii="Arial" w:hAnsi="Arial" w:cs="Arial"/>
          <w:bCs/>
          <w:iCs/>
          <w:sz w:val="24"/>
          <w:szCs w:val="24"/>
        </w:rPr>
        <w:t>to our evidence, firm operating within very competitive industries are able to perform more (less) if they increase (decrease), their investment in WCM compare</w:t>
      </w:r>
      <w:r w:rsidR="005F75A4" w:rsidRPr="005A566B">
        <w:rPr>
          <w:rFonts w:ascii="Arial" w:hAnsi="Arial" w:cs="Arial"/>
          <w:bCs/>
          <w:iCs/>
          <w:sz w:val="24"/>
          <w:szCs w:val="24"/>
        </w:rPr>
        <w:t>d</w:t>
      </w:r>
      <w:r w:rsidRPr="005A566B">
        <w:rPr>
          <w:rFonts w:ascii="Arial" w:hAnsi="Arial" w:cs="Arial"/>
          <w:bCs/>
          <w:iCs/>
          <w:sz w:val="24"/>
          <w:szCs w:val="24"/>
        </w:rPr>
        <w:t xml:space="preserve"> </w:t>
      </w:r>
      <w:r w:rsidRPr="005A566B">
        <w:rPr>
          <w:rFonts w:ascii="Arial" w:hAnsi="Arial" w:cs="Arial"/>
          <w:bCs/>
          <w:iCs/>
          <w:sz w:val="24"/>
          <w:szCs w:val="24"/>
        </w:rPr>
        <w:lastRenderedPageBreak/>
        <w:t xml:space="preserve">to operating in less competitive industries. </w:t>
      </w:r>
      <w:bookmarkEnd w:id="198"/>
      <w:bookmarkEnd w:id="199"/>
      <w:bookmarkEnd w:id="200"/>
      <w:r w:rsidRPr="005A566B">
        <w:rPr>
          <w:rFonts w:ascii="Arial" w:hAnsi="Arial" w:cs="Arial"/>
          <w:bCs/>
          <w:iCs/>
          <w:sz w:val="24"/>
          <w:szCs w:val="24"/>
        </w:rPr>
        <w:t xml:space="preserve">We </w:t>
      </w:r>
      <w:r w:rsidR="005F75A4" w:rsidRPr="005A566B">
        <w:rPr>
          <w:rFonts w:ascii="Arial" w:hAnsi="Arial" w:cs="Arial"/>
          <w:bCs/>
          <w:iCs/>
          <w:sz w:val="24"/>
          <w:szCs w:val="24"/>
        </w:rPr>
        <w:t>attribute this to the fact that</w:t>
      </w:r>
      <w:r w:rsidRPr="005A566B">
        <w:rPr>
          <w:rFonts w:ascii="Arial" w:hAnsi="Arial" w:cs="Arial"/>
          <w:bCs/>
          <w:iCs/>
          <w:sz w:val="24"/>
          <w:szCs w:val="24"/>
        </w:rPr>
        <w:t xml:space="preserve"> firm operating within very competitive industries need to offer very generous credit to their customers as a competitive tool in enhancing sales and market share</w:t>
      </w:r>
      <w:r w:rsidR="005F75A4" w:rsidRPr="005A566B">
        <w:rPr>
          <w:rFonts w:ascii="Arial" w:hAnsi="Arial" w:cs="Arial"/>
          <w:bCs/>
          <w:iCs/>
          <w:sz w:val="24"/>
          <w:szCs w:val="24"/>
        </w:rPr>
        <w:t xml:space="preserve"> (e.g.,</w:t>
      </w:r>
      <w:r w:rsidRPr="005A566B">
        <w:rPr>
          <w:rFonts w:ascii="Arial" w:hAnsi="Arial" w:cs="Arial"/>
          <w:bCs/>
          <w:iCs/>
          <w:sz w:val="24"/>
          <w:szCs w:val="24"/>
        </w:rPr>
        <w:t xml:space="preserve"> </w:t>
      </w:r>
      <w:r w:rsidR="00C065DE" w:rsidRPr="005A566B">
        <w:rPr>
          <w:rFonts w:ascii="Arial" w:hAnsi="Arial" w:cs="Arial"/>
          <w:bCs/>
          <w:iCs/>
          <w:sz w:val="24"/>
          <w:szCs w:val="24"/>
        </w:rPr>
        <w:fldChar w:fldCharType="begin" w:fldLock="1"/>
      </w:r>
      <w:r w:rsidR="0093010E" w:rsidRPr="005A566B">
        <w:rPr>
          <w:rFonts w:ascii="Arial" w:hAnsi="Arial" w:cs="Arial"/>
          <w:bCs/>
          <w:iCs/>
          <w:sz w:val="24"/>
          <w:szCs w:val="24"/>
        </w:rPr>
        <w:instrText>ADDIN CSL_CITATION { "citationItems" : [ { "id" : "ITEM-1", "itemData" : { "DOI" : "10.1111/j.1755-053X.2012.01198.x", "ISBN" : "1755-053X", "ISSN" : "00463892", "abstract" : "We examine shareholder wealth implications of supplying financing to customers. Robust results suggest that excess returns and changes in trade receivables are directly and significantly related. Further evidence indicates the value of receivables is higher for suppliers with stronger motives relating to operating and contracting costs. The results also suggest a discounted value of receivables for financially unconstrained firms. Overall, we conclude that investors recognize trade credit as an effective instrument in mitigating frictions hindering sales growth. Thus, certain suppliers are positioned to derive increased strategic benefits from credit policy.", "author" : [ { "dropping-particle" : "", "family" : "Hill", "given" : "Matthew D.", "non-dropping-particle" : "", "parse-names" : false, "suffix" : "" }, { "dropping-particle" : "", "family" : "Kelly", "given" : "G. Wayne", "non-dropping-particle" : "", "parse-names" : false, "suffix" : "" }, { "dropping-particle" : "", "family" : "Lockhart", "given" : "G. Brandon", "non-dropping-particle" : "", "parse-names" : false, "suffix" : "" } ], "container-title" : "Financial Management", "id" : "ITEM-1", "issue" : "1", "issued" : { "date-parts" : [ [ "2012" ] ] }, "page" : "255-280", "title" : "Shareholder Returns from Supplying Trade Credit", "type" : "article-journal", "volume" : "41" }, "uris" : [ "http://www.mendeley.com/documents/?uuid=3a7614f8-97bf-466b-a1b1-e8b77a1bdf00" ] } ], "mendeley" : { "formattedCitation" : "(Hill, Kelly and Lockhart, 2012)", "manualFormatting" : "Hill et al. 2012)", "plainTextFormattedCitation" : "(Hill, Kelly and Lockhart, 2012)", "previouslyFormattedCitation" : "(Hill, Kelly and Lockhart, 2012)" }, "properties" : {  }, "schema" : "https://github.com/citation-style-language/schema/raw/master/csl-citation.json" }</w:instrText>
      </w:r>
      <w:r w:rsidR="00C065DE" w:rsidRPr="005A566B">
        <w:rPr>
          <w:rFonts w:ascii="Arial" w:hAnsi="Arial" w:cs="Arial"/>
          <w:bCs/>
          <w:iCs/>
          <w:sz w:val="24"/>
          <w:szCs w:val="24"/>
        </w:rPr>
        <w:fldChar w:fldCharType="separate"/>
      </w:r>
      <w:r w:rsidR="005F75A4" w:rsidRPr="005A566B">
        <w:rPr>
          <w:rFonts w:ascii="Arial" w:hAnsi="Arial" w:cs="Arial"/>
          <w:bCs/>
          <w:iCs/>
          <w:noProof/>
          <w:sz w:val="24"/>
          <w:szCs w:val="24"/>
        </w:rPr>
        <w:t xml:space="preserve">Hill et al. </w:t>
      </w:r>
      <w:r w:rsidR="00C065DE" w:rsidRPr="005A566B">
        <w:rPr>
          <w:rFonts w:ascii="Arial" w:hAnsi="Arial" w:cs="Arial"/>
          <w:bCs/>
          <w:iCs/>
          <w:noProof/>
          <w:sz w:val="24"/>
          <w:szCs w:val="24"/>
        </w:rPr>
        <w:t>2012)</w:t>
      </w:r>
      <w:r w:rsidR="00C065DE" w:rsidRPr="005A566B">
        <w:rPr>
          <w:rFonts w:ascii="Arial" w:hAnsi="Arial" w:cs="Arial"/>
          <w:bCs/>
          <w:iCs/>
          <w:sz w:val="24"/>
          <w:szCs w:val="24"/>
        </w:rPr>
        <w:fldChar w:fldCharType="end"/>
      </w:r>
      <w:r w:rsidR="00C065DE" w:rsidRPr="005A566B">
        <w:rPr>
          <w:rFonts w:ascii="Arial" w:hAnsi="Arial" w:cs="Arial"/>
          <w:bCs/>
          <w:iCs/>
          <w:sz w:val="24"/>
          <w:szCs w:val="24"/>
        </w:rPr>
        <w:t>.</w:t>
      </w:r>
      <w:r w:rsidRPr="005A566B">
        <w:rPr>
          <w:rFonts w:ascii="Arial" w:hAnsi="Arial" w:cs="Arial"/>
          <w:bCs/>
          <w:iCs/>
          <w:sz w:val="24"/>
          <w:szCs w:val="24"/>
        </w:rPr>
        <w:t xml:space="preserve"> On the other hand, during periods of financial market turbulence (eg. financial crisis), firms focus more on the preservation of cash and reduction of their cash conversion cycles to secure addition</w:t>
      </w:r>
      <w:r w:rsidRPr="00E92D44">
        <w:rPr>
          <w:rFonts w:ascii="Arial" w:hAnsi="Arial" w:cs="Arial"/>
          <w:bCs/>
          <w:iCs/>
          <w:sz w:val="24"/>
          <w:szCs w:val="24"/>
        </w:rPr>
        <w:t>al funding buffers for their operational activities</w:t>
      </w:r>
      <w:r w:rsidRPr="00E92D44">
        <w:rPr>
          <w:rFonts w:ascii="Arial" w:hAnsi="Arial" w:cs="Arial"/>
          <w:bCs/>
          <w:iCs/>
          <w:sz w:val="24"/>
          <w:szCs w:val="24"/>
          <w:lang w:val="en-US"/>
        </w:rPr>
        <w:t>. Therefore</w:t>
      </w:r>
      <w:r w:rsidR="005F75A4" w:rsidRPr="005A566B">
        <w:rPr>
          <w:rFonts w:ascii="Arial" w:hAnsi="Arial" w:cs="Arial"/>
          <w:bCs/>
          <w:iCs/>
          <w:sz w:val="24"/>
          <w:szCs w:val="24"/>
          <w:lang w:val="en-US"/>
        </w:rPr>
        <w:t>,</w:t>
      </w:r>
      <w:r w:rsidRPr="005A566B">
        <w:rPr>
          <w:rFonts w:ascii="Arial" w:hAnsi="Arial" w:cs="Arial"/>
          <w:bCs/>
          <w:iCs/>
          <w:sz w:val="24"/>
          <w:szCs w:val="24"/>
          <w:lang w:val="en-US"/>
        </w:rPr>
        <w:t xml:space="preserve"> by </w:t>
      </w:r>
      <w:r w:rsidRPr="005A566B">
        <w:rPr>
          <w:rFonts w:ascii="Arial" w:hAnsi="Arial" w:cs="Arial"/>
          <w:bCs/>
          <w:iCs/>
          <w:sz w:val="24"/>
          <w:szCs w:val="24"/>
        </w:rPr>
        <w:t>adopting an aggressive WCM policy, firms can free up all the excess cash tied up in working capital for profitable inve</w:t>
      </w:r>
      <w:r w:rsidR="005F75A4" w:rsidRPr="005A566B">
        <w:rPr>
          <w:rFonts w:ascii="Arial" w:hAnsi="Arial" w:cs="Arial"/>
          <w:bCs/>
          <w:iCs/>
          <w:sz w:val="24"/>
          <w:szCs w:val="24"/>
        </w:rPr>
        <w:t>stment opportunities.</w:t>
      </w:r>
      <w:bookmarkStart w:id="201" w:name="OLE_LINK281"/>
      <w:bookmarkStart w:id="202" w:name="OLE_LINK282"/>
      <w:r w:rsidR="005F75A4" w:rsidRPr="005A566B">
        <w:rPr>
          <w:rFonts w:ascii="Arial" w:hAnsi="Arial" w:cs="Arial"/>
          <w:bCs/>
          <w:iCs/>
          <w:sz w:val="24"/>
          <w:szCs w:val="24"/>
        </w:rPr>
        <w:t xml:space="preserve"> T</w:t>
      </w:r>
      <w:r w:rsidRPr="005A566B">
        <w:rPr>
          <w:rFonts w:ascii="Arial" w:hAnsi="Arial" w:cs="Arial"/>
          <w:bCs/>
          <w:iCs/>
          <w:sz w:val="24"/>
          <w:szCs w:val="24"/>
        </w:rPr>
        <w:t>he coefficient estimates of WC</w:t>
      </w:r>
      <w:r w:rsidR="005F75A4" w:rsidRPr="005A566B">
        <w:rPr>
          <w:rFonts w:ascii="Arial" w:hAnsi="Arial" w:cs="Arial"/>
          <w:bCs/>
          <w:iCs/>
          <w:sz w:val="24"/>
          <w:szCs w:val="24"/>
        </w:rPr>
        <w:t>M, AGE, FLEV, ATAN and GROWTH are</w:t>
      </w:r>
      <w:r w:rsidRPr="005A566B">
        <w:rPr>
          <w:rFonts w:ascii="Arial" w:hAnsi="Arial" w:cs="Arial"/>
          <w:bCs/>
          <w:iCs/>
          <w:sz w:val="24"/>
          <w:szCs w:val="24"/>
        </w:rPr>
        <w:t xml:space="preserve"> </w:t>
      </w:r>
      <w:r w:rsidR="005F75A4" w:rsidRPr="005A566B">
        <w:rPr>
          <w:rFonts w:ascii="Arial" w:hAnsi="Arial" w:cs="Arial"/>
          <w:bCs/>
          <w:iCs/>
          <w:sz w:val="24"/>
          <w:szCs w:val="24"/>
        </w:rPr>
        <w:t>still</w:t>
      </w:r>
      <w:r w:rsidRPr="005A566B">
        <w:rPr>
          <w:rFonts w:ascii="Arial" w:hAnsi="Arial" w:cs="Arial"/>
          <w:bCs/>
          <w:iCs/>
          <w:sz w:val="24"/>
          <w:szCs w:val="24"/>
        </w:rPr>
        <w:t xml:space="preserve"> statistically significant at conventional level as previously determined in Table </w:t>
      </w:r>
      <w:bookmarkEnd w:id="201"/>
      <w:bookmarkEnd w:id="202"/>
      <w:r w:rsidR="00D77892" w:rsidRPr="005A566B">
        <w:rPr>
          <w:rFonts w:ascii="Arial" w:hAnsi="Arial" w:cs="Arial"/>
          <w:bCs/>
          <w:iCs/>
          <w:sz w:val="24"/>
          <w:szCs w:val="24"/>
        </w:rPr>
        <w:t>4</w:t>
      </w:r>
      <w:r w:rsidRPr="005A566B">
        <w:rPr>
          <w:rFonts w:ascii="Arial" w:hAnsi="Arial" w:cs="Arial"/>
          <w:bCs/>
          <w:iCs/>
          <w:sz w:val="24"/>
          <w:szCs w:val="24"/>
        </w:rPr>
        <w:t>.</w:t>
      </w:r>
    </w:p>
    <w:p w14:paraId="0616F764" w14:textId="77777777" w:rsidR="005F75A4" w:rsidRPr="005A566B" w:rsidRDefault="005F75A4" w:rsidP="004E32E2">
      <w:pPr>
        <w:spacing w:after="0" w:line="360" w:lineRule="auto"/>
        <w:ind w:left="1440" w:firstLine="720"/>
        <w:jc w:val="both"/>
        <w:rPr>
          <w:rFonts w:ascii="Arial" w:hAnsi="Arial" w:cs="Arial"/>
          <w:b/>
          <w:bCs/>
          <w:iCs/>
          <w:sz w:val="24"/>
          <w:szCs w:val="24"/>
        </w:rPr>
      </w:pPr>
    </w:p>
    <w:p w14:paraId="3A1D73F2" w14:textId="77777777" w:rsidR="005F75A4" w:rsidRPr="005A566B" w:rsidRDefault="005F75A4" w:rsidP="004E32E2">
      <w:pPr>
        <w:spacing w:after="0" w:line="360" w:lineRule="auto"/>
        <w:ind w:left="1440" w:firstLine="720"/>
        <w:jc w:val="both"/>
        <w:rPr>
          <w:rFonts w:ascii="Arial" w:hAnsi="Arial" w:cs="Arial"/>
          <w:b/>
          <w:bCs/>
          <w:iCs/>
          <w:sz w:val="24"/>
          <w:szCs w:val="24"/>
        </w:rPr>
      </w:pPr>
    </w:p>
    <w:p w14:paraId="7868332E" w14:textId="77777777" w:rsidR="00EA0BB7" w:rsidRPr="005A566B" w:rsidRDefault="00EA0BB7" w:rsidP="004E32E2">
      <w:pPr>
        <w:spacing w:after="0" w:line="360" w:lineRule="auto"/>
        <w:ind w:left="1440" w:firstLine="720"/>
        <w:jc w:val="both"/>
        <w:rPr>
          <w:rFonts w:ascii="Arial" w:hAnsi="Arial" w:cs="Arial"/>
          <w:b/>
          <w:bCs/>
          <w:iCs/>
          <w:sz w:val="24"/>
          <w:szCs w:val="24"/>
        </w:rPr>
      </w:pPr>
      <w:r w:rsidRPr="005A566B">
        <w:rPr>
          <w:rFonts w:ascii="Arial" w:hAnsi="Arial" w:cs="Arial"/>
          <w:b/>
          <w:bCs/>
          <w:iCs/>
          <w:sz w:val="24"/>
          <w:szCs w:val="24"/>
        </w:rPr>
        <w:t>[Insert Table 5 and 6 about here]</w:t>
      </w:r>
    </w:p>
    <w:p w14:paraId="50806CE3" w14:textId="77777777" w:rsidR="00EA0BB7" w:rsidRPr="005A566B" w:rsidRDefault="00EA0BB7" w:rsidP="004E32E2">
      <w:pPr>
        <w:spacing w:after="0" w:line="360" w:lineRule="auto"/>
        <w:jc w:val="both"/>
        <w:rPr>
          <w:rFonts w:ascii="Arial" w:hAnsi="Arial" w:cs="Arial"/>
          <w:bCs/>
          <w:iCs/>
          <w:sz w:val="24"/>
          <w:szCs w:val="24"/>
        </w:rPr>
      </w:pPr>
    </w:p>
    <w:p w14:paraId="69DE1FFF" w14:textId="77777777" w:rsidR="00267566" w:rsidRPr="005A566B" w:rsidRDefault="00AE4F33" w:rsidP="004E32E2">
      <w:pPr>
        <w:spacing w:after="0" w:line="360" w:lineRule="auto"/>
        <w:jc w:val="both"/>
        <w:rPr>
          <w:rFonts w:ascii="Arial" w:hAnsi="Arial" w:cs="Arial"/>
          <w:bCs/>
          <w:i/>
          <w:iCs/>
          <w:sz w:val="24"/>
          <w:szCs w:val="24"/>
        </w:rPr>
      </w:pPr>
      <w:bookmarkStart w:id="203" w:name="OLE_LINK286"/>
      <w:bookmarkStart w:id="204" w:name="OLE_LINK287"/>
      <w:bookmarkStart w:id="205" w:name="OLE_LINK288"/>
      <w:r w:rsidRPr="005A566B">
        <w:rPr>
          <w:rFonts w:ascii="Arial" w:hAnsi="Arial" w:cs="Arial"/>
          <w:bCs/>
          <w:i/>
          <w:iCs/>
          <w:sz w:val="24"/>
          <w:szCs w:val="24"/>
        </w:rPr>
        <w:t xml:space="preserve">4.3 </w:t>
      </w:r>
      <w:r w:rsidR="00267566" w:rsidRPr="005A566B">
        <w:rPr>
          <w:rFonts w:ascii="Arial" w:hAnsi="Arial" w:cs="Arial"/>
          <w:bCs/>
          <w:i/>
          <w:iCs/>
          <w:sz w:val="24"/>
          <w:szCs w:val="24"/>
        </w:rPr>
        <w:t>Resource Capability, Working Capital Management and Fi</w:t>
      </w:r>
      <w:r w:rsidR="009E0B32" w:rsidRPr="005A566B">
        <w:rPr>
          <w:rFonts w:ascii="Arial" w:hAnsi="Arial" w:cs="Arial"/>
          <w:bCs/>
          <w:i/>
          <w:iCs/>
          <w:sz w:val="24"/>
          <w:szCs w:val="24"/>
        </w:rPr>
        <w:t xml:space="preserve">nancial </w:t>
      </w:r>
      <w:r w:rsidR="00267566" w:rsidRPr="005A566B">
        <w:rPr>
          <w:rFonts w:ascii="Arial" w:hAnsi="Arial" w:cs="Arial"/>
          <w:bCs/>
          <w:i/>
          <w:iCs/>
          <w:sz w:val="24"/>
          <w:szCs w:val="24"/>
        </w:rPr>
        <w:t xml:space="preserve">Performance </w:t>
      </w:r>
    </w:p>
    <w:bookmarkEnd w:id="203"/>
    <w:bookmarkEnd w:id="204"/>
    <w:bookmarkEnd w:id="205"/>
    <w:p w14:paraId="097E6A2F" w14:textId="16F5E2BC" w:rsidR="00267566" w:rsidRPr="005A566B" w:rsidRDefault="00267566" w:rsidP="005F75A4">
      <w:pPr>
        <w:spacing w:after="0" w:line="360" w:lineRule="auto"/>
        <w:ind w:firstLine="720"/>
        <w:jc w:val="both"/>
        <w:rPr>
          <w:rFonts w:ascii="Arial" w:hAnsi="Arial" w:cs="Arial"/>
          <w:bCs/>
          <w:iCs/>
          <w:sz w:val="24"/>
          <w:szCs w:val="24"/>
        </w:rPr>
      </w:pPr>
      <w:r w:rsidRPr="005A566B">
        <w:rPr>
          <w:rFonts w:ascii="Arial" w:hAnsi="Arial" w:cs="Arial"/>
          <w:bCs/>
          <w:iCs/>
          <w:sz w:val="24"/>
          <w:szCs w:val="24"/>
        </w:rPr>
        <w:t>We further explore this analysis by looking at the potential impact of resource capability on the relations between WCM and firms’</w:t>
      </w:r>
      <w:r w:rsidR="00C421D3" w:rsidRPr="005A566B">
        <w:rPr>
          <w:rFonts w:ascii="Arial" w:hAnsi="Arial" w:cs="Arial"/>
          <w:bCs/>
          <w:iCs/>
          <w:sz w:val="24"/>
          <w:szCs w:val="24"/>
        </w:rPr>
        <w:t xml:space="preserve"> financial</w:t>
      </w:r>
      <w:r w:rsidRPr="005A566B">
        <w:rPr>
          <w:rFonts w:ascii="Arial" w:hAnsi="Arial" w:cs="Arial"/>
          <w:bCs/>
          <w:iCs/>
          <w:sz w:val="24"/>
          <w:szCs w:val="24"/>
        </w:rPr>
        <w:t xml:space="preserve"> performance. We investigate whether WCM may vary based on the resource constraint of firms. Our argument is built on the premise that, owing to the scarcity of access to financial resources, resource constrained firms are more likely to observe high performance when t</w:t>
      </w:r>
      <w:r w:rsidR="00CF3856" w:rsidRPr="005A566B">
        <w:rPr>
          <w:rFonts w:ascii="Arial" w:hAnsi="Arial" w:cs="Arial"/>
          <w:bCs/>
          <w:iCs/>
          <w:sz w:val="24"/>
          <w:szCs w:val="24"/>
        </w:rPr>
        <w:tab/>
      </w:r>
      <w:r w:rsidRPr="005A566B">
        <w:rPr>
          <w:rFonts w:ascii="Arial" w:hAnsi="Arial" w:cs="Arial"/>
          <w:bCs/>
          <w:iCs/>
          <w:sz w:val="24"/>
          <w:szCs w:val="24"/>
        </w:rPr>
        <w:t xml:space="preserve">hey </w:t>
      </w:r>
      <w:bookmarkStart w:id="206" w:name="OLE_LINK259"/>
      <w:bookmarkStart w:id="207" w:name="OLE_LINK260"/>
      <w:bookmarkStart w:id="208" w:name="OLE_LINK261"/>
      <w:r w:rsidRPr="005A566B">
        <w:rPr>
          <w:rFonts w:ascii="Arial" w:hAnsi="Arial" w:cs="Arial"/>
          <w:bCs/>
          <w:iCs/>
          <w:sz w:val="24"/>
          <w:szCs w:val="24"/>
        </w:rPr>
        <w:t>adopt formal controls WCM routines than less constrained firms</w:t>
      </w:r>
      <w:bookmarkEnd w:id="206"/>
      <w:bookmarkEnd w:id="207"/>
      <w:bookmarkEnd w:id="208"/>
      <w:r w:rsidR="00EA0BB7" w:rsidRPr="005A566B">
        <w:rPr>
          <w:rFonts w:ascii="Arial" w:hAnsi="Arial" w:cs="Arial"/>
          <w:bCs/>
          <w:iCs/>
          <w:sz w:val="24"/>
          <w:szCs w:val="24"/>
        </w:rPr>
        <w:t>. Table 7</w:t>
      </w:r>
      <w:r w:rsidRPr="005A566B">
        <w:rPr>
          <w:rFonts w:ascii="Arial" w:hAnsi="Arial" w:cs="Arial"/>
          <w:bCs/>
          <w:iCs/>
          <w:sz w:val="24"/>
          <w:szCs w:val="24"/>
        </w:rPr>
        <w:t xml:space="preserve"> presents evidence of the relationship between WCM, R and firm performance. </w:t>
      </w:r>
    </w:p>
    <w:p w14:paraId="51BC39CE" w14:textId="3B608AD1" w:rsidR="00267566" w:rsidRPr="005A566B" w:rsidRDefault="00D77892" w:rsidP="00CF3856">
      <w:pPr>
        <w:spacing w:after="0" w:line="360" w:lineRule="auto"/>
        <w:ind w:firstLine="720"/>
        <w:jc w:val="both"/>
        <w:rPr>
          <w:rFonts w:ascii="Arial" w:hAnsi="Arial" w:cs="Arial"/>
          <w:bCs/>
          <w:iCs/>
          <w:sz w:val="24"/>
          <w:szCs w:val="24"/>
        </w:rPr>
      </w:pPr>
      <w:bookmarkStart w:id="209" w:name="OLE_LINK294"/>
      <w:bookmarkStart w:id="210" w:name="OLE_LINK295"/>
      <w:bookmarkStart w:id="211" w:name="OLE_LINK296"/>
      <w:r w:rsidRPr="005A566B">
        <w:rPr>
          <w:rFonts w:ascii="Arial" w:hAnsi="Arial" w:cs="Arial"/>
          <w:bCs/>
          <w:iCs/>
          <w:sz w:val="24"/>
          <w:szCs w:val="24"/>
        </w:rPr>
        <w:lastRenderedPageBreak/>
        <w:t xml:space="preserve">Evidence from Table </w:t>
      </w:r>
      <w:r w:rsidR="00EA0BB7" w:rsidRPr="005A566B">
        <w:rPr>
          <w:rFonts w:ascii="Arial" w:hAnsi="Arial" w:cs="Arial"/>
          <w:bCs/>
          <w:iCs/>
          <w:sz w:val="24"/>
          <w:szCs w:val="24"/>
        </w:rPr>
        <w:t>7</w:t>
      </w:r>
      <w:r w:rsidR="00267566" w:rsidRPr="005A566B">
        <w:rPr>
          <w:rFonts w:ascii="Arial" w:hAnsi="Arial" w:cs="Arial"/>
          <w:bCs/>
          <w:iCs/>
          <w:sz w:val="24"/>
          <w:szCs w:val="24"/>
        </w:rPr>
        <w:t xml:space="preserve"> (columns 1 and 2) show significantly positive relation between R (SIZE) and firm</w:t>
      </w:r>
      <w:r w:rsidR="007C52F3" w:rsidRPr="005A566B">
        <w:rPr>
          <w:rFonts w:ascii="Arial" w:hAnsi="Arial" w:cs="Arial"/>
          <w:bCs/>
          <w:iCs/>
          <w:sz w:val="24"/>
          <w:szCs w:val="24"/>
        </w:rPr>
        <w:t>s’ financial</w:t>
      </w:r>
      <w:r w:rsidR="00267566" w:rsidRPr="005A566B">
        <w:rPr>
          <w:rFonts w:ascii="Arial" w:hAnsi="Arial" w:cs="Arial"/>
          <w:bCs/>
          <w:iCs/>
          <w:sz w:val="24"/>
          <w:szCs w:val="24"/>
        </w:rPr>
        <w:t xml:space="preserve"> performance (ROA and QRATIO).  The findings suggest that R has a significantly positive influence on firm performance. This is consistent prior studies (e</w:t>
      </w:r>
      <w:r w:rsidR="007C52F3" w:rsidRPr="005A566B">
        <w:rPr>
          <w:rFonts w:ascii="Arial" w:hAnsi="Arial" w:cs="Arial"/>
          <w:bCs/>
          <w:iCs/>
          <w:sz w:val="24"/>
          <w:szCs w:val="24"/>
        </w:rPr>
        <w:t>.</w:t>
      </w:r>
      <w:r w:rsidR="00267566" w:rsidRPr="005A566B">
        <w:rPr>
          <w:rFonts w:ascii="Arial" w:hAnsi="Arial" w:cs="Arial"/>
          <w:bCs/>
          <w:iCs/>
          <w:sz w:val="24"/>
          <w:szCs w:val="24"/>
        </w:rPr>
        <w:t>g.</w:t>
      </w:r>
      <w:r w:rsidR="007C52F3" w:rsidRPr="005A566B">
        <w:rPr>
          <w:rFonts w:ascii="Arial" w:hAnsi="Arial" w:cs="Arial"/>
          <w:bCs/>
          <w:iCs/>
          <w:sz w:val="24"/>
          <w:szCs w:val="24"/>
        </w:rPr>
        <w:t>,</w:t>
      </w:r>
      <w:r w:rsidR="00267566" w:rsidRPr="005A566B">
        <w:rPr>
          <w:rFonts w:ascii="Arial" w:hAnsi="Arial" w:cs="Arial"/>
          <w:bCs/>
          <w:iCs/>
          <w:sz w:val="24"/>
          <w:szCs w:val="24"/>
        </w:rPr>
        <w:t xml:space="preserve"> Otley, 2016; Wadongo and Abdel-Kader, 2013) that link size of the </w:t>
      </w:r>
      <w:bookmarkStart w:id="212" w:name="OLE_LINK265"/>
      <w:bookmarkStart w:id="213" w:name="OLE_LINK266"/>
      <w:r w:rsidR="00267566" w:rsidRPr="005A566B">
        <w:rPr>
          <w:rFonts w:ascii="Arial" w:hAnsi="Arial" w:cs="Arial"/>
          <w:bCs/>
          <w:iCs/>
          <w:sz w:val="24"/>
          <w:szCs w:val="24"/>
        </w:rPr>
        <w:t xml:space="preserve">firms' resource capacity </w:t>
      </w:r>
      <w:bookmarkEnd w:id="212"/>
      <w:bookmarkEnd w:id="213"/>
      <w:r w:rsidR="00267566" w:rsidRPr="005A566B">
        <w:rPr>
          <w:rFonts w:ascii="Arial" w:hAnsi="Arial" w:cs="Arial"/>
          <w:bCs/>
          <w:iCs/>
          <w:sz w:val="24"/>
          <w:szCs w:val="24"/>
        </w:rPr>
        <w:t>to perform. In line with these studies, our study contends that due to their resource capability, large firms perform better than small firms</w:t>
      </w:r>
      <w:bookmarkStart w:id="214" w:name="OLE_LINK250"/>
      <w:r w:rsidR="00267566" w:rsidRPr="005A566B">
        <w:rPr>
          <w:rFonts w:ascii="Arial" w:hAnsi="Arial" w:cs="Arial"/>
          <w:bCs/>
          <w:iCs/>
          <w:sz w:val="24"/>
          <w:szCs w:val="24"/>
        </w:rPr>
        <w:t xml:space="preserve">. </w:t>
      </w:r>
      <w:bookmarkEnd w:id="209"/>
      <w:bookmarkEnd w:id="210"/>
      <w:bookmarkEnd w:id="211"/>
    </w:p>
    <w:p w14:paraId="23BD1A6C" w14:textId="337890C5" w:rsidR="00267566" w:rsidRPr="005A566B" w:rsidRDefault="00D77892" w:rsidP="007C52F3">
      <w:pPr>
        <w:spacing w:after="0" w:line="360" w:lineRule="auto"/>
        <w:ind w:firstLine="720"/>
        <w:jc w:val="both"/>
        <w:rPr>
          <w:rFonts w:ascii="Arial" w:hAnsi="Arial" w:cs="Arial"/>
          <w:bCs/>
          <w:iCs/>
          <w:sz w:val="24"/>
          <w:szCs w:val="24"/>
        </w:rPr>
      </w:pPr>
      <w:r w:rsidRPr="005A566B">
        <w:rPr>
          <w:rFonts w:ascii="Arial" w:hAnsi="Arial" w:cs="Arial"/>
          <w:bCs/>
          <w:iCs/>
          <w:sz w:val="24"/>
          <w:szCs w:val="24"/>
        </w:rPr>
        <w:t xml:space="preserve">Columns 3 and 4 of Table </w:t>
      </w:r>
      <w:r w:rsidR="00EA0BB7" w:rsidRPr="005A566B">
        <w:rPr>
          <w:rFonts w:ascii="Arial" w:hAnsi="Arial" w:cs="Arial"/>
          <w:bCs/>
          <w:iCs/>
          <w:sz w:val="24"/>
          <w:szCs w:val="24"/>
        </w:rPr>
        <w:t>7</w:t>
      </w:r>
      <w:r w:rsidR="007C52F3" w:rsidRPr="005A566B">
        <w:rPr>
          <w:rFonts w:ascii="Arial" w:hAnsi="Arial" w:cs="Arial"/>
          <w:bCs/>
          <w:iCs/>
          <w:sz w:val="24"/>
          <w:szCs w:val="24"/>
        </w:rPr>
        <w:t>, show</w:t>
      </w:r>
      <w:r w:rsidR="00267566" w:rsidRPr="005A566B">
        <w:rPr>
          <w:rFonts w:ascii="Arial" w:hAnsi="Arial" w:cs="Arial"/>
          <w:bCs/>
          <w:iCs/>
          <w:sz w:val="24"/>
          <w:szCs w:val="24"/>
        </w:rPr>
        <w:t xml:space="preserve"> the results of the interaction between WCM and R on firm performance. We find the coefficient of the interactive term (WCM X R) becomes </w:t>
      </w:r>
      <w:bookmarkStart w:id="215" w:name="OLE_LINK256"/>
      <w:bookmarkStart w:id="216" w:name="OLE_LINK257"/>
      <w:bookmarkStart w:id="217" w:name="OLE_LINK258"/>
      <w:r w:rsidR="00267566" w:rsidRPr="005A566B">
        <w:rPr>
          <w:rFonts w:ascii="Arial" w:hAnsi="Arial" w:cs="Arial"/>
          <w:bCs/>
          <w:iCs/>
          <w:sz w:val="24"/>
          <w:szCs w:val="24"/>
        </w:rPr>
        <w:t xml:space="preserve">significantly positive </w:t>
      </w:r>
      <w:bookmarkEnd w:id="215"/>
      <w:bookmarkEnd w:id="216"/>
      <w:bookmarkEnd w:id="217"/>
      <w:r w:rsidR="00267566" w:rsidRPr="005A566B">
        <w:rPr>
          <w:rFonts w:ascii="Arial" w:hAnsi="Arial" w:cs="Arial"/>
          <w:bCs/>
          <w:iCs/>
          <w:sz w:val="24"/>
          <w:szCs w:val="24"/>
        </w:rPr>
        <w:t xml:space="preserve">confirming H2 that R (SIZE) positively moderates the relationship between WCM and firm performance. Specifically, the findings suggest firms' with </w:t>
      </w:r>
      <w:bookmarkStart w:id="218" w:name="OLE_LINK270"/>
      <w:bookmarkStart w:id="219" w:name="OLE_LINK271"/>
      <w:bookmarkStart w:id="220" w:name="OLE_LINK272"/>
      <w:bookmarkStart w:id="221" w:name="OLE_LINK273"/>
      <w:r w:rsidR="00267566" w:rsidRPr="005A566B">
        <w:rPr>
          <w:rFonts w:ascii="Arial" w:hAnsi="Arial" w:cs="Arial"/>
          <w:bCs/>
          <w:iCs/>
          <w:sz w:val="24"/>
          <w:szCs w:val="24"/>
        </w:rPr>
        <w:t>less resource capacity</w:t>
      </w:r>
      <w:bookmarkEnd w:id="218"/>
      <w:bookmarkEnd w:id="219"/>
      <w:bookmarkEnd w:id="220"/>
      <w:bookmarkEnd w:id="221"/>
      <w:r w:rsidR="00267566" w:rsidRPr="005A566B">
        <w:rPr>
          <w:rFonts w:ascii="Arial" w:hAnsi="Arial" w:cs="Arial"/>
          <w:bCs/>
          <w:iCs/>
          <w:sz w:val="24"/>
          <w:szCs w:val="24"/>
        </w:rPr>
        <w:t xml:space="preserve"> especially small</w:t>
      </w:r>
      <w:r w:rsidR="007C52F3" w:rsidRPr="005A566B">
        <w:rPr>
          <w:rFonts w:ascii="Arial" w:hAnsi="Arial" w:cs="Arial"/>
          <w:bCs/>
          <w:iCs/>
          <w:sz w:val="24"/>
          <w:szCs w:val="24"/>
        </w:rPr>
        <w:t>er firms,</w:t>
      </w:r>
      <w:r w:rsidR="00267566" w:rsidRPr="005A566B">
        <w:rPr>
          <w:rFonts w:ascii="Arial" w:hAnsi="Arial" w:cs="Arial"/>
          <w:bCs/>
          <w:iCs/>
          <w:sz w:val="24"/>
          <w:szCs w:val="24"/>
        </w:rPr>
        <w:t xml:space="preserve"> adopt formal controls </w:t>
      </w:r>
      <w:bookmarkStart w:id="222" w:name="OLE_LINK278"/>
      <w:bookmarkStart w:id="223" w:name="OLE_LINK279"/>
      <w:bookmarkStart w:id="224" w:name="OLE_LINK280"/>
      <w:r w:rsidR="00267566" w:rsidRPr="005A566B">
        <w:rPr>
          <w:rFonts w:ascii="Arial" w:hAnsi="Arial" w:cs="Arial"/>
          <w:bCs/>
          <w:iCs/>
          <w:sz w:val="24"/>
          <w:szCs w:val="24"/>
        </w:rPr>
        <w:t xml:space="preserve">in their </w:t>
      </w:r>
      <w:r w:rsidR="00267566" w:rsidRPr="005A566B">
        <w:rPr>
          <w:rFonts w:ascii="Arial" w:hAnsi="Arial" w:cs="Arial"/>
          <w:bCs/>
          <w:iCs/>
          <w:sz w:val="24"/>
          <w:szCs w:val="24"/>
        </w:rPr>
        <w:lastRenderedPageBreak/>
        <w:t xml:space="preserve">WCM routines to enhance their performance </w:t>
      </w:r>
      <w:bookmarkEnd w:id="222"/>
      <w:bookmarkEnd w:id="223"/>
      <w:bookmarkEnd w:id="224"/>
      <w:r w:rsidR="00267566" w:rsidRPr="005A566B">
        <w:rPr>
          <w:rFonts w:ascii="Arial" w:hAnsi="Arial" w:cs="Arial"/>
          <w:bCs/>
          <w:iCs/>
          <w:sz w:val="24"/>
          <w:szCs w:val="24"/>
        </w:rPr>
        <w:t>than less constrained firms (large firms). The evidence supports current contingency studies (Donaldson 2001; Howorth and Westhead 2003; Otley 2016) linking size to formalisation. We argue that since small</w:t>
      </w:r>
      <w:r w:rsidR="007C52F3" w:rsidRPr="005A566B">
        <w:rPr>
          <w:rFonts w:ascii="Arial" w:hAnsi="Arial" w:cs="Arial"/>
          <w:bCs/>
          <w:iCs/>
          <w:sz w:val="24"/>
          <w:szCs w:val="24"/>
        </w:rPr>
        <w:t>er</w:t>
      </w:r>
      <w:r w:rsidR="00267566" w:rsidRPr="005A566B">
        <w:rPr>
          <w:rFonts w:ascii="Arial" w:hAnsi="Arial" w:cs="Arial"/>
          <w:bCs/>
          <w:iCs/>
          <w:sz w:val="24"/>
          <w:szCs w:val="24"/>
        </w:rPr>
        <w:t xml:space="preserve"> firms have higher proportion of current assets (working capital) relative to large firms, it will be beneficial for them to adopt formal control in their WCM routines to enhance their performance. By adopting formal controls, small</w:t>
      </w:r>
      <w:r w:rsidR="007C52F3" w:rsidRPr="005A566B">
        <w:rPr>
          <w:rFonts w:ascii="Arial" w:hAnsi="Arial" w:cs="Arial"/>
          <w:bCs/>
          <w:iCs/>
          <w:sz w:val="24"/>
          <w:szCs w:val="24"/>
        </w:rPr>
        <w:t>er</w:t>
      </w:r>
      <w:r w:rsidR="00267566" w:rsidRPr="005A566B">
        <w:rPr>
          <w:rFonts w:ascii="Arial" w:hAnsi="Arial" w:cs="Arial"/>
          <w:bCs/>
          <w:iCs/>
          <w:sz w:val="24"/>
          <w:szCs w:val="24"/>
        </w:rPr>
        <w:t xml:space="preserve"> firms will be able to control, monitor and eliminate any unnecessary cash tied up in their working capital in order to enhance their performance. </w:t>
      </w:r>
      <w:bookmarkEnd w:id="214"/>
      <w:r w:rsidR="00267566" w:rsidRPr="005A566B">
        <w:rPr>
          <w:rFonts w:ascii="Arial" w:hAnsi="Arial" w:cs="Arial"/>
          <w:bCs/>
          <w:iCs/>
          <w:sz w:val="24"/>
          <w:szCs w:val="24"/>
        </w:rPr>
        <w:t>Co</w:t>
      </w:r>
      <w:r w:rsidR="00EA0BB7" w:rsidRPr="005A566B">
        <w:rPr>
          <w:rFonts w:ascii="Arial" w:hAnsi="Arial" w:cs="Arial"/>
          <w:bCs/>
          <w:iCs/>
          <w:sz w:val="24"/>
          <w:szCs w:val="24"/>
        </w:rPr>
        <w:t>nsistent with previous Tables (4, 5 and 6</w:t>
      </w:r>
      <w:r w:rsidR="00267566" w:rsidRPr="005A566B">
        <w:rPr>
          <w:rFonts w:ascii="Arial" w:hAnsi="Arial" w:cs="Arial"/>
          <w:bCs/>
          <w:iCs/>
          <w:sz w:val="24"/>
          <w:szCs w:val="24"/>
        </w:rPr>
        <w:t xml:space="preserve">), the study finds the coefficient estimates of </w:t>
      </w:r>
      <w:bookmarkStart w:id="225" w:name="OLE_LINK322"/>
      <w:bookmarkStart w:id="226" w:name="OLE_LINK323"/>
      <w:r w:rsidR="00267566" w:rsidRPr="005A566B">
        <w:rPr>
          <w:rFonts w:ascii="Arial" w:hAnsi="Arial" w:cs="Arial"/>
          <w:bCs/>
          <w:iCs/>
          <w:sz w:val="24"/>
          <w:szCs w:val="24"/>
        </w:rPr>
        <w:t xml:space="preserve">WCM, AGE, FLEV, ATAN and GROWTH to be statistically significant at conventional level. </w:t>
      </w:r>
      <w:bookmarkEnd w:id="225"/>
      <w:bookmarkEnd w:id="226"/>
    </w:p>
    <w:p w14:paraId="558BA326" w14:textId="77777777" w:rsidR="007C52F3" w:rsidRPr="005A566B" w:rsidRDefault="007C52F3" w:rsidP="007C52F3">
      <w:pPr>
        <w:spacing w:after="0" w:line="360" w:lineRule="auto"/>
        <w:ind w:firstLine="720"/>
        <w:jc w:val="both"/>
        <w:rPr>
          <w:rFonts w:ascii="Arial" w:hAnsi="Arial" w:cs="Arial"/>
          <w:bCs/>
          <w:iCs/>
          <w:sz w:val="24"/>
          <w:szCs w:val="24"/>
        </w:rPr>
      </w:pPr>
    </w:p>
    <w:p w14:paraId="28AB741B" w14:textId="77777777" w:rsidR="00AE4F33" w:rsidRPr="005A566B" w:rsidRDefault="00EA0BB7" w:rsidP="004E32E2">
      <w:pPr>
        <w:spacing w:after="0" w:line="360" w:lineRule="auto"/>
        <w:ind w:left="1440" w:firstLine="720"/>
        <w:jc w:val="both"/>
        <w:rPr>
          <w:rFonts w:ascii="Arial" w:hAnsi="Arial" w:cs="Arial"/>
          <w:b/>
          <w:bCs/>
          <w:iCs/>
          <w:sz w:val="24"/>
          <w:szCs w:val="24"/>
        </w:rPr>
      </w:pPr>
      <w:bookmarkStart w:id="227" w:name="OLE_LINK462"/>
      <w:bookmarkStart w:id="228" w:name="OLE_LINK463"/>
      <w:bookmarkStart w:id="229" w:name="OLE_LINK464"/>
      <w:bookmarkStart w:id="230" w:name="OLE_LINK320"/>
      <w:bookmarkStart w:id="231" w:name="OLE_LINK321"/>
      <w:r w:rsidRPr="005A566B">
        <w:rPr>
          <w:rFonts w:ascii="Arial" w:hAnsi="Arial" w:cs="Arial"/>
          <w:b/>
          <w:bCs/>
          <w:iCs/>
          <w:sz w:val="24"/>
          <w:szCs w:val="24"/>
        </w:rPr>
        <w:lastRenderedPageBreak/>
        <w:t>[Insert Table 7</w:t>
      </w:r>
      <w:r w:rsidR="00267566" w:rsidRPr="005A566B">
        <w:rPr>
          <w:rFonts w:ascii="Arial" w:hAnsi="Arial" w:cs="Arial"/>
          <w:b/>
          <w:bCs/>
          <w:iCs/>
          <w:sz w:val="24"/>
          <w:szCs w:val="24"/>
        </w:rPr>
        <w:t xml:space="preserve"> about here]</w:t>
      </w:r>
      <w:bookmarkEnd w:id="227"/>
      <w:bookmarkEnd w:id="228"/>
      <w:bookmarkEnd w:id="229"/>
    </w:p>
    <w:p w14:paraId="4FCF4FB4" w14:textId="77777777" w:rsidR="007C52F3" w:rsidRPr="005A566B" w:rsidRDefault="007C52F3" w:rsidP="004E32E2">
      <w:pPr>
        <w:spacing w:after="0" w:line="360" w:lineRule="auto"/>
        <w:ind w:left="1440" w:firstLine="720"/>
        <w:jc w:val="both"/>
        <w:rPr>
          <w:rFonts w:ascii="Arial" w:hAnsi="Arial" w:cs="Arial"/>
          <w:b/>
          <w:bCs/>
          <w:iCs/>
          <w:sz w:val="24"/>
          <w:szCs w:val="24"/>
        </w:rPr>
      </w:pPr>
    </w:p>
    <w:bookmarkEnd w:id="230"/>
    <w:bookmarkEnd w:id="231"/>
    <w:p w14:paraId="5492059A" w14:textId="73287EC4" w:rsidR="00267566" w:rsidRPr="005A566B" w:rsidRDefault="00AE4F33" w:rsidP="004E32E2">
      <w:pPr>
        <w:spacing w:after="0" w:line="360" w:lineRule="auto"/>
        <w:jc w:val="both"/>
        <w:rPr>
          <w:rFonts w:ascii="Arial" w:hAnsi="Arial" w:cs="Arial"/>
          <w:bCs/>
          <w:i/>
          <w:iCs/>
          <w:sz w:val="24"/>
          <w:szCs w:val="24"/>
        </w:rPr>
      </w:pPr>
      <w:r w:rsidRPr="005A566B">
        <w:rPr>
          <w:rFonts w:ascii="Arial" w:hAnsi="Arial" w:cs="Arial"/>
          <w:bCs/>
          <w:i/>
          <w:iCs/>
          <w:sz w:val="24"/>
          <w:szCs w:val="24"/>
        </w:rPr>
        <w:t xml:space="preserve">4.4 </w:t>
      </w:r>
      <w:r w:rsidR="0095264A" w:rsidRPr="005A566B">
        <w:rPr>
          <w:rFonts w:ascii="Arial" w:hAnsi="Arial" w:cs="Arial"/>
          <w:bCs/>
          <w:i/>
          <w:iCs/>
          <w:sz w:val="24"/>
          <w:szCs w:val="24"/>
          <w:lang w:val="en-US"/>
        </w:rPr>
        <w:t>Management Capability</w:t>
      </w:r>
      <w:r w:rsidR="00267566" w:rsidRPr="005A566B">
        <w:rPr>
          <w:rFonts w:ascii="Arial" w:hAnsi="Arial" w:cs="Arial"/>
          <w:bCs/>
          <w:i/>
          <w:iCs/>
          <w:sz w:val="24"/>
          <w:szCs w:val="24"/>
        </w:rPr>
        <w:t xml:space="preserve">, Working Capital Management and </w:t>
      </w:r>
      <w:r w:rsidR="009E0B32" w:rsidRPr="005A566B">
        <w:rPr>
          <w:rFonts w:ascii="Arial" w:hAnsi="Arial" w:cs="Arial"/>
          <w:bCs/>
          <w:i/>
          <w:iCs/>
          <w:sz w:val="24"/>
          <w:szCs w:val="24"/>
        </w:rPr>
        <w:t>Financial</w:t>
      </w:r>
      <w:r w:rsidR="00267566" w:rsidRPr="005A566B">
        <w:rPr>
          <w:rFonts w:ascii="Arial" w:hAnsi="Arial" w:cs="Arial"/>
          <w:bCs/>
          <w:i/>
          <w:iCs/>
          <w:sz w:val="24"/>
          <w:szCs w:val="24"/>
        </w:rPr>
        <w:t xml:space="preserve"> Performance </w:t>
      </w:r>
    </w:p>
    <w:p w14:paraId="00EDBDF7" w14:textId="09E7442B" w:rsidR="00267566" w:rsidRPr="005A566B" w:rsidRDefault="00267566" w:rsidP="009E0B32">
      <w:pPr>
        <w:spacing w:after="0" w:line="360" w:lineRule="auto"/>
        <w:ind w:firstLine="720"/>
        <w:jc w:val="both"/>
        <w:rPr>
          <w:rFonts w:ascii="Arial" w:hAnsi="Arial" w:cs="Arial"/>
          <w:bCs/>
          <w:iCs/>
          <w:sz w:val="24"/>
          <w:szCs w:val="24"/>
        </w:rPr>
      </w:pPr>
      <w:r w:rsidRPr="005A566B">
        <w:rPr>
          <w:rFonts w:ascii="Arial" w:hAnsi="Arial" w:cs="Arial"/>
          <w:bCs/>
          <w:iCs/>
          <w:sz w:val="24"/>
          <w:szCs w:val="24"/>
        </w:rPr>
        <w:t xml:space="preserve">In this section we present results on the relationship between WCM, </w:t>
      </w:r>
      <w:r w:rsidR="001E016B" w:rsidRPr="005A566B">
        <w:rPr>
          <w:rFonts w:ascii="Arial" w:hAnsi="Arial" w:cs="Arial"/>
          <w:bCs/>
          <w:iCs/>
          <w:sz w:val="24"/>
          <w:szCs w:val="24"/>
          <w:lang w:val="en-US"/>
        </w:rPr>
        <w:t xml:space="preserve">management capability </w:t>
      </w:r>
      <w:r w:rsidRPr="005A566B">
        <w:rPr>
          <w:rFonts w:ascii="Arial" w:hAnsi="Arial" w:cs="Arial"/>
          <w:bCs/>
          <w:iCs/>
          <w:sz w:val="24"/>
          <w:szCs w:val="24"/>
        </w:rPr>
        <w:t>and firm</w:t>
      </w:r>
      <w:r w:rsidR="007C52F3" w:rsidRPr="005A566B">
        <w:rPr>
          <w:rFonts w:ascii="Arial" w:hAnsi="Arial" w:cs="Arial"/>
          <w:bCs/>
          <w:iCs/>
          <w:sz w:val="24"/>
          <w:szCs w:val="24"/>
        </w:rPr>
        <w:t>s’ financial</w:t>
      </w:r>
      <w:r w:rsidRPr="005A566B">
        <w:rPr>
          <w:rFonts w:ascii="Arial" w:hAnsi="Arial" w:cs="Arial"/>
          <w:bCs/>
          <w:iCs/>
          <w:sz w:val="24"/>
          <w:szCs w:val="24"/>
        </w:rPr>
        <w:t xml:space="preserve"> performance. Results of this relati</w:t>
      </w:r>
      <w:r w:rsidR="00D77892" w:rsidRPr="005A566B">
        <w:rPr>
          <w:rFonts w:ascii="Arial" w:hAnsi="Arial" w:cs="Arial"/>
          <w:bCs/>
          <w:iCs/>
          <w:sz w:val="24"/>
          <w:szCs w:val="24"/>
        </w:rPr>
        <w:t>onship are presented in Table 8</w:t>
      </w:r>
      <w:r w:rsidRPr="005A566B">
        <w:rPr>
          <w:rFonts w:ascii="Arial" w:hAnsi="Arial" w:cs="Arial"/>
          <w:bCs/>
          <w:iCs/>
          <w:sz w:val="24"/>
          <w:szCs w:val="24"/>
        </w:rPr>
        <w:t>. Here, we argue that strong management framework, is necessary to create and maintain sound working capital management policies to enhance firms'</w:t>
      </w:r>
      <w:r w:rsidR="00C421D3" w:rsidRPr="005A566B">
        <w:rPr>
          <w:rFonts w:ascii="Arial" w:hAnsi="Arial" w:cs="Arial"/>
          <w:bCs/>
          <w:iCs/>
          <w:sz w:val="24"/>
          <w:szCs w:val="24"/>
        </w:rPr>
        <w:t xml:space="preserve"> financial</w:t>
      </w:r>
      <w:r w:rsidRPr="005A566B">
        <w:rPr>
          <w:rFonts w:ascii="Arial" w:hAnsi="Arial" w:cs="Arial"/>
          <w:bCs/>
          <w:iCs/>
          <w:sz w:val="24"/>
          <w:szCs w:val="24"/>
        </w:rPr>
        <w:t xml:space="preserve"> performance. </w:t>
      </w:r>
      <w:r w:rsidR="009E0B32" w:rsidRPr="005A566B">
        <w:rPr>
          <w:rFonts w:ascii="Arial" w:hAnsi="Arial" w:cs="Arial"/>
          <w:bCs/>
          <w:iCs/>
          <w:sz w:val="24"/>
          <w:szCs w:val="24"/>
        </w:rPr>
        <w:t xml:space="preserve"> </w:t>
      </w:r>
      <w:r w:rsidR="00D77892" w:rsidRPr="005A566B">
        <w:rPr>
          <w:rFonts w:ascii="Arial" w:hAnsi="Arial" w:cs="Arial"/>
          <w:bCs/>
          <w:iCs/>
          <w:sz w:val="24"/>
          <w:szCs w:val="24"/>
        </w:rPr>
        <w:t>The finding from Table 8</w:t>
      </w:r>
      <w:r w:rsidRPr="005A566B">
        <w:rPr>
          <w:rFonts w:ascii="Arial" w:hAnsi="Arial" w:cs="Arial"/>
          <w:bCs/>
          <w:iCs/>
          <w:sz w:val="24"/>
          <w:szCs w:val="24"/>
        </w:rPr>
        <w:t xml:space="preserve"> (columns 1 and 2) show significantly positive relation between </w:t>
      </w:r>
      <w:r w:rsidR="001E016B" w:rsidRPr="005A566B">
        <w:rPr>
          <w:rFonts w:ascii="Arial" w:hAnsi="Arial" w:cs="Arial"/>
          <w:bCs/>
          <w:iCs/>
          <w:sz w:val="24"/>
          <w:szCs w:val="24"/>
          <w:lang w:val="en-US"/>
        </w:rPr>
        <w:t xml:space="preserve">management capability </w:t>
      </w:r>
      <w:r w:rsidRPr="005A566B">
        <w:rPr>
          <w:rFonts w:ascii="Arial" w:hAnsi="Arial" w:cs="Arial"/>
          <w:bCs/>
          <w:iCs/>
          <w:sz w:val="24"/>
          <w:szCs w:val="24"/>
        </w:rPr>
        <w:t xml:space="preserve">(CEO </w:t>
      </w:r>
      <w:r w:rsidR="00C304B7" w:rsidRPr="005A566B">
        <w:rPr>
          <w:rFonts w:ascii="Arial" w:hAnsi="Arial" w:cs="Arial"/>
          <w:bCs/>
          <w:iCs/>
          <w:sz w:val="24"/>
          <w:szCs w:val="24"/>
        </w:rPr>
        <w:t>ENTRENCHMENT</w:t>
      </w:r>
      <w:r w:rsidRPr="005A566B">
        <w:rPr>
          <w:rFonts w:ascii="Arial" w:hAnsi="Arial" w:cs="Arial"/>
          <w:bCs/>
          <w:iCs/>
          <w:sz w:val="24"/>
          <w:szCs w:val="24"/>
        </w:rPr>
        <w:t>) and firm</w:t>
      </w:r>
      <w:r w:rsidR="00C421D3" w:rsidRPr="005A566B">
        <w:rPr>
          <w:rFonts w:ascii="Arial" w:hAnsi="Arial" w:cs="Arial"/>
          <w:bCs/>
          <w:iCs/>
          <w:sz w:val="24"/>
          <w:szCs w:val="24"/>
        </w:rPr>
        <w:t>s’ financial</w:t>
      </w:r>
      <w:r w:rsidRPr="005A566B">
        <w:rPr>
          <w:rFonts w:ascii="Arial" w:hAnsi="Arial" w:cs="Arial"/>
          <w:bCs/>
          <w:iCs/>
          <w:sz w:val="24"/>
          <w:szCs w:val="24"/>
        </w:rPr>
        <w:t xml:space="preserve"> performance (ROA and QRATIO). Our evidence supports Fama and Jensen</w:t>
      </w:r>
      <w:r w:rsidR="007C52F3" w:rsidRPr="005A566B">
        <w:rPr>
          <w:rFonts w:ascii="Arial" w:hAnsi="Arial" w:cs="Arial"/>
          <w:bCs/>
          <w:iCs/>
          <w:sz w:val="24"/>
          <w:szCs w:val="24"/>
        </w:rPr>
        <w:t>’</w:t>
      </w:r>
      <w:r w:rsidRPr="005A566B">
        <w:rPr>
          <w:rFonts w:ascii="Arial" w:hAnsi="Arial" w:cs="Arial"/>
          <w:bCs/>
          <w:iCs/>
          <w:sz w:val="24"/>
          <w:szCs w:val="24"/>
        </w:rPr>
        <w:t xml:space="preserve"> </w:t>
      </w:r>
      <w:r w:rsidRPr="005A566B">
        <w:rPr>
          <w:rFonts w:ascii="Arial" w:hAnsi="Arial" w:cs="Arial"/>
          <w:bCs/>
          <w:iCs/>
          <w:sz w:val="24"/>
          <w:szCs w:val="24"/>
        </w:rPr>
        <w:lastRenderedPageBreak/>
        <w:t>(1</w:t>
      </w:r>
      <w:r w:rsidR="007C52F3" w:rsidRPr="005A566B">
        <w:rPr>
          <w:rFonts w:ascii="Arial" w:hAnsi="Arial" w:cs="Arial"/>
          <w:bCs/>
          <w:iCs/>
          <w:sz w:val="24"/>
          <w:szCs w:val="24"/>
        </w:rPr>
        <w:t xml:space="preserve">983) argument that </w:t>
      </w:r>
      <w:r w:rsidR="00C304B7" w:rsidRPr="005A566B">
        <w:rPr>
          <w:rFonts w:ascii="Arial" w:hAnsi="Arial" w:cs="Arial"/>
          <w:bCs/>
          <w:iCs/>
          <w:sz w:val="24"/>
          <w:szCs w:val="24"/>
        </w:rPr>
        <w:t>entrenched</w:t>
      </w:r>
      <w:r w:rsidR="007C52F3" w:rsidRPr="005A566B">
        <w:rPr>
          <w:rFonts w:ascii="Arial" w:hAnsi="Arial" w:cs="Arial"/>
          <w:bCs/>
          <w:iCs/>
          <w:sz w:val="24"/>
          <w:szCs w:val="24"/>
        </w:rPr>
        <w:t xml:space="preserve"> CEO</w:t>
      </w:r>
      <w:r w:rsidRPr="005A566B">
        <w:rPr>
          <w:rFonts w:ascii="Arial" w:hAnsi="Arial" w:cs="Arial"/>
          <w:bCs/>
          <w:iCs/>
          <w:sz w:val="24"/>
          <w:szCs w:val="24"/>
        </w:rPr>
        <w:t>s have positive influence on the</w:t>
      </w:r>
      <w:r w:rsidR="00C421D3" w:rsidRPr="005A566B">
        <w:rPr>
          <w:rFonts w:ascii="Arial" w:hAnsi="Arial" w:cs="Arial"/>
          <w:bCs/>
          <w:iCs/>
          <w:sz w:val="24"/>
          <w:szCs w:val="24"/>
        </w:rPr>
        <w:t xml:space="preserve"> financial performance</w:t>
      </w:r>
      <w:r w:rsidRPr="005A566B">
        <w:rPr>
          <w:rFonts w:ascii="Arial" w:hAnsi="Arial" w:cs="Arial"/>
          <w:bCs/>
          <w:iCs/>
          <w:sz w:val="24"/>
          <w:szCs w:val="24"/>
        </w:rPr>
        <w:t xml:space="preserve"> of their firms due to their ability to control and influence key boards’ decisions despite the potential discontentment from other executives. This is consistent with empirical work by Adams et al. (2005) and Wu et al. (2011). </w:t>
      </w:r>
    </w:p>
    <w:p w14:paraId="3B9D581D" w14:textId="31DB93F9" w:rsidR="00267566" w:rsidRPr="005A566B" w:rsidRDefault="00267566" w:rsidP="00CF3856">
      <w:pPr>
        <w:spacing w:after="0" w:line="360" w:lineRule="auto"/>
        <w:ind w:firstLine="720"/>
        <w:jc w:val="both"/>
        <w:rPr>
          <w:rFonts w:ascii="Arial" w:hAnsi="Arial" w:cs="Arial"/>
          <w:bCs/>
          <w:iCs/>
          <w:sz w:val="24"/>
          <w:szCs w:val="24"/>
          <w:lang w:val="en"/>
        </w:rPr>
      </w:pPr>
      <w:r w:rsidRPr="005A566B">
        <w:rPr>
          <w:rFonts w:ascii="Arial" w:hAnsi="Arial" w:cs="Arial"/>
          <w:bCs/>
          <w:iCs/>
          <w:sz w:val="24"/>
          <w:szCs w:val="24"/>
        </w:rPr>
        <w:t xml:space="preserve">However, when we interact the management variable </w:t>
      </w:r>
      <w:r w:rsidR="00D77892" w:rsidRPr="005A566B">
        <w:rPr>
          <w:rFonts w:ascii="Arial" w:hAnsi="Arial" w:cs="Arial"/>
          <w:bCs/>
          <w:iCs/>
          <w:sz w:val="24"/>
          <w:szCs w:val="24"/>
        </w:rPr>
        <w:t xml:space="preserve">(CEO </w:t>
      </w:r>
      <w:r w:rsidR="00A3259B" w:rsidRPr="005A566B">
        <w:rPr>
          <w:rFonts w:ascii="Arial" w:hAnsi="Arial" w:cs="Arial"/>
          <w:bCs/>
          <w:iCs/>
          <w:sz w:val="24"/>
          <w:szCs w:val="24"/>
        </w:rPr>
        <w:t>ENTRENCHEMENT</w:t>
      </w:r>
      <w:r w:rsidR="00D77892" w:rsidRPr="005A566B">
        <w:rPr>
          <w:rFonts w:ascii="Arial" w:hAnsi="Arial" w:cs="Arial"/>
          <w:bCs/>
          <w:iCs/>
          <w:sz w:val="24"/>
          <w:szCs w:val="24"/>
        </w:rPr>
        <w:t>) with WCM in Table 8</w:t>
      </w:r>
      <w:r w:rsidRPr="005A566B">
        <w:rPr>
          <w:rFonts w:ascii="Arial" w:hAnsi="Arial" w:cs="Arial"/>
          <w:bCs/>
          <w:iCs/>
          <w:sz w:val="24"/>
          <w:szCs w:val="24"/>
        </w:rPr>
        <w:t xml:space="preserve">, we find the coefficient estimates of the interactive term (WCM X CEO </w:t>
      </w:r>
      <w:r w:rsidR="00A3259B" w:rsidRPr="005A566B">
        <w:rPr>
          <w:rFonts w:ascii="Arial" w:hAnsi="Arial" w:cs="Arial"/>
          <w:bCs/>
          <w:iCs/>
          <w:sz w:val="24"/>
          <w:szCs w:val="24"/>
        </w:rPr>
        <w:t>ENTRENCHEMENT</w:t>
      </w:r>
      <w:r w:rsidRPr="005A566B">
        <w:rPr>
          <w:rFonts w:ascii="Arial" w:hAnsi="Arial" w:cs="Arial"/>
          <w:bCs/>
          <w:iCs/>
          <w:sz w:val="24"/>
          <w:szCs w:val="24"/>
        </w:rPr>
        <w:t>) to be significantly positive confirming H3 that M positively moderates the relationship between WCM and firm</w:t>
      </w:r>
      <w:r w:rsidR="00C421D3" w:rsidRPr="005A566B">
        <w:rPr>
          <w:rFonts w:ascii="Arial" w:hAnsi="Arial" w:cs="Arial"/>
          <w:bCs/>
          <w:iCs/>
          <w:sz w:val="24"/>
          <w:szCs w:val="24"/>
        </w:rPr>
        <w:t xml:space="preserve"> financial performance</w:t>
      </w:r>
      <w:r w:rsidRPr="005A566B">
        <w:rPr>
          <w:rFonts w:ascii="Arial" w:hAnsi="Arial" w:cs="Arial"/>
          <w:bCs/>
          <w:iCs/>
          <w:sz w:val="24"/>
          <w:szCs w:val="24"/>
        </w:rPr>
        <w:t xml:space="preserve">. The evidence supports </w:t>
      </w:r>
      <w:r w:rsidRPr="005A566B">
        <w:rPr>
          <w:rFonts w:ascii="Arial" w:hAnsi="Arial" w:cs="Arial"/>
          <w:bCs/>
          <w:iCs/>
          <w:sz w:val="24"/>
          <w:szCs w:val="24"/>
          <w:lang w:val="en-US"/>
        </w:rPr>
        <w:fldChar w:fldCharType="begin" w:fldLock="1"/>
      </w:r>
      <w:r w:rsidR="0093010E" w:rsidRPr="005A566B">
        <w:rPr>
          <w:rFonts w:ascii="Arial" w:hAnsi="Arial" w:cs="Arial"/>
          <w:bCs/>
          <w:iCs/>
          <w:sz w:val="24"/>
          <w:szCs w:val="24"/>
          <w:lang w:val="en-US"/>
        </w:rPr>
        <w:instrText>ADDIN CSL_CITATION { "citationItems" : [ { "id" : "ITEM-1", "itemData" : { "DOI" : "10.1108/03074351311293981", "ISBN" : "0307-4358", "ISSN" : "0307-4358", "abstract" : "Purpose - The purpose of this study is to investigate the impact of corporate governance on working capital management efficiency. This study also seeks to extend the findings of Gill and Shah. Design/methodology/approach - This study applied a co-relational research design. A sample was selected of 180 American manufacturing firms listed on the New York Stock Exchange (NYSE) for a period of 3 years (from 2009-2011). Findings - The findings of this study indicate that corporate governance plays some role in improving the efficiency of working capital management. Research limitations/implications - This is a co-relational study that investigated the association between corporate governance and working capital management efficiency. There is not necessarily a causal relationship between the two, although the paper provides some conjectures to the findings. The findings of this study may only be generalized to firms similar to those that were included in this research. Originality/value - This study contributes to the literature on the factors that improve the efficiency of working capital management, and in particular on the association between several features of corporate governance and the efficiency of working capital management. The findings may be useful for financial managers, investors, financial management consultants, and other stakeholders.", "author" : [ { "dropping-particle" : "", "family" : "Gill", "given" : "Amarjit S.", "non-dropping-particle" : "", "parse-names" : false, "suffix" : "" }, { "dropping-particle" : "", "family" : "Biger", "given" : "Nahum", "non-dropping-particle" : "", "parse-names" : false, "suffix" : "" } ], "container-title" : "Managerial Finance", "id" : "ITEM-1", "issue" : "2", "issued" : { "date-parts" : [ [ "2013" ] ] }, "page" : "116-132", "title" : "The impact of corporate governance on working capital management efficiency of American manufacturing firms", "type" : "article-journal", "volume" : "39" }, "uris" : [ "http://www.mendeley.com/documents/?uuid=1f20a53c-5a07-41fb-9520-c873241dbb83" ] } ], "mendeley" : { "formattedCitation" : "(Gill and Biger, 2013)", "manualFormatting" : "Gill and Biger's (2013)", "plainTextFormattedCitation" : "(Gill and Biger, 2013)", "previouslyFormattedCitation" : "(Gill and Biger, 2013)" }, "properties" : {  }, "schema" : "https://github.com/citation-style-language/schema/raw/master/csl-citation.json" }</w:instrText>
      </w:r>
      <w:r w:rsidRPr="005A566B">
        <w:rPr>
          <w:rFonts w:ascii="Arial" w:hAnsi="Arial" w:cs="Arial"/>
          <w:bCs/>
          <w:iCs/>
          <w:sz w:val="24"/>
          <w:szCs w:val="24"/>
          <w:lang w:val="en-US"/>
        </w:rPr>
        <w:fldChar w:fldCharType="separate"/>
      </w:r>
      <w:r w:rsidR="007C52F3" w:rsidRPr="005A566B">
        <w:rPr>
          <w:rFonts w:ascii="Arial" w:hAnsi="Arial" w:cs="Arial"/>
          <w:bCs/>
          <w:iCs/>
          <w:noProof/>
          <w:sz w:val="24"/>
          <w:szCs w:val="24"/>
          <w:lang w:val="en-US"/>
        </w:rPr>
        <w:t>Gill and Biger's</w:t>
      </w:r>
      <w:r w:rsidRPr="005A566B">
        <w:rPr>
          <w:rFonts w:ascii="Arial" w:hAnsi="Arial" w:cs="Arial"/>
          <w:bCs/>
          <w:iCs/>
          <w:noProof/>
          <w:sz w:val="24"/>
          <w:szCs w:val="24"/>
          <w:lang w:val="en-US"/>
        </w:rPr>
        <w:t xml:space="preserve"> (2013)</w:t>
      </w:r>
      <w:r w:rsidRPr="005A566B">
        <w:rPr>
          <w:rFonts w:ascii="Arial" w:hAnsi="Arial" w:cs="Arial"/>
          <w:bCs/>
          <w:iCs/>
          <w:sz w:val="24"/>
          <w:szCs w:val="24"/>
        </w:rPr>
        <w:fldChar w:fldCharType="end"/>
      </w:r>
      <w:r w:rsidRPr="00E92D44">
        <w:rPr>
          <w:rFonts w:ascii="Arial" w:hAnsi="Arial" w:cs="Arial"/>
          <w:bCs/>
          <w:iCs/>
          <w:sz w:val="24"/>
          <w:szCs w:val="24"/>
        </w:rPr>
        <w:t xml:space="preserve"> argument that firms with strong </w:t>
      </w:r>
      <w:bookmarkStart w:id="232" w:name="OLE_LINK174"/>
      <w:bookmarkStart w:id="233" w:name="OLE_LINK175"/>
      <w:r w:rsidRPr="00E92D44">
        <w:rPr>
          <w:rFonts w:ascii="Arial" w:hAnsi="Arial" w:cs="Arial"/>
          <w:bCs/>
          <w:iCs/>
          <w:sz w:val="24"/>
          <w:szCs w:val="24"/>
        </w:rPr>
        <w:t xml:space="preserve">corporate governance structures </w:t>
      </w:r>
      <w:bookmarkEnd w:id="232"/>
      <w:bookmarkEnd w:id="233"/>
      <w:r w:rsidRPr="00E92D44">
        <w:rPr>
          <w:rFonts w:ascii="Arial" w:hAnsi="Arial" w:cs="Arial"/>
          <w:bCs/>
          <w:iCs/>
          <w:sz w:val="24"/>
          <w:szCs w:val="24"/>
        </w:rPr>
        <w:t>can efficiently man</w:t>
      </w:r>
      <w:r w:rsidR="00F01088" w:rsidRPr="005A566B">
        <w:rPr>
          <w:rFonts w:ascii="Arial" w:hAnsi="Arial" w:cs="Arial"/>
          <w:bCs/>
          <w:iCs/>
          <w:sz w:val="24"/>
          <w:szCs w:val="24"/>
        </w:rPr>
        <w:t xml:space="preserve">age their working capital </w:t>
      </w:r>
      <w:r w:rsidRPr="005A566B">
        <w:rPr>
          <w:rFonts w:ascii="Arial" w:hAnsi="Arial" w:cs="Arial"/>
          <w:bCs/>
          <w:iCs/>
          <w:sz w:val="24"/>
          <w:szCs w:val="24"/>
        </w:rPr>
        <w:t xml:space="preserve">which we argue is likely </w:t>
      </w:r>
      <w:r w:rsidRPr="005A566B">
        <w:rPr>
          <w:rFonts w:ascii="Arial" w:hAnsi="Arial" w:cs="Arial"/>
          <w:bCs/>
          <w:iCs/>
          <w:sz w:val="24"/>
          <w:szCs w:val="24"/>
        </w:rPr>
        <w:lastRenderedPageBreak/>
        <w:t>to enhance firms</w:t>
      </w:r>
      <w:r w:rsidR="00F01088" w:rsidRPr="005A566B">
        <w:rPr>
          <w:rFonts w:ascii="Arial" w:hAnsi="Arial" w:cs="Arial"/>
          <w:bCs/>
          <w:iCs/>
          <w:sz w:val="24"/>
          <w:szCs w:val="24"/>
        </w:rPr>
        <w:t>’</w:t>
      </w:r>
      <w:r w:rsidR="00C421D3" w:rsidRPr="005A566B">
        <w:rPr>
          <w:rFonts w:ascii="Arial" w:hAnsi="Arial" w:cs="Arial"/>
          <w:bCs/>
          <w:iCs/>
          <w:sz w:val="24"/>
          <w:szCs w:val="24"/>
        </w:rPr>
        <w:t xml:space="preserve"> financial performance</w:t>
      </w:r>
      <w:r w:rsidRPr="005A566B">
        <w:rPr>
          <w:rFonts w:ascii="Arial" w:hAnsi="Arial" w:cs="Arial"/>
          <w:bCs/>
          <w:iCs/>
          <w:sz w:val="24"/>
          <w:szCs w:val="24"/>
        </w:rPr>
        <w:t xml:space="preserve">. Specifically, </w:t>
      </w:r>
      <w:bookmarkStart w:id="234" w:name="OLE_LINK300"/>
      <w:bookmarkStart w:id="235" w:name="OLE_LINK301"/>
      <w:bookmarkStart w:id="236" w:name="OLE_LINK302"/>
      <w:r w:rsidR="001E751A" w:rsidRPr="005A566B">
        <w:rPr>
          <w:rFonts w:ascii="Arial" w:hAnsi="Arial" w:cs="Arial"/>
          <w:bCs/>
          <w:iCs/>
          <w:sz w:val="24"/>
          <w:szCs w:val="24"/>
        </w:rPr>
        <w:t xml:space="preserve">firms with </w:t>
      </w:r>
      <w:r w:rsidR="00A3259B" w:rsidRPr="005A566B">
        <w:rPr>
          <w:rFonts w:ascii="Arial" w:hAnsi="Arial" w:cs="Arial"/>
          <w:bCs/>
          <w:iCs/>
          <w:sz w:val="24"/>
          <w:szCs w:val="24"/>
        </w:rPr>
        <w:t>entrenched</w:t>
      </w:r>
      <w:r w:rsidR="001E751A" w:rsidRPr="005A566B">
        <w:rPr>
          <w:rFonts w:ascii="Arial" w:hAnsi="Arial" w:cs="Arial"/>
          <w:bCs/>
          <w:iCs/>
          <w:sz w:val="24"/>
          <w:szCs w:val="24"/>
        </w:rPr>
        <w:t xml:space="preserve"> (l</w:t>
      </w:r>
      <w:r w:rsidRPr="005A566B">
        <w:rPr>
          <w:rFonts w:ascii="Arial" w:hAnsi="Arial" w:cs="Arial"/>
          <w:bCs/>
          <w:iCs/>
          <w:sz w:val="24"/>
          <w:szCs w:val="24"/>
        </w:rPr>
        <w:t xml:space="preserve">ess </w:t>
      </w:r>
      <w:r w:rsidR="00A3259B" w:rsidRPr="005A566B">
        <w:rPr>
          <w:rFonts w:ascii="Arial" w:hAnsi="Arial" w:cs="Arial"/>
          <w:bCs/>
          <w:iCs/>
          <w:sz w:val="24"/>
          <w:szCs w:val="24"/>
        </w:rPr>
        <w:t>entrenched</w:t>
      </w:r>
      <w:r w:rsidRPr="005A566B">
        <w:rPr>
          <w:rFonts w:ascii="Arial" w:hAnsi="Arial" w:cs="Arial"/>
          <w:bCs/>
          <w:iCs/>
          <w:sz w:val="24"/>
          <w:szCs w:val="24"/>
        </w:rPr>
        <w:t>) CEOs</w:t>
      </w:r>
      <w:bookmarkEnd w:id="234"/>
      <w:bookmarkEnd w:id="235"/>
      <w:bookmarkEnd w:id="236"/>
      <w:r w:rsidRPr="005A566B">
        <w:rPr>
          <w:rFonts w:ascii="Arial" w:hAnsi="Arial" w:cs="Arial"/>
          <w:bCs/>
          <w:iCs/>
          <w:sz w:val="24"/>
          <w:szCs w:val="24"/>
        </w:rPr>
        <w:t xml:space="preserve"> increase (decrease) their investment in working capital </w:t>
      </w:r>
      <w:bookmarkStart w:id="237" w:name="OLE_LINK318"/>
      <w:bookmarkStart w:id="238" w:name="OLE_LINK319"/>
      <w:r w:rsidRPr="005A566B">
        <w:rPr>
          <w:rFonts w:ascii="Arial" w:hAnsi="Arial" w:cs="Arial"/>
          <w:bCs/>
          <w:iCs/>
          <w:sz w:val="24"/>
          <w:szCs w:val="24"/>
        </w:rPr>
        <w:t>to enhance firm</w:t>
      </w:r>
      <w:r w:rsidR="00F01088" w:rsidRPr="005A566B">
        <w:rPr>
          <w:rFonts w:ascii="Arial" w:hAnsi="Arial" w:cs="Arial"/>
          <w:bCs/>
          <w:iCs/>
          <w:sz w:val="24"/>
          <w:szCs w:val="24"/>
        </w:rPr>
        <w:t>s’</w:t>
      </w:r>
      <w:r w:rsidR="00C421D3" w:rsidRPr="005A566B">
        <w:rPr>
          <w:rFonts w:ascii="Arial" w:hAnsi="Arial" w:cs="Arial"/>
          <w:bCs/>
          <w:iCs/>
          <w:sz w:val="24"/>
          <w:szCs w:val="24"/>
        </w:rPr>
        <w:t xml:space="preserve"> financial performance</w:t>
      </w:r>
      <w:r w:rsidRPr="005A566B">
        <w:rPr>
          <w:rFonts w:ascii="Arial" w:hAnsi="Arial" w:cs="Arial"/>
          <w:bCs/>
          <w:iCs/>
          <w:sz w:val="24"/>
          <w:szCs w:val="24"/>
          <w:lang w:val="en"/>
        </w:rPr>
        <w:t xml:space="preserve">. </w:t>
      </w:r>
      <w:bookmarkEnd w:id="237"/>
      <w:bookmarkEnd w:id="238"/>
      <w:r w:rsidR="00F01088" w:rsidRPr="005A566B">
        <w:rPr>
          <w:rFonts w:ascii="Arial" w:hAnsi="Arial" w:cs="Arial"/>
          <w:bCs/>
          <w:iCs/>
          <w:sz w:val="24"/>
          <w:szCs w:val="24"/>
          <w:lang w:val="en"/>
        </w:rPr>
        <w:t xml:space="preserve">This </w:t>
      </w:r>
      <w:r w:rsidRPr="005A566B">
        <w:rPr>
          <w:rFonts w:ascii="Arial" w:hAnsi="Arial" w:cs="Arial"/>
          <w:bCs/>
          <w:iCs/>
          <w:sz w:val="24"/>
          <w:szCs w:val="24"/>
          <w:lang w:val="en"/>
        </w:rPr>
        <w:t>can be explain</w:t>
      </w:r>
      <w:r w:rsidR="00F01088" w:rsidRPr="005A566B">
        <w:rPr>
          <w:rFonts w:ascii="Arial" w:hAnsi="Arial" w:cs="Arial"/>
          <w:bCs/>
          <w:iCs/>
          <w:sz w:val="24"/>
          <w:szCs w:val="24"/>
          <w:lang w:val="en"/>
        </w:rPr>
        <w:t>ed</w:t>
      </w:r>
      <w:r w:rsidRPr="005A566B">
        <w:rPr>
          <w:rFonts w:ascii="Arial" w:hAnsi="Arial" w:cs="Arial"/>
          <w:bCs/>
          <w:iCs/>
          <w:sz w:val="24"/>
          <w:szCs w:val="24"/>
          <w:lang w:val="en"/>
        </w:rPr>
        <w:t xml:space="preserve"> by the fact that </w:t>
      </w:r>
      <w:r w:rsidR="00594571" w:rsidRPr="005A566B">
        <w:rPr>
          <w:rFonts w:ascii="Arial" w:hAnsi="Arial" w:cs="Arial"/>
          <w:bCs/>
          <w:iCs/>
          <w:sz w:val="24"/>
          <w:szCs w:val="24"/>
        </w:rPr>
        <w:t>entrenched</w:t>
      </w:r>
      <w:r w:rsidRPr="005A566B">
        <w:rPr>
          <w:rFonts w:ascii="Arial" w:hAnsi="Arial" w:cs="Arial"/>
          <w:bCs/>
          <w:iCs/>
          <w:sz w:val="24"/>
          <w:szCs w:val="24"/>
        </w:rPr>
        <w:t xml:space="preserve"> CEOs, CEOs </w:t>
      </w:r>
      <w:r w:rsidRPr="005A566B">
        <w:rPr>
          <w:rFonts w:ascii="Arial" w:hAnsi="Arial" w:cs="Arial"/>
          <w:bCs/>
          <w:iCs/>
          <w:sz w:val="24"/>
          <w:szCs w:val="24"/>
          <w:lang w:val="en"/>
        </w:rPr>
        <w:t xml:space="preserve">whose power remains unchecked by outside directors </w:t>
      </w:r>
      <w:r w:rsidRPr="005A566B">
        <w:rPr>
          <w:rFonts w:ascii="Arial" w:hAnsi="Arial" w:cs="Arial"/>
          <w:bCs/>
          <w:iCs/>
          <w:sz w:val="24"/>
          <w:szCs w:val="24"/>
        </w:rPr>
        <w:t>CEO are often less willing to take on new business ventures,</w:t>
      </w:r>
      <w:r w:rsidRPr="005A566B">
        <w:rPr>
          <w:rFonts w:ascii="Arial" w:hAnsi="Arial" w:cs="Arial"/>
          <w:bCs/>
          <w:iCs/>
          <w:sz w:val="24"/>
          <w:szCs w:val="24"/>
          <w:lang w:val="en"/>
        </w:rPr>
        <w:t xml:space="preserve"> more likely to </w:t>
      </w:r>
      <w:r w:rsidR="00F01088" w:rsidRPr="005A566B">
        <w:rPr>
          <w:rFonts w:ascii="Arial" w:hAnsi="Arial" w:cs="Arial"/>
          <w:bCs/>
          <w:iCs/>
          <w:sz w:val="24"/>
          <w:szCs w:val="24"/>
        </w:rPr>
        <w:t xml:space="preserve">be risk averse and </w:t>
      </w:r>
      <w:r w:rsidRPr="005A566B">
        <w:rPr>
          <w:rFonts w:ascii="Arial" w:hAnsi="Arial" w:cs="Arial"/>
          <w:bCs/>
          <w:iCs/>
          <w:sz w:val="24"/>
          <w:szCs w:val="24"/>
        </w:rPr>
        <w:t xml:space="preserve">often </w:t>
      </w:r>
      <w:r w:rsidRPr="005A566B">
        <w:rPr>
          <w:rFonts w:ascii="Arial" w:hAnsi="Arial" w:cs="Arial"/>
          <w:bCs/>
          <w:iCs/>
          <w:sz w:val="24"/>
          <w:szCs w:val="24"/>
          <w:lang w:val="en"/>
        </w:rPr>
        <w:t>take self-serving actions that decrease shareholder wealth</w:t>
      </w:r>
      <w:r w:rsidRPr="005A566B">
        <w:rPr>
          <w:rFonts w:ascii="Arial" w:hAnsi="Arial" w:cs="Arial"/>
          <w:bCs/>
          <w:iCs/>
          <w:sz w:val="24"/>
          <w:szCs w:val="24"/>
        </w:rPr>
        <w:t xml:space="preserve"> as suggested by prior studies (Combs et al</w:t>
      </w:r>
      <w:r w:rsidR="001E751A" w:rsidRPr="005A566B">
        <w:rPr>
          <w:rFonts w:ascii="Arial" w:hAnsi="Arial" w:cs="Arial"/>
          <w:bCs/>
          <w:iCs/>
          <w:sz w:val="24"/>
          <w:szCs w:val="24"/>
        </w:rPr>
        <w:t>.</w:t>
      </w:r>
      <w:r w:rsidRPr="005A566B">
        <w:rPr>
          <w:rFonts w:ascii="Arial" w:hAnsi="Arial" w:cs="Arial"/>
          <w:bCs/>
          <w:iCs/>
          <w:sz w:val="24"/>
          <w:szCs w:val="24"/>
        </w:rPr>
        <w:t xml:space="preserve"> 2005; </w:t>
      </w:r>
      <w:r w:rsidRPr="005A566B">
        <w:rPr>
          <w:rFonts w:ascii="Arial" w:hAnsi="Arial" w:cs="Arial"/>
          <w:bCs/>
          <w:iCs/>
          <w:sz w:val="24"/>
          <w:szCs w:val="24"/>
          <w:lang w:val="en"/>
        </w:rPr>
        <w:t>Dunn</w:t>
      </w:r>
      <w:r w:rsidR="00C065DE" w:rsidRPr="005A566B">
        <w:rPr>
          <w:rFonts w:ascii="Arial" w:hAnsi="Arial" w:cs="Arial"/>
          <w:bCs/>
          <w:iCs/>
          <w:sz w:val="24"/>
          <w:szCs w:val="24"/>
          <w:lang w:val="en"/>
        </w:rPr>
        <w:t>, 2004</w:t>
      </w:r>
      <w:r w:rsidR="00594571" w:rsidRPr="005A566B">
        <w:rPr>
          <w:rFonts w:ascii="Arial" w:hAnsi="Arial" w:cs="Arial"/>
          <w:bCs/>
          <w:iCs/>
          <w:sz w:val="24"/>
          <w:szCs w:val="24"/>
        </w:rPr>
        <w:t xml:space="preserve">). In line with the evidence, </w:t>
      </w:r>
      <w:r w:rsidRPr="005A566B">
        <w:rPr>
          <w:rFonts w:ascii="Arial" w:hAnsi="Arial" w:cs="Arial"/>
          <w:bCs/>
          <w:iCs/>
          <w:sz w:val="24"/>
          <w:szCs w:val="24"/>
        </w:rPr>
        <w:t xml:space="preserve">firms with </w:t>
      </w:r>
      <w:r w:rsidR="00594571" w:rsidRPr="005A566B">
        <w:rPr>
          <w:rFonts w:ascii="Arial" w:hAnsi="Arial" w:cs="Arial"/>
          <w:bCs/>
          <w:iCs/>
          <w:sz w:val="24"/>
          <w:szCs w:val="24"/>
        </w:rPr>
        <w:t>entrenched</w:t>
      </w:r>
      <w:r w:rsidRPr="005A566B">
        <w:rPr>
          <w:rFonts w:ascii="Arial" w:hAnsi="Arial" w:cs="Arial"/>
          <w:bCs/>
          <w:iCs/>
          <w:sz w:val="24"/>
          <w:szCs w:val="24"/>
        </w:rPr>
        <w:t xml:space="preserve"> CEOs, by virtue of their risk profile (risk averse), are more likely to be associated with </w:t>
      </w:r>
      <w:bookmarkStart w:id="239" w:name="OLE_LINK309"/>
      <w:bookmarkStart w:id="240" w:name="OLE_LINK310"/>
      <w:r w:rsidRPr="005A566B">
        <w:rPr>
          <w:rFonts w:ascii="Arial" w:hAnsi="Arial" w:cs="Arial"/>
          <w:bCs/>
          <w:iCs/>
          <w:sz w:val="24"/>
          <w:szCs w:val="24"/>
        </w:rPr>
        <w:t xml:space="preserve">a conservative working capital policy (high investment in working capital), </w:t>
      </w:r>
      <w:bookmarkEnd w:id="239"/>
      <w:bookmarkEnd w:id="240"/>
      <w:r w:rsidRPr="005A566B">
        <w:rPr>
          <w:rFonts w:ascii="Arial" w:hAnsi="Arial" w:cs="Arial"/>
          <w:bCs/>
          <w:iCs/>
          <w:sz w:val="24"/>
          <w:szCs w:val="24"/>
        </w:rPr>
        <w:t xml:space="preserve">while low </w:t>
      </w:r>
      <w:r w:rsidR="00594571" w:rsidRPr="005A566B">
        <w:rPr>
          <w:rFonts w:ascii="Arial" w:hAnsi="Arial" w:cs="Arial"/>
          <w:bCs/>
          <w:iCs/>
          <w:sz w:val="24"/>
          <w:szCs w:val="24"/>
        </w:rPr>
        <w:t>entrenched</w:t>
      </w:r>
      <w:r w:rsidRPr="005A566B">
        <w:rPr>
          <w:rFonts w:ascii="Arial" w:hAnsi="Arial" w:cs="Arial"/>
          <w:bCs/>
          <w:iCs/>
          <w:sz w:val="24"/>
          <w:szCs w:val="24"/>
        </w:rPr>
        <w:t xml:space="preserve"> CEOs pursue </w:t>
      </w:r>
      <w:bookmarkStart w:id="241" w:name="OLE_LINK314"/>
      <w:r w:rsidRPr="005A566B">
        <w:rPr>
          <w:rFonts w:ascii="Arial" w:hAnsi="Arial" w:cs="Arial"/>
          <w:bCs/>
          <w:iCs/>
          <w:sz w:val="24"/>
          <w:szCs w:val="24"/>
        </w:rPr>
        <w:t xml:space="preserve">a </w:t>
      </w:r>
      <w:bookmarkStart w:id="242" w:name="OLE_LINK311"/>
      <w:bookmarkStart w:id="243" w:name="OLE_LINK312"/>
      <w:bookmarkStart w:id="244" w:name="OLE_LINK313"/>
      <w:r w:rsidRPr="005A566B">
        <w:rPr>
          <w:rFonts w:ascii="Arial" w:hAnsi="Arial" w:cs="Arial"/>
          <w:bCs/>
          <w:iCs/>
          <w:sz w:val="24"/>
          <w:szCs w:val="24"/>
        </w:rPr>
        <w:t xml:space="preserve">more aggressive working capital policy </w:t>
      </w:r>
      <w:bookmarkEnd w:id="242"/>
      <w:bookmarkEnd w:id="243"/>
      <w:bookmarkEnd w:id="244"/>
      <w:r w:rsidRPr="005A566B">
        <w:rPr>
          <w:rFonts w:ascii="Arial" w:hAnsi="Arial" w:cs="Arial"/>
          <w:bCs/>
          <w:iCs/>
          <w:sz w:val="24"/>
          <w:szCs w:val="24"/>
        </w:rPr>
        <w:t xml:space="preserve">(low investment in working capital)  </w:t>
      </w:r>
      <w:bookmarkEnd w:id="241"/>
      <w:r w:rsidRPr="005A566B">
        <w:rPr>
          <w:rFonts w:ascii="Arial" w:hAnsi="Arial" w:cs="Arial"/>
          <w:bCs/>
          <w:iCs/>
          <w:sz w:val="24"/>
          <w:szCs w:val="24"/>
        </w:rPr>
        <w:t>to enhance firm</w:t>
      </w:r>
      <w:r w:rsidR="00C421D3" w:rsidRPr="005A566B">
        <w:rPr>
          <w:rFonts w:ascii="Arial" w:hAnsi="Arial" w:cs="Arial"/>
          <w:bCs/>
          <w:iCs/>
          <w:sz w:val="24"/>
          <w:szCs w:val="24"/>
        </w:rPr>
        <w:t>s’  financial performance</w:t>
      </w:r>
      <w:r w:rsidRPr="005A566B">
        <w:rPr>
          <w:rFonts w:ascii="Arial" w:hAnsi="Arial" w:cs="Arial"/>
          <w:bCs/>
          <w:iCs/>
          <w:sz w:val="24"/>
          <w:szCs w:val="24"/>
          <w:lang w:val="en"/>
        </w:rPr>
        <w:t>.</w:t>
      </w:r>
    </w:p>
    <w:p w14:paraId="3190FC1A" w14:textId="77777777" w:rsidR="00F01088" w:rsidRPr="005A566B" w:rsidRDefault="00F01088" w:rsidP="00CF3856">
      <w:pPr>
        <w:spacing w:after="0" w:line="360" w:lineRule="auto"/>
        <w:ind w:firstLine="720"/>
        <w:jc w:val="both"/>
        <w:rPr>
          <w:rFonts w:ascii="Arial" w:hAnsi="Arial" w:cs="Arial"/>
          <w:bCs/>
          <w:iCs/>
          <w:sz w:val="24"/>
          <w:szCs w:val="24"/>
          <w:lang w:val="en"/>
        </w:rPr>
      </w:pPr>
    </w:p>
    <w:p w14:paraId="1E4A30E6" w14:textId="77777777" w:rsidR="00267566" w:rsidRPr="005A566B" w:rsidRDefault="00D77892" w:rsidP="004E32E2">
      <w:pPr>
        <w:spacing w:after="0" w:line="360" w:lineRule="auto"/>
        <w:ind w:left="1440" w:firstLine="720"/>
        <w:jc w:val="both"/>
        <w:rPr>
          <w:rFonts w:ascii="Arial" w:hAnsi="Arial" w:cs="Arial"/>
          <w:b/>
          <w:bCs/>
          <w:iCs/>
          <w:sz w:val="24"/>
          <w:szCs w:val="24"/>
        </w:rPr>
      </w:pPr>
      <w:bookmarkStart w:id="245" w:name="OLE_LINK465"/>
      <w:bookmarkStart w:id="246" w:name="OLE_LINK466"/>
      <w:r w:rsidRPr="005A566B">
        <w:rPr>
          <w:rFonts w:ascii="Arial" w:hAnsi="Arial" w:cs="Arial"/>
          <w:b/>
          <w:bCs/>
          <w:iCs/>
          <w:sz w:val="24"/>
          <w:szCs w:val="24"/>
        </w:rPr>
        <w:t>[Insert Table 8</w:t>
      </w:r>
      <w:r w:rsidR="00267566" w:rsidRPr="005A566B">
        <w:rPr>
          <w:rFonts w:ascii="Arial" w:hAnsi="Arial" w:cs="Arial"/>
          <w:b/>
          <w:bCs/>
          <w:iCs/>
          <w:sz w:val="24"/>
          <w:szCs w:val="24"/>
        </w:rPr>
        <w:t xml:space="preserve"> about here]</w:t>
      </w:r>
    </w:p>
    <w:p w14:paraId="1F4296C3" w14:textId="77777777" w:rsidR="009E0B32" w:rsidRPr="005A566B" w:rsidRDefault="009E0B32" w:rsidP="004E32E2">
      <w:pPr>
        <w:spacing w:after="0" w:line="360" w:lineRule="auto"/>
        <w:ind w:left="1440" w:firstLine="720"/>
        <w:jc w:val="both"/>
        <w:rPr>
          <w:rFonts w:ascii="Arial" w:hAnsi="Arial" w:cs="Arial"/>
          <w:b/>
          <w:bCs/>
          <w:iCs/>
          <w:sz w:val="24"/>
          <w:szCs w:val="24"/>
        </w:rPr>
      </w:pPr>
    </w:p>
    <w:bookmarkEnd w:id="245"/>
    <w:bookmarkEnd w:id="246"/>
    <w:p w14:paraId="589E7AF3" w14:textId="77777777" w:rsidR="00267566" w:rsidRPr="005A566B" w:rsidRDefault="00267566" w:rsidP="004E32E2">
      <w:pPr>
        <w:spacing w:after="0" w:line="360" w:lineRule="auto"/>
        <w:jc w:val="both"/>
        <w:rPr>
          <w:rFonts w:ascii="Arial" w:hAnsi="Arial" w:cs="Arial"/>
          <w:bCs/>
          <w:iCs/>
          <w:sz w:val="24"/>
          <w:szCs w:val="24"/>
        </w:rPr>
      </w:pPr>
      <w:r w:rsidRPr="005A566B">
        <w:rPr>
          <w:rFonts w:ascii="Arial" w:hAnsi="Arial" w:cs="Arial"/>
          <w:bCs/>
          <w:iCs/>
          <w:sz w:val="24"/>
          <w:szCs w:val="24"/>
        </w:rPr>
        <w:t>The coefficient estimates for the rest of the variables WCM, AGE, FLEV, ATAN and GROWTH are all statistically significant at conventional level as previously determined.</w:t>
      </w:r>
    </w:p>
    <w:p w14:paraId="52DF9A63" w14:textId="77777777" w:rsidR="009E0B32" w:rsidRPr="005A566B" w:rsidRDefault="009E0B32" w:rsidP="004E32E2">
      <w:pPr>
        <w:spacing w:after="0" w:line="360" w:lineRule="auto"/>
        <w:jc w:val="both"/>
        <w:rPr>
          <w:rFonts w:ascii="Arial" w:hAnsi="Arial" w:cs="Arial"/>
          <w:bCs/>
          <w:iCs/>
          <w:sz w:val="24"/>
          <w:szCs w:val="24"/>
        </w:rPr>
      </w:pPr>
    </w:p>
    <w:p w14:paraId="6732A732" w14:textId="77777777" w:rsidR="00267566" w:rsidRPr="005A566B" w:rsidRDefault="001B1423" w:rsidP="004E32E2">
      <w:pPr>
        <w:pStyle w:val="ListParagraph"/>
        <w:numPr>
          <w:ilvl w:val="0"/>
          <w:numId w:val="1"/>
        </w:numPr>
        <w:spacing w:after="0" w:line="360" w:lineRule="auto"/>
        <w:jc w:val="both"/>
        <w:rPr>
          <w:rFonts w:ascii="Arial" w:hAnsi="Arial" w:cs="Arial"/>
          <w:bCs/>
          <w:i/>
          <w:iCs/>
          <w:sz w:val="24"/>
          <w:szCs w:val="24"/>
        </w:rPr>
      </w:pPr>
      <w:r w:rsidRPr="005A566B">
        <w:rPr>
          <w:rFonts w:ascii="Arial" w:hAnsi="Arial" w:cs="Arial"/>
          <w:b/>
          <w:bCs/>
          <w:i/>
          <w:iCs/>
          <w:sz w:val="24"/>
          <w:szCs w:val="24"/>
        </w:rPr>
        <w:t>Additional Analysis and robustness checks</w:t>
      </w:r>
      <w:r w:rsidRPr="005A566B">
        <w:rPr>
          <w:rFonts w:ascii="Arial" w:hAnsi="Arial" w:cs="Arial"/>
          <w:bCs/>
          <w:i/>
          <w:iCs/>
          <w:sz w:val="24"/>
          <w:szCs w:val="24"/>
        </w:rPr>
        <w:t xml:space="preserve"> </w:t>
      </w:r>
    </w:p>
    <w:p w14:paraId="1D452433" w14:textId="77777777" w:rsidR="001B1423" w:rsidRPr="005A566B" w:rsidRDefault="00A5559D" w:rsidP="004E32E2">
      <w:pPr>
        <w:spacing w:after="0" w:line="360" w:lineRule="auto"/>
        <w:jc w:val="both"/>
        <w:rPr>
          <w:rFonts w:ascii="Arial" w:hAnsi="Arial" w:cs="Arial"/>
          <w:bCs/>
          <w:i/>
          <w:iCs/>
          <w:sz w:val="24"/>
          <w:szCs w:val="24"/>
        </w:rPr>
      </w:pPr>
      <w:r w:rsidRPr="005A566B">
        <w:rPr>
          <w:rFonts w:ascii="Arial" w:hAnsi="Arial" w:cs="Arial"/>
          <w:bCs/>
          <w:i/>
          <w:iCs/>
          <w:sz w:val="24"/>
          <w:szCs w:val="24"/>
        </w:rPr>
        <w:t xml:space="preserve">5.2 </w:t>
      </w:r>
      <w:r w:rsidR="00EA0398" w:rsidRPr="005A566B">
        <w:rPr>
          <w:rFonts w:ascii="Arial" w:hAnsi="Arial" w:cs="Arial"/>
          <w:bCs/>
          <w:i/>
          <w:iCs/>
          <w:sz w:val="24"/>
          <w:szCs w:val="24"/>
        </w:rPr>
        <w:t>Robustness checks</w:t>
      </w:r>
    </w:p>
    <w:p w14:paraId="008A75BF" w14:textId="77777777" w:rsidR="00267566" w:rsidRPr="005A566B" w:rsidRDefault="00267566" w:rsidP="009E0B32">
      <w:pPr>
        <w:spacing w:after="0" w:line="360" w:lineRule="auto"/>
        <w:ind w:firstLine="720"/>
        <w:jc w:val="both"/>
        <w:rPr>
          <w:rFonts w:ascii="Arial" w:hAnsi="Arial" w:cs="Arial"/>
          <w:bCs/>
          <w:iCs/>
          <w:sz w:val="24"/>
          <w:szCs w:val="24"/>
        </w:rPr>
      </w:pPr>
      <w:r w:rsidRPr="005A566B">
        <w:rPr>
          <w:rFonts w:ascii="Arial" w:hAnsi="Arial" w:cs="Arial"/>
          <w:bCs/>
          <w:iCs/>
          <w:sz w:val="24"/>
          <w:szCs w:val="24"/>
        </w:rPr>
        <w:lastRenderedPageBreak/>
        <w:t xml:space="preserve">We run a series of checks to enhance robustness of our analysis. Our first check was to determine whether our analysis </w:t>
      </w:r>
      <w:r w:rsidRPr="005A566B">
        <w:rPr>
          <w:rFonts w:ascii="Arial" w:hAnsi="Arial" w:cs="Arial"/>
          <w:bCs/>
          <w:iCs/>
          <w:sz w:val="24"/>
          <w:szCs w:val="24"/>
          <w:lang w:val="en-US"/>
        </w:rPr>
        <w:t xml:space="preserve">may be sensitive to the type of structure imposed on the model (a dynamic model for the primary results). To assess the implication of the imposed structure of the model on the results, we relax the dynamic nature of the model by estimating the relation using a static model. </w:t>
      </w:r>
      <w:r w:rsidRPr="005A566B">
        <w:rPr>
          <w:rFonts w:ascii="Arial" w:hAnsi="Arial" w:cs="Arial"/>
          <w:bCs/>
          <w:iCs/>
          <w:sz w:val="24"/>
          <w:szCs w:val="24"/>
        </w:rPr>
        <w:t xml:space="preserve">In the literature both the corrected least squares dummy variable (LSDVC) and the GMM estimators were deigned purposely to handle dynamic panels to correct for Nickel bias, especially in panels with short time periods, where the bias is severe. In panels with period above 30 years, the bias created by the correlation between the lagged dependent variable and fixed effects is small </w:t>
      </w:r>
      <w:r w:rsidR="00EE29BC" w:rsidRPr="005A566B">
        <w:rPr>
          <w:rFonts w:ascii="Arial" w:hAnsi="Arial" w:cs="Arial"/>
          <w:bCs/>
          <w:iCs/>
          <w:sz w:val="24"/>
          <w:szCs w:val="24"/>
        </w:rPr>
        <w:fldChar w:fldCharType="begin" w:fldLock="1"/>
      </w:r>
      <w:r w:rsidR="00031DA3" w:rsidRPr="005A566B">
        <w:rPr>
          <w:rFonts w:ascii="Arial" w:hAnsi="Arial" w:cs="Arial"/>
          <w:bCs/>
          <w:iCs/>
          <w:sz w:val="24"/>
          <w:szCs w:val="24"/>
        </w:rPr>
        <w:instrText>ADDIN CSL_CITATION { "citationItems" : [ { "id" : "ITEM-1", "itemData" : { "DOI" : "10.1016/S0165-1765(99)00130-5", "ISBN" : "0165-1765", "ISSN" : "01651765", "abstract" : "Using a Monte Carlo approach, we find that the bias of LSDV for dynamic panel data models can be sizeable, even when T520. A corrected LSDVestimator is the best choice overall, but practical considerations may limit its applicability. GMM is a second best solution and, for long panels, the computationally simpler Anderson\u2013 Hsiao estimator performs well. \u00a9 1999 Elsevier Science S.A. All rights reserved.", "author" : [ { "dropping-particle" : "", "family" : "Judson", "given" : "Ruth A", "non-dropping-particle" : "", "parse-names" : false, "suffix" : "" }, { "dropping-particle" : "", "family" : "Owen", "given" : "Ann L", "non-dropping-particle" : "", "parse-names" : false, "suffix" : "" } ], "container-title" : "Economics Letters", "id" : "ITEM-1", "issue" : "1", "issued" : { "date-parts" : [ [ "1999" ] ] }, "page" : "9-15", "title" : "Estimating dynamic panel data models: a guide for macroeconomists", "type" : "article-journal", "volume" : "65" }, "uris" : [ "http://www.mendeley.com/documents/?uuid=551edc44-de16-4d5a-bb3d-999ab44cb406" ] } ], "mendeley" : { "formattedCitation" : "(Judson and Owen, 1999)", "plainTextFormattedCitation" : "(Judson and Owen, 1999)", "previouslyFormattedCitation" : "(Judson and Owen, 1999)" }, "properties" : {  }, "schema" : "https://github.com/citation-style-language/schema/raw/master/csl-citation.json" }</w:instrText>
      </w:r>
      <w:r w:rsidR="00EE29BC" w:rsidRPr="005A566B">
        <w:rPr>
          <w:rFonts w:ascii="Arial" w:hAnsi="Arial" w:cs="Arial"/>
          <w:bCs/>
          <w:iCs/>
          <w:sz w:val="24"/>
          <w:szCs w:val="24"/>
        </w:rPr>
        <w:fldChar w:fldCharType="separate"/>
      </w:r>
      <w:r w:rsidR="00031DA3" w:rsidRPr="005A566B">
        <w:rPr>
          <w:rFonts w:ascii="Arial" w:hAnsi="Arial" w:cs="Arial"/>
          <w:bCs/>
          <w:iCs/>
          <w:noProof/>
          <w:sz w:val="24"/>
          <w:szCs w:val="24"/>
        </w:rPr>
        <w:t>(Judson and Owen, 1999)</w:t>
      </w:r>
      <w:r w:rsidR="00EE29BC" w:rsidRPr="005A566B">
        <w:rPr>
          <w:rFonts w:ascii="Arial" w:hAnsi="Arial" w:cs="Arial"/>
          <w:bCs/>
          <w:iCs/>
          <w:sz w:val="24"/>
          <w:szCs w:val="24"/>
        </w:rPr>
        <w:fldChar w:fldCharType="end"/>
      </w:r>
      <w:r w:rsidR="00EE29BC" w:rsidRPr="00E92D44">
        <w:rPr>
          <w:rFonts w:ascii="Arial" w:hAnsi="Arial" w:cs="Arial"/>
          <w:bCs/>
          <w:iCs/>
          <w:sz w:val="24"/>
          <w:szCs w:val="24"/>
        </w:rPr>
        <w:t>.</w:t>
      </w:r>
      <w:r w:rsidRPr="005A566B">
        <w:rPr>
          <w:rFonts w:ascii="Arial" w:hAnsi="Arial" w:cs="Arial"/>
          <w:bCs/>
          <w:iCs/>
          <w:sz w:val="24"/>
          <w:szCs w:val="24"/>
        </w:rPr>
        <w:t xml:space="preserve"> In such instances, the FE estimator performs well relative to both the GMM and LSDVC. In this study, we opted for </w:t>
      </w:r>
      <w:r w:rsidRPr="005A566B">
        <w:rPr>
          <w:rFonts w:ascii="Arial" w:hAnsi="Arial" w:cs="Arial"/>
          <w:bCs/>
          <w:iCs/>
          <w:sz w:val="24"/>
          <w:szCs w:val="24"/>
        </w:rPr>
        <w:lastRenderedPageBreak/>
        <w:t xml:space="preserve">the LSDVC to correct for the bias created by the lagged depended on variable in the dynamic model estimation. </w:t>
      </w:r>
    </w:p>
    <w:p w14:paraId="5AD3E339" w14:textId="77777777" w:rsidR="00FB5EAA" w:rsidRPr="005A566B" w:rsidRDefault="00267566" w:rsidP="009E0B32">
      <w:pPr>
        <w:spacing w:after="0" w:line="360" w:lineRule="auto"/>
        <w:ind w:firstLine="720"/>
        <w:jc w:val="both"/>
        <w:rPr>
          <w:rFonts w:ascii="Arial" w:hAnsi="Arial" w:cs="Arial"/>
          <w:bCs/>
          <w:iCs/>
          <w:sz w:val="24"/>
          <w:szCs w:val="24"/>
          <w:lang w:val="en-US"/>
        </w:rPr>
      </w:pPr>
      <w:r w:rsidRPr="005A566B">
        <w:rPr>
          <w:rFonts w:ascii="Arial" w:hAnsi="Arial" w:cs="Arial"/>
          <w:bCs/>
          <w:iCs/>
          <w:sz w:val="24"/>
          <w:szCs w:val="24"/>
        </w:rPr>
        <w:t xml:space="preserve">Due to the possibility of potential </w:t>
      </w:r>
      <w:r w:rsidRPr="005A566B">
        <w:rPr>
          <w:rFonts w:ascii="Arial" w:hAnsi="Arial" w:cs="Arial"/>
          <w:bCs/>
          <w:iCs/>
          <w:sz w:val="24"/>
          <w:szCs w:val="24"/>
          <w:lang w:val="en-US"/>
        </w:rPr>
        <w:t>endogeneity problem as a result of possible reverse causation between WCM and firm</w:t>
      </w:r>
      <w:r w:rsidR="00C421D3" w:rsidRPr="005A566B">
        <w:rPr>
          <w:rFonts w:ascii="Arial" w:hAnsi="Arial" w:cs="Arial"/>
          <w:bCs/>
          <w:iCs/>
          <w:sz w:val="24"/>
          <w:szCs w:val="24"/>
          <w:lang w:val="en-US"/>
        </w:rPr>
        <w:t>s’  financial performance</w:t>
      </w:r>
      <w:r w:rsidRPr="005A566B">
        <w:rPr>
          <w:rFonts w:ascii="Arial" w:hAnsi="Arial" w:cs="Arial"/>
          <w:bCs/>
          <w:iCs/>
          <w:sz w:val="24"/>
          <w:szCs w:val="24"/>
          <w:lang w:val="en-US"/>
        </w:rPr>
        <w:t>, we use a second-reduced form equation for WCM as specified in eqn. (5), where the residuals for this equation is generated and added into eqn. (3 &amp; 4). This is a standard approach to deal with issues of endogeneity when there are no suitable available instruments.</w:t>
      </w:r>
      <w:r w:rsidRPr="005A566B">
        <w:rPr>
          <w:rFonts w:ascii="Arial" w:hAnsi="Arial" w:cs="Arial"/>
          <w:bCs/>
          <w:iCs/>
          <w:sz w:val="24"/>
          <w:szCs w:val="24"/>
        </w:rPr>
        <w:t xml:space="preserve"> </w:t>
      </w:r>
      <w:r w:rsidRPr="005A566B">
        <w:rPr>
          <w:rFonts w:ascii="Arial" w:hAnsi="Arial" w:cs="Arial"/>
          <w:bCs/>
          <w:iCs/>
          <w:sz w:val="24"/>
          <w:szCs w:val="24"/>
          <w:lang w:val="en-US"/>
        </w:rPr>
        <w:t>We assumed that WCM, contingent factors (environment, resource and management) and other firm characteristics are vital factors that influence the level of</w:t>
      </w:r>
      <w:r w:rsidR="00C421D3" w:rsidRPr="005A566B">
        <w:rPr>
          <w:rFonts w:ascii="Arial" w:hAnsi="Arial" w:cs="Arial"/>
          <w:bCs/>
          <w:iCs/>
          <w:sz w:val="24"/>
          <w:szCs w:val="24"/>
          <w:lang w:val="en-US"/>
        </w:rPr>
        <w:t xml:space="preserve"> financial performance</w:t>
      </w:r>
      <w:r w:rsidRPr="005A566B">
        <w:rPr>
          <w:rFonts w:ascii="Arial" w:hAnsi="Arial" w:cs="Arial"/>
          <w:bCs/>
          <w:iCs/>
          <w:sz w:val="24"/>
          <w:szCs w:val="24"/>
          <w:lang w:val="en-US"/>
        </w:rPr>
        <w:t xml:space="preserve"> of firms and therefore specify the reduced-form model.</w:t>
      </w:r>
    </w:p>
    <w:p w14:paraId="0DC0DC73" w14:textId="77777777" w:rsidR="00BE4687" w:rsidRPr="005A566B" w:rsidRDefault="00CF3976" w:rsidP="004E32E2">
      <w:pPr>
        <w:spacing w:after="0" w:line="360" w:lineRule="auto"/>
        <w:ind w:left="720"/>
        <w:jc w:val="both"/>
        <w:rPr>
          <w:rFonts w:ascii="Arial" w:eastAsia="Calibri" w:hAnsi="Arial" w:cs="Arial"/>
          <w:bCs/>
          <w:iCs/>
          <w:sz w:val="24"/>
          <w:szCs w:val="24"/>
        </w:rPr>
      </w:pPr>
      <m:oMath>
        <m:sSub>
          <m:sSubPr>
            <m:ctrlPr>
              <w:rPr>
                <w:rFonts w:ascii="Cambria Math" w:eastAsia="Calibri" w:hAnsi="Cambria Math" w:cs="Arial"/>
                <w:bCs/>
                <w:i/>
                <w:iCs/>
                <w:sz w:val="24"/>
                <w:szCs w:val="24"/>
              </w:rPr>
            </m:ctrlPr>
          </m:sSubPr>
          <m:e>
            <m:r>
              <w:rPr>
                <w:rFonts w:ascii="Cambria Math" w:eastAsia="Calibri" w:hAnsi="Cambria Math" w:cs="Arial"/>
                <w:sz w:val="24"/>
                <w:szCs w:val="24"/>
              </w:rPr>
              <m:t>γ</m:t>
            </m:r>
          </m:e>
          <m:sub>
            <m:r>
              <w:rPr>
                <w:rFonts w:ascii="Cambria Math" w:eastAsia="Calibri" w:hAnsi="Cambria Math" w:cs="Arial"/>
                <w:sz w:val="24"/>
                <w:szCs w:val="24"/>
              </w:rPr>
              <m:t>i,t</m:t>
            </m:r>
          </m:sub>
        </m:sSub>
        <m:r>
          <w:rPr>
            <w:rFonts w:ascii="Cambria Math" w:eastAsia="Calibri" w:hAnsi="Cambria Math" w:cs="Arial"/>
            <w:sz w:val="24"/>
            <w:szCs w:val="24"/>
          </w:rPr>
          <m:t>=</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0</m:t>
            </m:r>
          </m:sub>
        </m:sSub>
        <m:r>
          <w:rPr>
            <w:rFonts w:ascii="Cambria Math" w:eastAsia="Calibri" w:hAnsi="Cambria Math" w:cs="Arial"/>
            <w:sz w:val="24"/>
            <w:szCs w:val="24"/>
          </w:rPr>
          <m:t>+</m:t>
        </m:r>
        <m:sSub>
          <m:sSubPr>
            <m:ctrlPr>
              <w:rPr>
                <w:rFonts w:ascii="Cambria Math" w:eastAsia="Calibri" w:hAnsi="Cambria Math" w:cs="Arial"/>
                <w:bCs/>
                <w:i/>
                <w:iCs/>
                <w:sz w:val="24"/>
                <w:szCs w:val="24"/>
              </w:rPr>
            </m:ctrlPr>
          </m:sSubPr>
          <m:e>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 xml:space="preserve">1  </m:t>
                </m:r>
              </m:sub>
            </m:sSub>
            <m:r>
              <w:rPr>
                <w:rFonts w:ascii="Cambria Math" w:eastAsia="Calibri" w:hAnsi="Cambria Math" w:cs="Arial"/>
                <w:sz w:val="24"/>
                <w:szCs w:val="24"/>
              </w:rPr>
              <m:t>X</m:t>
            </m:r>
          </m:e>
          <m:sub>
            <m:r>
              <w:rPr>
                <w:rFonts w:ascii="Cambria Math" w:eastAsia="Calibri" w:hAnsi="Cambria Math" w:cs="Arial"/>
                <w:sz w:val="24"/>
                <w:szCs w:val="24"/>
              </w:rPr>
              <m:t>i,t</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2</m:t>
            </m:r>
          </m:sub>
        </m:sSub>
        <m:sSub>
          <m:sSubPr>
            <m:ctrlPr>
              <w:rPr>
                <w:rFonts w:ascii="Cambria Math" w:eastAsia="Calibri" w:hAnsi="Cambria Math" w:cs="Arial"/>
                <w:bCs/>
                <w:i/>
                <w:iCs/>
                <w:sz w:val="24"/>
                <w:szCs w:val="24"/>
              </w:rPr>
            </m:ctrlPr>
          </m:sSubPr>
          <m:e>
            <m:r>
              <w:rPr>
                <w:rFonts w:ascii="Cambria Math" w:eastAsia="Calibri" w:hAnsi="Cambria Math" w:cs="Arial"/>
                <w:sz w:val="24"/>
                <w:szCs w:val="24"/>
              </w:rPr>
              <m:t>Z</m:t>
            </m:r>
          </m:e>
          <m:sub>
            <m:r>
              <w:rPr>
                <w:rFonts w:ascii="Cambria Math" w:eastAsia="Calibri" w:hAnsi="Cambria Math" w:cs="Arial"/>
                <w:sz w:val="24"/>
                <w:szCs w:val="24"/>
              </w:rPr>
              <m:t>i,t</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λ</m:t>
            </m:r>
          </m:e>
          <m:sub>
            <m:r>
              <w:rPr>
                <w:rFonts w:ascii="Cambria Math" w:eastAsia="Calibri" w:hAnsi="Cambria Math" w:cs="Arial"/>
                <w:sz w:val="24"/>
                <w:szCs w:val="24"/>
              </w:rPr>
              <m:t>t</m:t>
            </m:r>
          </m:sub>
        </m:sSub>
        <m:r>
          <w:rPr>
            <w:rFonts w:ascii="Cambria Math" w:eastAsia="Calibri" w:hAnsi="Cambria Math" w:cs="Arial"/>
            <w:sz w:val="24"/>
            <w:szCs w:val="24"/>
          </w:rPr>
          <m:t>+</m:t>
        </m:r>
        <m:sSub>
          <m:sSubPr>
            <m:ctrlPr>
              <w:rPr>
                <w:rFonts w:ascii="Cambria Math" w:eastAsia="Calibri" w:hAnsi="Cambria Math" w:cs="Arial"/>
                <w:bCs/>
                <w:i/>
                <w:iCs/>
                <w:sz w:val="24"/>
                <w:szCs w:val="24"/>
              </w:rPr>
            </m:ctrlPr>
          </m:sSubPr>
          <m:e>
            <m:r>
              <w:rPr>
                <w:rFonts w:ascii="Cambria Math" w:eastAsia="Calibri" w:hAnsi="Cambria Math" w:cs="Arial"/>
                <w:sz w:val="24"/>
                <w:szCs w:val="24"/>
              </w:rPr>
              <m:t>V</m:t>
            </m:r>
          </m:e>
          <m:sub>
            <m:r>
              <w:rPr>
                <w:rFonts w:ascii="Cambria Math" w:eastAsia="Calibri" w:hAnsi="Cambria Math" w:cs="Arial"/>
                <w:sz w:val="24"/>
                <w:szCs w:val="24"/>
              </w:rPr>
              <m:t>i</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ε</m:t>
            </m:r>
          </m:e>
          <m:sub>
            <m:r>
              <w:rPr>
                <w:rFonts w:ascii="Cambria Math" w:eastAsia="Calibri" w:hAnsi="Cambria Math" w:cs="Arial"/>
                <w:sz w:val="24"/>
                <w:szCs w:val="24"/>
              </w:rPr>
              <m:t>i,t</m:t>
            </m:r>
          </m:sub>
        </m:sSub>
      </m:oMath>
      <w:r w:rsidR="00BE4687" w:rsidRPr="00E92D44">
        <w:rPr>
          <w:rFonts w:ascii="Arial" w:eastAsia="Calibri" w:hAnsi="Arial" w:cs="Arial"/>
          <w:bCs/>
          <w:iCs/>
          <w:sz w:val="24"/>
          <w:szCs w:val="24"/>
        </w:rPr>
        <w:t xml:space="preserve">                                                  (3)                                                                                                                                </w:t>
      </w:r>
      <w:r w:rsidR="00BE4687" w:rsidRPr="005A566B">
        <w:rPr>
          <w:rFonts w:ascii="Arial" w:eastAsia="Calibri" w:hAnsi="Arial" w:cs="Arial"/>
          <w:bCs/>
          <w:iCs/>
          <w:sz w:val="24"/>
          <w:szCs w:val="24"/>
        </w:rPr>
        <w:t xml:space="preserve">                         </w:t>
      </w:r>
    </w:p>
    <w:p w14:paraId="3AD5E572" w14:textId="77777777" w:rsidR="00BE4687" w:rsidRPr="005A566B" w:rsidRDefault="00CF3976" w:rsidP="004E32E2">
      <w:pPr>
        <w:spacing w:after="0" w:line="360" w:lineRule="auto"/>
        <w:ind w:left="720"/>
        <w:jc w:val="both"/>
        <w:rPr>
          <w:rFonts w:ascii="Arial" w:eastAsia="Calibri" w:hAnsi="Arial" w:cs="Arial"/>
          <w:bCs/>
          <w:iCs/>
          <w:sz w:val="24"/>
          <w:szCs w:val="24"/>
        </w:rPr>
      </w:pPr>
      <m:oMath>
        <m:sSub>
          <m:sSubPr>
            <m:ctrlPr>
              <w:rPr>
                <w:rFonts w:ascii="Cambria Math" w:eastAsia="Calibri" w:hAnsi="Cambria Math" w:cs="Arial"/>
                <w:bCs/>
                <w:i/>
                <w:iCs/>
                <w:sz w:val="24"/>
                <w:szCs w:val="24"/>
              </w:rPr>
            </m:ctrlPr>
          </m:sSubPr>
          <m:e>
            <m:r>
              <w:rPr>
                <w:rFonts w:ascii="Cambria Math" w:eastAsia="Calibri" w:hAnsi="Cambria Math" w:cs="Arial"/>
                <w:sz w:val="24"/>
                <w:szCs w:val="24"/>
              </w:rPr>
              <m:t>γ</m:t>
            </m:r>
          </m:e>
          <m:sub>
            <m:r>
              <w:rPr>
                <w:rFonts w:ascii="Cambria Math" w:eastAsia="Calibri" w:hAnsi="Cambria Math" w:cs="Arial"/>
                <w:sz w:val="24"/>
                <w:szCs w:val="24"/>
              </w:rPr>
              <m:t>i,t</m:t>
            </m:r>
          </m:sub>
        </m:sSub>
        <m:r>
          <w:rPr>
            <w:rFonts w:ascii="Cambria Math" w:eastAsia="Calibri" w:hAnsi="Cambria Math" w:cs="Arial"/>
            <w:sz w:val="24"/>
            <w:szCs w:val="24"/>
          </w:rPr>
          <m:t>=</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0</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1</m:t>
                </m:r>
              </m:sub>
            </m:sSub>
            <m:r>
              <w:rPr>
                <w:rFonts w:ascii="Cambria Math" w:eastAsia="Calibri" w:hAnsi="Cambria Math" w:cs="Arial"/>
                <w:sz w:val="24"/>
                <w:szCs w:val="24"/>
              </w:rPr>
              <m:t>X</m:t>
            </m:r>
          </m:e>
          <m:sub>
            <m:r>
              <w:rPr>
                <w:rFonts w:ascii="Cambria Math" w:eastAsia="Calibri" w:hAnsi="Cambria Math" w:cs="Arial"/>
                <w:sz w:val="24"/>
                <w:szCs w:val="24"/>
              </w:rPr>
              <m:t>i,t</m:t>
            </m:r>
          </m:sub>
        </m:sSub>
        <m:r>
          <w:rPr>
            <w:rFonts w:ascii="Cambria Math" w:eastAsia="Calibri" w:hAnsi="Cambria Math" w:cs="Arial"/>
            <w:sz w:val="24"/>
            <w:szCs w:val="24"/>
          </w:rPr>
          <m:t>+</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2</m:t>
            </m:r>
          </m:sub>
        </m:sSub>
        <m:sSub>
          <m:sSubPr>
            <m:ctrlPr>
              <w:rPr>
                <w:rFonts w:ascii="Cambria Math" w:eastAsia="Calibri" w:hAnsi="Cambria Math" w:cs="Arial"/>
                <w:bCs/>
                <w:i/>
                <w:iCs/>
                <w:sz w:val="24"/>
                <w:szCs w:val="24"/>
              </w:rPr>
            </m:ctrlPr>
          </m:sSubPr>
          <m:e>
            <m:r>
              <w:rPr>
                <w:rFonts w:ascii="Cambria Math" w:eastAsia="Calibri" w:hAnsi="Cambria Math" w:cs="Arial"/>
                <w:sz w:val="24"/>
                <w:szCs w:val="24"/>
              </w:rPr>
              <m:t>Z</m:t>
            </m:r>
          </m:e>
          <m:sub>
            <m:r>
              <w:rPr>
                <w:rFonts w:ascii="Cambria Math" w:eastAsia="Calibri" w:hAnsi="Cambria Math" w:cs="Arial"/>
                <w:sz w:val="24"/>
                <w:szCs w:val="24"/>
              </w:rPr>
              <m:t>i,t</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β</m:t>
            </m:r>
          </m:e>
          <m:sub>
            <m:r>
              <w:rPr>
                <w:rFonts w:ascii="Cambria Math" w:eastAsia="Calibri" w:hAnsi="Cambria Math" w:cs="Arial"/>
                <w:sz w:val="24"/>
                <w:szCs w:val="24"/>
              </w:rPr>
              <m:t>3</m:t>
            </m:r>
          </m:sub>
        </m:sSub>
        <m:sSub>
          <m:sSubPr>
            <m:ctrlPr>
              <w:rPr>
                <w:rFonts w:ascii="Cambria Math" w:eastAsia="Calibri" w:hAnsi="Cambria Math" w:cs="Arial"/>
                <w:bCs/>
                <w:i/>
                <w:iCs/>
                <w:sz w:val="24"/>
                <w:szCs w:val="24"/>
              </w:rPr>
            </m:ctrlPr>
          </m:sSubPr>
          <m:e>
            <m:r>
              <w:rPr>
                <w:rFonts w:ascii="Cambria Math" w:eastAsia="Calibri" w:hAnsi="Cambria Math" w:cs="Arial"/>
                <w:sz w:val="24"/>
                <w:szCs w:val="24"/>
              </w:rPr>
              <m:t>K</m:t>
            </m:r>
          </m:e>
          <m:sub>
            <m:r>
              <w:rPr>
                <w:rFonts w:ascii="Cambria Math" w:eastAsia="Calibri" w:hAnsi="Cambria Math" w:cs="Arial"/>
                <w:sz w:val="24"/>
                <w:szCs w:val="24"/>
              </w:rPr>
              <m:t>i,t</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λ</m:t>
            </m:r>
          </m:e>
          <m:sub>
            <m:r>
              <w:rPr>
                <w:rFonts w:ascii="Cambria Math" w:eastAsia="Calibri" w:hAnsi="Cambria Math" w:cs="Arial"/>
                <w:sz w:val="24"/>
                <w:szCs w:val="24"/>
              </w:rPr>
              <m:t xml:space="preserve">t  </m:t>
            </m:r>
          </m:sub>
        </m:sSub>
        <m:r>
          <w:rPr>
            <w:rFonts w:ascii="Cambria Math" w:eastAsia="Calibri" w:hAnsi="Cambria Math" w:cs="Arial"/>
            <w:sz w:val="24"/>
            <w:szCs w:val="24"/>
          </w:rPr>
          <m:t>+</m:t>
        </m:r>
        <m:sSub>
          <m:sSubPr>
            <m:ctrlPr>
              <w:rPr>
                <w:rFonts w:ascii="Cambria Math" w:eastAsia="Calibri" w:hAnsi="Cambria Math" w:cs="Arial"/>
                <w:bCs/>
                <w:i/>
                <w:iCs/>
                <w:sz w:val="24"/>
                <w:szCs w:val="24"/>
              </w:rPr>
            </m:ctrlPr>
          </m:sSubPr>
          <m:e>
            <m:r>
              <w:rPr>
                <w:rFonts w:ascii="Cambria Math" w:eastAsia="Calibri" w:hAnsi="Cambria Math" w:cs="Arial"/>
                <w:sz w:val="24"/>
                <w:szCs w:val="24"/>
              </w:rPr>
              <m:t>V</m:t>
            </m:r>
          </m:e>
          <m:sub>
            <m:r>
              <w:rPr>
                <w:rFonts w:ascii="Cambria Math" w:eastAsia="Calibri" w:hAnsi="Cambria Math" w:cs="Arial"/>
                <w:sz w:val="24"/>
                <w:szCs w:val="24"/>
              </w:rPr>
              <m:t>i</m:t>
            </m:r>
          </m:sub>
        </m:sSub>
        <m:r>
          <w:rPr>
            <w:rFonts w:ascii="Cambria Math" w:eastAsia="Calibri" w:hAnsi="Cambria Math" w:cs="Arial"/>
            <w:sz w:val="24"/>
            <w:szCs w:val="24"/>
          </w:rPr>
          <m:t xml:space="preserve">+ </m:t>
        </m:r>
        <m:sSub>
          <m:sSubPr>
            <m:ctrlPr>
              <w:rPr>
                <w:rFonts w:ascii="Cambria Math" w:eastAsia="Calibri" w:hAnsi="Cambria Math" w:cs="Arial"/>
                <w:bCs/>
                <w:i/>
                <w:iCs/>
                <w:sz w:val="24"/>
                <w:szCs w:val="24"/>
              </w:rPr>
            </m:ctrlPr>
          </m:sSubPr>
          <m:e>
            <m:r>
              <w:rPr>
                <w:rFonts w:ascii="Cambria Math" w:eastAsia="Calibri" w:hAnsi="Cambria Math" w:cs="Arial"/>
                <w:sz w:val="24"/>
                <w:szCs w:val="24"/>
              </w:rPr>
              <m:t>ε</m:t>
            </m:r>
          </m:e>
          <m:sub>
            <m:r>
              <w:rPr>
                <w:rFonts w:ascii="Cambria Math" w:eastAsia="Calibri" w:hAnsi="Cambria Math" w:cs="Arial"/>
                <w:sz w:val="24"/>
                <w:szCs w:val="24"/>
              </w:rPr>
              <m:t>i,t</m:t>
            </m:r>
          </m:sub>
        </m:sSub>
      </m:oMath>
      <w:r w:rsidR="00BE4687" w:rsidRPr="00E92D44">
        <w:rPr>
          <w:rFonts w:ascii="Arial" w:eastAsia="Calibri" w:hAnsi="Arial" w:cs="Arial"/>
          <w:bCs/>
          <w:iCs/>
          <w:sz w:val="24"/>
          <w:szCs w:val="24"/>
        </w:rPr>
        <w:t xml:space="preserve">                                </w:t>
      </w:r>
      <w:r w:rsidR="00D96911" w:rsidRPr="005A566B">
        <w:rPr>
          <w:rFonts w:ascii="Arial" w:eastAsia="Calibri" w:hAnsi="Arial" w:cs="Arial"/>
          <w:bCs/>
          <w:iCs/>
          <w:sz w:val="24"/>
          <w:szCs w:val="24"/>
        </w:rPr>
        <w:t xml:space="preserve">    </w:t>
      </w:r>
      <w:r w:rsidR="00BE4687" w:rsidRPr="005A566B">
        <w:rPr>
          <w:rFonts w:ascii="Arial" w:eastAsia="Calibri" w:hAnsi="Arial" w:cs="Arial"/>
          <w:bCs/>
          <w:iCs/>
          <w:sz w:val="24"/>
          <w:szCs w:val="24"/>
        </w:rPr>
        <w:t xml:space="preserve"> (4)                                                                             </w:t>
      </w:r>
    </w:p>
    <w:p w14:paraId="3AD00CB3" w14:textId="77777777" w:rsidR="00BE4687" w:rsidRPr="005A566B" w:rsidRDefault="00CF3976" w:rsidP="004E32E2">
      <w:pPr>
        <w:spacing w:after="0" w:line="360" w:lineRule="auto"/>
        <w:ind w:left="720"/>
        <w:jc w:val="both"/>
        <w:rPr>
          <w:rFonts w:ascii="Arial" w:hAnsi="Arial" w:cs="Arial"/>
          <w:bCs/>
          <w:iCs/>
          <w:sz w:val="24"/>
          <w:szCs w:val="24"/>
        </w:rPr>
      </w:pPr>
      <m:oMath>
        <m:sSub>
          <m:sSubPr>
            <m:ctrlPr>
              <w:rPr>
                <w:rFonts w:ascii="Cambria Math" w:hAnsi="Cambria Math" w:cs="Arial"/>
                <w:bCs/>
                <w:i/>
                <w:iCs/>
                <w:sz w:val="24"/>
                <w:szCs w:val="24"/>
              </w:rPr>
            </m:ctrlPr>
          </m:sSubPr>
          <m:e>
            <m:r>
              <w:rPr>
                <w:rFonts w:ascii="Cambria Math" w:hAnsi="Cambria Math" w:cs="Arial"/>
                <w:sz w:val="24"/>
                <w:szCs w:val="24"/>
              </w:rPr>
              <m:t>X</m:t>
            </m:r>
          </m:e>
          <m:sub>
            <m:r>
              <w:rPr>
                <w:rFonts w:ascii="Cambria Math" w:hAnsi="Cambria Math" w:cs="Arial"/>
                <w:sz w:val="24"/>
                <w:szCs w:val="24"/>
              </w:rPr>
              <m:t>i,t</m:t>
            </m:r>
          </m:sub>
        </m:sSub>
        <m:r>
          <w:rPr>
            <w:rFonts w:ascii="Cambria Math" w:hAnsi="Cambria Math" w:cs="Arial"/>
            <w:sz w:val="24"/>
            <w:szCs w:val="24"/>
          </w:rPr>
          <m:t>=</m:t>
        </m:r>
        <m:sSub>
          <m:sSubPr>
            <m:ctrlPr>
              <w:rPr>
                <w:rFonts w:ascii="Cambria Math" w:hAnsi="Cambria Math" w:cs="Arial"/>
                <w:bCs/>
                <w:i/>
                <w:iCs/>
                <w:sz w:val="24"/>
                <w:szCs w:val="24"/>
              </w:rPr>
            </m:ctrlPr>
          </m:sSubPr>
          <m:e>
            <m:r>
              <w:rPr>
                <w:rFonts w:ascii="Cambria Math" w:hAnsi="Cambria Math" w:cs="Arial"/>
                <w:sz w:val="24"/>
                <w:szCs w:val="24"/>
              </w:rPr>
              <m:t>β</m:t>
            </m:r>
          </m:e>
          <m:sub>
            <m:r>
              <w:rPr>
                <w:rFonts w:ascii="Cambria Math" w:hAnsi="Cambria Math" w:cs="Arial"/>
                <w:sz w:val="24"/>
                <w:szCs w:val="24"/>
              </w:rPr>
              <m:t>0</m:t>
            </m:r>
          </m:sub>
        </m:sSub>
        <m:r>
          <w:rPr>
            <w:rFonts w:ascii="Cambria Math" w:hAnsi="Cambria Math" w:cs="Arial"/>
            <w:sz w:val="24"/>
            <w:szCs w:val="24"/>
          </w:rPr>
          <m:t>+</m:t>
        </m:r>
        <m:sSub>
          <m:sSubPr>
            <m:ctrlPr>
              <w:rPr>
                <w:rFonts w:ascii="Cambria Math" w:hAnsi="Cambria Math" w:cs="Arial"/>
                <w:bCs/>
                <w:i/>
                <w:iCs/>
                <w:sz w:val="24"/>
                <w:szCs w:val="24"/>
              </w:rPr>
            </m:ctrlPr>
          </m:sSubPr>
          <m:e>
            <m:sSub>
              <m:sSubPr>
                <m:ctrlPr>
                  <w:rPr>
                    <w:rFonts w:ascii="Cambria Math" w:hAnsi="Cambria Math" w:cs="Arial"/>
                    <w:bCs/>
                    <w:i/>
                    <w:iCs/>
                    <w:sz w:val="24"/>
                    <w:szCs w:val="24"/>
                  </w:rPr>
                </m:ctrlPr>
              </m:sSubPr>
              <m:e>
                <m:r>
                  <w:rPr>
                    <w:rFonts w:ascii="Cambria Math" w:hAnsi="Cambria Math" w:cs="Arial"/>
                    <w:sz w:val="24"/>
                    <w:szCs w:val="24"/>
                  </w:rPr>
                  <m:t>β</m:t>
                </m:r>
              </m:e>
              <m:sub>
                <m:r>
                  <w:rPr>
                    <w:rFonts w:ascii="Cambria Math" w:hAnsi="Cambria Math" w:cs="Arial"/>
                    <w:sz w:val="24"/>
                    <w:szCs w:val="24"/>
                  </w:rPr>
                  <m:t xml:space="preserve">1  </m:t>
                </m:r>
              </m:sub>
            </m:sSub>
            <m:r>
              <w:rPr>
                <w:rFonts w:ascii="Cambria Math" w:hAnsi="Cambria Math" w:cs="Arial"/>
                <w:sz w:val="24"/>
                <w:szCs w:val="24"/>
              </w:rPr>
              <m:t>γ</m:t>
            </m:r>
          </m:e>
          <m:sub>
            <m:r>
              <w:rPr>
                <w:rFonts w:ascii="Cambria Math" w:hAnsi="Cambria Math" w:cs="Arial"/>
                <w:sz w:val="24"/>
                <w:szCs w:val="24"/>
              </w:rPr>
              <m:t>i,t</m:t>
            </m:r>
          </m:sub>
        </m:sSub>
        <m:r>
          <w:rPr>
            <w:rFonts w:ascii="Cambria Math" w:hAnsi="Cambria Math" w:cs="Arial"/>
            <w:sz w:val="24"/>
            <w:szCs w:val="24"/>
          </w:rPr>
          <m:t xml:space="preserve">+ </m:t>
        </m:r>
        <m:sSub>
          <m:sSubPr>
            <m:ctrlPr>
              <w:rPr>
                <w:rFonts w:ascii="Cambria Math" w:hAnsi="Cambria Math" w:cs="Arial"/>
                <w:bCs/>
                <w:i/>
                <w:iCs/>
                <w:sz w:val="24"/>
                <w:szCs w:val="24"/>
              </w:rPr>
            </m:ctrlPr>
          </m:sSubPr>
          <m:e>
            <m:r>
              <w:rPr>
                <w:rFonts w:ascii="Cambria Math" w:hAnsi="Cambria Math" w:cs="Arial"/>
                <w:sz w:val="24"/>
                <w:szCs w:val="24"/>
              </w:rPr>
              <m:t>β</m:t>
            </m:r>
          </m:e>
          <m:sub>
            <m:r>
              <w:rPr>
                <w:rFonts w:ascii="Cambria Math" w:hAnsi="Cambria Math" w:cs="Arial"/>
                <w:sz w:val="24"/>
                <w:szCs w:val="24"/>
              </w:rPr>
              <m:t>2</m:t>
            </m:r>
          </m:sub>
        </m:sSub>
        <m:sSub>
          <m:sSubPr>
            <m:ctrlPr>
              <w:rPr>
                <w:rFonts w:ascii="Cambria Math" w:hAnsi="Cambria Math" w:cs="Arial"/>
                <w:bCs/>
                <w:i/>
                <w:iCs/>
                <w:sz w:val="24"/>
                <w:szCs w:val="24"/>
              </w:rPr>
            </m:ctrlPr>
          </m:sSubPr>
          <m:e>
            <m:r>
              <w:rPr>
                <w:rFonts w:ascii="Cambria Math" w:hAnsi="Cambria Math" w:cs="Arial"/>
                <w:sz w:val="24"/>
                <w:szCs w:val="24"/>
              </w:rPr>
              <m:t>Z</m:t>
            </m:r>
          </m:e>
          <m:sub>
            <m:r>
              <w:rPr>
                <w:rFonts w:ascii="Cambria Math" w:hAnsi="Cambria Math" w:cs="Arial"/>
                <w:sz w:val="24"/>
                <w:szCs w:val="24"/>
              </w:rPr>
              <m:t>i,t</m:t>
            </m:r>
          </m:sub>
        </m:sSub>
        <m:r>
          <w:rPr>
            <w:rFonts w:ascii="Cambria Math" w:hAnsi="Cambria Math" w:cs="Arial"/>
            <w:sz w:val="24"/>
            <w:szCs w:val="24"/>
          </w:rPr>
          <m:t xml:space="preserve">+ </m:t>
        </m:r>
        <m:sSub>
          <m:sSubPr>
            <m:ctrlPr>
              <w:rPr>
                <w:rFonts w:ascii="Cambria Math" w:hAnsi="Cambria Math" w:cs="Arial"/>
                <w:bCs/>
                <w:i/>
                <w:iCs/>
                <w:sz w:val="24"/>
                <w:szCs w:val="24"/>
              </w:rPr>
            </m:ctrlPr>
          </m:sSubPr>
          <m:e>
            <m:r>
              <w:rPr>
                <w:rFonts w:ascii="Cambria Math" w:hAnsi="Cambria Math" w:cs="Arial"/>
                <w:sz w:val="24"/>
                <w:szCs w:val="24"/>
              </w:rPr>
              <m:t>λ</m:t>
            </m:r>
          </m:e>
          <m:sub>
            <m:r>
              <w:rPr>
                <w:rFonts w:ascii="Cambria Math" w:hAnsi="Cambria Math" w:cs="Arial"/>
                <w:sz w:val="24"/>
                <w:szCs w:val="24"/>
              </w:rPr>
              <m:t>t</m:t>
            </m:r>
          </m:sub>
        </m:sSub>
        <m:r>
          <w:rPr>
            <w:rFonts w:ascii="Cambria Math" w:hAnsi="Cambria Math" w:cs="Arial"/>
            <w:sz w:val="24"/>
            <w:szCs w:val="24"/>
          </w:rPr>
          <m:t>+</m:t>
        </m:r>
        <m:sSub>
          <m:sSubPr>
            <m:ctrlPr>
              <w:rPr>
                <w:rFonts w:ascii="Cambria Math" w:hAnsi="Cambria Math" w:cs="Arial"/>
                <w:bCs/>
                <w:i/>
                <w:iCs/>
                <w:sz w:val="24"/>
                <w:szCs w:val="24"/>
              </w:rPr>
            </m:ctrlPr>
          </m:sSubPr>
          <m:e>
            <m:r>
              <w:rPr>
                <w:rFonts w:ascii="Cambria Math" w:hAnsi="Cambria Math" w:cs="Arial"/>
                <w:sz w:val="24"/>
                <w:szCs w:val="24"/>
              </w:rPr>
              <m:t>V</m:t>
            </m:r>
          </m:e>
          <m:sub>
            <m:r>
              <w:rPr>
                <w:rFonts w:ascii="Cambria Math" w:hAnsi="Cambria Math" w:cs="Arial"/>
                <w:sz w:val="24"/>
                <w:szCs w:val="24"/>
              </w:rPr>
              <m:t>i</m:t>
            </m:r>
          </m:sub>
        </m:sSub>
        <m:r>
          <w:rPr>
            <w:rFonts w:ascii="Cambria Math" w:hAnsi="Cambria Math" w:cs="Arial"/>
            <w:sz w:val="24"/>
            <w:szCs w:val="24"/>
          </w:rPr>
          <m:t xml:space="preserve">+ </m:t>
        </m:r>
        <m:sSub>
          <m:sSubPr>
            <m:ctrlPr>
              <w:rPr>
                <w:rFonts w:ascii="Cambria Math" w:hAnsi="Cambria Math" w:cs="Arial"/>
                <w:bCs/>
                <w:i/>
                <w:iCs/>
                <w:sz w:val="24"/>
                <w:szCs w:val="24"/>
              </w:rPr>
            </m:ctrlPr>
          </m:sSubPr>
          <m:e>
            <m:r>
              <w:rPr>
                <w:rFonts w:ascii="Cambria Math" w:hAnsi="Cambria Math" w:cs="Arial"/>
                <w:sz w:val="24"/>
                <w:szCs w:val="24"/>
              </w:rPr>
              <m:t>ε</m:t>
            </m:r>
          </m:e>
          <m:sub>
            <m:r>
              <w:rPr>
                <w:rFonts w:ascii="Cambria Math" w:hAnsi="Cambria Math" w:cs="Arial"/>
                <w:sz w:val="24"/>
                <w:szCs w:val="24"/>
              </w:rPr>
              <m:t>i,t</m:t>
            </m:r>
          </m:sub>
        </m:sSub>
      </m:oMath>
      <w:r w:rsidR="00BE4687" w:rsidRPr="00E92D44">
        <w:rPr>
          <w:rFonts w:ascii="Arial" w:hAnsi="Arial" w:cs="Arial"/>
          <w:bCs/>
          <w:iCs/>
          <w:sz w:val="24"/>
          <w:szCs w:val="24"/>
        </w:rPr>
        <w:t xml:space="preserve">                                                  (5)                                                                                                                                   </w:t>
      </w:r>
      <w:r w:rsidR="00BE4687" w:rsidRPr="005A566B">
        <w:rPr>
          <w:rFonts w:ascii="Arial" w:hAnsi="Arial" w:cs="Arial"/>
          <w:bCs/>
          <w:iCs/>
          <w:sz w:val="24"/>
          <w:szCs w:val="24"/>
        </w:rPr>
        <w:t xml:space="preserve">                      </w:t>
      </w:r>
    </w:p>
    <w:p w14:paraId="5A83F10A" w14:textId="77777777" w:rsidR="00BE4687" w:rsidRPr="005A566B" w:rsidRDefault="00BE4687" w:rsidP="004E32E2">
      <w:pPr>
        <w:spacing w:after="0" w:line="360" w:lineRule="auto"/>
        <w:jc w:val="both"/>
        <w:rPr>
          <w:rFonts w:ascii="Arial" w:hAnsi="Arial" w:cs="Arial"/>
          <w:bCs/>
          <w:iCs/>
          <w:sz w:val="24"/>
          <w:szCs w:val="24"/>
        </w:rPr>
      </w:pPr>
      <w:r w:rsidRPr="005A566B">
        <w:rPr>
          <w:rFonts w:ascii="Arial" w:hAnsi="Arial" w:cs="Arial"/>
          <w:b/>
          <w:bCs/>
          <w:iCs/>
          <w:sz w:val="24"/>
          <w:szCs w:val="24"/>
        </w:rPr>
        <w:t xml:space="preserve">                                                                </w:t>
      </w:r>
    </w:p>
    <w:p w14:paraId="12C2E773" w14:textId="77777777" w:rsidR="00B815C0" w:rsidRPr="005A566B" w:rsidRDefault="009B41BB" w:rsidP="004E32E2">
      <w:pPr>
        <w:spacing w:after="0" w:line="360" w:lineRule="auto"/>
        <w:jc w:val="both"/>
        <w:rPr>
          <w:rFonts w:ascii="Arial" w:hAnsi="Arial" w:cs="Arial"/>
          <w:bCs/>
          <w:iCs/>
          <w:sz w:val="24"/>
          <w:szCs w:val="24"/>
          <w:lang w:val="en-US"/>
        </w:rPr>
      </w:pPr>
      <w:r w:rsidRPr="005A566B">
        <w:rPr>
          <w:rFonts w:ascii="Arial" w:hAnsi="Arial" w:cs="Arial"/>
          <w:bCs/>
          <w:iCs/>
          <w:sz w:val="24"/>
          <w:szCs w:val="24"/>
          <w:lang w:val="en-US"/>
        </w:rPr>
        <w:t>Where</w:t>
      </w:r>
      <w:r w:rsidR="00E70E2D" w:rsidRPr="005A566B">
        <w:rPr>
          <w:rFonts w:ascii="Arial" w:hAnsi="Arial" w:cs="Arial"/>
          <w:bCs/>
          <w:iCs/>
          <w:sz w:val="24"/>
          <w:szCs w:val="24"/>
          <w:lang w:val="en-US"/>
        </w:rPr>
        <w:t xml:space="preserve"> all the variables are the same as defined for eqn. (2 &amp;3).</w:t>
      </w:r>
    </w:p>
    <w:p w14:paraId="5A35DFF2" w14:textId="77777777" w:rsidR="008B5798" w:rsidRPr="005A566B" w:rsidRDefault="009B41BB" w:rsidP="004E32E2">
      <w:pPr>
        <w:spacing w:after="0" w:line="360" w:lineRule="auto"/>
        <w:jc w:val="both"/>
        <w:rPr>
          <w:rFonts w:ascii="Arial" w:hAnsi="Arial" w:cs="Arial"/>
          <w:bCs/>
          <w:iCs/>
          <w:sz w:val="24"/>
          <w:szCs w:val="24"/>
          <w:lang w:val="en-US"/>
        </w:rPr>
      </w:pPr>
      <w:r w:rsidRPr="005A566B">
        <w:rPr>
          <w:rFonts w:ascii="Arial" w:hAnsi="Arial" w:cs="Arial"/>
          <w:bCs/>
          <w:iCs/>
          <w:sz w:val="24"/>
          <w:szCs w:val="24"/>
          <w:lang w:val="en-US"/>
        </w:rPr>
        <w:t>The results based on a fixed effec</w:t>
      </w:r>
      <w:r w:rsidR="008B5798" w:rsidRPr="005A566B">
        <w:rPr>
          <w:rFonts w:ascii="Arial" w:hAnsi="Arial" w:cs="Arial"/>
          <w:bCs/>
          <w:iCs/>
          <w:sz w:val="24"/>
          <w:szCs w:val="24"/>
          <w:lang w:val="en-US"/>
        </w:rPr>
        <w:t>t model are reported in Table 9</w:t>
      </w:r>
      <w:r w:rsidRPr="005A566B">
        <w:rPr>
          <w:rFonts w:ascii="Arial" w:hAnsi="Arial" w:cs="Arial"/>
          <w:bCs/>
          <w:iCs/>
          <w:sz w:val="24"/>
          <w:szCs w:val="24"/>
          <w:lang w:val="en-US"/>
        </w:rPr>
        <w:t xml:space="preserve">. The </w:t>
      </w:r>
      <w:r w:rsidR="00E36569" w:rsidRPr="005A566B">
        <w:rPr>
          <w:rFonts w:ascii="Arial" w:hAnsi="Arial" w:cs="Arial"/>
          <w:bCs/>
          <w:iCs/>
          <w:sz w:val="24"/>
          <w:szCs w:val="24"/>
          <w:lang w:val="en-US"/>
        </w:rPr>
        <w:t>findings from</w:t>
      </w:r>
      <w:r w:rsidR="008B5798" w:rsidRPr="005A566B">
        <w:rPr>
          <w:rFonts w:ascii="Arial" w:hAnsi="Arial" w:cs="Arial"/>
          <w:bCs/>
          <w:iCs/>
          <w:sz w:val="24"/>
          <w:szCs w:val="24"/>
          <w:lang w:val="en-US"/>
        </w:rPr>
        <w:t xml:space="preserve"> Table 9</w:t>
      </w:r>
      <w:r w:rsidRPr="005A566B">
        <w:rPr>
          <w:rFonts w:ascii="Arial" w:hAnsi="Arial" w:cs="Arial"/>
          <w:bCs/>
          <w:iCs/>
          <w:sz w:val="24"/>
          <w:szCs w:val="24"/>
          <w:lang w:val="en-US"/>
        </w:rPr>
        <w:t xml:space="preserve">, </w:t>
      </w:r>
      <w:r w:rsidR="00E36569" w:rsidRPr="005A566B">
        <w:rPr>
          <w:rFonts w:ascii="Arial" w:hAnsi="Arial" w:cs="Arial"/>
          <w:bCs/>
          <w:iCs/>
          <w:sz w:val="24"/>
          <w:szCs w:val="24"/>
          <w:lang w:val="en-US"/>
        </w:rPr>
        <w:t xml:space="preserve">suggest a </w:t>
      </w:r>
      <w:r w:rsidRPr="005A566B">
        <w:rPr>
          <w:rFonts w:ascii="Arial" w:hAnsi="Arial" w:cs="Arial"/>
          <w:bCs/>
          <w:iCs/>
          <w:sz w:val="24"/>
          <w:szCs w:val="24"/>
          <w:lang w:val="en-US"/>
        </w:rPr>
        <w:t xml:space="preserve">qualitatively similar </w:t>
      </w:r>
      <w:r w:rsidR="00E36569" w:rsidRPr="005A566B">
        <w:rPr>
          <w:rFonts w:ascii="Arial" w:hAnsi="Arial" w:cs="Arial"/>
          <w:bCs/>
          <w:iCs/>
          <w:sz w:val="24"/>
          <w:szCs w:val="24"/>
          <w:lang w:val="en-US"/>
        </w:rPr>
        <w:t>results as reported in</w:t>
      </w:r>
      <w:r w:rsidRPr="005A566B">
        <w:rPr>
          <w:rFonts w:ascii="Arial" w:hAnsi="Arial" w:cs="Arial"/>
          <w:bCs/>
          <w:iCs/>
          <w:sz w:val="24"/>
          <w:szCs w:val="24"/>
          <w:lang w:val="en-US"/>
        </w:rPr>
        <w:t xml:space="preserve"> our primary results </w:t>
      </w:r>
      <w:r w:rsidR="00E36569" w:rsidRPr="005A566B">
        <w:rPr>
          <w:rFonts w:ascii="Arial" w:hAnsi="Arial" w:cs="Arial"/>
          <w:bCs/>
          <w:iCs/>
          <w:sz w:val="24"/>
          <w:szCs w:val="24"/>
          <w:lang w:val="en-US"/>
        </w:rPr>
        <w:t xml:space="preserve">reported previously using the dynamic model. </w:t>
      </w:r>
      <w:r w:rsidRPr="005A566B">
        <w:rPr>
          <w:rFonts w:ascii="Arial" w:hAnsi="Arial" w:cs="Arial"/>
          <w:bCs/>
          <w:iCs/>
          <w:sz w:val="24"/>
          <w:szCs w:val="24"/>
          <w:lang w:val="en-US"/>
        </w:rPr>
        <w:t xml:space="preserve">Our general conclusion based on this sensitivity analysis is that the results are robust to the model structure (static or dynamic) for both the </w:t>
      </w:r>
      <w:r w:rsidR="00E36569" w:rsidRPr="005A566B">
        <w:rPr>
          <w:rFonts w:ascii="Arial" w:hAnsi="Arial" w:cs="Arial"/>
          <w:bCs/>
          <w:iCs/>
          <w:sz w:val="24"/>
          <w:szCs w:val="24"/>
          <w:lang w:val="en-US"/>
        </w:rPr>
        <w:t>WCM and</w:t>
      </w:r>
      <w:r w:rsidRPr="005A566B">
        <w:rPr>
          <w:rFonts w:ascii="Arial" w:hAnsi="Arial" w:cs="Arial"/>
          <w:bCs/>
          <w:iCs/>
          <w:sz w:val="24"/>
          <w:szCs w:val="24"/>
          <w:lang w:val="en-US"/>
        </w:rPr>
        <w:t xml:space="preserve"> </w:t>
      </w:r>
      <w:r w:rsidR="00E36569" w:rsidRPr="005A566B">
        <w:rPr>
          <w:rFonts w:ascii="Arial" w:hAnsi="Arial" w:cs="Arial"/>
          <w:bCs/>
          <w:iCs/>
          <w:sz w:val="24"/>
          <w:szCs w:val="24"/>
          <w:lang w:val="en-US"/>
        </w:rPr>
        <w:t>firm</w:t>
      </w:r>
      <w:r w:rsidR="00C421D3" w:rsidRPr="005A566B">
        <w:rPr>
          <w:rFonts w:ascii="Arial" w:hAnsi="Arial" w:cs="Arial"/>
          <w:bCs/>
          <w:iCs/>
          <w:sz w:val="24"/>
          <w:szCs w:val="24"/>
          <w:lang w:val="en-US"/>
        </w:rPr>
        <w:t>s’ financial performance</w:t>
      </w:r>
      <w:r w:rsidRPr="005A566B">
        <w:rPr>
          <w:rFonts w:ascii="Arial" w:hAnsi="Arial" w:cs="Arial"/>
          <w:bCs/>
          <w:iCs/>
          <w:sz w:val="24"/>
          <w:szCs w:val="24"/>
          <w:lang w:val="en-US"/>
        </w:rPr>
        <w:t xml:space="preserve"> models.</w:t>
      </w:r>
    </w:p>
    <w:p w14:paraId="5FDD3774" w14:textId="4AC15359" w:rsidR="000C667D" w:rsidRPr="005A566B" w:rsidRDefault="001E195C" w:rsidP="00CF3856">
      <w:pPr>
        <w:spacing w:after="0" w:line="360" w:lineRule="auto"/>
        <w:ind w:firstLine="720"/>
        <w:jc w:val="both"/>
        <w:rPr>
          <w:rFonts w:ascii="Arial" w:hAnsi="Arial" w:cs="Arial"/>
          <w:bCs/>
          <w:iCs/>
          <w:sz w:val="24"/>
          <w:szCs w:val="24"/>
        </w:rPr>
      </w:pPr>
      <w:r w:rsidRPr="005A566B">
        <w:rPr>
          <w:rFonts w:ascii="Arial" w:hAnsi="Arial" w:cs="Arial"/>
          <w:bCs/>
          <w:iCs/>
          <w:sz w:val="24"/>
          <w:szCs w:val="24"/>
        </w:rPr>
        <w:t>In the second sensitivity analysis, test whether our analysis is sensitive to alternative measure of working capital.</w:t>
      </w:r>
      <w:r w:rsidR="00D51F74" w:rsidRPr="005A566B">
        <w:rPr>
          <w:rFonts w:ascii="Arial" w:eastAsia="Garamond" w:hAnsi="Arial" w:cs="Arial"/>
          <w:sz w:val="24"/>
          <w:szCs w:val="24"/>
        </w:rPr>
        <w:t xml:space="preserve"> We adopted </w:t>
      </w:r>
      <w:r w:rsidR="00D51F74" w:rsidRPr="005A566B">
        <w:rPr>
          <w:rFonts w:ascii="Arial" w:hAnsi="Arial" w:cs="Arial"/>
          <w:bCs/>
          <w:iCs/>
          <w:sz w:val="24"/>
          <w:szCs w:val="24"/>
        </w:rPr>
        <w:t xml:space="preserve">the cash conversion cycle (CCC), which </w:t>
      </w:r>
      <w:r w:rsidR="00D51F74" w:rsidRPr="005A566B">
        <w:rPr>
          <w:rFonts w:ascii="Arial" w:hAnsi="Arial" w:cs="Arial"/>
          <w:bCs/>
          <w:iCs/>
          <w:sz w:val="24"/>
          <w:szCs w:val="24"/>
        </w:rPr>
        <w:lastRenderedPageBreak/>
        <w:t>measures the average number of days it takes a firm to recoup the amount invested in curre</w:t>
      </w:r>
      <w:r w:rsidR="00EE29BC" w:rsidRPr="005A566B">
        <w:rPr>
          <w:rFonts w:ascii="Arial" w:hAnsi="Arial" w:cs="Arial"/>
          <w:bCs/>
          <w:iCs/>
          <w:sz w:val="24"/>
          <w:szCs w:val="24"/>
        </w:rPr>
        <w:t>nt assets (</w:t>
      </w:r>
      <w:r w:rsidR="00D51F74" w:rsidRPr="005A566B">
        <w:rPr>
          <w:rFonts w:ascii="Arial" w:hAnsi="Arial" w:cs="Arial"/>
          <w:bCs/>
          <w:iCs/>
          <w:sz w:val="24"/>
          <w:szCs w:val="24"/>
        </w:rPr>
        <w:fldChar w:fldCharType="begin"/>
      </w:r>
      <w:r w:rsidR="00D51F74" w:rsidRPr="005A566B">
        <w:rPr>
          <w:rFonts w:ascii="Arial" w:hAnsi="Arial" w:cs="Arial"/>
          <w:bCs/>
          <w:iCs/>
          <w:sz w:val="24"/>
          <w:szCs w:val="24"/>
        </w:rPr>
        <w:instrText xml:space="preserve"> ADDIN EN.CITE &lt;EndNote&gt;&lt;Cite ExcludeAuth="1"&gt;&lt;Author&gt;Ferrando&lt;/Author&gt;&lt;Year&gt;2013&lt;/Year&gt;&lt;RecNum&gt;905&lt;/RecNum&gt;&lt;DisplayText&gt;(2013)&lt;/DisplayText&gt;&lt;record&gt;&lt;rec-number&gt;905&lt;/rec-number&gt;&lt;foreign-keys&gt;&lt;key app="EN" db-id="fsexrwpwydxw0oewd5yxxppstzvzsewes0ta"&gt;905&lt;/key&gt;&lt;key app="ENWeb" db-id="Ss3bFgrtqgcAAGTyI5k"&gt;320&lt;/key&gt;&lt;/foreign-keys&gt;&lt;ref-type name="Journal Article"&gt;17&lt;/ref-type&gt;&lt;contributors&gt;&lt;authors&gt;&lt;author&gt;Ferrando, Annalisa&lt;/author&gt;&lt;author&gt;Mulier, Klaas&lt;/author&gt;&lt;/authors&gt;&lt;/contributors&gt;&lt;titles&gt;&lt;title&gt;Do firms use the trade credit channel to manage growth?&lt;/title&gt;&lt;secondary-title&gt;Journal of Banking &amp;amp; Finance&lt;/secondary-title&gt;&lt;/titles&gt;&lt;periodical&gt;&lt;full-title&gt;Journal of Banking &amp;amp; Finance&lt;/full-title&gt;&lt;/periodical&gt;&lt;pages&gt;3035-3046&lt;/pages&gt;&lt;volume&gt;37&lt;/volume&gt;&lt;number&gt;8&lt;/number&gt;&lt;keywords&gt;&lt;keyword&gt;Firm performance&lt;/keyword&gt;&lt;keyword&gt;Trade credit&lt;/keyword&gt;&lt;keyword&gt;Accounts payable&lt;/keyword&gt;&lt;keyword&gt;Accounts receivable&lt;/keyword&gt;&lt;/keywords&gt;&lt;dates&gt;&lt;year&gt;2013&lt;/year&gt;&lt;pub-dates&gt;&lt;date&gt;8//&lt;/date&gt;&lt;/pub-dates&gt;&lt;/dates&gt;&lt;isbn&gt;0378-4266&lt;/isbn&gt;&lt;urls&gt;&lt;related-urls&gt;&lt;url&gt;http://www.sciencedirect.com/science/article/pii/S0378426613000885&lt;/url&gt;&lt;/related-urls&gt;&lt;/urls&gt;&lt;electronic-resource-num&gt;http://dx.doi.org/10.1016/j.jbankfin.2013.02.013&lt;/electronic-resource-num&gt;&lt;/record&gt;&lt;/Cite&gt;&lt;/EndNote&gt;</w:instrText>
      </w:r>
      <w:r w:rsidR="00D51F74" w:rsidRPr="005A566B">
        <w:rPr>
          <w:rFonts w:ascii="Arial" w:hAnsi="Arial" w:cs="Arial"/>
          <w:bCs/>
          <w:iCs/>
          <w:sz w:val="24"/>
          <w:szCs w:val="24"/>
        </w:rPr>
        <w:fldChar w:fldCharType="separate"/>
      </w:r>
      <w:r w:rsidR="00D51F74" w:rsidRPr="005A566B">
        <w:rPr>
          <w:rFonts w:ascii="Arial" w:hAnsi="Arial" w:cs="Arial"/>
          <w:bCs/>
          <w:iCs/>
          <w:sz w:val="24"/>
          <w:szCs w:val="24"/>
        </w:rPr>
        <w:t>Deloof</w:t>
      </w:r>
      <w:r w:rsidR="00EE29BC" w:rsidRPr="005A566B">
        <w:rPr>
          <w:rFonts w:ascii="Arial" w:hAnsi="Arial" w:cs="Arial"/>
          <w:bCs/>
          <w:iCs/>
          <w:sz w:val="24"/>
          <w:szCs w:val="24"/>
        </w:rPr>
        <w:t xml:space="preserve"> 2003; Afrifa and Tingbani, 2018</w:t>
      </w:r>
      <w:r w:rsidR="00D51F74" w:rsidRPr="005A566B">
        <w:rPr>
          <w:rFonts w:ascii="Arial" w:hAnsi="Arial" w:cs="Arial"/>
          <w:bCs/>
          <w:iCs/>
          <w:sz w:val="24"/>
          <w:szCs w:val="24"/>
        </w:rPr>
        <w:t>)</w:t>
      </w:r>
      <w:r w:rsidR="00D51F74" w:rsidRPr="005A566B">
        <w:rPr>
          <w:rFonts w:ascii="Arial" w:hAnsi="Arial" w:cs="Arial"/>
          <w:bCs/>
          <w:iCs/>
          <w:sz w:val="24"/>
          <w:szCs w:val="24"/>
        </w:rPr>
        <w:fldChar w:fldCharType="end"/>
      </w:r>
      <w:r w:rsidR="00D51F74" w:rsidRPr="005A566B">
        <w:rPr>
          <w:rFonts w:ascii="Arial" w:hAnsi="Arial" w:cs="Arial"/>
          <w:bCs/>
          <w:iCs/>
          <w:sz w:val="24"/>
          <w:szCs w:val="24"/>
        </w:rPr>
        <w:t>.</w:t>
      </w:r>
      <w:r w:rsidR="00D51F74" w:rsidRPr="005A566B">
        <w:rPr>
          <w:rFonts w:ascii="Arial" w:hAnsi="Arial" w:cs="Arial"/>
          <w:sz w:val="24"/>
          <w:szCs w:val="24"/>
        </w:rPr>
        <w:t xml:space="preserve"> </w:t>
      </w:r>
      <w:r w:rsidR="00D51F74" w:rsidRPr="005A566B">
        <w:rPr>
          <w:rFonts w:ascii="Arial" w:hAnsi="Arial" w:cs="Arial"/>
          <w:bCs/>
          <w:iCs/>
          <w:sz w:val="24"/>
          <w:szCs w:val="24"/>
        </w:rPr>
        <w:t xml:space="preserve">The results </w:t>
      </w:r>
      <w:r w:rsidR="00B544FF" w:rsidRPr="005A566B">
        <w:rPr>
          <w:rFonts w:ascii="Arial" w:hAnsi="Arial" w:cs="Arial"/>
          <w:bCs/>
          <w:iCs/>
          <w:sz w:val="24"/>
          <w:szCs w:val="24"/>
        </w:rPr>
        <w:t>reported in Table 10</w:t>
      </w:r>
      <w:r w:rsidR="00D51F74" w:rsidRPr="005A566B">
        <w:rPr>
          <w:rFonts w:ascii="Arial" w:hAnsi="Arial" w:cs="Arial"/>
          <w:bCs/>
          <w:iCs/>
          <w:sz w:val="24"/>
          <w:szCs w:val="24"/>
        </w:rPr>
        <w:t xml:space="preserve"> are in line with our previous evidence of the relation between WCM and</w:t>
      </w:r>
      <w:r w:rsidR="00C421D3" w:rsidRPr="005A566B">
        <w:rPr>
          <w:rFonts w:ascii="Arial" w:hAnsi="Arial" w:cs="Arial"/>
          <w:bCs/>
          <w:iCs/>
          <w:sz w:val="24"/>
          <w:szCs w:val="24"/>
        </w:rPr>
        <w:t xml:space="preserve"> financial performance</w:t>
      </w:r>
      <w:r w:rsidR="00D51F74" w:rsidRPr="005A566B">
        <w:rPr>
          <w:rFonts w:ascii="Arial" w:hAnsi="Arial" w:cs="Arial"/>
          <w:bCs/>
          <w:iCs/>
          <w:sz w:val="24"/>
          <w:szCs w:val="24"/>
        </w:rPr>
        <w:t xml:space="preserve">. </w:t>
      </w:r>
    </w:p>
    <w:p w14:paraId="75A7664E" w14:textId="77777777" w:rsidR="00B544FF" w:rsidRPr="005A566B" w:rsidRDefault="00B544FF" w:rsidP="00CF3856">
      <w:pPr>
        <w:spacing w:after="0" w:line="360" w:lineRule="auto"/>
        <w:ind w:firstLine="720"/>
        <w:jc w:val="both"/>
        <w:rPr>
          <w:rFonts w:ascii="Arial" w:hAnsi="Arial" w:cs="Arial"/>
          <w:bCs/>
          <w:iCs/>
          <w:sz w:val="24"/>
          <w:szCs w:val="24"/>
        </w:rPr>
      </w:pPr>
    </w:p>
    <w:p w14:paraId="320CAA89" w14:textId="77777777" w:rsidR="00B544FF" w:rsidRPr="005A566B" w:rsidRDefault="00B544FF" w:rsidP="00580282">
      <w:pPr>
        <w:spacing w:after="0" w:line="360" w:lineRule="auto"/>
        <w:jc w:val="both"/>
        <w:rPr>
          <w:rFonts w:ascii="Arial" w:hAnsi="Arial" w:cs="Arial"/>
          <w:bCs/>
          <w:iCs/>
          <w:sz w:val="24"/>
          <w:szCs w:val="24"/>
        </w:rPr>
      </w:pPr>
    </w:p>
    <w:p w14:paraId="44A55699" w14:textId="77777777" w:rsidR="008B5798" w:rsidRPr="005A566B" w:rsidRDefault="008B5798" w:rsidP="004E32E2">
      <w:pPr>
        <w:spacing w:after="0" w:line="360" w:lineRule="auto"/>
        <w:ind w:left="1440" w:firstLine="720"/>
        <w:jc w:val="both"/>
        <w:rPr>
          <w:rFonts w:ascii="Arial" w:hAnsi="Arial" w:cs="Arial"/>
          <w:b/>
          <w:bCs/>
          <w:iCs/>
          <w:sz w:val="24"/>
          <w:szCs w:val="24"/>
        </w:rPr>
      </w:pPr>
      <w:r w:rsidRPr="005A566B">
        <w:rPr>
          <w:rFonts w:ascii="Arial" w:hAnsi="Arial" w:cs="Arial"/>
          <w:b/>
          <w:bCs/>
          <w:iCs/>
          <w:sz w:val="24"/>
          <w:szCs w:val="24"/>
        </w:rPr>
        <w:t>[Insert Table 9</w:t>
      </w:r>
      <w:r w:rsidR="00E0543F" w:rsidRPr="005A566B">
        <w:rPr>
          <w:rFonts w:ascii="Arial" w:hAnsi="Arial" w:cs="Arial"/>
          <w:b/>
          <w:bCs/>
          <w:iCs/>
          <w:sz w:val="24"/>
          <w:szCs w:val="24"/>
        </w:rPr>
        <w:t xml:space="preserve"> and 10</w:t>
      </w:r>
      <w:r w:rsidRPr="005A566B">
        <w:rPr>
          <w:rFonts w:ascii="Arial" w:hAnsi="Arial" w:cs="Arial"/>
          <w:b/>
          <w:bCs/>
          <w:iCs/>
          <w:sz w:val="24"/>
          <w:szCs w:val="24"/>
        </w:rPr>
        <w:t xml:space="preserve"> about here]</w:t>
      </w:r>
    </w:p>
    <w:p w14:paraId="697B94CE" w14:textId="77777777" w:rsidR="009E0B32" w:rsidRPr="005A566B" w:rsidRDefault="009E0B32" w:rsidP="004E32E2">
      <w:pPr>
        <w:spacing w:after="0" w:line="360" w:lineRule="auto"/>
        <w:jc w:val="both"/>
        <w:rPr>
          <w:rFonts w:ascii="Arial" w:hAnsi="Arial" w:cs="Arial"/>
          <w:bCs/>
          <w:iCs/>
          <w:sz w:val="24"/>
          <w:szCs w:val="24"/>
        </w:rPr>
      </w:pPr>
    </w:p>
    <w:p w14:paraId="45089C12" w14:textId="77777777" w:rsidR="001E195C" w:rsidRPr="005A566B" w:rsidRDefault="006D4805" w:rsidP="004E32E2">
      <w:pPr>
        <w:pStyle w:val="ListParagraph"/>
        <w:numPr>
          <w:ilvl w:val="0"/>
          <w:numId w:val="1"/>
        </w:numPr>
        <w:spacing w:after="0" w:line="360" w:lineRule="auto"/>
        <w:jc w:val="both"/>
        <w:rPr>
          <w:rFonts w:ascii="Arial" w:hAnsi="Arial" w:cs="Arial"/>
          <w:b/>
          <w:bCs/>
          <w:iCs/>
          <w:sz w:val="24"/>
          <w:szCs w:val="24"/>
        </w:rPr>
      </w:pPr>
      <w:r w:rsidRPr="00E92D44">
        <w:rPr>
          <w:rFonts w:ascii="Arial" w:hAnsi="Arial" w:cs="Arial"/>
          <w:b/>
          <w:bCs/>
          <w:iCs/>
          <w:sz w:val="24"/>
          <w:szCs w:val="24"/>
        </w:rPr>
        <w:t xml:space="preserve">Conclusion </w:t>
      </w:r>
    </w:p>
    <w:p w14:paraId="76583454" w14:textId="31C58B2E" w:rsidR="001C02C9" w:rsidRPr="005A566B" w:rsidRDefault="00FF7FB8" w:rsidP="00633DED">
      <w:pPr>
        <w:spacing w:after="0" w:line="360" w:lineRule="auto"/>
        <w:ind w:firstLine="720"/>
        <w:jc w:val="both"/>
        <w:rPr>
          <w:rFonts w:ascii="Arial" w:hAnsi="Arial" w:cs="Arial"/>
          <w:bCs/>
          <w:iCs/>
          <w:sz w:val="24"/>
          <w:szCs w:val="24"/>
        </w:rPr>
      </w:pPr>
      <w:r w:rsidRPr="005A566B">
        <w:rPr>
          <w:rFonts w:ascii="Arial" w:hAnsi="Arial" w:cs="Arial"/>
          <w:bCs/>
          <w:iCs/>
          <w:sz w:val="24"/>
          <w:szCs w:val="24"/>
        </w:rPr>
        <w:t xml:space="preserve">The paper presents empirical evidence on the relationship between </w:t>
      </w:r>
      <w:r w:rsidR="005F591E" w:rsidRPr="005A566B">
        <w:rPr>
          <w:rFonts w:ascii="Arial" w:hAnsi="Arial" w:cs="Arial"/>
          <w:bCs/>
          <w:iCs/>
          <w:sz w:val="24"/>
          <w:szCs w:val="24"/>
        </w:rPr>
        <w:t xml:space="preserve">WCM </w:t>
      </w:r>
      <w:r w:rsidRPr="005A566B">
        <w:rPr>
          <w:rFonts w:ascii="Arial" w:hAnsi="Arial" w:cs="Arial"/>
          <w:bCs/>
          <w:iCs/>
          <w:sz w:val="24"/>
          <w:szCs w:val="24"/>
        </w:rPr>
        <w:t>and fi</w:t>
      </w:r>
      <w:r w:rsidR="005F591E" w:rsidRPr="005A566B">
        <w:rPr>
          <w:rFonts w:ascii="Arial" w:hAnsi="Arial" w:cs="Arial"/>
          <w:bCs/>
          <w:iCs/>
          <w:sz w:val="24"/>
          <w:szCs w:val="24"/>
        </w:rPr>
        <w:t xml:space="preserve">nancial </w:t>
      </w:r>
      <w:r w:rsidRPr="005A566B">
        <w:rPr>
          <w:rFonts w:ascii="Arial" w:hAnsi="Arial" w:cs="Arial"/>
          <w:bCs/>
          <w:iCs/>
          <w:sz w:val="24"/>
          <w:szCs w:val="24"/>
        </w:rPr>
        <w:t xml:space="preserve">performance using three contingent variables (environment, resource and </w:t>
      </w:r>
      <w:r w:rsidRPr="005A566B">
        <w:rPr>
          <w:rFonts w:ascii="Arial" w:hAnsi="Arial" w:cs="Arial"/>
          <w:bCs/>
          <w:iCs/>
          <w:sz w:val="24"/>
          <w:szCs w:val="24"/>
        </w:rPr>
        <w:lastRenderedPageBreak/>
        <w:t xml:space="preserve">management). Using </w:t>
      </w:r>
      <w:r w:rsidR="007A7332" w:rsidRPr="005A566B">
        <w:rPr>
          <w:rFonts w:ascii="Arial" w:hAnsi="Arial" w:cs="Arial"/>
          <w:bCs/>
          <w:iCs/>
          <w:sz w:val="24"/>
          <w:szCs w:val="24"/>
        </w:rPr>
        <w:t xml:space="preserve">a sample of 802 listed </w:t>
      </w:r>
      <w:r w:rsidR="00283F18" w:rsidRPr="005A566B">
        <w:rPr>
          <w:rFonts w:ascii="Arial" w:hAnsi="Arial" w:cs="Arial"/>
          <w:bCs/>
          <w:iCs/>
          <w:sz w:val="24"/>
          <w:szCs w:val="24"/>
        </w:rPr>
        <w:t>firms from</w:t>
      </w:r>
      <w:r w:rsidRPr="005A566B">
        <w:rPr>
          <w:rFonts w:ascii="Arial" w:hAnsi="Arial" w:cs="Arial"/>
          <w:bCs/>
          <w:iCs/>
          <w:sz w:val="24"/>
          <w:szCs w:val="24"/>
        </w:rPr>
        <w:t xml:space="preserve"> the L</w:t>
      </w:r>
      <w:r w:rsidR="005F591E" w:rsidRPr="005A566B">
        <w:rPr>
          <w:rFonts w:ascii="Arial" w:hAnsi="Arial" w:cs="Arial"/>
          <w:bCs/>
          <w:iCs/>
          <w:sz w:val="24"/>
          <w:szCs w:val="24"/>
        </w:rPr>
        <w:t>SE</w:t>
      </w:r>
      <w:r w:rsidR="00CF3856" w:rsidRPr="005A566B">
        <w:rPr>
          <w:rFonts w:ascii="Arial" w:hAnsi="Arial" w:cs="Arial"/>
          <w:bCs/>
          <w:iCs/>
          <w:sz w:val="24"/>
          <w:szCs w:val="24"/>
        </w:rPr>
        <w:t xml:space="preserve"> for the period 2004</w:t>
      </w:r>
      <w:r w:rsidRPr="005A566B">
        <w:rPr>
          <w:rFonts w:ascii="Arial" w:hAnsi="Arial" w:cs="Arial"/>
          <w:bCs/>
          <w:iCs/>
          <w:sz w:val="24"/>
          <w:szCs w:val="24"/>
        </w:rPr>
        <w:t xml:space="preserve">-2014, the study finds </w:t>
      </w:r>
      <w:r w:rsidR="00515FD2" w:rsidRPr="005A566B">
        <w:rPr>
          <w:rFonts w:ascii="Arial" w:hAnsi="Arial" w:cs="Arial"/>
          <w:bCs/>
          <w:iCs/>
          <w:sz w:val="24"/>
          <w:szCs w:val="24"/>
        </w:rPr>
        <w:t>support for</w:t>
      </w:r>
      <w:r w:rsidRPr="005A566B">
        <w:rPr>
          <w:rFonts w:ascii="Arial" w:hAnsi="Arial" w:cs="Arial"/>
          <w:bCs/>
          <w:iCs/>
          <w:sz w:val="24"/>
          <w:szCs w:val="24"/>
        </w:rPr>
        <w:t xml:space="preserve"> the hypotheses </w:t>
      </w:r>
      <w:bookmarkStart w:id="247" w:name="OLE_LINK185"/>
      <w:bookmarkStart w:id="248" w:name="OLE_LINK186"/>
      <w:r w:rsidRPr="005A566B">
        <w:rPr>
          <w:rFonts w:ascii="Arial" w:hAnsi="Arial" w:cs="Arial"/>
          <w:bCs/>
          <w:iCs/>
          <w:sz w:val="24"/>
          <w:szCs w:val="24"/>
        </w:rPr>
        <w:t xml:space="preserve">that the impact of </w:t>
      </w:r>
      <w:r w:rsidR="005F591E" w:rsidRPr="005A566B">
        <w:rPr>
          <w:rFonts w:ascii="Arial" w:hAnsi="Arial" w:cs="Arial"/>
          <w:bCs/>
          <w:iCs/>
          <w:sz w:val="24"/>
          <w:szCs w:val="24"/>
        </w:rPr>
        <w:t xml:space="preserve">WCM </w:t>
      </w:r>
      <w:r w:rsidRPr="005A566B">
        <w:rPr>
          <w:rFonts w:ascii="Arial" w:hAnsi="Arial" w:cs="Arial"/>
          <w:bCs/>
          <w:iCs/>
          <w:sz w:val="24"/>
          <w:szCs w:val="24"/>
        </w:rPr>
        <w:t xml:space="preserve">on </w:t>
      </w:r>
      <w:r w:rsidR="00633DED" w:rsidRPr="005A566B">
        <w:rPr>
          <w:rFonts w:ascii="Arial" w:hAnsi="Arial" w:cs="Arial"/>
          <w:bCs/>
          <w:iCs/>
          <w:sz w:val="24"/>
          <w:szCs w:val="24"/>
        </w:rPr>
        <w:t xml:space="preserve">financial </w:t>
      </w:r>
      <w:r w:rsidRPr="005A566B">
        <w:rPr>
          <w:rFonts w:ascii="Arial" w:hAnsi="Arial" w:cs="Arial"/>
          <w:bCs/>
          <w:iCs/>
          <w:sz w:val="24"/>
          <w:szCs w:val="24"/>
        </w:rPr>
        <w:t>performance changes to reflect number contingency variables such as environmental, resource and management capabilities of the firm.</w:t>
      </w:r>
      <w:bookmarkEnd w:id="247"/>
      <w:bookmarkEnd w:id="248"/>
      <w:r w:rsidRPr="005A566B">
        <w:rPr>
          <w:rFonts w:ascii="Arial" w:hAnsi="Arial" w:cs="Arial"/>
          <w:bCs/>
          <w:iCs/>
          <w:sz w:val="24"/>
          <w:szCs w:val="24"/>
        </w:rPr>
        <w:t xml:space="preserve"> Our  evidence also supports Gill and Biger, (2013) argument that firms with strong corporate governance structures can efficiently manage their working capital better, which we find  to enhance firms</w:t>
      </w:r>
      <w:r w:rsidR="00C421D3" w:rsidRPr="005A566B">
        <w:rPr>
          <w:rFonts w:ascii="Arial" w:hAnsi="Arial" w:cs="Arial"/>
          <w:bCs/>
          <w:iCs/>
          <w:sz w:val="24"/>
          <w:szCs w:val="24"/>
        </w:rPr>
        <w:t>’</w:t>
      </w:r>
      <w:r w:rsidRPr="005A566B">
        <w:rPr>
          <w:rFonts w:ascii="Arial" w:hAnsi="Arial" w:cs="Arial"/>
          <w:bCs/>
          <w:iCs/>
          <w:sz w:val="24"/>
          <w:szCs w:val="24"/>
        </w:rPr>
        <w:t>. Specifically, we find that firms with powerful (Less powerful) CEOs increase (decrease) their investment in working capital to enhance firm</w:t>
      </w:r>
      <w:r w:rsidR="00C421D3" w:rsidRPr="005A566B">
        <w:rPr>
          <w:rFonts w:ascii="Arial" w:hAnsi="Arial" w:cs="Arial"/>
          <w:bCs/>
          <w:iCs/>
          <w:sz w:val="24"/>
          <w:szCs w:val="24"/>
        </w:rPr>
        <w:t>s’ financial performance</w:t>
      </w:r>
      <w:r w:rsidRPr="005A566B">
        <w:rPr>
          <w:rFonts w:ascii="Arial" w:hAnsi="Arial" w:cs="Arial"/>
          <w:bCs/>
          <w:iCs/>
          <w:sz w:val="24"/>
          <w:szCs w:val="24"/>
        </w:rPr>
        <w:t>.</w:t>
      </w:r>
    </w:p>
    <w:p w14:paraId="28B46D2C" w14:textId="77777777" w:rsidR="006412CA" w:rsidRPr="005A566B" w:rsidRDefault="000C667D" w:rsidP="00515FD2">
      <w:pPr>
        <w:spacing w:after="0" w:line="360" w:lineRule="auto"/>
        <w:ind w:firstLine="720"/>
        <w:jc w:val="both"/>
        <w:rPr>
          <w:rFonts w:ascii="Arial" w:hAnsi="Arial" w:cs="Arial"/>
          <w:bCs/>
          <w:iCs/>
          <w:sz w:val="24"/>
          <w:szCs w:val="24"/>
        </w:rPr>
      </w:pPr>
      <w:r w:rsidRPr="005A566B">
        <w:rPr>
          <w:rFonts w:ascii="Arial" w:hAnsi="Arial" w:cs="Arial"/>
          <w:bCs/>
          <w:iCs/>
          <w:sz w:val="24"/>
          <w:szCs w:val="24"/>
        </w:rPr>
        <w:t xml:space="preserve">Our results contribute to existing academic literature </w:t>
      </w:r>
      <w:r w:rsidR="00633DED" w:rsidRPr="005A566B">
        <w:rPr>
          <w:rFonts w:ascii="Arial" w:hAnsi="Arial" w:cs="Arial"/>
          <w:bCs/>
          <w:iCs/>
          <w:sz w:val="24"/>
          <w:szCs w:val="24"/>
        </w:rPr>
        <w:t xml:space="preserve">by improving our understanding of </w:t>
      </w:r>
      <w:r w:rsidRPr="005A566B">
        <w:rPr>
          <w:rFonts w:ascii="Arial" w:hAnsi="Arial" w:cs="Arial"/>
          <w:bCs/>
          <w:iCs/>
          <w:sz w:val="24"/>
          <w:szCs w:val="24"/>
          <w:lang w:val="en-US"/>
        </w:rPr>
        <w:t>how the</w:t>
      </w:r>
      <w:r w:rsidRPr="005A566B">
        <w:rPr>
          <w:rFonts w:ascii="Arial" w:hAnsi="Arial" w:cs="Arial"/>
          <w:bCs/>
          <w:iCs/>
          <w:sz w:val="24"/>
          <w:szCs w:val="24"/>
        </w:rPr>
        <w:t xml:space="preserve"> impact of WCM on ﬁ</w:t>
      </w:r>
      <w:r w:rsidR="008B0D28" w:rsidRPr="005A566B">
        <w:rPr>
          <w:rFonts w:ascii="Arial" w:hAnsi="Arial" w:cs="Arial"/>
          <w:bCs/>
          <w:iCs/>
          <w:sz w:val="24"/>
          <w:szCs w:val="24"/>
        </w:rPr>
        <w:t xml:space="preserve">nancial </w:t>
      </w:r>
      <w:r w:rsidRPr="005A566B">
        <w:rPr>
          <w:rFonts w:ascii="Arial" w:hAnsi="Arial" w:cs="Arial"/>
          <w:bCs/>
          <w:iCs/>
          <w:sz w:val="24"/>
          <w:szCs w:val="24"/>
        </w:rPr>
        <w:t>performance changes under different conditions. While</w:t>
      </w:r>
      <w:r w:rsidR="00515FD2" w:rsidRPr="005A566B">
        <w:rPr>
          <w:rFonts w:ascii="Arial" w:hAnsi="Arial" w:cs="Arial"/>
          <w:bCs/>
          <w:iCs/>
          <w:sz w:val="24"/>
          <w:szCs w:val="24"/>
        </w:rPr>
        <w:t xml:space="preserve"> prior studies provide</w:t>
      </w:r>
      <w:r w:rsidRPr="005A566B">
        <w:rPr>
          <w:rFonts w:ascii="Arial" w:hAnsi="Arial" w:cs="Arial"/>
          <w:bCs/>
          <w:iCs/>
          <w:sz w:val="24"/>
          <w:szCs w:val="24"/>
        </w:rPr>
        <w:t xml:space="preserve"> extensive empirical evidence on the impact of </w:t>
      </w:r>
      <w:r w:rsidRPr="005A566B">
        <w:rPr>
          <w:rFonts w:ascii="Arial" w:hAnsi="Arial" w:cs="Arial"/>
          <w:bCs/>
          <w:iCs/>
          <w:sz w:val="24"/>
          <w:szCs w:val="24"/>
        </w:rPr>
        <w:lastRenderedPageBreak/>
        <w:t xml:space="preserve">WCM on </w:t>
      </w:r>
      <w:r w:rsidR="008B0D28" w:rsidRPr="005A566B">
        <w:rPr>
          <w:rFonts w:ascii="Arial" w:hAnsi="Arial" w:cs="Arial"/>
          <w:bCs/>
          <w:iCs/>
          <w:sz w:val="24"/>
          <w:szCs w:val="24"/>
        </w:rPr>
        <w:t xml:space="preserve">financial </w:t>
      </w:r>
      <w:r w:rsidR="00515FD2" w:rsidRPr="005A566B">
        <w:rPr>
          <w:rFonts w:ascii="Arial" w:hAnsi="Arial" w:cs="Arial"/>
          <w:bCs/>
          <w:iCs/>
          <w:sz w:val="24"/>
          <w:szCs w:val="24"/>
        </w:rPr>
        <w:t xml:space="preserve">performance, there </w:t>
      </w:r>
      <w:r w:rsidR="00580282" w:rsidRPr="005A566B">
        <w:rPr>
          <w:rFonts w:ascii="Arial" w:hAnsi="Arial" w:cs="Arial"/>
          <w:bCs/>
          <w:iCs/>
          <w:sz w:val="24"/>
          <w:szCs w:val="24"/>
        </w:rPr>
        <w:t>is no</w:t>
      </w:r>
      <w:r w:rsidRPr="005A566B">
        <w:rPr>
          <w:rFonts w:ascii="Arial" w:hAnsi="Arial" w:cs="Arial"/>
          <w:bCs/>
          <w:iCs/>
          <w:sz w:val="24"/>
          <w:szCs w:val="24"/>
        </w:rPr>
        <w:t xml:space="preserve"> evidence to demonstrate how the firms’ ability to enhance </w:t>
      </w:r>
      <w:r w:rsidR="008B0D28" w:rsidRPr="005A566B">
        <w:rPr>
          <w:rFonts w:ascii="Arial" w:hAnsi="Arial" w:cs="Arial"/>
          <w:bCs/>
          <w:iCs/>
          <w:sz w:val="24"/>
          <w:szCs w:val="24"/>
        </w:rPr>
        <w:t xml:space="preserve">financial </w:t>
      </w:r>
      <w:r w:rsidRPr="005A566B">
        <w:rPr>
          <w:rFonts w:ascii="Arial" w:hAnsi="Arial" w:cs="Arial"/>
          <w:bCs/>
          <w:iCs/>
          <w:sz w:val="24"/>
          <w:szCs w:val="24"/>
        </w:rPr>
        <w:t xml:space="preserve">performance through investment in working capital is influenced by contingent factors such as environmental, resource and management capabilities of the firm. We </w:t>
      </w:r>
      <w:r w:rsidR="00515FD2" w:rsidRPr="005A566B">
        <w:rPr>
          <w:rFonts w:ascii="Arial" w:hAnsi="Arial" w:cs="Arial"/>
          <w:bCs/>
          <w:iCs/>
          <w:sz w:val="24"/>
          <w:szCs w:val="24"/>
        </w:rPr>
        <w:t xml:space="preserve">suggest </w:t>
      </w:r>
      <w:r w:rsidRPr="005A566B">
        <w:rPr>
          <w:rFonts w:ascii="Arial" w:hAnsi="Arial" w:cs="Arial"/>
          <w:bCs/>
          <w:iCs/>
          <w:sz w:val="24"/>
          <w:szCs w:val="24"/>
        </w:rPr>
        <w:t xml:space="preserve">that </w:t>
      </w:r>
      <w:r w:rsidR="00515FD2" w:rsidRPr="005A566B">
        <w:rPr>
          <w:rFonts w:ascii="Arial" w:hAnsi="Arial" w:cs="Arial"/>
          <w:bCs/>
          <w:iCs/>
          <w:sz w:val="24"/>
          <w:szCs w:val="24"/>
        </w:rPr>
        <w:t xml:space="preserve">the relationship between </w:t>
      </w:r>
      <w:r w:rsidRPr="005A566B">
        <w:rPr>
          <w:rFonts w:ascii="Arial" w:hAnsi="Arial" w:cs="Arial"/>
          <w:bCs/>
          <w:iCs/>
          <w:sz w:val="24"/>
          <w:szCs w:val="24"/>
        </w:rPr>
        <w:t xml:space="preserve">WCM </w:t>
      </w:r>
      <w:r w:rsidR="00515FD2" w:rsidRPr="005A566B">
        <w:rPr>
          <w:rFonts w:ascii="Arial" w:hAnsi="Arial" w:cs="Arial"/>
          <w:bCs/>
          <w:iCs/>
          <w:sz w:val="24"/>
          <w:szCs w:val="24"/>
        </w:rPr>
        <w:t xml:space="preserve">and firms’ </w:t>
      </w:r>
      <w:r w:rsidR="00C421D3" w:rsidRPr="005A566B">
        <w:rPr>
          <w:rFonts w:ascii="Arial" w:hAnsi="Arial" w:cs="Arial"/>
          <w:bCs/>
          <w:iCs/>
          <w:sz w:val="24"/>
          <w:szCs w:val="24"/>
        </w:rPr>
        <w:t>financial performance</w:t>
      </w:r>
      <w:r w:rsidRPr="005A566B">
        <w:rPr>
          <w:rFonts w:ascii="Arial" w:hAnsi="Arial" w:cs="Arial"/>
          <w:bCs/>
          <w:iCs/>
          <w:sz w:val="24"/>
          <w:szCs w:val="24"/>
        </w:rPr>
        <w:t xml:space="preserve"> </w:t>
      </w:r>
      <w:r w:rsidR="00515FD2" w:rsidRPr="005A566B">
        <w:rPr>
          <w:rFonts w:ascii="Arial" w:hAnsi="Arial" w:cs="Arial"/>
          <w:bCs/>
          <w:iCs/>
          <w:sz w:val="24"/>
          <w:szCs w:val="24"/>
        </w:rPr>
        <w:t xml:space="preserve">should </w:t>
      </w:r>
      <w:r w:rsidR="008B0D28" w:rsidRPr="005A566B">
        <w:rPr>
          <w:rFonts w:ascii="Arial" w:hAnsi="Arial" w:cs="Arial"/>
          <w:bCs/>
          <w:iCs/>
          <w:sz w:val="24"/>
          <w:szCs w:val="24"/>
        </w:rPr>
        <w:t xml:space="preserve">be </w:t>
      </w:r>
      <w:r w:rsidR="00515FD2" w:rsidRPr="005A566B">
        <w:rPr>
          <w:rFonts w:ascii="Arial" w:hAnsi="Arial" w:cs="Arial"/>
          <w:bCs/>
          <w:iCs/>
          <w:sz w:val="24"/>
          <w:szCs w:val="24"/>
        </w:rPr>
        <w:t>understood</w:t>
      </w:r>
      <w:r w:rsidRPr="005A566B">
        <w:rPr>
          <w:rFonts w:ascii="Arial" w:hAnsi="Arial" w:cs="Arial"/>
          <w:bCs/>
          <w:iCs/>
          <w:sz w:val="24"/>
          <w:szCs w:val="24"/>
        </w:rPr>
        <w:t xml:space="preserve"> in the context these firm-specific characteristics. That is</w:t>
      </w:r>
      <w:r w:rsidR="008B0D28" w:rsidRPr="005A566B">
        <w:rPr>
          <w:rFonts w:ascii="Arial" w:hAnsi="Arial" w:cs="Arial"/>
          <w:bCs/>
          <w:iCs/>
          <w:sz w:val="24"/>
          <w:szCs w:val="24"/>
        </w:rPr>
        <w:t>,</w:t>
      </w:r>
      <w:r w:rsidRPr="005A566B">
        <w:rPr>
          <w:rFonts w:ascii="Arial" w:hAnsi="Arial" w:cs="Arial"/>
          <w:bCs/>
          <w:iCs/>
          <w:sz w:val="24"/>
          <w:szCs w:val="24"/>
        </w:rPr>
        <w:t xml:space="preserve"> the contingency framework helps to provide an understanding </w:t>
      </w:r>
      <w:r w:rsidR="008B0D28" w:rsidRPr="005A566B">
        <w:rPr>
          <w:rFonts w:ascii="Arial" w:hAnsi="Arial" w:cs="Arial"/>
          <w:bCs/>
          <w:iCs/>
          <w:sz w:val="24"/>
          <w:szCs w:val="24"/>
        </w:rPr>
        <w:t xml:space="preserve">about </w:t>
      </w:r>
      <w:r w:rsidRPr="005A566B">
        <w:rPr>
          <w:rFonts w:ascii="Arial" w:hAnsi="Arial" w:cs="Arial"/>
          <w:bCs/>
          <w:iCs/>
          <w:sz w:val="24"/>
          <w:szCs w:val="24"/>
        </w:rPr>
        <w:t>the conditions under which investment in working capital can be an effective tool in enhancing firms</w:t>
      </w:r>
      <w:r w:rsidR="008B0D28" w:rsidRPr="005A566B">
        <w:rPr>
          <w:rFonts w:ascii="Arial" w:hAnsi="Arial" w:cs="Arial"/>
          <w:bCs/>
          <w:iCs/>
          <w:sz w:val="24"/>
          <w:szCs w:val="24"/>
        </w:rPr>
        <w:t>’ financial</w:t>
      </w:r>
      <w:r w:rsidRPr="005A566B">
        <w:rPr>
          <w:rFonts w:ascii="Arial" w:hAnsi="Arial" w:cs="Arial"/>
          <w:bCs/>
          <w:iCs/>
          <w:sz w:val="24"/>
          <w:szCs w:val="24"/>
        </w:rPr>
        <w:t xml:space="preserve"> performance and which contingencies enhance or constrain firms’ ability to achieve this objective.</w:t>
      </w:r>
    </w:p>
    <w:p w14:paraId="153D17F1" w14:textId="234B0B44" w:rsidR="00746E83" w:rsidRPr="005A566B" w:rsidRDefault="000C667D" w:rsidP="00515FD2">
      <w:pPr>
        <w:spacing w:after="0" w:line="360" w:lineRule="auto"/>
        <w:ind w:firstLine="720"/>
        <w:jc w:val="both"/>
        <w:rPr>
          <w:rFonts w:ascii="Arial" w:hAnsi="Arial" w:cs="Arial"/>
          <w:bCs/>
          <w:iCs/>
          <w:sz w:val="24"/>
          <w:szCs w:val="24"/>
        </w:rPr>
      </w:pPr>
      <w:r w:rsidRPr="005A566B">
        <w:rPr>
          <w:rFonts w:ascii="Arial" w:hAnsi="Arial" w:cs="Arial"/>
          <w:bCs/>
          <w:iCs/>
          <w:sz w:val="24"/>
          <w:szCs w:val="24"/>
        </w:rPr>
        <w:t xml:space="preserve"> </w:t>
      </w:r>
      <w:r w:rsidR="00515FD2" w:rsidRPr="005A566B">
        <w:rPr>
          <w:rFonts w:ascii="Arial" w:hAnsi="Arial" w:cs="Arial"/>
          <w:bCs/>
          <w:iCs/>
          <w:sz w:val="24"/>
          <w:szCs w:val="24"/>
        </w:rPr>
        <w:t xml:space="preserve">The results also </w:t>
      </w:r>
      <w:r w:rsidR="00515FD2" w:rsidRPr="005A566B">
        <w:rPr>
          <w:rFonts w:ascii="Arial" w:hAnsi="Arial" w:cs="Arial"/>
          <w:bCs/>
          <w:iCs/>
          <w:sz w:val="24"/>
          <w:szCs w:val="24"/>
          <w:lang w:val="en-US"/>
        </w:rPr>
        <w:t>contribute</w:t>
      </w:r>
      <w:r w:rsidRPr="005A566B">
        <w:rPr>
          <w:rFonts w:ascii="Arial" w:hAnsi="Arial" w:cs="Arial"/>
          <w:bCs/>
          <w:iCs/>
          <w:sz w:val="24"/>
          <w:szCs w:val="24"/>
          <w:lang w:val="en-US"/>
        </w:rPr>
        <w:t xml:space="preserve"> to the </w:t>
      </w:r>
      <w:r w:rsidR="00515FD2" w:rsidRPr="005A566B">
        <w:rPr>
          <w:rFonts w:ascii="Arial" w:hAnsi="Arial" w:cs="Arial"/>
          <w:bCs/>
          <w:iCs/>
          <w:sz w:val="24"/>
          <w:szCs w:val="24"/>
          <w:lang w:val="en-US"/>
        </w:rPr>
        <w:t>dearth of</w:t>
      </w:r>
      <w:r w:rsidRPr="005A566B">
        <w:rPr>
          <w:rFonts w:ascii="Arial" w:hAnsi="Arial" w:cs="Arial"/>
          <w:bCs/>
          <w:iCs/>
          <w:sz w:val="24"/>
          <w:szCs w:val="24"/>
          <w:lang w:val="en-US"/>
        </w:rPr>
        <w:t xml:space="preserve"> research evidence on the relationship between WCM and </w:t>
      </w:r>
      <w:r w:rsidR="008B0D28" w:rsidRPr="005A566B">
        <w:rPr>
          <w:rFonts w:ascii="Arial" w:hAnsi="Arial" w:cs="Arial"/>
          <w:bCs/>
          <w:iCs/>
          <w:sz w:val="24"/>
          <w:szCs w:val="24"/>
          <w:lang w:val="en-US"/>
        </w:rPr>
        <w:t xml:space="preserve">financial </w:t>
      </w:r>
      <w:r w:rsidRPr="005A566B">
        <w:rPr>
          <w:rFonts w:ascii="Arial" w:hAnsi="Arial" w:cs="Arial"/>
          <w:bCs/>
          <w:iCs/>
          <w:sz w:val="24"/>
          <w:szCs w:val="24"/>
          <w:lang w:val="en-US"/>
        </w:rPr>
        <w:t>performance in the UK</w:t>
      </w:r>
      <w:r w:rsidR="008B0D28" w:rsidRPr="005A566B">
        <w:rPr>
          <w:rFonts w:ascii="Arial" w:hAnsi="Arial" w:cs="Arial"/>
          <w:bCs/>
          <w:iCs/>
          <w:sz w:val="24"/>
          <w:szCs w:val="24"/>
          <w:lang w:val="en-US"/>
        </w:rPr>
        <w:t>.</w:t>
      </w:r>
      <w:r w:rsidRPr="005A566B">
        <w:rPr>
          <w:rFonts w:ascii="Arial" w:hAnsi="Arial" w:cs="Arial"/>
          <w:bCs/>
          <w:iCs/>
          <w:sz w:val="24"/>
          <w:szCs w:val="24"/>
          <w:lang w:val="en-US"/>
        </w:rPr>
        <w:t xml:space="preserve"> </w:t>
      </w:r>
      <w:r w:rsidRPr="005A566B">
        <w:rPr>
          <w:rFonts w:ascii="Arial" w:hAnsi="Arial" w:cs="Arial"/>
          <w:bCs/>
          <w:iCs/>
          <w:sz w:val="24"/>
          <w:szCs w:val="24"/>
        </w:rPr>
        <w:t xml:space="preserve">The few existing studies </w:t>
      </w:r>
      <w:r w:rsidR="00EE29BC" w:rsidRPr="005A566B">
        <w:rPr>
          <w:rFonts w:ascii="Arial" w:hAnsi="Arial" w:cs="Arial"/>
          <w:bCs/>
          <w:iCs/>
          <w:sz w:val="24"/>
          <w:szCs w:val="24"/>
        </w:rPr>
        <w:fldChar w:fldCharType="begin" w:fldLock="1"/>
      </w:r>
      <w:r w:rsidR="00580282" w:rsidRPr="005A566B">
        <w:rPr>
          <w:rFonts w:ascii="Arial" w:hAnsi="Arial" w:cs="Arial"/>
          <w:bCs/>
          <w:iCs/>
          <w:sz w:val="24"/>
          <w:szCs w:val="24"/>
        </w:rPr>
        <w:instrText>ADDIN CSL_CITATION { "citationItems" : [ { "id" : "ITEM-1", "itemData" : { "DOI" : "10.1016/S1044-5005(03)00022-2", "ISBN" : "10445005", "ISSN" : "10445005", "abstract" : "Working capital management routines of a large random sample of small companies in the UK are examined. Considerable variability in the take-up of 11 working capital management routines was detected. Principal components analysis and cluster analysis confirm the identification of four distinct 'types' of companies with regard to patterns of working capital management. The first three 'types' of companies focused upon cash management, stock or debtors routines respectively, whilst the fourth 'type' were less likely to take-up any working capital management routines. Influences on the amount and focus of working capital management are discussed. Multinomial logistic regression analysis suggests that the selected independent variables successfully discriminated between the four 'types' of companies. The results suggest that small companies focus only on areas of working capital management where they expect to improve marginal returns. The difficulties of establishing causality are highlighted and implications for academics, policy-makers and practitioners are reported. \u00a9 2003 Elsevier Science Ltd. All rights reserved.", "author" : [ { "dropping-particle" : "", "family" : "Howorth", "given" : "Carole", "non-dropping-particle" : "", "parse-names" : false, "suffix" : "" }, { "dropping-particle" : "", "family" : "Westhead", "given" : "Paul", "non-dropping-particle" : "", "parse-names" : false, "suffix" : "" } ], "container-title" : "Management Accounting Research", "id" : "ITEM-1", "issue" : "2", "issued" : { "date-parts" : [ [ "2003" ] ] }, "page" : "94-111", "title" : "The focus of working capital management in UK small firms", "type" : "article", "volume" : "14" }, "uris" : [ "http://www.mendeley.com/documents/?uuid=335d1b84-048d-4c3d-9349-c2b65d042f60" ] }, { "id" : "ITEM-2", "itemData" : { "DOI" : "10.1108/jsbed-12-2011-0029", "ISBN" : "14626004", "ISSN" : "1462-6004", "PMID" : "1428881529", "abstract" : "Purpose - This paper aims to report the results of an investigation of the relative importance of working capital management, measured by the cash conversion cycle (CCC), and its components (inventory, accounts receivable and accounts payable) to the profitability of SMEs. Design/methodology/approach - The paper employs panel data regression analysis and a questionnaire survey on a sample of 133 Alternative Investment Market (AIM) listed SMEs. The panel data analysis utilises financial data for the period 2005 to 2009. The questionnaire survey results are based on 19 SMEs that responded. Findings - Panel data analysis results show that the management of accounts payable (AP) and accounts receivable (AR) is important for SMEs profitability. However, AP management is relatively more important than AR management. Inventory (INV) and CCC management is not important for SMEs profitability. Questionnaire results suggest that management of CCC and all its components is perceived as important for SMEs profitability. In terms of relative importance, AR management is most important, followed by AP, INV and CCC respectively. Research limitations/implications - The sample is limited to AIM listed SMEs, and therefore the findings cannot be generalised to all companies. Practical implications - Overall the results imply that the SMEs need to concentrate their limited resources on managing AR and AP in order to be more profitable. Originality/value - The study is the first to investigate the relative importance of WCM and its components to SMEs profitability and use both regression analysis and questionnaire survey.", "author" : [ { "dropping-particle" : "", "family" : "Tauringana", "given" : "Venancio", "non-dropping-particle" : "", "parse-names" : false, "suffix" : "" }, { "dropping-particle" : "", "family" : "Godfred Adjapong", "given" : "Afrifa", "non-dropping-particle" : "", "parse-names" : false, "suffix" : "" } ], "container-title" : "Journal of Small Business and Enterprise Development", "id" : "ITEM-2", "issue" : "3", "issued" : { "date-parts" : [ [ "2013" ] ] }, "page" : "453-469", "title" : "The relative importance of working capital management and its components to SMEs' profitability", "type" : "article-journal", "volume" : "20" }, "uris" : [ "http://www.mendeley.com/documents/?uuid=654362ec-e01b-4380-af80-1c7c73c64f0f" ] }, { "id" : "ITEM-3", "itemData" : { "author" : [ { "dropping-particle" : "", "family" : "Afrifa, G;Tingbani", "given" : "Ishmael", "non-dropping-particle" : "", "parse-names" : false, "suffix" : "" } ], "container-title" : "Int. J. Banking, Accounting and Finance,", "id" : "ITEM-3", "issue" : "1", "issued" : { "date-parts" : [ [ "2018" ] ] }, "title" : "Working capital management , cash flow and SMEs \u2019 performance", "type" : "article-journal", "volume" : "9" }, "uris" : [ "http://www.mendeley.com/documents/?uuid=3f7851ab-f46b-42eb-b70f-850bb79cfdfe" ] } ], "mendeley" : { "formattedCitation" : "(Howorth and Westhead, 2003; Tauringana and Godfred Adjapong, 2013; Afrifa, G;Tingbani, 2018)", "manualFormatting" : "(Howorth &amp; Westhead 2003; Tauringana &amp; Afrifa 2013)", "plainTextFormattedCitation" : "(Howorth and Westhead, 2003; Tauringana and Godfred Adjapong, 2013; Afrifa, G;Tingbani, 2018)", "previouslyFormattedCitation" : "(Howorth and Westhead, 2003; Tauringana and Godfred Adjapong, 2013; Afrifa, G;Tingbani, 2018)" }, "properties" : {  }, "schema" : "https://github.com/citation-style-language/schema/raw/master/csl-citation.json" }</w:instrText>
      </w:r>
      <w:r w:rsidR="00EE29BC" w:rsidRPr="005A566B">
        <w:rPr>
          <w:rFonts w:ascii="Arial" w:hAnsi="Arial" w:cs="Arial"/>
          <w:bCs/>
          <w:iCs/>
          <w:sz w:val="24"/>
          <w:szCs w:val="24"/>
        </w:rPr>
        <w:fldChar w:fldCharType="separate"/>
      </w:r>
      <w:r w:rsidR="00EE29BC" w:rsidRPr="005A566B">
        <w:rPr>
          <w:rFonts w:ascii="Arial" w:hAnsi="Arial" w:cs="Arial"/>
          <w:bCs/>
          <w:iCs/>
          <w:noProof/>
          <w:sz w:val="24"/>
          <w:szCs w:val="24"/>
        </w:rPr>
        <w:t xml:space="preserve">(Howorth </w:t>
      </w:r>
      <w:r w:rsidR="00EE29BC" w:rsidRPr="005A566B">
        <w:rPr>
          <w:rFonts w:ascii="Arial" w:hAnsi="Arial" w:cs="Arial"/>
          <w:bCs/>
          <w:iCs/>
          <w:noProof/>
          <w:sz w:val="24"/>
          <w:szCs w:val="24"/>
        </w:rPr>
        <w:lastRenderedPageBreak/>
        <w:t xml:space="preserve">&amp; Westhead 2003; </w:t>
      </w:r>
      <w:r w:rsidR="00075545" w:rsidRPr="005A566B">
        <w:rPr>
          <w:rFonts w:ascii="Arial" w:hAnsi="Arial" w:cs="Arial"/>
          <w:bCs/>
          <w:iCs/>
          <w:noProof/>
          <w:sz w:val="24"/>
          <w:szCs w:val="24"/>
        </w:rPr>
        <w:t>Afrifa et. al., 2015;</w:t>
      </w:r>
      <w:r w:rsidR="00EE29BC" w:rsidRPr="005A566B">
        <w:rPr>
          <w:rFonts w:ascii="Arial" w:hAnsi="Arial" w:cs="Arial"/>
          <w:bCs/>
          <w:iCs/>
          <w:noProof/>
          <w:sz w:val="24"/>
          <w:szCs w:val="24"/>
        </w:rPr>
        <w:t>Tauringana &amp; Afrifa 2013)</w:t>
      </w:r>
      <w:r w:rsidR="00EE29BC" w:rsidRPr="005A566B">
        <w:rPr>
          <w:rFonts w:ascii="Arial" w:hAnsi="Arial" w:cs="Arial"/>
          <w:bCs/>
          <w:iCs/>
          <w:sz w:val="24"/>
          <w:szCs w:val="24"/>
        </w:rPr>
        <w:fldChar w:fldCharType="end"/>
      </w:r>
      <w:r w:rsidR="00EE29BC" w:rsidRPr="00E92D44">
        <w:rPr>
          <w:rFonts w:ascii="Arial" w:hAnsi="Arial" w:cs="Arial"/>
          <w:bCs/>
          <w:iCs/>
          <w:sz w:val="24"/>
          <w:szCs w:val="24"/>
        </w:rPr>
        <w:t xml:space="preserve"> </w:t>
      </w:r>
      <w:r w:rsidRPr="005A566B">
        <w:rPr>
          <w:rFonts w:ascii="Arial" w:hAnsi="Arial" w:cs="Arial"/>
          <w:bCs/>
          <w:iCs/>
          <w:sz w:val="24"/>
          <w:szCs w:val="24"/>
        </w:rPr>
        <w:t xml:space="preserve">that have investigated this area have primarily focused on smaller firms. The results in respect of large companies may be different to those reported in respect of smaller companies given that large firms tend to use their market power to exploit their ‘dominant' positions as buyers in competitive supply markets by taking ‘extended' trade credit and thus leveraging their profit and cash-flow.  </w:t>
      </w:r>
    </w:p>
    <w:p w14:paraId="63CC328B" w14:textId="640C9636" w:rsidR="009E0B32" w:rsidRPr="005A566B" w:rsidRDefault="000C667D" w:rsidP="00381A1F">
      <w:pPr>
        <w:spacing w:after="0" w:line="360" w:lineRule="auto"/>
        <w:ind w:firstLine="720"/>
        <w:jc w:val="both"/>
        <w:rPr>
          <w:rFonts w:ascii="Arial" w:hAnsi="Arial" w:cs="Arial"/>
          <w:bCs/>
          <w:iCs/>
          <w:sz w:val="24"/>
          <w:szCs w:val="24"/>
        </w:rPr>
      </w:pPr>
      <w:r w:rsidRPr="005A566B">
        <w:rPr>
          <w:rFonts w:ascii="Arial" w:hAnsi="Arial" w:cs="Arial"/>
          <w:bCs/>
          <w:iCs/>
          <w:sz w:val="24"/>
          <w:szCs w:val="24"/>
        </w:rPr>
        <w:t xml:space="preserve">These results should, however, be interpreted in the light of a number of limitations. For example, the study sample is limited to non-financial companies listed on London stock exchange. As a result, we caution scholars against generalisation using the findings of this paper. Further, the study relied on only one measure for each of the three key contingent variables (environment, resources and management). It is possible that </w:t>
      </w:r>
      <w:r w:rsidRPr="005A566B">
        <w:rPr>
          <w:rFonts w:ascii="Arial" w:hAnsi="Arial" w:cs="Arial"/>
          <w:bCs/>
          <w:iCs/>
          <w:sz w:val="24"/>
          <w:szCs w:val="24"/>
        </w:rPr>
        <w:lastRenderedPageBreak/>
        <w:t xml:space="preserve">the use of different measures of the three contingent variables may yield different results. </w:t>
      </w:r>
    </w:p>
    <w:p w14:paraId="51EB8675" w14:textId="77777777" w:rsidR="006412CA" w:rsidRPr="005A566B" w:rsidRDefault="006412CA" w:rsidP="00381A1F">
      <w:pPr>
        <w:spacing w:after="0" w:line="360" w:lineRule="auto"/>
        <w:ind w:firstLine="720"/>
        <w:jc w:val="both"/>
        <w:rPr>
          <w:rFonts w:ascii="Arial" w:hAnsi="Arial" w:cs="Arial"/>
          <w:bCs/>
          <w:iCs/>
          <w:sz w:val="24"/>
          <w:szCs w:val="24"/>
        </w:rPr>
      </w:pPr>
    </w:p>
    <w:p w14:paraId="53922579" w14:textId="77777777" w:rsidR="006412CA" w:rsidRPr="005A566B" w:rsidRDefault="006412CA" w:rsidP="00381A1F">
      <w:pPr>
        <w:spacing w:after="0" w:line="360" w:lineRule="auto"/>
        <w:ind w:firstLine="720"/>
        <w:jc w:val="both"/>
        <w:rPr>
          <w:rFonts w:ascii="Arial" w:hAnsi="Arial" w:cs="Arial"/>
          <w:bCs/>
          <w:iCs/>
          <w:sz w:val="24"/>
          <w:szCs w:val="24"/>
        </w:rPr>
      </w:pPr>
    </w:p>
    <w:p w14:paraId="2BBBEEF7" w14:textId="77777777" w:rsidR="00381A1F" w:rsidRPr="005A566B" w:rsidRDefault="00381A1F" w:rsidP="00381A1F">
      <w:pPr>
        <w:spacing w:after="0" w:line="360" w:lineRule="auto"/>
        <w:ind w:firstLine="720"/>
        <w:jc w:val="both"/>
        <w:rPr>
          <w:rFonts w:ascii="Arial" w:hAnsi="Arial" w:cs="Arial"/>
          <w:bCs/>
          <w:iCs/>
          <w:sz w:val="24"/>
          <w:szCs w:val="24"/>
        </w:rPr>
      </w:pPr>
    </w:p>
    <w:p w14:paraId="63CB45DB" w14:textId="77777777" w:rsidR="00EE29BC" w:rsidRPr="005A566B" w:rsidRDefault="00EE29BC" w:rsidP="000C667D">
      <w:pPr>
        <w:spacing w:line="480" w:lineRule="auto"/>
        <w:jc w:val="both"/>
        <w:rPr>
          <w:rFonts w:ascii="Arial" w:hAnsi="Arial" w:cs="Arial"/>
          <w:b/>
          <w:bCs/>
          <w:iCs/>
          <w:sz w:val="24"/>
          <w:szCs w:val="24"/>
        </w:rPr>
      </w:pPr>
      <w:r w:rsidRPr="005A566B">
        <w:rPr>
          <w:rFonts w:ascii="Arial" w:hAnsi="Arial" w:cs="Arial"/>
          <w:b/>
          <w:bCs/>
          <w:iCs/>
          <w:sz w:val="24"/>
          <w:szCs w:val="24"/>
        </w:rPr>
        <w:t>References:</w:t>
      </w:r>
    </w:p>
    <w:p w14:paraId="5D189EAF" w14:textId="7D9FC83F" w:rsidR="00027747" w:rsidRPr="005A566B" w:rsidRDefault="00EE29BC" w:rsidP="00027747">
      <w:pPr>
        <w:widowControl w:val="0"/>
        <w:autoSpaceDE w:val="0"/>
        <w:autoSpaceDN w:val="0"/>
        <w:adjustRightInd w:val="0"/>
        <w:spacing w:line="240" w:lineRule="auto"/>
        <w:rPr>
          <w:rFonts w:ascii="Arial" w:hAnsi="Arial" w:cs="Arial"/>
          <w:noProof/>
          <w:sz w:val="24"/>
          <w:szCs w:val="24"/>
        </w:rPr>
      </w:pPr>
      <w:r w:rsidRPr="00E92D44">
        <w:rPr>
          <w:rFonts w:ascii="Arial" w:hAnsi="Arial" w:cs="Arial"/>
          <w:bCs/>
          <w:iCs/>
          <w:sz w:val="24"/>
          <w:szCs w:val="24"/>
        </w:rPr>
        <w:fldChar w:fldCharType="begin" w:fldLock="1"/>
      </w:r>
      <w:r w:rsidRPr="005A566B">
        <w:rPr>
          <w:rFonts w:ascii="Arial" w:hAnsi="Arial" w:cs="Arial"/>
          <w:bCs/>
          <w:iCs/>
          <w:sz w:val="24"/>
          <w:szCs w:val="24"/>
        </w:rPr>
        <w:instrText xml:space="preserve">ADDIN Mendeley Bibliography CSL_BIBLIOGRAPHY </w:instrText>
      </w:r>
      <w:r w:rsidRPr="00E92D44">
        <w:rPr>
          <w:rFonts w:ascii="Arial" w:hAnsi="Arial" w:cs="Arial"/>
          <w:bCs/>
          <w:iCs/>
          <w:sz w:val="24"/>
          <w:szCs w:val="24"/>
        </w:rPr>
        <w:fldChar w:fldCharType="separate"/>
      </w:r>
      <w:r w:rsidR="00027747" w:rsidRPr="005A566B">
        <w:rPr>
          <w:rFonts w:ascii="Arial" w:hAnsi="Arial" w:cs="Arial"/>
          <w:noProof/>
          <w:sz w:val="24"/>
          <w:szCs w:val="24"/>
        </w:rPr>
        <w:t xml:space="preserve">Adams, R. B., Almeida, H. and Ferreira, D. (2005) ‘Powerful CEOs and their impact on corporate performance’, </w:t>
      </w:r>
      <w:r w:rsidR="00027747" w:rsidRPr="005A566B">
        <w:rPr>
          <w:rFonts w:ascii="Arial" w:hAnsi="Arial" w:cs="Arial"/>
          <w:i/>
          <w:iCs/>
          <w:noProof/>
          <w:sz w:val="24"/>
          <w:szCs w:val="24"/>
        </w:rPr>
        <w:t>Review of Financial Studies</w:t>
      </w:r>
      <w:r w:rsidR="00027747" w:rsidRPr="005A566B">
        <w:rPr>
          <w:rFonts w:ascii="Arial" w:hAnsi="Arial" w:cs="Arial"/>
          <w:noProof/>
          <w:sz w:val="24"/>
          <w:szCs w:val="24"/>
        </w:rPr>
        <w:t>, pp. 1403–1432. doi: 10.1093/rfs/hhi030.</w:t>
      </w:r>
    </w:p>
    <w:p w14:paraId="148C966A"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Afrifa, G;Tingbani, I. (2018) ‘Working capital management , cash flow and SMEs ’ performance’, </w:t>
      </w:r>
      <w:r w:rsidRPr="005A566B">
        <w:rPr>
          <w:rFonts w:ascii="Arial" w:hAnsi="Arial" w:cs="Arial"/>
          <w:i/>
          <w:iCs/>
          <w:noProof/>
          <w:sz w:val="24"/>
          <w:szCs w:val="24"/>
        </w:rPr>
        <w:t>Int. J. Banking, Accounting and Finance,</w:t>
      </w:r>
      <w:r w:rsidRPr="005A566B">
        <w:rPr>
          <w:rFonts w:ascii="Arial" w:hAnsi="Arial" w:cs="Arial"/>
          <w:noProof/>
          <w:sz w:val="24"/>
          <w:szCs w:val="24"/>
        </w:rPr>
        <w:t xml:space="preserve"> 9(1).</w:t>
      </w:r>
    </w:p>
    <w:p w14:paraId="70731721" w14:textId="31EA75E6" w:rsidR="00027747" w:rsidRPr="005A566B" w:rsidRDefault="00075545"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Afrifa, G., Tauringana, V. and Tingbani, I., 2015. 'Working capital management and </w:t>
      </w:r>
      <w:r w:rsidRPr="005A566B">
        <w:rPr>
          <w:rFonts w:ascii="Arial" w:hAnsi="Arial" w:cs="Arial"/>
          <w:noProof/>
          <w:sz w:val="24"/>
          <w:szCs w:val="24"/>
        </w:rPr>
        <w:lastRenderedPageBreak/>
        <w:t>performance of listed SMEs'. </w:t>
      </w:r>
      <w:r w:rsidRPr="005A566B">
        <w:rPr>
          <w:rFonts w:ascii="Arial" w:hAnsi="Arial" w:cs="Arial"/>
          <w:i/>
          <w:iCs/>
          <w:noProof/>
          <w:sz w:val="24"/>
          <w:szCs w:val="24"/>
        </w:rPr>
        <w:t>Journal of Small Business &amp; Entrepreneurship</w:t>
      </w:r>
      <w:r w:rsidRPr="005A566B">
        <w:rPr>
          <w:rFonts w:ascii="Arial" w:hAnsi="Arial" w:cs="Arial"/>
          <w:noProof/>
          <w:sz w:val="24"/>
          <w:szCs w:val="24"/>
        </w:rPr>
        <w:t>, 27 (6)</w:t>
      </w:r>
      <w:r w:rsidR="00027747" w:rsidRPr="005A566B">
        <w:rPr>
          <w:rFonts w:ascii="Arial" w:hAnsi="Arial" w:cs="Arial"/>
          <w:noProof/>
          <w:sz w:val="24"/>
          <w:szCs w:val="24"/>
        </w:rPr>
        <w:t>.</w:t>
      </w:r>
    </w:p>
    <w:p w14:paraId="0A4B36CA"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Afrifa, G. A. and Gyapong, E. (2017) ‘Net trade credit: what are the determinants?’, </w:t>
      </w:r>
      <w:r w:rsidRPr="005A566B">
        <w:rPr>
          <w:rFonts w:ascii="Arial" w:hAnsi="Arial" w:cs="Arial"/>
          <w:i/>
          <w:iCs/>
          <w:noProof/>
          <w:sz w:val="24"/>
          <w:szCs w:val="24"/>
        </w:rPr>
        <w:t>International Journal of Managerial Finance</w:t>
      </w:r>
      <w:r w:rsidRPr="005A566B">
        <w:rPr>
          <w:rFonts w:ascii="Arial" w:hAnsi="Arial" w:cs="Arial"/>
          <w:noProof/>
          <w:sz w:val="24"/>
          <w:szCs w:val="24"/>
        </w:rPr>
        <w:t>, 13(3), pp. 246–266. doi: 10.1108/IJMF-12-2015-0222.</w:t>
      </w:r>
    </w:p>
    <w:p w14:paraId="0281A925"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Aktas, N., Croci, E. and Petmezas, D. (2015) ‘Is working capital management value-enhancing? Evidence from firm performance and investments’, </w:t>
      </w:r>
      <w:r w:rsidRPr="005A566B">
        <w:rPr>
          <w:rFonts w:ascii="Arial" w:hAnsi="Arial" w:cs="Arial"/>
          <w:i/>
          <w:iCs/>
          <w:noProof/>
          <w:sz w:val="24"/>
          <w:szCs w:val="24"/>
        </w:rPr>
        <w:t>Journal of Corporate Finance</w:t>
      </w:r>
      <w:r w:rsidRPr="005A566B">
        <w:rPr>
          <w:rFonts w:ascii="Arial" w:hAnsi="Arial" w:cs="Arial"/>
          <w:noProof/>
          <w:sz w:val="24"/>
          <w:szCs w:val="24"/>
        </w:rPr>
        <w:t>, 30, pp. 98–113. doi: 10.1016/j.jcorpfin.2014.12.008.</w:t>
      </w:r>
    </w:p>
    <w:p w14:paraId="4342A80A"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de Almeida, J. R. and Eid, W. (2014) ‘Access to finance, working capital management and company value: Evidences from Brazilian companies listed on BM&amp;FBOVESPA’, </w:t>
      </w:r>
      <w:r w:rsidRPr="005A566B">
        <w:rPr>
          <w:rFonts w:ascii="Arial" w:hAnsi="Arial" w:cs="Arial"/>
          <w:i/>
          <w:iCs/>
          <w:noProof/>
          <w:sz w:val="24"/>
          <w:szCs w:val="24"/>
        </w:rPr>
        <w:t>Journal of Business Research</w:t>
      </w:r>
      <w:r w:rsidRPr="005A566B">
        <w:rPr>
          <w:rFonts w:ascii="Arial" w:hAnsi="Arial" w:cs="Arial"/>
          <w:noProof/>
          <w:sz w:val="24"/>
          <w:szCs w:val="24"/>
        </w:rPr>
        <w:t>, 67(5), pp. 924–934. doi: 10.1016/j.jbusres.2013.07.012.</w:t>
      </w:r>
    </w:p>
    <w:p w14:paraId="6F3558EE"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Ambrosini, V., Bowman, C. and Collier, N. (2009) ‘Dynamic capabilities: An exploration of how firms renew their resource base’, </w:t>
      </w:r>
      <w:r w:rsidRPr="005A566B">
        <w:rPr>
          <w:rFonts w:ascii="Arial" w:hAnsi="Arial" w:cs="Arial"/>
          <w:i/>
          <w:iCs/>
          <w:noProof/>
          <w:sz w:val="24"/>
          <w:szCs w:val="24"/>
        </w:rPr>
        <w:t>British Journal of Management</w:t>
      </w:r>
      <w:r w:rsidRPr="005A566B">
        <w:rPr>
          <w:rFonts w:ascii="Arial" w:hAnsi="Arial" w:cs="Arial"/>
          <w:noProof/>
          <w:sz w:val="24"/>
          <w:szCs w:val="24"/>
        </w:rPr>
        <w:t>, 20(SUPP. 1). doi: 10.1111/j.1467-8551.2008.00610.x.</w:t>
      </w:r>
    </w:p>
    <w:p w14:paraId="6CA1965F"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Arellano, M. and Bover, O. (1995) ‘Another Look at the Instrumental Variable </w:t>
      </w:r>
      <w:r w:rsidRPr="005A566B">
        <w:rPr>
          <w:rFonts w:ascii="Arial" w:hAnsi="Arial" w:cs="Arial"/>
          <w:noProof/>
          <w:sz w:val="24"/>
          <w:szCs w:val="24"/>
        </w:rPr>
        <w:lastRenderedPageBreak/>
        <w:t xml:space="preserve">Estimation of Error-Component Models’, </w:t>
      </w:r>
      <w:r w:rsidRPr="005A566B">
        <w:rPr>
          <w:rFonts w:ascii="Arial" w:hAnsi="Arial" w:cs="Arial"/>
          <w:i/>
          <w:iCs/>
          <w:noProof/>
          <w:sz w:val="24"/>
          <w:szCs w:val="24"/>
        </w:rPr>
        <w:t>Journal of econometrics</w:t>
      </w:r>
      <w:r w:rsidRPr="005A566B">
        <w:rPr>
          <w:rFonts w:ascii="Arial" w:hAnsi="Arial" w:cs="Arial"/>
          <w:noProof/>
          <w:sz w:val="24"/>
          <w:szCs w:val="24"/>
        </w:rPr>
        <w:t>, 68(1), pp. 29–52. doi: 10.1016/0304-4076(94)01642-D.</w:t>
      </w:r>
    </w:p>
    <w:p w14:paraId="0E12BAB8"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Autukaite, R. and Molay, E. (2011) ‘CASH HOLDINGS , WORKING CAPITAL AND FIRM VALUE: EVIDENCE FROM FRANCE’, </w:t>
      </w:r>
      <w:r w:rsidRPr="005A566B">
        <w:rPr>
          <w:rFonts w:ascii="Arial" w:hAnsi="Arial" w:cs="Arial"/>
          <w:i/>
          <w:iCs/>
          <w:noProof/>
          <w:sz w:val="24"/>
          <w:szCs w:val="24"/>
        </w:rPr>
        <w:t>SSRN Electronic Journal</w:t>
      </w:r>
      <w:r w:rsidRPr="005A566B">
        <w:rPr>
          <w:rFonts w:ascii="Arial" w:hAnsi="Arial" w:cs="Arial"/>
          <w:noProof/>
          <w:sz w:val="24"/>
          <w:szCs w:val="24"/>
        </w:rPr>
        <w:t>, 30, pp. 1–22. doi: 10.2139/ssrn.1836900.</w:t>
      </w:r>
    </w:p>
    <w:p w14:paraId="7F91D039"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Baños-Caballero, S., García-Teruel, P. J. and Martínez-Solano, P. (2010) ‘Working capital management in SMEs’, </w:t>
      </w:r>
      <w:r w:rsidRPr="005A566B">
        <w:rPr>
          <w:rFonts w:ascii="Arial" w:hAnsi="Arial" w:cs="Arial"/>
          <w:i/>
          <w:iCs/>
          <w:noProof/>
          <w:sz w:val="24"/>
          <w:szCs w:val="24"/>
        </w:rPr>
        <w:t>Accounting &amp; Finance</w:t>
      </w:r>
      <w:r w:rsidRPr="005A566B">
        <w:rPr>
          <w:rFonts w:ascii="Arial" w:hAnsi="Arial" w:cs="Arial"/>
          <w:noProof/>
          <w:sz w:val="24"/>
          <w:szCs w:val="24"/>
        </w:rPr>
        <w:t>, 50(3), pp. 511–527. doi: 10.1111/j.1467-629X.2009.00331.x.</w:t>
      </w:r>
    </w:p>
    <w:p w14:paraId="17EE216E"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Baños-Caballero, S., García-Teruel, P. J. and Martínez-Solano, P. (2012) ‘How does working capital management affect the profitability of Spanish SMEs?’, </w:t>
      </w:r>
      <w:r w:rsidRPr="005A566B">
        <w:rPr>
          <w:rFonts w:ascii="Arial" w:hAnsi="Arial" w:cs="Arial"/>
          <w:i/>
          <w:iCs/>
          <w:noProof/>
          <w:sz w:val="24"/>
          <w:szCs w:val="24"/>
        </w:rPr>
        <w:t>Small Business Economics</w:t>
      </w:r>
      <w:r w:rsidRPr="005A566B">
        <w:rPr>
          <w:rFonts w:ascii="Arial" w:hAnsi="Arial" w:cs="Arial"/>
          <w:noProof/>
          <w:sz w:val="24"/>
          <w:szCs w:val="24"/>
        </w:rPr>
        <w:t>, 39(2), pp. 517–529. doi: 10.1007/s11187-011-9317-8.</w:t>
      </w:r>
    </w:p>
    <w:p w14:paraId="25854311"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Bastos, R. and Pindado, J. (2013) ‘Trade credit during a financial crisis: A panel data analysis’, </w:t>
      </w:r>
      <w:r w:rsidRPr="005A566B">
        <w:rPr>
          <w:rFonts w:ascii="Arial" w:hAnsi="Arial" w:cs="Arial"/>
          <w:i/>
          <w:iCs/>
          <w:noProof/>
          <w:sz w:val="24"/>
          <w:szCs w:val="24"/>
        </w:rPr>
        <w:t>Journal of Business Research</w:t>
      </w:r>
      <w:r w:rsidRPr="005A566B">
        <w:rPr>
          <w:rFonts w:ascii="Arial" w:hAnsi="Arial" w:cs="Arial"/>
          <w:noProof/>
          <w:sz w:val="24"/>
          <w:szCs w:val="24"/>
        </w:rPr>
        <w:t>, 66(5), pp. 614–620. doi: 10.1016/j.jbusres.2012.03.015.</w:t>
      </w:r>
    </w:p>
    <w:p w14:paraId="046AAF4F"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Battilana, J., Gilmartin, M., Sengul, M., Pache, A. C. and Alexander, J. A. (2010) </w:t>
      </w:r>
      <w:r w:rsidRPr="005A566B">
        <w:rPr>
          <w:rFonts w:ascii="Arial" w:hAnsi="Arial" w:cs="Arial"/>
          <w:noProof/>
          <w:sz w:val="24"/>
          <w:szCs w:val="24"/>
        </w:rPr>
        <w:lastRenderedPageBreak/>
        <w:t xml:space="preserve">‘Leadership competencies for implementing planned organisational change’, </w:t>
      </w:r>
      <w:r w:rsidRPr="005A566B">
        <w:rPr>
          <w:rFonts w:ascii="Arial" w:hAnsi="Arial" w:cs="Arial"/>
          <w:i/>
          <w:iCs/>
          <w:noProof/>
          <w:sz w:val="24"/>
          <w:szCs w:val="24"/>
        </w:rPr>
        <w:t>The Leadership Quarterly</w:t>
      </w:r>
      <w:r w:rsidRPr="005A566B">
        <w:rPr>
          <w:rFonts w:ascii="Arial" w:hAnsi="Arial" w:cs="Arial"/>
          <w:noProof/>
          <w:sz w:val="24"/>
          <w:szCs w:val="24"/>
        </w:rPr>
        <w:t>, 21, pp. 422–438. doi: 10.1016/j.leaqua.2010.03.007.</w:t>
      </w:r>
    </w:p>
    <w:p w14:paraId="0BD40BCC"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Blundell, R. and Bond, S. (1998) ‘Initial conditions and moment restrictions in dynamic panel data models’, </w:t>
      </w:r>
      <w:r w:rsidRPr="005A566B">
        <w:rPr>
          <w:rFonts w:ascii="Arial" w:hAnsi="Arial" w:cs="Arial"/>
          <w:i/>
          <w:iCs/>
          <w:noProof/>
          <w:sz w:val="24"/>
          <w:szCs w:val="24"/>
        </w:rPr>
        <w:t>Journal of Econometrics</w:t>
      </w:r>
      <w:r w:rsidRPr="005A566B">
        <w:rPr>
          <w:rFonts w:ascii="Arial" w:hAnsi="Arial" w:cs="Arial"/>
          <w:noProof/>
          <w:sz w:val="24"/>
          <w:szCs w:val="24"/>
        </w:rPr>
        <w:t>, 87(1), pp. 115–143. doi: 10.1016/S0304-4076(98)00009-8.</w:t>
      </w:r>
    </w:p>
    <w:p w14:paraId="60D53705"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Bruns Jr., W. J. and Waterhouse, J. H. (1975) ‘Budgetary Control and Organization Structure’, </w:t>
      </w:r>
      <w:r w:rsidRPr="005A566B">
        <w:rPr>
          <w:rFonts w:ascii="Arial" w:hAnsi="Arial" w:cs="Arial"/>
          <w:i/>
          <w:iCs/>
          <w:noProof/>
          <w:sz w:val="24"/>
          <w:szCs w:val="24"/>
        </w:rPr>
        <w:t>Journal of Accounting Research</w:t>
      </w:r>
      <w:r w:rsidRPr="005A566B">
        <w:rPr>
          <w:rFonts w:ascii="Arial" w:hAnsi="Arial" w:cs="Arial"/>
          <w:noProof/>
          <w:sz w:val="24"/>
          <w:szCs w:val="24"/>
        </w:rPr>
        <w:t>, 13(2), pp. 177–203. doi: 10.2307/2490360.</w:t>
      </w:r>
    </w:p>
    <w:p w14:paraId="6EACB792"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Burrell, M. (1979) ‘Burrell and Morgan ‘ s’, </w:t>
      </w:r>
      <w:r w:rsidRPr="005A566B">
        <w:rPr>
          <w:rFonts w:ascii="Arial" w:hAnsi="Arial" w:cs="Arial"/>
          <w:i/>
          <w:iCs/>
          <w:noProof/>
          <w:sz w:val="24"/>
          <w:szCs w:val="24"/>
        </w:rPr>
        <w:t>Sociology The Journal Of The British Sociological Association</w:t>
      </w:r>
      <w:r w:rsidRPr="005A566B">
        <w:rPr>
          <w:rFonts w:ascii="Arial" w:hAnsi="Arial" w:cs="Arial"/>
          <w:noProof/>
          <w:sz w:val="24"/>
          <w:szCs w:val="24"/>
        </w:rPr>
        <w:t>, 3(4), pp. 380–381. Available at: http://search.ebscohost.com/login.aspx?direct=true&amp;db=bth&amp;AN=5963638&amp;site=ehost-live.</w:t>
      </w:r>
    </w:p>
    <w:p w14:paraId="730B466F"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Chenhall, R. H. (2003) ‘Management control systems design within its organizational context: Findings from contingency-based research and directions for the future’, </w:t>
      </w:r>
      <w:r w:rsidRPr="005A566B">
        <w:rPr>
          <w:rFonts w:ascii="Arial" w:hAnsi="Arial" w:cs="Arial"/>
          <w:i/>
          <w:iCs/>
          <w:noProof/>
          <w:sz w:val="24"/>
          <w:szCs w:val="24"/>
        </w:rPr>
        <w:t>Accounting, Organizations and Society</w:t>
      </w:r>
      <w:r w:rsidRPr="005A566B">
        <w:rPr>
          <w:rFonts w:ascii="Arial" w:hAnsi="Arial" w:cs="Arial"/>
          <w:noProof/>
          <w:sz w:val="24"/>
          <w:szCs w:val="24"/>
        </w:rPr>
        <w:t>, pp. 127–168. doi: 10.1016/S0361-</w:t>
      </w:r>
      <w:r w:rsidRPr="005A566B">
        <w:rPr>
          <w:rFonts w:ascii="Arial" w:hAnsi="Arial" w:cs="Arial"/>
          <w:noProof/>
          <w:sz w:val="24"/>
          <w:szCs w:val="24"/>
        </w:rPr>
        <w:lastRenderedPageBreak/>
        <w:t>3682(01)00027-7.</w:t>
      </w:r>
    </w:p>
    <w:p w14:paraId="129A0DD5"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Combs, J. G., Ketchen, D. J., Perryman, A. A. and Donahue, M. S. (2007) ‘The moderating effect of CEO power on the board composition-firm performance relationship’, </w:t>
      </w:r>
      <w:r w:rsidRPr="005A566B">
        <w:rPr>
          <w:rFonts w:ascii="Arial" w:hAnsi="Arial" w:cs="Arial"/>
          <w:i/>
          <w:iCs/>
          <w:noProof/>
          <w:sz w:val="24"/>
          <w:szCs w:val="24"/>
        </w:rPr>
        <w:t>Journal of Management Studies</w:t>
      </w:r>
      <w:r w:rsidRPr="005A566B">
        <w:rPr>
          <w:rFonts w:ascii="Arial" w:hAnsi="Arial" w:cs="Arial"/>
          <w:noProof/>
          <w:sz w:val="24"/>
          <w:szCs w:val="24"/>
        </w:rPr>
        <w:t>, 44(8), pp. 1299–1323. doi: 10.1111/j.1467-6486.2007.00708.x.</w:t>
      </w:r>
    </w:p>
    <w:p w14:paraId="3B116172"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D’aveni, R. A. (1989) ‘The aftermath of organizational decline: A longitudinal study of the strategic and managerial characteristics of declining firms’, </w:t>
      </w:r>
      <w:r w:rsidRPr="005A566B">
        <w:rPr>
          <w:rFonts w:ascii="Arial" w:hAnsi="Arial" w:cs="Arial"/>
          <w:i/>
          <w:iCs/>
          <w:noProof/>
          <w:sz w:val="24"/>
          <w:szCs w:val="24"/>
        </w:rPr>
        <w:t>Academy of Management Journal</w:t>
      </w:r>
      <w:r w:rsidRPr="005A566B">
        <w:rPr>
          <w:rFonts w:ascii="Arial" w:hAnsi="Arial" w:cs="Arial"/>
          <w:noProof/>
          <w:sz w:val="24"/>
          <w:szCs w:val="24"/>
        </w:rPr>
        <w:t>, 32(3), pp. 577–605. doi: 10.2307/256435.</w:t>
      </w:r>
    </w:p>
    <w:p w14:paraId="5DD024D5"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Dahya, J. and Travlos, N. G. (2000) ‘Does the one man show pay? Theory and evidence on the dual CEO revisited’, </w:t>
      </w:r>
      <w:r w:rsidRPr="005A566B">
        <w:rPr>
          <w:rFonts w:ascii="Arial" w:hAnsi="Arial" w:cs="Arial"/>
          <w:i/>
          <w:iCs/>
          <w:noProof/>
          <w:sz w:val="24"/>
          <w:szCs w:val="24"/>
        </w:rPr>
        <w:t>European Financial Management</w:t>
      </w:r>
      <w:r w:rsidRPr="005A566B">
        <w:rPr>
          <w:rFonts w:ascii="Arial" w:hAnsi="Arial" w:cs="Arial"/>
          <w:noProof/>
          <w:sz w:val="24"/>
          <w:szCs w:val="24"/>
        </w:rPr>
        <w:t>, 6(1), p. 85. Available at: http://www.redi-bw.de/db/ebsco.php/search.ebscohost.com/login.aspx%3Fdirect%3Dtrue%26db%3Dbuh%26AN%3D3166559%26site%3Dehost-live.</w:t>
      </w:r>
    </w:p>
    <w:p w14:paraId="1521D4BA"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Deloof, M. (2003) ‘Does working capital management affects profitability of Belgian firms?’, </w:t>
      </w:r>
      <w:r w:rsidRPr="005A566B">
        <w:rPr>
          <w:rFonts w:ascii="Arial" w:hAnsi="Arial" w:cs="Arial"/>
          <w:i/>
          <w:iCs/>
          <w:noProof/>
          <w:sz w:val="24"/>
          <w:szCs w:val="24"/>
        </w:rPr>
        <w:t>Journal of Business Finance and Accounting</w:t>
      </w:r>
      <w:r w:rsidRPr="005A566B">
        <w:rPr>
          <w:rFonts w:ascii="Arial" w:hAnsi="Arial" w:cs="Arial"/>
          <w:noProof/>
          <w:sz w:val="24"/>
          <w:szCs w:val="24"/>
        </w:rPr>
        <w:t>, 30(3), pp. 573–587.</w:t>
      </w:r>
    </w:p>
    <w:p w14:paraId="4DEA92C6"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lastRenderedPageBreak/>
        <w:t xml:space="preserve">Drazin, R. and Ven, A. H. Van De (2013) ‘Alternative Forms of Fit in Contingency Theory Alternative Forms of Fit in Contingency Theory and’, </w:t>
      </w:r>
      <w:r w:rsidRPr="005A566B">
        <w:rPr>
          <w:rFonts w:ascii="Arial" w:hAnsi="Arial" w:cs="Arial"/>
          <w:i/>
          <w:iCs/>
          <w:noProof/>
          <w:sz w:val="24"/>
          <w:szCs w:val="24"/>
        </w:rPr>
        <w:t>Administrative science quarterly</w:t>
      </w:r>
      <w:r w:rsidRPr="005A566B">
        <w:rPr>
          <w:rFonts w:ascii="Arial" w:hAnsi="Arial" w:cs="Arial"/>
          <w:noProof/>
          <w:sz w:val="24"/>
          <w:szCs w:val="24"/>
        </w:rPr>
        <w:t>, 30(4), pp. 514–539. doi: 10.2307/2392695.</w:t>
      </w:r>
    </w:p>
    <w:p w14:paraId="3B0DA067"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Drobetz, W. and Grüninger, M. C. (2007) ‘Corporate cash holdings: Evidence from Switzerland’, </w:t>
      </w:r>
      <w:r w:rsidRPr="005A566B">
        <w:rPr>
          <w:rFonts w:ascii="Arial" w:hAnsi="Arial" w:cs="Arial"/>
          <w:i/>
          <w:iCs/>
          <w:noProof/>
          <w:sz w:val="24"/>
          <w:szCs w:val="24"/>
        </w:rPr>
        <w:t>Financial Markets and Portfolio Management</w:t>
      </w:r>
      <w:r w:rsidRPr="005A566B">
        <w:rPr>
          <w:rFonts w:ascii="Arial" w:hAnsi="Arial" w:cs="Arial"/>
          <w:noProof/>
          <w:sz w:val="24"/>
          <w:szCs w:val="24"/>
        </w:rPr>
        <w:t>, 21(3), pp. 293–324. doi: 10.1007/s11408-007-0052-8.</w:t>
      </w:r>
    </w:p>
    <w:p w14:paraId="14CF6D88"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Dunn, P. (2004) ‘The impact of insider power on fraudulent financial reporting’, </w:t>
      </w:r>
      <w:r w:rsidRPr="005A566B">
        <w:rPr>
          <w:rFonts w:ascii="Arial" w:hAnsi="Arial" w:cs="Arial"/>
          <w:i/>
          <w:iCs/>
          <w:noProof/>
          <w:sz w:val="24"/>
          <w:szCs w:val="24"/>
        </w:rPr>
        <w:t>Journal of Management</w:t>
      </w:r>
      <w:r w:rsidRPr="005A566B">
        <w:rPr>
          <w:rFonts w:ascii="Arial" w:hAnsi="Arial" w:cs="Arial"/>
          <w:noProof/>
          <w:sz w:val="24"/>
          <w:szCs w:val="24"/>
        </w:rPr>
        <w:t>, 30(3), pp. 397–412. doi: 10.1016/j.jm.2003.02.004.</w:t>
      </w:r>
    </w:p>
    <w:p w14:paraId="74A9B346"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Enqvist, J., Graham, M. and Nikkinen, J. (2014) ‘The impact of working capital management on firm profitability in different business cycles: Evidence from Finland’, </w:t>
      </w:r>
      <w:r w:rsidRPr="005A566B">
        <w:rPr>
          <w:rFonts w:ascii="Arial" w:hAnsi="Arial" w:cs="Arial"/>
          <w:i/>
          <w:iCs/>
          <w:noProof/>
          <w:sz w:val="24"/>
          <w:szCs w:val="24"/>
        </w:rPr>
        <w:t>Research in International Business and Finance</w:t>
      </w:r>
      <w:r w:rsidRPr="005A566B">
        <w:rPr>
          <w:rFonts w:ascii="Arial" w:hAnsi="Arial" w:cs="Arial"/>
          <w:noProof/>
          <w:sz w:val="24"/>
          <w:szCs w:val="24"/>
        </w:rPr>
        <w:t>, 32. doi: 10.1016/j.ribaf.2014.03.005.</w:t>
      </w:r>
    </w:p>
    <w:p w14:paraId="2D4F7F77"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Ezzamel, M. (1990) ‘The impact of environmental uncertainty, managerial autonomy and size on budget characteristics’, </w:t>
      </w:r>
      <w:r w:rsidRPr="005A566B">
        <w:rPr>
          <w:rFonts w:ascii="Arial" w:hAnsi="Arial" w:cs="Arial"/>
          <w:i/>
          <w:iCs/>
          <w:noProof/>
          <w:sz w:val="24"/>
          <w:szCs w:val="24"/>
        </w:rPr>
        <w:t>Management Accounting Research</w:t>
      </w:r>
      <w:r w:rsidRPr="005A566B">
        <w:rPr>
          <w:rFonts w:ascii="Arial" w:hAnsi="Arial" w:cs="Arial"/>
          <w:noProof/>
          <w:sz w:val="24"/>
          <w:szCs w:val="24"/>
        </w:rPr>
        <w:t>, 1(3), pp. 181–197. doi: 10.1016/S1044-5005(90)70057-1.</w:t>
      </w:r>
    </w:p>
    <w:p w14:paraId="5DD9B572"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lastRenderedPageBreak/>
        <w:t xml:space="preserve">Fama, E. F. and Jensen, M. C. (1983) ‘Separation of Ownership and Control Separation of Ownership and Control’, </w:t>
      </w:r>
      <w:r w:rsidRPr="005A566B">
        <w:rPr>
          <w:rFonts w:ascii="Arial" w:hAnsi="Arial" w:cs="Arial"/>
          <w:i/>
          <w:iCs/>
          <w:noProof/>
          <w:sz w:val="24"/>
          <w:szCs w:val="24"/>
        </w:rPr>
        <w:t>Journal of law and economics</w:t>
      </w:r>
      <w:r w:rsidRPr="005A566B">
        <w:rPr>
          <w:rFonts w:ascii="Arial" w:hAnsi="Arial" w:cs="Arial"/>
          <w:noProof/>
          <w:sz w:val="24"/>
          <w:szCs w:val="24"/>
        </w:rPr>
        <w:t>, 26(2), pp. 301–325. doi: 10.1086/467037.</w:t>
      </w:r>
    </w:p>
    <w:p w14:paraId="0412BF9E"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Ferreira, A. and Otley, D. (2005) ‘The design and use of management control systems : An extended framework for analysis’, </w:t>
      </w:r>
      <w:r w:rsidRPr="005A566B">
        <w:rPr>
          <w:rFonts w:ascii="Arial" w:hAnsi="Arial" w:cs="Arial"/>
          <w:i/>
          <w:iCs/>
          <w:noProof/>
          <w:sz w:val="24"/>
          <w:szCs w:val="24"/>
        </w:rPr>
        <w:t>AAA 2006 Management Accounting Section Meeting</w:t>
      </w:r>
      <w:r w:rsidRPr="005A566B">
        <w:rPr>
          <w:rFonts w:ascii="Arial" w:hAnsi="Arial" w:cs="Arial"/>
          <w:noProof/>
          <w:sz w:val="24"/>
          <w:szCs w:val="24"/>
        </w:rPr>
        <w:t>, (October), pp. 1–54. doi: 10.2139/ssrn.682984.</w:t>
      </w:r>
    </w:p>
    <w:p w14:paraId="5E4DC4C6"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Filbeck, G. and Krueger, T. M. (2005) ‘An Analysis of Working Capital Management Results Across Industries’, </w:t>
      </w:r>
      <w:r w:rsidRPr="005A566B">
        <w:rPr>
          <w:rFonts w:ascii="Arial" w:hAnsi="Arial" w:cs="Arial"/>
          <w:i/>
          <w:iCs/>
          <w:noProof/>
          <w:sz w:val="24"/>
          <w:szCs w:val="24"/>
        </w:rPr>
        <w:t>American Journal of Business</w:t>
      </w:r>
      <w:r w:rsidRPr="005A566B">
        <w:rPr>
          <w:rFonts w:ascii="Arial" w:hAnsi="Arial" w:cs="Arial"/>
          <w:noProof/>
          <w:sz w:val="24"/>
          <w:szCs w:val="24"/>
        </w:rPr>
        <w:t>, 20(2), pp. 11–20. doi: 10.1108/19355181200500007.</w:t>
      </w:r>
    </w:p>
    <w:p w14:paraId="6882B87E"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Forbes, D. P. . and Milliken, F. J. . (1999) ‘Cognition and Corporate Governance : Understanding Boards of Directors as Strategic Decision-Making Groups Daniel P . Forbes ; Frances J . Milliken’, </w:t>
      </w:r>
      <w:r w:rsidRPr="005A566B">
        <w:rPr>
          <w:rFonts w:ascii="Arial" w:hAnsi="Arial" w:cs="Arial"/>
          <w:i/>
          <w:iCs/>
          <w:noProof/>
          <w:sz w:val="24"/>
          <w:szCs w:val="24"/>
        </w:rPr>
        <w:t>Academy of Management Review</w:t>
      </w:r>
      <w:r w:rsidRPr="005A566B">
        <w:rPr>
          <w:rFonts w:ascii="Arial" w:hAnsi="Arial" w:cs="Arial"/>
          <w:noProof/>
          <w:sz w:val="24"/>
          <w:szCs w:val="24"/>
        </w:rPr>
        <w:t>, 24(3), pp. 489–505. doi: 10.2307/259138.</w:t>
      </w:r>
    </w:p>
    <w:p w14:paraId="79ECAE6F"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Forbes, D. P. and Milliken, F. J. (2008) ‘Cognition and corporate governance: Understanding boards of directors as strategic decision making groups’, in </w:t>
      </w:r>
      <w:r w:rsidRPr="005A566B">
        <w:rPr>
          <w:rFonts w:ascii="Arial" w:hAnsi="Arial" w:cs="Arial"/>
          <w:i/>
          <w:iCs/>
          <w:noProof/>
          <w:sz w:val="24"/>
          <w:szCs w:val="24"/>
        </w:rPr>
        <w:t xml:space="preserve">The </w:t>
      </w:r>
      <w:r w:rsidRPr="005A566B">
        <w:rPr>
          <w:rFonts w:ascii="Arial" w:hAnsi="Arial" w:cs="Arial"/>
          <w:i/>
          <w:iCs/>
          <w:noProof/>
          <w:sz w:val="24"/>
          <w:szCs w:val="24"/>
        </w:rPr>
        <w:lastRenderedPageBreak/>
        <w:t>Value Creating Board: Corporate Governance and Organizational Behaviour</w:t>
      </w:r>
      <w:r w:rsidRPr="005A566B">
        <w:rPr>
          <w:rFonts w:ascii="Arial" w:hAnsi="Arial" w:cs="Arial"/>
          <w:noProof/>
          <w:sz w:val="24"/>
          <w:szCs w:val="24"/>
        </w:rPr>
        <w:t>, pp. 190–217. doi: 10.4324/9780203888711.</w:t>
      </w:r>
    </w:p>
    <w:p w14:paraId="07ECD169"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Gill, A. S. and Biger, N. (2013) ‘The impact of corporate governance on working capital management efficiency of American manufacturing firms’, </w:t>
      </w:r>
      <w:r w:rsidRPr="005A566B">
        <w:rPr>
          <w:rFonts w:ascii="Arial" w:hAnsi="Arial" w:cs="Arial"/>
          <w:i/>
          <w:iCs/>
          <w:noProof/>
          <w:sz w:val="24"/>
          <w:szCs w:val="24"/>
        </w:rPr>
        <w:t>Managerial Finance</w:t>
      </w:r>
      <w:r w:rsidRPr="005A566B">
        <w:rPr>
          <w:rFonts w:ascii="Arial" w:hAnsi="Arial" w:cs="Arial"/>
          <w:noProof/>
          <w:sz w:val="24"/>
          <w:szCs w:val="24"/>
        </w:rPr>
        <w:t>, 39(2), pp. 116–132. doi: 10.1108/03074351311293981.</w:t>
      </w:r>
    </w:p>
    <w:p w14:paraId="232A7101"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Hambrick, D. C. and D’Aveni, R. a. (1992) ‘Top Team Deterioration as Part of the Downward Spiral of Large Corporate Bankruptcies’, </w:t>
      </w:r>
      <w:r w:rsidRPr="005A566B">
        <w:rPr>
          <w:rFonts w:ascii="Arial" w:hAnsi="Arial" w:cs="Arial"/>
          <w:i/>
          <w:iCs/>
          <w:noProof/>
          <w:sz w:val="24"/>
          <w:szCs w:val="24"/>
        </w:rPr>
        <w:t>Management Science</w:t>
      </w:r>
      <w:r w:rsidRPr="005A566B">
        <w:rPr>
          <w:rFonts w:ascii="Arial" w:hAnsi="Arial" w:cs="Arial"/>
          <w:noProof/>
          <w:sz w:val="24"/>
          <w:szCs w:val="24"/>
        </w:rPr>
        <w:t>, 38(10), pp. 1445–1466. doi: 10.1287/mnsc.38.10.1445.</w:t>
      </w:r>
    </w:p>
    <w:p w14:paraId="2E3DEE42"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Headd, B. (2003) ‘Redefining Business Success: Distinguishing between Closure and Failure’, </w:t>
      </w:r>
      <w:r w:rsidRPr="005A566B">
        <w:rPr>
          <w:rFonts w:ascii="Arial" w:hAnsi="Arial" w:cs="Arial"/>
          <w:i/>
          <w:iCs/>
          <w:noProof/>
          <w:sz w:val="24"/>
          <w:szCs w:val="24"/>
        </w:rPr>
        <w:t>Small Business Economics</w:t>
      </w:r>
      <w:r w:rsidRPr="005A566B">
        <w:rPr>
          <w:rFonts w:ascii="Arial" w:hAnsi="Arial" w:cs="Arial"/>
          <w:noProof/>
          <w:sz w:val="24"/>
          <w:szCs w:val="24"/>
        </w:rPr>
        <w:t>, pp. 51–61. doi: 10.1023/A:1024433630958.</w:t>
      </w:r>
    </w:p>
    <w:p w14:paraId="18EA2AFA"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Hill, M. D., Kelly, G. W. and Lockhart, G. B. (2012) ‘Shareholder Returns from Supplying Trade Credit’, </w:t>
      </w:r>
      <w:r w:rsidRPr="005A566B">
        <w:rPr>
          <w:rFonts w:ascii="Arial" w:hAnsi="Arial" w:cs="Arial"/>
          <w:i/>
          <w:iCs/>
          <w:noProof/>
          <w:sz w:val="24"/>
          <w:szCs w:val="24"/>
        </w:rPr>
        <w:t>Financial Management</w:t>
      </w:r>
      <w:r w:rsidRPr="005A566B">
        <w:rPr>
          <w:rFonts w:ascii="Arial" w:hAnsi="Arial" w:cs="Arial"/>
          <w:noProof/>
          <w:sz w:val="24"/>
          <w:szCs w:val="24"/>
        </w:rPr>
        <w:t>, 41(1), pp. 255–280. doi: 10.1111/j.1755-053X.2012.01198.x.</w:t>
      </w:r>
    </w:p>
    <w:p w14:paraId="6A7F79DB"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Hoopes, D. G. and Madsen, T. L. (2008) ‘A capability-based view of competitive </w:t>
      </w:r>
      <w:r w:rsidRPr="005A566B">
        <w:rPr>
          <w:rFonts w:ascii="Arial" w:hAnsi="Arial" w:cs="Arial"/>
          <w:noProof/>
          <w:sz w:val="24"/>
          <w:szCs w:val="24"/>
        </w:rPr>
        <w:lastRenderedPageBreak/>
        <w:t xml:space="preserve">heterogeneity’, </w:t>
      </w:r>
      <w:r w:rsidRPr="005A566B">
        <w:rPr>
          <w:rFonts w:ascii="Arial" w:hAnsi="Arial" w:cs="Arial"/>
          <w:i/>
          <w:iCs/>
          <w:noProof/>
          <w:sz w:val="24"/>
          <w:szCs w:val="24"/>
        </w:rPr>
        <w:t>Industrial and Corporate Change</w:t>
      </w:r>
      <w:r w:rsidRPr="005A566B">
        <w:rPr>
          <w:rFonts w:ascii="Arial" w:hAnsi="Arial" w:cs="Arial"/>
          <w:noProof/>
          <w:sz w:val="24"/>
          <w:szCs w:val="24"/>
        </w:rPr>
        <w:t>, 17(3), pp. 393–426. doi: 10.1093/icc/dtn008.</w:t>
      </w:r>
    </w:p>
    <w:p w14:paraId="3772B9E0"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Howorth, C. and Westhead, P. (2003) ‘The focus of working capital management in UK small firms’, </w:t>
      </w:r>
      <w:r w:rsidRPr="005A566B">
        <w:rPr>
          <w:rFonts w:ascii="Arial" w:hAnsi="Arial" w:cs="Arial"/>
          <w:i/>
          <w:iCs/>
          <w:noProof/>
          <w:sz w:val="24"/>
          <w:szCs w:val="24"/>
        </w:rPr>
        <w:t>Management Accounting Research</w:t>
      </w:r>
      <w:r w:rsidRPr="005A566B">
        <w:rPr>
          <w:rFonts w:ascii="Arial" w:hAnsi="Arial" w:cs="Arial"/>
          <w:noProof/>
          <w:sz w:val="24"/>
          <w:szCs w:val="24"/>
        </w:rPr>
        <w:t>, pp. 94–111. doi: 10.1016/S1044-5005(03)00022-2.</w:t>
      </w:r>
    </w:p>
    <w:p w14:paraId="1EDE6DCA"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Judson, R. A. and Owen, A. L. (1999) ‘Estimating dynamic panel data models: a guide for macroeconomists’, </w:t>
      </w:r>
      <w:r w:rsidRPr="005A566B">
        <w:rPr>
          <w:rFonts w:ascii="Arial" w:hAnsi="Arial" w:cs="Arial"/>
          <w:i/>
          <w:iCs/>
          <w:noProof/>
          <w:sz w:val="24"/>
          <w:szCs w:val="24"/>
        </w:rPr>
        <w:t>Economics Letters</w:t>
      </w:r>
      <w:r w:rsidRPr="005A566B">
        <w:rPr>
          <w:rFonts w:ascii="Arial" w:hAnsi="Arial" w:cs="Arial"/>
          <w:noProof/>
          <w:sz w:val="24"/>
          <w:szCs w:val="24"/>
        </w:rPr>
        <w:t>, 65(1), pp. 9–15. doi: 10.1016/S0165-1765(99)00130-5.</w:t>
      </w:r>
    </w:p>
    <w:p w14:paraId="56269288"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Kestens, K., Van Cauwenberge, P. and Bauwhede, H. Vander (2012) ‘Trade credit and company performance during the 2008 financial crisis’, </w:t>
      </w:r>
      <w:r w:rsidRPr="005A566B">
        <w:rPr>
          <w:rFonts w:ascii="Arial" w:hAnsi="Arial" w:cs="Arial"/>
          <w:i/>
          <w:iCs/>
          <w:noProof/>
          <w:sz w:val="24"/>
          <w:szCs w:val="24"/>
        </w:rPr>
        <w:t>Accounting and Finance</w:t>
      </w:r>
      <w:r w:rsidRPr="005A566B">
        <w:rPr>
          <w:rFonts w:ascii="Arial" w:hAnsi="Arial" w:cs="Arial"/>
          <w:noProof/>
          <w:sz w:val="24"/>
          <w:szCs w:val="24"/>
        </w:rPr>
        <w:t>, 52(4), pp. 1125–1151. doi: 10.1111/j.1467-629X.2011.00452.x.</w:t>
      </w:r>
    </w:p>
    <w:p w14:paraId="20D0556F"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Khoury, N. T., Smith, K. V and MacKay, P. I. (1999) ‘Comparing working capital practices in Canada, the United States, and Australia: A note’, </w:t>
      </w:r>
      <w:r w:rsidRPr="005A566B">
        <w:rPr>
          <w:rFonts w:ascii="Arial" w:hAnsi="Arial" w:cs="Arial"/>
          <w:i/>
          <w:iCs/>
          <w:noProof/>
          <w:sz w:val="24"/>
          <w:szCs w:val="24"/>
        </w:rPr>
        <w:t>Revue Canadienne des Sciences de l’Administration</w:t>
      </w:r>
      <w:r w:rsidRPr="005A566B">
        <w:rPr>
          <w:rFonts w:ascii="Arial" w:hAnsi="Arial" w:cs="Arial"/>
          <w:noProof/>
          <w:sz w:val="24"/>
          <w:szCs w:val="24"/>
        </w:rPr>
        <w:t>, 16(1), pp. 53–57. doi: 10.1016/1044-0283(91)90012-V.</w:t>
      </w:r>
    </w:p>
    <w:p w14:paraId="736A379F"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lastRenderedPageBreak/>
        <w:t xml:space="preserve">Kieschnick, R., Laplante, M. and Moussawi, R. (2013) ‘Working capital management and shareholders’ wealth’, </w:t>
      </w:r>
      <w:r w:rsidRPr="005A566B">
        <w:rPr>
          <w:rFonts w:ascii="Arial" w:hAnsi="Arial" w:cs="Arial"/>
          <w:i/>
          <w:iCs/>
          <w:noProof/>
          <w:sz w:val="24"/>
          <w:szCs w:val="24"/>
        </w:rPr>
        <w:t>Review of Finance</w:t>
      </w:r>
      <w:r w:rsidRPr="005A566B">
        <w:rPr>
          <w:rFonts w:ascii="Arial" w:hAnsi="Arial" w:cs="Arial"/>
          <w:noProof/>
          <w:sz w:val="24"/>
          <w:szCs w:val="24"/>
        </w:rPr>
        <w:t>, 17(5), pp. 1827–1852. doi: 10.1093/rof/rfs043.</w:t>
      </w:r>
    </w:p>
    <w:p w14:paraId="4CE4C6B9"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Knott, A. M. and Posen, H. E. (2005) ‘Is failure good?’, </w:t>
      </w:r>
      <w:r w:rsidRPr="005A566B">
        <w:rPr>
          <w:rFonts w:ascii="Arial" w:hAnsi="Arial" w:cs="Arial"/>
          <w:i/>
          <w:iCs/>
          <w:noProof/>
          <w:sz w:val="24"/>
          <w:szCs w:val="24"/>
        </w:rPr>
        <w:t>Strategic Management Journal</w:t>
      </w:r>
      <w:r w:rsidRPr="005A566B">
        <w:rPr>
          <w:rFonts w:ascii="Arial" w:hAnsi="Arial" w:cs="Arial"/>
          <w:noProof/>
          <w:sz w:val="24"/>
          <w:szCs w:val="24"/>
        </w:rPr>
        <w:t>, 26(7), pp. 617–641. doi: 10.1002/smj.470.</w:t>
      </w:r>
    </w:p>
    <w:p w14:paraId="7FA879B3"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Kyereboah-Coleman, A. (2008) ‘Corporate Governance and Firm Performance in Afica : A Dynamic Panel Data Analysis’, </w:t>
      </w:r>
      <w:r w:rsidRPr="005A566B">
        <w:rPr>
          <w:rFonts w:ascii="Arial" w:hAnsi="Arial" w:cs="Arial"/>
          <w:i/>
          <w:iCs/>
          <w:noProof/>
          <w:sz w:val="24"/>
          <w:szCs w:val="24"/>
        </w:rPr>
        <w:t>Studies in Economics and Econometrics</w:t>
      </w:r>
      <w:r w:rsidRPr="005A566B">
        <w:rPr>
          <w:rFonts w:ascii="Arial" w:hAnsi="Arial" w:cs="Arial"/>
          <w:noProof/>
          <w:sz w:val="24"/>
          <w:szCs w:val="24"/>
        </w:rPr>
        <w:t>, 32(2), pp. 1–24. doi: 10.1111/j.1467-8683.2005.00419.x.</w:t>
      </w:r>
    </w:p>
    <w:p w14:paraId="45673203"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Love, I., Preve, L. A. and Sarria-Allende, V. (2007) ‘Trade credit and bank credit: Evidence from recent financial crises’, </w:t>
      </w:r>
      <w:r w:rsidRPr="005A566B">
        <w:rPr>
          <w:rFonts w:ascii="Arial" w:hAnsi="Arial" w:cs="Arial"/>
          <w:i/>
          <w:iCs/>
          <w:noProof/>
          <w:sz w:val="24"/>
          <w:szCs w:val="24"/>
        </w:rPr>
        <w:t>Journal of Financial Economics</w:t>
      </w:r>
      <w:r w:rsidRPr="005A566B">
        <w:rPr>
          <w:rFonts w:ascii="Arial" w:hAnsi="Arial" w:cs="Arial"/>
          <w:noProof/>
          <w:sz w:val="24"/>
          <w:szCs w:val="24"/>
        </w:rPr>
        <w:t>, 83(2), pp. 453–469. doi: 10.1016/j.jfineco.2005.11.002.</w:t>
      </w:r>
    </w:p>
    <w:p w14:paraId="22F66D0A"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Luo, X., Kanuri, V. K. and Andrews, M. (2014) ‘How does CEO tenure matter? the mediating role of firm-employee and firm-customer relationships’, </w:t>
      </w:r>
      <w:r w:rsidRPr="005A566B">
        <w:rPr>
          <w:rFonts w:ascii="Arial" w:hAnsi="Arial" w:cs="Arial"/>
          <w:i/>
          <w:iCs/>
          <w:noProof/>
          <w:sz w:val="24"/>
          <w:szCs w:val="24"/>
        </w:rPr>
        <w:t>Strategic Management Journal</w:t>
      </w:r>
      <w:r w:rsidRPr="005A566B">
        <w:rPr>
          <w:rFonts w:ascii="Arial" w:hAnsi="Arial" w:cs="Arial"/>
          <w:noProof/>
          <w:sz w:val="24"/>
          <w:szCs w:val="24"/>
        </w:rPr>
        <w:t>, 35(4), pp. 492–511. doi: 10.1002/smj.2112.</w:t>
      </w:r>
    </w:p>
    <w:p w14:paraId="62C1EB34"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Luthans, F. and Stewart, T. I. (1977) ‘A general contingency theory of management’, </w:t>
      </w:r>
      <w:r w:rsidRPr="005A566B">
        <w:rPr>
          <w:rFonts w:ascii="Arial" w:hAnsi="Arial" w:cs="Arial"/>
          <w:i/>
          <w:iCs/>
          <w:noProof/>
          <w:sz w:val="24"/>
          <w:szCs w:val="24"/>
        </w:rPr>
        <w:lastRenderedPageBreak/>
        <w:t>Academy of management review</w:t>
      </w:r>
      <w:r w:rsidRPr="005A566B">
        <w:rPr>
          <w:rFonts w:ascii="Arial" w:hAnsi="Arial" w:cs="Arial"/>
          <w:noProof/>
          <w:sz w:val="24"/>
          <w:szCs w:val="24"/>
        </w:rPr>
        <w:t>, 2(2), pp. 181–195. doi: 10.2307/257902.</w:t>
      </w:r>
    </w:p>
    <w:p w14:paraId="44690A2C"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Merchant, K. A. (1981) ‘The Design of the Corporate Budgeting System : Influences on Managerial Behavior and Performance’, </w:t>
      </w:r>
      <w:r w:rsidRPr="005A566B">
        <w:rPr>
          <w:rFonts w:ascii="Arial" w:hAnsi="Arial" w:cs="Arial"/>
          <w:i/>
          <w:iCs/>
          <w:noProof/>
          <w:sz w:val="24"/>
          <w:szCs w:val="24"/>
        </w:rPr>
        <w:t>The Accounting Review</w:t>
      </w:r>
      <w:r w:rsidRPr="005A566B">
        <w:rPr>
          <w:rFonts w:ascii="Arial" w:hAnsi="Arial" w:cs="Arial"/>
          <w:noProof/>
          <w:sz w:val="24"/>
          <w:szCs w:val="24"/>
        </w:rPr>
        <w:t>, 56(4), pp. 813–829. doi: 10.2307/247203.</w:t>
      </w:r>
    </w:p>
    <w:p w14:paraId="0CB8237D"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Merchant, K. A. (1984) ‘Influences on departmental budgeting: an empirical examination of a contingency model’, </w:t>
      </w:r>
      <w:r w:rsidRPr="005A566B">
        <w:rPr>
          <w:rFonts w:ascii="Arial" w:hAnsi="Arial" w:cs="Arial"/>
          <w:i/>
          <w:iCs/>
          <w:noProof/>
          <w:sz w:val="24"/>
          <w:szCs w:val="24"/>
        </w:rPr>
        <w:t>Accounting, Organizations and Society</w:t>
      </w:r>
      <w:r w:rsidRPr="005A566B">
        <w:rPr>
          <w:rFonts w:ascii="Arial" w:hAnsi="Arial" w:cs="Arial"/>
          <w:noProof/>
          <w:sz w:val="24"/>
          <w:szCs w:val="24"/>
        </w:rPr>
        <w:t>, 9(3–4), pp. 291–307. doi: 10.1016/0361-3682(84)90013-8.</w:t>
      </w:r>
    </w:p>
    <w:p w14:paraId="0F361C4C"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Mol, J. M. and Wijnberg, N. M. (2011) ‘From Resources to Value and Back: Competition Between and Within Organizations’, </w:t>
      </w:r>
      <w:r w:rsidRPr="005A566B">
        <w:rPr>
          <w:rFonts w:ascii="Arial" w:hAnsi="Arial" w:cs="Arial"/>
          <w:i/>
          <w:iCs/>
          <w:noProof/>
          <w:sz w:val="24"/>
          <w:szCs w:val="24"/>
        </w:rPr>
        <w:t>British Journal of Management</w:t>
      </w:r>
      <w:r w:rsidRPr="005A566B">
        <w:rPr>
          <w:rFonts w:ascii="Arial" w:hAnsi="Arial" w:cs="Arial"/>
          <w:noProof/>
          <w:sz w:val="24"/>
          <w:szCs w:val="24"/>
        </w:rPr>
        <w:t>, 22(1), pp. 77–95. doi: 10.1111/j.1467-8551.2010.00711.x.</w:t>
      </w:r>
    </w:p>
    <w:p w14:paraId="29E857B1"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Mollah, S. and Liljeblom, E. (2016) ‘Governance and bank characteristics in the credit and sovereign debt crises – the impact of CEO power’, </w:t>
      </w:r>
      <w:r w:rsidRPr="005A566B">
        <w:rPr>
          <w:rFonts w:ascii="Arial" w:hAnsi="Arial" w:cs="Arial"/>
          <w:i/>
          <w:iCs/>
          <w:noProof/>
          <w:sz w:val="24"/>
          <w:szCs w:val="24"/>
        </w:rPr>
        <w:t>Journal of Financial Stability</w:t>
      </w:r>
      <w:r w:rsidRPr="005A566B">
        <w:rPr>
          <w:rFonts w:ascii="Arial" w:hAnsi="Arial" w:cs="Arial"/>
          <w:noProof/>
          <w:sz w:val="24"/>
          <w:szCs w:val="24"/>
        </w:rPr>
        <w:t>, 27(September), pp. 59–73. doi: 10.1016/j.jfs.2016.09.003.</w:t>
      </w:r>
    </w:p>
    <w:p w14:paraId="5178F119"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Nadiri, M. I. (1969) ‘The Determinants of Trade Credit in the U.s. Total Manufacturing Sector’, </w:t>
      </w:r>
      <w:r w:rsidRPr="005A566B">
        <w:rPr>
          <w:rFonts w:ascii="Arial" w:hAnsi="Arial" w:cs="Arial"/>
          <w:i/>
          <w:iCs/>
          <w:noProof/>
          <w:sz w:val="24"/>
          <w:szCs w:val="24"/>
        </w:rPr>
        <w:t>Econometrica (pre-1986)</w:t>
      </w:r>
      <w:r w:rsidRPr="005A566B">
        <w:rPr>
          <w:rFonts w:ascii="Arial" w:hAnsi="Arial" w:cs="Arial"/>
          <w:noProof/>
          <w:sz w:val="24"/>
          <w:szCs w:val="24"/>
        </w:rPr>
        <w:t>, 37(3), p. 408. doi: 10.2307/1912790.</w:t>
      </w:r>
    </w:p>
    <w:p w14:paraId="27C63715"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lastRenderedPageBreak/>
        <w:t xml:space="preserve">Ng, C., Smith, J. and Smith, R. (1999) ‘Evidence on the determinants of credit terms used in interfirm trade’, </w:t>
      </w:r>
      <w:r w:rsidRPr="005A566B">
        <w:rPr>
          <w:rFonts w:ascii="Arial" w:hAnsi="Arial" w:cs="Arial"/>
          <w:i/>
          <w:iCs/>
          <w:noProof/>
          <w:sz w:val="24"/>
          <w:szCs w:val="24"/>
        </w:rPr>
        <w:t>The Journal of Finance</w:t>
      </w:r>
      <w:r w:rsidRPr="005A566B">
        <w:rPr>
          <w:rFonts w:ascii="Arial" w:hAnsi="Arial" w:cs="Arial"/>
          <w:noProof/>
          <w:sz w:val="24"/>
          <w:szCs w:val="24"/>
        </w:rPr>
        <w:t>, 54(3), pp. 1109–1129. Available at: http://onlinelibrary.wiley.com/doi/10.1111/0022-1082.00138/abstract.</w:t>
      </w:r>
    </w:p>
    <w:p w14:paraId="7A3BE2CA"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Nicholson, G. J. and Kiel, G. C. (2004) ‘Breakthrough board performance: how to harness your board’s intellectual capital[1]’, </w:t>
      </w:r>
      <w:r w:rsidRPr="005A566B">
        <w:rPr>
          <w:rFonts w:ascii="Arial" w:hAnsi="Arial" w:cs="Arial"/>
          <w:i/>
          <w:iCs/>
          <w:noProof/>
          <w:sz w:val="24"/>
          <w:szCs w:val="24"/>
        </w:rPr>
        <w:t>Corporate Governance: The international journal of business in society</w:t>
      </w:r>
      <w:r w:rsidRPr="005A566B">
        <w:rPr>
          <w:rFonts w:ascii="Arial" w:hAnsi="Arial" w:cs="Arial"/>
          <w:noProof/>
          <w:sz w:val="24"/>
          <w:szCs w:val="24"/>
        </w:rPr>
        <w:t>, 4(1), pp. 5–23. doi: 10.1108/14720700410521925.</w:t>
      </w:r>
    </w:p>
    <w:p w14:paraId="66784821"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Nickell, S. (1999) ‘Product markets and labour markets’, </w:t>
      </w:r>
      <w:r w:rsidRPr="005A566B">
        <w:rPr>
          <w:rFonts w:ascii="Arial" w:hAnsi="Arial" w:cs="Arial"/>
          <w:i/>
          <w:iCs/>
          <w:noProof/>
          <w:sz w:val="24"/>
          <w:szCs w:val="24"/>
        </w:rPr>
        <w:t>Labour Economics</w:t>
      </w:r>
      <w:r w:rsidRPr="005A566B">
        <w:rPr>
          <w:rFonts w:ascii="Arial" w:hAnsi="Arial" w:cs="Arial"/>
          <w:noProof/>
          <w:sz w:val="24"/>
          <w:szCs w:val="24"/>
        </w:rPr>
        <w:t>, 6(1), pp. 1–20. doi: 10.1016/S0927-5371(99)00005-6.</w:t>
      </w:r>
    </w:p>
    <w:p w14:paraId="2F7417A5"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Otley, D. (2016) ‘The contingency theory of management accounting and control: 1980-2014’, </w:t>
      </w:r>
      <w:r w:rsidRPr="005A566B">
        <w:rPr>
          <w:rFonts w:ascii="Arial" w:hAnsi="Arial" w:cs="Arial"/>
          <w:i/>
          <w:iCs/>
          <w:noProof/>
          <w:sz w:val="24"/>
          <w:szCs w:val="24"/>
        </w:rPr>
        <w:t>Management Accounting Research</w:t>
      </w:r>
      <w:r w:rsidRPr="005A566B">
        <w:rPr>
          <w:rFonts w:ascii="Arial" w:hAnsi="Arial" w:cs="Arial"/>
          <w:noProof/>
          <w:sz w:val="24"/>
          <w:szCs w:val="24"/>
        </w:rPr>
        <w:t>. Elsevier Ltd, 31, pp. 45–62. doi: 10.1016/j.mar.2016.02.001.</w:t>
      </w:r>
    </w:p>
    <w:p w14:paraId="13BBDFDF"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Otley, D. T. (1980) ‘The contingency theory of management accounting: Achievement and prognosis’, </w:t>
      </w:r>
      <w:r w:rsidRPr="005A566B">
        <w:rPr>
          <w:rFonts w:ascii="Arial" w:hAnsi="Arial" w:cs="Arial"/>
          <w:i/>
          <w:iCs/>
          <w:noProof/>
          <w:sz w:val="24"/>
          <w:szCs w:val="24"/>
        </w:rPr>
        <w:t>Accounting, Organizations and Society</w:t>
      </w:r>
      <w:r w:rsidRPr="005A566B">
        <w:rPr>
          <w:rFonts w:ascii="Arial" w:hAnsi="Arial" w:cs="Arial"/>
          <w:noProof/>
          <w:sz w:val="24"/>
          <w:szCs w:val="24"/>
        </w:rPr>
        <w:t>, 5(4), pp. 413–428. doi: 10.1016/0361-3682(80)90040-9.</w:t>
      </w:r>
    </w:p>
    <w:p w14:paraId="29883A11"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Paul, S. and Boden, R. (2008) ‘The secret life of UK trade credit supply: Setting a </w:t>
      </w:r>
      <w:r w:rsidRPr="005A566B">
        <w:rPr>
          <w:rFonts w:ascii="Arial" w:hAnsi="Arial" w:cs="Arial"/>
          <w:noProof/>
          <w:sz w:val="24"/>
          <w:szCs w:val="24"/>
        </w:rPr>
        <w:lastRenderedPageBreak/>
        <w:t xml:space="preserve">new research agenda’, </w:t>
      </w:r>
      <w:r w:rsidRPr="005A566B">
        <w:rPr>
          <w:rFonts w:ascii="Arial" w:hAnsi="Arial" w:cs="Arial"/>
          <w:i/>
          <w:iCs/>
          <w:noProof/>
          <w:sz w:val="24"/>
          <w:szCs w:val="24"/>
        </w:rPr>
        <w:t>The British Accounting Review</w:t>
      </w:r>
      <w:r w:rsidRPr="005A566B">
        <w:rPr>
          <w:rFonts w:ascii="Arial" w:hAnsi="Arial" w:cs="Arial"/>
          <w:noProof/>
          <w:sz w:val="24"/>
          <w:szCs w:val="24"/>
        </w:rPr>
        <w:t>, 40(3), pp. 272–281. doi: DOI: 10.1016/j.bar.2008.05.007.</w:t>
      </w:r>
    </w:p>
    <w:p w14:paraId="6A285FA9"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Peel, M. J. and Wilson, N. (1996) ‘Working Capital and Financial Management Practices in the Small Firm Sector’, </w:t>
      </w:r>
      <w:r w:rsidRPr="005A566B">
        <w:rPr>
          <w:rFonts w:ascii="Arial" w:hAnsi="Arial" w:cs="Arial"/>
          <w:i/>
          <w:iCs/>
          <w:noProof/>
          <w:sz w:val="24"/>
          <w:szCs w:val="24"/>
        </w:rPr>
        <w:t>International Small Business Journal</w:t>
      </w:r>
      <w:r w:rsidRPr="005A566B">
        <w:rPr>
          <w:rFonts w:ascii="Arial" w:hAnsi="Arial" w:cs="Arial"/>
          <w:noProof/>
          <w:sz w:val="24"/>
          <w:szCs w:val="24"/>
        </w:rPr>
        <w:t>, 14(2), pp. 52–68. doi: 10.1177/0266242696142004.</w:t>
      </w:r>
    </w:p>
    <w:p w14:paraId="29EACD28"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Peel, M. J., Wilson, N. and Howorth, C. (2000) ‘Late Payment and Credit Management in the Small Firm Sector: Some Empirical Evidence’, </w:t>
      </w:r>
      <w:r w:rsidRPr="005A566B">
        <w:rPr>
          <w:rFonts w:ascii="Arial" w:hAnsi="Arial" w:cs="Arial"/>
          <w:i/>
          <w:iCs/>
          <w:noProof/>
          <w:sz w:val="24"/>
          <w:szCs w:val="24"/>
        </w:rPr>
        <w:t>International Small Business Journal</w:t>
      </w:r>
      <w:r w:rsidRPr="005A566B">
        <w:rPr>
          <w:rFonts w:ascii="Arial" w:hAnsi="Arial" w:cs="Arial"/>
          <w:noProof/>
          <w:sz w:val="24"/>
          <w:szCs w:val="24"/>
        </w:rPr>
        <w:t>, 18(2), pp. 17–37. doi: 10.1177/0266242600182001.</w:t>
      </w:r>
    </w:p>
    <w:p w14:paraId="2FCD4D8D"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Peteraf, M. A. (1993) ‘The cornerstones of competitive advantage: A resource</w:t>
      </w:r>
      <w:r w:rsidRPr="005A566B">
        <w:rPr>
          <w:rFonts w:ascii="Cambria Math" w:hAnsi="Cambria Math" w:cs="Cambria Math"/>
          <w:noProof/>
          <w:sz w:val="24"/>
          <w:szCs w:val="24"/>
        </w:rPr>
        <w:t>‐</w:t>
      </w:r>
      <w:r w:rsidRPr="005A566B">
        <w:rPr>
          <w:rFonts w:ascii="Arial" w:hAnsi="Arial" w:cs="Arial"/>
          <w:noProof/>
          <w:sz w:val="24"/>
          <w:szCs w:val="24"/>
        </w:rPr>
        <w:t xml:space="preserve">based view’, </w:t>
      </w:r>
      <w:r w:rsidRPr="005A566B">
        <w:rPr>
          <w:rFonts w:ascii="Arial" w:hAnsi="Arial" w:cs="Arial"/>
          <w:i/>
          <w:iCs/>
          <w:noProof/>
          <w:sz w:val="24"/>
          <w:szCs w:val="24"/>
        </w:rPr>
        <w:t>Strategic Management Journal</w:t>
      </w:r>
      <w:r w:rsidRPr="005A566B">
        <w:rPr>
          <w:rFonts w:ascii="Arial" w:hAnsi="Arial" w:cs="Arial"/>
          <w:noProof/>
          <w:sz w:val="24"/>
          <w:szCs w:val="24"/>
        </w:rPr>
        <w:t>, 14(3), pp. 179–191. doi: 10.1002/smj.4250140303.</w:t>
      </w:r>
    </w:p>
    <w:p w14:paraId="0BF67B0B"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R. Ek ; S. Guerin (2011) ‘Is there a right level of working capital?’, </w:t>
      </w:r>
      <w:r w:rsidRPr="005A566B">
        <w:rPr>
          <w:rFonts w:ascii="Arial" w:hAnsi="Arial" w:cs="Arial"/>
          <w:i/>
          <w:iCs/>
          <w:noProof/>
          <w:sz w:val="24"/>
          <w:szCs w:val="24"/>
        </w:rPr>
        <w:t>Journal of Corporate Treasury Management</w:t>
      </w:r>
      <w:r w:rsidRPr="005A566B">
        <w:rPr>
          <w:rFonts w:ascii="Arial" w:hAnsi="Arial" w:cs="Arial"/>
          <w:noProof/>
          <w:sz w:val="24"/>
          <w:szCs w:val="24"/>
        </w:rPr>
        <w:t>, 4(2), pp. 137–149.</w:t>
      </w:r>
    </w:p>
    <w:p w14:paraId="09DB101E"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Ramiah, V., Zhao, Y., Moosa, I. and Graham, M. (2016) ‘A behavioural finance approach to working capital management’, </w:t>
      </w:r>
      <w:r w:rsidRPr="005A566B">
        <w:rPr>
          <w:rFonts w:ascii="Arial" w:hAnsi="Arial" w:cs="Arial"/>
          <w:i/>
          <w:iCs/>
          <w:noProof/>
          <w:sz w:val="24"/>
          <w:szCs w:val="24"/>
        </w:rPr>
        <w:t>European Journal of Finance</w:t>
      </w:r>
      <w:r w:rsidRPr="005A566B">
        <w:rPr>
          <w:rFonts w:ascii="Arial" w:hAnsi="Arial" w:cs="Arial"/>
          <w:noProof/>
          <w:sz w:val="24"/>
          <w:szCs w:val="24"/>
        </w:rPr>
        <w:t xml:space="preserve">, 22(8–9), </w:t>
      </w:r>
      <w:r w:rsidRPr="005A566B">
        <w:rPr>
          <w:rFonts w:ascii="Arial" w:hAnsi="Arial" w:cs="Arial"/>
          <w:noProof/>
          <w:sz w:val="24"/>
          <w:szCs w:val="24"/>
        </w:rPr>
        <w:lastRenderedPageBreak/>
        <w:t>pp. 662–687. doi: 10.1080/1351847X.2014.883549.</w:t>
      </w:r>
    </w:p>
    <w:p w14:paraId="34060E70"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Rueda-Manzanares, A., Aragón-Correa, J. A. and Sharma, S. (2008) ‘The influence of stakeholders on the environmental strategy of service firms: The moderating effects of complexity, uncertainty and munificence’, </w:t>
      </w:r>
      <w:r w:rsidRPr="005A566B">
        <w:rPr>
          <w:rFonts w:ascii="Arial" w:hAnsi="Arial" w:cs="Arial"/>
          <w:i/>
          <w:iCs/>
          <w:noProof/>
          <w:sz w:val="24"/>
          <w:szCs w:val="24"/>
        </w:rPr>
        <w:t>British Journal of Management</w:t>
      </w:r>
      <w:r w:rsidRPr="005A566B">
        <w:rPr>
          <w:rFonts w:ascii="Arial" w:hAnsi="Arial" w:cs="Arial"/>
          <w:noProof/>
          <w:sz w:val="24"/>
          <w:szCs w:val="24"/>
        </w:rPr>
        <w:t>, 19(2), pp. 185–203. doi: 10.1111/j.1467-8551.2007.00538.x.</w:t>
      </w:r>
    </w:p>
    <w:p w14:paraId="6764B9B9"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Spanos, Y. E., Zaralis, G. and Lioukas, S. (2004) ‘Strategy and industry effects on profitability: Evidence from Greece’, </w:t>
      </w:r>
      <w:r w:rsidRPr="005A566B">
        <w:rPr>
          <w:rFonts w:ascii="Arial" w:hAnsi="Arial" w:cs="Arial"/>
          <w:i/>
          <w:iCs/>
          <w:noProof/>
          <w:sz w:val="24"/>
          <w:szCs w:val="24"/>
        </w:rPr>
        <w:t>Strategic Management Journal</w:t>
      </w:r>
      <w:r w:rsidRPr="005A566B">
        <w:rPr>
          <w:rFonts w:ascii="Arial" w:hAnsi="Arial" w:cs="Arial"/>
          <w:noProof/>
          <w:sz w:val="24"/>
          <w:szCs w:val="24"/>
        </w:rPr>
        <w:t>, 25(2), pp. 139–165. doi: 10.1002/smj.369.</w:t>
      </w:r>
    </w:p>
    <w:p w14:paraId="1E35E2A6" w14:textId="4D8D6FD6"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Tauringana, V. and </w:t>
      </w:r>
      <w:r w:rsidR="007F7428" w:rsidRPr="005A566B">
        <w:rPr>
          <w:rFonts w:ascii="Arial" w:hAnsi="Arial" w:cs="Arial"/>
          <w:noProof/>
          <w:sz w:val="24"/>
          <w:szCs w:val="24"/>
        </w:rPr>
        <w:t>Afrifa, G</w:t>
      </w:r>
      <w:r w:rsidRPr="005A566B">
        <w:rPr>
          <w:rFonts w:ascii="Arial" w:hAnsi="Arial" w:cs="Arial"/>
          <w:noProof/>
          <w:sz w:val="24"/>
          <w:szCs w:val="24"/>
        </w:rPr>
        <w:t xml:space="preserve">. (2013) ‘The relative importance of working capital management and its components to SMEs’ profitability’, </w:t>
      </w:r>
      <w:r w:rsidRPr="005A566B">
        <w:rPr>
          <w:rFonts w:ascii="Arial" w:hAnsi="Arial" w:cs="Arial"/>
          <w:i/>
          <w:iCs/>
          <w:noProof/>
          <w:sz w:val="24"/>
          <w:szCs w:val="24"/>
        </w:rPr>
        <w:t>Journal of Small Business and Enterprise Development</w:t>
      </w:r>
      <w:r w:rsidRPr="005A566B">
        <w:rPr>
          <w:rFonts w:ascii="Arial" w:hAnsi="Arial" w:cs="Arial"/>
          <w:noProof/>
          <w:sz w:val="24"/>
          <w:szCs w:val="24"/>
        </w:rPr>
        <w:t>, 20(3), pp. 453–469. doi: 10.1108/jsbed-12-2011-0029.</w:t>
      </w:r>
    </w:p>
    <w:p w14:paraId="1444B820"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Thorgren, S., Wincent, J. and Anokhin, S. (2010) ‘The importance of compensating strategic network board members for network performance: A contingency approach’, </w:t>
      </w:r>
      <w:r w:rsidRPr="005A566B">
        <w:rPr>
          <w:rFonts w:ascii="Arial" w:hAnsi="Arial" w:cs="Arial"/>
          <w:i/>
          <w:iCs/>
          <w:noProof/>
          <w:sz w:val="24"/>
          <w:szCs w:val="24"/>
        </w:rPr>
        <w:t>British Journal of Management</w:t>
      </w:r>
      <w:r w:rsidRPr="005A566B">
        <w:rPr>
          <w:rFonts w:ascii="Arial" w:hAnsi="Arial" w:cs="Arial"/>
          <w:noProof/>
          <w:sz w:val="24"/>
          <w:szCs w:val="24"/>
        </w:rPr>
        <w:t>, 21(1), pp. 131–151. doi: 10.1111/j.1467-8551.2009.00674.x.</w:t>
      </w:r>
    </w:p>
    <w:p w14:paraId="2B58517C"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lastRenderedPageBreak/>
        <w:t>Venkatraman, N. and Prescott, J. E. (1990) ‘Environment</w:t>
      </w:r>
      <w:r w:rsidRPr="005A566B">
        <w:rPr>
          <w:rFonts w:ascii="Cambria Math" w:hAnsi="Cambria Math" w:cs="Cambria Math"/>
          <w:noProof/>
          <w:sz w:val="24"/>
          <w:szCs w:val="24"/>
        </w:rPr>
        <w:t>‐</w:t>
      </w:r>
      <w:r w:rsidRPr="005A566B">
        <w:rPr>
          <w:rFonts w:ascii="Arial" w:hAnsi="Arial" w:cs="Arial"/>
          <w:noProof/>
          <w:sz w:val="24"/>
          <w:szCs w:val="24"/>
        </w:rPr>
        <w:t xml:space="preserve">strategy coalignment: An empirical test of its performance implications’, </w:t>
      </w:r>
      <w:r w:rsidRPr="005A566B">
        <w:rPr>
          <w:rFonts w:ascii="Arial" w:hAnsi="Arial" w:cs="Arial"/>
          <w:i/>
          <w:iCs/>
          <w:noProof/>
          <w:sz w:val="24"/>
          <w:szCs w:val="24"/>
        </w:rPr>
        <w:t>Strategic Management Journal</w:t>
      </w:r>
      <w:r w:rsidRPr="005A566B">
        <w:rPr>
          <w:rFonts w:ascii="Arial" w:hAnsi="Arial" w:cs="Arial"/>
          <w:noProof/>
          <w:sz w:val="24"/>
          <w:szCs w:val="24"/>
        </w:rPr>
        <w:t>, 11(1), pp. 1–23. doi: 10.1002/smj.4250110102.</w:t>
      </w:r>
    </w:p>
    <w:p w14:paraId="763ABBD0" w14:textId="77777777"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Wadongo, B. and Abdel-Kader, M. (2014) ‘Contingency theory, performance management and organisational effectiveness in the third sector: A theoretical framework’, </w:t>
      </w:r>
      <w:r w:rsidRPr="005A566B">
        <w:rPr>
          <w:rFonts w:ascii="Arial" w:hAnsi="Arial" w:cs="Arial"/>
          <w:i/>
          <w:iCs/>
          <w:noProof/>
          <w:sz w:val="24"/>
          <w:szCs w:val="24"/>
        </w:rPr>
        <w:t>International Journal of Productivity and Performance Management</w:t>
      </w:r>
      <w:r w:rsidRPr="005A566B">
        <w:rPr>
          <w:rFonts w:ascii="Arial" w:hAnsi="Arial" w:cs="Arial"/>
          <w:noProof/>
          <w:sz w:val="24"/>
          <w:szCs w:val="24"/>
        </w:rPr>
        <w:t>, 63(6), pp. 680–703. doi: 10.1108/IJPPM-09-2013-0161.</w:t>
      </w:r>
    </w:p>
    <w:p w14:paraId="46441C7D" w14:textId="56AC6DFC" w:rsidR="00027747" w:rsidRPr="005A566B" w:rsidRDefault="00027747"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 xml:space="preserve">Wu, S., Quan, X. and Xu, L. (2011) ‘CEO power, disclosure quality and the variability of firm performance’, </w:t>
      </w:r>
      <w:r w:rsidRPr="005A566B">
        <w:rPr>
          <w:rFonts w:ascii="Arial" w:hAnsi="Arial" w:cs="Arial"/>
          <w:i/>
          <w:iCs/>
          <w:noProof/>
          <w:sz w:val="24"/>
          <w:szCs w:val="24"/>
        </w:rPr>
        <w:t>Nankai Business Review International</w:t>
      </w:r>
      <w:r w:rsidRPr="005A566B">
        <w:rPr>
          <w:rFonts w:ascii="Arial" w:hAnsi="Arial" w:cs="Arial"/>
          <w:noProof/>
          <w:sz w:val="24"/>
          <w:szCs w:val="24"/>
        </w:rPr>
        <w:t>, 2(1), pp. 79–97. doi: 10.1108/20408741111113510.</w:t>
      </w:r>
    </w:p>
    <w:p w14:paraId="30042E85" w14:textId="5D31D4AC" w:rsidR="007F7428" w:rsidRPr="005A566B" w:rsidRDefault="007F7428" w:rsidP="00027747">
      <w:pPr>
        <w:widowControl w:val="0"/>
        <w:autoSpaceDE w:val="0"/>
        <w:autoSpaceDN w:val="0"/>
        <w:adjustRightInd w:val="0"/>
        <w:spacing w:line="240" w:lineRule="auto"/>
        <w:rPr>
          <w:rFonts w:ascii="Arial" w:hAnsi="Arial" w:cs="Arial"/>
          <w:noProof/>
          <w:sz w:val="24"/>
          <w:szCs w:val="24"/>
        </w:rPr>
      </w:pPr>
      <w:r w:rsidRPr="005A566B">
        <w:rPr>
          <w:rFonts w:ascii="Arial" w:hAnsi="Arial" w:cs="Arial"/>
          <w:noProof/>
          <w:sz w:val="24"/>
          <w:szCs w:val="24"/>
        </w:rPr>
        <w:t>Zalata, A.M, Tauringana, V and Tingbani, I. (2018) '</w:t>
      </w:r>
      <w:r w:rsidRPr="005A566B">
        <w:rPr>
          <w:rFonts w:ascii="Arial" w:hAnsi="Arial" w:cs="Arial"/>
          <w:sz w:val="18"/>
          <w:szCs w:val="18"/>
          <w:shd w:val="clear" w:color="auto" w:fill="FFFFFF"/>
        </w:rPr>
        <w:t xml:space="preserve"> </w:t>
      </w:r>
      <w:r w:rsidRPr="00E92D44">
        <w:rPr>
          <w:rFonts w:ascii="Arial" w:hAnsi="Arial" w:cs="Arial"/>
          <w:noProof/>
          <w:sz w:val="24"/>
          <w:szCs w:val="24"/>
        </w:rPr>
        <w:t>Audit committee financial expertise, gender, and earnings management: Does gender of the financial expert matter?',</w:t>
      </w:r>
      <w:r w:rsidRPr="005A566B">
        <w:rPr>
          <w:rFonts w:ascii="Arial" w:hAnsi="Arial" w:cs="Arial"/>
          <w:noProof/>
          <w:sz w:val="24"/>
          <w:szCs w:val="24"/>
        </w:rPr>
        <w:t> </w:t>
      </w:r>
      <w:r w:rsidRPr="005A566B">
        <w:rPr>
          <w:rFonts w:ascii="Arial" w:hAnsi="Arial" w:cs="Arial"/>
          <w:i/>
          <w:iCs/>
          <w:noProof/>
          <w:sz w:val="24"/>
          <w:szCs w:val="24"/>
        </w:rPr>
        <w:t>International review of financial analysis</w:t>
      </w:r>
      <w:r w:rsidRPr="005A566B">
        <w:rPr>
          <w:rFonts w:ascii="Arial" w:hAnsi="Arial" w:cs="Arial"/>
          <w:noProof/>
          <w:sz w:val="24"/>
          <w:szCs w:val="24"/>
        </w:rPr>
        <w:t>, 55, pp. 170-183.</w:t>
      </w:r>
    </w:p>
    <w:p w14:paraId="3E05BFE7" w14:textId="77777777" w:rsidR="00027747" w:rsidRPr="005A566B" w:rsidRDefault="00027747" w:rsidP="00027747">
      <w:pPr>
        <w:widowControl w:val="0"/>
        <w:autoSpaceDE w:val="0"/>
        <w:autoSpaceDN w:val="0"/>
        <w:adjustRightInd w:val="0"/>
        <w:spacing w:line="240" w:lineRule="auto"/>
        <w:rPr>
          <w:rFonts w:ascii="Arial" w:hAnsi="Arial" w:cs="Arial"/>
          <w:noProof/>
          <w:sz w:val="24"/>
        </w:rPr>
      </w:pPr>
      <w:r w:rsidRPr="005A566B">
        <w:rPr>
          <w:rFonts w:ascii="Arial" w:hAnsi="Arial" w:cs="Arial"/>
          <w:noProof/>
          <w:sz w:val="24"/>
          <w:szCs w:val="24"/>
        </w:rPr>
        <w:t xml:space="preserve">Zona, F., Zattoni, A. and Minichilli, A. (2013) ‘A Contingency Model of Boards of Directors and Firm Innovation: The Moderating Role of Firm Size’, </w:t>
      </w:r>
      <w:r w:rsidRPr="005A566B">
        <w:rPr>
          <w:rFonts w:ascii="Arial" w:hAnsi="Arial" w:cs="Arial"/>
          <w:i/>
          <w:iCs/>
          <w:noProof/>
          <w:sz w:val="24"/>
          <w:szCs w:val="24"/>
        </w:rPr>
        <w:t xml:space="preserve">British Journal of </w:t>
      </w:r>
      <w:r w:rsidRPr="005A566B">
        <w:rPr>
          <w:rFonts w:ascii="Arial" w:hAnsi="Arial" w:cs="Arial"/>
          <w:i/>
          <w:iCs/>
          <w:noProof/>
          <w:sz w:val="24"/>
          <w:szCs w:val="24"/>
        </w:rPr>
        <w:lastRenderedPageBreak/>
        <w:t>Management</w:t>
      </w:r>
      <w:r w:rsidRPr="005A566B">
        <w:rPr>
          <w:rFonts w:ascii="Arial" w:hAnsi="Arial" w:cs="Arial"/>
          <w:noProof/>
          <w:sz w:val="24"/>
          <w:szCs w:val="24"/>
        </w:rPr>
        <w:t>, 24(3), pp. 299–315. doi: 10.1111/j.1467-8551.2011.00805.x.</w:t>
      </w:r>
    </w:p>
    <w:p w14:paraId="0A64FEBB" w14:textId="19F7BFF1" w:rsidR="00FC14A5" w:rsidRPr="00E92D44" w:rsidRDefault="00EE29BC" w:rsidP="00027747">
      <w:pPr>
        <w:widowControl w:val="0"/>
        <w:autoSpaceDE w:val="0"/>
        <w:autoSpaceDN w:val="0"/>
        <w:adjustRightInd w:val="0"/>
        <w:spacing w:line="240" w:lineRule="auto"/>
        <w:rPr>
          <w:rFonts w:ascii="Arial" w:hAnsi="Arial" w:cs="Arial"/>
          <w:bCs/>
          <w:iCs/>
          <w:sz w:val="24"/>
          <w:szCs w:val="24"/>
        </w:rPr>
      </w:pPr>
      <w:r w:rsidRPr="00E92D44">
        <w:rPr>
          <w:rFonts w:ascii="Arial" w:hAnsi="Arial" w:cs="Arial"/>
          <w:bCs/>
          <w:iCs/>
          <w:sz w:val="24"/>
          <w:szCs w:val="24"/>
        </w:rPr>
        <w:fldChar w:fldCharType="end"/>
      </w:r>
    </w:p>
    <w:p w14:paraId="5F8CFF55"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3F2C5C73"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23E36D9D"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66F0DE99"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4198871F"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13848D8D"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5F37132B"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5EE73442"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66CCA76F"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544036E6"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3E86ECC6"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59362BE3"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0E3E9A01"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12A6D97B" w14:textId="77777777" w:rsidR="00FC14A5" w:rsidRPr="005A566B" w:rsidRDefault="00FC14A5" w:rsidP="00FC14A5">
      <w:pPr>
        <w:widowControl w:val="0"/>
        <w:autoSpaceDE w:val="0"/>
        <w:autoSpaceDN w:val="0"/>
        <w:adjustRightInd w:val="0"/>
        <w:spacing w:line="240" w:lineRule="auto"/>
        <w:contextualSpacing/>
        <w:jc w:val="both"/>
        <w:rPr>
          <w:rFonts w:ascii="Arial" w:hAnsi="Arial" w:cs="Arial"/>
          <w:bCs/>
          <w:iCs/>
          <w:sz w:val="24"/>
          <w:szCs w:val="24"/>
        </w:rPr>
        <w:sectPr w:rsidR="00FC14A5" w:rsidRPr="005A566B" w:rsidSect="00FC14A5">
          <w:footerReference w:type="default" r:id="rId8"/>
          <w:pgSz w:w="11906" w:h="16838"/>
          <w:pgMar w:top="1440" w:right="1440" w:bottom="1440" w:left="1440" w:header="709" w:footer="709" w:gutter="0"/>
          <w:cols w:space="708"/>
          <w:docGrid w:linePitch="360"/>
        </w:sectPr>
      </w:pPr>
    </w:p>
    <w:p w14:paraId="25F1F13E" w14:textId="77777777" w:rsidR="00FC14A5" w:rsidRPr="005A566B" w:rsidRDefault="00FC14A5" w:rsidP="00FC14A5">
      <w:pPr>
        <w:widowControl w:val="0"/>
        <w:autoSpaceDE w:val="0"/>
        <w:autoSpaceDN w:val="0"/>
        <w:adjustRightInd w:val="0"/>
        <w:spacing w:line="240" w:lineRule="auto"/>
        <w:contextualSpacing/>
        <w:jc w:val="both"/>
        <w:rPr>
          <w:rFonts w:ascii="Arial" w:hAnsi="Arial" w:cs="Arial"/>
          <w:bCs/>
          <w:iCs/>
          <w:sz w:val="24"/>
          <w:szCs w:val="24"/>
        </w:rPr>
      </w:pPr>
    </w:p>
    <w:p w14:paraId="4DC09BC8"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p w14:paraId="712533B3" w14:textId="77777777" w:rsidR="00FC14A5" w:rsidRPr="005A566B" w:rsidRDefault="00FC14A5" w:rsidP="004D2EDB">
      <w:pPr>
        <w:widowControl w:val="0"/>
        <w:autoSpaceDE w:val="0"/>
        <w:autoSpaceDN w:val="0"/>
        <w:adjustRightInd w:val="0"/>
        <w:spacing w:line="240" w:lineRule="auto"/>
        <w:ind w:left="480" w:hanging="720"/>
        <w:contextualSpacing/>
        <w:jc w:val="both"/>
        <w:rPr>
          <w:rFonts w:ascii="Arial" w:hAnsi="Arial" w:cs="Arial"/>
          <w:bCs/>
          <w:iCs/>
          <w:sz w:val="24"/>
          <w:szCs w:val="24"/>
        </w:rPr>
      </w:pPr>
    </w:p>
    <w:tbl>
      <w:tblPr>
        <w:tblW w:w="14455" w:type="dxa"/>
        <w:jc w:val="center"/>
        <w:tblLook w:val="04A0" w:firstRow="1" w:lastRow="0" w:firstColumn="1" w:lastColumn="0" w:noHBand="0" w:noVBand="1"/>
      </w:tblPr>
      <w:tblGrid>
        <w:gridCol w:w="3155"/>
        <w:gridCol w:w="1583"/>
        <w:gridCol w:w="9717"/>
      </w:tblGrid>
      <w:tr w:rsidR="00FC14A5" w:rsidRPr="005A566B" w14:paraId="3B4E2018" w14:textId="77777777" w:rsidTr="00FC14A5">
        <w:trPr>
          <w:trHeight w:val="301"/>
          <w:jc w:val="center"/>
        </w:trPr>
        <w:tc>
          <w:tcPr>
            <w:tcW w:w="14455" w:type="dxa"/>
            <w:gridSpan w:val="3"/>
            <w:tcBorders>
              <w:top w:val="nil"/>
              <w:left w:val="nil"/>
              <w:bottom w:val="nil"/>
              <w:right w:val="nil"/>
            </w:tcBorders>
            <w:shd w:val="clear" w:color="auto" w:fill="auto"/>
            <w:noWrap/>
            <w:vAlign w:val="bottom"/>
          </w:tcPr>
          <w:p w14:paraId="3B3D5762" w14:textId="77777777" w:rsidR="00FC14A5" w:rsidRPr="005A566B" w:rsidRDefault="00FC14A5" w:rsidP="00FC14A5">
            <w:pPr>
              <w:spacing w:after="200" w:line="276" w:lineRule="auto"/>
              <w:rPr>
                <w:rFonts w:ascii="Arial" w:eastAsia="Calibri" w:hAnsi="Arial" w:cs="Arial"/>
              </w:rPr>
            </w:pPr>
            <w:bookmarkStart w:id="249" w:name="OLE_LINK141"/>
            <w:bookmarkStart w:id="250" w:name="OLE_LINK142"/>
            <w:bookmarkStart w:id="251" w:name="OLE_LINK143"/>
            <w:bookmarkStart w:id="252" w:name="OLE_LINK144"/>
            <w:bookmarkStart w:id="253" w:name="OLE_LINK145"/>
            <w:r w:rsidRPr="00E92D44">
              <w:rPr>
                <w:rFonts w:ascii="Arial" w:eastAsia="Calibri" w:hAnsi="Arial" w:cs="Arial"/>
                <w:b/>
                <w:noProof/>
                <w:lang w:eastAsia="en-GB"/>
              </w:rPr>
              <mc:AlternateContent>
                <mc:Choice Requires="wps">
                  <w:drawing>
                    <wp:anchor distT="4294967293" distB="4294967293" distL="114300" distR="114300" simplePos="0" relativeHeight="251659264" behindDoc="0" locked="0" layoutInCell="1" allowOverlap="1" wp14:anchorId="43152163" wp14:editId="1CAE992D">
                      <wp:simplePos x="0" y="0"/>
                      <wp:positionH relativeFrom="column">
                        <wp:posOffset>3810</wp:posOffset>
                      </wp:positionH>
                      <wp:positionV relativeFrom="paragraph">
                        <wp:posOffset>167639</wp:posOffset>
                      </wp:positionV>
                      <wp:extent cx="8652510" cy="0"/>
                      <wp:effectExtent l="0" t="0" r="15240" b="190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52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B798FF" id="Straight Connector 69"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pt,13.2pt" to="681.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">
                      <o:lock v:ext="edit" shapetype="f"/>
                    </v:line>
                  </w:pict>
                </mc:Fallback>
              </mc:AlternateContent>
            </w:r>
            <w:r w:rsidR="00D86DF0" w:rsidRPr="00E92D44">
              <w:rPr>
                <w:rFonts w:ascii="Arial" w:eastAsia="Calibri" w:hAnsi="Arial" w:cs="Arial"/>
                <w:b/>
              </w:rPr>
              <w:t>Table 1:</w:t>
            </w:r>
            <w:r w:rsidRPr="005A566B">
              <w:rPr>
                <w:rFonts w:ascii="Arial" w:eastAsia="Calibri" w:hAnsi="Arial" w:cs="Arial"/>
              </w:rPr>
              <w:t xml:space="preserve"> </w:t>
            </w:r>
            <w:r w:rsidRPr="005A566B">
              <w:rPr>
                <w:rFonts w:ascii="Arial" w:eastAsia="Calibri" w:hAnsi="Arial" w:cs="Arial"/>
                <w:bCs/>
              </w:rPr>
              <w:t>Summary of variables, calculations and definitions</w:t>
            </w:r>
          </w:p>
        </w:tc>
      </w:tr>
      <w:tr w:rsidR="00FC14A5" w:rsidRPr="005A566B" w14:paraId="59F8BA8D" w14:textId="77777777" w:rsidTr="00FC14A5">
        <w:trPr>
          <w:trHeight w:val="301"/>
          <w:jc w:val="center"/>
        </w:trPr>
        <w:tc>
          <w:tcPr>
            <w:tcW w:w="3155" w:type="dxa"/>
            <w:tcBorders>
              <w:top w:val="nil"/>
              <w:left w:val="nil"/>
              <w:bottom w:val="nil"/>
              <w:right w:val="nil"/>
            </w:tcBorders>
            <w:shd w:val="clear" w:color="auto" w:fill="auto"/>
            <w:noWrap/>
            <w:vAlign w:val="bottom"/>
          </w:tcPr>
          <w:p w14:paraId="3F321C39" w14:textId="77777777" w:rsidR="00FC14A5" w:rsidRPr="00E92D44" w:rsidRDefault="00FC14A5" w:rsidP="00FC14A5">
            <w:pPr>
              <w:spacing w:after="200" w:line="276" w:lineRule="auto"/>
              <w:rPr>
                <w:rFonts w:ascii="Arial" w:eastAsia="Calibri" w:hAnsi="Arial" w:cs="Arial"/>
                <w:bCs/>
              </w:rPr>
            </w:pPr>
            <w:r w:rsidRPr="00E92D44">
              <w:rPr>
                <w:rFonts w:ascii="Arial" w:eastAsia="Calibri" w:hAnsi="Arial" w:cs="Arial"/>
                <w:noProof/>
                <w:lang w:eastAsia="en-GB"/>
              </w:rPr>
              <mc:AlternateContent>
                <mc:Choice Requires="wps">
                  <w:drawing>
                    <wp:anchor distT="4294967293" distB="4294967293" distL="114300" distR="114300" simplePos="0" relativeHeight="251660288" behindDoc="0" locked="0" layoutInCell="1" allowOverlap="1" wp14:anchorId="71370E63" wp14:editId="682FF143">
                      <wp:simplePos x="0" y="0"/>
                      <wp:positionH relativeFrom="column">
                        <wp:posOffset>5715</wp:posOffset>
                      </wp:positionH>
                      <wp:positionV relativeFrom="paragraph">
                        <wp:posOffset>182244</wp:posOffset>
                      </wp:positionV>
                      <wp:extent cx="8631555" cy="0"/>
                      <wp:effectExtent l="0" t="0" r="17145" b="19050"/>
                      <wp:wrapNone/>
                      <wp:docPr id="70" name="Straight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31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AB4272" id="Straight Connector 70"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pt,14.35pt" to="680.1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">
                      <o:lock v:ext="edit" shapetype="f"/>
                    </v:line>
                  </w:pict>
                </mc:Fallback>
              </mc:AlternateContent>
            </w:r>
            <w:r w:rsidRPr="00E92D44">
              <w:rPr>
                <w:rFonts w:ascii="Arial" w:eastAsia="Calibri" w:hAnsi="Arial" w:cs="Arial"/>
                <w:bCs/>
              </w:rPr>
              <w:t>Variable</w:t>
            </w:r>
          </w:p>
        </w:tc>
        <w:tc>
          <w:tcPr>
            <w:tcW w:w="1583" w:type="dxa"/>
            <w:tcBorders>
              <w:top w:val="nil"/>
              <w:left w:val="nil"/>
              <w:bottom w:val="nil"/>
              <w:right w:val="nil"/>
            </w:tcBorders>
            <w:shd w:val="clear" w:color="auto" w:fill="auto"/>
            <w:noWrap/>
            <w:vAlign w:val="bottom"/>
          </w:tcPr>
          <w:p w14:paraId="007198F1" w14:textId="77777777" w:rsidR="00FC14A5" w:rsidRPr="005A566B" w:rsidRDefault="00FC14A5" w:rsidP="00FC14A5">
            <w:pPr>
              <w:spacing w:after="200" w:line="276" w:lineRule="auto"/>
              <w:rPr>
                <w:rFonts w:ascii="Arial" w:eastAsia="Calibri" w:hAnsi="Arial" w:cs="Arial"/>
                <w:bCs/>
              </w:rPr>
            </w:pPr>
            <w:r w:rsidRPr="005A566B">
              <w:rPr>
                <w:rFonts w:ascii="Arial" w:eastAsia="Calibri" w:hAnsi="Arial" w:cs="Arial"/>
                <w:bCs/>
              </w:rPr>
              <w:t>Acronym</w:t>
            </w:r>
          </w:p>
        </w:tc>
        <w:tc>
          <w:tcPr>
            <w:tcW w:w="9717" w:type="dxa"/>
            <w:tcBorders>
              <w:top w:val="nil"/>
              <w:left w:val="nil"/>
              <w:bottom w:val="nil"/>
              <w:right w:val="nil"/>
            </w:tcBorders>
            <w:shd w:val="clear" w:color="auto" w:fill="auto"/>
            <w:noWrap/>
            <w:vAlign w:val="bottom"/>
          </w:tcPr>
          <w:p w14:paraId="21050E0D" w14:textId="77777777" w:rsidR="00FC14A5" w:rsidRPr="005A566B" w:rsidRDefault="00FC14A5" w:rsidP="00FC14A5">
            <w:pPr>
              <w:spacing w:after="200" w:line="276" w:lineRule="auto"/>
              <w:rPr>
                <w:rFonts w:ascii="Arial" w:eastAsia="Calibri" w:hAnsi="Arial" w:cs="Arial"/>
                <w:bCs/>
              </w:rPr>
            </w:pPr>
            <w:r w:rsidRPr="005A566B">
              <w:rPr>
                <w:rFonts w:ascii="Arial" w:eastAsia="Calibri" w:hAnsi="Arial" w:cs="Arial"/>
                <w:bCs/>
              </w:rPr>
              <w:t>Description</w:t>
            </w:r>
          </w:p>
        </w:tc>
      </w:tr>
      <w:tr w:rsidR="00FC14A5" w:rsidRPr="005A566B" w14:paraId="014AD966" w14:textId="77777777" w:rsidTr="00FC14A5">
        <w:trPr>
          <w:trHeight w:val="244"/>
          <w:jc w:val="center"/>
        </w:trPr>
        <w:tc>
          <w:tcPr>
            <w:tcW w:w="3155" w:type="dxa"/>
            <w:tcBorders>
              <w:top w:val="nil"/>
              <w:left w:val="nil"/>
              <w:bottom w:val="nil"/>
              <w:right w:val="nil"/>
            </w:tcBorders>
            <w:shd w:val="clear" w:color="auto" w:fill="auto"/>
            <w:noWrap/>
            <w:vAlign w:val="bottom"/>
          </w:tcPr>
          <w:p w14:paraId="3619908C" w14:textId="77777777" w:rsidR="00FC14A5" w:rsidRPr="005A566B" w:rsidRDefault="00FC14A5" w:rsidP="00FC14A5">
            <w:pPr>
              <w:spacing w:after="200" w:line="240" w:lineRule="auto"/>
              <w:contextualSpacing/>
              <w:rPr>
                <w:rFonts w:ascii="Arial" w:eastAsia="Calibri" w:hAnsi="Arial" w:cs="Arial"/>
                <w:bCs/>
              </w:rPr>
            </w:pPr>
            <w:bookmarkStart w:id="254" w:name="OLE_LINK245"/>
            <w:bookmarkStart w:id="255" w:name="OLE_LINK246"/>
            <w:bookmarkStart w:id="256" w:name="OLE_LINK247"/>
            <w:r w:rsidRPr="005A566B">
              <w:rPr>
                <w:rFonts w:ascii="Arial" w:eastAsia="Calibri" w:hAnsi="Arial" w:cs="Arial"/>
                <w:bCs/>
              </w:rPr>
              <w:t>Dependent variable</w:t>
            </w:r>
            <w:r w:rsidRPr="005A566B">
              <w:rPr>
                <w:rFonts w:ascii="Arial" w:eastAsia="Calibri" w:hAnsi="Arial" w:cs="Arial"/>
              </w:rPr>
              <w:t xml:space="preserve"> </w:t>
            </w:r>
            <w:bookmarkEnd w:id="254"/>
            <w:bookmarkEnd w:id="255"/>
            <w:bookmarkEnd w:id="256"/>
          </w:p>
        </w:tc>
        <w:tc>
          <w:tcPr>
            <w:tcW w:w="1583" w:type="dxa"/>
            <w:tcBorders>
              <w:top w:val="nil"/>
              <w:left w:val="nil"/>
              <w:bottom w:val="nil"/>
              <w:right w:val="nil"/>
            </w:tcBorders>
            <w:shd w:val="clear" w:color="auto" w:fill="auto"/>
            <w:noWrap/>
            <w:vAlign w:val="bottom"/>
          </w:tcPr>
          <w:p w14:paraId="0DCB1A70" w14:textId="77777777" w:rsidR="00FC14A5" w:rsidRPr="005A566B" w:rsidRDefault="00FC14A5" w:rsidP="00FC14A5">
            <w:pPr>
              <w:spacing w:after="200" w:line="240" w:lineRule="auto"/>
              <w:contextualSpacing/>
              <w:rPr>
                <w:rFonts w:ascii="Arial" w:eastAsia="Calibri" w:hAnsi="Arial" w:cs="Arial"/>
                <w:bCs/>
              </w:rPr>
            </w:pPr>
          </w:p>
        </w:tc>
        <w:tc>
          <w:tcPr>
            <w:tcW w:w="9717" w:type="dxa"/>
            <w:tcBorders>
              <w:top w:val="nil"/>
              <w:left w:val="nil"/>
              <w:bottom w:val="nil"/>
              <w:right w:val="nil"/>
            </w:tcBorders>
            <w:shd w:val="clear" w:color="auto" w:fill="auto"/>
            <w:noWrap/>
            <w:vAlign w:val="bottom"/>
          </w:tcPr>
          <w:p w14:paraId="43C1EA6B" w14:textId="77777777" w:rsidR="00FC14A5" w:rsidRPr="005A566B" w:rsidRDefault="00FC14A5" w:rsidP="00FC14A5">
            <w:pPr>
              <w:spacing w:after="200" w:line="240" w:lineRule="auto"/>
              <w:contextualSpacing/>
              <w:rPr>
                <w:rFonts w:ascii="Arial" w:eastAsia="Calibri" w:hAnsi="Arial" w:cs="Arial"/>
                <w:bCs/>
              </w:rPr>
            </w:pPr>
          </w:p>
        </w:tc>
      </w:tr>
      <w:tr w:rsidR="00FC14A5" w:rsidRPr="005A566B" w14:paraId="2443D0C7" w14:textId="77777777" w:rsidTr="00FC14A5">
        <w:trPr>
          <w:trHeight w:val="569"/>
          <w:jc w:val="center"/>
        </w:trPr>
        <w:tc>
          <w:tcPr>
            <w:tcW w:w="3155" w:type="dxa"/>
            <w:tcBorders>
              <w:top w:val="nil"/>
              <w:left w:val="nil"/>
              <w:bottom w:val="nil"/>
              <w:right w:val="nil"/>
            </w:tcBorders>
            <w:shd w:val="clear" w:color="auto" w:fill="auto"/>
            <w:noWrap/>
            <w:vAlign w:val="bottom"/>
          </w:tcPr>
          <w:p w14:paraId="2F82DF52"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Return on assets</w:t>
            </w:r>
          </w:p>
        </w:tc>
        <w:tc>
          <w:tcPr>
            <w:tcW w:w="1583" w:type="dxa"/>
            <w:tcBorders>
              <w:top w:val="nil"/>
              <w:left w:val="nil"/>
              <w:bottom w:val="nil"/>
              <w:right w:val="nil"/>
            </w:tcBorders>
            <w:shd w:val="clear" w:color="auto" w:fill="auto"/>
            <w:noWrap/>
            <w:vAlign w:val="bottom"/>
          </w:tcPr>
          <w:p w14:paraId="4ABE0848" w14:textId="77777777" w:rsidR="00FC14A5" w:rsidRPr="005A566B" w:rsidRDefault="00FC14A5" w:rsidP="00FC14A5">
            <w:pPr>
              <w:spacing w:after="200" w:line="240" w:lineRule="auto"/>
              <w:contextualSpacing/>
              <w:rPr>
                <w:rFonts w:ascii="Arial" w:eastAsia="Calibri" w:hAnsi="Arial" w:cs="Arial"/>
                <w:bCs/>
              </w:rPr>
            </w:pPr>
          </w:p>
          <w:p w14:paraId="7750A009"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ROA</w:t>
            </w:r>
          </w:p>
        </w:tc>
        <w:tc>
          <w:tcPr>
            <w:tcW w:w="9717" w:type="dxa"/>
            <w:tcBorders>
              <w:top w:val="nil"/>
              <w:left w:val="nil"/>
              <w:bottom w:val="nil"/>
              <w:right w:val="nil"/>
            </w:tcBorders>
            <w:shd w:val="clear" w:color="auto" w:fill="auto"/>
            <w:noWrap/>
            <w:vAlign w:val="bottom"/>
          </w:tcPr>
          <w:p w14:paraId="6B1874C0"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Ratio of profit before interest and tax to total assets.</w:t>
            </w:r>
          </w:p>
        </w:tc>
      </w:tr>
      <w:tr w:rsidR="00FC14A5" w:rsidRPr="005A566B" w14:paraId="77991F1E" w14:textId="77777777" w:rsidTr="00FC14A5">
        <w:trPr>
          <w:trHeight w:val="569"/>
          <w:jc w:val="center"/>
        </w:trPr>
        <w:tc>
          <w:tcPr>
            <w:tcW w:w="3155" w:type="dxa"/>
            <w:tcBorders>
              <w:top w:val="nil"/>
              <w:left w:val="nil"/>
              <w:bottom w:val="nil"/>
              <w:right w:val="nil"/>
            </w:tcBorders>
            <w:shd w:val="clear" w:color="auto" w:fill="auto"/>
            <w:noWrap/>
            <w:vAlign w:val="bottom"/>
          </w:tcPr>
          <w:p w14:paraId="58AD32D7"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Tobin’s Q Ratio</w:t>
            </w:r>
          </w:p>
        </w:tc>
        <w:tc>
          <w:tcPr>
            <w:tcW w:w="1583" w:type="dxa"/>
            <w:tcBorders>
              <w:top w:val="nil"/>
              <w:left w:val="nil"/>
              <w:bottom w:val="nil"/>
              <w:right w:val="nil"/>
            </w:tcBorders>
            <w:shd w:val="clear" w:color="auto" w:fill="auto"/>
            <w:noWrap/>
            <w:vAlign w:val="bottom"/>
          </w:tcPr>
          <w:p w14:paraId="07844610"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QRATIO</w:t>
            </w:r>
          </w:p>
        </w:tc>
        <w:tc>
          <w:tcPr>
            <w:tcW w:w="9717" w:type="dxa"/>
            <w:tcBorders>
              <w:top w:val="nil"/>
              <w:left w:val="nil"/>
              <w:bottom w:val="nil"/>
              <w:right w:val="nil"/>
            </w:tcBorders>
            <w:shd w:val="clear" w:color="auto" w:fill="auto"/>
            <w:noWrap/>
            <w:vAlign w:val="bottom"/>
          </w:tcPr>
          <w:p w14:paraId="78809320"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rPr>
              <w:t>Ratio of total assets minus book value of equity plus market value of equity to total assets.</w:t>
            </w:r>
          </w:p>
        </w:tc>
      </w:tr>
      <w:tr w:rsidR="00FC14A5" w:rsidRPr="005A566B" w14:paraId="2B63419F" w14:textId="77777777" w:rsidTr="00FC14A5">
        <w:trPr>
          <w:trHeight w:val="569"/>
          <w:jc w:val="center"/>
        </w:trPr>
        <w:tc>
          <w:tcPr>
            <w:tcW w:w="3155" w:type="dxa"/>
            <w:tcBorders>
              <w:top w:val="nil"/>
              <w:left w:val="nil"/>
              <w:bottom w:val="nil"/>
              <w:right w:val="nil"/>
            </w:tcBorders>
            <w:shd w:val="clear" w:color="auto" w:fill="auto"/>
            <w:noWrap/>
            <w:vAlign w:val="bottom"/>
          </w:tcPr>
          <w:p w14:paraId="484BC2B3"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Independent variable</w:t>
            </w:r>
          </w:p>
        </w:tc>
        <w:tc>
          <w:tcPr>
            <w:tcW w:w="1583" w:type="dxa"/>
            <w:tcBorders>
              <w:top w:val="nil"/>
              <w:left w:val="nil"/>
              <w:bottom w:val="nil"/>
              <w:right w:val="nil"/>
            </w:tcBorders>
            <w:shd w:val="clear" w:color="auto" w:fill="auto"/>
            <w:noWrap/>
            <w:vAlign w:val="bottom"/>
          </w:tcPr>
          <w:p w14:paraId="1D793029" w14:textId="77777777" w:rsidR="00FC14A5" w:rsidRPr="005A566B" w:rsidRDefault="00FC14A5" w:rsidP="00FC14A5">
            <w:pPr>
              <w:spacing w:after="200" w:line="240" w:lineRule="auto"/>
              <w:contextualSpacing/>
              <w:rPr>
                <w:rFonts w:ascii="Arial" w:eastAsia="Calibri" w:hAnsi="Arial" w:cs="Arial"/>
                <w:bCs/>
              </w:rPr>
            </w:pPr>
          </w:p>
        </w:tc>
        <w:tc>
          <w:tcPr>
            <w:tcW w:w="9717" w:type="dxa"/>
            <w:tcBorders>
              <w:top w:val="nil"/>
              <w:left w:val="nil"/>
              <w:bottom w:val="nil"/>
              <w:right w:val="nil"/>
            </w:tcBorders>
            <w:shd w:val="clear" w:color="auto" w:fill="auto"/>
            <w:noWrap/>
            <w:vAlign w:val="bottom"/>
          </w:tcPr>
          <w:p w14:paraId="4D395449" w14:textId="77777777" w:rsidR="00FC14A5" w:rsidRPr="005A566B" w:rsidRDefault="00FC14A5" w:rsidP="00FC14A5">
            <w:pPr>
              <w:spacing w:after="200" w:line="240" w:lineRule="auto"/>
              <w:contextualSpacing/>
              <w:rPr>
                <w:rFonts w:ascii="Arial" w:eastAsia="Calibri" w:hAnsi="Arial" w:cs="Arial"/>
              </w:rPr>
            </w:pPr>
          </w:p>
        </w:tc>
      </w:tr>
      <w:tr w:rsidR="00FC14A5" w:rsidRPr="005A566B" w14:paraId="339F4714" w14:textId="77777777" w:rsidTr="00FC14A5">
        <w:trPr>
          <w:trHeight w:val="301"/>
          <w:jc w:val="center"/>
        </w:trPr>
        <w:tc>
          <w:tcPr>
            <w:tcW w:w="3155" w:type="dxa"/>
            <w:tcBorders>
              <w:top w:val="nil"/>
              <w:left w:val="nil"/>
              <w:bottom w:val="nil"/>
              <w:right w:val="nil"/>
            </w:tcBorders>
            <w:shd w:val="clear" w:color="auto" w:fill="auto"/>
            <w:noWrap/>
            <w:vAlign w:val="bottom"/>
          </w:tcPr>
          <w:p w14:paraId="19D94715" w14:textId="77777777" w:rsidR="00FC14A5" w:rsidRPr="005A566B" w:rsidRDefault="00FC14A5" w:rsidP="00FC14A5">
            <w:pPr>
              <w:spacing w:after="200" w:line="240" w:lineRule="auto"/>
              <w:contextualSpacing/>
              <w:rPr>
                <w:rFonts w:ascii="Arial" w:eastAsia="Calibri" w:hAnsi="Arial" w:cs="Arial"/>
              </w:rPr>
            </w:pPr>
            <w:r w:rsidRPr="005A566B">
              <w:rPr>
                <w:rFonts w:ascii="Arial" w:eastAsia="Calibri" w:hAnsi="Arial" w:cs="Arial"/>
              </w:rPr>
              <w:t>Cash Conversion Cycle</w:t>
            </w:r>
          </w:p>
        </w:tc>
        <w:tc>
          <w:tcPr>
            <w:tcW w:w="1583" w:type="dxa"/>
            <w:tcBorders>
              <w:top w:val="nil"/>
              <w:left w:val="nil"/>
              <w:bottom w:val="nil"/>
              <w:right w:val="nil"/>
            </w:tcBorders>
            <w:shd w:val="clear" w:color="auto" w:fill="auto"/>
            <w:noWrap/>
            <w:vAlign w:val="bottom"/>
          </w:tcPr>
          <w:p w14:paraId="3F88ADB2"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CCC</w:t>
            </w:r>
          </w:p>
        </w:tc>
        <w:tc>
          <w:tcPr>
            <w:tcW w:w="9717" w:type="dxa"/>
            <w:tcBorders>
              <w:top w:val="nil"/>
              <w:left w:val="nil"/>
              <w:bottom w:val="nil"/>
              <w:right w:val="nil"/>
            </w:tcBorders>
            <w:shd w:val="clear" w:color="auto" w:fill="auto"/>
            <w:noWrap/>
            <w:vAlign w:val="bottom"/>
          </w:tcPr>
          <w:p w14:paraId="797C60EC" w14:textId="77777777" w:rsidR="00FC14A5" w:rsidRPr="005A566B" w:rsidRDefault="00FC14A5" w:rsidP="00FC14A5">
            <w:pPr>
              <w:spacing w:after="200" w:line="240" w:lineRule="auto"/>
              <w:contextualSpacing/>
              <w:rPr>
                <w:rFonts w:ascii="Arial" w:eastAsia="Calibri" w:hAnsi="Arial" w:cs="Arial"/>
              </w:rPr>
            </w:pPr>
            <m:oMathPara>
              <m:oMath>
                <m:r>
                  <m:rPr>
                    <m:sty m:val="p"/>
                  </m:rPr>
                  <w:rPr>
                    <w:rFonts w:ascii="Cambria Math" w:eastAsia="Calibri" w:hAnsi="Cambria Math" w:cs="Arial"/>
                  </w:rPr>
                  <m:t>CCC= ((Total inventories)/(cost of sales)*365)+((Accounts receivable)/sales* 365)-((Accounts payable)/purchases*365)</m:t>
                </m:r>
              </m:oMath>
            </m:oMathPara>
          </w:p>
        </w:tc>
      </w:tr>
      <w:tr w:rsidR="00FC14A5" w:rsidRPr="005A566B" w14:paraId="39346E52" w14:textId="77777777" w:rsidTr="00FC14A5">
        <w:trPr>
          <w:trHeight w:val="301"/>
          <w:jc w:val="center"/>
        </w:trPr>
        <w:tc>
          <w:tcPr>
            <w:tcW w:w="3155" w:type="dxa"/>
            <w:tcBorders>
              <w:top w:val="nil"/>
              <w:left w:val="nil"/>
              <w:bottom w:val="nil"/>
              <w:right w:val="nil"/>
            </w:tcBorders>
            <w:shd w:val="clear" w:color="auto" w:fill="auto"/>
            <w:noWrap/>
            <w:vAlign w:val="bottom"/>
          </w:tcPr>
          <w:p w14:paraId="0076A229"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iCs/>
              </w:rPr>
              <w:t>Investment in working capital</w:t>
            </w:r>
          </w:p>
        </w:tc>
        <w:tc>
          <w:tcPr>
            <w:tcW w:w="1583" w:type="dxa"/>
            <w:tcBorders>
              <w:top w:val="nil"/>
              <w:left w:val="nil"/>
              <w:bottom w:val="nil"/>
              <w:right w:val="nil"/>
            </w:tcBorders>
            <w:shd w:val="clear" w:color="auto" w:fill="auto"/>
            <w:noWrap/>
            <w:vAlign w:val="bottom"/>
          </w:tcPr>
          <w:p w14:paraId="6237B4D7"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WCM</w:t>
            </w:r>
          </w:p>
        </w:tc>
        <w:tc>
          <w:tcPr>
            <w:tcW w:w="9717" w:type="dxa"/>
            <w:tcBorders>
              <w:top w:val="nil"/>
              <w:left w:val="nil"/>
              <w:bottom w:val="nil"/>
              <w:right w:val="nil"/>
            </w:tcBorders>
            <w:shd w:val="clear" w:color="auto" w:fill="auto"/>
            <w:noWrap/>
            <w:vAlign w:val="bottom"/>
          </w:tcPr>
          <w:p w14:paraId="0E2193EC"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Net operating working capital (inventories plus receivables minus accounts payable) scaled by sales</w:t>
            </w:r>
          </w:p>
        </w:tc>
      </w:tr>
      <w:tr w:rsidR="00FC14A5" w:rsidRPr="005A566B" w14:paraId="71306758" w14:textId="77777777" w:rsidTr="00FC14A5">
        <w:trPr>
          <w:trHeight w:val="301"/>
          <w:jc w:val="center"/>
        </w:trPr>
        <w:tc>
          <w:tcPr>
            <w:tcW w:w="3155" w:type="dxa"/>
            <w:tcBorders>
              <w:top w:val="nil"/>
              <w:left w:val="nil"/>
              <w:bottom w:val="nil"/>
              <w:right w:val="nil"/>
            </w:tcBorders>
            <w:shd w:val="clear" w:color="auto" w:fill="auto"/>
            <w:noWrap/>
            <w:vAlign w:val="bottom"/>
          </w:tcPr>
          <w:p w14:paraId="2B79125D" w14:textId="77777777" w:rsidR="00FC14A5" w:rsidRPr="005A566B" w:rsidRDefault="00FC14A5" w:rsidP="00FC14A5">
            <w:pPr>
              <w:spacing w:after="200" w:line="240" w:lineRule="auto"/>
              <w:contextualSpacing/>
              <w:rPr>
                <w:rFonts w:ascii="Arial" w:eastAsia="Calibri" w:hAnsi="Arial" w:cs="Arial"/>
                <w:b/>
                <w:bCs/>
              </w:rPr>
            </w:pPr>
          </w:p>
          <w:p w14:paraId="5EC233B4"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 xml:space="preserve">Control Variables </w:t>
            </w:r>
          </w:p>
        </w:tc>
        <w:tc>
          <w:tcPr>
            <w:tcW w:w="1583" w:type="dxa"/>
            <w:tcBorders>
              <w:top w:val="nil"/>
              <w:left w:val="nil"/>
              <w:bottom w:val="nil"/>
              <w:right w:val="nil"/>
            </w:tcBorders>
            <w:shd w:val="clear" w:color="auto" w:fill="auto"/>
            <w:noWrap/>
            <w:vAlign w:val="bottom"/>
          </w:tcPr>
          <w:p w14:paraId="5B4669E3" w14:textId="77777777" w:rsidR="00FC14A5" w:rsidRPr="005A566B" w:rsidRDefault="00FC14A5" w:rsidP="00FC14A5">
            <w:pPr>
              <w:spacing w:after="200" w:line="240" w:lineRule="auto"/>
              <w:contextualSpacing/>
              <w:rPr>
                <w:rFonts w:ascii="Arial" w:eastAsia="Calibri" w:hAnsi="Arial" w:cs="Arial"/>
                <w:bCs/>
              </w:rPr>
            </w:pPr>
          </w:p>
        </w:tc>
        <w:tc>
          <w:tcPr>
            <w:tcW w:w="9717" w:type="dxa"/>
            <w:tcBorders>
              <w:top w:val="nil"/>
              <w:left w:val="nil"/>
              <w:bottom w:val="nil"/>
              <w:right w:val="nil"/>
            </w:tcBorders>
            <w:shd w:val="clear" w:color="auto" w:fill="auto"/>
            <w:noWrap/>
            <w:vAlign w:val="bottom"/>
          </w:tcPr>
          <w:p w14:paraId="37592014" w14:textId="77777777" w:rsidR="00FC14A5" w:rsidRPr="005A566B" w:rsidRDefault="00FC14A5" w:rsidP="00FC14A5">
            <w:pPr>
              <w:spacing w:after="200" w:line="240" w:lineRule="auto"/>
              <w:contextualSpacing/>
              <w:rPr>
                <w:rFonts w:ascii="Arial" w:eastAsia="Calibri" w:hAnsi="Arial" w:cs="Arial"/>
                <w:bCs/>
              </w:rPr>
            </w:pPr>
          </w:p>
        </w:tc>
      </w:tr>
      <w:tr w:rsidR="00FC14A5" w:rsidRPr="005A566B" w14:paraId="0DE0122F" w14:textId="77777777" w:rsidTr="00FC14A5">
        <w:trPr>
          <w:trHeight w:val="301"/>
          <w:jc w:val="center"/>
        </w:trPr>
        <w:tc>
          <w:tcPr>
            <w:tcW w:w="3155" w:type="dxa"/>
            <w:tcBorders>
              <w:top w:val="nil"/>
              <w:left w:val="nil"/>
              <w:bottom w:val="nil"/>
              <w:right w:val="nil"/>
            </w:tcBorders>
            <w:shd w:val="clear" w:color="auto" w:fill="auto"/>
            <w:noWrap/>
            <w:vAlign w:val="bottom"/>
          </w:tcPr>
          <w:p w14:paraId="68F99121"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 xml:space="preserve"> </w:t>
            </w:r>
            <w:r w:rsidR="006B1A6C" w:rsidRPr="005A566B">
              <w:rPr>
                <w:rFonts w:ascii="Arial" w:eastAsia="Calibri" w:hAnsi="Arial" w:cs="Arial"/>
                <w:bCs/>
                <w:iCs/>
              </w:rPr>
              <w:t xml:space="preserve">Current ratio </w:t>
            </w:r>
          </w:p>
        </w:tc>
        <w:tc>
          <w:tcPr>
            <w:tcW w:w="1583" w:type="dxa"/>
            <w:tcBorders>
              <w:top w:val="nil"/>
              <w:left w:val="nil"/>
              <w:bottom w:val="nil"/>
              <w:right w:val="nil"/>
            </w:tcBorders>
            <w:shd w:val="clear" w:color="auto" w:fill="auto"/>
            <w:noWrap/>
            <w:vAlign w:val="bottom"/>
          </w:tcPr>
          <w:p w14:paraId="49418A10"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CR</w:t>
            </w:r>
          </w:p>
        </w:tc>
        <w:tc>
          <w:tcPr>
            <w:tcW w:w="9717" w:type="dxa"/>
            <w:tcBorders>
              <w:top w:val="nil"/>
              <w:left w:val="nil"/>
              <w:bottom w:val="nil"/>
              <w:right w:val="nil"/>
            </w:tcBorders>
            <w:shd w:val="clear" w:color="auto" w:fill="auto"/>
            <w:noWrap/>
            <w:vAlign w:val="bottom"/>
          </w:tcPr>
          <w:p w14:paraId="725A50F1"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iCs/>
              </w:rPr>
              <w:t>current assets divided by current liabilities at the end of the financial</w:t>
            </w:r>
          </w:p>
        </w:tc>
      </w:tr>
      <w:tr w:rsidR="00FC14A5" w:rsidRPr="005A566B" w14:paraId="537908AD" w14:textId="77777777" w:rsidTr="00FC14A5">
        <w:trPr>
          <w:trHeight w:val="301"/>
          <w:jc w:val="center"/>
        </w:trPr>
        <w:tc>
          <w:tcPr>
            <w:tcW w:w="3155" w:type="dxa"/>
            <w:tcBorders>
              <w:top w:val="nil"/>
              <w:left w:val="nil"/>
              <w:bottom w:val="nil"/>
              <w:right w:val="nil"/>
            </w:tcBorders>
            <w:shd w:val="clear" w:color="auto" w:fill="auto"/>
            <w:noWrap/>
            <w:vAlign w:val="bottom"/>
          </w:tcPr>
          <w:p w14:paraId="68264673"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Annual Sales Growth</w:t>
            </w:r>
          </w:p>
        </w:tc>
        <w:tc>
          <w:tcPr>
            <w:tcW w:w="1583" w:type="dxa"/>
            <w:tcBorders>
              <w:top w:val="nil"/>
              <w:left w:val="nil"/>
              <w:bottom w:val="nil"/>
              <w:right w:val="nil"/>
            </w:tcBorders>
            <w:shd w:val="clear" w:color="auto" w:fill="auto"/>
            <w:noWrap/>
            <w:vAlign w:val="bottom"/>
          </w:tcPr>
          <w:p w14:paraId="1F699E85"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GROWTH</w:t>
            </w:r>
          </w:p>
        </w:tc>
        <w:tc>
          <w:tcPr>
            <w:tcW w:w="9717" w:type="dxa"/>
            <w:tcBorders>
              <w:top w:val="nil"/>
              <w:left w:val="nil"/>
              <w:bottom w:val="nil"/>
              <w:right w:val="nil"/>
            </w:tcBorders>
            <w:shd w:val="clear" w:color="auto" w:fill="auto"/>
            <w:noWrap/>
            <w:vAlign w:val="bottom"/>
          </w:tcPr>
          <w:p w14:paraId="31F307A5" w14:textId="77777777" w:rsidR="00FC14A5" w:rsidRPr="005A566B" w:rsidRDefault="00FC14A5" w:rsidP="00FC14A5">
            <w:pPr>
              <w:spacing w:after="200" w:line="240" w:lineRule="auto"/>
              <w:contextualSpacing/>
              <w:rPr>
                <w:rFonts w:ascii="Arial" w:eastAsia="Calibri" w:hAnsi="Arial" w:cs="Arial"/>
              </w:rPr>
            </w:pPr>
            <w:r w:rsidRPr="005A566B">
              <w:rPr>
                <w:rFonts w:ascii="Arial" w:eastAsia="Calibri" w:hAnsi="Arial" w:cs="Arial"/>
                <w:bCs/>
              </w:rPr>
              <w:t>Percentage change in sales revenue over the previous year.</w:t>
            </w:r>
          </w:p>
        </w:tc>
      </w:tr>
      <w:tr w:rsidR="00FC14A5" w:rsidRPr="005A566B" w14:paraId="5B40BA20" w14:textId="77777777" w:rsidTr="00FC14A5">
        <w:trPr>
          <w:trHeight w:val="320"/>
          <w:jc w:val="center"/>
        </w:trPr>
        <w:tc>
          <w:tcPr>
            <w:tcW w:w="3155" w:type="dxa"/>
            <w:tcBorders>
              <w:top w:val="nil"/>
              <w:left w:val="nil"/>
              <w:bottom w:val="nil"/>
              <w:right w:val="nil"/>
            </w:tcBorders>
            <w:shd w:val="clear" w:color="auto" w:fill="auto"/>
            <w:noWrap/>
            <w:vAlign w:val="bottom"/>
          </w:tcPr>
          <w:p w14:paraId="654EB67A"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Company Age</w:t>
            </w:r>
          </w:p>
        </w:tc>
        <w:tc>
          <w:tcPr>
            <w:tcW w:w="1583" w:type="dxa"/>
            <w:tcBorders>
              <w:top w:val="nil"/>
              <w:left w:val="nil"/>
              <w:bottom w:val="nil"/>
              <w:right w:val="nil"/>
            </w:tcBorders>
            <w:shd w:val="clear" w:color="auto" w:fill="auto"/>
            <w:noWrap/>
            <w:vAlign w:val="bottom"/>
          </w:tcPr>
          <w:p w14:paraId="17BB5A2A"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AGE</w:t>
            </w:r>
          </w:p>
        </w:tc>
        <w:tc>
          <w:tcPr>
            <w:tcW w:w="9717" w:type="dxa"/>
            <w:tcBorders>
              <w:top w:val="nil"/>
              <w:left w:val="nil"/>
              <w:bottom w:val="nil"/>
              <w:right w:val="nil"/>
            </w:tcBorders>
            <w:shd w:val="clear" w:color="auto" w:fill="auto"/>
            <w:noWrap/>
            <w:vAlign w:val="bottom"/>
          </w:tcPr>
          <w:p w14:paraId="097EA9B2"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Number of years between incorporation and the calendar year end of each firm.</w:t>
            </w:r>
          </w:p>
        </w:tc>
      </w:tr>
      <w:tr w:rsidR="00FC14A5" w:rsidRPr="005A566B" w14:paraId="77AB11D8" w14:textId="77777777" w:rsidTr="005477A9">
        <w:trPr>
          <w:trHeight w:val="335"/>
          <w:jc w:val="center"/>
        </w:trPr>
        <w:tc>
          <w:tcPr>
            <w:tcW w:w="3155" w:type="dxa"/>
            <w:tcBorders>
              <w:top w:val="nil"/>
              <w:left w:val="nil"/>
              <w:bottom w:val="nil"/>
              <w:right w:val="nil"/>
            </w:tcBorders>
            <w:shd w:val="clear" w:color="auto" w:fill="auto"/>
            <w:noWrap/>
            <w:vAlign w:val="bottom"/>
          </w:tcPr>
          <w:p w14:paraId="5D313AC2"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Tangible Fixed Assets</w:t>
            </w:r>
          </w:p>
        </w:tc>
        <w:tc>
          <w:tcPr>
            <w:tcW w:w="1583" w:type="dxa"/>
            <w:tcBorders>
              <w:top w:val="nil"/>
              <w:left w:val="nil"/>
              <w:bottom w:val="nil"/>
              <w:right w:val="nil"/>
            </w:tcBorders>
            <w:shd w:val="clear" w:color="auto" w:fill="auto"/>
            <w:noWrap/>
            <w:vAlign w:val="bottom"/>
          </w:tcPr>
          <w:p w14:paraId="44A81C36"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ATAN</w:t>
            </w:r>
          </w:p>
        </w:tc>
        <w:tc>
          <w:tcPr>
            <w:tcW w:w="9717" w:type="dxa"/>
            <w:tcBorders>
              <w:top w:val="nil"/>
              <w:left w:val="nil"/>
              <w:bottom w:val="nil"/>
              <w:right w:val="nil"/>
            </w:tcBorders>
            <w:shd w:val="clear" w:color="auto" w:fill="auto"/>
            <w:noWrap/>
            <w:vAlign w:val="bottom"/>
          </w:tcPr>
          <w:p w14:paraId="004F2780"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Fixed assets as a percentage of total assets.</w:t>
            </w:r>
          </w:p>
        </w:tc>
      </w:tr>
      <w:tr w:rsidR="00FC14A5" w:rsidRPr="005A566B" w14:paraId="0361E08F" w14:textId="77777777" w:rsidTr="00FC14A5">
        <w:trPr>
          <w:trHeight w:val="301"/>
          <w:jc w:val="center"/>
        </w:trPr>
        <w:tc>
          <w:tcPr>
            <w:tcW w:w="3155" w:type="dxa"/>
            <w:tcBorders>
              <w:top w:val="nil"/>
              <w:left w:val="nil"/>
              <w:bottom w:val="nil"/>
              <w:right w:val="nil"/>
            </w:tcBorders>
            <w:shd w:val="clear" w:color="auto" w:fill="auto"/>
            <w:noWrap/>
            <w:vAlign w:val="bottom"/>
          </w:tcPr>
          <w:p w14:paraId="78D87C16"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Financial Leverage</w:t>
            </w:r>
          </w:p>
        </w:tc>
        <w:tc>
          <w:tcPr>
            <w:tcW w:w="1583" w:type="dxa"/>
            <w:tcBorders>
              <w:top w:val="nil"/>
              <w:left w:val="nil"/>
              <w:bottom w:val="nil"/>
              <w:right w:val="nil"/>
            </w:tcBorders>
            <w:shd w:val="clear" w:color="auto" w:fill="auto"/>
            <w:noWrap/>
            <w:vAlign w:val="bottom"/>
          </w:tcPr>
          <w:p w14:paraId="241D4085"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FLEV</w:t>
            </w:r>
          </w:p>
        </w:tc>
        <w:tc>
          <w:tcPr>
            <w:tcW w:w="9717" w:type="dxa"/>
            <w:tcBorders>
              <w:top w:val="nil"/>
              <w:left w:val="nil"/>
              <w:bottom w:val="nil"/>
              <w:right w:val="nil"/>
            </w:tcBorders>
            <w:shd w:val="clear" w:color="auto" w:fill="auto"/>
            <w:noWrap/>
            <w:vAlign w:val="bottom"/>
          </w:tcPr>
          <w:p w14:paraId="1140F0C8"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Total debt as a percentage of total assets.</w:t>
            </w:r>
          </w:p>
        </w:tc>
      </w:tr>
      <w:tr w:rsidR="00FC14A5" w:rsidRPr="005A566B" w14:paraId="56AF70AE" w14:textId="77777777" w:rsidTr="00FC14A5">
        <w:trPr>
          <w:trHeight w:val="301"/>
          <w:jc w:val="center"/>
        </w:trPr>
        <w:tc>
          <w:tcPr>
            <w:tcW w:w="3155" w:type="dxa"/>
            <w:tcBorders>
              <w:top w:val="nil"/>
              <w:left w:val="nil"/>
              <w:bottom w:val="nil"/>
              <w:right w:val="nil"/>
            </w:tcBorders>
            <w:shd w:val="clear" w:color="auto" w:fill="auto"/>
            <w:noWrap/>
            <w:vAlign w:val="bottom"/>
          </w:tcPr>
          <w:p w14:paraId="5CF06E64"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Cash Flow</w:t>
            </w:r>
          </w:p>
          <w:p w14:paraId="0EC7E51F" w14:textId="77777777" w:rsidR="00FC14A5" w:rsidRPr="005A566B" w:rsidRDefault="00FC14A5" w:rsidP="00FC14A5">
            <w:pPr>
              <w:spacing w:after="200" w:line="240" w:lineRule="auto"/>
              <w:contextualSpacing/>
              <w:rPr>
                <w:rFonts w:ascii="Arial" w:eastAsia="Calibri" w:hAnsi="Arial" w:cs="Arial"/>
                <w:bCs/>
              </w:rPr>
            </w:pPr>
          </w:p>
        </w:tc>
        <w:tc>
          <w:tcPr>
            <w:tcW w:w="1583" w:type="dxa"/>
            <w:tcBorders>
              <w:top w:val="nil"/>
              <w:left w:val="nil"/>
              <w:bottom w:val="nil"/>
              <w:right w:val="nil"/>
            </w:tcBorders>
            <w:shd w:val="clear" w:color="auto" w:fill="auto"/>
            <w:noWrap/>
            <w:vAlign w:val="bottom"/>
          </w:tcPr>
          <w:p w14:paraId="25AD943B"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bCs/>
              </w:rPr>
              <w:t>CFLOW</w:t>
            </w:r>
          </w:p>
          <w:p w14:paraId="0F1C573B" w14:textId="77777777" w:rsidR="00FC14A5" w:rsidRPr="005A566B" w:rsidRDefault="00FC14A5" w:rsidP="00FC14A5">
            <w:pPr>
              <w:spacing w:after="200" w:line="240" w:lineRule="auto"/>
              <w:contextualSpacing/>
              <w:rPr>
                <w:rFonts w:ascii="Arial" w:eastAsia="Calibri" w:hAnsi="Arial" w:cs="Arial"/>
                <w:bCs/>
              </w:rPr>
            </w:pPr>
          </w:p>
        </w:tc>
        <w:tc>
          <w:tcPr>
            <w:tcW w:w="9717" w:type="dxa"/>
            <w:tcBorders>
              <w:top w:val="nil"/>
              <w:left w:val="nil"/>
              <w:bottom w:val="nil"/>
              <w:right w:val="nil"/>
            </w:tcBorders>
            <w:shd w:val="clear" w:color="auto" w:fill="auto"/>
            <w:noWrap/>
            <w:vAlign w:val="bottom"/>
          </w:tcPr>
          <w:p w14:paraId="4D4B23F6" w14:textId="77777777" w:rsidR="00FC14A5" w:rsidRPr="005A566B" w:rsidRDefault="00FC14A5" w:rsidP="00FC14A5">
            <w:pPr>
              <w:spacing w:after="200" w:line="240" w:lineRule="auto"/>
              <w:contextualSpacing/>
              <w:rPr>
                <w:rFonts w:ascii="Arial" w:eastAsia="Calibri" w:hAnsi="Arial" w:cs="Arial"/>
                <w:bCs/>
              </w:rPr>
            </w:pPr>
            <w:r w:rsidRPr="005A566B">
              <w:rPr>
                <w:rFonts w:ascii="Arial" w:eastAsia="Calibri" w:hAnsi="Arial" w:cs="Arial"/>
              </w:rPr>
              <w:t xml:space="preserve">Operating income before depreciation and amortisation minus interest expense and income tax expense scaled total assets. </w:t>
            </w:r>
          </w:p>
        </w:tc>
      </w:tr>
      <w:tr w:rsidR="00FC14A5" w:rsidRPr="005A566B" w14:paraId="2EC05E25" w14:textId="77777777" w:rsidTr="00FC14A5">
        <w:trPr>
          <w:trHeight w:val="301"/>
          <w:jc w:val="center"/>
        </w:trPr>
        <w:tc>
          <w:tcPr>
            <w:tcW w:w="3155" w:type="dxa"/>
            <w:tcBorders>
              <w:top w:val="nil"/>
              <w:left w:val="nil"/>
              <w:bottom w:val="nil"/>
              <w:right w:val="nil"/>
            </w:tcBorders>
            <w:shd w:val="clear" w:color="auto" w:fill="auto"/>
            <w:noWrap/>
            <w:vAlign w:val="bottom"/>
          </w:tcPr>
          <w:p w14:paraId="238294A9" w14:textId="03A01044" w:rsidR="00FC14A5" w:rsidRPr="005A566B" w:rsidRDefault="00FC14A5" w:rsidP="00FC14A5">
            <w:pPr>
              <w:spacing w:after="200" w:line="240" w:lineRule="auto"/>
              <w:contextualSpacing/>
              <w:rPr>
                <w:rFonts w:ascii="Arial" w:eastAsia="Calibri" w:hAnsi="Arial" w:cs="Arial"/>
                <w:bCs/>
              </w:rPr>
            </w:pPr>
          </w:p>
        </w:tc>
        <w:tc>
          <w:tcPr>
            <w:tcW w:w="1583" w:type="dxa"/>
            <w:tcBorders>
              <w:top w:val="nil"/>
              <w:left w:val="nil"/>
              <w:bottom w:val="nil"/>
              <w:right w:val="nil"/>
            </w:tcBorders>
            <w:shd w:val="clear" w:color="auto" w:fill="auto"/>
            <w:noWrap/>
            <w:vAlign w:val="bottom"/>
          </w:tcPr>
          <w:p w14:paraId="638DDBE1" w14:textId="77777777" w:rsidR="00FC14A5" w:rsidRPr="005A566B" w:rsidRDefault="00FC14A5" w:rsidP="00FC14A5">
            <w:pPr>
              <w:spacing w:after="200" w:line="240" w:lineRule="auto"/>
              <w:contextualSpacing/>
              <w:rPr>
                <w:rFonts w:ascii="Arial" w:eastAsia="Calibri" w:hAnsi="Arial" w:cs="Arial"/>
                <w:bCs/>
              </w:rPr>
            </w:pPr>
          </w:p>
        </w:tc>
        <w:tc>
          <w:tcPr>
            <w:tcW w:w="9717" w:type="dxa"/>
            <w:tcBorders>
              <w:top w:val="nil"/>
              <w:left w:val="nil"/>
              <w:bottom w:val="nil"/>
              <w:right w:val="nil"/>
            </w:tcBorders>
            <w:shd w:val="clear" w:color="auto" w:fill="auto"/>
            <w:noWrap/>
            <w:vAlign w:val="bottom"/>
          </w:tcPr>
          <w:p w14:paraId="54392153" w14:textId="77777777" w:rsidR="00FC14A5" w:rsidRPr="005A566B" w:rsidRDefault="00FC14A5" w:rsidP="00FC14A5">
            <w:pPr>
              <w:spacing w:after="200" w:line="240" w:lineRule="auto"/>
              <w:contextualSpacing/>
              <w:rPr>
                <w:rFonts w:ascii="Arial" w:eastAsia="Calibri" w:hAnsi="Arial" w:cs="Arial"/>
              </w:rPr>
            </w:pPr>
          </w:p>
        </w:tc>
      </w:tr>
      <w:tr w:rsidR="00FC14A5" w:rsidRPr="005A566B" w14:paraId="55FB75D7" w14:textId="77777777" w:rsidTr="00FC14A5">
        <w:trPr>
          <w:trHeight w:val="301"/>
          <w:jc w:val="center"/>
        </w:trPr>
        <w:tc>
          <w:tcPr>
            <w:tcW w:w="3155" w:type="dxa"/>
            <w:tcBorders>
              <w:top w:val="nil"/>
              <w:left w:val="nil"/>
              <w:bottom w:val="nil"/>
              <w:right w:val="nil"/>
            </w:tcBorders>
            <w:shd w:val="clear" w:color="auto" w:fill="auto"/>
            <w:noWrap/>
            <w:vAlign w:val="bottom"/>
          </w:tcPr>
          <w:p w14:paraId="27268C74" w14:textId="77777777" w:rsidR="00FC14A5" w:rsidRPr="00E92D44" w:rsidRDefault="00FC14A5" w:rsidP="00FC14A5">
            <w:pPr>
              <w:spacing w:after="200" w:line="240" w:lineRule="auto"/>
              <w:contextualSpacing/>
              <w:rPr>
                <w:rFonts w:ascii="Arial" w:eastAsia="Calibri" w:hAnsi="Arial" w:cs="Arial"/>
              </w:rPr>
            </w:pPr>
            <w:r w:rsidRPr="00E92D44">
              <w:rPr>
                <w:rFonts w:ascii="Arial" w:eastAsia="Calibri" w:hAnsi="Arial" w:cs="Arial"/>
                <w:noProof/>
                <w:lang w:eastAsia="en-GB"/>
              </w:rPr>
              <mc:AlternateContent>
                <mc:Choice Requires="wps">
                  <w:drawing>
                    <wp:anchor distT="4294967293" distB="4294967293" distL="114300" distR="114300" simplePos="0" relativeHeight="251661312" behindDoc="0" locked="0" layoutInCell="1" allowOverlap="1" wp14:anchorId="12477694" wp14:editId="5A9CBA12">
                      <wp:simplePos x="0" y="0"/>
                      <wp:positionH relativeFrom="column">
                        <wp:posOffset>5715</wp:posOffset>
                      </wp:positionH>
                      <wp:positionV relativeFrom="paragraph">
                        <wp:posOffset>10159</wp:posOffset>
                      </wp:positionV>
                      <wp:extent cx="8648700" cy="0"/>
                      <wp:effectExtent l="0" t="0" r="19050" b="1905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48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9B5525" id="Straight Connector 71"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45pt,.8pt" to="681.4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">
                      <o:lock v:ext="edit" shapetype="f"/>
                    </v:line>
                  </w:pict>
                </mc:Fallback>
              </mc:AlternateContent>
            </w:r>
          </w:p>
        </w:tc>
        <w:tc>
          <w:tcPr>
            <w:tcW w:w="1583" w:type="dxa"/>
            <w:tcBorders>
              <w:top w:val="nil"/>
              <w:left w:val="nil"/>
              <w:bottom w:val="nil"/>
              <w:right w:val="nil"/>
            </w:tcBorders>
            <w:shd w:val="clear" w:color="auto" w:fill="auto"/>
            <w:noWrap/>
            <w:vAlign w:val="bottom"/>
          </w:tcPr>
          <w:p w14:paraId="0CE700C1" w14:textId="77777777" w:rsidR="00FC14A5" w:rsidRPr="005A566B" w:rsidRDefault="00FC14A5" w:rsidP="00FC14A5">
            <w:pPr>
              <w:spacing w:after="200" w:line="240" w:lineRule="auto"/>
              <w:contextualSpacing/>
              <w:rPr>
                <w:rFonts w:ascii="Arial" w:eastAsia="Calibri" w:hAnsi="Arial" w:cs="Arial"/>
              </w:rPr>
            </w:pPr>
          </w:p>
        </w:tc>
        <w:tc>
          <w:tcPr>
            <w:tcW w:w="9717" w:type="dxa"/>
            <w:tcBorders>
              <w:top w:val="nil"/>
              <w:left w:val="nil"/>
              <w:bottom w:val="nil"/>
              <w:right w:val="nil"/>
            </w:tcBorders>
            <w:shd w:val="clear" w:color="auto" w:fill="auto"/>
            <w:noWrap/>
            <w:vAlign w:val="bottom"/>
          </w:tcPr>
          <w:p w14:paraId="1514B1F3" w14:textId="77777777" w:rsidR="00FC14A5" w:rsidRPr="005A566B" w:rsidRDefault="00FC14A5" w:rsidP="00FC14A5">
            <w:pPr>
              <w:spacing w:after="200" w:line="240" w:lineRule="auto"/>
              <w:contextualSpacing/>
              <w:rPr>
                <w:rFonts w:ascii="Arial" w:eastAsia="Calibri" w:hAnsi="Arial" w:cs="Arial"/>
              </w:rPr>
            </w:pPr>
          </w:p>
        </w:tc>
      </w:tr>
      <w:bookmarkEnd w:id="249"/>
      <w:bookmarkEnd w:id="250"/>
      <w:bookmarkEnd w:id="251"/>
      <w:bookmarkEnd w:id="252"/>
      <w:bookmarkEnd w:id="253"/>
    </w:tbl>
    <w:p w14:paraId="2AE4ACA6" w14:textId="77777777" w:rsidR="00FC14A5" w:rsidRPr="005A566B" w:rsidRDefault="00FC14A5" w:rsidP="00FC14A5">
      <w:pPr>
        <w:spacing w:after="200" w:line="240" w:lineRule="auto"/>
        <w:contextualSpacing/>
        <w:rPr>
          <w:rFonts w:ascii="Arial" w:eastAsia="Calibri" w:hAnsi="Arial" w:cs="Arial"/>
        </w:rPr>
      </w:pPr>
    </w:p>
    <w:p w14:paraId="21C0133B" w14:textId="77777777" w:rsidR="00FC14A5" w:rsidRPr="005A566B" w:rsidRDefault="00FC14A5" w:rsidP="00FC14A5">
      <w:pPr>
        <w:spacing w:after="200" w:line="240" w:lineRule="auto"/>
        <w:contextualSpacing/>
        <w:rPr>
          <w:rFonts w:ascii="Arial" w:eastAsia="Calibri" w:hAnsi="Arial" w:cs="Arial"/>
        </w:rPr>
        <w:sectPr w:rsidR="00FC14A5" w:rsidRPr="005A566B" w:rsidSect="00FC14A5">
          <w:pgSz w:w="16838" w:h="11906" w:orient="landscape"/>
          <w:pgMar w:top="1440" w:right="1440" w:bottom="1440" w:left="1440" w:header="709" w:footer="709" w:gutter="0"/>
          <w:cols w:space="708"/>
          <w:docGrid w:linePitch="360"/>
        </w:sectPr>
      </w:pPr>
    </w:p>
    <w:tbl>
      <w:tblPr>
        <w:tblW w:w="11758" w:type="dxa"/>
        <w:jc w:val="center"/>
        <w:tblLook w:val="04A0" w:firstRow="1" w:lastRow="0" w:firstColumn="1" w:lastColumn="0" w:noHBand="0" w:noVBand="1"/>
      </w:tblPr>
      <w:tblGrid>
        <w:gridCol w:w="2460"/>
        <w:gridCol w:w="1339"/>
        <w:gridCol w:w="1685"/>
        <w:gridCol w:w="1685"/>
        <w:gridCol w:w="1219"/>
        <w:gridCol w:w="1685"/>
        <w:gridCol w:w="1685"/>
      </w:tblGrid>
      <w:tr w:rsidR="00FC14A5" w:rsidRPr="005A566B" w14:paraId="20269FE1" w14:textId="77777777" w:rsidTr="00A91615">
        <w:trPr>
          <w:trHeight w:val="300"/>
          <w:jc w:val="center"/>
        </w:trPr>
        <w:tc>
          <w:tcPr>
            <w:tcW w:w="11758" w:type="dxa"/>
            <w:gridSpan w:val="7"/>
            <w:tcBorders>
              <w:top w:val="nil"/>
              <w:left w:val="nil"/>
              <w:bottom w:val="nil"/>
              <w:right w:val="nil"/>
            </w:tcBorders>
            <w:shd w:val="clear" w:color="auto" w:fill="auto"/>
            <w:noWrap/>
            <w:vAlign w:val="bottom"/>
          </w:tcPr>
          <w:p w14:paraId="60AE7761" w14:textId="77777777" w:rsidR="00FC14A5" w:rsidRPr="005A566B" w:rsidRDefault="00FC14A5" w:rsidP="00FC14A5">
            <w:pPr>
              <w:spacing w:after="200" w:line="276" w:lineRule="auto"/>
              <w:rPr>
                <w:rFonts w:ascii="Arial" w:eastAsia="Calibri" w:hAnsi="Arial" w:cs="Arial"/>
                <w:bCs/>
              </w:rPr>
            </w:pPr>
            <w:bookmarkStart w:id="257" w:name="_Hlk503598785"/>
            <w:bookmarkStart w:id="258" w:name="OLE_LINK111"/>
            <w:bookmarkStart w:id="259" w:name="OLE_LINK114"/>
            <w:r w:rsidRPr="005A566B">
              <w:rPr>
                <w:rFonts w:ascii="Arial" w:eastAsia="Calibri" w:hAnsi="Arial" w:cs="Arial"/>
                <w:b/>
                <w:bCs/>
              </w:rPr>
              <w:lastRenderedPageBreak/>
              <w:t>Table 2</w:t>
            </w:r>
            <w:r w:rsidR="00D86DF0" w:rsidRPr="005A566B">
              <w:rPr>
                <w:rFonts w:ascii="Arial" w:eastAsia="Calibri" w:hAnsi="Arial" w:cs="Arial"/>
                <w:bCs/>
              </w:rPr>
              <w:t>:</w:t>
            </w:r>
            <w:r w:rsidRPr="005A566B">
              <w:rPr>
                <w:rFonts w:ascii="Arial" w:eastAsia="Calibri" w:hAnsi="Arial" w:cs="Arial"/>
                <w:bCs/>
              </w:rPr>
              <w:t xml:space="preserve"> Descriptive statistics</w:t>
            </w:r>
          </w:p>
        </w:tc>
      </w:tr>
      <w:tr w:rsidR="00FC14A5" w:rsidRPr="005A566B" w14:paraId="42615BF4" w14:textId="77777777" w:rsidTr="00A91615">
        <w:trPr>
          <w:trHeight w:val="300"/>
          <w:jc w:val="center"/>
        </w:trPr>
        <w:tc>
          <w:tcPr>
            <w:tcW w:w="11758" w:type="dxa"/>
            <w:gridSpan w:val="7"/>
            <w:tcBorders>
              <w:top w:val="nil"/>
              <w:left w:val="nil"/>
              <w:bottom w:val="nil"/>
              <w:right w:val="nil"/>
            </w:tcBorders>
            <w:shd w:val="clear" w:color="auto" w:fill="auto"/>
            <w:noWrap/>
            <w:vAlign w:val="bottom"/>
          </w:tcPr>
          <w:p w14:paraId="04D033D6" w14:textId="29015AAC" w:rsidR="00FC14A5" w:rsidRPr="005A566B" w:rsidRDefault="00FC14A5" w:rsidP="00FC14A5">
            <w:pPr>
              <w:spacing w:after="200" w:line="276" w:lineRule="auto"/>
              <w:rPr>
                <w:rFonts w:ascii="Arial" w:eastAsia="Calibri" w:hAnsi="Arial" w:cs="Arial"/>
                <w:bCs/>
              </w:rPr>
            </w:pPr>
            <w:r w:rsidRPr="005A566B">
              <w:rPr>
                <w:rFonts w:ascii="Arial" w:eastAsia="Calibri" w:hAnsi="Arial" w:cs="Arial"/>
              </w:rPr>
              <w:t xml:space="preserve">The table provides the sample characteristics based on a sample of </w:t>
            </w:r>
            <w:r w:rsidR="00A91615" w:rsidRPr="005A566B">
              <w:rPr>
                <w:rFonts w:ascii="Arial" w:eastAsia="Calibri" w:hAnsi="Arial" w:cs="Arial"/>
              </w:rPr>
              <w:t>802</w:t>
            </w:r>
            <w:r w:rsidRPr="005A566B">
              <w:rPr>
                <w:rFonts w:ascii="Arial" w:eastAsia="Calibri" w:hAnsi="Arial" w:cs="Arial"/>
              </w:rPr>
              <w:t xml:space="preserve"> UK q</w:t>
            </w:r>
            <w:r w:rsidR="00383CA7" w:rsidRPr="005A566B">
              <w:rPr>
                <w:rFonts w:ascii="Arial" w:eastAsia="Calibri" w:hAnsi="Arial" w:cs="Arial"/>
              </w:rPr>
              <w:t>uoted firms over the period 200</w:t>
            </w:r>
            <w:r w:rsidR="009D502A" w:rsidRPr="005A566B">
              <w:rPr>
                <w:rFonts w:ascii="Arial" w:eastAsia="Calibri" w:hAnsi="Arial" w:cs="Arial"/>
              </w:rPr>
              <w:t>5</w:t>
            </w:r>
            <w:r w:rsidRPr="005A566B">
              <w:rPr>
                <w:rFonts w:ascii="Arial" w:eastAsia="Calibri" w:hAnsi="Arial" w:cs="Arial"/>
              </w:rPr>
              <w:t>−</w:t>
            </w:r>
            <w:r w:rsidR="00383CA7" w:rsidRPr="005A566B">
              <w:rPr>
                <w:rFonts w:ascii="Arial" w:eastAsia="Calibri" w:hAnsi="Arial" w:cs="Arial"/>
              </w:rPr>
              <w:t>20</w:t>
            </w:r>
            <w:r w:rsidR="009D502A" w:rsidRPr="005A566B">
              <w:rPr>
                <w:rFonts w:ascii="Arial" w:eastAsia="Calibri" w:hAnsi="Arial" w:cs="Arial"/>
              </w:rPr>
              <w:t>14</w:t>
            </w:r>
            <w:r w:rsidRPr="005A566B">
              <w:rPr>
                <w:rFonts w:ascii="Arial" w:eastAsia="Calibri" w:hAnsi="Arial" w:cs="Arial"/>
              </w:rPr>
              <w:t>. All variables are defined in Table 1.</w:t>
            </w:r>
          </w:p>
        </w:tc>
      </w:tr>
      <w:bookmarkEnd w:id="257"/>
      <w:tr w:rsidR="00FC14A5" w:rsidRPr="005A566B" w14:paraId="09377531" w14:textId="77777777" w:rsidTr="00A91615">
        <w:trPr>
          <w:trHeight w:val="300"/>
          <w:jc w:val="center"/>
        </w:trPr>
        <w:tc>
          <w:tcPr>
            <w:tcW w:w="2460" w:type="dxa"/>
            <w:tcBorders>
              <w:top w:val="nil"/>
              <w:left w:val="nil"/>
              <w:bottom w:val="nil"/>
              <w:right w:val="nil"/>
            </w:tcBorders>
            <w:shd w:val="clear" w:color="auto" w:fill="auto"/>
            <w:noWrap/>
            <w:vAlign w:val="bottom"/>
            <w:hideMark/>
          </w:tcPr>
          <w:p w14:paraId="2C1176DC" w14:textId="3FB81121" w:rsidR="00FC14A5" w:rsidRPr="00E92D44" w:rsidRDefault="00A91615" w:rsidP="00FC14A5">
            <w:pPr>
              <w:spacing w:after="200" w:line="276" w:lineRule="auto"/>
              <w:rPr>
                <w:rFonts w:ascii="Arial" w:eastAsia="Calibri" w:hAnsi="Arial" w:cs="Arial"/>
                <w:bCs/>
              </w:rPr>
            </w:pPr>
            <w:r w:rsidRPr="00E92D44">
              <w:rPr>
                <w:rFonts w:ascii="Arial" w:eastAsia="Calibri" w:hAnsi="Arial" w:cs="Arial"/>
                <w:noProof/>
                <w:lang w:eastAsia="en-GB"/>
              </w:rPr>
              <mc:AlternateContent>
                <mc:Choice Requires="wps">
                  <w:drawing>
                    <wp:anchor distT="4294967293" distB="4294967293" distL="114300" distR="114300" simplePos="0" relativeHeight="251671552" behindDoc="0" locked="0" layoutInCell="1" allowOverlap="1" wp14:anchorId="6BDA9D70" wp14:editId="305EC89C">
                      <wp:simplePos x="0" y="0"/>
                      <wp:positionH relativeFrom="column">
                        <wp:posOffset>335915</wp:posOffset>
                      </wp:positionH>
                      <wp:positionV relativeFrom="paragraph">
                        <wp:posOffset>226060</wp:posOffset>
                      </wp:positionV>
                      <wp:extent cx="6210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A6DF84" id="Straight Connector 3" o:spid="_x0000_s1026" style="position:absolute;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26.45pt,17.8pt" to="515.4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">
                      <o:lock v:ext="edit" shapetype="f"/>
                    </v:line>
                  </w:pict>
                </mc:Fallback>
              </mc:AlternateContent>
            </w:r>
            <w:r w:rsidR="00FC14A5" w:rsidRPr="005A566B">
              <w:rPr>
                <w:rFonts w:ascii="Arial" w:eastAsia="Calibri" w:hAnsi="Arial" w:cs="Arial"/>
                <w:noProof/>
                <w:lang w:eastAsia="en-GB"/>
              </w:rPr>
              <mc:AlternateContent>
                <mc:Choice Requires="wps">
                  <w:drawing>
                    <wp:anchor distT="4294967293" distB="4294967293" distL="114300" distR="114300" simplePos="0" relativeHeight="251662336" behindDoc="0" locked="0" layoutInCell="1" allowOverlap="1" wp14:anchorId="499B281E" wp14:editId="605EF019">
                      <wp:simplePos x="0" y="0"/>
                      <wp:positionH relativeFrom="column">
                        <wp:posOffset>-1905</wp:posOffset>
                      </wp:positionH>
                      <wp:positionV relativeFrom="paragraph">
                        <wp:posOffset>-23496</wp:posOffset>
                      </wp:positionV>
                      <wp:extent cx="6210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AE1E486" id="Straight Connector 1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5pt,-1.85pt" to="488.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">
                      <o:lock v:ext="edit" shapetype="f"/>
                    </v:line>
                  </w:pict>
                </mc:Fallback>
              </mc:AlternateContent>
            </w:r>
            <w:r w:rsidR="00FC14A5" w:rsidRPr="00E92D44">
              <w:rPr>
                <w:rFonts w:ascii="Arial" w:eastAsia="Calibri" w:hAnsi="Arial" w:cs="Arial"/>
                <w:bCs/>
              </w:rPr>
              <w:t>Variables</w:t>
            </w:r>
          </w:p>
        </w:tc>
        <w:tc>
          <w:tcPr>
            <w:tcW w:w="1339" w:type="dxa"/>
            <w:tcBorders>
              <w:top w:val="nil"/>
              <w:left w:val="nil"/>
              <w:bottom w:val="nil"/>
              <w:right w:val="nil"/>
            </w:tcBorders>
            <w:shd w:val="clear" w:color="auto" w:fill="auto"/>
            <w:noWrap/>
            <w:vAlign w:val="bottom"/>
            <w:hideMark/>
          </w:tcPr>
          <w:p w14:paraId="350999E2" w14:textId="77777777" w:rsidR="00FC14A5" w:rsidRPr="005A566B" w:rsidRDefault="00FC14A5" w:rsidP="00FC14A5">
            <w:pPr>
              <w:spacing w:after="200" w:line="276" w:lineRule="auto"/>
              <w:rPr>
                <w:rFonts w:ascii="Arial" w:eastAsia="Calibri" w:hAnsi="Arial" w:cs="Arial"/>
                <w:bCs/>
              </w:rPr>
            </w:pPr>
            <w:r w:rsidRPr="005A566B">
              <w:rPr>
                <w:rFonts w:ascii="Arial" w:eastAsia="Calibri" w:hAnsi="Arial" w:cs="Arial"/>
                <w:bCs/>
              </w:rPr>
              <w:t>Obs.</w:t>
            </w:r>
          </w:p>
        </w:tc>
        <w:tc>
          <w:tcPr>
            <w:tcW w:w="1685" w:type="dxa"/>
            <w:tcBorders>
              <w:top w:val="nil"/>
              <w:left w:val="nil"/>
              <w:bottom w:val="nil"/>
              <w:right w:val="nil"/>
            </w:tcBorders>
            <w:shd w:val="clear" w:color="auto" w:fill="auto"/>
            <w:noWrap/>
            <w:vAlign w:val="bottom"/>
            <w:hideMark/>
          </w:tcPr>
          <w:p w14:paraId="4C614346" w14:textId="77777777" w:rsidR="00FC14A5" w:rsidRPr="005A566B" w:rsidRDefault="00FC14A5" w:rsidP="00FC14A5">
            <w:pPr>
              <w:spacing w:after="200" w:line="276" w:lineRule="auto"/>
              <w:rPr>
                <w:rFonts w:ascii="Arial" w:eastAsia="Calibri" w:hAnsi="Arial" w:cs="Arial"/>
                <w:bCs/>
              </w:rPr>
            </w:pPr>
            <w:r w:rsidRPr="005A566B">
              <w:rPr>
                <w:rFonts w:ascii="Arial" w:eastAsia="Calibri" w:hAnsi="Arial" w:cs="Arial"/>
                <w:bCs/>
              </w:rPr>
              <w:t>Mean</w:t>
            </w:r>
          </w:p>
        </w:tc>
        <w:tc>
          <w:tcPr>
            <w:tcW w:w="1685" w:type="dxa"/>
            <w:tcBorders>
              <w:top w:val="nil"/>
              <w:left w:val="nil"/>
              <w:bottom w:val="nil"/>
              <w:right w:val="nil"/>
            </w:tcBorders>
            <w:shd w:val="clear" w:color="auto" w:fill="auto"/>
            <w:noWrap/>
            <w:vAlign w:val="bottom"/>
            <w:hideMark/>
          </w:tcPr>
          <w:p w14:paraId="4A5EBBE8" w14:textId="77777777" w:rsidR="00FC14A5" w:rsidRPr="005A566B" w:rsidRDefault="00FC14A5" w:rsidP="00FC14A5">
            <w:pPr>
              <w:spacing w:after="200" w:line="276" w:lineRule="auto"/>
              <w:rPr>
                <w:rFonts w:ascii="Arial" w:eastAsia="Calibri" w:hAnsi="Arial" w:cs="Arial"/>
                <w:bCs/>
              </w:rPr>
            </w:pPr>
            <w:r w:rsidRPr="005A566B">
              <w:rPr>
                <w:rFonts w:ascii="Arial" w:eastAsia="Calibri" w:hAnsi="Arial" w:cs="Arial"/>
                <w:bCs/>
              </w:rPr>
              <w:t>Std Dev</w:t>
            </w:r>
          </w:p>
        </w:tc>
        <w:tc>
          <w:tcPr>
            <w:tcW w:w="1219" w:type="dxa"/>
            <w:tcBorders>
              <w:top w:val="nil"/>
              <w:left w:val="nil"/>
              <w:bottom w:val="nil"/>
              <w:right w:val="nil"/>
            </w:tcBorders>
            <w:shd w:val="clear" w:color="auto" w:fill="auto"/>
            <w:noWrap/>
            <w:vAlign w:val="bottom"/>
            <w:hideMark/>
          </w:tcPr>
          <w:p w14:paraId="2F5B8734" w14:textId="77777777" w:rsidR="00FC14A5" w:rsidRPr="005A566B" w:rsidRDefault="00FC14A5" w:rsidP="00FC14A5">
            <w:pPr>
              <w:spacing w:after="200" w:line="276" w:lineRule="auto"/>
              <w:rPr>
                <w:rFonts w:ascii="Arial" w:eastAsia="Calibri" w:hAnsi="Arial" w:cs="Arial"/>
                <w:bCs/>
              </w:rPr>
            </w:pPr>
            <w:r w:rsidRPr="005A566B">
              <w:rPr>
                <w:rFonts w:ascii="Arial" w:eastAsia="Calibri" w:hAnsi="Arial" w:cs="Arial"/>
                <w:bCs/>
              </w:rPr>
              <w:t>perc 10</w:t>
            </w:r>
          </w:p>
        </w:tc>
        <w:tc>
          <w:tcPr>
            <w:tcW w:w="1685" w:type="dxa"/>
            <w:tcBorders>
              <w:top w:val="nil"/>
              <w:left w:val="nil"/>
              <w:bottom w:val="nil"/>
              <w:right w:val="nil"/>
            </w:tcBorders>
            <w:shd w:val="clear" w:color="auto" w:fill="auto"/>
            <w:noWrap/>
            <w:vAlign w:val="bottom"/>
            <w:hideMark/>
          </w:tcPr>
          <w:p w14:paraId="655E9A26" w14:textId="77777777" w:rsidR="00FC14A5" w:rsidRPr="005A566B" w:rsidRDefault="00FC14A5" w:rsidP="00FC14A5">
            <w:pPr>
              <w:spacing w:after="200" w:line="276" w:lineRule="auto"/>
              <w:rPr>
                <w:rFonts w:ascii="Arial" w:eastAsia="Calibri" w:hAnsi="Arial" w:cs="Arial"/>
                <w:bCs/>
              </w:rPr>
            </w:pPr>
            <w:r w:rsidRPr="005A566B">
              <w:rPr>
                <w:rFonts w:ascii="Arial" w:eastAsia="Calibri" w:hAnsi="Arial" w:cs="Arial"/>
                <w:bCs/>
              </w:rPr>
              <w:t>Median</w:t>
            </w:r>
          </w:p>
        </w:tc>
        <w:tc>
          <w:tcPr>
            <w:tcW w:w="1685" w:type="dxa"/>
            <w:tcBorders>
              <w:top w:val="nil"/>
              <w:left w:val="nil"/>
              <w:bottom w:val="nil"/>
              <w:right w:val="nil"/>
            </w:tcBorders>
            <w:shd w:val="clear" w:color="auto" w:fill="auto"/>
            <w:noWrap/>
            <w:vAlign w:val="bottom"/>
            <w:hideMark/>
          </w:tcPr>
          <w:p w14:paraId="794C8FD9" w14:textId="77777777" w:rsidR="00FC14A5" w:rsidRPr="005A566B" w:rsidRDefault="00FC14A5" w:rsidP="00FC14A5">
            <w:pPr>
              <w:spacing w:after="200" w:line="276" w:lineRule="auto"/>
              <w:rPr>
                <w:rFonts w:ascii="Arial" w:eastAsia="Calibri" w:hAnsi="Arial" w:cs="Arial"/>
                <w:bCs/>
              </w:rPr>
            </w:pPr>
            <w:r w:rsidRPr="005A566B">
              <w:rPr>
                <w:rFonts w:ascii="Arial" w:eastAsia="Calibri" w:hAnsi="Arial" w:cs="Arial"/>
                <w:bCs/>
              </w:rPr>
              <w:t>perc 90</w:t>
            </w:r>
          </w:p>
        </w:tc>
      </w:tr>
      <w:tr w:rsidR="008A3ABB" w:rsidRPr="005A566B" w14:paraId="069B6AB2" w14:textId="77777777" w:rsidTr="00A91615">
        <w:trPr>
          <w:trHeight w:val="300"/>
          <w:jc w:val="center"/>
        </w:trPr>
        <w:tc>
          <w:tcPr>
            <w:tcW w:w="2460" w:type="dxa"/>
            <w:tcBorders>
              <w:top w:val="nil"/>
              <w:left w:val="nil"/>
              <w:bottom w:val="nil"/>
              <w:right w:val="nil"/>
            </w:tcBorders>
            <w:shd w:val="clear" w:color="auto" w:fill="auto"/>
            <w:noWrap/>
            <w:vAlign w:val="bottom"/>
            <w:hideMark/>
          </w:tcPr>
          <w:p w14:paraId="2F9787EF" w14:textId="77777777"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 xml:space="preserve"> QRATIO(ratio)</w:t>
            </w:r>
          </w:p>
        </w:tc>
        <w:tc>
          <w:tcPr>
            <w:tcW w:w="1339" w:type="dxa"/>
            <w:tcBorders>
              <w:top w:val="nil"/>
              <w:left w:val="nil"/>
              <w:bottom w:val="nil"/>
              <w:right w:val="nil"/>
            </w:tcBorders>
            <w:shd w:val="clear" w:color="auto" w:fill="auto"/>
            <w:noWrap/>
            <w:vAlign w:val="center"/>
            <w:hideMark/>
          </w:tcPr>
          <w:p w14:paraId="634698F7" w14:textId="527DA21A"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6,424</w:t>
            </w:r>
          </w:p>
        </w:tc>
        <w:tc>
          <w:tcPr>
            <w:tcW w:w="1685" w:type="dxa"/>
            <w:tcBorders>
              <w:top w:val="nil"/>
              <w:left w:val="nil"/>
              <w:bottom w:val="nil"/>
              <w:right w:val="nil"/>
            </w:tcBorders>
            <w:shd w:val="clear" w:color="auto" w:fill="auto"/>
            <w:noWrap/>
            <w:vAlign w:val="center"/>
            <w:hideMark/>
          </w:tcPr>
          <w:p w14:paraId="26671DF7" w14:textId="039F7146"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1.4921</w:t>
            </w:r>
          </w:p>
        </w:tc>
        <w:tc>
          <w:tcPr>
            <w:tcW w:w="1685" w:type="dxa"/>
            <w:tcBorders>
              <w:top w:val="nil"/>
              <w:left w:val="nil"/>
              <w:bottom w:val="nil"/>
              <w:right w:val="nil"/>
            </w:tcBorders>
            <w:shd w:val="clear" w:color="auto" w:fill="auto"/>
            <w:noWrap/>
            <w:vAlign w:val="center"/>
            <w:hideMark/>
          </w:tcPr>
          <w:p w14:paraId="5CF5453A" w14:textId="6A2F9D72"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 xml:space="preserve">  1.3089</w:t>
            </w:r>
          </w:p>
        </w:tc>
        <w:tc>
          <w:tcPr>
            <w:tcW w:w="1219" w:type="dxa"/>
            <w:tcBorders>
              <w:top w:val="nil"/>
              <w:left w:val="nil"/>
              <w:bottom w:val="nil"/>
              <w:right w:val="nil"/>
            </w:tcBorders>
            <w:shd w:val="clear" w:color="auto" w:fill="auto"/>
            <w:noWrap/>
            <w:vAlign w:val="center"/>
            <w:hideMark/>
          </w:tcPr>
          <w:p w14:paraId="486D9A43" w14:textId="2A04F112"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 xml:space="preserve">  0.9709</w:t>
            </w:r>
          </w:p>
        </w:tc>
        <w:tc>
          <w:tcPr>
            <w:tcW w:w="1685" w:type="dxa"/>
            <w:tcBorders>
              <w:top w:val="nil"/>
              <w:left w:val="nil"/>
              <w:bottom w:val="nil"/>
              <w:right w:val="nil"/>
            </w:tcBorders>
            <w:shd w:val="clear" w:color="auto" w:fill="auto"/>
            <w:noWrap/>
            <w:vAlign w:val="center"/>
            <w:hideMark/>
          </w:tcPr>
          <w:p w14:paraId="2FC3CE2A" w14:textId="1AA0FFE8"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 xml:space="preserve">  1.2143</w:t>
            </w:r>
          </w:p>
        </w:tc>
        <w:tc>
          <w:tcPr>
            <w:tcW w:w="1685" w:type="dxa"/>
            <w:tcBorders>
              <w:top w:val="nil"/>
              <w:left w:val="nil"/>
              <w:bottom w:val="nil"/>
              <w:right w:val="nil"/>
            </w:tcBorders>
            <w:shd w:val="clear" w:color="auto" w:fill="auto"/>
            <w:noWrap/>
            <w:vAlign w:val="center"/>
            <w:hideMark/>
          </w:tcPr>
          <w:p w14:paraId="05C8E239" w14:textId="2D861BE2"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 xml:space="preserve">  2.0178</w:t>
            </w:r>
          </w:p>
        </w:tc>
      </w:tr>
      <w:tr w:rsidR="008A3ABB" w:rsidRPr="005A566B" w14:paraId="716403EF" w14:textId="77777777" w:rsidTr="00A91615">
        <w:trPr>
          <w:trHeight w:val="300"/>
          <w:jc w:val="center"/>
        </w:trPr>
        <w:tc>
          <w:tcPr>
            <w:tcW w:w="2460" w:type="dxa"/>
            <w:tcBorders>
              <w:top w:val="nil"/>
              <w:left w:val="nil"/>
              <w:bottom w:val="nil"/>
              <w:right w:val="nil"/>
            </w:tcBorders>
            <w:shd w:val="clear" w:color="auto" w:fill="auto"/>
            <w:noWrap/>
            <w:vAlign w:val="bottom"/>
          </w:tcPr>
          <w:p w14:paraId="1358D4CE" w14:textId="77777777"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 xml:space="preserve"> ROA(ratio)</w:t>
            </w:r>
          </w:p>
        </w:tc>
        <w:tc>
          <w:tcPr>
            <w:tcW w:w="1339" w:type="dxa"/>
            <w:tcBorders>
              <w:top w:val="nil"/>
              <w:left w:val="nil"/>
              <w:bottom w:val="nil"/>
              <w:right w:val="nil"/>
            </w:tcBorders>
            <w:shd w:val="clear" w:color="auto" w:fill="auto"/>
            <w:noWrap/>
            <w:vAlign w:val="center"/>
          </w:tcPr>
          <w:p w14:paraId="51E8A7C5" w14:textId="433699A8" w:rsidR="008A3ABB" w:rsidRPr="005A566B" w:rsidRDefault="008A3ABB" w:rsidP="00FC14A5">
            <w:pPr>
              <w:spacing w:after="200" w:line="276" w:lineRule="auto"/>
              <w:rPr>
                <w:rFonts w:ascii="Arial" w:eastAsia="Calibri" w:hAnsi="Arial" w:cs="Arial"/>
              </w:rPr>
            </w:pPr>
            <w:bookmarkStart w:id="260" w:name="OLE_LINK189"/>
            <w:bookmarkStart w:id="261" w:name="OLE_LINK190"/>
            <w:bookmarkStart w:id="262" w:name="OLE_LINK191"/>
            <w:r w:rsidRPr="005A566B">
              <w:rPr>
                <w:rFonts w:ascii="Arial" w:eastAsia="Calibri" w:hAnsi="Arial" w:cs="Arial"/>
              </w:rPr>
              <w:t>6,424</w:t>
            </w:r>
            <w:bookmarkEnd w:id="260"/>
            <w:bookmarkEnd w:id="261"/>
            <w:bookmarkEnd w:id="262"/>
          </w:p>
        </w:tc>
        <w:tc>
          <w:tcPr>
            <w:tcW w:w="1685" w:type="dxa"/>
            <w:tcBorders>
              <w:top w:val="nil"/>
              <w:left w:val="nil"/>
              <w:bottom w:val="nil"/>
              <w:right w:val="nil"/>
            </w:tcBorders>
            <w:shd w:val="clear" w:color="auto" w:fill="auto"/>
            <w:noWrap/>
            <w:vAlign w:val="center"/>
          </w:tcPr>
          <w:p w14:paraId="65790E99" w14:textId="20B1876B"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5.1093</w:t>
            </w:r>
          </w:p>
        </w:tc>
        <w:tc>
          <w:tcPr>
            <w:tcW w:w="1685" w:type="dxa"/>
            <w:tcBorders>
              <w:top w:val="nil"/>
              <w:left w:val="nil"/>
              <w:bottom w:val="nil"/>
              <w:right w:val="nil"/>
            </w:tcBorders>
            <w:shd w:val="clear" w:color="auto" w:fill="auto"/>
            <w:noWrap/>
            <w:vAlign w:val="center"/>
          </w:tcPr>
          <w:p w14:paraId="70320235" w14:textId="55A4CEFD"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11.0232</w:t>
            </w:r>
          </w:p>
        </w:tc>
        <w:tc>
          <w:tcPr>
            <w:tcW w:w="1219" w:type="dxa"/>
            <w:tcBorders>
              <w:top w:val="nil"/>
              <w:left w:val="nil"/>
              <w:bottom w:val="nil"/>
              <w:right w:val="nil"/>
            </w:tcBorders>
            <w:shd w:val="clear" w:color="auto" w:fill="auto"/>
            <w:noWrap/>
            <w:vAlign w:val="center"/>
          </w:tcPr>
          <w:p w14:paraId="498BAA68" w14:textId="2EA5A5D0"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1.0298</w:t>
            </w:r>
          </w:p>
        </w:tc>
        <w:tc>
          <w:tcPr>
            <w:tcW w:w="1685" w:type="dxa"/>
            <w:tcBorders>
              <w:top w:val="nil"/>
              <w:left w:val="nil"/>
              <w:bottom w:val="nil"/>
              <w:right w:val="nil"/>
            </w:tcBorders>
            <w:shd w:val="clear" w:color="auto" w:fill="auto"/>
            <w:noWrap/>
            <w:vAlign w:val="center"/>
          </w:tcPr>
          <w:p w14:paraId="0E153B11" w14:textId="23D6F79A"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8.2627</w:t>
            </w:r>
          </w:p>
        </w:tc>
        <w:tc>
          <w:tcPr>
            <w:tcW w:w="1685" w:type="dxa"/>
            <w:tcBorders>
              <w:top w:val="nil"/>
              <w:left w:val="nil"/>
              <w:bottom w:val="nil"/>
              <w:right w:val="nil"/>
            </w:tcBorders>
            <w:shd w:val="clear" w:color="auto" w:fill="auto"/>
            <w:noWrap/>
            <w:vAlign w:val="center"/>
          </w:tcPr>
          <w:p w14:paraId="5F87A223" w14:textId="08E59D06"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16.7553</w:t>
            </w:r>
          </w:p>
        </w:tc>
      </w:tr>
      <w:tr w:rsidR="00FC14A5" w:rsidRPr="005A566B" w14:paraId="2245E123" w14:textId="77777777" w:rsidTr="00A91615">
        <w:trPr>
          <w:trHeight w:val="300"/>
          <w:jc w:val="center"/>
        </w:trPr>
        <w:tc>
          <w:tcPr>
            <w:tcW w:w="2460" w:type="dxa"/>
            <w:tcBorders>
              <w:top w:val="nil"/>
              <w:left w:val="nil"/>
              <w:bottom w:val="nil"/>
              <w:right w:val="nil"/>
            </w:tcBorders>
            <w:shd w:val="clear" w:color="auto" w:fill="auto"/>
            <w:noWrap/>
            <w:vAlign w:val="bottom"/>
            <w:hideMark/>
          </w:tcPr>
          <w:p w14:paraId="24F7E542"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CCC</w:t>
            </w:r>
            <w:r w:rsidRPr="005A566B">
              <w:rPr>
                <w:rFonts w:ascii="Arial" w:eastAsia="Calibri" w:hAnsi="Arial" w:cs="Arial"/>
                <w:vertAlign w:val="subscript"/>
              </w:rPr>
              <w:t xml:space="preserve">t–1 </w:t>
            </w:r>
            <w:r w:rsidRPr="005A566B">
              <w:rPr>
                <w:rFonts w:ascii="Arial" w:eastAsia="Calibri" w:hAnsi="Arial" w:cs="Arial"/>
              </w:rPr>
              <w:t>(days)</w:t>
            </w:r>
          </w:p>
        </w:tc>
        <w:tc>
          <w:tcPr>
            <w:tcW w:w="1339" w:type="dxa"/>
            <w:tcBorders>
              <w:top w:val="nil"/>
              <w:left w:val="nil"/>
              <w:bottom w:val="nil"/>
              <w:right w:val="nil"/>
            </w:tcBorders>
            <w:shd w:val="clear" w:color="auto" w:fill="auto"/>
            <w:noWrap/>
            <w:vAlign w:val="center"/>
            <w:hideMark/>
          </w:tcPr>
          <w:p w14:paraId="5522CB26" w14:textId="2FB74B50" w:rsidR="00FC14A5" w:rsidRPr="005A566B" w:rsidRDefault="008A3ABB" w:rsidP="00FC14A5">
            <w:pPr>
              <w:spacing w:after="200" w:line="276" w:lineRule="auto"/>
              <w:rPr>
                <w:rFonts w:ascii="Arial" w:eastAsia="Calibri" w:hAnsi="Arial" w:cs="Arial"/>
              </w:rPr>
            </w:pPr>
            <w:r w:rsidRPr="005A566B">
              <w:rPr>
                <w:rFonts w:ascii="Arial" w:eastAsia="Calibri" w:hAnsi="Arial" w:cs="Arial"/>
              </w:rPr>
              <w:t>6,424</w:t>
            </w:r>
          </w:p>
        </w:tc>
        <w:tc>
          <w:tcPr>
            <w:tcW w:w="1685" w:type="dxa"/>
            <w:tcBorders>
              <w:top w:val="nil"/>
              <w:left w:val="nil"/>
              <w:bottom w:val="nil"/>
              <w:right w:val="nil"/>
            </w:tcBorders>
            <w:shd w:val="clear" w:color="auto" w:fill="auto"/>
            <w:noWrap/>
            <w:vAlign w:val="center"/>
            <w:hideMark/>
          </w:tcPr>
          <w:p w14:paraId="32D85728" w14:textId="77777777" w:rsidR="00FC14A5" w:rsidRPr="005A566B" w:rsidRDefault="00FC14A5" w:rsidP="00FC14A5">
            <w:pPr>
              <w:spacing w:after="200" w:line="276" w:lineRule="auto"/>
              <w:rPr>
                <w:rFonts w:ascii="Arial" w:eastAsia="Calibri" w:hAnsi="Arial" w:cs="Arial"/>
              </w:rPr>
            </w:pPr>
            <w:bookmarkStart w:id="263" w:name="OLE_LINK359"/>
            <w:bookmarkStart w:id="264" w:name="OLE_LINK360"/>
            <w:bookmarkStart w:id="265" w:name="OLE_LINK361"/>
            <w:r w:rsidRPr="005A566B">
              <w:rPr>
                <w:rFonts w:ascii="Arial" w:eastAsia="Calibri" w:hAnsi="Arial" w:cs="Arial"/>
              </w:rPr>
              <w:t>65.901</w:t>
            </w:r>
            <w:bookmarkEnd w:id="263"/>
            <w:bookmarkEnd w:id="264"/>
            <w:bookmarkEnd w:id="265"/>
          </w:p>
        </w:tc>
        <w:tc>
          <w:tcPr>
            <w:tcW w:w="1685" w:type="dxa"/>
            <w:tcBorders>
              <w:top w:val="nil"/>
              <w:left w:val="nil"/>
              <w:bottom w:val="nil"/>
              <w:right w:val="nil"/>
            </w:tcBorders>
            <w:shd w:val="clear" w:color="auto" w:fill="auto"/>
            <w:noWrap/>
            <w:vAlign w:val="center"/>
            <w:hideMark/>
          </w:tcPr>
          <w:p w14:paraId="30947804"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192.610</w:t>
            </w:r>
          </w:p>
        </w:tc>
        <w:tc>
          <w:tcPr>
            <w:tcW w:w="1219" w:type="dxa"/>
            <w:tcBorders>
              <w:top w:val="nil"/>
              <w:left w:val="nil"/>
              <w:bottom w:val="nil"/>
              <w:right w:val="nil"/>
            </w:tcBorders>
            <w:shd w:val="clear" w:color="auto" w:fill="auto"/>
            <w:noWrap/>
            <w:vAlign w:val="center"/>
            <w:hideMark/>
          </w:tcPr>
          <w:p w14:paraId="4ACD0D2A"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14.335</w:t>
            </w:r>
          </w:p>
        </w:tc>
        <w:tc>
          <w:tcPr>
            <w:tcW w:w="1685" w:type="dxa"/>
            <w:tcBorders>
              <w:top w:val="nil"/>
              <w:left w:val="nil"/>
              <w:bottom w:val="nil"/>
              <w:right w:val="nil"/>
            </w:tcBorders>
            <w:shd w:val="clear" w:color="auto" w:fill="auto"/>
            <w:noWrap/>
            <w:vAlign w:val="center"/>
            <w:hideMark/>
          </w:tcPr>
          <w:p w14:paraId="377EEAB0" w14:textId="77777777" w:rsidR="00FC14A5" w:rsidRPr="005A566B" w:rsidRDefault="00FC14A5" w:rsidP="00FC14A5">
            <w:pPr>
              <w:spacing w:after="200" w:line="276" w:lineRule="auto"/>
              <w:rPr>
                <w:rFonts w:ascii="Arial" w:eastAsia="Calibri" w:hAnsi="Arial" w:cs="Arial"/>
              </w:rPr>
            </w:pPr>
            <w:bookmarkStart w:id="266" w:name="OLE_LINK365"/>
            <w:bookmarkStart w:id="267" w:name="OLE_LINK366"/>
            <w:r w:rsidRPr="005A566B">
              <w:rPr>
                <w:rFonts w:ascii="Arial" w:eastAsia="Calibri" w:hAnsi="Arial" w:cs="Arial"/>
              </w:rPr>
              <w:t>72.446</w:t>
            </w:r>
            <w:bookmarkEnd w:id="266"/>
            <w:bookmarkEnd w:id="267"/>
          </w:p>
        </w:tc>
        <w:tc>
          <w:tcPr>
            <w:tcW w:w="1685" w:type="dxa"/>
            <w:tcBorders>
              <w:top w:val="nil"/>
              <w:left w:val="nil"/>
              <w:bottom w:val="nil"/>
              <w:right w:val="nil"/>
            </w:tcBorders>
            <w:shd w:val="clear" w:color="auto" w:fill="auto"/>
            <w:noWrap/>
            <w:vAlign w:val="center"/>
            <w:hideMark/>
          </w:tcPr>
          <w:p w14:paraId="1AFE2108"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219.452</w:t>
            </w:r>
          </w:p>
        </w:tc>
      </w:tr>
      <w:tr w:rsidR="00FC14A5" w:rsidRPr="005A566B" w14:paraId="530FA166" w14:textId="77777777" w:rsidTr="00A91615">
        <w:trPr>
          <w:trHeight w:val="300"/>
          <w:jc w:val="center"/>
        </w:trPr>
        <w:tc>
          <w:tcPr>
            <w:tcW w:w="2460" w:type="dxa"/>
            <w:tcBorders>
              <w:top w:val="nil"/>
              <w:left w:val="nil"/>
              <w:bottom w:val="nil"/>
              <w:right w:val="nil"/>
            </w:tcBorders>
            <w:shd w:val="clear" w:color="auto" w:fill="auto"/>
            <w:noWrap/>
            <w:vAlign w:val="bottom"/>
            <w:hideMark/>
          </w:tcPr>
          <w:p w14:paraId="6DDABC27"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GROWTH (%)</w:t>
            </w:r>
          </w:p>
        </w:tc>
        <w:tc>
          <w:tcPr>
            <w:tcW w:w="1339" w:type="dxa"/>
            <w:tcBorders>
              <w:top w:val="nil"/>
              <w:left w:val="nil"/>
              <w:bottom w:val="nil"/>
              <w:right w:val="nil"/>
            </w:tcBorders>
            <w:shd w:val="clear" w:color="auto" w:fill="auto"/>
            <w:noWrap/>
            <w:vAlign w:val="center"/>
            <w:hideMark/>
          </w:tcPr>
          <w:p w14:paraId="7B710619" w14:textId="25D1045F" w:rsidR="00FC14A5" w:rsidRPr="005A566B" w:rsidRDefault="008A3ABB" w:rsidP="00FC14A5">
            <w:pPr>
              <w:spacing w:after="200" w:line="276" w:lineRule="auto"/>
              <w:rPr>
                <w:rFonts w:ascii="Arial" w:eastAsia="Calibri" w:hAnsi="Arial" w:cs="Arial"/>
              </w:rPr>
            </w:pPr>
            <w:r w:rsidRPr="005A566B">
              <w:rPr>
                <w:rFonts w:ascii="Arial" w:eastAsia="Calibri" w:hAnsi="Arial" w:cs="Arial"/>
              </w:rPr>
              <w:t>6,424</w:t>
            </w:r>
          </w:p>
        </w:tc>
        <w:tc>
          <w:tcPr>
            <w:tcW w:w="1685" w:type="dxa"/>
            <w:tcBorders>
              <w:top w:val="nil"/>
              <w:left w:val="nil"/>
              <w:bottom w:val="nil"/>
              <w:right w:val="nil"/>
            </w:tcBorders>
            <w:shd w:val="clear" w:color="auto" w:fill="auto"/>
            <w:noWrap/>
            <w:vAlign w:val="center"/>
            <w:hideMark/>
          </w:tcPr>
          <w:p w14:paraId="3A03D682" w14:textId="77777777" w:rsidR="00FC14A5" w:rsidRPr="005A566B" w:rsidRDefault="00FC14A5" w:rsidP="00FC14A5">
            <w:pPr>
              <w:spacing w:after="200" w:line="276" w:lineRule="auto"/>
              <w:rPr>
                <w:rFonts w:ascii="Arial" w:eastAsia="Calibri" w:hAnsi="Arial" w:cs="Arial"/>
              </w:rPr>
            </w:pPr>
            <w:bookmarkStart w:id="268" w:name="OLE_LINK369"/>
            <w:bookmarkStart w:id="269" w:name="OLE_LINK370"/>
            <w:r w:rsidRPr="005A566B">
              <w:rPr>
                <w:rFonts w:ascii="Arial" w:eastAsia="Calibri" w:hAnsi="Arial" w:cs="Arial"/>
              </w:rPr>
              <w:t xml:space="preserve">  12.696</w:t>
            </w:r>
            <w:bookmarkEnd w:id="268"/>
            <w:bookmarkEnd w:id="269"/>
          </w:p>
        </w:tc>
        <w:tc>
          <w:tcPr>
            <w:tcW w:w="1685" w:type="dxa"/>
            <w:tcBorders>
              <w:top w:val="nil"/>
              <w:left w:val="nil"/>
              <w:bottom w:val="nil"/>
              <w:right w:val="nil"/>
            </w:tcBorders>
            <w:shd w:val="clear" w:color="auto" w:fill="auto"/>
            <w:noWrap/>
            <w:vAlign w:val="center"/>
            <w:hideMark/>
          </w:tcPr>
          <w:p w14:paraId="40490295"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 xml:space="preserve">  2.651</w:t>
            </w:r>
          </w:p>
        </w:tc>
        <w:tc>
          <w:tcPr>
            <w:tcW w:w="1219" w:type="dxa"/>
            <w:tcBorders>
              <w:top w:val="nil"/>
              <w:left w:val="nil"/>
              <w:bottom w:val="nil"/>
              <w:right w:val="nil"/>
            </w:tcBorders>
            <w:shd w:val="clear" w:color="auto" w:fill="auto"/>
            <w:noWrap/>
            <w:vAlign w:val="center"/>
            <w:hideMark/>
          </w:tcPr>
          <w:p w14:paraId="4BF4E14D"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 xml:space="preserve">  9.595</w:t>
            </w:r>
          </w:p>
        </w:tc>
        <w:tc>
          <w:tcPr>
            <w:tcW w:w="1685" w:type="dxa"/>
            <w:tcBorders>
              <w:top w:val="nil"/>
              <w:left w:val="nil"/>
              <w:bottom w:val="nil"/>
              <w:right w:val="nil"/>
            </w:tcBorders>
            <w:shd w:val="clear" w:color="auto" w:fill="auto"/>
            <w:noWrap/>
            <w:vAlign w:val="center"/>
            <w:hideMark/>
          </w:tcPr>
          <w:p w14:paraId="0C741247"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 xml:space="preserve">  12.479</w:t>
            </w:r>
          </w:p>
        </w:tc>
        <w:tc>
          <w:tcPr>
            <w:tcW w:w="1685" w:type="dxa"/>
            <w:tcBorders>
              <w:top w:val="nil"/>
              <w:left w:val="nil"/>
              <w:bottom w:val="nil"/>
              <w:right w:val="nil"/>
            </w:tcBorders>
            <w:shd w:val="clear" w:color="auto" w:fill="auto"/>
            <w:noWrap/>
            <w:vAlign w:val="center"/>
            <w:hideMark/>
          </w:tcPr>
          <w:p w14:paraId="5BEDF652"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16.300</w:t>
            </w:r>
          </w:p>
        </w:tc>
      </w:tr>
      <w:tr w:rsidR="00A91615" w:rsidRPr="005A566B" w14:paraId="29354C63" w14:textId="77777777" w:rsidTr="00A91615">
        <w:trPr>
          <w:trHeight w:val="300"/>
          <w:jc w:val="center"/>
        </w:trPr>
        <w:tc>
          <w:tcPr>
            <w:tcW w:w="2460" w:type="dxa"/>
            <w:tcBorders>
              <w:top w:val="nil"/>
              <w:left w:val="nil"/>
              <w:bottom w:val="nil"/>
              <w:right w:val="nil"/>
            </w:tcBorders>
            <w:shd w:val="clear" w:color="auto" w:fill="auto"/>
            <w:noWrap/>
            <w:vAlign w:val="bottom"/>
            <w:hideMark/>
          </w:tcPr>
          <w:p w14:paraId="19AF9854" w14:textId="77777777" w:rsidR="00A91615" w:rsidRPr="005A566B" w:rsidRDefault="00A91615" w:rsidP="00FC14A5">
            <w:pPr>
              <w:spacing w:after="200" w:line="276" w:lineRule="auto"/>
              <w:rPr>
                <w:rFonts w:ascii="Arial" w:eastAsia="Calibri" w:hAnsi="Arial" w:cs="Arial"/>
              </w:rPr>
            </w:pPr>
            <w:r w:rsidRPr="005A566B">
              <w:rPr>
                <w:rFonts w:ascii="Arial" w:eastAsia="Calibri" w:hAnsi="Arial" w:cs="Arial"/>
              </w:rPr>
              <w:t>AGE(years)</w:t>
            </w:r>
          </w:p>
        </w:tc>
        <w:tc>
          <w:tcPr>
            <w:tcW w:w="1339" w:type="dxa"/>
            <w:tcBorders>
              <w:top w:val="nil"/>
              <w:left w:val="nil"/>
              <w:bottom w:val="nil"/>
              <w:right w:val="nil"/>
            </w:tcBorders>
            <w:shd w:val="clear" w:color="auto" w:fill="auto"/>
            <w:noWrap/>
            <w:vAlign w:val="center"/>
            <w:hideMark/>
          </w:tcPr>
          <w:p w14:paraId="007392EE" w14:textId="5EA16EDA" w:rsidR="00A91615" w:rsidRPr="005A566B" w:rsidRDefault="00A91615" w:rsidP="00FC14A5">
            <w:pPr>
              <w:spacing w:after="200" w:line="276" w:lineRule="auto"/>
              <w:rPr>
                <w:rFonts w:ascii="Arial" w:eastAsia="Calibri" w:hAnsi="Arial" w:cs="Arial"/>
              </w:rPr>
            </w:pPr>
            <w:r w:rsidRPr="005A566B">
              <w:rPr>
                <w:rFonts w:ascii="Arial" w:eastAsia="Calibri" w:hAnsi="Arial" w:cs="Arial"/>
              </w:rPr>
              <w:t>6,332</w:t>
            </w:r>
          </w:p>
        </w:tc>
        <w:tc>
          <w:tcPr>
            <w:tcW w:w="1685" w:type="dxa"/>
            <w:tcBorders>
              <w:top w:val="nil"/>
              <w:left w:val="nil"/>
              <w:bottom w:val="nil"/>
              <w:right w:val="nil"/>
            </w:tcBorders>
            <w:shd w:val="clear" w:color="auto" w:fill="auto"/>
            <w:noWrap/>
            <w:vAlign w:val="center"/>
            <w:hideMark/>
          </w:tcPr>
          <w:p w14:paraId="6CD861B7" w14:textId="72267FD4" w:rsidR="00A91615" w:rsidRPr="005A566B" w:rsidRDefault="00A91615" w:rsidP="00FC14A5">
            <w:pPr>
              <w:spacing w:after="200" w:line="276" w:lineRule="auto"/>
              <w:rPr>
                <w:rFonts w:ascii="Arial" w:eastAsia="Calibri" w:hAnsi="Arial" w:cs="Arial"/>
              </w:rPr>
            </w:pPr>
            <w:bookmarkStart w:id="270" w:name="OLE_LINK388"/>
            <w:bookmarkStart w:id="271" w:name="OLE_LINK389"/>
            <w:r w:rsidRPr="005A566B">
              <w:rPr>
                <w:rFonts w:ascii="Arial" w:eastAsia="Calibri" w:hAnsi="Arial" w:cs="Arial"/>
              </w:rPr>
              <w:t>19.7312</w:t>
            </w:r>
            <w:bookmarkEnd w:id="270"/>
            <w:bookmarkEnd w:id="271"/>
          </w:p>
        </w:tc>
        <w:tc>
          <w:tcPr>
            <w:tcW w:w="1685" w:type="dxa"/>
            <w:tcBorders>
              <w:top w:val="nil"/>
              <w:left w:val="nil"/>
              <w:bottom w:val="nil"/>
              <w:right w:val="nil"/>
            </w:tcBorders>
            <w:shd w:val="clear" w:color="auto" w:fill="auto"/>
            <w:noWrap/>
            <w:vAlign w:val="center"/>
            <w:hideMark/>
          </w:tcPr>
          <w:p w14:paraId="44299E98" w14:textId="4A02D1AA" w:rsidR="00A91615" w:rsidRPr="005A566B" w:rsidRDefault="00A91615" w:rsidP="00FC14A5">
            <w:pPr>
              <w:spacing w:after="200" w:line="276" w:lineRule="auto"/>
              <w:rPr>
                <w:rFonts w:ascii="Arial" w:eastAsia="Calibri" w:hAnsi="Arial" w:cs="Arial"/>
              </w:rPr>
            </w:pPr>
            <w:r w:rsidRPr="005A566B">
              <w:rPr>
                <w:rFonts w:ascii="Arial" w:eastAsia="Calibri" w:hAnsi="Arial" w:cs="Arial"/>
              </w:rPr>
              <w:t>17.1512</w:t>
            </w:r>
          </w:p>
        </w:tc>
        <w:tc>
          <w:tcPr>
            <w:tcW w:w="1219" w:type="dxa"/>
            <w:tcBorders>
              <w:top w:val="nil"/>
              <w:left w:val="nil"/>
              <w:bottom w:val="nil"/>
              <w:right w:val="nil"/>
            </w:tcBorders>
            <w:shd w:val="clear" w:color="auto" w:fill="auto"/>
            <w:noWrap/>
            <w:vAlign w:val="center"/>
            <w:hideMark/>
          </w:tcPr>
          <w:p w14:paraId="0BB60F01" w14:textId="693244F1" w:rsidR="00A91615" w:rsidRPr="005A566B" w:rsidRDefault="00A91615" w:rsidP="00FC14A5">
            <w:pPr>
              <w:spacing w:after="200" w:line="276" w:lineRule="auto"/>
              <w:rPr>
                <w:rFonts w:ascii="Arial" w:eastAsia="Calibri" w:hAnsi="Arial" w:cs="Arial"/>
              </w:rPr>
            </w:pPr>
            <w:r w:rsidRPr="005A566B">
              <w:rPr>
                <w:rFonts w:ascii="Arial" w:eastAsia="Calibri" w:hAnsi="Arial" w:cs="Arial"/>
              </w:rPr>
              <w:t xml:space="preserve">  8.9871</w:t>
            </w:r>
          </w:p>
        </w:tc>
        <w:tc>
          <w:tcPr>
            <w:tcW w:w="1685" w:type="dxa"/>
            <w:tcBorders>
              <w:top w:val="nil"/>
              <w:left w:val="nil"/>
              <w:bottom w:val="nil"/>
              <w:right w:val="nil"/>
            </w:tcBorders>
            <w:shd w:val="clear" w:color="auto" w:fill="auto"/>
            <w:noWrap/>
            <w:vAlign w:val="center"/>
            <w:hideMark/>
          </w:tcPr>
          <w:p w14:paraId="626A4E69" w14:textId="488BB7C1" w:rsidR="00A91615" w:rsidRPr="005A566B" w:rsidRDefault="00A91615" w:rsidP="00FC14A5">
            <w:pPr>
              <w:spacing w:after="200" w:line="276" w:lineRule="auto"/>
              <w:rPr>
                <w:rFonts w:ascii="Arial" w:eastAsia="Calibri" w:hAnsi="Arial" w:cs="Arial"/>
              </w:rPr>
            </w:pPr>
            <w:r w:rsidRPr="005A566B">
              <w:rPr>
                <w:rFonts w:ascii="Arial" w:eastAsia="Calibri" w:hAnsi="Arial" w:cs="Arial"/>
              </w:rPr>
              <w:t>15.6013</w:t>
            </w:r>
          </w:p>
        </w:tc>
        <w:tc>
          <w:tcPr>
            <w:tcW w:w="1685" w:type="dxa"/>
            <w:tcBorders>
              <w:top w:val="nil"/>
              <w:left w:val="nil"/>
              <w:bottom w:val="nil"/>
              <w:right w:val="nil"/>
            </w:tcBorders>
            <w:shd w:val="clear" w:color="auto" w:fill="auto"/>
            <w:noWrap/>
            <w:vAlign w:val="center"/>
            <w:hideMark/>
          </w:tcPr>
          <w:p w14:paraId="234F0310" w14:textId="331537AA" w:rsidR="00A91615" w:rsidRPr="005A566B" w:rsidRDefault="00A91615" w:rsidP="00FC14A5">
            <w:pPr>
              <w:spacing w:after="200" w:line="276" w:lineRule="auto"/>
              <w:rPr>
                <w:rFonts w:ascii="Arial" w:eastAsia="Calibri" w:hAnsi="Arial" w:cs="Arial"/>
              </w:rPr>
            </w:pPr>
            <w:r w:rsidRPr="005A566B">
              <w:rPr>
                <w:rFonts w:ascii="Arial" w:eastAsia="Calibri" w:hAnsi="Arial" w:cs="Arial"/>
              </w:rPr>
              <w:t>52.0187</w:t>
            </w:r>
          </w:p>
        </w:tc>
      </w:tr>
      <w:tr w:rsidR="008A3ABB" w:rsidRPr="005A566B" w14:paraId="0C38DC4E" w14:textId="77777777" w:rsidTr="00A91615">
        <w:trPr>
          <w:trHeight w:val="300"/>
          <w:jc w:val="center"/>
        </w:trPr>
        <w:tc>
          <w:tcPr>
            <w:tcW w:w="2460" w:type="dxa"/>
            <w:tcBorders>
              <w:top w:val="nil"/>
              <w:left w:val="nil"/>
              <w:bottom w:val="nil"/>
              <w:right w:val="nil"/>
            </w:tcBorders>
            <w:shd w:val="clear" w:color="auto" w:fill="auto"/>
            <w:noWrap/>
            <w:vAlign w:val="bottom"/>
            <w:hideMark/>
          </w:tcPr>
          <w:p w14:paraId="7CC0480E" w14:textId="77777777"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ATAN</w:t>
            </w:r>
            <w:r w:rsidRPr="005A566B">
              <w:rPr>
                <w:rFonts w:ascii="Arial" w:eastAsia="Calibri" w:hAnsi="Arial" w:cs="Arial"/>
                <w:vertAlign w:val="subscript"/>
              </w:rPr>
              <w:t xml:space="preserve"> </w:t>
            </w:r>
            <w:r w:rsidRPr="005A566B">
              <w:rPr>
                <w:rFonts w:ascii="Arial" w:eastAsia="Calibri" w:hAnsi="Arial" w:cs="Arial"/>
              </w:rPr>
              <w:t>(%)</w:t>
            </w:r>
          </w:p>
        </w:tc>
        <w:tc>
          <w:tcPr>
            <w:tcW w:w="1339" w:type="dxa"/>
            <w:tcBorders>
              <w:top w:val="nil"/>
              <w:left w:val="nil"/>
              <w:bottom w:val="nil"/>
              <w:right w:val="nil"/>
            </w:tcBorders>
            <w:shd w:val="clear" w:color="auto" w:fill="auto"/>
            <w:noWrap/>
            <w:vAlign w:val="center"/>
            <w:hideMark/>
          </w:tcPr>
          <w:p w14:paraId="779935F9" w14:textId="50053259"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6,113</w:t>
            </w:r>
          </w:p>
        </w:tc>
        <w:tc>
          <w:tcPr>
            <w:tcW w:w="1685" w:type="dxa"/>
            <w:tcBorders>
              <w:top w:val="nil"/>
              <w:left w:val="nil"/>
              <w:bottom w:val="nil"/>
              <w:right w:val="nil"/>
            </w:tcBorders>
            <w:shd w:val="clear" w:color="auto" w:fill="auto"/>
            <w:noWrap/>
            <w:vAlign w:val="center"/>
            <w:hideMark/>
          </w:tcPr>
          <w:p w14:paraId="4BB87915" w14:textId="72696602" w:rsidR="008A3ABB" w:rsidRPr="005A566B" w:rsidRDefault="008A3ABB" w:rsidP="00FC14A5">
            <w:pPr>
              <w:spacing w:after="200" w:line="276" w:lineRule="auto"/>
              <w:rPr>
                <w:rFonts w:ascii="Arial" w:eastAsia="Calibri" w:hAnsi="Arial" w:cs="Arial"/>
              </w:rPr>
            </w:pPr>
            <w:bookmarkStart w:id="272" w:name="OLE_LINK383"/>
            <w:bookmarkStart w:id="273" w:name="OLE_LINK384"/>
            <w:bookmarkStart w:id="274" w:name="OLE_LINK385"/>
            <w:r w:rsidRPr="005A566B">
              <w:rPr>
                <w:rFonts w:ascii="Arial" w:eastAsia="Calibri" w:hAnsi="Arial" w:cs="Arial"/>
              </w:rPr>
              <w:t>37.1788</w:t>
            </w:r>
            <w:bookmarkEnd w:id="272"/>
            <w:bookmarkEnd w:id="273"/>
            <w:bookmarkEnd w:id="274"/>
          </w:p>
        </w:tc>
        <w:tc>
          <w:tcPr>
            <w:tcW w:w="1685" w:type="dxa"/>
            <w:tcBorders>
              <w:top w:val="nil"/>
              <w:left w:val="nil"/>
              <w:bottom w:val="nil"/>
              <w:right w:val="nil"/>
            </w:tcBorders>
            <w:shd w:val="clear" w:color="auto" w:fill="auto"/>
            <w:noWrap/>
            <w:vAlign w:val="center"/>
            <w:hideMark/>
          </w:tcPr>
          <w:p w14:paraId="7F09FC8F" w14:textId="507B4739"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35.4094</w:t>
            </w:r>
          </w:p>
        </w:tc>
        <w:tc>
          <w:tcPr>
            <w:tcW w:w="1219" w:type="dxa"/>
            <w:tcBorders>
              <w:top w:val="nil"/>
              <w:left w:val="nil"/>
              <w:bottom w:val="nil"/>
              <w:right w:val="nil"/>
            </w:tcBorders>
            <w:shd w:val="clear" w:color="auto" w:fill="auto"/>
            <w:noWrap/>
            <w:vAlign w:val="center"/>
            <w:hideMark/>
          </w:tcPr>
          <w:p w14:paraId="3D2AE34D" w14:textId="24683026"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 xml:space="preserve">  3.0187</w:t>
            </w:r>
          </w:p>
        </w:tc>
        <w:tc>
          <w:tcPr>
            <w:tcW w:w="1685" w:type="dxa"/>
            <w:tcBorders>
              <w:top w:val="nil"/>
              <w:left w:val="nil"/>
              <w:bottom w:val="nil"/>
              <w:right w:val="nil"/>
            </w:tcBorders>
            <w:shd w:val="clear" w:color="auto" w:fill="auto"/>
            <w:noWrap/>
            <w:vAlign w:val="center"/>
            <w:hideMark/>
          </w:tcPr>
          <w:p w14:paraId="315EC36F" w14:textId="4C0BDE7F"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26.2038</w:t>
            </w:r>
          </w:p>
        </w:tc>
        <w:tc>
          <w:tcPr>
            <w:tcW w:w="1685" w:type="dxa"/>
            <w:tcBorders>
              <w:top w:val="nil"/>
              <w:left w:val="nil"/>
              <w:bottom w:val="nil"/>
              <w:right w:val="nil"/>
            </w:tcBorders>
            <w:shd w:val="clear" w:color="auto" w:fill="auto"/>
            <w:noWrap/>
            <w:vAlign w:val="center"/>
            <w:hideMark/>
          </w:tcPr>
          <w:p w14:paraId="1B7C5796" w14:textId="7E638CEB"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69.2758</w:t>
            </w:r>
          </w:p>
        </w:tc>
      </w:tr>
      <w:tr w:rsidR="008A3ABB" w:rsidRPr="005A566B" w14:paraId="31D6AD08" w14:textId="77777777" w:rsidTr="00A91615">
        <w:trPr>
          <w:trHeight w:val="300"/>
          <w:jc w:val="center"/>
        </w:trPr>
        <w:tc>
          <w:tcPr>
            <w:tcW w:w="2460" w:type="dxa"/>
            <w:tcBorders>
              <w:top w:val="nil"/>
              <w:left w:val="nil"/>
              <w:bottom w:val="nil"/>
              <w:right w:val="nil"/>
            </w:tcBorders>
            <w:shd w:val="clear" w:color="auto" w:fill="auto"/>
            <w:noWrap/>
            <w:vAlign w:val="bottom"/>
            <w:hideMark/>
          </w:tcPr>
          <w:p w14:paraId="7C684265" w14:textId="77777777"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FLEV (%)</w:t>
            </w:r>
          </w:p>
        </w:tc>
        <w:tc>
          <w:tcPr>
            <w:tcW w:w="1339" w:type="dxa"/>
            <w:tcBorders>
              <w:top w:val="nil"/>
              <w:left w:val="nil"/>
              <w:bottom w:val="nil"/>
              <w:right w:val="nil"/>
            </w:tcBorders>
            <w:shd w:val="clear" w:color="auto" w:fill="auto"/>
            <w:noWrap/>
            <w:vAlign w:val="center"/>
            <w:hideMark/>
          </w:tcPr>
          <w:p w14:paraId="46C82762" w14:textId="510B2EF2"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6,008</w:t>
            </w:r>
          </w:p>
        </w:tc>
        <w:tc>
          <w:tcPr>
            <w:tcW w:w="1685" w:type="dxa"/>
            <w:tcBorders>
              <w:top w:val="nil"/>
              <w:left w:val="nil"/>
              <w:bottom w:val="nil"/>
              <w:right w:val="nil"/>
            </w:tcBorders>
            <w:shd w:val="clear" w:color="auto" w:fill="auto"/>
            <w:noWrap/>
            <w:vAlign w:val="center"/>
            <w:hideMark/>
          </w:tcPr>
          <w:p w14:paraId="079BBCD6" w14:textId="3514E0DE" w:rsidR="008A3ABB" w:rsidRPr="005A566B" w:rsidRDefault="008A3ABB" w:rsidP="00FC14A5">
            <w:pPr>
              <w:spacing w:after="200" w:line="276" w:lineRule="auto"/>
              <w:rPr>
                <w:rFonts w:ascii="Arial" w:eastAsia="Calibri" w:hAnsi="Arial" w:cs="Arial"/>
              </w:rPr>
            </w:pPr>
            <w:bookmarkStart w:id="275" w:name="OLE_LINK371"/>
            <w:bookmarkStart w:id="276" w:name="OLE_LINK372"/>
            <w:bookmarkStart w:id="277" w:name="OLE_LINK373"/>
            <w:r w:rsidRPr="005A566B">
              <w:rPr>
                <w:rFonts w:ascii="Arial" w:eastAsia="Calibri" w:hAnsi="Arial" w:cs="Arial"/>
              </w:rPr>
              <w:t>11.3980</w:t>
            </w:r>
            <w:bookmarkEnd w:id="275"/>
            <w:bookmarkEnd w:id="276"/>
            <w:bookmarkEnd w:id="277"/>
          </w:p>
        </w:tc>
        <w:tc>
          <w:tcPr>
            <w:tcW w:w="1685" w:type="dxa"/>
            <w:tcBorders>
              <w:top w:val="nil"/>
              <w:left w:val="nil"/>
              <w:bottom w:val="nil"/>
              <w:right w:val="nil"/>
            </w:tcBorders>
            <w:shd w:val="clear" w:color="auto" w:fill="auto"/>
            <w:noWrap/>
            <w:vAlign w:val="center"/>
            <w:hideMark/>
          </w:tcPr>
          <w:p w14:paraId="7CA8163C" w14:textId="7D036E26"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13.6211</w:t>
            </w:r>
          </w:p>
        </w:tc>
        <w:tc>
          <w:tcPr>
            <w:tcW w:w="1219" w:type="dxa"/>
            <w:tcBorders>
              <w:top w:val="nil"/>
              <w:left w:val="nil"/>
              <w:bottom w:val="nil"/>
              <w:right w:val="nil"/>
            </w:tcBorders>
            <w:shd w:val="clear" w:color="auto" w:fill="auto"/>
            <w:noWrap/>
            <w:vAlign w:val="center"/>
            <w:hideMark/>
          </w:tcPr>
          <w:p w14:paraId="5769FA5A" w14:textId="07A5AF47"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 xml:space="preserve">  0.0000</w:t>
            </w:r>
          </w:p>
        </w:tc>
        <w:tc>
          <w:tcPr>
            <w:tcW w:w="1685" w:type="dxa"/>
            <w:tcBorders>
              <w:top w:val="nil"/>
              <w:left w:val="nil"/>
              <w:bottom w:val="nil"/>
              <w:right w:val="nil"/>
            </w:tcBorders>
            <w:shd w:val="clear" w:color="auto" w:fill="auto"/>
            <w:noWrap/>
            <w:vAlign w:val="center"/>
            <w:hideMark/>
          </w:tcPr>
          <w:p w14:paraId="17B62098" w14:textId="7A41F9DA" w:rsidR="008A3ABB" w:rsidRPr="005A566B" w:rsidRDefault="008A3ABB" w:rsidP="00FC14A5">
            <w:pPr>
              <w:spacing w:after="200" w:line="276" w:lineRule="auto"/>
              <w:rPr>
                <w:rFonts w:ascii="Arial" w:eastAsia="Calibri" w:hAnsi="Arial" w:cs="Arial"/>
              </w:rPr>
            </w:pPr>
            <w:bookmarkStart w:id="278" w:name="OLE_LINK374"/>
            <w:bookmarkStart w:id="279" w:name="OLE_LINK375"/>
            <w:bookmarkStart w:id="280" w:name="OLE_LINK376"/>
            <w:r w:rsidRPr="005A566B">
              <w:rPr>
                <w:rFonts w:ascii="Arial" w:eastAsia="Calibri" w:hAnsi="Arial" w:cs="Arial"/>
              </w:rPr>
              <w:t xml:space="preserve">  5.7109</w:t>
            </w:r>
            <w:bookmarkEnd w:id="278"/>
            <w:bookmarkEnd w:id="279"/>
            <w:bookmarkEnd w:id="280"/>
          </w:p>
        </w:tc>
        <w:tc>
          <w:tcPr>
            <w:tcW w:w="1685" w:type="dxa"/>
            <w:tcBorders>
              <w:top w:val="nil"/>
              <w:left w:val="nil"/>
              <w:bottom w:val="nil"/>
              <w:right w:val="nil"/>
            </w:tcBorders>
            <w:shd w:val="clear" w:color="auto" w:fill="auto"/>
            <w:noWrap/>
            <w:vAlign w:val="center"/>
            <w:hideMark/>
          </w:tcPr>
          <w:p w14:paraId="410D2F26" w14:textId="501B0FD6" w:rsidR="008A3ABB" w:rsidRPr="005A566B" w:rsidRDefault="008A3ABB" w:rsidP="00FC14A5">
            <w:pPr>
              <w:spacing w:after="200" w:line="276" w:lineRule="auto"/>
              <w:rPr>
                <w:rFonts w:ascii="Arial" w:eastAsia="Calibri" w:hAnsi="Arial" w:cs="Arial"/>
              </w:rPr>
            </w:pPr>
            <w:r w:rsidRPr="005A566B">
              <w:rPr>
                <w:rFonts w:ascii="Arial" w:eastAsia="Calibri" w:hAnsi="Arial" w:cs="Arial"/>
              </w:rPr>
              <w:t>29.6456</w:t>
            </w:r>
          </w:p>
        </w:tc>
      </w:tr>
      <w:tr w:rsidR="00FC14A5" w:rsidRPr="005A566B" w14:paraId="47356B94" w14:textId="77777777" w:rsidTr="00A91615">
        <w:trPr>
          <w:trHeight w:val="300"/>
          <w:jc w:val="center"/>
        </w:trPr>
        <w:tc>
          <w:tcPr>
            <w:tcW w:w="2460" w:type="dxa"/>
            <w:tcBorders>
              <w:top w:val="nil"/>
              <w:left w:val="nil"/>
              <w:bottom w:val="nil"/>
              <w:right w:val="nil"/>
            </w:tcBorders>
            <w:shd w:val="clear" w:color="auto" w:fill="auto"/>
            <w:noWrap/>
            <w:vAlign w:val="bottom"/>
          </w:tcPr>
          <w:p w14:paraId="13B8D8C9"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CR(ratio)</w:t>
            </w:r>
          </w:p>
        </w:tc>
        <w:tc>
          <w:tcPr>
            <w:tcW w:w="1339" w:type="dxa"/>
            <w:tcBorders>
              <w:top w:val="nil"/>
              <w:left w:val="nil"/>
              <w:bottom w:val="nil"/>
              <w:right w:val="nil"/>
            </w:tcBorders>
            <w:shd w:val="clear" w:color="auto" w:fill="auto"/>
            <w:noWrap/>
            <w:vAlign w:val="center"/>
          </w:tcPr>
          <w:p w14:paraId="3561586F" w14:textId="393B774F" w:rsidR="00FC14A5" w:rsidRPr="005A566B" w:rsidRDefault="00A91615" w:rsidP="00FC14A5">
            <w:pPr>
              <w:spacing w:after="200" w:line="276" w:lineRule="auto"/>
              <w:rPr>
                <w:rFonts w:ascii="Arial" w:eastAsia="Calibri" w:hAnsi="Arial" w:cs="Arial"/>
              </w:rPr>
            </w:pPr>
            <w:r w:rsidRPr="005A566B">
              <w:rPr>
                <w:rFonts w:ascii="Arial" w:eastAsia="Calibri" w:hAnsi="Arial" w:cs="Arial"/>
              </w:rPr>
              <w:t>6,013</w:t>
            </w:r>
          </w:p>
        </w:tc>
        <w:tc>
          <w:tcPr>
            <w:tcW w:w="1685" w:type="dxa"/>
            <w:tcBorders>
              <w:top w:val="nil"/>
              <w:left w:val="nil"/>
              <w:bottom w:val="nil"/>
              <w:right w:val="nil"/>
            </w:tcBorders>
            <w:shd w:val="clear" w:color="auto" w:fill="auto"/>
            <w:noWrap/>
            <w:vAlign w:val="center"/>
          </w:tcPr>
          <w:p w14:paraId="728A63C0" w14:textId="77777777" w:rsidR="00FC14A5" w:rsidRPr="005A566B" w:rsidRDefault="00FC14A5" w:rsidP="00FC14A5">
            <w:pPr>
              <w:spacing w:after="200" w:line="276" w:lineRule="auto"/>
              <w:rPr>
                <w:rFonts w:ascii="Arial" w:eastAsia="Calibri" w:hAnsi="Arial" w:cs="Arial"/>
              </w:rPr>
            </w:pPr>
            <w:bookmarkStart w:id="281" w:name="OLE_LINK380"/>
            <w:r w:rsidRPr="005A566B">
              <w:rPr>
                <w:rFonts w:ascii="Arial" w:eastAsia="Calibri" w:hAnsi="Arial" w:cs="Arial"/>
              </w:rPr>
              <w:t>1.590</w:t>
            </w:r>
            <w:bookmarkEnd w:id="281"/>
          </w:p>
        </w:tc>
        <w:tc>
          <w:tcPr>
            <w:tcW w:w="1685" w:type="dxa"/>
            <w:tcBorders>
              <w:top w:val="nil"/>
              <w:left w:val="nil"/>
              <w:bottom w:val="nil"/>
              <w:right w:val="nil"/>
            </w:tcBorders>
            <w:shd w:val="clear" w:color="auto" w:fill="auto"/>
            <w:noWrap/>
            <w:vAlign w:val="center"/>
          </w:tcPr>
          <w:p w14:paraId="4221BD41"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2.330</w:t>
            </w:r>
          </w:p>
        </w:tc>
        <w:tc>
          <w:tcPr>
            <w:tcW w:w="1219" w:type="dxa"/>
            <w:tcBorders>
              <w:top w:val="nil"/>
              <w:left w:val="nil"/>
              <w:bottom w:val="nil"/>
              <w:right w:val="nil"/>
            </w:tcBorders>
            <w:shd w:val="clear" w:color="auto" w:fill="auto"/>
            <w:noWrap/>
            <w:vAlign w:val="center"/>
          </w:tcPr>
          <w:p w14:paraId="23662DDF"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0.000</w:t>
            </w:r>
          </w:p>
        </w:tc>
        <w:tc>
          <w:tcPr>
            <w:tcW w:w="1685" w:type="dxa"/>
            <w:tcBorders>
              <w:top w:val="nil"/>
              <w:left w:val="nil"/>
              <w:bottom w:val="nil"/>
              <w:right w:val="nil"/>
            </w:tcBorders>
            <w:shd w:val="clear" w:color="auto" w:fill="auto"/>
            <w:noWrap/>
            <w:vAlign w:val="center"/>
          </w:tcPr>
          <w:p w14:paraId="21FA93E3"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1.280</w:t>
            </w:r>
          </w:p>
        </w:tc>
        <w:tc>
          <w:tcPr>
            <w:tcW w:w="1685" w:type="dxa"/>
            <w:tcBorders>
              <w:top w:val="nil"/>
              <w:left w:val="nil"/>
              <w:bottom w:val="nil"/>
              <w:right w:val="nil"/>
            </w:tcBorders>
            <w:shd w:val="clear" w:color="auto" w:fill="auto"/>
            <w:noWrap/>
            <w:vAlign w:val="center"/>
          </w:tcPr>
          <w:p w14:paraId="25083712" w14:textId="77777777" w:rsidR="00FC14A5" w:rsidRPr="005A566B" w:rsidRDefault="00FC14A5" w:rsidP="00FC14A5">
            <w:pPr>
              <w:spacing w:after="200" w:line="276" w:lineRule="auto"/>
              <w:rPr>
                <w:rFonts w:ascii="Arial" w:eastAsia="Calibri" w:hAnsi="Arial" w:cs="Arial"/>
              </w:rPr>
            </w:pPr>
            <w:r w:rsidRPr="005A566B">
              <w:rPr>
                <w:rFonts w:ascii="Arial" w:eastAsia="Calibri" w:hAnsi="Arial" w:cs="Arial"/>
              </w:rPr>
              <w:t>3.190</w:t>
            </w:r>
          </w:p>
        </w:tc>
      </w:tr>
    </w:tbl>
    <w:p w14:paraId="676CF5E3" w14:textId="77777777" w:rsidR="00FC14A5" w:rsidRPr="005A566B" w:rsidRDefault="00FC14A5" w:rsidP="00FC14A5">
      <w:pPr>
        <w:spacing w:after="200" w:line="276" w:lineRule="auto"/>
        <w:rPr>
          <w:rFonts w:ascii="Arial" w:eastAsia="Calibri" w:hAnsi="Arial" w:cs="Arial"/>
        </w:rPr>
      </w:pPr>
    </w:p>
    <w:p w14:paraId="5A21FF99" w14:textId="77777777" w:rsidR="00FC14A5" w:rsidRPr="005A566B" w:rsidRDefault="00FC14A5" w:rsidP="00FC14A5">
      <w:pPr>
        <w:spacing w:after="200" w:line="276" w:lineRule="auto"/>
        <w:rPr>
          <w:rFonts w:ascii="Arial" w:eastAsia="Calibri" w:hAnsi="Arial" w:cs="Arial"/>
        </w:rPr>
      </w:pPr>
    </w:p>
    <w:p w14:paraId="65576D44" w14:textId="77777777" w:rsidR="00FC14A5" w:rsidRPr="005A566B" w:rsidRDefault="00FC14A5" w:rsidP="00FC14A5">
      <w:pPr>
        <w:spacing w:after="200" w:line="276" w:lineRule="auto"/>
        <w:rPr>
          <w:rFonts w:ascii="Arial" w:eastAsia="Calibri" w:hAnsi="Arial" w:cs="Arial"/>
        </w:rPr>
      </w:pPr>
    </w:p>
    <w:p w14:paraId="6607BDFD" w14:textId="77777777" w:rsidR="00FC14A5" w:rsidRPr="005A566B" w:rsidRDefault="00FC14A5" w:rsidP="00FC14A5">
      <w:pPr>
        <w:spacing w:after="200" w:line="276" w:lineRule="auto"/>
        <w:rPr>
          <w:rFonts w:ascii="Arial" w:eastAsia="Calibri" w:hAnsi="Arial" w:cs="Arial"/>
        </w:rPr>
      </w:pPr>
    </w:p>
    <w:p w14:paraId="52108F84" w14:textId="77777777" w:rsidR="00FC14A5" w:rsidRPr="005A566B" w:rsidRDefault="00FC14A5" w:rsidP="00FC14A5">
      <w:pPr>
        <w:spacing w:after="200" w:line="276" w:lineRule="auto"/>
        <w:rPr>
          <w:rFonts w:ascii="Arial" w:eastAsia="Calibri" w:hAnsi="Arial" w:cs="Arial"/>
        </w:rPr>
      </w:pPr>
    </w:p>
    <w:p w14:paraId="605E976A" w14:textId="77777777" w:rsidR="00FC14A5" w:rsidRPr="005A566B" w:rsidRDefault="00FC14A5" w:rsidP="00FC14A5">
      <w:pPr>
        <w:spacing w:after="200" w:line="276" w:lineRule="auto"/>
        <w:rPr>
          <w:rFonts w:ascii="Arial" w:eastAsia="Calibri" w:hAnsi="Arial" w:cs="Arial"/>
        </w:rPr>
      </w:pPr>
    </w:p>
    <w:p w14:paraId="27E39CE5" w14:textId="77777777" w:rsidR="00FC14A5" w:rsidRPr="005A566B" w:rsidRDefault="00FC14A5" w:rsidP="00FC14A5">
      <w:pPr>
        <w:spacing w:after="200" w:line="276" w:lineRule="auto"/>
        <w:rPr>
          <w:rFonts w:ascii="Arial" w:eastAsia="Calibri" w:hAnsi="Arial" w:cs="Arial"/>
        </w:rPr>
      </w:pPr>
    </w:p>
    <w:p w14:paraId="6206B96F" w14:textId="77777777" w:rsidR="00FC14A5" w:rsidRPr="005A566B" w:rsidRDefault="00FC14A5" w:rsidP="00FC14A5">
      <w:pPr>
        <w:spacing w:after="200" w:line="276" w:lineRule="auto"/>
        <w:rPr>
          <w:rFonts w:ascii="Arial" w:eastAsia="Calibri" w:hAnsi="Arial" w:cs="Arial"/>
        </w:rPr>
      </w:pPr>
    </w:p>
    <w:p w14:paraId="3704B2AA" w14:textId="77777777" w:rsidR="00FC14A5" w:rsidRPr="005A566B" w:rsidRDefault="00FC14A5" w:rsidP="00FC14A5">
      <w:pPr>
        <w:spacing w:after="200" w:line="276" w:lineRule="auto"/>
        <w:rPr>
          <w:rFonts w:ascii="Arial" w:eastAsia="Calibri" w:hAnsi="Arial" w:cs="Arial"/>
        </w:rPr>
        <w:sectPr w:rsidR="00FC14A5" w:rsidRPr="005A566B">
          <w:pgSz w:w="11906" w:h="16838"/>
          <w:pgMar w:top="1440" w:right="1440" w:bottom="1440" w:left="1440" w:header="708" w:footer="708" w:gutter="0"/>
          <w:cols w:space="708"/>
          <w:docGrid w:linePitch="360"/>
        </w:sectPr>
      </w:pPr>
    </w:p>
    <w:p w14:paraId="4A46E758" w14:textId="77777777" w:rsidR="00FC14A5" w:rsidRPr="005A566B" w:rsidRDefault="00FC14A5" w:rsidP="00FC14A5">
      <w:pPr>
        <w:spacing w:after="200" w:line="276" w:lineRule="auto"/>
        <w:rPr>
          <w:rFonts w:ascii="Arial" w:eastAsia="Calibri" w:hAnsi="Arial" w:cs="Arial"/>
        </w:rPr>
      </w:pPr>
    </w:p>
    <w:p w14:paraId="1D25EEAB" w14:textId="77777777" w:rsidR="00FC14A5" w:rsidRPr="005A566B" w:rsidRDefault="00FC14A5" w:rsidP="00FC14A5">
      <w:pPr>
        <w:spacing w:after="200" w:line="276" w:lineRule="auto"/>
        <w:rPr>
          <w:rFonts w:ascii="Arial" w:eastAsia="Calibri" w:hAnsi="Arial" w:cs="Arial"/>
        </w:rPr>
      </w:pPr>
    </w:p>
    <w:tbl>
      <w:tblPr>
        <w:tblpPr w:leftFromText="180" w:rightFromText="180" w:vertAnchor="text" w:horzAnchor="margin" w:tblpY="-467"/>
        <w:tblW w:w="12560" w:type="dxa"/>
        <w:tblLook w:val="04A0" w:firstRow="1" w:lastRow="0" w:firstColumn="1" w:lastColumn="0" w:noHBand="0" w:noVBand="1"/>
      </w:tblPr>
      <w:tblGrid>
        <w:gridCol w:w="1330"/>
        <w:gridCol w:w="1614"/>
        <w:gridCol w:w="1208"/>
        <w:gridCol w:w="951"/>
        <w:gridCol w:w="1083"/>
        <w:gridCol w:w="1310"/>
        <w:gridCol w:w="1024"/>
        <w:gridCol w:w="1024"/>
        <w:gridCol w:w="1280"/>
        <w:gridCol w:w="951"/>
        <w:gridCol w:w="222"/>
        <w:gridCol w:w="563"/>
      </w:tblGrid>
      <w:tr w:rsidR="00A31330" w:rsidRPr="005A566B" w14:paraId="64E6F0AE" w14:textId="77777777" w:rsidTr="00ED7D5D">
        <w:trPr>
          <w:trHeight w:val="173"/>
        </w:trPr>
        <w:tc>
          <w:tcPr>
            <w:tcW w:w="4152" w:type="dxa"/>
            <w:gridSpan w:val="3"/>
            <w:tcBorders>
              <w:top w:val="nil"/>
              <w:left w:val="nil"/>
              <w:bottom w:val="nil"/>
              <w:right w:val="nil"/>
            </w:tcBorders>
            <w:shd w:val="clear" w:color="auto" w:fill="auto"/>
            <w:noWrap/>
            <w:vAlign w:val="bottom"/>
          </w:tcPr>
          <w:p w14:paraId="5341C57A" w14:textId="77777777" w:rsidR="00A31330" w:rsidRPr="005A566B" w:rsidRDefault="00D86DF0" w:rsidP="00A31330">
            <w:pPr>
              <w:spacing w:after="0" w:line="240" w:lineRule="auto"/>
              <w:rPr>
                <w:rFonts w:ascii="Arial" w:eastAsia="Calibri" w:hAnsi="Arial" w:cs="Arial"/>
                <w:b/>
                <w:noProof/>
                <w:sz w:val="24"/>
                <w:szCs w:val="24"/>
                <w:lang w:eastAsia="en-GB"/>
              </w:rPr>
            </w:pPr>
            <w:r w:rsidRPr="005A566B">
              <w:rPr>
                <w:rFonts w:ascii="Arial" w:eastAsia="Calibri" w:hAnsi="Arial" w:cs="Arial"/>
                <w:b/>
                <w:bCs/>
              </w:rPr>
              <w:t>Table 3:</w:t>
            </w:r>
            <w:r w:rsidRPr="005A566B">
              <w:rPr>
                <w:rFonts w:ascii="Arial" w:eastAsia="Calibri" w:hAnsi="Arial" w:cs="Arial"/>
                <w:bCs/>
              </w:rPr>
              <w:t xml:space="preserve"> Correlation Matrix.</w:t>
            </w:r>
          </w:p>
        </w:tc>
        <w:tc>
          <w:tcPr>
            <w:tcW w:w="951" w:type="dxa"/>
            <w:tcBorders>
              <w:top w:val="nil"/>
              <w:left w:val="nil"/>
              <w:bottom w:val="nil"/>
              <w:right w:val="nil"/>
            </w:tcBorders>
            <w:shd w:val="clear" w:color="auto" w:fill="auto"/>
            <w:vAlign w:val="center"/>
          </w:tcPr>
          <w:p w14:paraId="1D41AB5F"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083" w:type="dxa"/>
            <w:tcBorders>
              <w:top w:val="nil"/>
              <w:left w:val="nil"/>
              <w:bottom w:val="nil"/>
              <w:right w:val="nil"/>
            </w:tcBorders>
            <w:shd w:val="clear" w:color="auto" w:fill="auto"/>
            <w:noWrap/>
            <w:vAlign w:val="center"/>
          </w:tcPr>
          <w:p w14:paraId="7B580B03" w14:textId="77777777" w:rsidR="00A31330" w:rsidRPr="005A566B" w:rsidRDefault="00A31330" w:rsidP="00A31330">
            <w:pPr>
              <w:spacing w:after="0" w:line="240" w:lineRule="auto"/>
              <w:rPr>
                <w:rFonts w:ascii="Arial" w:eastAsia="Times New Roman" w:hAnsi="Arial" w:cs="Arial"/>
                <w:noProof/>
                <w:sz w:val="24"/>
                <w:szCs w:val="24"/>
                <w:lang w:eastAsia="en-GB"/>
              </w:rPr>
            </w:pPr>
          </w:p>
        </w:tc>
        <w:tc>
          <w:tcPr>
            <w:tcW w:w="1310" w:type="dxa"/>
            <w:tcBorders>
              <w:top w:val="nil"/>
              <w:left w:val="nil"/>
              <w:bottom w:val="nil"/>
              <w:right w:val="nil"/>
            </w:tcBorders>
            <w:shd w:val="clear" w:color="auto" w:fill="auto"/>
            <w:vAlign w:val="center"/>
          </w:tcPr>
          <w:p w14:paraId="7BAB786F"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7C382E63" w14:textId="77777777" w:rsidR="00A31330" w:rsidRPr="005A566B" w:rsidRDefault="00A31330" w:rsidP="00A31330">
            <w:pPr>
              <w:spacing w:after="0" w:line="240" w:lineRule="auto"/>
              <w:rPr>
                <w:rFonts w:ascii="Arial" w:eastAsia="Times New Roman" w:hAnsi="Arial" w:cs="Arial"/>
                <w:noProof/>
                <w:sz w:val="24"/>
                <w:szCs w:val="24"/>
                <w:lang w:eastAsia="en-GB"/>
              </w:rPr>
            </w:pPr>
          </w:p>
        </w:tc>
        <w:tc>
          <w:tcPr>
            <w:tcW w:w="1024" w:type="dxa"/>
            <w:tcBorders>
              <w:top w:val="nil"/>
              <w:left w:val="nil"/>
              <w:bottom w:val="nil"/>
              <w:right w:val="nil"/>
            </w:tcBorders>
            <w:shd w:val="clear" w:color="auto" w:fill="auto"/>
            <w:noWrap/>
            <w:vAlign w:val="center"/>
          </w:tcPr>
          <w:p w14:paraId="125873BE" w14:textId="77777777" w:rsidR="00A31330" w:rsidRPr="005A566B" w:rsidRDefault="00A31330" w:rsidP="00A31330">
            <w:pPr>
              <w:spacing w:after="0" w:line="240" w:lineRule="auto"/>
              <w:rPr>
                <w:rFonts w:ascii="Arial" w:eastAsia="Times New Roman" w:hAnsi="Arial" w:cs="Arial"/>
                <w:noProof/>
                <w:sz w:val="24"/>
                <w:szCs w:val="24"/>
                <w:lang w:eastAsia="en-GB"/>
              </w:rPr>
            </w:pPr>
          </w:p>
        </w:tc>
        <w:tc>
          <w:tcPr>
            <w:tcW w:w="1280" w:type="dxa"/>
            <w:tcBorders>
              <w:top w:val="nil"/>
              <w:left w:val="nil"/>
              <w:bottom w:val="nil"/>
              <w:right w:val="nil"/>
            </w:tcBorders>
            <w:shd w:val="clear" w:color="auto" w:fill="auto"/>
            <w:noWrap/>
            <w:vAlign w:val="center"/>
          </w:tcPr>
          <w:p w14:paraId="665D0987"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1A436127"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222" w:type="dxa"/>
            <w:tcBorders>
              <w:top w:val="nil"/>
              <w:left w:val="nil"/>
              <w:bottom w:val="nil"/>
              <w:right w:val="nil"/>
            </w:tcBorders>
          </w:tcPr>
          <w:p w14:paraId="25F2D83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705E18B6"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0C165D08" w14:textId="77777777" w:rsidTr="00ED7D5D">
        <w:trPr>
          <w:trHeight w:val="173"/>
        </w:trPr>
        <w:tc>
          <w:tcPr>
            <w:tcW w:w="12560" w:type="dxa"/>
            <w:gridSpan w:val="12"/>
            <w:tcBorders>
              <w:top w:val="nil"/>
              <w:left w:val="nil"/>
              <w:bottom w:val="single" w:sz="4" w:space="0" w:color="auto"/>
              <w:right w:val="nil"/>
            </w:tcBorders>
            <w:shd w:val="clear" w:color="auto" w:fill="auto"/>
            <w:noWrap/>
            <w:vAlign w:val="bottom"/>
          </w:tcPr>
          <w:p w14:paraId="0AAC3914" w14:textId="0047C230"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Calibri" w:hAnsi="Arial" w:cs="Arial"/>
              </w:rPr>
              <w:t xml:space="preserve">The table provides the Pearson correlation coefficients based on a sample of </w:t>
            </w:r>
            <w:r w:rsidR="00A91615" w:rsidRPr="005A566B">
              <w:rPr>
                <w:rFonts w:ascii="Arial" w:eastAsia="Calibri" w:hAnsi="Arial" w:cs="Arial"/>
              </w:rPr>
              <w:t>802</w:t>
            </w:r>
            <w:r w:rsidRPr="005A566B">
              <w:rPr>
                <w:rFonts w:ascii="Arial" w:eastAsia="Calibri" w:hAnsi="Arial" w:cs="Arial"/>
              </w:rPr>
              <w:t xml:space="preserve"> UK quoted firms over the period </w:t>
            </w:r>
            <w:r w:rsidR="00383CA7" w:rsidRPr="005A566B">
              <w:rPr>
                <w:rFonts w:ascii="Arial" w:eastAsia="Calibri" w:hAnsi="Arial" w:cs="Arial"/>
              </w:rPr>
              <w:t>2004-2014</w:t>
            </w:r>
            <w:r w:rsidRPr="005A566B">
              <w:rPr>
                <w:rFonts w:ascii="Arial" w:eastAsia="Calibri" w:hAnsi="Arial" w:cs="Arial"/>
              </w:rPr>
              <w:t>. All variables are defined in Table 1.</w:t>
            </w:r>
            <w:r w:rsidR="008F0200" w:rsidRPr="005A566B">
              <w:rPr>
                <w:rFonts w:ascii="Arial" w:eastAsia="Calibri" w:hAnsi="Arial" w:cs="Arial"/>
              </w:rPr>
              <w:t>***, ** and * represent coefficients significant at the 1%, 5% and 10% levels correspondingly (two−tailed tests).</w:t>
            </w:r>
          </w:p>
        </w:tc>
      </w:tr>
      <w:tr w:rsidR="00A31330" w:rsidRPr="005A566B" w14:paraId="3E882438" w14:textId="77777777" w:rsidTr="00ED7D5D">
        <w:trPr>
          <w:trHeight w:val="173"/>
        </w:trPr>
        <w:tc>
          <w:tcPr>
            <w:tcW w:w="1330" w:type="dxa"/>
            <w:tcBorders>
              <w:top w:val="single" w:sz="4" w:space="0" w:color="auto"/>
              <w:left w:val="nil"/>
              <w:bottom w:val="nil"/>
              <w:right w:val="nil"/>
            </w:tcBorders>
            <w:shd w:val="clear" w:color="auto" w:fill="auto"/>
            <w:noWrap/>
            <w:vAlign w:val="bottom"/>
          </w:tcPr>
          <w:p w14:paraId="50FBA830" w14:textId="77777777" w:rsidR="00A31330" w:rsidRPr="00E92D44" w:rsidRDefault="00A31330" w:rsidP="00A31330">
            <w:pPr>
              <w:spacing w:after="0" w:line="240" w:lineRule="auto"/>
              <w:rPr>
                <w:rFonts w:ascii="Arial" w:eastAsia="Times New Roman" w:hAnsi="Arial" w:cs="Arial"/>
                <w:sz w:val="24"/>
                <w:szCs w:val="24"/>
                <w:lang w:eastAsia="en-GB"/>
              </w:rPr>
            </w:pPr>
            <w:r w:rsidRPr="00E92D44">
              <w:rPr>
                <w:rFonts w:ascii="Arial" w:eastAsia="Calibri" w:hAnsi="Arial" w:cs="Arial"/>
                <w:noProof/>
                <w:sz w:val="24"/>
                <w:szCs w:val="24"/>
                <w:lang w:eastAsia="en-GB"/>
              </w:rPr>
              <mc:AlternateContent>
                <mc:Choice Requires="wps">
                  <w:drawing>
                    <wp:anchor distT="4294967294" distB="4294967294" distL="114300" distR="114300" simplePos="0" relativeHeight="251665408" behindDoc="0" locked="0" layoutInCell="1" allowOverlap="1" wp14:anchorId="137E80DD" wp14:editId="77224AA4">
                      <wp:simplePos x="0" y="0"/>
                      <wp:positionH relativeFrom="column">
                        <wp:posOffset>2540</wp:posOffset>
                      </wp:positionH>
                      <wp:positionV relativeFrom="paragraph">
                        <wp:posOffset>172720</wp:posOffset>
                      </wp:positionV>
                      <wp:extent cx="8905875" cy="9525"/>
                      <wp:effectExtent l="0" t="0" r="9525" b="2857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058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1E0623" id="Straight Connector 16"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pt,13.6pt" to="701.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">
                      <o:lock v:ext="edit" shapetype="f"/>
                    </v:line>
                  </w:pict>
                </mc:Fallback>
              </mc:AlternateContent>
            </w:r>
            <w:r w:rsidRPr="00E92D44">
              <w:rPr>
                <w:rFonts w:ascii="Arial" w:eastAsia="Times New Roman" w:hAnsi="Arial" w:cs="Arial"/>
                <w:sz w:val="24"/>
                <w:szCs w:val="24"/>
                <w:lang w:eastAsia="en-GB"/>
              </w:rPr>
              <w:t>Variables</w:t>
            </w:r>
          </w:p>
        </w:tc>
        <w:tc>
          <w:tcPr>
            <w:tcW w:w="1614" w:type="dxa"/>
            <w:tcBorders>
              <w:top w:val="single" w:sz="4" w:space="0" w:color="auto"/>
              <w:left w:val="nil"/>
              <w:bottom w:val="nil"/>
              <w:right w:val="nil"/>
            </w:tcBorders>
            <w:shd w:val="clear" w:color="auto" w:fill="auto"/>
            <w:vAlign w:val="center"/>
          </w:tcPr>
          <w:p w14:paraId="617020B0"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 xml:space="preserve"> </w:t>
            </w:r>
            <w:r w:rsidRPr="005A566B">
              <w:rPr>
                <w:rFonts w:ascii="Arial" w:eastAsia="Times New Roman" w:hAnsi="Arial" w:cs="Arial"/>
                <w:noProof/>
                <w:sz w:val="24"/>
                <w:szCs w:val="24"/>
                <w:lang w:eastAsia="en-GB"/>
              </w:rPr>
              <w:t>QRATIO</w:t>
            </w:r>
          </w:p>
        </w:tc>
        <w:tc>
          <w:tcPr>
            <w:tcW w:w="1208" w:type="dxa"/>
            <w:tcBorders>
              <w:top w:val="single" w:sz="4" w:space="0" w:color="auto"/>
              <w:left w:val="nil"/>
              <w:bottom w:val="nil"/>
              <w:right w:val="nil"/>
            </w:tcBorders>
            <w:shd w:val="clear" w:color="auto" w:fill="auto"/>
            <w:vAlign w:val="center"/>
          </w:tcPr>
          <w:p w14:paraId="25A2E551"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noProof/>
                <w:sz w:val="24"/>
                <w:szCs w:val="24"/>
                <w:lang w:eastAsia="en-GB"/>
              </w:rPr>
              <w:t>ROA</w:t>
            </w:r>
          </w:p>
        </w:tc>
        <w:tc>
          <w:tcPr>
            <w:tcW w:w="951" w:type="dxa"/>
            <w:tcBorders>
              <w:top w:val="single" w:sz="4" w:space="0" w:color="auto"/>
              <w:left w:val="nil"/>
              <w:bottom w:val="nil"/>
              <w:right w:val="nil"/>
            </w:tcBorders>
            <w:shd w:val="clear" w:color="auto" w:fill="auto"/>
            <w:vAlign w:val="center"/>
          </w:tcPr>
          <w:p w14:paraId="7544250C"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WCM</w:t>
            </w:r>
          </w:p>
        </w:tc>
        <w:tc>
          <w:tcPr>
            <w:tcW w:w="1083" w:type="dxa"/>
            <w:tcBorders>
              <w:top w:val="single" w:sz="4" w:space="0" w:color="auto"/>
              <w:left w:val="nil"/>
              <w:bottom w:val="nil"/>
              <w:right w:val="nil"/>
            </w:tcBorders>
            <w:shd w:val="clear" w:color="auto" w:fill="auto"/>
            <w:noWrap/>
            <w:vAlign w:val="center"/>
          </w:tcPr>
          <w:p w14:paraId="524E2848"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noProof/>
                <w:sz w:val="24"/>
                <w:szCs w:val="24"/>
                <w:lang w:eastAsia="en-GB"/>
              </w:rPr>
              <w:t>CFLOW</w:t>
            </w:r>
          </w:p>
        </w:tc>
        <w:tc>
          <w:tcPr>
            <w:tcW w:w="1310" w:type="dxa"/>
            <w:tcBorders>
              <w:top w:val="single" w:sz="4" w:space="0" w:color="auto"/>
              <w:left w:val="nil"/>
              <w:bottom w:val="nil"/>
              <w:right w:val="nil"/>
            </w:tcBorders>
            <w:shd w:val="clear" w:color="auto" w:fill="auto"/>
            <w:vAlign w:val="center"/>
          </w:tcPr>
          <w:p w14:paraId="1B6C33CA"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GROWTH</w:t>
            </w:r>
          </w:p>
        </w:tc>
        <w:tc>
          <w:tcPr>
            <w:tcW w:w="1024" w:type="dxa"/>
            <w:tcBorders>
              <w:top w:val="single" w:sz="4" w:space="0" w:color="auto"/>
              <w:left w:val="nil"/>
              <w:bottom w:val="nil"/>
              <w:right w:val="nil"/>
            </w:tcBorders>
            <w:shd w:val="clear" w:color="auto" w:fill="auto"/>
            <w:noWrap/>
            <w:vAlign w:val="center"/>
          </w:tcPr>
          <w:p w14:paraId="210B99DC"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noProof/>
                <w:sz w:val="24"/>
                <w:szCs w:val="24"/>
                <w:lang w:eastAsia="en-GB"/>
              </w:rPr>
              <w:t>AGE</w:t>
            </w:r>
          </w:p>
        </w:tc>
        <w:tc>
          <w:tcPr>
            <w:tcW w:w="1024" w:type="dxa"/>
            <w:tcBorders>
              <w:top w:val="single" w:sz="4" w:space="0" w:color="auto"/>
              <w:left w:val="nil"/>
              <w:bottom w:val="nil"/>
              <w:right w:val="nil"/>
            </w:tcBorders>
            <w:shd w:val="clear" w:color="auto" w:fill="auto"/>
            <w:noWrap/>
            <w:vAlign w:val="center"/>
          </w:tcPr>
          <w:p w14:paraId="551A5FB7"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noProof/>
                <w:sz w:val="24"/>
                <w:szCs w:val="24"/>
                <w:lang w:eastAsia="en-GB"/>
              </w:rPr>
              <w:t>SIZE</w:t>
            </w:r>
          </w:p>
        </w:tc>
        <w:tc>
          <w:tcPr>
            <w:tcW w:w="1280" w:type="dxa"/>
            <w:tcBorders>
              <w:top w:val="single" w:sz="4" w:space="0" w:color="auto"/>
              <w:left w:val="nil"/>
              <w:bottom w:val="nil"/>
              <w:right w:val="nil"/>
            </w:tcBorders>
            <w:shd w:val="clear" w:color="auto" w:fill="auto"/>
            <w:noWrap/>
            <w:vAlign w:val="center"/>
          </w:tcPr>
          <w:p w14:paraId="6FD6E4AA"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ATAN</w:t>
            </w:r>
          </w:p>
        </w:tc>
        <w:tc>
          <w:tcPr>
            <w:tcW w:w="951" w:type="dxa"/>
            <w:tcBorders>
              <w:top w:val="single" w:sz="4" w:space="0" w:color="auto"/>
              <w:left w:val="nil"/>
              <w:bottom w:val="nil"/>
              <w:right w:val="nil"/>
            </w:tcBorders>
            <w:shd w:val="clear" w:color="auto" w:fill="auto"/>
            <w:noWrap/>
            <w:vAlign w:val="center"/>
          </w:tcPr>
          <w:p w14:paraId="220F5142"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LEV</w:t>
            </w:r>
          </w:p>
        </w:tc>
        <w:tc>
          <w:tcPr>
            <w:tcW w:w="222" w:type="dxa"/>
            <w:tcBorders>
              <w:top w:val="single" w:sz="4" w:space="0" w:color="auto"/>
              <w:left w:val="nil"/>
              <w:bottom w:val="nil"/>
              <w:right w:val="nil"/>
            </w:tcBorders>
          </w:tcPr>
          <w:p w14:paraId="40AD226D"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single" w:sz="4" w:space="0" w:color="auto"/>
              <w:left w:val="nil"/>
              <w:bottom w:val="nil"/>
              <w:right w:val="nil"/>
            </w:tcBorders>
            <w:shd w:val="clear" w:color="auto" w:fill="auto"/>
            <w:noWrap/>
            <w:vAlign w:val="center"/>
          </w:tcPr>
          <w:p w14:paraId="4D0E7415"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CR</w:t>
            </w:r>
          </w:p>
        </w:tc>
      </w:tr>
      <w:tr w:rsidR="00A31330" w:rsidRPr="005A566B" w14:paraId="2B9FFC60" w14:textId="77777777" w:rsidTr="00ED7D5D">
        <w:trPr>
          <w:trHeight w:val="173"/>
        </w:trPr>
        <w:tc>
          <w:tcPr>
            <w:tcW w:w="1330" w:type="dxa"/>
            <w:tcBorders>
              <w:top w:val="nil"/>
              <w:left w:val="nil"/>
              <w:bottom w:val="nil"/>
              <w:right w:val="nil"/>
            </w:tcBorders>
            <w:shd w:val="clear" w:color="auto" w:fill="auto"/>
            <w:noWrap/>
            <w:vAlign w:val="bottom"/>
          </w:tcPr>
          <w:p w14:paraId="07E242FA"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QRATIO</w:t>
            </w:r>
          </w:p>
        </w:tc>
        <w:tc>
          <w:tcPr>
            <w:tcW w:w="1614" w:type="dxa"/>
            <w:tcBorders>
              <w:top w:val="nil"/>
              <w:left w:val="nil"/>
              <w:bottom w:val="nil"/>
              <w:right w:val="nil"/>
            </w:tcBorders>
            <w:shd w:val="clear" w:color="auto" w:fill="auto"/>
            <w:vAlign w:val="bottom"/>
          </w:tcPr>
          <w:p w14:paraId="0E302101"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1</w:t>
            </w:r>
          </w:p>
        </w:tc>
        <w:tc>
          <w:tcPr>
            <w:tcW w:w="1208" w:type="dxa"/>
            <w:tcBorders>
              <w:top w:val="nil"/>
              <w:left w:val="nil"/>
              <w:bottom w:val="nil"/>
              <w:right w:val="nil"/>
            </w:tcBorders>
          </w:tcPr>
          <w:p w14:paraId="676ECEF8"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vAlign w:val="center"/>
          </w:tcPr>
          <w:p w14:paraId="2106F55C"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83" w:type="dxa"/>
            <w:tcBorders>
              <w:top w:val="nil"/>
              <w:left w:val="nil"/>
              <w:bottom w:val="nil"/>
              <w:right w:val="nil"/>
            </w:tcBorders>
            <w:shd w:val="clear" w:color="auto" w:fill="auto"/>
            <w:noWrap/>
            <w:vAlign w:val="center"/>
          </w:tcPr>
          <w:p w14:paraId="22FF882A"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vAlign w:val="center"/>
          </w:tcPr>
          <w:p w14:paraId="4017808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60A9DF7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6FEF4CD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4A64E306"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1B66391F"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3BAA08D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052305B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28C17830" w14:textId="77777777" w:rsidTr="00ED7D5D">
        <w:trPr>
          <w:trHeight w:val="173"/>
        </w:trPr>
        <w:tc>
          <w:tcPr>
            <w:tcW w:w="1330" w:type="dxa"/>
            <w:tcBorders>
              <w:top w:val="nil"/>
              <w:left w:val="nil"/>
              <w:bottom w:val="nil"/>
              <w:right w:val="nil"/>
            </w:tcBorders>
            <w:shd w:val="clear" w:color="auto" w:fill="auto"/>
            <w:noWrap/>
            <w:vAlign w:val="bottom"/>
          </w:tcPr>
          <w:p w14:paraId="33A1CB1D"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ROA</w:t>
            </w:r>
          </w:p>
        </w:tc>
        <w:tc>
          <w:tcPr>
            <w:tcW w:w="1614" w:type="dxa"/>
            <w:tcBorders>
              <w:top w:val="nil"/>
              <w:left w:val="nil"/>
              <w:bottom w:val="nil"/>
              <w:right w:val="nil"/>
            </w:tcBorders>
            <w:shd w:val="clear" w:color="auto" w:fill="auto"/>
            <w:vAlign w:val="bottom"/>
          </w:tcPr>
          <w:p w14:paraId="60F9E203"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0.3708</w:t>
            </w:r>
          </w:p>
        </w:tc>
        <w:tc>
          <w:tcPr>
            <w:tcW w:w="1208" w:type="dxa"/>
            <w:tcBorders>
              <w:top w:val="nil"/>
              <w:left w:val="nil"/>
              <w:bottom w:val="nil"/>
              <w:right w:val="nil"/>
            </w:tcBorders>
          </w:tcPr>
          <w:p w14:paraId="6D607C0E"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1</w:t>
            </w:r>
          </w:p>
        </w:tc>
        <w:tc>
          <w:tcPr>
            <w:tcW w:w="951" w:type="dxa"/>
            <w:tcBorders>
              <w:top w:val="nil"/>
              <w:left w:val="nil"/>
              <w:bottom w:val="nil"/>
              <w:right w:val="nil"/>
            </w:tcBorders>
            <w:shd w:val="clear" w:color="auto" w:fill="auto"/>
            <w:vAlign w:val="center"/>
          </w:tcPr>
          <w:p w14:paraId="298425AA"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83" w:type="dxa"/>
            <w:tcBorders>
              <w:top w:val="nil"/>
              <w:left w:val="nil"/>
              <w:bottom w:val="nil"/>
              <w:right w:val="nil"/>
            </w:tcBorders>
            <w:shd w:val="clear" w:color="auto" w:fill="auto"/>
            <w:noWrap/>
            <w:vAlign w:val="center"/>
          </w:tcPr>
          <w:p w14:paraId="4DA5B8E8"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vAlign w:val="center"/>
          </w:tcPr>
          <w:p w14:paraId="69B3876D"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275F5710"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0F9BBAF6"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6460210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56E08D3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7F97731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702724F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3E542B9C" w14:textId="77777777" w:rsidTr="00ED7D5D">
        <w:trPr>
          <w:trHeight w:val="173"/>
        </w:trPr>
        <w:tc>
          <w:tcPr>
            <w:tcW w:w="1330" w:type="dxa"/>
            <w:tcBorders>
              <w:top w:val="nil"/>
              <w:left w:val="nil"/>
              <w:bottom w:val="nil"/>
              <w:right w:val="nil"/>
            </w:tcBorders>
            <w:shd w:val="clear" w:color="auto" w:fill="auto"/>
            <w:noWrap/>
            <w:vAlign w:val="bottom"/>
          </w:tcPr>
          <w:p w14:paraId="212C914C"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45CECB81"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0.0000</w:t>
            </w:r>
          </w:p>
        </w:tc>
        <w:tc>
          <w:tcPr>
            <w:tcW w:w="1208" w:type="dxa"/>
            <w:tcBorders>
              <w:top w:val="nil"/>
              <w:left w:val="nil"/>
              <w:bottom w:val="nil"/>
              <w:right w:val="nil"/>
            </w:tcBorders>
          </w:tcPr>
          <w:p w14:paraId="2961E4DD"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vAlign w:val="center"/>
          </w:tcPr>
          <w:p w14:paraId="2B95B35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83" w:type="dxa"/>
            <w:tcBorders>
              <w:top w:val="nil"/>
              <w:left w:val="nil"/>
              <w:bottom w:val="nil"/>
              <w:right w:val="nil"/>
            </w:tcBorders>
            <w:shd w:val="clear" w:color="auto" w:fill="auto"/>
            <w:noWrap/>
            <w:vAlign w:val="center"/>
          </w:tcPr>
          <w:p w14:paraId="290D441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vAlign w:val="center"/>
          </w:tcPr>
          <w:p w14:paraId="7CFA8830"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3247851C"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7CCA5DC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7A7BCC7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7A5FEE2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4D3F86C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1921BCC9"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55DBF78A" w14:textId="77777777" w:rsidTr="00ED7D5D">
        <w:trPr>
          <w:trHeight w:val="173"/>
        </w:trPr>
        <w:tc>
          <w:tcPr>
            <w:tcW w:w="1330" w:type="dxa"/>
            <w:tcBorders>
              <w:top w:val="nil"/>
              <w:left w:val="nil"/>
              <w:bottom w:val="nil"/>
              <w:right w:val="nil"/>
            </w:tcBorders>
            <w:shd w:val="clear" w:color="auto" w:fill="auto"/>
            <w:noWrap/>
            <w:vAlign w:val="bottom"/>
          </w:tcPr>
          <w:p w14:paraId="3E19C92D"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WCM</w:t>
            </w:r>
          </w:p>
        </w:tc>
        <w:tc>
          <w:tcPr>
            <w:tcW w:w="1614" w:type="dxa"/>
            <w:tcBorders>
              <w:top w:val="nil"/>
              <w:left w:val="nil"/>
              <w:bottom w:val="nil"/>
              <w:right w:val="nil"/>
            </w:tcBorders>
            <w:shd w:val="clear" w:color="auto" w:fill="auto"/>
            <w:vAlign w:val="bottom"/>
          </w:tcPr>
          <w:p w14:paraId="7E47A474"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−0.0315</w:t>
            </w:r>
          </w:p>
        </w:tc>
        <w:tc>
          <w:tcPr>
            <w:tcW w:w="1208" w:type="dxa"/>
            <w:tcBorders>
              <w:top w:val="nil"/>
              <w:left w:val="nil"/>
              <w:bottom w:val="nil"/>
              <w:right w:val="nil"/>
            </w:tcBorders>
          </w:tcPr>
          <w:p w14:paraId="1D7CDF91"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–0.1365</w:t>
            </w:r>
          </w:p>
        </w:tc>
        <w:tc>
          <w:tcPr>
            <w:tcW w:w="951" w:type="dxa"/>
            <w:tcBorders>
              <w:top w:val="nil"/>
              <w:left w:val="nil"/>
              <w:bottom w:val="nil"/>
              <w:right w:val="nil"/>
            </w:tcBorders>
            <w:shd w:val="clear" w:color="auto" w:fill="auto"/>
            <w:vAlign w:val="center"/>
          </w:tcPr>
          <w:p w14:paraId="5A998707"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1</w:t>
            </w:r>
          </w:p>
        </w:tc>
        <w:tc>
          <w:tcPr>
            <w:tcW w:w="1083" w:type="dxa"/>
            <w:tcBorders>
              <w:top w:val="nil"/>
              <w:left w:val="nil"/>
              <w:bottom w:val="nil"/>
              <w:right w:val="nil"/>
            </w:tcBorders>
            <w:shd w:val="clear" w:color="auto" w:fill="auto"/>
            <w:noWrap/>
            <w:vAlign w:val="center"/>
          </w:tcPr>
          <w:p w14:paraId="4EDE111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vAlign w:val="center"/>
          </w:tcPr>
          <w:p w14:paraId="3841F79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55C3649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43F60849"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50A8AACA"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71ACF22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12D2BC28"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3988F2E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5E78F2FA" w14:textId="77777777" w:rsidTr="00ED7D5D">
        <w:trPr>
          <w:trHeight w:val="173"/>
        </w:trPr>
        <w:tc>
          <w:tcPr>
            <w:tcW w:w="1330" w:type="dxa"/>
            <w:tcBorders>
              <w:top w:val="nil"/>
              <w:left w:val="nil"/>
              <w:bottom w:val="nil"/>
              <w:right w:val="nil"/>
            </w:tcBorders>
            <w:shd w:val="clear" w:color="auto" w:fill="auto"/>
            <w:noWrap/>
            <w:vAlign w:val="bottom"/>
          </w:tcPr>
          <w:p w14:paraId="72B43EA0"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07D363A2"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0.0000</w:t>
            </w:r>
          </w:p>
        </w:tc>
        <w:tc>
          <w:tcPr>
            <w:tcW w:w="1208" w:type="dxa"/>
            <w:tcBorders>
              <w:top w:val="nil"/>
              <w:left w:val="nil"/>
              <w:bottom w:val="nil"/>
              <w:right w:val="nil"/>
            </w:tcBorders>
          </w:tcPr>
          <w:p w14:paraId="53A1F9B8"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951" w:type="dxa"/>
            <w:tcBorders>
              <w:top w:val="nil"/>
              <w:left w:val="nil"/>
              <w:bottom w:val="nil"/>
              <w:right w:val="nil"/>
            </w:tcBorders>
            <w:shd w:val="clear" w:color="auto" w:fill="auto"/>
            <w:vAlign w:val="center"/>
          </w:tcPr>
          <w:p w14:paraId="07F5E6B5"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83" w:type="dxa"/>
            <w:tcBorders>
              <w:top w:val="nil"/>
              <w:left w:val="nil"/>
              <w:bottom w:val="nil"/>
              <w:right w:val="nil"/>
            </w:tcBorders>
            <w:shd w:val="clear" w:color="auto" w:fill="auto"/>
            <w:noWrap/>
            <w:vAlign w:val="center"/>
          </w:tcPr>
          <w:p w14:paraId="7FA05F94"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vAlign w:val="center"/>
          </w:tcPr>
          <w:p w14:paraId="467FA8F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2A81599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3F57554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146FEAC0"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248D8CB0"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655AF39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6D407FEF"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1A6E9EAD" w14:textId="77777777" w:rsidTr="00ED7D5D">
        <w:trPr>
          <w:trHeight w:val="173"/>
        </w:trPr>
        <w:tc>
          <w:tcPr>
            <w:tcW w:w="1330" w:type="dxa"/>
            <w:tcBorders>
              <w:top w:val="nil"/>
              <w:left w:val="nil"/>
              <w:bottom w:val="nil"/>
              <w:right w:val="nil"/>
            </w:tcBorders>
            <w:shd w:val="clear" w:color="auto" w:fill="auto"/>
            <w:noWrap/>
            <w:vAlign w:val="bottom"/>
          </w:tcPr>
          <w:p w14:paraId="610E4419"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noProof/>
                <w:sz w:val="24"/>
                <w:szCs w:val="24"/>
                <w:lang w:eastAsia="en-GB"/>
              </w:rPr>
              <w:t>CFLOW</w:t>
            </w:r>
          </w:p>
        </w:tc>
        <w:tc>
          <w:tcPr>
            <w:tcW w:w="1614" w:type="dxa"/>
            <w:tcBorders>
              <w:top w:val="nil"/>
              <w:left w:val="nil"/>
              <w:bottom w:val="nil"/>
              <w:right w:val="nil"/>
            </w:tcBorders>
            <w:shd w:val="clear" w:color="auto" w:fill="auto"/>
            <w:vAlign w:val="bottom"/>
          </w:tcPr>
          <w:p w14:paraId="7B5766C5"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0.2201</w:t>
            </w:r>
          </w:p>
        </w:tc>
        <w:tc>
          <w:tcPr>
            <w:tcW w:w="1208" w:type="dxa"/>
            <w:tcBorders>
              <w:top w:val="nil"/>
              <w:left w:val="nil"/>
              <w:bottom w:val="nil"/>
              <w:right w:val="nil"/>
            </w:tcBorders>
          </w:tcPr>
          <w:p w14:paraId="630E7EC9"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0.2238</w:t>
            </w:r>
          </w:p>
        </w:tc>
        <w:tc>
          <w:tcPr>
            <w:tcW w:w="951" w:type="dxa"/>
            <w:tcBorders>
              <w:top w:val="nil"/>
              <w:left w:val="nil"/>
              <w:bottom w:val="nil"/>
              <w:right w:val="nil"/>
            </w:tcBorders>
            <w:shd w:val="clear" w:color="auto" w:fill="auto"/>
            <w:vAlign w:val="center"/>
          </w:tcPr>
          <w:p w14:paraId="3E22E286"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0.0768</w:t>
            </w:r>
          </w:p>
        </w:tc>
        <w:tc>
          <w:tcPr>
            <w:tcW w:w="1083" w:type="dxa"/>
            <w:tcBorders>
              <w:top w:val="nil"/>
              <w:left w:val="nil"/>
              <w:bottom w:val="nil"/>
              <w:right w:val="nil"/>
            </w:tcBorders>
            <w:shd w:val="clear" w:color="auto" w:fill="auto"/>
            <w:noWrap/>
            <w:vAlign w:val="center"/>
          </w:tcPr>
          <w:p w14:paraId="5B591209"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1</w:t>
            </w:r>
          </w:p>
        </w:tc>
        <w:tc>
          <w:tcPr>
            <w:tcW w:w="1310" w:type="dxa"/>
            <w:tcBorders>
              <w:top w:val="nil"/>
              <w:left w:val="nil"/>
              <w:bottom w:val="nil"/>
              <w:right w:val="nil"/>
            </w:tcBorders>
            <w:shd w:val="clear" w:color="auto" w:fill="auto"/>
            <w:vAlign w:val="center"/>
          </w:tcPr>
          <w:p w14:paraId="0315B791"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732FF669"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120D17F4"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1B5CB526"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4E9E2D8C"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25463D49"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12A9E2CD"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3721D043" w14:textId="77777777" w:rsidTr="00ED7D5D">
        <w:trPr>
          <w:trHeight w:val="173"/>
        </w:trPr>
        <w:tc>
          <w:tcPr>
            <w:tcW w:w="1330" w:type="dxa"/>
            <w:tcBorders>
              <w:top w:val="nil"/>
              <w:left w:val="nil"/>
              <w:bottom w:val="nil"/>
              <w:right w:val="nil"/>
            </w:tcBorders>
            <w:shd w:val="clear" w:color="auto" w:fill="auto"/>
            <w:noWrap/>
            <w:vAlign w:val="bottom"/>
          </w:tcPr>
          <w:p w14:paraId="20CA2246"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05919F97"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0.0000</w:t>
            </w:r>
          </w:p>
        </w:tc>
        <w:tc>
          <w:tcPr>
            <w:tcW w:w="1208" w:type="dxa"/>
            <w:tcBorders>
              <w:top w:val="nil"/>
              <w:left w:val="nil"/>
              <w:bottom w:val="nil"/>
              <w:right w:val="nil"/>
            </w:tcBorders>
          </w:tcPr>
          <w:p w14:paraId="3EA41442"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951" w:type="dxa"/>
            <w:tcBorders>
              <w:top w:val="nil"/>
              <w:left w:val="nil"/>
              <w:bottom w:val="nil"/>
              <w:right w:val="nil"/>
            </w:tcBorders>
            <w:shd w:val="clear" w:color="auto" w:fill="auto"/>
            <w:vAlign w:val="center"/>
          </w:tcPr>
          <w:p w14:paraId="37AA0EDB"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83" w:type="dxa"/>
            <w:tcBorders>
              <w:top w:val="nil"/>
              <w:left w:val="nil"/>
              <w:bottom w:val="nil"/>
              <w:right w:val="nil"/>
            </w:tcBorders>
            <w:shd w:val="clear" w:color="auto" w:fill="auto"/>
            <w:noWrap/>
            <w:vAlign w:val="center"/>
          </w:tcPr>
          <w:p w14:paraId="1208AA19"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310" w:type="dxa"/>
            <w:tcBorders>
              <w:top w:val="nil"/>
              <w:left w:val="nil"/>
              <w:bottom w:val="nil"/>
              <w:right w:val="nil"/>
            </w:tcBorders>
            <w:shd w:val="clear" w:color="auto" w:fill="auto"/>
            <w:vAlign w:val="center"/>
          </w:tcPr>
          <w:p w14:paraId="71723FF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470C0FF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34CD43AF"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41AA58F5"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3F237450"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4E31FB9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6E8D206C"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254B28F1" w14:textId="77777777" w:rsidTr="00ED7D5D">
        <w:trPr>
          <w:trHeight w:val="173"/>
        </w:trPr>
        <w:tc>
          <w:tcPr>
            <w:tcW w:w="1330" w:type="dxa"/>
            <w:tcBorders>
              <w:top w:val="nil"/>
              <w:left w:val="nil"/>
              <w:bottom w:val="nil"/>
              <w:right w:val="nil"/>
            </w:tcBorders>
            <w:shd w:val="clear" w:color="auto" w:fill="auto"/>
            <w:noWrap/>
            <w:vAlign w:val="bottom"/>
          </w:tcPr>
          <w:p w14:paraId="273F6C17"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GROWTH</w:t>
            </w:r>
          </w:p>
        </w:tc>
        <w:tc>
          <w:tcPr>
            <w:tcW w:w="1614" w:type="dxa"/>
            <w:tcBorders>
              <w:top w:val="nil"/>
              <w:left w:val="nil"/>
              <w:bottom w:val="nil"/>
              <w:right w:val="nil"/>
            </w:tcBorders>
            <w:shd w:val="clear" w:color="auto" w:fill="auto"/>
            <w:vAlign w:val="bottom"/>
          </w:tcPr>
          <w:p w14:paraId="4722685A"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0.1570</w:t>
            </w:r>
          </w:p>
        </w:tc>
        <w:tc>
          <w:tcPr>
            <w:tcW w:w="1208" w:type="dxa"/>
            <w:tcBorders>
              <w:top w:val="nil"/>
              <w:left w:val="nil"/>
              <w:bottom w:val="nil"/>
              <w:right w:val="nil"/>
            </w:tcBorders>
          </w:tcPr>
          <w:p w14:paraId="0E0A0ECE"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0.0381</w:t>
            </w:r>
          </w:p>
        </w:tc>
        <w:tc>
          <w:tcPr>
            <w:tcW w:w="951" w:type="dxa"/>
            <w:tcBorders>
              <w:top w:val="nil"/>
              <w:left w:val="nil"/>
              <w:bottom w:val="nil"/>
              <w:right w:val="nil"/>
            </w:tcBorders>
            <w:shd w:val="clear" w:color="auto" w:fill="auto"/>
            <w:vAlign w:val="center"/>
          </w:tcPr>
          <w:p w14:paraId="32E69A9A"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0.0585</w:t>
            </w:r>
          </w:p>
        </w:tc>
        <w:tc>
          <w:tcPr>
            <w:tcW w:w="1083" w:type="dxa"/>
            <w:tcBorders>
              <w:top w:val="nil"/>
              <w:left w:val="nil"/>
              <w:bottom w:val="nil"/>
              <w:right w:val="nil"/>
            </w:tcBorders>
            <w:shd w:val="clear" w:color="auto" w:fill="auto"/>
            <w:noWrap/>
            <w:vAlign w:val="center"/>
          </w:tcPr>
          <w:p w14:paraId="53C5CE66"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0.1472</w:t>
            </w:r>
          </w:p>
        </w:tc>
        <w:tc>
          <w:tcPr>
            <w:tcW w:w="1310" w:type="dxa"/>
            <w:tcBorders>
              <w:top w:val="nil"/>
              <w:left w:val="nil"/>
              <w:bottom w:val="nil"/>
              <w:right w:val="nil"/>
            </w:tcBorders>
            <w:shd w:val="clear" w:color="auto" w:fill="auto"/>
            <w:vAlign w:val="center"/>
          </w:tcPr>
          <w:p w14:paraId="668C11B1"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1</w:t>
            </w:r>
          </w:p>
        </w:tc>
        <w:tc>
          <w:tcPr>
            <w:tcW w:w="1024" w:type="dxa"/>
            <w:tcBorders>
              <w:top w:val="nil"/>
              <w:left w:val="nil"/>
              <w:bottom w:val="nil"/>
              <w:right w:val="nil"/>
            </w:tcBorders>
            <w:shd w:val="clear" w:color="auto" w:fill="auto"/>
            <w:noWrap/>
            <w:vAlign w:val="center"/>
          </w:tcPr>
          <w:p w14:paraId="268FB00F"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7161F37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55C6B330"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42D51BD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049AEEEA"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46CC43A0"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1602824C" w14:textId="77777777" w:rsidTr="00ED7D5D">
        <w:trPr>
          <w:trHeight w:val="173"/>
        </w:trPr>
        <w:tc>
          <w:tcPr>
            <w:tcW w:w="1330" w:type="dxa"/>
            <w:tcBorders>
              <w:top w:val="nil"/>
              <w:left w:val="nil"/>
              <w:bottom w:val="nil"/>
              <w:right w:val="nil"/>
            </w:tcBorders>
            <w:shd w:val="clear" w:color="auto" w:fill="auto"/>
            <w:noWrap/>
            <w:vAlign w:val="bottom"/>
          </w:tcPr>
          <w:p w14:paraId="4F6E7AE5"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5C6D78C2"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0.0000</w:t>
            </w:r>
          </w:p>
        </w:tc>
        <w:tc>
          <w:tcPr>
            <w:tcW w:w="1208" w:type="dxa"/>
            <w:tcBorders>
              <w:top w:val="nil"/>
              <w:left w:val="nil"/>
              <w:bottom w:val="nil"/>
              <w:right w:val="nil"/>
            </w:tcBorders>
          </w:tcPr>
          <w:p w14:paraId="6EBE94F2"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951" w:type="dxa"/>
            <w:tcBorders>
              <w:top w:val="nil"/>
              <w:left w:val="nil"/>
              <w:bottom w:val="nil"/>
              <w:right w:val="nil"/>
            </w:tcBorders>
            <w:shd w:val="clear" w:color="auto" w:fill="auto"/>
            <w:vAlign w:val="center"/>
          </w:tcPr>
          <w:p w14:paraId="20650C64"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83" w:type="dxa"/>
            <w:tcBorders>
              <w:top w:val="nil"/>
              <w:left w:val="nil"/>
              <w:bottom w:val="nil"/>
              <w:right w:val="nil"/>
            </w:tcBorders>
            <w:shd w:val="clear" w:color="auto" w:fill="auto"/>
            <w:noWrap/>
            <w:vAlign w:val="center"/>
          </w:tcPr>
          <w:p w14:paraId="5F991132"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1310" w:type="dxa"/>
            <w:tcBorders>
              <w:top w:val="nil"/>
              <w:left w:val="nil"/>
              <w:bottom w:val="nil"/>
              <w:right w:val="nil"/>
            </w:tcBorders>
            <w:shd w:val="clear" w:color="auto" w:fill="auto"/>
            <w:vAlign w:val="center"/>
          </w:tcPr>
          <w:p w14:paraId="0E35A63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3B35AFBF"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15A3F53A"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4E03667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737DFBFA"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43389A7C"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6D8B59D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07706205" w14:textId="77777777" w:rsidTr="00ED7D5D">
        <w:trPr>
          <w:trHeight w:val="173"/>
        </w:trPr>
        <w:tc>
          <w:tcPr>
            <w:tcW w:w="1330" w:type="dxa"/>
            <w:tcBorders>
              <w:top w:val="nil"/>
              <w:left w:val="nil"/>
              <w:bottom w:val="nil"/>
              <w:right w:val="nil"/>
            </w:tcBorders>
            <w:shd w:val="clear" w:color="auto" w:fill="auto"/>
            <w:noWrap/>
            <w:vAlign w:val="bottom"/>
          </w:tcPr>
          <w:p w14:paraId="794D5461"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AGE</w:t>
            </w:r>
          </w:p>
        </w:tc>
        <w:tc>
          <w:tcPr>
            <w:tcW w:w="1614" w:type="dxa"/>
            <w:tcBorders>
              <w:top w:val="nil"/>
              <w:left w:val="nil"/>
              <w:bottom w:val="nil"/>
              <w:right w:val="nil"/>
            </w:tcBorders>
            <w:shd w:val="clear" w:color="auto" w:fill="auto"/>
            <w:vAlign w:val="bottom"/>
          </w:tcPr>
          <w:p w14:paraId="26AB04FA"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0.1380</w:t>
            </w:r>
          </w:p>
        </w:tc>
        <w:tc>
          <w:tcPr>
            <w:tcW w:w="1208" w:type="dxa"/>
            <w:tcBorders>
              <w:top w:val="nil"/>
              <w:left w:val="nil"/>
              <w:bottom w:val="nil"/>
              <w:right w:val="nil"/>
            </w:tcBorders>
          </w:tcPr>
          <w:p w14:paraId="09EAA87D"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0.1856</w:t>
            </w:r>
          </w:p>
        </w:tc>
        <w:tc>
          <w:tcPr>
            <w:tcW w:w="951" w:type="dxa"/>
            <w:tcBorders>
              <w:top w:val="nil"/>
              <w:left w:val="nil"/>
              <w:bottom w:val="nil"/>
              <w:right w:val="nil"/>
            </w:tcBorders>
            <w:shd w:val="clear" w:color="auto" w:fill="auto"/>
            <w:vAlign w:val="center"/>
          </w:tcPr>
          <w:p w14:paraId="0A4E89B2"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0.2064</w:t>
            </w:r>
          </w:p>
        </w:tc>
        <w:tc>
          <w:tcPr>
            <w:tcW w:w="1083" w:type="dxa"/>
            <w:tcBorders>
              <w:top w:val="nil"/>
              <w:left w:val="nil"/>
              <w:bottom w:val="nil"/>
              <w:right w:val="nil"/>
            </w:tcBorders>
            <w:shd w:val="clear" w:color="auto" w:fill="auto"/>
            <w:noWrap/>
            <w:vAlign w:val="center"/>
          </w:tcPr>
          <w:p w14:paraId="020533AE"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0.2777</w:t>
            </w:r>
          </w:p>
        </w:tc>
        <w:tc>
          <w:tcPr>
            <w:tcW w:w="1310" w:type="dxa"/>
            <w:tcBorders>
              <w:top w:val="nil"/>
              <w:left w:val="nil"/>
              <w:bottom w:val="nil"/>
              <w:right w:val="nil"/>
            </w:tcBorders>
            <w:shd w:val="clear" w:color="auto" w:fill="auto"/>
            <w:vAlign w:val="center"/>
          </w:tcPr>
          <w:p w14:paraId="1C9C4EAA"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0.1817</w:t>
            </w:r>
          </w:p>
        </w:tc>
        <w:tc>
          <w:tcPr>
            <w:tcW w:w="1024" w:type="dxa"/>
            <w:tcBorders>
              <w:top w:val="nil"/>
              <w:left w:val="nil"/>
              <w:bottom w:val="nil"/>
              <w:right w:val="nil"/>
            </w:tcBorders>
            <w:shd w:val="clear" w:color="auto" w:fill="auto"/>
            <w:noWrap/>
            <w:vAlign w:val="center"/>
          </w:tcPr>
          <w:p w14:paraId="338288EE"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1</w:t>
            </w:r>
          </w:p>
        </w:tc>
        <w:tc>
          <w:tcPr>
            <w:tcW w:w="1024" w:type="dxa"/>
            <w:tcBorders>
              <w:top w:val="nil"/>
              <w:left w:val="nil"/>
              <w:bottom w:val="nil"/>
              <w:right w:val="nil"/>
            </w:tcBorders>
            <w:shd w:val="clear" w:color="auto" w:fill="auto"/>
            <w:noWrap/>
            <w:vAlign w:val="center"/>
          </w:tcPr>
          <w:p w14:paraId="31CBF3A5"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784ECAF8"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01CD779F"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4272B50D"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45988698"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58C83C21" w14:textId="77777777" w:rsidTr="00ED7D5D">
        <w:trPr>
          <w:trHeight w:val="173"/>
        </w:trPr>
        <w:tc>
          <w:tcPr>
            <w:tcW w:w="1330" w:type="dxa"/>
            <w:tcBorders>
              <w:top w:val="nil"/>
              <w:left w:val="nil"/>
              <w:bottom w:val="nil"/>
              <w:right w:val="nil"/>
            </w:tcBorders>
            <w:shd w:val="clear" w:color="auto" w:fill="auto"/>
            <w:noWrap/>
            <w:vAlign w:val="bottom"/>
          </w:tcPr>
          <w:p w14:paraId="7D6D0366"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5A2858FD"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0.0000</w:t>
            </w:r>
          </w:p>
        </w:tc>
        <w:tc>
          <w:tcPr>
            <w:tcW w:w="1208" w:type="dxa"/>
            <w:tcBorders>
              <w:top w:val="nil"/>
              <w:left w:val="nil"/>
              <w:bottom w:val="nil"/>
              <w:right w:val="nil"/>
            </w:tcBorders>
          </w:tcPr>
          <w:p w14:paraId="58EAC257"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951" w:type="dxa"/>
            <w:tcBorders>
              <w:top w:val="nil"/>
              <w:left w:val="nil"/>
              <w:bottom w:val="nil"/>
              <w:right w:val="nil"/>
            </w:tcBorders>
            <w:shd w:val="clear" w:color="auto" w:fill="auto"/>
            <w:vAlign w:val="center"/>
          </w:tcPr>
          <w:p w14:paraId="412E7B0B"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83" w:type="dxa"/>
            <w:tcBorders>
              <w:top w:val="nil"/>
              <w:left w:val="nil"/>
              <w:bottom w:val="nil"/>
              <w:right w:val="nil"/>
            </w:tcBorders>
            <w:shd w:val="clear" w:color="auto" w:fill="auto"/>
            <w:noWrap/>
            <w:vAlign w:val="center"/>
          </w:tcPr>
          <w:p w14:paraId="2F331D01"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1310" w:type="dxa"/>
            <w:tcBorders>
              <w:top w:val="nil"/>
              <w:left w:val="nil"/>
              <w:bottom w:val="nil"/>
              <w:right w:val="nil"/>
            </w:tcBorders>
            <w:shd w:val="clear" w:color="auto" w:fill="auto"/>
            <w:vAlign w:val="center"/>
          </w:tcPr>
          <w:p w14:paraId="56EC7831"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24" w:type="dxa"/>
            <w:tcBorders>
              <w:top w:val="nil"/>
              <w:left w:val="nil"/>
              <w:bottom w:val="nil"/>
              <w:right w:val="nil"/>
            </w:tcBorders>
            <w:shd w:val="clear" w:color="auto" w:fill="auto"/>
            <w:noWrap/>
            <w:vAlign w:val="center"/>
          </w:tcPr>
          <w:p w14:paraId="48CBDEE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5033C585"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6D2D6B96"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02854565"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4DC3D66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6D044B4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5705B88A" w14:textId="77777777" w:rsidTr="00ED7D5D">
        <w:trPr>
          <w:trHeight w:val="173"/>
        </w:trPr>
        <w:tc>
          <w:tcPr>
            <w:tcW w:w="1330" w:type="dxa"/>
            <w:tcBorders>
              <w:top w:val="nil"/>
              <w:left w:val="nil"/>
              <w:bottom w:val="nil"/>
              <w:right w:val="nil"/>
            </w:tcBorders>
            <w:shd w:val="clear" w:color="auto" w:fill="auto"/>
            <w:noWrap/>
            <w:vAlign w:val="bottom"/>
          </w:tcPr>
          <w:p w14:paraId="14B7A252"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SIZE</w:t>
            </w:r>
          </w:p>
        </w:tc>
        <w:tc>
          <w:tcPr>
            <w:tcW w:w="1614" w:type="dxa"/>
            <w:tcBorders>
              <w:top w:val="nil"/>
              <w:left w:val="nil"/>
              <w:bottom w:val="nil"/>
              <w:right w:val="nil"/>
            </w:tcBorders>
            <w:shd w:val="clear" w:color="auto" w:fill="auto"/>
            <w:vAlign w:val="bottom"/>
          </w:tcPr>
          <w:p w14:paraId="63DADF94"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0.0583</w:t>
            </w:r>
          </w:p>
        </w:tc>
        <w:tc>
          <w:tcPr>
            <w:tcW w:w="1208" w:type="dxa"/>
            <w:tcBorders>
              <w:top w:val="nil"/>
              <w:left w:val="nil"/>
              <w:bottom w:val="nil"/>
              <w:right w:val="nil"/>
            </w:tcBorders>
          </w:tcPr>
          <w:p w14:paraId="5EC02F05"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0.1411</w:t>
            </w:r>
          </w:p>
        </w:tc>
        <w:tc>
          <w:tcPr>
            <w:tcW w:w="951" w:type="dxa"/>
            <w:tcBorders>
              <w:top w:val="nil"/>
              <w:left w:val="nil"/>
              <w:bottom w:val="nil"/>
              <w:right w:val="nil"/>
            </w:tcBorders>
            <w:shd w:val="clear" w:color="auto" w:fill="auto"/>
            <w:vAlign w:val="center"/>
          </w:tcPr>
          <w:p w14:paraId="0DD8AF22"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–0.066</w:t>
            </w:r>
          </w:p>
        </w:tc>
        <w:tc>
          <w:tcPr>
            <w:tcW w:w="1083" w:type="dxa"/>
            <w:tcBorders>
              <w:top w:val="nil"/>
              <w:left w:val="nil"/>
              <w:bottom w:val="nil"/>
              <w:right w:val="nil"/>
            </w:tcBorders>
            <w:shd w:val="clear" w:color="auto" w:fill="auto"/>
            <w:noWrap/>
            <w:vAlign w:val="center"/>
          </w:tcPr>
          <w:p w14:paraId="4CC3566F"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–0.028</w:t>
            </w:r>
          </w:p>
        </w:tc>
        <w:tc>
          <w:tcPr>
            <w:tcW w:w="1310" w:type="dxa"/>
            <w:tcBorders>
              <w:top w:val="nil"/>
              <w:left w:val="nil"/>
              <w:bottom w:val="nil"/>
              <w:right w:val="nil"/>
            </w:tcBorders>
            <w:shd w:val="clear" w:color="auto" w:fill="auto"/>
            <w:vAlign w:val="center"/>
          </w:tcPr>
          <w:p w14:paraId="7CD7CB2B"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–0.0708</w:t>
            </w:r>
          </w:p>
        </w:tc>
        <w:tc>
          <w:tcPr>
            <w:tcW w:w="1024" w:type="dxa"/>
            <w:tcBorders>
              <w:top w:val="nil"/>
              <w:left w:val="nil"/>
              <w:bottom w:val="nil"/>
              <w:right w:val="nil"/>
            </w:tcBorders>
            <w:shd w:val="clear" w:color="auto" w:fill="auto"/>
            <w:noWrap/>
            <w:vAlign w:val="center"/>
          </w:tcPr>
          <w:p w14:paraId="7D9A3192"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0.1094</w:t>
            </w:r>
          </w:p>
        </w:tc>
        <w:tc>
          <w:tcPr>
            <w:tcW w:w="1024" w:type="dxa"/>
            <w:tcBorders>
              <w:top w:val="nil"/>
              <w:left w:val="nil"/>
              <w:bottom w:val="nil"/>
              <w:right w:val="nil"/>
            </w:tcBorders>
            <w:shd w:val="clear" w:color="auto" w:fill="auto"/>
            <w:noWrap/>
            <w:vAlign w:val="center"/>
          </w:tcPr>
          <w:p w14:paraId="1F6C9F1C"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1</w:t>
            </w:r>
          </w:p>
        </w:tc>
        <w:tc>
          <w:tcPr>
            <w:tcW w:w="1280" w:type="dxa"/>
            <w:tcBorders>
              <w:top w:val="nil"/>
              <w:left w:val="nil"/>
              <w:bottom w:val="nil"/>
              <w:right w:val="nil"/>
            </w:tcBorders>
            <w:shd w:val="clear" w:color="auto" w:fill="auto"/>
            <w:noWrap/>
            <w:vAlign w:val="center"/>
          </w:tcPr>
          <w:p w14:paraId="2520AC65"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7182738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349633B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014BE10F"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408EE229" w14:textId="77777777" w:rsidTr="00ED7D5D">
        <w:trPr>
          <w:trHeight w:val="173"/>
        </w:trPr>
        <w:tc>
          <w:tcPr>
            <w:tcW w:w="1330" w:type="dxa"/>
            <w:tcBorders>
              <w:top w:val="nil"/>
              <w:left w:val="nil"/>
              <w:bottom w:val="nil"/>
              <w:right w:val="nil"/>
            </w:tcBorders>
            <w:shd w:val="clear" w:color="auto" w:fill="auto"/>
            <w:noWrap/>
            <w:vAlign w:val="bottom"/>
          </w:tcPr>
          <w:p w14:paraId="118579E7"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48A243D9"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0.0000</w:t>
            </w:r>
          </w:p>
        </w:tc>
        <w:tc>
          <w:tcPr>
            <w:tcW w:w="1208" w:type="dxa"/>
            <w:tcBorders>
              <w:top w:val="nil"/>
              <w:left w:val="nil"/>
              <w:bottom w:val="nil"/>
              <w:right w:val="nil"/>
            </w:tcBorders>
          </w:tcPr>
          <w:p w14:paraId="1411A6C3"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951" w:type="dxa"/>
            <w:tcBorders>
              <w:top w:val="nil"/>
              <w:left w:val="nil"/>
              <w:bottom w:val="nil"/>
              <w:right w:val="nil"/>
            </w:tcBorders>
            <w:shd w:val="clear" w:color="auto" w:fill="auto"/>
            <w:vAlign w:val="center"/>
          </w:tcPr>
          <w:p w14:paraId="043752E5"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83" w:type="dxa"/>
            <w:tcBorders>
              <w:top w:val="nil"/>
              <w:left w:val="nil"/>
              <w:bottom w:val="nil"/>
              <w:right w:val="nil"/>
            </w:tcBorders>
            <w:shd w:val="clear" w:color="auto" w:fill="auto"/>
            <w:noWrap/>
            <w:vAlign w:val="center"/>
          </w:tcPr>
          <w:p w14:paraId="5973DCAD"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1310" w:type="dxa"/>
            <w:tcBorders>
              <w:top w:val="nil"/>
              <w:left w:val="nil"/>
              <w:bottom w:val="nil"/>
              <w:right w:val="nil"/>
            </w:tcBorders>
            <w:shd w:val="clear" w:color="auto" w:fill="auto"/>
            <w:vAlign w:val="center"/>
          </w:tcPr>
          <w:p w14:paraId="4CE5CF9C"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24" w:type="dxa"/>
            <w:tcBorders>
              <w:top w:val="nil"/>
              <w:left w:val="nil"/>
              <w:bottom w:val="nil"/>
              <w:right w:val="nil"/>
            </w:tcBorders>
            <w:shd w:val="clear" w:color="auto" w:fill="auto"/>
            <w:noWrap/>
            <w:vAlign w:val="center"/>
          </w:tcPr>
          <w:p w14:paraId="275A69B1"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24" w:type="dxa"/>
            <w:tcBorders>
              <w:top w:val="nil"/>
              <w:left w:val="nil"/>
              <w:bottom w:val="nil"/>
              <w:right w:val="nil"/>
            </w:tcBorders>
            <w:shd w:val="clear" w:color="auto" w:fill="auto"/>
            <w:noWrap/>
            <w:vAlign w:val="center"/>
          </w:tcPr>
          <w:p w14:paraId="529572D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4A64274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7F44BCD0"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0B0C83D5"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7A2A370D"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08F954AD" w14:textId="77777777" w:rsidTr="00ED7D5D">
        <w:trPr>
          <w:trHeight w:val="173"/>
        </w:trPr>
        <w:tc>
          <w:tcPr>
            <w:tcW w:w="1330" w:type="dxa"/>
            <w:tcBorders>
              <w:top w:val="nil"/>
              <w:left w:val="nil"/>
              <w:bottom w:val="nil"/>
              <w:right w:val="nil"/>
            </w:tcBorders>
            <w:shd w:val="clear" w:color="auto" w:fill="auto"/>
            <w:noWrap/>
            <w:vAlign w:val="bottom"/>
          </w:tcPr>
          <w:p w14:paraId="44872339"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ATAN</w:t>
            </w:r>
            <w:r w:rsidRPr="005A566B">
              <w:rPr>
                <w:rFonts w:ascii="Arial" w:eastAsia="Times New Roman" w:hAnsi="Arial" w:cs="Arial"/>
                <w:sz w:val="24"/>
                <w:szCs w:val="24"/>
                <w:vertAlign w:val="subscript"/>
                <w:lang w:eastAsia="en-GB"/>
              </w:rPr>
              <w:t xml:space="preserve"> </w:t>
            </w:r>
          </w:p>
        </w:tc>
        <w:tc>
          <w:tcPr>
            <w:tcW w:w="1614" w:type="dxa"/>
            <w:tcBorders>
              <w:top w:val="nil"/>
              <w:left w:val="nil"/>
              <w:bottom w:val="nil"/>
              <w:right w:val="nil"/>
            </w:tcBorders>
            <w:shd w:val="clear" w:color="auto" w:fill="auto"/>
            <w:vAlign w:val="bottom"/>
          </w:tcPr>
          <w:p w14:paraId="0F5F23DE"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−0.1927</w:t>
            </w:r>
          </w:p>
        </w:tc>
        <w:tc>
          <w:tcPr>
            <w:tcW w:w="1208" w:type="dxa"/>
            <w:tcBorders>
              <w:top w:val="nil"/>
              <w:left w:val="nil"/>
              <w:bottom w:val="nil"/>
              <w:right w:val="nil"/>
            </w:tcBorders>
          </w:tcPr>
          <w:p w14:paraId="4FEFAD2D"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-0.0033</w:t>
            </w:r>
          </w:p>
        </w:tc>
        <w:tc>
          <w:tcPr>
            <w:tcW w:w="951" w:type="dxa"/>
            <w:tcBorders>
              <w:top w:val="nil"/>
              <w:left w:val="nil"/>
              <w:bottom w:val="nil"/>
              <w:right w:val="nil"/>
            </w:tcBorders>
            <w:shd w:val="clear" w:color="auto" w:fill="auto"/>
            <w:vAlign w:val="center"/>
          </w:tcPr>
          <w:p w14:paraId="38D373A9"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0.0499</w:t>
            </w:r>
          </w:p>
        </w:tc>
        <w:tc>
          <w:tcPr>
            <w:tcW w:w="1083" w:type="dxa"/>
            <w:tcBorders>
              <w:top w:val="nil"/>
              <w:left w:val="nil"/>
              <w:bottom w:val="nil"/>
              <w:right w:val="nil"/>
            </w:tcBorders>
            <w:shd w:val="clear" w:color="auto" w:fill="auto"/>
            <w:noWrap/>
            <w:vAlign w:val="center"/>
          </w:tcPr>
          <w:p w14:paraId="2308EBD8"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0.0645</w:t>
            </w:r>
          </w:p>
        </w:tc>
        <w:tc>
          <w:tcPr>
            <w:tcW w:w="1310" w:type="dxa"/>
            <w:tcBorders>
              <w:top w:val="nil"/>
              <w:left w:val="nil"/>
              <w:bottom w:val="nil"/>
              <w:right w:val="nil"/>
            </w:tcBorders>
            <w:shd w:val="clear" w:color="auto" w:fill="auto"/>
            <w:vAlign w:val="center"/>
          </w:tcPr>
          <w:p w14:paraId="284C81F4"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0.0740</w:t>
            </w:r>
          </w:p>
        </w:tc>
        <w:tc>
          <w:tcPr>
            <w:tcW w:w="1024" w:type="dxa"/>
            <w:tcBorders>
              <w:top w:val="nil"/>
              <w:left w:val="nil"/>
              <w:bottom w:val="nil"/>
              <w:right w:val="nil"/>
            </w:tcBorders>
            <w:shd w:val="clear" w:color="auto" w:fill="auto"/>
            <w:noWrap/>
            <w:vAlign w:val="center"/>
          </w:tcPr>
          <w:p w14:paraId="1A22483B"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0.2390</w:t>
            </w:r>
          </w:p>
        </w:tc>
        <w:tc>
          <w:tcPr>
            <w:tcW w:w="1024" w:type="dxa"/>
            <w:tcBorders>
              <w:top w:val="nil"/>
              <w:left w:val="nil"/>
              <w:bottom w:val="nil"/>
              <w:right w:val="nil"/>
            </w:tcBorders>
            <w:shd w:val="clear" w:color="auto" w:fill="auto"/>
            <w:noWrap/>
            <w:vAlign w:val="center"/>
          </w:tcPr>
          <w:p w14:paraId="3039CA10"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0.1802</w:t>
            </w:r>
          </w:p>
        </w:tc>
        <w:tc>
          <w:tcPr>
            <w:tcW w:w="1280" w:type="dxa"/>
            <w:tcBorders>
              <w:top w:val="nil"/>
              <w:left w:val="nil"/>
              <w:bottom w:val="nil"/>
              <w:right w:val="nil"/>
            </w:tcBorders>
            <w:shd w:val="clear" w:color="auto" w:fill="auto"/>
            <w:noWrap/>
            <w:vAlign w:val="center"/>
          </w:tcPr>
          <w:p w14:paraId="34099E5B"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1</w:t>
            </w:r>
          </w:p>
        </w:tc>
        <w:tc>
          <w:tcPr>
            <w:tcW w:w="951" w:type="dxa"/>
            <w:tcBorders>
              <w:top w:val="nil"/>
              <w:left w:val="nil"/>
              <w:bottom w:val="nil"/>
              <w:right w:val="nil"/>
            </w:tcBorders>
            <w:shd w:val="clear" w:color="auto" w:fill="auto"/>
            <w:noWrap/>
            <w:vAlign w:val="center"/>
          </w:tcPr>
          <w:p w14:paraId="700CDB0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383B90C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602F130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6F561B0A" w14:textId="77777777" w:rsidTr="00ED7D5D">
        <w:trPr>
          <w:trHeight w:val="173"/>
        </w:trPr>
        <w:tc>
          <w:tcPr>
            <w:tcW w:w="1330" w:type="dxa"/>
            <w:tcBorders>
              <w:top w:val="nil"/>
              <w:left w:val="nil"/>
              <w:bottom w:val="nil"/>
              <w:right w:val="nil"/>
            </w:tcBorders>
            <w:shd w:val="clear" w:color="auto" w:fill="auto"/>
            <w:noWrap/>
            <w:vAlign w:val="bottom"/>
          </w:tcPr>
          <w:p w14:paraId="60322A9E"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7F99CAF5"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0.0000</w:t>
            </w:r>
          </w:p>
        </w:tc>
        <w:tc>
          <w:tcPr>
            <w:tcW w:w="1208" w:type="dxa"/>
            <w:tcBorders>
              <w:top w:val="nil"/>
              <w:left w:val="nil"/>
              <w:bottom w:val="nil"/>
              <w:right w:val="nil"/>
            </w:tcBorders>
          </w:tcPr>
          <w:p w14:paraId="4A0C17DB"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951" w:type="dxa"/>
            <w:tcBorders>
              <w:top w:val="nil"/>
              <w:left w:val="nil"/>
              <w:bottom w:val="nil"/>
              <w:right w:val="nil"/>
            </w:tcBorders>
            <w:shd w:val="clear" w:color="auto" w:fill="auto"/>
            <w:vAlign w:val="center"/>
          </w:tcPr>
          <w:p w14:paraId="4CFC1A54"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83" w:type="dxa"/>
            <w:tcBorders>
              <w:top w:val="nil"/>
              <w:left w:val="nil"/>
              <w:bottom w:val="nil"/>
              <w:right w:val="nil"/>
            </w:tcBorders>
            <w:shd w:val="clear" w:color="auto" w:fill="auto"/>
            <w:noWrap/>
            <w:vAlign w:val="center"/>
          </w:tcPr>
          <w:p w14:paraId="7E8AE653"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1310" w:type="dxa"/>
            <w:tcBorders>
              <w:top w:val="nil"/>
              <w:left w:val="nil"/>
              <w:bottom w:val="nil"/>
              <w:right w:val="nil"/>
            </w:tcBorders>
            <w:shd w:val="clear" w:color="auto" w:fill="auto"/>
            <w:vAlign w:val="center"/>
          </w:tcPr>
          <w:p w14:paraId="31B2E7E1"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24" w:type="dxa"/>
            <w:tcBorders>
              <w:top w:val="nil"/>
              <w:left w:val="nil"/>
              <w:bottom w:val="nil"/>
              <w:right w:val="nil"/>
            </w:tcBorders>
            <w:shd w:val="clear" w:color="auto" w:fill="auto"/>
            <w:noWrap/>
            <w:vAlign w:val="center"/>
          </w:tcPr>
          <w:p w14:paraId="3776619B"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24" w:type="dxa"/>
            <w:tcBorders>
              <w:top w:val="nil"/>
              <w:left w:val="nil"/>
              <w:bottom w:val="nil"/>
              <w:right w:val="nil"/>
            </w:tcBorders>
            <w:shd w:val="clear" w:color="auto" w:fill="auto"/>
            <w:noWrap/>
            <w:vAlign w:val="center"/>
          </w:tcPr>
          <w:p w14:paraId="538B39FE"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280" w:type="dxa"/>
            <w:tcBorders>
              <w:top w:val="nil"/>
              <w:left w:val="nil"/>
              <w:bottom w:val="nil"/>
              <w:right w:val="nil"/>
            </w:tcBorders>
            <w:shd w:val="clear" w:color="auto" w:fill="auto"/>
            <w:noWrap/>
            <w:vAlign w:val="center"/>
          </w:tcPr>
          <w:p w14:paraId="1F3CB871"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777C817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7E80B2AF"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2A53E3C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0C3ED9CF" w14:textId="77777777" w:rsidTr="00ED7D5D">
        <w:trPr>
          <w:trHeight w:val="173"/>
        </w:trPr>
        <w:tc>
          <w:tcPr>
            <w:tcW w:w="1330" w:type="dxa"/>
            <w:tcBorders>
              <w:top w:val="nil"/>
              <w:left w:val="nil"/>
              <w:bottom w:val="nil"/>
              <w:right w:val="nil"/>
            </w:tcBorders>
            <w:shd w:val="clear" w:color="auto" w:fill="auto"/>
            <w:noWrap/>
            <w:vAlign w:val="bottom"/>
          </w:tcPr>
          <w:p w14:paraId="55582EFD"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FLEV</w:t>
            </w:r>
          </w:p>
        </w:tc>
        <w:tc>
          <w:tcPr>
            <w:tcW w:w="1614" w:type="dxa"/>
            <w:tcBorders>
              <w:top w:val="nil"/>
              <w:left w:val="nil"/>
              <w:bottom w:val="nil"/>
              <w:right w:val="nil"/>
            </w:tcBorders>
            <w:shd w:val="clear" w:color="auto" w:fill="auto"/>
            <w:vAlign w:val="bottom"/>
          </w:tcPr>
          <w:p w14:paraId="330F9087"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−0.1673</w:t>
            </w:r>
          </w:p>
        </w:tc>
        <w:tc>
          <w:tcPr>
            <w:tcW w:w="1208" w:type="dxa"/>
            <w:tcBorders>
              <w:top w:val="nil"/>
              <w:left w:val="nil"/>
              <w:bottom w:val="nil"/>
              <w:right w:val="nil"/>
            </w:tcBorders>
          </w:tcPr>
          <w:p w14:paraId="7728651B"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-0.1099</w:t>
            </w:r>
          </w:p>
        </w:tc>
        <w:tc>
          <w:tcPr>
            <w:tcW w:w="951" w:type="dxa"/>
            <w:tcBorders>
              <w:top w:val="nil"/>
              <w:left w:val="nil"/>
              <w:bottom w:val="nil"/>
              <w:right w:val="nil"/>
            </w:tcBorders>
            <w:shd w:val="clear" w:color="auto" w:fill="auto"/>
            <w:vAlign w:val="center"/>
          </w:tcPr>
          <w:p w14:paraId="63BBA362"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0.0701</w:t>
            </w:r>
          </w:p>
        </w:tc>
        <w:tc>
          <w:tcPr>
            <w:tcW w:w="1083" w:type="dxa"/>
            <w:tcBorders>
              <w:top w:val="nil"/>
              <w:left w:val="nil"/>
              <w:bottom w:val="nil"/>
              <w:right w:val="nil"/>
            </w:tcBorders>
            <w:shd w:val="clear" w:color="auto" w:fill="auto"/>
            <w:noWrap/>
            <w:vAlign w:val="center"/>
          </w:tcPr>
          <w:p w14:paraId="3077DA11"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–0.114</w:t>
            </w:r>
          </w:p>
        </w:tc>
        <w:tc>
          <w:tcPr>
            <w:tcW w:w="1310" w:type="dxa"/>
            <w:tcBorders>
              <w:top w:val="nil"/>
              <w:left w:val="nil"/>
              <w:bottom w:val="nil"/>
              <w:right w:val="nil"/>
            </w:tcBorders>
            <w:shd w:val="clear" w:color="auto" w:fill="auto"/>
            <w:vAlign w:val="center"/>
          </w:tcPr>
          <w:p w14:paraId="00F5947F"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–0.0536</w:t>
            </w:r>
          </w:p>
        </w:tc>
        <w:tc>
          <w:tcPr>
            <w:tcW w:w="1024" w:type="dxa"/>
            <w:tcBorders>
              <w:top w:val="nil"/>
              <w:left w:val="nil"/>
              <w:bottom w:val="nil"/>
              <w:right w:val="nil"/>
            </w:tcBorders>
            <w:shd w:val="clear" w:color="auto" w:fill="auto"/>
            <w:noWrap/>
            <w:vAlign w:val="center"/>
          </w:tcPr>
          <w:p w14:paraId="684E8933"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–0.206</w:t>
            </w:r>
          </w:p>
        </w:tc>
        <w:tc>
          <w:tcPr>
            <w:tcW w:w="1024" w:type="dxa"/>
            <w:tcBorders>
              <w:top w:val="nil"/>
              <w:left w:val="nil"/>
              <w:bottom w:val="nil"/>
              <w:right w:val="nil"/>
            </w:tcBorders>
            <w:shd w:val="clear" w:color="auto" w:fill="auto"/>
            <w:noWrap/>
            <w:vAlign w:val="center"/>
          </w:tcPr>
          <w:p w14:paraId="27F26B28"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–0.239</w:t>
            </w:r>
          </w:p>
        </w:tc>
        <w:tc>
          <w:tcPr>
            <w:tcW w:w="1280" w:type="dxa"/>
            <w:tcBorders>
              <w:top w:val="nil"/>
              <w:left w:val="nil"/>
              <w:bottom w:val="nil"/>
              <w:right w:val="nil"/>
            </w:tcBorders>
            <w:shd w:val="clear" w:color="auto" w:fill="auto"/>
            <w:noWrap/>
            <w:vAlign w:val="center"/>
          </w:tcPr>
          <w:p w14:paraId="1A05A59D"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–0.2323</w:t>
            </w:r>
          </w:p>
        </w:tc>
        <w:tc>
          <w:tcPr>
            <w:tcW w:w="951" w:type="dxa"/>
            <w:tcBorders>
              <w:top w:val="nil"/>
              <w:left w:val="nil"/>
              <w:bottom w:val="nil"/>
              <w:right w:val="nil"/>
            </w:tcBorders>
            <w:shd w:val="clear" w:color="auto" w:fill="auto"/>
            <w:noWrap/>
            <w:vAlign w:val="center"/>
          </w:tcPr>
          <w:p w14:paraId="65AF47D5"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1</w:t>
            </w:r>
          </w:p>
        </w:tc>
        <w:tc>
          <w:tcPr>
            <w:tcW w:w="222" w:type="dxa"/>
            <w:tcBorders>
              <w:top w:val="nil"/>
              <w:left w:val="nil"/>
              <w:bottom w:val="nil"/>
              <w:right w:val="nil"/>
            </w:tcBorders>
          </w:tcPr>
          <w:p w14:paraId="1063A161"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5932C866"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3C0C6CC3" w14:textId="77777777" w:rsidTr="00ED7D5D">
        <w:trPr>
          <w:trHeight w:val="173"/>
        </w:trPr>
        <w:tc>
          <w:tcPr>
            <w:tcW w:w="1330" w:type="dxa"/>
            <w:tcBorders>
              <w:top w:val="nil"/>
              <w:left w:val="nil"/>
              <w:bottom w:val="nil"/>
              <w:right w:val="nil"/>
            </w:tcBorders>
            <w:shd w:val="clear" w:color="auto" w:fill="auto"/>
            <w:noWrap/>
            <w:vAlign w:val="bottom"/>
          </w:tcPr>
          <w:p w14:paraId="62368B20"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61843BEA"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0.0000</w:t>
            </w:r>
          </w:p>
        </w:tc>
        <w:tc>
          <w:tcPr>
            <w:tcW w:w="1208" w:type="dxa"/>
            <w:tcBorders>
              <w:top w:val="nil"/>
              <w:left w:val="nil"/>
              <w:bottom w:val="nil"/>
              <w:right w:val="nil"/>
            </w:tcBorders>
          </w:tcPr>
          <w:p w14:paraId="28FB726D"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951" w:type="dxa"/>
            <w:tcBorders>
              <w:top w:val="nil"/>
              <w:left w:val="nil"/>
              <w:bottom w:val="nil"/>
              <w:right w:val="nil"/>
            </w:tcBorders>
            <w:shd w:val="clear" w:color="auto" w:fill="auto"/>
            <w:vAlign w:val="center"/>
          </w:tcPr>
          <w:p w14:paraId="51618116"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83" w:type="dxa"/>
            <w:tcBorders>
              <w:top w:val="nil"/>
              <w:left w:val="nil"/>
              <w:bottom w:val="nil"/>
              <w:right w:val="nil"/>
            </w:tcBorders>
            <w:shd w:val="clear" w:color="auto" w:fill="auto"/>
            <w:noWrap/>
            <w:vAlign w:val="center"/>
          </w:tcPr>
          <w:p w14:paraId="24A1F964"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1310" w:type="dxa"/>
            <w:tcBorders>
              <w:top w:val="nil"/>
              <w:left w:val="nil"/>
              <w:bottom w:val="nil"/>
              <w:right w:val="nil"/>
            </w:tcBorders>
            <w:shd w:val="clear" w:color="auto" w:fill="auto"/>
            <w:vAlign w:val="center"/>
          </w:tcPr>
          <w:p w14:paraId="74E94758"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24" w:type="dxa"/>
            <w:tcBorders>
              <w:top w:val="nil"/>
              <w:left w:val="nil"/>
              <w:bottom w:val="nil"/>
              <w:right w:val="nil"/>
            </w:tcBorders>
            <w:shd w:val="clear" w:color="auto" w:fill="auto"/>
            <w:noWrap/>
            <w:vAlign w:val="center"/>
          </w:tcPr>
          <w:p w14:paraId="3462E8E4"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24" w:type="dxa"/>
            <w:tcBorders>
              <w:top w:val="nil"/>
              <w:left w:val="nil"/>
              <w:bottom w:val="nil"/>
              <w:right w:val="nil"/>
            </w:tcBorders>
            <w:shd w:val="clear" w:color="auto" w:fill="auto"/>
            <w:noWrap/>
            <w:vAlign w:val="center"/>
          </w:tcPr>
          <w:p w14:paraId="518D3849"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280" w:type="dxa"/>
            <w:tcBorders>
              <w:top w:val="nil"/>
              <w:left w:val="nil"/>
              <w:bottom w:val="nil"/>
              <w:right w:val="nil"/>
            </w:tcBorders>
            <w:shd w:val="clear" w:color="auto" w:fill="auto"/>
            <w:noWrap/>
            <w:vAlign w:val="center"/>
          </w:tcPr>
          <w:p w14:paraId="31B530F9"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951" w:type="dxa"/>
            <w:tcBorders>
              <w:top w:val="nil"/>
              <w:left w:val="nil"/>
              <w:bottom w:val="nil"/>
              <w:right w:val="nil"/>
            </w:tcBorders>
            <w:shd w:val="clear" w:color="auto" w:fill="auto"/>
            <w:noWrap/>
            <w:vAlign w:val="center"/>
          </w:tcPr>
          <w:p w14:paraId="0F247BE1"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05B11BC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7683DEEF"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524C7113" w14:textId="77777777" w:rsidTr="00ED7D5D">
        <w:trPr>
          <w:trHeight w:val="173"/>
        </w:trPr>
        <w:tc>
          <w:tcPr>
            <w:tcW w:w="1330" w:type="dxa"/>
            <w:tcBorders>
              <w:top w:val="nil"/>
              <w:left w:val="nil"/>
              <w:bottom w:val="nil"/>
              <w:right w:val="nil"/>
            </w:tcBorders>
            <w:shd w:val="clear" w:color="auto" w:fill="auto"/>
            <w:noWrap/>
            <w:vAlign w:val="bottom"/>
          </w:tcPr>
          <w:p w14:paraId="43B54B15" w14:textId="77777777" w:rsidR="00A31330" w:rsidRPr="005A566B" w:rsidRDefault="00A31330" w:rsidP="00A31330">
            <w:pPr>
              <w:spacing w:after="0" w:line="240" w:lineRule="auto"/>
              <w:rPr>
                <w:rFonts w:ascii="Arial" w:eastAsia="Times New Roman" w:hAnsi="Arial" w:cs="Arial"/>
                <w:sz w:val="24"/>
                <w:szCs w:val="24"/>
                <w:lang w:eastAsia="en-GB"/>
              </w:rPr>
            </w:pPr>
            <w:r w:rsidRPr="005A566B">
              <w:rPr>
                <w:rFonts w:ascii="Arial" w:eastAsia="Times New Roman" w:hAnsi="Arial" w:cs="Arial"/>
                <w:sz w:val="24"/>
                <w:szCs w:val="24"/>
                <w:lang w:eastAsia="en-GB"/>
              </w:rPr>
              <w:t>CR</w:t>
            </w:r>
          </w:p>
        </w:tc>
        <w:tc>
          <w:tcPr>
            <w:tcW w:w="1614" w:type="dxa"/>
            <w:tcBorders>
              <w:top w:val="nil"/>
              <w:left w:val="nil"/>
              <w:bottom w:val="nil"/>
              <w:right w:val="nil"/>
            </w:tcBorders>
            <w:shd w:val="clear" w:color="auto" w:fill="auto"/>
            <w:vAlign w:val="bottom"/>
          </w:tcPr>
          <w:p w14:paraId="1D0E4118"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val="en-US" w:eastAsia="en-GB"/>
              </w:rPr>
              <w:t>0.129</w:t>
            </w:r>
          </w:p>
        </w:tc>
        <w:tc>
          <w:tcPr>
            <w:tcW w:w="1208" w:type="dxa"/>
            <w:tcBorders>
              <w:top w:val="nil"/>
              <w:left w:val="nil"/>
              <w:bottom w:val="nil"/>
              <w:right w:val="nil"/>
            </w:tcBorders>
          </w:tcPr>
          <w:p w14:paraId="46E3EEBD"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val="en-US" w:eastAsia="en-GB"/>
              </w:rPr>
              <w:t>0.0417</w:t>
            </w:r>
          </w:p>
        </w:tc>
        <w:tc>
          <w:tcPr>
            <w:tcW w:w="951" w:type="dxa"/>
            <w:tcBorders>
              <w:top w:val="nil"/>
              <w:left w:val="nil"/>
              <w:bottom w:val="nil"/>
              <w:right w:val="nil"/>
            </w:tcBorders>
            <w:shd w:val="clear" w:color="auto" w:fill="auto"/>
            <w:vAlign w:val="center"/>
          </w:tcPr>
          <w:p w14:paraId="314AAB44"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val="en-US" w:eastAsia="en-GB"/>
              </w:rPr>
              <w:t>0.157</w:t>
            </w:r>
          </w:p>
        </w:tc>
        <w:tc>
          <w:tcPr>
            <w:tcW w:w="1083" w:type="dxa"/>
            <w:tcBorders>
              <w:top w:val="nil"/>
              <w:left w:val="nil"/>
              <w:bottom w:val="nil"/>
              <w:right w:val="nil"/>
            </w:tcBorders>
            <w:shd w:val="clear" w:color="auto" w:fill="auto"/>
            <w:noWrap/>
            <w:vAlign w:val="center"/>
          </w:tcPr>
          <w:p w14:paraId="18992B0B"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0.0065</w:t>
            </w:r>
          </w:p>
        </w:tc>
        <w:tc>
          <w:tcPr>
            <w:tcW w:w="1310" w:type="dxa"/>
            <w:tcBorders>
              <w:top w:val="nil"/>
              <w:left w:val="nil"/>
              <w:bottom w:val="nil"/>
              <w:right w:val="nil"/>
            </w:tcBorders>
            <w:shd w:val="clear" w:color="auto" w:fill="auto"/>
            <w:vAlign w:val="center"/>
          </w:tcPr>
          <w:p w14:paraId="47150895"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val="en-US" w:eastAsia="en-GB"/>
              </w:rPr>
              <w:t>-0.0181</w:t>
            </w:r>
          </w:p>
        </w:tc>
        <w:tc>
          <w:tcPr>
            <w:tcW w:w="1024" w:type="dxa"/>
            <w:tcBorders>
              <w:top w:val="nil"/>
              <w:left w:val="nil"/>
              <w:bottom w:val="nil"/>
              <w:right w:val="nil"/>
            </w:tcBorders>
            <w:shd w:val="clear" w:color="auto" w:fill="auto"/>
            <w:noWrap/>
            <w:vAlign w:val="center"/>
          </w:tcPr>
          <w:p w14:paraId="0CF70FD4"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val="en-US" w:eastAsia="en-GB"/>
              </w:rPr>
              <w:t>0.0230</w:t>
            </w:r>
          </w:p>
        </w:tc>
        <w:tc>
          <w:tcPr>
            <w:tcW w:w="1024" w:type="dxa"/>
            <w:tcBorders>
              <w:top w:val="nil"/>
              <w:left w:val="nil"/>
              <w:bottom w:val="nil"/>
              <w:right w:val="nil"/>
            </w:tcBorders>
            <w:shd w:val="clear" w:color="auto" w:fill="auto"/>
            <w:noWrap/>
            <w:vAlign w:val="center"/>
          </w:tcPr>
          <w:p w14:paraId="7D26E75E"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-0.073</w:t>
            </w:r>
          </w:p>
        </w:tc>
        <w:tc>
          <w:tcPr>
            <w:tcW w:w="1280" w:type="dxa"/>
            <w:tcBorders>
              <w:top w:val="nil"/>
              <w:left w:val="nil"/>
              <w:bottom w:val="nil"/>
              <w:right w:val="nil"/>
            </w:tcBorders>
            <w:shd w:val="clear" w:color="auto" w:fill="auto"/>
            <w:noWrap/>
            <w:vAlign w:val="center"/>
          </w:tcPr>
          <w:p w14:paraId="5886F98F"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val="en-US" w:eastAsia="en-GB"/>
              </w:rPr>
              <w:t>-0.0118</w:t>
            </w:r>
          </w:p>
        </w:tc>
        <w:tc>
          <w:tcPr>
            <w:tcW w:w="951" w:type="dxa"/>
            <w:tcBorders>
              <w:top w:val="nil"/>
              <w:left w:val="nil"/>
              <w:bottom w:val="nil"/>
              <w:right w:val="nil"/>
            </w:tcBorders>
            <w:shd w:val="clear" w:color="auto" w:fill="auto"/>
            <w:noWrap/>
            <w:vAlign w:val="center"/>
          </w:tcPr>
          <w:p w14:paraId="4D20B8E4"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val="en-US" w:eastAsia="en-GB"/>
              </w:rPr>
              <w:t>-0.023</w:t>
            </w:r>
          </w:p>
        </w:tc>
        <w:tc>
          <w:tcPr>
            <w:tcW w:w="222" w:type="dxa"/>
            <w:tcBorders>
              <w:top w:val="nil"/>
              <w:left w:val="nil"/>
              <w:bottom w:val="nil"/>
              <w:right w:val="nil"/>
            </w:tcBorders>
          </w:tcPr>
          <w:p w14:paraId="7B61E9C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76526728"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1</w:t>
            </w:r>
          </w:p>
        </w:tc>
      </w:tr>
      <w:tr w:rsidR="00A31330" w:rsidRPr="005A566B" w14:paraId="073FED94" w14:textId="77777777" w:rsidTr="00ED7D5D">
        <w:trPr>
          <w:trHeight w:val="173"/>
        </w:trPr>
        <w:tc>
          <w:tcPr>
            <w:tcW w:w="1330" w:type="dxa"/>
            <w:tcBorders>
              <w:top w:val="nil"/>
              <w:left w:val="nil"/>
              <w:bottom w:val="nil"/>
              <w:right w:val="nil"/>
            </w:tcBorders>
            <w:shd w:val="clear" w:color="auto" w:fill="auto"/>
            <w:noWrap/>
            <w:vAlign w:val="bottom"/>
          </w:tcPr>
          <w:p w14:paraId="599AD65E"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241EC6A4" w14:textId="77777777" w:rsidR="00A31330" w:rsidRPr="005A566B" w:rsidRDefault="00A31330" w:rsidP="00A31330">
            <w:pPr>
              <w:spacing w:after="0" w:line="240" w:lineRule="auto"/>
              <w:jc w:val="center"/>
              <w:rPr>
                <w:rFonts w:ascii="Arial" w:eastAsia="Calibri" w:hAnsi="Arial" w:cs="Arial"/>
                <w:sz w:val="24"/>
                <w:szCs w:val="24"/>
                <w:lang w:eastAsia="en-GB"/>
              </w:rPr>
            </w:pPr>
            <w:r w:rsidRPr="005A566B">
              <w:rPr>
                <w:rFonts w:ascii="Arial" w:eastAsia="Calibri" w:hAnsi="Arial" w:cs="Arial"/>
                <w:sz w:val="24"/>
                <w:szCs w:val="24"/>
                <w:lang w:eastAsia="en-GB"/>
              </w:rPr>
              <w:t>0.0000</w:t>
            </w:r>
          </w:p>
        </w:tc>
        <w:tc>
          <w:tcPr>
            <w:tcW w:w="1208" w:type="dxa"/>
            <w:tcBorders>
              <w:top w:val="nil"/>
              <w:left w:val="nil"/>
              <w:bottom w:val="nil"/>
              <w:right w:val="nil"/>
            </w:tcBorders>
          </w:tcPr>
          <w:p w14:paraId="4BB74A09"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951" w:type="dxa"/>
            <w:tcBorders>
              <w:top w:val="nil"/>
              <w:left w:val="nil"/>
              <w:bottom w:val="nil"/>
              <w:right w:val="nil"/>
            </w:tcBorders>
            <w:shd w:val="clear" w:color="auto" w:fill="auto"/>
            <w:vAlign w:val="center"/>
          </w:tcPr>
          <w:p w14:paraId="51A0078C"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83" w:type="dxa"/>
            <w:tcBorders>
              <w:top w:val="nil"/>
              <w:left w:val="nil"/>
              <w:bottom w:val="nil"/>
              <w:right w:val="nil"/>
            </w:tcBorders>
            <w:shd w:val="clear" w:color="auto" w:fill="auto"/>
            <w:noWrap/>
            <w:vAlign w:val="center"/>
          </w:tcPr>
          <w:p w14:paraId="034E5C41"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Calibri" w:hAnsi="Arial" w:cs="Arial"/>
                <w:sz w:val="24"/>
                <w:szCs w:val="24"/>
                <w:lang w:eastAsia="en-GB"/>
              </w:rPr>
              <w:t>0.0000</w:t>
            </w:r>
          </w:p>
        </w:tc>
        <w:tc>
          <w:tcPr>
            <w:tcW w:w="1310" w:type="dxa"/>
            <w:tcBorders>
              <w:top w:val="nil"/>
              <w:left w:val="nil"/>
              <w:bottom w:val="nil"/>
              <w:right w:val="nil"/>
            </w:tcBorders>
            <w:shd w:val="clear" w:color="auto" w:fill="auto"/>
            <w:vAlign w:val="center"/>
          </w:tcPr>
          <w:p w14:paraId="7035EDA5"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24" w:type="dxa"/>
            <w:tcBorders>
              <w:top w:val="nil"/>
              <w:left w:val="nil"/>
              <w:bottom w:val="nil"/>
              <w:right w:val="nil"/>
            </w:tcBorders>
            <w:shd w:val="clear" w:color="auto" w:fill="auto"/>
            <w:noWrap/>
            <w:vAlign w:val="center"/>
          </w:tcPr>
          <w:p w14:paraId="5FEAD072"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024" w:type="dxa"/>
            <w:tcBorders>
              <w:top w:val="nil"/>
              <w:left w:val="nil"/>
              <w:bottom w:val="nil"/>
              <w:right w:val="nil"/>
            </w:tcBorders>
            <w:shd w:val="clear" w:color="auto" w:fill="auto"/>
            <w:noWrap/>
            <w:vAlign w:val="center"/>
          </w:tcPr>
          <w:p w14:paraId="4E4B9FC5"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1280" w:type="dxa"/>
            <w:tcBorders>
              <w:top w:val="nil"/>
              <w:left w:val="nil"/>
              <w:bottom w:val="nil"/>
              <w:right w:val="nil"/>
            </w:tcBorders>
            <w:shd w:val="clear" w:color="auto" w:fill="auto"/>
            <w:noWrap/>
            <w:vAlign w:val="center"/>
          </w:tcPr>
          <w:p w14:paraId="463D3A28"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951" w:type="dxa"/>
            <w:tcBorders>
              <w:top w:val="nil"/>
              <w:left w:val="nil"/>
              <w:bottom w:val="nil"/>
              <w:right w:val="nil"/>
            </w:tcBorders>
            <w:shd w:val="clear" w:color="auto" w:fill="auto"/>
            <w:noWrap/>
            <w:vAlign w:val="center"/>
          </w:tcPr>
          <w:p w14:paraId="35ECF875" w14:textId="77777777" w:rsidR="00A31330" w:rsidRPr="005A566B" w:rsidRDefault="00A31330" w:rsidP="00A31330">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0.0000</w:t>
            </w:r>
          </w:p>
        </w:tc>
        <w:tc>
          <w:tcPr>
            <w:tcW w:w="222" w:type="dxa"/>
            <w:tcBorders>
              <w:top w:val="nil"/>
              <w:left w:val="nil"/>
              <w:bottom w:val="nil"/>
              <w:right w:val="nil"/>
            </w:tcBorders>
          </w:tcPr>
          <w:p w14:paraId="5F0477D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497777E8"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3BF92563" w14:textId="77777777" w:rsidTr="00ED7D5D">
        <w:trPr>
          <w:trHeight w:val="173"/>
        </w:trPr>
        <w:tc>
          <w:tcPr>
            <w:tcW w:w="1330" w:type="dxa"/>
            <w:tcBorders>
              <w:top w:val="nil"/>
              <w:left w:val="nil"/>
              <w:bottom w:val="nil"/>
              <w:right w:val="nil"/>
            </w:tcBorders>
            <w:shd w:val="clear" w:color="auto" w:fill="auto"/>
            <w:noWrap/>
            <w:vAlign w:val="bottom"/>
          </w:tcPr>
          <w:p w14:paraId="3A8A08A1"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5C79D55D" w14:textId="77777777" w:rsidR="00A31330" w:rsidRPr="005A566B" w:rsidRDefault="00A31330" w:rsidP="00A31330">
            <w:pPr>
              <w:spacing w:after="0" w:line="240" w:lineRule="auto"/>
              <w:jc w:val="center"/>
              <w:rPr>
                <w:rFonts w:ascii="Arial" w:eastAsia="Calibri" w:hAnsi="Arial" w:cs="Arial"/>
                <w:sz w:val="24"/>
                <w:szCs w:val="24"/>
                <w:lang w:eastAsia="en-GB"/>
              </w:rPr>
            </w:pPr>
          </w:p>
        </w:tc>
        <w:tc>
          <w:tcPr>
            <w:tcW w:w="1208" w:type="dxa"/>
            <w:tcBorders>
              <w:top w:val="nil"/>
              <w:left w:val="nil"/>
              <w:bottom w:val="nil"/>
              <w:right w:val="nil"/>
            </w:tcBorders>
          </w:tcPr>
          <w:p w14:paraId="48FB3890" w14:textId="77777777" w:rsidR="00A31330" w:rsidRPr="005A566B" w:rsidRDefault="00A31330" w:rsidP="00A31330">
            <w:pPr>
              <w:spacing w:after="0" w:line="240" w:lineRule="auto"/>
              <w:jc w:val="center"/>
              <w:rPr>
                <w:rFonts w:ascii="Arial" w:eastAsia="Calibri" w:hAnsi="Arial" w:cs="Arial"/>
                <w:sz w:val="24"/>
                <w:szCs w:val="24"/>
                <w:lang w:eastAsia="en-GB"/>
              </w:rPr>
            </w:pPr>
          </w:p>
        </w:tc>
        <w:tc>
          <w:tcPr>
            <w:tcW w:w="951" w:type="dxa"/>
            <w:tcBorders>
              <w:top w:val="nil"/>
              <w:left w:val="nil"/>
              <w:bottom w:val="nil"/>
              <w:right w:val="nil"/>
            </w:tcBorders>
            <w:shd w:val="clear" w:color="auto" w:fill="auto"/>
            <w:vAlign w:val="center"/>
          </w:tcPr>
          <w:p w14:paraId="68B5B5BD"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83" w:type="dxa"/>
            <w:tcBorders>
              <w:top w:val="nil"/>
              <w:left w:val="nil"/>
              <w:bottom w:val="nil"/>
              <w:right w:val="nil"/>
            </w:tcBorders>
            <w:shd w:val="clear" w:color="auto" w:fill="auto"/>
            <w:noWrap/>
            <w:vAlign w:val="center"/>
          </w:tcPr>
          <w:p w14:paraId="1E0A142A" w14:textId="77777777" w:rsidR="00A31330" w:rsidRPr="005A566B" w:rsidRDefault="00A31330" w:rsidP="00A31330">
            <w:pPr>
              <w:spacing w:after="0" w:line="240" w:lineRule="auto"/>
              <w:jc w:val="center"/>
              <w:rPr>
                <w:rFonts w:ascii="Arial" w:eastAsia="Calibri" w:hAnsi="Arial" w:cs="Arial"/>
                <w:sz w:val="24"/>
                <w:szCs w:val="24"/>
                <w:lang w:eastAsia="en-GB"/>
              </w:rPr>
            </w:pPr>
          </w:p>
        </w:tc>
        <w:tc>
          <w:tcPr>
            <w:tcW w:w="1310" w:type="dxa"/>
            <w:tcBorders>
              <w:top w:val="nil"/>
              <w:left w:val="nil"/>
              <w:bottom w:val="nil"/>
              <w:right w:val="nil"/>
            </w:tcBorders>
            <w:shd w:val="clear" w:color="auto" w:fill="auto"/>
            <w:vAlign w:val="center"/>
          </w:tcPr>
          <w:p w14:paraId="03B45672"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3864F5F5"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143C87BB"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712FCE99"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5215B03A"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25168999"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6CA974F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tr w:rsidR="00A31330" w:rsidRPr="005A566B" w14:paraId="6854EAE4" w14:textId="77777777" w:rsidTr="00ED7D5D">
        <w:trPr>
          <w:trHeight w:val="173"/>
        </w:trPr>
        <w:tc>
          <w:tcPr>
            <w:tcW w:w="1330" w:type="dxa"/>
            <w:tcBorders>
              <w:top w:val="nil"/>
              <w:left w:val="nil"/>
              <w:bottom w:val="nil"/>
              <w:right w:val="nil"/>
            </w:tcBorders>
            <w:shd w:val="clear" w:color="auto" w:fill="auto"/>
            <w:noWrap/>
            <w:vAlign w:val="bottom"/>
          </w:tcPr>
          <w:p w14:paraId="601C11F7" w14:textId="77777777" w:rsidR="00A31330" w:rsidRPr="005A566B" w:rsidRDefault="00A31330" w:rsidP="00A31330">
            <w:pPr>
              <w:spacing w:after="0" w:line="240" w:lineRule="auto"/>
              <w:rPr>
                <w:rFonts w:ascii="Arial" w:eastAsia="Times New Roman" w:hAnsi="Arial" w:cs="Arial"/>
                <w:sz w:val="24"/>
                <w:szCs w:val="24"/>
                <w:lang w:eastAsia="en-GB"/>
              </w:rPr>
            </w:pPr>
          </w:p>
        </w:tc>
        <w:tc>
          <w:tcPr>
            <w:tcW w:w="1614" w:type="dxa"/>
            <w:tcBorders>
              <w:top w:val="nil"/>
              <w:left w:val="nil"/>
              <w:bottom w:val="nil"/>
              <w:right w:val="nil"/>
            </w:tcBorders>
            <w:shd w:val="clear" w:color="auto" w:fill="auto"/>
            <w:vAlign w:val="bottom"/>
          </w:tcPr>
          <w:p w14:paraId="2FEA2A1E" w14:textId="77777777" w:rsidR="00A31330" w:rsidRPr="005A566B" w:rsidRDefault="00A31330" w:rsidP="00A31330">
            <w:pPr>
              <w:spacing w:after="0" w:line="240" w:lineRule="auto"/>
              <w:jc w:val="center"/>
              <w:rPr>
                <w:rFonts w:ascii="Arial" w:eastAsia="Calibri" w:hAnsi="Arial" w:cs="Arial"/>
                <w:sz w:val="24"/>
                <w:szCs w:val="24"/>
                <w:lang w:eastAsia="en-GB"/>
              </w:rPr>
            </w:pPr>
          </w:p>
        </w:tc>
        <w:tc>
          <w:tcPr>
            <w:tcW w:w="1208" w:type="dxa"/>
            <w:tcBorders>
              <w:top w:val="nil"/>
              <w:left w:val="nil"/>
              <w:bottom w:val="nil"/>
              <w:right w:val="nil"/>
            </w:tcBorders>
          </w:tcPr>
          <w:p w14:paraId="455E7E44" w14:textId="77777777" w:rsidR="00A31330" w:rsidRPr="005A566B" w:rsidRDefault="00A31330" w:rsidP="00A31330">
            <w:pPr>
              <w:spacing w:after="0" w:line="240" w:lineRule="auto"/>
              <w:jc w:val="center"/>
              <w:rPr>
                <w:rFonts w:ascii="Arial" w:eastAsia="Calibri" w:hAnsi="Arial" w:cs="Arial"/>
                <w:sz w:val="24"/>
                <w:szCs w:val="24"/>
                <w:lang w:eastAsia="en-GB"/>
              </w:rPr>
            </w:pPr>
          </w:p>
        </w:tc>
        <w:tc>
          <w:tcPr>
            <w:tcW w:w="951" w:type="dxa"/>
            <w:tcBorders>
              <w:top w:val="nil"/>
              <w:left w:val="nil"/>
              <w:bottom w:val="nil"/>
              <w:right w:val="nil"/>
            </w:tcBorders>
            <w:shd w:val="clear" w:color="auto" w:fill="auto"/>
            <w:vAlign w:val="center"/>
          </w:tcPr>
          <w:p w14:paraId="551EC77A"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83" w:type="dxa"/>
            <w:tcBorders>
              <w:top w:val="nil"/>
              <w:left w:val="nil"/>
              <w:bottom w:val="nil"/>
              <w:right w:val="nil"/>
            </w:tcBorders>
            <w:shd w:val="clear" w:color="auto" w:fill="auto"/>
            <w:noWrap/>
            <w:vAlign w:val="center"/>
          </w:tcPr>
          <w:p w14:paraId="18D765D2" w14:textId="77777777" w:rsidR="00A31330" w:rsidRPr="005A566B" w:rsidRDefault="00A31330" w:rsidP="00A31330">
            <w:pPr>
              <w:spacing w:after="0" w:line="240" w:lineRule="auto"/>
              <w:jc w:val="center"/>
              <w:rPr>
                <w:rFonts w:ascii="Arial" w:eastAsia="Calibri" w:hAnsi="Arial" w:cs="Arial"/>
                <w:sz w:val="24"/>
                <w:szCs w:val="24"/>
                <w:lang w:eastAsia="en-GB"/>
              </w:rPr>
            </w:pPr>
          </w:p>
        </w:tc>
        <w:tc>
          <w:tcPr>
            <w:tcW w:w="1310" w:type="dxa"/>
            <w:tcBorders>
              <w:top w:val="nil"/>
              <w:left w:val="nil"/>
              <w:bottom w:val="nil"/>
              <w:right w:val="nil"/>
            </w:tcBorders>
            <w:shd w:val="clear" w:color="auto" w:fill="auto"/>
            <w:vAlign w:val="center"/>
          </w:tcPr>
          <w:p w14:paraId="1A69DC3E"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6A32FDC7"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024" w:type="dxa"/>
            <w:tcBorders>
              <w:top w:val="nil"/>
              <w:left w:val="nil"/>
              <w:bottom w:val="nil"/>
              <w:right w:val="nil"/>
            </w:tcBorders>
            <w:shd w:val="clear" w:color="auto" w:fill="auto"/>
            <w:noWrap/>
            <w:vAlign w:val="center"/>
          </w:tcPr>
          <w:p w14:paraId="413EB188"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1280" w:type="dxa"/>
            <w:tcBorders>
              <w:top w:val="nil"/>
              <w:left w:val="nil"/>
              <w:bottom w:val="nil"/>
              <w:right w:val="nil"/>
            </w:tcBorders>
            <w:shd w:val="clear" w:color="auto" w:fill="auto"/>
            <w:noWrap/>
            <w:vAlign w:val="center"/>
          </w:tcPr>
          <w:p w14:paraId="1D2D7A03"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951" w:type="dxa"/>
            <w:tcBorders>
              <w:top w:val="nil"/>
              <w:left w:val="nil"/>
              <w:bottom w:val="nil"/>
              <w:right w:val="nil"/>
            </w:tcBorders>
            <w:shd w:val="clear" w:color="auto" w:fill="auto"/>
            <w:noWrap/>
            <w:vAlign w:val="center"/>
          </w:tcPr>
          <w:p w14:paraId="74AE8321"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222" w:type="dxa"/>
            <w:tcBorders>
              <w:top w:val="nil"/>
              <w:left w:val="nil"/>
              <w:bottom w:val="nil"/>
              <w:right w:val="nil"/>
            </w:tcBorders>
          </w:tcPr>
          <w:p w14:paraId="65E9721C"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c>
          <w:tcPr>
            <w:tcW w:w="563" w:type="dxa"/>
            <w:tcBorders>
              <w:top w:val="nil"/>
              <w:left w:val="nil"/>
              <w:bottom w:val="nil"/>
              <w:right w:val="nil"/>
            </w:tcBorders>
            <w:shd w:val="clear" w:color="auto" w:fill="auto"/>
            <w:noWrap/>
            <w:vAlign w:val="center"/>
          </w:tcPr>
          <w:p w14:paraId="47CB9661" w14:textId="77777777" w:rsidR="00A31330" w:rsidRPr="005A566B" w:rsidRDefault="00A31330" w:rsidP="00A31330">
            <w:pPr>
              <w:spacing w:after="0" w:line="240" w:lineRule="auto"/>
              <w:jc w:val="center"/>
              <w:rPr>
                <w:rFonts w:ascii="Arial" w:eastAsia="Times New Roman" w:hAnsi="Arial" w:cs="Arial"/>
                <w:sz w:val="24"/>
                <w:szCs w:val="24"/>
                <w:lang w:eastAsia="en-GB"/>
              </w:rPr>
            </w:pPr>
          </w:p>
        </w:tc>
      </w:tr>
      <w:bookmarkEnd w:id="258"/>
      <w:bookmarkEnd w:id="259"/>
    </w:tbl>
    <w:p w14:paraId="1CC41D00" w14:textId="77777777" w:rsidR="00FC14A5" w:rsidRPr="005A566B" w:rsidRDefault="00FC14A5" w:rsidP="00FC14A5">
      <w:pPr>
        <w:spacing w:after="200" w:line="276" w:lineRule="auto"/>
        <w:rPr>
          <w:rFonts w:ascii="Arial" w:eastAsia="Calibri" w:hAnsi="Arial" w:cs="Arial"/>
        </w:rPr>
        <w:sectPr w:rsidR="00FC14A5" w:rsidRPr="005A566B" w:rsidSect="00FC14A5">
          <w:pgSz w:w="16838" w:h="11906" w:orient="landscape"/>
          <w:pgMar w:top="1440" w:right="1440" w:bottom="1440" w:left="1440" w:header="709" w:footer="709" w:gutter="0"/>
          <w:cols w:space="708"/>
          <w:docGrid w:linePitch="360"/>
        </w:sectPr>
      </w:pPr>
    </w:p>
    <w:p w14:paraId="2A993941" w14:textId="77777777" w:rsidR="00FC14A5" w:rsidRPr="005A566B" w:rsidRDefault="00FC14A5" w:rsidP="00FC14A5">
      <w:pPr>
        <w:spacing w:after="200" w:line="276" w:lineRule="auto"/>
        <w:rPr>
          <w:rFonts w:ascii="Arial" w:eastAsia="Calibri" w:hAnsi="Arial" w:cs="Arial"/>
        </w:rPr>
      </w:pPr>
    </w:p>
    <w:tbl>
      <w:tblPr>
        <w:tblW w:w="10132" w:type="dxa"/>
        <w:tblInd w:w="93" w:type="dxa"/>
        <w:tblLook w:val="04A0" w:firstRow="1" w:lastRow="0" w:firstColumn="1" w:lastColumn="0" w:noHBand="0" w:noVBand="1"/>
      </w:tblPr>
      <w:tblGrid>
        <w:gridCol w:w="1990"/>
        <w:gridCol w:w="1896"/>
        <w:gridCol w:w="1820"/>
        <w:gridCol w:w="2136"/>
        <w:gridCol w:w="2290"/>
      </w:tblGrid>
      <w:tr w:rsidR="00FC14A5" w:rsidRPr="005A566B" w14:paraId="65274143" w14:textId="77777777" w:rsidTr="00FC14A5">
        <w:trPr>
          <w:trHeight w:val="211"/>
        </w:trPr>
        <w:tc>
          <w:tcPr>
            <w:tcW w:w="10132" w:type="dxa"/>
            <w:gridSpan w:val="5"/>
            <w:tcBorders>
              <w:top w:val="nil"/>
              <w:left w:val="nil"/>
              <w:bottom w:val="single" w:sz="4" w:space="0" w:color="auto"/>
              <w:right w:val="nil"/>
            </w:tcBorders>
            <w:shd w:val="clear" w:color="auto" w:fill="auto"/>
            <w:noWrap/>
            <w:vAlign w:val="bottom"/>
          </w:tcPr>
          <w:p w14:paraId="53364B8D" w14:textId="77777777" w:rsidR="00FC14A5" w:rsidRPr="005A566B" w:rsidRDefault="00FC14A5" w:rsidP="00FC14A5">
            <w:pPr>
              <w:pBdr>
                <w:bottom w:val="single" w:sz="4" w:space="1" w:color="auto"/>
              </w:pBdr>
              <w:spacing w:after="200" w:line="276" w:lineRule="auto"/>
              <w:rPr>
                <w:rFonts w:ascii="Arial" w:eastAsia="Calibri" w:hAnsi="Arial" w:cs="Arial"/>
              </w:rPr>
            </w:pPr>
            <w:r w:rsidRPr="005A566B">
              <w:rPr>
                <w:rFonts w:ascii="Arial" w:eastAsia="Calibri" w:hAnsi="Arial" w:cs="Arial"/>
                <w:b/>
                <w:bCs/>
                <w:iCs/>
              </w:rPr>
              <w:t xml:space="preserve">Table 4: </w:t>
            </w:r>
            <w:r w:rsidRPr="005A566B">
              <w:rPr>
                <w:rFonts w:ascii="Arial" w:eastAsia="Calibri" w:hAnsi="Arial" w:cs="Arial"/>
                <w:bCs/>
                <w:iCs/>
              </w:rPr>
              <w:t>Working Capital Management  and Firm</w:t>
            </w:r>
            <w:r w:rsidR="00383CA7" w:rsidRPr="005A566B">
              <w:rPr>
                <w:rFonts w:ascii="Arial" w:eastAsia="Calibri" w:hAnsi="Arial" w:cs="Arial"/>
                <w:bCs/>
                <w:iCs/>
              </w:rPr>
              <w:t>s’ Financial</w:t>
            </w:r>
            <w:r w:rsidRPr="005A566B">
              <w:rPr>
                <w:rFonts w:ascii="Arial" w:eastAsia="Calibri" w:hAnsi="Arial" w:cs="Arial"/>
                <w:bCs/>
                <w:iCs/>
              </w:rPr>
              <w:t xml:space="preserve"> Performance</w:t>
            </w:r>
          </w:p>
          <w:p w14:paraId="64FD515D" w14:textId="48092480" w:rsidR="00FC14A5" w:rsidRPr="005A566B" w:rsidRDefault="00FC14A5" w:rsidP="00281A9E">
            <w:pPr>
              <w:spacing w:after="0" w:line="240" w:lineRule="auto"/>
              <w:jc w:val="both"/>
              <w:rPr>
                <w:rFonts w:ascii="Arial" w:eastAsia="Times New Roman" w:hAnsi="Arial" w:cs="Arial"/>
                <w:bCs/>
                <w:iCs/>
                <w:sz w:val="20"/>
                <w:szCs w:val="20"/>
                <w:lang w:eastAsia="en-GB"/>
              </w:rPr>
            </w:pPr>
            <w:r w:rsidRPr="005A566B">
              <w:rPr>
                <w:rFonts w:ascii="Arial" w:eastAsia="Calibri" w:hAnsi="Arial" w:cs="Arial"/>
                <w:sz w:val="20"/>
                <w:szCs w:val="20"/>
              </w:rPr>
              <w:t xml:space="preserve">This table reports a </w:t>
            </w:r>
            <w:r w:rsidRPr="005A566B">
              <w:rPr>
                <w:rFonts w:ascii="Arial" w:eastAsia="Calibri" w:hAnsi="Arial" w:cs="Arial"/>
                <w:sz w:val="13"/>
                <w:szCs w:val="13"/>
              </w:rPr>
              <w:t xml:space="preserve"> </w:t>
            </w:r>
            <w:r w:rsidRPr="005A566B">
              <w:rPr>
                <w:rFonts w:ascii="Arial" w:eastAsia="Calibri" w:hAnsi="Arial" w:cs="Arial"/>
                <w:sz w:val="20"/>
                <w:szCs w:val="20"/>
              </w:rPr>
              <w:t>generalized method of moments (GMM) first-difference estimation</w:t>
            </w:r>
            <w:bookmarkStart w:id="282" w:name="OLE_LINK348"/>
            <w:bookmarkStart w:id="283" w:name="OLE_LINK349"/>
            <w:r w:rsidRPr="005A566B">
              <w:rPr>
                <w:rFonts w:ascii="Arial" w:eastAsia="Calibri" w:hAnsi="Arial" w:cs="Arial"/>
                <w:sz w:val="20"/>
                <w:szCs w:val="20"/>
              </w:rPr>
              <w:t xml:space="preserve"> on the relationship between WCM</w:t>
            </w:r>
            <w:r w:rsidRPr="005A566B">
              <w:rPr>
                <w:rFonts w:ascii="Arial" w:eastAsia="Calibri" w:hAnsi="Arial" w:cs="Arial"/>
                <w:bCs/>
                <w:iCs/>
                <w:sz w:val="20"/>
                <w:szCs w:val="20"/>
              </w:rPr>
              <w:t xml:space="preserve"> and firm </w:t>
            </w:r>
            <w:r w:rsidR="00383CA7" w:rsidRPr="005A566B">
              <w:rPr>
                <w:rFonts w:ascii="Arial" w:eastAsia="Calibri" w:hAnsi="Arial" w:cs="Arial"/>
                <w:bCs/>
                <w:iCs/>
                <w:sz w:val="20"/>
                <w:szCs w:val="20"/>
              </w:rPr>
              <w:t xml:space="preserve"> financial performance</w:t>
            </w:r>
            <w:r w:rsidRPr="005A566B">
              <w:rPr>
                <w:rFonts w:ascii="Arial" w:eastAsia="Calibri" w:hAnsi="Arial" w:cs="Arial"/>
                <w:sz w:val="20"/>
                <w:szCs w:val="20"/>
              </w:rPr>
              <w:t xml:space="preserve"> </w:t>
            </w:r>
            <w:r w:rsidRPr="005A566B">
              <w:rPr>
                <w:rFonts w:ascii="Arial" w:eastAsia="Times New Roman" w:hAnsi="Arial" w:cs="Arial"/>
                <w:noProof/>
                <w:sz w:val="20"/>
                <w:szCs w:val="20"/>
              </w:rPr>
              <w:t xml:space="preserve">for across </w:t>
            </w:r>
            <w:r w:rsidR="00A91615" w:rsidRPr="005A566B">
              <w:rPr>
                <w:rFonts w:ascii="Arial" w:eastAsia="Times New Roman" w:hAnsi="Arial" w:cs="Arial"/>
                <w:noProof/>
                <w:sz w:val="20"/>
                <w:szCs w:val="20"/>
              </w:rPr>
              <w:t>802</w:t>
            </w:r>
            <w:r w:rsidRPr="005A566B">
              <w:rPr>
                <w:rFonts w:ascii="Arial" w:eastAsia="Times New Roman" w:hAnsi="Arial" w:cs="Arial"/>
                <w:noProof/>
                <w:sz w:val="20"/>
                <w:szCs w:val="20"/>
              </w:rPr>
              <w:t xml:space="preserve"> UK </w:t>
            </w:r>
            <w:r w:rsidR="00D86DF0" w:rsidRPr="005A566B">
              <w:rPr>
                <w:rFonts w:ascii="Arial" w:eastAsia="Times New Roman" w:hAnsi="Arial" w:cs="Arial"/>
                <w:noProof/>
                <w:sz w:val="20"/>
                <w:szCs w:val="20"/>
              </w:rPr>
              <w:t>quoted</w:t>
            </w:r>
            <w:r w:rsidRPr="005A566B">
              <w:rPr>
                <w:rFonts w:ascii="Arial" w:eastAsia="Times New Roman" w:hAnsi="Arial" w:cs="Arial"/>
                <w:noProof/>
                <w:sz w:val="20"/>
                <w:szCs w:val="20"/>
              </w:rPr>
              <w:t xml:space="preserve"> firms over the period </w:t>
            </w:r>
            <w:r w:rsidR="00383CA7" w:rsidRPr="005A566B">
              <w:rPr>
                <w:rFonts w:ascii="Arial" w:eastAsia="Times New Roman" w:hAnsi="Arial" w:cs="Arial"/>
                <w:noProof/>
                <w:sz w:val="20"/>
                <w:szCs w:val="20"/>
              </w:rPr>
              <w:t>2004-2014</w:t>
            </w:r>
            <w:bookmarkEnd w:id="282"/>
            <w:bookmarkEnd w:id="283"/>
            <w:r w:rsidRPr="005A566B">
              <w:rPr>
                <w:rFonts w:ascii="Arial" w:eastAsia="Calibri" w:hAnsi="Arial" w:cs="Arial"/>
                <w:sz w:val="20"/>
                <w:szCs w:val="20"/>
              </w:rPr>
              <w:t xml:space="preserve">, with </w:t>
            </w:r>
            <w:r w:rsidRPr="005A566B">
              <w:rPr>
                <w:rFonts w:ascii="Arial" w:eastAsia="Calibri" w:hAnsi="Arial" w:cs="Arial"/>
                <w:i/>
                <w:sz w:val="20"/>
                <w:szCs w:val="20"/>
              </w:rPr>
              <w:t>t</w:t>
            </w:r>
            <w:r w:rsidRPr="005A566B">
              <w:rPr>
                <w:rFonts w:ascii="Arial" w:eastAsia="Calibri" w:hAnsi="Arial" w:cs="Arial"/>
                <w:sz w:val="20"/>
                <w:szCs w:val="20"/>
              </w:rPr>
              <w:t xml:space="preserve">−statistics (reported in parentheses). The dependent variable is the return on assets and Tobin’s Q. All variables are defined in Table 1. </w:t>
            </w:r>
            <w:r w:rsidRPr="005A566B">
              <w:rPr>
                <w:rFonts w:ascii="Arial" w:eastAsia="Times New Roman" w:hAnsi="Arial" w:cs="Arial"/>
                <w:bCs/>
                <w:iCs/>
                <w:sz w:val="20"/>
                <w:szCs w:val="20"/>
                <w:lang w:eastAsia="en-GB"/>
              </w:rPr>
              <w:t>AR1 (AR2) is a test for first- (second-) order serial correlation in the first-differenced residuals, asymptotically distributed as N(0, 1) under the null of no serial. Hansen test is a test of over-identifying restrictions distributed asymptotically under null hypothesis of validity of instruments as Chi-squared. The degrees of freedom are given in parenthesis. Instruments include AGE</w:t>
            </w:r>
            <w:r w:rsidRPr="005A566B">
              <w:rPr>
                <w:rFonts w:ascii="Arial" w:eastAsia="Times New Roman" w:hAnsi="Arial" w:cs="Arial"/>
                <w:bCs/>
                <w:iCs/>
                <w:sz w:val="12"/>
                <w:szCs w:val="20"/>
                <w:lang w:eastAsia="en-GB"/>
              </w:rPr>
              <w:t>i,t-2</w:t>
            </w:r>
            <w:r w:rsidRPr="005A566B">
              <w:rPr>
                <w:rFonts w:ascii="Arial" w:eastAsia="Times New Roman" w:hAnsi="Arial" w:cs="Arial"/>
                <w:bCs/>
                <w:iCs/>
                <w:sz w:val="20"/>
                <w:szCs w:val="20"/>
                <w:lang w:eastAsia="en-GB"/>
              </w:rPr>
              <w:t>; CR</w:t>
            </w:r>
            <w:r w:rsidRPr="005A566B">
              <w:rPr>
                <w:rFonts w:ascii="Arial" w:eastAsia="Times New Roman" w:hAnsi="Arial" w:cs="Arial"/>
                <w:bCs/>
                <w:iCs/>
                <w:sz w:val="12"/>
                <w:szCs w:val="20"/>
                <w:lang w:eastAsia="en-GB"/>
              </w:rPr>
              <w:t xml:space="preserve">i,t-2 </w:t>
            </w:r>
            <w:r w:rsidRPr="005A566B">
              <w:rPr>
                <w:rFonts w:ascii="Arial" w:eastAsia="Times New Roman" w:hAnsi="Arial" w:cs="Arial"/>
                <w:bCs/>
                <w:iCs/>
                <w:sz w:val="20"/>
                <w:szCs w:val="20"/>
                <w:lang w:eastAsia="en-GB"/>
              </w:rPr>
              <w:t>FLEV</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GROWTH</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and further lags. Year dummies and time dummies interacted with industry dummies were always included as regressors and as instruments.</w:t>
            </w:r>
            <w:r w:rsidRPr="005A566B">
              <w:rPr>
                <w:rFonts w:ascii="Arial" w:eastAsia="Calibri" w:hAnsi="Arial" w:cs="Arial"/>
                <w:sz w:val="20"/>
                <w:szCs w:val="20"/>
              </w:rPr>
              <w:t xml:space="preserve">  </w:t>
            </w:r>
            <w:bookmarkStart w:id="284" w:name="OLE_LINK71"/>
            <w:bookmarkStart w:id="285" w:name="OLE_LINK72"/>
            <w:r w:rsidRPr="005A566B">
              <w:rPr>
                <w:rFonts w:ascii="Arial" w:eastAsia="Calibri" w:hAnsi="Arial" w:cs="Arial"/>
                <w:sz w:val="20"/>
                <w:szCs w:val="20"/>
              </w:rPr>
              <w:t>***, ** and * represent coefficients significant at the 1%, 5% and 10% levels correspondingly (two−tailed tests).</w:t>
            </w:r>
            <w:bookmarkEnd w:id="284"/>
            <w:bookmarkEnd w:id="285"/>
          </w:p>
        </w:tc>
      </w:tr>
      <w:tr w:rsidR="00FC14A5" w:rsidRPr="005A566B" w14:paraId="0FABF3CF" w14:textId="77777777" w:rsidTr="00FC14A5">
        <w:trPr>
          <w:trHeight w:val="211"/>
        </w:trPr>
        <w:tc>
          <w:tcPr>
            <w:tcW w:w="1990" w:type="dxa"/>
            <w:tcBorders>
              <w:top w:val="single" w:sz="4" w:space="0" w:color="auto"/>
              <w:left w:val="nil"/>
              <w:bottom w:val="single" w:sz="4" w:space="0" w:color="auto"/>
              <w:right w:val="nil"/>
            </w:tcBorders>
            <w:shd w:val="clear" w:color="auto" w:fill="auto"/>
            <w:noWrap/>
            <w:vAlign w:val="bottom"/>
            <w:hideMark/>
          </w:tcPr>
          <w:p w14:paraId="2DFF976F"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DEPENDENT </w:t>
            </w:r>
          </w:p>
        </w:tc>
        <w:tc>
          <w:tcPr>
            <w:tcW w:w="1896" w:type="dxa"/>
            <w:tcBorders>
              <w:top w:val="single" w:sz="4" w:space="0" w:color="auto"/>
              <w:left w:val="nil"/>
              <w:bottom w:val="single" w:sz="4" w:space="0" w:color="auto"/>
              <w:right w:val="nil"/>
            </w:tcBorders>
            <w:shd w:val="clear" w:color="auto" w:fill="auto"/>
            <w:noWrap/>
            <w:vAlign w:val="bottom"/>
            <w:hideMark/>
          </w:tcPr>
          <w:p w14:paraId="41614CF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w:t>
            </w:r>
          </w:p>
        </w:tc>
        <w:tc>
          <w:tcPr>
            <w:tcW w:w="1820" w:type="dxa"/>
            <w:tcBorders>
              <w:top w:val="single" w:sz="4" w:space="0" w:color="auto"/>
              <w:left w:val="nil"/>
              <w:bottom w:val="single" w:sz="4" w:space="0" w:color="auto"/>
              <w:right w:val="nil"/>
            </w:tcBorders>
            <w:shd w:val="clear" w:color="auto" w:fill="auto"/>
            <w:noWrap/>
            <w:vAlign w:val="bottom"/>
            <w:hideMark/>
          </w:tcPr>
          <w:p w14:paraId="4CD2C98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w:t>
            </w:r>
          </w:p>
        </w:tc>
        <w:tc>
          <w:tcPr>
            <w:tcW w:w="2136" w:type="dxa"/>
            <w:tcBorders>
              <w:top w:val="single" w:sz="4" w:space="0" w:color="auto"/>
              <w:left w:val="nil"/>
              <w:bottom w:val="single" w:sz="4" w:space="0" w:color="auto"/>
              <w:right w:val="nil"/>
            </w:tcBorders>
            <w:shd w:val="clear" w:color="auto" w:fill="auto"/>
            <w:noWrap/>
            <w:vAlign w:val="bottom"/>
            <w:hideMark/>
          </w:tcPr>
          <w:p w14:paraId="4D89BDB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w:t>
            </w:r>
          </w:p>
        </w:tc>
        <w:tc>
          <w:tcPr>
            <w:tcW w:w="2290" w:type="dxa"/>
            <w:tcBorders>
              <w:top w:val="single" w:sz="4" w:space="0" w:color="auto"/>
              <w:left w:val="nil"/>
              <w:bottom w:val="single" w:sz="4" w:space="0" w:color="auto"/>
              <w:right w:val="nil"/>
            </w:tcBorders>
            <w:shd w:val="clear" w:color="auto" w:fill="auto"/>
            <w:noWrap/>
            <w:vAlign w:val="bottom"/>
            <w:hideMark/>
          </w:tcPr>
          <w:p w14:paraId="384023D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w:t>
            </w:r>
          </w:p>
        </w:tc>
      </w:tr>
      <w:tr w:rsidR="00FC14A5" w:rsidRPr="005A566B" w14:paraId="0A681887" w14:textId="77777777" w:rsidTr="00FC14A5">
        <w:trPr>
          <w:trHeight w:val="220"/>
        </w:trPr>
        <w:tc>
          <w:tcPr>
            <w:tcW w:w="1990" w:type="dxa"/>
            <w:tcBorders>
              <w:top w:val="single" w:sz="4" w:space="0" w:color="auto"/>
              <w:left w:val="nil"/>
              <w:bottom w:val="single" w:sz="4" w:space="0" w:color="auto"/>
              <w:right w:val="nil"/>
            </w:tcBorders>
            <w:shd w:val="clear" w:color="auto" w:fill="auto"/>
            <w:noWrap/>
            <w:vAlign w:val="bottom"/>
            <w:hideMark/>
          </w:tcPr>
          <w:p w14:paraId="52B4F39C"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VARIABLE</w:t>
            </w:r>
          </w:p>
        </w:tc>
        <w:tc>
          <w:tcPr>
            <w:tcW w:w="1896" w:type="dxa"/>
            <w:tcBorders>
              <w:top w:val="single" w:sz="4" w:space="0" w:color="auto"/>
              <w:left w:val="nil"/>
              <w:bottom w:val="single" w:sz="4" w:space="0" w:color="auto"/>
              <w:right w:val="nil"/>
            </w:tcBorders>
            <w:shd w:val="clear" w:color="auto" w:fill="auto"/>
            <w:noWrap/>
            <w:vAlign w:val="bottom"/>
            <w:hideMark/>
          </w:tcPr>
          <w:p w14:paraId="02F29658" w14:textId="77777777" w:rsidR="00FC14A5" w:rsidRPr="005A566B" w:rsidRDefault="00FC14A5" w:rsidP="00FC14A5">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ROA</w:t>
            </w:r>
          </w:p>
        </w:tc>
        <w:tc>
          <w:tcPr>
            <w:tcW w:w="1820" w:type="dxa"/>
            <w:tcBorders>
              <w:top w:val="single" w:sz="4" w:space="0" w:color="auto"/>
              <w:left w:val="nil"/>
              <w:bottom w:val="single" w:sz="4" w:space="0" w:color="auto"/>
              <w:right w:val="nil"/>
            </w:tcBorders>
            <w:shd w:val="clear" w:color="auto" w:fill="auto"/>
            <w:noWrap/>
            <w:vAlign w:val="bottom"/>
            <w:hideMark/>
          </w:tcPr>
          <w:p w14:paraId="2F7E6C4F" w14:textId="77777777" w:rsidR="00FC14A5" w:rsidRPr="005A566B" w:rsidRDefault="00FC14A5" w:rsidP="00FC14A5">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QRATIO</w:t>
            </w:r>
          </w:p>
        </w:tc>
        <w:tc>
          <w:tcPr>
            <w:tcW w:w="2136" w:type="dxa"/>
            <w:tcBorders>
              <w:top w:val="single" w:sz="4" w:space="0" w:color="auto"/>
              <w:left w:val="nil"/>
              <w:bottom w:val="single" w:sz="4" w:space="0" w:color="auto"/>
              <w:right w:val="nil"/>
            </w:tcBorders>
            <w:shd w:val="clear" w:color="auto" w:fill="auto"/>
            <w:noWrap/>
            <w:vAlign w:val="bottom"/>
            <w:hideMark/>
          </w:tcPr>
          <w:p w14:paraId="200DF157" w14:textId="77777777" w:rsidR="00FC14A5" w:rsidRPr="005A566B" w:rsidRDefault="00FC14A5" w:rsidP="00FC14A5">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ROA</w:t>
            </w:r>
          </w:p>
        </w:tc>
        <w:tc>
          <w:tcPr>
            <w:tcW w:w="2290" w:type="dxa"/>
            <w:tcBorders>
              <w:top w:val="single" w:sz="4" w:space="0" w:color="auto"/>
              <w:left w:val="nil"/>
              <w:bottom w:val="single" w:sz="4" w:space="0" w:color="auto"/>
              <w:right w:val="nil"/>
            </w:tcBorders>
            <w:shd w:val="clear" w:color="auto" w:fill="auto"/>
            <w:noWrap/>
            <w:vAlign w:val="bottom"/>
            <w:hideMark/>
          </w:tcPr>
          <w:p w14:paraId="51F04A88" w14:textId="77777777" w:rsidR="00FC14A5" w:rsidRPr="005A566B" w:rsidRDefault="00FC14A5" w:rsidP="00FC14A5">
            <w:pPr>
              <w:spacing w:after="0" w:line="240" w:lineRule="auto"/>
              <w:jc w:val="center"/>
              <w:rPr>
                <w:rFonts w:ascii="Arial" w:eastAsia="Times New Roman" w:hAnsi="Arial" w:cs="Arial"/>
                <w:sz w:val="24"/>
                <w:szCs w:val="24"/>
                <w:lang w:eastAsia="en-GB"/>
              </w:rPr>
            </w:pPr>
            <w:r w:rsidRPr="005A566B">
              <w:rPr>
                <w:rFonts w:ascii="Arial" w:eastAsia="Times New Roman" w:hAnsi="Arial" w:cs="Arial"/>
                <w:sz w:val="24"/>
                <w:szCs w:val="24"/>
                <w:lang w:eastAsia="en-GB"/>
              </w:rPr>
              <w:t>QRATIO</w:t>
            </w:r>
          </w:p>
        </w:tc>
      </w:tr>
      <w:tr w:rsidR="00FC14A5" w:rsidRPr="005A566B" w14:paraId="6360C9AA" w14:textId="77777777" w:rsidTr="00FC14A5">
        <w:trPr>
          <w:trHeight w:val="211"/>
        </w:trPr>
        <w:tc>
          <w:tcPr>
            <w:tcW w:w="1990" w:type="dxa"/>
            <w:tcBorders>
              <w:top w:val="single" w:sz="4" w:space="0" w:color="auto"/>
              <w:left w:val="nil"/>
              <w:bottom w:val="nil"/>
              <w:right w:val="nil"/>
            </w:tcBorders>
            <w:shd w:val="clear" w:color="auto" w:fill="auto"/>
            <w:noWrap/>
            <w:vAlign w:val="bottom"/>
          </w:tcPr>
          <w:p w14:paraId="5681B3B4"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single" w:sz="4" w:space="0" w:color="auto"/>
              <w:left w:val="nil"/>
              <w:bottom w:val="nil"/>
              <w:right w:val="nil"/>
            </w:tcBorders>
            <w:shd w:val="clear" w:color="auto" w:fill="auto"/>
            <w:noWrap/>
            <w:vAlign w:val="bottom"/>
          </w:tcPr>
          <w:p w14:paraId="48D7F73A"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single" w:sz="4" w:space="0" w:color="auto"/>
              <w:left w:val="nil"/>
              <w:bottom w:val="nil"/>
              <w:right w:val="nil"/>
            </w:tcBorders>
            <w:shd w:val="clear" w:color="auto" w:fill="auto"/>
            <w:noWrap/>
            <w:vAlign w:val="bottom"/>
          </w:tcPr>
          <w:p w14:paraId="2034490F"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single" w:sz="4" w:space="0" w:color="auto"/>
              <w:left w:val="nil"/>
              <w:bottom w:val="nil"/>
              <w:right w:val="nil"/>
            </w:tcBorders>
            <w:shd w:val="clear" w:color="auto" w:fill="auto"/>
            <w:noWrap/>
            <w:vAlign w:val="bottom"/>
          </w:tcPr>
          <w:p w14:paraId="10E387E3"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single" w:sz="4" w:space="0" w:color="auto"/>
              <w:left w:val="nil"/>
              <w:bottom w:val="nil"/>
              <w:right w:val="nil"/>
            </w:tcBorders>
            <w:shd w:val="clear" w:color="auto" w:fill="auto"/>
            <w:noWrap/>
            <w:vAlign w:val="bottom"/>
          </w:tcPr>
          <w:p w14:paraId="03E0D53A"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23FF1B28" w14:textId="77777777" w:rsidTr="00FC14A5">
        <w:trPr>
          <w:trHeight w:val="211"/>
        </w:trPr>
        <w:tc>
          <w:tcPr>
            <w:tcW w:w="1990" w:type="dxa"/>
            <w:tcBorders>
              <w:top w:val="nil"/>
              <w:left w:val="nil"/>
              <w:bottom w:val="nil"/>
              <w:right w:val="nil"/>
            </w:tcBorders>
            <w:shd w:val="clear" w:color="auto" w:fill="auto"/>
            <w:noWrap/>
            <w:vAlign w:val="bottom"/>
            <w:hideMark/>
          </w:tcPr>
          <w:p w14:paraId="1325766C"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ROA</w:t>
            </w:r>
          </w:p>
        </w:tc>
        <w:tc>
          <w:tcPr>
            <w:tcW w:w="1896" w:type="dxa"/>
            <w:tcBorders>
              <w:top w:val="nil"/>
              <w:left w:val="nil"/>
              <w:bottom w:val="nil"/>
              <w:right w:val="nil"/>
            </w:tcBorders>
            <w:shd w:val="clear" w:color="auto" w:fill="auto"/>
            <w:noWrap/>
            <w:vAlign w:val="bottom"/>
            <w:hideMark/>
          </w:tcPr>
          <w:p w14:paraId="1F3CC3C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0.3950***</w:t>
            </w:r>
          </w:p>
        </w:tc>
        <w:tc>
          <w:tcPr>
            <w:tcW w:w="1820" w:type="dxa"/>
            <w:tcBorders>
              <w:top w:val="nil"/>
              <w:left w:val="nil"/>
              <w:bottom w:val="nil"/>
              <w:right w:val="nil"/>
            </w:tcBorders>
            <w:shd w:val="clear" w:color="auto" w:fill="auto"/>
            <w:noWrap/>
            <w:vAlign w:val="bottom"/>
            <w:hideMark/>
          </w:tcPr>
          <w:p w14:paraId="792FB27C"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35DF2F4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0.3841***</w:t>
            </w:r>
          </w:p>
        </w:tc>
        <w:tc>
          <w:tcPr>
            <w:tcW w:w="2290" w:type="dxa"/>
            <w:tcBorders>
              <w:top w:val="nil"/>
              <w:left w:val="nil"/>
              <w:bottom w:val="nil"/>
              <w:right w:val="nil"/>
            </w:tcBorders>
            <w:shd w:val="clear" w:color="auto" w:fill="auto"/>
            <w:noWrap/>
            <w:vAlign w:val="bottom"/>
            <w:hideMark/>
          </w:tcPr>
          <w:p w14:paraId="4E26079E"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292A1C7A" w14:textId="77777777" w:rsidTr="00FC14A5">
        <w:trPr>
          <w:trHeight w:val="211"/>
        </w:trPr>
        <w:tc>
          <w:tcPr>
            <w:tcW w:w="1990" w:type="dxa"/>
            <w:tcBorders>
              <w:top w:val="nil"/>
              <w:left w:val="nil"/>
              <w:bottom w:val="nil"/>
              <w:right w:val="nil"/>
            </w:tcBorders>
            <w:shd w:val="clear" w:color="auto" w:fill="auto"/>
            <w:noWrap/>
            <w:vAlign w:val="bottom"/>
            <w:hideMark/>
          </w:tcPr>
          <w:p w14:paraId="0CC19072"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hideMark/>
          </w:tcPr>
          <w:p w14:paraId="78CF20C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(18.58)</w:t>
            </w:r>
          </w:p>
        </w:tc>
        <w:tc>
          <w:tcPr>
            <w:tcW w:w="1820" w:type="dxa"/>
            <w:tcBorders>
              <w:top w:val="nil"/>
              <w:left w:val="nil"/>
              <w:bottom w:val="nil"/>
              <w:right w:val="nil"/>
            </w:tcBorders>
            <w:shd w:val="clear" w:color="auto" w:fill="auto"/>
            <w:noWrap/>
            <w:vAlign w:val="bottom"/>
            <w:hideMark/>
          </w:tcPr>
          <w:p w14:paraId="3D2886EC"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56CCDA7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(46.69)</w:t>
            </w:r>
          </w:p>
        </w:tc>
        <w:tc>
          <w:tcPr>
            <w:tcW w:w="2290" w:type="dxa"/>
            <w:tcBorders>
              <w:top w:val="nil"/>
              <w:left w:val="nil"/>
              <w:bottom w:val="nil"/>
              <w:right w:val="nil"/>
            </w:tcBorders>
            <w:shd w:val="clear" w:color="auto" w:fill="auto"/>
            <w:noWrap/>
            <w:vAlign w:val="bottom"/>
            <w:hideMark/>
          </w:tcPr>
          <w:p w14:paraId="0BE69D38"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6E0153CB" w14:textId="77777777" w:rsidTr="00FC14A5">
        <w:trPr>
          <w:trHeight w:val="211"/>
        </w:trPr>
        <w:tc>
          <w:tcPr>
            <w:tcW w:w="1990" w:type="dxa"/>
            <w:tcBorders>
              <w:top w:val="nil"/>
              <w:left w:val="nil"/>
              <w:bottom w:val="nil"/>
              <w:right w:val="nil"/>
            </w:tcBorders>
            <w:shd w:val="clear" w:color="auto" w:fill="auto"/>
            <w:noWrap/>
            <w:vAlign w:val="bottom"/>
            <w:hideMark/>
          </w:tcPr>
          <w:p w14:paraId="4F933176"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QRATIO</w:t>
            </w:r>
            <w:r w:rsidRPr="005A566B">
              <w:rPr>
                <w:rFonts w:ascii="Arial" w:eastAsia="Times New Roman" w:hAnsi="Arial" w:cs="Arial"/>
                <w:sz w:val="10"/>
                <w:lang w:eastAsia="en-GB"/>
              </w:rPr>
              <w:t xml:space="preserve"> </w:t>
            </w:r>
          </w:p>
        </w:tc>
        <w:tc>
          <w:tcPr>
            <w:tcW w:w="1896" w:type="dxa"/>
            <w:tcBorders>
              <w:top w:val="nil"/>
              <w:left w:val="nil"/>
              <w:bottom w:val="nil"/>
              <w:right w:val="nil"/>
            </w:tcBorders>
            <w:shd w:val="clear" w:color="auto" w:fill="auto"/>
            <w:noWrap/>
            <w:vAlign w:val="bottom"/>
            <w:hideMark/>
          </w:tcPr>
          <w:p w14:paraId="5CDD5E19"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336FC3F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0.7750***</w:t>
            </w:r>
          </w:p>
        </w:tc>
        <w:tc>
          <w:tcPr>
            <w:tcW w:w="2136" w:type="dxa"/>
            <w:tcBorders>
              <w:top w:val="nil"/>
              <w:left w:val="nil"/>
              <w:bottom w:val="nil"/>
              <w:right w:val="nil"/>
            </w:tcBorders>
            <w:shd w:val="clear" w:color="auto" w:fill="auto"/>
            <w:noWrap/>
            <w:vAlign w:val="bottom"/>
            <w:hideMark/>
          </w:tcPr>
          <w:p w14:paraId="61BCCCBD"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nil"/>
              <w:left w:val="nil"/>
              <w:bottom w:val="nil"/>
              <w:right w:val="nil"/>
            </w:tcBorders>
            <w:shd w:val="clear" w:color="auto" w:fill="auto"/>
            <w:noWrap/>
            <w:vAlign w:val="bottom"/>
            <w:hideMark/>
          </w:tcPr>
          <w:p w14:paraId="230766D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0.9081***</w:t>
            </w:r>
          </w:p>
        </w:tc>
      </w:tr>
      <w:tr w:rsidR="00FC14A5" w:rsidRPr="005A566B" w14:paraId="05F9C060" w14:textId="77777777" w:rsidTr="00FC14A5">
        <w:trPr>
          <w:trHeight w:val="211"/>
        </w:trPr>
        <w:tc>
          <w:tcPr>
            <w:tcW w:w="1990" w:type="dxa"/>
            <w:tcBorders>
              <w:top w:val="nil"/>
              <w:left w:val="nil"/>
              <w:bottom w:val="nil"/>
              <w:right w:val="nil"/>
            </w:tcBorders>
            <w:shd w:val="clear" w:color="auto" w:fill="auto"/>
            <w:noWrap/>
            <w:vAlign w:val="bottom"/>
            <w:hideMark/>
          </w:tcPr>
          <w:p w14:paraId="43F87F18"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hideMark/>
          </w:tcPr>
          <w:p w14:paraId="2F30885F"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73EC776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(20.79)</w:t>
            </w:r>
          </w:p>
        </w:tc>
        <w:tc>
          <w:tcPr>
            <w:tcW w:w="2136" w:type="dxa"/>
            <w:tcBorders>
              <w:top w:val="nil"/>
              <w:left w:val="nil"/>
              <w:bottom w:val="nil"/>
              <w:right w:val="nil"/>
            </w:tcBorders>
            <w:shd w:val="clear" w:color="auto" w:fill="auto"/>
            <w:noWrap/>
            <w:vAlign w:val="bottom"/>
            <w:hideMark/>
          </w:tcPr>
          <w:p w14:paraId="51ACC065"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nil"/>
              <w:left w:val="nil"/>
              <w:bottom w:val="nil"/>
              <w:right w:val="nil"/>
            </w:tcBorders>
            <w:shd w:val="clear" w:color="auto" w:fill="auto"/>
            <w:noWrap/>
            <w:vAlign w:val="bottom"/>
            <w:hideMark/>
          </w:tcPr>
          <w:p w14:paraId="6B5DBBC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(64.87)</w:t>
            </w:r>
          </w:p>
        </w:tc>
      </w:tr>
      <w:tr w:rsidR="00FC14A5" w:rsidRPr="005A566B" w14:paraId="3331DB68" w14:textId="77777777" w:rsidTr="00FC14A5">
        <w:trPr>
          <w:trHeight w:val="211"/>
        </w:trPr>
        <w:tc>
          <w:tcPr>
            <w:tcW w:w="1990" w:type="dxa"/>
            <w:tcBorders>
              <w:top w:val="nil"/>
              <w:left w:val="nil"/>
              <w:bottom w:val="nil"/>
              <w:right w:val="nil"/>
            </w:tcBorders>
            <w:shd w:val="clear" w:color="auto" w:fill="auto"/>
            <w:noWrap/>
            <w:vAlign w:val="bottom"/>
            <w:hideMark/>
          </w:tcPr>
          <w:p w14:paraId="5955D8BF"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WCM</w:t>
            </w:r>
            <w:r w:rsidRPr="005A566B">
              <w:rPr>
                <w:rFonts w:ascii="Arial" w:eastAsia="Times New Roman" w:hAnsi="Arial" w:cs="Arial"/>
                <w:sz w:val="10"/>
                <w:lang w:eastAsia="en-GB"/>
              </w:rPr>
              <w:t xml:space="preserve"> </w:t>
            </w:r>
          </w:p>
        </w:tc>
        <w:tc>
          <w:tcPr>
            <w:tcW w:w="1896" w:type="dxa"/>
            <w:tcBorders>
              <w:top w:val="nil"/>
              <w:left w:val="nil"/>
              <w:bottom w:val="nil"/>
              <w:right w:val="nil"/>
            </w:tcBorders>
            <w:shd w:val="clear" w:color="auto" w:fill="auto"/>
            <w:noWrap/>
            <w:vAlign w:val="bottom"/>
            <w:hideMark/>
          </w:tcPr>
          <w:p w14:paraId="4D69083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-0.0061***</w:t>
            </w:r>
          </w:p>
        </w:tc>
        <w:tc>
          <w:tcPr>
            <w:tcW w:w="1820" w:type="dxa"/>
            <w:tcBorders>
              <w:top w:val="nil"/>
              <w:left w:val="nil"/>
              <w:bottom w:val="nil"/>
              <w:right w:val="nil"/>
            </w:tcBorders>
            <w:shd w:val="clear" w:color="auto" w:fill="auto"/>
            <w:noWrap/>
            <w:vAlign w:val="bottom"/>
            <w:hideMark/>
          </w:tcPr>
          <w:p w14:paraId="516D880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-1.1020***</w:t>
            </w:r>
          </w:p>
        </w:tc>
        <w:tc>
          <w:tcPr>
            <w:tcW w:w="2136" w:type="dxa"/>
            <w:tcBorders>
              <w:top w:val="nil"/>
              <w:left w:val="nil"/>
              <w:bottom w:val="nil"/>
              <w:right w:val="nil"/>
            </w:tcBorders>
            <w:shd w:val="clear" w:color="auto" w:fill="auto"/>
            <w:noWrap/>
            <w:vAlign w:val="bottom"/>
            <w:hideMark/>
          </w:tcPr>
          <w:p w14:paraId="7208C1D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-0.0210***</w:t>
            </w:r>
          </w:p>
        </w:tc>
        <w:tc>
          <w:tcPr>
            <w:tcW w:w="2290" w:type="dxa"/>
            <w:tcBorders>
              <w:top w:val="nil"/>
              <w:left w:val="nil"/>
              <w:bottom w:val="nil"/>
              <w:right w:val="nil"/>
            </w:tcBorders>
            <w:shd w:val="clear" w:color="auto" w:fill="auto"/>
            <w:noWrap/>
            <w:vAlign w:val="bottom"/>
            <w:hideMark/>
          </w:tcPr>
          <w:p w14:paraId="55016FF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-0.0920***</w:t>
            </w:r>
          </w:p>
        </w:tc>
      </w:tr>
      <w:tr w:rsidR="00FC14A5" w:rsidRPr="005A566B" w14:paraId="67C0C6AA" w14:textId="77777777" w:rsidTr="00FC14A5">
        <w:trPr>
          <w:trHeight w:val="211"/>
        </w:trPr>
        <w:tc>
          <w:tcPr>
            <w:tcW w:w="1990" w:type="dxa"/>
            <w:tcBorders>
              <w:top w:val="nil"/>
              <w:left w:val="nil"/>
              <w:bottom w:val="nil"/>
              <w:right w:val="nil"/>
            </w:tcBorders>
            <w:shd w:val="clear" w:color="auto" w:fill="auto"/>
            <w:noWrap/>
            <w:vAlign w:val="bottom"/>
            <w:hideMark/>
          </w:tcPr>
          <w:p w14:paraId="1ABAFBDA"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hideMark/>
          </w:tcPr>
          <w:p w14:paraId="125C903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(-5.54)</w:t>
            </w:r>
          </w:p>
        </w:tc>
        <w:tc>
          <w:tcPr>
            <w:tcW w:w="1820" w:type="dxa"/>
            <w:tcBorders>
              <w:top w:val="nil"/>
              <w:left w:val="nil"/>
              <w:bottom w:val="nil"/>
              <w:right w:val="nil"/>
            </w:tcBorders>
            <w:shd w:val="clear" w:color="auto" w:fill="auto"/>
            <w:noWrap/>
            <w:vAlign w:val="bottom"/>
            <w:hideMark/>
          </w:tcPr>
          <w:p w14:paraId="04158CC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(-4.86)</w:t>
            </w:r>
          </w:p>
        </w:tc>
        <w:tc>
          <w:tcPr>
            <w:tcW w:w="2136" w:type="dxa"/>
            <w:tcBorders>
              <w:top w:val="nil"/>
              <w:left w:val="nil"/>
              <w:bottom w:val="nil"/>
              <w:right w:val="nil"/>
            </w:tcBorders>
            <w:shd w:val="clear" w:color="auto" w:fill="auto"/>
            <w:noWrap/>
            <w:vAlign w:val="bottom"/>
            <w:hideMark/>
          </w:tcPr>
          <w:p w14:paraId="49C5D53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(-26.99)</w:t>
            </w:r>
          </w:p>
        </w:tc>
        <w:tc>
          <w:tcPr>
            <w:tcW w:w="2290" w:type="dxa"/>
            <w:tcBorders>
              <w:top w:val="nil"/>
              <w:left w:val="nil"/>
              <w:bottom w:val="nil"/>
              <w:right w:val="nil"/>
            </w:tcBorders>
            <w:shd w:val="clear" w:color="auto" w:fill="auto"/>
            <w:noWrap/>
            <w:vAlign w:val="bottom"/>
            <w:hideMark/>
          </w:tcPr>
          <w:p w14:paraId="459106D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(-21.34)</w:t>
            </w:r>
          </w:p>
        </w:tc>
      </w:tr>
      <w:tr w:rsidR="00FC14A5" w:rsidRPr="005A566B" w14:paraId="06057C99" w14:textId="77777777" w:rsidTr="00FC14A5">
        <w:trPr>
          <w:trHeight w:val="211"/>
        </w:trPr>
        <w:tc>
          <w:tcPr>
            <w:tcW w:w="1990" w:type="dxa"/>
            <w:tcBorders>
              <w:top w:val="nil"/>
              <w:left w:val="nil"/>
              <w:bottom w:val="nil"/>
              <w:right w:val="nil"/>
            </w:tcBorders>
            <w:shd w:val="clear" w:color="auto" w:fill="auto"/>
            <w:noWrap/>
            <w:vAlign w:val="bottom"/>
            <w:hideMark/>
          </w:tcPr>
          <w:p w14:paraId="6992500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AGE</w:t>
            </w:r>
            <w:r w:rsidRPr="005A566B">
              <w:rPr>
                <w:rFonts w:ascii="Arial" w:eastAsia="Times New Roman" w:hAnsi="Arial" w:cs="Arial"/>
                <w:sz w:val="10"/>
                <w:lang w:eastAsia="en-GB"/>
              </w:rPr>
              <w:t xml:space="preserve"> </w:t>
            </w:r>
          </w:p>
        </w:tc>
        <w:tc>
          <w:tcPr>
            <w:tcW w:w="1896" w:type="dxa"/>
            <w:tcBorders>
              <w:top w:val="nil"/>
              <w:left w:val="nil"/>
              <w:bottom w:val="nil"/>
              <w:right w:val="nil"/>
            </w:tcBorders>
            <w:shd w:val="clear" w:color="auto" w:fill="auto"/>
            <w:noWrap/>
            <w:vAlign w:val="bottom"/>
            <w:hideMark/>
          </w:tcPr>
          <w:p w14:paraId="2D16234C"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4554D7E7"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62EB82B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-0.0908***</w:t>
            </w:r>
          </w:p>
        </w:tc>
        <w:tc>
          <w:tcPr>
            <w:tcW w:w="2290" w:type="dxa"/>
            <w:tcBorders>
              <w:top w:val="nil"/>
              <w:left w:val="nil"/>
              <w:bottom w:val="nil"/>
              <w:right w:val="nil"/>
            </w:tcBorders>
            <w:shd w:val="clear" w:color="auto" w:fill="auto"/>
            <w:noWrap/>
            <w:vAlign w:val="bottom"/>
            <w:hideMark/>
          </w:tcPr>
          <w:p w14:paraId="0002C9D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-0.0008***</w:t>
            </w:r>
          </w:p>
        </w:tc>
      </w:tr>
      <w:tr w:rsidR="00FC14A5" w:rsidRPr="005A566B" w14:paraId="6528500A" w14:textId="77777777" w:rsidTr="00FC14A5">
        <w:trPr>
          <w:trHeight w:val="211"/>
        </w:trPr>
        <w:tc>
          <w:tcPr>
            <w:tcW w:w="1990" w:type="dxa"/>
            <w:tcBorders>
              <w:top w:val="nil"/>
              <w:left w:val="nil"/>
              <w:bottom w:val="nil"/>
              <w:right w:val="nil"/>
            </w:tcBorders>
            <w:shd w:val="clear" w:color="auto" w:fill="auto"/>
            <w:noWrap/>
            <w:vAlign w:val="bottom"/>
            <w:hideMark/>
          </w:tcPr>
          <w:p w14:paraId="1B899E00"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hideMark/>
          </w:tcPr>
          <w:p w14:paraId="097F31F4"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6FAC10BD"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370B1E3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(-35.22)</w:t>
            </w:r>
          </w:p>
        </w:tc>
        <w:tc>
          <w:tcPr>
            <w:tcW w:w="2290" w:type="dxa"/>
            <w:tcBorders>
              <w:top w:val="nil"/>
              <w:left w:val="nil"/>
              <w:bottom w:val="nil"/>
              <w:right w:val="nil"/>
            </w:tcBorders>
            <w:shd w:val="clear" w:color="auto" w:fill="auto"/>
            <w:noWrap/>
            <w:vAlign w:val="bottom"/>
            <w:hideMark/>
          </w:tcPr>
          <w:p w14:paraId="4093120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(-4.68)</w:t>
            </w:r>
          </w:p>
        </w:tc>
      </w:tr>
      <w:tr w:rsidR="00FC14A5" w:rsidRPr="005A566B" w14:paraId="262198C3" w14:textId="77777777" w:rsidTr="00FC14A5">
        <w:trPr>
          <w:trHeight w:val="211"/>
        </w:trPr>
        <w:tc>
          <w:tcPr>
            <w:tcW w:w="1990" w:type="dxa"/>
            <w:tcBorders>
              <w:top w:val="nil"/>
              <w:left w:val="nil"/>
              <w:bottom w:val="nil"/>
              <w:right w:val="nil"/>
            </w:tcBorders>
            <w:shd w:val="clear" w:color="auto" w:fill="auto"/>
            <w:noWrap/>
            <w:vAlign w:val="bottom"/>
            <w:hideMark/>
          </w:tcPr>
          <w:p w14:paraId="56938F3C"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CR</w:t>
            </w:r>
          </w:p>
        </w:tc>
        <w:tc>
          <w:tcPr>
            <w:tcW w:w="1896" w:type="dxa"/>
            <w:tcBorders>
              <w:top w:val="nil"/>
              <w:left w:val="nil"/>
              <w:bottom w:val="nil"/>
              <w:right w:val="nil"/>
            </w:tcBorders>
            <w:shd w:val="clear" w:color="auto" w:fill="auto"/>
            <w:noWrap/>
            <w:vAlign w:val="bottom"/>
            <w:hideMark/>
          </w:tcPr>
          <w:p w14:paraId="75EAD772"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4D582AC5"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4A6DB93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-0.0072***</w:t>
            </w:r>
          </w:p>
        </w:tc>
        <w:tc>
          <w:tcPr>
            <w:tcW w:w="2290" w:type="dxa"/>
            <w:tcBorders>
              <w:top w:val="nil"/>
              <w:left w:val="nil"/>
              <w:bottom w:val="nil"/>
              <w:right w:val="nil"/>
            </w:tcBorders>
            <w:shd w:val="clear" w:color="auto" w:fill="auto"/>
            <w:noWrap/>
            <w:vAlign w:val="bottom"/>
            <w:hideMark/>
          </w:tcPr>
          <w:p w14:paraId="6E67FB5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-0.1352***</w:t>
            </w:r>
          </w:p>
        </w:tc>
      </w:tr>
      <w:tr w:rsidR="00FC14A5" w:rsidRPr="005A566B" w14:paraId="04B95DDB" w14:textId="77777777" w:rsidTr="00FC14A5">
        <w:trPr>
          <w:trHeight w:val="211"/>
        </w:trPr>
        <w:tc>
          <w:tcPr>
            <w:tcW w:w="1990" w:type="dxa"/>
            <w:tcBorders>
              <w:top w:val="nil"/>
              <w:left w:val="nil"/>
              <w:bottom w:val="nil"/>
              <w:right w:val="nil"/>
            </w:tcBorders>
            <w:shd w:val="clear" w:color="auto" w:fill="auto"/>
            <w:noWrap/>
            <w:vAlign w:val="bottom"/>
            <w:hideMark/>
          </w:tcPr>
          <w:p w14:paraId="71EE432F"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hideMark/>
          </w:tcPr>
          <w:p w14:paraId="5C9453D0"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41604893"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25CD0C7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(-16.07)</w:t>
            </w:r>
          </w:p>
        </w:tc>
        <w:tc>
          <w:tcPr>
            <w:tcW w:w="2290" w:type="dxa"/>
            <w:tcBorders>
              <w:top w:val="nil"/>
              <w:left w:val="nil"/>
              <w:bottom w:val="nil"/>
              <w:right w:val="nil"/>
            </w:tcBorders>
            <w:shd w:val="clear" w:color="auto" w:fill="auto"/>
            <w:noWrap/>
            <w:vAlign w:val="bottom"/>
            <w:hideMark/>
          </w:tcPr>
          <w:p w14:paraId="4663FBA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(-29.49)</w:t>
            </w:r>
          </w:p>
        </w:tc>
      </w:tr>
      <w:tr w:rsidR="00FC14A5" w:rsidRPr="005A566B" w14:paraId="03F27DBA" w14:textId="77777777" w:rsidTr="00FC14A5">
        <w:trPr>
          <w:trHeight w:val="211"/>
        </w:trPr>
        <w:tc>
          <w:tcPr>
            <w:tcW w:w="1990" w:type="dxa"/>
            <w:tcBorders>
              <w:top w:val="nil"/>
              <w:left w:val="nil"/>
              <w:bottom w:val="nil"/>
              <w:right w:val="nil"/>
            </w:tcBorders>
            <w:shd w:val="clear" w:color="auto" w:fill="auto"/>
            <w:noWrap/>
            <w:vAlign w:val="bottom"/>
            <w:hideMark/>
          </w:tcPr>
          <w:p w14:paraId="56525287"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FLEV</w:t>
            </w:r>
            <w:r w:rsidRPr="005A566B">
              <w:rPr>
                <w:rFonts w:ascii="Arial" w:eastAsia="Times New Roman" w:hAnsi="Arial" w:cs="Arial"/>
                <w:sz w:val="10"/>
                <w:lang w:eastAsia="en-GB"/>
              </w:rPr>
              <w:t xml:space="preserve"> </w:t>
            </w:r>
          </w:p>
        </w:tc>
        <w:tc>
          <w:tcPr>
            <w:tcW w:w="1896" w:type="dxa"/>
            <w:tcBorders>
              <w:top w:val="nil"/>
              <w:left w:val="nil"/>
              <w:bottom w:val="nil"/>
              <w:right w:val="nil"/>
            </w:tcBorders>
            <w:shd w:val="clear" w:color="auto" w:fill="auto"/>
            <w:noWrap/>
            <w:vAlign w:val="bottom"/>
            <w:hideMark/>
          </w:tcPr>
          <w:p w14:paraId="2F34F92F"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1E484862"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560D95F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-0.0149***</w:t>
            </w:r>
          </w:p>
        </w:tc>
        <w:tc>
          <w:tcPr>
            <w:tcW w:w="2290" w:type="dxa"/>
            <w:tcBorders>
              <w:top w:val="nil"/>
              <w:left w:val="nil"/>
              <w:bottom w:val="nil"/>
              <w:right w:val="nil"/>
            </w:tcBorders>
            <w:shd w:val="clear" w:color="auto" w:fill="auto"/>
            <w:noWrap/>
            <w:vAlign w:val="bottom"/>
            <w:hideMark/>
          </w:tcPr>
          <w:p w14:paraId="623E1D2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-0.0423***</w:t>
            </w:r>
          </w:p>
        </w:tc>
      </w:tr>
      <w:tr w:rsidR="00FC14A5" w:rsidRPr="005A566B" w14:paraId="0C7A44C4" w14:textId="77777777" w:rsidTr="00FC14A5">
        <w:trPr>
          <w:trHeight w:val="211"/>
        </w:trPr>
        <w:tc>
          <w:tcPr>
            <w:tcW w:w="1990" w:type="dxa"/>
            <w:tcBorders>
              <w:top w:val="nil"/>
              <w:left w:val="nil"/>
              <w:bottom w:val="nil"/>
              <w:right w:val="nil"/>
            </w:tcBorders>
            <w:shd w:val="clear" w:color="auto" w:fill="auto"/>
            <w:noWrap/>
            <w:vAlign w:val="bottom"/>
            <w:hideMark/>
          </w:tcPr>
          <w:p w14:paraId="08CE0065"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hideMark/>
          </w:tcPr>
          <w:p w14:paraId="61F1E287"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178C4BF5"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7C4AB39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(-98.36)</w:t>
            </w:r>
          </w:p>
        </w:tc>
        <w:tc>
          <w:tcPr>
            <w:tcW w:w="2290" w:type="dxa"/>
            <w:tcBorders>
              <w:top w:val="nil"/>
              <w:left w:val="nil"/>
              <w:bottom w:val="nil"/>
              <w:right w:val="nil"/>
            </w:tcBorders>
            <w:shd w:val="clear" w:color="auto" w:fill="auto"/>
            <w:noWrap/>
            <w:vAlign w:val="bottom"/>
            <w:hideMark/>
          </w:tcPr>
          <w:p w14:paraId="58D8B3E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(-22.13)</w:t>
            </w:r>
          </w:p>
        </w:tc>
      </w:tr>
      <w:tr w:rsidR="00FC14A5" w:rsidRPr="005A566B" w14:paraId="3CD411A4" w14:textId="77777777" w:rsidTr="00FC14A5">
        <w:trPr>
          <w:trHeight w:val="211"/>
        </w:trPr>
        <w:tc>
          <w:tcPr>
            <w:tcW w:w="1990" w:type="dxa"/>
            <w:tcBorders>
              <w:top w:val="nil"/>
              <w:left w:val="nil"/>
              <w:bottom w:val="nil"/>
              <w:right w:val="nil"/>
            </w:tcBorders>
            <w:shd w:val="clear" w:color="auto" w:fill="auto"/>
            <w:noWrap/>
            <w:vAlign w:val="bottom"/>
            <w:hideMark/>
          </w:tcPr>
          <w:p w14:paraId="49ACCE3F"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ATAN</w:t>
            </w:r>
            <w:r w:rsidRPr="005A566B">
              <w:rPr>
                <w:rFonts w:ascii="Arial" w:eastAsia="Times New Roman" w:hAnsi="Arial" w:cs="Arial"/>
                <w:sz w:val="10"/>
                <w:lang w:eastAsia="en-GB"/>
              </w:rPr>
              <w:t xml:space="preserve"> </w:t>
            </w:r>
          </w:p>
        </w:tc>
        <w:tc>
          <w:tcPr>
            <w:tcW w:w="1896" w:type="dxa"/>
            <w:tcBorders>
              <w:top w:val="nil"/>
              <w:left w:val="nil"/>
              <w:bottom w:val="nil"/>
              <w:right w:val="nil"/>
            </w:tcBorders>
            <w:shd w:val="clear" w:color="auto" w:fill="auto"/>
            <w:noWrap/>
            <w:vAlign w:val="bottom"/>
            <w:hideMark/>
          </w:tcPr>
          <w:p w14:paraId="057125D3"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60C4C872"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784AB17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-0.0018***</w:t>
            </w:r>
          </w:p>
        </w:tc>
        <w:tc>
          <w:tcPr>
            <w:tcW w:w="2290" w:type="dxa"/>
            <w:tcBorders>
              <w:top w:val="nil"/>
              <w:left w:val="nil"/>
              <w:bottom w:val="nil"/>
              <w:right w:val="nil"/>
            </w:tcBorders>
            <w:shd w:val="clear" w:color="auto" w:fill="auto"/>
            <w:noWrap/>
            <w:vAlign w:val="bottom"/>
            <w:hideMark/>
          </w:tcPr>
          <w:p w14:paraId="64877D0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-0.0088***</w:t>
            </w:r>
          </w:p>
        </w:tc>
      </w:tr>
      <w:tr w:rsidR="00FC14A5" w:rsidRPr="005A566B" w14:paraId="482DE98B" w14:textId="77777777" w:rsidTr="00FC14A5">
        <w:trPr>
          <w:trHeight w:val="211"/>
        </w:trPr>
        <w:tc>
          <w:tcPr>
            <w:tcW w:w="1990" w:type="dxa"/>
            <w:tcBorders>
              <w:top w:val="nil"/>
              <w:left w:val="nil"/>
              <w:bottom w:val="nil"/>
              <w:right w:val="nil"/>
            </w:tcBorders>
            <w:shd w:val="clear" w:color="auto" w:fill="auto"/>
            <w:noWrap/>
            <w:vAlign w:val="bottom"/>
            <w:hideMark/>
          </w:tcPr>
          <w:p w14:paraId="2EB59ED7"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hideMark/>
          </w:tcPr>
          <w:p w14:paraId="089B64EB"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4C7B316F"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2D2453A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(-9.09)</w:t>
            </w:r>
          </w:p>
        </w:tc>
        <w:tc>
          <w:tcPr>
            <w:tcW w:w="2290" w:type="dxa"/>
            <w:tcBorders>
              <w:top w:val="nil"/>
              <w:left w:val="nil"/>
              <w:bottom w:val="nil"/>
              <w:right w:val="nil"/>
            </w:tcBorders>
            <w:shd w:val="clear" w:color="auto" w:fill="auto"/>
            <w:noWrap/>
            <w:vAlign w:val="bottom"/>
            <w:hideMark/>
          </w:tcPr>
          <w:p w14:paraId="65AA0FD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(-6.16)</w:t>
            </w:r>
          </w:p>
        </w:tc>
      </w:tr>
      <w:tr w:rsidR="00FC14A5" w:rsidRPr="005A566B" w14:paraId="47FFE389" w14:textId="77777777" w:rsidTr="00FC14A5">
        <w:trPr>
          <w:trHeight w:val="211"/>
        </w:trPr>
        <w:tc>
          <w:tcPr>
            <w:tcW w:w="1990" w:type="dxa"/>
            <w:tcBorders>
              <w:top w:val="nil"/>
              <w:left w:val="nil"/>
              <w:bottom w:val="nil"/>
              <w:right w:val="nil"/>
            </w:tcBorders>
            <w:shd w:val="clear" w:color="auto" w:fill="auto"/>
            <w:noWrap/>
            <w:vAlign w:val="bottom"/>
            <w:hideMark/>
          </w:tcPr>
          <w:p w14:paraId="246555CF"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GROWTH</w:t>
            </w:r>
            <w:r w:rsidRPr="005A566B">
              <w:rPr>
                <w:rFonts w:ascii="Arial" w:eastAsia="Times New Roman" w:hAnsi="Arial" w:cs="Arial"/>
                <w:sz w:val="10"/>
                <w:lang w:eastAsia="en-GB"/>
              </w:rPr>
              <w:t xml:space="preserve"> </w:t>
            </w:r>
          </w:p>
        </w:tc>
        <w:tc>
          <w:tcPr>
            <w:tcW w:w="1896" w:type="dxa"/>
            <w:tcBorders>
              <w:top w:val="nil"/>
              <w:left w:val="nil"/>
              <w:bottom w:val="nil"/>
              <w:right w:val="nil"/>
            </w:tcBorders>
            <w:shd w:val="clear" w:color="auto" w:fill="auto"/>
            <w:noWrap/>
            <w:vAlign w:val="bottom"/>
            <w:hideMark/>
          </w:tcPr>
          <w:p w14:paraId="5E99B7A5"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4A271FCA"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59FB62F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0.0001***</w:t>
            </w:r>
          </w:p>
        </w:tc>
        <w:tc>
          <w:tcPr>
            <w:tcW w:w="2290" w:type="dxa"/>
            <w:tcBorders>
              <w:top w:val="nil"/>
              <w:left w:val="nil"/>
              <w:bottom w:val="nil"/>
              <w:right w:val="nil"/>
            </w:tcBorders>
            <w:shd w:val="clear" w:color="auto" w:fill="auto"/>
            <w:noWrap/>
            <w:vAlign w:val="bottom"/>
            <w:hideMark/>
          </w:tcPr>
          <w:p w14:paraId="1C10B51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-0.0002***</w:t>
            </w:r>
          </w:p>
        </w:tc>
      </w:tr>
      <w:tr w:rsidR="00FC14A5" w:rsidRPr="005A566B" w14:paraId="20759C67" w14:textId="77777777" w:rsidTr="00FC14A5">
        <w:trPr>
          <w:trHeight w:val="211"/>
        </w:trPr>
        <w:tc>
          <w:tcPr>
            <w:tcW w:w="1990" w:type="dxa"/>
            <w:tcBorders>
              <w:top w:val="nil"/>
              <w:left w:val="nil"/>
              <w:bottom w:val="nil"/>
              <w:right w:val="nil"/>
            </w:tcBorders>
            <w:shd w:val="clear" w:color="auto" w:fill="auto"/>
            <w:noWrap/>
            <w:vAlign w:val="bottom"/>
            <w:hideMark/>
          </w:tcPr>
          <w:p w14:paraId="3EC8D0BE"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hideMark/>
          </w:tcPr>
          <w:p w14:paraId="38FCD7EC"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hideMark/>
          </w:tcPr>
          <w:p w14:paraId="56F45CD6"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hideMark/>
          </w:tcPr>
          <w:p w14:paraId="779A715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(4.36)</w:t>
            </w:r>
          </w:p>
        </w:tc>
        <w:tc>
          <w:tcPr>
            <w:tcW w:w="2290" w:type="dxa"/>
            <w:tcBorders>
              <w:top w:val="nil"/>
              <w:left w:val="nil"/>
              <w:bottom w:val="nil"/>
              <w:right w:val="nil"/>
            </w:tcBorders>
            <w:shd w:val="clear" w:color="auto" w:fill="auto"/>
            <w:noWrap/>
            <w:vAlign w:val="bottom"/>
            <w:hideMark/>
          </w:tcPr>
          <w:p w14:paraId="7AFB944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(-9.52)</w:t>
            </w:r>
          </w:p>
        </w:tc>
      </w:tr>
      <w:tr w:rsidR="00FC14A5" w:rsidRPr="005A566B" w14:paraId="59331EE0" w14:textId="77777777" w:rsidTr="00FC14A5">
        <w:trPr>
          <w:trHeight w:val="211"/>
        </w:trPr>
        <w:tc>
          <w:tcPr>
            <w:tcW w:w="1990" w:type="dxa"/>
            <w:tcBorders>
              <w:top w:val="nil"/>
              <w:left w:val="nil"/>
              <w:bottom w:val="nil"/>
              <w:right w:val="nil"/>
            </w:tcBorders>
            <w:shd w:val="clear" w:color="auto" w:fill="auto"/>
            <w:noWrap/>
            <w:vAlign w:val="bottom"/>
          </w:tcPr>
          <w:p w14:paraId="5AFDDF14"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tcPr>
          <w:p w14:paraId="5863DCED"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tcPr>
          <w:p w14:paraId="0A1F6810"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tcPr>
          <w:p w14:paraId="71E7D9DE"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nil"/>
              <w:left w:val="nil"/>
              <w:bottom w:val="nil"/>
              <w:right w:val="nil"/>
            </w:tcBorders>
            <w:shd w:val="clear" w:color="auto" w:fill="auto"/>
            <w:noWrap/>
            <w:vAlign w:val="bottom"/>
          </w:tcPr>
          <w:p w14:paraId="669E125B"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0ED7C623" w14:textId="77777777" w:rsidTr="00FC14A5">
        <w:trPr>
          <w:trHeight w:val="211"/>
        </w:trPr>
        <w:tc>
          <w:tcPr>
            <w:tcW w:w="1990" w:type="dxa"/>
            <w:tcBorders>
              <w:top w:val="nil"/>
              <w:left w:val="nil"/>
              <w:bottom w:val="nil"/>
              <w:right w:val="nil"/>
            </w:tcBorders>
            <w:shd w:val="clear" w:color="auto" w:fill="auto"/>
            <w:noWrap/>
            <w:vAlign w:val="bottom"/>
            <w:hideMark/>
          </w:tcPr>
          <w:p w14:paraId="19344DD8" w14:textId="77777777" w:rsidR="00FC14A5" w:rsidRPr="005A566B" w:rsidRDefault="00FC14A5" w:rsidP="00FC14A5">
            <w:pPr>
              <w:spacing w:after="0" w:line="240" w:lineRule="auto"/>
              <w:rPr>
                <w:rFonts w:ascii="Arial" w:eastAsia="Times New Roman" w:hAnsi="Arial" w:cs="Arial"/>
                <w:lang w:eastAsia="en-GB"/>
              </w:rPr>
            </w:pPr>
            <w:bookmarkStart w:id="286" w:name="_Hlk500523791"/>
            <w:r w:rsidRPr="005A566B">
              <w:rPr>
                <w:rFonts w:ascii="Arial" w:eastAsia="Times New Roman" w:hAnsi="Arial" w:cs="Arial"/>
                <w:lang w:eastAsia="en-GB"/>
              </w:rPr>
              <w:t>INDUSTRY</w:t>
            </w:r>
          </w:p>
        </w:tc>
        <w:tc>
          <w:tcPr>
            <w:tcW w:w="1896" w:type="dxa"/>
            <w:tcBorders>
              <w:top w:val="nil"/>
              <w:left w:val="nil"/>
              <w:bottom w:val="nil"/>
              <w:right w:val="nil"/>
            </w:tcBorders>
            <w:shd w:val="clear" w:color="auto" w:fill="auto"/>
            <w:noWrap/>
            <w:vAlign w:val="bottom"/>
            <w:hideMark/>
          </w:tcPr>
          <w:p w14:paraId="069B227A" w14:textId="77777777" w:rsidR="00FC14A5" w:rsidRPr="005A566B" w:rsidRDefault="00FC14A5" w:rsidP="00FC14A5">
            <w:pPr>
              <w:spacing w:after="0" w:line="240" w:lineRule="auto"/>
              <w:jc w:val="center"/>
              <w:rPr>
                <w:rFonts w:ascii="Arial" w:eastAsia="Times New Roman" w:hAnsi="Arial" w:cs="Arial"/>
                <w:lang w:eastAsia="en-GB"/>
              </w:rPr>
            </w:pPr>
            <w:bookmarkStart w:id="287" w:name="OLE_LINK211"/>
            <w:bookmarkStart w:id="288" w:name="OLE_LINK212"/>
            <w:bookmarkStart w:id="289" w:name="OLE_LINK213"/>
            <w:bookmarkStart w:id="290" w:name="OLE_LINK214"/>
            <w:r w:rsidRPr="005A566B">
              <w:rPr>
                <w:rFonts w:ascii="Arial" w:eastAsia="Times New Roman" w:hAnsi="Arial" w:cs="Arial"/>
                <w:lang w:eastAsia="en-GB"/>
              </w:rPr>
              <w:t>YES</w:t>
            </w:r>
            <w:bookmarkEnd w:id="287"/>
            <w:bookmarkEnd w:id="288"/>
            <w:bookmarkEnd w:id="289"/>
            <w:bookmarkEnd w:id="290"/>
          </w:p>
        </w:tc>
        <w:tc>
          <w:tcPr>
            <w:tcW w:w="1820" w:type="dxa"/>
            <w:tcBorders>
              <w:top w:val="nil"/>
              <w:left w:val="nil"/>
              <w:bottom w:val="nil"/>
              <w:right w:val="nil"/>
            </w:tcBorders>
            <w:shd w:val="clear" w:color="auto" w:fill="auto"/>
            <w:noWrap/>
            <w:vAlign w:val="bottom"/>
            <w:hideMark/>
          </w:tcPr>
          <w:p w14:paraId="08864EF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2136" w:type="dxa"/>
            <w:tcBorders>
              <w:top w:val="nil"/>
              <w:left w:val="nil"/>
              <w:bottom w:val="nil"/>
              <w:right w:val="nil"/>
            </w:tcBorders>
            <w:shd w:val="clear" w:color="auto" w:fill="auto"/>
            <w:noWrap/>
            <w:vAlign w:val="bottom"/>
            <w:hideMark/>
          </w:tcPr>
          <w:p w14:paraId="2390B08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2290" w:type="dxa"/>
            <w:tcBorders>
              <w:top w:val="nil"/>
              <w:left w:val="nil"/>
              <w:bottom w:val="nil"/>
              <w:right w:val="nil"/>
            </w:tcBorders>
            <w:shd w:val="clear" w:color="auto" w:fill="auto"/>
            <w:noWrap/>
            <w:vAlign w:val="bottom"/>
            <w:hideMark/>
          </w:tcPr>
          <w:p w14:paraId="00D1E20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FC14A5" w:rsidRPr="005A566B" w14:paraId="12979839" w14:textId="77777777" w:rsidTr="00FC14A5">
        <w:trPr>
          <w:trHeight w:val="211"/>
        </w:trPr>
        <w:tc>
          <w:tcPr>
            <w:tcW w:w="1990" w:type="dxa"/>
            <w:tcBorders>
              <w:top w:val="nil"/>
              <w:left w:val="nil"/>
              <w:bottom w:val="nil"/>
              <w:right w:val="nil"/>
            </w:tcBorders>
            <w:shd w:val="clear" w:color="auto" w:fill="auto"/>
            <w:noWrap/>
            <w:vAlign w:val="bottom"/>
          </w:tcPr>
          <w:p w14:paraId="06D8DFAC"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tcPr>
          <w:p w14:paraId="490975E1"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tcPr>
          <w:p w14:paraId="0AFC1744"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tcPr>
          <w:p w14:paraId="04153152"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nil"/>
              <w:left w:val="nil"/>
              <w:bottom w:val="nil"/>
              <w:right w:val="nil"/>
            </w:tcBorders>
            <w:shd w:val="clear" w:color="auto" w:fill="auto"/>
            <w:noWrap/>
            <w:vAlign w:val="bottom"/>
          </w:tcPr>
          <w:p w14:paraId="3C11D14F" w14:textId="77777777" w:rsidR="00FC14A5" w:rsidRPr="005A566B" w:rsidRDefault="00FC14A5" w:rsidP="00FC14A5">
            <w:pPr>
              <w:spacing w:after="0" w:line="240" w:lineRule="auto"/>
              <w:jc w:val="center"/>
              <w:rPr>
                <w:rFonts w:ascii="Arial" w:eastAsia="Times New Roman" w:hAnsi="Arial" w:cs="Arial"/>
                <w:lang w:eastAsia="en-GB"/>
              </w:rPr>
            </w:pPr>
          </w:p>
        </w:tc>
      </w:tr>
      <w:bookmarkEnd w:id="286"/>
      <w:tr w:rsidR="00FC14A5" w:rsidRPr="005A566B" w14:paraId="5A923FC1" w14:textId="77777777" w:rsidTr="00FC14A5">
        <w:trPr>
          <w:trHeight w:val="211"/>
        </w:trPr>
        <w:tc>
          <w:tcPr>
            <w:tcW w:w="1990" w:type="dxa"/>
            <w:tcBorders>
              <w:top w:val="nil"/>
              <w:left w:val="nil"/>
              <w:bottom w:val="nil"/>
              <w:right w:val="nil"/>
            </w:tcBorders>
            <w:shd w:val="clear" w:color="auto" w:fill="auto"/>
            <w:noWrap/>
            <w:vAlign w:val="bottom"/>
            <w:hideMark/>
          </w:tcPr>
          <w:p w14:paraId="5CB771FC"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YEAR</w:t>
            </w:r>
          </w:p>
        </w:tc>
        <w:tc>
          <w:tcPr>
            <w:tcW w:w="1896" w:type="dxa"/>
            <w:tcBorders>
              <w:top w:val="nil"/>
              <w:left w:val="nil"/>
              <w:bottom w:val="nil"/>
              <w:right w:val="nil"/>
            </w:tcBorders>
            <w:shd w:val="clear" w:color="auto" w:fill="auto"/>
            <w:noWrap/>
            <w:vAlign w:val="bottom"/>
            <w:hideMark/>
          </w:tcPr>
          <w:p w14:paraId="049CC1F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820" w:type="dxa"/>
            <w:tcBorders>
              <w:top w:val="nil"/>
              <w:left w:val="nil"/>
              <w:bottom w:val="nil"/>
              <w:right w:val="nil"/>
            </w:tcBorders>
            <w:shd w:val="clear" w:color="auto" w:fill="auto"/>
            <w:noWrap/>
            <w:vAlign w:val="bottom"/>
            <w:hideMark/>
          </w:tcPr>
          <w:p w14:paraId="0CCAE0E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2136" w:type="dxa"/>
            <w:tcBorders>
              <w:top w:val="nil"/>
              <w:left w:val="nil"/>
              <w:bottom w:val="nil"/>
              <w:right w:val="nil"/>
            </w:tcBorders>
            <w:shd w:val="clear" w:color="auto" w:fill="auto"/>
            <w:noWrap/>
            <w:vAlign w:val="bottom"/>
            <w:hideMark/>
          </w:tcPr>
          <w:p w14:paraId="5E22B72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2290" w:type="dxa"/>
            <w:tcBorders>
              <w:top w:val="nil"/>
              <w:left w:val="nil"/>
              <w:bottom w:val="nil"/>
              <w:right w:val="nil"/>
            </w:tcBorders>
            <w:shd w:val="clear" w:color="auto" w:fill="auto"/>
            <w:noWrap/>
            <w:vAlign w:val="bottom"/>
            <w:hideMark/>
          </w:tcPr>
          <w:p w14:paraId="74D9976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FC14A5" w:rsidRPr="005A566B" w14:paraId="33643131" w14:textId="77777777" w:rsidTr="00FC14A5">
        <w:trPr>
          <w:trHeight w:val="211"/>
        </w:trPr>
        <w:tc>
          <w:tcPr>
            <w:tcW w:w="1990" w:type="dxa"/>
            <w:tcBorders>
              <w:top w:val="nil"/>
              <w:left w:val="nil"/>
              <w:bottom w:val="nil"/>
              <w:right w:val="nil"/>
            </w:tcBorders>
            <w:shd w:val="clear" w:color="auto" w:fill="auto"/>
            <w:noWrap/>
            <w:vAlign w:val="bottom"/>
          </w:tcPr>
          <w:p w14:paraId="37A4BA56"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tcPr>
          <w:p w14:paraId="458D4C4F"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tcPr>
          <w:p w14:paraId="58B54F16"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tcPr>
          <w:p w14:paraId="3EA7D768"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nil"/>
              <w:left w:val="nil"/>
              <w:bottom w:val="nil"/>
              <w:right w:val="nil"/>
            </w:tcBorders>
            <w:shd w:val="clear" w:color="auto" w:fill="auto"/>
            <w:noWrap/>
            <w:vAlign w:val="bottom"/>
          </w:tcPr>
          <w:p w14:paraId="47FF9782"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52B5CC39" w14:textId="77777777" w:rsidTr="00FC14A5">
        <w:trPr>
          <w:trHeight w:val="211"/>
        </w:trPr>
        <w:tc>
          <w:tcPr>
            <w:tcW w:w="1990" w:type="dxa"/>
            <w:tcBorders>
              <w:top w:val="nil"/>
              <w:left w:val="nil"/>
              <w:bottom w:val="nil"/>
              <w:right w:val="nil"/>
            </w:tcBorders>
            <w:shd w:val="clear" w:color="auto" w:fill="auto"/>
            <w:noWrap/>
            <w:vAlign w:val="bottom"/>
            <w:hideMark/>
          </w:tcPr>
          <w:p w14:paraId="25BFEBE9" w14:textId="77777777" w:rsidR="00FC14A5" w:rsidRPr="005A566B" w:rsidRDefault="00FC14A5" w:rsidP="00FC14A5">
            <w:pPr>
              <w:spacing w:after="0" w:line="240" w:lineRule="auto"/>
              <w:rPr>
                <w:rFonts w:ascii="Arial" w:eastAsia="Times New Roman" w:hAnsi="Arial" w:cs="Arial"/>
                <w:lang w:eastAsia="en-GB"/>
              </w:rPr>
            </w:pPr>
            <w:bookmarkStart w:id="291" w:name="_Hlk511135571"/>
            <w:r w:rsidRPr="005A566B">
              <w:rPr>
                <w:rFonts w:ascii="Arial" w:eastAsia="Times New Roman" w:hAnsi="Arial" w:cs="Arial"/>
                <w:lang w:eastAsia="en-GB"/>
              </w:rPr>
              <w:t>OBSERVATIONS</w:t>
            </w:r>
          </w:p>
        </w:tc>
        <w:tc>
          <w:tcPr>
            <w:tcW w:w="1896" w:type="dxa"/>
            <w:tcBorders>
              <w:top w:val="nil"/>
              <w:left w:val="nil"/>
              <w:bottom w:val="nil"/>
              <w:right w:val="nil"/>
            </w:tcBorders>
            <w:shd w:val="clear" w:color="auto" w:fill="auto"/>
            <w:noWrap/>
            <w:vAlign w:val="bottom"/>
            <w:hideMark/>
          </w:tcPr>
          <w:p w14:paraId="4ECA0B95" w14:textId="6CA4793A" w:rsidR="00FC14A5"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820" w:type="dxa"/>
            <w:tcBorders>
              <w:top w:val="nil"/>
              <w:left w:val="nil"/>
              <w:bottom w:val="nil"/>
              <w:right w:val="nil"/>
            </w:tcBorders>
            <w:shd w:val="clear" w:color="auto" w:fill="auto"/>
            <w:noWrap/>
            <w:vAlign w:val="bottom"/>
            <w:hideMark/>
          </w:tcPr>
          <w:p w14:paraId="382B26F9" w14:textId="0372C019" w:rsidR="00FC14A5"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2136" w:type="dxa"/>
            <w:tcBorders>
              <w:top w:val="nil"/>
              <w:left w:val="nil"/>
              <w:bottom w:val="nil"/>
              <w:right w:val="nil"/>
            </w:tcBorders>
            <w:shd w:val="clear" w:color="auto" w:fill="auto"/>
            <w:noWrap/>
            <w:vAlign w:val="bottom"/>
            <w:hideMark/>
          </w:tcPr>
          <w:p w14:paraId="6A83021C" w14:textId="7CCB88E6" w:rsidR="00FC14A5"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2290" w:type="dxa"/>
            <w:tcBorders>
              <w:top w:val="nil"/>
              <w:left w:val="nil"/>
              <w:bottom w:val="nil"/>
              <w:right w:val="nil"/>
            </w:tcBorders>
            <w:shd w:val="clear" w:color="auto" w:fill="auto"/>
            <w:noWrap/>
            <w:vAlign w:val="bottom"/>
            <w:hideMark/>
          </w:tcPr>
          <w:p w14:paraId="3EF4DC57" w14:textId="274FCFE0" w:rsidR="00FC14A5"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r>
      <w:bookmarkEnd w:id="291"/>
      <w:tr w:rsidR="00FC14A5" w:rsidRPr="005A566B" w14:paraId="58250DA0" w14:textId="77777777" w:rsidTr="00FC14A5">
        <w:trPr>
          <w:trHeight w:val="211"/>
        </w:trPr>
        <w:tc>
          <w:tcPr>
            <w:tcW w:w="1990" w:type="dxa"/>
            <w:tcBorders>
              <w:top w:val="nil"/>
              <w:left w:val="nil"/>
              <w:bottom w:val="nil"/>
              <w:right w:val="nil"/>
            </w:tcBorders>
            <w:shd w:val="clear" w:color="auto" w:fill="auto"/>
            <w:noWrap/>
            <w:vAlign w:val="bottom"/>
          </w:tcPr>
          <w:p w14:paraId="23687FA6"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tcPr>
          <w:p w14:paraId="7AF5CE14"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tcPr>
          <w:p w14:paraId="42EFE01C"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tcPr>
          <w:p w14:paraId="07755BFB"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nil"/>
              <w:left w:val="nil"/>
              <w:bottom w:val="nil"/>
              <w:right w:val="nil"/>
            </w:tcBorders>
            <w:shd w:val="clear" w:color="auto" w:fill="auto"/>
            <w:noWrap/>
            <w:vAlign w:val="bottom"/>
          </w:tcPr>
          <w:p w14:paraId="3C565C70"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3E6921BA" w14:textId="77777777" w:rsidTr="00FC14A5">
        <w:trPr>
          <w:trHeight w:val="211"/>
        </w:trPr>
        <w:tc>
          <w:tcPr>
            <w:tcW w:w="1990" w:type="dxa"/>
            <w:tcBorders>
              <w:top w:val="nil"/>
              <w:left w:val="nil"/>
              <w:bottom w:val="nil"/>
              <w:right w:val="nil"/>
            </w:tcBorders>
            <w:shd w:val="clear" w:color="auto" w:fill="auto"/>
            <w:noWrap/>
            <w:vAlign w:val="bottom"/>
            <w:hideMark/>
          </w:tcPr>
          <w:p w14:paraId="2088A445"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lastRenderedPageBreak/>
              <w:t xml:space="preserve">HANSEN TEST (P) </w:t>
            </w:r>
          </w:p>
        </w:tc>
        <w:tc>
          <w:tcPr>
            <w:tcW w:w="1896" w:type="dxa"/>
            <w:tcBorders>
              <w:top w:val="nil"/>
              <w:left w:val="nil"/>
              <w:bottom w:val="nil"/>
              <w:right w:val="nil"/>
            </w:tcBorders>
            <w:shd w:val="clear" w:color="auto" w:fill="auto"/>
            <w:noWrap/>
            <w:vAlign w:val="bottom"/>
            <w:hideMark/>
          </w:tcPr>
          <w:p w14:paraId="3512A92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 xml:space="preserve"> 0.303</w:t>
            </w:r>
          </w:p>
        </w:tc>
        <w:tc>
          <w:tcPr>
            <w:tcW w:w="1820" w:type="dxa"/>
            <w:tcBorders>
              <w:top w:val="nil"/>
              <w:left w:val="nil"/>
              <w:bottom w:val="nil"/>
              <w:right w:val="nil"/>
            </w:tcBorders>
            <w:shd w:val="clear" w:color="auto" w:fill="auto"/>
            <w:noWrap/>
            <w:vAlign w:val="bottom"/>
            <w:hideMark/>
          </w:tcPr>
          <w:p w14:paraId="27F139C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          0.440</w:t>
            </w:r>
          </w:p>
        </w:tc>
        <w:tc>
          <w:tcPr>
            <w:tcW w:w="2136" w:type="dxa"/>
            <w:tcBorders>
              <w:top w:val="nil"/>
              <w:left w:val="nil"/>
              <w:bottom w:val="nil"/>
              <w:right w:val="nil"/>
            </w:tcBorders>
            <w:shd w:val="clear" w:color="auto" w:fill="auto"/>
            <w:noWrap/>
            <w:vAlign w:val="bottom"/>
            <w:hideMark/>
          </w:tcPr>
          <w:p w14:paraId="6C43637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0.332</w:t>
            </w:r>
          </w:p>
        </w:tc>
        <w:tc>
          <w:tcPr>
            <w:tcW w:w="2290" w:type="dxa"/>
            <w:tcBorders>
              <w:top w:val="nil"/>
              <w:left w:val="nil"/>
              <w:bottom w:val="nil"/>
              <w:right w:val="nil"/>
            </w:tcBorders>
            <w:shd w:val="clear" w:color="auto" w:fill="auto"/>
            <w:noWrap/>
            <w:vAlign w:val="bottom"/>
            <w:hideMark/>
          </w:tcPr>
          <w:p w14:paraId="704C691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0.246</w:t>
            </w:r>
          </w:p>
        </w:tc>
      </w:tr>
      <w:tr w:rsidR="00FC14A5" w:rsidRPr="005A566B" w14:paraId="4A5764EF" w14:textId="77777777" w:rsidTr="00FC14A5">
        <w:trPr>
          <w:trHeight w:val="211"/>
        </w:trPr>
        <w:tc>
          <w:tcPr>
            <w:tcW w:w="1990" w:type="dxa"/>
            <w:tcBorders>
              <w:top w:val="nil"/>
              <w:left w:val="nil"/>
              <w:bottom w:val="nil"/>
              <w:right w:val="nil"/>
            </w:tcBorders>
            <w:shd w:val="clear" w:color="auto" w:fill="auto"/>
            <w:noWrap/>
            <w:vAlign w:val="bottom"/>
          </w:tcPr>
          <w:p w14:paraId="623FAC38"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bottom w:val="nil"/>
              <w:right w:val="nil"/>
            </w:tcBorders>
            <w:shd w:val="clear" w:color="auto" w:fill="auto"/>
            <w:noWrap/>
            <w:vAlign w:val="bottom"/>
          </w:tcPr>
          <w:p w14:paraId="3FBEBD68"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bottom w:val="nil"/>
              <w:right w:val="nil"/>
            </w:tcBorders>
            <w:shd w:val="clear" w:color="auto" w:fill="auto"/>
            <w:noWrap/>
            <w:vAlign w:val="bottom"/>
          </w:tcPr>
          <w:p w14:paraId="13750930"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bottom w:val="nil"/>
              <w:right w:val="nil"/>
            </w:tcBorders>
            <w:shd w:val="clear" w:color="auto" w:fill="auto"/>
            <w:noWrap/>
            <w:vAlign w:val="bottom"/>
          </w:tcPr>
          <w:p w14:paraId="0BEE3814"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nil"/>
              <w:left w:val="nil"/>
              <w:bottom w:val="nil"/>
              <w:right w:val="nil"/>
            </w:tcBorders>
            <w:shd w:val="clear" w:color="auto" w:fill="auto"/>
            <w:noWrap/>
            <w:vAlign w:val="bottom"/>
          </w:tcPr>
          <w:p w14:paraId="4CEA0F3D"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47203874" w14:textId="77777777" w:rsidTr="00FC14A5">
        <w:trPr>
          <w:trHeight w:val="211"/>
        </w:trPr>
        <w:tc>
          <w:tcPr>
            <w:tcW w:w="1990" w:type="dxa"/>
            <w:tcBorders>
              <w:top w:val="nil"/>
              <w:left w:val="nil"/>
              <w:right w:val="nil"/>
            </w:tcBorders>
            <w:shd w:val="clear" w:color="auto" w:fill="auto"/>
            <w:noWrap/>
            <w:vAlign w:val="bottom"/>
            <w:hideMark/>
          </w:tcPr>
          <w:p w14:paraId="15C8137F"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AR1(p)</w:t>
            </w:r>
          </w:p>
        </w:tc>
        <w:tc>
          <w:tcPr>
            <w:tcW w:w="1896" w:type="dxa"/>
            <w:tcBorders>
              <w:top w:val="nil"/>
              <w:left w:val="nil"/>
              <w:right w:val="nil"/>
            </w:tcBorders>
            <w:shd w:val="clear" w:color="auto" w:fill="auto"/>
            <w:noWrap/>
            <w:vAlign w:val="bottom"/>
            <w:hideMark/>
          </w:tcPr>
          <w:p w14:paraId="37A0AD7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820" w:type="dxa"/>
            <w:tcBorders>
              <w:top w:val="nil"/>
              <w:left w:val="nil"/>
              <w:right w:val="nil"/>
            </w:tcBorders>
            <w:shd w:val="clear" w:color="auto" w:fill="auto"/>
            <w:noWrap/>
            <w:vAlign w:val="bottom"/>
            <w:hideMark/>
          </w:tcPr>
          <w:p w14:paraId="2A2BFFF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0.008</w:t>
            </w:r>
          </w:p>
        </w:tc>
        <w:tc>
          <w:tcPr>
            <w:tcW w:w="2136" w:type="dxa"/>
            <w:tcBorders>
              <w:top w:val="nil"/>
              <w:left w:val="nil"/>
              <w:right w:val="nil"/>
            </w:tcBorders>
            <w:shd w:val="clear" w:color="auto" w:fill="auto"/>
            <w:noWrap/>
            <w:vAlign w:val="bottom"/>
            <w:hideMark/>
          </w:tcPr>
          <w:p w14:paraId="75071D4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2290" w:type="dxa"/>
            <w:tcBorders>
              <w:top w:val="nil"/>
              <w:left w:val="nil"/>
              <w:right w:val="nil"/>
            </w:tcBorders>
            <w:shd w:val="clear" w:color="auto" w:fill="auto"/>
            <w:noWrap/>
            <w:vAlign w:val="bottom"/>
            <w:hideMark/>
          </w:tcPr>
          <w:p w14:paraId="2CFB7E1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r>
      <w:tr w:rsidR="00FC14A5" w:rsidRPr="005A566B" w14:paraId="1F460E26" w14:textId="77777777" w:rsidTr="00FC14A5">
        <w:trPr>
          <w:trHeight w:val="211"/>
        </w:trPr>
        <w:tc>
          <w:tcPr>
            <w:tcW w:w="1990" w:type="dxa"/>
            <w:tcBorders>
              <w:top w:val="nil"/>
              <w:left w:val="nil"/>
              <w:right w:val="nil"/>
            </w:tcBorders>
            <w:shd w:val="clear" w:color="auto" w:fill="auto"/>
            <w:noWrap/>
            <w:vAlign w:val="bottom"/>
          </w:tcPr>
          <w:p w14:paraId="3A2291A8"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nil"/>
              <w:left w:val="nil"/>
              <w:right w:val="nil"/>
            </w:tcBorders>
            <w:shd w:val="clear" w:color="auto" w:fill="auto"/>
            <w:noWrap/>
            <w:vAlign w:val="bottom"/>
          </w:tcPr>
          <w:p w14:paraId="5B3AB9DD"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nil"/>
              <w:left w:val="nil"/>
              <w:right w:val="nil"/>
            </w:tcBorders>
            <w:shd w:val="clear" w:color="auto" w:fill="auto"/>
            <w:noWrap/>
            <w:vAlign w:val="bottom"/>
          </w:tcPr>
          <w:p w14:paraId="76F93956"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nil"/>
              <w:left w:val="nil"/>
              <w:right w:val="nil"/>
            </w:tcBorders>
            <w:shd w:val="clear" w:color="auto" w:fill="auto"/>
            <w:noWrap/>
            <w:vAlign w:val="bottom"/>
          </w:tcPr>
          <w:p w14:paraId="52198137"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nil"/>
              <w:left w:val="nil"/>
              <w:right w:val="nil"/>
            </w:tcBorders>
            <w:shd w:val="clear" w:color="auto" w:fill="auto"/>
            <w:noWrap/>
            <w:vAlign w:val="bottom"/>
          </w:tcPr>
          <w:p w14:paraId="377F0741"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40F73BB7" w14:textId="77777777" w:rsidTr="00FC14A5">
        <w:trPr>
          <w:trHeight w:val="211"/>
        </w:trPr>
        <w:tc>
          <w:tcPr>
            <w:tcW w:w="1990" w:type="dxa"/>
            <w:tcBorders>
              <w:left w:val="nil"/>
              <w:bottom w:val="single" w:sz="4" w:space="0" w:color="auto"/>
              <w:right w:val="nil"/>
            </w:tcBorders>
            <w:shd w:val="clear" w:color="auto" w:fill="auto"/>
            <w:noWrap/>
            <w:vAlign w:val="bottom"/>
          </w:tcPr>
          <w:p w14:paraId="5D9990DC"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AR2(p)</w:t>
            </w:r>
          </w:p>
        </w:tc>
        <w:tc>
          <w:tcPr>
            <w:tcW w:w="1896" w:type="dxa"/>
            <w:tcBorders>
              <w:left w:val="nil"/>
              <w:bottom w:val="single" w:sz="4" w:space="0" w:color="auto"/>
              <w:right w:val="nil"/>
            </w:tcBorders>
            <w:shd w:val="clear" w:color="auto" w:fill="auto"/>
            <w:noWrap/>
            <w:vAlign w:val="bottom"/>
          </w:tcPr>
          <w:p w14:paraId="6757259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0.342</w:t>
            </w:r>
          </w:p>
        </w:tc>
        <w:tc>
          <w:tcPr>
            <w:tcW w:w="1820" w:type="dxa"/>
            <w:tcBorders>
              <w:left w:val="nil"/>
              <w:bottom w:val="single" w:sz="4" w:space="0" w:color="auto"/>
              <w:right w:val="nil"/>
            </w:tcBorders>
            <w:shd w:val="clear" w:color="auto" w:fill="auto"/>
            <w:noWrap/>
            <w:vAlign w:val="bottom"/>
          </w:tcPr>
          <w:p w14:paraId="1549A0E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0.796</w:t>
            </w:r>
          </w:p>
        </w:tc>
        <w:tc>
          <w:tcPr>
            <w:tcW w:w="2136" w:type="dxa"/>
            <w:tcBorders>
              <w:left w:val="nil"/>
              <w:bottom w:val="single" w:sz="4" w:space="0" w:color="auto"/>
              <w:right w:val="nil"/>
            </w:tcBorders>
            <w:shd w:val="clear" w:color="auto" w:fill="auto"/>
            <w:noWrap/>
            <w:vAlign w:val="bottom"/>
          </w:tcPr>
          <w:p w14:paraId="44AF1E6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0.185</w:t>
            </w:r>
          </w:p>
        </w:tc>
        <w:tc>
          <w:tcPr>
            <w:tcW w:w="2290" w:type="dxa"/>
            <w:tcBorders>
              <w:left w:val="nil"/>
              <w:bottom w:val="single" w:sz="4" w:space="0" w:color="auto"/>
              <w:right w:val="nil"/>
            </w:tcBorders>
            <w:shd w:val="clear" w:color="auto" w:fill="auto"/>
            <w:noWrap/>
            <w:vAlign w:val="bottom"/>
          </w:tcPr>
          <w:p w14:paraId="0D2E36C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0.407</w:t>
            </w:r>
          </w:p>
        </w:tc>
      </w:tr>
      <w:tr w:rsidR="00FC14A5" w:rsidRPr="005A566B" w14:paraId="37E1706E" w14:textId="77777777" w:rsidTr="00FC14A5">
        <w:trPr>
          <w:trHeight w:val="211"/>
        </w:trPr>
        <w:tc>
          <w:tcPr>
            <w:tcW w:w="1990" w:type="dxa"/>
            <w:tcBorders>
              <w:top w:val="single" w:sz="4" w:space="0" w:color="auto"/>
              <w:left w:val="nil"/>
              <w:bottom w:val="nil"/>
              <w:right w:val="nil"/>
            </w:tcBorders>
            <w:shd w:val="clear" w:color="auto" w:fill="auto"/>
            <w:noWrap/>
            <w:vAlign w:val="bottom"/>
            <w:hideMark/>
          </w:tcPr>
          <w:p w14:paraId="67BABEC2" w14:textId="77777777" w:rsidR="00FC14A5" w:rsidRPr="005A566B" w:rsidRDefault="00FC14A5" w:rsidP="00FC14A5">
            <w:pPr>
              <w:spacing w:after="0" w:line="240" w:lineRule="auto"/>
              <w:rPr>
                <w:rFonts w:ascii="Arial" w:eastAsia="Times New Roman" w:hAnsi="Arial" w:cs="Arial"/>
                <w:lang w:eastAsia="en-GB"/>
              </w:rPr>
            </w:pPr>
          </w:p>
        </w:tc>
        <w:tc>
          <w:tcPr>
            <w:tcW w:w="1896" w:type="dxa"/>
            <w:tcBorders>
              <w:top w:val="single" w:sz="4" w:space="0" w:color="auto"/>
              <w:left w:val="nil"/>
              <w:bottom w:val="nil"/>
              <w:right w:val="nil"/>
            </w:tcBorders>
            <w:shd w:val="clear" w:color="auto" w:fill="auto"/>
            <w:noWrap/>
            <w:vAlign w:val="bottom"/>
            <w:hideMark/>
          </w:tcPr>
          <w:p w14:paraId="02350C2C" w14:textId="77777777" w:rsidR="00FC14A5" w:rsidRPr="005A566B" w:rsidRDefault="00FC14A5" w:rsidP="00FC14A5">
            <w:pPr>
              <w:spacing w:after="0" w:line="240" w:lineRule="auto"/>
              <w:jc w:val="center"/>
              <w:rPr>
                <w:rFonts w:ascii="Arial" w:eastAsia="Times New Roman" w:hAnsi="Arial" w:cs="Arial"/>
                <w:lang w:eastAsia="en-GB"/>
              </w:rPr>
            </w:pPr>
          </w:p>
        </w:tc>
        <w:tc>
          <w:tcPr>
            <w:tcW w:w="1820" w:type="dxa"/>
            <w:tcBorders>
              <w:top w:val="single" w:sz="4" w:space="0" w:color="auto"/>
              <w:left w:val="nil"/>
              <w:bottom w:val="nil"/>
              <w:right w:val="nil"/>
            </w:tcBorders>
            <w:shd w:val="clear" w:color="auto" w:fill="auto"/>
            <w:noWrap/>
            <w:vAlign w:val="bottom"/>
            <w:hideMark/>
          </w:tcPr>
          <w:p w14:paraId="4820927B" w14:textId="77777777" w:rsidR="00FC14A5" w:rsidRPr="005A566B" w:rsidRDefault="00FC14A5" w:rsidP="00FC14A5">
            <w:pPr>
              <w:spacing w:after="0" w:line="240" w:lineRule="auto"/>
              <w:jc w:val="center"/>
              <w:rPr>
                <w:rFonts w:ascii="Arial" w:eastAsia="Times New Roman" w:hAnsi="Arial" w:cs="Arial"/>
                <w:lang w:eastAsia="en-GB"/>
              </w:rPr>
            </w:pPr>
          </w:p>
        </w:tc>
        <w:tc>
          <w:tcPr>
            <w:tcW w:w="2136" w:type="dxa"/>
            <w:tcBorders>
              <w:top w:val="single" w:sz="4" w:space="0" w:color="auto"/>
              <w:left w:val="nil"/>
              <w:bottom w:val="nil"/>
              <w:right w:val="nil"/>
            </w:tcBorders>
            <w:shd w:val="clear" w:color="auto" w:fill="auto"/>
            <w:noWrap/>
            <w:vAlign w:val="bottom"/>
            <w:hideMark/>
          </w:tcPr>
          <w:p w14:paraId="24A04FC1" w14:textId="77777777" w:rsidR="00FC14A5" w:rsidRPr="005A566B" w:rsidRDefault="00FC14A5" w:rsidP="00FC14A5">
            <w:pPr>
              <w:spacing w:after="0" w:line="240" w:lineRule="auto"/>
              <w:jc w:val="center"/>
              <w:rPr>
                <w:rFonts w:ascii="Arial" w:eastAsia="Times New Roman" w:hAnsi="Arial" w:cs="Arial"/>
                <w:lang w:eastAsia="en-GB"/>
              </w:rPr>
            </w:pPr>
          </w:p>
        </w:tc>
        <w:tc>
          <w:tcPr>
            <w:tcW w:w="2290" w:type="dxa"/>
            <w:tcBorders>
              <w:top w:val="single" w:sz="4" w:space="0" w:color="auto"/>
              <w:left w:val="nil"/>
              <w:bottom w:val="nil"/>
              <w:right w:val="nil"/>
            </w:tcBorders>
            <w:shd w:val="clear" w:color="auto" w:fill="auto"/>
            <w:noWrap/>
            <w:vAlign w:val="bottom"/>
            <w:hideMark/>
          </w:tcPr>
          <w:p w14:paraId="35206C24" w14:textId="77777777" w:rsidR="00FC14A5" w:rsidRPr="005A566B" w:rsidRDefault="00FC14A5" w:rsidP="00FC14A5">
            <w:pPr>
              <w:spacing w:after="0" w:line="240" w:lineRule="auto"/>
              <w:jc w:val="center"/>
              <w:rPr>
                <w:rFonts w:ascii="Arial" w:eastAsia="Times New Roman" w:hAnsi="Arial" w:cs="Arial"/>
                <w:lang w:eastAsia="en-GB"/>
              </w:rPr>
            </w:pPr>
          </w:p>
        </w:tc>
      </w:tr>
    </w:tbl>
    <w:p w14:paraId="5EA2ED26" w14:textId="77777777" w:rsidR="00FC14A5" w:rsidRPr="005A566B" w:rsidRDefault="00FC14A5" w:rsidP="00FC14A5">
      <w:pPr>
        <w:spacing w:after="200" w:line="276" w:lineRule="auto"/>
        <w:rPr>
          <w:rFonts w:ascii="Arial" w:eastAsia="Calibri" w:hAnsi="Arial" w:cs="Arial"/>
        </w:rPr>
      </w:pPr>
    </w:p>
    <w:p w14:paraId="2B70A5B2" w14:textId="77777777" w:rsidR="00FC14A5" w:rsidRPr="005A566B" w:rsidRDefault="00FC14A5" w:rsidP="00FC14A5">
      <w:pPr>
        <w:spacing w:after="200" w:line="276" w:lineRule="auto"/>
        <w:rPr>
          <w:rFonts w:ascii="Arial" w:eastAsia="Calibri" w:hAnsi="Arial" w:cs="Arial"/>
        </w:rPr>
      </w:pPr>
    </w:p>
    <w:p w14:paraId="1B915DCE" w14:textId="77777777" w:rsidR="00FC14A5" w:rsidRPr="005A566B" w:rsidRDefault="00FC14A5" w:rsidP="00FC14A5">
      <w:pPr>
        <w:spacing w:after="200" w:line="276" w:lineRule="auto"/>
        <w:rPr>
          <w:rFonts w:ascii="Arial" w:eastAsia="Calibri" w:hAnsi="Arial" w:cs="Arial"/>
        </w:rPr>
      </w:pPr>
    </w:p>
    <w:p w14:paraId="32C86DE5" w14:textId="77777777" w:rsidR="00FC14A5" w:rsidRPr="005A566B" w:rsidRDefault="00FC14A5" w:rsidP="00D86DF0">
      <w:pPr>
        <w:pBdr>
          <w:bottom w:val="single" w:sz="4" w:space="1" w:color="auto"/>
        </w:pBdr>
        <w:spacing w:after="200" w:line="276" w:lineRule="auto"/>
        <w:rPr>
          <w:rFonts w:ascii="Arial" w:eastAsia="Calibri" w:hAnsi="Arial" w:cs="Arial"/>
          <w:bCs/>
          <w:iCs/>
        </w:rPr>
      </w:pPr>
      <w:r w:rsidRPr="005A566B">
        <w:rPr>
          <w:rFonts w:ascii="Arial" w:eastAsia="Calibri" w:hAnsi="Arial" w:cs="Arial"/>
          <w:b/>
          <w:bCs/>
          <w:iCs/>
        </w:rPr>
        <w:t xml:space="preserve">Table 5: </w:t>
      </w:r>
      <w:r w:rsidRPr="005A566B">
        <w:rPr>
          <w:rFonts w:ascii="Arial" w:eastAsia="Calibri" w:hAnsi="Arial" w:cs="Arial"/>
          <w:bCs/>
          <w:iCs/>
        </w:rPr>
        <w:t xml:space="preserve">Working Capital Management, Environmental Conditions and </w:t>
      </w:r>
      <w:r w:rsidR="00381A1F" w:rsidRPr="005A566B">
        <w:rPr>
          <w:rFonts w:ascii="Arial" w:eastAsia="Calibri" w:hAnsi="Arial" w:cs="Arial"/>
          <w:bCs/>
          <w:iCs/>
        </w:rPr>
        <w:t>Firms’ Financial</w:t>
      </w:r>
      <w:r w:rsidR="00383CA7" w:rsidRPr="005A566B">
        <w:rPr>
          <w:rFonts w:ascii="Arial" w:eastAsia="Calibri" w:hAnsi="Arial" w:cs="Arial"/>
          <w:bCs/>
          <w:iCs/>
        </w:rPr>
        <w:t xml:space="preserve"> Performance</w:t>
      </w:r>
      <w:r w:rsidRPr="005A566B">
        <w:rPr>
          <w:rFonts w:ascii="Arial" w:eastAsia="Calibri" w:hAnsi="Arial" w:cs="Arial"/>
          <w:bCs/>
          <w:iCs/>
        </w:rPr>
        <w:t xml:space="preserve"> </w:t>
      </w:r>
    </w:p>
    <w:p w14:paraId="4E2CBDA9" w14:textId="79EE5523" w:rsidR="00FC14A5" w:rsidRPr="005A566B" w:rsidRDefault="00FC14A5" w:rsidP="00FC14A5">
      <w:pPr>
        <w:spacing w:after="200" w:line="276" w:lineRule="auto"/>
        <w:jc w:val="both"/>
        <w:rPr>
          <w:rFonts w:ascii="Arial" w:eastAsia="Calibri" w:hAnsi="Arial" w:cs="Arial"/>
        </w:rPr>
      </w:pPr>
      <w:r w:rsidRPr="005A566B">
        <w:rPr>
          <w:rFonts w:ascii="Arial" w:eastAsia="Calibri" w:hAnsi="Arial" w:cs="Arial"/>
          <w:sz w:val="20"/>
          <w:szCs w:val="20"/>
        </w:rPr>
        <w:t>This table reports a  generalized method of moments (GMM) first-difference estimation on the relationship between WCM</w:t>
      </w:r>
      <w:r w:rsidRPr="005A566B">
        <w:rPr>
          <w:rFonts w:ascii="Arial" w:eastAsia="Calibri" w:hAnsi="Arial" w:cs="Arial"/>
          <w:bCs/>
          <w:iCs/>
          <w:sz w:val="20"/>
          <w:szCs w:val="20"/>
        </w:rPr>
        <w:t xml:space="preserve"> and firm </w:t>
      </w:r>
      <w:r w:rsidR="00383CA7" w:rsidRPr="005A566B">
        <w:rPr>
          <w:rFonts w:ascii="Arial" w:eastAsia="Calibri" w:hAnsi="Arial" w:cs="Arial"/>
          <w:bCs/>
          <w:iCs/>
          <w:sz w:val="20"/>
          <w:szCs w:val="20"/>
        </w:rPr>
        <w:t xml:space="preserve"> financial performance</w:t>
      </w:r>
      <w:r w:rsidRPr="005A566B">
        <w:rPr>
          <w:rFonts w:ascii="Arial" w:eastAsia="Calibri" w:hAnsi="Arial" w:cs="Arial"/>
          <w:sz w:val="20"/>
          <w:szCs w:val="20"/>
        </w:rPr>
        <w:t xml:space="preserve"> for across </w:t>
      </w:r>
      <w:r w:rsidR="00A91615" w:rsidRPr="005A566B">
        <w:rPr>
          <w:rFonts w:ascii="Arial" w:eastAsia="Calibri" w:hAnsi="Arial" w:cs="Arial"/>
          <w:sz w:val="20"/>
          <w:szCs w:val="20"/>
        </w:rPr>
        <w:t>802</w:t>
      </w:r>
      <w:r w:rsidRPr="005A566B">
        <w:rPr>
          <w:rFonts w:ascii="Arial" w:eastAsia="Calibri" w:hAnsi="Arial" w:cs="Arial"/>
          <w:sz w:val="20"/>
          <w:szCs w:val="20"/>
        </w:rPr>
        <w:t xml:space="preserve"> UK </w:t>
      </w:r>
      <w:r w:rsidR="00D86DF0" w:rsidRPr="005A566B">
        <w:rPr>
          <w:rFonts w:ascii="Arial" w:eastAsia="Calibri" w:hAnsi="Arial" w:cs="Arial"/>
          <w:sz w:val="20"/>
          <w:szCs w:val="20"/>
        </w:rPr>
        <w:t>quoted</w:t>
      </w:r>
      <w:r w:rsidRPr="005A566B">
        <w:rPr>
          <w:rFonts w:ascii="Arial" w:eastAsia="Calibri" w:hAnsi="Arial" w:cs="Arial"/>
          <w:sz w:val="20"/>
          <w:szCs w:val="20"/>
        </w:rPr>
        <w:t xml:space="preserve"> firms over the period </w:t>
      </w:r>
      <w:r w:rsidR="00383CA7" w:rsidRPr="005A566B">
        <w:rPr>
          <w:rFonts w:ascii="Arial" w:eastAsia="Calibri" w:hAnsi="Arial" w:cs="Arial"/>
          <w:sz w:val="20"/>
          <w:szCs w:val="20"/>
        </w:rPr>
        <w:t>2004-2014</w:t>
      </w:r>
      <w:r w:rsidRPr="005A566B">
        <w:rPr>
          <w:rFonts w:ascii="Arial" w:eastAsia="Calibri" w:hAnsi="Arial" w:cs="Arial"/>
          <w:sz w:val="20"/>
          <w:szCs w:val="20"/>
        </w:rPr>
        <w:t xml:space="preserve">, with </w:t>
      </w:r>
      <w:r w:rsidRPr="005A566B">
        <w:rPr>
          <w:rFonts w:ascii="Arial" w:eastAsia="Calibri" w:hAnsi="Arial" w:cs="Arial"/>
          <w:i/>
          <w:sz w:val="20"/>
          <w:szCs w:val="20"/>
        </w:rPr>
        <w:t>t</w:t>
      </w:r>
      <w:r w:rsidRPr="005A566B">
        <w:rPr>
          <w:rFonts w:ascii="Arial" w:eastAsia="Calibri" w:hAnsi="Arial" w:cs="Arial"/>
          <w:sz w:val="20"/>
          <w:szCs w:val="20"/>
        </w:rPr>
        <w:t xml:space="preserve">−statistics (reported in parentheses). The dependent variable is the return on assets and Tobin’s Q. All variables are defined in Table 1. </w:t>
      </w:r>
      <w:r w:rsidRPr="005A566B">
        <w:rPr>
          <w:rFonts w:ascii="Arial" w:eastAsia="Calibri" w:hAnsi="Arial" w:cs="Arial"/>
          <w:bCs/>
          <w:iCs/>
          <w:sz w:val="20"/>
          <w:szCs w:val="20"/>
        </w:rPr>
        <w:t>AR1 (AR2) is a test for first- (second-) order serial correlation in the first-differenced residuals, asymptotically distributed as N (0, 1) under the null of no serial. Hansen test is a test of over-identifying restrictions distributed asymptotically under null hypothesis of validity of instruments as Chi-squared.</w:t>
      </w:r>
      <w:r w:rsidRPr="005A566B">
        <w:rPr>
          <w:rFonts w:ascii="Arial" w:eastAsia="Calibri" w:hAnsi="Arial" w:cs="Arial"/>
        </w:rPr>
        <w:t xml:space="preserve"> </w:t>
      </w:r>
      <w:r w:rsidRPr="005A566B">
        <w:rPr>
          <w:rFonts w:ascii="Arial" w:eastAsia="Calibri" w:hAnsi="Arial" w:cs="Arial"/>
          <w:bCs/>
          <w:iCs/>
          <w:sz w:val="20"/>
          <w:szCs w:val="20"/>
        </w:rPr>
        <w:t xml:space="preserve">The degrees of freedom are given in parenthesis. Instruments include AGEi, t-2; CRi,t-2 FLEVi,t-2; GROWTHi,t-2; and further lags. Year dummies and time dummies </w:t>
      </w:r>
      <w:r w:rsidRPr="005A566B">
        <w:rPr>
          <w:rFonts w:ascii="Arial" w:eastAsia="Calibri" w:hAnsi="Arial" w:cs="Arial"/>
          <w:bCs/>
          <w:iCs/>
          <w:sz w:val="20"/>
          <w:szCs w:val="20"/>
        </w:rPr>
        <w:lastRenderedPageBreak/>
        <w:t>interacted with industry dummies were always included as regressors and as instruments.</w:t>
      </w:r>
      <w:r w:rsidRPr="005A566B">
        <w:rPr>
          <w:rFonts w:ascii="Arial" w:eastAsia="Calibri" w:hAnsi="Arial" w:cs="Arial"/>
          <w:sz w:val="20"/>
          <w:szCs w:val="20"/>
        </w:rPr>
        <w:t xml:space="preserve">  ***, ** and * represent coefficients significant at the 1%, 5% and 10% levels correspondingly (two−tailed tests).</w:t>
      </w:r>
    </w:p>
    <w:tbl>
      <w:tblPr>
        <w:tblW w:w="9680" w:type="dxa"/>
        <w:tblInd w:w="93" w:type="dxa"/>
        <w:tblLook w:val="04A0" w:firstRow="1" w:lastRow="0" w:firstColumn="1" w:lastColumn="0" w:noHBand="0" w:noVBand="1"/>
      </w:tblPr>
      <w:tblGrid>
        <w:gridCol w:w="1968"/>
        <w:gridCol w:w="1891"/>
        <w:gridCol w:w="1975"/>
        <w:gridCol w:w="1903"/>
        <w:gridCol w:w="1943"/>
      </w:tblGrid>
      <w:tr w:rsidR="00FC14A5" w:rsidRPr="005A566B" w14:paraId="07BCDFE7" w14:textId="77777777" w:rsidTr="00FC14A5">
        <w:trPr>
          <w:trHeight w:val="215"/>
        </w:trPr>
        <w:tc>
          <w:tcPr>
            <w:tcW w:w="1968" w:type="dxa"/>
            <w:tcBorders>
              <w:top w:val="single" w:sz="4" w:space="0" w:color="auto"/>
              <w:left w:val="nil"/>
              <w:bottom w:val="single" w:sz="4" w:space="0" w:color="auto"/>
              <w:right w:val="nil"/>
            </w:tcBorders>
            <w:shd w:val="clear" w:color="auto" w:fill="auto"/>
            <w:noWrap/>
            <w:vAlign w:val="bottom"/>
          </w:tcPr>
          <w:p w14:paraId="2574E393"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DEPENDENT</w:t>
            </w:r>
          </w:p>
        </w:tc>
        <w:tc>
          <w:tcPr>
            <w:tcW w:w="1891" w:type="dxa"/>
            <w:tcBorders>
              <w:top w:val="single" w:sz="4" w:space="0" w:color="auto"/>
              <w:left w:val="nil"/>
              <w:bottom w:val="single" w:sz="4" w:space="0" w:color="auto"/>
              <w:right w:val="nil"/>
            </w:tcBorders>
            <w:shd w:val="clear" w:color="auto" w:fill="auto"/>
            <w:noWrap/>
            <w:vAlign w:val="bottom"/>
          </w:tcPr>
          <w:p w14:paraId="104B3674" w14:textId="77777777" w:rsidR="00FC14A5" w:rsidRPr="005A566B" w:rsidRDefault="00FC14A5" w:rsidP="00FC14A5">
            <w:pPr>
              <w:spacing w:after="0" w:line="240" w:lineRule="auto"/>
              <w:jc w:val="center"/>
              <w:rPr>
                <w:rFonts w:ascii="Arial" w:eastAsia="Times New Roman" w:hAnsi="Arial" w:cs="Arial"/>
                <w:sz w:val="20"/>
                <w:lang w:eastAsia="en-GB"/>
              </w:rPr>
            </w:pPr>
            <w:r w:rsidRPr="005A566B">
              <w:rPr>
                <w:rFonts w:ascii="Arial" w:eastAsia="Times New Roman" w:hAnsi="Arial" w:cs="Arial"/>
                <w:lang w:eastAsia="en-GB"/>
              </w:rPr>
              <w:t>(1)</w:t>
            </w:r>
          </w:p>
        </w:tc>
        <w:tc>
          <w:tcPr>
            <w:tcW w:w="1975" w:type="dxa"/>
            <w:tcBorders>
              <w:top w:val="single" w:sz="4" w:space="0" w:color="auto"/>
              <w:left w:val="nil"/>
              <w:bottom w:val="single" w:sz="4" w:space="0" w:color="auto"/>
              <w:right w:val="nil"/>
            </w:tcBorders>
            <w:shd w:val="clear" w:color="auto" w:fill="auto"/>
            <w:noWrap/>
            <w:vAlign w:val="bottom"/>
          </w:tcPr>
          <w:p w14:paraId="3074AE86" w14:textId="77777777" w:rsidR="00FC14A5" w:rsidRPr="005A566B" w:rsidRDefault="00FC14A5" w:rsidP="00FC14A5">
            <w:pPr>
              <w:spacing w:after="0" w:line="240" w:lineRule="auto"/>
              <w:jc w:val="center"/>
              <w:rPr>
                <w:rFonts w:ascii="Arial" w:eastAsia="Times New Roman" w:hAnsi="Arial" w:cs="Arial"/>
                <w:sz w:val="20"/>
                <w:lang w:eastAsia="en-GB"/>
              </w:rPr>
            </w:pPr>
            <w:r w:rsidRPr="005A566B">
              <w:rPr>
                <w:rFonts w:ascii="Arial" w:eastAsia="Times New Roman" w:hAnsi="Arial" w:cs="Arial"/>
                <w:lang w:eastAsia="en-GB"/>
              </w:rPr>
              <w:t>(2)</w:t>
            </w:r>
          </w:p>
        </w:tc>
        <w:tc>
          <w:tcPr>
            <w:tcW w:w="1903" w:type="dxa"/>
            <w:tcBorders>
              <w:top w:val="single" w:sz="4" w:space="0" w:color="auto"/>
              <w:left w:val="nil"/>
              <w:bottom w:val="single" w:sz="4" w:space="0" w:color="auto"/>
              <w:right w:val="nil"/>
            </w:tcBorders>
            <w:shd w:val="clear" w:color="auto" w:fill="auto"/>
            <w:noWrap/>
            <w:vAlign w:val="bottom"/>
          </w:tcPr>
          <w:p w14:paraId="07580EDE" w14:textId="77777777" w:rsidR="00FC14A5" w:rsidRPr="005A566B" w:rsidRDefault="00FC14A5" w:rsidP="00FC14A5">
            <w:pPr>
              <w:spacing w:after="0" w:line="240" w:lineRule="auto"/>
              <w:jc w:val="center"/>
              <w:rPr>
                <w:rFonts w:ascii="Arial" w:eastAsia="Times New Roman" w:hAnsi="Arial" w:cs="Arial"/>
                <w:sz w:val="20"/>
                <w:lang w:eastAsia="en-GB"/>
              </w:rPr>
            </w:pPr>
            <w:r w:rsidRPr="005A566B">
              <w:rPr>
                <w:rFonts w:ascii="Arial" w:eastAsia="Times New Roman" w:hAnsi="Arial" w:cs="Arial"/>
                <w:lang w:eastAsia="en-GB"/>
              </w:rPr>
              <w:t>(3)</w:t>
            </w:r>
          </w:p>
        </w:tc>
        <w:tc>
          <w:tcPr>
            <w:tcW w:w="1943" w:type="dxa"/>
            <w:tcBorders>
              <w:top w:val="single" w:sz="4" w:space="0" w:color="auto"/>
              <w:left w:val="nil"/>
              <w:bottom w:val="single" w:sz="4" w:space="0" w:color="auto"/>
              <w:right w:val="nil"/>
            </w:tcBorders>
            <w:shd w:val="clear" w:color="auto" w:fill="auto"/>
            <w:noWrap/>
            <w:vAlign w:val="bottom"/>
          </w:tcPr>
          <w:p w14:paraId="583F195D" w14:textId="77777777" w:rsidR="00FC14A5" w:rsidRPr="005A566B" w:rsidRDefault="00FC14A5" w:rsidP="00FC14A5">
            <w:pPr>
              <w:spacing w:after="0" w:line="240" w:lineRule="auto"/>
              <w:jc w:val="center"/>
              <w:rPr>
                <w:rFonts w:ascii="Arial" w:eastAsia="Times New Roman" w:hAnsi="Arial" w:cs="Arial"/>
                <w:sz w:val="20"/>
                <w:lang w:eastAsia="en-GB"/>
              </w:rPr>
            </w:pPr>
            <w:r w:rsidRPr="005A566B">
              <w:rPr>
                <w:rFonts w:ascii="Arial" w:eastAsia="Times New Roman" w:hAnsi="Arial" w:cs="Arial"/>
                <w:lang w:eastAsia="en-GB"/>
              </w:rPr>
              <w:t>(4)</w:t>
            </w:r>
          </w:p>
        </w:tc>
      </w:tr>
      <w:tr w:rsidR="00FC14A5" w:rsidRPr="005A566B" w14:paraId="3E4028E7" w14:textId="77777777" w:rsidTr="00FC14A5">
        <w:trPr>
          <w:trHeight w:val="215"/>
        </w:trPr>
        <w:tc>
          <w:tcPr>
            <w:tcW w:w="1968" w:type="dxa"/>
            <w:tcBorders>
              <w:top w:val="single" w:sz="4" w:space="0" w:color="auto"/>
              <w:left w:val="nil"/>
              <w:bottom w:val="nil"/>
              <w:right w:val="nil"/>
            </w:tcBorders>
            <w:shd w:val="clear" w:color="auto" w:fill="auto"/>
            <w:noWrap/>
            <w:vAlign w:val="bottom"/>
            <w:hideMark/>
          </w:tcPr>
          <w:p w14:paraId="73E64F98"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VARIABLE</w:t>
            </w:r>
          </w:p>
        </w:tc>
        <w:tc>
          <w:tcPr>
            <w:tcW w:w="1891" w:type="dxa"/>
            <w:tcBorders>
              <w:top w:val="single" w:sz="4" w:space="0" w:color="auto"/>
              <w:left w:val="nil"/>
              <w:bottom w:val="nil"/>
              <w:right w:val="nil"/>
            </w:tcBorders>
            <w:shd w:val="clear" w:color="auto" w:fill="auto"/>
            <w:noWrap/>
            <w:vAlign w:val="bottom"/>
            <w:hideMark/>
          </w:tcPr>
          <w:p w14:paraId="658880A3" w14:textId="77777777" w:rsidR="00FC14A5" w:rsidRPr="005A566B" w:rsidRDefault="00FC14A5" w:rsidP="00FC14A5">
            <w:pPr>
              <w:spacing w:after="0" w:line="240" w:lineRule="auto"/>
              <w:jc w:val="center"/>
              <w:rPr>
                <w:rFonts w:ascii="Arial" w:eastAsia="Times New Roman" w:hAnsi="Arial" w:cs="Arial"/>
                <w:sz w:val="20"/>
                <w:lang w:eastAsia="en-GB"/>
              </w:rPr>
            </w:pPr>
            <w:r w:rsidRPr="005A566B">
              <w:rPr>
                <w:rFonts w:ascii="Arial" w:eastAsia="Times New Roman" w:hAnsi="Arial" w:cs="Arial"/>
                <w:sz w:val="20"/>
                <w:lang w:eastAsia="en-GB"/>
              </w:rPr>
              <w:t>ROA</w:t>
            </w:r>
          </w:p>
        </w:tc>
        <w:tc>
          <w:tcPr>
            <w:tcW w:w="1975" w:type="dxa"/>
            <w:tcBorders>
              <w:top w:val="single" w:sz="4" w:space="0" w:color="auto"/>
              <w:left w:val="nil"/>
              <w:bottom w:val="nil"/>
              <w:right w:val="nil"/>
            </w:tcBorders>
            <w:shd w:val="clear" w:color="auto" w:fill="auto"/>
            <w:noWrap/>
            <w:vAlign w:val="bottom"/>
            <w:hideMark/>
          </w:tcPr>
          <w:p w14:paraId="40BBE853" w14:textId="77777777" w:rsidR="00FC14A5" w:rsidRPr="005A566B" w:rsidRDefault="00FC14A5" w:rsidP="00FC14A5">
            <w:pPr>
              <w:spacing w:after="0" w:line="240" w:lineRule="auto"/>
              <w:jc w:val="center"/>
              <w:rPr>
                <w:rFonts w:ascii="Arial" w:eastAsia="Times New Roman" w:hAnsi="Arial" w:cs="Arial"/>
                <w:sz w:val="20"/>
                <w:lang w:eastAsia="en-GB"/>
              </w:rPr>
            </w:pPr>
            <w:r w:rsidRPr="005A566B">
              <w:rPr>
                <w:rFonts w:ascii="Arial" w:eastAsia="Times New Roman" w:hAnsi="Arial" w:cs="Arial"/>
                <w:sz w:val="20"/>
                <w:lang w:eastAsia="en-GB"/>
              </w:rPr>
              <w:t>ROA</w:t>
            </w:r>
          </w:p>
        </w:tc>
        <w:tc>
          <w:tcPr>
            <w:tcW w:w="1903" w:type="dxa"/>
            <w:tcBorders>
              <w:top w:val="single" w:sz="4" w:space="0" w:color="auto"/>
              <w:left w:val="nil"/>
              <w:bottom w:val="nil"/>
              <w:right w:val="nil"/>
            </w:tcBorders>
            <w:shd w:val="clear" w:color="auto" w:fill="auto"/>
            <w:noWrap/>
            <w:vAlign w:val="bottom"/>
            <w:hideMark/>
          </w:tcPr>
          <w:p w14:paraId="03CC7C57" w14:textId="77777777" w:rsidR="00FC14A5" w:rsidRPr="005A566B" w:rsidRDefault="00FC14A5" w:rsidP="00FC14A5">
            <w:pPr>
              <w:spacing w:after="0" w:line="240" w:lineRule="auto"/>
              <w:jc w:val="center"/>
              <w:rPr>
                <w:rFonts w:ascii="Arial" w:eastAsia="Times New Roman" w:hAnsi="Arial" w:cs="Arial"/>
                <w:sz w:val="20"/>
                <w:lang w:eastAsia="en-GB"/>
              </w:rPr>
            </w:pPr>
            <w:r w:rsidRPr="005A566B">
              <w:rPr>
                <w:rFonts w:ascii="Arial" w:eastAsia="Times New Roman" w:hAnsi="Arial" w:cs="Arial"/>
                <w:sz w:val="20"/>
                <w:lang w:eastAsia="en-GB"/>
              </w:rPr>
              <w:t>QRATIO</w:t>
            </w:r>
          </w:p>
        </w:tc>
        <w:tc>
          <w:tcPr>
            <w:tcW w:w="1943" w:type="dxa"/>
            <w:tcBorders>
              <w:top w:val="single" w:sz="4" w:space="0" w:color="auto"/>
              <w:left w:val="nil"/>
              <w:bottom w:val="nil"/>
              <w:right w:val="nil"/>
            </w:tcBorders>
            <w:shd w:val="clear" w:color="auto" w:fill="auto"/>
            <w:noWrap/>
            <w:vAlign w:val="bottom"/>
            <w:hideMark/>
          </w:tcPr>
          <w:p w14:paraId="56CAD452" w14:textId="77777777" w:rsidR="00FC14A5" w:rsidRPr="005A566B" w:rsidRDefault="00FC14A5" w:rsidP="00FC14A5">
            <w:pPr>
              <w:spacing w:after="0" w:line="240" w:lineRule="auto"/>
              <w:jc w:val="center"/>
              <w:rPr>
                <w:rFonts w:ascii="Arial" w:eastAsia="Times New Roman" w:hAnsi="Arial" w:cs="Arial"/>
                <w:sz w:val="20"/>
                <w:lang w:eastAsia="en-GB"/>
              </w:rPr>
            </w:pPr>
            <w:r w:rsidRPr="005A566B">
              <w:rPr>
                <w:rFonts w:ascii="Arial" w:eastAsia="Times New Roman" w:hAnsi="Arial" w:cs="Arial"/>
                <w:sz w:val="20"/>
                <w:lang w:eastAsia="en-GB"/>
              </w:rPr>
              <w:t>QRATIO</w:t>
            </w:r>
          </w:p>
        </w:tc>
      </w:tr>
      <w:tr w:rsidR="00FC14A5" w:rsidRPr="005A566B" w14:paraId="6F4F7997" w14:textId="77777777" w:rsidTr="00FC14A5">
        <w:trPr>
          <w:trHeight w:val="215"/>
        </w:trPr>
        <w:tc>
          <w:tcPr>
            <w:tcW w:w="1968" w:type="dxa"/>
            <w:tcBorders>
              <w:top w:val="single" w:sz="4" w:space="0" w:color="auto"/>
              <w:left w:val="nil"/>
              <w:bottom w:val="nil"/>
              <w:right w:val="nil"/>
            </w:tcBorders>
            <w:shd w:val="clear" w:color="auto" w:fill="auto"/>
            <w:noWrap/>
            <w:vAlign w:val="bottom"/>
          </w:tcPr>
          <w:p w14:paraId="3E6DFAF6"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single" w:sz="4" w:space="0" w:color="auto"/>
              <w:left w:val="nil"/>
              <w:bottom w:val="nil"/>
              <w:right w:val="nil"/>
            </w:tcBorders>
            <w:shd w:val="clear" w:color="auto" w:fill="auto"/>
            <w:noWrap/>
            <w:vAlign w:val="bottom"/>
          </w:tcPr>
          <w:p w14:paraId="1C418F6E" w14:textId="77777777" w:rsidR="00FC14A5" w:rsidRPr="005A566B" w:rsidRDefault="00FC14A5" w:rsidP="00FC14A5">
            <w:pPr>
              <w:spacing w:after="0" w:line="240" w:lineRule="auto"/>
              <w:jc w:val="center"/>
              <w:rPr>
                <w:rFonts w:ascii="Arial" w:eastAsia="Times New Roman" w:hAnsi="Arial" w:cs="Arial"/>
                <w:sz w:val="20"/>
                <w:lang w:eastAsia="en-GB"/>
              </w:rPr>
            </w:pPr>
          </w:p>
        </w:tc>
        <w:tc>
          <w:tcPr>
            <w:tcW w:w="1975" w:type="dxa"/>
            <w:tcBorders>
              <w:top w:val="single" w:sz="4" w:space="0" w:color="auto"/>
              <w:left w:val="nil"/>
              <w:bottom w:val="nil"/>
              <w:right w:val="nil"/>
            </w:tcBorders>
            <w:shd w:val="clear" w:color="auto" w:fill="auto"/>
            <w:noWrap/>
            <w:vAlign w:val="bottom"/>
          </w:tcPr>
          <w:p w14:paraId="1A281D32" w14:textId="77777777" w:rsidR="00FC14A5" w:rsidRPr="005A566B" w:rsidRDefault="00FC14A5" w:rsidP="00FC14A5">
            <w:pPr>
              <w:spacing w:after="0" w:line="240" w:lineRule="auto"/>
              <w:jc w:val="center"/>
              <w:rPr>
                <w:rFonts w:ascii="Arial" w:eastAsia="Times New Roman" w:hAnsi="Arial" w:cs="Arial"/>
                <w:sz w:val="20"/>
                <w:lang w:eastAsia="en-GB"/>
              </w:rPr>
            </w:pPr>
          </w:p>
        </w:tc>
        <w:tc>
          <w:tcPr>
            <w:tcW w:w="1903" w:type="dxa"/>
            <w:tcBorders>
              <w:top w:val="single" w:sz="4" w:space="0" w:color="auto"/>
              <w:left w:val="nil"/>
              <w:bottom w:val="nil"/>
              <w:right w:val="nil"/>
            </w:tcBorders>
            <w:shd w:val="clear" w:color="auto" w:fill="auto"/>
            <w:noWrap/>
            <w:vAlign w:val="bottom"/>
          </w:tcPr>
          <w:p w14:paraId="0FF4BD6A" w14:textId="77777777" w:rsidR="00FC14A5" w:rsidRPr="005A566B" w:rsidRDefault="00FC14A5" w:rsidP="00FC14A5">
            <w:pPr>
              <w:spacing w:after="0" w:line="240" w:lineRule="auto"/>
              <w:jc w:val="center"/>
              <w:rPr>
                <w:rFonts w:ascii="Arial" w:eastAsia="Times New Roman" w:hAnsi="Arial" w:cs="Arial"/>
                <w:sz w:val="20"/>
                <w:lang w:eastAsia="en-GB"/>
              </w:rPr>
            </w:pPr>
          </w:p>
        </w:tc>
        <w:tc>
          <w:tcPr>
            <w:tcW w:w="1943" w:type="dxa"/>
            <w:tcBorders>
              <w:top w:val="single" w:sz="4" w:space="0" w:color="auto"/>
              <w:left w:val="nil"/>
              <w:bottom w:val="nil"/>
              <w:right w:val="nil"/>
            </w:tcBorders>
            <w:shd w:val="clear" w:color="auto" w:fill="auto"/>
            <w:noWrap/>
            <w:vAlign w:val="bottom"/>
          </w:tcPr>
          <w:p w14:paraId="3B135277" w14:textId="77777777" w:rsidR="00FC14A5" w:rsidRPr="005A566B" w:rsidRDefault="00FC14A5" w:rsidP="00FC14A5">
            <w:pPr>
              <w:spacing w:after="0" w:line="240" w:lineRule="auto"/>
              <w:jc w:val="center"/>
              <w:rPr>
                <w:rFonts w:ascii="Arial" w:eastAsia="Times New Roman" w:hAnsi="Arial" w:cs="Arial"/>
                <w:sz w:val="20"/>
                <w:lang w:eastAsia="en-GB"/>
              </w:rPr>
            </w:pPr>
          </w:p>
        </w:tc>
      </w:tr>
      <w:tr w:rsidR="00FC14A5" w:rsidRPr="005A566B" w14:paraId="3F80939B" w14:textId="77777777" w:rsidTr="00FC14A5">
        <w:trPr>
          <w:trHeight w:val="215"/>
        </w:trPr>
        <w:tc>
          <w:tcPr>
            <w:tcW w:w="1968" w:type="dxa"/>
            <w:tcBorders>
              <w:top w:val="nil"/>
              <w:left w:val="nil"/>
              <w:bottom w:val="nil"/>
              <w:right w:val="nil"/>
            </w:tcBorders>
            <w:shd w:val="clear" w:color="auto" w:fill="auto"/>
            <w:noWrap/>
            <w:vAlign w:val="bottom"/>
            <w:hideMark/>
          </w:tcPr>
          <w:p w14:paraId="56F8984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ROA</w:t>
            </w:r>
          </w:p>
        </w:tc>
        <w:tc>
          <w:tcPr>
            <w:tcW w:w="1891" w:type="dxa"/>
            <w:tcBorders>
              <w:top w:val="nil"/>
              <w:left w:val="nil"/>
              <w:bottom w:val="nil"/>
              <w:right w:val="nil"/>
            </w:tcBorders>
            <w:shd w:val="clear" w:color="auto" w:fill="auto"/>
            <w:noWrap/>
            <w:vAlign w:val="bottom"/>
            <w:hideMark/>
          </w:tcPr>
          <w:p w14:paraId="19F7CB5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0.307***</w:t>
            </w:r>
          </w:p>
        </w:tc>
        <w:tc>
          <w:tcPr>
            <w:tcW w:w="1975" w:type="dxa"/>
            <w:tcBorders>
              <w:top w:val="nil"/>
              <w:left w:val="nil"/>
              <w:bottom w:val="nil"/>
              <w:right w:val="nil"/>
            </w:tcBorders>
            <w:shd w:val="clear" w:color="auto" w:fill="auto"/>
            <w:noWrap/>
            <w:vAlign w:val="bottom"/>
            <w:hideMark/>
          </w:tcPr>
          <w:p w14:paraId="523FBA3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0.387***</w:t>
            </w:r>
          </w:p>
        </w:tc>
        <w:tc>
          <w:tcPr>
            <w:tcW w:w="1903" w:type="dxa"/>
            <w:tcBorders>
              <w:top w:val="nil"/>
              <w:left w:val="nil"/>
              <w:bottom w:val="nil"/>
              <w:right w:val="nil"/>
            </w:tcBorders>
            <w:shd w:val="clear" w:color="auto" w:fill="auto"/>
            <w:noWrap/>
            <w:vAlign w:val="bottom"/>
            <w:hideMark/>
          </w:tcPr>
          <w:p w14:paraId="71D8B1DD" w14:textId="77777777" w:rsidR="00FC14A5" w:rsidRPr="005A566B" w:rsidRDefault="00FC14A5" w:rsidP="00FC14A5">
            <w:pPr>
              <w:spacing w:after="0" w:line="240" w:lineRule="auto"/>
              <w:jc w:val="center"/>
              <w:rPr>
                <w:rFonts w:ascii="Arial" w:eastAsia="Times New Roman" w:hAnsi="Arial" w:cs="Arial"/>
                <w:lang w:eastAsia="en-GB"/>
              </w:rPr>
            </w:pPr>
          </w:p>
        </w:tc>
        <w:tc>
          <w:tcPr>
            <w:tcW w:w="1943" w:type="dxa"/>
            <w:tcBorders>
              <w:top w:val="nil"/>
              <w:left w:val="nil"/>
              <w:bottom w:val="nil"/>
              <w:right w:val="nil"/>
            </w:tcBorders>
            <w:shd w:val="clear" w:color="auto" w:fill="auto"/>
            <w:noWrap/>
            <w:vAlign w:val="bottom"/>
            <w:hideMark/>
          </w:tcPr>
          <w:p w14:paraId="212C6738"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4AEC9180" w14:textId="77777777" w:rsidTr="00FC14A5">
        <w:trPr>
          <w:trHeight w:val="215"/>
        </w:trPr>
        <w:tc>
          <w:tcPr>
            <w:tcW w:w="1968" w:type="dxa"/>
            <w:tcBorders>
              <w:top w:val="nil"/>
              <w:left w:val="nil"/>
              <w:bottom w:val="nil"/>
              <w:right w:val="nil"/>
            </w:tcBorders>
            <w:shd w:val="clear" w:color="auto" w:fill="auto"/>
            <w:noWrap/>
            <w:vAlign w:val="bottom"/>
            <w:hideMark/>
          </w:tcPr>
          <w:p w14:paraId="42AB66FE"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449AF54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(13.29)</w:t>
            </w:r>
          </w:p>
        </w:tc>
        <w:tc>
          <w:tcPr>
            <w:tcW w:w="1975" w:type="dxa"/>
            <w:tcBorders>
              <w:top w:val="nil"/>
              <w:left w:val="nil"/>
              <w:bottom w:val="nil"/>
              <w:right w:val="nil"/>
            </w:tcBorders>
            <w:shd w:val="clear" w:color="auto" w:fill="auto"/>
            <w:noWrap/>
            <w:vAlign w:val="bottom"/>
            <w:hideMark/>
          </w:tcPr>
          <w:p w14:paraId="07C0072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(51.03)</w:t>
            </w:r>
          </w:p>
        </w:tc>
        <w:tc>
          <w:tcPr>
            <w:tcW w:w="1903" w:type="dxa"/>
            <w:tcBorders>
              <w:top w:val="nil"/>
              <w:left w:val="nil"/>
              <w:bottom w:val="nil"/>
              <w:right w:val="nil"/>
            </w:tcBorders>
            <w:shd w:val="clear" w:color="auto" w:fill="auto"/>
            <w:noWrap/>
            <w:vAlign w:val="bottom"/>
            <w:hideMark/>
          </w:tcPr>
          <w:p w14:paraId="6CDE0CCC" w14:textId="77777777" w:rsidR="00FC14A5" w:rsidRPr="005A566B" w:rsidRDefault="00FC14A5" w:rsidP="00FC14A5">
            <w:pPr>
              <w:spacing w:after="0" w:line="240" w:lineRule="auto"/>
              <w:jc w:val="center"/>
              <w:rPr>
                <w:rFonts w:ascii="Arial" w:eastAsia="Times New Roman" w:hAnsi="Arial" w:cs="Arial"/>
                <w:lang w:eastAsia="en-GB"/>
              </w:rPr>
            </w:pPr>
          </w:p>
        </w:tc>
        <w:tc>
          <w:tcPr>
            <w:tcW w:w="1943" w:type="dxa"/>
            <w:tcBorders>
              <w:top w:val="nil"/>
              <w:left w:val="nil"/>
              <w:bottom w:val="nil"/>
              <w:right w:val="nil"/>
            </w:tcBorders>
            <w:shd w:val="clear" w:color="auto" w:fill="auto"/>
            <w:noWrap/>
            <w:vAlign w:val="bottom"/>
            <w:hideMark/>
          </w:tcPr>
          <w:p w14:paraId="1D9DD477"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4DC53002" w14:textId="77777777" w:rsidTr="00FC14A5">
        <w:trPr>
          <w:trHeight w:val="215"/>
        </w:trPr>
        <w:tc>
          <w:tcPr>
            <w:tcW w:w="1968" w:type="dxa"/>
            <w:tcBorders>
              <w:top w:val="nil"/>
              <w:left w:val="nil"/>
              <w:bottom w:val="nil"/>
              <w:right w:val="nil"/>
            </w:tcBorders>
            <w:shd w:val="clear" w:color="auto" w:fill="auto"/>
            <w:noWrap/>
            <w:vAlign w:val="bottom"/>
            <w:hideMark/>
          </w:tcPr>
          <w:p w14:paraId="7096C525"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QRATIO</w:t>
            </w:r>
            <w:r w:rsidRPr="005A566B">
              <w:rPr>
                <w:rFonts w:ascii="Arial" w:eastAsia="Times New Roman" w:hAnsi="Arial" w:cs="Arial"/>
                <w:sz w:val="10"/>
                <w:lang w:eastAsia="en-GB"/>
              </w:rPr>
              <w:t xml:space="preserve"> </w:t>
            </w:r>
          </w:p>
        </w:tc>
        <w:tc>
          <w:tcPr>
            <w:tcW w:w="1891" w:type="dxa"/>
            <w:tcBorders>
              <w:top w:val="nil"/>
              <w:left w:val="nil"/>
              <w:bottom w:val="nil"/>
              <w:right w:val="nil"/>
            </w:tcBorders>
            <w:shd w:val="clear" w:color="auto" w:fill="auto"/>
            <w:noWrap/>
            <w:vAlign w:val="bottom"/>
            <w:hideMark/>
          </w:tcPr>
          <w:p w14:paraId="631620FD" w14:textId="77777777" w:rsidR="00FC14A5" w:rsidRPr="005A566B" w:rsidRDefault="00FC14A5" w:rsidP="00FC14A5">
            <w:pPr>
              <w:spacing w:after="0" w:line="240" w:lineRule="auto"/>
              <w:jc w:val="center"/>
              <w:rPr>
                <w:rFonts w:ascii="Arial" w:eastAsia="Times New Roman" w:hAnsi="Arial" w:cs="Arial"/>
                <w:lang w:eastAsia="en-GB"/>
              </w:rPr>
            </w:pPr>
          </w:p>
        </w:tc>
        <w:tc>
          <w:tcPr>
            <w:tcW w:w="1975" w:type="dxa"/>
            <w:tcBorders>
              <w:top w:val="nil"/>
              <w:left w:val="nil"/>
              <w:bottom w:val="nil"/>
              <w:right w:val="nil"/>
            </w:tcBorders>
            <w:shd w:val="clear" w:color="auto" w:fill="auto"/>
            <w:noWrap/>
            <w:vAlign w:val="bottom"/>
            <w:hideMark/>
          </w:tcPr>
          <w:p w14:paraId="62FC702F" w14:textId="77777777" w:rsidR="00FC14A5" w:rsidRPr="005A566B" w:rsidRDefault="00FC14A5" w:rsidP="00FC14A5">
            <w:pPr>
              <w:spacing w:after="0" w:line="240" w:lineRule="auto"/>
              <w:jc w:val="center"/>
              <w:rPr>
                <w:rFonts w:ascii="Arial" w:eastAsia="Times New Roman" w:hAnsi="Arial" w:cs="Arial"/>
                <w:lang w:eastAsia="en-GB"/>
              </w:rPr>
            </w:pPr>
          </w:p>
        </w:tc>
        <w:tc>
          <w:tcPr>
            <w:tcW w:w="1903" w:type="dxa"/>
            <w:tcBorders>
              <w:top w:val="nil"/>
              <w:left w:val="nil"/>
              <w:bottom w:val="nil"/>
              <w:right w:val="nil"/>
            </w:tcBorders>
            <w:shd w:val="clear" w:color="auto" w:fill="auto"/>
            <w:noWrap/>
            <w:vAlign w:val="bottom"/>
            <w:hideMark/>
          </w:tcPr>
          <w:p w14:paraId="0968B8F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0.996***</w:t>
            </w:r>
          </w:p>
        </w:tc>
        <w:tc>
          <w:tcPr>
            <w:tcW w:w="1943" w:type="dxa"/>
            <w:tcBorders>
              <w:top w:val="nil"/>
              <w:left w:val="nil"/>
              <w:bottom w:val="nil"/>
              <w:right w:val="nil"/>
            </w:tcBorders>
            <w:shd w:val="clear" w:color="auto" w:fill="auto"/>
            <w:noWrap/>
            <w:vAlign w:val="bottom"/>
            <w:hideMark/>
          </w:tcPr>
          <w:p w14:paraId="118C487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0.909***</w:t>
            </w:r>
          </w:p>
        </w:tc>
      </w:tr>
      <w:tr w:rsidR="00FC14A5" w:rsidRPr="005A566B" w14:paraId="785BA057" w14:textId="77777777" w:rsidTr="00FC14A5">
        <w:trPr>
          <w:trHeight w:val="215"/>
        </w:trPr>
        <w:tc>
          <w:tcPr>
            <w:tcW w:w="1968" w:type="dxa"/>
            <w:tcBorders>
              <w:top w:val="nil"/>
              <w:left w:val="nil"/>
              <w:bottom w:val="nil"/>
              <w:right w:val="nil"/>
            </w:tcBorders>
            <w:shd w:val="clear" w:color="auto" w:fill="auto"/>
            <w:noWrap/>
            <w:vAlign w:val="bottom"/>
            <w:hideMark/>
          </w:tcPr>
          <w:p w14:paraId="20CFA5B4"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5914B039" w14:textId="77777777" w:rsidR="00FC14A5" w:rsidRPr="005A566B" w:rsidRDefault="00FC14A5" w:rsidP="00FC14A5">
            <w:pPr>
              <w:spacing w:after="0" w:line="240" w:lineRule="auto"/>
              <w:jc w:val="center"/>
              <w:rPr>
                <w:rFonts w:ascii="Arial" w:eastAsia="Times New Roman" w:hAnsi="Arial" w:cs="Arial"/>
                <w:lang w:eastAsia="en-GB"/>
              </w:rPr>
            </w:pPr>
          </w:p>
        </w:tc>
        <w:tc>
          <w:tcPr>
            <w:tcW w:w="1975" w:type="dxa"/>
            <w:tcBorders>
              <w:top w:val="nil"/>
              <w:left w:val="nil"/>
              <w:bottom w:val="nil"/>
              <w:right w:val="nil"/>
            </w:tcBorders>
            <w:shd w:val="clear" w:color="auto" w:fill="auto"/>
            <w:noWrap/>
            <w:vAlign w:val="bottom"/>
            <w:hideMark/>
          </w:tcPr>
          <w:p w14:paraId="09B95FA4" w14:textId="77777777" w:rsidR="00FC14A5" w:rsidRPr="005A566B" w:rsidRDefault="00FC14A5" w:rsidP="00FC14A5">
            <w:pPr>
              <w:spacing w:after="0" w:line="240" w:lineRule="auto"/>
              <w:jc w:val="center"/>
              <w:rPr>
                <w:rFonts w:ascii="Arial" w:eastAsia="Times New Roman" w:hAnsi="Arial" w:cs="Arial"/>
                <w:lang w:eastAsia="en-GB"/>
              </w:rPr>
            </w:pPr>
          </w:p>
        </w:tc>
        <w:tc>
          <w:tcPr>
            <w:tcW w:w="1903" w:type="dxa"/>
            <w:tcBorders>
              <w:top w:val="nil"/>
              <w:left w:val="nil"/>
              <w:bottom w:val="nil"/>
              <w:right w:val="nil"/>
            </w:tcBorders>
            <w:shd w:val="clear" w:color="auto" w:fill="auto"/>
            <w:noWrap/>
            <w:vAlign w:val="bottom"/>
            <w:hideMark/>
          </w:tcPr>
          <w:p w14:paraId="2796BD6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(50.01)</w:t>
            </w:r>
          </w:p>
        </w:tc>
        <w:tc>
          <w:tcPr>
            <w:tcW w:w="1943" w:type="dxa"/>
            <w:tcBorders>
              <w:top w:val="nil"/>
              <w:left w:val="nil"/>
              <w:bottom w:val="nil"/>
              <w:right w:val="nil"/>
            </w:tcBorders>
            <w:shd w:val="clear" w:color="auto" w:fill="auto"/>
            <w:noWrap/>
            <w:vAlign w:val="bottom"/>
            <w:hideMark/>
          </w:tcPr>
          <w:p w14:paraId="5CEC829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(61.25)</w:t>
            </w:r>
          </w:p>
        </w:tc>
      </w:tr>
      <w:tr w:rsidR="00FC14A5" w:rsidRPr="005A566B" w14:paraId="73D31AF7" w14:textId="77777777" w:rsidTr="00FC14A5">
        <w:trPr>
          <w:trHeight w:val="215"/>
        </w:trPr>
        <w:tc>
          <w:tcPr>
            <w:tcW w:w="1968" w:type="dxa"/>
            <w:tcBorders>
              <w:top w:val="nil"/>
              <w:left w:val="nil"/>
              <w:bottom w:val="nil"/>
              <w:right w:val="nil"/>
            </w:tcBorders>
            <w:shd w:val="clear" w:color="auto" w:fill="auto"/>
            <w:noWrap/>
            <w:vAlign w:val="bottom"/>
            <w:hideMark/>
          </w:tcPr>
          <w:p w14:paraId="6E232B9B"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WCM</w:t>
            </w:r>
            <w:r w:rsidRPr="005A566B">
              <w:rPr>
                <w:rFonts w:ascii="Arial" w:eastAsia="Times New Roman" w:hAnsi="Arial" w:cs="Arial"/>
                <w:sz w:val="10"/>
                <w:lang w:eastAsia="en-GB"/>
              </w:rPr>
              <w:t xml:space="preserve"> </w:t>
            </w:r>
          </w:p>
        </w:tc>
        <w:tc>
          <w:tcPr>
            <w:tcW w:w="1891" w:type="dxa"/>
            <w:tcBorders>
              <w:top w:val="nil"/>
              <w:left w:val="nil"/>
              <w:bottom w:val="nil"/>
              <w:right w:val="nil"/>
            </w:tcBorders>
            <w:shd w:val="clear" w:color="auto" w:fill="auto"/>
            <w:noWrap/>
            <w:vAlign w:val="bottom"/>
            <w:hideMark/>
          </w:tcPr>
          <w:p w14:paraId="564CB8D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-0.0177*</w:t>
            </w:r>
          </w:p>
        </w:tc>
        <w:tc>
          <w:tcPr>
            <w:tcW w:w="1975" w:type="dxa"/>
            <w:tcBorders>
              <w:top w:val="nil"/>
              <w:left w:val="nil"/>
              <w:bottom w:val="nil"/>
              <w:right w:val="nil"/>
            </w:tcBorders>
            <w:shd w:val="clear" w:color="auto" w:fill="auto"/>
            <w:noWrap/>
            <w:vAlign w:val="bottom"/>
            <w:hideMark/>
          </w:tcPr>
          <w:p w14:paraId="585C00B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-0.0208***</w:t>
            </w:r>
          </w:p>
        </w:tc>
        <w:tc>
          <w:tcPr>
            <w:tcW w:w="1903" w:type="dxa"/>
            <w:tcBorders>
              <w:top w:val="nil"/>
              <w:left w:val="nil"/>
              <w:bottom w:val="nil"/>
              <w:right w:val="nil"/>
            </w:tcBorders>
            <w:shd w:val="clear" w:color="auto" w:fill="auto"/>
            <w:noWrap/>
            <w:vAlign w:val="bottom"/>
            <w:hideMark/>
          </w:tcPr>
          <w:p w14:paraId="5C94934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0.00648</w:t>
            </w:r>
          </w:p>
        </w:tc>
        <w:tc>
          <w:tcPr>
            <w:tcW w:w="1943" w:type="dxa"/>
            <w:tcBorders>
              <w:top w:val="nil"/>
              <w:left w:val="nil"/>
              <w:bottom w:val="nil"/>
              <w:right w:val="nil"/>
            </w:tcBorders>
            <w:shd w:val="clear" w:color="auto" w:fill="auto"/>
            <w:noWrap/>
            <w:vAlign w:val="bottom"/>
            <w:hideMark/>
          </w:tcPr>
          <w:p w14:paraId="4AE2A4A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0.187***</w:t>
            </w:r>
          </w:p>
        </w:tc>
      </w:tr>
      <w:tr w:rsidR="00FC14A5" w:rsidRPr="005A566B" w14:paraId="6670E7BB" w14:textId="77777777" w:rsidTr="00FC14A5">
        <w:trPr>
          <w:trHeight w:val="215"/>
        </w:trPr>
        <w:tc>
          <w:tcPr>
            <w:tcW w:w="1968" w:type="dxa"/>
            <w:tcBorders>
              <w:top w:val="nil"/>
              <w:left w:val="nil"/>
              <w:bottom w:val="nil"/>
              <w:right w:val="nil"/>
            </w:tcBorders>
            <w:shd w:val="clear" w:color="auto" w:fill="auto"/>
            <w:noWrap/>
            <w:vAlign w:val="bottom"/>
            <w:hideMark/>
          </w:tcPr>
          <w:p w14:paraId="04BE6B72"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182CB5A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(-1.83)</w:t>
            </w:r>
          </w:p>
        </w:tc>
        <w:tc>
          <w:tcPr>
            <w:tcW w:w="1975" w:type="dxa"/>
            <w:tcBorders>
              <w:top w:val="nil"/>
              <w:left w:val="nil"/>
              <w:bottom w:val="nil"/>
              <w:right w:val="nil"/>
            </w:tcBorders>
            <w:shd w:val="clear" w:color="auto" w:fill="auto"/>
            <w:noWrap/>
            <w:vAlign w:val="bottom"/>
            <w:hideMark/>
          </w:tcPr>
          <w:p w14:paraId="06428FB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(-26.54)</w:t>
            </w:r>
          </w:p>
        </w:tc>
        <w:tc>
          <w:tcPr>
            <w:tcW w:w="1903" w:type="dxa"/>
            <w:tcBorders>
              <w:top w:val="nil"/>
              <w:left w:val="nil"/>
              <w:bottom w:val="nil"/>
              <w:right w:val="nil"/>
            </w:tcBorders>
            <w:shd w:val="clear" w:color="auto" w:fill="auto"/>
            <w:noWrap/>
            <w:vAlign w:val="bottom"/>
            <w:hideMark/>
          </w:tcPr>
          <w:p w14:paraId="428FCEC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(0.94)</w:t>
            </w:r>
          </w:p>
        </w:tc>
        <w:tc>
          <w:tcPr>
            <w:tcW w:w="1943" w:type="dxa"/>
            <w:tcBorders>
              <w:top w:val="nil"/>
              <w:left w:val="nil"/>
              <w:bottom w:val="nil"/>
              <w:right w:val="nil"/>
            </w:tcBorders>
            <w:shd w:val="clear" w:color="auto" w:fill="auto"/>
            <w:noWrap/>
            <w:vAlign w:val="bottom"/>
            <w:hideMark/>
          </w:tcPr>
          <w:p w14:paraId="21FC485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(30.78)</w:t>
            </w:r>
          </w:p>
        </w:tc>
      </w:tr>
      <w:tr w:rsidR="00FC14A5" w:rsidRPr="005A566B" w14:paraId="02998C7C" w14:textId="77777777" w:rsidTr="00FC14A5">
        <w:trPr>
          <w:trHeight w:val="215"/>
        </w:trPr>
        <w:tc>
          <w:tcPr>
            <w:tcW w:w="1968" w:type="dxa"/>
            <w:tcBorders>
              <w:top w:val="nil"/>
              <w:left w:val="nil"/>
              <w:bottom w:val="nil"/>
              <w:right w:val="nil"/>
            </w:tcBorders>
            <w:shd w:val="clear" w:color="auto" w:fill="auto"/>
            <w:noWrap/>
            <w:vAlign w:val="bottom"/>
            <w:hideMark/>
          </w:tcPr>
          <w:p w14:paraId="1476E9DF"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AGE</w:t>
            </w:r>
            <w:r w:rsidRPr="005A566B">
              <w:rPr>
                <w:rFonts w:ascii="Arial" w:eastAsia="Times New Roman" w:hAnsi="Arial" w:cs="Arial"/>
                <w:sz w:val="10"/>
                <w:lang w:eastAsia="en-GB"/>
              </w:rPr>
              <w:t xml:space="preserve"> </w:t>
            </w:r>
          </w:p>
        </w:tc>
        <w:tc>
          <w:tcPr>
            <w:tcW w:w="1891" w:type="dxa"/>
            <w:tcBorders>
              <w:top w:val="nil"/>
              <w:left w:val="nil"/>
              <w:bottom w:val="nil"/>
              <w:right w:val="nil"/>
            </w:tcBorders>
            <w:shd w:val="clear" w:color="auto" w:fill="auto"/>
            <w:noWrap/>
            <w:vAlign w:val="bottom"/>
            <w:hideMark/>
          </w:tcPr>
          <w:p w14:paraId="30F6C9E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-0.223***</w:t>
            </w:r>
          </w:p>
        </w:tc>
        <w:tc>
          <w:tcPr>
            <w:tcW w:w="1975" w:type="dxa"/>
            <w:tcBorders>
              <w:top w:val="nil"/>
              <w:left w:val="nil"/>
              <w:bottom w:val="nil"/>
              <w:right w:val="nil"/>
            </w:tcBorders>
            <w:shd w:val="clear" w:color="auto" w:fill="auto"/>
            <w:noWrap/>
            <w:vAlign w:val="bottom"/>
            <w:hideMark/>
          </w:tcPr>
          <w:p w14:paraId="06AD98F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-0.0871***</w:t>
            </w:r>
          </w:p>
        </w:tc>
        <w:tc>
          <w:tcPr>
            <w:tcW w:w="1903" w:type="dxa"/>
            <w:tcBorders>
              <w:top w:val="nil"/>
              <w:left w:val="nil"/>
              <w:bottom w:val="nil"/>
              <w:right w:val="nil"/>
            </w:tcBorders>
            <w:shd w:val="clear" w:color="auto" w:fill="auto"/>
            <w:noWrap/>
            <w:vAlign w:val="bottom"/>
            <w:hideMark/>
          </w:tcPr>
          <w:p w14:paraId="4CD1E59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0.000280</w:t>
            </w:r>
          </w:p>
        </w:tc>
        <w:tc>
          <w:tcPr>
            <w:tcW w:w="1943" w:type="dxa"/>
            <w:tcBorders>
              <w:top w:val="nil"/>
              <w:left w:val="nil"/>
              <w:bottom w:val="nil"/>
              <w:right w:val="nil"/>
            </w:tcBorders>
            <w:shd w:val="clear" w:color="auto" w:fill="auto"/>
            <w:noWrap/>
            <w:vAlign w:val="bottom"/>
            <w:hideMark/>
          </w:tcPr>
          <w:p w14:paraId="2B62A67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-0.00134***</w:t>
            </w:r>
          </w:p>
        </w:tc>
      </w:tr>
      <w:tr w:rsidR="00FC14A5" w:rsidRPr="005A566B" w14:paraId="28AE7EA6" w14:textId="77777777" w:rsidTr="00FC14A5">
        <w:trPr>
          <w:trHeight w:val="215"/>
        </w:trPr>
        <w:tc>
          <w:tcPr>
            <w:tcW w:w="1968" w:type="dxa"/>
            <w:tcBorders>
              <w:top w:val="nil"/>
              <w:left w:val="nil"/>
              <w:bottom w:val="nil"/>
              <w:right w:val="nil"/>
            </w:tcBorders>
            <w:shd w:val="clear" w:color="auto" w:fill="auto"/>
            <w:noWrap/>
            <w:vAlign w:val="bottom"/>
            <w:hideMark/>
          </w:tcPr>
          <w:p w14:paraId="57AF35AE"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77AB3CB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(-7.99)</w:t>
            </w:r>
          </w:p>
        </w:tc>
        <w:tc>
          <w:tcPr>
            <w:tcW w:w="1975" w:type="dxa"/>
            <w:tcBorders>
              <w:top w:val="nil"/>
              <w:left w:val="nil"/>
              <w:bottom w:val="nil"/>
              <w:right w:val="nil"/>
            </w:tcBorders>
            <w:shd w:val="clear" w:color="auto" w:fill="auto"/>
            <w:noWrap/>
            <w:vAlign w:val="bottom"/>
            <w:hideMark/>
          </w:tcPr>
          <w:p w14:paraId="7F45F80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(-36.01)</w:t>
            </w:r>
          </w:p>
        </w:tc>
        <w:tc>
          <w:tcPr>
            <w:tcW w:w="1903" w:type="dxa"/>
            <w:tcBorders>
              <w:top w:val="nil"/>
              <w:left w:val="nil"/>
              <w:bottom w:val="nil"/>
              <w:right w:val="nil"/>
            </w:tcBorders>
            <w:shd w:val="clear" w:color="auto" w:fill="auto"/>
            <w:noWrap/>
            <w:vAlign w:val="bottom"/>
            <w:hideMark/>
          </w:tcPr>
          <w:p w14:paraId="3A49D90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(0.89)</w:t>
            </w:r>
          </w:p>
        </w:tc>
        <w:tc>
          <w:tcPr>
            <w:tcW w:w="1943" w:type="dxa"/>
            <w:tcBorders>
              <w:top w:val="nil"/>
              <w:left w:val="nil"/>
              <w:bottom w:val="nil"/>
              <w:right w:val="nil"/>
            </w:tcBorders>
            <w:shd w:val="clear" w:color="auto" w:fill="auto"/>
            <w:noWrap/>
            <w:vAlign w:val="bottom"/>
            <w:hideMark/>
          </w:tcPr>
          <w:p w14:paraId="3E178DF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(-9.09)</w:t>
            </w:r>
          </w:p>
        </w:tc>
      </w:tr>
      <w:tr w:rsidR="00FC14A5" w:rsidRPr="005A566B" w14:paraId="789A730B" w14:textId="77777777" w:rsidTr="00FC14A5">
        <w:trPr>
          <w:trHeight w:val="215"/>
        </w:trPr>
        <w:tc>
          <w:tcPr>
            <w:tcW w:w="1968" w:type="dxa"/>
            <w:tcBorders>
              <w:top w:val="nil"/>
              <w:left w:val="nil"/>
              <w:bottom w:val="nil"/>
              <w:right w:val="nil"/>
            </w:tcBorders>
            <w:shd w:val="clear" w:color="auto" w:fill="auto"/>
            <w:noWrap/>
            <w:vAlign w:val="bottom"/>
            <w:hideMark/>
          </w:tcPr>
          <w:p w14:paraId="493D5D14"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CR</w:t>
            </w:r>
            <w:r w:rsidRPr="005A566B">
              <w:rPr>
                <w:rFonts w:ascii="Arial" w:eastAsia="Times New Roman" w:hAnsi="Arial" w:cs="Arial"/>
                <w:sz w:val="10"/>
                <w:lang w:eastAsia="en-GB"/>
              </w:rPr>
              <w:t xml:space="preserve"> </w:t>
            </w:r>
          </w:p>
        </w:tc>
        <w:tc>
          <w:tcPr>
            <w:tcW w:w="1891" w:type="dxa"/>
            <w:tcBorders>
              <w:top w:val="nil"/>
              <w:left w:val="nil"/>
              <w:bottom w:val="nil"/>
              <w:right w:val="nil"/>
            </w:tcBorders>
            <w:shd w:val="clear" w:color="auto" w:fill="auto"/>
            <w:noWrap/>
            <w:vAlign w:val="bottom"/>
            <w:hideMark/>
          </w:tcPr>
          <w:p w14:paraId="522899A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-0.0159***</w:t>
            </w:r>
          </w:p>
        </w:tc>
        <w:tc>
          <w:tcPr>
            <w:tcW w:w="1975" w:type="dxa"/>
            <w:tcBorders>
              <w:top w:val="nil"/>
              <w:left w:val="nil"/>
              <w:bottom w:val="nil"/>
              <w:right w:val="nil"/>
            </w:tcBorders>
            <w:shd w:val="clear" w:color="auto" w:fill="auto"/>
            <w:noWrap/>
            <w:vAlign w:val="bottom"/>
            <w:hideMark/>
          </w:tcPr>
          <w:p w14:paraId="7A9AE61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-0.00738***</w:t>
            </w:r>
          </w:p>
        </w:tc>
        <w:tc>
          <w:tcPr>
            <w:tcW w:w="1903" w:type="dxa"/>
            <w:tcBorders>
              <w:top w:val="nil"/>
              <w:left w:val="nil"/>
              <w:bottom w:val="nil"/>
              <w:right w:val="nil"/>
            </w:tcBorders>
            <w:shd w:val="clear" w:color="auto" w:fill="auto"/>
            <w:noWrap/>
            <w:vAlign w:val="bottom"/>
            <w:hideMark/>
          </w:tcPr>
          <w:p w14:paraId="237A056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-0.0423***</w:t>
            </w:r>
          </w:p>
        </w:tc>
        <w:tc>
          <w:tcPr>
            <w:tcW w:w="1943" w:type="dxa"/>
            <w:tcBorders>
              <w:top w:val="nil"/>
              <w:left w:val="nil"/>
              <w:bottom w:val="nil"/>
              <w:right w:val="nil"/>
            </w:tcBorders>
            <w:shd w:val="clear" w:color="auto" w:fill="auto"/>
            <w:noWrap/>
            <w:vAlign w:val="bottom"/>
            <w:hideMark/>
          </w:tcPr>
          <w:p w14:paraId="1B2F173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-0.132***</w:t>
            </w:r>
          </w:p>
        </w:tc>
      </w:tr>
      <w:tr w:rsidR="00FC14A5" w:rsidRPr="005A566B" w14:paraId="672BF695" w14:textId="77777777" w:rsidTr="00FC14A5">
        <w:trPr>
          <w:trHeight w:val="215"/>
        </w:trPr>
        <w:tc>
          <w:tcPr>
            <w:tcW w:w="1968" w:type="dxa"/>
            <w:tcBorders>
              <w:top w:val="nil"/>
              <w:left w:val="nil"/>
              <w:bottom w:val="nil"/>
              <w:right w:val="nil"/>
            </w:tcBorders>
            <w:shd w:val="clear" w:color="auto" w:fill="auto"/>
            <w:noWrap/>
            <w:vAlign w:val="bottom"/>
            <w:hideMark/>
          </w:tcPr>
          <w:p w14:paraId="583C5392"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1D5EFB8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(-3.76)</w:t>
            </w:r>
          </w:p>
        </w:tc>
        <w:tc>
          <w:tcPr>
            <w:tcW w:w="1975" w:type="dxa"/>
            <w:tcBorders>
              <w:top w:val="nil"/>
              <w:left w:val="nil"/>
              <w:bottom w:val="nil"/>
              <w:right w:val="nil"/>
            </w:tcBorders>
            <w:shd w:val="clear" w:color="auto" w:fill="auto"/>
            <w:noWrap/>
            <w:vAlign w:val="bottom"/>
            <w:hideMark/>
          </w:tcPr>
          <w:p w14:paraId="5FE35A2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(-17.12)</w:t>
            </w:r>
          </w:p>
        </w:tc>
        <w:tc>
          <w:tcPr>
            <w:tcW w:w="1903" w:type="dxa"/>
            <w:tcBorders>
              <w:top w:val="nil"/>
              <w:left w:val="nil"/>
              <w:bottom w:val="nil"/>
              <w:right w:val="nil"/>
            </w:tcBorders>
            <w:shd w:val="clear" w:color="auto" w:fill="auto"/>
            <w:noWrap/>
            <w:vAlign w:val="bottom"/>
            <w:hideMark/>
          </w:tcPr>
          <w:p w14:paraId="30077A2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(-4.46)</w:t>
            </w:r>
          </w:p>
        </w:tc>
        <w:tc>
          <w:tcPr>
            <w:tcW w:w="1943" w:type="dxa"/>
            <w:tcBorders>
              <w:top w:val="nil"/>
              <w:left w:val="nil"/>
              <w:bottom w:val="nil"/>
              <w:right w:val="nil"/>
            </w:tcBorders>
            <w:shd w:val="clear" w:color="auto" w:fill="auto"/>
            <w:noWrap/>
            <w:vAlign w:val="bottom"/>
            <w:hideMark/>
          </w:tcPr>
          <w:p w14:paraId="29E5925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(-33.25)</w:t>
            </w:r>
          </w:p>
        </w:tc>
      </w:tr>
      <w:tr w:rsidR="00FC14A5" w:rsidRPr="005A566B" w14:paraId="4C276B39" w14:textId="77777777" w:rsidTr="00FC14A5">
        <w:trPr>
          <w:trHeight w:val="215"/>
        </w:trPr>
        <w:tc>
          <w:tcPr>
            <w:tcW w:w="1968" w:type="dxa"/>
            <w:tcBorders>
              <w:top w:val="nil"/>
              <w:left w:val="nil"/>
              <w:bottom w:val="nil"/>
              <w:right w:val="nil"/>
            </w:tcBorders>
            <w:shd w:val="clear" w:color="auto" w:fill="auto"/>
            <w:noWrap/>
            <w:vAlign w:val="bottom"/>
            <w:hideMark/>
          </w:tcPr>
          <w:p w14:paraId="1C9FB050"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CRISIS</w:t>
            </w:r>
          </w:p>
        </w:tc>
        <w:tc>
          <w:tcPr>
            <w:tcW w:w="1891" w:type="dxa"/>
            <w:tcBorders>
              <w:top w:val="nil"/>
              <w:left w:val="nil"/>
              <w:bottom w:val="nil"/>
              <w:right w:val="nil"/>
            </w:tcBorders>
            <w:shd w:val="clear" w:color="auto" w:fill="auto"/>
            <w:noWrap/>
            <w:vAlign w:val="bottom"/>
            <w:hideMark/>
          </w:tcPr>
          <w:p w14:paraId="353B9C0B" w14:textId="77777777" w:rsidR="00FC14A5" w:rsidRPr="005A566B" w:rsidRDefault="00FC14A5" w:rsidP="00FC14A5">
            <w:pPr>
              <w:spacing w:after="0" w:line="240" w:lineRule="auto"/>
              <w:jc w:val="center"/>
              <w:rPr>
                <w:rFonts w:ascii="Arial" w:eastAsia="Times New Roman" w:hAnsi="Arial" w:cs="Arial"/>
                <w:lang w:eastAsia="en-GB"/>
              </w:rPr>
            </w:pPr>
          </w:p>
        </w:tc>
        <w:tc>
          <w:tcPr>
            <w:tcW w:w="1975" w:type="dxa"/>
            <w:tcBorders>
              <w:top w:val="nil"/>
              <w:left w:val="nil"/>
              <w:bottom w:val="nil"/>
              <w:right w:val="nil"/>
            </w:tcBorders>
            <w:shd w:val="clear" w:color="auto" w:fill="auto"/>
            <w:noWrap/>
            <w:vAlign w:val="bottom"/>
            <w:hideMark/>
          </w:tcPr>
          <w:p w14:paraId="4ADE279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-0.0146***</w:t>
            </w:r>
          </w:p>
        </w:tc>
        <w:tc>
          <w:tcPr>
            <w:tcW w:w="1903" w:type="dxa"/>
            <w:tcBorders>
              <w:top w:val="nil"/>
              <w:left w:val="nil"/>
              <w:bottom w:val="nil"/>
              <w:right w:val="nil"/>
            </w:tcBorders>
            <w:shd w:val="clear" w:color="auto" w:fill="auto"/>
            <w:noWrap/>
            <w:vAlign w:val="bottom"/>
            <w:hideMark/>
          </w:tcPr>
          <w:p w14:paraId="47A0A9C9" w14:textId="77777777" w:rsidR="00FC14A5" w:rsidRPr="005A566B" w:rsidRDefault="00FC14A5" w:rsidP="00FC14A5">
            <w:pPr>
              <w:spacing w:after="0" w:line="240" w:lineRule="auto"/>
              <w:jc w:val="center"/>
              <w:rPr>
                <w:rFonts w:ascii="Arial" w:eastAsia="Times New Roman" w:hAnsi="Arial" w:cs="Arial"/>
                <w:lang w:eastAsia="en-GB"/>
              </w:rPr>
            </w:pPr>
          </w:p>
        </w:tc>
        <w:tc>
          <w:tcPr>
            <w:tcW w:w="1943" w:type="dxa"/>
            <w:tcBorders>
              <w:top w:val="nil"/>
              <w:left w:val="nil"/>
              <w:bottom w:val="nil"/>
              <w:right w:val="nil"/>
            </w:tcBorders>
            <w:shd w:val="clear" w:color="auto" w:fill="auto"/>
            <w:noWrap/>
            <w:vAlign w:val="bottom"/>
            <w:hideMark/>
          </w:tcPr>
          <w:p w14:paraId="799E622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-0.0460***</w:t>
            </w:r>
          </w:p>
        </w:tc>
      </w:tr>
      <w:tr w:rsidR="00FC14A5" w:rsidRPr="005A566B" w14:paraId="5BC887FA" w14:textId="77777777" w:rsidTr="00FC14A5">
        <w:trPr>
          <w:trHeight w:val="215"/>
        </w:trPr>
        <w:tc>
          <w:tcPr>
            <w:tcW w:w="1968" w:type="dxa"/>
            <w:tcBorders>
              <w:top w:val="nil"/>
              <w:left w:val="nil"/>
              <w:bottom w:val="nil"/>
              <w:right w:val="nil"/>
            </w:tcBorders>
            <w:shd w:val="clear" w:color="auto" w:fill="auto"/>
            <w:noWrap/>
            <w:vAlign w:val="bottom"/>
            <w:hideMark/>
          </w:tcPr>
          <w:p w14:paraId="1F493E74"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57EDAC53" w14:textId="77777777" w:rsidR="00FC14A5" w:rsidRPr="005A566B" w:rsidRDefault="00FC14A5" w:rsidP="00FC14A5">
            <w:pPr>
              <w:spacing w:after="0" w:line="240" w:lineRule="auto"/>
              <w:jc w:val="center"/>
              <w:rPr>
                <w:rFonts w:ascii="Arial" w:eastAsia="Times New Roman" w:hAnsi="Arial" w:cs="Arial"/>
                <w:lang w:eastAsia="en-GB"/>
              </w:rPr>
            </w:pPr>
          </w:p>
        </w:tc>
        <w:tc>
          <w:tcPr>
            <w:tcW w:w="1975" w:type="dxa"/>
            <w:tcBorders>
              <w:top w:val="nil"/>
              <w:left w:val="nil"/>
              <w:bottom w:val="nil"/>
              <w:right w:val="nil"/>
            </w:tcBorders>
            <w:shd w:val="clear" w:color="auto" w:fill="auto"/>
            <w:noWrap/>
            <w:vAlign w:val="bottom"/>
            <w:hideMark/>
          </w:tcPr>
          <w:p w14:paraId="53F8D13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(-36.17)</w:t>
            </w:r>
          </w:p>
        </w:tc>
        <w:tc>
          <w:tcPr>
            <w:tcW w:w="1903" w:type="dxa"/>
            <w:tcBorders>
              <w:top w:val="nil"/>
              <w:left w:val="nil"/>
              <w:bottom w:val="nil"/>
              <w:right w:val="nil"/>
            </w:tcBorders>
            <w:shd w:val="clear" w:color="auto" w:fill="auto"/>
            <w:noWrap/>
            <w:vAlign w:val="bottom"/>
            <w:hideMark/>
          </w:tcPr>
          <w:p w14:paraId="0B7F9F8D" w14:textId="77777777" w:rsidR="00FC14A5" w:rsidRPr="005A566B" w:rsidRDefault="00FC14A5" w:rsidP="00FC14A5">
            <w:pPr>
              <w:spacing w:after="0" w:line="240" w:lineRule="auto"/>
              <w:jc w:val="center"/>
              <w:rPr>
                <w:rFonts w:ascii="Arial" w:eastAsia="Times New Roman" w:hAnsi="Arial" w:cs="Arial"/>
                <w:lang w:eastAsia="en-GB"/>
              </w:rPr>
            </w:pPr>
          </w:p>
        </w:tc>
        <w:tc>
          <w:tcPr>
            <w:tcW w:w="1943" w:type="dxa"/>
            <w:tcBorders>
              <w:top w:val="nil"/>
              <w:left w:val="nil"/>
              <w:bottom w:val="nil"/>
              <w:right w:val="nil"/>
            </w:tcBorders>
            <w:shd w:val="clear" w:color="auto" w:fill="auto"/>
            <w:noWrap/>
            <w:vAlign w:val="bottom"/>
            <w:hideMark/>
          </w:tcPr>
          <w:p w14:paraId="3A1892E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(-14.84)</w:t>
            </w:r>
          </w:p>
        </w:tc>
      </w:tr>
      <w:tr w:rsidR="00FC14A5" w:rsidRPr="005A566B" w14:paraId="7559A102" w14:textId="77777777" w:rsidTr="00FC14A5">
        <w:trPr>
          <w:trHeight w:val="215"/>
        </w:trPr>
        <w:tc>
          <w:tcPr>
            <w:tcW w:w="1968" w:type="dxa"/>
            <w:tcBorders>
              <w:top w:val="nil"/>
              <w:left w:val="nil"/>
              <w:bottom w:val="nil"/>
              <w:right w:val="nil"/>
            </w:tcBorders>
            <w:shd w:val="clear" w:color="auto" w:fill="auto"/>
            <w:noWrap/>
            <w:vAlign w:val="bottom"/>
            <w:hideMark/>
          </w:tcPr>
          <w:p w14:paraId="3715566A"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COMPETITION</w:t>
            </w:r>
          </w:p>
        </w:tc>
        <w:tc>
          <w:tcPr>
            <w:tcW w:w="1891" w:type="dxa"/>
            <w:tcBorders>
              <w:top w:val="nil"/>
              <w:left w:val="nil"/>
              <w:bottom w:val="nil"/>
              <w:right w:val="nil"/>
            </w:tcBorders>
            <w:shd w:val="clear" w:color="auto" w:fill="auto"/>
            <w:noWrap/>
            <w:vAlign w:val="bottom"/>
            <w:hideMark/>
          </w:tcPr>
          <w:p w14:paraId="48A0FD1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0.00494***</w:t>
            </w:r>
          </w:p>
        </w:tc>
        <w:tc>
          <w:tcPr>
            <w:tcW w:w="1975" w:type="dxa"/>
            <w:tcBorders>
              <w:top w:val="nil"/>
              <w:left w:val="nil"/>
              <w:bottom w:val="nil"/>
              <w:right w:val="nil"/>
            </w:tcBorders>
            <w:shd w:val="clear" w:color="auto" w:fill="auto"/>
            <w:noWrap/>
            <w:vAlign w:val="bottom"/>
            <w:hideMark/>
          </w:tcPr>
          <w:p w14:paraId="631B5538" w14:textId="77777777" w:rsidR="00FC14A5" w:rsidRPr="005A566B" w:rsidRDefault="00FC14A5" w:rsidP="00FC14A5">
            <w:pPr>
              <w:spacing w:after="0" w:line="240" w:lineRule="auto"/>
              <w:jc w:val="center"/>
              <w:rPr>
                <w:rFonts w:ascii="Arial" w:eastAsia="Times New Roman" w:hAnsi="Arial" w:cs="Arial"/>
                <w:lang w:eastAsia="en-GB"/>
              </w:rPr>
            </w:pPr>
          </w:p>
        </w:tc>
        <w:tc>
          <w:tcPr>
            <w:tcW w:w="1903" w:type="dxa"/>
            <w:tcBorders>
              <w:top w:val="nil"/>
              <w:left w:val="nil"/>
              <w:bottom w:val="nil"/>
              <w:right w:val="nil"/>
            </w:tcBorders>
            <w:shd w:val="clear" w:color="auto" w:fill="auto"/>
            <w:noWrap/>
            <w:vAlign w:val="bottom"/>
            <w:hideMark/>
          </w:tcPr>
          <w:p w14:paraId="2AA11FB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0.00451**</w:t>
            </w:r>
          </w:p>
        </w:tc>
        <w:tc>
          <w:tcPr>
            <w:tcW w:w="1943" w:type="dxa"/>
            <w:tcBorders>
              <w:top w:val="nil"/>
              <w:left w:val="nil"/>
              <w:bottom w:val="nil"/>
              <w:right w:val="nil"/>
            </w:tcBorders>
            <w:shd w:val="clear" w:color="auto" w:fill="auto"/>
            <w:noWrap/>
            <w:vAlign w:val="bottom"/>
            <w:hideMark/>
          </w:tcPr>
          <w:p w14:paraId="024A3ED8"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557297DA" w14:textId="77777777" w:rsidTr="00FC14A5">
        <w:trPr>
          <w:trHeight w:val="215"/>
        </w:trPr>
        <w:tc>
          <w:tcPr>
            <w:tcW w:w="1968" w:type="dxa"/>
            <w:tcBorders>
              <w:top w:val="nil"/>
              <w:left w:val="nil"/>
              <w:bottom w:val="nil"/>
              <w:right w:val="nil"/>
            </w:tcBorders>
            <w:shd w:val="clear" w:color="auto" w:fill="auto"/>
            <w:noWrap/>
            <w:vAlign w:val="bottom"/>
            <w:hideMark/>
          </w:tcPr>
          <w:p w14:paraId="0A82C0F2"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5530A7A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(7.18)</w:t>
            </w:r>
          </w:p>
        </w:tc>
        <w:tc>
          <w:tcPr>
            <w:tcW w:w="1975" w:type="dxa"/>
            <w:tcBorders>
              <w:top w:val="nil"/>
              <w:left w:val="nil"/>
              <w:bottom w:val="nil"/>
              <w:right w:val="nil"/>
            </w:tcBorders>
            <w:shd w:val="clear" w:color="auto" w:fill="auto"/>
            <w:noWrap/>
            <w:vAlign w:val="bottom"/>
            <w:hideMark/>
          </w:tcPr>
          <w:p w14:paraId="469CA429" w14:textId="77777777" w:rsidR="00FC14A5" w:rsidRPr="005A566B" w:rsidRDefault="00FC14A5" w:rsidP="00FC14A5">
            <w:pPr>
              <w:spacing w:after="0" w:line="240" w:lineRule="auto"/>
              <w:jc w:val="center"/>
              <w:rPr>
                <w:rFonts w:ascii="Arial" w:eastAsia="Times New Roman" w:hAnsi="Arial" w:cs="Arial"/>
                <w:lang w:eastAsia="en-GB"/>
              </w:rPr>
            </w:pPr>
          </w:p>
        </w:tc>
        <w:tc>
          <w:tcPr>
            <w:tcW w:w="1903" w:type="dxa"/>
            <w:tcBorders>
              <w:top w:val="nil"/>
              <w:left w:val="nil"/>
              <w:bottom w:val="nil"/>
              <w:right w:val="nil"/>
            </w:tcBorders>
            <w:shd w:val="clear" w:color="auto" w:fill="auto"/>
            <w:noWrap/>
            <w:vAlign w:val="bottom"/>
            <w:hideMark/>
          </w:tcPr>
          <w:p w14:paraId="0252815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(2.50)</w:t>
            </w:r>
          </w:p>
        </w:tc>
        <w:tc>
          <w:tcPr>
            <w:tcW w:w="1943" w:type="dxa"/>
            <w:tcBorders>
              <w:top w:val="nil"/>
              <w:left w:val="nil"/>
              <w:bottom w:val="nil"/>
              <w:right w:val="nil"/>
            </w:tcBorders>
            <w:shd w:val="clear" w:color="auto" w:fill="auto"/>
            <w:noWrap/>
            <w:vAlign w:val="bottom"/>
            <w:hideMark/>
          </w:tcPr>
          <w:p w14:paraId="323925F9"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1595A7EB" w14:textId="77777777" w:rsidTr="00FC14A5">
        <w:trPr>
          <w:trHeight w:val="215"/>
        </w:trPr>
        <w:tc>
          <w:tcPr>
            <w:tcW w:w="1968" w:type="dxa"/>
            <w:tcBorders>
              <w:top w:val="nil"/>
              <w:left w:val="nil"/>
              <w:bottom w:val="nil"/>
              <w:right w:val="nil"/>
            </w:tcBorders>
            <w:shd w:val="clear" w:color="auto" w:fill="auto"/>
            <w:noWrap/>
            <w:vAlign w:val="bottom"/>
            <w:hideMark/>
          </w:tcPr>
          <w:p w14:paraId="2838613C"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FLEV</w:t>
            </w:r>
            <w:r w:rsidRPr="005A566B">
              <w:rPr>
                <w:rFonts w:ascii="Arial" w:eastAsia="Times New Roman" w:hAnsi="Arial" w:cs="Arial"/>
                <w:sz w:val="10"/>
                <w:lang w:eastAsia="en-GB"/>
              </w:rPr>
              <w:t xml:space="preserve"> </w:t>
            </w:r>
          </w:p>
        </w:tc>
        <w:tc>
          <w:tcPr>
            <w:tcW w:w="1891" w:type="dxa"/>
            <w:tcBorders>
              <w:top w:val="nil"/>
              <w:left w:val="nil"/>
              <w:bottom w:val="nil"/>
              <w:right w:val="nil"/>
            </w:tcBorders>
            <w:shd w:val="clear" w:color="auto" w:fill="auto"/>
            <w:noWrap/>
            <w:vAlign w:val="bottom"/>
            <w:hideMark/>
          </w:tcPr>
          <w:p w14:paraId="15F708E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-0.00804</w:t>
            </w:r>
          </w:p>
        </w:tc>
        <w:tc>
          <w:tcPr>
            <w:tcW w:w="1975" w:type="dxa"/>
            <w:tcBorders>
              <w:top w:val="nil"/>
              <w:left w:val="nil"/>
              <w:bottom w:val="nil"/>
              <w:right w:val="nil"/>
            </w:tcBorders>
            <w:shd w:val="clear" w:color="auto" w:fill="auto"/>
            <w:noWrap/>
            <w:vAlign w:val="bottom"/>
            <w:hideMark/>
          </w:tcPr>
          <w:p w14:paraId="411C373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-0.0153***</w:t>
            </w:r>
          </w:p>
        </w:tc>
        <w:tc>
          <w:tcPr>
            <w:tcW w:w="1903" w:type="dxa"/>
            <w:tcBorders>
              <w:top w:val="nil"/>
              <w:left w:val="nil"/>
              <w:bottom w:val="nil"/>
              <w:right w:val="nil"/>
            </w:tcBorders>
            <w:shd w:val="clear" w:color="auto" w:fill="auto"/>
            <w:noWrap/>
            <w:vAlign w:val="bottom"/>
            <w:hideMark/>
          </w:tcPr>
          <w:p w14:paraId="727E270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-0.00608</w:t>
            </w:r>
          </w:p>
        </w:tc>
        <w:tc>
          <w:tcPr>
            <w:tcW w:w="1943" w:type="dxa"/>
            <w:tcBorders>
              <w:top w:val="nil"/>
              <w:left w:val="nil"/>
              <w:bottom w:val="nil"/>
              <w:right w:val="nil"/>
            </w:tcBorders>
            <w:shd w:val="clear" w:color="auto" w:fill="auto"/>
            <w:noWrap/>
            <w:vAlign w:val="bottom"/>
            <w:hideMark/>
          </w:tcPr>
          <w:p w14:paraId="6CABCAF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-0.0421***</w:t>
            </w:r>
          </w:p>
        </w:tc>
      </w:tr>
      <w:tr w:rsidR="00FC14A5" w:rsidRPr="005A566B" w14:paraId="6656E7C9" w14:textId="77777777" w:rsidTr="00FC14A5">
        <w:trPr>
          <w:trHeight w:val="215"/>
        </w:trPr>
        <w:tc>
          <w:tcPr>
            <w:tcW w:w="1968" w:type="dxa"/>
            <w:tcBorders>
              <w:top w:val="nil"/>
              <w:left w:val="nil"/>
              <w:bottom w:val="nil"/>
              <w:right w:val="nil"/>
            </w:tcBorders>
            <w:shd w:val="clear" w:color="auto" w:fill="auto"/>
            <w:noWrap/>
            <w:vAlign w:val="bottom"/>
            <w:hideMark/>
          </w:tcPr>
          <w:p w14:paraId="29579B8B"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20F6EDA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(-1.00)</w:t>
            </w:r>
          </w:p>
        </w:tc>
        <w:tc>
          <w:tcPr>
            <w:tcW w:w="1975" w:type="dxa"/>
            <w:tcBorders>
              <w:top w:val="nil"/>
              <w:left w:val="nil"/>
              <w:bottom w:val="nil"/>
              <w:right w:val="nil"/>
            </w:tcBorders>
            <w:shd w:val="clear" w:color="auto" w:fill="auto"/>
            <w:noWrap/>
            <w:vAlign w:val="bottom"/>
            <w:hideMark/>
          </w:tcPr>
          <w:p w14:paraId="3C08D8F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(-105.09)</w:t>
            </w:r>
          </w:p>
        </w:tc>
        <w:tc>
          <w:tcPr>
            <w:tcW w:w="1903" w:type="dxa"/>
            <w:tcBorders>
              <w:top w:val="nil"/>
              <w:left w:val="nil"/>
              <w:bottom w:val="nil"/>
              <w:right w:val="nil"/>
            </w:tcBorders>
            <w:shd w:val="clear" w:color="auto" w:fill="auto"/>
            <w:noWrap/>
            <w:vAlign w:val="bottom"/>
            <w:hideMark/>
          </w:tcPr>
          <w:p w14:paraId="3A77804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(-0.88)</w:t>
            </w:r>
          </w:p>
        </w:tc>
        <w:tc>
          <w:tcPr>
            <w:tcW w:w="1943" w:type="dxa"/>
            <w:tcBorders>
              <w:top w:val="nil"/>
              <w:left w:val="nil"/>
              <w:bottom w:val="nil"/>
              <w:right w:val="nil"/>
            </w:tcBorders>
            <w:shd w:val="clear" w:color="auto" w:fill="auto"/>
            <w:noWrap/>
            <w:vAlign w:val="bottom"/>
            <w:hideMark/>
          </w:tcPr>
          <w:p w14:paraId="157FE3E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(-27.50)</w:t>
            </w:r>
          </w:p>
        </w:tc>
      </w:tr>
      <w:tr w:rsidR="00FC14A5" w:rsidRPr="005A566B" w14:paraId="3893EA92" w14:textId="77777777" w:rsidTr="00FC14A5">
        <w:trPr>
          <w:trHeight w:val="215"/>
        </w:trPr>
        <w:tc>
          <w:tcPr>
            <w:tcW w:w="1968" w:type="dxa"/>
            <w:tcBorders>
              <w:top w:val="nil"/>
              <w:left w:val="nil"/>
              <w:bottom w:val="nil"/>
              <w:right w:val="nil"/>
            </w:tcBorders>
            <w:shd w:val="clear" w:color="auto" w:fill="auto"/>
            <w:noWrap/>
            <w:vAlign w:val="bottom"/>
            <w:hideMark/>
          </w:tcPr>
          <w:p w14:paraId="2F07062D"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ATAN</w:t>
            </w:r>
            <w:r w:rsidRPr="005A566B">
              <w:rPr>
                <w:rFonts w:ascii="Arial" w:eastAsia="Times New Roman" w:hAnsi="Arial" w:cs="Arial"/>
                <w:sz w:val="10"/>
                <w:lang w:eastAsia="en-GB"/>
              </w:rPr>
              <w:t xml:space="preserve"> </w:t>
            </w:r>
          </w:p>
        </w:tc>
        <w:tc>
          <w:tcPr>
            <w:tcW w:w="1891" w:type="dxa"/>
            <w:tcBorders>
              <w:top w:val="nil"/>
              <w:left w:val="nil"/>
              <w:bottom w:val="nil"/>
              <w:right w:val="nil"/>
            </w:tcBorders>
            <w:shd w:val="clear" w:color="auto" w:fill="auto"/>
            <w:noWrap/>
            <w:vAlign w:val="bottom"/>
            <w:hideMark/>
          </w:tcPr>
          <w:p w14:paraId="3B84C55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0.000334</w:t>
            </w:r>
          </w:p>
        </w:tc>
        <w:tc>
          <w:tcPr>
            <w:tcW w:w="1975" w:type="dxa"/>
            <w:tcBorders>
              <w:top w:val="nil"/>
              <w:left w:val="nil"/>
              <w:bottom w:val="nil"/>
              <w:right w:val="nil"/>
            </w:tcBorders>
            <w:shd w:val="clear" w:color="auto" w:fill="auto"/>
            <w:noWrap/>
            <w:vAlign w:val="bottom"/>
            <w:hideMark/>
          </w:tcPr>
          <w:p w14:paraId="6F94528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-0.00179***</w:t>
            </w:r>
          </w:p>
        </w:tc>
        <w:tc>
          <w:tcPr>
            <w:tcW w:w="1903" w:type="dxa"/>
            <w:tcBorders>
              <w:top w:val="nil"/>
              <w:left w:val="nil"/>
              <w:bottom w:val="nil"/>
              <w:right w:val="nil"/>
            </w:tcBorders>
            <w:shd w:val="clear" w:color="auto" w:fill="auto"/>
            <w:noWrap/>
            <w:vAlign w:val="bottom"/>
            <w:hideMark/>
          </w:tcPr>
          <w:p w14:paraId="282F0BC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-0.00960</w:t>
            </w:r>
          </w:p>
        </w:tc>
        <w:tc>
          <w:tcPr>
            <w:tcW w:w="1943" w:type="dxa"/>
            <w:tcBorders>
              <w:top w:val="nil"/>
              <w:left w:val="nil"/>
              <w:bottom w:val="nil"/>
              <w:right w:val="nil"/>
            </w:tcBorders>
            <w:shd w:val="clear" w:color="auto" w:fill="auto"/>
            <w:noWrap/>
            <w:vAlign w:val="bottom"/>
            <w:hideMark/>
          </w:tcPr>
          <w:p w14:paraId="2FE3287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-0.0168***</w:t>
            </w:r>
          </w:p>
        </w:tc>
      </w:tr>
      <w:tr w:rsidR="00FC14A5" w:rsidRPr="005A566B" w14:paraId="31A2AB4E" w14:textId="77777777" w:rsidTr="00FC14A5">
        <w:trPr>
          <w:trHeight w:val="215"/>
        </w:trPr>
        <w:tc>
          <w:tcPr>
            <w:tcW w:w="1968" w:type="dxa"/>
            <w:tcBorders>
              <w:top w:val="nil"/>
              <w:left w:val="nil"/>
              <w:bottom w:val="nil"/>
              <w:right w:val="nil"/>
            </w:tcBorders>
            <w:shd w:val="clear" w:color="auto" w:fill="auto"/>
            <w:noWrap/>
            <w:vAlign w:val="bottom"/>
            <w:hideMark/>
          </w:tcPr>
          <w:p w14:paraId="1D9AA341"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5075C1A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(0.29)</w:t>
            </w:r>
          </w:p>
        </w:tc>
        <w:tc>
          <w:tcPr>
            <w:tcW w:w="1975" w:type="dxa"/>
            <w:tcBorders>
              <w:top w:val="nil"/>
              <w:left w:val="nil"/>
              <w:bottom w:val="nil"/>
              <w:right w:val="nil"/>
            </w:tcBorders>
            <w:shd w:val="clear" w:color="auto" w:fill="auto"/>
            <w:noWrap/>
            <w:vAlign w:val="bottom"/>
            <w:hideMark/>
          </w:tcPr>
          <w:p w14:paraId="50927FE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(-8.80)</w:t>
            </w:r>
          </w:p>
        </w:tc>
        <w:tc>
          <w:tcPr>
            <w:tcW w:w="1903" w:type="dxa"/>
            <w:tcBorders>
              <w:top w:val="nil"/>
              <w:left w:val="nil"/>
              <w:bottom w:val="nil"/>
              <w:right w:val="nil"/>
            </w:tcBorders>
            <w:shd w:val="clear" w:color="auto" w:fill="auto"/>
            <w:noWrap/>
            <w:vAlign w:val="bottom"/>
            <w:hideMark/>
          </w:tcPr>
          <w:p w14:paraId="1F428EA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(-1.61)</w:t>
            </w:r>
          </w:p>
        </w:tc>
        <w:tc>
          <w:tcPr>
            <w:tcW w:w="1943" w:type="dxa"/>
            <w:tcBorders>
              <w:top w:val="nil"/>
              <w:left w:val="nil"/>
              <w:bottom w:val="nil"/>
              <w:right w:val="nil"/>
            </w:tcBorders>
            <w:shd w:val="clear" w:color="auto" w:fill="auto"/>
            <w:noWrap/>
            <w:vAlign w:val="bottom"/>
            <w:hideMark/>
          </w:tcPr>
          <w:p w14:paraId="5767513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(-13.82)</w:t>
            </w:r>
          </w:p>
        </w:tc>
      </w:tr>
      <w:tr w:rsidR="00FC14A5" w:rsidRPr="005A566B" w14:paraId="0180A072" w14:textId="77777777" w:rsidTr="00FC14A5">
        <w:trPr>
          <w:trHeight w:val="215"/>
        </w:trPr>
        <w:tc>
          <w:tcPr>
            <w:tcW w:w="1968" w:type="dxa"/>
            <w:tcBorders>
              <w:top w:val="nil"/>
              <w:left w:val="nil"/>
              <w:bottom w:val="nil"/>
              <w:right w:val="nil"/>
            </w:tcBorders>
            <w:shd w:val="clear" w:color="auto" w:fill="auto"/>
            <w:noWrap/>
            <w:vAlign w:val="bottom"/>
            <w:hideMark/>
          </w:tcPr>
          <w:p w14:paraId="48929565"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GROWTH</w:t>
            </w:r>
            <w:r w:rsidRPr="005A566B">
              <w:rPr>
                <w:rFonts w:ascii="Arial" w:eastAsia="Times New Roman" w:hAnsi="Arial" w:cs="Arial"/>
                <w:sz w:val="10"/>
                <w:lang w:eastAsia="en-GB"/>
              </w:rPr>
              <w:t xml:space="preserve"> </w:t>
            </w:r>
          </w:p>
        </w:tc>
        <w:tc>
          <w:tcPr>
            <w:tcW w:w="1891" w:type="dxa"/>
            <w:tcBorders>
              <w:top w:val="nil"/>
              <w:left w:val="nil"/>
              <w:bottom w:val="nil"/>
              <w:right w:val="nil"/>
            </w:tcBorders>
            <w:shd w:val="clear" w:color="auto" w:fill="auto"/>
            <w:noWrap/>
            <w:vAlign w:val="bottom"/>
            <w:hideMark/>
          </w:tcPr>
          <w:p w14:paraId="3A7A172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0.0151***</w:t>
            </w:r>
          </w:p>
        </w:tc>
        <w:tc>
          <w:tcPr>
            <w:tcW w:w="1975" w:type="dxa"/>
            <w:tcBorders>
              <w:top w:val="nil"/>
              <w:left w:val="nil"/>
              <w:bottom w:val="nil"/>
              <w:right w:val="nil"/>
            </w:tcBorders>
            <w:shd w:val="clear" w:color="auto" w:fill="auto"/>
            <w:noWrap/>
            <w:vAlign w:val="bottom"/>
            <w:hideMark/>
          </w:tcPr>
          <w:p w14:paraId="78D7671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-0.000934***</w:t>
            </w:r>
          </w:p>
        </w:tc>
        <w:tc>
          <w:tcPr>
            <w:tcW w:w="1903" w:type="dxa"/>
            <w:tcBorders>
              <w:top w:val="nil"/>
              <w:left w:val="nil"/>
              <w:bottom w:val="nil"/>
              <w:right w:val="nil"/>
            </w:tcBorders>
            <w:shd w:val="clear" w:color="auto" w:fill="auto"/>
            <w:noWrap/>
            <w:vAlign w:val="bottom"/>
            <w:hideMark/>
          </w:tcPr>
          <w:p w14:paraId="7A99FBF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0.00401**</w:t>
            </w:r>
          </w:p>
        </w:tc>
        <w:tc>
          <w:tcPr>
            <w:tcW w:w="1943" w:type="dxa"/>
            <w:tcBorders>
              <w:top w:val="nil"/>
              <w:left w:val="nil"/>
              <w:bottom w:val="nil"/>
              <w:right w:val="nil"/>
            </w:tcBorders>
            <w:shd w:val="clear" w:color="auto" w:fill="auto"/>
            <w:noWrap/>
            <w:vAlign w:val="bottom"/>
            <w:hideMark/>
          </w:tcPr>
          <w:p w14:paraId="00636E0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-0.000421***</w:t>
            </w:r>
          </w:p>
        </w:tc>
      </w:tr>
      <w:tr w:rsidR="00FC14A5" w:rsidRPr="005A566B" w14:paraId="33FD42B3" w14:textId="77777777" w:rsidTr="00FC14A5">
        <w:trPr>
          <w:trHeight w:val="215"/>
        </w:trPr>
        <w:tc>
          <w:tcPr>
            <w:tcW w:w="1968" w:type="dxa"/>
            <w:tcBorders>
              <w:top w:val="nil"/>
              <w:left w:val="nil"/>
              <w:bottom w:val="nil"/>
              <w:right w:val="nil"/>
            </w:tcBorders>
            <w:shd w:val="clear" w:color="auto" w:fill="auto"/>
            <w:noWrap/>
            <w:vAlign w:val="bottom"/>
            <w:hideMark/>
          </w:tcPr>
          <w:p w14:paraId="3E97D4BC"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hideMark/>
          </w:tcPr>
          <w:p w14:paraId="61C915A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(7.72)</w:t>
            </w:r>
          </w:p>
        </w:tc>
        <w:tc>
          <w:tcPr>
            <w:tcW w:w="1975" w:type="dxa"/>
            <w:tcBorders>
              <w:top w:val="nil"/>
              <w:left w:val="nil"/>
              <w:bottom w:val="nil"/>
              <w:right w:val="nil"/>
            </w:tcBorders>
            <w:shd w:val="clear" w:color="auto" w:fill="auto"/>
            <w:noWrap/>
            <w:vAlign w:val="bottom"/>
            <w:hideMark/>
          </w:tcPr>
          <w:p w14:paraId="7A50DFF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(-66.29)</w:t>
            </w:r>
          </w:p>
        </w:tc>
        <w:tc>
          <w:tcPr>
            <w:tcW w:w="1903" w:type="dxa"/>
            <w:tcBorders>
              <w:top w:val="nil"/>
              <w:left w:val="nil"/>
              <w:bottom w:val="nil"/>
              <w:right w:val="nil"/>
            </w:tcBorders>
            <w:shd w:val="clear" w:color="auto" w:fill="auto"/>
            <w:noWrap/>
            <w:vAlign w:val="bottom"/>
            <w:hideMark/>
          </w:tcPr>
          <w:p w14:paraId="0BADE6D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(2.10)</w:t>
            </w:r>
          </w:p>
        </w:tc>
        <w:tc>
          <w:tcPr>
            <w:tcW w:w="1943" w:type="dxa"/>
            <w:tcBorders>
              <w:top w:val="nil"/>
              <w:left w:val="nil"/>
              <w:bottom w:val="nil"/>
              <w:right w:val="nil"/>
            </w:tcBorders>
            <w:shd w:val="clear" w:color="auto" w:fill="auto"/>
            <w:noWrap/>
            <w:vAlign w:val="bottom"/>
            <w:hideMark/>
          </w:tcPr>
          <w:p w14:paraId="297CCE2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(-19.93)</w:t>
            </w:r>
          </w:p>
        </w:tc>
      </w:tr>
      <w:tr w:rsidR="00FC14A5" w:rsidRPr="005A566B" w14:paraId="4526A191" w14:textId="77777777" w:rsidTr="00FC14A5">
        <w:trPr>
          <w:trHeight w:val="215"/>
        </w:trPr>
        <w:tc>
          <w:tcPr>
            <w:tcW w:w="1968" w:type="dxa"/>
            <w:tcBorders>
              <w:top w:val="nil"/>
              <w:left w:val="nil"/>
              <w:bottom w:val="nil"/>
              <w:right w:val="nil"/>
            </w:tcBorders>
            <w:shd w:val="clear" w:color="auto" w:fill="auto"/>
            <w:noWrap/>
            <w:vAlign w:val="center"/>
          </w:tcPr>
          <w:p w14:paraId="15F49E07"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INDUSTRY</w:t>
            </w:r>
          </w:p>
        </w:tc>
        <w:tc>
          <w:tcPr>
            <w:tcW w:w="1891" w:type="dxa"/>
            <w:tcBorders>
              <w:top w:val="nil"/>
              <w:left w:val="nil"/>
              <w:bottom w:val="nil"/>
              <w:right w:val="nil"/>
            </w:tcBorders>
            <w:shd w:val="clear" w:color="auto" w:fill="auto"/>
            <w:noWrap/>
            <w:vAlign w:val="bottom"/>
          </w:tcPr>
          <w:p w14:paraId="645F339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75" w:type="dxa"/>
            <w:tcBorders>
              <w:top w:val="nil"/>
              <w:left w:val="nil"/>
              <w:bottom w:val="nil"/>
              <w:right w:val="nil"/>
            </w:tcBorders>
            <w:shd w:val="clear" w:color="auto" w:fill="auto"/>
            <w:noWrap/>
            <w:vAlign w:val="bottom"/>
          </w:tcPr>
          <w:p w14:paraId="334AA81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03" w:type="dxa"/>
            <w:tcBorders>
              <w:top w:val="nil"/>
              <w:left w:val="nil"/>
              <w:bottom w:val="nil"/>
              <w:right w:val="nil"/>
            </w:tcBorders>
            <w:shd w:val="clear" w:color="auto" w:fill="auto"/>
            <w:noWrap/>
            <w:vAlign w:val="bottom"/>
          </w:tcPr>
          <w:p w14:paraId="521EF60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43" w:type="dxa"/>
            <w:tcBorders>
              <w:top w:val="nil"/>
              <w:left w:val="nil"/>
              <w:bottom w:val="nil"/>
              <w:right w:val="nil"/>
            </w:tcBorders>
            <w:shd w:val="clear" w:color="auto" w:fill="auto"/>
            <w:noWrap/>
            <w:vAlign w:val="bottom"/>
          </w:tcPr>
          <w:p w14:paraId="08D0966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FC14A5" w:rsidRPr="005A566B" w14:paraId="3C9F3068" w14:textId="77777777" w:rsidTr="00FC14A5">
        <w:trPr>
          <w:trHeight w:val="215"/>
        </w:trPr>
        <w:tc>
          <w:tcPr>
            <w:tcW w:w="1968" w:type="dxa"/>
            <w:tcBorders>
              <w:top w:val="nil"/>
              <w:left w:val="nil"/>
              <w:bottom w:val="nil"/>
              <w:right w:val="nil"/>
            </w:tcBorders>
            <w:shd w:val="clear" w:color="auto" w:fill="auto"/>
            <w:noWrap/>
            <w:vAlign w:val="center"/>
          </w:tcPr>
          <w:p w14:paraId="761121B2"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tcPr>
          <w:p w14:paraId="0A46AAB2" w14:textId="77777777" w:rsidR="00FC14A5" w:rsidRPr="005A566B" w:rsidRDefault="00FC14A5" w:rsidP="00FC14A5">
            <w:pPr>
              <w:spacing w:after="0" w:line="240" w:lineRule="auto"/>
              <w:jc w:val="center"/>
              <w:rPr>
                <w:rFonts w:ascii="Arial" w:eastAsia="Times New Roman" w:hAnsi="Arial" w:cs="Arial"/>
                <w:lang w:eastAsia="en-GB"/>
              </w:rPr>
            </w:pPr>
          </w:p>
        </w:tc>
        <w:tc>
          <w:tcPr>
            <w:tcW w:w="1975" w:type="dxa"/>
            <w:tcBorders>
              <w:top w:val="nil"/>
              <w:left w:val="nil"/>
              <w:bottom w:val="nil"/>
              <w:right w:val="nil"/>
            </w:tcBorders>
            <w:shd w:val="clear" w:color="auto" w:fill="auto"/>
            <w:noWrap/>
            <w:vAlign w:val="bottom"/>
          </w:tcPr>
          <w:p w14:paraId="540F1A0C" w14:textId="77777777" w:rsidR="00FC14A5" w:rsidRPr="005A566B" w:rsidRDefault="00FC14A5" w:rsidP="00FC14A5">
            <w:pPr>
              <w:spacing w:after="0" w:line="240" w:lineRule="auto"/>
              <w:jc w:val="center"/>
              <w:rPr>
                <w:rFonts w:ascii="Arial" w:eastAsia="Times New Roman" w:hAnsi="Arial" w:cs="Arial"/>
                <w:lang w:eastAsia="en-GB"/>
              </w:rPr>
            </w:pPr>
          </w:p>
        </w:tc>
        <w:tc>
          <w:tcPr>
            <w:tcW w:w="1903" w:type="dxa"/>
            <w:tcBorders>
              <w:top w:val="nil"/>
              <w:left w:val="nil"/>
              <w:bottom w:val="nil"/>
              <w:right w:val="nil"/>
            </w:tcBorders>
            <w:shd w:val="clear" w:color="auto" w:fill="auto"/>
            <w:noWrap/>
            <w:vAlign w:val="bottom"/>
          </w:tcPr>
          <w:p w14:paraId="62671EB7" w14:textId="77777777" w:rsidR="00FC14A5" w:rsidRPr="005A566B" w:rsidRDefault="00FC14A5" w:rsidP="00FC14A5">
            <w:pPr>
              <w:spacing w:after="0" w:line="240" w:lineRule="auto"/>
              <w:jc w:val="center"/>
              <w:rPr>
                <w:rFonts w:ascii="Arial" w:eastAsia="Times New Roman" w:hAnsi="Arial" w:cs="Arial"/>
                <w:lang w:eastAsia="en-GB"/>
              </w:rPr>
            </w:pPr>
          </w:p>
        </w:tc>
        <w:tc>
          <w:tcPr>
            <w:tcW w:w="1943" w:type="dxa"/>
            <w:tcBorders>
              <w:top w:val="nil"/>
              <w:left w:val="nil"/>
              <w:bottom w:val="nil"/>
              <w:right w:val="nil"/>
            </w:tcBorders>
            <w:shd w:val="clear" w:color="auto" w:fill="auto"/>
            <w:noWrap/>
            <w:vAlign w:val="bottom"/>
          </w:tcPr>
          <w:p w14:paraId="291242F3"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2B991CE9" w14:textId="77777777" w:rsidTr="00FC14A5">
        <w:trPr>
          <w:trHeight w:val="215"/>
        </w:trPr>
        <w:tc>
          <w:tcPr>
            <w:tcW w:w="1968" w:type="dxa"/>
            <w:tcBorders>
              <w:top w:val="nil"/>
              <w:left w:val="nil"/>
              <w:bottom w:val="nil"/>
              <w:right w:val="nil"/>
            </w:tcBorders>
            <w:shd w:val="clear" w:color="auto" w:fill="auto"/>
            <w:noWrap/>
            <w:vAlign w:val="center"/>
          </w:tcPr>
          <w:p w14:paraId="4210CE3D"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YEAR</w:t>
            </w:r>
          </w:p>
        </w:tc>
        <w:tc>
          <w:tcPr>
            <w:tcW w:w="1891" w:type="dxa"/>
            <w:tcBorders>
              <w:top w:val="nil"/>
              <w:left w:val="nil"/>
              <w:bottom w:val="nil"/>
              <w:right w:val="nil"/>
            </w:tcBorders>
            <w:shd w:val="clear" w:color="auto" w:fill="auto"/>
            <w:noWrap/>
            <w:vAlign w:val="bottom"/>
          </w:tcPr>
          <w:p w14:paraId="19C4C67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75" w:type="dxa"/>
            <w:tcBorders>
              <w:top w:val="nil"/>
              <w:left w:val="nil"/>
              <w:bottom w:val="nil"/>
              <w:right w:val="nil"/>
            </w:tcBorders>
            <w:shd w:val="clear" w:color="auto" w:fill="auto"/>
            <w:noWrap/>
            <w:vAlign w:val="bottom"/>
          </w:tcPr>
          <w:p w14:paraId="2CFD8D1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03" w:type="dxa"/>
            <w:tcBorders>
              <w:top w:val="nil"/>
              <w:left w:val="nil"/>
              <w:bottom w:val="nil"/>
              <w:right w:val="nil"/>
            </w:tcBorders>
            <w:shd w:val="clear" w:color="auto" w:fill="auto"/>
            <w:noWrap/>
            <w:vAlign w:val="bottom"/>
          </w:tcPr>
          <w:p w14:paraId="161A22A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43" w:type="dxa"/>
            <w:tcBorders>
              <w:top w:val="nil"/>
              <w:left w:val="nil"/>
              <w:bottom w:val="nil"/>
              <w:right w:val="nil"/>
            </w:tcBorders>
            <w:shd w:val="clear" w:color="auto" w:fill="auto"/>
            <w:noWrap/>
            <w:vAlign w:val="bottom"/>
          </w:tcPr>
          <w:p w14:paraId="03B0AAE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FC14A5" w:rsidRPr="005A566B" w14:paraId="6C4C50B9" w14:textId="77777777" w:rsidTr="00FC14A5">
        <w:trPr>
          <w:trHeight w:val="215"/>
        </w:trPr>
        <w:tc>
          <w:tcPr>
            <w:tcW w:w="1968" w:type="dxa"/>
            <w:tcBorders>
              <w:top w:val="nil"/>
              <w:left w:val="nil"/>
              <w:bottom w:val="nil"/>
              <w:right w:val="nil"/>
            </w:tcBorders>
            <w:shd w:val="clear" w:color="auto" w:fill="auto"/>
            <w:noWrap/>
            <w:vAlign w:val="bottom"/>
          </w:tcPr>
          <w:p w14:paraId="2BF6EAF1"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tcPr>
          <w:p w14:paraId="3A9FE04A" w14:textId="77777777" w:rsidR="00FC14A5" w:rsidRPr="005A566B" w:rsidRDefault="00FC14A5" w:rsidP="00FC14A5">
            <w:pPr>
              <w:spacing w:after="0" w:line="240" w:lineRule="auto"/>
              <w:jc w:val="center"/>
              <w:rPr>
                <w:rFonts w:ascii="Arial" w:eastAsia="Times New Roman" w:hAnsi="Arial" w:cs="Arial"/>
                <w:lang w:eastAsia="en-GB"/>
              </w:rPr>
            </w:pPr>
          </w:p>
        </w:tc>
        <w:tc>
          <w:tcPr>
            <w:tcW w:w="1975" w:type="dxa"/>
            <w:tcBorders>
              <w:top w:val="nil"/>
              <w:left w:val="nil"/>
              <w:bottom w:val="nil"/>
              <w:right w:val="nil"/>
            </w:tcBorders>
            <w:shd w:val="clear" w:color="auto" w:fill="auto"/>
            <w:noWrap/>
            <w:vAlign w:val="bottom"/>
          </w:tcPr>
          <w:p w14:paraId="226C4E54" w14:textId="77777777" w:rsidR="00FC14A5" w:rsidRPr="005A566B" w:rsidRDefault="00FC14A5" w:rsidP="00FC14A5">
            <w:pPr>
              <w:spacing w:after="0" w:line="240" w:lineRule="auto"/>
              <w:jc w:val="center"/>
              <w:rPr>
                <w:rFonts w:ascii="Arial" w:eastAsia="Times New Roman" w:hAnsi="Arial" w:cs="Arial"/>
                <w:lang w:eastAsia="en-GB"/>
              </w:rPr>
            </w:pPr>
          </w:p>
        </w:tc>
        <w:tc>
          <w:tcPr>
            <w:tcW w:w="1903" w:type="dxa"/>
            <w:tcBorders>
              <w:top w:val="nil"/>
              <w:left w:val="nil"/>
              <w:bottom w:val="nil"/>
              <w:right w:val="nil"/>
            </w:tcBorders>
            <w:shd w:val="clear" w:color="auto" w:fill="auto"/>
            <w:noWrap/>
            <w:vAlign w:val="bottom"/>
          </w:tcPr>
          <w:p w14:paraId="30059F05" w14:textId="77777777" w:rsidR="00FC14A5" w:rsidRPr="005A566B" w:rsidRDefault="00FC14A5" w:rsidP="00FC14A5">
            <w:pPr>
              <w:spacing w:after="0" w:line="240" w:lineRule="auto"/>
              <w:jc w:val="center"/>
              <w:rPr>
                <w:rFonts w:ascii="Arial" w:eastAsia="Times New Roman" w:hAnsi="Arial" w:cs="Arial"/>
                <w:lang w:eastAsia="en-GB"/>
              </w:rPr>
            </w:pPr>
          </w:p>
        </w:tc>
        <w:tc>
          <w:tcPr>
            <w:tcW w:w="1943" w:type="dxa"/>
            <w:tcBorders>
              <w:top w:val="nil"/>
              <w:left w:val="nil"/>
              <w:bottom w:val="nil"/>
              <w:right w:val="nil"/>
            </w:tcBorders>
            <w:shd w:val="clear" w:color="auto" w:fill="auto"/>
            <w:noWrap/>
            <w:vAlign w:val="bottom"/>
          </w:tcPr>
          <w:p w14:paraId="62B246A0" w14:textId="77777777" w:rsidR="00FC14A5" w:rsidRPr="005A566B" w:rsidRDefault="00FC14A5" w:rsidP="00FC14A5">
            <w:pPr>
              <w:spacing w:after="0" w:line="240" w:lineRule="auto"/>
              <w:jc w:val="center"/>
              <w:rPr>
                <w:rFonts w:ascii="Arial" w:eastAsia="Times New Roman" w:hAnsi="Arial" w:cs="Arial"/>
                <w:lang w:eastAsia="en-GB"/>
              </w:rPr>
            </w:pPr>
          </w:p>
        </w:tc>
      </w:tr>
      <w:tr w:rsidR="000F3BE0" w:rsidRPr="005A566B" w14:paraId="0BC9DF2B" w14:textId="77777777" w:rsidTr="00FC14A5">
        <w:trPr>
          <w:trHeight w:val="215"/>
        </w:trPr>
        <w:tc>
          <w:tcPr>
            <w:tcW w:w="1968" w:type="dxa"/>
            <w:tcBorders>
              <w:top w:val="nil"/>
              <w:left w:val="nil"/>
              <w:bottom w:val="nil"/>
              <w:right w:val="nil"/>
            </w:tcBorders>
            <w:shd w:val="clear" w:color="auto" w:fill="auto"/>
            <w:noWrap/>
            <w:vAlign w:val="bottom"/>
            <w:hideMark/>
          </w:tcPr>
          <w:p w14:paraId="46C1B8ED" w14:textId="77777777" w:rsidR="000F3BE0" w:rsidRPr="005A566B" w:rsidRDefault="000F3BE0"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OBSERVATIONS</w:t>
            </w:r>
          </w:p>
        </w:tc>
        <w:tc>
          <w:tcPr>
            <w:tcW w:w="1891" w:type="dxa"/>
            <w:tcBorders>
              <w:top w:val="nil"/>
              <w:left w:val="nil"/>
              <w:bottom w:val="nil"/>
              <w:right w:val="nil"/>
            </w:tcBorders>
            <w:shd w:val="clear" w:color="auto" w:fill="auto"/>
            <w:noWrap/>
            <w:vAlign w:val="bottom"/>
            <w:hideMark/>
          </w:tcPr>
          <w:p w14:paraId="10E02F59" w14:textId="3E97DFF4"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975" w:type="dxa"/>
            <w:tcBorders>
              <w:top w:val="nil"/>
              <w:left w:val="nil"/>
              <w:bottom w:val="nil"/>
              <w:right w:val="nil"/>
            </w:tcBorders>
            <w:shd w:val="clear" w:color="auto" w:fill="auto"/>
            <w:noWrap/>
            <w:vAlign w:val="bottom"/>
            <w:hideMark/>
          </w:tcPr>
          <w:p w14:paraId="0385153E" w14:textId="6377690F"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903" w:type="dxa"/>
            <w:tcBorders>
              <w:top w:val="nil"/>
              <w:left w:val="nil"/>
              <w:bottom w:val="nil"/>
              <w:right w:val="nil"/>
            </w:tcBorders>
            <w:shd w:val="clear" w:color="auto" w:fill="auto"/>
            <w:noWrap/>
            <w:vAlign w:val="bottom"/>
            <w:hideMark/>
          </w:tcPr>
          <w:p w14:paraId="238CAFEF" w14:textId="770640FC"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943" w:type="dxa"/>
            <w:tcBorders>
              <w:top w:val="nil"/>
              <w:left w:val="nil"/>
              <w:bottom w:val="nil"/>
              <w:right w:val="nil"/>
            </w:tcBorders>
            <w:shd w:val="clear" w:color="auto" w:fill="auto"/>
            <w:noWrap/>
            <w:vAlign w:val="bottom"/>
            <w:hideMark/>
          </w:tcPr>
          <w:p w14:paraId="67463771" w14:textId="45F7E9E6"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r>
      <w:tr w:rsidR="00FC14A5" w:rsidRPr="005A566B" w14:paraId="38A5A1BC" w14:textId="77777777" w:rsidTr="00FC14A5">
        <w:trPr>
          <w:trHeight w:val="215"/>
        </w:trPr>
        <w:tc>
          <w:tcPr>
            <w:tcW w:w="1968" w:type="dxa"/>
            <w:tcBorders>
              <w:top w:val="nil"/>
              <w:left w:val="nil"/>
              <w:bottom w:val="nil"/>
              <w:right w:val="nil"/>
            </w:tcBorders>
            <w:shd w:val="clear" w:color="auto" w:fill="auto"/>
            <w:noWrap/>
            <w:vAlign w:val="bottom"/>
          </w:tcPr>
          <w:p w14:paraId="5A83246D"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tcPr>
          <w:p w14:paraId="74193F17" w14:textId="77777777" w:rsidR="00FC14A5" w:rsidRPr="005A566B" w:rsidRDefault="00FC14A5" w:rsidP="00FC14A5">
            <w:pPr>
              <w:spacing w:after="0" w:line="240" w:lineRule="auto"/>
              <w:jc w:val="center"/>
              <w:rPr>
                <w:rFonts w:ascii="Arial" w:eastAsia="Times New Roman" w:hAnsi="Arial" w:cs="Arial"/>
                <w:lang w:eastAsia="en-GB"/>
              </w:rPr>
            </w:pPr>
          </w:p>
        </w:tc>
        <w:tc>
          <w:tcPr>
            <w:tcW w:w="1975" w:type="dxa"/>
            <w:tcBorders>
              <w:top w:val="nil"/>
              <w:left w:val="nil"/>
              <w:bottom w:val="nil"/>
              <w:right w:val="nil"/>
            </w:tcBorders>
            <w:shd w:val="clear" w:color="auto" w:fill="auto"/>
            <w:noWrap/>
            <w:vAlign w:val="bottom"/>
          </w:tcPr>
          <w:p w14:paraId="079638DD" w14:textId="77777777" w:rsidR="00FC14A5" w:rsidRPr="005A566B" w:rsidRDefault="00FC14A5" w:rsidP="00FC14A5">
            <w:pPr>
              <w:spacing w:after="0" w:line="240" w:lineRule="auto"/>
              <w:jc w:val="center"/>
              <w:rPr>
                <w:rFonts w:ascii="Arial" w:eastAsia="Times New Roman" w:hAnsi="Arial" w:cs="Arial"/>
                <w:lang w:eastAsia="en-GB"/>
              </w:rPr>
            </w:pPr>
          </w:p>
        </w:tc>
        <w:tc>
          <w:tcPr>
            <w:tcW w:w="1903" w:type="dxa"/>
            <w:tcBorders>
              <w:top w:val="nil"/>
              <w:left w:val="nil"/>
              <w:bottom w:val="nil"/>
              <w:right w:val="nil"/>
            </w:tcBorders>
            <w:shd w:val="clear" w:color="auto" w:fill="auto"/>
            <w:noWrap/>
            <w:vAlign w:val="bottom"/>
          </w:tcPr>
          <w:p w14:paraId="29103228" w14:textId="77777777" w:rsidR="00FC14A5" w:rsidRPr="005A566B" w:rsidRDefault="00FC14A5" w:rsidP="00FC14A5">
            <w:pPr>
              <w:spacing w:after="0" w:line="240" w:lineRule="auto"/>
              <w:jc w:val="center"/>
              <w:rPr>
                <w:rFonts w:ascii="Arial" w:eastAsia="Times New Roman" w:hAnsi="Arial" w:cs="Arial"/>
                <w:lang w:eastAsia="en-GB"/>
              </w:rPr>
            </w:pPr>
          </w:p>
        </w:tc>
        <w:tc>
          <w:tcPr>
            <w:tcW w:w="1943" w:type="dxa"/>
            <w:tcBorders>
              <w:top w:val="nil"/>
              <w:left w:val="nil"/>
              <w:bottom w:val="nil"/>
              <w:right w:val="nil"/>
            </w:tcBorders>
            <w:shd w:val="clear" w:color="auto" w:fill="auto"/>
            <w:noWrap/>
            <w:vAlign w:val="bottom"/>
          </w:tcPr>
          <w:p w14:paraId="6D60E106"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658DC637" w14:textId="77777777" w:rsidTr="00FC14A5">
        <w:trPr>
          <w:trHeight w:val="215"/>
        </w:trPr>
        <w:tc>
          <w:tcPr>
            <w:tcW w:w="1968" w:type="dxa"/>
            <w:tcBorders>
              <w:top w:val="nil"/>
              <w:left w:val="nil"/>
              <w:bottom w:val="nil"/>
              <w:right w:val="nil"/>
            </w:tcBorders>
            <w:shd w:val="clear" w:color="auto" w:fill="auto"/>
            <w:noWrap/>
            <w:vAlign w:val="center"/>
          </w:tcPr>
          <w:p w14:paraId="453A7B32"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HANSEN TEST (P)</w:t>
            </w:r>
          </w:p>
        </w:tc>
        <w:tc>
          <w:tcPr>
            <w:tcW w:w="1891" w:type="dxa"/>
            <w:tcBorders>
              <w:top w:val="nil"/>
              <w:left w:val="nil"/>
              <w:bottom w:val="nil"/>
              <w:right w:val="nil"/>
            </w:tcBorders>
            <w:shd w:val="clear" w:color="auto" w:fill="auto"/>
            <w:noWrap/>
            <w:vAlign w:val="bottom"/>
          </w:tcPr>
          <w:p w14:paraId="6F94F51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0.237</w:t>
            </w:r>
          </w:p>
        </w:tc>
        <w:tc>
          <w:tcPr>
            <w:tcW w:w="1975" w:type="dxa"/>
            <w:tcBorders>
              <w:top w:val="nil"/>
              <w:left w:val="nil"/>
              <w:bottom w:val="nil"/>
              <w:right w:val="nil"/>
            </w:tcBorders>
            <w:shd w:val="clear" w:color="auto" w:fill="auto"/>
            <w:noWrap/>
            <w:vAlign w:val="bottom"/>
          </w:tcPr>
          <w:p w14:paraId="408B81F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0.339</w:t>
            </w:r>
          </w:p>
        </w:tc>
        <w:tc>
          <w:tcPr>
            <w:tcW w:w="1903" w:type="dxa"/>
            <w:tcBorders>
              <w:top w:val="nil"/>
              <w:left w:val="nil"/>
              <w:bottom w:val="nil"/>
              <w:right w:val="nil"/>
            </w:tcBorders>
            <w:shd w:val="clear" w:color="auto" w:fill="auto"/>
            <w:noWrap/>
            <w:vAlign w:val="bottom"/>
          </w:tcPr>
          <w:p w14:paraId="4304EDD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0.442</w:t>
            </w:r>
          </w:p>
        </w:tc>
        <w:tc>
          <w:tcPr>
            <w:tcW w:w="1943" w:type="dxa"/>
            <w:tcBorders>
              <w:top w:val="nil"/>
              <w:left w:val="nil"/>
              <w:bottom w:val="nil"/>
              <w:right w:val="nil"/>
            </w:tcBorders>
            <w:shd w:val="clear" w:color="auto" w:fill="auto"/>
            <w:noWrap/>
            <w:vAlign w:val="bottom"/>
          </w:tcPr>
          <w:p w14:paraId="2F26260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0.391</w:t>
            </w:r>
          </w:p>
        </w:tc>
      </w:tr>
      <w:tr w:rsidR="00FC14A5" w:rsidRPr="005A566B" w14:paraId="756DEA93" w14:textId="77777777" w:rsidTr="00FC14A5">
        <w:trPr>
          <w:trHeight w:val="215"/>
        </w:trPr>
        <w:tc>
          <w:tcPr>
            <w:tcW w:w="1968" w:type="dxa"/>
            <w:tcBorders>
              <w:top w:val="nil"/>
              <w:left w:val="nil"/>
              <w:bottom w:val="nil"/>
              <w:right w:val="nil"/>
            </w:tcBorders>
            <w:shd w:val="clear" w:color="auto" w:fill="auto"/>
            <w:noWrap/>
            <w:vAlign w:val="center"/>
          </w:tcPr>
          <w:p w14:paraId="0AFA067F" w14:textId="77777777" w:rsidR="00FC14A5" w:rsidRPr="005A566B" w:rsidRDefault="00FC14A5" w:rsidP="00FC14A5">
            <w:pPr>
              <w:spacing w:after="0" w:line="240" w:lineRule="auto"/>
              <w:rPr>
                <w:rFonts w:ascii="Arial" w:eastAsia="Times New Roman" w:hAnsi="Arial" w:cs="Arial"/>
                <w:lang w:eastAsia="en-GB"/>
              </w:rPr>
            </w:pPr>
          </w:p>
        </w:tc>
        <w:tc>
          <w:tcPr>
            <w:tcW w:w="1891" w:type="dxa"/>
            <w:tcBorders>
              <w:top w:val="nil"/>
              <w:left w:val="nil"/>
              <w:bottom w:val="nil"/>
              <w:right w:val="nil"/>
            </w:tcBorders>
            <w:shd w:val="clear" w:color="auto" w:fill="auto"/>
            <w:noWrap/>
            <w:vAlign w:val="bottom"/>
          </w:tcPr>
          <w:p w14:paraId="34D7F9CC" w14:textId="77777777" w:rsidR="00FC14A5" w:rsidRPr="005A566B" w:rsidRDefault="00FC14A5" w:rsidP="00FC14A5">
            <w:pPr>
              <w:spacing w:after="0" w:line="240" w:lineRule="auto"/>
              <w:jc w:val="center"/>
              <w:rPr>
                <w:rFonts w:ascii="Arial" w:eastAsia="Times New Roman" w:hAnsi="Arial" w:cs="Arial"/>
                <w:lang w:eastAsia="en-GB"/>
              </w:rPr>
            </w:pPr>
          </w:p>
        </w:tc>
        <w:tc>
          <w:tcPr>
            <w:tcW w:w="1975" w:type="dxa"/>
            <w:tcBorders>
              <w:top w:val="nil"/>
              <w:left w:val="nil"/>
              <w:bottom w:val="nil"/>
              <w:right w:val="nil"/>
            </w:tcBorders>
            <w:shd w:val="clear" w:color="auto" w:fill="auto"/>
            <w:noWrap/>
            <w:vAlign w:val="bottom"/>
          </w:tcPr>
          <w:p w14:paraId="5C96E1C5" w14:textId="77777777" w:rsidR="00FC14A5" w:rsidRPr="005A566B" w:rsidRDefault="00FC14A5" w:rsidP="00FC14A5">
            <w:pPr>
              <w:spacing w:after="0" w:line="240" w:lineRule="auto"/>
              <w:jc w:val="center"/>
              <w:rPr>
                <w:rFonts w:ascii="Arial" w:eastAsia="Times New Roman" w:hAnsi="Arial" w:cs="Arial"/>
                <w:lang w:eastAsia="en-GB"/>
              </w:rPr>
            </w:pPr>
          </w:p>
        </w:tc>
        <w:tc>
          <w:tcPr>
            <w:tcW w:w="1903" w:type="dxa"/>
            <w:tcBorders>
              <w:top w:val="nil"/>
              <w:left w:val="nil"/>
              <w:bottom w:val="nil"/>
              <w:right w:val="nil"/>
            </w:tcBorders>
            <w:shd w:val="clear" w:color="auto" w:fill="auto"/>
            <w:noWrap/>
            <w:vAlign w:val="bottom"/>
          </w:tcPr>
          <w:p w14:paraId="23603A87" w14:textId="77777777" w:rsidR="00FC14A5" w:rsidRPr="005A566B" w:rsidRDefault="00FC14A5" w:rsidP="00FC14A5">
            <w:pPr>
              <w:spacing w:after="0" w:line="240" w:lineRule="auto"/>
              <w:jc w:val="center"/>
              <w:rPr>
                <w:rFonts w:ascii="Arial" w:eastAsia="Times New Roman" w:hAnsi="Arial" w:cs="Arial"/>
                <w:lang w:eastAsia="en-GB"/>
              </w:rPr>
            </w:pPr>
          </w:p>
        </w:tc>
        <w:tc>
          <w:tcPr>
            <w:tcW w:w="1943" w:type="dxa"/>
            <w:tcBorders>
              <w:top w:val="nil"/>
              <w:left w:val="nil"/>
              <w:bottom w:val="nil"/>
              <w:right w:val="nil"/>
            </w:tcBorders>
            <w:shd w:val="clear" w:color="auto" w:fill="auto"/>
            <w:noWrap/>
            <w:vAlign w:val="bottom"/>
          </w:tcPr>
          <w:p w14:paraId="3DB21F77"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0CBEEB4D" w14:textId="77777777" w:rsidTr="00E0543F">
        <w:trPr>
          <w:trHeight w:val="215"/>
        </w:trPr>
        <w:tc>
          <w:tcPr>
            <w:tcW w:w="1968" w:type="dxa"/>
            <w:tcBorders>
              <w:top w:val="nil"/>
              <w:left w:val="nil"/>
              <w:right w:val="nil"/>
            </w:tcBorders>
            <w:shd w:val="clear" w:color="auto" w:fill="auto"/>
            <w:noWrap/>
            <w:vAlign w:val="center"/>
            <w:hideMark/>
          </w:tcPr>
          <w:p w14:paraId="14CCFB25"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AR1 (p)</w:t>
            </w:r>
          </w:p>
        </w:tc>
        <w:tc>
          <w:tcPr>
            <w:tcW w:w="1891" w:type="dxa"/>
            <w:tcBorders>
              <w:top w:val="nil"/>
              <w:left w:val="nil"/>
              <w:right w:val="nil"/>
            </w:tcBorders>
            <w:shd w:val="clear" w:color="auto" w:fill="auto"/>
            <w:noWrap/>
            <w:vAlign w:val="bottom"/>
            <w:hideMark/>
          </w:tcPr>
          <w:p w14:paraId="16CB8A1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975" w:type="dxa"/>
            <w:tcBorders>
              <w:top w:val="nil"/>
              <w:left w:val="nil"/>
              <w:right w:val="nil"/>
            </w:tcBorders>
            <w:shd w:val="clear" w:color="auto" w:fill="auto"/>
            <w:noWrap/>
            <w:vAlign w:val="bottom"/>
            <w:hideMark/>
          </w:tcPr>
          <w:p w14:paraId="197D716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903" w:type="dxa"/>
            <w:tcBorders>
              <w:top w:val="nil"/>
              <w:left w:val="nil"/>
              <w:right w:val="nil"/>
            </w:tcBorders>
            <w:shd w:val="clear" w:color="auto" w:fill="auto"/>
            <w:noWrap/>
            <w:vAlign w:val="bottom"/>
            <w:hideMark/>
          </w:tcPr>
          <w:p w14:paraId="7C74E04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943" w:type="dxa"/>
            <w:tcBorders>
              <w:top w:val="nil"/>
              <w:left w:val="nil"/>
              <w:right w:val="nil"/>
            </w:tcBorders>
            <w:shd w:val="clear" w:color="auto" w:fill="auto"/>
            <w:noWrap/>
            <w:vAlign w:val="bottom"/>
            <w:hideMark/>
          </w:tcPr>
          <w:p w14:paraId="2ACCC56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r>
      <w:tr w:rsidR="00FC14A5" w:rsidRPr="005A566B" w14:paraId="235C2B89" w14:textId="77777777" w:rsidTr="00FC14A5">
        <w:trPr>
          <w:trHeight w:val="215"/>
        </w:trPr>
        <w:tc>
          <w:tcPr>
            <w:tcW w:w="1968" w:type="dxa"/>
            <w:tcBorders>
              <w:top w:val="nil"/>
              <w:left w:val="nil"/>
              <w:bottom w:val="nil"/>
              <w:right w:val="nil"/>
            </w:tcBorders>
            <w:shd w:val="clear" w:color="auto" w:fill="auto"/>
            <w:noWrap/>
            <w:vAlign w:val="center"/>
            <w:hideMark/>
          </w:tcPr>
          <w:p w14:paraId="13559063"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AR2 (p)</w:t>
            </w:r>
          </w:p>
        </w:tc>
        <w:tc>
          <w:tcPr>
            <w:tcW w:w="1891" w:type="dxa"/>
            <w:tcBorders>
              <w:top w:val="nil"/>
              <w:left w:val="nil"/>
              <w:bottom w:val="nil"/>
              <w:right w:val="nil"/>
            </w:tcBorders>
            <w:shd w:val="clear" w:color="auto" w:fill="auto"/>
            <w:noWrap/>
            <w:vAlign w:val="bottom"/>
            <w:hideMark/>
          </w:tcPr>
          <w:p w14:paraId="5490EE4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0.299</w:t>
            </w:r>
          </w:p>
        </w:tc>
        <w:tc>
          <w:tcPr>
            <w:tcW w:w="1975" w:type="dxa"/>
            <w:tcBorders>
              <w:top w:val="nil"/>
              <w:left w:val="nil"/>
              <w:bottom w:val="nil"/>
              <w:right w:val="nil"/>
            </w:tcBorders>
            <w:shd w:val="clear" w:color="auto" w:fill="auto"/>
            <w:noWrap/>
            <w:vAlign w:val="bottom"/>
            <w:hideMark/>
          </w:tcPr>
          <w:p w14:paraId="5711B1C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0.184</w:t>
            </w:r>
          </w:p>
        </w:tc>
        <w:tc>
          <w:tcPr>
            <w:tcW w:w="1903" w:type="dxa"/>
            <w:tcBorders>
              <w:top w:val="nil"/>
              <w:left w:val="nil"/>
              <w:bottom w:val="nil"/>
              <w:right w:val="nil"/>
            </w:tcBorders>
            <w:shd w:val="clear" w:color="auto" w:fill="auto"/>
            <w:noWrap/>
            <w:vAlign w:val="bottom"/>
            <w:hideMark/>
          </w:tcPr>
          <w:p w14:paraId="5CDDB13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0.624</w:t>
            </w:r>
          </w:p>
        </w:tc>
        <w:tc>
          <w:tcPr>
            <w:tcW w:w="1943" w:type="dxa"/>
            <w:tcBorders>
              <w:top w:val="nil"/>
              <w:left w:val="nil"/>
              <w:bottom w:val="nil"/>
              <w:right w:val="nil"/>
            </w:tcBorders>
            <w:shd w:val="clear" w:color="auto" w:fill="auto"/>
            <w:noWrap/>
            <w:vAlign w:val="bottom"/>
            <w:hideMark/>
          </w:tcPr>
          <w:p w14:paraId="3FE3DB2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0.383</w:t>
            </w:r>
          </w:p>
        </w:tc>
      </w:tr>
    </w:tbl>
    <w:p w14:paraId="21FEE69C" w14:textId="77777777" w:rsidR="00D86DF0" w:rsidRPr="005A566B" w:rsidRDefault="00D86DF0" w:rsidP="00D86DF0">
      <w:pPr>
        <w:pBdr>
          <w:bottom w:val="single" w:sz="4" w:space="1" w:color="auto"/>
        </w:pBdr>
        <w:spacing w:after="200" w:line="276" w:lineRule="auto"/>
        <w:rPr>
          <w:rFonts w:ascii="Arial" w:eastAsia="Calibri" w:hAnsi="Arial" w:cs="Arial"/>
          <w:b/>
          <w:bCs/>
          <w:iCs/>
        </w:rPr>
      </w:pPr>
    </w:p>
    <w:p w14:paraId="4AE1BF38" w14:textId="77777777" w:rsidR="00FC14A5" w:rsidRPr="005A566B" w:rsidRDefault="00FC14A5" w:rsidP="00D86DF0">
      <w:pPr>
        <w:pBdr>
          <w:bottom w:val="single" w:sz="4" w:space="1" w:color="auto"/>
        </w:pBdr>
        <w:spacing w:after="200" w:line="276" w:lineRule="auto"/>
        <w:rPr>
          <w:rFonts w:ascii="Arial" w:eastAsia="Calibri" w:hAnsi="Arial" w:cs="Arial"/>
          <w:bCs/>
          <w:iCs/>
        </w:rPr>
      </w:pPr>
      <w:r w:rsidRPr="005A566B">
        <w:rPr>
          <w:rFonts w:ascii="Arial" w:eastAsia="Calibri" w:hAnsi="Arial" w:cs="Arial"/>
          <w:b/>
          <w:bCs/>
          <w:iCs/>
        </w:rPr>
        <w:lastRenderedPageBreak/>
        <w:t xml:space="preserve">Table 6: </w:t>
      </w:r>
      <w:r w:rsidRPr="005A566B">
        <w:rPr>
          <w:rFonts w:ascii="Arial" w:eastAsia="Calibri" w:hAnsi="Arial" w:cs="Arial"/>
          <w:bCs/>
          <w:iCs/>
        </w:rPr>
        <w:t>Working Capital Management, Environmental Conditions and Firm</w:t>
      </w:r>
      <w:r w:rsidR="00383CA7" w:rsidRPr="005A566B">
        <w:rPr>
          <w:rFonts w:ascii="Arial" w:eastAsia="Calibri" w:hAnsi="Arial" w:cs="Arial"/>
          <w:bCs/>
          <w:iCs/>
        </w:rPr>
        <w:t>s’</w:t>
      </w:r>
      <w:r w:rsidRPr="005A566B">
        <w:rPr>
          <w:rFonts w:ascii="Arial" w:eastAsia="Calibri" w:hAnsi="Arial" w:cs="Arial"/>
          <w:bCs/>
          <w:iCs/>
        </w:rPr>
        <w:t xml:space="preserve"> </w:t>
      </w:r>
      <w:r w:rsidR="00383CA7" w:rsidRPr="005A566B">
        <w:rPr>
          <w:rFonts w:ascii="Arial" w:eastAsia="Calibri" w:hAnsi="Arial" w:cs="Arial"/>
          <w:bCs/>
          <w:iCs/>
        </w:rPr>
        <w:t xml:space="preserve">Financial </w:t>
      </w:r>
      <w:r w:rsidRPr="005A566B">
        <w:rPr>
          <w:rFonts w:ascii="Arial" w:eastAsia="Calibri" w:hAnsi="Arial" w:cs="Arial"/>
          <w:bCs/>
          <w:iCs/>
        </w:rPr>
        <w:t xml:space="preserve">Performance </w:t>
      </w:r>
    </w:p>
    <w:p w14:paraId="5171AB4C" w14:textId="47451487" w:rsidR="00FC14A5" w:rsidRPr="005A566B" w:rsidRDefault="00FC14A5" w:rsidP="00FC14A5">
      <w:pPr>
        <w:spacing w:after="200" w:line="276" w:lineRule="auto"/>
        <w:jc w:val="both"/>
        <w:rPr>
          <w:rFonts w:ascii="Arial" w:eastAsia="Calibri" w:hAnsi="Arial" w:cs="Arial"/>
        </w:rPr>
      </w:pPr>
      <w:r w:rsidRPr="005A566B">
        <w:rPr>
          <w:rFonts w:ascii="Arial" w:eastAsia="Calibri" w:hAnsi="Arial" w:cs="Arial"/>
          <w:sz w:val="20"/>
          <w:szCs w:val="20"/>
        </w:rPr>
        <w:t xml:space="preserve">This table reports a </w:t>
      </w:r>
      <w:r w:rsidRPr="005A566B">
        <w:rPr>
          <w:rFonts w:ascii="Arial" w:eastAsia="Calibri" w:hAnsi="Arial" w:cs="Arial"/>
          <w:sz w:val="13"/>
          <w:szCs w:val="13"/>
        </w:rPr>
        <w:t xml:space="preserve"> </w:t>
      </w:r>
      <w:r w:rsidRPr="005A566B">
        <w:rPr>
          <w:rFonts w:ascii="Arial" w:eastAsia="Calibri" w:hAnsi="Arial" w:cs="Arial"/>
          <w:sz w:val="20"/>
          <w:szCs w:val="20"/>
        </w:rPr>
        <w:t>generalized method of moments (GMM) first-difference estimation on the relationship between WCM</w:t>
      </w:r>
      <w:r w:rsidRPr="005A566B">
        <w:rPr>
          <w:rFonts w:ascii="Arial" w:eastAsia="Calibri" w:hAnsi="Arial" w:cs="Arial"/>
          <w:bCs/>
          <w:iCs/>
          <w:sz w:val="20"/>
          <w:szCs w:val="20"/>
        </w:rPr>
        <w:t xml:space="preserve"> and firm </w:t>
      </w:r>
      <w:r w:rsidR="00383CA7" w:rsidRPr="005A566B">
        <w:rPr>
          <w:rFonts w:ascii="Arial" w:eastAsia="Calibri" w:hAnsi="Arial" w:cs="Arial"/>
          <w:bCs/>
          <w:iCs/>
          <w:sz w:val="20"/>
          <w:szCs w:val="20"/>
        </w:rPr>
        <w:t xml:space="preserve"> financial performance</w:t>
      </w:r>
      <w:r w:rsidRPr="005A566B">
        <w:rPr>
          <w:rFonts w:ascii="Arial" w:eastAsia="Calibri" w:hAnsi="Arial" w:cs="Arial"/>
          <w:sz w:val="20"/>
          <w:szCs w:val="20"/>
        </w:rPr>
        <w:t xml:space="preserve"> </w:t>
      </w:r>
      <w:r w:rsidRPr="005A566B">
        <w:rPr>
          <w:rFonts w:ascii="Arial" w:eastAsia="Times New Roman" w:hAnsi="Arial" w:cs="Arial"/>
          <w:noProof/>
          <w:sz w:val="20"/>
          <w:szCs w:val="20"/>
        </w:rPr>
        <w:t xml:space="preserve">for across </w:t>
      </w:r>
      <w:r w:rsidR="00A91615" w:rsidRPr="005A566B">
        <w:rPr>
          <w:rFonts w:ascii="Arial" w:eastAsia="Times New Roman" w:hAnsi="Arial" w:cs="Arial"/>
          <w:noProof/>
          <w:sz w:val="20"/>
          <w:szCs w:val="20"/>
        </w:rPr>
        <w:t>802</w:t>
      </w:r>
      <w:r w:rsidRPr="005A566B">
        <w:rPr>
          <w:rFonts w:ascii="Arial" w:eastAsia="Times New Roman" w:hAnsi="Arial" w:cs="Arial"/>
          <w:noProof/>
          <w:sz w:val="20"/>
          <w:szCs w:val="20"/>
        </w:rPr>
        <w:t xml:space="preserve"> UK </w:t>
      </w:r>
      <w:r w:rsidR="00D86DF0" w:rsidRPr="005A566B">
        <w:rPr>
          <w:rFonts w:ascii="Arial" w:eastAsia="Times New Roman" w:hAnsi="Arial" w:cs="Arial"/>
          <w:noProof/>
          <w:sz w:val="20"/>
          <w:szCs w:val="20"/>
        </w:rPr>
        <w:t>quoted</w:t>
      </w:r>
      <w:r w:rsidRPr="005A566B">
        <w:rPr>
          <w:rFonts w:ascii="Arial" w:eastAsia="Times New Roman" w:hAnsi="Arial" w:cs="Arial"/>
          <w:noProof/>
          <w:sz w:val="20"/>
          <w:szCs w:val="20"/>
        </w:rPr>
        <w:t xml:space="preserve"> firms over the period </w:t>
      </w:r>
      <w:r w:rsidR="00383CA7" w:rsidRPr="005A566B">
        <w:rPr>
          <w:rFonts w:ascii="Arial" w:eastAsia="Times New Roman" w:hAnsi="Arial" w:cs="Arial"/>
          <w:noProof/>
          <w:sz w:val="20"/>
          <w:szCs w:val="20"/>
        </w:rPr>
        <w:t>2004-2014</w:t>
      </w:r>
      <w:r w:rsidRPr="005A566B">
        <w:rPr>
          <w:rFonts w:ascii="Arial" w:eastAsia="Calibri" w:hAnsi="Arial" w:cs="Arial"/>
          <w:sz w:val="20"/>
          <w:szCs w:val="20"/>
        </w:rPr>
        <w:t xml:space="preserve">, with </w:t>
      </w:r>
      <w:r w:rsidRPr="005A566B">
        <w:rPr>
          <w:rFonts w:ascii="Arial" w:eastAsia="Calibri" w:hAnsi="Arial" w:cs="Arial"/>
          <w:i/>
          <w:sz w:val="20"/>
          <w:szCs w:val="20"/>
        </w:rPr>
        <w:t>t</w:t>
      </w:r>
      <w:r w:rsidRPr="005A566B">
        <w:rPr>
          <w:rFonts w:ascii="Arial" w:eastAsia="Calibri" w:hAnsi="Arial" w:cs="Arial"/>
          <w:sz w:val="20"/>
          <w:szCs w:val="20"/>
        </w:rPr>
        <w:t xml:space="preserve">−statistics (reported in parentheses). The dependent variable is the return on assets and Tobin’s Q. All variables are defined in Table 1. </w:t>
      </w:r>
      <w:r w:rsidRPr="005A566B">
        <w:rPr>
          <w:rFonts w:ascii="Arial" w:eastAsia="Times New Roman" w:hAnsi="Arial" w:cs="Arial"/>
          <w:bCs/>
          <w:iCs/>
          <w:sz w:val="20"/>
          <w:szCs w:val="20"/>
          <w:lang w:eastAsia="en-GB"/>
        </w:rPr>
        <w:t>AR1 (AR2) is a test for first- (second-) order serial correlation in the first-differenced residuals, asymptotically distributed as N(0, 1) under the null of no serial. Hansen test is a test of over-identifying restrictions distributed asymptotically under null hypothesis of validity of instruments as Chi-squared. The degrees of freedom are given in parenthesis. Instruments include AGE</w:t>
      </w:r>
      <w:r w:rsidRPr="005A566B">
        <w:rPr>
          <w:rFonts w:ascii="Arial" w:eastAsia="Times New Roman" w:hAnsi="Arial" w:cs="Arial"/>
          <w:bCs/>
          <w:iCs/>
          <w:sz w:val="12"/>
          <w:szCs w:val="20"/>
          <w:lang w:eastAsia="en-GB"/>
        </w:rPr>
        <w:t>i,t-2</w:t>
      </w:r>
      <w:r w:rsidRPr="005A566B">
        <w:rPr>
          <w:rFonts w:ascii="Arial" w:eastAsia="Times New Roman" w:hAnsi="Arial" w:cs="Arial"/>
          <w:bCs/>
          <w:iCs/>
          <w:sz w:val="20"/>
          <w:szCs w:val="20"/>
          <w:lang w:eastAsia="en-GB"/>
        </w:rPr>
        <w:t>; CR</w:t>
      </w:r>
      <w:r w:rsidRPr="005A566B">
        <w:rPr>
          <w:rFonts w:ascii="Arial" w:eastAsia="Times New Roman" w:hAnsi="Arial" w:cs="Arial"/>
          <w:bCs/>
          <w:iCs/>
          <w:sz w:val="12"/>
          <w:szCs w:val="20"/>
          <w:lang w:eastAsia="en-GB"/>
        </w:rPr>
        <w:t xml:space="preserve">i,t-2 </w:t>
      </w:r>
      <w:r w:rsidRPr="005A566B">
        <w:rPr>
          <w:rFonts w:ascii="Arial" w:eastAsia="Times New Roman" w:hAnsi="Arial" w:cs="Arial"/>
          <w:bCs/>
          <w:iCs/>
          <w:sz w:val="20"/>
          <w:szCs w:val="20"/>
          <w:lang w:eastAsia="en-GB"/>
        </w:rPr>
        <w:t>FLEV</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GROWTH</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and further lags. Year dummies and time dummies interacted with industry dummies were always included as regressors and as instruments.</w:t>
      </w:r>
      <w:r w:rsidRPr="005A566B">
        <w:rPr>
          <w:rFonts w:ascii="Arial" w:eastAsia="Calibri" w:hAnsi="Arial" w:cs="Arial"/>
          <w:sz w:val="20"/>
          <w:szCs w:val="20"/>
        </w:rPr>
        <w:t xml:space="preserve">  ***, ** and * represent coefficients significant at the 1%, 5% and 10% levels correspondingly (two−tailed tests).</w:t>
      </w:r>
    </w:p>
    <w:tbl>
      <w:tblPr>
        <w:tblW w:w="10058" w:type="dxa"/>
        <w:tblInd w:w="93" w:type="dxa"/>
        <w:tblLook w:val="04A0" w:firstRow="1" w:lastRow="0" w:firstColumn="1" w:lastColumn="0" w:noHBand="0" w:noVBand="1"/>
      </w:tblPr>
      <w:tblGrid>
        <w:gridCol w:w="2733"/>
        <w:gridCol w:w="1739"/>
        <w:gridCol w:w="1957"/>
        <w:gridCol w:w="1717"/>
        <w:gridCol w:w="1912"/>
      </w:tblGrid>
      <w:tr w:rsidR="00FC14A5" w:rsidRPr="005A566B" w14:paraId="0E6631EF" w14:textId="77777777" w:rsidTr="00FC14A5">
        <w:trPr>
          <w:trHeight w:val="204"/>
        </w:trPr>
        <w:tc>
          <w:tcPr>
            <w:tcW w:w="2733" w:type="dxa"/>
            <w:tcBorders>
              <w:top w:val="single" w:sz="4" w:space="0" w:color="auto"/>
              <w:left w:val="nil"/>
              <w:bottom w:val="single" w:sz="4" w:space="0" w:color="auto"/>
              <w:right w:val="nil"/>
            </w:tcBorders>
            <w:shd w:val="clear" w:color="auto" w:fill="auto"/>
            <w:noWrap/>
            <w:vAlign w:val="bottom"/>
            <w:hideMark/>
          </w:tcPr>
          <w:p w14:paraId="10C5684A"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DEPENDENT</w:t>
            </w:r>
          </w:p>
        </w:tc>
        <w:tc>
          <w:tcPr>
            <w:tcW w:w="1739" w:type="dxa"/>
            <w:tcBorders>
              <w:top w:val="single" w:sz="4" w:space="0" w:color="auto"/>
              <w:left w:val="nil"/>
              <w:bottom w:val="single" w:sz="4" w:space="0" w:color="auto"/>
              <w:right w:val="nil"/>
            </w:tcBorders>
            <w:shd w:val="clear" w:color="auto" w:fill="auto"/>
            <w:noWrap/>
            <w:vAlign w:val="bottom"/>
            <w:hideMark/>
          </w:tcPr>
          <w:p w14:paraId="003EA50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w:t>
            </w:r>
          </w:p>
        </w:tc>
        <w:tc>
          <w:tcPr>
            <w:tcW w:w="1957" w:type="dxa"/>
            <w:tcBorders>
              <w:top w:val="single" w:sz="4" w:space="0" w:color="auto"/>
              <w:left w:val="nil"/>
              <w:bottom w:val="single" w:sz="4" w:space="0" w:color="auto"/>
              <w:right w:val="nil"/>
            </w:tcBorders>
            <w:shd w:val="clear" w:color="auto" w:fill="auto"/>
            <w:noWrap/>
            <w:vAlign w:val="bottom"/>
            <w:hideMark/>
          </w:tcPr>
          <w:p w14:paraId="7E4D64E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w:t>
            </w:r>
          </w:p>
        </w:tc>
        <w:tc>
          <w:tcPr>
            <w:tcW w:w="1717" w:type="dxa"/>
            <w:tcBorders>
              <w:top w:val="single" w:sz="4" w:space="0" w:color="auto"/>
              <w:left w:val="nil"/>
              <w:bottom w:val="single" w:sz="4" w:space="0" w:color="auto"/>
              <w:right w:val="nil"/>
            </w:tcBorders>
            <w:shd w:val="clear" w:color="auto" w:fill="auto"/>
            <w:noWrap/>
            <w:vAlign w:val="bottom"/>
            <w:hideMark/>
          </w:tcPr>
          <w:p w14:paraId="7A2461E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w:t>
            </w:r>
          </w:p>
        </w:tc>
        <w:tc>
          <w:tcPr>
            <w:tcW w:w="1912" w:type="dxa"/>
            <w:tcBorders>
              <w:top w:val="single" w:sz="4" w:space="0" w:color="auto"/>
              <w:left w:val="nil"/>
              <w:bottom w:val="single" w:sz="4" w:space="0" w:color="auto"/>
              <w:right w:val="nil"/>
            </w:tcBorders>
            <w:shd w:val="clear" w:color="auto" w:fill="auto"/>
            <w:noWrap/>
            <w:vAlign w:val="bottom"/>
            <w:hideMark/>
          </w:tcPr>
          <w:p w14:paraId="60CC084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w:t>
            </w:r>
          </w:p>
        </w:tc>
      </w:tr>
      <w:tr w:rsidR="00FC14A5" w:rsidRPr="005A566B" w14:paraId="0968B087" w14:textId="77777777" w:rsidTr="00FC14A5">
        <w:trPr>
          <w:trHeight w:val="204"/>
        </w:trPr>
        <w:tc>
          <w:tcPr>
            <w:tcW w:w="2733" w:type="dxa"/>
            <w:tcBorders>
              <w:top w:val="single" w:sz="4" w:space="0" w:color="auto"/>
              <w:left w:val="nil"/>
              <w:bottom w:val="single" w:sz="4" w:space="0" w:color="auto"/>
              <w:right w:val="nil"/>
            </w:tcBorders>
            <w:shd w:val="clear" w:color="auto" w:fill="auto"/>
            <w:noWrap/>
            <w:vAlign w:val="bottom"/>
            <w:hideMark/>
          </w:tcPr>
          <w:p w14:paraId="019662C3"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VARIABLE </w:t>
            </w:r>
          </w:p>
        </w:tc>
        <w:tc>
          <w:tcPr>
            <w:tcW w:w="1739" w:type="dxa"/>
            <w:tcBorders>
              <w:top w:val="single" w:sz="4" w:space="0" w:color="auto"/>
              <w:left w:val="nil"/>
              <w:bottom w:val="single" w:sz="4" w:space="0" w:color="auto"/>
              <w:right w:val="nil"/>
            </w:tcBorders>
            <w:shd w:val="clear" w:color="auto" w:fill="auto"/>
            <w:noWrap/>
            <w:vAlign w:val="bottom"/>
            <w:hideMark/>
          </w:tcPr>
          <w:p w14:paraId="01578A8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957" w:type="dxa"/>
            <w:tcBorders>
              <w:top w:val="single" w:sz="4" w:space="0" w:color="auto"/>
              <w:left w:val="nil"/>
              <w:bottom w:val="single" w:sz="4" w:space="0" w:color="auto"/>
              <w:right w:val="nil"/>
            </w:tcBorders>
            <w:shd w:val="clear" w:color="auto" w:fill="auto"/>
            <w:noWrap/>
            <w:vAlign w:val="bottom"/>
            <w:hideMark/>
          </w:tcPr>
          <w:p w14:paraId="16699BD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c>
          <w:tcPr>
            <w:tcW w:w="1717" w:type="dxa"/>
            <w:tcBorders>
              <w:top w:val="single" w:sz="4" w:space="0" w:color="auto"/>
              <w:left w:val="nil"/>
              <w:bottom w:val="single" w:sz="4" w:space="0" w:color="auto"/>
              <w:right w:val="nil"/>
            </w:tcBorders>
            <w:shd w:val="clear" w:color="auto" w:fill="auto"/>
            <w:noWrap/>
            <w:vAlign w:val="bottom"/>
            <w:hideMark/>
          </w:tcPr>
          <w:p w14:paraId="6C8D04D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912" w:type="dxa"/>
            <w:tcBorders>
              <w:top w:val="single" w:sz="4" w:space="0" w:color="auto"/>
              <w:left w:val="nil"/>
              <w:bottom w:val="single" w:sz="4" w:space="0" w:color="auto"/>
              <w:right w:val="nil"/>
            </w:tcBorders>
            <w:shd w:val="clear" w:color="auto" w:fill="auto"/>
            <w:noWrap/>
            <w:vAlign w:val="bottom"/>
            <w:hideMark/>
          </w:tcPr>
          <w:p w14:paraId="78FFD3A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r>
      <w:tr w:rsidR="00FC14A5" w:rsidRPr="005A566B" w14:paraId="51488B30" w14:textId="77777777" w:rsidTr="00FC14A5">
        <w:trPr>
          <w:trHeight w:val="204"/>
        </w:trPr>
        <w:tc>
          <w:tcPr>
            <w:tcW w:w="2733" w:type="dxa"/>
            <w:tcBorders>
              <w:top w:val="nil"/>
              <w:left w:val="nil"/>
              <w:bottom w:val="nil"/>
              <w:right w:val="nil"/>
            </w:tcBorders>
            <w:shd w:val="clear" w:color="auto" w:fill="auto"/>
            <w:noWrap/>
            <w:vAlign w:val="bottom"/>
            <w:hideMark/>
          </w:tcPr>
          <w:p w14:paraId="1048D754"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ROA</w:t>
            </w:r>
          </w:p>
        </w:tc>
        <w:tc>
          <w:tcPr>
            <w:tcW w:w="1739" w:type="dxa"/>
            <w:tcBorders>
              <w:top w:val="single" w:sz="4" w:space="0" w:color="auto"/>
              <w:left w:val="nil"/>
              <w:bottom w:val="nil"/>
              <w:right w:val="nil"/>
            </w:tcBorders>
            <w:shd w:val="clear" w:color="auto" w:fill="auto"/>
            <w:noWrap/>
            <w:vAlign w:val="bottom"/>
            <w:hideMark/>
          </w:tcPr>
          <w:p w14:paraId="5579726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0.326***</w:t>
            </w:r>
          </w:p>
        </w:tc>
        <w:tc>
          <w:tcPr>
            <w:tcW w:w="1957" w:type="dxa"/>
            <w:tcBorders>
              <w:top w:val="single" w:sz="4" w:space="0" w:color="auto"/>
              <w:left w:val="nil"/>
              <w:bottom w:val="nil"/>
              <w:right w:val="nil"/>
            </w:tcBorders>
            <w:shd w:val="clear" w:color="auto" w:fill="auto"/>
            <w:noWrap/>
            <w:vAlign w:val="bottom"/>
            <w:hideMark/>
          </w:tcPr>
          <w:p w14:paraId="2F26BEC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0.386***</w:t>
            </w:r>
          </w:p>
        </w:tc>
        <w:tc>
          <w:tcPr>
            <w:tcW w:w="1717" w:type="dxa"/>
            <w:tcBorders>
              <w:top w:val="single" w:sz="4" w:space="0" w:color="auto"/>
              <w:left w:val="nil"/>
              <w:bottom w:val="nil"/>
              <w:right w:val="nil"/>
            </w:tcBorders>
            <w:shd w:val="clear" w:color="auto" w:fill="auto"/>
            <w:noWrap/>
            <w:vAlign w:val="bottom"/>
            <w:hideMark/>
          </w:tcPr>
          <w:p w14:paraId="7C7268BB" w14:textId="77777777" w:rsidR="00FC14A5" w:rsidRPr="005A566B" w:rsidRDefault="00FC14A5" w:rsidP="00FC14A5">
            <w:pPr>
              <w:spacing w:after="0" w:line="240" w:lineRule="auto"/>
              <w:jc w:val="center"/>
              <w:rPr>
                <w:rFonts w:ascii="Arial" w:eastAsia="Times New Roman" w:hAnsi="Arial" w:cs="Arial"/>
                <w:lang w:eastAsia="en-GB"/>
              </w:rPr>
            </w:pPr>
          </w:p>
        </w:tc>
        <w:tc>
          <w:tcPr>
            <w:tcW w:w="1912" w:type="dxa"/>
            <w:tcBorders>
              <w:top w:val="single" w:sz="4" w:space="0" w:color="auto"/>
              <w:left w:val="nil"/>
              <w:bottom w:val="nil"/>
              <w:right w:val="nil"/>
            </w:tcBorders>
            <w:shd w:val="clear" w:color="auto" w:fill="auto"/>
            <w:noWrap/>
            <w:vAlign w:val="bottom"/>
            <w:hideMark/>
          </w:tcPr>
          <w:p w14:paraId="4C28B8DB"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1319AD25" w14:textId="77777777" w:rsidTr="00FC14A5">
        <w:trPr>
          <w:trHeight w:val="204"/>
        </w:trPr>
        <w:tc>
          <w:tcPr>
            <w:tcW w:w="2733" w:type="dxa"/>
            <w:tcBorders>
              <w:top w:val="nil"/>
              <w:left w:val="nil"/>
              <w:bottom w:val="nil"/>
              <w:right w:val="nil"/>
            </w:tcBorders>
            <w:shd w:val="clear" w:color="auto" w:fill="auto"/>
            <w:noWrap/>
            <w:vAlign w:val="bottom"/>
            <w:hideMark/>
          </w:tcPr>
          <w:p w14:paraId="6710A446"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047B0A9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(14.00)</w:t>
            </w:r>
          </w:p>
        </w:tc>
        <w:tc>
          <w:tcPr>
            <w:tcW w:w="1957" w:type="dxa"/>
            <w:tcBorders>
              <w:top w:val="nil"/>
              <w:left w:val="nil"/>
              <w:bottom w:val="nil"/>
              <w:right w:val="nil"/>
            </w:tcBorders>
            <w:shd w:val="clear" w:color="auto" w:fill="auto"/>
            <w:noWrap/>
            <w:vAlign w:val="bottom"/>
            <w:hideMark/>
          </w:tcPr>
          <w:p w14:paraId="7F5211A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(317.87)</w:t>
            </w:r>
          </w:p>
        </w:tc>
        <w:tc>
          <w:tcPr>
            <w:tcW w:w="1717" w:type="dxa"/>
            <w:tcBorders>
              <w:top w:val="nil"/>
              <w:left w:val="nil"/>
              <w:bottom w:val="nil"/>
              <w:right w:val="nil"/>
            </w:tcBorders>
            <w:shd w:val="clear" w:color="auto" w:fill="auto"/>
            <w:noWrap/>
            <w:vAlign w:val="bottom"/>
            <w:hideMark/>
          </w:tcPr>
          <w:p w14:paraId="0A7D1D5A" w14:textId="77777777" w:rsidR="00FC14A5" w:rsidRPr="005A566B" w:rsidRDefault="00FC14A5" w:rsidP="00FC14A5">
            <w:pPr>
              <w:spacing w:after="0" w:line="240" w:lineRule="auto"/>
              <w:jc w:val="center"/>
              <w:rPr>
                <w:rFonts w:ascii="Arial" w:eastAsia="Times New Roman" w:hAnsi="Arial" w:cs="Arial"/>
                <w:lang w:eastAsia="en-GB"/>
              </w:rPr>
            </w:pPr>
          </w:p>
        </w:tc>
        <w:tc>
          <w:tcPr>
            <w:tcW w:w="1912" w:type="dxa"/>
            <w:tcBorders>
              <w:top w:val="nil"/>
              <w:left w:val="nil"/>
              <w:bottom w:val="nil"/>
              <w:right w:val="nil"/>
            </w:tcBorders>
            <w:shd w:val="clear" w:color="auto" w:fill="auto"/>
            <w:noWrap/>
            <w:vAlign w:val="bottom"/>
            <w:hideMark/>
          </w:tcPr>
          <w:p w14:paraId="7CDBB0C7"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420BD071" w14:textId="77777777" w:rsidTr="00FC14A5">
        <w:trPr>
          <w:trHeight w:val="204"/>
        </w:trPr>
        <w:tc>
          <w:tcPr>
            <w:tcW w:w="2733" w:type="dxa"/>
            <w:tcBorders>
              <w:top w:val="nil"/>
              <w:left w:val="nil"/>
              <w:bottom w:val="nil"/>
              <w:right w:val="nil"/>
            </w:tcBorders>
            <w:shd w:val="clear" w:color="auto" w:fill="auto"/>
            <w:noWrap/>
            <w:vAlign w:val="bottom"/>
            <w:hideMark/>
          </w:tcPr>
          <w:p w14:paraId="5B1418D1"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QRATIO</w:t>
            </w:r>
            <w:r w:rsidRPr="005A566B">
              <w:rPr>
                <w:rFonts w:ascii="Arial" w:eastAsia="Times New Roman" w:hAnsi="Arial" w:cs="Arial"/>
                <w:sz w:val="10"/>
                <w:lang w:eastAsia="en-GB"/>
              </w:rPr>
              <w:t xml:space="preserve"> </w:t>
            </w:r>
          </w:p>
        </w:tc>
        <w:tc>
          <w:tcPr>
            <w:tcW w:w="1739" w:type="dxa"/>
            <w:tcBorders>
              <w:top w:val="nil"/>
              <w:left w:val="nil"/>
              <w:bottom w:val="nil"/>
              <w:right w:val="nil"/>
            </w:tcBorders>
            <w:shd w:val="clear" w:color="auto" w:fill="auto"/>
            <w:noWrap/>
            <w:vAlign w:val="bottom"/>
            <w:hideMark/>
          </w:tcPr>
          <w:p w14:paraId="2D08E27E" w14:textId="77777777" w:rsidR="00FC14A5" w:rsidRPr="005A566B" w:rsidRDefault="00FC14A5" w:rsidP="00FC14A5">
            <w:pPr>
              <w:spacing w:after="0" w:line="240" w:lineRule="auto"/>
              <w:jc w:val="center"/>
              <w:rPr>
                <w:rFonts w:ascii="Arial" w:eastAsia="Times New Roman" w:hAnsi="Arial" w:cs="Arial"/>
                <w:lang w:eastAsia="en-GB"/>
              </w:rPr>
            </w:pPr>
          </w:p>
        </w:tc>
        <w:tc>
          <w:tcPr>
            <w:tcW w:w="1957" w:type="dxa"/>
            <w:tcBorders>
              <w:top w:val="nil"/>
              <w:left w:val="nil"/>
              <w:bottom w:val="nil"/>
              <w:right w:val="nil"/>
            </w:tcBorders>
            <w:shd w:val="clear" w:color="auto" w:fill="auto"/>
            <w:noWrap/>
            <w:vAlign w:val="bottom"/>
            <w:hideMark/>
          </w:tcPr>
          <w:p w14:paraId="48E5CA13" w14:textId="77777777" w:rsidR="00FC14A5" w:rsidRPr="005A566B" w:rsidRDefault="00FC14A5" w:rsidP="00FC14A5">
            <w:pPr>
              <w:spacing w:after="0" w:line="240" w:lineRule="auto"/>
              <w:jc w:val="center"/>
              <w:rPr>
                <w:rFonts w:ascii="Arial" w:eastAsia="Times New Roman" w:hAnsi="Arial" w:cs="Arial"/>
                <w:lang w:eastAsia="en-GB"/>
              </w:rPr>
            </w:pPr>
          </w:p>
        </w:tc>
        <w:tc>
          <w:tcPr>
            <w:tcW w:w="1717" w:type="dxa"/>
            <w:tcBorders>
              <w:top w:val="nil"/>
              <w:left w:val="nil"/>
              <w:bottom w:val="nil"/>
              <w:right w:val="nil"/>
            </w:tcBorders>
            <w:shd w:val="clear" w:color="auto" w:fill="auto"/>
            <w:noWrap/>
            <w:vAlign w:val="bottom"/>
            <w:hideMark/>
          </w:tcPr>
          <w:p w14:paraId="32860DA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0.995***</w:t>
            </w:r>
          </w:p>
        </w:tc>
        <w:tc>
          <w:tcPr>
            <w:tcW w:w="1912" w:type="dxa"/>
            <w:tcBorders>
              <w:top w:val="nil"/>
              <w:left w:val="nil"/>
              <w:bottom w:val="nil"/>
              <w:right w:val="nil"/>
            </w:tcBorders>
            <w:shd w:val="clear" w:color="auto" w:fill="auto"/>
            <w:noWrap/>
            <w:vAlign w:val="bottom"/>
            <w:hideMark/>
          </w:tcPr>
          <w:p w14:paraId="5BC57AF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0.950***</w:t>
            </w:r>
          </w:p>
        </w:tc>
      </w:tr>
      <w:tr w:rsidR="00FC14A5" w:rsidRPr="005A566B" w14:paraId="0372D920" w14:textId="77777777" w:rsidTr="00FC14A5">
        <w:trPr>
          <w:trHeight w:val="204"/>
        </w:trPr>
        <w:tc>
          <w:tcPr>
            <w:tcW w:w="2733" w:type="dxa"/>
            <w:tcBorders>
              <w:top w:val="nil"/>
              <w:left w:val="nil"/>
              <w:bottom w:val="nil"/>
              <w:right w:val="nil"/>
            </w:tcBorders>
            <w:shd w:val="clear" w:color="auto" w:fill="auto"/>
            <w:noWrap/>
            <w:vAlign w:val="bottom"/>
            <w:hideMark/>
          </w:tcPr>
          <w:p w14:paraId="5A48500C"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2333C3C3" w14:textId="77777777" w:rsidR="00FC14A5" w:rsidRPr="005A566B" w:rsidRDefault="00FC14A5" w:rsidP="00FC14A5">
            <w:pPr>
              <w:spacing w:after="0" w:line="240" w:lineRule="auto"/>
              <w:jc w:val="center"/>
              <w:rPr>
                <w:rFonts w:ascii="Arial" w:eastAsia="Times New Roman" w:hAnsi="Arial" w:cs="Arial"/>
                <w:lang w:eastAsia="en-GB"/>
              </w:rPr>
            </w:pPr>
          </w:p>
        </w:tc>
        <w:tc>
          <w:tcPr>
            <w:tcW w:w="1957" w:type="dxa"/>
            <w:tcBorders>
              <w:top w:val="nil"/>
              <w:left w:val="nil"/>
              <w:bottom w:val="nil"/>
              <w:right w:val="nil"/>
            </w:tcBorders>
            <w:shd w:val="clear" w:color="auto" w:fill="auto"/>
            <w:noWrap/>
            <w:vAlign w:val="bottom"/>
            <w:hideMark/>
          </w:tcPr>
          <w:p w14:paraId="13E9DCCB" w14:textId="77777777" w:rsidR="00FC14A5" w:rsidRPr="005A566B" w:rsidRDefault="00FC14A5" w:rsidP="00FC14A5">
            <w:pPr>
              <w:spacing w:after="0" w:line="240" w:lineRule="auto"/>
              <w:jc w:val="center"/>
              <w:rPr>
                <w:rFonts w:ascii="Arial" w:eastAsia="Times New Roman" w:hAnsi="Arial" w:cs="Arial"/>
                <w:lang w:eastAsia="en-GB"/>
              </w:rPr>
            </w:pPr>
          </w:p>
        </w:tc>
        <w:tc>
          <w:tcPr>
            <w:tcW w:w="1717" w:type="dxa"/>
            <w:tcBorders>
              <w:top w:val="nil"/>
              <w:left w:val="nil"/>
              <w:bottom w:val="nil"/>
              <w:right w:val="nil"/>
            </w:tcBorders>
            <w:shd w:val="clear" w:color="auto" w:fill="auto"/>
            <w:noWrap/>
            <w:vAlign w:val="bottom"/>
            <w:hideMark/>
          </w:tcPr>
          <w:p w14:paraId="0DC8202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(49.49)</w:t>
            </w:r>
          </w:p>
        </w:tc>
        <w:tc>
          <w:tcPr>
            <w:tcW w:w="1912" w:type="dxa"/>
            <w:tcBorders>
              <w:top w:val="nil"/>
              <w:left w:val="nil"/>
              <w:bottom w:val="nil"/>
              <w:right w:val="nil"/>
            </w:tcBorders>
            <w:shd w:val="clear" w:color="auto" w:fill="auto"/>
            <w:noWrap/>
            <w:vAlign w:val="bottom"/>
            <w:hideMark/>
          </w:tcPr>
          <w:p w14:paraId="5185574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(35.78)</w:t>
            </w:r>
          </w:p>
        </w:tc>
      </w:tr>
      <w:tr w:rsidR="00FC14A5" w:rsidRPr="005A566B" w14:paraId="2BA7C6C2" w14:textId="77777777" w:rsidTr="00FC14A5">
        <w:trPr>
          <w:trHeight w:val="204"/>
        </w:trPr>
        <w:tc>
          <w:tcPr>
            <w:tcW w:w="2733" w:type="dxa"/>
            <w:tcBorders>
              <w:top w:val="nil"/>
              <w:left w:val="nil"/>
              <w:bottom w:val="nil"/>
              <w:right w:val="nil"/>
            </w:tcBorders>
            <w:shd w:val="clear" w:color="auto" w:fill="auto"/>
            <w:noWrap/>
            <w:vAlign w:val="bottom"/>
            <w:hideMark/>
          </w:tcPr>
          <w:p w14:paraId="68006448"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WCM</w:t>
            </w:r>
            <w:r w:rsidRPr="005A566B">
              <w:rPr>
                <w:rFonts w:ascii="Arial" w:eastAsia="Times New Roman" w:hAnsi="Arial" w:cs="Arial"/>
                <w:sz w:val="10"/>
                <w:lang w:eastAsia="en-GB"/>
              </w:rPr>
              <w:t xml:space="preserve"> </w:t>
            </w:r>
          </w:p>
        </w:tc>
        <w:tc>
          <w:tcPr>
            <w:tcW w:w="1739" w:type="dxa"/>
            <w:tcBorders>
              <w:top w:val="nil"/>
              <w:left w:val="nil"/>
              <w:bottom w:val="nil"/>
              <w:right w:val="nil"/>
            </w:tcBorders>
            <w:shd w:val="clear" w:color="auto" w:fill="auto"/>
            <w:noWrap/>
            <w:vAlign w:val="bottom"/>
            <w:hideMark/>
          </w:tcPr>
          <w:p w14:paraId="72141F2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-0.123***</w:t>
            </w:r>
          </w:p>
        </w:tc>
        <w:tc>
          <w:tcPr>
            <w:tcW w:w="1957" w:type="dxa"/>
            <w:tcBorders>
              <w:top w:val="nil"/>
              <w:left w:val="nil"/>
              <w:bottom w:val="nil"/>
              <w:right w:val="nil"/>
            </w:tcBorders>
            <w:shd w:val="clear" w:color="auto" w:fill="auto"/>
            <w:noWrap/>
            <w:vAlign w:val="bottom"/>
            <w:hideMark/>
          </w:tcPr>
          <w:p w14:paraId="08FD1FA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-0.0300***</w:t>
            </w:r>
          </w:p>
        </w:tc>
        <w:tc>
          <w:tcPr>
            <w:tcW w:w="1717" w:type="dxa"/>
            <w:tcBorders>
              <w:top w:val="nil"/>
              <w:left w:val="nil"/>
              <w:bottom w:val="nil"/>
              <w:right w:val="nil"/>
            </w:tcBorders>
            <w:shd w:val="clear" w:color="auto" w:fill="auto"/>
            <w:noWrap/>
            <w:vAlign w:val="bottom"/>
            <w:hideMark/>
          </w:tcPr>
          <w:p w14:paraId="71B4DBF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-0.129***</w:t>
            </w:r>
          </w:p>
        </w:tc>
        <w:tc>
          <w:tcPr>
            <w:tcW w:w="1912" w:type="dxa"/>
            <w:tcBorders>
              <w:top w:val="nil"/>
              <w:left w:val="nil"/>
              <w:bottom w:val="nil"/>
              <w:right w:val="nil"/>
            </w:tcBorders>
            <w:shd w:val="clear" w:color="auto" w:fill="auto"/>
            <w:noWrap/>
            <w:vAlign w:val="bottom"/>
            <w:hideMark/>
          </w:tcPr>
          <w:p w14:paraId="4268058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-0.157***</w:t>
            </w:r>
          </w:p>
        </w:tc>
      </w:tr>
      <w:tr w:rsidR="00FC14A5" w:rsidRPr="005A566B" w14:paraId="51E6CB6F" w14:textId="77777777" w:rsidTr="00FC14A5">
        <w:trPr>
          <w:trHeight w:val="204"/>
        </w:trPr>
        <w:tc>
          <w:tcPr>
            <w:tcW w:w="2733" w:type="dxa"/>
            <w:tcBorders>
              <w:top w:val="nil"/>
              <w:left w:val="nil"/>
              <w:bottom w:val="nil"/>
              <w:right w:val="nil"/>
            </w:tcBorders>
            <w:shd w:val="clear" w:color="auto" w:fill="auto"/>
            <w:noWrap/>
            <w:vAlign w:val="bottom"/>
            <w:hideMark/>
          </w:tcPr>
          <w:p w14:paraId="5E80D059"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0EC5D84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(-4.42)</w:t>
            </w:r>
          </w:p>
        </w:tc>
        <w:tc>
          <w:tcPr>
            <w:tcW w:w="1957" w:type="dxa"/>
            <w:tcBorders>
              <w:top w:val="nil"/>
              <w:left w:val="nil"/>
              <w:bottom w:val="nil"/>
              <w:right w:val="nil"/>
            </w:tcBorders>
            <w:shd w:val="clear" w:color="auto" w:fill="auto"/>
            <w:noWrap/>
            <w:vAlign w:val="bottom"/>
            <w:hideMark/>
          </w:tcPr>
          <w:p w14:paraId="5707C00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(-37.95)</w:t>
            </w:r>
          </w:p>
        </w:tc>
        <w:tc>
          <w:tcPr>
            <w:tcW w:w="1717" w:type="dxa"/>
            <w:tcBorders>
              <w:top w:val="nil"/>
              <w:left w:val="nil"/>
              <w:bottom w:val="nil"/>
              <w:right w:val="nil"/>
            </w:tcBorders>
            <w:shd w:val="clear" w:color="auto" w:fill="auto"/>
            <w:noWrap/>
            <w:vAlign w:val="bottom"/>
            <w:hideMark/>
          </w:tcPr>
          <w:p w14:paraId="5F5E1C3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(-2.77)</w:t>
            </w:r>
          </w:p>
        </w:tc>
        <w:tc>
          <w:tcPr>
            <w:tcW w:w="1912" w:type="dxa"/>
            <w:tcBorders>
              <w:top w:val="nil"/>
              <w:left w:val="nil"/>
              <w:bottom w:val="nil"/>
              <w:right w:val="nil"/>
            </w:tcBorders>
            <w:shd w:val="clear" w:color="auto" w:fill="auto"/>
            <w:noWrap/>
            <w:vAlign w:val="bottom"/>
            <w:hideMark/>
          </w:tcPr>
          <w:p w14:paraId="386D3DC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(-19.35)</w:t>
            </w:r>
          </w:p>
        </w:tc>
      </w:tr>
      <w:tr w:rsidR="00FC14A5" w:rsidRPr="005A566B" w14:paraId="0006BC09" w14:textId="77777777" w:rsidTr="00FC14A5">
        <w:trPr>
          <w:trHeight w:val="204"/>
        </w:trPr>
        <w:tc>
          <w:tcPr>
            <w:tcW w:w="2733" w:type="dxa"/>
            <w:tcBorders>
              <w:top w:val="nil"/>
              <w:left w:val="nil"/>
              <w:bottom w:val="nil"/>
              <w:right w:val="nil"/>
            </w:tcBorders>
            <w:shd w:val="clear" w:color="auto" w:fill="auto"/>
            <w:noWrap/>
            <w:vAlign w:val="bottom"/>
            <w:hideMark/>
          </w:tcPr>
          <w:p w14:paraId="1E17559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AGE</w:t>
            </w:r>
            <w:r w:rsidRPr="005A566B">
              <w:rPr>
                <w:rFonts w:ascii="Arial" w:eastAsia="Times New Roman" w:hAnsi="Arial" w:cs="Arial"/>
                <w:sz w:val="10"/>
                <w:lang w:eastAsia="en-GB"/>
              </w:rPr>
              <w:t xml:space="preserve"> </w:t>
            </w:r>
          </w:p>
        </w:tc>
        <w:tc>
          <w:tcPr>
            <w:tcW w:w="1739" w:type="dxa"/>
            <w:tcBorders>
              <w:top w:val="nil"/>
              <w:left w:val="nil"/>
              <w:bottom w:val="nil"/>
              <w:right w:val="nil"/>
            </w:tcBorders>
            <w:shd w:val="clear" w:color="auto" w:fill="auto"/>
            <w:noWrap/>
            <w:vAlign w:val="bottom"/>
            <w:hideMark/>
          </w:tcPr>
          <w:p w14:paraId="003C3E4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-0.182***</w:t>
            </w:r>
          </w:p>
        </w:tc>
        <w:tc>
          <w:tcPr>
            <w:tcW w:w="1957" w:type="dxa"/>
            <w:tcBorders>
              <w:top w:val="nil"/>
              <w:left w:val="nil"/>
              <w:bottom w:val="nil"/>
              <w:right w:val="nil"/>
            </w:tcBorders>
            <w:shd w:val="clear" w:color="auto" w:fill="auto"/>
            <w:noWrap/>
            <w:vAlign w:val="bottom"/>
            <w:hideMark/>
          </w:tcPr>
          <w:p w14:paraId="222E064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-0.0925***</w:t>
            </w:r>
          </w:p>
        </w:tc>
        <w:tc>
          <w:tcPr>
            <w:tcW w:w="1717" w:type="dxa"/>
            <w:tcBorders>
              <w:top w:val="nil"/>
              <w:left w:val="nil"/>
              <w:bottom w:val="nil"/>
              <w:right w:val="nil"/>
            </w:tcBorders>
            <w:shd w:val="clear" w:color="auto" w:fill="auto"/>
            <w:noWrap/>
            <w:vAlign w:val="bottom"/>
            <w:hideMark/>
          </w:tcPr>
          <w:p w14:paraId="5AB2CAF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-0.117**</w:t>
            </w:r>
          </w:p>
        </w:tc>
        <w:tc>
          <w:tcPr>
            <w:tcW w:w="1912" w:type="dxa"/>
            <w:tcBorders>
              <w:top w:val="nil"/>
              <w:left w:val="nil"/>
              <w:bottom w:val="nil"/>
              <w:right w:val="nil"/>
            </w:tcBorders>
            <w:shd w:val="clear" w:color="auto" w:fill="auto"/>
            <w:noWrap/>
            <w:vAlign w:val="bottom"/>
            <w:hideMark/>
          </w:tcPr>
          <w:p w14:paraId="182289A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0.000508*</w:t>
            </w:r>
          </w:p>
        </w:tc>
      </w:tr>
      <w:tr w:rsidR="00FC14A5" w:rsidRPr="005A566B" w14:paraId="2F43F58F" w14:textId="77777777" w:rsidTr="00FC14A5">
        <w:trPr>
          <w:trHeight w:val="204"/>
        </w:trPr>
        <w:tc>
          <w:tcPr>
            <w:tcW w:w="2733" w:type="dxa"/>
            <w:tcBorders>
              <w:top w:val="nil"/>
              <w:left w:val="nil"/>
              <w:bottom w:val="nil"/>
              <w:right w:val="nil"/>
            </w:tcBorders>
            <w:shd w:val="clear" w:color="auto" w:fill="auto"/>
            <w:noWrap/>
            <w:vAlign w:val="bottom"/>
            <w:hideMark/>
          </w:tcPr>
          <w:p w14:paraId="1D6850E1"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45F396A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(-4.99)</w:t>
            </w:r>
          </w:p>
        </w:tc>
        <w:tc>
          <w:tcPr>
            <w:tcW w:w="1957" w:type="dxa"/>
            <w:tcBorders>
              <w:top w:val="nil"/>
              <w:left w:val="nil"/>
              <w:bottom w:val="nil"/>
              <w:right w:val="nil"/>
            </w:tcBorders>
            <w:shd w:val="clear" w:color="auto" w:fill="auto"/>
            <w:noWrap/>
            <w:vAlign w:val="bottom"/>
            <w:hideMark/>
          </w:tcPr>
          <w:p w14:paraId="2CE6DCF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(-24.71)</w:t>
            </w:r>
          </w:p>
        </w:tc>
        <w:tc>
          <w:tcPr>
            <w:tcW w:w="1717" w:type="dxa"/>
            <w:tcBorders>
              <w:top w:val="nil"/>
              <w:left w:val="nil"/>
              <w:bottom w:val="nil"/>
              <w:right w:val="nil"/>
            </w:tcBorders>
            <w:shd w:val="clear" w:color="auto" w:fill="auto"/>
            <w:noWrap/>
            <w:vAlign w:val="bottom"/>
            <w:hideMark/>
          </w:tcPr>
          <w:p w14:paraId="2FB7728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(-2.06)</w:t>
            </w:r>
          </w:p>
        </w:tc>
        <w:tc>
          <w:tcPr>
            <w:tcW w:w="1912" w:type="dxa"/>
            <w:tcBorders>
              <w:top w:val="nil"/>
              <w:left w:val="nil"/>
              <w:bottom w:val="nil"/>
              <w:right w:val="nil"/>
            </w:tcBorders>
            <w:shd w:val="clear" w:color="auto" w:fill="auto"/>
            <w:noWrap/>
            <w:vAlign w:val="bottom"/>
            <w:hideMark/>
          </w:tcPr>
          <w:p w14:paraId="2BB08DF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(1.86)</w:t>
            </w:r>
          </w:p>
        </w:tc>
      </w:tr>
      <w:tr w:rsidR="00FC14A5" w:rsidRPr="005A566B" w14:paraId="2ECD880A" w14:textId="77777777" w:rsidTr="00FC14A5">
        <w:trPr>
          <w:trHeight w:val="204"/>
        </w:trPr>
        <w:tc>
          <w:tcPr>
            <w:tcW w:w="2733" w:type="dxa"/>
            <w:tcBorders>
              <w:top w:val="nil"/>
              <w:left w:val="nil"/>
              <w:bottom w:val="nil"/>
              <w:right w:val="nil"/>
            </w:tcBorders>
            <w:shd w:val="clear" w:color="auto" w:fill="auto"/>
            <w:noWrap/>
            <w:vAlign w:val="bottom"/>
            <w:hideMark/>
          </w:tcPr>
          <w:p w14:paraId="5D302FD6"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CR</w:t>
            </w:r>
            <w:r w:rsidRPr="005A566B">
              <w:rPr>
                <w:rFonts w:ascii="Arial" w:eastAsia="Times New Roman" w:hAnsi="Arial" w:cs="Arial"/>
                <w:sz w:val="10"/>
                <w:lang w:eastAsia="en-GB"/>
              </w:rPr>
              <w:t xml:space="preserve"> </w:t>
            </w:r>
          </w:p>
        </w:tc>
        <w:tc>
          <w:tcPr>
            <w:tcW w:w="1739" w:type="dxa"/>
            <w:tcBorders>
              <w:top w:val="nil"/>
              <w:left w:val="nil"/>
              <w:bottom w:val="nil"/>
              <w:right w:val="nil"/>
            </w:tcBorders>
            <w:shd w:val="clear" w:color="auto" w:fill="auto"/>
            <w:noWrap/>
            <w:vAlign w:val="bottom"/>
            <w:hideMark/>
          </w:tcPr>
          <w:p w14:paraId="1CA80A1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-0.0184***</w:t>
            </w:r>
          </w:p>
        </w:tc>
        <w:tc>
          <w:tcPr>
            <w:tcW w:w="1957" w:type="dxa"/>
            <w:tcBorders>
              <w:top w:val="nil"/>
              <w:left w:val="nil"/>
              <w:bottom w:val="nil"/>
              <w:right w:val="nil"/>
            </w:tcBorders>
            <w:shd w:val="clear" w:color="auto" w:fill="auto"/>
            <w:noWrap/>
            <w:vAlign w:val="bottom"/>
            <w:hideMark/>
          </w:tcPr>
          <w:p w14:paraId="759917E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-0.00739***</w:t>
            </w:r>
          </w:p>
        </w:tc>
        <w:tc>
          <w:tcPr>
            <w:tcW w:w="1717" w:type="dxa"/>
            <w:tcBorders>
              <w:top w:val="nil"/>
              <w:left w:val="nil"/>
              <w:bottom w:val="nil"/>
              <w:right w:val="nil"/>
            </w:tcBorders>
            <w:shd w:val="clear" w:color="auto" w:fill="auto"/>
            <w:noWrap/>
            <w:vAlign w:val="bottom"/>
            <w:hideMark/>
          </w:tcPr>
          <w:p w14:paraId="0D36240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-0.0586***</w:t>
            </w:r>
          </w:p>
        </w:tc>
        <w:tc>
          <w:tcPr>
            <w:tcW w:w="1912" w:type="dxa"/>
            <w:tcBorders>
              <w:top w:val="nil"/>
              <w:left w:val="nil"/>
              <w:bottom w:val="nil"/>
              <w:right w:val="nil"/>
            </w:tcBorders>
            <w:shd w:val="clear" w:color="auto" w:fill="auto"/>
            <w:noWrap/>
            <w:vAlign w:val="bottom"/>
            <w:hideMark/>
          </w:tcPr>
          <w:p w14:paraId="7110DBC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-0.124***</w:t>
            </w:r>
          </w:p>
        </w:tc>
      </w:tr>
      <w:tr w:rsidR="00FC14A5" w:rsidRPr="005A566B" w14:paraId="3069E2A2" w14:textId="77777777" w:rsidTr="00FC14A5">
        <w:trPr>
          <w:trHeight w:val="204"/>
        </w:trPr>
        <w:tc>
          <w:tcPr>
            <w:tcW w:w="2733" w:type="dxa"/>
            <w:tcBorders>
              <w:top w:val="nil"/>
              <w:left w:val="nil"/>
              <w:bottom w:val="nil"/>
              <w:right w:val="nil"/>
            </w:tcBorders>
            <w:shd w:val="clear" w:color="auto" w:fill="auto"/>
            <w:noWrap/>
            <w:vAlign w:val="bottom"/>
            <w:hideMark/>
          </w:tcPr>
          <w:p w14:paraId="1DE8BA95"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044A9C8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(-3.82)</w:t>
            </w:r>
          </w:p>
        </w:tc>
        <w:tc>
          <w:tcPr>
            <w:tcW w:w="1957" w:type="dxa"/>
            <w:tcBorders>
              <w:top w:val="nil"/>
              <w:left w:val="nil"/>
              <w:bottom w:val="nil"/>
              <w:right w:val="nil"/>
            </w:tcBorders>
            <w:shd w:val="clear" w:color="auto" w:fill="auto"/>
            <w:noWrap/>
            <w:vAlign w:val="bottom"/>
            <w:hideMark/>
          </w:tcPr>
          <w:p w14:paraId="3D63BBF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(-13.28)</w:t>
            </w:r>
          </w:p>
        </w:tc>
        <w:tc>
          <w:tcPr>
            <w:tcW w:w="1717" w:type="dxa"/>
            <w:tcBorders>
              <w:top w:val="nil"/>
              <w:left w:val="nil"/>
              <w:bottom w:val="nil"/>
              <w:right w:val="nil"/>
            </w:tcBorders>
            <w:shd w:val="clear" w:color="auto" w:fill="auto"/>
            <w:noWrap/>
            <w:vAlign w:val="bottom"/>
            <w:hideMark/>
          </w:tcPr>
          <w:p w14:paraId="362DB84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(-4.66)</w:t>
            </w:r>
          </w:p>
        </w:tc>
        <w:tc>
          <w:tcPr>
            <w:tcW w:w="1912" w:type="dxa"/>
            <w:tcBorders>
              <w:top w:val="nil"/>
              <w:left w:val="nil"/>
              <w:bottom w:val="nil"/>
              <w:right w:val="nil"/>
            </w:tcBorders>
            <w:shd w:val="clear" w:color="auto" w:fill="auto"/>
            <w:noWrap/>
            <w:vAlign w:val="bottom"/>
            <w:hideMark/>
          </w:tcPr>
          <w:p w14:paraId="13048B8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(-26.43)</w:t>
            </w:r>
          </w:p>
        </w:tc>
      </w:tr>
      <w:tr w:rsidR="00FC14A5" w:rsidRPr="005A566B" w14:paraId="68E4FBB9" w14:textId="77777777" w:rsidTr="00FC14A5">
        <w:trPr>
          <w:trHeight w:val="204"/>
        </w:trPr>
        <w:tc>
          <w:tcPr>
            <w:tcW w:w="2733" w:type="dxa"/>
            <w:tcBorders>
              <w:top w:val="nil"/>
              <w:left w:val="nil"/>
              <w:bottom w:val="nil"/>
              <w:right w:val="nil"/>
            </w:tcBorders>
            <w:shd w:val="clear" w:color="auto" w:fill="auto"/>
            <w:noWrap/>
            <w:vAlign w:val="bottom"/>
            <w:hideMark/>
          </w:tcPr>
          <w:p w14:paraId="69282EDA"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COMPETITION</w:t>
            </w:r>
            <w:r w:rsidRPr="005A566B">
              <w:rPr>
                <w:rFonts w:ascii="Arial" w:eastAsia="Times New Roman" w:hAnsi="Arial" w:cs="Arial"/>
                <w:sz w:val="12"/>
                <w:lang w:eastAsia="en-GB"/>
              </w:rPr>
              <w:t xml:space="preserve"> </w:t>
            </w:r>
          </w:p>
        </w:tc>
        <w:tc>
          <w:tcPr>
            <w:tcW w:w="1739" w:type="dxa"/>
            <w:tcBorders>
              <w:top w:val="nil"/>
              <w:left w:val="nil"/>
              <w:bottom w:val="nil"/>
              <w:right w:val="nil"/>
            </w:tcBorders>
            <w:shd w:val="clear" w:color="auto" w:fill="auto"/>
            <w:noWrap/>
            <w:vAlign w:val="bottom"/>
            <w:hideMark/>
          </w:tcPr>
          <w:p w14:paraId="459A3E6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0.0593***</w:t>
            </w:r>
          </w:p>
        </w:tc>
        <w:tc>
          <w:tcPr>
            <w:tcW w:w="1957" w:type="dxa"/>
            <w:tcBorders>
              <w:top w:val="nil"/>
              <w:left w:val="nil"/>
              <w:bottom w:val="nil"/>
              <w:right w:val="nil"/>
            </w:tcBorders>
            <w:shd w:val="clear" w:color="auto" w:fill="auto"/>
            <w:noWrap/>
            <w:vAlign w:val="bottom"/>
            <w:hideMark/>
          </w:tcPr>
          <w:p w14:paraId="4958F41F" w14:textId="77777777" w:rsidR="00FC14A5" w:rsidRPr="005A566B" w:rsidRDefault="00FC14A5" w:rsidP="00FC14A5">
            <w:pPr>
              <w:spacing w:after="0" w:line="240" w:lineRule="auto"/>
              <w:jc w:val="center"/>
              <w:rPr>
                <w:rFonts w:ascii="Arial" w:eastAsia="Times New Roman" w:hAnsi="Arial" w:cs="Arial"/>
                <w:lang w:eastAsia="en-GB"/>
              </w:rPr>
            </w:pPr>
          </w:p>
        </w:tc>
        <w:tc>
          <w:tcPr>
            <w:tcW w:w="1717" w:type="dxa"/>
            <w:tcBorders>
              <w:top w:val="nil"/>
              <w:left w:val="nil"/>
              <w:bottom w:val="nil"/>
              <w:right w:val="nil"/>
            </w:tcBorders>
            <w:shd w:val="clear" w:color="auto" w:fill="auto"/>
            <w:noWrap/>
            <w:vAlign w:val="bottom"/>
            <w:hideMark/>
          </w:tcPr>
          <w:p w14:paraId="749A290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0.0721***</w:t>
            </w:r>
          </w:p>
        </w:tc>
        <w:tc>
          <w:tcPr>
            <w:tcW w:w="1912" w:type="dxa"/>
            <w:tcBorders>
              <w:top w:val="nil"/>
              <w:left w:val="nil"/>
              <w:bottom w:val="nil"/>
              <w:right w:val="nil"/>
            </w:tcBorders>
            <w:shd w:val="clear" w:color="auto" w:fill="auto"/>
            <w:noWrap/>
            <w:vAlign w:val="bottom"/>
            <w:hideMark/>
          </w:tcPr>
          <w:p w14:paraId="592483E6"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2A6271F6" w14:textId="77777777" w:rsidTr="00FC14A5">
        <w:trPr>
          <w:trHeight w:val="204"/>
        </w:trPr>
        <w:tc>
          <w:tcPr>
            <w:tcW w:w="2733" w:type="dxa"/>
            <w:tcBorders>
              <w:top w:val="nil"/>
              <w:left w:val="nil"/>
              <w:bottom w:val="nil"/>
              <w:right w:val="nil"/>
            </w:tcBorders>
            <w:shd w:val="clear" w:color="auto" w:fill="auto"/>
            <w:noWrap/>
            <w:vAlign w:val="bottom"/>
            <w:hideMark/>
          </w:tcPr>
          <w:p w14:paraId="3399DB00"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30734CF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(6.15)</w:t>
            </w:r>
          </w:p>
        </w:tc>
        <w:tc>
          <w:tcPr>
            <w:tcW w:w="1957" w:type="dxa"/>
            <w:tcBorders>
              <w:top w:val="nil"/>
              <w:left w:val="nil"/>
              <w:bottom w:val="nil"/>
              <w:right w:val="nil"/>
            </w:tcBorders>
            <w:shd w:val="clear" w:color="auto" w:fill="auto"/>
            <w:noWrap/>
            <w:vAlign w:val="bottom"/>
            <w:hideMark/>
          </w:tcPr>
          <w:p w14:paraId="525C81E3" w14:textId="77777777" w:rsidR="00FC14A5" w:rsidRPr="005A566B" w:rsidRDefault="00FC14A5" w:rsidP="00FC14A5">
            <w:pPr>
              <w:spacing w:after="0" w:line="240" w:lineRule="auto"/>
              <w:jc w:val="center"/>
              <w:rPr>
                <w:rFonts w:ascii="Arial" w:eastAsia="Times New Roman" w:hAnsi="Arial" w:cs="Arial"/>
                <w:lang w:eastAsia="en-GB"/>
              </w:rPr>
            </w:pPr>
          </w:p>
        </w:tc>
        <w:tc>
          <w:tcPr>
            <w:tcW w:w="1717" w:type="dxa"/>
            <w:tcBorders>
              <w:top w:val="nil"/>
              <w:left w:val="nil"/>
              <w:bottom w:val="nil"/>
              <w:right w:val="nil"/>
            </w:tcBorders>
            <w:shd w:val="clear" w:color="auto" w:fill="auto"/>
            <w:noWrap/>
            <w:vAlign w:val="bottom"/>
            <w:hideMark/>
          </w:tcPr>
          <w:p w14:paraId="41EFB95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(3.50)</w:t>
            </w:r>
          </w:p>
        </w:tc>
        <w:tc>
          <w:tcPr>
            <w:tcW w:w="1912" w:type="dxa"/>
            <w:tcBorders>
              <w:top w:val="nil"/>
              <w:left w:val="nil"/>
              <w:bottom w:val="nil"/>
              <w:right w:val="nil"/>
            </w:tcBorders>
            <w:shd w:val="clear" w:color="auto" w:fill="auto"/>
            <w:noWrap/>
            <w:vAlign w:val="bottom"/>
            <w:hideMark/>
          </w:tcPr>
          <w:p w14:paraId="24A6B45F"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428809BC" w14:textId="77777777" w:rsidTr="00FC14A5">
        <w:trPr>
          <w:trHeight w:val="204"/>
        </w:trPr>
        <w:tc>
          <w:tcPr>
            <w:tcW w:w="2733" w:type="dxa"/>
            <w:tcBorders>
              <w:top w:val="nil"/>
              <w:left w:val="nil"/>
              <w:bottom w:val="nil"/>
              <w:right w:val="nil"/>
            </w:tcBorders>
            <w:shd w:val="clear" w:color="auto" w:fill="auto"/>
            <w:noWrap/>
            <w:vAlign w:val="bottom"/>
            <w:hideMark/>
          </w:tcPr>
          <w:p w14:paraId="1DBAAEDB"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CRISIS</w:t>
            </w:r>
          </w:p>
        </w:tc>
        <w:tc>
          <w:tcPr>
            <w:tcW w:w="1739" w:type="dxa"/>
            <w:tcBorders>
              <w:top w:val="nil"/>
              <w:left w:val="nil"/>
              <w:bottom w:val="nil"/>
              <w:right w:val="nil"/>
            </w:tcBorders>
            <w:shd w:val="clear" w:color="auto" w:fill="auto"/>
            <w:noWrap/>
            <w:vAlign w:val="bottom"/>
            <w:hideMark/>
          </w:tcPr>
          <w:p w14:paraId="1DD2BBC9" w14:textId="77777777" w:rsidR="00FC14A5" w:rsidRPr="005A566B" w:rsidRDefault="00FC14A5" w:rsidP="00FC14A5">
            <w:pPr>
              <w:spacing w:after="0" w:line="240" w:lineRule="auto"/>
              <w:jc w:val="center"/>
              <w:rPr>
                <w:rFonts w:ascii="Arial" w:eastAsia="Times New Roman" w:hAnsi="Arial" w:cs="Arial"/>
                <w:lang w:eastAsia="en-GB"/>
              </w:rPr>
            </w:pPr>
          </w:p>
        </w:tc>
        <w:tc>
          <w:tcPr>
            <w:tcW w:w="1957" w:type="dxa"/>
            <w:tcBorders>
              <w:top w:val="nil"/>
              <w:left w:val="nil"/>
              <w:bottom w:val="nil"/>
              <w:right w:val="nil"/>
            </w:tcBorders>
            <w:shd w:val="clear" w:color="auto" w:fill="auto"/>
            <w:noWrap/>
            <w:vAlign w:val="bottom"/>
            <w:hideMark/>
          </w:tcPr>
          <w:p w14:paraId="387AD8A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-0.135***</w:t>
            </w:r>
          </w:p>
        </w:tc>
        <w:tc>
          <w:tcPr>
            <w:tcW w:w="1717" w:type="dxa"/>
            <w:tcBorders>
              <w:top w:val="nil"/>
              <w:left w:val="nil"/>
              <w:bottom w:val="nil"/>
              <w:right w:val="nil"/>
            </w:tcBorders>
            <w:shd w:val="clear" w:color="auto" w:fill="auto"/>
            <w:noWrap/>
            <w:vAlign w:val="bottom"/>
            <w:hideMark/>
          </w:tcPr>
          <w:p w14:paraId="5BD62ED8" w14:textId="77777777" w:rsidR="00FC14A5" w:rsidRPr="005A566B" w:rsidRDefault="00FC14A5" w:rsidP="00FC14A5">
            <w:pPr>
              <w:spacing w:after="0" w:line="240" w:lineRule="auto"/>
              <w:jc w:val="center"/>
              <w:rPr>
                <w:rFonts w:ascii="Arial" w:eastAsia="Times New Roman" w:hAnsi="Arial" w:cs="Arial"/>
                <w:lang w:eastAsia="en-GB"/>
              </w:rPr>
            </w:pPr>
          </w:p>
        </w:tc>
        <w:tc>
          <w:tcPr>
            <w:tcW w:w="1912" w:type="dxa"/>
            <w:tcBorders>
              <w:top w:val="nil"/>
              <w:left w:val="nil"/>
              <w:bottom w:val="nil"/>
              <w:right w:val="nil"/>
            </w:tcBorders>
            <w:shd w:val="clear" w:color="auto" w:fill="auto"/>
            <w:noWrap/>
            <w:vAlign w:val="bottom"/>
            <w:hideMark/>
          </w:tcPr>
          <w:p w14:paraId="42D00CC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-0.354***</w:t>
            </w:r>
          </w:p>
        </w:tc>
      </w:tr>
      <w:tr w:rsidR="00FC14A5" w:rsidRPr="005A566B" w14:paraId="1587C0B0" w14:textId="77777777" w:rsidTr="00FC14A5">
        <w:trPr>
          <w:trHeight w:val="204"/>
        </w:trPr>
        <w:tc>
          <w:tcPr>
            <w:tcW w:w="2733" w:type="dxa"/>
            <w:tcBorders>
              <w:top w:val="nil"/>
              <w:left w:val="nil"/>
              <w:bottom w:val="nil"/>
              <w:right w:val="nil"/>
            </w:tcBorders>
            <w:shd w:val="clear" w:color="auto" w:fill="auto"/>
            <w:noWrap/>
            <w:vAlign w:val="bottom"/>
            <w:hideMark/>
          </w:tcPr>
          <w:p w14:paraId="77EA5566"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73DB1DAB" w14:textId="77777777" w:rsidR="00FC14A5" w:rsidRPr="005A566B" w:rsidRDefault="00FC14A5" w:rsidP="00FC14A5">
            <w:pPr>
              <w:spacing w:after="0" w:line="240" w:lineRule="auto"/>
              <w:jc w:val="center"/>
              <w:rPr>
                <w:rFonts w:ascii="Arial" w:eastAsia="Times New Roman" w:hAnsi="Arial" w:cs="Arial"/>
                <w:lang w:eastAsia="en-GB"/>
              </w:rPr>
            </w:pPr>
          </w:p>
        </w:tc>
        <w:tc>
          <w:tcPr>
            <w:tcW w:w="1957" w:type="dxa"/>
            <w:tcBorders>
              <w:top w:val="nil"/>
              <w:left w:val="nil"/>
              <w:bottom w:val="nil"/>
              <w:right w:val="nil"/>
            </w:tcBorders>
            <w:shd w:val="clear" w:color="auto" w:fill="auto"/>
            <w:noWrap/>
            <w:vAlign w:val="bottom"/>
            <w:hideMark/>
          </w:tcPr>
          <w:p w14:paraId="380E0D7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(-12.61)</w:t>
            </w:r>
          </w:p>
        </w:tc>
        <w:tc>
          <w:tcPr>
            <w:tcW w:w="1717" w:type="dxa"/>
            <w:tcBorders>
              <w:top w:val="nil"/>
              <w:left w:val="nil"/>
              <w:bottom w:val="nil"/>
              <w:right w:val="nil"/>
            </w:tcBorders>
            <w:shd w:val="clear" w:color="auto" w:fill="auto"/>
            <w:noWrap/>
            <w:vAlign w:val="bottom"/>
            <w:hideMark/>
          </w:tcPr>
          <w:p w14:paraId="0E26D703" w14:textId="77777777" w:rsidR="00FC14A5" w:rsidRPr="005A566B" w:rsidRDefault="00FC14A5" w:rsidP="00FC14A5">
            <w:pPr>
              <w:spacing w:after="0" w:line="240" w:lineRule="auto"/>
              <w:jc w:val="center"/>
              <w:rPr>
                <w:rFonts w:ascii="Arial" w:eastAsia="Times New Roman" w:hAnsi="Arial" w:cs="Arial"/>
                <w:lang w:eastAsia="en-GB"/>
              </w:rPr>
            </w:pPr>
          </w:p>
        </w:tc>
        <w:tc>
          <w:tcPr>
            <w:tcW w:w="1912" w:type="dxa"/>
            <w:tcBorders>
              <w:top w:val="nil"/>
              <w:left w:val="nil"/>
              <w:bottom w:val="nil"/>
              <w:right w:val="nil"/>
            </w:tcBorders>
            <w:shd w:val="clear" w:color="auto" w:fill="auto"/>
            <w:noWrap/>
            <w:vAlign w:val="bottom"/>
            <w:hideMark/>
          </w:tcPr>
          <w:p w14:paraId="0313469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(-3.24)</w:t>
            </w:r>
          </w:p>
        </w:tc>
      </w:tr>
      <w:tr w:rsidR="00FC14A5" w:rsidRPr="005A566B" w14:paraId="253CD582" w14:textId="77777777" w:rsidTr="00FC14A5">
        <w:trPr>
          <w:trHeight w:val="204"/>
        </w:trPr>
        <w:tc>
          <w:tcPr>
            <w:tcW w:w="2733" w:type="dxa"/>
            <w:tcBorders>
              <w:top w:val="nil"/>
              <w:left w:val="nil"/>
              <w:bottom w:val="nil"/>
              <w:right w:val="nil"/>
            </w:tcBorders>
            <w:shd w:val="clear" w:color="auto" w:fill="auto"/>
            <w:noWrap/>
            <w:vAlign w:val="bottom"/>
            <w:hideMark/>
          </w:tcPr>
          <w:p w14:paraId="13F7CB67"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WCM </w:t>
            </w:r>
            <w:r w:rsidRPr="005A566B">
              <w:rPr>
                <w:rFonts w:ascii="Arial" w:eastAsia="Times New Roman" w:hAnsi="Arial" w:cs="Arial"/>
                <w:sz w:val="12"/>
                <w:lang w:eastAsia="en-GB"/>
              </w:rPr>
              <w:t xml:space="preserve">   </w:t>
            </w:r>
            <w:r w:rsidRPr="005A566B">
              <w:rPr>
                <w:rFonts w:ascii="Arial" w:eastAsia="Times New Roman" w:hAnsi="Arial" w:cs="Arial"/>
                <w:lang w:eastAsia="en-GB"/>
              </w:rPr>
              <w:t>x COMPETITION</w:t>
            </w:r>
            <w:r w:rsidRPr="005A566B">
              <w:rPr>
                <w:rFonts w:ascii="Arial" w:eastAsia="Times New Roman" w:hAnsi="Arial" w:cs="Arial"/>
                <w:sz w:val="12"/>
                <w:lang w:eastAsia="en-GB"/>
              </w:rPr>
              <w:t xml:space="preserve"> </w:t>
            </w:r>
          </w:p>
        </w:tc>
        <w:tc>
          <w:tcPr>
            <w:tcW w:w="1739" w:type="dxa"/>
            <w:tcBorders>
              <w:top w:val="nil"/>
              <w:left w:val="nil"/>
              <w:bottom w:val="nil"/>
              <w:right w:val="nil"/>
            </w:tcBorders>
            <w:shd w:val="clear" w:color="auto" w:fill="auto"/>
            <w:noWrap/>
            <w:vAlign w:val="bottom"/>
            <w:hideMark/>
          </w:tcPr>
          <w:p w14:paraId="2442E00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0.0474***</w:t>
            </w:r>
          </w:p>
        </w:tc>
        <w:tc>
          <w:tcPr>
            <w:tcW w:w="1957" w:type="dxa"/>
            <w:tcBorders>
              <w:top w:val="nil"/>
              <w:left w:val="nil"/>
              <w:bottom w:val="nil"/>
              <w:right w:val="nil"/>
            </w:tcBorders>
            <w:shd w:val="clear" w:color="auto" w:fill="auto"/>
            <w:noWrap/>
            <w:vAlign w:val="bottom"/>
            <w:hideMark/>
          </w:tcPr>
          <w:p w14:paraId="34990319" w14:textId="77777777" w:rsidR="00FC14A5" w:rsidRPr="005A566B" w:rsidRDefault="00FC14A5" w:rsidP="00FC14A5">
            <w:pPr>
              <w:spacing w:after="0" w:line="240" w:lineRule="auto"/>
              <w:jc w:val="center"/>
              <w:rPr>
                <w:rFonts w:ascii="Arial" w:eastAsia="Times New Roman" w:hAnsi="Arial" w:cs="Arial"/>
                <w:lang w:eastAsia="en-GB"/>
              </w:rPr>
            </w:pPr>
          </w:p>
        </w:tc>
        <w:tc>
          <w:tcPr>
            <w:tcW w:w="1717" w:type="dxa"/>
            <w:tcBorders>
              <w:top w:val="nil"/>
              <w:left w:val="nil"/>
              <w:bottom w:val="nil"/>
              <w:right w:val="nil"/>
            </w:tcBorders>
            <w:shd w:val="clear" w:color="auto" w:fill="auto"/>
            <w:noWrap/>
            <w:vAlign w:val="bottom"/>
            <w:hideMark/>
          </w:tcPr>
          <w:p w14:paraId="6D18A36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0.059***</w:t>
            </w:r>
          </w:p>
        </w:tc>
        <w:tc>
          <w:tcPr>
            <w:tcW w:w="1912" w:type="dxa"/>
            <w:tcBorders>
              <w:top w:val="nil"/>
              <w:left w:val="nil"/>
              <w:bottom w:val="nil"/>
              <w:right w:val="nil"/>
            </w:tcBorders>
            <w:shd w:val="clear" w:color="auto" w:fill="auto"/>
            <w:noWrap/>
            <w:vAlign w:val="bottom"/>
            <w:hideMark/>
          </w:tcPr>
          <w:p w14:paraId="6541B800"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32875FC4" w14:textId="77777777" w:rsidTr="00FC14A5">
        <w:trPr>
          <w:trHeight w:val="204"/>
        </w:trPr>
        <w:tc>
          <w:tcPr>
            <w:tcW w:w="2733" w:type="dxa"/>
            <w:tcBorders>
              <w:top w:val="nil"/>
              <w:left w:val="nil"/>
              <w:bottom w:val="nil"/>
              <w:right w:val="nil"/>
            </w:tcBorders>
            <w:shd w:val="clear" w:color="auto" w:fill="auto"/>
            <w:noWrap/>
            <w:vAlign w:val="bottom"/>
            <w:hideMark/>
          </w:tcPr>
          <w:p w14:paraId="29D79938"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4F1DCDA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(0.46)</w:t>
            </w:r>
          </w:p>
        </w:tc>
        <w:tc>
          <w:tcPr>
            <w:tcW w:w="1957" w:type="dxa"/>
            <w:tcBorders>
              <w:top w:val="nil"/>
              <w:left w:val="nil"/>
              <w:bottom w:val="nil"/>
              <w:right w:val="nil"/>
            </w:tcBorders>
            <w:shd w:val="clear" w:color="auto" w:fill="auto"/>
            <w:noWrap/>
            <w:vAlign w:val="bottom"/>
            <w:hideMark/>
          </w:tcPr>
          <w:p w14:paraId="4566CD51" w14:textId="77777777" w:rsidR="00FC14A5" w:rsidRPr="005A566B" w:rsidRDefault="00FC14A5" w:rsidP="00FC14A5">
            <w:pPr>
              <w:spacing w:after="0" w:line="240" w:lineRule="auto"/>
              <w:jc w:val="center"/>
              <w:rPr>
                <w:rFonts w:ascii="Arial" w:eastAsia="Times New Roman" w:hAnsi="Arial" w:cs="Arial"/>
                <w:lang w:eastAsia="en-GB"/>
              </w:rPr>
            </w:pPr>
          </w:p>
        </w:tc>
        <w:tc>
          <w:tcPr>
            <w:tcW w:w="1717" w:type="dxa"/>
            <w:tcBorders>
              <w:top w:val="nil"/>
              <w:left w:val="nil"/>
              <w:bottom w:val="nil"/>
              <w:right w:val="nil"/>
            </w:tcBorders>
            <w:shd w:val="clear" w:color="auto" w:fill="auto"/>
            <w:noWrap/>
            <w:vAlign w:val="bottom"/>
            <w:hideMark/>
          </w:tcPr>
          <w:p w14:paraId="13DF73D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(0.06)</w:t>
            </w:r>
          </w:p>
        </w:tc>
        <w:tc>
          <w:tcPr>
            <w:tcW w:w="1912" w:type="dxa"/>
            <w:tcBorders>
              <w:top w:val="nil"/>
              <w:left w:val="nil"/>
              <w:bottom w:val="nil"/>
              <w:right w:val="nil"/>
            </w:tcBorders>
            <w:shd w:val="clear" w:color="auto" w:fill="auto"/>
            <w:noWrap/>
            <w:vAlign w:val="bottom"/>
            <w:hideMark/>
          </w:tcPr>
          <w:p w14:paraId="7E6CE483"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0FCB0EA5" w14:textId="77777777" w:rsidTr="00FC14A5">
        <w:trPr>
          <w:trHeight w:val="204"/>
        </w:trPr>
        <w:tc>
          <w:tcPr>
            <w:tcW w:w="2733" w:type="dxa"/>
            <w:tcBorders>
              <w:top w:val="nil"/>
              <w:left w:val="nil"/>
              <w:bottom w:val="nil"/>
              <w:right w:val="nil"/>
            </w:tcBorders>
            <w:shd w:val="clear" w:color="auto" w:fill="auto"/>
            <w:noWrap/>
            <w:vAlign w:val="bottom"/>
            <w:hideMark/>
          </w:tcPr>
          <w:p w14:paraId="0E71A485"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WCM</w:t>
            </w:r>
            <w:r w:rsidRPr="005A566B">
              <w:rPr>
                <w:rFonts w:ascii="Arial" w:eastAsia="Times New Roman" w:hAnsi="Arial" w:cs="Arial"/>
                <w:sz w:val="16"/>
                <w:lang w:eastAsia="en-GB"/>
              </w:rPr>
              <w:t xml:space="preserve">t-1   </w:t>
            </w:r>
            <w:r w:rsidRPr="005A566B">
              <w:rPr>
                <w:rFonts w:ascii="Arial" w:eastAsia="Times New Roman" w:hAnsi="Arial" w:cs="Arial"/>
                <w:lang w:eastAsia="en-GB"/>
              </w:rPr>
              <w:t>x Crisis</w:t>
            </w:r>
          </w:p>
        </w:tc>
        <w:tc>
          <w:tcPr>
            <w:tcW w:w="1739" w:type="dxa"/>
            <w:tcBorders>
              <w:top w:val="nil"/>
              <w:left w:val="nil"/>
              <w:bottom w:val="nil"/>
              <w:right w:val="nil"/>
            </w:tcBorders>
            <w:shd w:val="clear" w:color="auto" w:fill="auto"/>
            <w:noWrap/>
            <w:vAlign w:val="bottom"/>
            <w:hideMark/>
          </w:tcPr>
          <w:p w14:paraId="38C12C47" w14:textId="77777777" w:rsidR="00FC14A5" w:rsidRPr="005A566B" w:rsidRDefault="00FC14A5" w:rsidP="00FC14A5">
            <w:pPr>
              <w:spacing w:after="0" w:line="240" w:lineRule="auto"/>
              <w:jc w:val="center"/>
              <w:rPr>
                <w:rFonts w:ascii="Arial" w:eastAsia="Times New Roman" w:hAnsi="Arial" w:cs="Arial"/>
                <w:lang w:eastAsia="en-GB"/>
              </w:rPr>
            </w:pPr>
          </w:p>
        </w:tc>
        <w:tc>
          <w:tcPr>
            <w:tcW w:w="1957" w:type="dxa"/>
            <w:tcBorders>
              <w:top w:val="nil"/>
              <w:left w:val="nil"/>
              <w:bottom w:val="nil"/>
              <w:right w:val="nil"/>
            </w:tcBorders>
            <w:shd w:val="clear" w:color="auto" w:fill="auto"/>
            <w:noWrap/>
            <w:vAlign w:val="bottom"/>
            <w:hideMark/>
          </w:tcPr>
          <w:p w14:paraId="65CC6ED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0.0302***</w:t>
            </w:r>
          </w:p>
        </w:tc>
        <w:tc>
          <w:tcPr>
            <w:tcW w:w="1717" w:type="dxa"/>
            <w:tcBorders>
              <w:top w:val="nil"/>
              <w:left w:val="nil"/>
              <w:bottom w:val="nil"/>
              <w:right w:val="nil"/>
            </w:tcBorders>
            <w:shd w:val="clear" w:color="auto" w:fill="auto"/>
            <w:noWrap/>
            <w:vAlign w:val="bottom"/>
            <w:hideMark/>
          </w:tcPr>
          <w:p w14:paraId="6EC52025" w14:textId="77777777" w:rsidR="00FC14A5" w:rsidRPr="005A566B" w:rsidRDefault="00FC14A5" w:rsidP="00FC14A5">
            <w:pPr>
              <w:spacing w:after="0" w:line="240" w:lineRule="auto"/>
              <w:jc w:val="center"/>
              <w:rPr>
                <w:rFonts w:ascii="Arial" w:eastAsia="Times New Roman" w:hAnsi="Arial" w:cs="Arial"/>
                <w:lang w:eastAsia="en-GB"/>
              </w:rPr>
            </w:pPr>
          </w:p>
        </w:tc>
        <w:tc>
          <w:tcPr>
            <w:tcW w:w="1912" w:type="dxa"/>
            <w:tcBorders>
              <w:top w:val="nil"/>
              <w:left w:val="nil"/>
              <w:bottom w:val="nil"/>
              <w:right w:val="nil"/>
            </w:tcBorders>
            <w:shd w:val="clear" w:color="auto" w:fill="auto"/>
            <w:noWrap/>
            <w:vAlign w:val="bottom"/>
            <w:hideMark/>
          </w:tcPr>
          <w:p w14:paraId="1B6F16D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0.0819***</w:t>
            </w:r>
          </w:p>
        </w:tc>
      </w:tr>
      <w:tr w:rsidR="00FC14A5" w:rsidRPr="005A566B" w14:paraId="2361F4AD" w14:textId="77777777" w:rsidTr="00FC14A5">
        <w:trPr>
          <w:trHeight w:val="204"/>
        </w:trPr>
        <w:tc>
          <w:tcPr>
            <w:tcW w:w="2733" w:type="dxa"/>
            <w:tcBorders>
              <w:top w:val="nil"/>
              <w:left w:val="nil"/>
              <w:bottom w:val="nil"/>
              <w:right w:val="nil"/>
            </w:tcBorders>
            <w:shd w:val="clear" w:color="auto" w:fill="auto"/>
            <w:noWrap/>
            <w:vAlign w:val="bottom"/>
            <w:hideMark/>
          </w:tcPr>
          <w:p w14:paraId="7BFD84B0"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47D84F58" w14:textId="77777777" w:rsidR="00FC14A5" w:rsidRPr="005A566B" w:rsidRDefault="00FC14A5" w:rsidP="00FC14A5">
            <w:pPr>
              <w:spacing w:after="0" w:line="240" w:lineRule="auto"/>
              <w:jc w:val="center"/>
              <w:rPr>
                <w:rFonts w:ascii="Arial" w:eastAsia="Times New Roman" w:hAnsi="Arial" w:cs="Arial"/>
                <w:lang w:eastAsia="en-GB"/>
              </w:rPr>
            </w:pPr>
          </w:p>
        </w:tc>
        <w:tc>
          <w:tcPr>
            <w:tcW w:w="1957" w:type="dxa"/>
            <w:tcBorders>
              <w:top w:val="nil"/>
              <w:left w:val="nil"/>
              <w:bottom w:val="nil"/>
              <w:right w:val="nil"/>
            </w:tcBorders>
            <w:shd w:val="clear" w:color="auto" w:fill="auto"/>
            <w:noWrap/>
            <w:vAlign w:val="bottom"/>
            <w:hideMark/>
          </w:tcPr>
          <w:p w14:paraId="5068C31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(14.05)</w:t>
            </w:r>
          </w:p>
        </w:tc>
        <w:tc>
          <w:tcPr>
            <w:tcW w:w="1717" w:type="dxa"/>
            <w:tcBorders>
              <w:top w:val="nil"/>
              <w:left w:val="nil"/>
              <w:bottom w:val="nil"/>
              <w:right w:val="nil"/>
            </w:tcBorders>
            <w:shd w:val="clear" w:color="auto" w:fill="auto"/>
            <w:noWrap/>
            <w:vAlign w:val="bottom"/>
            <w:hideMark/>
          </w:tcPr>
          <w:p w14:paraId="5E119802" w14:textId="77777777" w:rsidR="00FC14A5" w:rsidRPr="005A566B" w:rsidRDefault="00FC14A5" w:rsidP="00FC14A5">
            <w:pPr>
              <w:spacing w:after="0" w:line="240" w:lineRule="auto"/>
              <w:jc w:val="center"/>
              <w:rPr>
                <w:rFonts w:ascii="Arial" w:eastAsia="Times New Roman" w:hAnsi="Arial" w:cs="Arial"/>
                <w:lang w:eastAsia="en-GB"/>
              </w:rPr>
            </w:pPr>
          </w:p>
        </w:tc>
        <w:tc>
          <w:tcPr>
            <w:tcW w:w="1912" w:type="dxa"/>
            <w:tcBorders>
              <w:top w:val="nil"/>
              <w:left w:val="nil"/>
              <w:bottom w:val="nil"/>
              <w:right w:val="nil"/>
            </w:tcBorders>
            <w:shd w:val="clear" w:color="auto" w:fill="auto"/>
            <w:noWrap/>
            <w:vAlign w:val="bottom"/>
            <w:hideMark/>
          </w:tcPr>
          <w:p w14:paraId="64015D3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(3.62)</w:t>
            </w:r>
          </w:p>
        </w:tc>
      </w:tr>
      <w:tr w:rsidR="00FC14A5" w:rsidRPr="005A566B" w14:paraId="3B3A262A" w14:textId="77777777" w:rsidTr="00FC14A5">
        <w:trPr>
          <w:trHeight w:val="204"/>
        </w:trPr>
        <w:tc>
          <w:tcPr>
            <w:tcW w:w="2733" w:type="dxa"/>
            <w:tcBorders>
              <w:top w:val="nil"/>
              <w:left w:val="nil"/>
              <w:bottom w:val="nil"/>
              <w:right w:val="nil"/>
            </w:tcBorders>
            <w:shd w:val="clear" w:color="auto" w:fill="auto"/>
            <w:noWrap/>
            <w:vAlign w:val="bottom"/>
            <w:hideMark/>
          </w:tcPr>
          <w:p w14:paraId="7FF467B0"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FLEV</w:t>
            </w:r>
            <w:r w:rsidRPr="005A566B">
              <w:rPr>
                <w:rFonts w:ascii="Arial" w:eastAsia="Times New Roman" w:hAnsi="Arial" w:cs="Arial"/>
                <w:sz w:val="10"/>
                <w:lang w:eastAsia="en-GB"/>
              </w:rPr>
              <w:t xml:space="preserve"> </w:t>
            </w:r>
          </w:p>
        </w:tc>
        <w:tc>
          <w:tcPr>
            <w:tcW w:w="1739" w:type="dxa"/>
            <w:tcBorders>
              <w:top w:val="nil"/>
              <w:left w:val="nil"/>
              <w:bottom w:val="nil"/>
              <w:right w:val="nil"/>
            </w:tcBorders>
            <w:shd w:val="clear" w:color="auto" w:fill="auto"/>
            <w:noWrap/>
            <w:vAlign w:val="bottom"/>
            <w:hideMark/>
          </w:tcPr>
          <w:p w14:paraId="5E3AB8C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-0.00609</w:t>
            </w:r>
          </w:p>
        </w:tc>
        <w:tc>
          <w:tcPr>
            <w:tcW w:w="1957" w:type="dxa"/>
            <w:tcBorders>
              <w:top w:val="nil"/>
              <w:left w:val="nil"/>
              <w:bottom w:val="nil"/>
              <w:right w:val="nil"/>
            </w:tcBorders>
            <w:shd w:val="clear" w:color="auto" w:fill="auto"/>
            <w:noWrap/>
            <w:vAlign w:val="bottom"/>
            <w:hideMark/>
          </w:tcPr>
          <w:p w14:paraId="0DCFB59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-0.0159***</w:t>
            </w:r>
          </w:p>
        </w:tc>
        <w:tc>
          <w:tcPr>
            <w:tcW w:w="1717" w:type="dxa"/>
            <w:tcBorders>
              <w:top w:val="nil"/>
              <w:left w:val="nil"/>
              <w:bottom w:val="nil"/>
              <w:right w:val="nil"/>
            </w:tcBorders>
            <w:shd w:val="clear" w:color="auto" w:fill="auto"/>
            <w:noWrap/>
            <w:vAlign w:val="bottom"/>
            <w:hideMark/>
          </w:tcPr>
          <w:p w14:paraId="747608A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-0.0203</w:t>
            </w:r>
          </w:p>
        </w:tc>
        <w:tc>
          <w:tcPr>
            <w:tcW w:w="1912" w:type="dxa"/>
            <w:tcBorders>
              <w:top w:val="nil"/>
              <w:left w:val="nil"/>
              <w:bottom w:val="nil"/>
              <w:right w:val="nil"/>
            </w:tcBorders>
            <w:shd w:val="clear" w:color="auto" w:fill="auto"/>
            <w:noWrap/>
            <w:vAlign w:val="bottom"/>
            <w:hideMark/>
          </w:tcPr>
          <w:p w14:paraId="6F37656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-0.0539***</w:t>
            </w:r>
          </w:p>
        </w:tc>
      </w:tr>
      <w:tr w:rsidR="00FC14A5" w:rsidRPr="005A566B" w14:paraId="3202361C" w14:textId="77777777" w:rsidTr="00FC14A5">
        <w:trPr>
          <w:trHeight w:val="204"/>
        </w:trPr>
        <w:tc>
          <w:tcPr>
            <w:tcW w:w="2733" w:type="dxa"/>
            <w:tcBorders>
              <w:top w:val="nil"/>
              <w:left w:val="nil"/>
              <w:bottom w:val="nil"/>
              <w:right w:val="nil"/>
            </w:tcBorders>
            <w:shd w:val="clear" w:color="auto" w:fill="auto"/>
            <w:noWrap/>
            <w:vAlign w:val="bottom"/>
            <w:hideMark/>
          </w:tcPr>
          <w:p w14:paraId="40D6FBF0"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128C087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(-0.89)</w:t>
            </w:r>
          </w:p>
        </w:tc>
        <w:tc>
          <w:tcPr>
            <w:tcW w:w="1957" w:type="dxa"/>
            <w:tcBorders>
              <w:top w:val="nil"/>
              <w:left w:val="nil"/>
              <w:bottom w:val="nil"/>
              <w:right w:val="nil"/>
            </w:tcBorders>
            <w:shd w:val="clear" w:color="auto" w:fill="auto"/>
            <w:noWrap/>
            <w:vAlign w:val="bottom"/>
            <w:hideMark/>
          </w:tcPr>
          <w:p w14:paraId="212EAF9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(-61.51)</w:t>
            </w:r>
          </w:p>
        </w:tc>
        <w:tc>
          <w:tcPr>
            <w:tcW w:w="1717" w:type="dxa"/>
            <w:tcBorders>
              <w:top w:val="nil"/>
              <w:left w:val="nil"/>
              <w:bottom w:val="nil"/>
              <w:right w:val="nil"/>
            </w:tcBorders>
            <w:shd w:val="clear" w:color="auto" w:fill="auto"/>
            <w:noWrap/>
            <w:vAlign w:val="bottom"/>
            <w:hideMark/>
          </w:tcPr>
          <w:p w14:paraId="17137B0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(-1.33)</w:t>
            </w:r>
          </w:p>
        </w:tc>
        <w:tc>
          <w:tcPr>
            <w:tcW w:w="1912" w:type="dxa"/>
            <w:tcBorders>
              <w:top w:val="nil"/>
              <w:left w:val="nil"/>
              <w:bottom w:val="nil"/>
              <w:right w:val="nil"/>
            </w:tcBorders>
            <w:shd w:val="clear" w:color="auto" w:fill="auto"/>
            <w:noWrap/>
            <w:vAlign w:val="bottom"/>
            <w:hideMark/>
          </w:tcPr>
          <w:p w14:paraId="61631AA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(-14.51)</w:t>
            </w:r>
          </w:p>
        </w:tc>
      </w:tr>
      <w:tr w:rsidR="00FC14A5" w:rsidRPr="005A566B" w14:paraId="2EE83C67" w14:textId="77777777" w:rsidTr="00FC14A5">
        <w:trPr>
          <w:trHeight w:val="204"/>
        </w:trPr>
        <w:tc>
          <w:tcPr>
            <w:tcW w:w="2733" w:type="dxa"/>
            <w:tcBorders>
              <w:top w:val="nil"/>
              <w:left w:val="nil"/>
              <w:bottom w:val="nil"/>
              <w:right w:val="nil"/>
            </w:tcBorders>
            <w:shd w:val="clear" w:color="auto" w:fill="auto"/>
            <w:noWrap/>
            <w:vAlign w:val="bottom"/>
            <w:hideMark/>
          </w:tcPr>
          <w:p w14:paraId="19E2A7EA"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ATAN</w:t>
            </w:r>
            <w:r w:rsidRPr="005A566B">
              <w:rPr>
                <w:rFonts w:ascii="Arial" w:eastAsia="Times New Roman" w:hAnsi="Arial" w:cs="Arial"/>
                <w:sz w:val="10"/>
                <w:lang w:eastAsia="en-GB"/>
              </w:rPr>
              <w:t xml:space="preserve"> </w:t>
            </w:r>
          </w:p>
        </w:tc>
        <w:tc>
          <w:tcPr>
            <w:tcW w:w="1739" w:type="dxa"/>
            <w:tcBorders>
              <w:top w:val="nil"/>
              <w:left w:val="nil"/>
              <w:bottom w:val="nil"/>
              <w:right w:val="nil"/>
            </w:tcBorders>
            <w:shd w:val="clear" w:color="auto" w:fill="auto"/>
            <w:noWrap/>
            <w:vAlign w:val="bottom"/>
            <w:hideMark/>
          </w:tcPr>
          <w:p w14:paraId="27508A6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-0.000586</w:t>
            </w:r>
          </w:p>
        </w:tc>
        <w:tc>
          <w:tcPr>
            <w:tcW w:w="1957" w:type="dxa"/>
            <w:tcBorders>
              <w:top w:val="nil"/>
              <w:left w:val="nil"/>
              <w:bottom w:val="nil"/>
              <w:right w:val="nil"/>
            </w:tcBorders>
            <w:shd w:val="clear" w:color="auto" w:fill="auto"/>
            <w:noWrap/>
            <w:vAlign w:val="bottom"/>
            <w:hideMark/>
          </w:tcPr>
          <w:p w14:paraId="57D9AB4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0.00189***</w:t>
            </w:r>
          </w:p>
        </w:tc>
        <w:tc>
          <w:tcPr>
            <w:tcW w:w="1717" w:type="dxa"/>
            <w:tcBorders>
              <w:top w:val="nil"/>
              <w:left w:val="nil"/>
              <w:bottom w:val="nil"/>
              <w:right w:val="nil"/>
            </w:tcBorders>
            <w:shd w:val="clear" w:color="auto" w:fill="auto"/>
            <w:noWrap/>
            <w:vAlign w:val="bottom"/>
            <w:hideMark/>
          </w:tcPr>
          <w:p w14:paraId="548D1FF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0.00817</w:t>
            </w:r>
          </w:p>
        </w:tc>
        <w:tc>
          <w:tcPr>
            <w:tcW w:w="1912" w:type="dxa"/>
            <w:tcBorders>
              <w:top w:val="nil"/>
              <w:left w:val="nil"/>
              <w:bottom w:val="nil"/>
              <w:right w:val="nil"/>
            </w:tcBorders>
            <w:shd w:val="clear" w:color="auto" w:fill="auto"/>
            <w:noWrap/>
            <w:vAlign w:val="bottom"/>
            <w:hideMark/>
          </w:tcPr>
          <w:p w14:paraId="4510C1D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-0.00287</w:t>
            </w:r>
          </w:p>
        </w:tc>
      </w:tr>
      <w:tr w:rsidR="00FC14A5" w:rsidRPr="005A566B" w14:paraId="251589FA" w14:textId="77777777" w:rsidTr="00FC14A5">
        <w:trPr>
          <w:trHeight w:val="204"/>
        </w:trPr>
        <w:tc>
          <w:tcPr>
            <w:tcW w:w="2733" w:type="dxa"/>
            <w:tcBorders>
              <w:top w:val="nil"/>
              <w:left w:val="nil"/>
              <w:bottom w:val="nil"/>
              <w:right w:val="nil"/>
            </w:tcBorders>
            <w:shd w:val="clear" w:color="auto" w:fill="auto"/>
            <w:noWrap/>
            <w:vAlign w:val="bottom"/>
            <w:hideMark/>
          </w:tcPr>
          <w:p w14:paraId="1E620E37"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32C822C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(-0.52)</w:t>
            </w:r>
          </w:p>
        </w:tc>
        <w:tc>
          <w:tcPr>
            <w:tcW w:w="1957" w:type="dxa"/>
            <w:tcBorders>
              <w:top w:val="nil"/>
              <w:left w:val="nil"/>
              <w:bottom w:val="nil"/>
              <w:right w:val="nil"/>
            </w:tcBorders>
            <w:shd w:val="clear" w:color="auto" w:fill="auto"/>
            <w:noWrap/>
            <w:vAlign w:val="bottom"/>
            <w:hideMark/>
          </w:tcPr>
          <w:p w14:paraId="42EC15F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(5.85)</w:t>
            </w:r>
          </w:p>
        </w:tc>
        <w:tc>
          <w:tcPr>
            <w:tcW w:w="1717" w:type="dxa"/>
            <w:tcBorders>
              <w:top w:val="nil"/>
              <w:left w:val="nil"/>
              <w:bottom w:val="nil"/>
              <w:right w:val="nil"/>
            </w:tcBorders>
            <w:shd w:val="clear" w:color="auto" w:fill="auto"/>
            <w:noWrap/>
            <w:vAlign w:val="bottom"/>
            <w:hideMark/>
          </w:tcPr>
          <w:p w14:paraId="7613C2D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(1.15)</w:t>
            </w:r>
          </w:p>
        </w:tc>
        <w:tc>
          <w:tcPr>
            <w:tcW w:w="1912" w:type="dxa"/>
            <w:tcBorders>
              <w:top w:val="nil"/>
              <w:left w:val="nil"/>
              <w:bottom w:val="nil"/>
              <w:right w:val="nil"/>
            </w:tcBorders>
            <w:shd w:val="clear" w:color="auto" w:fill="auto"/>
            <w:noWrap/>
            <w:vAlign w:val="bottom"/>
            <w:hideMark/>
          </w:tcPr>
          <w:p w14:paraId="6F2622E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(-1.22)</w:t>
            </w:r>
          </w:p>
        </w:tc>
      </w:tr>
      <w:tr w:rsidR="00FC14A5" w:rsidRPr="005A566B" w14:paraId="47EB5321" w14:textId="77777777" w:rsidTr="00FC14A5">
        <w:trPr>
          <w:trHeight w:val="204"/>
        </w:trPr>
        <w:tc>
          <w:tcPr>
            <w:tcW w:w="2733" w:type="dxa"/>
            <w:tcBorders>
              <w:top w:val="nil"/>
              <w:left w:val="nil"/>
              <w:bottom w:val="nil"/>
              <w:right w:val="nil"/>
            </w:tcBorders>
            <w:shd w:val="clear" w:color="auto" w:fill="auto"/>
            <w:noWrap/>
            <w:vAlign w:val="bottom"/>
            <w:hideMark/>
          </w:tcPr>
          <w:p w14:paraId="465B0D1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GROWTH</w:t>
            </w:r>
            <w:r w:rsidRPr="005A566B">
              <w:rPr>
                <w:rFonts w:ascii="Arial" w:eastAsia="Times New Roman" w:hAnsi="Arial" w:cs="Arial"/>
                <w:sz w:val="10"/>
                <w:lang w:eastAsia="en-GB"/>
              </w:rPr>
              <w:t xml:space="preserve"> </w:t>
            </w:r>
          </w:p>
        </w:tc>
        <w:tc>
          <w:tcPr>
            <w:tcW w:w="1739" w:type="dxa"/>
            <w:tcBorders>
              <w:top w:val="nil"/>
              <w:left w:val="nil"/>
              <w:bottom w:val="nil"/>
              <w:right w:val="nil"/>
            </w:tcBorders>
            <w:shd w:val="clear" w:color="auto" w:fill="auto"/>
            <w:noWrap/>
            <w:vAlign w:val="bottom"/>
            <w:hideMark/>
          </w:tcPr>
          <w:p w14:paraId="2E1314D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0.0142***</w:t>
            </w:r>
          </w:p>
        </w:tc>
        <w:tc>
          <w:tcPr>
            <w:tcW w:w="1957" w:type="dxa"/>
            <w:tcBorders>
              <w:top w:val="nil"/>
              <w:left w:val="nil"/>
              <w:bottom w:val="nil"/>
              <w:right w:val="nil"/>
            </w:tcBorders>
            <w:shd w:val="clear" w:color="auto" w:fill="auto"/>
            <w:noWrap/>
            <w:vAlign w:val="bottom"/>
            <w:hideMark/>
          </w:tcPr>
          <w:p w14:paraId="2D122C0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-0.000959***</w:t>
            </w:r>
          </w:p>
        </w:tc>
        <w:tc>
          <w:tcPr>
            <w:tcW w:w="1717" w:type="dxa"/>
            <w:tcBorders>
              <w:top w:val="nil"/>
              <w:left w:val="nil"/>
              <w:bottom w:val="nil"/>
              <w:right w:val="nil"/>
            </w:tcBorders>
            <w:shd w:val="clear" w:color="auto" w:fill="auto"/>
            <w:noWrap/>
            <w:vAlign w:val="bottom"/>
            <w:hideMark/>
          </w:tcPr>
          <w:p w14:paraId="2D2FF8C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0.00392*</w:t>
            </w:r>
          </w:p>
        </w:tc>
        <w:tc>
          <w:tcPr>
            <w:tcW w:w="1912" w:type="dxa"/>
            <w:tcBorders>
              <w:top w:val="nil"/>
              <w:left w:val="nil"/>
              <w:bottom w:val="nil"/>
              <w:right w:val="nil"/>
            </w:tcBorders>
            <w:shd w:val="clear" w:color="auto" w:fill="auto"/>
            <w:noWrap/>
            <w:vAlign w:val="bottom"/>
            <w:hideMark/>
          </w:tcPr>
          <w:p w14:paraId="2468149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0.000422***</w:t>
            </w:r>
          </w:p>
        </w:tc>
      </w:tr>
      <w:tr w:rsidR="00FC14A5" w:rsidRPr="005A566B" w14:paraId="46BD39AF" w14:textId="77777777" w:rsidTr="00FC14A5">
        <w:trPr>
          <w:trHeight w:val="204"/>
        </w:trPr>
        <w:tc>
          <w:tcPr>
            <w:tcW w:w="2733" w:type="dxa"/>
            <w:tcBorders>
              <w:top w:val="nil"/>
              <w:left w:val="nil"/>
              <w:bottom w:val="nil"/>
              <w:right w:val="nil"/>
            </w:tcBorders>
            <w:shd w:val="clear" w:color="auto" w:fill="auto"/>
            <w:noWrap/>
            <w:vAlign w:val="bottom"/>
            <w:hideMark/>
          </w:tcPr>
          <w:p w14:paraId="29E0E425"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bottom w:val="nil"/>
              <w:right w:val="nil"/>
            </w:tcBorders>
            <w:shd w:val="clear" w:color="auto" w:fill="auto"/>
            <w:noWrap/>
            <w:vAlign w:val="bottom"/>
            <w:hideMark/>
          </w:tcPr>
          <w:p w14:paraId="339D1A0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(5.62)</w:t>
            </w:r>
          </w:p>
        </w:tc>
        <w:tc>
          <w:tcPr>
            <w:tcW w:w="1957" w:type="dxa"/>
            <w:tcBorders>
              <w:top w:val="nil"/>
              <w:left w:val="nil"/>
              <w:bottom w:val="nil"/>
              <w:right w:val="nil"/>
            </w:tcBorders>
            <w:shd w:val="clear" w:color="auto" w:fill="auto"/>
            <w:noWrap/>
            <w:vAlign w:val="bottom"/>
            <w:hideMark/>
          </w:tcPr>
          <w:p w14:paraId="2CFCA6C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(-64.47)</w:t>
            </w:r>
          </w:p>
        </w:tc>
        <w:tc>
          <w:tcPr>
            <w:tcW w:w="1717" w:type="dxa"/>
            <w:tcBorders>
              <w:top w:val="nil"/>
              <w:left w:val="nil"/>
              <w:bottom w:val="nil"/>
              <w:right w:val="nil"/>
            </w:tcBorders>
            <w:shd w:val="clear" w:color="auto" w:fill="auto"/>
            <w:noWrap/>
            <w:vAlign w:val="bottom"/>
            <w:hideMark/>
          </w:tcPr>
          <w:p w14:paraId="739631F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(1.76)</w:t>
            </w:r>
          </w:p>
        </w:tc>
        <w:tc>
          <w:tcPr>
            <w:tcW w:w="1912" w:type="dxa"/>
            <w:tcBorders>
              <w:top w:val="nil"/>
              <w:left w:val="nil"/>
              <w:bottom w:val="nil"/>
              <w:right w:val="nil"/>
            </w:tcBorders>
            <w:shd w:val="clear" w:color="auto" w:fill="auto"/>
            <w:noWrap/>
            <w:vAlign w:val="bottom"/>
            <w:hideMark/>
          </w:tcPr>
          <w:p w14:paraId="6408F57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(14.83)</w:t>
            </w:r>
          </w:p>
        </w:tc>
      </w:tr>
      <w:tr w:rsidR="00FC14A5" w:rsidRPr="005A566B" w14:paraId="60AFE5F6" w14:textId="77777777" w:rsidTr="00FC14A5">
        <w:trPr>
          <w:trHeight w:val="204"/>
        </w:trPr>
        <w:tc>
          <w:tcPr>
            <w:tcW w:w="2733" w:type="dxa"/>
            <w:tcBorders>
              <w:top w:val="nil"/>
              <w:left w:val="nil"/>
              <w:right w:val="nil"/>
            </w:tcBorders>
            <w:shd w:val="clear" w:color="auto" w:fill="auto"/>
            <w:noWrap/>
            <w:vAlign w:val="center"/>
          </w:tcPr>
          <w:p w14:paraId="645AC08B" w14:textId="77777777" w:rsidR="00FC14A5" w:rsidRPr="005A566B" w:rsidRDefault="00FC14A5" w:rsidP="00FC14A5">
            <w:pPr>
              <w:spacing w:after="0" w:line="240" w:lineRule="auto"/>
              <w:rPr>
                <w:rFonts w:ascii="Arial" w:eastAsia="Times New Roman" w:hAnsi="Arial" w:cs="Arial"/>
                <w:lang w:eastAsia="en-GB"/>
              </w:rPr>
            </w:pPr>
          </w:p>
        </w:tc>
        <w:tc>
          <w:tcPr>
            <w:tcW w:w="1739" w:type="dxa"/>
            <w:tcBorders>
              <w:top w:val="nil"/>
              <w:left w:val="nil"/>
              <w:right w:val="nil"/>
            </w:tcBorders>
            <w:shd w:val="clear" w:color="auto" w:fill="auto"/>
            <w:noWrap/>
            <w:vAlign w:val="bottom"/>
          </w:tcPr>
          <w:p w14:paraId="089989C3" w14:textId="77777777" w:rsidR="00FC14A5" w:rsidRPr="005A566B" w:rsidRDefault="00FC14A5" w:rsidP="00FC14A5">
            <w:pPr>
              <w:spacing w:after="0" w:line="240" w:lineRule="auto"/>
              <w:jc w:val="center"/>
              <w:rPr>
                <w:rFonts w:ascii="Arial" w:eastAsia="Times New Roman" w:hAnsi="Arial" w:cs="Arial"/>
                <w:lang w:eastAsia="en-GB"/>
              </w:rPr>
            </w:pPr>
          </w:p>
        </w:tc>
        <w:tc>
          <w:tcPr>
            <w:tcW w:w="1957" w:type="dxa"/>
            <w:tcBorders>
              <w:top w:val="nil"/>
              <w:left w:val="nil"/>
              <w:right w:val="nil"/>
            </w:tcBorders>
            <w:shd w:val="clear" w:color="auto" w:fill="auto"/>
            <w:noWrap/>
            <w:vAlign w:val="bottom"/>
          </w:tcPr>
          <w:p w14:paraId="0546BB96" w14:textId="77777777" w:rsidR="00FC14A5" w:rsidRPr="005A566B" w:rsidRDefault="00FC14A5" w:rsidP="00FC14A5">
            <w:pPr>
              <w:spacing w:after="0" w:line="240" w:lineRule="auto"/>
              <w:jc w:val="center"/>
              <w:rPr>
                <w:rFonts w:ascii="Arial" w:eastAsia="Times New Roman" w:hAnsi="Arial" w:cs="Arial"/>
                <w:lang w:eastAsia="en-GB"/>
              </w:rPr>
            </w:pPr>
          </w:p>
        </w:tc>
        <w:tc>
          <w:tcPr>
            <w:tcW w:w="1717" w:type="dxa"/>
            <w:tcBorders>
              <w:top w:val="nil"/>
              <w:left w:val="nil"/>
              <w:right w:val="nil"/>
            </w:tcBorders>
            <w:shd w:val="clear" w:color="auto" w:fill="auto"/>
            <w:noWrap/>
            <w:vAlign w:val="bottom"/>
          </w:tcPr>
          <w:p w14:paraId="05971062" w14:textId="77777777" w:rsidR="00FC14A5" w:rsidRPr="005A566B" w:rsidRDefault="00FC14A5" w:rsidP="00FC14A5">
            <w:pPr>
              <w:spacing w:after="0" w:line="240" w:lineRule="auto"/>
              <w:jc w:val="center"/>
              <w:rPr>
                <w:rFonts w:ascii="Arial" w:eastAsia="Times New Roman" w:hAnsi="Arial" w:cs="Arial"/>
                <w:lang w:eastAsia="en-GB"/>
              </w:rPr>
            </w:pPr>
          </w:p>
        </w:tc>
        <w:tc>
          <w:tcPr>
            <w:tcW w:w="1912" w:type="dxa"/>
            <w:tcBorders>
              <w:top w:val="nil"/>
              <w:left w:val="nil"/>
              <w:right w:val="nil"/>
            </w:tcBorders>
            <w:shd w:val="clear" w:color="auto" w:fill="auto"/>
            <w:noWrap/>
            <w:vAlign w:val="bottom"/>
          </w:tcPr>
          <w:p w14:paraId="0F5C3D7F"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6C534223" w14:textId="77777777" w:rsidTr="00FC14A5">
        <w:trPr>
          <w:trHeight w:val="204"/>
        </w:trPr>
        <w:tc>
          <w:tcPr>
            <w:tcW w:w="2733" w:type="dxa"/>
            <w:tcBorders>
              <w:top w:val="nil"/>
              <w:left w:val="nil"/>
              <w:right w:val="nil"/>
            </w:tcBorders>
            <w:shd w:val="clear" w:color="auto" w:fill="auto"/>
            <w:noWrap/>
            <w:vAlign w:val="center"/>
          </w:tcPr>
          <w:p w14:paraId="5715EA61" w14:textId="77777777" w:rsidR="00FC14A5" w:rsidRPr="005A566B" w:rsidRDefault="00FC14A5" w:rsidP="00FC14A5">
            <w:pPr>
              <w:spacing w:after="0" w:line="240" w:lineRule="auto"/>
              <w:rPr>
                <w:rFonts w:ascii="Arial" w:eastAsia="Times New Roman" w:hAnsi="Arial" w:cs="Arial"/>
                <w:lang w:eastAsia="en-GB"/>
              </w:rPr>
            </w:pPr>
            <w:bookmarkStart w:id="292" w:name="_Hlk503734607"/>
            <w:r w:rsidRPr="005A566B">
              <w:rPr>
                <w:rFonts w:ascii="Arial" w:eastAsia="Times New Roman" w:hAnsi="Arial" w:cs="Arial"/>
                <w:lang w:eastAsia="en-GB"/>
              </w:rPr>
              <w:t>INDUSTRY</w:t>
            </w:r>
          </w:p>
        </w:tc>
        <w:tc>
          <w:tcPr>
            <w:tcW w:w="1739" w:type="dxa"/>
            <w:tcBorders>
              <w:top w:val="nil"/>
              <w:left w:val="nil"/>
              <w:right w:val="nil"/>
            </w:tcBorders>
            <w:shd w:val="clear" w:color="auto" w:fill="auto"/>
            <w:noWrap/>
            <w:vAlign w:val="bottom"/>
          </w:tcPr>
          <w:p w14:paraId="7ECD672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57" w:type="dxa"/>
            <w:tcBorders>
              <w:top w:val="nil"/>
              <w:left w:val="nil"/>
              <w:right w:val="nil"/>
            </w:tcBorders>
            <w:shd w:val="clear" w:color="auto" w:fill="auto"/>
            <w:noWrap/>
            <w:vAlign w:val="bottom"/>
          </w:tcPr>
          <w:p w14:paraId="28FBFE5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717" w:type="dxa"/>
            <w:tcBorders>
              <w:top w:val="nil"/>
              <w:left w:val="nil"/>
              <w:right w:val="nil"/>
            </w:tcBorders>
            <w:shd w:val="clear" w:color="auto" w:fill="auto"/>
            <w:noWrap/>
            <w:vAlign w:val="bottom"/>
          </w:tcPr>
          <w:p w14:paraId="665842A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12" w:type="dxa"/>
            <w:tcBorders>
              <w:top w:val="nil"/>
              <w:left w:val="nil"/>
              <w:right w:val="nil"/>
            </w:tcBorders>
            <w:shd w:val="clear" w:color="auto" w:fill="auto"/>
            <w:noWrap/>
            <w:vAlign w:val="bottom"/>
          </w:tcPr>
          <w:p w14:paraId="63025A6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FC14A5" w:rsidRPr="005A566B" w14:paraId="200B43CF" w14:textId="77777777" w:rsidTr="00FC14A5">
        <w:trPr>
          <w:trHeight w:val="204"/>
        </w:trPr>
        <w:tc>
          <w:tcPr>
            <w:tcW w:w="2733" w:type="dxa"/>
            <w:tcBorders>
              <w:top w:val="nil"/>
              <w:left w:val="nil"/>
              <w:right w:val="nil"/>
            </w:tcBorders>
            <w:shd w:val="clear" w:color="auto" w:fill="auto"/>
            <w:noWrap/>
            <w:vAlign w:val="center"/>
          </w:tcPr>
          <w:p w14:paraId="511D2A4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YEAR</w:t>
            </w:r>
          </w:p>
        </w:tc>
        <w:tc>
          <w:tcPr>
            <w:tcW w:w="1739" w:type="dxa"/>
            <w:tcBorders>
              <w:top w:val="nil"/>
              <w:left w:val="nil"/>
              <w:right w:val="nil"/>
            </w:tcBorders>
            <w:shd w:val="clear" w:color="auto" w:fill="auto"/>
            <w:noWrap/>
            <w:vAlign w:val="bottom"/>
          </w:tcPr>
          <w:p w14:paraId="66ECDA4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57" w:type="dxa"/>
            <w:tcBorders>
              <w:top w:val="nil"/>
              <w:left w:val="nil"/>
              <w:right w:val="nil"/>
            </w:tcBorders>
            <w:shd w:val="clear" w:color="auto" w:fill="auto"/>
            <w:noWrap/>
            <w:vAlign w:val="bottom"/>
          </w:tcPr>
          <w:p w14:paraId="277E13B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717" w:type="dxa"/>
            <w:tcBorders>
              <w:top w:val="nil"/>
              <w:left w:val="nil"/>
              <w:right w:val="nil"/>
            </w:tcBorders>
            <w:shd w:val="clear" w:color="auto" w:fill="auto"/>
            <w:noWrap/>
            <w:vAlign w:val="bottom"/>
          </w:tcPr>
          <w:p w14:paraId="2AC6D8A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912" w:type="dxa"/>
            <w:tcBorders>
              <w:top w:val="nil"/>
              <w:left w:val="nil"/>
              <w:right w:val="nil"/>
            </w:tcBorders>
            <w:shd w:val="clear" w:color="auto" w:fill="auto"/>
            <w:noWrap/>
            <w:vAlign w:val="bottom"/>
          </w:tcPr>
          <w:p w14:paraId="2972469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0F3BE0" w:rsidRPr="005A566B" w14:paraId="7A91D78A" w14:textId="77777777" w:rsidTr="00FC14A5">
        <w:trPr>
          <w:trHeight w:val="204"/>
        </w:trPr>
        <w:tc>
          <w:tcPr>
            <w:tcW w:w="2733" w:type="dxa"/>
            <w:tcBorders>
              <w:top w:val="nil"/>
              <w:left w:val="nil"/>
              <w:bottom w:val="nil"/>
              <w:right w:val="nil"/>
            </w:tcBorders>
            <w:shd w:val="clear" w:color="auto" w:fill="auto"/>
            <w:noWrap/>
            <w:vAlign w:val="bottom"/>
            <w:hideMark/>
          </w:tcPr>
          <w:p w14:paraId="6B352913" w14:textId="77777777" w:rsidR="000F3BE0" w:rsidRPr="005A566B" w:rsidRDefault="000F3BE0"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OBSERVATIONS</w:t>
            </w:r>
          </w:p>
        </w:tc>
        <w:tc>
          <w:tcPr>
            <w:tcW w:w="1739" w:type="dxa"/>
            <w:tcBorders>
              <w:top w:val="nil"/>
              <w:left w:val="nil"/>
              <w:bottom w:val="nil"/>
              <w:right w:val="nil"/>
            </w:tcBorders>
            <w:shd w:val="clear" w:color="auto" w:fill="auto"/>
            <w:noWrap/>
            <w:vAlign w:val="bottom"/>
            <w:hideMark/>
          </w:tcPr>
          <w:p w14:paraId="7175A5AD" w14:textId="52D4FB0A"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957" w:type="dxa"/>
            <w:tcBorders>
              <w:top w:val="nil"/>
              <w:left w:val="nil"/>
              <w:bottom w:val="nil"/>
              <w:right w:val="nil"/>
            </w:tcBorders>
            <w:shd w:val="clear" w:color="auto" w:fill="auto"/>
            <w:noWrap/>
            <w:vAlign w:val="bottom"/>
            <w:hideMark/>
          </w:tcPr>
          <w:p w14:paraId="4961CDB7" w14:textId="4FAF8A58"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717" w:type="dxa"/>
            <w:tcBorders>
              <w:top w:val="nil"/>
              <w:left w:val="nil"/>
              <w:bottom w:val="nil"/>
              <w:right w:val="nil"/>
            </w:tcBorders>
            <w:shd w:val="clear" w:color="auto" w:fill="auto"/>
            <w:noWrap/>
            <w:vAlign w:val="bottom"/>
            <w:hideMark/>
          </w:tcPr>
          <w:p w14:paraId="481DC6AA" w14:textId="1C5B3866"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912" w:type="dxa"/>
            <w:tcBorders>
              <w:top w:val="nil"/>
              <w:left w:val="nil"/>
              <w:bottom w:val="nil"/>
              <w:right w:val="nil"/>
            </w:tcBorders>
            <w:shd w:val="clear" w:color="auto" w:fill="auto"/>
            <w:noWrap/>
            <w:vAlign w:val="bottom"/>
            <w:hideMark/>
          </w:tcPr>
          <w:p w14:paraId="395B31CA" w14:textId="728F6024"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r>
      <w:tr w:rsidR="00FC14A5" w:rsidRPr="005A566B" w14:paraId="3480EDEC" w14:textId="77777777" w:rsidTr="00FC14A5">
        <w:trPr>
          <w:trHeight w:val="204"/>
        </w:trPr>
        <w:tc>
          <w:tcPr>
            <w:tcW w:w="2733" w:type="dxa"/>
            <w:tcBorders>
              <w:top w:val="nil"/>
              <w:left w:val="nil"/>
              <w:right w:val="nil"/>
            </w:tcBorders>
            <w:shd w:val="clear" w:color="auto" w:fill="auto"/>
            <w:noWrap/>
            <w:vAlign w:val="bottom"/>
          </w:tcPr>
          <w:p w14:paraId="4806BC13"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HANSEN TEST (p) </w:t>
            </w:r>
          </w:p>
        </w:tc>
        <w:tc>
          <w:tcPr>
            <w:tcW w:w="1739" w:type="dxa"/>
            <w:tcBorders>
              <w:top w:val="nil"/>
              <w:left w:val="nil"/>
              <w:right w:val="nil"/>
            </w:tcBorders>
            <w:shd w:val="clear" w:color="auto" w:fill="auto"/>
            <w:noWrap/>
            <w:vAlign w:val="bottom"/>
          </w:tcPr>
          <w:p w14:paraId="4569F0F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0.168</w:t>
            </w:r>
          </w:p>
        </w:tc>
        <w:tc>
          <w:tcPr>
            <w:tcW w:w="1957" w:type="dxa"/>
            <w:tcBorders>
              <w:top w:val="nil"/>
              <w:left w:val="nil"/>
              <w:right w:val="nil"/>
            </w:tcBorders>
            <w:shd w:val="clear" w:color="auto" w:fill="auto"/>
            <w:noWrap/>
            <w:vAlign w:val="bottom"/>
          </w:tcPr>
          <w:p w14:paraId="0C4DA87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0.120</w:t>
            </w:r>
          </w:p>
        </w:tc>
        <w:tc>
          <w:tcPr>
            <w:tcW w:w="1717" w:type="dxa"/>
            <w:tcBorders>
              <w:top w:val="nil"/>
              <w:left w:val="nil"/>
              <w:right w:val="nil"/>
            </w:tcBorders>
            <w:shd w:val="clear" w:color="auto" w:fill="auto"/>
            <w:noWrap/>
            <w:vAlign w:val="bottom"/>
          </w:tcPr>
          <w:p w14:paraId="1A45BA2D" w14:textId="77777777" w:rsidR="00FC14A5" w:rsidRPr="005A566B" w:rsidRDefault="00FC14A5" w:rsidP="00FC14A5">
            <w:pPr>
              <w:spacing w:after="0" w:line="240" w:lineRule="auto"/>
              <w:jc w:val="center"/>
              <w:rPr>
                <w:rFonts w:ascii="Arial" w:eastAsia="Times New Roman" w:hAnsi="Arial" w:cs="Arial"/>
                <w:lang w:eastAsia="en-GB"/>
              </w:rPr>
            </w:pPr>
            <w:bookmarkStart w:id="293" w:name="OLE_LINK34"/>
            <w:bookmarkStart w:id="294" w:name="OLE_LINK35"/>
            <w:r w:rsidRPr="005A566B">
              <w:rPr>
                <w:rFonts w:ascii="Arial" w:eastAsia="Times New Roman" w:hAnsi="Arial" w:cs="Arial"/>
                <w:lang w:eastAsia="en-GB"/>
              </w:rPr>
              <w:t>0.161</w:t>
            </w:r>
            <w:bookmarkEnd w:id="293"/>
            <w:bookmarkEnd w:id="294"/>
          </w:p>
        </w:tc>
        <w:tc>
          <w:tcPr>
            <w:tcW w:w="1912" w:type="dxa"/>
            <w:tcBorders>
              <w:top w:val="nil"/>
              <w:left w:val="nil"/>
              <w:right w:val="nil"/>
            </w:tcBorders>
            <w:shd w:val="clear" w:color="auto" w:fill="auto"/>
            <w:noWrap/>
            <w:vAlign w:val="bottom"/>
          </w:tcPr>
          <w:p w14:paraId="00040002" w14:textId="77777777" w:rsidR="00FC14A5" w:rsidRPr="005A566B" w:rsidRDefault="00FC14A5" w:rsidP="00FC14A5">
            <w:pPr>
              <w:spacing w:after="0" w:line="240" w:lineRule="auto"/>
              <w:jc w:val="center"/>
              <w:rPr>
                <w:rFonts w:ascii="Arial" w:eastAsia="Times New Roman" w:hAnsi="Arial" w:cs="Arial"/>
                <w:lang w:eastAsia="en-GB"/>
              </w:rPr>
            </w:pPr>
            <w:bookmarkStart w:id="295" w:name="OLE_LINK36"/>
            <w:bookmarkStart w:id="296" w:name="OLE_LINK37"/>
            <w:bookmarkStart w:id="297" w:name="OLE_LINK38"/>
            <w:r w:rsidRPr="005A566B">
              <w:rPr>
                <w:rFonts w:ascii="Arial" w:eastAsia="Times New Roman" w:hAnsi="Arial" w:cs="Arial"/>
                <w:lang w:eastAsia="en-GB"/>
              </w:rPr>
              <w:t>0.210</w:t>
            </w:r>
            <w:bookmarkEnd w:id="295"/>
            <w:bookmarkEnd w:id="296"/>
            <w:bookmarkEnd w:id="297"/>
          </w:p>
        </w:tc>
      </w:tr>
      <w:tr w:rsidR="00FC14A5" w:rsidRPr="005A566B" w14:paraId="5D18371D" w14:textId="77777777" w:rsidTr="00FC14A5">
        <w:trPr>
          <w:trHeight w:val="204"/>
        </w:trPr>
        <w:tc>
          <w:tcPr>
            <w:tcW w:w="2733" w:type="dxa"/>
            <w:tcBorders>
              <w:top w:val="nil"/>
              <w:left w:val="nil"/>
              <w:right w:val="nil"/>
            </w:tcBorders>
            <w:shd w:val="clear" w:color="auto" w:fill="auto"/>
            <w:noWrap/>
            <w:vAlign w:val="center"/>
            <w:hideMark/>
          </w:tcPr>
          <w:p w14:paraId="51343C1E" w14:textId="77777777" w:rsidR="00FC14A5" w:rsidRPr="005A566B" w:rsidRDefault="00FC14A5" w:rsidP="00FC14A5">
            <w:pPr>
              <w:spacing w:after="0" w:line="240" w:lineRule="auto"/>
              <w:rPr>
                <w:rFonts w:ascii="Arial" w:eastAsia="Times New Roman" w:hAnsi="Arial" w:cs="Arial"/>
                <w:lang w:eastAsia="en-GB"/>
              </w:rPr>
            </w:pPr>
            <w:bookmarkStart w:id="298" w:name="_Hlk503734782"/>
            <w:r w:rsidRPr="005A566B">
              <w:rPr>
                <w:rFonts w:ascii="Arial" w:eastAsia="Times New Roman" w:hAnsi="Arial" w:cs="Arial"/>
                <w:lang w:eastAsia="en-GB"/>
              </w:rPr>
              <w:t>AR1 (p)</w:t>
            </w:r>
          </w:p>
        </w:tc>
        <w:tc>
          <w:tcPr>
            <w:tcW w:w="1739" w:type="dxa"/>
            <w:tcBorders>
              <w:top w:val="nil"/>
              <w:left w:val="nil"/>
              <w:right w:val="nil"/>
            </w:tcBorders>
            <w:shd w:val="clear" w:color="auto" w:fill="auto"/>
            <w:noWrap/>
            <w:vAlign w:val="center"/>
            <w:hideMark/>
          </w:tcPr>
          <w:p w14:paraId="5BF33A34" w14:textId="77777777" w:rsidR="00FC14A5" w:rsidRPr="005A566B" w:rsidRDefault="00FC14A5" w:rsidP="00FC14A5">
            <w:pPr>
              <w:spacing w:after="0" w:line="240" w:lineRule="auto"/>
              <w:jc w:val="center"/>
              <w:rPr>
                <w:rFonts w:ascii="Arial" w:eastAsia="Times New Roman" w:hAnsi="Arial" w:cs="Arial"/>
                <w:lang w:eastAsia="en-GB"/>
              </w:rPr>
            </w:pPr>
            <w:bookmarkStart w:id="299" w:name="OLE_LINK31"/>
            <w:bookmarkStart w:id="300" w:name="OLE_LINK32"/>
            <w:bookmarkStart w:id="301" w:name="OLE_LINK33"/>
            <w:r w:rsidRPr="005A566B">
              <w:rPr>
                <w:rFonts w:ascii="Arial" w:eastAsia="Times New Roman" w:hAnsi="Arial" w:cs="Arial"/>
                <w:lang w:eastAsia="en-GB"/>
              </w:rPr>
              <w:t>0.000</w:t>
            </w:r>
            <w:bookmarkEnd w:id="299"/>
            <w:bookmarkEnd w:id="300"/>
            <w:bookmarkEnd w:id="301"/>
          </w:p>
        </w:tc>
        <w:tc>
          <w:tcPr>
            <w:tcW w:w="1957" w:type="dxa"/>
            <w:tcBorders>
              <w:top w:val="nil"/>
              <w:left w:val="nil"/>
              <w:right w:val="nil"/>
            </w:tcBorders>
            <w:shd w:val="clear" w:color="auto" w:fill="auto"/>
            <w:noWrap/>
            <w:vAlign w:val="center"/>
            <w:hideMark/>
          </w:tcPr>
          <w:p w14:paraId="1D0CC33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717" w:type="dxa"/>
            <w:tcBorders>
              <w:top w:val="nil"/>
              <w:left w:val="nil"/>
              <w:right w:val="nil"/>
            </w:tcBorders>
            <w:shd w:val="clear" w:color="auto" w:fill="auto"/>
            <w:noWrap/>
            <w:vAlign w:val="center"/>
            <w:hideMark/>
          </w:tcPr>
          <w:p w14:paraId="0DAB000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912" w:type="dxa"/>
            <w:tcBorders>
              <w:top w:val="nil"/>
              <w:left w:val="nil"/>
              <w:right w:val="nil"/>
            </w:tcBorders>
            <w:shd w:val="clear" w:color="auto" w:fill="auto"/>
            <w:noWrap/>
            <w:vAlign w:val="center"/>
            <w:hideMark/>
          </w:tcPr>
          <w:p w14:paraId="742C287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r>
      <w:bookmarkEnd w:id="298"/>
      <w:tr w:rsidR="00FC14A5" w:rsidRPr="005A566B" w14:paraId="219D6178" w14:textId="77777777" w:rsidTr="00FC14A5">
        <w:trPr>
          <w:trHeight w:val="204"/>
        </w:trPr>
        <w:tc>
          <w:tcPr>
            <w:tcW w:w="2733" w:type="dxa"/>
            <w:tcBorders>
              <w:left w:val="nil"/>
              <w:bottom w:val="single" w:sz="4" w:space="0" w:color="auto"/>
              <w:right w:val="nil"/>
            </w:tcBorders>
            <w:shd w:val="clear" w:color="auto" w:fill="auto"/>
            <w:noWrap/>
            <w:vAlign w:val="bottom"/>
            <w:hideMark/>
          </w:tcPr>
          <w:p w14:paraId="05073911"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AR2 (p)</w:t>
            </w:r>
          </w:p>
        </w:tc>
        <w:tc>
          <w:tcPr>
            <w:tcW w:w="1739" w:type="dxa"/>
            <w:tcBorders>
              <w:left w:val="nil"/>
              <w:bottom w:val="single" w:sz="4" w:space="0" w:color="auto"/>
              <w:right w:val="nil"/>
            </w:tcBorders>
            <w:shd w:val="clear" w:color="auto" w:fill="auto"/>
            <w:noWrap/>
            <w:vAlign w:val="bottom"/>
            <w:hideMark/>
          </w:tcPr>
          <w:p w14:paraId="0124F96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0.328</w:t>
            </w:r>
          </w:p>
        </w:tc>
        <w:tc>
          <w:tcPr>
            <w:tcW w:w="1957" w:type="dxa"/>
            <w:tcBorders>
              <w:left w:val="nil"/>
              <w:bottom w:val="single" w:sz="4" w:space="0" w:color="auto"/>
              <w:right w:val="nil"/>
            </w:tcBorders>
            <w:shd w:val="clear" w:color="auto" w:fill="auto"/>
            <w:noWrap/>
            <w:vAlign w:val="bottom"/>
            <w:hideMark/>
          </w:tcPr>
          <w:p w14:paraId="027F943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0.208</w:t>
            </w:r>
          </w:p>
        </w:tc>
        <w:tc>
          <w:tcPr>
            <w:tcW w:w="1717" w:type="dxa"/>
            <w:tcBorders>
              <w:left w:val="nil"/>
              <w:bottom w:val="single" w:sz="4" w:space="0" w:color="auto"/>
              <w:right w:val="nil"/>
            </w:tcBorders>
            <w:shd w:val="clear" w:color="auto" w:fill="auto"/>
            <w:noWrap/>
            <w:vAlign w:val="bottom"/>
            <w:hideMark/>
          </w:tcPr>
          <w:p w14:paraId="7364FE1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0.504</w:t>
            </w:r>
          </w:p>
        </w:tc>
        <w:tc>
          <w:tcPr>
            <w:tcW w:w="1912" w:type="dxa"/>
            <w:tcBorders>
              <w:left w:val="nil"/>
              <w:bottom w:val="single" w:sz="4" w:space="0" w:color="auto"/>
              <w:right w:val="nil"/>
            </w:tcBorders>
            <w:shd w:val="clear" w:color="auto" w:fill="auto"/>
            <w:noWrap/>
            <w:vAlign w:val="bottom"/>
            <w:hideMark/>
          </w:tcPr>
          <w:p w14:paraId="0475432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0.731</w:t>
            </w:r>
          </w:p>
        </w:tc>
      </w:tr>
      <w:bookmarkEnd w:id="292"/>
    </w:tbl>
    <w:p w14:paraId="2DB10493" w14:textId="77777777" w:rsidR="00D86DF0" w:rsidRPr="005A566B" w:rsidRDefault="00D86DF0" w:rsidP="00987632">
      <w:pPr>
        <w:spacing w:after="200" w:line="276" w:lineRule="auto"/>
        <w:rPr>
          <w:rFonts w:ascii="Arial" w:eastAsia="Calibri" w:hAnsi="Arial" w:cs="Arial"/>
          <w:b/>
          <w:bCs/>
          <w:iCs/>
        </w:rPr>
      </w:pPr>
    </w:p>
    <w:p w14:paraId="7B0935EB" w14:textId="77777777" w:rsidR="00FC14A5" w:rsidRPr="005A566B" w:rsidRDefault="00FC14A5" w:rsidP="00987632">
      <w:pPr>
        <w:pBdr>
          <w:bottom w:val="single" w:sz="4" w:space="1" w:color="auto"/>
        </w:pBdr>
        <w:spacing w:after="200" w:line="276" w:lineRule="auto"/>
        <w:rPr>
          <w:rFonts w:ascii="Arial" w:eastAsia="Calibri" w:hAnsi="Arial" w:cs="Arial"/>
          <w:bCs/>
          <w:iCs/>
        </w:rPr>
      </w:pPr>
      <w:r w:rsidRPr="005A566B">
        <w:rPr>
          <w:rFonts w:ascii="Arial" w:eastAsia="Calibri" w:hAnsi="Arial" w:cs="Arial"/>
          <w:b/>
          <w:bCs/>
          <w:iCs/>
        </w:rPr>
        <w:t xml:space="preserve">Table 7: </w:t>
      </w:r>
      <w:r w:rsidRPr="005A566B">
        <w:rPr>
          <w:rFonts w:ascii="Arial" w:eastAsia="Calibri" w:hAnsi="Arial" w:cs="Arial"/>
          <w:bCs/>
          <w:iCs/>
        </w:rPr>
        <w:t>Working Capital Management, Resource Capability and Firm</w:t>
      </w:r>
      <w:r w:rsidR="00383CA7" w:rsidRPr="005A566B">
        <w:rPr>
          <w:rFonts w:ascii="Arial" w:eastAsia="Calibri" w:hAnsi="Arial" w:cs="Arial"/>
          <w:bCs/>
          <w:iCs/>
        </w:rPr>
        <w:t>s’ Financial</w:t>
      </w:r>
      <w:r w:rsidRPr="005A566B">
        <w:rPr>
          <w:rFonts w:ascii="Arial" w:eastAsia="Calibri" w:hAnsi="Arial" w:cs="Arial"/>
          <w:bCs/>
          <w:iCs/>
        </w:rPr>
        <w:t xml:space="preserve"> Performance </w:t>
      </w:r>
    </w:p>
    <w:p w14:paraId="2B667341" w14:textId="40315FC7" w:rsidR="00FC14A5" w:rsidRPr="005A566B" w:rsidRDefault="00FC14A5" w:rsidP="00FC14A5">
      <w:pPr>
        <w:spacing w:after="200" w:line="276" w:lineRule="auto"/>
        <w:jc w:val="both"/>
        <w:rPr>
          <w:rFonts w:ascii="Arial" w:eastAsia="Calibri" w:hAnsi="Arial" w:cs="Arial"/>
        </w:rPr>
      </w:pPr>
      <w:r w:rsidRPr="005A566B">
        <w:rPr>
          <w:rFonts w:ascii="Arial" w:eastAsia="Calibri" w:hAnsi="Arial" w:cs="Arial"/>
          <w:sz w:val="20"/>
          <w:szCs w:val="20"/>
        </w:rPr>
        <w:t xml:space="preserve">This table reports a </w:t>
      </w:r>
      <w:r w:rsidRPr="005A566B">
        <w:rPr>
          <w:rFonts w:ascii="Arial" w:eastAsia="Calibri" w:hAnsi="Arial" w:cs="Arial"/>
          <w:sz w:val="13"/>
          <w:szCs w:val="13"/>
        </w:rPr>
        <w:t xml:space="preserve"> </w:t>
      </w:r>
      <w:r w:rsidRPr="005A566B">
        <w:rPr>
          <w:rFonts w:ascii="Arial" w:eastAsia="Calibri" w:hAnsi="Arial" w:cs="Arial"/>
          <w:sz w:val="20"/>
          <w:szCs w:val="20"/>
        </w:rPr>
        <w:t>generalized method of moments (GMM) first-difference estimation on the relationship between WCM</w:t>
      </w:r>
      <w:r w:rsidRPr="005A566B">
        <w:rPr>
          <w:rFonts w:ascii="Arial" w:eastAsia="Calibri" w:hAnsi="Arial" w:cs="Arial"/>
          <w:bCs/>
          <w:iCs/>
          <w:sz w:val="20"/>
          <w:szCs w:val="20"/>
        </w:rPr>
        <w:t xml:space="preserve"> and firm </w:t>
      </w:r>
      <w:r w:rsidR="00383CA7" w:rsidRPr="005A566B">
        <w:rPr>
          <w:rFonts w:ascii="Arial" w:eastAsia="Calibri" w:hAnsi="Arial" w:cs="Arial"/>
          <w:bCs/>
          <w:iCs/>
          <w:sz w:val="20"/>
          <w:szCs w:val="20"/>
        </w:rPr>
        <w:t xml:space="preserve"> financial performance</w:t>
      </w:r>
      <w:r w:rsidRPr="005A566B">
        <w:rPr>
          <w:rFonts w:ascii="Arial" w:eastAsia="Calibri" w:hAnsi="Arial" w:cs="Arial"/>
          <w:sz w:val="20"/>
          <w:szCs w:val="20"/>
        </w:rPr>
        <w:t xml:space="preserve"> </w:t>
      </w:r>
      <w:r w:rsidRPr="005A566B">
        <w:rPr>
          <w:rFonts w:ascii="Arial" w:eastAsia="Times New Roman" w:hAnsi="Arial" w:cs="Arial"/>
          <w:noProof/>
          <w:sz w:val="20"/>
          <w:szCs w:val="20"/>
        </w:rPr>
        <w:t xml:space="preserve">for </w:t>
      </w:r>
      <w:bookmarkStart w:id="302" w:name="OLE_LINK73"/>
      <w:r w:rsidRPr="005A566B">
        <w:rPr>
          <w:rFonts w:ascii="Arial" w:eastAsia="Times New Roman" w:hAnsi="Arial" w:cs="Arial"/>
          <w:noProof/>
          <w:sz w:val="20"/>
          <w:szCs w:val="20"/>
        </w:rPr>
        <w:t xml:space="preserve">across </w:t>
      </w:r>
      <w:r w:rsidR="00A91615" w:rsidRPr="005A566B">
        <w:rPr>
          <w:rFonts w:ascii="Arial" w:eastAsia="Times New Roman" w:hAnsi="Arial" w:cs="Arial"/>
          <w:noProof/>
          <w:sz w:val="20"/>
          <w:szCs w:val="20"/>
        </w:rPr>
        <w:t>802</w:t>
      </w:r>
      <w:r w:rsidRPr="005A566B">
        <w:rPr>
          <w:rFonts w:ascii="Arial" w:eastAsia="Times New Roman" w:hAnsi="Arial" w:cs="Arial"/>
          <w:noProof/>
          <w:sz w:val="20"/>
          <w:szCs w:val="20"/>
        </w:rPr>
        <w:t xml:space="preserve"> UK </w:t>
      </w:r>
      <w:r w:rsidR="00D86DF0" w:rsidRPr="005A566B">
        <w:rPr>
          <w:rFonts w:ascii="Arial" w:eastAsia="Times New Roman" w:hAnsi="Arial" w:cs="Arial"/>
          <w:noProof/>
          <w:sz w:val="20"/>
          <w:szCs w:val="20"/>
        </w:rPr>
        <w:t>quoted</w:t>
      </w:r>
      <w:r w:rsidRPr="005A566B">
        <w:rPr>
          <w:rFonts w:ascii="Arial" w:eastAsia="Times New Roman" w:hAnsi="Arial" w:cs="Arial"/>
          <w:noProof/>
          <w:sz w:val="20"/>
          <w:szCs w:val="20"/>
        </w:rPr>
        <w:t xml:space="preserve"> firms over the period </w:t>
      </w:r>
      <w:r w:rsidR="00383CA7" w:rsidRPr="005A566B">
        <w:rPr>
          <w:rFonts w:ascii="Arial" w:eastAsia="Times New Roman" w:hAnsi="Arial" w:cs="Arial"/>
          <w:noProof/>
          <w:sz w:val="20"/>
          <w:szCs w:val="20"/>
        </w:rPr>
        <w:t>2004-2014</w:t>
      </w:r>
      <w:bookmarkEnd w:id="302"/>
      <w:r w:rsidRPr="005A566B">
        <w:rPr>
          <w:rFonts w:ascii="Arial" w:eastAsia="Calibri" w:hAnsi="Arial" w:cs="Arial"/>
          <w:sz w:val="20"/>
          <w:szCs w:val="20"/>
        </w:rPr>
        <w:t xml:space="preserve">, with </w:t>
      </w:r>
      <w:r w:rsidRPr="005A566B">
        <w:rPr>
          <w:rFonts w:ascii="Arial" w:eastAsia="Calibri" w:hAnsi="Arial" w:cs="Arial"/>
          <w:i/>
          <w:sz w:val="20"/>
          <w:szCs w:val="20"/>
        </w:rPr>
        <w:t>t</w:t>
      </w:r>
      <w:r w:rsidRPr="005A566B">
        <w:rPr>
          <w:rFonts w:ascii="Arial" w:eastAsia="Calibri" w:hAnsi="Arial" w:cs="Arial"/>
          <w:sz w:val="20"/>
          <w:szCs w:val="20"/>
        </w:rPr>
        <w:t xml:space="preserve">−statistics (reported in parentheses). The dependent variable is the return on assets and </w:t>
      </w:r>
      <w:r w:rsidRPr="005A566B">
        <w:rPr>
          <w:rFonts w:ascii="Arial" w:eastAsia="Calibri" w:hAnsi="Arial" w:cs="Arial"/>
          <w:sz w:val="20"/>
          <w:szCs w:val="20"/>
        </w:rPr>
        <w:lastRenderedPageBreak/>
        <w:t xml:space="preserve">Tobin’s Q. All variables are defined in Table 1. </w:t>
      </w:r>
      <w:r w:rsidRPr="005A566B">
        <w:rPr>
          <w:rFonts w:ascii="Arial" w:eastAsia="Times New Roman" w:hAnsi="Arial" w:cs="Arial"/>
          <w:bCs/>
          <w:iCs/>
          <w:sz w:val="20"/>
          <w:szCs w:val="20"/>
          <w:lang w:eastAsia="en-GB"/>
        </w:rPr>
        <w:t>AR1 (AR2) is a test for first- (second-) order serial correlation in the first-differenced residuals, asymptotically distributed as N(0, 1) under the null of no serial. Hansen test is a test of over-identifying restrictions distributed asymptotically under null hypothesis of validity of instruments as Chi-squared. The degrees of freedom are given in parenthesis. Instruments include AGE</w:t>
      </w:r>
      <w:r w:rsidRPr="005A566B">
        <w:rPr>
          <w:rFonts w:ascii="Arial" w:eastAsia="Times New Roman" w:hAnsi="Arial" w:cs="Arial"/>
          <w:bCs/>
          <w:iCs/>
          <w:sz w:val="12"/>
          <w:szCs w:val="20"/>
          <w:lang w:eastAsia="en-GB"/>
        </w:rPr>
        <w:t>i,t-2</w:t>
      </w:r>
      <w:r w:rsidRPr="005A566B">
        <w:rPr>
          <w:rFonts w:ascii="Arial" w:eastAsia="Times New Roman" w:hAnsi="Arial" w:cs="Arial"/>
          <w:bCs/>
          <w:iCs/>
          <w:sz w:val="20"/>
          <w:szCs w:val="20"/>
          <w:lang w:eastAsia="en-GB"/>
        </w:rPr>
        <w:t>; CR</w:t>
      </w:r>
      <w:r w:rsidRPr="005A566B">
        <w:rPr>
          <w:rFonts w:ascii="Arial" w:eastAsia="Times New Roman" w:hAnsi="Arial" w:cs="Arial"/>
          <w:bCs/>
          <w:iCs/>
          <w:sz w:val="12"/>
          <w:szCs w:val="20"/>
          <w:lang w:eastAsia="en-GB"/>
        </w:rPr>
        <w:t xml:space="preserve">i,t-2 </w:t>
      </w:r>
      <w:r w:rsidRPr="005A566B">
        <w:rPr>
          <w:rFonts w:ascii="Arial" w:eastAsia="Times New Roman" w:hAnsi="Arial" w:cs="Arial"/>
          <w:bCs/>
          <w:iCs/>
          <w:sz w:val="20"/>
          <w:szCs w:val="20"/>
          <w:lang w:eastAsia="en-GB"/>
        </w:rPr>
        <w:t>FLEV</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GROWTH</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and further lags. Year dummies and time dummies interacted with industry dummies were always included as regressors and as instruments.</w:t>
      </w:r>
      <w:r w:rsidRPr="005A566B">
        <w:rPr>
          <w:rFonts w:ascii="Arial" w:eastAsia="Calibri" w:hAnsi="Arial" w:cs="Arial"/>
          <w:sz w:val="20"/>
          <w:szCs w:val="20"/>
        </w:rPr>
        <w:t xml:space="preserve">  ***, ** and * represent coefficients significant at the 1%, 5% and 10% levels correspondingly (two−tailed tests).</w:t>
      </w:r>
    </w:p>
    <w:tbl>
      <w:tblPr>
        <w:tblW w:w="9296" w:type="dxa"/>
        <w:tblInd w:w="93" w:type="dxa"/>
        <w:tblLook w:val="04A0" w:firstRow="1" w:lastRow="0" w:firstColumn="1" w:lastColumn="0" w:noHBand="0" w:noVBand="1"/>
      </w:tblPr>
      <w:tblGrid>
        <w:gridCol w:w="2086"/>
        <w:gridCol w:w="1815"/>
        <w:gridCol w:w="193"/>
        <w:gridCol w:w="1669"/>
        <w:gridCol w:w="1877"/>
        <w:gridCol w:w="1656"/>
      </w:tblGrid>
      <w:tr w:rsidR="00FC14A5" w:rsidRPr="005A566B" w14:paraId="5069F3A2" w14:textId="77777777" w:rsidTr="00FC14A5">
        <w:trPr>
          <w:trHeight w:val="302"/>
        </w:trPr>
        <w:tc>
          <w:tcPr>
            <w:tcW w:w="2086" w:type="dxa"/>
            <w:tcBorders>
              <w:top w:val="single" w:sz="4" w:space="0" w:color="auto"/>
              <w:left w:val="nil"/>
              <w:bottom w:val="single" w:sz="4" w:space="0" w:color="auto"/>
              <w:right w:val="nil"/>
            </w:tcBorders>
            <w:shd w:val="clear" w:color="auto" w:fill="auto"/>
            <w:noWrap/>
            <w:vAlign w:val="bottom"/>
            <w:hideMark/>
          </w:tcPr>
          <w:p w14:paraId="14605A42"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single" w:sz="4" w:space="0" w:color="auto"/>
              <w:left w:val="nil"/>
              <w:bottom w:val="single" w:sz="4" w:space="0" w:color="auto"/>
              <w:right w:val="nil"/>
            </w:tcBorders>
            <w:shd w:val="clear" w:color="auto" w:fill="auto"/>
            <w:noWrap/>
            <w:vAlign w:val="bottom"/>
            <w:hideMark/>
          </w:tcPr>
          <w:p w14:paraId="4F73610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w:t>
            </w:r>
          </w:p>
        </w:tc>
        <w:tc>
          <w:tcPr>
            <w:tcW w:w="1862" w:type="dxa"/>
            <w:gridSpan w:val="2"/>
            <w:tcBorders>
              <w:top w:val="single" w:sz="4" w:space="0" w:color="auto"/>
              <w:left w:val="nil"/>
              <w:bottom w:val="single" w:sz="4" w:space="0" w:color="auto"/>
              <w:right w:val="nil"/>
            </w:tcBorders>
            <w:shd w:val="clear" w:color="auto" w:fill="auto"/>
            <w:noWrap/>
            <w:vAlign w:val="bottom"/>
            <w:hideMark/>
          </w:tcPr>
          <w:p w14:paraId="185F301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w:t>
            </w:r>
          </w:p>
        </w:tc>
        <w:tc>
          <w:tcPr>
            <w:tcW w:w="1877" w:type="dxa"/>
            <w:tcBorders>
              <w:top w:val="single" w:sz="4" w:space="0" w:color="auto"/>
              <w:left w:val="nil"/>
              <w:bottom w:val="single" w:sz="4" w:space="0" w:color="auto"/>
              <w:right w:val="nil"/>
            </w:tcBorders>
            <w:shd w:val="clear" w:color="auto" w:fill="auto"/>
            <w:noWrap/>
            <w:vAlign w:val="bottom"/>
            <w:hideMark/>
          </w:tcPr>
          <w:p w14:paraId="16C4288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w:t>
            </w:r>
          </w:p>
        </w:tc>
        <w:tc>
          <w:tcPr>
            <w:tcW w:w="1656" w:type="dxa"/>
            <w:tcBorders>
              <w:top w:val="single" w:sz="4" w:space="0" w:color="auto"/>
              <w:left w:val="nil"/>
              <w:bottom w:val="single" w:sz="4" w:space="0" w:color="auto"/>
              <w:right w:val="nil"/>
            </w:tcBorders>
            <w:shd w:val="clear" w:color="auto" w:fill="auto"/>
            <w:noWrap/>
            <w:vAlign w:val="bottom"/>
            <w:hideMark/>
          </w:tcPr>
          <w:p w14:paraId="7E52FAB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w:t>
            </w:r>
          </w:p>
        </w:tc>
      </w:tr>
      <w:tr w:rsidR="00FC14A5" w:rsidRPr="005A566B" w14:paraId="3780922A" w14:textId="77777777" w:rsidTr="00FC14A5">
        <w:trPr>
          <w:trHeight w:val="302"/>
        </w:trPr>
        <w:tc>
          <w:tcPr>
            <w:tcW w:w="2086" w:type="dxa"/>
            <w:tcBorders>
              <w:top w:val="single" w:sz="4" w:space="0" w:color="auto"/>
              <w:left w:val="nil"/>
              <w:bottom w:val="single" w:sz="4" w:space="0" w:color="auto"/>
              <w:right w:val="nil"/>
            </w:tcBorders>
            <w:shd w:val="clear" w:color="auto" w:fill="auto"/>
            <w:noWrap/>
            <w:vAlign w:val="bottom"/>
            <w:hideMark/>
          </w:tcPr>
          <w:p w14:paraId="0BB47914"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single" w:sz="4" w:space="0" w:color="auto"/>
              <w:left w:val="nil"/>
              <w:bottom w:val="single" w:sz="4" w:space="0" w:color="auto"/>
              <w:right w:val="nil"/>
            </w:tcBorders>
            <w:shd w:val="clear" w:color="auto" w:fill="auto"/>
            <w:noWrap/>
            <w:vAlign w:val="bottom"/>
            <w:hideMark/>
          </w:tcPr>
          <w:p w14:paraId="2595A4F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862" w:type="dxa"/>
            <w:gridSpan w:val="2"/>
            <w:tcBorders>
              <w:top w:val="single" w:sz="4" w:space="0" w:color="auto"/>
              <w:left w:val="nil"/>
              <w:bottom w:val="single" w:sz="4" w:space="0" w:color="auto"/>
              <w:right w:val="nil"/>
            </w:tcBorders>
            <w:shd w:val="clear" w:color="auto" w:fill="auto"/>
            <w:noWrap/>
            <w:vAlign w:val="bottom"/>
            <w:hideMark/>
          </w:tcPr>
          <w:p w14:paraId="78E69A7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c>
          <w:tcPr>
            <w:tcW w:w="1877" w:type="dxa"/>
            <w:tcBorders>
              <w:top w:val="single" w:sz="4" w:space="0" w:color="auto"/>
              <w:left w:val="nil"/>
              <w:bottom w:val="single" w:sz="4" w:space="0" w:color="auto"/>
              <w:right w:val="nil"/>
            </w:tcBorders>
            <w:shd w:val="clear" w:color="auto" w:fill="auto"/>
            <w:noWrap/>
            <w:vAlign w:val="bottom"/>
            <w:hideMark/>
          </w:tcPr>
          <w:p w14:paraId="41C1391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656" w:type="dxa"/>
            <w:tcBorders>
              <w:top w:val="single" w:sz="4" w:space="0" w:color="auto"/>
              <w:left w:val="nil"/>
              <w:bottom w:val="single" w:sz="4" w:space="0" w:color="auto"/>
              <w:right w:val="nil"/>
            </w:tcBorders>
            <w:shd w:val="clear" w:color="auto" w:fill="auto"/>
            <w:noWrap/>
            <w:vAlign w:val="bottom"/>
            <w:hideMark/>
          </w:tcPr>
          <w:p w14:paraId="2CB85AC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r>
      <w:tr w:rsidR="00FC14A5" w:rsidRPr="005A566B" w14:paraId="15A2948B" w14:textId="77777777" w:rsidTr="00FC14A5">
        <w:trPr>
          <w:trHeight w:val="302"/>
        </w:trPr>
        <w:tc>
          <w:tcPr>
            <w:tcW w:w="2086" w:type="dxa"/>
            <w:tcBorders>
              <w:top w:val="nil"/>
              <w:left w:val="nil"/>
              <w:bottom w:val="nil"/>
              <w:right w:val="nil"/>
            </w:tcBorders>
            <w:shd w:val="clear" w:color="auto" w:fill="auto"/>
            <w:noWrap/>
            <w:vAlign w:val="bottom"/>
            <w:hideMark/>
          </w:tcPr>
          <w:p w14:paraId="5A741C5D"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ROA</w:t>
            </w:r>
          </w:p>
        </w:tc>
        <w:tc>
          <w:tcPr>
            <w:tcW w:w="1815" w:type="dxa"/>
            <w:tcBorders>
              <w:top w:val="single" w:sz="4" w:space="0" w:color="auto"/>
              <w:left w:val="nil"/>
              <w:bottom w:val="nil"/>
              <w:right w:val="nil"/>
            </w:tcBorders>
            <w:shd w:val="clear" w:color="auto" w:fill="auto"/>
            <w:noWrap/>
            <w:vAlign w:val="bottom"/>
            <w:hideMark/>
          </w:tcPr>
          <w:p w14:paraId="3371041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0.373***</w:t>
            </w:r>
          </w:p>
        </w:tc>
        <w:tc>
          <w:tcPr>
            <w:tcW w:w="1862" w:type="dxa"/>
            <w:gridSpan w:val="2"/>
            <w:tcBorders>
              <w:top w:val="single" w:sz="4" w:space="0" w:color="auto"/>
              <w:left w:val="nil"/>
              <w:bottom w:val="nil"/>
              <w:right w:val="nil"/>
            </w:tcBorders>
            <w:shd w:val="clear" w:color="auto" w:fill="auto"/>
            <w:noWrap/>
            <w:vAlign w:val="bottom"/>
            <w:hideMark/>
          </w:tcPr>
          <w:p w14:paraId="11B693D7" w14:textId="77777777" w:rsidR="00FC14A5" w:rsidRPr="005A566B" w:rsidRDefault="00FC14A5" w:rsidP="00FC14A5">
            <w:pPr>
              <w:spacing w:after="0" w:line="240" w:lineRule="auto"/>
              <w:jc w:val="center"/>
              <w:rPr>
                <w:rFonts w:ascii="Arial" w:eastAsia="Times New Roman" w:hAnsi="Arial" w:cs="Arial"/>
                <w:lang w:eastAsia="en-GB"/>
              </w:rPr>
            </w:pPr>
          </w:p>
        </w:tc>
        <w:tc>
          <w:tcPr>
            <w:tcW w:w="1877" w:type="dxa"/>
            <w:tcBorders>
              <w:top w:val="single" w:sz="4" w:space="0" w:color="auto"/>
              <w:left w:val="nil"/>
              <w:bottom w:val="nil"/>
              <w:right w:val="nil"/>
            </w:tcBorders>
            <w:shd w:val="clear" w:color="auto" w:fill="auto"/>
            <w:noWrap/>
            <w:vAlign w:val="bottom"/>
            <w:hideMark/>
          </w:tcPr>
          <w:p w14:paraId="24525C6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0.370***</w:t>
            </w:r>
          </w:p>
        </w:tc>
        <w:tc>
          <w:tcPr>
            <w:tcW w:w="1656" w:type="dxa"/>
            <w:tcBorders>
              <w:top w:val="single" w:sz="4" w:space="0" w:color="auto"/>
              <w:left w:val="nil"/>
              <w:bottom w:val="nil"/>
              <w:right w:val="nil"/>
            </w:tcBorders>
            <w:shd w:val="clear" w:color="auto" w:fill="auto"/>
            <w:noWrap/>
            <w:vAlign w:val="bottom"/>
            <w:hideMark/>
          </w:tcPr>
          <w:p w14:paraId="06AF7EDD"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73D503A5" w14:textId="77777777" w:rsidTr="00FC14A5">
        <w:trPr>
          <w:trHeight w:val="302"/>
        </w:trPr>
        <w:tc>
          <w:tcPr>
            <w:tcW w:w="2086" w:type="dxa"/>
            <w:tcBorders>
              <w:top w:val="nil"/>
              <w:left w:val="nil"/>
              <w:bottom w:val="nil"/>
              <w:right w:val="nil"/>
            </w:tcBorders>
            <w:shd w:val="clear" w:color="auto" w:fill="auto"/>
            <w:noWrap/>
            <w:vAlign w:val="bottom"/>
            <w:hideMark/>
          </w:tcPr>
          <w:p w14:paraId="19294B13"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nil"/>
              <w:left w:val="nil"/>
              <w:bottom w:val="nil"/>
              <w:right w:val="nil"/>
            </w:tcBorders>
            <w:shd w:val="clear" w:color="auto" w:fill="auto"/>
            <w:noWrap/>
            <w:vAlign w:val="bottom"/>
            <w:hideMark/>
          </w:tcPr>
          <w:p w14:paraId="6031E2A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(22.80)</w:t>
            </w:r>
          </w:p>
        </w:tc>
        <w:tc>
          <w:tcPr>
            <w:tcW w:w="1862" w:type="dxa"/>
            <w:gridSpan w:val="2"/>
            <w:tcBorders>
              <w:top w:val="nil"/>
              <w:left w:val="nil"/>
              <w:bottom w:val="nil"/>
              <w:right w:val="nil"/>
            </w:tcBorders>
            <w:shd w:val="clear" w:color="auto" w:fill="auto"/>
            <w:noWrap/>
            <w:vAlign w:val="bottom"/>
            <w:hideMark/>
          </w:tcPr>
          <w:p w14:paraId="74D211B0" w14:textId="77777777" w:rsidR="00FC14A5" w:rsidRPr="005A566B" w:rsidRDefault="00FC14A5" w:rsidP="00FC14A5">
            <w:pPr>
              <w:spacing w:after="0" w:line="240" w:lineRule="auto"/>
              <w:jc w:val="center"/>
              <w:rPr>
                <w:rFonts w:ascii="Arial" w:eastAsia="Times New Roman" w:hAnsi="Arial" w:cs="Arial"/>
                <w:lang w:eastAsia="en-GB"/>
              </w:rPr>
            </w:pPr>
          </w:p>
        </w:tc>
        <w:tc>
          <w:tcPr>
            <w:tcW w:w="1877" w:type="dxa"/>
            <w:tcBorders>
              <w:top w:val="nil"/>
              <w:left w:val="nil"/>
              <w:bottom w:val="nil"/>
              <w:right w:val="nil"/>
            </w:tcBorders>
            <w:shd w:val="clear" w:color="auto" w:fill="auto"/>
            <w:noWrap/>
            <w:vAlign w:val="bottom"/>
            <w:hideMark/>
          </w:tcPr>
          <w:p w14:paraId="39FD7D0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(14.09)</w:t>
            </w:r>
          </w:p>
        </w:tc>
        <w:tc>
          <w:tcPr>
            <w:tcW w:w="1656" w:type="dxa"/>
            <w:tcBorders>
              <w:top w:val="nil"/>
              <w:left w:val="nil"/>
              <w:bottom w:val="nil"/>
              <w:right w:val="nil"/>
            </w:tcBorders>
            <w:shd w:val="clear" w:color="auto" w:fill="auto"/>
            <w:noWrap/>
            <w:vAlign w:val="bottom"/>
            <w:hideMark/>
          </w:tcPr>
          <w:p w14:paraId="4CB26B8E"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556FCF14" w14:textId="77777777" w:rsidTr="00FC14A5">
        <w:trPr>
          <w:trHeight w:val="302"/>
        </w:trPr>
        <w:tc>
          <w:tcPr>
            <w:tcW w:w="2086" w:type="dxa"/>
            <w:tcBorders>
              <w:top w:val="nil"/>
              <w:left w:val="nil"/>
              <w:bottom w:val="nil"/>
              <w:right w:val="nil"/>
            </w:tcBorders>
            <w:shd w:val="clear" w:color="auto" w:fill="auto"/>
            <w:noWrap/>
            <w:vAlign w:val="bottom"/>
            <w:hideMark/>
          </w:tcPr>
          <w:p w14:paraId="4DF9C1B5"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QRATIO</w:t>
            </w:r>
            <w:r w:rsidRPr="005A566B">
              <w:rPr>
                <w:rFonts w:ascii="Arial" w:eastAsia="Times New Roman" w:hAnsi="Arial" w:cs="Arial"/>
                <w:sz w:val="10"/>
                <w:lang w:eastAsia="en-GB"/>
              </w:rPr>
              <w:t xml:space="preserve"> </w:t>
            </w:r>
          </w:p>
        </w:tc>
        <w:tc>
          <w:tcPr>
            <w:tcW w:w="1815" w:type="dxa"/>
            <w:tcBorders>
              <w:top w:val="nil"/>
              <w:left w:val="nil"/>
              <w:bottom w:val="nil"/>
              <w:right w:val="nil"/>
            </w:tcBorders>
            <w:shd w:val="clear" w:color="auto" w:fill="auto"/>
            <w:noWrap/>
            <w:vAlign w:val="bottom"/>
            <w:hideMark/>
          </w:tcPr>
          <w:p w14:paraId="018924D5" w14:textId="77777777" w:rsidR="00FC14A5" w:rsidRPr="005A566B" w:rsidRDefault="00FC14A5" w:rsidP="00FC14A5">
            <w:pPr>
              <w:spacing w:after="0" w:line="240" w:lineRule="auto"/>
              <w:jc w:val="center"/>
              <w:rPr>
                <w:rFonts w:ascii="Arial" w:eastAsia="Times New Roman" w:hAnsi="Arial" w:cs="Arial"/>
                <w:lang w:eastAsia="en-GB"/>
              </w:rPr>
            </w:pPr>
          </w:p>
        </w:tc>
        <w:tc>
          <w:tcPr>
            <w:tcW w:w="1862" w:type="dxa"/>
            <w:gridSpan w:val="2"/>
            <w:tcBorders>
              <w:top w:val="nil"/>
              <w:left w:val="nil"/>
              <w:bottom w:val="nil"/>
              <w:right w:val="nil"/>
            </w:tcBorders>
            <w:shd w:val="clear" w:color="auto" w:fill="auto"/>
            <w:noWrap/>
            <w:vAlign w:val="bottom"/>
            <w:hideMark/>
          </w:tcPr>
          <w:p w14:paraId="0556BE5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0.989***</w:t>
            </w:r>
          </w:p>
        </w:tc>
        <w:tc>
          <w:tcPr>
            <w:tcW w:w="1877" w:type="dxa"/>
            <w:tcBorders>
              <w:top w:val="nil"/>
              <w:left w:val="nil"/>
              <w:bottom w:val="nil"/>
              <w:right w:val="nil"/>
            </w:tcBorders>
            <w:shd w:val="clear" w:color="auto" w:fill="auto"/>
            <w:noWrap/>
            <w:vAlign w:val="bottom"/>
            <w:hideMark/>
          </w:tcPr>
          <w:p w14:paraId="6BD01971" w14:textId="77777777" w:rsidR="00FC14A5" w:rsidRPr="005A566B" w:rsidRDefault="00FC14A5" w:rsidP="00FC14A5">
            <w:pPr>
              <w:spacing w:after="0" w:line="240" w:lineRule="auto"/>
              <w:jc w:val="center"/>
              <w:rPr>
                <w:rFonts w:ascii="Arial" w:eastAsia="Times New Roman" w:hAnsi="Arial" w:cs="Arial"/>
                <w:lang w:eastAsia="en-GB"/>
              </w:rPr>
            </w:pPr>
          </w:p>
        </w:tc>
        <w:tc>
          <w:tcPr>
            <w:tcW w:w="1656" w:type="dxa"/>
            <w:tcBorders>
              <w:top w:val="nil"/>
              <w:left w:val="nil"/>
              <w:bottom w:val="nil"/>
              <w:right w:val="nil"/>
            </w:tcBorders>
            <w:shd w:val="clear" w:color="auto" w:fill="auto"/>
            <w:noWrap/>
            <w:vAlign w:val="bottom"/>
            <w:hideMark/>
          </w:tcPr>
          <w:p w14:paraId="296CFE9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0.992***</w:t>
            </w:r>
          </w:p>
        </w:tc>
      </w:tr>
      <w:tr w:rsidR="00FC14A5" w:rsidRPr="005A566B" w14:paraId="145A773C" w14:textId="77777777" w:rsidTr="00FC14A5">
        <w:trPr>
          <w:trHeight w:val="302"/>
        </w:trPr>
        <w:tc>
          <w:tcPr>
            <w:tcW w:w="2086" w:type="dxa"/>
            <w:tcBorders>
              <w:top w:val="nil"/>
              <w:left w:val="nil"/>
              <w:bottom w:val="nil"/>
              <w:right w:val="nil"/>
            </w:tcBorders>
            <w:shd w:val="clear" w:color="auto" w:fill="auto"/>
            <w:noWrap/>
            <w:vAlign w:val="bottom"/>
            <w:hideMark/>
          </w:tcPr>
          <w:p w14:paraId="3D682581"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nil"/>
              <w:left w:val="nil"/>
              <w:bottom w:val="nil"/>
              <w:right w:val="nil"/>
            </w:tcBorders>
            <w:shd w:val="clear" w:color="auto" w:fill="auto"/>
            <w:noWrap/>
            <w:vAlign w:val="bottom"/>
            <w:hideMark/>
          </w:tcPr>
          <w:p w14:paraId="5F73ADA3" w14:textId="77777777" w:rsidR="00FC14A5" w:rsidRPr="005A566B" w:rsidRDefault="00FC14A5" w:rsidP="00FC14A5">
            <w:pPr>
              <w:spacing w:after="0" w:line="240" w:lineRule="auto"/>
              <w:jc w:val="center"/>
              <w:rPr>
                <w:rFonts w:ascii="Arial" w:eastAsia="Times New Roman" w:hAnsi="Arial" w:cs="Arial"/>
                <w:lang w:eastAsia="en-GB"/>
              </w:rPr>
            </w:pPr>
          </w:p>
        </w:tc>
        <w:tc>
          <w:tcPr>
            <w:tcW w:w="1862" w:type="dxa"/>
            <w:gridSpan w:val="2"/>
            <w:tcBorders>
              <w:top w:val="nil"/>
              <w:left w:val="nil"/>
              <w:bottom w:val="nil"/>
              <w:right w:val="nil"/>
            </w:tcBorders>
            <w:shd w:val="clear" w:color="auto" w:fill="auto"/>
            <w:noWrap/>
            <w:vAlign w:val="bottom"/>
            <w:hideMark/>
          </w:tcPr>
          <w:p w14:paraId="73D9360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(98.91)</w:t>
            </w:r>
          </w:p>
        </w:tc>
        <w:tc>
          <w:tcPr>
            <w:tcW w:w="1877" w:type="dxa"/>
            <w:tcBorders>
              <w:top w:val="nil"/>
              <w:left w:val="nil"/>
              <w:bottom w:val="nil"/>
              <w:right w:val="nil"/>
            </w:tcBorders>
            <w:shd w:val="clear" w:color="auto" w:fill="auto"/>
            <w:noWrap/>
            <w:vAlign w:val="bottom"/>
            <w:hideMark/>
          </w:tcPr>
          <w:p w14:paraId="6EF9C4DD" w14:textId="77777777" w:rsidR="00FC14A5" w:rsidRPr="005A566B" w:rsidRDefault="00FC14A5" w:rsidP="00FC14A5">
            <w:pPr>
              <w:spacing w:after="0" w:line="240" w:lineRule="auto"/>
              <w:jc w:val="center"/>
              <w:rPr>
                <w:rFonts w:ascii="Arial" w:eastAsia="Times New Roman" w:hAnsi="Arial" w:cs="Arial"/>
                <w:lang w:eastAsia="en-GB"/>
              </w:rPr>
            </w:pPr>
          </w:p>
        </w:tc>
        <w:tc>
          <w:tcPr>
            <w:tcW w:w="1656" w:type="dxa"/>
            <w:tcBorders>
              <w:top w:val="nil"/>
              <w:left w:val="nil"/>
              <w:bottom w:val="nil"/>
              <w:right w:val="nil"/>
            </w:tcBorders>
            <w:shd w:val="clear" w:color="auto" w:fill="auto"/>
            <w:noWrap/>
            <w:vAlign w:val="bottom"/>
            <w:hideMark/>
          </w:tcPr>
          <w:p w14:paraId="7F023FE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(78.52)</w:t>
            </w:r>
          </w:p>
        </w:tc>
      </w:tr>
      <w:tr w:rsidR="00FC14A5" w:rsidRPr="005A566B" w14:paraId="52F9A332" w14:textId="77777777" w:rsidTr="00FC14A5">
        <w:trPr>
          <w:trHeight w:val="302"/>
        </w:trPr>
        <w:tc>
          <w:tcPr>
            <w:tcW w:w="2086" w:type="dxa"/>
            <w:tcBorders>
              <w:top w:val="nil"/>
              <w:left w:val="nil"/>
              <w:bottom w:val="nil"/>
              <w:right w:val="nil"/>
            </w:tcBorders>
            <w:shd w:val="clear" w:color="auto" w:fill="auto"/>
            <w:noWrap/>
            <w:vAlign w:val="bottom"/>
            <w:hideMark/>
          </w:tcPr>
          <w:p w14:paraId="6D9CE514"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WCM</w:t>
            </w:r>
            <w:r w:rsidRPr="005A566B">
              <w:rPr>
                <w:rFonts w:ascii="Arial" w:eastAsia="Times New Roman" w:hAnsi="Arial" w:cs="Arial"/>
                <w:sz w:val="10"/>
                <w:lang w:eastAsia="en-GB"/>
              </w:rPr>
              <w:t xml:space="preserve"> </w:t>
            </w:r>
          </w:p>
        </w:tc>
        <w:tc>
          <w:tcPr>
            <w:tcW w:w="1815" w:type="dxa"/>
            <w:tcBorders>
              <w:top w:val="nil"/>
              <w:left w:val="nil"/>
              <w:bottom w:val="nil"/>
              <w:right w:val="nil"/>
            </w:tcBorders>
            <w:shd w:val="clear" w:color="auto" w:fill="auto"/>
            <w:noWrap/>
            <w:vAlign w:val="bottom"/>
            <w:hideMark/>
          </w:tcPr>
          <w:p w14:paraId="370D178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-0.0208***</w:t>
            </w:r>
          </w:p>
        </w:tc>
        <w:tc>
          <w:tcPr>
            <w:tcW w:w="1862" w:type="dxa"/>
            <w:gridSpan w:val="2"/>
            <w:tcBorders>
              <w:top w:val="nil"/>
              <w:left w:val="nil"/>
              <w:bottom w:val="nil"/>
              <w:right w:val="nil"/>
            </w:tcBorders>
            <w:shd w:val="clear" w:color="auto" w:fill="auto"/>
            <w:noWrap/>
            <w:vAlign w:val="bottom"/>
            <w:hideMark/>
          </w:tcPr>
          <w:p w14:paraId="0C4C087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-0.0229***</w:t>
            </w:r>
          </w:p>
        </w:tc>
        <w:tc>
          <w:tcPr>
            <w:tcW w:w="1877" w:type="dxa"/>
            <w:tcBorders>
              <w:top w:val="nil"/>
              <w:left w:val="nil"/>
              <w:bottom w:val="nil"/>
              <w:right w:val="nil"/>
            </w:tcBorders>
            <w:shd w:val="clear" w:color="auto" w:fill="auto"/>
            <w:noWrap/>
            <w:vAlign w:val="bottom"/>
            <w:hideMark/>
          </w:tcPr>
          <w:p w14:paraId="5BEE353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-0.0294***</w:t>
            </w:r>
          </w:p>
        </w:tc>
        <w:tc>
          <w:tcPr>
            <w:tcW w:w="1656" w:type="dxa"/>
            <w:tcBorders>
              <w:top w:val="nil"/>
              <w:left w:val="nil"/>
              <w:bottom w:val="nil"/>
              <w:right w:val="nil"/>
            </w:tcBorders>
            <w:shd w:val="clear" w:color="auto" w:fill="auto"/>
            <w:noWrap/>
            <w:vAlign w:val="bottom"/>
            <w:hideMark/>
          </w:tcPr>
          <w:p w14:paraId="5C7D6E3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-0.0313***</w:t>
            </w:r>
          </w:p>
        </w:tc>
      </w:tr>
      <w:tr w:rsidR="00FC14A5" w:rsidRPr="005A566B" w14:paraId="4F3AE609" w14:textId="77777777" w:rsidTr="00FC14A5">
        <w:trPr>
          <w:trHeight w:val="302"/>
        </w:trPr>
        <w:tc>
          <w:tcPr>
            <w:tcW w:w="2086" w:type="dxa"/>
            <w:tcBorders>
              <w:top w:val="nil"/>
              <w:left w:val="nil"/>
              <w:bottom w:val="nil"/>
              <w:right w:val="nil"/>
            </w:tcBorders>
            <w:shd w:val="clear" w:color="auto" w:fill="auto"/>
            <w:noWrap/>
            <w:vAlign w:val="bottom"/>
            <w:hideMark/>
          </w:tcPr>
          <w:p w14:paraId="4DF69AFE"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nil"/>
              <w:left w:val="nil"/>
              <w:bottom w:val="nil"/>
              <w:right w:val="nil"/>
            </w:tcBorders>
            <w:shd w:val="clear" w:color="auto" w:fill="auto"/>
            <w:noWrap/>
            <w:vAlign w:val="bottom"/>
            <w:hideMark/>
          </w:tcPr>
          <w:p w14:paraId="08A4D65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(-27.44)</w:t>
            </w:r>
          </w:p>
        </w:tc>
        <w:tc>
          <w:tcPr>
            <w:tcW w:w="1862" w:type="dxa"/>
            <w:gridSpan w:val="2"/>
            <w:tcBorders>
              <w:top w:val="nil"/>
              <w:left w:val="nil"/>
              <w:bottom w:val="nil"/>
              <w:right w:val="nil"/>
            </w:tcBorders>
            <w:shd w:val="clear" w:color="auto" w:fill="auto"/>
            <w:noWrap/>
            <w:vAlign w:val="bottom"/>
            <w:hideMark/>
          </w:tcPr>
          <w:p w14:paraId="36BFC02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(-11.20)</w:t>
            </w:r>
          </w:p>
        </w:tc>
        <w:tc>
          <w:tcPr>
            <w:tcW w:w="1877" w:type="dxa"/>
            <w:tcBorders>
              <w:top w:val="nil"/>
              <w:left w:val="nil"/>
              <w:bottom w:val="nil"/>
              <w:right w:val="nil"/>
            </w:tcBorders>
            <w:shd w:val="clear" w:color="auto" w:fill="auto"/>
            <w:noWrap/>
            <w:vAlign w:val="bottom"/>
            <w:hideMark/>
          </w:tcPr>
          <w:p w14:paraId="753BEF0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(-33.42)</w:t>
            </w:r>
          </w:p>
        </w:tc>
        <w:tc>
          <w:tcPr>
            <w:tcW w:w="1656" w:type="dxa"/>
            <w:tcBorders>
              <w:top w:val="nil"/>
              <w:left w:val="nil"/>
              <w:bottom w:val="nil"/>
              <w:right w:val="nil"/>
            </w:tcBorders>
            <w:shd w:val="clear" w:color="auto" w:fill="auto"/>
            <w:noWrap/>
            <w:vAlign w:val="bottom"/>
            <w:hideMark/>
          </w:tcPr>
          <w:p w14:paraId="174F108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(-10.04)</w:t>
            </w:r>
          </w:p>
        </w:tc>
      </w:tr>
      <w:tr w:rsidR="00FC14A5" w:rsidRPr="005A566B" w14:paraId="020C146B" w14:textId="77777777" w:rsidTr="00FC14A5">
        <w:trPr>
          <w:trHeight w:val="302"/>
        </w:trPr>
        <w:tc>
          <w:tcPr>
            <w:tcW w:w="2086" w:type="dxa"/>
            <w:tcBorders>
              <w:top w:val="nil"/>
              <w:left w:val="nil"/>
              <w:bottom w:val="nil"/>
              <w:right w:val="nil"/>
            </w:tcBorders>
            <w:shd w:val="clear" w:color="auto" w:fill="auto"/>
            <w:noWrap/>
            <w:vAlign w:val="bottom"/>
            <w:hideMark/>
          </w:tcPr>
          <w:p w14:paraId="2197C7E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WCM </w:t>
            </w:r>
            <w:r w:rsidRPr="005A566B">
              <w:rPr>
                <w:rFonts w:ascii="Arial" w:eastAsia="Times New Roman" w:hAnsi="Arial" w:cs="Arial"/>
                <w:sz w:val="14"/>
                <w:lang w:eastAsia="en-GB"/>
              </w:rPr>
              <w:t xml:space="preserve"> X </w:t>
            </w:r>
            <w:r w:rsidRPr="005A566B">
              <w:rPr>
                <w:rFonts w:ascii="Arial" w:eastAsia="Times New Roman" w:hAnsi="Arial" w:cs="Arial"/>
                <w:lang w:eastAsia="en-GB"/>
              </w:rPr>
              <w:t>SIZE</w:t>
            </w:r>
            <w:r w:rsidRPr="005A566B">
              <w:rPr>
                <w:rFonts w:ascii="Arial" w:eastAsia="Times New Roman" w:hAnsi="Arial" w:cs="Arial"/>
                <w:sz w:val="14"/>
                <w:lang w:eastAsia="en-GB"/>
              </w:rPr>
              <w:t xml:space="preserve"> </w:t>
            </w:r>
          </w:p>
        </w:tc>
        <w:tc>
          <w:tcPr>
            <w:tcW w:w="1815" w:type="dxa"/>
            <w:tcBorders>
              <w:top w:val="nil"/>
              <w:left w:val="nil"/>
              <w:bottom w:val="nil"/>
              <w:right w:val="nil"/>
            </w:tcBorders>
            <w:shd w:val="clear" w:color="auto" w:fill="auto"/>
            <w:noWrap/>
            <w:vAlign w:val="bottom"/>
            <w:hideMark/>
          </w:tcPr>
          <w:p w14:paraId="56DDB513" w14:textId="77777777" w:rsidR="00FC14A5" w:rsidRPr="005A566B" w:rsidRDefault="00FC14A5" w:rsidP="00FC14A5">
            <w:pPr>
              <w:spacing w:after="0" w:line="240" w:lineRule="auto"/>
              <w:jc w:val="center"/>
              <w:rPr>
                <w:rFonts w:ascii="Arial" w:eastAsia="Times New Roman" w:hAnsi="Arial" w:cs="Arial"/>
                <w:lang w:eastAsia="en-GB"/>
              </w:rPr>
            </w:pPr>
          </w:p>
        </w:tc>
        <w:tc>
          <w:tcPr>
            <w:tcW w:w="1862" w:type="dxa"/>
            <w:gridSpan w:val="2"/>
            <w:tcBorders>
              <w:top w:val="nil"/>
              <w:left w:val="nil"/>
              <w:bottom w:val="nil"/>
              <w:right w:val="nil"/>
            </w:tcBorders>
            <w:shd w:val="clear" w:color="auto" w:fill="auto"/>
            <w:noWrap/>
            <w:vAlign w:val="bottom"/>
            <w:hideMark/>
          </w:tcPr>
          <w:p w14:paraId="12787BE9" w14:textId="77777777" w:rsidR="00FC14A5" w:rsidRPr="005A566B" w:rsidRDefault="00FC14A5" w:rsidP="00FC14A5">
            <w:pPr>
              <w:spacing w:after="0" w:line="240" w:lineRule="auto"/>
              <w:jc w:val="center"/>
              <w:rPr>
                <w:rFonts w:ascii="Arial" w:eastAsia="Times New Roman" w:hAnsi="Arial" w:cs="Arial"/>
                <w:lang w:eastAsia="en-GB"/>
              </w:rPr>
            </w:pPr>
          </w:p>
        </w:tc>
        <w:tc>
          <w:tcPr>
            <w:tcW w:w="1877" w:type="dxa"/>
            <w:tcBorders>
              <w:top w:val="nil"/>
              <w:left w:val="nil"/>
              <w:bottom w:val="nil"/>
              <w:right w:val="nil"/>
            </w:tcBorders>
            <w:shd w:val="clear" w:color="auto" w:fill="auto"/>
            <w:noWrap/>
            <w:vAlign w:val="bottom"/>
            <w:hideMark/>
          </w:tcPr>
          <w:p w14:paraId="3336639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0.0276***</w:t>
            </w:r>
          </w:p>
        </w:tc>
        <w:tc>
          <w:tcPr>
            <w:tcW w:w="1656" w:type="dxa"/>
            <w:tcBorders>
              <w:top w:val="nil"/>
              <w:left w:val="nil"/>
              <w:bottom w:val="nil"/>
              <w:right w:val="nil"/>
            </w:tcBorders>
            <w:shd w:val="clear" w:color="auto" w:fill="auto"/>
            <w:noWrap/>
            <w:vAlign w:val="bottom"/>
            <w:hideMark/>
          </w:tcPr>
          <w:p w14:paraId="4897C92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0.006***</w:t>
            </w:r>
          </w:p>
        </w:tc>
      </w:tr>
      <w:tr w:rsidR="00FC14A5" w:rsidRPr="005A566B" w14:paraId="066BE686" w14:textId="77777777" w:rsidTr="00FC14A5">
        <w:trPr>
          <w:trHeight w:val="302"/>
        </w:trPr>
        <w:tc>
          <w:tcPr>
            <w:tcW w:w="2086" w:type="dxa"/>
            <w:tcBorders>
              <w:top w:val="nil"/>
              <w:left w:val="nil"/>
              <w:bottom w:val="nil"/>
              <w:right w:val="nil"/>
            </w:tcBorders>
            <w:shd w:val="clear" w:color="auto" w:fill="auto"/>
            <w:noWrap/>
            <w:vAlign w:val="bottom"/>
            <w:hideMark/>
          </w:tcPr>
          <w:p w14:paraId="2477F20A"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nil"/>
              <w:left w:val="nil"/>
              <w:bottom w:val="nil"/>
              <w:right w:val="nil"/>
            </w:tcBorders>
            <w:shd w:val="clear" w:color="auto" w:fill="auto"/>
            <w:noWrap/>
            <w:vAlign w:val="bottom"/>
            <w:hideMark/>
          </w:tcPr>
          <w:p w14:paraId="288D20B6" w14:textId="77777777" w:rsidR="00FC14A5" w:rsidRPr="005A566B" w:rsidRDefault="00FC14A5" w:rsidP="00FC14A5">
            <w:pPr>
              <w:spacing w:after="0" w:line="240" w:lineRule="auto"/>
              <w:jc w:val="center"/>
              <w:rPr>
                <w:rFonts w:ascii="Arial" w:eastAsia="Times New Roman" w:hAnsi="Arial" w:cs="Arial"/>
                <w:lang w:eastAsia="en-GB"/>
              </w:rPr>
            </w:pPr>
          </w:p>
        </w:tc>
        <w:tc>
          <w:tcPr>
            <w:tcW w:w="1862" w:type="dxa"/>
            <w:gridSpan w:val="2"/>
            <w:tcBorders>
              <w:top w:val="nil"/>
              <w:left w:val="nil"/>
              <w:bottom w:val="nil"/>
              <w:right w:val="nil"/>
            </w:tcBorders>
            <w:shd w:val="clear" w:color="auto" w:fill="auto"/>
            <w:noWrap/>
            <w:vAlign w:val="bottom"/>
            <w:hideMark/>
          </w:tcPr>
          <w:p w14:paraId="492C9DA4" w14:textId="77777777" w:rsidR="00FC14A5" w:rsidRPr="005A566B" w:rsidRDefault="00FC14A5" w:rsidP="00FC14A5">
            <w:pPr>
              <w:spacing w:after="0" w:line="240" w:lineRule="auto"/>
              <w:jc w:val="center"/>
              <w:rPr>
                <w:rFonts w:ascii="Arial" w:eastAsia="Times New Roman" w:hAnsi="Arial" w:cs="Arial"/>
                <w:lang w:eastAsia="en-GB"/>
              </w:rPr>
            </w:pPr>
          </w:p>
        </w:tc>
        <w:tc>
          <w:tcPr>
            <w:tcW w:w="1877" w:type="dxa"/>
            <w:tcBorders>
              <w:top w:val="nil"/>
              <w:left w:val="nil"/>
              <w:bottom w:val="nil"/>
              <w:right w:val="nil"/>
            </w:tcBorders>
            <w:shd w:val="clear" w:color="auto" w:fill="auto"/>
            <w:noWrap/>
            <w:vAlign w:val="bottom"/>
            <w:hideMark/>
          </w:tcPr>
          <w:p w14:paraId="4FA866E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(12.12)</w:t>
            </w:r>
          </w:p>
        </w:tc>
        <w:tc>
          <w:tcPr>
            <w:tcW w:w="1656" w:type="dxa"/>
            <w:tcBorders>
              <w:top w:val="nil"/>
              <w:left w:val="nil"/>
              <w:bottom w:val="nil"/>
              <w:right w:val="nil"/>
            </w:tcBorders>
            <w:shd w:val="clear" w:color="auto" w:fill="auto"/>
            <w:noWrap/>
            <w:vAlign w:val="bottom"/>
            <w:hideMark/>
          </w:tcPr>
          <w:p w14:paraId="0A80B35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w:t>
            </w:r>
          </w:p>
        </w:tc>
      </w:tr>
      <w:tr w:rsidR="00FC14A5" w:rsidRPr="005A566B" w14:paraId="18027550" w14:textId="77777777" w:rsidTr="00FC14A5">
        <w:trPr>
          <w:trHeight w:val="302"/>
        </w:trPr>
        <w:tc>
          <w:tcPr>
            <w:tcW w:w="2086" w:type="dxa"/>
            <w:tcBorders>
              <w:top w:val="nil"/>
              <w:left w:val="nil"/>
              <w:bottom w:val="nil"/>
              <w:right w:val="nil"/>
            </w:tcBorders>
            <w:shd w:val="clear" w:color="auto" w:fill="auto"/>
            <w:noWrap/>
            <w:vAlign w:val="bottom"/>
            <w:hideMark/>
          </w:tcPr>
          <w:p w14:paraId="747749B7"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AGE</w:t>
            </w:r>
            <w:r w:rsidRPr="005A566B">
              <w:rPr>
                <w:rFonts w:ascii="Arial" w:eastAsia="Times New Roman" w:hAnsi="Arial" w:cs="Arial"/>
                <w:sz w:val="10"/>
                <w:lang w:eastAsia="en-GB"/>
              </w:rPr>
              <w:t xml:space="preserve"> </w:t>
            </w:r>
          </w:p>
        </w:tc>
        <w:tc>
          <w:tcPr>
            <w:tcW w:w="1815" w:type="dxa"/>
            <w:tcBorders>
              <w:top w:val="nil"/>
              <w:left w:val="nil"/>
              <w:bottom w:val="nil"/>
              <w:right w:val="nil"/>
            </w:tcBorders>
            <w:shd w:val="clear" w:color="auto" w:fill="auto"/>
            <w:noWrap/>
            <w:vAlign w:val="bottom"/>
            <w:hideMark/>
          </w:tcPr>
          <w:p w14:paraId="1F53E3A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-0.100***</w:t>
            </w:r>
          </w:p>
        </w:tc>
        <w:tc>
          <w:tcPr>
            <w:tcW w:w="1862" w:type="dxa"/>
            <w:gridSpan w:val="2"/>
            <w:tcBorders>
              <w:top w:val="nil"/>
              <w:left w:val="nil"/>
              <w:bottom w:val="nil"/>
              <w:right w:val="nil"/>
            </w:tcBorders>
            <w:shd w:val="clear" w:color="auto" w:fill="auto"/>
            <w:noWrap/>
            <w:vAlign w:val="bottom"/>
            <w:hideMark/>
          </w:tcPr>
          <w:p w14:paraId="7052106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w:t>
            </w:r>
          </w:p>
        </w:tc>
        <w:tc>
          <w:tcPr>
            <w:tcW w:w="1877" w:type="dxa"/>
            <w:tcBorders>
              <w:top w:val="nil"/>
              <w:left w:val="nil"/>
              <w:bottom w:val="nil"/>
              <w:right w:val="nil"/>
            </w:tcBorders>
            <w:shd w:val="clear" w:color="auto" w:fill="auto"/>
            <w:noWrap/>
            <w:vAlign w:val="bottom"/>
            <w:hideMark/>
          </w:tcPr>
          <w:p w14:paraId="174D28B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-0.102***</w:t>
            </w:r>
          </w:p>
        </w:tc>
        <w:tc>
          <w:tcPr>
            <w:tcW w:w="1656" w:type="dxa"/>
            <w:tcBorders>
              <w:top w:val="nil"/>
              <w:left w:val="nil"/>
              <w:bottom w:val="nil"/>
              <w:right w:val="nil"/>
            </w:tcBorders>
            <w:shd w:val="clear" w:color="auto" w:fill="auto"/>
            <w:noWrap/>
            <w:vAlign w:val="bottom"/>
            <w:hideMark/>
          </w:tcPr>
          <w:p w14:paraId="0620164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w:t>
            </w:r>
          </w:p>
        </w:tc>
      </w:tr>
      <w:tr w:rsidR="00FC14A5" w:rsidRPr="005A566B" w14:paraId="70FFDE62" w14:textId="77777777" w:rsidTr="00FC14A5">
        <w:trPr>
          <w:trHeight w:val="302"/>
        </w:trPr>
        <w:tc>
          <w:tcPr>
            <w:tcW w:w="2086" w:type="dxa"/>
            <w:tcBorders>
              <w:top w:val="nil"/>
              <w:left w:val="nil"/>
              <w:bottom w:val="nil"/>
              <w:right w:val="nil"/>
            </w:tcBorders>
            <w:shd w:val="clear" w:color="auto" w:fill="auto"/>
            <w:noWrap/>
            <w:vAlign w:val="bottom"/>
            <w:hideMark/>
          </w:tcPr>
          <w:p w14:paraId="315B2C4B"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nil"/>
              <w:left w:val="nil"/>
              <w:bottom w:val="nil"/>
              <w:right w:val="nil"/>
            </w:tcBorders>
            <w:shd w:val="clear" w:color="auto" w:fill="auto"/>
            <w:noWrap/>
            <w:vAlign w:val="bottom"/>
            <w:hideMark/>
          </w:tcPr>
          <w:p w14:paraId="11BF15D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(-34.07)</w:t>
            </w:r>
          </w:p>
        </w:tc>
        <w:tc>
          <w:tcPr>
            <w:tcW w:w="1862" w:type="dxa"/>
            <w:gridSpan w:val="2"/>
            <w:tcBorders>
              <w:top w:val="nil"/>
              <w:left w:val="nil"/>
              <w:bottom w:val="nil"/>
              <w:right w:val="nil"/>
            </w:tcBorders>
            <w:shd w:val="clear" w:color="auto" w:fill="auto"/>
            <w:noWrap/>
            <w:vAlign w:val="bottom"/>
            <w:hideMark/>
          </w:tcPr>
          <w:p w14:paraId="6AB65FE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(-5.51)</w:t>
            </w:r>
          </w:p>
        </w:tc>
        <w:tc>
          <w:tcPr>
            <w:tcW w:w="1877" w:type="dxa"/>
            <w:tcBorders>
              <w:top w:val="nil"/>
              <w:left w:val="nil"/>
              <w:bottom w:val="nil"/>
              <w:right w:val="nil"/>
            </w:tcBorders>
            <w:shd w:val="clear" w:color="auto" w:fill="auto"/>
            <w:noWrap/>
            <w:vAlign w:val="bottom"/>
            <w:hideMark/>
          </w:tcPr>
          <w:p w14:paraId="7189151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(-23.69)</w:t>
            </w:r>
          </w:p>
        </w:tc>
        <w:tc>
          <w:tcPr>
            <w:tcW w:w="1656" w:type="dxa"/>
            <w:tcBorders>
              <w:top w:val="nil"/>
              <w:left w:val="nil"/>
              <w:bottom w:val="nil"/>
              <w:right w:val="nil"/>
            </w:tcBorders>
            <w:shd w:val="clear" w:color="auto" w:fill="auto"/>
            <w:noWrap/>
            <w:vAlign w:val="bottom"/>
            <w:hideMark/>
          </w:tcPr>
          <w:p w14:paraId="32FB628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(-4.08)</w:t>
            </w:r>
          </w:p>
        </w:tc>
      </w:tr>
      <w:tr w:rsidR="00FC14A5" w:rsidRPr="005A566B" w14:paraId="37B09E3E" w14:textId="77777777" w:rsidTr="00FC14A5">
        <w:trPr>
          <w:trHeight w:val="302"/>
        </w:trPr>
        <w:tc>
          <w:tcPr>
            <w:tcW w:w="2086" w:type="dxa"/>
            <w:tcBorders>
              <w:top w:val="nil"/>
              <w:left w:val="nil"/>
              <w:bottom w:val="nil"/>
              <w:right w:val="nil"/>
            </w:tcBorders>
            <w:shd w:val="clear" w:color="auto" w:fill="auto"/>
            <w:noWrap/>
            <w:vAlign w:val="bottom"/>
            <w:hideMark/>
          </w:tcPr>
          <w:p w14:paraId="230353C8"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CR</w:t>
            </w:r>
            <w:r w:rsidRPr="005A566B">
              <w:rPr>
                <w:rFonts w:ascii="Arial" w:eastAsia="Times New Roman" w:hAnsi="Arial" w:cs="Arial"/>
                <w:sz w:val="10"/>
                <w:lang w:eastAsia="en-GB"/>
              </w:rPr>
              <w:t xml:space="preserve"> </w:t>
            </w:r>
          </w:p>
        </w:tc>
        <w:tc>
          <w:tcPr>
            <w:tcW w:w="1815" w:type="dxa"/>
            <w:tcBorders>
              <w:top w:val="nil"/>
              <w:left w:val="nil"/>
              <w:bottom w:val="nil"/>
              <w:right w:val="nil"/>
            </w:tcBorders>
            <w:shd w:val="clear" w:color="auto" w:fill="auto"/>
            <w:noWrap/>
            <w:vAlign w:val="bottom"/>
            <w:hideMark/>
          </w:tcPr>
          <w:p w14:paraId="51B1F50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-0.00517***</w:t>
            </w:r>
          </w:p>
        </w:tc>
        <w:tc>
          <w:tcPr>
            <w:tcW w:w="1862" w:type="dxa"/>
            <w:gridSpan w:val="2"/>
            <w:tcBorders>
              <w:top w:val="nil"/>
              <w:left w:val="nil"/>
              <w:bottom w:val="nil"/>
              <w:right w:val="nil"/>
            </w:tcBorders>
            <w:shd w:val="clear" w:color="auto" w:fill="auto"/>
            <w:noWrap/>
            <w:vAlign w:val="bottom"/>
            <w:hideMark/>
          </w:tcPr>
          <w:p w14:paraId="3310D69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-0.0765***</w:t>
            </w:r>
          </w:p>
        </w:tc>
        <w:tc>
          <w:tcPr>
            <w:tcW w:w="1877" w:type="dxa"/>
            <w:tcBorders>
              <w:top w:val="nil"/>
              <w:left w:val="nil"/>
              <w:bottom w:val="nil"/>
              <w:right w:val="nil"/>
            </w:tcBorders>
            <w:shd w:val="clear" w:color="auto" w:fill="auto"/>
            <w:noWrap/>
            <w:vAlign w:val="bottom"/>
            <w:hideMark/>
          </w:tcPr>
          <w:p w14:paraId="2804632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-0.007***</w:t>
            </w:r>
          </w:p>
        </w:tc>
        <w:tc>
          <w:tcPr>
            <w:tcW w:w="1656" w:type="dxa"/>
            <w:tcBorders>
              <w:top w:val="nil"/>
              <w:left w:val="nil"/>
              <w:bottom w:val="nil"/>
              <w:right w:val="nil"/>
            </w:tcBorders>
            <w:shd w:val="clear" w:color="auto" w:fill="auto"/>
            <w:noWrap/>
            <w:vAlign w:val="bottom"/>
            <w:hideMark/>
          </w:tcPr>
          <w:p w14:paraId="4B5C86E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-0.0939***</w:t>
            </w:r>
          </w:p>
        </w:tc>
      </w:tr>
      <w:tr w:rsidR="00FC14A5" w:rsidRPr="005A566B" w14:paraId="0AD8306F" w14:textId="77777777" w:rsidTr="00FC14A5">
        <w:trPr>
          <w:trHeight w:val="302"/>
        </w:trPr>
        <w:tc>
          <w:tcPr>
            <w:tcW w:w="2086" w:type="dxa"/>
            <w:tcBorders>
              <w:top w:val="nil"/>
              <w:left w:val="nil"/>
              <w:bottom w:val="nil"/>
              <w:right w:val="nil"/>
            </w:tcBorders>
            <w:shd w:val="clear" w:color="auto" w:fill="auto"/>
            <w:noWrap/>
            <w:vAlign w:val="bottom"/>
            <w:hideMark/>
          </w:tcPr>
          <w:p w14:paraId="0DB38532"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nil"/>
              <w:left w:val="nil"/>
              <w:bottom w:val="nil"/>
              <w:right w:val="nil"/>
            </w:tcBorders>
            <w:shd w:val="clear" w:color="auto" w:fill="auto"/>
            <w:noWrap/>
            <w:vAlign w:val="bottom"/>
            <w:hideMark/>
          </w:tcPr>
          <w:p w14:paraId="3B098C6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(-11.56)</w:t>
            </w:r>
          </w:p>
        </w:tc>
        <w:tc>
          <w:tcPr>
            <w:tcW w:w="1862" w:type="dxa"/>
            <w:gridSpan w:val="2"/>
            <w:tcBorders>
              <w:top w:val="nil"/>
              <w:left w:val="nil"/>
              <w:bottom w:val="nil"/>
              <w:right w:val="nil"/>
            </w:tcBorders>
            <w:shd w:val="clear" w:color="auto" w:fill="auto"/>
            <w:noWrap/>
            <w:vAlign w:val="bottom"/>
            <w:hideMark/>
          </w:tcPr>
          <w:p w14:paraId="785B4E6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(-10.46)</w:t>
            </w:r>
          </w:p>
        </w:tc>
        <w:tc>
          <w:tcPr>
            <w:tcW w:w="1877" w:type="dxa"/>
            <w:tcBorders>
              <w:top w:val="nil"/>
              <w:left w:val="nil"/>
              <w:bottom w:val="nil"/>
              <w:right w:val="nil"/>
            </w:tcBorders>
            <w:shd w:val="clear" w:color="auto" w:fill="auto"/>
            <w:noWrap/>
            <w:vAlign w:val="bottom"/>
            <w:hideMark/>
          </w:tcPr>
          <w:p w14:paraId="61DCF96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(-6.97)</w:t>
            </w:r>
          </w:p>
        </w:tc>
        <w:tc>
          <w:tcPr>
            <w:tcW w:w="1656" w:type="dxa"/>
            <w:tcBorders>
              <w:top w:val="nil"/>
              <w:left w:val="nil"/>
              <w:bottom w:val="nil"/>
              <w:right w:val="nil"/>
            </w:tcBorders>
            <w:shd w:val="clear" w:color="auto" w:fill="auto"/>
            <w:noWrap/>
            <w:vAlign w:val="bottom"/>
            <w:hideMark/>
          </w:tcPr>
          <w:p w14:paraId="7559A33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(-11.49)</w:t>
            </w:r>
          </w:p>
        </w:tc>
      </w:tr>
      <w:tr w:rsidR="00FC14A5" w:rsidRPr="005A566B" w14:paraId="2BDAF1A3" w14:textId="77777777" w:rsidTr="00FC14A5">
        <w:trPr>
          <w:trHeight w:val="302"/>
        </w:trPr>
        <w:tc>
          <w:tcPr>
            <w:tcW w:w="2086" w:type="dxa"/>
            <w:tcBorders>
              <w:top w:val="nil"/>
              <w:left w:val="nil"/>
              <w:bottom w:val="nil"/>
              <w:right w:val="nil"/>
            </w:tcBorders>
            <w:shd w:val="clear" w:color="auto" w:fill="auto"/>
            <w:noWrap/>
            <w:vAlign w:val="bottom"/>
            <w:hideMark/>
          </w:tcPr>
          <w:p w14:paraId="22C6BAB6"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SIZE   </w:t>
            </w:r>
          </w:p>
        </w:tc>
        <w:tc>
          <w:tcPr>
            <w:tcW w:w="1815" w:type="dxa"/>
            <w:tcBorders>
              <w:top w:val="nil"/>
              <w:left w:val="nil"/>
              <w:bottom w:val="nil"/>
              <w:right w:val="nil"/>
            </w:tcBorders>
            <w:shd w:val="clear" w:color="auto" w:fill="auto"/>
            <w:noWrap/>
            <w:vAlign w:val="bottom"/>
            <w:hideMark/>
          </w:tcPr>
          <w:p w14:paraId="3CF5AE4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0.0395***</w:t>
            </w:r>
          </w:p>
        </w:tc>
        <w:tc>
          <w:tcPr>
            <w:tcW w:w="1862" w:type="dxa"/>
            <w:gridSpan w:val="2"/>
            <w:tcBorders>
              <w:top w:val="nil"/>
              <w:left w:val="nil"/>
              <w:bottom w:val="nil"/>
              <w:right w:val="nil"/>
            </w:tcBorders>
            <w:shd w:val="clear" w:color="auto" w:fill="auto"/>
            <w:noWrap/>
            <w:vAlign w:val="bottom"/>
            <w:hideMark/>
          </w:tcPr>
          <w:p w14:paraId="382BFC0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0.0047***</w:t>
            </w:r>
          </w:p>
        </w:tc>
        <w:tc>
          <w:tcPr>
            <w:tcW w:w="1877" w:type="dxa"/>
            <w:tcBorders>
              <w:top w:val="nil"/>
              <w:left w:val="nil"/>
              <w:bottom w:val="nil"/>
              <w:right w:val="nil"/>
            </w:tcBorders>
            <w:shd w:val="clear" w:color="auto" w:fill="auto"/>
            <w:noWrap/>
            <w:vAlign w:val="bottom"/>
            <w:hideMark/>
          </w:tcPr>
          <w:p w14:paraId="0A6FE29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0.0612***</w:t>
            </w:r>
          </w:p>
        </w:tc>
        <w:tc>
          <w:tcPr>
            <w:tcW w:w="1656" w:type="dxa"/>
            <w:tcBorders>
              <w:top w:val="nil"/>
              <w:left w:val="nil"/>
              <w:bottom w:val="nil"/>
              <w:right w:val="nil"/>
            </w:tcBorders>
            <w:shd w:val="clear" w:color="auto" w:fill="auto"/>
            <w:noWrap/>
            <w:vAlign w:val="bottom"/>
            <w:hideMark/>
          </w:tcPr>
          <w:p w14:paraId="0154C37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0.0716*</w:t>
            </w:r>
          </w:p>
        </w:tc>
      </w:tr>
      <w:tr w:rsidR="00FC14A5" w:rsidRPr="005A566B" w14:paraId="118D261D" w14:textId="77777777" w:rsidTr="00FC14A5">
        <w:trPr>
          <w:trHeight w:val="302"/>
        </w:trPr>
        <w:tc>
          <w:tcPr>
            <w:tcW w:w="2086" w:type="dxa"/>
            <w:tcBorders>
              <w:top w:val="nil"/>
              <w:left w:val="nil"/>
              <w:bottom w:val="nil"/>
              <w:right w:val="nil"/>
            </w:tcBorders>
            <w:shd w:val="clear" w:color="auto" w:fill="auto"/>
            <w:noWrap/>
            <w:vAlign w:val="bottom"/>
            <w:hideMark/>
          </w:tcPr>
          <w:p w14:paraId="0974D269"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nil"/>
              <w:left w:val="nil"/>
              <w:bottom w:val="nil"/>
              <w:right w:val="nil"/>
            </w:tcBorders>
            <w:shd w:val="clear" w:color="auto" w:fill="auto"/>
            <w:noWrap/>
            <w:vAlign w:val="bottom"/>
            <w:hideMark/>
          </w:tcPr>
          <w:p w14:paraId="61B8BD1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(7.68)</w:t>
            </w:r>
          </w:p>
        </w:tc>
        <w:tc>
          <w:tcPr>
            <w:tcW w:w="1862" w:type="dxa"/>
            <w:gridSpan w:val="2"/>
            <w:tcBorders>
              <w:top w:val="nil"/>
              <w:left w:val="nil"/>
              <w:bottom w:val="nil"/>
              <w:right w:val="nil"/>
            </w:tcBorders>
            <w:shd w:val="clear" w:color="auto" w:fill="auto"/>
            <w:noWrap/>
            <w:vAlign w:val="bottom"/>
            <w:hideMark/>
          </w:tcPr>
          <w:p w14:paraId="073B846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(6.39)</w:t>
            </w:r>
          </w:p>
        </w:tc>
        <w:tc>
          <w:tcPr>
            <w:tcW w:w="1877" w:type="dxa"/>
            <w:tcBorders>
              <w:top w:val="nil"/>
              <w:left w:val="nil"/>
              <w:bottom w:val="nil"/>
              <w:right w:val="nil"/>
            </w:tcBorders>
            <w:shd w:val="clear" w:color="auto" w:fill="auto"/>
            <w:noWrap/>
            <w:vAlign w:val="bottom"/>
            <w:hideMark/>
          </w:tcPr>
          <w:p w14:paraId="1153E9A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(7.10)</w:t>
            </w:r>
          </w:p>
        </w:tc>
        <w:tc>
          <w:tcPr>
            <w:tcW w:w="1656" w:type="dxa"/>
            <w:tcBorders>
              <w:top w:val="nil"/>
              <w:left w:val="nil"/>
              <w:bottom w:val="nil"/>
              <w:right w:val="nil"/>
            </w:tcBorders>
            <w:shd w:val="clear" w:color="auto" w:fill="auto"/>
            <w:noWrap/>
            <w:vAlign w:val="bottom"/>
            <w:hideMark/>
          </w:tcPr>
          <w:p w14:paraId="5B38151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( 1.96)</w:t>
            </w:r>
          </w:p>
        </w:tc>
      </w:tr>
      <w:tr w:rsidR="00FC14A5" w:rsidRPr="005A566B" w14:paraId="540377BC" w14:textId="77777777" w:rsidTr="00FC14A5">
        <w:trPr>
          <w:trHeight w:val="302"/>
        </w:trPr>
        <w:tc>
          <w:tcPr>
            <w:tcW w:w="2086" w:type="dxa"/>
            <w:tcBorders>
              <w:top w:val="nil"/>
              <w:left w:val="nil"/>
              <w:bottom w:val="nil"/>
              <w:right w:val="nil"/>
            </w:tcBorders>
            <w:shd w:val="clear" w:color="auto" w:fill="auto"/>
            <w:noWrap/>
            <w:vAlign w:val="bottom"/>
            <w:hideMark/>
          </w:tcPr>
          <w:p w14:paraId="6EFBE074"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FLEV</w:t>
            </w:r>
            <w:r w:rsidRPr="005A566B">
              <w:rPr>
                <w:rFonts w:ascii="Arial" w:eastAsia="Times New Roman" w:hAnsi="Arial" w:cs="Arial"/>
                <w:sz w:val="10"/>
                <w:lang w:eastAsia="en-GB"/>
              </w:rPr>
              <w:t xml:space="preserve"> </w:t>
            </w:r>
          </w:p>
        </w:tc>
        <w:tc>
          <w:tcPr>
            <w:tcW w:w="1815" w:type="dxa"/>
            <w:tcBorders>
              <w:top w:val="nil"/>
              <w:left w:val="nil"/>
              <w:bottom w:val="nil"/>
              <w:right w:val="nil"/>
            </w:tcBorders>
            <w:shd w:val="clear" w:color="auto" w:fill="auto"/>
            <w:noWrap/>
            <w:vAlign w:val="bottom"/>
            <w:hideMark/>
          </w:tcPr>
          <w:p w14:paraId="4FDEABA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-0.0141***</w:t>
            </w:r>
          </w:p>
        </w:tc>
        <w:tc>
          <w:tcPr>
            <w:tcW w:w="1862" w:type="dxa"/>
            <w:gridSpan w:val="2"/>
            <w:tcBorders>
              <w:top w:val="nil"/>
              <w:left w:val="nil"/>
              <w:bottom w:val="nil"/>
              <w:right w:val="nil"/>
            </w:tcBorders>
            <w:shd w:val="clear" w:color="auto" w:fill="auto"/>
            <w:noWrap/>
            <w:vAlign w:val="bottom"/>
            <w:hideMark/>
          </w:tcPr>
          <w:p w14:paraId="2C6B82D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-0.0073***</w:t>
            </w:r>
          </w:p>
        </w:tc>
        <w:tc>
          <w:tcPr>
            <w:tcW w:w="1877" w:type="dxa"/>
            <w:tcBorders>
              <w:top w:val="nil"/>
              <w:left w:val="nil"/>
              <w:bottom w:val="nil"/>
              <w:right w:val="nil"/>
            </w:tcBorders>
            <w:shd w:val="clear" w:color="auto" w:fill="auto"/>
            <w:noWrap/>
            <w:vAlign w:val="bottom"/>
            <w:hideMark/>
          </w:tcPr>
          <w:p w14:paraId="3386C71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-0.0138***</w:t>
            </w:r>
          </w:p>
        </w:tc>
        <w:tc>
          <w:tcPr>
            <w:tcW w:w="1656" w:type="dxa"/>
            <w:tcBorders>
              <w:top w:val="nil"/>
              <w:left w:val="nil"/>
              <w:bottom w:val="nil"/>
              <w:right w:val="nil"/>
            </w:tcBorders>
            <w:shd w:val="clear" w:color="auto" w:fill="auto"/>
            <w:noWrap/>
            <w:vAlign w:val="bottom"/>
            <w:hideMark/>
          </w:tcPr>
          <w:p w14:paraId="5490D9E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-0.0123***</w:t>
            </w:r>
          </w:p>
        </w:tc>
      </w:tr>
      <w:tr w:rsidR="00FC14A5" w:rsidRPr="005A566B" w14:paraId="77F43024" w14:textId="77777777" w:rsidTr="00FC14A5">
        <w:trPr>
          <w:trHeight w:val="302"/>
        </w:trPr>
        <w:tc>
          <w:tcPr>
            <w:tcW w:w="2086" w:type="dxa"/>
            <w:tcBorders>
              <w:top w:val="nil"/>
              <w:left w:val="nil"/>
              <w:bottom w:val="nil"/>
              <w:right w:val="nil"/>
            </w:tcBorders>
            <w:shd w:val="clear" w:color="auto" w:fill="auto"/>
            <w:noWrap/>
            <w:vAlign w:val="bottom"/>
            <w:hideMark/>
          </w:tcPr>
          <w:p w14:paraId="24154FD3" w14:textId="77777777" w:rsidR="00FC14A5" w:rsidRPr="005A566B" w:rsidRDefault="00FC14A5" w:rsidP="00FC14A5">
            <w:pPr>
              <w:spacing w:after="0" w:line="240" w:lineRule="auto"/>
              <w:rPr>
                <w:rFonts w:ascii="Arial" w:eastAsia="Times New Roman" w:hAnsi="Arial" w:cs="Arial"/>
                <w:lang w:eastAsia="en-GB"/>
              </w:rPr>
            </w:pPr>
          </w:p>
        </w:tc>
        <w:tc>
          <w:tcPr>
            <w:tcW w:w="1815" w:type="dxa"/>
            <w:tcBorders>
              <w:top w:val="nil"/>
              <w:left w:val="nil"/>
              <w:bottom w:val="nil"/>
              <w:right w:val="nil"/>
            </w:tcBorders>
            <w:shd w:val="clear" w:color="auto" w:fill="auto"/>
            <w:noWrap/>
            <w:vAlign w:val="bottom"/>
            <w:hideMark/>
          </w:tcPr>
          <w:p w14:paraId="60A4140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(-81.70)</w:t>
            </w:r>
          </w:p>
        </w:tc>
        <w:tc>
          <w:tcPr>
            <w:tcW w:w="1862" w:type="dxa"/>
            <w:gridSpan w:val="2"/>
            <w:tcBorders>
              <w:top w:val="nil"/>
              <w:left w:val="nil"/>
              <w:bottom w:val="nil"/>
              <w:right w:val="nil"/>
            </w:tcBorders>
            <w:shd w:val="clear" w:color="auto" w:fill="auto"/>
            <w:noWrap/>
            <w:vAlign w:val="bottom"/>
            <w:hideMark/>
          </w:tcPr>
          <w:p w14:paraId="11A19AE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(-6.80)</w:t>
            </w:r>
          </w:p>
        </w:tc>
        <w:tc>
          <w:tcPr>
            <w:tcW w:w="1877" w:type="dxa"/>
            <w:tcBorders>
              <w:top w:val="nil"/>
              <w:left w:val="nil"/>
              <w:bottom w:val="nil"/>
              <w:right w:val="nil"/>
            </w:tcBorders>
            <w:shd w:val="clear" w:color="auto" w:fill="auto"/>
            <w:noWrap/>
            <w:vAlign w:val="bottom"/>
            <w:hideMark/>
          </w:tcPr>
          <w:p w14:paraId="7FC1410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(-47.32)</w:t>
            </w:r>
          </w:p>
        </w:tc>
        <w:tc>
          <w:tcPr>
            <w:tcW w:w="1656" w:type="dxa"/>
            <w:tcBorders>
              <w:top w:val="nil"/>
              <w:left w:val="nil"/>
              <w:bottom w:val="nil"/>
              <w:right w:val="nil"/>
            </w:tcBorders>
            <w:shd w:val="clear" w:color="auto" w:fill="auto"/>
            <w:noWrap/>
            <w:vAlign w:val="bottom"/>
            <w:hideMark/>
          </w:tcPr>
          <w:p w14:paraId="33E8759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(-5.84)</w:t>
            </w:r>
          </w:p>
        </w:tc>
      </w:tr>
      <w:tr w:rsidR="00FC14A5" w:rsidRPr="005A566B" w14:paraId="46331194" w14:textId="77777777" w:rsidTr="00FC14A5">
        <w:trPr>
          <w:trHeight w:val="302"/>
        </w:trPr>
        <w:tc>
          <w:tcPr>
            <w:tcW w:w="2086" w:type="dxa"/>
            <w:tcBorders>
              <w:top w:val="nil"/>
              <w:left w:val="nil"/>
              <w:bottom w:val="nil"/>
              <w:right w:val="nil"/>
            </w:tcBorders>
            <w:shd w:val="clear" w:color="auto" w:fill="auto"/>
            <w:noWrap/>
            <w:vAlign w:val="bottom"/>
            <w:hideMark/>
          </w:tcPr>
          <w:p w14:paraId="6DE7D2C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ATAN</w:t>
            </w:r>
            <w:r w:rsidRPr="005A566B">
              <w:rPr>
                <w:rFonts w:ascii="Arial" w:eastAsia="Times New Roman" w:hAnsi="Arial" w:cs="Arial"/>
                <w:sz w:val="10"/>
                <w:lang w:eastAsia="en-GB"/>
              </w:rPr>
              <w:t xml:space="preserve"> </w:t>
            </w:r>
          </w:p>
        </w:tc>
        <w:tc>
          <w:tcPr>
            <w:tcW w:w="2008" w:type="dxa"/>
            <w:gridSpan w:val="2"/>
            <w:tcBorders>
              <w:top w:val="nil"/>
              <w:left w:val="nil"/>
              <w:bottom w:val="nil"/>
              <w:right w:val="nil"/>
            </w:tcBorders>
            <w:shd w:val="clear" w:color="auto" w:fill="auto"/>
            <w:noWrap/>
            <w:vAlign w:val="bottom"/>
            <w:hideMark/>
          </w:tcPr>
          <w:p w14:paraId="718F213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-0.000711***</w:t>
            </w:r>
          </w:p>
        </w:tc>
        <w:tc>
          <w:tcPr>
            <w:tcW w:w="1669" w:type="dxa"/>
            <w:tcBorders>
              <w:top w:val="nil"/>
              <w:left w:val="nil"/>
              <w:bottom w:val="nil"/>
              <w:right w:val="nil"/>
            </w:tcBorders>
            <w:shd w:val="clear" w:color="auto" w:fill="auto"/>
            <w:noWrap/>
            <w:vAlign w:val="bottom"/>
            <w:hideMark/>
          </w:tcPr>
          <w:p w14:paraId="1AFB43D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-0.0066***</w:t>
            </w:r>
          </w:p>
        </w:tc>
        <w:tc>
          <w:tcPr>
            <w:tcW w:w="1877" w:type="dxa"/>
            <w:tcBorders>
              <w:top w:val="nil"/>
              <w:left w:val="nil"/>
              <w:bottom w:val="nil"/>
              <w:right w:val="nil"/>
            </w:tcBorders>
            <w:shd w:val="clear" w:color="auto" w:fill="auto"/>
            <w:noWrap/>
            <w:vAlign w:val="bottom"/>
            <w:hideMark/>
          </w:tcPr>
          <w:p w14:paraId="3466030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-0.000681**</w:t>
            </w:r>
          </w:p>
        </w:tc>
        <w:tc>
          <w:tcPr>
            <w:tcW w:w="1656" w:type="dxa"/>
            <w:tcBorders>
              <w:top w:val="nil"/>
              <w:left w:val="nil"/>
              <w:bottom w:val="nil"/>
              <w:right w:val="nil"/>
            </w:tcBorders>
            <w:shd w:val="clear" w:color="auto" w:fill="auto"/>
            <w:noWrap/>
            <w:vAlign w:val="bottom"/>
            <w:hideMark/>
          </w:tcPr>
          <w:p w14:paraId="488F8D7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-0.0082***</w:t>
            </w:r>
          </w:p>
        </w:tc>
      </w:tr>
      <w:tr w:rsidR="00FC14A5" w:rsidRPr="005A566B" w14:paraId="279C2793" w14:textId="77777777" w:rsidTr="00FC14A5">
        <w:trPr>
          <w:trHeight w:val="302"/>
        </w:trPr>
        <w:tc>
          <w:tcPr>
            <w:tcW w:w="2086" w:type="dxa"/>
            <w:tcBorders>
              <w:top w:val="nil"/>
              <w:left w:val="nil"/>
              <w:bottom w:val="nil"/>
              <w:right w:val="nil"/>
            </w:tcBorders>
            <w:shd w:val="clear" w:color="auto" w:fill="auto"/>
            <w:noWrap/>
            <w:vAlign w:val="bottom"/>
            <w:hideMark/>
          </w:tcPr>
          <w:p w14:paraId="30364491" w14:textId="77777777" w:rsidR="00FC14A5" w:rsidRPr="005A566B" w:rsidRDefault="00FC14A5" w:rsidP="00FC14A5">
            <w:pPr>
              <w:spacing w:after="0" w:line="240" w:lineRule="auto"/>
              <w:rPr>
                <w:rFonts w:ascii="Arial" w:eastAsia="Times New Roman" w:hAnsi="Arial" w:cs="Arial"/>
                <w:lang w:eastAsia="en-GB"/>
              </w:rPr>
            </w:pPr>
          </w:p>
        </w:tc>
        <w:tc>
          <w:tcPr>
            <w:tcW w:w="2008" w:type="dxa"/>
            <w:gridSpan w:val="2"/>
            <w:tcBorders>
              <w:top w:val="nil"/>
              <w:left w:val="nil"/>
              <w:bottom w:val="nil"/>
              <w:right w:val="nil"/>
            </w:tcBorders>
            <w:shd w:val="clear" w:color="auto" w:fill="auto"/>
            <w:noWrap/>
            <w:vAlign w:val="bottom"/>
            <w:hideMark/>
          </w:tcPr>
          <w:p w14:paraId="2CF1346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(-2.76)</w:t>
            </w:r>
          </w:p>
        </w:tc>
        <w:tc>
          <w:tcPr>
            <w:tcW w:w="1669" w:type="dxa"/>
            <w:tcBorders>
              <w:top w:val="nil"/>
              <w:left w:val="nil"/>
              <w:bottom w:val="nil"/>
              <w:right w:val="nil"/>
            </w:tcBorders>
            <w:shd w:val="clear" w:color="auto" w:fill="auto"/>
            <w:noWrap/>
            <w:vAlign w:val="bottom"/>
            <w:hideMark/>
          </w:tcPr>
          <w:p w14:paraId="3C75644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(-3.29)</w:t>
            </w:r>
          </w:p>
        </w:tc>
        <w:tc>
          <w:tcPr>
            <w:tcW w:w="1877" w:type="dxa"/>
            <w:tcBorders>
              <w:top w:val="nil"/>
              <w:left w:val="nil"/>
              <w:bottom w:val="nil"/>
              <w:right w:val="nil"/>
            </w:tcBorders>
            <w:shd w:val="clear" w:color="auto" w:fill="auto"/>
            <w:noWrap/>
            <w:vAlign w:val="bottom"/>
            <w:hideMark/>
          </w:tcPr>
          <w:p w14:paraId="7E9515D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(-2.29)</w:t>
            </w:r>
          </w:p>
        </w:tc>
        <w:tc>
          <w:tcPr>
            <w:tcW w:w="1656" w:type="dxa"/>
            <w:tcBorders>
              <w:top w:val="nil"/>
              <w:left w:val="nil"/>
              <w:bottom w:val="nil"/>
              <w:right w:val="nil"/>
            </w:tcBorders>
            <w:shd w:val="clear" w:color="auto" w:fill="auto"/>
            <w:noWrap/>
            <w:vAlign w:val="bottom"/>
            <w:hideMark/>
          </w:tcPr>
          <w:p w14:paraId="3872CFD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(-3.58)</w:t>
            </w:r>
          </w:p>
        </w:tc>
      </w:tr>
      <w:tr w:rsidR="00FC14A5" w:rsidRPr="005A566B" w14:paraId="340E277B" w14:textId="77777777" w:rsidTr="00FC14A5">
        <w:trPr>
          <w:trHeight w:val="302"/>
        </w:trPr>
        <w:tc>
          <w:tcPr>
            <w:tcW w:w="2086" w:type="dxa"/>
            <w:tcBorders>
              <w:top w:val="nil"/>
              <w:left w:val="nil"/>
              <w:bottom w:val="nil"/>
              <w:right w:val="nil"/>
            </w:tcBorders>
            <w:shd w:val="clear" w:color="auto" w:fill="auto"/>
            <w:noWrap/>
            <w:vAlign w:val="bottom"/>
            <w:hideMark/>
          </w:tcPr>
          <w:p w14:paraId="2CA6FC48"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GROWTH</w:t>
            </w:r>
            <w:r w:rsidRPr="005A566B">
              <w:rPr>
                <w:rFonts w:ascii="Arial" w:eastAsia="Times New Roman" w:hAnsi="Arial" w:cs="Arial"/>
                <w:sz w:val="10"/>
                <w:lang w:eastAsia="en-GB"/>
              </w:rPr>
              <w:t xml:space="preserve"> </w:t>
            </w:r>
          </w:p>
        </w:tc>
        <w:tc>
          <w:tcPr>
            <w:tcW w:w="2008" w:type="dxa"/>
            <w:gridSpan w:val="2"/>
            <w:tcBorders>
              <w:top w:val="nil"/>
              <w:left w:val="nil"/>
              <w:bottom w:val="nil"/>
              <w:right w:val="nil"/>
            </w:tcBorders>
            <w:shd w:val="clear" w:color="auto" w:fill="auto"/>
            <w:noWrap/>
            <w:vAlign w:val="bottom"/>
            <w:hideMark/>
          </w:tcPr>
          <w:p w14:paraId="1D2933B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-0.0009***</w:t>
            </w:r>
          </w:p>
        </w:tc>
        <w:tc>
          <w:tcPr>
            <w:tcW w:w="1669" w:type="dxa"/>
            <w:tcBorders>
              <w:top w:val="nil"/>
              <w:left w:val="nil"/>
              <w:bottom w:val="nil"/>
              <w:right w:val="nil"/>
            </w:tcBorders>
            <w:shd w:val="clear" w:color="auto" w:fill="auto"/>
            <w:noWrap/>
            <w:vAlign w:val="bottom"/>
            <w:hideMark/>
          </w:tcPr>
          <w:p w14:paraId="50B2D4D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0.0003***</w:t>
            </w:r>
          </w:p>
        </w:tc>
        <w:tc>
          <w:tcPr>
            <w:tcW w:w="1877" w:type="dxa"/>
            <w:tcBorders>
              <w:top w:val="nil"/>
              <w:left w:val="nil"/>
              <w:bottom w:val="nil"/>
              <w:right w:val="nil"/>
            </w:tcBorders>
            <w:shd w:val="clear" w:color="auto" w:fill="auto"/>
            <w:noWrap/>
            <w:vAlign w:val="bottom"/>
            <w:hideMark/>
          </w:tcPr>
          <w:p w14:paraId="779C2D9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w:t>
            </w:r>
          </w:p>
        </w:tc>
        <w:tc>
          <w:tcPr>
            <w:tcW w:w="1656" w:type="dxa"/>
            <w:tcBorders>
              <w:top w:val="nil"/>
              <w:left w:val="nil"/>
              <w:bottom w:val="nil"/>
              <w:right w:val="nil"/>
            </w:tcBorders>
            <w:shd w:val="clear" w:color="auto" w:fill="auto"/>
            <w:noWrap/>
            <w:vAlign w:val="bottom"/>
            <w:hideMark/>
          </w:tcPr>
          <w:p w14:paraId="3D8F0DB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0.0004***</w:t>
            </w:r>
          </w:p>
        </w:tc>
      </w:tr>
      <w:tr w:rsidR="00FC14A5" w:rsidRPr="005A566B" w14:paraId="51B2C9EA" w14:textId="77777777" w:rsidTr="00FC14A5">
        <w:trPr>
          <w:trHeight w:val="302"/>
        </w:trPr>
        <w:tc>
          <w:tcPr>
            <w:tcW w:w="2086" w:type="dxa"/>
            <w:tcBorders>
              <w:top w:val="nil"/>
              <w:left w:val="nil"/>
              <w:bottom w:val="nil"/>
              <w:right w:val="nil"/>
            </w:tcBorders>
            <w:shd w:val="clear" w:color="auto" w:fill="auto"/>
            <w:noWrap/>
            <w:vAlign w:val="bottom"/>
            <w:hideMark/>
          </w:tcPr>
          <w:p w14:paraId="1E0D7925" w14:textId="77777777" w:rsidR="00FC14A5" w:rsidRPr="005A566B" w:rsidRDefault="00FC14A5" w:rsidP="00FC14A5">
            <w:pPr>
              <w:spacing w:after="0" w:line="240" w:lineRule="auto"/>
              <w:rPr>
                <w:rFonts w:ascii="Arial" w:eastAsia="Times New Roman" w:hAnsi="Arial" w:cs="Arial"/>
                <w:lang w:eastAsia="en-GB"/>
              </w:rPr>
            </w:pPr>
          </w:p>
        </w:tc>
        <w:tc>
          <w:tcPr>
            <w:tcW w:w="2008" w:type="dxa"/>
            <w:gridSpan w:val="2"/>
            <w:tcBorders>
              <w:top w:val="nil"/>
              <w:left w:val="nil"/>
              <w:bottom w:val="nil"/>
              <w:right w:val="nil"/>
            </w:tcBorders>
            <w:shd w:val="clear" w:color="auto" w:fill="auto"/>
            <w:noWrap/>
            <w:vAlign w:val="bottom"/>
            <w:hideMark/>
          </w:tcPr>
          <w:p w14:paraId="05ED43A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(-61.35)</w:t>
            </w:r>
          </w:p>
        </w:tc>
        <w:tc>
          <w:tcPr>
            <w:tcW w:w="1669" w:type="dxa"/>
            <w:tcBorders>
              <w:top w:val="nil"/>
              <w:left w:val="nil"/>
              <w:bottom w:val="nil"/>
              <w:right w:val="nil"/>
            </w:tcBorders>
            <w:shd w:val="clear" w:color="auto" w:fill="auto"/>
            <w:noWrap/>
            <w:vAlign w:val="bottom"/>
            <w:hideMark/>
          </w:tcPr>
          <w:p w14:paraId="7A4934E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(10.71)</w:t>
            </w:r>
          </w:p>
        </w:tc>
        <w:tc>
          <w:tcPr>
            <w:tcW w:w="1877" w:type="dxa"/>
            <w:tcBorders>
              <w:top w:val="nil"/>
              <w:left w:val="nil"/>
              <w:bottom w:val="nil"/>
              <w:right w:val="nil"/>
            </w:tcBorders>
            <w:shd w:val="clear" w:color="auto" w:fill="auto"/>
            <w:noWrap/>
            <w:vAlign w:val="bottom"/>
            <w:hideMark/>
          </w:tcPr>
          <w:p w14:paraId="657EAC6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(-51.56)</w:t>
            </w:r>
          </w:p>
        </w:tc>
        <w:tc>
          <w:tcPr>
            <w:tcW w:w="1656" w:type="dxa"/>
            <w:tcBorders>
              <w:top w:val="nil"/>
              <w:left w:val="nil"/>
              <w:bottom w:val="nil"/>
              <w:right w:val="nil"/>
            </w:tcBorders>
            <w:shd w:val="clear" w:color="auto" w:fill="auto"/>
            <w:noWrap/>
            <w:vAlign w:val="bottom"/>
            <w:hideMark/>
          </w:tcPr>
          <w:p w14:paraId="47A9A1D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(10.70)</w:t>
            </w:r>
          </w:p>
        </w:tc>
      </w:tr>
      <w:tr w:rsidR="00FC14A5" w:rsidRPr="005A566B" w14:paraId="36EC5770" w14:textId="77777777" w:rsidTr="00FC14A5">
        <w:trPr>
          <w:trHeight w:val="302"/>
        </w:trPr>
        <w:tc>
          <w:tcPr>
            <w:tcW w:w="2086" w:type="dxa"/>
            <w:tcBorders>
              <w:top w:val="nil"/>
              <w:left w:val="nil"/>
              <w:bottom w:val="nil"/>
              <w:right w:val="nil"/>
            </w:tcBorders>
            <w:shd w:val="clear" w:color="auto" w:fill="auto"/>
            <w:noWrap/>
            <w:vAlign w:val="bottom"/>
          </w:tcPr>
          <w:p w14:paraId="52F8E5CE" w14:textId="77777777" w:rsidR="00FC14A5" w:rsidRPr="005A566B" w:rsidRDefault="00FC14A5" w:rsidP="00FC14A5">
            <w:pPr>
              <w:spacing w:after="0" w:line="240" w:lineRule="auto"/>
              <w:rPr>
                <w:rFonts w:ascii="Arial" w:eastAsia="Times New Roman" w:hAnsi="Arial" w:cs="Arial"/>
                <w:lang w:eastAsia="en-GB"/>
              </w:rPr>
            </w:pPr>
          </w:p>
        </w:tc>
        <w:tc>
          <w:tcPr>
            <w:tcW w:w="2008" w:type="dxa"/>
            <w:gridSpan w:val="2"/>
            <w:tcBorders>
              <w:top w:val="nil"/>
              <w:left w:val="nil"/>
              <w:bottom w:val="nil"/>
              <w:right w:val="nil"/>
            </w:tcBorders>
            <w:shd w:val="clear" w:color="auto" w:fill="auto"/>
            <w:noWrap/>
            <w:vAlign w:val="bottom"/>
          </w:tcPr>
          <w:p w14:paraId="3194FAD6" w14:textId="77777777" w:rsidR="00FC14A5" w:rsidRPr="005A566B" w:rsidRDefault="00FC14A5" w:rsidP="00FC14A5">
            <w:pPr>
              <w:spacing w:after="0" w:line="240" w:lineRule="auto"/>
              <w:jc w:val="center"/>
              <w:rPr>
                <w:rFonts w:ascii="Arial" w:eastAsia="Times New Roman" w:hAnsi="Arial" w:cs="Arial"/>
                <w:lang w:eastAsia="en-GB"/>
              </w:rPr>
            </w:pPr>
          </w:p>
        </w:tc>
        <w:tc>
          <w:tcPr>
            <w:tcW w:w="1669" w:type="dxa"/>
            <w:tcBorders>
              <w:top w:val="nil"/>
              <w:left w:val="nil"/>
              <w:bottom w:val="nil"/>
              <w:right w:val="nil"/>
            </w:tcBorders>
            <w:shd w:val="clear" w:color="auto" w:fill="auto"/>
            <w:noWrap/>
            <w:vAlign w:val="bottom"/>
          </w:tcPr>
          <w:p w14:paraId="3B67A5E8" w14:textId="77777777" w:rsidR="00FC14A5" w:rsidRPr="005A566B" w:rsidRDefault="00FC14A5" w:rsidP="00FC14A5">
            <w:pPr>
              <w:spacing w:after="0" w:line="240" w:lineRule="auto"/>
              <w:jc w:val="center"/>
              <w:rPr>
                <w:rFonts w:ascii="Arial" w:eastAsia="Times New Roman" w:hAnsi="Arial" w:cs="Arial"/>
                <w:lang w:eastAsia="en-GB"/>
              </w:rPr>
            </w:pPr>
          </w:p>
        </w:tc>
        <w:tc>
          <w:tcPr>
            <w:tcW w:w="1877" w:type="dxa"/>
            <w:tcBorders>
              <w:top w:val="nil"/>
              <w:left w:val="nil"/>
              <w:bottom w:val="nil"/>
              <w:right w:val="nil"/>
            </w:tcBorders>
            <w:shd w:val="clear" w:color="auto" w:fill="auto"/>
            <w:noWrap/>
            <w:vAlign w:val="bottom"/>
          </w:tcPr>
          <w:p w14:paraId="125477AC" w14:textId="77777777" w:rsidR="00FC14A5" w:rsidRPr="005A566B" w:rsidRDefault="00FC14A5" w:rsidP="00FC14A5">
            <w:pPr>
              <w:spacing w:after="0" w:line="240" w:lineRule="auto"/>
              <w:jc w:val="center"/>
              <w:rPr>
                <w:rFonts w:ascii="Arial" w:eastAsia="Times New Roman" w:hAnsi="Arial" w:cs="Arial"/>
                <w:lang w:eastAsia="en-GB"/>
              </w:rPr>
            </w:pPr>
          </w:p>
        </w:tc>
        <w:tc>
          <w:tcPr>
            <w:tcW w:w="1656" w:type="dxa"/>
            <w:tcBorders>
              <w:top w:val="nil"/>
              <w:left w:val="nil"/>
              <w:bottom w:val="nil"/>
              <w:right w:val="nil"/>
            </w:tcBorders>
            <w:shd w:val="clear" w:color="auto" w:fill="auto"/>
            <w:noWrap/>
            <w:vAlign w:val="bottom"/>
          </w:tcPr>
          <w:p w14:paraId="4D7FB269"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072CF834" w14:textId="77777777" w:rsidTr="00FC14A5">
        <w:trPr>
          <w:trHeight w:val="302"/>
        </w:trPr>
        <w:tc>
          <w:tcPr>
            <w:tcW w:w="2086" w:type="dxa"/>
            <w:tcBorders>
              <w:top w:val="nil"/>
              <w:left w:val="nil"/>
              <w:right w:val="nil"/>
            </w:tcBorders>
            <w:shd w:val="clear" w:color="auto" w:fill="auto"/>
            <w:noWrap/>
            <w:vAlign w:val="center"/>
          </w:tcPr>
          <w:p w14:paraId="23E32FB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INDUSTRY</w:t>
            </w:r>
          </w:p>
        </w:tc>
        <w:tc>
          <w:tcPr>
            <w:tcW w:w="2008" w:type="dxa"/>
            <w:gridSpan w:val="2"/>
            <w:tcBorders>
              <w:top w:val="nil"/>
              <w:left w:val="nil"/>
              <w:right w:val="nil"/>
            </w:tcBorders>
            <w:shd w:val="clear" w:color="auto" w:fill="auto"/>
            <w:noWrap/>
            <w:vAlign w:val="bottom"/>
          </w:tcPr>
          <w:p w14:paraId="5DAB4D8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69" w:type="dxa"/>
            <w:tcBorders>
              <w:top w:val="nil"/>
              <w:left w:val="nil"/>
              <w:right w:val="nil"/>
            </w:tcBorders>
            <w:shd w:val="clear" w:color="auto" w:fill="auto"/>
            <w:noWrap/>
            <w:vAlign w:val="bottom"/>
          </w:tcPr>
          <w:p w14:paraId="0FC96AF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877" w:type="dxa"/>
            <w:tcBorders>
              <w:top w:val="nil"/>
              <w:left w:val="nil"/>
              <w:right w:val="nil"/>
            </w:tcBorders>
            <w:shd w:val="clear" w:color="auto" w:fill="auto"/>
            <w:noWrap/>
            <w:vAlign w:val="bottom"/>
          </w:tcPr>
          <w:p w14:paraId="3D1A41E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56" w:type="dxa"/>
            <w:tcBorders>
              <w:top w:val="nil"/>
              <w:left w:val="nil"/>
              <w:right w:val="nil"/>
            </w:tcBorders>
            <w:shd w:val="clear" w:color="auto" w:fill="auto"/>
            <w:noWrap/>
            <w:vAlign w:val="bottom"/>
          </w:tcPr>
          <w:p w14:paraId="33600F0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0F3BE0" w:rsidRPr="005A566B" w14:paraId="2BAE9A3A" w14:textId="77777777" w:rsidTr="00FC14A5">
        <w:trPr>
          <w:trHeight w:val="302"/>
        </w:trPr>
        <w:tc>
          <w:tcPr>
            <w:tcW w:w="2086" w:type="dxa"/>
            <w:tcBorders>
              <w:top w:val="nil"/>
              <w:left w:val="nil"/>
              <w:right w:val="nil"/>
            </w:tcBorders>
            <w:shd w:val="clear" w:color="auto" w:fill="auto"/>
            <w:noWrap/>
            <w:vAlign w:val="center"/>
          </w:tcPr>
          <w:p w14:paraId="633A9E02" w14:textId="77777777" w:rsidR="000F3BE0" w:rsidRPr="005A566B" w:rsidRDefault="000F3BE0"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OBSERVATIONS</w:t>
            </w:r>
          </w:p>
        </w:tc>
        <w:tc>
          <w:tcPr>
            <w:tcW w:w="2008" w:type="dxa"/>
            <w:gridSpan w:val="2"/>
            <w:tcBorders>
              <w:top w:val="nil"/>
              <w:left w:val="nil"/>
              <w:right w:val="nil"/>
            </w:tcBorders>
            <w:shd w:val="clear" w:color="auto" w:fill="auto"/>
            <w:noWrap/>
            <w:vAlign w:val="bottom"/>
          </w:tcPr>
          <w:p w14:paraId="5ACC98A1" w14:textId="01684309"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669" w:type="dxa"/>
            <w:tcBorders>
              <w:top w:val="nil"/>
              <w:left w:val="nil"/>
              <w:right w:val="nil"/>
            </w:tcBorders>
            <w:shd w:val="clear" w:color="auto" w:fill="auto"/>
            <w:noWrap/>
            <w:vAlign w:val="bottom"/>
          </w:tcPr>
          <w:p w14:paraId="76083386" w14:textId="17E070C9"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877" w:type="dxa"/>
            <w:tcBorders>
              <w:top w:val="nil"/>
              <w:left w:val="nil"/>
              <w:right w:val="nil"/>
            </w:tcBorders>
            <w:shd w:val="clear" w:color="auto" w:fill="auto"/>
            <w:noWrap/>
            <w:vAlign w:val="bottom"/>
          </w:tcPr>
          <w:p w14:paraId="33AD901F" w14:textId="1853918F"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656" w:type="dxa"/>
            <w:tcBorders>
              <w:top w:val="nil"/>
              <w:left w:val="nil"/>
              <w:right w:val="nil"/>
            </w:tcBorders>
            <w:shd w:val="clear" w:color="auto" w:fill="auto"/>
            <w:noWrap/>
            <w:vAlign w:val="bottom"/>
          </w:tcPr>
          <w:p w14:paraId="247EB33B" w14:textId="5903E550"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r>
      <w:tr w:rsidR="00FC14A5" w:rsidRPr="005A566B" w14:paraId="1E78E939" w14:textId="77777777" w:rsidTr="00FC14A5">
        <w:trPr>
          <w:trHeight w:val="302"/>
        </w:trPr>
        <w:tc>
          <w:tcPr>
            <w:tcW w:w="2086" w:type="dxa"/>
            <w:tcBorders>
              <w:top w:val="nil"/>
              <w:left w:val="nil"/>
              <w:right w:val="nil"/>
            </w:tcBorders>
            <w:shd w:val="clear" w:color="auto" w:fill="auto"/>
            <w:noWrap/>
            <w:vAlign w:val="center"/>
          </w:tcPr>
          <w:p w14:paraId="645F7AF6"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YEAR</w:t>
            </w:r>
          </w:p>
        </w:tc>
        <w:tc>
          <w:tcPr>
            <w:tcW w:w="2008" w:type="dxa"/>
            <w:gridSpan w:val="2"/>
            <w:tcBorders>
              <w:top w:val="nil"/>
              <w:left w:val="nil"/>
              <w:right w:val="nil"/>
            </w:tcBorders>
            <w:shd w:val="clear" w:color="auto" w:fill="auto"/>
            <w:noWrap/>
            <w:vAlign w:val="bottom"/>
          </w:tcPr>
          <w:p w14:paraId="3DFD0BA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69" w:type="dxa"/>
            <w:tcBorders>
              <w:top w:val="nil"/>
              <w:left w:val="nil"/>
              <w:right w:val="nil"/>
            </w:tcBorders>
            <w:shd w:val="clear" w:color="auto" w:fill="auto"/>
            <w:noWrap/>
            <w:vAlign w:val="bottom"/>
          </w:tcPr>
          <w:p w14:paraId="2FB5E3A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877" w:type="dxa"/>
            <w:tcBorders>
              <w:top w:val="nil"/>
              <w:left w:val="nil"/>
              <w:right w:val="nil"/>
            </w:tcBorders>
            <w:shd w:val="clear" w:color="auto" w:fill="auto"/>
            <w:noWrap/>
            <w:vAlign w:val="bottom"/>
          </w:tcPr>
          <w:p w14:paraId="6FEB8EE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56" w:type="dxa"/>
            <w:tcBorders>
              <w:top w:val="nil"/>
              <w:left w:val="nil"/>
              <w:right w:val="nil"/>
            </w:tcBorders>
            <w:shd w:val="clear" w:color="auto" w:fill="auto"/>
            <w:noWrap/>
            <w:vAlign w:val="bottom"/>
          </w:tcPr>
          <w:p w14:paraId="3AD5285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FC14A5" w:rsidRPr="005A566B" w14:paraId="5C5499EE" w14:textId="77777777" w:rsidTr="00FC14A5">
        <w:trPr>
          <w:trHeight w:val="302"/>
        </w:trPr>
        <w:tc>
          <w:tcPr>
            <w:tcW w:w="2086" w:type="dxa"/>
            <w:tcBorders>
              <w:top w:val="nil"/>
              <w:left w:val="nil"/>
              <w:bottom w:val="nil"/>
              <w:right w:val="nil"/>
            </w:tcBorders>
            <w:shd w:val="clear" w:color="auto" w:fill="auto"/>
            <w:noWrap/>
            <w:vAlign w:val="bottom"/>
          </w:tcPr>
          <w:p w14:paraId="1F97E6DB"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HANSEN TEST (p)</w:t>
            </w:r>
          </w:p>
        </w:tc>
        <w:tc>
          <w:tcPr>
            <w:tcW w:w="2008" w:type="dxa"/>
            <w:gridSpan w:val="2"/>
            <w:tcBorders>
              <w:top w:val="nil"/>
              <w:left w:val="nil"/>
              <w:bottom w:val="nil"/>
              <w:right w:val="nil"/>
            </w:tcBorders>
            <w:shd w:val="clear" w:color="auto" w:fill="auto"/>
            <w:noWrap/>
            <w:vAlign w:val="bottom"/>
          </w:tcPr>
          <w:p w14:paraId="21802D6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0.143</w:t>
            </w:r>
          </w:p>
        </w:tc>
        <w:tc>
          <w:tcPr>
            <w:tcW w:w="1669" w:type="dxa"/>
            <w:tcBorders>
              <w:top w:val="nil"/>
              <w:left w:val="nil"/>
              <w:bottom w:val="nil"/>
              <w:right w:val="nil"/>
            </w:tcBorders>
            <w:shd w:val="clear" w:color="auto" w:fill="auto"/>
            <w:noWrap/>
            <w:vAlign w:val="bottom"/>
          </w:tcPr>
          <w:p w14:paraId="4D5AE46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0.213</w:t>
            </w:r>
          </w:p>
        </w:tc>
        <w:tc>
          <w:tcPr>
            <w:tcW w:w="1877" w:type="dxa"/>
            <w:tcBorders>
              <w:top w:val="nil"/>
              <w:left w:val="nil"/>
              <w:bottom w:val="nil"/>
              <w:right w:val="nil"/>
            </w:tcBorders>
            <w:shd w:val="clear" w:color="auto" w:fill="auto"/>
            <w:noWrap/>
            <w:vAlign w:val="bottom"/>
          </w:tcPr>
          <w:p w14:paraId="32F9BD7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0.304</w:t>
            </w:r>
          </w:p>
        </w:tc>
        <w:tc>
          <w:tcPr>
            <w:tcW w:w="1656" w:type="dxa"/>
            <w:tcBorders>
              <w:top w:val="nil"/>
              <w:left w:val="nil"/>
              <w:bottom w:val="nil"/>
              <w:right w:val="nil"/>
            </w:tcBorders>
            <w:shd w:val="clear" w:color="auto" w:fill="auto"/>
            <w:noWrap/>
            <w:vAlign w:val="bottom"/>
          </w:tcPr>
          <w:p w14:paraId="31E5EA2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0.146</w:t>
            </w:r>
          </w:p>
        </w:tc>
      </w:tr>
      <w:tr w:rsidR="00FC14A5" w:rsidRPr="005A566B" w14:paraId="4F2F06B0" w14:textId="77777777" w:rsidTr="00FC14A5">
        <w:trPr>
          <w:trHeight w:val="302"/>
        </w:trPr>
        <w:tc>
          <w:tcPr>
            <w:tcW w:w="2086" w:type="dxa"/>
            <w:tcBorders>
              <w:top w:val="nil"/>
              <w:left w:val="nil"/>
              <w:right w:val="nil"/>
            </w:tcBorders>
            <w:shd w:val="clear" w:color="auto" w:fill="auto"/>
            <w:noWrap/>
            <w:vAlign w:val="bottom"/>
            <w:hideMark/>
          </w:tcPr>
          <w:p w14:paraId="34A22F68"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AR1 (p)</w:t>
            </w:r>
          </w:p>
        </w:tc>
        <w:tc>
          <w:tcPr>
            <w:tcW w:w="2008" w:type="dxa"/>
            <w:gridSpan w:val="2"/>
            <w:tcBorders>
              <w:top w:val="nil"/>
              <w:left w:val="nil"/>
              <w:right w:val="nil"/>
            </w:tcBorders>
            <w:shd w:val="clear" w:color="auto" w:fill="auto"/>
            <w:noWrap/>
            <w:vAlign w:val="bottom"/>
            <w:hideMark/>
          </w:tcPr>
          <w:p w14:paraId="4D016A7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669" w:type="dxa"/>
            <w:tcBorders>
              <w:top w:val="nil"/>
              <w:left w:val="nil"/>
              <w:right w:val="nil"/>
            </w:tcBorders>
            <w:shd w:val="clear" w:color="auto" w:fill="auto"/>
            <w:noWrap/>
            <w:vAlign w:val="bottom"/>
            <w:hideMark/>
          </w:tcPr>
          <w:p w14:paraId="4A5F491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0.006</w:t>
            </w:r>
          </w:p>
        </w:tc>
        <w:tc>
          <w:tcPr>
            <w:tcW w:w="1877" w:type="dxa"/>
            <w:tcBorders>
              <w:top w:val="nil"/>
              <w:left w:val="nil"/>
              <w:right w:val="nil"/>
            </w:tcBorders>
            <w:shd w:val="clear" w:color="auto" w:fill="auto"/>
            <w:noWrap/>
            <w:vAlign w:val="bottom"/>
            <w:hideMark/>
          </w:tcPr>
          <w:p w14:paraId="44834DE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656" w:type="dxa"/>
            <w:tcBorders>
              <w:top w:val="nil"/>
              <w:left w:val="nil"/>
              <w:right w:val="nil"/>
            </w:tcBorders>
            <w:shd w:val="clear" w:color="auto" w:fill="auto"/>
            <w:noWrap/>
            <w:vAlign w:val="bottom"/>
            <w:hideMark/>
          </w:tcPr>
          <w:p w14:paraId="7C511F6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r>
      <w:tr w:rsidR="00FC14A5" w:rsidRPr="005A566B" w14:paraId="127CD9BA" w14:textId="77777777" w:rsidTr="00FC14A5">
        <w:trPr>
          <w:trHeight w:val="302"/>
        </w:trPr>
        <w:tc>
          <w:tcPr>
            <w:tcW w:w="2086" w:type="dxa"/>
            <w:tcBorders>
              <w:top w:val="nil"/>
              <w:left w:val="nil"/>
              <w:bottom w:val="single" w:sz="4" w:space="0" w:color="auto"/>
              <w:right w:val="nil"/>
            </w:tcBorders>
            <w:shd w:val="clear" w:color="auto" w:fill="auto"/>
            <w:noWrap/>
            <w:vAlign w:val="bottom"/>
            <w:hideMark/>
          </w:tcPr>
          <w:p w14:paraId="5A207E67"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AR2 (p)</w:t>
            </w:r>
          </w:p>
        </w:tc>
        <w:tc>
          <w:tcPr>
            <w:tcW w:w="2008" w:type="dxa"/>
            <w:gridSpan w:val="2"/>
            <w:tcBorders>
              <w:top w:val="nil"/>
              <w:left w:val="nil"/>
              <w:bottom w:val="single" w:sz="4" w:space="0" w:color="auto"/>
              <w:right w:val="nil"/>
            </w:tcBorders>
            <w:shd w:val="clear" w:color="auto" w:fill="auto"/>
            <w:noWrap/>
            <w:vAlign w:val="bottom"/>
            <w:hideMark/>
          </w:tcPr>
          <w:p w14:paraId="2B9E27E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0.314</w:t>
            </w:r>
          </w:p>
        </w:tc>
        <w:tc>
          <w:tcPr>
            <w:tcW w:w="1669" w:type="dxa"/>
            <w:tcBorders>
              <w:top w:val="nil"/>
              <w:left w:val="nil"/>
              <w:bottom w:val="single" w:sz="4" w:space="0" w:color="auto"/>
              <w:right w:val="nil"/>
            </w:tcBorders>
            <w:shd w:val="clear" w:color="auto" w:fill="auto"/>
            <w:noWrap/>
            <w:vAlign w:val="bottom"/>
            <w:hideMark/>
          </w:tcPr>
          <w:p w14:paraId="6D6DDE1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0.102</w:t>
            </w:r>
          </w:p>
        </w:tc>
        <w:tc>
          <w:tcPr>
            <w:tcW w:w="1877" w:type="dxa"/>
            <w:tcBorders>
              <w:top w:val="nil"/>
              <w:left w:val="nil"/>
              <w:bottom w:val="single" w:sz="4" w:space="0" w:color="auto"/>
              <w:right w:val="nil"/>
            </w:tcBorders>
            <w:shd w:val="clear" w:color="auto" w:fill="auto"/>
            <w:noWrap/>
            <w:vAlign w:val="bottom"/>
            <w:hideMark/>
          </w:tcPr>
          <w:p w14:paraId="2AEE57B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0.379</w:t>
            </w:r>
          </w:p>
        </w:tc>
        <w:tc>
          <w:tcPr>
            <w:tcW w:w="1656" w:type="dxa"/>
            <w:tcBorders>
              <w:top w:val="nil"/>
              <w:left w:val="nil"/>
              <w:bottom w:val="single" w:sz="4" w:space="0" w:color="auto"/>
              <w:right w:val="nil"/>
            </w:tcBorders>
            <w:shd w:val="clear" w:color="auto" w:fill="auto"/>
            <w:noWrap/>
            <w:vAlign w:val="bottom"/>
            <w:hideMark/>
          </w:tcPr>
          <w:p w14:paraId="14A82AC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0.142</w:t>
            </w:r>
          </w:p>
        </w:tc>
      </w:tr>
    </w:tbl>
    <w:p w14:paraId="5AB95D1B" w14:textId="77777777" w:rsidR="00FC14A5" w:rsidRPr="005A566B" w:rsidRDefault="00FC14A5" w:rsidP="00FC14A5">
      <w:pPr>
        <w:spacing w:after="200" w:line="276" w:lineRule="auto"/>
        <w:rPr>
          <w:rFonts w:ascii="Arial" w:eastAsia="Calibri" w:hAnsi="Arial" w:cs="Arial"/>
        </w:rPr>
      </w:pPr>
    </w:p>
    <w:p w14:paraId="1435B8EA" w14:textId="77777777" w:rsidR="00FC14A5" w:rsidRPr="005A566B" w:rsidRDefault="00FC14A5" w:rsidP="00FC14A5">
      <w:pPr>
        <w:spacing w:after="200" w:line="276" w:lineRule="auto"/>
        <w:rPr>
          <w:rFonts w:ascii="Arial" w:eastAsia="Calibri" w:hAnsi="Arial" w:cs="Arial"/>
        </w:rPr>
      </w:pPr>
    </w:p>
    <w:p w14:paraId="6C03B642" w14:textId="64596D7C" w:rsidR="00FC14A5" w:rsidRPr="005A566B" w:rsidRDefault="00FC14A5" w:rsidP="00FC14A5">
      <w:pPr>
        <w:pBdr>
          <w:bottom w:val="single" w:sz="4" w:space="1" w:color="auto"/>
        </w:pBdr>
        <w:spacing w:after="200" w:line="276" w:lineRule="auto"/>
        <w:rPr>
          <w:rFonts w:ascii="Arial" w:eastAsia="Calibri" w:hAnsi="Arial" w:cs="Arial"/>
          <w:bCs/>
          <w:iCs/>
        </w:rPr>
      </w:pPr>
      <w:bookmarkStart w:id="303" w:name="OLE_LINK55"/>
      <w:bookmarkStart w:id="304" w:name="OLE_LINK56"/>
      <w:r w:rsidRPr="005A566B">
        <w:rPr>
          <w:rFonts w:ascii="Arial" w:eastAsia="Calibri" w:hAnsi="Arial" w:cs="Arial"/>
          <w:b/>
          <w:bCs/>
          <w:iCs/>
        </w:rPr>
        <w:t xml:space="preserve">Table 8: </w:t>
      </w:r>
      <w:r w:rsidRPr="005A566B">
        <w:rPr>
          <w:rFonts w:ascii="Arial" w:eastAsia="Calibri" w:hAnsi="Arial" w:cs="Arial"/>
          <w:bCs/>
          <w:iCs/>
        </w:rPr>
        <w:t>Working Capi</w:t>
      </w:r>
      <w:r w:rsidR="00C304B7" w:rsidRPr="005A566B">
        <w:rPr>
          <w:rFonts w:ascii="Arial" w:eastAsia="Calibri" w:hAnsi="Arial" w:cs="Arial"/>
          <w:bCs/>
          <w:iCs/>
        </w:rPr>
        <w:t xml:space="preserve">tal Management, </w:t>
      </w:r>
      <w:r w:rsidR="009872E6" w:rsidRPr="005A566B">
        <w:rPr>
          <w:rFonts w:ascii="Arial" w:eastAsia="Calibri" w:hAnsi="Arial" w:cs="Arial"/>
          <w:bCs/>
          <w:iCs/>
          <w:lang w:val="en-US"/>
        </w:rPr>
        <w:t xml:space="preserve">management capability </w:t>
      </w:r>
      <w:r w:rsidRPr="005A566B">
        <w:rPr>
          <w:rFonts w:ascii="Arial" w:eastAsia="Calibri" w:hAnsi="Arial" w:cs="Arial"/>
          <w:bCs/>
          <w:iCs/>
        </w:rPr>
        <w:t xml:space="preserve">and Firm </w:t>
      </w:r>
      <w:r w:rsidR="00383CA7" w:rsidRPr="005A566B">
        <w:rPr>
          <w:rFonts w:ascii="Arial" w:eastAsia="Calibri" w:hAnsi="Arial" w:cs="Arial"/>
          <w:bCs/>
          <w:iCs/>
        </w:rPr>
        <w:t xml:space="preserve">Financial </w:t>
      </w:r>
      <w:r w:rsidRPr="005A566B">
        <w:rPr>
          <w:rFonts w:ascii="Arial" w:eastAsia="Calibri" w:hAnsi="Arial" w:cs="Arial"/>
          <w:bCs/>
          <w:iCs/>
        </w:rPr>
        <w:t xml:space="preserve">Performance </w:t>
      </w:r>
    </w:p>
    <w:p w14:paraId="6573E63B" w14:textId="41341BE0" w:rsidR="00FC14A5" w:rsidRPr="005A566B" w:rsidRDefault="00FC14A5" w:rsidP="00FC14A5">
      <w:pPr>
        <w:spacing w:after="200" w:line="276" w:lineRule="auto"/>
        <w:jc w:val="both"/>
        <w:rPr>
          <w:rFonts w:ascii="Arial" w:eastAsia="Calibri" w:hAnsi="Arial" w:cs="Arial"/>
        </w:rPr>
      </w:pPr>
      <w:bookmarkStart w:id="305" w:name="OLE_LINK39"/>
      <w:bookmarkEnd w:id="303"/>
      <w:bookmarkEnd w:id="304"/>
      <w:r w:rsidRPr="005A566B">
        <w:rPr>
          <w:rFonts w:ascii="Arial" w:eastAsia="Calibri" w:hAnsi="Arial" w:cs="Arial"/>
          <w:sz w:val="20"/>
          <w:szCs w:val="20"/>
        </w:rPr>
        <w:t xml:space="preserve">This table reports a </w:t>
      </w:r>
      <w:r w:rsidRPr="005A566B">
        <w:rPr>
          <w:rFonts w:ascii="Arial" w:eastAsia="Calibri" w:hAnsi="Arial" w:cs="Arial"/>
          <w:sz w:val="13"/>
          <w:szCs w:val="13"/>
        </w:rPr>
        <w:t xml:space="preserve"> </w:t>
      </w:r>
      <w:r w:rsidRPr="005A566B">
        <w:rPr>
          <w:rFonts w:ascii="Arial" w:eastAsia="Calibri" w:hAnsi="Arial" w:cs="Arial"/>
          <w:sz w:val="20"/>
          <w:szCs w:val="20"/>
        </w:rPr>
        <w:t>generalized method of moments (GMM) first-difference estimation on the relationship between WCM</w:t>
      </w:r>
      <w:r w:rsidRPr="005A566B">
        <w:rPr>
          <w:rFonts w:ascii="Arial" w:eastAsia="Calibri" w:hAnsi="Arial" w:cs="Arial"/>
          <w:bCs/>
          <w:iCs/>
          <w:sz w:val="20"/>
          <w:szCs w:val="20"/>
        </w:rPr>
        <w:t xml:space="preserve"> and firm </w:t>
      </w:r>
      <w:r w:rsidR="00383CA7" w:rsidRPr="005A566B">
        <w:rPr>
          <w:rFonts w:ascii="Arial" w:eastAsia="Calibri" w:hAnsi="Arial" w:cs="Arial"/>
          <w:bCs/>
          <w:iCs/>
          <w:sz w:val="20"/>
          <w:szCs w:val="20"/>
        </w:rPr>
        <w:t xml:space="preserve"> financial performance</w:t>
      </w:r>
      <w:r w:rsidRPr="005A566B">
        <w:rPr>
          <w:rFonts w:ascii="Arial" w:eastAsia="Calibri" w:hAnsi="Arial" w:cs="Arial"/>
          <w:sz w:val="20"/>
          <w:szCs w:val="20"/>
        </w:rPr>
        <w:t xml:space="preserve"> </w:t>
      </w:r>
      <w:r w:rsidRPr="005A566B">
        <w:rPr>
          <w:rFonts w:ascii="Arial" w:eastAsia="Times New Roman" w:hAnsi="Arial" w:cs="Arial"/>
          <w:noProof/>
          <w:sz w:val="20"/>
          <w:szCs w:val="20"/>
        </w:rPr>
        <w:t xml:space="preserve">for across </w:t>
      </w:r>
      <w:r w:rsidR="00A91615" w:rsidRPr="005A566B">
        <w:rPr>
          <w:rFonts w:ascii="Arial" w:eastAsia="Times New Roman" w:hAnsi="Arial" w:cs="Arial"/>
          <w:noProof/>
          <w:sz w:val="20"/>
          <w:szCs w:val="20"/>
        </w:rPr>
        <w:t>802</w:t>
      </w:r>
      <w:r w:rsidRPr="005A566B">
        <w:rPr>
          <w:rFonts w:ascii="Arial" w:eastAsia="Times New Roman" w:hAnsi="Arial" w:cs="Arial"/>
          <w:noProof/>
          <w:sz w:val="20"/>
          <w:szCs w:val="20"/>
        </w:rPr>
        <w:t xml:space="preserve"> UK </w:t>
      </w:r>
      <w:r w:rsidR="00D86DF0" w:rsidRPr="005A566B">
        <w:rPr>
          <w:rFonts w:ascii="Arial" w:eastAsia="Times New Roman" w:hAnsi="Arial" w:cs="Arial"/>
          <w:noProof/>
          <w:sz w:val="20"/>
          <w:szCs w:val="20"/>
        </w:rPr>
        <w:t>quoted</w:t>
      </w:r>
      <w:r w:rsidRPr="005A566B">
        <w:rPr>
          <w:rFonts w:ascii="Arial" w:eastAsia="Times New Roman" w:hAnsi="Arial" w:cs="Arial"/>
          <w:noProof/>
          <w:sz w:val="20"/>
          <w:szCs w:val="20"/>
        </w:rPr>
        <w:t xml:space="preserve"> firms over the period </w:t>
      </w:r>
      <w:r w:rsidR="00383CA7" w:rsidRPr="005A566B">
        <w:rPr>
          <w:rFonts w:ascii="Arial" w:eastAsia="Times New Roman" w:hAnsi="Arial" w:cs="Arial"/>
          <w:noProof/>
          <w:sz w:val="20"/>
          <w:szCs w:val="20"/>
        </w:rPr>
        <w:t>2004-2014</w:t>
      </w:r>
      <w:r w:rsidRPr="005A566B">
        <w:rPr>
          <w:rFonts w:ascii="Arial" w:eastAsia="Calibri" w:hAnsi="Arial" w:cs="Arial"/>
          <w:sz w:val="20"/>
          <w:szCs w:val="20"/>
        </w:rPr>
        <w:t xml:space="preserve">, with </w:t>
      </w:r>
      <w:r w:rsidRPr="005A566B">
        <w:rPr>
          <w:rFonts w:ascii="Arial" w:eastAsia="Calibri" w:hAnsi="Arial" w:cs="Arial"/>
          <w:i/>
          <w:sz w:val="20"/>
          <w:szCs w:val="20"/>
        </w:rPr>
        <w:t>t</w:t>
      </w:r>
      <w:r w:rsidRPr="005A566B">
        <w:rPr>
          <w:rFonts w:ascii="Arial" w:eastAsia="Calibri" w:hAnsi="Arial" w:cs="Arial"/>
          <w:sz w:val="20"/>
          <w:szCs w:val="20"/>
        </w:rPr>
        <w:t xml:space="preserve">−statistics (reported in parentheses). The dependent variable is the return on assets and Tobin’s Q. All variables are defined in Table 1. </w:t>
      </w:r>
      <w:r w:rsidRPr="005A566B">
        <w:rPr>
          <w:rFonts w:ascii="Arial" w:eastAsia="Times New Roman" w:hAnsi="Arial" w:cs="Arial"/>
          <w:bCs/>
          <w:iCs/>
          <w:sz w:val="20"/>
          <w:szCs w:val="20"/>
          <w:lang w:eastAsia="en-GB"/>
        </w:rPr>
        <w:t>AR1 (AR2) is a test for first- (second-) order serial correlation in the first-differenced residuals, asymptotically distributed as N(0, 1) under the null of no serial. Hansen test is a test of over-identifying restrictions distributed asymptotically under null hypothesis of validity of instruments as Chi-squared.</w:t>
      </w:r>
      <w:r w:rsidRPr="005A566B">
        <w:rPr>
          <w:rFonts w:ascii="Arial" w:eastAsia="Calibri" w:hAnsi="Arial" w:cs="Arial"/>
        </w:rPr>
        <w:t xml:space="preserve"> </w:t>
      </w:r>
      <w:r w:rsidRPr="005A566B">
        <w:rPr>
          <w:rFonts w:ascii="Arial" w:eastAsia="Times New Roman" w:hAnsi="Arial" w:cs="Arial"/>
          <w:bCs/>
          <w:iCs/>
          <w:sz w:val="20"/>
          <w:szCs w:val="20"/>
          <w:lang w:eastAsia="en-GB"/>
        </w:rPr>
        <w:t xml:space="preserve">The degrees of freedom are given in parenthesis. Instruments </w:t>
      </w:r>
      <w:r w:rsidRPr="005A566B">
        <w:rPr>
          <w:rFonts w:ascii="Arial" w:eastAsia="Times New Roman" w:hAnsi="Arial" w:cs="Arial"/>
          <w:bCs/>
          <w:iCs/>
          <w:sz w:val="20"/>
          <w:szCs w:val="20"/>
          <w:lang w:eastAsia="en-GB"/>
        </w:rPr>
        <w:lastRenderedPageBreak/>
        <w:t>include AGE</w:t>
      </w:r>
      <w:r w:rsidRPr="005A566B">
        <w:rPr>
          <w:rFonts w:ascii="Arial" w:eastAsia="Times New Roman" w:hAnsi="Arial" w:cs="Arial"/>
          <w:bCs/>
          <w:iCs/>
          <w:sz w:val="12"/>
          <w:szCs w:val="20"/>
          <w:lang w:eastAsia="en-GB"/>
        </w:rPr>
        <w:t>i,t-2</w:t>
      </w:r>
      <w:r w:rsidRPr="005A566B">
        <w:rPr>
          <w:rFonts w:ascii="Arial" w:eastAsia="Times New Roman" w:hAnsi="Arial" w:cs="Arial"/>
          <w:bCs/>
          <w:iCs/>
          <w:sz w:val="20"/>
          <w:szCs w:val="20"/>
          <w:lang w:eastAsia="en-GB"/>
        </w:rPr>
        <w:t>; CR</w:t>
      </w:r>
      <w:r w:rsidRPr="005A566B">
        <w:rPr>
          <w:rFonts w:ascii="Arial" w:eastAsia="Times New Roman" w:hAnsi="Arial" w:cs="Arial"/>
          <w:bCs/>
          <w:iCs/>
          <w:sz w:val="12"/>
          <w:szCs w:val="20"/>
          <w:lang w:eastAsia="en-GB"/>
        </w:rPr>
        <w:t xml:space="preserve">i,t-2 </w:t>
      </w:r>
      <w:r w:rsidRPr="005A566B">
        <w:rPr>
          <w:rFonts w:ascii="Arial" w:eastAsia="Times New Roman" w:hAnsi="Arial" w:cs="Arial"/>
          <w:bCs/>
          <w:iCs/>
          <w:sz w:val="20"/>
          <w:szCs w:val="20"/>
          <w:lang w:eastAsia="en-GB"/>
        </w:rPr>
        <w:t>FLEV</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GROWTH</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and further lags. Year dummies and time dummies interacted with industry dummies were always included as regressors and as instruments.</w:t>
      </w:r>
      <w:r w:rsidRPr="005A566B">
        <w:rPr>
          <w:rFonts w:ascii="Arial" w:eastAsia="Calibri" w:hAnsi="Arial" w:cs="Arial"/>
          <w:sz w:val="20"/>
          <w:szCs w:val="20"/>
        </w:rPr>
        <w:t xml:space="preserve">  ***, ** and * represent coefficients significant at the 1%, 5% and 10% levels correspondingly (two−tailed tests).</w:t>
      </w:r>
    </w:p>
    <w:bookmarkEnd w:id="305"/>
    <w:tbl>
      <w:tblPr>
        <w:tblW w:w="9631" w:type="dxa"/>
        <w:tblInd w:w="93" w:type="dxa"/>
        <w:tblLook w:val="04A0" w:firstRow="1" w:lastRow="0" w:firstColumn="1" w:lastColumn="0" w:noHBand="0" w:noVBand="1"/>
      </w:tblPr>
      <w:tblGrid>
        <w:gridCol w:w="1952"/>
        <w:gridCol w:w="1886"/>
        <w:gridCol w:w="2021"/>
        <w:gridCol w:w="1886"/>
        <w:gridCol w:w="1886"/>
      </w:tblGrid>
      <w:tr w:rsidR="00FC14A5" w:rsidRPr="005A566B" w14:paraId="49AC74B3" w14:textId="77777777" w:rsidTr="00066783">
        <w:trPr>
          <w:trHeight w:val="266"/>
        </w:trPr>
        <w:tc>
          <w:tcPr>
            <w:tcW w:w="1952" w:type="dxa"/>
            <w:tcBorders>
              <w:top w:val="single" w:sz="4" w:space="0" w:color="auto"/>
              <w:left w:val="nil"/>
              <w:bottom w:val="single" w:sz="4" w:space="0" w:color="auto"/>
              <w:right w:val="nil"/>
            </w:tcBorders>
            <w:shd w:val="clear" w:color="auto" w:fill="auto"/>
            <w:noWrap/>
            <w:vAlign w:val="bottom"/>
            <w:hideMark/>
          </w:tcPr>
          <w:p w14:paraId="2A5440C6"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single" w:sz="4" w:space="0" w:color="auto"/>
              <w:left w:val="nil"/>
              <w:bottom w:val="single" w:sz="4" w:space="0" w:color="auto"/>
              <w:right w:val="nil"/>
            </w:tcBorders>
            <w:shd w:val="clear" w:color="auto" w:fill="auto"/>
            <w:noWrap/>
            <w:vAlign w:val="bottom"/>
            <w:hideMark/>
          </w:tcPr>
          <w:p w14:paraId="7D45AF8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w:t>
            </w:r>
          </w:p>
        </w:tc>
        <w:tc>
          <w:tcPr>
            <w:tcW w:w="2021" w:type="dxa"/>
            <w:tcBorders>
              <w:top w:val="single" w:sz="4" w:space="0" w:color="auto"/>
              <w:left w:val="nil"/>
              <w:bottom w:val="single" w:sz="4" w:space="0" w:color="auto"/>
              <w:right w:val="nil"/>
            </w:tcBorders>
            <w:shd w:val="clear" w:color="auto" w:fill="auto"/>
            <w:noWrap/>
            <w:vAlign w:val="bottom"/>
            <w:hideMark/>
          </w:tcPr>
          <w:p w14:paraId="756B2EA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w:t>
            </w:r>
          </w:p>
        </w:tc>
        <w:tc>
          <w:tcPr>
            <w:tcW w:w="1886" w:type="dxa"/>
            <w:tcBorders>
              <w:top w:val="single" w:sz="4" w:space="0" w:color="auto"/>
              <w:left w:val="nil"/>
              <w:bottom w:val="single" w:sz="4" w:space="0" w:color="auto"/>
              <w:right w:val="nil"/>
            </w:tcBorders>
            <w:shd w:val="clear" w:color="auto" w:fill="auto"/>
            <w:noWrap/>
            <w:vAlign w:val="bottom"/>
            <w:hideMark/>
          </w:tcPr>
          <w:p w14:paraId="2BE96C1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w:t>
            </w:r>
          </w:p>
        </w:tc>
        <w:tc>
          <w:tcPr>
            <w:tcW w:w="1886" w:type="dxa"/>
            <w:tcBorders>
              <w:top w:val="single" w:sz="4" w:space="0" w:color="auto"/>
              <w:left w:val="nil"/>
              <w:bottom w:val="single" w:sz="4" w:space="0" w:color="auto"/>
              <w:right w:val="nil"/>
            </w:tcBorders>
            <w:shd w:val="clear" w:color="auto" w:fill="auto"/>
            <w:noWrap/>
            <w:vAlign w:val="bottom"/>
            <w:hideMark/>
          </w:tcPr>
          <w:p w14:paraId="34E4D42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w:t>
            </w:r>
          </w:p>
        </w:tc>
      </w:tr>
      <w:tr w:rsidR="00FC14A5" w:rsidRPr="005A566B" w14:paraId="286657F1" w14:textId="77777777" w:rsidTr="00066783">
        <w:trPr>
          <w:trHeight w:val="266"/>
        </w:trPr>
        <w:tc>
          <w:tcPr>
            <w:tcW w:w="1952" w:type="dxa"/>
            <w:tcBorders>
              <w:top w:val="single" w:sz="4" w:space="0" w:color="auto"/>
              <w:left w:val="nil"/>
              <w:bottom w:val="single" w:sz="4" w:space="0" w:color="auto"/>
              <w:right w:val="nil"/>
            </w:tcBorders>
            <w:shd w:val="clear" w:color="auto" w:fill="auto"/>
            <w:noWrap/>
            <w:vAlign w:val="bottom"/>
            <w:hideMark/>
          </w:tcPr>
          <w:p w14:paraId="7805D343" w14:textId="77777777" w:rsidR="00FC14A5" w:rsidRPr="005A566B" w:rsidRDefault="00FC14A5" w:rsidP="00FC14A5">
            <w:pPr>
              <w:spacing w:after="0" w:line="240" w:lineRule="auto"/>
              <w:rPr>
                <w:rFonts w:ascii="Arial" w:eastAsia="Times New Roman" w:hAnsi="Arial" w:cs="Arial"/>
                <w:lang w:eastAsia="en-GB"/>
              </w:rPr>
            </w:pPr>
            <w:bookmarkStart w:id="306" w:name="_Hlk503736692"/>
          </w:p>
        </w:tc>
        <w:tc>
          <w:tcPr>
            <w:tcW w:w="1886" w:type="dxa"/>
            <w:tcBorders>
              <w:top w:val="single" w:sz="4" w:space="0" w:color="auto"/>
              <w:left w:val="nil"/>
              <w:bottom w:val="single" w:sz="4" w:space="0" w:color="auto"/>
              <w:right w:val="nil"/>
            </w:tcBorders>
            <w:shd w:val="clear" w:color="auto" w:fill="auto"/>
            <w:noWrap/>
            <w:vAlign w:val="bottom"/>
            <w:hideMark/>
          </w:tcPr>
          <w:p w14:paraId="1286A22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2021" w:type="dxa"/>
            <w:tcBorders>
              <w:top w:val="single" w:sz="4" w:space="0" w:color="auto"/>
              <w:left w:val="nil"/>
              <w:bottom w:val="single" w:sz="4" w:space="0" w:color="auto"/>
              <w:right w:val="nil"/>
            </w:tcBorders>
            <w:shd w:val="clear" w:color="auto" w:fill="auto"/>
            <w:noWrap/>
            <w:vAlign w:val="bottom"/>
            <w:hideMark/>
          </w:tcPr>
          <w:p w14:paraId="5208ADD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c>
          <w:tcPr>
            <w:tcW w:w="1886" w:type="dxa"/>
            <w:tcBorders>
              <w:top w:val="single" w:sz="4" w:space="0" w:color="auto"/>
              <w:left w:val="nil"/>
              <w:bottom w:val="single" w:sz="4" w:space="0" w:color="auto"/>
              <w:right w:val="nil"/>
            </w:tcBorders>
            <w:shd w:val="clear" w:color="auto" w:fill="auto"/>
            <w:noWrap/>
            <w:vAlign w:val="bottom"/>
            <w:hideMark/>
          </w:tcPr>
          <w:p w14:paraId="3201862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886" w:type="dxa"/>
            <w:tcBorders>
              <w:top w:val="single" w:sz="4" w:space="0" w:color="auto"/>
              <w:left w:val="nil"/>
              <w:bottom w:val="single" w:sz="4" w:space="0" w:color="auto"/>
              <w:right w:val="nil"/>
            </w:tcBorders>
            <w:shd w:val="clear" w:color="auto" w:fill="auto"/>
            <w:noWrap/>
            <w:vAlign w:val="bottom"/>
            <w:hideMark/>
          </w:tcPr>
          <w:p w14:paraId="7F84E58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r>
      <w:bookmarkEnd w:id="306"/>
      <w:tr w:rsidR="00FC14A5" w:rsidRPr="005A566B" w14:paraId="70696AD5" w14:textId="77777777" w:rsidTr="00066783">
        <w:trPr>
          <w:trHeight w:val="266"/>
        </w:trPr>
        <w:tc>
          <w:tcPr>
            <w:tcW w:w="1952" w:type="dxa"/>
            <w:tcBorders>
              <w:top w:val="single" w:sz="4" w:space="0" w:color="auto"/>
              <w:left w:val="nil"/>
              <w:bottom w:val="nil"/>
              <w:right w:val="nil"/>
            </w:tcBorders>
            <w:shd w:val="clear" w:color="auto" w:fill="auto"/>
            <w:noWrap/>
            <w:vAlign w:val="bottom"/>
            <w:hideMark/>
          </w:tcPr>
          <w:p w14:paraId="7948819A"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ROA</w:t>
            </w:r>
          </w:p>
        </w:tc>
        <w:tc>
          <w:tcPr>
            <w:tcW w:w="1886" w:type="dxa"/>
            <w:tcBorders>
              <w:top w:val="single" w:sz="4" w:space="0" w:color="auto"/>
              <w:left w:val="nil"/>
              <w:bottom w:val="nil"/>
              <w:right w:val="nil"/>
            </w:tcBorders>
            <w:shd w:val="clear" w:color="auto" w:fill="auto"/>
            <w:noWrap/>
            <w:vAlign w:val="bottom"/>
            <w:hideMark/>
          </w:tcPr>
          <w:p w14:paraId="6DA0F4F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0.373***</w:t>
            </w:r>
          </w:p>
        </w:tc>
        <w:tc>
          <w:tcPr>
            <w:tcW w:w="2021" w:type="dxa"/>
            <w:tcBorders>
              <w:top w:val="single" w:sz="4" w:space="0" w:color="auto"/>
              <w:left w:val="nil"/>
              <w:bottom w:val="nil"/>
              <w:right w:val="nil"/>
            </w:tcBorders>
            <w:shd w:val="clear" w:color="auto" w:fill="auto"/>
            <w:noWrap/>
            <w:vAlign w:val="bottom"/>
            <w:hideMark/>
          </w:tcPr>
          <w:p w14:paraId="52E2AA08"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single" w:sz="4" w:space="0" w:color="auto"/>
              <w:left w:val="nil"/>
              <w:bottom w:val="nil"/>
              <w:right w:val="nil"/>
            </w:tcBorders>
            <w:shd w:val="clear" w:color="auto" w:fill="auto"/>
            <w:noWrap/>
            <w:vAlign w:val="bottom"/>
            <w:hideMark/>
          </w:tcPr>
          <w:p w14:paraId="5CA1C9F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0.370***</w:t>
            </w:r>
          </w:p>
        </w:tc>
        <w:tc>
          <w:tcPr>
            <w:tcW w:w="1886" w:type="dxa"/>
            <w:tcBorders>
              <w:top w:val="single" w:sz="4" w:space="0" w:color="auto"/>
              <w:left w:val="nil"/>
              <w:bottom w:val="nil"/>
              <w:right w:val="nil"/>
            </w:tcBorders>
            <w:shd w:val="clear" w:color="auto" w:fill="auto"/>
            <w:noWrap/>
            <w:vAlign w:val="bottom"/>
            <w:hideMark/>
          </w:tcPr>
          <w:p w14:paraId="45CD4F56"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206C7F7D" w14:textId="77777777" w:rsidTr="00066783">
        <w:trPr>
          <w:trHeight w:val="266"/>
        </w:trPr>
        <w:tc>
          <w:tcPr>
            <w:tcW w:w="1952" w:type="dxa"/>
            <w:tcBorders>
              <w:top w:val="nil"/>
              <w:left w:val="nil"/>
              <w:bottom w:val="nil"/>
              <w:right w:val="nil"/>
            </w:tcBorders>
            <w:shd w:val="clear" w:color="auto" w:fill="auto"/>
            <w:noWrap/>
            <w:vAlign w:val="bottom"/>
            <w:hideMark/>
          </w:tcPr>
          <w:p w14:paraId="1734705B"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51C71A0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(21.90)</w:t>
            </w:r>
          </w:p>
        </w:tc>
        <w:tc>
          <w:tcPr>
            <w:tcW w:w="2021" w:type="dxa"/>
            <w:tcBorders>
              <w:top w:val="nil"/>
              <w:left w:val="nil"/>
              <w:bottom w:val="nil"/>
              <w:right w:val="nil"/>
            </w:tcBorders>
            <w:shd w:val="clear" w:color="auto" w:fill="auto"/>
            <w:noWrap/>
            <w:vAlign w:val="bottom"/>
            <w:hideMark/>
          </w:tcPr>
          <w:p w14:paraId="5E3DE5D1"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07A65F0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(14.90)</w:t>
            </w:r>
          </w:p>
        </w:tc>
        <w:tc>
          <w:tcPr>
            <w:tcW w:w="1886" w:type="dxa"/>
            <w:tcBorders>
              <w:top w:val="nil"/>
              <w:left w:val="nil"/>
              <w:bottom w:val="nil"/>
              <w:right w:val="nil"/>
            </w:tcBorders>
            <w:shd w:val="clear" w:color="auto" w:fill="auto"/>
            <w:noWrap/>
            <w:vAlign w:val="bottom"/>
            <w:hideMark/>
          </w:tcPr>
          <w:p w14:paraId="1497D900"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648D0396" w14:textId="77777777" w:rsidTr="00066783">
        <w:trPr>
          <w:trHeight w:val="266"/>
        </w:trPr>
        <w:tc>
          <w:tcPr>
            <w:tcW w:w="1952" w:type="dxa"/>
            <w:tcBorders>
              <w:top w:val="nil"/>
              <w:left w:val="nil"/>
              <w:bottom w:val="nil"/>
              <w:right w:val="nil"/>
            </w:tcBorders>
            <w:shd w:val="clear" w:color="auto" w:fill="auto"/>
            <w:noWrap/>
            <w:vAlign w:val="bottom"/>
            <w:hideMark/>
          </w:tcPr>
          <w:p w14:paraId="7D639182"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6FD223C8" w14:textId="77777777" w:rsidR="00FC14A5" w:rsidRPr="005A566B" w:rsidRDefault="00FC14A5" w:rsidP="00FC14A5">
            <w:pPr>
              <w:spacing w:after="0" w:line="240" w:lineRule="auto"/>
              <w:jc w:val="center"/>
              <w:rPr>
                <w:rFonts w:ascii="Arial" w:eastAsia="Times New Roman" w:hAnsi="Arial" w:cs="Arial"/>
                <w:lang w:eastAsia="en-GB"/>
              </w:rPr>
            </w:pPr>
          </w:p>
        </w:tc>
        <w:tc>
          <w:tcPr>
            <w:tcW w:w="2021" w:type="dxa"/>
            <w:tcBorders>
              <w:top w:val="nil"/>
              <w:left w:val="nil"/>
              <w:bottom w:val="nil"/>
              <w:right w:val="nil"/>
            </w:tcBorders>
            <w:shd w:val="clear" w:color="auto" w:fill="auto"/>
            <w:noWrap/>
            <w:vAlign w:val="bottom"/>
            <w:hideMark/>
          </w:tcPr>
          <w:p w14:paraId="6BB39DB9"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64B6BBF7"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5155D303"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625F1AC4" w14:textId="77777777" w:rsidTr="00066783">
        <w:trPr>
          <w:trHeight w:val="266"/>
        </w:trPr>
        <w:tc>
          <w:tcPr>
            <w:tcW w:w="1952" w:type="dxa"/>
            <w:tcBorders>
              <w:top w:val="nil"/>
              <w:left w:val="nil"/>
              <w:bottom w:val="nil"/>
              <w:right w:val="nil"/>
            </w:tcBorders>
            <w:shd w:val="clear" w:color="auto" w:fill="auto"/>
            <w:noWrap/>
            <w:vAlign w:val="bottom"/>
            <w:hideMark/>
          </w:tcPr>
          <w:p w14:paraId="10CF881B"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QRATIO</w:t>
            </w:r>
          </w:p>
        </w:tc>
        <w:tc>
          <w:tcPr>
            <w:tcW w:w="1886" w:type="dxa"/>
            <w:tcBorders>
              <w:top w:val="nil"/>
              <w:left w:val="nil"/>
              <w:bottom w:val="nil"/>
              <w:right w:val="nil"/>
            </w:tcBorders>
            <w:shd w:val="clear" w:color="auto" w:fill="auto"/>
            <w:noWrap/>
            <w:vAlign w:val="bottom"/>
            <w:hideMark/>
          </w:tcPr>
          <w:p w14:paraId="04A53BE5" w14:textId="77777777" w:rsidR="00FC14A5" w:rsidRPr="005A566B" w:rsidRDefault="00FC14A5" w:rsidP="00FC14A5">
            <w:pPr>
              <w:spacing w:after="0" w:line="240" w:lineRule="auto"/>
              <w:jc w:val="center"/>
              <w:rPr>
                <w:rFonts w:ascii="Arial" w:eastAsia="Times New Roman" w:hAnsi="Arial" w:cs="Arial"/>
                <w:lang w:eastAsia="en-GB"/>
              </w:rPr>
            </w:pPr>
          </w:p>
        </w:tc>
        <w:tc>
          <w:tcPr>
            <w:tcW w:w="2021" w:type="dxa"/>
            <w:tcBorders>
              <w:top w:val="nil"/>
              <w:left w:val="nil"/>
              <w:bottom w:val="nil"/>
              <w:right w:val="nil"/>
            </w:tcBorders>
            <w:shd w:val="clear" w:color="auto" w:fill="auto"/>
            <w:noWrap/>
            <w:vAlign w:val="bottom"/>
            <w:hideMark/>
          </w:tcPr>
          <w:p w14:paraId="51F769A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0.989***</w:t>
            </w:r>
          </w:p>
        </w:tc>
        <w:tc>
          <w:tcPr>
            <w:tcW w:w="1886" w:type="dxa"/>
            <w:tcBorders>
              <w:top w:val="nil"/>
              <w:left w:val="nil"/>
              <w:bottom w:val="nil"/>
              <w:right w:val="nil"/>
            </w:tcBorders>
            <w:shd w:val="clear" w:color="auto" w:fill="auto"/>
            <w:noWrap/>
            <w:vAlign w:val="bottom"/>
            <w:hideMark/>
          </w:tcPr>
          <w:p w14:paraId="1B9C0A20"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4C3D2FC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0.992***</w:t>
            </w:r>
          </w:p>
        </w:tc>
      </w:tr>
      <w:tr w:rsidR="00FC14A5" w:rsidRPr="005A566B" w14:paraId="272B4F78" w14:textId="77777777" w:rsidTr="00066783">
        <w:trPr>
          <w:trHeight w:val="266"/>
        </w:trPr>
        <w:tc>
          <w:tcPr>
            <w:tcW w:w="1952" w:type="dxa"/>
            <w:tcBorders>
              <w:top w:val="nil"/>
              <w:left w:val="nil"/>
              <w:bottom w:val="nil"/>
              <w:right w:val="nil"/>
            </w:tcBorders>
            <w:shd w:val="clear" w:color="auto" w:fill="auto"/>
            <w:noWrap/>
            <w:vAlign w:val="bottom"/>
            <w:hideMark/>
          </w:tcPr>
          <w:p w14:paraId="7592CEDB"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1C1698DA" w14:textId="77777777" w:rsidR="00FC14A5" w:rsidRPr="005A566B" w:rsidRDefault="00FC14A5" w:rsidP="00FC14A5">
            <w:pPr>
              <w:spacing w:after="0" w:line="240" w:lineRule="auto"/>
              <w:jc w:val="center"/>
              <w:rPr>
                <w:rFonts w:ascii="Arial" w:eastAsia="Times New Roman" w:hAnsi="Arial" w:cs="Arial"/>
                <w:lang w:eastAsia="en-GB"/>
              </w:rPr>
            </w:pPr>
          </w:p>
        </w:tc>
        <w:tc>
          <w:tcPr>
            <w:tcW w:w="2021" w:type="dxa"/>
            <w:tcBorders>
              <w:top w:val="nil"/>
              <w:left w:val="nil"/>
              <w:bottom w:val="nil"/>
              <w:right w:val="nil"/>
            </w:tcBorders>
            <w:shd w:val="clear" w:color="auto" w:fill="auto"/>
            <w:noWrap/>
            <w:vAlign w:val="bottom"/>
            <w:hideMark/>
          </w:tcPr>
          <w:p w14:paraId="29F2AF4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(977.91)</w:t>
            </w:r>
          </w:p>
        </w:tc>
        <w:tc>
          <w:tcPr>
            <w:tcW w:w="1886" w:type="dxa"/>
            <w:tcBorders>
              <w:top w:val="nil"/>
              <w:left w:val="nil"/>
              <w:bottom w:val="nil"/>
              <w:right w:val="nil"/>
            </w:tcBorders>
            <w:shd w:val="clear" w:color="auto" w:fill="auto"/>
            <w:noWrap/>
            <w:vAlign w:val="bottom"/>
            <w:hideMark/>
          </w:tcPr>
          <w:p w14:paraId="5E39EBBC"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6F15820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(787.52)</w:t>
            </w:r>
          </w:p>
        </w:tc>
      </w:tr>
      <w:tr w:rsidR="00FC14A5" w:rsidRPr="005A566B" w14:paraId="6B0A0298" w14:textId="77777777" w:rsidTr="00066783">
        <w:trPr>
          <w:trHeight w:val="266"/>
        </w:trPr>
        <w:tc>
          <w:tcPr>
            <w:tcW w:w="1952" w:type="dxa"/>
            <w:tcBorders>
              <w:top w:val="nil"/>
              <w:left w:val="nil"/>
              <w:bottom w:val="nil"/>
              <w:right w:val="nil"/>
            </w:tcBorders>
            <w:shd w:val="clear" w:color="auto" w:fill="auto"/>
            <w:noWrap/>
            <w:vAlign w:val="bottom"/>
            <w:hideMark/>
          </w:tcPr>
          <w:p w14:paraId="43947626"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WCM</w:t>
            </w:r>
          </w:p>
        </w:tc>
        <w:tc>
          <w:tcPr>
            <w:tcW w:w="1886" w:type="dxa"/>
            <w:tcBorders>
              <w:top w:val="nil"/>
              <w:left w:val="nil"/>
              <w:bottom w:val="nil"/>
              <w:right w:val="nil"/>
            </w:tcBorders>
            <w:shd w:val="clear" w:color="auto" w:fill="auto"/>
            <w:noWrap/>
            <w:vAlign w:val="bottom"/>
            <w:hideMark/>
          </w:tcPr>
          <w:p w14:paraId="31857B8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-0.0208***</w:t>
            </w:r>
          </w:p>
        </w:tc>
        <w:tc>
          <w:tcPr>
            <w:tcW w:w="2021" w:type="dxa"/>
            <w:tcBorders>
              <w:top w:val="nil"/>
              <w:left w:val="nil"/>
              <w:bottom w:val="nil"/>
              <w:right w:val="nil"/>
            </w:tcBorders>
            <w:shd w:val="clear" w:color="auto" w:fill="auto"/>
            <w:noWrap/>
            <w:vAlign w:val="bottom"/>
            <w:hideMark/>
          </w:tcPr>
          <w:p w14:paraId="68E1B1B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-0.0229***</w:t>
            </w:r>
          </w:p>
        </w:tc>
        <w:tc>
          <w:tcPr>
            <w:tcW w:w="1886" w:type="dxa"/>
            <w:tcBorders>
              <w:top w:val="nil"/>
              <w:left w:val="nil"/>
              <w:bottom w:val="nil"/>
              <w:right w:val="nil"/>
            </w:tcBorders>
            <w:shd w:val="clear" w:color="auto" w:fill="auto"/>
            <w:noWrap/>
            <w:vAlign w:val="bottom"/>
            <w:hideMark/>
          </w:tcPr>
          <w:p w14:paraId="356B2C4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-0.0294***</w:t>
            </w:r>
          </w:p>
        </w:tc>
        <w:tc>
          <w:tcPr>
            <w:tcW w:w="1886" w:type="dxa"/>
            <w:tcBorders>
              <w:top w:val="nil"/>
              <w:left w:val="nil"/>
              <w:bottom w:val="nil"/>
              <w:right w:val="nil"/>
            </w:tcBorders>
            <w:shd w:val="clear" w:color="auto" w:fill="auto"/>
            <w:noWrap/>
            <w:vAlign w:val="bottom"/>
            <w:hideMark/>
          </w:tcPr>
          <w:p w14:paraId="6B8F144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-0.0313***</w:t>
            </w:r>
          </w:p>
        </w:tc>
      </w:tr>
      <w:tr w:rsidR="00FC14A5" w:rsidRPr="005A566B" w14:paraId="3045045E" w14:textId="77777777" w:rsidTr="00066783">
        <w:trPr>
          <w:trHeight w:val="266"/>
        </w:trPr>
        <w:tc>
          <w:tcPr>
            <w:tcW w:w="1952" w:type="dxa"/>
            <w:tcBorders>
              <w:top w:val="nil"/>
              <w:left w:val="nil"/>
              <w:bottom w:val="nil"/>
              <w:right w:val="nil"/>
            </w:tcBorders>
            <w:shd w:val="clear" w:color="auto" w:fill="auto"/>
            <w:noWrap/>
            <w:vAlign w:val="bottom"/>
            <w:hideMark/>
          </w:tcPr>
          <w:p w14:paraId="7A12658B"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2ECE8E1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(-27.44)</w:t>
            </w:r>
          </w:p>
        </w:tc>
        <w:tc>
          <w:tcPr>
            <w:tcW w:w="2021" w:type="dxa"/>
            <w:tcBorders>
              <w:top w:val="nil"/>
              <w:left w:val="nil"/>
              <w:bottom w:val="nil"/>
              <w:right w:val="nil"/>
            </w:tcBorders>
            <w:shd w:val="clear" w:color="auto" w:fill="auto"/>
            <w:noWrap/>
            <w:vAlign w:val="bottom"/>
            <w:hideMark/>
          </w:tcPr>
          <w:p w14:paraId="452DE74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(-11.20)</w:t>
            </w:r>
          </w:p>
        </w:tc>
        <w:tc>
          <w:tcPr>
            <w:tcW w:w="1886" w:type="dxa"/>
            <w:tcBorders>
              <w:top w:val="nil"/>
              <w:left w:val="nil"/>
              <w:bottom w:val="nil"/>
              <w:right w:val="nil"/>
            </w:tcBorders>
            <w:shd w:val="clear" w:color="auto" w:fill="auto"/>
            <w:noWrap/>
            <w:vAlign w:val="bottom"/>
            <w:hideMark/>
          </w:tcPr>
          <w:p w14:paraId="0D0EE10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(-33.42)</w:t>
            </w:r>
          </w:p>
        </w:tc>
        <w:tc>
          <w:tcPr>
            <w:tcW w:w="1886" w:type="dxa"/>
            <w:tcBorders>
              <w:top w:val="nil"/>
              <w:left w:val="nil"/>
              <w:bottom w:val="nil"/>
              <w:right w:val="nil"/>
            </w:tcBorders>
            <w:shd w:val="clear" w:color="auto" w:fill="auto"/>
            <w:noWrap/>
            <w:vAlign w:val="bottom"/>
            <w:hideMark/>
          </w:tcPr>
          <w:p w14:paraId="0EDC30B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(-10.04)</w:t>
            </w:r>
          </w:p>
        </w:tc>
      </w:tr>
      <w:tr w:rsidR="00FC14A5" w:rsidRPr="005A566B" w14:paraId="39DBC76B" w14:textId="77777777" w:rsidTr="00066783">
        <w:trPr>
          <w:trHeight w:val="266"/>
        </w:trPr>
        <w:tc>
          <w:tcPr>
            <w:tcW w:w="1952" w:type="dxa"/>
            <w:tcBorders>
              <w:top w:val="nil"/>
              <w:left w:val="nil"/>
              <w:bottom w:val="nil"/>
              <w:right w:val="nil"/>
            </w:tcBorders>
            <w:shd w:val="clear" w:color="auto" w:fill="auto"/>
            <w:noWrap/>
            <w:vAlign w:val="bottom"/>
            <w:hideMark/>
          </w:tcPr>
          <w:p w14:paraId="62C54C9C"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WCM x M</w:t>
            </w:r>
          </w:p>
        </w:tc>
        <w:tc>
          <w:tcPr>
            <w:tcW w:w="1886" w:type="dxa"/>
            <w:tcBorders>
              <w:top w:val="nil"/>
              <w:left w:val="nil"/>
              <w:bottom w:val="nil"/>
              <w:right w:val="nil"/>
            </w:tcBorders>
            <w:shd w:val="clear" w:color="auto" w:fill="auto"/>
            <w:noWrap/>
            <w:vAlign w:val="bottom"/>
            <w:hideMark/>
          </w:tcPr>
          <w:p w14:paraId="4618DAEE" w14:textId="77777777" w:rsidR="00FC14A5" w:rsidRPr="005A566B" w:rsidRDefault="00FC14A5" w:rsidP="00FC14A5">
            <w:pPr>
              <w:spacing w:after="0" w:line="240" w:lineRule="auto"/>
              <w:jc w:val="center"/>
              <w:rPr>
                <w:rFonts w:ascii="Arial" w:eastAsia="Times New Roman" w:hAnsi="Arial" w:cs="Arial"/>
                <w:lang w:eastAsia="en-GB"/>
              </w:rPr>
            </w:pPr>
          </w:p>
        </w:tc>
        <w:tc>
          <w:tcPr>
            <w:tcW w:w="2021" w:type="dxa"/>
            <w:tcBorders>
              <w:top w:val="nil"/>
              <w:left w:val="nil"/>
              <w:bottom w:val="nil"/>
              <w:right w:val="nil"/>
            </w:tcBorders>
            <w:shd w:val="clear" w:color="auto" w:fill="auto"/>
            <w:noWrap/>
            <w:vAlign w:val="bottom"/>
            <w:hideMark/>
          </w:tcPr>
          <w:p w14:paraId="4293C9A2"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3AAB184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0.0276***</w:t>
            </w:r>
          </w:p>
        </w:tc>
        <w:tc>
          <w:tcPr>
            <w:tcW w:w="1886" w:type="dxa"/>
            <w:tcBorders>
              <w:top w:val="nil"/>
              <w:left w:val="nil"/>
              <w:bottom w:val="nil"/>
              <w:right w:val="nil"/>
            </w:tcBorders>
            <w:shd w:val="clear" w:color="auto" w:fill="auto"/>
            <w:noWrap/>
            <w:vAlign w:val="bottom"/>
            <w:hideMark/>
          </w:tcPr>
          <w:p w14:paraId="50CF401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0.064**</w:t>
            </w:r>
          </w:p>
        </w:tc>
      </w:tr>
      <w:tr w:rsidR="00FC14A5" w:rsidRPr="005A566B" w14:paraId="3C0F22EE" w14:textId="77777777" w:rsidTr="00066783">
        <w:trPr>
          <w:trHeight w:val="239"/>
        </w:trPr>
        <w:tc>
          <w:tcPr>
            <w:tcW w:w="1952" w:type="dxa"/>
            <w:tcBorders>
              <w:top w:val="nil"/>
              <w:left w:val="nil"/>
              <w:bottom w:val="nil"/>
              <w:right w:val="nil"/>
            </w:tcBorders>
            <w:shd w:val="clear" w:color="auto" w:fill="auto"/>
            <w:noWrap/>
            <w:vAlign w:val="bottom"/>
            <w:hideMark/>
          </w:tcPr>
          <w:p w14:paraId="3F7E2BC3"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6661B426" w14:textId="77777777" w:rsidR="00FC14A5" w:rsidRPr="005A566B" w:rsidRDefault="00FC14A5" w:rsidP="00FC14A5">
            <w:pPr>
              <w:spacing w:after="0" w:line="240" w:lineRule="auto"/>
              <w:jc w:val="center"/>
              <w:rPr>
                <w:rFonts w:ascii="Arial" w:eastAsia="Times New Roman" w:hAnsi="Arial" w:cs="Arial"/>
                <w:lang w:eastAsia="en-GB"/>
              </w:rPr>
            </w:pPr>
          </w:p>
        </w:tc>
        <w:tc>
          <w:tcPr>
            <w:tcW w:w="2021" w:type="dxa"/>
            <w:tcBorders>
              <w:top w:val="nil"/>
              <w:left w:val="nil"/>
              <w:bottom w:val="nil"/>
              <w:right w:val="nil"/>
            </w:tcBorders>
            <w:shd w:val="clear" w:color="auto" w:fill="auto"/>
            <w:noWrap/>
            <w:vAlign w:val="bottom"/>
            <w:hideMark/>
          </w:tcPr>
          <w:p w14:paraId="4D490D9D"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069C2AE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(12.12)</w:t>
            </w:r>
          </w:p>
        </w:tc>
        <w:tc>
          <w:tcPr>
            <w:tcW w:w="1886" w:type="dxa"/>
            <w:tcBorders>
              <w:top w:val="nil"/>
              <w:left w:val="nil"/>
              <w:bottom w:val="nil"/>
              <w:right w:val="nil"/>
            </w:tcBorders>
            <w:shd w:val="clear" w:color="auto" w:fill="auto"/>
            <w:noWrap/>
            <w:vAlign w:val="bottom"/>
            <w:hideMark/>
          </w:tcPr>
          <w:p w14:paraId="3025FAB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w:t>
            </w:r>
          </w:p>
        </w:tc>
      </w:tr>
      <w:tr w:rsidR="00FC14A5" w:rsidRPr="005A566B" w14:paraId="054BCE69" w14:textId="77777777" w:rsidTr="00066783">
        <w:trPr>
          <w:trHeight w:val="266"/>
        </w:trPr>
        <w:tc>
          <w:tcPr>
            <w:tcW w:w="1952" w:type="dxa"/>
            <w:tcBorders>
              <w:top w:val="nil"/>
              <w:left w:val="nil"/>
              <w:bottom w:val="nil"/>
              <w:right w:val="nil"/>
            </w:tcBorders>
            <w:shd w:val="clear" w:color="auto" w:fill="auto"/>
            <w:noWrap/>
            <w:vAlign w:val="bottom"/>
            <w:hideMark/>
          </w:tcPr>
          <w:p w14:paraId="2BBBDB01"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AGE</w:t>
            </w:r>
            <w:r w:rsidRPr="005A566B">
              <w:rPr>
                <w:rFonts w:ascii="Arial" w:eastAsia="Times New Roman" w:hAnsi="Arial" w:cs="Arial"/>
                <w:sz w:val="10"/>
                <w:lang w:eastAsia="en-GB"/>
              </w:rPr>
              <w:t xml:space="preserve"> </w:t>
            </w:r>
          </w:p>
        </w:tc>
        <w:tc>
          <w:tcPr>
            <w:tcW w:w="1886" w:type="dxa"/>
            <w:tcBorders>
              <w:top w:val="nil"/>
              <w:left w:val="nil"/>
              <w:bottom w:val="nil"/>
              <w:right w:val="nil"/>
            </w:tcBorders>
            <w:shd w:val="clear" w:color="auto" w:fill="auto"/>
            <w:noWrap/>
            <w:vAlign w:val="bottom"/>
            <w:hideMark/>
          </w:tcPr>
          <w:p w14:paraId="60CD875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0.0998***</w:t>
            </w:r>
          </w:p>
        </w:tc>
        <w:tc>
          <w:tcPr>
            <w:tcW w:w="2021" w:type="dxa"/>
            <w:tcBorders>
              <w:top w:val="nil"/>
              <w:left w:val="nil"/>
              <w:bottom w:val="nil"/>
              <w:right w:val="nil"/>
            </w:tcBorders>
            <w:shd w:val="clear" w:color="auto" w:fill="auto"/>
            <w:noWrap/>
            <w:vAlign w:val="bottom"/>
            <w:hideMark/>
          </w:tcPr>
          <w:p w14:paraId="47CDBD2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-0.000633***</w:t>
            </w:r>
          </w:p>
        </w:tc>
        <w:tc>
          <w:tcPr>
            <w:tcW w:w="1886" w:type="dxa"/>
            <w:tcBorders>
              <w:top w:val="nil"/>
              <w:left w:val="nil"/>
              <w:bottom w:val="nil"/>
              <w:right w:val="nil"/>
            </w:tcBorders>
            <w:shd w:val="clear" w:color="auto" w:fill="auto"/>
            <w:noWrap/>
            <w:vAlign w:val="bottom"/>
            <w:hideMark/>
          </w:tcPr>
          <w:p w14:paraId="3ADDF22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0.101***</w:t>
            </w:r>
          </w:p>
        </w:tc>
        <w:tc>
          <w:tcPr>
            <w:tcW w:w="1886" w:type="dxa"/>
            <w:tcBorders>
              <w:top w:val="nil"/>
              <w:left w:val="nil"/>
              <w:bottom w:val="nil"/>
              <w:right w:val="nil"/>
            </w:tcBorders>
            <w:shd w:val="clear" w:color="auto" w:fill="auto"/>
            <w:noWrap/>
            <w:vAlign w:val="bottom"/>
            <w:hideMark/>
          </w:tcPr>
          <w:p w14:paraId="6FA0C25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-0.000507***</w:t>
            </w:r>
          </w:p>
        </w:tc>
      </w:tr>
      <w:tr w:rsidR="00FC14A5" w:rsidRPr="005A566B" w14:paraId="4DC4D139" w14:textId="77777777" w:rsidTr="00066783">
        <w:trPr>
          <w:trHeight w:val="266"/>
        </w:trPr>
        <w:tc>
          <w:tcPr>
            <w:tcW w:w="1952" w:type="dxa"/>
            <w:tcBorders>
              <w:top w:val="nil"/>
              <w:left w:val="nil"/>
              <w:bottom w:val="nil"/>
              <w:right w:val="nil"/>
            </w:tcBorders>
            <w:shd w:val="clear" w:color="auto" w:fill="auto"/>
            <w:noWrap/>
            <w:vAlign w:val="bottom"/>
            <w:hideMark/>
          </w:tcPr>
          <w:p w14:paraId="483A471E"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7EC733D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(33.93)</w:t>
            </w:r>
          </w:p>
        </w:tc>
        <w:tc>
          <w:tcPr>
            <w:tcW w:w="2021" w:type="dxa"/>
            <w:tcBorders>
              <w:top w:val="nil"/>
              <w:left w:val="nil"/>
              <w:bottom w:val="nil"/>
              <w:right w:val="nil"/>
            </w:tcBorders>
            <w:shd w:val="clear" w:color="auto" w:fill="auto"/>
            <w:noWrap/>
            <w:vAlign w:val="bottom"/>
            <w:hideMark/>
          </w:tcPr>
          <w:p w14:paraId="3B1CDF8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(-5.51)</w:t>
            </w:r>
          </w:p>
        </w:tc>
        <w:tc>
          <w:tcPr>
            <w:tcW w:w="1886" w:type="dxa"/>
            <w:tcBorders>
              <w:top w:val="nil"/>
              <w:left w:val="nil"/>
              <w:bottom w:val="nil"/>
              <w:right w:val="nil"/>
            </w:tcBorders>
            <w:shd w:val="clear" w:color="auto" w:fill="auto"/>
            <w:noWrap/>
            <w:vAlign w:val="bottom"/>
            <w:hideMark/>
          </w:tcPr>
          <w:p w14:paraId="5DB813D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(23.49)</w:t>
            </w:r>
          </w:p>
        </w:tc>
        <w:tc>
          <w:tcPr>
            <w:tcW w:w="1886" w:type="dxa"/>
            <w:tcBorders>
              <w:top w:val="nil"/>
              <w:left w:val="nil"/>
              <w:bottom w:val="nil"/>
              <w:right w:val="nil"/>
            </w:tcBorders>
            <w:shd w:val="clear" w:color="auto" w:fill="auto"/>
            <w:noWrap/>
            <w:vAlign w:val="bottom"/>
            <w:hideMark/>
          </w:tcPr>
          <w:p w14:paraId="79DDD1C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(-4.08)</w:t>
            </w:r>
          </w:p>
        </w:tc>
      </w:tr>
      <w:tr w:rsidR="00FC14A5" w:rsidRPr="005A566B" w14:paraId="719EAD45" w14:textId="77777777" w:rsidTr="00066783">
        <w:trPr>
          <w:trHeight w:val="266"/>
        </w:trPr>
        <w:tc>
          <w:tcPr>
            <w:tcW w:w="1952" w:type="dxa"/>
            <w:tcBorders>
              <w:top w:val="nil"/>
              <w:left w:val="nil"/>
              <w:bottom w:val="nil"/>
              <w:right w:val="nil"/>
            </w:tcBorders>
            <w:shd w:val="clear" w:color="auto" w:fill="auto"/>
            <w:noWrap/>
            <w:vAlign w:val="bottom"/>
            <w:hideMark/>
          </w:tcPr>
          <w:p w14:paraId="129B5825"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CR</w:t>
            </w:r>
          </w:p>
        </w:tc>
        <w:tc>
          <w:tcPr>
            <w:tcW w:w="1886" w:type="dxa"/>
            <w:tcBorders>
              <w:top w:val="nil"/>
              <w:left w:val="nil"/>
              <w:bottom w:val="nil"/>
              <w:right w:val="nil"/>
            </w:tcBorders>
            <w:shd w:val="clear" w:color="auto" w:fill="auto"/>
            <w:noWrap/>
            <w:vAlign w:val="bottom"/>
            <w:hideMark/>
          </w:tcPr>
          <w:p w14:paraId="6C912E2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-0.00517***</w:t>
            </w:r>
          </w:p>
        </w:tc>
        <w:tc>
          <w:tcPr>
            <w:tcW w:w="2021" w:type="dxa"/>
            <w:tcBorders>
              <w:top w:val="nil"/>
              <w:left w:val="nil"/>
              <w:bottom w:val="nil"/>
              <w:right w:val="nil"/>
            </w:tcBorders>
            <w:shd w:val="clear" w:color="auto" w:fill="auto"/>
            <w:noWrap/>
            <w:vAlign w:val="bottom"/>
            <w:hideMark/>
          </w:tcPr>
          <w:p w14:paraId="18A4562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-0.0765***</w:t>
            </w:r>
          </w:p>
        </w:tc>
        <w:tc>
          <w:tcPr>
            <w:tcW w:w="1886" w:type="dxa"/>
            <w:tcBorders>
              <w:top w:val="nil"/>
              <w:left w:val="nil"/>
              <w:bottom w:val="nil"/>
              <w:right w:val="nil"/>
            </w:tcBorders>
            <w:shd w:val="clear" w:color="auto" w:fill="auto"/>
            <w:noWrap/>
            <w:vAlign w:val="bottom"/>
            <w:hideMark/>
          </w:tcPr>
          <w:p w14:paraId="738AC54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-0.00661***</w:t>
            </w:r>
          </w:p>
        </w:tc>
        <w:tc>
          <w:tcPr>
            <w:tcW w:w="1886" w:type="dxa"/>
            <w:tcBorders>
              <w:top w:val="nil"/>
              <w:left w:val="nil"/>
              <w:bottom w:val="nil"/>
              <w:right w:val="nil"/>
            </w:tcBorders>
            <w:shd w:val="clear" w:color="auto" w:fill="auto"/>
            <w:noWrap/>
            <w:vAlign w:val="bottom"/>
            <w:hideMark/>
          </w:tcPr>
          <w:p w14:paraId="2DBE1E5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-0.0939***</w:t>
            </w:r>
          </w:p>
        </w:tc>
      </w:tr>
      <w:tr w:rsidR="00FC14A5" w:rsidRPr="005A566B" w14:paraId="124F1952" w14:textId="77777777" w:rsidTr="00066783">
        <w:trPr>
          <w:trHeight w:val="266"/>
        </w:trPr>
        <w:tc>
          <w:tcPr>
            <w:tcW w:w="1952" w:type="dxa"/>
            <w:tcBorders>
              <w:top w:val="nil"/>
              <w:left w:val="nil"/>
              <w:bottom w:val="nil"/>
              <w:right w:val="nil"/>
            </w:tcBorders>
            <w:shd w:val="clear" w:color="auto" w:fill="auto"/>
            <w:noWrap/>
            <w:vAlign w:val="bottom"/>
            <w:hideMark/>
          </w:tcPr>
          <w:p w14:paraId="6F6A1CB6"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54DC5AA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(-11.56)</w:t>
            </w:r>
          </w:p>
        </w:tc>
        <w:tc>
          <w:tcPr>
            <w:tcW w:w="2021" w:type="dxa"/>
            <w:tcBorders>
              <w:top w:val="nil"/>
              <w:left w:val="nil"/>
              <w:bottom w:val="nil"/>
              <w:right w:val="nil"/>
            </w:tcBorders>
            <w:shd w:val="clear" w:color="auto" w:fill="auto"/>
            <w:noWrap/>
            <w:vAlign w:val="bottom"/>
            <w:hideMark/>
          </w:tcPr>
          <w:p w14:paraId="248E2E6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(-10.46)</w:t>
            </w:r>
          </w:p>
        </w:tc>
        <w:tc>
          <w:tcPr>
            <w:tcW w:w="1886" w:type="dxa"/>
            <w:tcBorders>
              <w:top w:val="nil"/>
              <w:left w:val="nil"/>
              <w:bottom w:val="nil"/>
              <w:right w:val="nil"/>
            </w:tcBorders>
            <w:shd w:val="clear" w:color="auto" w:fill="auto"/>
            <w:noWrap/>
            <w:vAlign w:val="bottom"/>
            <w:hideMark/>
          </w:tcPr>
          <w:p w14:paraId="7D9703A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(-6.97)</w:t>
            </w:r>
          </w:p>
        </w:tc>
        <w:tc>
          <w:tcPr>
            <w:tcW w:w="1886" w:type="dxa"/>
            <w:tcBorders>
              <w:top w:val="nil"/>
              <w:left w:val="nil"/>
              <w:bottom w:val="nil"/>
              <w:right w:val="nil"/>
            </w:tcBorders>
            <w:shd w:val="clear" w:color="auto" w:fill="auto"/>
            <w:noWrap/>
            <w:vAlign w:val="bottom"/>
            <w:hideMark/>
          </w:tcPr>
          <w:p w14:paraId="2574F10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(-11.49)</w:t>
            </w:r>
          </w:p>
        </w:tc>
      </w:tr>
      <w:tr w:rsidR="00FC14A5" w:rsidRPr="005A566B" w14:paraId="2922C31B" w14:textId="77777777" w:rsidTr="00066783">
        <w:trPr>
          <w:trHeight w:val="266"/>
        </w:trPr>
        <w:tc>
          <w:tcPr>
            <w:tcW w:w="1952" w:type="dxa"/>
            <w:tcBorders>
              <w:top w:val="nil"/>
              <w:left w:val="nil"/>
              <w:bottom w:val="nil"/>
              <w:right w:val="nil"/>
            </w:tcBorders>
            <w:shd w:val="clear" w:color="auto" w:fill="auto"/>
            <w:noWrap/>
            <w:vAlign w:val="bottom"/>
            <w:hideMark/>
          </w:tcPr>
          <w:p w14:paraId="7F8B23B8"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17E64E3F" w14:textId="77777777" w:rsidR="00FC14A5" w:rsidRPr="005A566B" w:rsidRDefault="00FC14A5" w:rsidP="00FC14A5">
            <w:pPr>
              <w:spacing w:after="0" w:line="240" w:lineRule="auto"/>
              <w:jc w:val="center"/>
              <w:rPr>
                <w:rFonts w:ascii="Arial" w:eastAsia="Times New Roman" w:hAnsi="Arial" w:cs="Arial"/>
                <w:lang w:eastAsia="en-GB"/>
              </w:rPr>
            </w:pPr>
          </w:p>
        </w:tc>
        <w:tc>
          <w:tcPr>
            <w:tcW w:w="2021" w:type="dxa"/>
            <w:tcBorders>
              <w:top w:val="nil"/>
              <w:left w:val="nil"/>
              <w:bottom w:val="nil"/>
              <w:right w:val="nil"/>
            </w:tcBorders>
            <w:shd w:val="clear" w:color="auto" w:fill="auto"/>
            <w:noWrap/>
            <w:vAlign w:val="bottom"/>
            <w:hideMark/>
          </w:tcPr>
          <w:p w14:paraId="795478DC"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38AD960B"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7662033A"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2B84323D" w14:textId="77777777" w:rsidTr="00066783">
        <w:trPr>
          <w:trHeight w:val="266"/>
        </w:trPr>
        <w:tc>
          <w:tcPr>
            <w:tcW w:w="1952" w:type="dxa"/>
            <w:tcBorders>
              <w:top w:val="nil"/>
              <w:left w:val="nil"/>
              <w:bottom w:val="nil"/>
              <w:right w:val="nil"/>
            </w:tcBorders>
            <w:shd w:val="clear" w:color="auto" w:fill="auto"/>
            <w:noWrap/>
            <w:vAlign w:val="bottom"/>
            <w:hideMark/>
          </w:tcPr>
          <w:p w14:paraId="35A3A02D"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M</w:t>
            </w:r>
          </w:p>
        </w:tc>
        <w:tc>
          <w:tcPr>
            <w:tcW w:w="1886" w:type="dxa"/>
            <w:tcBorders>
              <w:top w:val="nil"/>
              <w:left w:val="nil"/>
              <w:bottom w:val="nil"/>
              <w:right w:val="nil"/>
            </w:tcBorders>
            <w:shd w:val="clear" w:color="auto" w:fill="auto"/>
            <w:noWrap/>
            <w:vAlign w:val="bottom"/>
            <w:hideMark/>
          </w:tcPr>
          <w:p w14:paraId="6144AF1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0.0395***</w:t>
            </w:r>
          </w:p>
        </w:tc>
        <w:tc>
          <w:tcPr>
            <w:tcW w:w="2021" w:type="dxa"/>
            <w:tcBorders>
              <w:top w:val="nil"/>
              <w:left w:val="nil"/>
              <w:bottom w:val="nil"/>
              <w:right w:val="nil"/>
            </w:tcBorders>
            <w:shd w:val="clear" w:color="auto" w:fill="auto"/>
            <w:noWrap/>
            <w:vAlign w:val="bottom"/>
            <w:hideMark/>
          </w:tcPr>
          <w:p w14:paraId="22FF0AC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0.0458*</w:t>
            </w:r>
          </w:p>
        </w:tc>
        <w:tc>
          <w:tcPr>
            <w:tcW w:w="1886" w:type="dxa"/>
            <w:tcBorders>
              <w:top w:val="nil"/>
              <w:left w:val="nil"/>
              <w:bottom w:val="nil"/>
              <w:right w:val="nil"/>
            </w:tcBorders>
            <w:shd w:val="clear" w:color="auto" w:fill="auto"/>
            <w:noWrap/>
            <w:vAlign w:val="bottom"/>
            <w:hideMark/>
          </w:tcPr>
          <w:p w14:paraId="2D4C8DC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0.0612***</w:t>
            </w:r>
          </w:p>
        </w:tc>
        <w:tc>
          <w:tcPr>
            <w:tcW w:w="1886" w:type="dxa"/>
            <w:tcBorders>
              <w:top w:val="nil"/>
              <w:left w:val="nil"/>
              <w:bottom w:val="nil"/>
              <w:right w:val="nil"/>
            </w:tcBorders>
            <w:shd w:val="clear" w:color="auto" w:fill="auto"/>
            <w:noWrap/>
            <w:vAlign w:val="bottom"/>
            <w:hideMark/>
          </w:tcPr>
          <w:p w14:paraId="6CE86C0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0.0717*</w:t>
            </w:r>
          </w:p>
        </w:tc>
      </w:tr>
      <w:tr w:rsidR="00FC14A5" w:rsidRPr="005A566B" w14:paraId="32AFDAAB" w14:textId="77777777" w:rsidTr="00066783">
        <w:trPr>
          <w:trHeight w:val="266"/>
        </w:trPr>
        <w:tc>
          <w:tcPr>
            <w:tcW w:w="1952" w:type="dxa"/>
            <w:tcBorders>
              <w:top w:val="nil"/>
              <w:left w:val="nil"/>
              <w:bottom w:val="nil"/>
              <w:right w:val="nil"/>
            </w:tcBorders>
            <w:shd w:val="clear" w:color="auto" w:fill="auto"/>
            <w:noWrap/>
            <w:vAlign w:val="bottom"/>
            <w:hideMark/>
          </w:tcPr>
          <w:p w14:paraId="098819EB"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4556F1F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(7.68)</w:t>
            </w:r>
          </w:p>
        </w:tc>
        <w:tc>
          <w:tcPr>
            <w:tcW w:w="2021" w:type="dxa"/>
            <w:tcBorders>
              <w:top w:val="nil"/>
              <w:left w:val="nil"/>
              <w:bottom w:val="nil"/>
              <w:right w:val="nil"/>
            </w:tcBorders>
            <w:shd w:val="clear" w:color="auto" w:fill="auto"/>
            <w:noWrap/>
            <w:vAlign w:val="bottom"/>
            <w:hideMark/>
          </w:tcPr>
          <w:p w14:paraId="338E316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(1.76)</w:t>
            </w:r>
          </w:p>
        </w:tc>
        <w:tc>
          <w:tcPr>
            <w:tcW w:w="1886" w:type="dxa"/>
            <w:tcBorders>
              <w:top w:val="nil"/>
              <w:left w:val="nil"/>
              <w:bottom w:val="nil"/>
              <w:right w:val="nil"/>
            </w:tcBorders>
            <w:shd w:val="clear" w:color="auto" w:fill="auto"/>
            <w:noWrap/>
            <w:vAlign w:val="bottom"/>
            <w:hideMark/>
          </w:tcPr>
          <w:p w14:paraId="710B1D7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(7.10)</w:t>
            </w:r>
          </w:p>
        </w:tc>
        <w:tc>
          <w:tcPr>
            <w:tcW w:w="1886" w:type="dxa"/>
            <w:tcBorders>
              <w:top w:val="nil"/>
              <w:left w:val="nil"/>
              <w:bottom w:val="nil"/>
              <w:right w:val="nil"/>
            </w:tcBorders>
            <w:shd w:val="clear" w:color="auto" w:fill="auto"/>
            <w:noWrap/>
            <w:vAlign w:val="bottom"/>
            <w:hideMark/>
          </w:tcPr>
          <w:p w14:paraId="5276CD5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(1.96)</w:t>
            </w:r>
          </w:p>
        </w:tc>
      </w:tr>
      <w:tr w:rsidR="00FC14A5" w:rsidRPr="005A566B" w14:paraId="10FEA3DD" w14:textId="77777777" w:rsidTr="00066783">
        <w:trPr>
          <w:trHeight w:val="266"/>
        </w:trPr>
        <w:tc>
          <w:tcPr>
            <w:tcW w:w="1952" w:type="dxa"/>
            <w:tcBorders>
              <w:top w:val="nil"/>
              <w:left w:val="nil"/>
              <w:bottom w:val="nil"/>
              <w:right w:val="nil"/>
            </w:tcBorders>
            <w:shd w:val="clear" w:color="auto" w:fill="auto"/>
            <w:noWrap/>
            <w:vAlign w:val="bottom"/>
            <w:hideMark/>
          </w:tcPr>
          <w:p w14:paraId="1F64B315"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7536E1C0" w14:textId="77777777" w:rsidR="00FC14A5" w:rsidRPr="005A566B" w:rsidRDefault="00FC14A5" w:rsidP="00FC14A5">
            <w:pPr>
              <w:spacing w:after="0" w:line="240" w:lineRule="auto"/>
              <w:jc w:val="center"/>
              <w:rPr>
                <w:rFonts w:ascii="Arial" w:eastAsia="Times New Roman" w:hAnsi="Arial" w:cs="Arial"/>
                <w:lang w:eastAsia="en-GB"/>
              </w:rPr>
            </w:pPr>
          </w:p>
        </w:tc>
        <w:tc>
          <w:tcPr>
            <w:tcW w:w="2021" w:type="dxa"/>
            <w:tcBorders>
              <w:top w:val="nil"/>
              <w:left w:val="nil"/>
              <w:bottom w:val="nil"/>
              <w:right w:val="nil"/>
            </w:tcBorders>
            <w:shd w:val="clear" w:color="auto" w:fill="auto"/>
            <w:noWrap/>
            <w:vAlign w:val="bottom"/>
            <w:hideMark/>
          </w:tcPr>
          <w:p w14:paraId="557F7AA2"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16908AAC" w14:textId="77777777" w:rsidR="00FC14A5" w:rsidRPr="005A566B" w:rsidRDefault="00FC14A5" w:rsidP="00FC14A5">
            <w:pPr>
              <w:spacing w:after="0" w:line="240" w:lineRule="auto"/>
              <w:jc w:val="center"/>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42249897" w14:textId="77777777" w:rsidR="00FC14A5" w:rsidRPr="005A566B" w:rsidRDefault="00FC14A5" w:rsidP="00FC14A5">
            <w:pPr>
              <w:spacing w:after="0" w:line="240" w:lineRule="auto"/>
              <w:jc w:val="center"/>
              <w:rPr>
                <w:rFonts w:ascii="Arial" w:eastAsia="Times New Roman" w:hAnsi="Arial" w:cs="Arial"/>
                <w:lang w:eastAsia="en-GB"/>
              </w:rPr>
            </w:pPr>
          </w:p>
        </w:tc>
      </w:tr>
      <w:tr w:rsidR="00FC14A5" w:rsidRPr="005A566B" w14:paraId="42507D0C" w14:textId="77777777" w:rsidTr="00066783">
        <w:trPr>
          <w:trHeight w:val="266"/>
        </w:trPr>
        <w:tc>
          <w:tcPr>
            <w:tcW w:w="1952" w:type="dxa"/>
            <w:tcBorders>
              <w:top w:val="nil"/>
              <w:left w:val="nil"/>
              <w:bottom w:val="nil"/>
              <w:right w:val="nil"/>
            </w:tcBorders>
            <w:shd w:val="clear" w:color="auto" w:fill="auto"/>
            <w:noWrap/>
            <w:vAlign w:val="bottom"/>
            <w:hideMark/>
          </w:tcPr>
          <w:p w14:paraId="13E101F2"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FLEV</w:t>
            </w:r>
            <w:r w:rsidRPr="005A566B">
              <w:rPr>
                <w:rFonts w:ascii="Arial" w:eastAsia="Times New Roman" w:hAnsi="Arial" w:cs="Arial"/>
                <w:sz w:val="10"/>
                <w:lang w:eastAsia="en-GB"/>
              </w:rPr>
              <w:t xml:space="preserve"> </w:t>
            </w:r>
          </w:p>
        </w:tc>
        <w:tc>
          <w:tcPr>
            <w:tcW w:w="1886" w:type="dxa"/>
            <w:tcBorders>
              <w:top w:val="nil"/>
              <w:left w:val="nil"/>
              <w:bottom w:val="nil"/>
              <w:right w:val="nil"/>
            </w:tcBorders>
            <w:shd w:val="clear" w:color="auto" w:fill="auto"/>
            <w:noWrap/>
            <w:vAlign w:val="bottom"/>
            <w:hideMark/>
          </w:tcPr>
          <w:p w14:paraId="3A145E4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-0.0141***</w:t>
            </w:r>
          </w:p>
        </w:tc>
        <w:tc>
          <w:tcPr>
            <w:tcW w:w="2021" w:type="dxa"/>
            <w:tcBorders>
              <w:top w:val="nil"/>
              <w:left w:val="nil"/>
              <w:bottom w:val="nil"/>
              <w:right w:val="nil"/>
            </w:tcBorders>
            <w:shd w:val="clear" w:color="auto" w:fill="auto"/>
            <w:noWrap/>
            <w:vAlign w:val="bottom"/>
            <w:hideMark/>
          </w:tcPr>
          <w:p w14:paraId="3A71C0E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-0.00729***</w:t>
            </w:r>
          </w:p>
        </w:tc>
        <w:tc>
          <w:tcPr>
            <w:tcW w:w="1886" w:type="dxa"/>
            <w:tcBorders>
              <w:top w:val="nil"/>
              <w:left w:val="nil"/>
              <w:bottom w:val="nil"/>
              <w:right w:val="nil"/>
            </w:tcBorders>
            <w:shd w:val="clear" w:color="auto" w:fill="auto"/>
            <w:noWrap/>
            <w:vAlign w:val="bottom"/>
            <w:hideMark/>
          </w:tcPr>
          <w:p w14:paraId="39033CF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-0.0138***</w:t>
            </w:r>
          </w:p>
        </w:tc>
        <w:tc>
          <w:tcPr>
            <w:tcW w:w="1886" w:type="dxa"/>
            <w:tcBorders>
              <w:top w:val="nil"/>
              <w:left w:val="nil"/>
              <w:bottom w:val="nil"/>
              <w:right w:val="nil"/>
            </w:tcBorders>
            <w:shd w:val="clear" w:color="auto" w:fill="auto"/>
            <w:noWrap/>
            <w:vAlign w:val="bottom"/>
            <w:hideMark/>
          </w:tcPr>
          <w:p w14:paraId="4C465C5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-0.0123***</w:t>
            </w:r>
          </w:p>
        </w:tc>
      </w:tr>
      <w:tr w:rsidR="00FC14A5" w:rsidRPr="005A566B" w14:paraId="48EEB8AA" w14:textId="77777777" w:rsidTr="00066783">
        <w:trPr>
          <w:trHeight w:val="266"/>
        </w:trPr>
        <w:tc>
          <w:tcPr>
            <w:tcW w:w="1952" w:type="dxa"/>
            <w:tcBorders>
              <w:top w:val="nil"/>
              <w:left w:val="nil"/>
              <w:bottom w:val="nil"/>
              <w:right w:val="nil"/>
            </w:tcBorders>
            <w:shd w:val="clear" w:color="auto" w:fill="auto"/>
            <w:noWrap/>
            <w:vAlign w:val="bottom"/>
            <w:hideMark/>
          </w:tcPr>
          <w:p w14:paraId="24DA053C"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5B079A6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(-81.70)</w:t>
            </w:r>
          </w:p>
        </w:tc>
        <w:tc>
          <w:tcPr>
            <w:tcW w:w="2021" w:type="dxa"/>
            <w:tcBorders>
              <w:top w:val="nil"/>
              <w:left w:val="nil"/>
              <w:bottom w:val="nil"/>
              <w:right w:val="nil"/>
            </w:tcBorders>
            <w:shd w:val="clear" w:color="auto" w:fill="auto"/>
            <w:noWrap/>
            <w:vAlign w:val="bottom"/>
            <w:hideMark/>
          </w:tcPr>
          <w:p w14:paraId="4DBB1F7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(-6.80)</w:t>
            </w:r>
          </w:p>
        </w:tc>
        <w:tc>
          <w:tcPr>
            <w:tcW w:w="1886" w:type="dxa"/>
            <w:tcBorders>
              <w:top w:val="nil"/>
              <w:left w:val="nil"/>
              <w:bottom w:val="nil"/>
              <w:right w:val="nil"/>
            </w:tcBorders>
            <w:shd w:val="clear" w:color="auto" w:fill="auto"/>
            <w:noWrap/>
            <w:vAlign w:val="bottom"/>
            <w:hideMark/>
          </w:tcPr>
          <w:p w14:paraId="1EB2B4A1"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(-47.32)</w:t>
            </w:r>
          </w:p>
        </w:tc>
        <w:tc>
          <w:tcPr>
            <w:tcW w:w="1886" w:type="dxa"/>
            <w:tcBorders>
              <w:top w:val="nil"/>
              <w:left w:val="nil"/>
              <w:bottom w:val="nil"/>
              <w:right w:val="nil"/>
            </w:tcBorders>
            <w:shd w:val="clear" w:color="auto" w:fill="auto"/>
            <w:noWrap/>
            <w:vAlign w:val="bottom"/>
            <w:hideMark/>
          </w:tcPr>
          <w:p w14:paraId="48C8584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(-5.84)</w:t>
            </w:r>
          </w:p>
        </w:tc>
      </w:tr>
      <w:tr w:rsidR="00FC14A5" w:rsidRPr="005A566B" w14:paraId="6212F374" w14:textId="77777777" w:rsidTr="00066783">
        <w:trPr>
          <w:trHeight w:val="266"/>
        </w:trPr>
        <w:tc>
          <w:tcPr>
            <w:tcW w:w="1952" w:type="dxa"/>
            <w:tcBorders>
              <w:top w:val="nil"/>
              <w:left w:val="nil"/>
              <w:bottom w:val="nil"/>
              <w:right w:val="nil"/>
            </w:tcBorders>
            <w:shd w:val="clear" w:color="auto" w:fill="auto"/>
            <w:noWrap/>
            <w:vAlign w:val="bottom"/>
            <w:hideMark/>
          </w:tcPr>
          <w:p w14:paraId="092F1FB0"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ATAN</w:t>
            </w:r>
            <w:r w:rsidRPr="005A566B">
              <w:rPr>
                <w:rFonts w:ascii="Arial" w:eastAsia="Times New Roman" w:hAnsi="Arial" w:cs="Arial"/>
                <w:sz w:val="10"/>
                <w:lang w:eastAsia="en-GB"/>
              </w:rPr>
              <w:t xml:space="preserve"> </w:t>
            </w:r>
          </w:p>
        </w:tc>
        <w:tc>
          <w:tcPr>
            <w:tcW w:w="1886" w:type="dxa"/>
            <w:tcBorders>
              <w:top w:val="nil"/>
              <w:left w:val="nil"/>
              <w:bottom w:val="nil"/>
              <w:right w:val="nil"/>
            </w:tcBorders>
            <w:shd w:val="clear" w:color="auto" w:fill="auto"/>
            <w:noWrap/>
            <w:vAlign w:val="bottom"/>
            <w:hideMark/>
          </w:tcPr>
          <w:p w14:paraId="6FDF52D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-0.000711***</w:t>
            </w:r>
          </w:p>
        </w:tc>
        <w:tc>
          <w:tcPr>
            <w:tcW w:w="2021" w:type="dxa"/>
            <w:tcBorders>
              <w:top w:val="nil"/>
              <w:left w:val="nil"/>
              <w:bottom w:val="nil"/>
              <w:right w:val="nil"/>
            </w:tcBorders>
            <w:shd w:val="clear" w:color="auto" w:fill="auto"/>
            <w:noWrap/>
            <w:vAlign w:val="bottom"/>
            <w:hideMark/>
          </w:tcPr>
          <w:p w14:paraId="6578F86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-0.00655***</w:t>
            </w:r>
          </w:p>
        </w:tc>
        <w:tc>
          <w:tcPr>
            <w:tcW w:w="1886" w:type="dxa"/>
            <w:tcBorders>
              <w:top w:val="nil"/>
              <w:left w:val="nil"/>
              <w:bottom w:val="nil"/>
              <w:right w:val="nil"/>
            </w:tcBorders>
            <w:shd w:val="clear" w:color="auto" w:fill="auto"/>
            <w:noWrap/>
            <w:vAlign w:val="bottom"/>
            <w:hideMark/>
          </w:tcPr>
          <w:p w14:paraId="6CDDCD7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-0.000681**</w:t>
            </w:r>
          </w:p>
        </w:tc>
        <w:tc>
          <w:tcPr>
            <w:tcW w:w="1886" w:type="dxa"/>
            <w:tcBorders>
              <w:top w:val="nil"/>
              <w:left w:val="nil"/>
              <w:bottom w:val="nil"/>
              <w:right w:val="nil"/>
            </w:tcBorders>
            <w:shd w:val="clear" w:color="auto" w:fill="auto"/>
            <w:noWrap/>
            <w:vAlign w:val="bottom"/>
            <w:hideMark/>
          </w:tcPr>
          <w:p w14:paraId="142171A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-0.00820***</w:t>
            </w:r>
          </w:p>
        </w:tc>
      </w:tr>
      <w:tr w:rsidR="00FC14A5" w:rsidRPr="005A566B" w14:paraId="2076F5ED" w14:textId="77777777" w:rsidTr="00066783">
        <w:trPr>
          <w:trHeight w:val="266"/>
        </w:trPr>
        <w:tc>
          <w:tcPr>
            <w:tcW w:w="1952" w:type="dxa"/>
            <w:tcBorders>
              <w:top w:val="nil"/>
              <w:left w:val="nil"/>
              <w:bottom w:val="nil"/>
              <w:right w:val="nil"/>
            </w:tcBorders>
            <w:shd w:val="clear" w:color="auto" w:fill="auto"/>
            <w:noWrap/>
            <w:vAlign w:val="bottom"/>
            <w:hideMark/>
          </w:tcPr>
          <w:p w14:paraId="0C12A1C7"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41D513B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(-2.76)</w:t>
            </w:r>
          </w:p>
        </w:tc>
        <w:tc>
          <w:tcPr>
            <w:tcW w:w="2021" w:type="dxa"/>
            <w:tcBorders>
              <w:top w:val="nil"/>
              <w:left w:val="nil"/>
              <w:bottom w:val="nil"/>
              <w:right w:val="nil"/>
            </w:tcBorders>
            <w:shd w:val="clear" w:color="auto" w:fill="auto"/>
            <w:noWrap/>
            <w:vAlign w:val="bottom"/>
            <w:hideMark/>
          </w:tcPr>
          <w:p w14:paraId="2661B40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(-3.29)</w:t>
            </w:r>
          </w:p>
        </w:tc>
        <w:tc>
          <w:tcPr>
            <w:tcW w:w="1886" w:type="dxa"/>
            <w:tcBorders>
              <w:top w:val="nil"/>
              <w:left w:val="nil"/>
              <w:bottom w:val="nil"/>
              <w:right w:val="nil"/>
            </w:tcBorders>
            <w:shd w:val="clear" w:color="auto" w:fill="auto"/>
            <w:noWrap/>
            <w:vAlign w:val="bottom"/>
            <w:hideMark/>
          </w:tcPr>
          <w:p w14:paraId="0D43A5D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(-2.29)</w:t>
            </w:r>
          </w:p>
        </w:tc>
        <w:tc>
          <w:tcPr>
            <w:tcW w:w="1886" w:type="dxa"/>
            <w:tcBorders>
              <w:top w:val="nil"/>
              <w:left w:val="nil"/>
              <w:bottom w:val="nil"/>
              <w:right w:val="nil"/>
            </w:tcBorders>
            <w:shd w:val="clear" w:color="auto" w:fill="auto"/>
            <w:noWrap/>
            <w:vAlign w:val="bottom"/>
            <w:hideMark/>
          </w:tcPr>
          <w:p w14:paraId="773DFF4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(-3.58)</w:t>
            </w:r>
          </w:p>
        </w:tc>
      </w:tr>
      <w:tr w:rsidR="00FC14A5" w:rsidRPr="005A566B" w14:paraId="6A5542EE" w14:textId="77777777" w:rsidTr="00066783">
        <w:trPr>
          <w:trHeight w:val="266"/>
        </w:trPr>
        <w:tc>
          <w:tcPr>
            <w:tcW w:w="1952" w:type="dxa"/>
            <w:tcBorders>
              <w:top w:val="nil"/>
              <w:left w:val="nil"/>
              <w:bottom w:val="nil"/>
              <w:right w:val="nil"/>
            </w:tcBorders>
            <w:shd w:val="clear" w:color="auto" w:fill="auto"/>
            <w:noWrap/>
            <w:vAlign w:val="bottom"/>
            <w:hideMark/>
          </w:tcPr>
          <w:p w14:paraId="0EC54251"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GROWTH</w:t>
            </w:r>
            <w:r w:rsidRPr="005A566B">
              <w:rPr>
                <w:rFonts w:ascii="Arial" w:eastAsia="Times New Roman" w:hAnsi="Arial" w:cs="Arial"/>
                <w:sz w:val="10"/>
                <w:lang w:eastAsia="en-GB"/>
              </w:rPr>
              <w:t xml:space="preserve"> </w:t>
            </w:r>
          </w:p>
        </w:tc>
        <w:tc>
          <w:tcPr>
            <w:tcW w:w="1886" w:type="dxa"/>
            <w:tcBorders>
              <w:top w:val="nil"/>
              <w:left w:val="nil"/>
              <w:bottom w:val="nil"/>
              <w:right w:val="nil"/>
            </w:tcBorders>
            <w:shd w:val="clear" w:color="auto" w:fill="auto"/>
            <w:noWrap/>
            <w:vAlign w:val="bottom"/>
            <w:hideMark/>
          </w:tcPr>
          <w:p w14:paraId="408DE04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-0.000857***</w:t>
            </w:r>
          </w:p>
        </w:tc>
        <w:tc>
          <w:tcPr>
            <w:tcW w:w="2021" w:type="dxa"/>
            <w:tcBorders>
              <w:top w:val="nil"/>
              <w:left w:val="nil"/>
              <w:bottom w:val="nil"/>
              <w:right w:val="nil"/>
            </w:tcBorders>
            <w:shd w:val="clear" w:color="auto" w:fill="auto"/>
            <w:noWrap/>
            <w:vAlign w:val="bottom"/>
            <w:hideMark/>
          </w:tcPr>
          <w:p w14:paraId="1DE14515"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0.000306***</w:t>
            </w:r>
          </w:p>
        </w:tc>
        <w:tc>
          <w:tcPr>
            <w:tcW w:w="1886" w:type="dxa"/>
            <w:tcBorders>
              <w:top w:val="nil"/>
              <w:left w:val="nil"/>
              <w:bottom w:val="nil"/>
              <w:right w:val="nil"/>
            </w:tcBorders>
            <w:shd w:val="clear" w:color="auto" w:fill="auto"/>
            <w:noWrap/>
            <w:vAlign w:val="bottom"/>
            <w:hideMark/>
          </w:tcPr>
          <w:p w14:paraId="6623E8D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-0.000898***</w:t>
            </w:r>
          </w:p>
        </w:tc>
        <w:tc>
          <w:tcPr>
            <w:tcW w:w="1886" w:type="dxa"/>
            <w:tcBorders>
              <w:top w:val="nil"/>
              <w:left w:val="nil"/>
              <w:bottom w:val="nil"/>
              <w:right w:val="nil"/>
            </w:tcBorders>
            <w:shd w:val="clear" w:color="auto" w:fill="auto"/>
            <w:noWrap/>
            <w:vAlign w:val="bottom"/>
            <w:hideMark/>
          </w:tcPr>
          <w:p w14:paraId="0AA801A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0.000443***</w:t>
            </w:r>
          </w:p>
        </w:tc>
      </w:tr>
      <w:tr w:rsidR="00FC14A5" w:rsidRPr="005A566B" w14:paraId="025F84D9" w14:textId="77777777" w:rsidTr="00066783">
        <w:trPr>
          <w:trHeight w:val="266"/>
        </w:trPr>
        <w:tc>
          <w:tcPr>
            <w:tcW w:w="1952" w:type="dxa"/>
            <w:tcBorders>
              <w:top w:val="nil"/>
              <w:left w:val="nil"/>
              <w:bottom w:val="nil"/>
              <w:right w:val="nil"/>
            </w:tcBorders>
            <w:shd w:val="clear" w:color="auto" w:fill="auto"/>
            <w:noWrap/>
            <w:vAlign w:val="bottom"/>
            <w:hideMark/>
          </w:tcPr>
          <w:p w14:paraId="63F592AE"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FLEV</w:t>
            </w:r>
          </w:p>
        </w:tc>
        <w:tc>
          <w:tcPr>
            <w:tcW w:w="1886" w:type="dxa"/>
            <w:tcBorders>
              <w:top w:val="nil"/>
              <w:left w:val="nil"/>
              <w:bottom w:val="nil"/>
              <w:right w:val="nil"/>
            </w:tcBorders>
            <w:shd w:val="clear" w:color="auto" w:fill="auto"/>
            <w:noWrap/>
            <w:vAlign w:val="bottom"/>
            <w:hideMark/>
          </w:tcPr>
          <w:p w14:paraId="5F08FE7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(-61.35)</w:t>
            </w:r>
          </w:p>
        </w:tc>
        <w:tc>
          <w:tcPr>
            <w:tcW w:w="2021" w:type="dxa"/>
            <w:tcBorders>
              <w:top w:val="nil"/>
              <w:left w:val="nil"/>
              <w:bottom w:val="nil"/>
              <w:right w:val="nil"/>
            </w:tcBorders>
            <w:shd w:val="clear" w:color="auto" w:fill="auto"/>
            <w:noWrap/>
            <w:vAlign w:val="bottom"/>
            <w:hideMark/>
          </w:tcPr>
          <w:p w14:paraId="77171297"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(10.71)</w:t>
            </w:r>
          </w:p>
        </w:tc>
        <w:tc>
          <w:tcPr>
            <w:tcW w:w="1886" w:type="dxa"/>
            <w:tcBorders>
              <w:top w:val="nil"/>
              <w:left w:val="nil"/>
              <w:bottom w:val="nil"/>
              <w:right w:val="nil"/>
            </w:tcBorders>
            <w:shd w:val="clear" w:color="auto" w:fill="auto"/>
            <w:noWrap/>
            <w:vAlign w:val="bottom"/>
            <w:hideMark/>
          </w:tcPr>
          <w:p w14:paraId="4B31124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(-51.56)</w:t>
            </w:r>
          </w:p>
        </w:tc>
        <w:tc>
          <w:tcPr>
            <w:tcW w:w="1886" w:type="dxa"/>
            <w:tcBorders>
              <w:top w:val="nil"/>
              <w:left w:val="nil"/>
              <w:bottom w:val="nil"/>
              <w:right w:val="nil"/>
            </w:tcBorders>
            <w:shd w:val="clear" w:color="auto" w:fill="auto"/>
            <w:noWrap/>
            <w:vAlign w:val="bottom"/>
            <w:hideMark/>
          </w:tcPr>
          <w:p w14:paraId="34963AE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(10.70)</w:t>
            </w:r>
          </w:p>
        </w:tc>
      </w:tr>
      <w:tr w:rsidR="00FC14A5" w:rsidRPr="005A566B" w14:paraId="71E99006" w14:textId="77777777" w:rsidTr="00066783">
        <w:trPr>
          <w:trHeight w:val="266"/>
        </w:trPr>
        <w:tc>
          <w:tcPr>
            <w:tcW w:w="1952" w:type="dxa"/>
            <w:tcBorders>
              <w:top w:val="nil"/>
              <w:left w:val="nil"/>
              <w:bottom w:val="nil"/>
              <w:right w:val="nil"/>
            </w:tcBorders>
            <w:shd w:val="clear" w:color="auto" w:fill="auto"/>
            <w:noWrap/>
            <w:vAlign w:val="bottom"/>
            <w:hideMark/>
          </w:tcPr>
          <w:p w14:paraId="257817C8" w14:textId="77777777" w:rsidR="00FC14A5" w:rsidRPr="005A566B" w:rsidRDefault="00FC14A5" w:rsidP="00FC14A5">
            <w:pPr>
              <w:spacing w:after="0" w:line="240" w:lineRule="auto"/>
              <w:rPr>
                <w:rFonts w:ascii="Arial" w:eastAsia="Times New Roman" w:hAnsi="Arial" w:cs="Arial"/>
                <w:lang w:eastAsia="en-GB"/>
              </w:rPr>
            </w:pPr>
          </w:p>
        </w:tc>
        <w:tc>
          <w:tcPr>
            <w:tcW w:w="1886" w:type="dxa"/>
            <w:tcBorders>
              <w:top w:val="nil"/>
              <w:left w:val="nil"/>
              <w:bottom w:val="nil"/>
              <w:right w:val="nil"/>
            </w:tcBorders>
            <w:shd w:val="clear" w:color="auto" w:fill="auto"/>
            <w:noWrap/>
            <w:vAlign w:val="bottom"/>
            <w:hideMark/>
          </w:tcPr>
          <w:p w14:paraId="0B3507D0"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(-15.08)</w:t>
            </w:r>
          </w:p>
        </w:tc>
        <w:tc>
          <w:tcPr>
            <w:tcW w:w="2021" w:type="dxa"/>
            <w:tcBorders>
              <w:top w:val="nil"/>
              <w:left w:val="nil"/>
              <w:bottom w:val="nil"/>
              <w:right w:val="nil"/>
            </w:tcBorders>
            <w:shd w:val="clear" w:color="auto" w:fill="auto"/>
            <w:noWrap/>
            <w:vAlign w:val="bottom"/>
            <w:hideMark/>
          </w:tcPr>
          <w:p w14:paraId="0C796ADE"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(-9.58)</w:t>
            </w:r>
          </w:p>
        </w:tc>
        <w:tc>
          <w:tcPr>
            <w:tcW w:w="1886" w:type="dxa"/>
            <w:tcBorders>
              <w:top w:val="nil"/>
              <w:left w:val="nil"/>
              <w:bottom w:val="nil"/>
              <w:right w:val="nil"/>
            </w:tcBorders>
            <w:shd w:val="clear" w:color="auto" w:fill="auto"/>
            <w:noWrap/>
            <w:vAlign w:val="bottom"/>
            <w:hideMark/>
          </w:tcPr>
          <w:p w14:paraId="290571E2"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(-11.65)</w:t>
            </w:r>
          </w:p>
        </w:tc>
        <w:tc>
          <w:tcPr>
            <w:tcW w:w="1886" w:type="dxa"/>
            <w:tcBorders>
              <w:top w:val="nil"/>
              <w:left w:val="nil"/>
              <w:bottom w:val="nil"/>
              <w:right w:val="nil"/>
            </w:tcBorders>
            <w:shd w:val="clear" w:color="auto" w:fill="auto"/>
            <w:noWrap/>
            <w:vAlign w:val="bottom"/>
            <w:hideMark/>
          </w:tcPr>
          <w:p w14:paraId="50EEBD86"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(-6.72)</w:t>
            </w:r>
          </w:p>
        </w:tc>
      </w:tr>
      <w:tr w:rsidR="000F3BE0" w:rsidRPr="005A566B" w14:paraId="43FE8387" w14:textId="77777777" w:rsidTr="00066783">
        <w:trPr>
          <w:trHeight w:val="266"/>
        </w:trPr>
        <w:tc>
          <w:tcPr>
            <w:tcW w:w="1952" w:type="dxa"/>
            <w:tcBorders>
              <w:top w:val="nil"/>
              <w:left w:val="nil"/>
              <w:bottom w:val="nil"/>
              <w:right w:val="nil"/>
            </w:tcBorders>
            <w:shd w:val="clear" w:color="auto" w:fill="auto"/>
            <w:noWrap/>
            <w:vAlign w:val="bottom"/>
            <w:hideMark/>
          </w:tcPr>
          <w:p w14:paraId="284727EC" w14:textId="77777777" w:rsidR="000F3BE0" w:rsidRPr="005A566B" w:rsidRDefault="000F3BE0"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OBSERVATIONS</w:t>
            </w:r>
          </w:p>
        </w:tc>
        <w:tc>
          <w:tcPr>
            <w:tcW w:w="1886" w:type="dxa"/>
            <w:tcBorders>
              <w:top w:val="nil"/>
              <w:left w:val="nil"/>
              <w:bottom w:val="nil"/>
              <w:right w:val="nil"/>
            </w:tcBorders>
            <w:shd w:val="clear" w:color="auto" w:fill="auto"/>
            <w:noWrap/>
            <w:vAlign w:val="bottom"/>
            <w:hideMark/>
          </w:tcPr>
          <w:p w14:paraId="4CD35862" w14:textId="058125C4"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2021" w:type="dxa"/>
            <w:tcBorders>
              <w:top w:val="nil"/>
              <w:left w:val="nil"/>
              <w:bottom w:val="nil"/>
              <w:right w:val="nil"/>
            </w:tcBorders>
            <w:shd w:val="clear" w:color="auto" w:fill="auto"/>
            <w:noWrap/>
            <w:vAlign w:val="bottom"/>
            <w:hideMark/>
          </w:tcPr>
          <w:p w14:paraId="62F284A9" w14:textId="46927717"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886" w:type="dxa"/>
            <w:tcBorders>
              <w:top w:val="nil"/>
              <w:left w:val="nil"/>
              <w:bottom w:val="nil"/>
              <w:right w:val="nil"/>
            </w:tcBorders>
            <w:shd w:val="clear" w:color="auto" w:fill="auto"/>
            <w:noWrap/>
            <w:vAlign w:val="bottom"/>
            <w:hideMark/>
          </w:tcPr>
          <w:p w14:paraId="0CD8382A" w14:textId="7BEF919B"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886" w:type="dxa"/>
            <w:tcBorders>
              <w:top w:val="nil"/>
              <w:left w:val="nil"/>
              <w:bottom w:val="nil"/>
              <w:right w:val="nil"/>
            </w:tcBorders>
            <w:shd w:val="clear" w:color="auto" w:fill="auto"/>
            <w:noWrap/>
            <w:vAlign w:val="bottom"/>
            <w:hideMark/>
          </w:tcPr>
          <w:p w14:paraId="5DEF64E5" w14:textId="30B1E8DC" w:rsidR="000F3BE0" w:rsidRPr="005A566B" w:rsidRDefault="000F3BE0" w:rsidP="00FC14A5">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r>
      <w:tr w:rsidR="00FC14A5" w:rsidRPr="005A566B" w14:paraId="4EE8F94B" w14:textId="77777777" w:rsidTr="00066783">
        <w:trPr>
          <w:trHeight w:val="266"/>
        </w:trPr>
        <w:tc>
          <w:tcPr>
            <w:tcW w:w="1952" w:type="dxa"/>
            <w:tcBorders>
              <w:top w:val="nil"/>
              <w:left w:val="nil"/>
              <w:right w:val="nil"/>
            </w:tcBorders>
            <w:shd w:val="clear" w:color="auto" w:fill="auto"/>
            <w:noWrap/>
            <w:vAlign w:val="center"/>
          </w:tcPr>
          <w:p w14:paraId="16089FD2"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INDUSTRY</w:t>
            </w:r>
          </w:p>
        </w:tc>
        <w:tc>
          <w:tcPr>
            <w:tcW w:w="1886" w:type="dxa"/>
            <w:tcBorders>
              <w:top w:val="nil"/>
              <w:left w:val="nil"/>
              <w:right w:val="nil"/>
            </w:tcBorders>
            <w:shd w:val="clear" w:color="auto" w:fill="auto"/>
            <w:noWrap/>
            <w:vAlign w:val="bottom"/>
          </w:tcPr>
          <w:p w14:paraId="63E8039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2021" w:type="dxa"/>
            <w:tcBorders>
              <w:top w:val="nil"/>
              <w:left w:val="nil"/>
              <w:right w:val="nil"/>
            </w:tcBorders>
            <w:shd w:val="clear" w:color="auto" w:fill="auto"/>
            <w:noWrap/>
            <w:vAlign w:val="bottom"/>
          </w:tcPr>
          <w:p w14:paraId="56DEC2E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886" w:type="dxa"/>
            <w:tcBorders>
              <w:top w:val="nil"/>
              <w:left w:val="nil"/>
              <w:right w:val="nil"/>
            </w:tcBorders>
            <w:shd w:val="clear" w:color="auto" w:fill="auto"/>
            <w:noWrap/>
            <w:vAlign w:val="bottom"/>
          </w:tcPr>
          <w:p w14:paraId="3AE8B65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886" w:type="dxa"/>
            <w:tcBorders>
              <w:top w:val="nil"/>
              <w:left w:val="nil"/>
              <w:right w:val="nil"/>
            </w:tcBorders>
            <w:shd w:val="clear" w:color="auto" w:fill="auto"/>
            <w:noWrap/>
            <w:vAlign w:val="bottom"/>
          </w:tcPr>
          <w:p w14:paraId="0CA91DC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FC14A5" w:rsidRPr="005A566B" w14:paraId="708AECEF" w14:textId="77777777" w:rsidTr="00066783">
        <w:trPr>
          <w:trHeight w:val="266"/>
        </w:trPr>
        <w:tc>
          <w:tcPr>
            <w:tcW w:w="1952" w:type="dxa"/>
            <w:tcBorders>
              <w:top w:val="nil"/>
              <w:left w:val="nil"/>
              <w:right w:val="nil"/>
            </w:tcBorders>
            <w:shd w:val="clear" w:color="auto" w:fill="auto"/>
            <w:noWrap/>
            <w:vAlign w:val="center"/>
          </w:tcPr>
          <w:p w14:paraId="5AB09872"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YEAR</w:t>
            </w:r>
          </w:p>
        </w:tc>
        <w:tc>
          <w:tcPr>
            <w:tcW w:w="1886" w:type="dxa"/>
            <w:tcBorders>
              <w:top w:val="nil"/>
              <w:left w:val="nil"/>
              <w:right w:val="nil"/>
            </w:tcBorders>
            <w:shd w:val="clear" w:color="auto" w:fill="auto"/>
            <w:noWrap/>
            <w:vAlign w:val="bottom"/>
          </w:tcPr>
          <w:p w14:paraId="43D54453"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2021" w:type="dxa"/>
            <w:tcBorders>
              <w:top w:val="nil"/>
              <w:left w:val="nil"/>
              <w:right w:val="nil"/>
            </w:tcBorders>
            <w:shd w:val="clear" w:color="auto" w:fill="auto"/>
            <w:noWrap/>
            <w:vAlign w:val="bottom"/>
          </w:tcPr>
          <w:p w14:paraId="67AB081B"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886" w:type="dxa"/>
            <w:tcBorders>
              <w:top w:val="nil"/>
              <w:left w:val="nil"/>
              <w:right w:val="nil"/>
            </w:tcBorders>
            <w:shd w:val="clear" w:color="auto" w:fill="auto"/>
            <w:noWrap/>
            <w:vAlign w:val="bottom"/>
          </w:tcPr>
          <w:p w14:paraId="2762D97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886" w:type="dxa"/>
            <w:tcBorders>
              <w:top w:val="nil"/>
              <w:left w:val="nil"/>
              <w:right w:val="nil"/>
            </w:tcBorders>
            <w:shd w:val="clear" w:color="auto" w:fill="auto"/>
            <w:noWrap/>
            <w:vAlign w:val="bottom"/>
          </w:tcPr>
          <w:p w14:paraId="163E568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FC14A5" w:rsidRPr="005A566B" w14:paraId="40028C7D" w14:textId="77777777" w:rsidTr="00066783">
        <w:trPr>
          <w:trHeight w:val="266"/>
        </w:trPr>
        <w:tc>
          <w:tcPr>
            <w:tcW w:w="1952" w:type="dxa"/>
            <w:tcBorders>
              <w:top w:val="nil"/>
              <w:left w:val="nil"/>
              <w:right w:val="nil"/>
            </w:tcBorders>
            <w:shd w:val="clear" w:color="auto" w:fill="auto"/>
            <w:noWrap/>
            <w:vAlign w:val="bottom"/>
          </w:tcPr>
          <w:p w14:paraId="1CB06FE2"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HANSEN TEST (p)</w:t>
            </w:r>
          </w:p>
        </w:tc>
        <w:tc>
          <w:tcPr>
            <w:tcW w:w="1886" w:type="dxa"/>
            <w:tcBorders>
              <w:top w:val="nil"/>
              <w:left w:val="nil"/>
              <w:right w:val="nil"/>
            </w:tcBorders>
            <w:shd w:val="clear" w:color="auto" w:fill="auto"/>
            <w:noWrap/>
            <w:vAlign w:val="bottom"/>
          </w:tcPr>
          <w:p w14:paraId="37C0E9AC"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0.386</w:t>
            </w:r>
          </w:p>
        </w:tc>
        <w:tc>
          <w:tcPr>
            <w:tcW w:w="2021" w:type="dxa"/>
            <w:tcBorders>
              <w:top w:val="nil"/>
              <w:left w:val="nil"/>
              <w:right w:val="nil"/>
            </w:tcBorders>
            <w:shd w:val="clear" w:color="auto" w:fill="auto"/>
            <w:noWrap/>
            <w:vAlign w:val="bottom"/>
          </w:tcPr>
          <w:p w14:paraId="7ED14AA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0.260</w:t>
            </w:r>
          </w:p>
        </w:tc>
        <w:tc>
          <w:tcPr>
            <w:tcW w:w="1886" w:type="dxa"/>
            <w:tcBorders>
              <w:top w:val="nil"/>
              <w:left w:val="nil"/>
              <w:right w:val="nil"/>
            </w:tcBorders>
            <w:shd w:val="clear" w:color="auto" w:fill="auto"/>
            <w:noWrap/>
            <w:vAlign w:val="bottom"/>
          </w:tcPr>
          <w:p w14:paraId="3E2969A4"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0.330</w:t>
            </w:r>
          </w:p>
        </w:tc>
        <w:tc>
          <w:tcPr>
            <w:tcW w:w="1886" w:type="dxa"/>
            <w:tcBorders>
              <w:top w:val="nil"/>
              <w:left w:val="nil"/>
              <w:right w:val="nil"/>
            </w:tcBorders>
            <w:shd w:val="clear" w:color="auto" w:fill="auto"/>
            <w:noWrap/>
            <w:vAlign w:val="bottom"/>
          </w:tcPr>
          <w:p w14:paraId="55C6A05A"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 xml:space="preserve">  0.438</w:t>
            </w:r>
          </w:p>
        </w:tc>
      </w:tr>
      <w:tr w:rsidR="00FC14A5" w:rsidRPr="005A566B" w14:paraId="0C4CD8E2" w14:textId="77777777" w:rsidTr="00066783">
        <w:trPr>
          <w:trHeight w:val="266"/>
        </w:trPr>
        <w:tc>
          <w:tcPr>
            <w:tcW w:w="1952" w:type="dxa"/>
            <w:tcBorders>
              <w:top w:val="nil"/>
              <w:left w:val="nil"/>
              <w:right w:val="nil"/>
            </w:tcBorders>
            <w:shd w:val="clear" w:color="auto" w:fill="auto"/>
            <w:noWrap/>
            <w:vAlign w:val="bottom"/>
            <w:hideMark/>
          </w:tcPr>
          <w:p w14:paraId="3CD4718D"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t>AR1 (p)</w:t>
            </w:r>
          </w:p>
        </w:tc>
        <w:tc>
          <w:tcPr>
            <w:tcW w:w="1886" w:type="dxa"/>
            <w:tcBorders>
              <w:top w:val="nil"/>
              <w:left w:val="nil"/>
              <w:right w:val="nil"/>
            </w:tcBorders>
            <w:shd w:val="clear" w:color="auto" w:fill="auto"/>
            <w:noWrap/>
            <w:vAlign w:val="bottom"/>
            <w:hideMark/>
          </w:tcPr>
          <w:p w14:paraId="3D14F56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2021" w:type="dxa"/>
            <w:tcBorders>
              <w:top w:val="nil"/>
              <w:left w:val="nil"/>
              <w:right w:val="nil"/>
            </w:tcBorders>
            <w:shd w:val="clear" w:color="auto" w:fill="auto"/>
            <w:noWrap/>
            <w:vAlign w:val="bottom"/>
            <w:hideMark/>
          </w:tcPr>
          <w:p w14:paraId="68175FA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886" w:type="dxa"/>
            <w:tcBorders>
              <w:top w:val="nil"/>
              <w:left w:val="nil"/>
              <w:right w:val="nil"/>
            </w:tcBorders>
            <w:shd w:val="clear" w:color="auto" w:fill="auto"/>
            <w:noWrap/>
            <w:vAlign w:val="bottom"/>
            <w:hideMark/>
          </w:tcPr>
          <w:p w14:paraId="63BEB2A9"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886" w:type="dxa"/>
            <w:tcBorders>
              <w:top w:val="nil"/>
              <w:left w:val="nil"/>
              <w:right w:val="nil"/>
            </w:tcBorders>
            <w:shd w:val="clear" w:color="auto" w:fill="auto"/>
            <w:noWrap/>
            <w:vAlign w:val="bottom"/>
            <w:hideMark/>
          </w:tcPr>
          <w:p w14:paraId="25D8E16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r>
      <w:tr w:rsidR="00FC14A5" w:rsidRPr="005A566B" w14:paraId="67C280A1" w14:textId="77777777" w:rsidTr="00066783">
        <w:trPr>
          <w:trHeight w:val="266"/>
        </w:trPr>
        <w:tc>
          <w:tcPr>
            <w:tcW w:w="1952" w:type="dxa"/>
            <w:tcBorders>
              <w:top w:val="nil"/>
              <w:left w:val="nil"/>
              <w:bottom w:val="single" w:sz="4" w:space="0" w:color="auto"/>
              <w:right w:val="nil"/>
            </w:tcBorders>
            <w:shd w:val="clear" w:color="auto" w:fill="auto"/>
            <w:noWrap/>
            <w:vAlign w:val="bottom"/>
            <w:hideMark/>
          </w:tcPr>
          <w:p w14:paraId="7B29181C" w14:textId="77777777" w:rsidR="00FC14A5" w:rsidRPr="005A566B" w:rsidRDefault="00FC14A5" w:rsidP="00FC14A5">
            <w:pPr>
              <w:spacing w:after="0" w:line="240" w:lineRule="auto"/>
              <w:rPr>
                <w:rFonts w:ascii="Arial" w:eastAsia="Times New Roman" w:hAnsi="Arial" w:cs="Arial"/>
                <w:lang w:eastAsia="en-GB"/>
              </w:rPr>
            </w:pPr>
            <w:r w:rsidRPr="005A566B">
              <w:rPr>
                <w:rFonts w:ascii="Arial" w:eastAsia="Times New Roman" w:hAnsi="Arial" w:cs="Arial"/>
                <w:lang w:eastAsia="en-GB"/>
              </w:rPr>
              <w:lastRenderedPageBreak/>
              <w:t>AR2 (p)</w:t>
            </w:r>
          </w:p>
        </w:tc>
        <w:tc>
          <w:tcPr>
            <w:tcW w:w="1886" w:type="dxa"/>
            <w:tcBorders>
              <w:top w:val="nil"/>
              <w:left w:val="nil"/>
              <w:bottom w:val="single" w:sz="4" w:space="0" w:color="auto"/>
              <w:right w:val="nil"/>
            </w:tcBorders>
            <w:shd w:val="clear" w:color="auto" w:fill="auto"/>
            <w:noWrap/>
            <w:vAlign w:val="bottom"/>
            <w:hideMark/>
          </w:tcPr>
          <w:p w14:paraId="728EEB5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0.966</w:t>
            </w:r>
          </w:p>
        </w:tc>
        <w:tc>
          <w:tcPr>
            <w:tcW w:w="2021" w:type="dxa"/>
            <w:tcBorders>
              <w:top w:val="nil"/>
              <w:left w:val="nil"/>
              <w:bottom w:val="single" w:sz="4" w:space="0" w:color="auto"/>
              <w:right w:val="nil"/>
            </w:tcBorders>
            <w:shd w:val="clear" w:color="auto" w:fill="auto"/>
            <w:noWrap/>
            <w:vAlign w:val="bottom"/>
            <w:hideMark/>
          </w:tcPr>
          <w:p w14:paraId="6FE794DD"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0.101</w:t>
            </w:r>
          </w:p>
        </w:tc>
        <w:tc>
          <w:tcPr>
            <w:tcW w:w="1886" w:type="dxa"/>
            <w:tcBorders>
              <w:top w:val="nil"/>
              <w:left w:val="nil"/>
              <w:bottom w:val="single" w:sz="4" w:space="0" w:color="auto"/>
              <w:right w:val="nil"/>
            </w:tcBorders>
            <w:shd w:val="clear" w:color="auto" w:fill="auto"/>
            <w:noWrap/>
            <w:vAlign w:val="bottom"/>
            <w:hideMark/>
          </w:tcPr>
          <w:p w14:paraId="2246D2E8"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0.764</w:t>
            </w:r>
          </w:p>
        </w:tc>
        <w:tc>
          <w:tcPr>
            <w:tcW w:w="1886" w:type="dxa"/>
            <w:tcBorders>
              <w:top w:val="nil"/>
              <w:left w:val="nil"/>
              <w:bottom w:val="single" w:sz="4" w:space="0" w:color="auto"/>
              <w:right w:val="nil"/>
            </w:tcBorders>
            <w:shd w:val="clear" w:color="auto" w:fill="auto"/>
            <w:noWrap/>
            <w:vAlign w:val="bottom"/>
            <w:hideMark/>
          </w:tcPr>
          <w:p w14:paraId="1215C20F" w14:textId="77777777" w:rsidR="00FC14A5" w:rsidRPr="005A566B" w:rsidRDefault="00FC14A5" w:rsidP="00FC14A5">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0.28</w:t>
            </w:r>
          </w:p>
        </w:tc>
      </w:tr>
    </w:tbl>
    <w:p w14:paraId="2BCD8FC2" w14:textId="77777777" w:rsidR="0079751E" w:rsidRPr="005A566B" w:rsidRDefault="0079751E" w:rsidP="0079751E">
      <w:pPr>
        <w:widowControl w:val="0"/>
        <w:autoSpaceDE w:val="0"/>
        <w:autoSpaceDN w:val="0"/>
        <w:adjustRightInd w:val="0"/>
        <w:spacing w:line="240" w:lineRule="auto"/>
        <w:contextualSpacing/>
        <w:jc w:val="both"/>
        <w:rPr>
          <w:rFonts w:ascii="Arial" w:hAnsi="Arial" w:cs="Arial"/>
          <w:bCs/>
          <w:iCs/>
          <w:sz w:val="24"/>
          <w:szCs w:val="24"/>
        </w:rPr>
        <w:sectPr w:rsidR="0079751E" w:rsidRPr="005A566B">
          <w:footerReference w:type="default" r:id="rId9"/>
          <w:pgSz w:w="11906" w:h="16838"/>
          <w:pgMar w:top="1440" w:right="1440" w:bottom="1440" w:left="1440" w:header="708" w:footer="708" w:gutter="0"/>
          <w:cols w:space="708"/>
          <w:docGrid w:linePitch="360"/>
        </w:sectPr>
      </w:pPr>
    </w:p>
    <w:tbl>
      <w:tblPr>
        <w:tblpPr w:leftFromText="180" w:rightFromText="180" w:horzAnchor="margin" w:tblpY="-656"/>
        <w:tblW w:w="14404" w:type="dxa"/>
        <w:tblLook w:val="04A0" w:firstRow="1" w:lastRow="0" w:firstColumn="1" w:lastColumn="0" w:noHBand="0" w:noVBand="1"/>
      </w:tblPr>
      <w:tblGrid>
        <w:gridCol w:w="2257"/>
        <w:gridCol w:w="1344"/>
        <w:gridCol w:w="1504"/>
        <w:gridCol w:w="1412"/>
        <w:gridCol w:w="1480"/>
        <w:gridCol w:w="1663"/>
        <w:gridCol w:w="1573"/>
        <w:gridCol w:w="1595"/>
        <w:gridCol w:w="1576"/>
      </w:tblGrid>
      <w:tr w:rsidR="0079751E" w:rsidRPr="005A566B" w14:paraId="08CFE98F" w14:textId="77777777" w:rsidTr="00127D7B">
        <w:trPr>
          <w:trHeight w:val="264"/>
        </w:trPr>
        <w:tc>
          <w:tcPr>
            <w:tcW w:w="14404" w:type="dxa"/>
            <w:gridSpan w:val="9"/>
            <w:tcBorders>
              <w:top w:val="nil"/>
              <w:left w:val="nil"/>
              <w:right w:val="nil"/>
            </w:tcBorders>
            <w:shd w:val="clear" w:color="auto" w:fill="auto"/>
            <w:noWrap/>
            <w:vAlign w:val="bottom"/>
          </w:tcPr>
          <w:p w14:paraId="0810D534" w14:textId="77777777" w:rsidR="0079751E" w:rsidRPr="005A566B" w:rsidRDefault="0079751E" w:rsidP="00127D7B">
            <w:pPr>
              <w:pBdr>
                <w:bottom w:val="single" w:sz="4" w:space="1" w:color="auto"/>
              </w:pBdr>
              <w:rPr>
                <w:rFonts w:ascii="Arial" w:eastAsia="Calibri" w:hAnsi="Arial" w:cs="Arial"/>
                <w:bCs/>
                <w:iCs/>
              </w:rPr>
            </w:pPr>
            <w:r w:rsidRPr="005A566B">
              <w:rPr>
                <w:rFonts w:ascii="Arial" w:eastAsia="Calibri" w:hAnsi="Arial" w:cs="Arial"/>
                <w:b/>
                <w:bCs/>
                <w:iCs/>
              </w:rPr>
              <w:lastRenderedPageBreak/>
              <w:t xml:space="preserve">Table 9: </w:t>
            </w:r>
            <w:r w:rsidRPr="005A566B">
              <w:rPr>
                <w:rFonts w:ascii="Arial" w:eastAsia="Calibri" w:hAnsi="Arial" w:cs="Arial"/>
                <w:bCs/>
                <w:iCs/>
              </w:rPr>
              <w:t>Alternative measure of</w:t>
            </w:r>
            <w:r w:rsidRPr="005A566B">
              <w:rPr>
                <w:rFonts w:ascii="Arial" w:eastAsia="Calibri" w:hAnsi="Arial" w:cs="Arial"/>
                <w:b/>
                <w:bCs/>
                <w:iCs/>
              </w:rPr>
              <w:t xml:space="preserve">  </w:t>
            </w:r>
            <w:r w:rsidRPr="005A566B">
              <w:rPr>
                <w:rFonts w:ascii="Arial" w:eastAsia="Calibri" w:hAnsi="Arial" w:cs="Arial"/>
                <w:bCs/>
                <w:iCs/>
              </w:rPr>
              <w:t>Working Capital Management on Firm</w:t>
            </w:r>
            <w:r w:rsidR="00383CA7" w:rsidRPr="005A566B">
              <w:rPr>
                <w:rFonts w:ascii="Arial" w:eastAsia="Calibri" w:hAnsi="Arial" w:cs="Arial"/>
                <w:bCs/>
                <w:iCs/>
              </w:rPr>
              <w:t>s’ Financial</w:t>
            </w:r>
            <w:r w:rsidRPr="005A566B">
              <w:rPr>
                <w:rFonts w:ascii="Arial" w:eastAsia="Calibri" w:hAnsi="Arial" w:cs="Arial"/>
                <w:bCs/>
                <w:iCs/>
              </w:rPr>
              <w:t xml:space="preserve"> Performance </w:t>
            </w:r>
          </w:p>
        </w:tc>
      </w:tr>
      <w:tr w:rsidR="0079751E" w:rsidRPr="005A566B" w14:paraId="4B7D94CF" w14:textId="77777777" w:rsidTr="00127D7B">
        <w:trPr>
          <w:trHeight w:val="1760"/>
        </w:trPr>
        <w:tc>
          <w:tcPr>
            <w:tcW w:w="14404" w:type="dxa"/>
            <w:gridSpan w:val="9"/>
            <w:tcBorders>
              <w:top w:val="nil"/>
              <w:left w:val="nil"/>
              <w:bottom w:val="single" w:sz="4" w:space="0" w:color="auto"/>
              <w:right w:val="nil"/>
            </w:tcBorders>
            <w:shd w:val="clear" w:color="auto" w:fill="auto"/>
            <w:noWrap/>
          </w:tcPr>
          <w:p w14:paraId="2B3FD93C" w14:textId="026E3328" w:rsidR="0079751E" w:rsidRPr="005A566B" w:rsidRDefault="0079751E" w:rsidP="00127D7B">
            <w:pPr>
              <w:spacing w:after="200" w:line="276" w:lineRule="auto"/>
              <w:rPr>
                <w:rFonts w:ascii="Arial" w:eastAsia="Calibri" w:hAnsi="Arial" w:cs="Arial"/>
                <w:sz w:val="20"/>
                <w:szCs w:val="20"/>
              </w:rPr>
            </w:pPr>
            <w:r w:rsidRPr="005A566B">
              <w:rPr>
                <w:rFonts w:ascii="Arial" w:eastAsia="Calibri" w:hAnsi="Arial" w:cs="Arial"/>
                <w:sz w:val="20"/>
                <w:szCs w:val="20"/>
              </w:rPr>
              <w:t xml:space="preserve">This table reports a </w:t>
            </w:r>
            <w:r w:rsidRPr="005A566B">
              <w:rPr>
                <w:rFonts w:ascii="Arial" w:eastAsia="Calibri" w:hAnsi="Arial" w:cs="Arial"/>
                <w:sz w:val="13"/>
                <w:szCs w:val="13"/>
              </w:rPr>
              <w:t xml:space="preserve"> </w:t>
            </w:r>
            <w:r w:rsidRPr="005A566B">
              <w:rPr>
                <w:rFonts w:ascii="Arial" w:eastAsia="Calibri" w:hAnsi="Arial" w:cs="Arial"/>
                <w:sz w:val="20"/>
                <w:szCs w:val="20"/>
              </w:rPr>
              <w:t>generalized method of moments (GMM) first-difference estimation on the relationship between working capital management measured by the cash conversion cycle (CCC)</w:t>
            </w:r>
            <w:r w:rsidRPr="005A566B">
              <w:rPr>
                <w:rFonts w:ascii="Arial" w:eastAsia="Calibri" w:hAnsi="Arial" w:cs="Arial"/>
                <w:bCs/>
                <w:iCs/>
                <w:sz w:val="20"/>
                <w:szCs w:val="20"/>
              </w:rPr>
              <w:t xml:space="preserve"> and firm</w:t>
            </w:r>
            <w:r w:rsidR="00383CA7" w:rsidRPr="005A566B">
              <w:rPr>
                <w:rFonts w:ascii="Arial" w:eastAsia="Calibri" w:hAnsi="Arial" w:cs="Arial"/>
                <w:bCs/>
                <w:iCs/>
                <w:sz w:val="20"/>
                <w:szCs w:val="20"/>
              </w:rPr>
              <w:t>s’ financial</w:t>
            </w:r>
            <w:r w:rsidRPr="005A566B">
              <w:rPr>
                <w:rFonts w:ascii="Arial" w:eastAsia="Calibri" w:hAnsi="Arial" w:cs="Arial"/>
                <w:bCs/>
                <w:iCs/>
                <w:sz w:val="20"/>
                <w:szCs w:val="20"/>
              </w:rPr>
              <w:t xml:space="preserve"> performance</w:t>
            </w:r>
            <w:r w:rsidRPr="005A566B">
              <w:rPr>
                <w:rFonts w:ascii="Arial" w:eastAsia="Calibri" w:hAnsi="Arial" w:cs="Arial"/>
                <w:sz w:val="20"/>
                <w:szCs w:val="20"/>
              </w:rPr>
              <w:t xml:space="preserve"> </w:t>
            </w:r>
            <w:r w:rsidR="00383CA7" w:rsidRPr="005A566B">
              <w:rPr>
                <w:rFonts w:ascii="Arial" w:eastAsia="Times New Roman" w:hAnsi="Arial" w:cs="Arial"/>
                <w:noProof/>
                <w:sz w:val="20"/>
                <w:szCs w:val="20"/>
              </w:rPr>
              <w:t xml:space="preserve">for across </w:t>
            </w:r>
            <w:r w:rsidR="00A91615" w:rsidRPr="005A566B">
              <w:rPr>
                <w:rFonts w:ascii="Arial" w:eastAsia="Times New Roman" w:hAnsi="Arial" w:cs="Arial"/>
                <w:noProof/>
                <w:sz w:val="20"/>
                <w:szCs w:val="20"/>
              </w:rPr>
              <w:t>802</w:t>
            </w:r>
            <w:r w:rsidR="00383CA7" w:rsidRPr="005A566B">
              <w:rPr>
                <w:rFonts w:ascii="Arial" w:eastAsia="Times New Roman" w:hAnsi="Arial" w:cs="Arial"/>
                <w:noProof/>
                <w:sz w:val="20"/>
                <w:szCs w:val="20"/>
              </w:rPr>
              <w:t xml:space="preserve"> UK qu</w:t>
            </w:r>
            <w:r w:rsidRPr="005A566B">
              <w:rPr>
                <w:rFonts w:ascii="Arial" w:eastAsia="Times New Roman" w:hAnsi="Arial" w:cs="Arial"/>
                <w:noProof/>
                <w:sz w:val="20"/>
                <w:szCs w:val="20"/>
              </w:rPr>
              <w:t xml:space="preserve">oted firms over the period </w:t>
            </w:r>
            <w:r w:rsidR="00383CA7" w:rsidRPr="005A566B">
              <w:rPr>
                <w:rFonts w:ascii="Arial" w:eastAsia="Times New Roman" w:hAnsi="Arial" w:cs="Arial"/>
                <w:noProof/>
                <w:sz w:val="20"/>
                <w:szCs w:val="20"/>
              </w:rPr>
              <w:t>2004-2014</w:t>
            </w:r>
            <w:r w:rsidRPr="005A566B">
              <w:rPr>
                <w:rFonts w:ascii="Arial" w:eastAsia="Calibri" w:hAnsi="Arial" w:cs="Arial"/>
                <w:sz w:val="20"/>
                <w:szCs w:val="20"/>
              </w:rPr>
              <w:t xml:space="preserve">, with </w:t>
            </w:r>
            <w:r w:rsidRPr="005A566B">
              <w:rPr>
                <w:rFonts w:ascii="Arial" w:eastAsia="Calibri" w:hAnsi="Arial" w:cs="Arial"/>
                <w:i/>
                <w:sz w:val="20"/>
                <w:szCs w:val="20"/>
              </w:rPr>
              <w:t>t</w:t>
            </w:r>
            <w:r w:rsidRPr="005A566B">
              <w:rPr>
                <w:rFonts w:ascii="Arial" w:eastAsia="Calibri" w:hAnsi="Arial" w:cs="Arial"/>
                <w:sz w:val="20"/>
                <w:szCs w:val="20"/>
              </w:rPr>
              <w:t xml:space="preserve">−statistics (reported in parentheses). The dependent variable is the return on assets and Tobin’s Q. All variables are defined in Table 1. </w:t>
            </w:r>
            <w:r w:rsidRPr="005A566B">
              <w:rPr>
                <w:rFonts w:ascii="Arial" w:eastAsia="Times New Roman" w:hAnsi="Arial" w:cs="Arial"/>
                <w:bCs/>
                <w:iCs/>
                <w:sz w:val="20"/>
                <w:szCs w:val="20"/>
                <w:lang w:eastAsia="en-GB"/>
              </w:rPr>
              <w:t>AR1 (AR2) is a test for first- (second-) order serial correlation in the first-differenced residuals, asymptotically distributed as N(0, 1) under the null of no serial. Hansen test is a test of over-identifying restrictions distributed asymptotically under null hypothesis of validity of instruments as Chi-squared.</w:t>
            </w:r>
            <w:r w:rsidRPr="005A566B">
              <w:rPr>
                <w:rFonts w:ascii="Arial" w:eastAsia="Calibri" w:hAnsi="Arial" w:cs="Arial"/>
              </w:rPr>
              <w:t xml:space="preserve"> </w:t>
            </w:r>
            <w:r w:rsidRPr="005A566B">
              <w:rPr>
                <w:rFonts w:ascii="Arial" w:eastAsia="Times New Roman" w:hAnsi="Arial" w:cs="Arial"/>
                <w:bCs/>
                <w:iCs/>
                <w:sz w:val="20"/>
                <w:szCs w:val="20"/>
                <w:lang w:eastAsia="en-GB"/>
              </w:rPr>
              <w:t>The degrees of freedom are given in parenthesis. Instruments include AGE</w:t>
            </w:r>
            <w:r w:rsidRPr="005A566B">
              <w:rPr>
                <w:rFonts w:ascii="Arial" w:eastAsia="Times New Roman" w:hAnsi="Arial" w:cs="Arial"/>
                <w:bCs/>
                <w:iCs/>
                <w:sz w:val="12"/>
                <w:szCs w:val="20"/>
                <w:lang w:eastAsia="en-GB"/>
              </w:rPr>
              <w:t>i,t-2</w:t>
            </w:r>
            <w:r w:rsidRPr="005A566B">
              <w:rPr>
                <w:rFonts w:ascii="Arial" w:eastAsia="Times New Roman" w:hAnsi="Arial" w:cs="Arial"/>
                <w:bCs/>
                <w:iCs/>
                <w:sz w:val="20"/>
                <w:szCs w:val="20"/>
                <w:lang w:eastAsia="en-GB"/>
              </w:rPr>
              <w:t>; CR</w:t>
            </w:r>
            <w:r w:rsidRPr="005A566B">
              <w:rPr>
                <w:rFonts w:ascii="Arial" w:eastAsia="Times New Roman" w:hAnsi="Arial" w:cs="Arial"/>
                <w:bCs/>
                <w:iCs/>
                <w:sz w:val="12"/>
                <w:szCs w:val="20"/>
                <w:lang w:eastAsia="en-GB"/>
              </w:rPr>
              <w:t xml:space="preserve">i,t-2 </w:t>
            </w:r>
            <w:r w:rsidRPr="005A566B">
              <w:rPr>
                <w:rFonts w:ascii="Arial" w:eastAsia="Times New Roman" w:hAnsi="Arial" w:cs="Arial"/>
                <w:bCs/>
                <w:iCs/>
                <w:sz w:val="20"/>
                <w:szCs w:val="20"/>
                <w:lang w:eastAsia="en-GB"/>
              </w:rPr>
              <w:t>FLEV</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GROWTH</w:t>
            </w:r>
            <w:r w:rsidRPr="005A566B">
              <w:rPr>
                <w:rFonts w:ascii="Arial" w:eastAsia="Times New Roman" w:hAnsi="Arial" w:cs="Arial"/>
                <w:bCs/>
                <w:iCs/>
                <w:sz w:val="14"/>
                <w:szCs w:val="20"/>
                <w:lang w:eastAsia="en-GB"/>
              </w:rPr>
              <w:t>i,t-2</w:t>
            </w:r>
            <w:r w:rsidRPr="005A566B">
              <w:rPr>
                <w:rFonts w:ascii="Arial" w:eastAsia="Times New Roman" w:hAnsi="Arial" w:cs="Arial"/>
                <w:bCs/>
                <w:iCs/>
                <w:sz w:val="20"/>
                <w:szCs w:val="20"/>
                <w:lang w:eastAsia="en-GB"/>
              </w:rPr>
              <w:t>; and further lags. Year dummies and time dummies interacted with industry dummies were always included as regressors and as instruments.</w:t>
            </w:r>
            <w:r w:rsidRPr="005A566B">
              <w:rPr>
                <w:rFonts w:ascii="Arial" w:eastAsia="Calibri" w:hAnsi="Arial" w:cs="Arial"/>
                <w:sz w:val="20"/>
                <w:szCs w:val="20"/>
              </w:rPr>
              <w:t xml:space="preserve">  ***, ** and * represent coefficients significant at the 1%, 5% and 10% levels correspondingly (two−tailed tests).</w:t>
            </w:r>
          </w:p>
        </w:tc>
      </w:tr>
      <w:tr w:rsidR="00127D7B" w:rsidRPr="005A566B" w14:paraId="720D59D0" w14:textId="77777777" w:rsidTr="00127D7B">
        <w:trPr>
          <w:trHeight w:val="264"/>
        </w:trPr>
        <w:tc>
          <w:tcPr>
            <w:tcW w:w="2257" w:type="dxa"/>
            <w:tcBorders>
              <w:top w:val="single" w:sz="4" w:space="0" w:color="auto"/>
              <w:left w:val="nil"/>
              <w:bottom w:val="single" w:sz="4" w:space="0" w:color="auto"/>
              <w:right w:val="nil"/>
            </w:tcBorders>
            <w:shd w:val="clear" w:color="auto" w:fill="auto"/>
            <w:noWrap/>
            <w:vAlign w:val="bottom"/>
            <w:hideMark/>
          </w:tcPr>
          <w:p w14:paraId="2BC2A404"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single" w:sz="4" w:space="0" w:color="auto"/>
              <w:left w:val="nil"/>
              <w:bottom w:val="single" w:sz="4" w:space="0" w:color="auto"/>
              <w:right w:val="nil"/>
            </w:tcBorders>
            <w:shd w:val="clear" w:color="auto" w:fill="auto"/>
            <w:noWrap/>
            <w:vAlign w:val="bottom"/>
            <w:hideMark/>
          </w:tcPr>
          <w:p w14:paraId="651AE69F"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w:t>
            </w:r>
          </w:p>
        </w:tc>
        <w:tc>
          <w:tcPr>
            <w:tcW w:w="1504" w:type="dxa"/>
            <w:tcBorders>
              <w:top w:val="single" w:sz="4" w:space="0" w:color="auto"/>
              <w:left w:val="nil"/>
              <w:bottom w:val="single" w:sz="4" w:space="0" w:color="auto"/>
              <w:right w:val="nil"/>
            </w:tcBorders>
            <w:shd w:val="clear" w:color="auto" w:fill="auto"/>
            <w:noWrap/>
            <w:vAlign w:val="bottom"/>
            <w:hideMark/>
          </w:tcPr>
          <w:p w14:paraId="540E524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w:t>
            </w:r>
          </w:p>
        </w:tc>
        <w:tc>
          <w:tcPr>
            <w:tcW w:w="1412" w:type="dxa"/>
            <w:tcBorders>
              <w:top w:val="single" w:sz="4" w:space="0" w:color="auto"/>
              <w:left w:val="nil"/>
              <w:bottom w:val="single" w:sz="4" w:space="0" w:color="auto"/>
              <w:right w:val="nil"/>
            </w:tcBorders>
            <w:shd w:val="clear" w:color="auto" w:fill="auto"/>
            <w:noWrap/>
            <w:vAlign w:val="bottom"/>
            <w:hideMark/>
          </w:tcPr>
          <w:p w14:paraId="44784D6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w:t>
            </w:r>
          </w:p>
        </w:tc>
        <w:tc>
          <w:tcPr>
            <w:tcW w:w="1480" w:type="dxa"/>
            <w:tcBorders>
              <w:top w:val="single" w:sz="4" w:space="0" w:color="auto"/>
              <w:left w:val="nil"/>
              <w:bottom w:val="single" w:sz="4" w:space="0" w:color="auto"/>
              <w:right w:val="nil"/>
            </w:tcBorders>
            <w:shd w:val="clear" w:color="auto" w:fill="auto"/>
            <w:noWrap/>
            <w:vAlign w:val="bottom"/>
            <w:hideMark/>
          </w:tcPr>
          <w:p w14:paraId="563F5FA8"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w:t>
            </w:r>
          </w:p>
        </w:tc>
        <w:tc>
          <w:tcPr>
            <w:tcW w:w="1663" w:type="dxa"/>
            <w:tcBorders>
              <w:top w:val="single" w:sz="4" w:space="0" w:color="auto"/>
              <w:left w:val="nil"/>
              <w:bottom w:val="single" w:sz="4" w:space="0" w:color="auto"/>
              <w:right w:val="nil"/>
            </w:tcBorders>
            <w:shd w:val="clear" w:color="auto" w:fill="auto"/>
            <w:noWrap/>
            <w:vAlign w:val="bottom"/>
            <w:hideMark/>
          </w:tcPr>
          <w:p w14:paraId="5845A30C"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w:t>
            </w:r>
          </w:p>
        </w:tc>
        <w:tc>
          <w:tcPr>
            <w:tcW w:w="1573" w:type="dxa"/>
            <w:tcBorders>
              <w:top w:val="single" w:sz="4" w:space="0" w:color="auto"/>
              <w:left w:val="nil"/>
              <w:bottom w:val="single" w:sz="4" w:space="0" w:color="auto"/>
              <w:right w:val="nil"/>
            </w:tcBorders>
            <w:shd w:val="clear" w:color="auto" w:fill="auto"/>
            <w:noWrap/>
            <w:vAlign w:val="bottom"/>
            <w:hideMark/>
          </w:tcPr>
          <w:p w14:paraId="028CD63C"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w:t>
            </w:r>
          </w:p>
        </w:tc>
        <w:tc>
          <w:tcPr>
            <w:tcW w:w="1595" w:type="dxa"/>
            <w:tcBorders>
              <w:top w:val="single" w:sz="4" w:space="0" w:color="auto"/>
              <w:left w:val="nil"/>
              <w:bottom w:val="single" w:sz="4" w:space="0" w:color="auto"/>
              <w:right w:val="nil"/>
            </w:tcBorders>
            <w:shd w:val="clear" w:color="auto" w:fill="auto"/>
            <w:noWrap/>
            <w:vAlign w:val="bottom"/>
            <w:hideMark/>
          </w:tcPr>
          <w:p w14:paraId="70036B3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w:t>
            </w:r>
          </w:p>
        </w:tc>
        <w:tc>
          <w:tcPr>
            <w:tcW w:w="1575" w:type="dxa"/>
            <w:tcBorders>
              <w:top w:val="single" w:sz="4" w:space="0" w:color="auto"/>
              <w:left w:val="nil"/>
              <w:bottom w:val="single" w:sz="4" w:space="0" w:color="auto"/>
              <w:right w:val="nil"/>
            </w:tcBorders>
            <w:shd w:val="clear" w:color="auto" w:fill="auto"/>
            <w:noWrap/>
            <w:vAlign w:val="bottom"/>
            <w:hideMark/>
          </w:tcPr>
          <w:p w14:paraId="4E356916"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(8)</w:t>
            </w:r>
          </w:p>
        </w:tc>
      </w:tr>
      <w:tr w:rsidR="00127D7B" w:rsidRPr="005A566B" w14:paraId="20FB53CF" w14:textId="77777777" w:rsidTr="00127D7B">
        <w:trPr>
          <w:trHeight w:val="264"/>
        </w:trPr>
        <w:tc>
          <w:tcPr>
            <w:tcW w:w="2257" w:type="dxa"/>
            <w:tcBorders>
              <w:top w:val="single" w:sz="4" w:space="0" w:color="auto"/>
              <w:left w:val="nil"/>
              <w:bottom w:val="single" w:sz="4" w:space="0" w:color="auto"/>
              <w:right w:val="nil"/>
            </w:tcBorders>
            <w:shd w:val="clear" w:color="auto" w:fill="auto"/>
            <w:noWrap/>
            <w:vAlign w:val="bottom"/>
            <w:hideMark/>
          </w:tcPr>
          <w:p w14:paraId="053B8531"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single" w:sz="4" w:space="0" w:color="auto"/>
              <w:left w:val="nil"/>
              <w:bottom w:val="single" w:sz="4" w:space="0" w:color="auto"/>
              <w:right w:val="nil"/>
            </w:tcBorders>
            <w:shd w:val="clear" w:color="auto" w:fill="auto"/>
            <w:noWrap/>
            <w:vAlign w:val="bottom"/>
            <w:hideMark/>
          </w:tcPr>
          <w:p w14:paraId="57714965"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504" w:type="dxa"/>
            <w:tcBorders>
              <w:top w:val="single" w:sz="4" w:space="0" w:color="auto"/>
              <w:left w:val="nil"/>
              <w:bottom w:val="single" w:sz="4" w:space="0" w:color="auto"/>
              <w:right w:val="nil"/>
            </w:tcBorders>
            <w:shd w:val="clear" w:color="auto" w:fill="auto"/>
            <w:noWrap/>
            <w:vAlign w:val="bottom"/>
            <w:hideMark/>
          </w:tcPr>
          <w:p w14:paraId="3019820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412" w:type="dxa"/>
            <w:tcBorders>
              <w:top w:val="single" w:sz="4" w:space="0" w:color="auto"/>
              <w:left w:val="nil"/>
              <w:bottom w:val="single" w:sz="4" w:space="0" w:color="auto"/>
              <w:right w:val="nil"/>
            </w:tcBorders>
            <w:shd w:val="clear" w:color="auto" w:fill="auto"/>
            <w:noWrap/>
            <w:vAlign w:val="bottom"/>
            <w:hideMark/>
          </w:tcPr>
          <w:p w14:paraId="5D9F2F2C" w14:textId="77777777" w:rsidR="0079751E" w:rsidRPr="005A566B" w:rsidRDefault="00066783"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c>
          <w:tcPr>
            <w:tcW w:w="1480" w:type="dxa"/>
            <w:tcBorders>
              <w:top w:val="single" w:sz="4" w:space="0" w:color="auto"/>
              <w:left w:val="nil"/>
              <w:bottom w:val="single" w:sz="4" w:space="0" w:color="auto"/>
              <w:right w:val="nil"/>
            </w:tcBorders>
            <w:shd w:val="clear" w:color="auto" w:fill="auto"/>
            <w:noWrap/>
            <w:vAlign w:val="bottom"/>
            <w:hideMark/>
          </w:tcPr>
          <w:p w14:paraId="3EE18DE4" w14:textId="77777777" w:rsidR="0079751E" w:rsidRPr="005A566B" w:rsidRDefault="00066783"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c>
          <w:tcPr>
            <w:tcW w:w="1663" w:type="dxa"/>
            <w:tcBorders>
              <w:top w:val="single" w:sz="4" w:space="0" w:color="auto"/>
              <w:left w:val="nil"/>
              <w:bottom w:val="single" w:sz="4" w:space="0" w:color="auto"/>
              <w:right w:val="nil"/>
            </w:tcBorders>
            <w:shd w:val="clear" w:color="auto" w:fill="auto"/>
            <w:noWrap/>
            <w:vAlign w:val="bottom"/>
            <w:hideMark/>
          </w:tcPr>
          <w:p w14:paraId="6E0D34AC"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573" w:type="dxa"/>
            <w:tcBorders>
              <w:top w:val="single" w:sz="4" w:space="0" w:color="auto"/>
              <w:left w:val="nil"/>
              <w:bottom w:val="single" w:sz="4" w:space="0" w:color="auto"/>
              <w:right w:val="nil"/>
            </w:tcBorders>
            <w:shd w:val="clear" w:color="auto" w:fill="auto"/>
            <w:noWrap/>
            <w:vAlign w:val="bottom"/>
            <w:hideMark/>
          </w:tcPr>
          <w:p w14:paraId="0BAAAA51"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c>
          <w:tcPr>
            <w:tcW w:w="1595" w:type="dxa"/>
            <w:tcBorders>
              <w:top w:val="single" w:sz="4" w:space="0" w:color="auto"/>
              <w:left w:val="nil"/>
              <w:bottom w:val="single" w:sz="4" w:space="0" w:color="auto"/>
              <w:right w:val="nil"/>
            </w:tcBorders>
            <w:shd w:val="clear" w:color="auto" w:fill="auto"/>
            <w:noWrap/>
            <w:vAlign w:val="bottom"/>
            <w:hideMark/>
          </w:tcPr>
          <w:p w14:paraId="2D549468"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575" w:type="dxa"/>
            <w:tcBorders>
              <w:top w:val="single" w:sz="4" w:space="0" w:color="auto"/>
              <w:left w:val="nil"/>
              <w:bottom w:val="single" w:sz="4" w:space="0" w:color="auto"/>
              <w:right w:val="nil"/>
            </w:tcBorders>
            <w:shd w:val="clear" w:color="auto" w:fill="auto"/>
            <w:noWrap/>
            <w:vAlign w:val="bottom"/>
            <w:hideMark/>
          </w:tcPr>
          <w:p w14:paraId="20CE2F5A"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r>
      <w:tr w:rsidR="00127D7B" w:rsidRPr="005A566B" w14:paraId="3C3AAD80" w14:textId="77777777" w:rsidTr="00127D7B">
        <w:trPr>
          <w:trHeight w:val="264"/>
        </w:trPr>
        <w:tc>
          <w:tcPr>
            <w:tcW w:w="2257" w:type="dxa"/>
            <w:tcBorders>
              <w:top w:val="single" w:sz="4" w:space="0" w:color="auto"/>
              <w:left w:val="nil"/>
              <w:bottom w:val="nil"/>
              <w:right w:val="nil"/>
            </w:tcBorders>
            <w:shd w:val="clear" w:color="auto" w:fill="auto"/>
            <w:noWrap/>
            <w:vAlign w:val="bottom"/>
            <w:hideMark/>
          </w:tcPr>
          <w:p w14:paraId="64CAE3F2"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ROA</w:t>
            </w:r>
          </w:p>
        </w:tc>
        <w:tc>
          <w:tcPr>
            <w:tcW w:w="1344" w:type="dxa"/>
            <w:tcBorders>
              <w:top w:val="single" w:sz="4" w:space="0" w:color="auto"/>
              <w:left w:val="nil"/>
              <w:bottom w:val="nil"/>
              <w:right w:val="nil"/>
            </w:tcBorders>
            <w:shd w:val="clear" w:color="auto" w:fill="auto"/>
            <w:noWrap/>
            <w:vAlign w:val="bottom"/>
            <w:hideMark/>
          </w:tcPr>
          <w:p w14:paraId="56979A26"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0.336***</w:t>
            </w:r>
          </w:p>
        </w:tc>
        <w:tc>
          <w:tcPr>
            <w:tcW w:w="1504" w:type="dxa"/>
            <w:tcBorders>
              <w:top w:val="single" w:sz="4" w:space="0" w:color="auto"/>
              <w:left w:val="nil"/>
              <w:bottom w:val="nil"/>
              <w:right w:val="nil"/>
            </w:tcBorders>
            <w:shd w:val="clear" w:color="auto" w:fill="auto"/>
            <w:noWrap/>
            <w:vAlign w:val="bottom"/>
            <w:hideMark/>
          </w:tcPr>
          <w:p w14:paraId="1101787A"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0.386***</w:t>
            </w:r>
          </w:p>
        </w:tc>
        <w:tc>
          <w:tcPr>
            <w:tcW w:w="1412" w:type="dxa"/>
            <w:tcBorders>
              <w:top w:val="single" w:sz="4" w:space="0" w:color="auto"/>
              <w:left w:val="nil"/>
              <w:bottom w:val="nil"/>
              <w:right w:val="nil"/>
            </w:tcBorders>
            <w:shd w:val="clear" w:color="auto" w:fill="auto"/>
            <w:noWrap/>
            <w:vAlign w:val="bottom"/>
            <w:hideMark/>
          </w:tcPr>
          <w:p w14:paraId="00779D8A"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single" w:sz="4" w:space="0" w:color="auto"/>
              <w:left w:val="nil"/>
              <w:bottom w:val="nil"/>
              <w:right w:val="nil"/>
            </w:tcBorders>
            <w:shd w:val="clear" w:color="auto" w:fill="auto"/>
            <w:noWrap/>
            <w:vAlign w:val="bottom"/>
            <w:hideMark/>
          </w:tcPr>
          <w:p w14:paraId="07E379F9"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single" w:sz="4" w:space="0" w:color="auto"/>
              <w:left w:val="nil"/>
              <w:bottom w:val="nil"/>
              <w:right w:val="nil"/>
            </w:tcBorders>
            <w:shd w:val="clear" w:color="auto" w:fill="auto"/>
            <w:noWrap/>
            <w:vAlign w:val="bottom"/>
            <w:hideMark/>
          </w:tcPr>
          <w:p w14:paraId="3CCAF9D5"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0.358***</w:t>
            </w:r>
          </w:p>
        </w:tc>
        <w:tc>
          <w:tcPr>
            <w:tcW w:w="1573" w:type="dxa"/>
            <w:tcBorders>
              <w:top w:val="single" w:sz="4" w:space="0" w:color="auto"/>
              <w:left w:val="nil"/>
              <w:bottom w:val="nil"/>
              <w:right w:val="nil"/>
            </w:tcBorders>
            <w:shd w:val="clear" w:color="auto" w:fill="auto"/>
            <w:noWrap/>
            <w:vAlign w:val="bottom"/>
            <w:hideMark/>
          </w:tcPr>
          <w:p w14:paraId="51DF4472"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single" w:sz="4" w:space="0" w:color="auto"/>
              <w:left w:val="nil"/>
              <w:bottom w:val="nil"/>
              <w:right w:val="nil"/>
            </w:tcBorders>
            <w:shd w:val="clear" w:color="auto" w:fill="auto"/>
            <w:noWrap/>
            <w:vAlign w:val="bottom"/>
            <w:hideMark/>
          </w:tcPr>
          <w:p w14:paraId="7D51A652"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0.391***</w:t>
            </w:r>
          </w:p>
        </w:tc>
        <w:tc>
          <w:tcPr>
            <w:tcW w:w="1575" w:type="dxa"/>
            <w:tcBorders>
              <w:top w:val="single" w:sz="4" w:space="0" w:color="auto"/>
              <w:left w:val="nil"/>
              <w:bottom w:val="nil"/>
              <w:right w:val="nil"/>
            </w:tcBorders>
            <w:shd w:val="clear" w:color="auto" w:fill="auto"/>
            <w:noWrap/>
            <w:vAlign w:val="bottom"/>
            <w:hideMark/>
          </w:tcPr>
          <w:p w14:paraId="4066A0FC"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13C23C25" w14:textId="77777777" w:rsidTr="00127D7B">
        <w:trPr>
          <w:trHeight w:val="264"/>
        </w:trPr>
        <w:tc>
          <w:tcPr>
            <w:tcW w:w="2257" w:type="dxa"/>
            <w:tcBorders>
              <w:top w:val="nil"/>
              <w:left w:val="nil"/>
              <w:bottom w:val="nil"/>
              <w:right w:val="nil"/>
            </w:tcBorders>
            <w:shd w:val="clear" w:color="auto" w:fill="auto"/>
            <w:noWrap/>
            <w:vAlign w:val="bottom"/>
            <w:hideMark/>
          </w:tcPr>
          <w:p w14:paraId="321EEC0E"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nil"/>
              <w:left w:val="nil"/>
              <w:bottom w:val="nil"/>
              <w:right w:val="nil"/>
            </w:tcBorders>
            <w:shd w:val="clear" w:color="auto" w:fill="auto"/>
            <w:noWrap/>
            <w:vAlign w:val="bottom"/>
            <w:hideMark/>
          </w:tcPr>
          <w:p w14:paraId="6752A5C8"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(35.34)</w:t>
            </w:r>
          </w:p>
        </w:tc>
        <w:tc>
          <w:tcPr>
            <w:tcW w:w="1504" w:type="dxa"/>
            <w:tcBorders>
              <w:top w:val="nil"/>
              <w:left w:val="nil"/>
              <w:bottom w:val="nil"/>
              <w:right w:val="nil"/>
            </w:tcBorders>
            <w:shd w:val="clear" w:color="auto" w:fill="auto"/>
            <w:noWrap/>
            <w:vAlign w:val="bottom"/>
            <w:hideMark/>
          </w:tcPr>
          <w:p w14:paraId="68AEDB8C"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(31.87)</w:t>
            </w:r>
          </w:p>
        </w:tc>
        <w:tc>
          <w:tcPr>
            <w:tcW w:w="1412" w:type="dxa"/>
            <w:tcBorders>
              <w:top w:val="nil"/>
              <w:left w:val="nil"/>
              <w:bottom w:val="nil"/>
              <w:right w:val="nil"/>
            </w:tcBorders>
            <w:shd w:val="clear" w:color="auto" w:fill="auto"/>
            <w:noWrap/>
            <w:vAlign w:val="bottom"/>
            <w:hideMark/>
          </w:tcPr>
          <w:p w14:paraId="1729674C"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2A6C957E"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22AFD62C"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(157.83)</w:t>
            </w:r>
          </w:p>
        </w:tc>
        <w:tc>
          <w:tcPr>
            <w:tcW w:w="1573" w:type="dxa"/>
            <w:tcBorders>
              <w:top w:val="nil"/>
              <w:left w:val="nil"/>
              <w:bottom w:val="nil"/>
              <w:right w:val="nil"/>
            </w:tcBorders>
            <w:shd w:val="clear" w:color="auto" w:fill="auto"/>
            <w:noWrap/>
            <w:vAlign w:val="bottom"/>
            <w:hideMark/>
          </w:tcPr>
          <w:p w14:paraId="4EB80FD4"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06441A8D"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(136.15)</w:t>
            </w:r>
          </w:p>
        </w:tc>
        <w:tc>
          <w:tcPr>
            <w:tcW w:w="1575" w:type="dxa"/>
            <w:tcBorders>
              <w:top w:val="nil"/>
              <w:left w:val="nil"/>
              <w:bottom w:val="nil"/>
              <w:right w:val="nil"/>
            </w:tcBorders>
            <w:shd w:val="clear" w:color="auto" w:fill="auto"/>
            <w:noWrap/>
            <w:vAlign w:val="bottom"/>
            <w:hideMark/>
          </w:tcPr>
          <w:p w14:paraId="7DBB413A"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0083808A" w14:textId="77777777" w:rsidTr="00127D7B">
        <w:trPr>
          <w:trHeight w:val="264"/>
        </w:trPr>
        <w:tc>
          <w:tcPr>
            <w:tcW w:w="2257" w:type="dxa"/>
            <w:tcBorders>
              <w:top w:val="nil"/>
              <w:left w:val="nil"/>
              <w:bottom w:val="nil"/>
              <w:right w:val="nil"/>
            </w:tcBorders>
            <w:shd w:val="clear" w:color="auto" w:fill="auto"/>
            <w:noWrap/>
            <w:vAlign w:val="bottom"/>
            <w:hideMark/>
          </w:tcPr>
          <w:p w14:paraId="1D8A047A"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QRATIO</w:t>
            </w:r>
          </w:p>
        </w:tc>
        <w:tc>
          <w:tcPr>
            <w:tcW w:w="1344" w:type="dxa"/>
            <w:tcBorders>
              <w:top w:val="nil"/>
              <w:left w:val="nil"/>
              <w:bottom w:val="nil"/>
              <w:right w:val="nil"/>
            </w:tcBorders>
            <w:shd w:val="clear" w:color="auto" w:fill="auto"/>
            <w:noWrap/>
            <w:vAlign w:val="bottom"/>
            <w:hideMark/>
          </w:tcPr>
          <w:p w14:paraId="52DA762A"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21F40BCA"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2A7518C1"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0.79***</w:t>
            </w:r>
          </w:p>
        </w:tc>
        <w:tc>
          <w:tcPr>
            <w:tcW w:w="1480" w:type="dxa"/>
            <w:tcBorders>
              <w:top w:val="nil"/>
              <w:left w:val="nil"/>
              <w:bottom w:val="nil"/>
              <w:right w:val="nil"/>
            </w:tcBorders>
            <w:shd w:val="clear" w:color="auto" w:fill="auto"/>
            <w:noWrap/>
            <w:vAlign w:val="bottom"/>
            <w:hideMark/>
          </w:tcPr>
          <w:p w14:paraId="69436BD1"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0.700***</w:t>
            </w:r>
          </w:p>
        </w:tc>
        <w:tc>
          <w:tcPr>
            <w:tcW w:w="1663" w:type="dxa"/>
            <w:tcBorders>
              <w:top w:val="nil"/>
              <w:left w:val="nil"/>
              <w:bottom w:val="nil"/>
              <w:right w:val="nil"/>
            </w:tcBorders>
            <w:shd w:val="clear" w:color="auto" w:fill="auto"/>
            <w:noWrap/>
            <w:vAlign w:val="bottom"/>
            <w:hideMark/>
          </w:tcPr>
          <w:p w14:paraId="5A8C2A9C"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4E4B7BE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0.762***</w:t>
            </w:r>
          </w:p>
        </w:tc>
        <w:tc>
          <w:tcPr>
            <w:tcW w:w="1595" w:type="dxa"/>
            <w:tcBorders>
              <w:top w:val="nil"/>
              <w:left w:val="nil"/>
              <w:bottom w:val="nil"/>
              <w:right w:val="nil"/>
            </w:tcBorders>
            <w:shd w:val="clear" w:color="auto" w:fill="auto"/>
            <w:noWrap/>
            <w:vAlign w:val="bottom"/>
            <w:hideMark/>
          </w:tcPr>
          <w:p w14:paraId="40DD804C"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0C8FB79C"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0.77***</w:t>
            </w:r>
          </w:p>
        </w:tc>
      </w:tr>
      <w:tr w:rsidR="00127D7B" w:rsidRPr="005A566B" w14:paraId="78DB541C" w14:textId="77777777" w:rsidTr="00127D7B">
        <w:trPr>
          <w:trHeight w:val="264"/>
        </w:trPr>
        <w:tc>
          <w:tcPr>
            <w:tcW w:w="2257" w:type="dxa"/>
            <w:tcBorders>
              <w:top w:val="nil"/>
              <w:left w:val="nil"/>
              <w:bottom w:val="nil"/>
              <w:right w:val="nil"/>
            </w:tcBorders>
            <w:shd w:val="clear" w:color="auto" w:fill="auto"/>
            <w:noWrap/>
            <w:vAlign w:val="bottom"/>
            <w:hideMark/>
          </w:tcPr>
          <w:p w14:paraId="4FE6EFB2"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nil"/>
              <w:left w:val="nil"/>
              <w:bottom w:val="nil"/>
              <w:right w:val="nil"/>
            </w:tcBorders>
            <w:shd w:val="clear" w:color="auto" w:fill="auto"/>
            <w:noWrap/>
            <w:vAlign w:val="bottom"/>
            <w:hideMark/>
          </w:tcPr>
          <w:p w14:paraId="69865708"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61C5AB44"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774835FA"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(30.17)</w:t>
            </w:r>
          </w:p>
        </w:tc>
        <w:tc>
          <w:tcPr>
            <w:tcW w:w="1480" w:type="dxa"/>
            <w:tcBorders>
              <w:top w:val="nil"/>
              <w:left w:val="nil"/>
              <w:bottom w:val="nil"/>
              <w:right w:val="nil"/>
            </w:tcBorders>
            <w:shd w:val="clear" w:color="auto" w:fill="auto"/>
            <w:noWrap/>
            <w:vAlign w:val="bottom"/>
            <w:hideMark/>
          </w:tcPr>
          <w:p w14:paraId="284BB5B4"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(47.34)</w:t>
            </w:r>
          </w:p>
        </w:tc>
        <w:tc>
          <w:tcPr>
            <w:tcW w:w="1663" w:type="dxa"/>
            <w:tcBorders>
              <w:top w:val="nil"/>
              <w:left w:val="nil"/>
              <w:bottom w:val="nil"/>
              <w:right w:val="nil"/>
            </w:tcBorders>
            <w:shd w:val="clear" w:color="auto" w:fill="auto"/>
            <w:noWrap/>
            <w:vAlign w:val="bottom"/>
            <w:hideMark/>
          </w:tcPr>
          <w:p w14:paraId="7B8673DB"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7017A4F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(59.05)</w:t>
            </w:r>
          </w:p>
        </w:tc>
        <w:tc>
          <w:tcPr>
            <w:tcW w:w="1595" w:type="dxa"/>
            <w:tcBorders>
              <w:top w:val="nil"/>
              <w:left w:val="nil"/>
              <w:bottom w:val="nil"/>
              <w:right w:val="nil"/>
            </w:tcBorders>
            <w:shd w:val="clear" w:color="auto" w:fill="auto"/>
            <w:noWrap/>
            <w:vAlign w:val="bottom"/>
            <w:hideMark/>
          </w:tcPr>
          <w:p w14:paraId="5620CD95"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437BA0F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(69.71)</w:t>
            </w:r>
          </w:p>
        </w:tc>
      </w:tr>
      <w:tr w:rsidR="00127D7B" w:rsidRPr="005A566B" w14:paraId="24FF1112" w14:textId="77777777" w:rsidTr="00127D7B">
        <w:trPr>
          <w:trHeight w:val="264"/>
        </w:trPr>
        <w:tc>
          <w:tcPr>
            <w:tcW w:w="2257" w:type="dxa"/>
            <w:tcBorders>
              <w:top w:val="nil"/>
              <w:left w:val="nil"/>
              <w:bottom w:val="nil"/>
              <w:right w:val="nil"/>
            </w:tcBorders>
            <w:shd w:val="clear" w:color="auto" w:fill="auto"/>
            <w:noWrap/>
            <w:vAlign w:val="bottom"/>
            <w:hideMark/>
          </w:tcPr>
          <w:p w14:paraId="1136A658"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CCC</w:t>
            </w:r>
          </w:p>
        </w:tc>
        <w:tc>
          <w:tcPr>
            <w:tcW w:w="1344" w:type="dxa"/>
            <w:tcBorders>
              <w:top w:val="nil"/>
              <w:left w:val="nil"/>
              <w:bottom w:val="nil"/>
              <w:right w:val="nil"/>
            </w:tcBorders>
            <w:shd w:val="clear" w:color="auto" w:fill="auto"/>
            <w:noWrap/>
            <w:vAlign w:val="bottom"/>
            <w:hideMark/>
          </w:tcPr>
          <w:p w14:paraId="78982E4B"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-0.0279**</w:t>
            </w:r>
          </w:p>
        </w:tc>
        <w:tc>
          <w:tcPr>
            <w:tcW w:w="1504" w:type="dxa"/>
            <w:tcBorders>
              <w:top w:val="nil"/>
              <w:left w:val="nil"/>
              <w:bottom w:val="nil"/>
              <w:right w:val="nil"/>
            </w:tcBorders>
            <w:shd w:val="clear" w:color="auto" w:fill="auto"/>
            <w:noWrap/>
            <w:vAlign w:val="bottom"/>
            <w:hideMark/>
          </w:tcPr>
          <w:p w14:paraId="0134F986"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-0.0300***</w:t>
            </w:r>
          </w:p>
        </w:tc>
        <w:tc>
          <w:tcPr>
            <w:tcW w:w="1412" w:type="dxa"/>
            <w:tcBorders>
              <w:top w:val="nil"/>
              <w:left w:val="nil"/>
              <w:bottom w:val="nil"/>
              <w:right w:val="nil"/>
            </w:tcBorders>
            <w:shd w:val="clear" w:color="auto" w:fill="auto"/>
            <w:noWrap/>
            <w:vAlign w:val="bottom"/>
            <w:hideMark/>
          </w:tcPr>
          <w:p w14:paraId="685529F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-0.00125</w:t>
            </w:r>
          </w:p>
        </w:tc>
        <w:tc>
          <w:tcPr>
            <w:tcW w:w="1480" w:type="dxa"/>
            <w:tcBorders>
              <w:top w:val="nil"/>
              <w:left w:val="nil"/>
              <w:bottom w:val="nil"/>
              <w:right w:val="nil"/>
            </w:tcBorders>
            <w:shd w:val="clear" w:color="auto" w:fill="auto"/>
            <w:noWrap/>
            <w:vAlign w:val="bottom"/>
            <w:hideMark/>
          </w:tcPr>
          <w:p w14:paraId="26381A50"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-0.0011***</w:t>
            </w:r>
          </w:p>
        </w:tc>
        <w:tc>
          <w:tcPr>
            <w:tcW w:w="1663" w:type="dxa"/>
            <w:tcBorders>
              <w:top w:val="nil"/>
              <w:left w:val="nil"/>
              <w:bottom w:val="nil"/>
              <w:right w:val="nil"/>
            </w:tcBorders>
            <w:shd w:val="clear" w:color="auto" w:fill="auto"/>
            <w:noWrap/>
            <w:vAlign w:val="bottom"/>
            <w:hideMark/>
          </w:tcPr>
          <w:p w14:paraId="515640BC"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-0.00105***</w:t>
            </w:r>
          </w:p>
        </w:tc>
        <w:tc>
          <w:tcPr>
            <w:tcW w:w="1573" w:type="dxa"/>
            <w:tcBorders>
              <w:top w:val="nil"/>
              <w:left w:val="nil"/>
              <w:bottom w:val="nil"/>
              <w:right w:val="nil"/>
            </w:tcBorders>
            <w:shd w:val="clear" w:color="auto" w:fill="auto"/>
            <w:noWrap/>
            <w:vAlign w:val="bottom"/>
            <w:hideMark/>
          </w:tcPr>
          <w:p w14:paraId="74FE45AF"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-0.00032***</w:t>
            </w:r>
          </w:p>
        </w:tc>
        <w:tc>
          <w:tcPr>
            <w:tcW w:w="1595" w:type="dxa"/>
            <w:tcBorders>
              <w:top w:val="nil"/>
              <w:left w:val="nil"/>
              <w:bottom w:val="nil"/>
              <w:right w:val="nil"/>
            </w:tcBorders>
            <w:shd w:val="clear" w:color="auto" w:fill="auto"/>
            <w:noWrap/>
            <w:vAlign w:val="bottom"/>
            <w:hideMark/>
          </w:tcPr>
          <w:p w14:paraId="59C43F2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-0.00128***</w:t>
            </w:r>
          </w:p>
        </w:tc>
        <w:tc>
          <w:tcPr>
            <w:tcW w:w="1575" w:type="dxa"/>
            <w:tcBorders>
              <w:top w:val="nil"/>
              <w:left w:val="nil"/>
              <w:bottom w:val="nil"/>
              <w:right w:val="nil"/>
            </w:tcBorders>
            <w:shd w:val="clear" w:color="auto" w:fill="auto"/>
            <w:noWrap/>
            <w:vAlign w:val="bottom"/>
            <w:hideMark/>
          </w:tcPr>
          <w:p w14:paraId="58B7FA02"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-0.0004***</w:t>
            </w:r>
          </w:p>
        </w:tc>
      </w:tr>
      <w:tr w:rsidR="00127D7B" w:rsidRPr="005A566B" w14:paraId="5EDD5222" w14:textId="77777777" w:rsidTr="00127D7B">
        <w:trPr>
          <w:trHeight w:val="264"/>
        </w:trPr>
        <w:tc>
          <w:tcPr>
            <w:tcW w:w="2257" w:type="dxa"/>
            <w:tcBorders>
              <w:top w:val="nil"/>
              <w:left w:val="nil"/>
              <w:bottom w:val="nil"/>
              <w:right w:val="nil"/>
            </w:tcBorders>
            <w:shd w:val="clear" w:color="auto" w:fill="auto"/>
            <w:noWrap/>
            <w:vAlign w:val="bottom"/>
            <w:hideMark/>
          </w:tcPr>
          <w:p w14:paraId="683E9A0E"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nil"/>
              <w:left w:val="nil"/>
              <w:bottom w:val="nil"/>
              <w:right w:val="nil"/>
            </w:tcBorders>
            <w:shd w:val="clear" w:color="auto" w:fill="auto"/>
            <w:noWrap/>
            <w:vAlign w:val="bottom"/>
            <w:hideMark/>
          </w:tcPr>
          <w:p w14:paraId="44A905F8"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(-2.52)</w:t>
            </w:r>
          </w:p>
        </w:tc>
        <w:tc>
          <w:tcPr>
            <w:tcW w:w="1504" w:type="dxa"/>
            <w:tcBorders>
              <w:top w:val="nil"/>
              <w:left w:val="nil"/>
              <w:bottom w:val="nil"/>
              <w:right w:val="nil"/>
            </w:tcBorders>
            <w:shd w:val="clear" w:color="auto" w:fill="auto"/>
            <w:noWrap/>
            <w:vAlign w:val="bottom"/>
            <w:hideMark/>
          </w:tcPr>
          <w:p w14:paraId="2356D0BD"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(-37.95)</w:t>
            </w:r>
          </w:p>
        </w:tc>
        <w:tc>
          <w:tcPr>
            <w:tcW w:w="1412" w:type="dxa"/>
            <w:tcBorders>
              <w:top w:val="nil"/>
              <w:left w:val="nil"/>
              <w:bottom w:val="nil"/>
              <w:right w:val="nil"/>
            </w:tcBorders>
            <w:shd w:val="clear" w:color="auto" w:fill="auto"/>
            <w:noWrap/>
            <w:vAlign w:val="bottom"/>
            <w:hideMark/>
          </w:tcPr>
          <w:p w14:paraId="5492ADBD"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(-1.09)</w:t>
            </w:r>
          </w:p>
        </w:tc>
        <w:tc>
          <w:tcPr>
            <w:tcW w:w="1480" w:type="dxa"/>
            <w:tcBorders>
              <w:top w:val="nil"/>
              <w:left w:val="nil"/>
              <w:bottom w:val="nil"/>
              <w:right w:val="nil"/>
            </w:tcBorders>
            <w:shd w:val="clear" w:color="auto" w:fill="auto"/>
            <w:noWrap/>
            <w:vAlign w:val="bottom"/>
            <w:hideMark/>
          </w:tcPr>
          <w:p w14:paraId="1A2005A7"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(-7.94)</w:t>
            </w:r>
          </w:p>
        </w:tc>
        <w:tc>
          <w:tcPr>
            <w:tcW w:w="1663" w:type="dxa"/>
            <w:tcBorders>
              <w:top w:val="nil"/>
              <w:left w:val="nil"/>
              <w:bottom w:val="nil"/>
              <w:right w:val="nil"/>
            </w:tcBorders>
            <w:shd w:val="clear" w:color="auto" w:fill="auto"/>
            <w:noWrap/>
            <w:vAlign w:val="bottom"/>
            <w:hideMark/>
          </w:tcPr>
          <w:p w14:paraId="598590E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(-14.96)</w:t>
            </w:r>
          </w:p>
        </w:tc>
        <w:tc>
          <w:tcPr>
            <w:tcW w:w="1573" w:type="dxa"/>
            <w:tcBorders>
              <w:top w:val="nil"/>
              <w:left w:val="nil"/>
              <w:bottom w:val="nil"/>
              <w:right w:val="nil"/>
            </w:tcBorders>
            <w:shd w:val="clear" w:color="auto" w:fill="auto"/>
            <w:noWrap/>
            <w:vAlign w:val="bottom"/>
            <w:hideMark/>
          </w:tcPr>
          <w:p w14:paraId="74153227"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(-7.31)</w:t>
            </w:r>
          </w:p>
        </w:tc>
        <w:tc>
          <w:tcPr>
            <w:tcW w:w="1595" w:type="dxa"/>
            <w:tcBorders>
              <w:top w:val="nil"/>
              <w:left w:val="nil"/>
              <w:bottom w:val="nil"/>
              <w:right w:val="nil"/>
            </w:tcBorders>
            <w:shd w:val="clear" w:color="auto" w:fill="auto"/>
            <w:noWrap/>
            <w:vAlign w:val="bottom"/>
            <w:hideMark/>
          </w:tcPr>
          <w:p w14:paraId="6C31F781"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(-13.65)</w:t>
            </w:r>
          </w:p>
        </w:tc>
        <w:tc>
          <w:tcPr>
            <w:tcW w:w="1575" w:type="dxa"/>
            <w:tcBorders>
              <w:top w:val="nil"/>
              <w:left w:val="nil"/>
              <w:bottom w:val="nil"/>
              <w:right w:val="nil"/>
            </w:tcBorders>
            <w:shd w:val="clear" w:color="auto" w:fill="auto"/>
            <w:noWrap/>
            <w:vAlign w:val="bottom"/>
            <w:hideMark/>
          </w:tcPr>
          <w:p w14:paraId="53F0FB16"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(-12.62)</w:t>
            </w:r>
          </w:p>
        </w:tc>
      </w:tr>
      <w:tr w:rsidR="00127D7B" w:rsidRPr="005A566B" w14:paraId="46406DFA" w14:textId="77777777" w:rsidTr="00127D7B">
        <w:trPr>
          <w:trHeight w:val="264"/>
        </w:trPr>
        <w:tc>
          <w:tcPr>
            <w:tcW w:w="2257" w:type="dxa"/>
            <w:tcBorders>
              <w:top w:val="nil"/>
              <w:left w:val="nil"/>
              <w:bottom w:val="nil"/>
              <w:right w:val="nil"/>
            </w:tcBorders>
            <w:shd w:val="clear" w:color="auto" w:fill="auto"/>
            <w:noWrap/>
            <w:vAlign w:val="bottom"/>
            <w:hideMark/>
          </w:tcPr>
          <w:p w14:paraId="6BA4C5B4"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COMPETITION</w:t>
            </w:r>
          </w:p>
        </w:tc>
        <w:tc>
          <w:tcPr>
            <w:tcW w:w="1344" w:type="dxa"/>
            <w:tcBorders>
              <w:top w:val="nil"/>
              <w:left w:val="nil"/>
              <w:bottom w:val="nil"/>
              <w:right w:val="nil"/>
            </w:tcBorders>
            <w:shd w:val="clear" w:color="auto" w:fill="auto"/>
            <w:noWrap/>
            <w:vAlign w:val="bottom"/>
            <w:hideMark/>
          </w:tcPr>
          <w:p w14:paraId="2B41850D"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0.0136***</w:t>
            </w:r>
          </w:p>
        </w:tc>
        <w:tc>
          <w:tcPr>
            <w:tcW w:w="1504" w:type="dxa"/>
            <w:tcBorders>
              <w:top w:val="nil"/>
              <w:left w:val="nil"/>
              <w:bottom w:val="nil"/>
              <w:right w:val="nil"/>
            </w:tcBorders>
            <w:shd w:val="clear" w:color="auto" w:fill="auto"/>
            <w:noWrap/>
            <w:vAlign w:val="bottom"/>
            <w:hideMark/>
          </w:tcPr>
          <w:p w14:paraId="0B9A048A"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2EACDA2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0.0478***</w:t>
            </w:r>
          </w:p>
        </w:tc>
        <w:tc>
          <w:tcPr>
            <w:tcW w:w="1480" w:type="dxa"/>
            <w:tcBorders>
              <w:top w:val="nil"/>
              <w:left w:val="nil"/>
              <w:bottom w:val="nil"/>
              <w:right w:val="nil"/>
            </w:tcBorders>
            <w:shd w:val="clear" w:color="auto" w:fill="auto"/>
            <w:noWrap/>
            <w:vAlign w:val="bottom"/>
            <w:hideMark/>
          </w:tcPr>
          <w:p w14:paraId="383AEB75"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4767ABB0"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6F326403"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7B33C890"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0CA237B9"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1A581FD1" w14:textId="77777777" w:rsidTr="00127D7B">
        <w:trPr>
          <w:trHeight w:val="264"/>
        </w:trPr>
        <w:tc>
          <w:tcPr>
            <w:tcW w:w="2257" w:type="dxa"/>
            <w:tcBorders>
              <w:top w:val="nil"/>
              <w:left w:val="nil"/>
              <w:bottom w:val="nil"/>
              <w:right w:val="nil"/>
            </w:tcBorders>
            <w:shd w:val="clear" w:color="auto" w:fill="auto"/>
            <w:noWrap/>
            <w:vAlign w:val="bottom"/>
            <w:hideMark/>
          </w:tcPr>
          <w:p w14:paraId="30C7EB62"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nil"/>
              <w:left w:val="nil"/>
              <w:bottom w:val="nil"/>
              <w:right w:val="nil"/>
            </w:tcBorders>
            <w:shd w:val="clear" w:color="auto" w:fill="auto"/>
            <w:noWrap/>
            <w:vAlign w:val="bottom"/>
            <w:hideMark/>
          </w:tcPr>
          <w:p w14:paraId="009DE71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(7.66)</w:t>
            </w:r>
          </w:p>
        </w:tc>
        <w:tc>
          <w:tcPr>
            <w:tcW w:w="1504" w:type="dxa"/>
            <w:tcBorders>
              <w:top w:val="nil"/>
              <w:left w:val="nil"/>
              <w:bottom w:val="nil"/>
              <w:right w:val="nil"/>
            </w:tcBorders>
            <w:shd w:val="clear" w:color="auto" w:fill="auto"/>
            <w:noWrap/>
            <w:vAlign w:val="bottom"/>
            <w:hideMark/>
          </w:tcPr>
          <w:p w14:paraId="44B74B0D"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46C70891"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(6.94)</w:t>
            </w:r>
          </w:p>
        </w:tc>
        <w:tc>
          <w:tcPr>
            <w:tcW w:w="1480" w:type="dxa"/>
            <w:tcBorders>
              <w:top w:val="nil"/>
              <w:left w:val="nil"/>
              <w:bottom w:val="nil"/>
              <w:right w:val="nil"/>
            </w:tcBorders>
            <w:shd w:val="clear" w:color="auto" w:fill="auto"/>
            <w:noWrap/>
            <w:vAlign w:val="bottom"/>
            <w:hideMark/>
          </w:tcPr>
          <w:p w14:paraId="5CA0759F"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12CD3187"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64F1B692"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27F5F787"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2225AC85"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45A26EA2" w14:textId="77777777" w:rsidTr="00127D7B">
        <w:trPr>
          <w:trHeight w:val="264"/>
        </w:trPr>
        <w:tc>
          <w:tcPr>
            <w:tcW w:w="2257" w:type="dxa"/>
            <w:tcBorders>
              <w:top w:val="nil"/>
              <w:left w:val="nil"/>
              <w:bottom w:val="nil"/>
              <w:right w:val="nil"/>
            </w:tcBorders>
            <w:shd w:val="clear" w:color="auto" w:fill="auto"/>
            <w:noWrap/>
            <w:vAlign w:val="bottom"/>
            <w:hideMark/>
          </w:tcPr>
          <w:p w14:paraId="41C962ED"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CRISIS</w:t>
            </w:r>
          </w:p>
        </w:tc>
        <w:tc>
          <w:tcPr>
            <w:tcW w:w="1344" w:type="dxa"/>
            <w:tcBorders>
              <w:top w:val="nil"/>
              <w:left w:val="nil"/>
              <w:bottom w:val="nil"/>
              <w:right w:val="nil"/>
            </w:tcBorders>
            <w:shd w:val="clear" w:color="auto" w:fill="auto"/>
            <w:noWrap/>
            <w:vAlign w:val="bottom"/>
            <w:hideMark/>
          </w:tcPr>
          <w:p w14:paraId="65E4FB4E"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1C89DE0B"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-0.135***</w:t>
            </w:r>
          </w:p>
        </w:tc>
        <w:tc>
          <w:tcPr>
            <w:tcW w:w="1412" w:type="dxa"/>
            <w:tcBorders>
              <w:top w:val="nil"/>
              <w:left w:val="nil"/>
              <w:bottom w:val="nil"/>
              <w:right w:val="nil"/>
            </w:tcBorders>
            <w:shd w:val="clear" w:color="auto" w:fill="auto"/>
            <w:noWrap/>
            <w:vAlign w:val="bottom"/>
            <w:hideMark/>
          </w:tcPr>
          <w:p w14:paraId="70180563"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6493AC6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-0.826***</w:t>
            </w:r>
          </w:p>
        </w:tc>
        <w:tc>
          <w:tcPr>
            <w:tcW w:w="1663" w:type="dxa"/>
            <w:tcBorders>
              <w:top w:val="nil"/>
              <w:left w:val="nil"/>
              <w:bottom w:val="nil"/>
              <w:right w:val="nil"/>
            </w:tcBorders>
            <w:shd w:val="clear" w:color="auto" w:fill="auto"/>
            <w:noWrap/>
            <w:vAlign w:val="bottom"/>
            <w:hideMark/>
          </w:tcPr>
          <w:p w14:paraId="104A2551"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078660DB"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493E6F86"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7B4949D5"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11B5E50B" w14:textId="77777777" w:rsidTr="00127D7B">
        <w:trPr>
          <w:trHeight w:val="264"/>
        </w:trPr>
        <w:tc>
          <w:tcPr>
            <w:tcW w:w="2257" w:type="dxa"/>
            <w:tcBorders>
              <w:top w:val="nil"/>
              <w:left w:val="nil"/>
              <w:bottom w:val="nil"/>
              <w:right w:val="nil"/>
            </w:tcBorders>
            <w:shd w:val="clear" w:color="auto" w:fill="auto"/>
            <w:noWrap/>
            <w:vAlign w:val="bottom"/>
            <w:hideMark/>
          </w:tcPr>
          <w:p w14:paraId="037B193E"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nil"/>
              <w:left w:val="nil"/>
              <w:bottom w:val="nil"/>
              <w:right w:val="nil"/>
            </w:tcBorders>
            <w:shd w:val="clear" w:color="auto" w:fill="auto"/>
            <w:noWrap/>
            <w:vAlign w:val="bottom"/>
            <w:hideMark/>
          </w:tcPr>
          <w:p w14:paraId="24841194"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79A31B20"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(-12.61)</w:t>
            </w:r>
          </w:p>
        </w:tc>
        <w:tc>
          <w:tcPr>
            <w:tcW w:w="1412" w:type="dxa"/>
            <w:tcBorders>
              <w:top w:val="nil"/>
              <w:left w:val="nil"/>
              <w:bottom w:val="nil"/>
              <w:right w:val="nil"/>
            </w:tcBorders>
            <w:shd w:val="clear" w:color="auto" w:fill="auto"/>
            <w:noWrap/>
            <w:vAlign w:val="bottom"/>
            <w:hideMark/>
          </w:tcPr>
          <w:p w14:paraId="01549BF5"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25EFA6E6"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(-12.11)</w:t>
            </w:r>
          </w:p>
        </w:tc>
        <w:tc>
          <w:tcPr>
            <w:tcW w:w="1663" w:type="dxa"/>
            <w:tcBorders>
              <w:top w:val="nil"/>
              <w:left w:val="nil"/>
              <w:bottom w:val="nil"/>
              <w:right w:val="nil"/>
            </w:tcBorders>
            <w:shd w:val="clear" w:color="auto" w:fill="auto"/>
            <w:noWrap/>
            <w:vAlign w:val="bottom"/>
            <w:hideMark/>
          </w:tcPr>
          <w:p w14:paraId="75E2956D"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108B7411"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50F07CFA"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34F763A1"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0D53DD28" w14:textId="77777777" w:rsidTr="00127D7B">
        <w:trPr>
          <w:trHeight w:val="264"/>
        </w:trPr>
        <w:tc>
          <w:tcPr>
            <w:tcW w:w="2257" w:type="dxa"/>
            <w:tcBorders>
              <w:top w:val="nil"/>
              <w:left w:val="nil"/>
              <w:bottom w:val="nil"/>
              <w:right w:val="nil"/>
            </w:tcBorders>
            <w:shd w:val="clear" w:color="auto" w:fill="auto"/>
            <w:noWrap/>
            <w:vAlign w:val="bottom"/>
            <w:hideMark/>
          </w:tcPr>
          <w:p w14:paraId="0A208A67"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SIZE</w:t>
            </w:r>
          </w:p>
        </w:tc>
        <w:tc>
          <w:tcPr>
            <w:tcW w:w="1344" w:type="dxa"/>
            <w:tcBorders>
              <w:top w:val="nil"/>
              <w:left w:val="nil"/>
              <w:bottom w:val="nil"/>
              <w:right w:val="nil"/>
            </w:tcBorders>
            <w:shd w:val="clear" w:color="auto" w:fill="auto"/>
            <w:noWrap/>
            <w:vAlign w:val="bottom"/>
            <w:hideMark/>
          </w:tcPr>
          <w:p w14:paraId="1D6A35C3"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0E9D30FE"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3F6D27C3"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599B331D"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3204C01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0.182***</w:t>
            </w:r>
          </w:p>
        </w:tc>
        <w:tc>
          <w:tcPr>
            <w:tcW w:w="1573" w:type="dxa"/>
            <w:tcBorders>
              <w:top w:val="nil"/>
              <w:left w:val="nil"/>
              <w:bottom w:val="nil"/>
              <w:right w:val="nil"/>
            </w:tcBorders>
            <w:shd w:val="clear" w:color="auto" w:fill="auto"/>
            <w:noWrap/>
            <w:vAlign w:val="bottom"/>
            <w:hideMark/>
          </w:tcPr>
          <w:p w14:paraId="7B4B1DE7"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0.0943***</w:t>
            </w:r>
          </w:p>
        </w:tc>
        <w:tc>
          <w:tcPr>
            <w:tcW w:w="1595" w:type="dxa"/>
            <w:tcBorders>
              <w:top w:val="nil"/>
              <w:left w:val="nil"/>
              <w:bottom w:val="nil"/>
              <w:right w:val="nil"/>
            </w:tcBorders>
            <w:shd w:val="clear" w:color="auto" w:fill="auto"/>
            <w:noWrap/>
            <w:vAlign w:val="bottom"/>
            <w:hideMark/>
          </w:tcPr>
          <w:p w14:paraId="0BC73369"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740C0CCC"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63F004A0" w14:textId="77777777" w:rsidTr="00127D7B">
        <w:trPr>
          <w:trHeight w:val="264"/>
        </w:trPr>
        <w:tc>
          <w:tcPr>
            <w:tcW w:w="2257" w:type="dxa"/>
            <w:tcBorders>
              <w:top w:val="nil"/>
              <w:left w:val="nil"/>
              <w:bottom w:val="nil"/>
              <w:right w:val="nil"/>
            </w:tcBorders>
            <w:shd w:val="clear" w:color="auto" w:fill="auto"/>
            <w:noWrap/>
            <w:vAlign w:val="bottom"/>
            <w:hideMark/>
          </w:tcPr>
          <w:p w14:paraId="6558027F"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nil"/>
              <w:left w:val="nil"/>
              <w:bottom w:val="nil"/>
              <w:right w:val="nil"/>
            </w:tcBorders>
            <w:shd w:val="clear" w:color="auto" w:fill="auto"/>
            <w:noWrap/>
            <w:vAlign w:val="bottom"/>
            <w:hideMark/>
          </w:tcPr>
          <w:p w14:paraId="7C64C076"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40387883"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517406FD"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6B3D0A19"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1FB95A65"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(16.00)</w:t>
            </w:r>
          </w:p>
        </w:tc>
        <w:tc>
          <w:tcPr>
            <w:tcW w:w="1573" w:type="dxa"/>
            <w:tcBorders>
              <w:top w:val="nil"/>
              <w:left w:val="nil"/>
              <w:bottom w:val="nil"/>
              <w:right w:val="nil"/>
            </w:tcBorders>
            <w:shd w:val="clear" w:color="auto" w:fill="auto"/>
            <w:noWrap/>
            <w:vAlign w:val="bottom"/>
            <w:hideMark/>
          </w:tcPr>
          <w:p w14:paraId="24CD8B2B"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(3.10)</w:t>
            </w:r>
          </w:p>
        </w:tc>
        <w:tc>
          <w:tcPr>
            <w:tcW w:w="1595" w:type="dxa"/>
            <w:tcBorders>
              <w:top w:val="nil"/>
              <w:left w:val="nil"/>
              <w:bottom w:val="nil"/>
              <w:right w:val="nil"/>
            </w:tcBorders>
            <w:shd w:val="clear" w:color="auto" w:fill="auto"/>
            <w:noWrap/>
            <w:vAlign w:val="bottom"/>
            <w:hideMark/>
          </w:tcPr>
          <w:p w14:paraId="7C60A61E"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22D1C144"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4BBC6EFC" w14:textId="77777777" w:rsidTr="00127D7B">
        <w:trPr>
          <w:trHeight w:val="264"/>
        </w:trPr>
        <w:tc>
          <w:tcPr>
            <w:tcW w:w="2257" w:type="dxa"/>
            <w:tcBorders>
              <w:top w:val="nil"/>
              <w:left w:val="nil"/>
              <w:bottom w:val="nil"/>
              <w:right w:val="nil"/>
            </w:tcBorders>
            <w:shd w:val="clear" w:color="auto" w:fill="auto"/>
            <w:noWrap/>
            <w:vAlign w:val="bottom"/>
            <w:hideMark/>
          </w:tcPr>
          <w:p w14:paraId="09EE4D70" w14:textId="4464F1C2" w:rsidR="0079751E" w:rsidRPr="005A566B" w:rsidRDefault="00C304B7"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M</w:t>
            </w:r>
          </w:p>
        </w:tc>
        <w:tc>
          <w:tcPr>
            <w:tcW w:w="1344" w:type="dxa"/>
            <w:tcBorders>
              <w:top w:val="nil"/>
              <w:left w:val="nil"/>
              <w:bottom w:val="nil"/>
              <w:right w:val="nil"/>
            </w:tcBorders>
            <w:shd w:val="clear" w:color="auto" w:fill="auto"/>
            <w:noWrap/>
            <w:vAlign w:val="bottom"/>
            <w:hideMark/>
          </w:tcPr>
          <w:p w14:paraId="161D76F7"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03699AD4"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05657A3B"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210EDA4A"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51D90CD8"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0ECE8AA5"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24A99D0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-0.0261*</w:t>
            </w:r>
          </w:p>
        </w:tc>
        <w:tc>
          <w:tcPr>
            <w:tcW w:w="1575" w:type="dxa"/>
            <w:tcBorders>
              <w:top w:val="nil"/>
              <w:left w:val="nil"/>
              <w:bottom w:val="nil"/>
              <w:right w:val="nil"/>
            </w:tcBorders>
            <w:shd w:val="clear" w:color="auto" w:fill="auto"/>
            <w:noWrap/>
            <w:vAlign w:val="bottom"/>
            <w:hideMark/>
          </w:tcPr>
          <w:p w14:paraId="19FAF602"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-0.314***</w:t>
            </w:r>
          </w:p>
        </w:tc>
      </w:tr>
      <w:tr w:rsidR="00127D7B" w:rsidRPr="005A566B" w14:paraId="6A856E72" w14:textId="77777777" w:rsidTr="00127D7B">
        <w:trPr>
          <w:trHeight w:val="264"/>
        </w:trPr>
        <w:tc>
          <w:tcPr>
            <w:tcW w:w="2257" w:type="dxa"/>
            <w:tcBorders>
              <w:top w:val="nil"/>
              <w:left w:val="nil"/>
              <w:bottom w:val="nil"/>
              <w:right w:val="nil"/>
            </w:tcBorders>
            <w:shd w:val="clear" w:color="auto" w:fill="auto"/>
            <w:noWrap/>
            <w:vAlign w:val="bottom"/>
            <w:hideMark/>
          </w:tcPr>
          <w:p w14:paraId="16FAA599"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nil"/>
              <w:left w:val="nil"/>
              <w:bottom w:val="nil"/>
              <w:right w:val="nil"/>
            </w:tcBorders>
            <w:shd w:val="clear" w:color="auto" w:fill="auto"/>
            <w:noWrap/>
            <w:vAlign w:val="bottom"/>
            <w:hideMark/>
          </w:tcPr>
          <w:p w14:paraId="28AF8F36"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7215E008"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4C4095CE"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64BFE643"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30F17DCB"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3B73AC56"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5FA7460B"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(-1.95)</w:t>
            </w:r>
          </w:p>
        </w:tc>
        <w:tc>
          <w:tcPr>
            <w:tcW w:w="1575" w:type="dxa"/>
            <w:tcBorders>
              <w:top w:val="nil"/>
              <w:left w:val="nil"/>
              <w:bottom w:val="nil"/>
              <w:right w:val="nil"/>
            </w:tcBorders>
            <w:shd w:val="clear" w:color="auto" w:fill="auto"/>
            <w:noWrap/>
            <w:vAlign w:val="bottom"/>
            <w:hideMark/>
          </w:tcPr>
          <w:p w14:paraId="2F36F5E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(-34.80)</w:t>
            </w:r>
          </w:p>
        </w:tc>
      </w:tr>
      <w:tr w:rsidR="00127D7B" w:rsidRPr="005A566B" w14:paraId="51672B1E" w14:textId="77777777" w:rsidTr="00127D7B">
        <w:trPr>
          <w:trHeight w:val="264"/>
        </w:trPr>
        <w:tc>
          <w:tcPr>
            <w:tcW w:w="2257" w:type="dxa"/>
            <w:tcBorders>
              <w:top w:val="nil"/>
              <w:left w:val="nil"/>
              <w:bottom w:val="nil"/>
              <w:right w:val="nil"/>
            </w:tcBorders>
            <w:shd w:val="clear" w:color="auto" w:fill="auto"/>
            <w:noWrap/>
            <w:vAlign w:val="bottom"/>
            <w:hideMark/>
          </w:tcPr>
          <w:p w14:paraId="1BEAF417"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CCC X COMPETITION</w:t>
            </w:r>
          </w:p>
        </w:tc>
        <w:tc>
          <w:tcPr>
            <w:tcW w:w="1344" w:type="dxa"/>
            <w:tcBorders>
              <w:top w:val="nil"/>
              <w:left w:val="nil"/>
              <w:bottom w:val="nil"/>
              <w:right w:val="nil"/>
            </w:tcBorders>
            <w:shd w:val="clear" w:color="auto" w:fill="auto"/>
            <w:noWrap/>
            <w:vAlign w:val="bottom"/>
            <w:hideMark/>
          </w:tcPr>
          <w:p w14:paraId="1FA2E6A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0.01023**</w:t>
            </w:r>
          </w:p>
        </w:tc>
        <w:tc>
          <w:tcPr>
            <w:tcW w:w="1504" w:type="dxa"/>
            <w:tcBorders>
              <w:top w:val="nil"/>
              <w:left w:val="nil"/>
              <w:bottom w:val="nil"/>
              <w:right w:val="nil"/>
            </w:tcBorders>
            <w:shd w:val="clear" w:color="auto" w:fill="auto"/>
            <w:noWrap/>
            <w:vAlign w:val="bottom"/>
            <w:hideMark/>
          </w:tcPr>
          <w:p w14:paraId="47787043"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72778604"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0.108***</w:t>
            </w:r>
          </w:p>
        </w:tc>
        <w:tc>
          <w:tcPr>
            <w:tcW w:w="1480" w:type="dxa"/>
            <w:tcBorders>
              <w:top w:val="nil"/>
              <w:left w:val="nil"/>
              <w:bottom w:val="nil"/>
              <w:right w:val="nil"/>
            </w:tcBorders>
            <w:shd w:val="clear" w:color="auto" w:fill="auto"/>
            <w:noWrap/>
            <w:vAlign w:val="bottom"/>
            <w:hideMark/>
          </w:tcPr>
          <w:p w14:paraId="6E5D32D3"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0873ADBC"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58DCBA1F"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26DD1347"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0A39405F"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17B18736" w14:textId="77777777" w:rsidTr="00127D7B">
        <w:trPr>
          <w:trHeight w:val="264"/>
        </w:trPr>
        <w:tc>
          <w:tcPr>
            <w:tcW w:w="2257" w:type="dxa"/>
            <w:tcBorders>
              <w:top w:val="nil"/>
              <w:left w:val="nil"/>
              <w:bottom w:val="nil"/>
              <w:right w:val="nil"/>
            </w:tcBorders>
            <w:shd w:val="clear" w:color="auto" w:fill="auto"/>
            <w:noWrap/>
            <w:vAlign w:val="bottom"/>
            <w:hideMark/>
          </w:tcPr>
          <w:p w14:paraId="7DEDF6FC"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nil"/>
              <w:left w:val="nil"/>
              <w:bottom w:val="nil"/>
              <w:right w:val="nil"/>
            </w:tcBorders>
            <w:shd w:val="clear" w:color="auto" w:fill="auto"/>
            <w:noWrap/>
            <w:vAlign w:val="bottom"/>
            <w:hideMark/>
          </w:tcPr>
          <w:p w14:paraId="2D2920A0"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(5.18)</w:t>
            </w:r>
          </w:p>
        </w:tc>
        <w:tc>
          <w:tcPr>
            <w:tcW w:w="1504" w:type="dxa"/>
            <w:tcBorders>
              <w:top w:val="nil"/>
              <w:left w:val="nil"/>
              <w:bottom w:val="nil"/>
              <w:right w:val="nil"/>
            </w:tcBorders>
            <w:shd w:val="clear" w:color="auto" w:fill="auto"/>
            <w:noWrap/>
            <w:vAlign w:val="bottom"/>
            <w:hideMark/>
          </w:tcPr>
          <w:p w14:paraId="1DD5765D"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212A9844"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(8.60)</w:t>
            </w:r>
          </w:p>
        </w:tc>
        <w:tc>
          <w:tcPr>
            <w:tcW w:w="1480" w:type="dxa"/>
            <w:tcBorders>
              <w:top w:val="nil"/>
              <w:left w:val="nil"/>
              <w:bottom w:val="nil"/>
              <w:right w:val="nil"/>
            </w:tcBorders>
            <w:shd w:val="clear" w:color="auto" w:fill="auto"/>
            <w:noWrap/>
            <w:vAlign w:val="bottom"/>
            <w:hideMark/>
          </w:tcPr>
          <w:p w14:paraId="7A20314E"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40107DEA"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53BB4828"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52CC11AE"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79CF104E"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2552B324" w14:textId="77777777" w:rsidTr="00127D7B">
        <w:trPr>
          <w:trHeight w:val="264"/>
        </w:trPr>
        <w:tc>
          <w:tcPr>
            <w:tcW w:w="2257" w:type="dxa"/>
            <w:tcBorders>
              <w:top w:val="nil"/>
              <w:left w:val="nil"/>
              <w:bottom w:val="nil"/>
              <w:right w:val="nil"/>
            </w:tcBorders>
            <w:shd w:val="clear" w:color="auto" w:fill="auto"/>
            <w:noWrap/>
            <w:vAlign w:val="bottom"/>
            <w:hideMark/>
          </w:tcPr>
          <w:p w14:paraId="109CD44C"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CCC X CRISIS </w:t>
            </w:r>
          </w:p>
        </w:tc>
        <w:tc>
          <w:tcPr>
            <w:tcW w:w="1344" w:type="dxa"/>
            <w:tcBorders>
              <w:top w:val="nil"/>
              <w:left w:val="nil"/>
              <w:bottom w:val="nil"/>
              <w:right w:val="nil"/>
            </w:tcBorders>
            <w:shd w:val="clear" w:color="auto" w:fill="auto"/>
            <w:noWrap/>
            <w:vAlign w:val="bottom"/>
            <w:hideMark/>
          </w:tcPr>
          <w:p w14:paraId="6B892B7E"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08567058"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0.0302***</w:t>
            </w:r>
          </w:p>
        </w:tc>
        <w:tc>
          <w:tcPr>
            <w:tcW w:w="1412" w:type="dxa"/>
            <w:tcBorders>
              <w:top w:val="nil"/>
              <w:left w:val="nil"/>
              <w:bottom w:val="nil"/>
              <w:right w:val="nil"/>
            </w:tcBorders>
            <w:shd w:val="clear" w:color="auto" w:fill="auto"/>
            <w:noWrap/>
            <w:vAlign w:val="bottom"/>
            <w:hideMark/>
          </w:tcPr>
          <w:p w14:paraId="7720A546"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3A716F4F"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0.179***</w:t>
            </w:r>
          </w:p>
        </w:tc>
        <w:tc>
          <w:tcPr>
            <w:tcW w:w="1663" w:type="dxa"/>
            <w:tcBorders>
              <w:top w:val="nil"/>
              <w:left w:val="nil"/>
              <w:bottom w:val="nil"/>
              <w:right w:val="nil"/>
            </w:tcBorders>
            <w:shd w:val="clear" w:color="auto" w:fill="auto"/>
            <w:noWrap/>
            <w:vAlign w:val="bottom"/>
            <w:hideMark/>
          </w:tcPr>
          <w:p w14:paraId="2CC7ED5C"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0CE9BD17"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7E07C696"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0B5A6148"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4BEA85AA" w14:textId="77777777" w:rsidTr="00127D7B">
        <w:trPr>
          <w:trHeight w:val="264"/>
        </w:trPr>
        <w:tc>
          <w:tcPr>
            <w:tcW w:w="2257" w:type="dxa"/>
            <w:tcBorders>
              <w:top w:val="nil"/>
              <w:left w:val="nil"/>
              <w:bottom w:val="nil"/>
              <w:right w:val="nil"/>
            </w:tcBorders>
            <w:shd w:val="clear" w:color="auto" w:fill="auto"/>
            <w:noWrap/>
            <w:vAlign w:val="bottom"/>
            <w:hideMark/>
          </w:tcPr>
          <w:p w14:paraId="70AF3774" w14:textId="77777777" w:rsidR="0079751E" w:rsidRPr="005A566B" w:rsidRDefault="0079751E" w:rsidP="00127D7B">
            <w:pPr>
              <w:spacing w:after="0" w:line="240" w:lineRule="auto"/>
              <w:rPr>
                <w:rFonts w:ascii="Arial" w:eastAsia="Times New Roman" w:hAnsi="Arial" w:cs="Arial"/>
                <w:lang w:eastAsia="en-GB"/>
              </w:rPr>
            </w:pPr>
          </w:p>
        </w:tc>
        <w:tc>
          <w:tcPr>
            <w:tcW w:w="1344" w:type="dxa"/>
            <w:tcBorders>
              <w:top w:val="nil"/>
              <w:left w:val="nil"/>
              <w:bottom w:val="nil"/>
              <w:right w:val="nil"/>
            </w:tcBorders>
            <w:shd w:val="clear" w:color="auto" w:fill="auto"/>
            <w:noWrap/>
            <w:vAlign w:val="bottom"/>
            <w:hideMark/>
          </w:tcPr>
          <w:p w14:paraId="0CEF5302"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54501C90"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(14.05)</w:t>
            </w:r>
          </w:p>
        </w:tc>
        <w:tc>
          <w:tcPr>
            <w:tcW w:w="1412" w:type="dxa"/>
            <w:tcBorders>
              <w:top w:val="nil"/>
              <w:left w:val="nil"/>
              <w:bottom w:val="nil"/>
              <w:right w:val="nil"/>
            </w:tcBorders>
            <w:shd w:val="clear" w:color="auto" w:fill="auto"/>
            <w:noWrap/>
            <w:vAlign w:val="bottom"/>
            <w:hideMark/>
          </w:tcPr>
          <w:p w14:paraId="206499EE"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4E71FC3A"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(12.66)</w:t>
            </w:r>
          </w:p>
        </w:tc>
        <w:tc>
          <w:tcPr>
            <w:tcW w:w="1663" w:type="dxa"/>
            <w:tcBorders>
              <w:top w:val="nil"/>
              <w:left w:val="nil"/>
              <w:bottom w:val="nil"/>
              <w:right w:val="nil"/>
            </w:tcBorders>
            <w:shd w:val="clear" w:color="auto" w:fill="auto"/>
            <w:noWrap/>
            <w:vAlign w:val="bottom"/>
            <w:hideMark/>
          </w:tcPr>
          <w:p w14:paraId="05E622D4" w14:textId="77777777" w:rsidR="0079751E" w:rsidRPr="005A566B" w:rsidRDefault="0079751E" w:rsidP="00127D7B">
            <w:pPr>
              <w:spacing w:after="0" w:line="240" w:lineRule="auto"/>
              <w:jc w:val="center"/>
              <w:rPr>
                <w:rFonts w:ascii="Arial" w:eastAsia="Times New Roman" w:hAnsi="Arial" w:cs="Arial"/>
                <w:lang w:eastAsia="en-GB"/>
              </w:rPr>
            </w:pPr>
          </w:p>
        </w:tc>
        <w:tc>
          <w:tcPr>
            <w:tcW w:w="1573" w:type="dxa"/>
            <w:tcBorders>
              <w:top w:val="nil"/>
              <w:left w:val="nil"/>
              <w:bottom w:val="nil"/>
              <w:right w:val="nil"/>
            </w:tcBorders>
            <w:shd w:val="clear" w:color="auto" w:fill="auto"/>
            <w:noWrap/>
            <w:vAlign w:val="bottom"/>
            <w:hideMark/>
          </w:tcPr>
          <w:p w14:paraId="68D2C5C0" w14:textId="77777777" w:rsidR="0079751E" w:rsidRPr="005A566B" w:rsidRDefault="0079751E" w:rsidP="00127D7B">
            <w:pPr>
              <w:spacing w:after="0" w:line="240" w:lineRule="auto"/>
              <w:jc w:val="center"/>
              <w:rPr>
                <w:rFonts w:ascii="Arial" w:eastAsia="Times New Roman" w:hAnsi="Arial" w:cs="Arial"/>
                <w:lang w:eastAsia="en-GB"/>
              </w:rPr>
            </w:pPr>
          </w:p>
        </w:tc>
        <w:tc>
          <w:tcPr>
            <w:tcW w:w="1595" w:type="dxa"/>
            <w:tcBorders>
              <w:top w:val="nil"/>
              <w:left w:val="nil"/>
              <w:bottom w:val="nil"/>
              <w:right w:val="nil"/>
            </w:tcBorders>
            <w:shd w:val="clear" w:color="auto" w:fill="auto"/>
            <w:noWrap/>
            <w:vAlign w:val="bottom"/>
            <w:hideMark/>
          </w:tcPr>
          <w:p w14:paraId="78F9536D" w14:textId="77777777" w:rsidR="0079751E" w:rsidRPr="005A566B" w:rsidRDefault="0079751E" w:rsidP="00127D7B">
            <w:pPr>
              <w:spacing w:after="0" w:line="240" w:lineRule="auto"/>
              <w:jc w:val="center"/>
              <w:rPr>
                <w:rFonts w:ascii="Arial" w:eastAsia="Times New Roman" w:hAnsi="Arial" w:cs="Arial"/>
                <w:lang w:eastAsia="en-GB"/>
              </w:rPr>
            </w:pPr>
          </w:p>
        </w:tc>
        <w:tc>
          <w:tcPr>
            <w:tcW w:w="1575" w:type="dxa"/>
            <w:tcBorders>
              <w:top w:val="nil"/>
              <w:left w:val="nil"/>
              <w:bottom w:val="nil"/>
              <w:right w:val="nil"/>
            </w:tcBorders>
            <w:shd w:val="clear" w:color="auto" w:fill="auto"/>
            <w:noWrap/>
            <w:vAlign w:val="bottom"/>
            <w:hideMark/>
          </w:tcPr>
          <w:p w14:paraId="10028665" w14:textId="77777777" w:rsidR="0079751E" w:rsidRPr="005A566B" w:rsidRDefault="0079751E" w:rsidP="00127D7B">
            <w:pPr>
              <w:spacing w:after="0" w:line="240" w:lineRule="auto"/>
              <w:jc w:val="center"/>
              <w:rPr>
                <w:rFonts w:ascii="Arial" w:eastAsia="Times New Roman" w:hAnsi="Arial" w:cs="Arial"/>
                <w:lang w:eastAsia="en-GB"/>
              </w:rPr>
            </w:pPr>
          </w:p>
        </w:tc>
      </w:tr>
      <w:tr w:rsidR="00127D7B" w:rsidRPr="005A566B" w14:paraId="2CE2F285" w14:textId="77777777" w:rsidTr="00127D7B">
        <w:trPr>
          <w:trHeight w:val="264"/>
        </w:trPr>
        <w:tc>
          <w:tcPr>
            <w:tcW w:w="2257" w:type="dxa"/>
            <w:tcBorders>
              <w:top w:val="nil"/>
              <w:left w:val="nil"/>
              <w:bottom w:val="nil"/>
              <w:right w:val="nil"/>
            </w:tcBorders>
            <w:shd w:val="clear" w:color="auto" w:fill="auto"/>
            <w:noWrap/>
            <w:vAlign w:val="bottom"/>
            <w:hideMark/>
          </w:tcPr>
          <w:p w14:paraId="7F16B4B4"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CCCX SIZE</w:t>
            </w:r>
          </w:p>
        </w:tc>
        <w:tc>
          <w:tcPr>
            <w:tcW w:w="1344" w:type="dxa"/>
            <w:tcBorders>
              <w:top w:val="nil"/>
              <w:left w:val="nil"/>
              <w:bottom w:val="nil"/>
              <w:right w:val="nil"/>
            </w:tcBorders>
            <w:shd w:val="clear" w:color="auto" w:fill="auto"/>
            <w:noWrap/>
            <w:vAlign w:val="bottom"/>
            <w:hideMark/>
          </w:tcPr>
          <w:p w14:paraId="251F5773" w14:textId="77777777" w:rsidR="0079751E" w:rsidRPr="005A566B" w:rsidRDefault="0079751E" w:rsidP="00127D7B">
            <w:pPr>
              <w:spacing w:after="0" w:line="240" w:lineRule="auto"/>
              <w:jc w:val="center"/>
              <w:rPr>
                <w:rFonts w:ascii="Arial" w:eastAsia="Times New Roman" w:hAnsi="Arial" w:cs="Arial"/>
                <w:lang w:eastAsia="en-GB"/>
              </w:rPr>
            </w:pPr>
          </w:p>
        </w:tc>
        <w:tc>
          <w:tcPr>
            <w:tcW w:w="1504" w:type="dxa"/>
            <w:tcBorders>
              <w:top w:val="nil"/>
              <w:left w:val="nil"/>
              <w:bottom w:val="nil"/>
              <w:right w:val="nil"/>
            </w:tcBorders>
            <w:shd w:val="clear" w:color="auto" w:fill="auto"/>
            <w:noWrap/>
            <w:vAlign w:val="bottom"/>
            <w:hideMark/>
          </w:tcPr>
          <w:p w14:paraId="3E6AAC92"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1D6B360E"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350588D5"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305F33BD"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0.269***</w:t>
            </w:r>
          </w:p>
        </w:tc>
        <w:tc>
          <w:tcPr>
            <w:tcW w:w="1573" w:type="dxa"/>
            <w:tcBorders>
              <w:top w:val="nil"/>
              <w:left w:val="nil"/>
              <w:bottom w:val="nil"/>
              <w:right w:val="nil"/>
            </w:tcBorders>
            <w:shd w:val="clear" w:color="auto" w:fill="auto"/>
            <w:noWrap/>
            <w:vAlign w:val="bottom"/>
            <w:hideMark/>
          </w:tcPr>
          <w:p w14:paraId="4F50A3C3"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0.0678***</w:t>
            </w:r>
          </w:p>
        </w:tc>
        <w:tc>
          <w:tcPr>
            <w:tcW w:w="1595" w:type="dxa"/>
            <w:tcBorders>
              <w:top w:val="nil"/>
              <w:left w:val="nil"/>
              <w:bottom w:val="nil"/>
              <w:right w:val="nil"/>
            </w:tcBorders>
            <w:shd w:val="clear" w:color="auto" w:fill="auto"/>
            <w:noWrap/>
            <w:vAlign w:val="bottom"/>
            <w:hideMark/>
          </w:tcPr>
          <w:p w14:paraId="63A76254"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0.0332***</w:t>
            </w:r>
          </w:p>
        </w:tc>
        <w:tc>
          <w:tcPr>
            <w:tcW w:w="1575" w:type="dxa"/>
            <w:tcBorders>
              <w:top w:val="nil"/>
              <w:left w:val="nil"/>
              <w:bottom w:val="nil"/>
              <w:right w:val="nil"/>
            </w:tcBorders>
            <w:shd w:val="clear" w:color="auto" w:fill="auto"/>
            <w:noWrap/>
            <w:vAlign w:val="bottom"/>
            <w:hideMark/>
          </w:tcPr>
          <w:p w14:paraId="27741F56"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0.0735***</w:t>
            </w:r>
          </w:p>
        </w:tc>
      </w:tr>
      <w:tr w:rsidR="00127D7B" w:rsidRPr="005A566B" w14:paraId="478D9528" w14:textId="77777777" w:rsidTr="00127D7B">
        <w:trPr>
          <w:trHeight w:val="264"/>
        </w:trPr>
        <w:tc>
          <w:tcPr>
            <w:tcW w:w="3601" w:type="dxa"/>
            <w:gridSpan w:val="2"/>
            <w:tcBorders>
              <w:top w:val="nil"/>
              <w:left w:val="nil"/>
              <w:bottom w:val="nil"/>
              <w:right w:val="nil"/>
            </w:tcBorders>
            <w:shd w:val="clear" w:color="auto" w:fill="auto"/>
            <w:noWrap/>
            <w:vAlign w:val="bottom"/>
            <w:hideMark/>
          </w:tcPr>
          <w:p w14:paraId="197EAEB6" w14:textId="6841CADF"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CCC X </w:t>
            </w:r>
            <w:r w:rsidR="00C304B7" w:rsidRPr="005A566B">
              <w:rPr>
                <w:rFonts w:ascii="Arial" w:eastAsia="Times New Roman" w:hAnsi="Arial" w:cs="Arial"/>
                <w:lang w:eastAsia="en-GB"/>
              </w:rPr>
              <w:t>M</w:t>
            </w:r>
          </w:p>
        </w:tc>
        <w:tc>
          <w:tcPr>
            <w:tcW w:w="1504" w:type="dxa"/>
            <w:tcBorders>
              <w:top w:val="nil"/>
              <w:left w:val="nil"/>
              <w:bottom w:val="nil"/>
              <w:right w:val="nil"/>
            </w:tcBorders>
            <w:shd w:val="clear" w:color="auto" w:fill="auto"/>
            <w:noWrap/>
            <w:vAlign w:val="bottom"/>
            <w:hideMark/>
          </w:tcPr>
          <w:p w14:paraId="2C014027" w14:textId="77777777" w:rsidR="0079751E" w:rsidRPr="005A566B" w:rsidRDefault="0079751E" w:rsidP="00127D7B">
            <w:pPr>
              <w:spacing w:after="0" w:line="240" w:lineRule="auto"/>
              <w:jc w:val="center"/>
              <w:rPr>
                <w:rFonts w:ascii="Arial" w:eastAsia="Times New Roman" w:hAnsi="Arial" w:cs="Arial"/>
                <w:lang w:eastAsia="en-GB"/>
              </w:rPr>
            </w:pPr>
          </w:p>
        </w:tc>
        <w:tc>
          <w:tcPr>
            <w:tcW w:w="1412" w:type="dxa"/>
            <w:tcBorders>
              <w:top w:val="nil"/>
              <w:left w:val="nil"/>
              <w:bottom w:val="nil"/>
              <w:right w:val="nil"/>
            </w:tcBorders>
            <w:shd w:val="clear" w:color="auto" w:fill="auto"/>
            <w:noWrap/>
            <w:vAlign w:val="bottom"/>
            <w:hideMark/>
          </w:tcPr>
          <w:p w14:paraId="4706EF4F" w14:textId="77777777" w:rsidR="0079751E" w:rsidRPr="005A566B" w:rsidRDefault="0079751E" w:rsidP="00127D7B">
            <w:pPr>
              <w:spacing w:after="0" w:line="240" w:lineRule="auto"/>
              <w:jc w:val="center"/>
              <w:rPr>
                <w:rFonts w:ascii="Arial" w:eastAsia="Times New Roman" w:hAnsi="Arial" w:cs="Arial"/>
                <w:lang w:eastAsia="en-GB"/>
              </w:rPr>
            </w:pPr>
          </w:p>
        </w:tc>
        <w:tc>
          <w:tcPr>
            <w:tcW w:w="1480" w:type="dxa"/>
            <w:tcBorders>
              <w:top w:val="nil"/>
              <w:left w:val="nil"/>
              <w:bottom w:val="nil"/>
              <w:right w:val="nil"/>
            </w:tcBorders>
            <w:shd w:val="clear" w:color="auto" w:fill="auto"/>
            <w:noWrap/>
            <w:vAlign w:val="bottom"/>
            <w:hideMark/>
          </w:tcPr>
          <w:p w14:paraId="70178D0D" w14:textId="77777777" w:rsidR="0079751E" w:rsidRPr="005A566B" w:rsidRDefault="0079751E" w:rsidP="00127D7B">
            <w:pPr>
              <w:spacing w:after="0" w:line="240" w:lineRule="auto"/>
              <w:jc w:val="center"/>
              <w:rPr>
                <w:rFonts w:ascii="Arial" w:eastAsia="Times New Roman" w:hAnsi="Arial" w:cs="Arial"/>
                <w:lang w:eastAsia="en-GB"/>
              </w:rPr>
            </w:pPr>
          </w:p>
        </w:tc>
        <w:tc>
          <w:tcPr>
            <w:tcW w:w="1663" w:type="dxa"/>
            <w:tcBorders>
              <w:top w:val="nil"/>
              <w:left w:val="nil"/>
              <w:bottom w:val="nil"/>
              <w:right w:val="nil"/>
            </w:tcBorders>
            <w:shd w:val="clear" w:color="auto" w:fill="auto"/>
            <w:noWrap/>
            <w:vAlign w:val="bottom"/>
            <w:hideMark/>
          </w:tcPr>
          <w:p w14:paraId="528B2661"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(11.17)</w:t>
            </w:r>
          </w:p>
        </w:tc>
        <w:tc>
          <w:tcPr>
            <w:tcW w:w="1573" w:type="dxa"/>
            <w:tcBorders>
              <w:top w:val="nil"/>
              <w:left w:val="nil"/>
              <w:bottom w:val="nil"/>
              <w:right w:val="nil"/>
            </w:tcBorders>
            <w:shd w:val="clear" w:color="auto" w:fill="auto"/>
            <w:noWrap/>
            <w:vAlign w:val="bottom"/>
            <w:hideMark/>
          </w:tcPr>
          <w:p w14:paraId="3F4C3E6A"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(10.04)</w:t>
            </w:r>
          </w:p>
        </w:tc>
        <w:tc>
          <w:tcPr>
            <w:tcW w:w="1595" w:type="dxa"/>
            <w:tcBorders>
              <w:top w:val="nil"/>
              <w:left w:val="nil"/>
              <w:bottom w:val="nil"/>
              <w:right w:val="nil"/>
            </w:tcBorders>
            <w:shd w:val="clear" w:color="auto" w:fill="auto"/>
            <w:noWrap/>
            <w:vAlign w:val="bottom"/>
            <w:hideMark/>
          </w:tcPr>
          <w:p w14:paraId="6B0346EA"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(34.29)</w:t>
            </w:r>
          </w:p>
        </w:tc>
        <w:tc>
          <w:tcPr>
            <w:tcW w:w="1575" w:type="dxa"/>
            <w:tcBorders>
              <w:top w:val="nil"/>
              <w:left w:val="nil"/>
              <w:bottom w:val="nil"/>
              <w:right w:val="nil"/>
            </w:tcBorders>
            <w:shd w:val="clear" w:color="auto" w:fill="auto"/>
            <w:noWrap/>
            <w:vAlign w:val="bottom"/>
            <w:hideMark/>
          </w:tcPr>
          <w:p w14:paraId="77C47A1D"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(41.32)</w:t>
            </w:r>
          </w:p>
        </w:tc>
      </w:tr>
      <w:tr w:rsidR="00127D7B" w:rsidRPr="005A566B" w14:paraId="341F6410" w14:textId="77777777" w:rsidTr="00127D7B">
        <w:trPr>
          <w:trHeight w:val="264"/>
        </w:trPr>
        <w:tc>
          <w:tcPr>
            <w:tcW w:w="2257" w:type="dxa"/>
            <w:tcBorders>
              <w:top w:val="nil"/>
              <w:left w:val="nil"/>
              <w:bottom w:val="nil"/>
              <w:right w:val="nil"/>
            </w:tcBorders>
            <w:shd w:val="clear" w:color="auto" w:fill="auto"/>
            <w:noWrap/>
            <w:vAlign w:val="center"/>
            <w:hideMark/>
          </w:tcPr>
          <w:p w14:paraId="1DA00BA8" w14:textId="77777777" w:rsidR="0079751E" w:rsidRPr="005A566B" w:rsidRDefault="0079751E"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INDUSTRY</w:t>
            </w:r>
          </w:p>
        </w:tc>
        <w:tc>
          <w:tcPr>
            <w:tcW w:w="1344" w:type="dxa"/>
            <w:tcBorders>
              <w:top w:val="nil"/>
              <w:left w:val="nil"/>
              <w:bottom w:val="nil"/>
              <w:right w:val="nil"/>
            </w:tcBorders>
            <w:shd w:val="clear" w:color="auto" w:fill="auto"/>
            <w:noWrap/>
            <w:vAlign w:val="bottom"/>
            <w:hideMark/>
          </w:tcPr>
          <w:p w14:paraId="1FEBE3A1"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04" w:type="dxa"/>
            <w:tcBorders>
              <w:top w:val="nil"/>
              <w:left w:val="nil"/>
              <w:bottom w:val="nil"/>
              <w:right w:val="nil"/>
            </w:tcBorders>
            <w:shd w:val="clear" w:color="auto" w:fill="auto"/>
            <w:noWrap/>
            <w:vAlign w:val="bottom"/>
            <w:hideMark/>
          </w:tcPr>
          <w:p w14:paraId="378868C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412" w:type="dxa"/>
            <w:tcBorders>
              <w:top w:val="nil"/>
              <w:left w:val="nil"/>
              <w:bottom w:val="nil"/>
              <w:right w:val="nil"/>
            </w:tcBorders>
            <w:shd w:val="clear" w:color="auto" w:fill="auto"/>
            <w:noWrap/>
            <w:vAlign w:val="bottom"/>
            <w:hideMark/>
          </w:tcPr>
          <w:p w14:paraId="0728C3EF"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480" w:type="dxa"/>
            <w:tcBorders>
              <w:top w:val="nil"/>
              <w:left w:val="nil"/>
              <w:bottom w:val="nil"/>
              <w:right w:val="nil"/>
            </w:tcBorders>
            <w:shd w:val="clear" w:color="auto" w:fill="auto"/>
            <w:noWrap/>
            <w:vAlign w:val="bottom"/>
            <w:hideMark/>
          </w:tcPr>
          <w:p w14:paraId="41F1644B"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63" w:type="dxa"/>
            <w:tcBorders>
              <w:top w:val="nil"/>
              <w:left w:val="nil"/>
              <w:bottom w:val="nil"/>
              <w:right w:val="nil"/>
            </w:tcBorders>
            <w:shd w:val="clear" w:color="auto" w:fill="auto"/>
            <w:noWrap/>
            <w:vAlign w:val="bottom"/>
            <w:hideMark/>
          </w:tcPr>
          <w:p w14:paraId="64A15B20"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73" w:type="dxa"/>
            <w:tcBorders>
              <w:top w:val="nil"/>
              <w:left w:val="nil"/>
              <w:bottom w:val="nil"/>
              <w:right w:val="nil"/>
            </w:tcBorders>
            <w:shd w:val="clear" w:color="auto" w:fill="auto"/>
            <w:noWrap/>
            <w:vAlign w:val="bottom"/>
            <w:hideMark/>
          </w:tcPr>
          <w:p w14:paraId="1D31B836"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95" w:type="dxa"/>
            <w:tcBorders>
              <w:top w:val="nil"/>
              <w:left w:val="nil"/>
              <w:bottom w:val="nil"/>
              <w:right w:val="nil"/>
            </w:tcBorders>
            <w:shd w:val="clear" w:color="auto" w:fill="auto"/>
            <w:noWrap/>
            <w:vAlign w:val="bottom"/>
            <w:hideMark/>
          </w:tcPr>
          <w:p w14:paraId="1774C470"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75" w:type="dxa"/>
            <w:tcBorders>
              <w:top w:val="nil"/>
              <w:left w:val="nil"/>
              <w:bottom w:val="nil"/>
              <w:right w:val="nil"/>
            </w:tcBorders>
            <w:shd w:val="clear" w:color="auto" w:fill="auto"/>
            <w:noWrap/>
            <w:vAlign w:val="bottom"/>
            <w:hideMark/>
          </w:tcPr>
          <w:p w14:paraId="75A0C7D6"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127D7B" w:rsidRPr="005A566B" w14:paraId="042FC0B5" w14:textId="77777777" w:rsidTr="00127D7B">
        <w:trPr>
          <w:trHeight w:val="264"/>
        </w:trPr>
        <w:tc>
          <w:tcPr>
            <w:tcW w:w="2257" w:type="dxa"/>
            <w:tcBorders>
              <w:top w:val="nil"/>
              <w:left w:val="nil"/>
              <w:bottom w:val="nil"/>
              <w:right w:val="nil"/>
            </w:tcBorders>
            <w:shd w:val="clear" w:color="auto" w:fill="auto"/>
            <w:noWrap/>
            <w:vAlign w:val="center"/>
            <w:hideMark/>
          </w:tcPr>
          <w:p w14:paraId="334E9573" w14:textId="77777777" w:rsidR="0079751E" w:rsidRPr="005A566B" w:rsidRDefault="0079751E" w:rsidP="00127D7B">
            <w:pPr>
              <w:spacing w:after="0" w:line="240" w:lineRule="auto"/>
              <w:rPr>
                <w:rFonts w:ascii="Arial" w:eastAsia="Times New Roman" w:hAnsi="Arial" w:cs="Arial"/>
                <w:lang w:eastAsia="en-GB"/>
              </w:rPr>
            </w:pPr>
            <w:bookmarkStart w:id="307" w:name="_Hlk503742810"/>
            <w:r w:rsidRPr="005A566B">
              <w:rPr>
                <w:rFonts w:ascii="Arial" w:eastAsia="Times New Roman" w:hAnsi="Arial" w:cs="Arial"/>
                <w:lang w:eastAsia="en-GB"/>
              </w:rPr>
              <w:t>YEAR</w:t>
            </w:r>
          </w:p>
        </w:tc>
        <w:tc>
          <w:tcPr>
            <w:tcW w:w="1344" w:type="dxa"/>
            <w:tcBorders>
              <w:top w:val="nil"/>
              <w:left w:val="nil"/>
              <w:bottom w:val="nil"/>
              <w:right w:val="nil"/>
            </w:tcBorders>
            <w:shd w:val="clear" w:color="auto" w:fill="auto"/>
            <w:noWrap/>
            <w:vAlign w:val="bottom"/>
            <w:hideMark/>
          </w:tcPr>
          <w:p w14:paraId="68C83C3C"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04" w:type="dxa"/>
            <w:tcBorders>
              <w:top w:val="nil"/>
              <w:left w:val="nil"/>
              <w:bottom w:val="nil"/>
              <w:right w:val="nil"/>
            </w:tcBorders>
            <w:shd w:val="clear" w:color="auto" w:fill="auto"/>
            <w:noWrap/>
            <w:vAlign w:val="bottom"/>
            <w:hideMark/>
          </w:tcPr>
          <w:p w14:paraId="64BBB35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412" w:type="dxa"/>
            <w:tcBorders>
              <w:top w:val="nil"/>
              <w:left w:val="nil"/>
              <w:bottom w:val="nil"/>
              <w:right w:val="nil"/>
            </w:tcBorders>
            <w:shd w:val="clear" w:color="auto" w:fill="auto"/>
            <w:noWrap/>
            <w:vAlign w:val="bottom"/>
            <w:hideMark/>
          </w:tcPr>
          <w:p w14:paraId="0FDD1ABB"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480" w:type="dxa"/>
            <w:tcBorders>
              <w:top w:val="nil"/>
              <w:left w:val="nil"/>
              <w:bottom w:val="nil"/>
              <w:right w:val="nil"/>
            </w:tcBorders>
            <w:shd w:val="clear" w:color="auto" w:fill="auto"/>
            <w:noWrap/>
            <w:vAlign w:val="bottom"/>
            <w:hideMark/>
          </w:tcPr>
          <w:p w14:paraId="30573BE5"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63" w:type="dxa"/>
            <w:tcBorders>
              <w:top w:val="nil"/>
              <w:left w:val="nil"/>
              <w:bottom w:val="nil"/>
              <w:right w:val="nil"/>
            </w:tcBorders>
            <w:shd w:val="clear" w:color="auto" w:fill="auto"/>
            <w:noWrap/>
            <w:vAlign w:val="bottom"/>
            <w:hideMark/>
          </w:tcPr>
          <w:p w14:paraId="1DA1905E"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73" w:type="dxa"/>
            <w:tcBorders>
              <w:top w:val="nil"/>
              <w:left w:val="nil"/>
              <w:bottom w:val="nil"/>
              <w:right w:val="nil"/>
            </w:tcBorders>
            <w:shd w:val="clear" w:color="auto" w:fill="auto"/>
            <w:noWrap/>
            <w:vAlign w:val="bottom"/>
            <w:hideMark/>
          </w:tcPr>
          <w:p w14:paraId="5A2C2743"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95" w:type="dxa"/>
            <w:tcBorders>
              <w:top w:val="nil"/>
              <w:left w:val="nil"/>
              <w:bottom w:val="nil"/>
              <w:right w:val="nil"/>
            </w:tcBorders>
            <w:shd w:val="clear" w:color="auto" w:fill="auto"/>
            <w:noWrap/>
            <w:vAlign w:val="bottom"/>
            <w:hideMark/>
          </w:tcPr>
          <w:p w14:paraId="6AEB0942"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75" w:type="dxa"/>
            <w:tcBorders>
              <w:top w:val="nil"/>
              <w:left w:val="nil"/>
              <w:bottom w:val="nil"/>
              <w:right w:val="nil"/>
            </w:tcBorders>
            <w:shd w:val="clear" w:color="auto" w:fill="auto"/>
            <w:noWrap/>
            <w:vAlign w:val="bottom"/>
            <w:hideMark/>
          </w:tcPr>
          <w:p w14:paraId="55CF1399" w14:textId="77777777" w:rsidR="0079751E" w:rsidRPr="005A566B" w:rsidRDefault="0079751E"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bookmarkEnd w:id="307"/>
      <w:tr w:rsidR="00127D7B" w:rsidRPr="005A566B" w14:paraId="77D60E80" w14:textId="77777777" w:rsidTr="00127D7B">
        <w:trPr>
          <w:trHeight w:val="264"/>
        </w:trPr>
        <w:tc>
          <w:tcPr>
            <w:tcW w:w="2257" w:type="dxa"/>
            <w:tcBorders>
              <w:top w:val="nil"/>
              <w:left w:val="nil"/>
              <w:bottom w:val="nil"/>
              <w:right w:val="nil"/>
            </w:tcBorders>
            <w:shd w:val="clear" w:color="auto" w:fill="auto"/>
            <w:noWrap/>
            <w:vAlign w:val="center"/>
          </w:tcPr>
          <w:p w14:paraId="3700975A" w14:textId="77777777" w:rsidR="007E7437" w:rsidRPr="005A566B" w:rsidRDefault="007E7437"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CONTROL VARIABLES</w:t>
            </w:r>
          </w:p>
        </w:tc>
        <w:tc>
          <w:tcPr>
            <w:tcW w:w="1344" w:type="dxa"/>
            <w:tcBorders>
              <w:top w:val="nil"/>
              <w:left w:val="nil"/>
              <w:bottom w:val="nil"/>
              <w:right w:val="nil"/>
            </w:tcBorders>
            <w:shd w:val="clear" w:color="auto" w:fill="auto"/>
            <w:noWrap/>
            <w:vAlign w:val="bottom"/>
          </w:tcPr>
          <w:p w14:paraId="2CBB28FE"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04" w:type="dxa"/>
            <w:tcBorders>
              <w:top w:val="nil"/>
              <w:left w:val="nil"/>
              <w:bottom w:val="nil"/>
              <w:right w:val="nil"/>
            </w:tcBorders>
            <w:shd w:val="clear" w:color="auto" w:fill="auto"/>
            <w:noWrap/>
            <w:vAlign w:val="bottom"/>
          </w:tcPr>
          <w:p w14:paraId="23207530"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412" w:type="dxa"/>
            <w:tcBorders>
              <w:top w:val="nil"/>
              <w:left w:val="nil"/>
              <w:bottom w:val="nil"/>
              <w:right w:val="nil"/>
            </w:tcBorders>
            <w:shd w:val="clear" w:color="auto" w:fill="auto"/>
            <w:noWrap/>
            <w:vAlign w:val="bottom"/>
          </w:tcPr>
          <w:p w14:paraId="2F3C6EE8"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480" w:type="dxa"/>
            <w:tcBorders>
              <w:top w:val="nil"/>
              <w:left w:val="nil"/>
              <w:bottom w:val="nil"/>
              <w:right w:val="nil"/>
            </w:tcBorders>
            <w:shd w:val="clear" w:color="auto" w:fill="auto"/>
            <w:noWrap/>
            <w:vAlign w:val="bottom"/>
          </w:tcPr>
          <w:p w14:paraId="3C778429"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63" w:type="dxa"/>
            <w:tcBorders>
              <w:top w:val="nil"/>
              <w:left w:val="nil"/>
              <w:bottom w:val="nil"/>
              <w:right w:val="nil"/>
            </w:tcBorders>
            <w:shd w:val="clear" w:color="auto" w:fill="auto"/>
            <w:noWrap/>
            <w:vAlign w:val="bottom"/>
          </w:tcPr>
          <w:p w14:paraId="5015F67B"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73" w:type="dxa"/>
            <w:tcBorders>
              <w:top w:val="nil"/>
              <w:left w:val="nil"/>
              <w:bottom w:val="nil"/>
              <w:right w:val="nil"/>
            </w:tcBorders>
            <w:shd w:val="clear" w:color="auto" w:fill="auto"/>
            <w:noWrap/>
            <w:vAlign w:val="bottom"/>
          </w:tcPr>
          <w:p w14:paraId="759DA180"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95" w:type="dxa"/>
            <w:tcBorders>
              <w:top w:val="nil"/>
              <w:left w:val="nil"/>
              <w:bottom w:val="nil"/>
              <w:right w:val="nil"/>
            </w:tcBorders>
            <w:shd w:val="clear" w:color="auto" w:fill="auto"/>
            <w:noWrap/>
            <w:vAlign w:val="bottom"/>
          </w:tcPr>
          <w:p w14:paraId="3B499D04"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575" w:type="dxa"/>
            <w:tcBorders>
              <w:top w:val="nil"/>
              <w:left w:val="nil"/>
              <w:bottom w:val="nil"/>
              <w:right w:val="nil"/>
            </w:tcBorders>
            <w:shd w:val="clear" w:color="auto" w:fill="auto"/>
            <w:noWrap/>
            <w:vAlign w:val="bottom"/>
          </w:tcPr>
          <w:p w14:paraId="1219837D"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127D7B" w:rsidRPr="005A566B" w14:paraId="3079BE2F" w14:textId="77777777" w:rsidTr="00127D7B">
        <w:trPr>
          <w:trHeight w:val="264"/>
        </w:trPr>
        <w:tc>
          <w:tcPr>
            <w:tcW w:w="2257" w:type="dxa"/>
            <w:tcBorders>
              <w:top w:val="nil"/>
              <w:left w:val="nil"/>
              <w:bottom w:val="nil"/>
              <w:right w:val="nil"/>
            </w:tcBorders>
            <w:shd w:val="clear" w:color="auto" w:fill="auto"/>
            <w:noWrap/>
            <w:vAlign w:val="center"/>
            <w:hideMark/>
          </w:tcPr>
          <w:p w14:paraId="69F73843" w14:textId="77777777" w:rsidR="000F3BE0" w:rsidRPr="005A566B" w:rsidRDefault="000F3BE0" w:rsidP="00127D7B">
            <w:pPr>
              <w:spacing w:after="0" w:line="240" w:lineRule="auto"/>
              <w:rPr>
                <w:rFonts w:ascii="Arial" w:eastAsia="Times New Roman" w:hAnsi="Arial" w:cs="Arial"/>
                <w:lang w:eastAsia="en-GB"/>
              </w:rPr>
            </w:pPr>
            <w:bookmarkStart w:id="308" w:name="OLE_LINK177"/>
            <w:bookmarkStart w:id="309" w:name="OLE_LINK178"/>
            <w:bookmarkStart w:id="310" w:name="OLE_LINK179"/>
            <w:r w:rsidRPr="005A566B">
              <w:rPr>
                <w:rFonts w:ascii="Arial" w:eastAsia="Times New Roman" w:hAnsi="Arial" w:cs="Arial"/>
                <w:lang w:eastAsia="en-GB"/>
              </w:rPr>
              <w:t>OBSERVATIONS</w:t>
            </w:r>
            <w:bookmarkEnd w:id="308"/>
            <w:bookmarkEnd w:id="309"/>
            <w:bookmarkEnd w:id="310"/>
          </w:p>
        </w:tc>
        <w:tc>
          <w:tcPr>
            <w:tcW w:w="1344" w:type="dxa"/>
            <w:tcBorders>
              <w:top w:val="nil"/>
              <w:left w:val="nil"/>
              <w:bottom w:val="nil"/>
              <w:right w:val="nil"/>
            </w:tcBorders>
            <w:shd w:val="clear" w:color="auto" w:fill="auto"/>
            <w:noWrap/>
            <w:vAlign w:val="bottom"/>
            <w:hideMark/>
          </w:tcPr>
          <w:p w14:paraId="4C36549B" w14:textId="652226B2" w:rsidR="000F3BE0" w:rsidRPr="005A566B" w:rsidRDefault="000F3BE0" w:rsidP="00127D7B">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504" w:type="dxa"/>
            <w:tcBorders>
              <w:top w:val="nil"/>
              <w:left w:val="nil"/>
              <w:bottom w:val="nil"/>
              <w:right w:val="nil"/>
            </w:tcBorders>
            <w:shd w:val="clear" w:color="auto" w:fill="auto"/>
            <w:noWrap/>
            <w:vAlign w:val="bottom"/>
            <w:hideMark/>
          </w:tcPr>
          <w:p w14:paraId="5B589839" w14:textId="6A337A90" w:rsidR="000F3BE0" w:rsidRPr="005A566B" w:rsidRDefault="000F3BE0" w:rsidP="00127D7B">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412" w:type="dxa"/>
            <w:tcBorders>
              <w:top w:val="nil"/>
              <w:left w:val="nil"/>
              <w:bottom w:val="nil"/>
              <w:right w:val="nil"/>
            </w:tcBorders>
            <w:shd w:val="clear" w:color="auto" w:fill="auto"/>
            <w:noWrap/>
            <w:vAlign w:val="bottom"/>
            <w:hideMark/>
          </w:tcPr>
          <w:p w14:paraId="70D49B58" w14:textId="53F1E8D6" w:rsidR="000F3BE0" w:rsidRPr="005A566B" w:rsidRDefault="000F3BE0" w:rsidP="00127D7B">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480" w:type="dxa"/>
            <w:tcBorders>
              <w:top w:val="nil"/>
              <w:left w:val="nil"/>
              <w:bottom w:val="nil"/>
              <w:right w:val="nil"/>
            </w:tcBorders>
            <w:shd w:val="clear" w:color="auto" w:fill="auto"/>
            <w:noWrap/>
            <w:vAlign w:val="bottom"/>
            <w:hideMark/>
          </w:tcPr>
          <w:p w14:paraId="27587A9A" w14:textId="027E439F" w:rsidR="000F3BE0" w:rsidRPr="005A566B" w:rsidRDefault="000F3BE0" w:rsidP="00127D7B">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663" w:type="dxa"/>
            <w:tcBorders>
              <w:top w:val="nil"/>
              <w:left w:val="nil"/>
              <w:bottom w:val="nil"/>
              <w:right w:val="nil"/>
            </w:tcBorders>
            <w:shd w:val="clear" w:color="auto" w:fill="auto"/>
            <w:noWrap/>
            <w:vAlign w:val="bottom"/>
            <w:hideMark/>
          </w:tcPr>
          <w:p w14:paraId="086434B3" w14:textId="40F4D120" w:rsidR="000F3BE0" w:rsidRPr="005A566B" w:rsidRDefault="000F3BE0" w:rsidP="00127D7B">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573" w:type="dxa"/>
            <w:tcBorders>
              <w:top w:val="nil"/>
              <w:left w:val="nil"/>
              <w:bottom w:val="nil"/>
              <w:right w:val="nil"/>
            </w:tcBorders>
            <w:shd w:val="clear" w:color="auto" w:fill="auto"/>
            <w:noWrap/>
            <w:vAlign w:val="bottom"/>
            <w:hideMark/>
          </w:tcPr>
          <w:p w14:paraId="074666D6" w14:textId="0B079278" w:rsidR="000F3BE0" w:rsidRPr="005A566B" w:rsidRDefault="000F3BE0" w:rsidP="00127D7B">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595" w:type="dxa"/>
            <w:tcBorders>
              <w:top w:val="nil"/>
              <w:left w:val="nil"/>
              <w:bottom w:val="nil"/>
              <w:right w:val="nil"/>
            </w:tcBorders>
            <w:shd w:val="clear" w:color="auto" w:fill="auto"/>
            <w:noWrap/>
            <w:vAlign w:val="bottom"/>
            <w:hideMark/>
          </w:tcPr>
          <w:p w14:paraId="32E3CEE0" w14:textId="3C8AC7E8" w:rsidR="000F3BE0" w:rsidRPr="005A566B" w:rsidRDefault="000F3BE0" w:rsidP="00127D7B">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575" w:type="dxa"/>
            <w:tcBorders>
              <w:top w:val="nil"/>
              <w:left w:val="nil"/>
              <w:bottom w:val="nil"/>
              <w:right w:val="nil"/>
            </w:tcBorders>
            <w:shd w:val="clear" w:color="auto" w:fill="auto"/>
            <w:noWrap/>
            <w:vAlign w:val="bottom"/>
            <w:hideMark/>
          </w:tcPr>
          <w:p w14:paraId="68842484" w14:textId="3323DF9B" w:rsidR="000F3BE0" w:rsidRPr="005A566B" w:rsidRDefault="000F3BE0" w:rsidP="00127D7B">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r>
      <w:tr w:rsidR="00127D7B" w:rsidRPr="005A566B" w14:paraId="7A1D7CC8" w14:textId="77777777" w:rsidTr="00127D7B">
        <w:trPr>
          <w:trHeight w:val="264"/>
        </w:trPr>
        <w:tc>
          <w:tcPr>
            <w:tcW w:w="2257" w:type="dxa"/>
            <w:tcBorders>
              <w:top w:val="nil"/>
              <w:left w:val="nil"/>
              <w:bottom w:val="nil"/>
              <w:right w:val="nil"/>
            </w:tcBorders>
            <w:shd w:val="clear" w:color="auto" w:fill="auto"/>
            <w:noWrap/>
            <w:vAlign w:val="center"/>
            <w:hideMark/>
          </w:tcPr>
          <w:p w14:paraId="4981EFEF" w14:textId="77777777" w:rsidR="007E7437" w:rsidRPr="005A566B" w:rsidRDefault="007E7437"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HANSEN TEST (p) </w:t>
            </w:r>
          </w:p>
        </w:tc>
        <w:tc>
          <w:tcPr>
            <w:tcW w:w="1344" w:type="dxa"/>
            <w:tcBorders>
              <w:top w:val="nil"/>
              <w:left w:val="nil"/>
              <w:bottom w:val="nil"/>
              <w:right w:val="nil"/>
            </w:tcBorders>
            <w:shd w:val="clear" w:color="auto" w:fill="auto"/>
            <w:noWrap/>
            <w:vAlign w:val="bottom"/>
            <w:hideMark/>
          </w:tcPr>
          <w:p w14:paraId="18DE7C04"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0.445</w:t>
            </w:r>
          </w:p>
        </w:tc>
        <w:tc>
          <w:tcPr>
            <w:tcW w:w="1504" w:type="dxa"/>
            <w:tcBorders>
              <w:top w:val="nil"/>
              <w:left w:val="nil"/>
              <w:bottom w:val="nil"/>
              <w:right w:val="nil"/>
            </w:tcBorders>
            <w:shd w:val="clear" w:color="auto" w:fill="auto"/>
            <w:noWrap/>
            <w:vAlign w:val="bottom"/>
            <w:hideMark/>
          </w:tcPr>
          <w:p w14:paraId="2A487747"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0.433</w:t>
            </w:r>
          </w:p>
        </w:tc>
        <w:tc>
          <w:tcPr>
            <w:tcW w:w="1412" w:type="dxa"/>
            <w:tcBorders>
              <w:top w:val="nil"/>
              <w:left w:val="nil"/>
              <w:bottom w:val="nil"/>
              <w:right w:val="nil"/>
            </w:tcBorders>
            <w:shd w:val="clear" w:color="auto" w:fill="auto"/>
            <w:noWrap/>
            <w:vAlign w:val="bottom"/>
            <w:hideMark/>
          </w:tcPr>
          <w:p w14:paraId="39149FC2"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0.472</w:t>
            </w:r>
          </w:p>
        </w:tc>
        <w:tc>
          <w:tcPr>
            <w:tcW w:w="1480" w:type="dxa"/>
            <w:tcBorders>
              <w:top w:val="nil"/>
              <w:left w:val="nil"/>
              <w:bottom w:val="nil"/>
              <w:right w:val="nil"/>
            </w:tcBorders>
            <w:shd w:val="clear" w:color="auto" w:fill="auto"/>
            <w:noWrap/>
            <w:vAlign w:val="bottom"/>
            <w:hideMark/>
          </w:tcPr>
          <w:p w14:paraId="67419B75"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0.161</w:t>
            </w:r>
          </w:p>
        </w:tc>
        <w:tc>
          <w:tcPr>
            <w:tcW w:w="1663" w:type="dxa"/>
            <w:tcBorders>
              <w:top w:val="nil"/>
              <w:left w:val="nil"/>
              <w:bottom w:val="nil"/>
              <w:right w:val="nil"/>
            </w:tcBorders>
            <w:shd w:val="clear" w:color="auto" w:fill="auto"/>
            <w:noWrap/>
            <w:vAlign w:val="bottom"/>
            <w:hideMark/>
          </w:tcPr>
          <w:p w14:paraId="5AF5CA5E"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0.21</w:t>
            </w:r>
          </w:p>
        </w:tc>
        <w:tc>
          <w:tcPr>
            <w:tcW w:w="1573" w:type="dxa"/>
            <w:tcBorders>
              <w:top w:val="nil"/>
              <w:left w:val="nil"/>
              <w:bottom w:val="nil"/>
              <w:right w:val="nil"/>
            </w:tcBorders>
            <w:shd w:val="clear" w:color="auto" w:fill="auto"/>
            <w:noWrap/>
            <w:vAlign w:val="bottom"/>
            <w:hideMark/>
          </w:tcPr>
          <w:p w14:paraId="22616373"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0.432</w:t>
            </w:r>
          </w:p>
        </w:tc>
        <w:tc>
          <w:tcPr>
            <w:tcW w:w="1595" w:type="dxa"/>
            <w:tcBorders>
              <w:top w:val="nil"/>
              <w:left w:val="nil"/>
              <w:bottom w:val="nil"/>
              <w:right w:val="nil"/>
            </w:tcBorders>
            <w:shd w:val="clear" w:color="auto" w:fill="auto"/>
            <w:noWrap/>
            <w:vAlign w:val="bottom"/>
            <w:hideMark/>
          </w:tcPr>
          <w:p w14:paraId="0D30EA74"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0.194</w:t>
            </w:r>
          </w:p>
        </w:tc>
        <w:tc>
          <w:tcPr>
            <w:tcW w:w="1575" w:type="dxa"/>
            <w:tcBorders>
              <w:top w:val="nil"/>
              <w:left w:val="nil"/>
              <w:bottom w:val="nil"/>
              <w:right w:val="nil"/>
            </w:tcBorders>
            <w:shd w:val="clear" w:color="auto" w:fill="auto"/>
            <w:noWrap/>
            <w:vAlign w:val="bottom"/>
            <w:hideMark/>
          </w:tcPr>
          <w:p w14:paraId="289F160B"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0.412</w:t>
            </w:r>
          </w:p>
        </w:tc>
      </w:tr>
      <w:tr w:rsidR="00127D7B" w:rsidRPr="005A566B" w14:paraId="00BB7BCE" w14:textId="77777777" w:rsidTr="00127D7B">
        <w:trPr>
          <w:trHeight w:val="264"/>
        </w:trPr>
        <w:tc>
          <w:tcPr>
            <w:tcW w:w="2257" w:type="dxa"/>
            <w:tcBorders>
              <w:top w:val="nil"/>
              <w:left w:val="nil"/>
              <w:right w:val="nil"/>
            </w:tcBorders>
            <w:shd w:val="clear" w:color="auto" w:fill="auto"/>
            <w:noWrap/>
            <w:vAlign w:val="center"/>
            <w:hideMark/>
          </w:tcPr>
          <w:p w14:paraId="58490E39" w14:textId="77777777" w:rsidR="007E7437" w:rsidRPr="005A566B" w:rsidRDefault="007E7437" w:rsidP="00127D7B">
            <w:pPr>
              <w:spacing w:after="0" w:line="240" w:lineRule="auto"/>
              <w:rPr>
                <w:rFonts w:ascii="Arial" w:eastAsia="Times New Roman" w:hAnsi="Arial" w:cs="Arial"/>
                <w:lang w:eastAsia="en-GB"/>
              </w:rPr>
            </w:pPr>
            <w:r w:rsidRPr="005A566B">
              <w:rPr>
                <w:rFonts w:ascii="Arial" w:eastAsia="Times New Roman" w:hAnsi="Arial" w:cs="Arial"/>
                <w:lang w:eastAsia="en-GB"/>
              </w:rPr>
              <w:t>AR1 (p)</w:t>
            </w:r>
          </w:p>
        </w:tc>
        <w:tc>
          <w:tcPr>
            <w:tcW w:w="1344" w:type="dxa"/>
            <w:tcBorders>
              <w:top w:val="nil"/>
              <w:left w:val="nil"/>
              <w:right w:val="nil"/>
            </w:tcBorders>
            <w:shd w:val="clear" w:color="auto" w:fill="auto"/>
            <w:noWrap/>
            <w:vAlign w:val="bottom"/>
            <w:hideMark/>
          </w:tcPr>
          <w:p w14:paraId="05B38D6F"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504" w:type="dxa"/>
            <w:tcBorders>
              <w:top w:val="nil"/>
              <w:left w:val="nil"/>
              <w:right w:val="nil"/>
            </w:tcBorders>
            <w:shd w:val="clear" w:color="auto" w:fill="auto"/>
            <w:noWrap/>
            <w:vAlign w:val="bottom"/>
            <w:hideMark/>
          </w:tcPr>
          <w:p w14:paraId="54457DF1"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412" w:type="dxa"/>
            <w:tcBorders>
              <w:top w:val="nil"/>
              <w:left w:val="nil"/>
              <w:right w:val="nil"/>
            </w:tcBorders>
            <w:shd w:val="clear" w:color="auto" w:fill="auto"/>
            <w:noWrap/>
            <w:vAlign w:val="bottom"/>
            <w:hideMark/>
          </w:tcPr>
          <w:p w14:paraId="08FD5D3F"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480" w:type="dxa"/>
            <w:tcBorders>
              <w:top w:val="nil"/>
              <w:left w:val="nil"/>
              <w:right w:val="nil"/>
            </w:tcBorders>
            <w:shd w:val="clear" w:color="auto" w:fill="auto"/>
            <w:noWrap/>
            <w:vAlign w:val="bottom"/>
            <w:hideMark/>
          </w:tcPr>
          <w:p w14:paraId="7AEEF36E"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663" w:type="dxa"/>
            <w:tcBorders>
              <w:top w:val="nil"/>
              <w:left w:val="nil"/>
              <w:right w:val="nil"/>
            </w:tcBorders>
            <w:shd w:val="clear" w:color="auto" w:fill="auto"/>
            <w:noWrap/>
            <w:vAlign w:val="bottom"/>
            <w:hideMark/>
          </w:tcPr>
          <w:p w14:paraId="3BFDAFFB"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573" w:type="dxa"/>
            <w:tcBorders>
              <w:top w:val="nil"/>
              <w:left w:val="nil"/>
              <w:right w:val="nil"/>
            </w:tcBorders>
            <w:shd w:val="clear" w:color="auto" w:fill="auto"/>
            <w:noWrap/>
            <w:vAlign w:val="bottom"/>
            <w:hideMark/>
          </w:tcPr>
          <w:p w14:paraId="0E55151E"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595" w:type="dxa"/>
            <w:tcBorders>
              <w:top w:val="nil"/>
              <w:left w:val="nil"/>
              <w:right w:val="nil"/>
            </w:tcBorders>
            <w:shd w:val="clear" w:color="auto" w:fill="auto"/>
            <w:noWrap/>
            <w:vAlign w:val="bottom"/>
            <w:hideMark/>
          </w:tcPr>
          <w:p w14:paraId="7117C6B5"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c>
          <w:tcPr>
            <w:tcW w:w="1575" w:type="dxa"/>
            <w:tcBorders>
              <w:top w:val="nil"/>
              <w:left w:val="nil"/>
              <w:right w:val="nil"/>
            </w:tcBorders>
            <w:shd w:val="clear" w:color="auto" w:fill="auto"/>
            <w:noWrap/>
            <w:vAlign w:val="bottom"/>
            <w:hideMark/>
          </w:tcPr>
          <w:p w14:paraId="382F1167"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w:t>
            </w:r>
          </w:p>
        </w:tc>
      </w:tr>
      <w:tr w:rsidR="00127D7B" w:rsidRPr="005A566B" w14:paraId="3AE87D83" w14:textId="77777777" w:rsidTr="00127D7B">
        <w:trPr>
          <w:trHeight w:val="276"/>
        </w:trPr>
        <w:tc>
          <w:tcPr>
            <w:tcW w:w="2257" w:type="dxa"/>
            <w:tcBorders>
              <w:top w:val="nil"/>
              <w:left w:val="nil"/>
              <w:bottom w:val="single" w:sz="4" w:space="0" w:color="auto"/>
              <w:right w:val="nil"/>
            </w:tcBorders>
            <w:shd w:val="clear" w:color="auto" w:fill="auto"/>
            <w:noWrap/>
            <w:vAlign w:val="center"/>
            <w:hideMark/>
          </w:tcPr>
          <w:p w14:paraId="33894A14" w14:textId="77777777" w:rsidR="007E7437" w:rsidRPr="005A566B" w:rsidRDefault="007E7437" w:rsidP="00127D7B">
            <w:pPr>
              <w:spacing w:after="0" w:line="240" w:lineRule="auto"/>
              <w:rPr>
                <w:rFonts w:ascii="Arial" w:eastAsia="Times New Roman" w:hAnsi="Arial" w:cs="Arial"/>
                <w:lang w:eastAsia="en-GB"/>
              </w:rPr>
            </w:pPr>
            <w:r w:rsidRPr="005A566B">
              <w:rPr>
                <w:rFonts w:ascii="Arial" w:eastAsia="Times New Roman" w:hAnsi="Arial" w:cs="Arial"/>
                <w:lang w:eastAsia="en-GB"/>
              </w:rPr>
              <w:lastRenderedPageBreak/>
              <w:t>AR2 (p)</w:t>
            </w:r>
          </w:p>
        </w:tc>
        <w:tc>
          <w:tcPr>
            <w:tcW w:w="1344" w:type="dxa"/>
            <w:tcBorders>
              <w:top w:val="nil"/>
              <w:left w:val="nil"/>
              <w:bottom w:val="single" w:sz="4" w:space="0" w:color="auto"/>
              <w:right w:val="nil"/>
            </w:tcBorders>
            <w:shd w:val="clear" w:color="auto" w:fill="auto"/>
            <w:noWrap/>
            <w:vAlign w:val="bottom"/>
            <w:hideMark/>
          </w:tcPr>
          <w:p w14:paraId="34EBBC9B"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0.131</w:t>
            </w:r>
          </w:p>
        </w:tc>
        <w:tc>
          <w:tcPr>
            <w:tcW w:w="1504" w:type="dxa"/>
            <w:tcBorders>
              <w:top w:val="nil"/>
              <w:left w:val="nil"/>
              <w:bottom w:val="single" w:sz="4" w:space="0" w:color="auto"/>
              <w:right w:val="nil"/>
            </w:tcBorders>
            <w:shd w:val="clear" w:color="auto" w:fill="auto"/>
            <w:noWrap/>
            <w:vAlign w:val="bottom"/>
            <w:hideMark/>
          </w:tcPr>
          <w:p w14:paraId="52AF5565"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0.208</w:t>
            </w:r>
          </w:p>
        </w:tc>
        <w:tc>
          <w:tcPr>
            <w:tcW w:w="1412" w:type="dxa"/>
            <w:tcBorders>
              <w:top w:val="nil"/>
              <w:left w:val="nil"/>
              <w:bottom w:val="single" w:sz="4" w:space="0" w:color="auto"/>
              <w:right w:val="nil"/>
            </w:tcBorders>
            <w:shd w:val="clear" w:color="auto" w:fill="auto"/>
            <w:noWrap/>
            <w:vAlign w:val="bottom"/>
            <w:hideMark/>
          </w:tcPr>
          <w:p w14:paraId="2B6BE609"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0.702</w:t>
            </w:r>
          </w:p>
        </w:tc>
        <w:tc>
          <w:tcPr>
            <w:tcW w:w="1480" w:type="dxa"/>
            <w:tcBorders>
              <w:top w:val="nil"/>
              <w:left w:val="nil"/>
              <w:bottom w:val="single" w:sz="4" w:space="0" w:color="auto"/>
              <w:right w:val="nil"/>
            </w:tcBorders>
            <w:shd w:val="clear" w:color="auto" w:fill="auto"/>
            <w:noWrap/>
            <w:vAlign w:val="bottom"/>
            <w:hideMark/>
          </w:tcPr>
          <w:p w14:paraId="6564BD6F"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0.373</w:t>
            </w:r>
          </w:p>
        </w:tc>
        <w:tc>
          <w:tcPr>
            <w:tcW w:w="1663" w:type="dxa"/>
            <w:tcBorders>
              <w:top w:val="nil"/>
              <w:left w:val="nil"/>
              <w:bottom w:val="single" w:sz="4" w:space="0" w:color="auto"/>
              <w:right w:val="nil"/>
            </w:tcBorders>
            <w:shd w:val="clear" w:color="auto" w:fill="auto"/>
            <w:noWrap/>
            <w:vAlign w:val="bottom"/>
            <w:hideMark/>
          </w:tcPr>
          <w:p w14:paraId="64C4472E"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0.504</w:t>
            </w:r>
          </w:p>
        </w:tc>
        <w:tc>
          <w:tcPr>
            <w:tcW w:w="1573" w:type="dxa"/>
            <w:tcBorders>
              <w:top w:val="nil"/>
              <w:left w:val="nil"/>
              <w:bottom w:val="single" w:sz="4" w:space="0" w:color="auto"/>
              <w:right w:val="nil"/>
            </w:tcBorders>
            <w:shd w:val="clear" w:color="auto" w:fill="auto"/>
            <w:noWrap/>
            <w:vAlign w:val="bottom"/>
            <w:hideMark/>
          </w:tcPr>
          <w:p w14:paraId="58EB9337"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0.731</w:t>
            </w:r>
          </w:p>
        </w:tc>
        <w:tc>
          <w:tcPr>
            <w:tcW w:w="1595" w:type="dxa"/>
            <w:tcBorders>
              <w:top w:val="nil"/>
              <w:left w:val="nil"/>
              <w:bottom w:val="single" w:sz="4" w:space="0" w:color="auto"/>
              <w:right w:val="nil"/>
            </w:tcBorders>
            <w:shd w:val="clear" w:color="auto" w:fill="auto"/>
            <w:noWrap/>
            <w:vAlign w:val="bottom"/>
            <w:hideMark/>
          </w:tcPr>
          <w:p w14:paraId="607B8736"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0.182</w:t>
            </w:r>
          </w:p>
        </w:tc>
        <w:tc>
          <w:tcPr>
            <w:tcW w:w="1575" w:type="dxa"/>
            <w:tcBorders>
              <w:top w:val="nil"/>
              <w:left w:val="nil"/>
              <w:bottom w:val="single" w:sz="4" w:space="0" w:color="auto"/>
              <w:right w:val="nil"/>
            </w:tcBorders>
            <w:shd w:val="clear" w:color="auto" w:fill="auto"/>
            <w:noWrap/>
            <w:vAlign w:val="bottom"/>
            <w:hideMark/>
          </w:tcPr>
          <w:p w14:paraId="7DFF0179" w14:textId="77777777" w:rsidR="007E7437" w:rsidRPr="005A566B" w:rsidRDefault="007E7437" w:rsidP="00127D7B">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0.884</w:t>
            </w:r>
          </w:p>
        </w:tc>
      </w:tr>
    </w:tbl>
    <w:p w14:paraId="0423DC7E" w14:textId="77777777" w:rsidR="00B3770F" w:rsidRPr="005A566B" w:rsidRDefault="00B3770F" w:rsidP="0079751E">
      <w:pPr>
        <w:widowControl w:val="0"/>
        <w:autoSpaceDE w:val="0"/>
        <w:autoSpaceDN w:val="0"/>
        <w:adjustRightInd w:val="0"/>
        <w:spacing w:line="240" w:lineRule="auto"/>
        <w:contextualSpacing/>
        <w:jc w:val="both"/>
        <w:rPr>
          <w:rFonts w:ascii="Arial" w:hAnsi="Arial" w:cs="Arial"/>
          <w:bCs/>
          <w:iCs/>
          <w:sz w:val="24"/>
          <w:szCs w:val="24"/>
        </w:rPr>
      </w:pPr>
    </w:p>
    <w:p w14:paraId="6ECE6F57" w14:textId="77777777" w:rsidR="0059555D" w:rsidRPr="005A566B" w:rsidRDefault="0059555D" w:rsidP="0079751E">
      <w:pPr>
        <w:widowControl w:val="0"/>
        <w:autoSpaceDE w:val="0"/>
        <w:autoSpaceDN w:val="0"/>
        <w:adjustRightInd w:val="0"/>
        <w:spacing w:line="240" w:lineRule="auto"/>
        <w:contextualSpacing/>
        <w:jc w:val="both"/>
        <w:rPr>
          <w:rFonts w:ascii="Arial" w:hAnsi="Arial" w:cs="Arial"/>
          <w:bCs/>
          <w:iCs/>
          <w:sz w:val="24"/>
          <w:szCs w:val="24"/>
        </w:rPr>
      </w:pPr>
    </w:p>
    <w:p w14:paraId="009244D6" w14:textId="77777777" w:rsidR="0059555D" w:rsidRPr="005A566B" w:rsidRDefault="0059555D" w:rsidP="0079751E">
      <w:pPr>
        <w:widowControl w:val="0"/>
        <w:autoSpaceDE w:val="0"/>
        <w:autoSpaceDN w:val="0"/>
        <w:adjustRightInd w:val="0"/>
        <w:spacing w:line="240" w:lineRule="auto"/>
        <w:contextualSpacing/>
        <w:jc w:val="both"/>
        <w:rPr>
          <w:rFonts w:ascii="Arial" w:hAnsi="Arial" w:cs="Arial"/>
          <w:bCs/>
          <w:iCs/>
          <w:sz w:val="24"/>
          <w:szCs w:val="24"/>
        </w:rPr>
      </w:pPr>
    </w:p>
    <w:p w14:paraId="06676C56" w14:textId="77777777" w:rsidR="007E7437" w:rsidRPr="005A566B" w:rsidRDefault="007E7437" w:rsidP="0079751E">
      <w:pPr>
        <w:widowControl w:val="0"/>
        <w:autoSpaceDE w:val="0"/>
        <w:autoSpaceDN w:val="0"/>
        <w:adjustRightInd w:val="0"/>
        <w:spacing w:line="240" w:lineRule="auto"/>
        <w:contextualSpacing/>
        <w:jc w:val="both"/>
        <w:rPr>
          <w:rFonts w:ascii="Arial" w:hAnsi="Arial" w:cs="Arial"/>
          <w:bCs/>
          <w:iCs/>
          <w:sz w:val="24"/>
          <w:szCs w:val="24"/>
        </w:rPr>
      </w:pPr>
    </w:p>
    <w:p w14:paraId="48B3C143" w14:textId="77777777" w:rsidR="007E7437" w:rsidRPr="005A566B" w:rsidRDefault="007E7437" w:rsidP="0079751E">
      <w:pPr>
        <w:widowControl w:val="0"/>
        <w:autoSpaceDE w:val="0"/>
        <w:autoSpaceDN w:val="0"/>
        <w:adjustRightInd w:val="0"/>
        <w:spacing w:line="240" w:lineRule="auto"/>
        <w:contextualSpacing/>
        <w:jc w:val="both"/>
        <w:rPr>
          <w:rFonts w:ascii="Arial" w:hAnsi="Arial" w:cs="Arial"/>
          <w:bCs/>
          <w:iCs/>
          <w:sz w:val="24"/>
          <w:szCs w:val="24"/>
        </w:rPr>
      </w:pPr>
    </w:p>
    <w:p w14:paraId="3309F825" w14:textId="77777777" w:rsidR="007E7437" w:rsidRPr="005A566B" w:rsidRDefault="007E7437" w:rsidP="0079751E">
      <w:pPr>
        <w:widowControl w:val="0"/>
        <w:autoSpaceDE w:val="0"/>
        <w:autoSpaceDN w:val="0"/>
        <w:adjustRightInd w:val="0"/>
        <w:spacing w:line="240" w:lineRule="auto"/>
        <w:contextualSpacing/>
        <w:jc w:val="both"/>
        <w:rPr>
          <w:rFonts w:ascii="Arial" w:hAnsi="Arial" w:cs="Arial"/>
          <w:bCs/>
          <w:iCs/>
          <w:sz w:val="24"/>
          <w:szCs w:val="24"/>
        </w:rPr>
      </w:pPr>
    </w:p>
    <w:p w14:paraId="20818500" w14:textId="77777777" w:rsidR="007E7437" w:rsidRPr="005A566B" w:rsidRDefault="007E7437" w:rsidP="0079751E">
      <w:pPr>
        <w:widowControl w:val="0"/>
        <w:autoSpaceDE w:val="0"/>
        <w:autoSpaceDN w:val="0"/>
        <w:adjustRightInd w:val="0"/>
        <w:spacing w:line="240" w:lineRule="auto"/>
        <w:contextualSpacing/>
        <w:jc w:val="both"/>
        <w:rPr>
          <w:rFonts w:ascii="Arial" w:hAnsi="Arial" w:cs="Arial"/>
          <w:bCs/>
          <w:iCs/>
          <w:sz w:val="24"/>
          <w:szCs w:val="24"/>
        </w:rPr>
      </w:pPr>
    </w:p>
    <w:p w14:paraId="23D81782" w14:textId="77777777" w:rsidR="007E7437" w:rsidRPr="005A566B" w:rsidRDefault="007E7437" w:rsidP="0079751E">
      <w:pPr>
        <w:widowControl w:val="0"/>
        <w:autoSpaceDE w:val="0"/>
        <w:autoSpaceDN w:val="0"/>
        <w:adjustRightInd w:val="0"/>
        <w:spacing w:line="240" w:lineRule="auto"/>
        <w:contextualSpacing/>
        <w:jc w:val="both"/>
        <w:rPr>
          <w:rFonts w:ascii="Arial" w:hAnsi="Arial" w:cs="Arial"/>
          <w:bCs/>
          <w:iCs/>
          <w:sz w:val="24"/>
          <w:szCs w:val="24"/>
        </w:rPr>
      </w:pPr>
    </w:p>
    <w:p w14:paraId="340AAD25" w14:textId="77777777" w:rsidR="007E7437" w:rsidRPr="005A566B" w:rsidRDefault="007E7437" w:rsidP="0079751E">
      <w:pPr>
        <w:widowControl w:val="0"/>
        <w:autoSpaceDE w:val="0"/>
        <w:autoSpaceDN w:val="0"/>
        <w:adjustRightInd w:val="0"/>
        <w:spacing w:line="240" w:lineRule="auto"/>
        <w:contextualSpacing/>
        <w:jc w:val="both"/>
        <w:rPr>
          <w:rFonts w:ascii="Arial" w:hAnsi="Arial" w:cs="Arial"/>
          <w:bCs/>
          <w:iCs/>
          <w:sz w:val="24"/>
          <w:szCs w:val="24"/>
        </w:rPr>
      </w:pPr>
    </w:p>
    <w:p w14:paraId="18A132E5" w14:textId="77777777" w:rsidR="007E7437" w:rsidRPr="005A566B" w:rsidRDefault="007E7437" w:rsidP="0079751E">
      <w:pPr>
        <w:widowControl w:val="0"/>
        <w:autoSpaceDE w:val="0"/>
        <w:autoSpaceDN w:val="0"/>
        <w:adjustRightInd w:val="0"/>
        <w:spacing w:line="240" w:lineRule="auto"/>
        <w:contextualSpacing/>
        <w:jc w:val="both"/>
        <w:rPr>
          <w:rFonts w:ascii="Arial" w:hAnsi="Arial" w:cs="Arial"/>
          <w:bCs/>
          <w:iCs/>
          <w:sz w:val="24"/>
          <w:szCs w:val="24"/>
        </w:rPr>
      </w:pPr>
    </w:p>
    <w:p w14:paraId="7B2A357B" w14:textId="77777777" w:rsidR="007E7437" w:rsidRPr="005A566B" w:rsidRDefault="007E7437" w:rsidP="0079751E">
      <w:pPr>
        <w:widowControl w:val="0"/>
        <w:autoSpaceDE w:val="0"/>
        <w:autoSpaceDN w:val="0"/>
        <w:adjustRightInd w:val="0"/>
        <w:spacing w:line="240" w:lineRule="auto"/>
        <w:contextualSpacing/>
        <w:jc w:val="both"/>
        <w:rPr>
          <w:rFonts w:ascii="Arial" w:hAnsi="Arial" w:cs="Arial"/>
          <w:bCs/>
          <w:iCs/>
          <w:sz w:val="24"/>
          <w:szCs w:val="24"/>
        </w:rPr>
      </w:pPr>
    </w:p>
    <w:p w14:paraId="1D52BC07" w14:textId="77777777" w:rsidR="0059555D" w:rsidRPr="005A566B" w:rsidRDefault="0059555D" w:rsidP="0079751E">
      <w:pPr>
        <w:widowControl w:val="0"/>
        <w:autoSpaceDE w:val="0"/>
        <w:autoSpaceDN w:val="0"/>
        <w:adjustRightInd w:val="0"/>
        <w:spacing w:line="240" w:lineRule="auto"/>
        <w:contextualSpacing/>
        <w:jc w:val="both"/>
        <w:rPr>
          <w:rFonts w:ascii="Arial" w:hAnsi="Arial" w:cs="Arial"/>
          <w:bCs/>
          <w:iCs/>
          <w:sz w:val="24"/>
          <w:szCs w:val="24"/>
        </w:rPr>
      </w:pPr>
    </w:p>
    <w:p w14:paraId="0A041444" w14:textId="77777777" w:rsidR="0059555D" w:rsidRPr="005A566B" w:rsidRDefault="0059555D" w:rsidP="0079751E">
      <w:pPr>
        <w:widowControl w:val="0"/>
        <w:autoSpaceDE w:val="0"/>
        <w:autoSpaceDN w:val="0"/>
        <w:adjustRightInd w:val="0"/>
        <w:spacing w:line="240" w:lineRule="auto"/>
        <w:contextualSpacing/>
        <w:jc w:val="both"/>
        <w:rPr>
          <w:rFonts w:ascii="Arial" w:hAnsi="Arial" w:cs="Arial"/>
          <w:bCs/>
          <w:iCs/>
          <w:sz w:val="24"/>
          <w:szCs w:val="24"/>
        </w:rPr>
      </w:pPr>
    </w:p>
    <w:p w14:paraId="303472F1" w14:textId="77777777" w:rsidR="00127D7B" w:rsidRPr="005A566B" w:rsidRDefault="00127D7B" w:rsidP="0079751E">
      <w:pPr>
        <w:widowControl w:val="0"/>
        <w:autoSpaceDE w:val="0"/>
        <w:autoSpaceDN w:val="0"/>
        <w:adjustRightInd w:val="0"/>
        <w:spacing w:line="240" w:lineRule="auto"/>
        <w:contextualSpacing/>
        <w:jc w:val="both"/>
        <w:rPr>
          <w:rFonts w:ascii="Arial" w:hAnsi="Arial" w:cs="Arial"/>
          <w:bCs/>
          <w:iCs/>
          <w:sz w:val="24"/>
          <w:szCs w:val="24"/>
        </w:rPr>
      </w:pPr>
    </w:p>
    <w:p w14:paraId="672A539A" w14:textId="77777777" w:rsidR="00127D7B" w:rsidRPr="005A566B" w:rsidRDefault="00127D7B" w:rsidP="0079751E">
      <w:pPr>
        <w:widowControl w:val="0"/>
        <w:autoSpaceDE w:val="0"/>
        <w:autoSpaceDN w:val="0"/>
        <w:adjustRightInd w:val="0"/>
        <w:spacing w:line="240" w:lineRule="auto"/>
        <w:contextualSpacing/>
        <w:jc w:val="both"/>
        <w:rPr>
          <w:rFonts w:ascii="Arial" w:hAnsi="Arial" w:cs="Arial"/>
          <w:bCs/>
          <w:iCs/>
          <w:sz w:val="24"/>
          <w:szCs w:val="24"/>
        </w:rPr>
      </w:pPr>
    </w:p>
    <w:p w14:paraId="5DD622CB" w14:textId="77777777" w:rsidR="00127D7B" w:rsidRPr="005A566B" w:rsidRDefault="00127D7B" w:rsidP="0079751E">
      <w:pPr>
        <w:widowControl w:val="0"/>
        <w:autoSpaceDE w:val="0"/>
        <w:autoSpaceDN w:val="0"/>
        <w:adjustRightInd w:val="0"/>
        <w:spacing w:line="240" w:lineRule="auto"/>
        <w:contextualSpacing/>
        <w:jc w:val="both"/>
        <w:rPr>
          <w:rFonts w:ascii="Arial" w:hAnsi="Arial" w:cs="Arial"/>
          <w:bCs/>
          <w:iCs/>
          <w:sz w:val="24"/>
          <w:szCs w:val="24"/>
        </w:rPr>
      </w:pPr>
    </w:p>
    <w:p w14:paraId="7B01BC81" w14:textId="77777777" w:rsidR="00127D7B" w:rsidRPr="005A566B" w:rsidRDefault="00127D7B" w:rsidP="0079751E">
      <w:pPr>
        <w:widowControl w:val="0"/>
        <w:autoSpaceDE w:val="0"/>
        <w:autoSpaceDN w:val="0"/>
        <w:adjustRightInd w:val="0"/>
        <w:spacing w:line="240" w:lineRule="auto"/>
        <w:contextualSpacing/>
        <w:jc w:val="both"/>
        <w:rPr>
          <w:rFonts w:ascii="Arial" w:hAnsi="Arial" w:cs="Arial"/>
          <w:bCs/>
          <w:iCs/>
          <w:sz w:val="24"/>
          <w:szCs w:val="24"/>
        </w:rPr>
      </w:pPr>
    </w:p>
    <w:p w14:paraId="0CA99D3F" w14:textId="77777777" w:rsidR="00127D7B" w:rsidRPr="005A566B" w:rsidRDefault="00127D7B" w:rsidP="0079751E">
      <w:pPr>
        <w:widowControl w:val="0"/>
        <w:autoSpaceDE w:val="0"/>
        <w:autoSpaceDN w:val="0"/>
        <w:adjustRightInd w:val="0"/>
        <w:spacing w:line="240" w:lineRule="auto"/>
        <w:contextualSpacing/>
        <w:jc w:val="both"/>
        <w:rPr>
          <w:rFonts w:ascii="Arial" w:hAnsi="Arial" w:cs="Arial"/>
          <w:bCs/>
          <w:iCs/>
          <w:sz w:val="24"/>
          <w:szCs w:val="24"/>
        </w:rPr>
      </w:pPr>
    </w:p>
    <w:p w14:paraId="598A1F43" w14:textId="77777777" w:rsidR="0059555D" w:rsidRPr="005A566B" w:rsidRDefault="0059555D" w:rsidP="0079751E">
      <w:pPr>
        <w:widowControl w:val="0"/>
        <w:autoSpaceDE w:val="0"/>
        <w:autoSpaceDN w:val="0"/>
        <w:adjustRightInd w:val="0"/>
        <w:spacing w:line="240" w:lineRule="auto"/>
        <w:contextualSpacing/>
        <w:jc w:val="both"/>
        <w:rPr>
          <w:rFonts w:ascii="Arial" w:hAnsi="Arial" w:cs="Arial"/>
          <w:bCs/>
          <w:iCs/>
          <w:sz w:val="24"/>
          <w:szCs w:val="24"/>
        </w:rPr>
      </w:pPr>
    </w:p>
    <w:p w14:paraId="22DE2DC6" w14:textId="77777777" w:rsidR="0059555D" w:rsidRPr="005A566B" w:rsidRDefault="0059555D" w:rsidP="0079751E">
      <w:pPr>
        <w:widowControl w:val="0"/>
        <w:autoSpaceDE w:val="0"/>
        <w:autoSpaceDN w:val="0"/>
        <w:adjustRightInd w:val="0"/>
        <w:spacing w:line="240" w:lineRule="auto"/>
        <w:contextualSpacing/>
        <w:jc w:val="both"/>
        <w:rPr>
          <w:rFonts w:ascii="Arial" w:hAnsi="Arial" w:cs="Arial"/>
          <w:bCs/>
          <w:iCs/>
          <w:sz w:val="24"/>
          <w:szCs w:val="24"/>
        </w:rPr>
      </w:pPr>
    </w:p>
    <w:tbl>
      <w:tblPr>
        <w:tblpPr w:leftFromText="180" w:rightFromText="180" w:vertAnchor="text" w:tblpY="1"/>
        <w:tblOverlap w:val="never"/>
        <w:tblW w:w="14790" w:type="dxa"/>
        <w:tblLook w:val="04A0" w:firstRow="1" w:lastRow="0" w:firstColumn="1" w:lastColumn="0" w:noHBand="0" w:noVBand="1"/>
      </w:tblPr>
      <w:tblGrid>
        <w:gridCol w:w="2483"/>
        <w:gridCol w:w="326"/>
        <w:gridCol w:w="1154"/>
        <w:gridCol w:w="1316"/>
        <w:gridCol w:w="1217"/>
        <w:gridCol w:w="1411"/>
        <w:gridCol w:w="1341"/>
        <w:gridCol w:w="1679"/>
        <w:gridCol w:w="1621"/>
        <w:gridCol w:w="2087"/>
        <w:gridCol w:w="155"/>
      </w:tblGrid>
      <w:tr w:rsidR="007E7437" w:rsidRPr="005A566B" w14:paraId="28458158" w14:textId="77777777" w:rsidTr="00981208">
        <w:trPr>
          <w:gridAfter w:val="1"/>
          <w:wAfter w:w="155" w:type="dxa"/>
          <w:trHeight w:val="284"/>
        </w:trPr>
        <w:tc>
          <w:tcPr>
            <w:tcW w:w="14635" w:type="dxa"/>
            <w:gridSpan w:val="10"/>
            <w:tcBorders>
              <w:top w:val="nil"/>
              <w:left w:val="nil"/>
              <w:right w:val="nil"/>
            </w:tcBorders>
            <w:shd w:val="clear" w:color="auto" w:fill="auto"/>
            <w:noWrap/>
            <w:vAlign w:val="bottom"/>
          </w:tcPr>
          <w:p w14:paraId="408ED601" w14:textId="77777777" w:rsidR="007E7437" w:rsidRPr="005A566B" w:rsidRDefault="007E7437" w:rsidP="00987632">
            <w:pPr>
              <w:pBdr>
                <w:top w:val="single" w:sz="4" w:space="1" w:color="auto"/>
                <w:bottom w:val="single" w:sz="4" w:space="1" w:color="auto"/>
              </w:pBdr>
              <w:spacing w:after="200" w:line="276" w:lineRule="auto"/>
              <w:rPr>
                <w:rFonts w:ascii="Arial" w:eastAsia="Calibri" w:hAnsi="Arial" w:cs="Arial"/>
                <w:bCs/>
                <w:iCs/>
              </w:rPr>
            </w:pPr>
            <w:r w:rsidRPr="005A566B">
              <w:rPr>
                <w:rFonts w:ascii="Arial" w:eastAsia="Calibri" w:hAnsi="Arial" w:cs="Arial"/>
                <w:b/>
                <w:bCs/>
                <w:iCs/>
              </w:rPr>
              <w:t xml:space="preserve">Table 10: </w:t>
            </w:r>
            <w:r w:rsidRPr="005A566B">
              <w:rPr>
                <w:rFonts w:ascii="Arial" w:eastAsia="Calibri" w:hAnsi="Arial" w:cs="Arial"/>
                <w:bCs/>
                <w:iCs/>
              </w:rPr>
              <w:t>Working Capital Management on Firm</w:t>
            </w:r>
            <w:r w:rsidR="00383CA7" w:rsidRPr="005A566B">
              <w:rPr>
                <w:rFonts w:ascii="Arial" w:eastAsia="Calibri" w:hAnsi="Arial" w:cs="Arial"/>
                <w:bCs/>
                <w:iCs/>
              </w:rPr>
              <w:t>s’ Financial</w:t>
            </w:r>
            <w:r w:rsidRPr="005A566B">
              <w:rPr>
                <w:rFonts w:ascii="Arial" w:eastAsia="Calibri" w:hAnsi="Arial" w:cs="Arial"/>
                <w:bCs/>
                <w:iCs/>
              </w:rPr>
              <w:t xml:space="preserve"> Performance </w:t>
            </w:r>
          </w:p>
          <w:p w14:paraId="42B4AC5F" w14:textId="58AD419F" w:rsidR="00981208" w:rsidRPr="005A566B" w:rsidRDefault="00981208" w:rsidP="00281A9E">
            <w:pPr>
              <w:pBdr>
                <w:bottom w:val="single" w:sz="4" w:space="1" w:color="auto"/>
              </w:pBdr>
              <w:spacing w:after="200" w:line="276" w:lineRule="auto"/>
              <w:rPr>
                <w:rFonts w:ascii="Arial" w:eastAsia="Calibri" w:hAnsi="Arial" w:cs="Arial"/>
                <w:bCs/>
                <w:iCs/>
              </w:rPr>
            </w:pPr>
            <w:r w:rsidRPr="005A566B">
              <w:rPr>
                <w:rFonts w:ascii="Arial" w:eastAsia="Calibri" w:hAnsi="Arial" w:cs="Arial"/>
              </w:rPr>
              <w:t xml:space="preserve">This table reports a fixed effects estimation on the relationship between working capital management </w:t>
            </w:r>
            <w:r w:rsidRPr="005A566B">
              <w:rPr>
                <w:rFonts w:ascii="Arial" w:eastAsia="Calibri" w:hAnsi="Arial" w:cs="Arial"/>
                <w:bCs/>
                <w:iCs/>
              </w:rPr>
              <w:t>and firm</w:t>
            </w:r>
            <w:r w:rsidR="00383CA7" w:rsidRPr="005A566B">
              <w:rPr>
                <w:rFonts w:ascii="Arial" w:eastAsia="Calibri" w:hAnsi="Arial" w:cs="Arial"/>
                <w:bCs/>
                <w:iCs/>
              </w:rPr>
              <w:t>s financial</w:t>
            </w:r>
            <w:r w:rsidRPr="005A566B">
              <w:rPr>
                <w:rFonts w:ascii="Arial" w:eastAsia="Calibri" w:hAnsi="Arial" w:cs="Arial"/>
                <w:bCs/>
                <w:iCs/>
              </w:rPr>
              <w:t xml:space="preserve"> performance</w:t>
            </w:r>
            <w:r w:rsidRPr="005A566B">
              <w:rPr>
                <w:rFonts w:ascii="Arial" w:eastAsia="Calibri" w:hAnsi="Arial" w:cs="Arial"/>
              </w:rPr>
              <w:t xml:space="preserve"> </w:t>
            </w:r>
            <w:r w:rsidRPr="005A566B">
              <w:rPr>
                <w:rFonts w:ascii="Arial" w:eastAsia="Times New Roman" w:hAnsi="Arial" w:cs="Arial"/>
                <w:noProof/>
              </w:rPr>
              <w:t xml:space="preserve">for across </w:t>
            </w:r>
            <w:r w:rsidR="00A91615" w:rsidRPr="005A566B">
              <w:rPr>
                <w:rFonts w:ascii="Arial" w:eastAsia="Times New Roman" w:hAnsi="Arial" w:cs="Arial"/>
                <w:noProof/>
              </w:rPr>
              <w:t>802</w:t>
            </w:r>
            <w:r w:rsidRPr="005A566B">
              <w:rPr>
                <w:rFonts w:ascii="Arial" w:eastAsia="Times New Roman" w:hAnsi="Arial" w:cs="Arial"/>
                <w:noProof/>
              </w:rPr>
              <w:t xml:space="preserve"> UK </w:t>
            </w:r>
            <w:r w:rsidR="00383CA7" w:rsidRPr="005A566B">
              <w:rPr>
                <w:rFonts w:ascii="Arial" w:eastAsia="Times New Roman" w:hAnsi="Arial" w:cs="Arial"/>
                <w:noProof/>
              </w:rPr>
              <w:t>quoted</w:t>
            </w:r>
            <w:r w:rsidRPr="005A566B">
              <w:rPr>
                <w:rFonts w:ascii="Arial" w:eastAsia="Times New Roman" w:hAnsi="Arial" w:cs="Arial"/>
                <w:noProof/>
              </w:rPr>
              <w:t xml:space="preserve"> firms over the period </w:t>
            </w:r>
            <w:r w:rsidR="00383CA7" w:rsidRPr="005A566B">
              <w:rPr>
                <w:rFonts w:ascii="Arial" w:eastAsia="Times New Roman" w:hAnsi="Arial" w:cs="Arial"/>
                <w:noProof/>
              </w:rPr>
              <w:t>2004-2014</w:t>
            </w:r>
            <w:r w:rsidRPr="005A566B">
              <w:rPr>
                <w:rFonts w:ascii="Arial" w:eastAsia="Calibri" w:hAnsi="Arial" w:cs="Arial"/>
              </w:rPr>
              <w:t xml:space="preserve">, with </w:t>
            </w:r>
            <w:r w:rsidRPr="005A566B">
              <w:rPr>
                <w:rFonts w:ascii="Arial" w:eastAsia="Calibri" w:hAnsi="Arial" w:cs="Arial"/>
                <w:i/>
              </w:rPr>
              <w:t>t</w:t>
            </w:r>
            <w:r w:rsidRPr="005A566B">
              <w:rPr>
                <w:rFonts w:ascii="Arial" w:eastAsia="Calibri" w:hAnsi="Arial" w:cs="Arial"/>
              </w:rPr>
              <w:t xml:space="preserve">−statistics (reported in parentheses). The dependent variable is the return on assets and Tobin’s Q. All variables are defined in Table 1. </w:t>
            </w:r>
            <w:r w:rsidRPr="005A566B">
              <w:rPr>
                <w:rFonts w:ascii="Arial" w:eastAsia="Times New Roman" w:hAnsi="Arial" w:cs="Arial"/>
                <w:bCs/>
                <w:iCs/>
                <w:lang w:eastAsia="en-GB"/>
              </w:rPr>
              <w:t xml:space="preserve"> Year dummies and time dummies interacted with industry dummies were always included as regressors and as instruments.  ***, ** and * represent coefficients significant at the 1%, 5% and 10% levels correspondingly (two−tailed tests).</w:t>
            </w:r>
          </w:p>
        </w:tc>
      </w:tr>
      <w:tr w:rsidR="007E7437" w:rsidRPr="005A566B" w14:paraId="5F149382" w14:textId="77777777" w:rsidTr="00981208">
        <w:trPr>
          <w:trHeight w:val="292"/>
        </w:trPr>
        <w:tc>
          <w:tcPr>
            <w:tcW w:w="2483" w:type="dxa"/>
            <w:tcBorders>
              <w:top w:val="nil"/>
              <w:left w:val="nil"/>
              <w:bottom w:val="single" w:sz="4" w:space="0" w:color="auto"/>
              <w:right w:val="nil"/>
            </w:tcBorders>
            <w:shd w:val="clear" w:color="auto" w:fill="auto"/>
            <w:noWrap/>
            <w:vAlign w:val="bottom"/>
            <w:hideMark/>
          </w:tcPr>
          <w:p w14:paraId="0D7FD5BA" w14:textId="77777777" w:rsidR="007E7437" w:rsidRPr="005A566B" w:rsidRDefault="007E7437" w:rsidP="007E7437">
            <w:pPr>
              <w:spacing w:after="0" w:line="240" w:lineRule="auto"/>
              <w:rPr>
                <w:rFonts w:ascii="Arial" w:eastAsia="Times New Roman" w:hAnsi="Arial" w:cs="Arial"/>
                <w:lang w:eastAsia="en-GB"/>
              </w:rPr>
            </w:pPr>
          </w:p>
        </w:tc>
        <w:tc>
          <w:tcPr>
            <w:tcW w:w="1480" w:type="dxa"/>
            <w:gridSpan w:val="2"/>
            <w:tcBorders>
              <w:top w:val="nil"/>
              <w:left w:val="nil"/>
              <w:bottom w:val="single" w:sz="4" w:space="0" w:color="auto"/>
              <w:right w:val="nil"/>
            </w:tcBorders>
            <w:shd w:val="clear" w:color="auto" w:fill="auto"/>
            <w:noWrap/>
            <w:vAlign w:val="bottom"/>
            <w:hideMark/>
          </w:tcPr>
          <w:p w14:paraId="7C37025B"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(1)</w:t>
            </w:r>
          </w:p>
        </w:tc>
        <w:tc>
          <w:tcPr>
            <w:tcW w:w="1316" w:type="dxa"/>
            <w:tcBorders>
              <w:top w:val="nil"/>
              <w:left w:val="nil"/>
              <w:bottom w:val="single" w:sz="4" w:space="0" w:color="auto"/>
              <w:right w:val="nil"/>
            </w:tcBorders>
            <w:shd w:val="clear" w:color="auto" w:fill="auto"/>
            <w:noWrap/>
            <w:vAlign w:val="bottom"/>
            <w:hideMark/>
          </w:tcPr>
          <w:p w14:paraId="65624954"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(2)</w:t>
            </w:r>
          </w:p>
        </w:tc>
        <w:tc>
          <w:tcPr>
            <w:tcW w:w="1217" w:type="dxa"/>
            <w:tcBorders>
              <w:top w:val="nil"/>
              <w:left w:val="nil"/>
              <w:bottom w:val="single" w:sz="4" w:space="0" w:color="auto"/>
              <w:right w:val="nil"/>
            </w:tcBorders>
            <w:shd w:val="clear" w:color="auto" w:fill="auto"/>
            <w:noWrap/>
            <w:vAlign w:val="bottom"/>
            <w:hideMark/>
          </w:tcPr>
          <w:p w14:paraId="06A4077E"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(3)</w:t>
            </w:r>
          </w:p>
        </w:tc>
        <w:tc>
          <w:tcPr>
            <w:tcW w:w="1411" w:type="dxa"/>
            <w:tcBorders>
              <w:top w:val="nil"/>
              <w:left w:val="nil"/>
              <w:bottom w:val="single" w:sz="4" w:space="0" w:color="auto"/>
              <w:right w:val="nil"/>
            </w:tcBorders>
            <w:shd w:val="clear" w:color="auto" w:fill="auto"/>
            <w:noWrap/>
            <w:vAlign w:val="bottom"/>
            <w:hideMark/>
          </w:tcPr>
          <w:p w14:paraId="5DC0166F"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(4)</w:t>
            </w:r>
          </w:p>
        </w:tc>
        <w:tc>
          <w:tcPr>
            <w:tcW w:w="1341" w:type="dxa"/>
            <w:tcBorders>
              <w:top w:val="nil"/>
              <w:left w:val="nil"/>
              <w:bottom w:val="single" w:sz="4" w:space="0" w:color="auto"/>
              <w:right w:val="nil"/>
            </w:tcBorders>
            <w:shd w:val="clear" w:color="auto" w:fill="auto"/>
            <w:noWrap/>
            <w:vAlign w:val="bottom"/>
            <w:hideMark/>
          </w:tcPr>
          <w:p w14:paraId="2D2979DD"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(5)</w:t>
            </w:r>
          </w:p>
        </w:tc>
        <w:tc>
          <w:tcPr>
            <w:tcW w:w="1679" w:type="dxa"/>
            <w:tcBorders>
              <w:top w:val="nil"/>
              <w:left w:val="nil"/>
              <w:bottom w:val="single" w:sz="4" w:space="0" w:color="auto"/>
              <w:right w:val="nil"/>
            </w:tcBorders>
            <w:shd w:val="clear" w:color="auto" w:fill="auto"/>
            <w:noWrap/>
            <w:vAlign w:val="bottom"/>
            <w:hideMark/>
          </w:tcPr>
          <w:p w14:paraId="2B34EF73"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(6)</w:t>
            </w:r>
          </w:p>
        </w:tc>
        <w:tc>
          <w:tcPr>
            <w:tcW w:w="1621" w:type="dxa"/>
            <w:tcBorders>
              <w:top w:val="nil"/>
              <w:left w:val="nil"/>
              <w:bottom w:val="single" w:sz="4" w:space="0" w:color="auto"/>
              <w:right w:val="nil"/>
            </w:tcBorders>
            <w:shd w:val="clear" w:color="auto" w:fill="auto"/>
            <w:noWrap/>
            <w:vAlign w:val="bottom"/>
            <w:hideMark/>
          </w:tcPr>
          <w:p w14:paraId="28D2D24A"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(7)</w:t>
            </w:r>
          </w:p>
        </w:tc>
        <w:tc>
          <w:tcPr>
            <w:tcW w:w="2242" w:type="dxa"/>
            <w:gridSpan w:val="2"/>
            <w:tcBorders>
              <w:top w:val="nil"/>
              <w:left w:val="nil"/>
              <w:bottom w:val="single" w:sz="4" w:space="0" w:color="auto"/>
              <w:right w:val="nil"/>
            </w:tcBorders>
            <w:shd w:val="clear" w:color="auto" w:fill="auto"/>
            <w:noWrap/>
            <w:vAlign w:val="bottom"/>
            <w:hideMark/>
          </w:tcPr>
          <w:p w14:paraId="3ADA2D9C"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(8)</w:t>
            </w:r>
          </w:p>
        </w:tc>
      </w:tr>
      <w:tr w:rsidR="007E7437" w:rsidRPr="005A566B" w14:paraId="24A785C5" w14:textId="77777777" w:rsidTr="00981208">
        <w:trPr>
          <w:trHeight w:val="292"/>
        </w:trPr>
        <w:tc>
          <w:tcPr>
            <w:tcW w:w="2483" w:type="dxa"/>
            <w:tcBorders>
              <w:top w:val="single" w:sz="4" w:space="0" w:color="auto"/>
              <w:left w:val="nil"/>
              <w:bottom w:val="single" w:sz="4" w:space="0" w:color="auto"/>
              <w:right w:val="nil"/>
            </w:tcBorders>
            <w:shd w:val="clear" w:color="auto" w:fill="auto"/>
            <w:noWrap/>
            <w:vAlign w:val="bottom"/>
            <w:hideMark/>
          </w:tcPr>
          <w:p w14:paraId="336BDA43" w14:textId="77777777" w:rsidR="007E7437" w:rsidRPr="005A566B" w:rsidRDefault="007E7437" w:rsidP="007E7437">
            <w:pPr>
              <w:spacing w:after="0" w:line="240" w:lineRule="auto"/>
              <w:rPr>
                <w:rFonts w:ascii="Arial" w:eastAsia="Times New Roman" w:hAnsi="Arial" w:cs="Arial"/>
                <w:lang w:eastAsia="en-GB"/>
              </w:rPr>
            </w:pPr>
          </w:p>
        </w:tc>
        <w:tc>
          <w:tcPr>
            <w:tcW w:w="1480" w:type="dxa"/>
            <w:gridSpan w:val="2"/>
            <w:tcBorders>
              <w:top w:val="single" w:sz="4" w:space="0" w:color="auto"/>
              <w:left w:val="nil"/>
              <w:bottom w:val="single" w:sz="4" w:space="0" w:color="auto"/>
              <w:right w:val="nil"/>
            </w:tcBorders>
            <w:shd w:val="clear" w:color="auto" w:fill="auto"/>
            <w:noWrap/>
            <w:vAlign w:val="bottom"/>
            <w:hideMark/>
          </w:tcPr>
          <w:p w14:paraId="4BA115BB"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316" w:type="dxa"/>
            <w:tcBorders>
              <w:top w:val="single" w:sz="4" w:space="0" w:color="auto"/>
              <w:left w:val="nil"/>
              <w:bottom w:val="single" w:sz="4" w:space="0" w:color="auto"/>
              <w:right w:val="nil"/>
            </w:tcBorders>
            <w:shd w:val="clear" w:color="auto" w:fill="auto"/>
            <w:noWrap/>
            <w:vAlign w:val="bottom"/>
            <w:hideMark/>
          </w:tcPr>
          <w:p w14:paraId="7DCB7528"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c>
          <w:tcPr>
            <w:tcW w:w="1217" w:type="dxa"/>
            <w:tcBorders>
              <w:top w:val="single" w:sz="4" w:space="0" w:color="auto"/>
              <w:left w:val="nil"/>
              <w:bottom w:val="single" w:sz="4" w:space="0" w:color="auto"/>
              <w:right w:val="nil"/>
            </w:tcBorders>
            <w:shd w:val="clear" w:color="auto" w:fill="auto"/>
            <w:noWrap/>
            <w:vAlign w:val="bottom"/>
            <w:hideMark/>
          </w:tcPr>
          <w:p w14:paraId="015A71A7"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411" w:type="dxa"/>
            <w:tcBorders>
              <w:top w:val="single" w:sz="4" w:space="0" w:color="auto"/>
              <w:left w:val="nil"/>
              <w:bottom w:val="single" w:sz="4" w:space="0" w:color="auto"/>
              <w:right w:val="nil"/>
            </w:tcBorders>
            <w:shd w:val="clear" w:color="auto" w:fill="auto"/>
            <w:noWrap/>
            <w:vAlign w:val="bottom"/>
            <w:hideMark/>
          </w:tcPr>
          <w:p w14:paraId="05C6B95C"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c>
          <w:tcPr>
            <w:tcW w:w="1341" w:type="dxa"/>
            <w:tcBorders>
              <w:top w:val="single" w:sz="4" w:space="0" w:color="auto"/>
              <w:left w:val="nil"/>
              <w:bottom w:val="single" w:sz="4" w:space="0" w:color="auto"/>
              <w:right w:val="nil"/>
            </w:tcBorders>
            <w:shd w:val="clear" w:color="auto" w:fill="auto"/>
            <w:noWrap/>
            <w:vAlign w:val="bottom"/>
            <w:hideMark/>
          </w:tcPr>
          <w:p w14:paraId="33C1BFE9"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1679" w:type="dxa"/>
            <w:tcBorders>
              <w:top w:val="single" w:sz="4" w:space="0" w:color="auto"/>
              <w:left w:val="nil"/>
              <w:bottom w:val="single" w:sz="4" w:space="0" w:color="auto"/>
              <w:right w:val="nil"/>
            </w:tcBorders>
            <w:shd w:val="clear" w:color="auto" w:fill="auto"/>
            <w:noWrap/>
            <w:vAlign w:val="bottom"/>
            <w:hideMark/>
          </w:tcPr>
          <w:p w14:paraId="2AEC298A"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c>
          <w:tcPr>
            <w:tcW w:w="1621" w:type="dxa"/>
            <w:tcBorders>
              <w:top w:val="single" w:sz="4" w:space="0" w:color="auto"/>
              <w:left w:val="nil"/>
              <w:bottom w:val="single" w:sz="4" w:space="0" w:color="auto"/>
              <w:right w:val="nil"/>
            </w:tcBorders>
            <w:shd w:val="clear" w:color="auto" w:fill="auto"/>
            <w:noWrap/>
            <w:vAlign w:val="bottom"/>
            <w:hideMark/>
          </w:tcPr>
          <w:p w14:paraId="41027028"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ROA</w:t>
            </w:r>
          </w:p>
        </w:tc>
        <w:tc>
          <w:tcPr>
            <w:tcW w:w="2242" w:type="dxa"/>
            <w:gridSpan w:val="2"/>
            <w:tcBorders>
              <w:top w:val="single" w:sz="4" w:space="0" w:color="auto"/>
              <w:left w:val="nil"/>
              <w:bottom w:val="single" w:sz="4" w:space="0" w:color="auto"/>
              <w:right w:val="nil"/>
            </w:tcBorders>
            <w:shd w:val="clear" w:color="auto" w:fill="auto"/>
            <w:noWrap/>
            <w:vAlign w:val="bottom"/>
            <w:hideMark/>
          </w:tcPr>
          <w:p w14:paraId="159588A3"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QRATIO</w:t>
            </w:r>
          </w:p>
        </w:tc>
      </w:tr>
      <w:tr w:rsidR="007E7437" w:rsidRPr="005A566B" w14:paraId="1E748F5A" w14:textId="77777777" w:rsidTr="00981208">
        <w:trPr>
          <w:trHeight w:val="292"/>
        </w:trPr>
        <w:tc>
          <w:tcPr>
            <w:tcW w:w="2483" w:type="dxa"/>
            <w:tcBorders>
              <w:top w:val="single" w:sz="4" w:space="0" w:color="auto"/>
              <w:left w:val="nil"/>
              <w:bottom w:val="nil"/>
              <w:right w:val="nil"/>
            </w:tcBorders>
            <w:shd w:val="clear" w:color="auto" w:fill="auto"/>
            <w:noWrap/>
            <w:vAlign w:val="bottom"/>
            <w:hideMark/>
          </w:tcPr>
          <w:p w14:paraId="49C3A504"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 xml:space="preserve"> WCM</w:t>
            </w:r>
          </w:p>
        </w:tc>
        <w:tc>
          <w:tcPr>
            <w:tcW w:w="1480" w:type="dxa"/>
            <w:gridSpan w:val="2"/>
            <w:tcBorders>
              <w:top w:val="single" w:sz="4" w:space="0" w:color="auto"/>
              <w:left w:val="nil"/>
              <w:bottom w:val="nil"/>
              <w:right w:val="nil"/>
            </w:tcBorders>
            <w:shd w:val="clear" w:color="auto" w:fill="auto"/>
            <w:noWrap/>
            <w:vAlign w:val="bottom"/>
            <w:hideMark/>
          </w:tcPr>
          <w:p w14:paraId="719E6B1C"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-0.068***</w:t>
            </w:r>
          </w:p>
        </w:tc>
        <w:tc>
          <w:tcPr>
            <w:tcW w:w="1316" w:type="dxa"/>
            <w:tcBorders>
              <w:top w:val="single" w:sz="4" w:space="0" w:color="auto"/>
              <w:left w:val="nil"/>
              <w:bottom w:val="nil"/>
              <w:right w:val="nil"/>
            </w:tcBorders>
            <w:shd w:val="clear" w:color="auto" w:fill="auto"/>
            <w:noWrap/>
            <w:vAlign w:val="bottom"/>
            <w:hideMark/>
          </w:tcPr>
          <w:p w14:paraId="657FF726"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-0.053**</w:t>
            </w:r>
          </w:p>
        </w:tc>
        <w:tc>
          <w:tcPr>
            <w:tcW w:w="1217" w:type="dxa"/>
            <w:tcBorders>
              <w:top w:val="single" w:sz="4" w:space="0" w:color="auto"/>
              <w:left w:val="nil"/>
              <w:bottom w:val="nil"/>
              <w:right w:val="nil"/>
            </w:tcBorders>
            <w:shd w:val="clear" w:color="auto" w:fill="auto"/>
            <w:noWrap/>
            <w:vAlign w:val="bottom"/>
            <w:hideMark/>
          </w:tcPr>
          <w:p w14:paraId="79394EE2"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-0.23***</w:t>
            </w:r>
          </w:p>
        </w:tc>
        <w:tc>
          <w:tcPr>
            <w:tcW w:w="1411" w:type="dxa"/>
            <w:tcBorders>
              <w:top w:val="single" w:sz="4" w:space="0" w:color="auto"/>
              <w:left w:val="nil"/>
              <w:bottom w:val="nil"/>
              <w:right w:val="nil"/>
            </w:tcBorders>
            <w:shd w:val="clear" w:color="auto" w:fill="auto"/>
            <w:noWrap/>
            <w:vAlign w:val="bottom"/>
            <w:hideMark/>
          </w:tcPr>
          <w:p w14:paraId="26942B64"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-0.0046</w:t>
            </w:r>
          </w:p>
        </w:tc>
        <w:tc>
          <w:tcPr>
            <w:tcW w:w="1341" w:type="dxa"/>
            <w:tcBorders>
              <w:top w:val="single" w:sz="4" w:space="0" w:color="auto"/>
              <w:left w:val="nil"/>
              <w:bottom w:val="nil"/>
              <w:right w:val="nil"/>
            </w:tcBorders>
            <w:shd w:val="clear" w:color="auto" w:fill="auto"/>
            <w:noWrap/>
            <w:vAlign w:val="bottom"/>
            <w:hideMark/>
          </w:tcPr>
          <w:p w14:paraId="1D515566"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-0.0003</w:t>
            </w:r>
          </w:p>
        </w:tc>
        <w:tc>
          <w:tcPr>
            <w:tcW w:w="1679" w:type="dxa"/>
            <w:tcBorders>
              <w:top w:val="single" w:sz="4" w:space="0" w:color="auto"/>
              <w:left w:val="nil"/>
              <w:bottom w:val="nil"/>
              <w:right w:val="nil"/>
            </w:tcBorders>
            <w:shd w:val="clear" w:color="auto" w:fill="auto"/>
            <w:noWrap/>
            <w:vAlign w:val="bottom"/>
            <w:hideMark/>
          </w:tcPr>
          <w:p w14:paraId="5445FB20"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-0.0036</w:t>
            </w:r>
          </w:p>
        </w:tc>
        <w:tc>
          <w:tcPr>
            <w:tcW w:w="1621" w:type="dxa"/>
            <w:tcBorders>
              <w:top w:val="single" w:sz="4" w:space="0" w:color="auto"/>
              <w:left w:val="nil"/>
              <w:bottom w:val="nil"/>
              <w:right w:val="nil"/>
            </w:tcBorders>
            <w:shd w:val="clear" w:color="auto" w:fill="auto"/>
            <w:noWrap/>
            <w:vAlign w:val="bottom"/>
            <w:hideMark/>
          </w:tcPr>
          <w:p w14:paraId="1BBFE8FF"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-0.0007</w:t>
            </w:r>
          </w:p>
        </w:tc>
        <w:tc>
          <w:tcPr>
            <w:tcW w:w="2242" w:type="dxa"/>
            <w:gridSpan w:val="2"/>
            <w:tcBorders>
              <w:top w:val="single" w:sz="4" w:space="0" w:color="auto"/>
              <w:left w:val="nil"/>
              <w:bottom w:val="nil"/>
              <w:right w:val="nil"/>
            </w:tcBorders>
            <w:shd w:val="clear" w:color="auto" w:fill="auto"/>
            <w:noWrap/>
            <w:vAlign w:val="bottom"/>
            <w:hideMark/>
          </w:tcPr>
          <w:p w14:paraId="2C5A4778"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-0.0139</w:t>
            </w:r>
          </w:p>
        </w:tc>
      </w:tr>
      <w:tr w:rsidR="007E7437" w:rsidRPr="005A566B" w14:paraId="32A9D2ED" w14:textId="77777777" w:rsidTr="00981208">
        <w:trPr>
          <w:trHeight w:val="292"/>
        </w:trPr>
        <w:tc>
          <w:tcPr>
            <w:tcW w:w="2483" w:type="dxa"/>
            <w:tcBorders>
              <w:top w:val="nil"/>
              <w:left w:val="nil"/>
              <w:bottom w:val="nil"/>
              <w:right w:val="nil"/>
            </w:tcBorders>
            <w:shd w:val="clear" w:color="auto" w:fill="auto"/>
            <w:noWrap/>
            <w:vAlign w:val="bottom"/>
            <w:hideMark/>
          </w:tcPr>
          <w:p w14:paraId="78AC317B" w14:textId="77777777" w:rsidR="007E7437" w:rsidRPr="005A566B" w:rsidRDefault="007E7437" w:rsidP="007E7437">
            <w:pPr>
              <w:spacing w:after="0" w:line="240" w:lineRule="auto"/>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bottom"/>
            <w:hideMark/>
          </w:tcPr>
          <w:p w14:paraId="00F327F6"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(-6.29)</w:t>
            </w:r>
          </w:p>
        </w:tc>
        <w:tc>
          <w:tcPr>
            <w:tcW w:w="1316" w:type="dxa"/>
            <w:tcBorders>
              <w:top w:val="nil"/>
              <w:left w:val="nil"/>
              <w:bottom w:val="nil"/>
              <w:right w:val="nil"/>
            </w:tcBorders>
            <w:shd w:val="clear" w:color="auto" w:fill="auto"/>
            <w:noWrap/>
            <w:vAlign w:val="bottom"/>
            <w:hideMark/>
          </w:tcPr>
          <w:p w14:paraId="0B50A79E"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(-2.53)</w:t>
            </w:r>
          </w:p>
        </w:tc>
        <w:tc>
          <w:tcPr>
            <w:tcW w:w="1217" w:type="dxa"/>
            <w:tcBorders>
              <w:top w:val="nil"/>
              <w:left w:val="nil"/>
              <w:bottom w:val="nil"/>
              <w:right w:val="nil"/>
            </w:tcBorders>
            <w:shd w:val="clear" w:color="auto" w:fill="auto"/>
            <w:noWrap/>
            <w:vAlign w:val="bottom"/>
            <w:hideMark/>
          </w:tcPr>
          <w:p w14:paraId="303B0210"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(-5.52)</w:t>
            </w:r>
          </w:p>
        </w:tc>
        <w:tc>
          <w:tcPr>
            <w:tcW w:w="1411" w:type="dxa"/>
            <w:tcBorders>
              <w:top w:val="nil"/>
              <w:left w:val="nil"/>
              <w:bottom w:val="nil"/>
              <w:right w:val="nil"/>
            </w:tcBorders>
            <w:shd w:val="clear" w:color="auto" w:fill="auto"/>
            <w:noWrap/>
            <w:vAlign w:val="bottom"/>
            <w:hideMark/>
          </w:tcPr>
          <w:p w14:paraId="62CADE7D"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(-0.47)</w:t>
            </w:r>
          </w:p>
        </w:tc>
        <w:tc>
          <w:tcPr>
            <w:tcW w:w="1341" w:type="dxa"/>
            <w:tcBorders>
              <w:top w:val="nil"/>
              <w:left w:val="nil"/>
              <w:bottom w:val="nil"/>
              <w:right w:val="nil"/>
            </w:tcBorders>
            <w:shd w:val="clear" w:color="auto" w:fill="auto"/>
            <w:noWrap/>
            <w:vAlign w:val="bottom"/>
            <w:hideMark/>
          </w:tcPr>
          <w:p w14:paraId="1BC64C39"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(-1.12)</w:t>
            </w:r>
          </w:p>
        </w:tc>
        <w:tc>
          <w:tcPr>
            <w:tcW w:w="1679" w:type="dxa"/>
            <w:tcBorders>
              <w:top w:val="nil"/>
              <w:left w:val="nil"/>
              <w:bottom w:val="nil"/>
              <w:right w:val="nil"/>
            </w:tcBorders>
            <w:shd w:val="clear" w:color="auto" w:fill="auto"/>
            <w:noWrap/>
            <w:vAlign w:val="bottom"/>
            <w:hideMark/>
          </w:tcPr>
          <w:p w14:paraId="2166EA98"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(-0.48)</w:t>
            </w:r>
          </w:p>
        </w:tc>
        <w:tc>
          <w:tcPr>
            <w:tcW w:w="1621" w:type="dxa"/>
            <w:tcBorders>
              <w:top w:val="nil"/>
              <w:left w:val="nil"/>
              <w:bottom w:val="nil"/>
              <w:right w:val="nil"/>
            </w:tcBorders>
            <w:shd w:val="clear" w:color="auto" w:fill="auto"/>
            <w:noWrap/>
            <w:vAlign w:val="bottom"/>
            <w:hideMark/>
          </w:tcPr>
          <w:p w14:paraId="0442926D"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(-0.57)</w:t>
            </w:r>
          </w:p>
        </w:tc>
        <w:tc>
          <w:tcPr>
            <w:tcW w:w="2242" w:type="dxa"/>
            <w:gridSpan w:val="2"/>
            <w:tcBorders>
              <w:top w:val="nil"/>
              <w:left w:val="nil"/>
              <w:bottom w:val="nil"/>
              <w:right w:val="nil"/>
            </w:tcBorders>
            <w:shd w:val="clear" w:color="auto" w:fill="auto"/>
            <w:noWrap/>
            <w:vAlign w:val="bottom"/>
            <w:hideMark/>
          </w:tcPr>
          <w:p w14:paraId="08F824D6"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(-0.77)</w:t>
            </w:r>
          </w:p>
        </w:tc>
      </w:tr>
      <w:tr w:rsidR="007E7437" w:rsidRPr="005A566B" w14:paraId="01E4564B" w14:textId="77777777" w:rsidTr="00981208">
        <w:trPr>
          <w:trHeight w:val="292"/>
        </w:trPr>
        <w:tc>
          <w:tcPr>
            <w:tcW w:w="2483" w:type="dxa"/>
            <w:tcBorders>
              <w:top w:val="nil"/>
              <w:left w:val="nil"/>
              <w:bottom w:val="nil"/>
              <w:right w:val="nil"/>
            </w:tcBorders>
            <w:shd w:val="clear" w:color="auto" w:fill="auto"/>
            <w:noWrap/>
            <w:vAlign w:val="bottom"/>
            <w:hideMark/>
          </w:tcPr>
          <w:p w14:paraId="380D95E1"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COMPETITION</w:t>
            </w:r>
          </w:p>
        </w:tc>
        <w:tc>
          <w:tcPr>
            <w:tcW w:w="1480" w:type="dxa"/>
            <w:gridSpan w:val="2"/>
            <w:tcBorders>
              <w:top w:val="nil"/>
              <w:left w:val="nil"/>
              <w:bottom w:val="nil"/>
              <w:right w:val="nil"/>
            </w:tcBorders>
            <w:shd w:val="clear" w:color="auto" w:fill="auto"/>
            <w:noWrap/>
            <w:vAlign w:val="bottom"/>
            <w:hideMark/>
          </w:tcPr>
          <w:p w14:paraId="7C3BB306"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2.678***</w:t>
            </w:r>
          </w:p>
        </w:tc>
        <w:tc>
          <w:tcPr>
            <w:tcW w:w="1316" w:type="dxa"/>
            <w:tcBorders>
              <w:top w:val="nil"/>
              <w:left w:val="nil"/>
              <w:bottom w:val="nil"/>
              <w:right w:val="nil"/>
            </w:tcBorders>
            <w:shd w:val="clear" w:color="auto" w:fill="auto"/>
            <w:noWrap/>
            <w:vAlign w:val="bottom"/>
            <w:hideMark/>
          </w:tcPr>
          <w:p w14:paraId="194FE8AA"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0.315**</w:t>
            </w:r>
          </w:p>
        </w:tc>
        <w:tc>
          <w:tcPr>
            <w:tcW w:w="1217" w:type="dxa"/>
            <w:tcBorders>
              <w:top w:val="nil"/>
              <w:left w:val="nil"/>
              <w:bottom w:val="nil"/>
              <w:right w:val="nil"/>
            </w:tcBorders>
            <w:shd w:val="clear" w:color="auto" w:fill="auto"/>
            <w:noWrap/>
            <w:vAlign w:val="bottom"/>
            <w:hideMark/>
          </w:tcPr>
          <w:p w14:paraId="299D826C"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1AA139B6"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362FB1BE"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-0.103***</w:t>
            </w:r>
          </w:p>
        </w:tc>
        <w:tc>
          <w:tcPr>
            <w:tcW w:w="1679" w:type="dxa"/>
            <w:tcBorders>
              <w:top w:val="nil"/>
              <w:left w:val="nil"/>
              <w:bottom w:val="nil"/>
              <w:right w:val="nil"/>
            </w:tcBorders>
            <w:shd w:val="clear" w:color="auto" w:fill="auto"/>
            <w:noWrap/>
            <w:vAlign w:val="bottom"/>
            <w:hideMark/>
          </w:tcPr>
          <w:p w14:paraId="5EC28975"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682039A0"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374F8D16"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09B91BE5" w14:textId="77777777" w:rsidTr="00981208">
        <w:trPr>
          <w:trHeight w:val="292"/>
        </w:trPr>
        <w:tc>
          <w:tcPr>
            <w:tcW w:w="2483" w:type="dxa"/>
            <w:tcBorders>
              <w:top w:val="nil"/>
              <w:left w:val="nil"/>
              <w:bottom w:val="nil"/>
              <w:right w:val="nil"/>
            </w:tcBorders>
            <w:shd w:val="clear" w:color="auto" w:fill="auto"/>
            <w:noWrap/>
            <w:vAlign w:val="bottom"/>
            <w:hideMark/>
          </w:tcPr>
          <w:p w14:paraId="2FCF31CC" w14:textId="77777777" w:rsidR="007E7437" w:rsidRPr="005A566B" w:rsidRDefault="007E7437" w:rsidP="007E7437">
            <w:pPr>
              <w:spacing w:after="0" w:line="240" w:lineRule="auto"/>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bottom"/>
            <w:hideMark/>
          </w:tcPr>
          <w:p w14:paraId="3AB61B94"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(11.16)</w:t>
            </w:r>
          </w:p>
        </w:tc>
        <w:tc>
          <w:tcPr>
            <w:tcW w:w="1316" w:type="dxa"/>
            <w:tcBorders>
              <w:top w:val="nil"/>
              <w:left w:val="nil"/>
              <w:bottom w:val="nil"/>
              <w:right w:val="nil"/>
            </w:tcBorders>
            <w:shd w:val="clear" w:color="auto" w:fill="auto"/>
            <w:noWrap/>
            <w:vAlign w:val="bottom"/>
            <w:hideMark/>
          </w:tcPr>
          <w:p w14:paraId="774CDDA5"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(2.12)</w:t>
            </w:r>
          </w:p>
        </w:tc>
        <w:tc>
          <w:tcPr>
            <w:tcW w:w="1217" w:type="dxa"/>
            <w:tcBorders>
              <w:top w:val="nil"/>
              <w:left w:val="nil"/>
              <w:bottom w:val="nil"/>
              <w:right w:val="nil"/>
            </w:tcBorders>
            <w:shd w:val="clear" w:color="auto" w:fill="auto"/>
            <w:noWrap/>
            <w:vAlign w:val="bottom"/>
            <w:hideMark/>
          </w:tcPr>
          <w:p w14:paraId="5ADFFDD3"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5E195D4B"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0E1CF7B1"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(-3.32)</w:t>
            </w:r>
          </w:p>
        </w:tc>
        <w:tc>
          <w:tcPr>
            <w:tcW w:w="1679" w:type="dxa"/>
            <w:tcBorders>
              <w:top w:val="nil"/>
              <w:left w:val="nil"/>
              <w:bottom w:val="nil"/>
              <w:right w:val="nil"/>
            </w:tcBorders>
            <w:shd w:val="clear" w:color="auto" w:fill="auto"/>
            <w:noWrap/>
            <w:vAlign w:val="bottom"/>
            <w:hideMark/>
          </w:tcPr>
          <w:p w14:paraId="0856F4EE"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0AFF07B6"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74D77BE6"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64C925DF" w14:textId="77777777" w:rsidTr="00981208">
        <w:trPr>
          <w:trHeight w:val="292"/>
        </w:trPr>
        <w:tc>
          <w:tcPr>
            <w:tcW w:w="2483" w:type="dxa"/>
            <w:tcBorders>
              <w:top w:val="nil"/>
              <w:left w:val="nil"/>
              <w:bottom w:val="nil"/>
              <w:right w:val="nil"/>
            </w:tcBorders>
            <w:shd w:val="clear" w:color="auto" w:fill="auto"/>
            <w:noWrap/>
            <w:vAlign w:val="bottom"/>
            <w:hideMark/>
          </w:tcPr>
          <w:p w14:paraId="1D6FE50E"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CRISIS</w:t>
            </w:r>
          </w:p>
        </w:tc>
        <w:tc>
          <w:tcPr>
            <w:tcW w:w="1480" w:type="dxa"/>
            <w:gridSpan w:val="2"/>
            <w:tcBorders>
              <w:top w:val="nil"/>
              <w:left w:val="nil"/>
              <w:bottom w:val="nil"/>
              <w:right w:val="nil"/>
            </w:tcBorders>
            <w:shd w:val="clear" w:color="auto" w:fill="auto"/>
            <w:noWrap/>
            <w:vAlign w:val="bottom"/>
            <w:hideMark/>
          </w:tcPr>
          <w:p w14:paraId="68B2FACA"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354BF3C5"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3DD3A4FB"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-0.005**</w:t>
            </w:r>
          </w:p>
        </w:tc>
        <w:tc>
          <w:tcPr>
            <w:tcW w:w="1411" w:type="dxa"/>
            <w:tcBorders>
              <w:top w:val="nil"/>
              <w:left w:val="nil"/>
              <w:bottom w:val="nil"/>
              <w:right w:val="nil"/>
            </w:tcBorders>
            <w:shd w:val="clear" w:color="auto" w:fill="auto"/>
            <w:noWrap/>
            <w:vAlign w:val="bottom"/>
            <w:hideMark/>
          </w:tcPr>
          <w:p w14:paraId="7B6D17E8"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-0.234***</w:t>
            </w:r>
          </w:p>
        </w:tc>
        <w:tc>
          <w:tcPr>
            <w:tcW w:w="1341" w:type="dxa"/>
            <w:tcBorders>
              <w:top w:val="nil"/>
              <w:left w:val="nil"/>
              <w:bottom w:val="nil"/>
              <w:right w:val="nil"/>
            </w:tcBorders>
            <w:shd w:val="clear" w:color="auto" w:fill="auto"/>
            <w:noWrap/>
            <w:vAlign w:val="bottom"/>
            <w:hideMark/>
          </w:tcPr>
          <w:p w14:paraId="233B209C"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2E5EC7EE"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0528C557"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08273FD9"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65DC5879" w14:textId="77777777" w:rsidTr="00981208">
        <w:trPr>
          <w:trHeight w:val="292"/>
        </w:trPr>
        <w:tc>
          <w:tcPr>
            <w:tcW w:w="2483" w:type="dxa"/>
            <w:tcBorders>
              <w:top w:val="nil"/>
              <w:left w:val="nil"/>
              <w:bottom w:val="nil"/>
              <w:right w:val="nil"/>
            </w:tcBorders>
            <w:shd w:val="clear" w:color="auto" w:fill="auto"/>
            <w:noWrap/>
            <w:vAlign w:val="bottom"/>
            <w:hideMark/>
          </w:tcPr>
          <w:p w14:paraId="13BEC524" w14:textId="77777777" w:rsidR="007E7437" w:rsidRPr="005A566B" w:rsidRDefault="007E7437" w:rsidP="007E7437">
            <w:pPr>
              <w:spacing w:after="0" w:line="240" w:lineRule="auto"/>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bottom"/>
            <w:hideMark/>
          </w:tcPr>
          <w:p w14:paraId="189DA37D"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7295A8BB"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72770238"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(-2.28)</w:t>
            </w:r>
          </w:p>
        </w:tc>
        <w:tc>
          <w:tcPr>
            <w:tcW w:w="1411" w:type="dxa"/>
            <w:tcBorders>
              <w:top w:val="nil"/>
              <w:left w:val="nil"/>
              <w:bottom w:val="nil"/>
              <w:right w:val="nil"/>
            </w:tcBorders>
            <w:shd w:val="clear" w:color="auto" w:fill="auto"/>
            <w:noWrap/>
            <w:vAlign w:val="bottom"/>
            <w:hideMark/>
          </w:tcPr>
          <w:p w14:paraId="5A9D1AF3"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(-5.52)</w:t>
            </w:r>
          </w:p>
        </w:tc>
        <w:tc>
          <w:tcPr>
            <w:tcW w:w="1341" w:type="dxa"/>
            <w:tcBorders>
              <w:top w:val="nil"/>
              <w:left w:val="nil"/>
              <w:bottom w:val="nil"/>
              <w:right w:val="nil"/>
            </w:tcBorders>
            <w:shd w:val="clear" w:color="auto" w:fill="auto"/>
            <w:noWrap/>
            <w:vAlign w:val="bottom"/>
            <w:hideMark/>
          </w:tcPr>
          <w:p w14:paraId="581FB8D0"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5401E9EA"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6877947E"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4E88817C"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5AC2FBB6" w14:textId="77777777" w:rsidTr="00981208">
        <w:trPr>
          <w:trHeight w:val="292"/>
        </w:trPr>
        <w:tc>
          <w:tcPr>
            <w:tcW w:w="2483" w:type="dxa"/>
            <w:tcBorders>
              <w:top w:val="nil"/>
              <w:left w:val="nil"/>
              <w:bottom w:val="nil"/>
              <w:right w:val="nil"/>
            </w:tcBorders>
            <w:shd w:val="clear" w:color="auto" w:fill="auto"/>
            <w:noWrap/>
            <w:vAlign w:val="bottom"/>
            <w:hideMark/>
          </w:tcPr>
          <w:p w14:paraId="513AFF69" w14:textId="665EC32F" w:rsidR="007E7437" w:rsidRPr="005A566B" w:rsidRDefault="00127D7B" w:rsidP="007E7437">
            <w:pPr>
              <w:spacing w:after="0" w:line="240" w:lineRule="auto"/>
              <w:rPr>
                <w:rFonts w:ascii="Arial" w:eastAsia="Times New Roman" w:hAnsi="Arial" w:cs="Arial"/>
                <w:lang w:eastAsia="en-GB"/>
              </w:rPr>
            </w:pPr>
            <w:r w:rsidRPr="005A566B">
              <w:rPr>
                <w:rFonts w:ascii="Arial" w:eastAsia="Calibri" w:hAnsi="Arial" w:cs="Arial"/>
                <w:bCs/>
                <w:iCs/>
                <w:sz w:val="24"/>
                <w:szCs w:val="24"/>
              </w:rPr>
              <w:t>CEO ABILITY</w:t>
            </w:r>
          </w:p>
        </w:tc>
        <w:tc>
          <w:tcPr>
            <w:tcW w:w="1480" w:type="dxa"/>
            <w:gridSpan w:val="2"/>
            <w:tcBorders>
              <w:top w:val="nil"/>
              <w:left w:val="nil"/>
              <w:bottom w:val="nil"/>
              <w:right w:val="nil"/>
            </w:tcBorders>
            <w:shd w:val="clear" w:color="auto" w:fill="auto"/>
            <w:noWrap/>
            <w:vAlign w:val="bottom"/>
            <w:hideMark/>
          </w:tcPr>
          <w:p w14:paraId="5F6536BC"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48F1B119"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7B23EE03"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2C6ED271"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328BFB83"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3F3CAEDA"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160CA801"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-0.086***</w:t>
            </w:r>
          </w:p>
        </w:tc>
        <w:tc>
          <w:tcPr>
            <w:tcW w:w="2242" w:type="dxa"/>
            <w:gridSpan w:val="2"/>
            <w:tcBorders>
              <w:top w:val="nil"/>
              <w:left w:val="nil"/>
              <w:bottom w:val="nil"/>
              <w:right w:val="nil"/>
            </w:tcBorders>
            <w:shd w:val="clear" w:color="auto" w:fill="auto"/>
            <w:noWrap/>
            <w:vAlign w:val="bottom"/>
            <w:hideMark/>
          </w:tcPr>
          <w:p w14:paraId="7E95FAC9"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-0.0096*</w:t>
            </w:r>
          </w:p>
        </w:tc>
      </w:tr>
      <w:tr w:rsidR="007E7437" w:rsidRPr="005A566B" w14:paraId="2E59CF8D" w14:textId="77777777" w:rsidTr="00981208">
        <w:trPr>
          <w:trHeight w:val="292"/>
        </w:trPr>
        <w:tc>
          <w:tcPr>
            <w:tcW w:w="2483" w:type="dxa"/>
            <w:tcBorders>
              <w:top w:val="nil"/>
              <w:left w:val="nil"/>
              <w:bottom w:val="nil"/>
              <w:right w:val="nil"/>
            </w:tcBorders>
            <w:shd w:val="clear" w:color="auto" w:fill="auto"/>
            <w:noWrap/>
            <w:vAlign w:val="bottom"/>
            <w:hideMark/>
          </w:tcPr>
          <w:p w14:paraId="053F575A" w14:textId="77777777" w:rsidR="007E7437" w:rsidRPr="005A566B" w:rsidRDefault="007E7437" w:rsidP="007E7437">
            <w:pPr>
              <w:spacing w:after="0" w:line="240" w:lineRule="auto"/>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bottom"/>
            <w:hideMark/>
          </w:tcPr>
          <w:p w14:paraId="6A06D030"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226DBFFE"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676B4518"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1946910C"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43373F58"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3985DF79"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5FDAE9E4"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(-3.68)</w:t>
            </w:r>
          </w:p>
        </w:tc>
        <w:tc>
          <w:tcPr>
            <w:tcW w:w="2242" w:type="dxa"/>
            <w:gridSpan w:val="2"/>
            <w:tcBorders>
              <w:top w:val="nil"/>
              <w:left w:val="nil"/>
              <w:bottom w:val="nil"/>
              <w:right w:val="nil"/>
            </w:tcBorders>
            <w:shd w:val="clear" w:color="auto" w:fill="auto"/>
            <w:noWrap/>
            <w:vAlign w:val="bottom"/>
            <w:hideMark/>
          </w:tcPr>
          <w:p w14:paraId="6C4BADDC"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(-1.77)</w:t>
            </w:r>
          </w:p>
        </w:tc>
      </w:tr>
      <w:tr w:rsidR="007E7437" w:rsidRPr="005A566B" w14:paraId="3C7CBCC9" w14:textId="77777777" w:rsidTr="00981208">
        <w:trPr>
          <w:trHeight w:val="292"/>
        </w:trPr>
        <w:tc>
          <w:tcPr>
            <w:tcW w:w="2483" w:type="dxa"/>
            <w:tcBorders>
              <w:top w:val="nil"/>
              <w:left w:val="nil"/>
              <w:bottom w:val="nil"/>
              <w:right w:val="nil"/>
            </w:tcBorders>
            <w:shd w:val="clear" w:color="auto" w:fill="auto"/>
            <w:noWrap/>
            <w:vAlign w:val="bottom"/>
            <w:hideMark/>
          </w:tcPr>
          <w:p w14:paraId="467C2D2A"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SIZE</w:t>
            </w:r>
          </w:p>
        </w:tc>
        <w:tc>
          <w:tcPr>
            <w:tcW w:w="1480" w:type="dxa"/>
            <w:gridSpan w:val="2"/>
            <w:tcBorders>
              <w:top w:val="nil"/>
              <w:left w:val="nil"/>
              <w:bottom w:val="nil"/>
              <w:right w:val="nil"/>
            </w:tcBorders>
            <w:shd w:val="clear" w:color="auto" w:fill="auto"/>
            <w:noWrap/>
            <w:vAlign w:val="bottom"/>
            <w:hideMark/>
          </w:tcPr>
          <w:p w14:paraId="24DD6F0A"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5DF990BF"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4A32DF7B"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1CB44156"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4A3B36F1"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-4.975***</w:t>
            </w:r>
          </w:p>
        </w:tc>
        <w:tc>
          <w:tcPr>
            <w:tcW w:w="1679" w:type="dxa"/>
            <w:tcBorders>
              <w:top w:val="nil"/>
              <w:left w:val="nil"/>
              <w:bottom w:val="nil"/>
              <w:right w:val="nil"/>
            </w:tcBorders>
            <w:shd w:val="clear" w:color="auto" w:fill="auto"/>
            <w:noWrap/>
            <w:vAlign w:val="bottom"/>
            <w:hideMark/>
          </w:tcPr>
          <w:p w14:paraId="5CB785F4"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-0.067**</w:t>
            </w:r>
          </w:p>
        </w:tc>
        <w:tc>
          <w:tcPr>
            <w:tcW w:w="1621" w:type="dxa"/>
            <w:tcBorders>
              <w:top w:val="nil"/>
              <w:left w:val="nil"/>
              <w:bottom w:val="nil"/>
              <w:right w:val="nil"/>
            </w:tcBorders>
            <w:shd w:val="clear" w:color="auto" w:fill="auto"/>
            <w:noWrap/>
            <w:vAlign w:val="bottom"/>
            <w:hideMark/>
          </w:tcPr>
          <w:p w14:paraId="079AC9A5"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583676E9"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5DA5845E" w14:textId="77777777" w:rsidTr="00981208">
        <w:trPr>
          <w:trHeight w:val="292"/>
        </w:trPr>
        <w:tc>
          <w:tcPr>
            <w:tcW w:w="2483" w:type="dxa"/>
            <w:tcBorders>
              <w:top w:val="nil"/>
              <w:left w:val="nil"/>
              <w:bottom w:val="nil"/>
              <w:right w:val="nil"/>
            </w:tcBorders>
            <w:shd w:val="clear" w:color="auto" w:fill="auto"/>
            <w:noWrap/>
            <w:vAlign w:val="bottom"/>
            <w:hideMark/>
          </w:tcPr>
          <w:p w14:paraId="18633354" w14:textId="77777777" w:rsidR="007E7437" w:rsidRPr="005A566B" w:rsidRDefault="007E7437" w:rsidP="007E7437">
            <w:pPr>
              <w:spacing w:after="0" w:line="240" w:lineRule="auto"/>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bottom"/>
            <w:hideMark/>
          </w:tcPr>
          <w:p w14:paraId="30B4DBDB"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25633F32"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6B7C2473"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148F2DF7"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53E31CA5"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(-3.75)</w:t>
            </w:r>
          </w:p>
        </w:tc>
        <w:tc>
          <w:tcPr>
            <w:tcW w:w="1679" w:type="dxa"/>
            <w:tcBorders>
              <w:top w:val="nil"/>
              <w:left w:val="nil"/>
              <w:bottom w:val="nil"/>
              <w:right w:val="nil"/>
            </w:tcBorders>
            <w:shd w:val="clear" w:color="auto" w:fill="auto"/>
            <w:noWrap/>
            <w:vAlign w:val="bottom"/>
            <w:hideMark/>
          </w:tcPr>
          <w:p w14:paraId="4ACEBD75"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(-2.74)</w:t>
            </w:r>
          </w:p>
        </w:tc>
        <w:tc>
          <w:tcPr>
            <w:tcW w:w="1621" w:type="dxa"/>
            <w:tcBorders>
              <w:top w:val="nil"/>
              <w:left w:val="nil"/>
              <w:bottom w:val="nil"/>
              <w:right w:val="nil"/>
            </w:tcBorders>
            <w:shd w:val="clear" w:color="auto" w:fill="auto"/>
            <w:noWrap/>
            <w:vAlign w:val="bottom"/>
            <w:hideMark/>
          </w:tcPr>
          <w:p w14:paraId="78471156"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5970F64B"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52EB7051" w14:textId="77777777" w:rsidTr="00981208">
        <w:trPr>
          <w:trHeight w:val="292"/>
        </w:trPr>
        <w:tc>
          <w:tcPr>
            <w:tcW w:w="2483" w:type="dxa"/>
            <w:tcBorders>
              <w:top w:val="nil"/>
              <w:left w:val="nil"/>
              <w:bottom w:val="nil"/>
              <w:right w:val="nil"/>
            </w:tcBorders>
            <w:shd w:val="clear" w:color="auto" w:fill="auto"/>
            <w:noWrap/>
            <w:vAlign w:val="bottom"/>
            <w:hideMark/>
          </w:tcPr>
          <w:p w14:paraId="31D40448"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WCM X COMPETITION</w:t>
            </w:r>
          </w:p>
        </w:tc>
        <w:tc>
          <w:tcPr>
            <w:tcW w:w="1480" w:type="dxa"/>
            <w:gridSpan w:val="2"/>
            <w:tcBorders>
              <w:top w:val="nil"/>
              <w:left w:val="nil"/>
              <w:bottom w:val="nil"/>
              <w:right w:val="nil"/>
            </w:tcBorders>
            <w:shd w:val="clear" w:color="auto" w:fill="auto"/>
            <w:noWrap/>
            <w:vAlign w:val="bottom"/>
            <w:hideMark/>
          </w:tcPr>
          <w:p w14:paraId="2DB51AD8"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0.0190***</w:t>
            </w:r>
          </w:p>
        </w:tc>
        <w:tc>
          <w:tcPr>
            <w:tcW w:w="1316" w:type="dxa"/>
            <w:tcBorders>
              <w:top w:val="nil"/>
              <w:left w:val="nil"/>
              <w:bottom w:val="nil"/>
              <w:right w:val="nil"/>
            </w:tcBorders>
            <w:shd w:val="clear" w:color="auto" w:fill="auto"/>
            <w:noWrap/>
            <w:vAlign w:val="bottom"/>
            <w:hideMark/>
          </w:tcPr>
          <w:p w14:paraId="17D39E66"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0.00204*</w:t>
            </w:r>
          </w:p>
        </w:tc>
        <w:tc>
          <w:tcPr>
            <w:tcW w:w="1217" w:type="dxa"/>
            <w:tcBorders>
              <w:top w:val="nil"/>
              <w:left w:val="nil"/>
              <w:bottom w:val="nil"/>
              <w:right w:val="nil"/>
            </w:tcBorders>
            <w:shd w:val="clear" w:color="auto" w:fill="auto"/>
            <w:noWrap/>
            <w:vAlign w:val="bottom"/>
            <w:hideMark/>
          </w:tcPr>
          <w:p w14:paraId="2C705EEF"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6DF6D349"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311476E8"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79225E98"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3693F5E4"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654CEB4A"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738CADC1" w14:textId="77777777" w:rsidTr="00981208">
        <w:trPr>
          <w:trHeight w:val="292"/>
        </w:trPr>
        <w:tc>
          <w:tcPr>
            <w:tcW w:w="2483" w:type="dxa"/>
            <w:tcBorders>
              <w:top w:val="nil"/>
              <w:left w:val="nil"/>
              <w:bottom w:val="nil"/>
              <w:right w:val="nil"/>
            </w:tcBorders>
            <w:shd w:val="clear" w:color="auto" w:fill="auto"/>
            <w:noWrap/>
            <w:vAlign w:val="bottom"/>
            <w:hideMark/>
          </w:tcPr>
          <w:p w14:paraId="2D40A5A0" w14:textId="77777777" w:rsidR="007E7437" w:rsidRPr="005A566B" w:rsidRDefault="007E7437" w:rsidP="007E7437">
            <w:pPr>
              <w:spacing w:after="0" w:line="240" w:lineRule="auto"/>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bottom"/>
            <w:hideMark/>
          </w:tcPr>
          <w:p w14:paraId="241EA891"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(4.68)</w:t>
            </w:r>
          </w:p>
        </w:tc>
        <w:tc>
          <w:tcPr>
            <w:tcW w:w="1316" w:type="dxa"/>
            <w:tcBorders>
              <w:top w:val="nil"/>
              <w:left w:val="nil"/>
              <w:bottom w:val="nil"/>
              <w:right w:val="nil"/>
            </w:tcBorders>
            <w:shd w:val="clear" w:color="auto" w:fill="auto"/>
            <w:noWrap/>
            <w:vAlign w:val="bottom"/>
            <w:hideMark/>
          </w:tcPr>
          <w:p w14:paraId="47359A6B"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(1.96)</w:t>
            </w:r>
          </w:p>
        </w:tc>
        <w:tc>
          <w:tcPr>
            <w:tcW w:w="1217" w:type="dxa"/>
            <w:tcBorders>
              <w:top w:val="nil"/>
              <w:left w:val="nil"/>
              <w:bottom w:val="nil"/>
              <w:right w:val="nil"/>
            </w:tcBorders>
            <w:shd w:val="clear" w:color="auto" w:fill="auto"/>
            <w:noWrap/>
            <w:vAlign w:val="bottom"/>
            <w:hideMark/>
          </w:tcPr>
          <w:p w14:paraId="6E71C93E"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1E424F94"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70F3A493"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4DFD8400"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11BDE3B9"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3CD5DD04"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57C5F054" w14:textId="77777777" w:rsidTr="00981208">
        <w:trPr>
          <w:trHeight w:val="292"/>
        </w:trPr>
        <w:tc>
          <w:tcPr>
            <w:tcW w:w="2483" w:type="dxa"/>
            <w:tcBorders>
              <w:top w:val="nil"/>
              <w:left w:val="nil"/>
              <w:bottom w:val="nil"/>
              <w:right w:val="nil"/>
            </w:tcBorders>
            <w:shd w:val="clear" w:color="auto" w:fill="auto"/>
            <w:noWrap/>
            <w:vAlign w:val="bottom"/>
            <w:hideMark/>
          </w:tcPr>
          <w:p w14:paraId="76F2B401"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WCM X CRISIS</w:t>
            </w:r>
          </w:p>
        </w:tc>
        <w:tc>
          <w:tcPr>
            <w:tcW w:w="1480" w:type="dxa"/>
            <w:gridSpan w:val="2"/>
            <w:tcBorders>
              <w:top w:val="nil"/>
              <w:left w:val="nil"/>
              <w:bottom w:val="nil"/>
              <w:right w:val="nil"/>
            </w:tcBorders>
            <w:shd w:val="clear" w:color="auto" w:fill="auto"/>
            <w:noWrap/>
            <w:vAlign w:val="bottom"/>
            <w:hideMark/>
          </w:tcPr>
          <w:p w14:paraId="57F083F9"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4103B9CE"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46FBDF37"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0.0261**</w:t>
            </w:r>
          </w:p>
        </w:tc>
        <w:tc>
          <w:tcPr>
            <w:tcW w:w="1411" w:type="dxa"/>
            <w:tcBorders>
              <w:top w:val="nil"/>
              <w:left w:val="nil"/>
              <w:bottom w:val="nil"/>
              <w:right w:val="nil"/>
            </w:tcBorders>
            <w:shd w:val="clear" w:color="auto" w:fill="auto"/>
            <w:noWrap/>
            <w:vAlign w:val="bottom"/>
            <w:hideMark/>
          </w:tcPr>
          <w:p w14:paraId="47AF107B"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0.0045**</w:t>
            </w:r>
          </w:p>
        </w:tc>
        <w:tc>
          <w:tcPr>
            <w:tcW w:w="1341" w:type="dxa"/>
            <w:tcBorders>
              <w:top w:val="nil"/>
              <w:left w:val="nil"/>
              <w:bottom w:val="nil"/>
              <w:right w:val="nil"/>
            </w:tcBorders>
            <w:shd w:val="clear" w:color="auto" w:fill="auto"/>
            <w:noWrap/>
            <w:vAlign w:val="bottom"/>
            <w:hideMark/>
          </w:tcPr>
          <w:p w14:paraId="22180DCF"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0FD690D9"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357F95B9"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7A9F9938"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322AC581" w14:textId="77777777" w:rsidTr="00981208">
        <w:trPr>
          <w:trHeight w:val="292"/>
        </w:trPr>
        <w:tc>
          <w:tcPr>
            <w:tcW w:w="2483" w:type="dxa"/>
            <w:tcBorders>
              <w:top w:val="nil"/>
              <w:left w:val="nil"/>
              <w:bottom w:val="nil"/>
              <w:right w:val="nil"/>
            </w:tcBorders>
            <w:shd w:val="clear" w:color="auto" w:fill="auto"/>
            <w:noWrap/>
            <w:vAlign w:val="bottom"/>
            <w:hideMark/>
          </w:tcPr>
          <w:p w14:paraId="5FA1B170" w14:textId="77777777" w:rsidR="007E7437" w:rsidRPr="005A566B" w:rsidRDefault="007E7437" w:rsidP="007E7437">
            <w:pPr>
              <w:spacing w:after="0" w:line="240" w:lineRule="auto"/>
              <w:rPr>
                <w:rFonts w:ascii="Arial" w:eastAsia="Times New Roman" w:hAnsi="Arial" w:cs="Arial"/>
                <w:lang w:eastAsia="en-GB"/>
              </w:rPr>
            </w:pPr>
          </w:p>
        </w:tc>
        <w:tc>
          <w:tcPr>
            <w:tcW w:w="1480" w:type="dxa"/>
            <w:gridSpan w:val="2"/>
            <w:tcBorders>
              <w:top w:val="nil"/>
              <w:left w:val="nil"/>
              <w:bottom w:val="nil"/>
              <w:right w:val="nil"/>
            </w:tcBorders>
            <w:shd w:val="clear" w:color="auto" w:fill="auto"/>
            <w:noWrap/>
            <w:vAlign w:val="bottom"/>
            <w:hideMark/>
          </w:tcPr>
          <w:p w14:paraId="5920F73E"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60B9F264"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5894E39B"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(2.34)</w:t>
            </w:r>
          </w:p>
        </w:tc>
        <w:tc>
          <w:tcPr>
            <w:tcW w:w="1411" w:type="dxa"/>
            <w:tcBorders>
              <w:top w:val="nil"/>
              <w:left w:val="nil"/>
              <w:bottom w:val="nil"/>
              <w:right w:val="nil"/>
            </w:tcBorders>
            <w:shd w:val="clear" w:color="auto" w:fill="auto"/>
            <w:noWrap/>
            <w:vAlign w:val="bottom"/>
            <w:hideMark/>
          </w:tcPr>
          <w:p w14:paraId="62ECA61F"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(2.28)</w:t>
            </w:r>
          </w:p>
        </w:tc>
        <w:tc>
          <w:tcPr>
            <w:tcW w:w="1341" w:type="dxa"/>
            <w:tcBorders>
              <w:top w:val="nil"/>
              <w:left w:val="nil"/>
              <w:bottom w:val="nil"/>
              <w:right w:val="nil"/>
            </w:tcBorders>
            <w:shd w:val="clear" w:color="auto" w:fill="auto"/>
            <w:noWrap/>
            <w:vAlign w:val="bottom"/>
            <w:hideMark/>
          </w:tcPr>
          <w:p w14:paraId="2BADD3EC"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46A7C459"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2D246C57"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695D0F8F"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391A6008" w14:textId="77777777" w:rsidTr="00981208">
        <w:trPr>
          <w:trHeight w:val="292"/>
        </w:trPr>
        <w:tc>
          <w:tcPr>
            <w:tcW w:w="3963" w:type="dxa"/>
            <w:gridSpan w:val="3"/>
            <w:tcBorders>
              <w:top w:val="nil"/>
              <w:left w:val="nil"/>
              <w:bottom w:val="nil"/>
              <w:right w:val="nil"/>
            </w:tcBorders>
            <w:shd w:val="clear" w:color="auto" w:fill="auto"/>
            <w:noWrap/>
            <w:vAlign w:val="bottom"/>
            <w:hideMark/>
          </w:tcPr>
          <w:p w14:paraId="2DE7B690"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WCM X CEO</w:t>
            </w:r>
            <w:r w:rsidR="00504D91" w:rsidRPr="005A566B">
              <w:rPr>
                <w:rFonts w:ascii="Arial" w:eastAsia="Times New Roman" w:hAnsi="Arial" w:cs="Arial"/>
                <w:lang w:eastAsia="en-GB"/>
              </w:rPr>
              <w:t xml:space="preserve"> </w:t>
            </w:r>
            <w:r w:rsidRPr="005A566B">
              <w:rPr>
                <w:rFonts w:ascii="Arial" w:eastAsia="Times New Roman" w:hAnsi="Arial" w:cs="Arial"/>
                <w:lang w:eastAsia="en-GB"/>
              </w:rPr>
              <w:t>POWER</w:t>
            </w:r>
          </w:p>
        </w:tc>
        <w:tc>
          <w:tcPr>
            <w:tcW w:w="1316" w:type="dxa"/>
            <w:tcBorders>
              <w:top w:val="nil"/>
              <w:left w:val="nil"/>
              <w:bottom w:val="nil"/>
              <w:right w:val="nil"/>
            </w:tcBorders>
            <w:shd w:val="clear" w:color="auto" w:fill="auto"/>
            <w:noWrap/>
            <w:vAlign w:val="bottom"/>
            <w:hideMark/>
          </w:tcPr>
          <w:p w14:paraId="2D537DD7"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770F7E8A"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28766161"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608299C8"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0D527BCE"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306441C3"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0.189***</w:t>
            </w:r>
          </w:p>
        </w:tc>
        <w:tc>
          <w:tcPr>
            <w:tcW w:w="2242" w:type="dxa"/>
            <w:gridSpan w:val="2"/>
            <w:tcBorders>
              <w:top w:val="nil"/>
              <w:left w:val="nil"/>
              <w:bottom w:val="nil"/>
              <w:right w:val="nil"/>
            </w:tcBorders>
            <w:shd w:val="clear" w:color="auto" w:fill="auto"/>
            <w:noWrap/>
            <w:vAlign w:val="bottom"/>
            <w:hideMark/>
          </w:tcPr>
          <w:p w14:paraId="113BAAF6"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0.0207**</w:t>
            </w:r>
          </w:p>
        </w:tc>
      </w:tr>
      <w:tr w:rsidR="007E7437" w:rsidRPr="005A566B" w14:paraId="4F73E758" w14:textId="77777777" w:rsidTr="007E7437">
        <w:trPr>
          <w:trHeight w:val="292"/>
        </w:trPr>
        <w:tc>
          <w:tcPr>
            <w:tcW w:w="2809" w:type="dxa"/>
            <w:gridSpan w:val="2"/>
            <w:tcBorders>
              <w:top w:val="nil"/>
              <w:left w:val="nil"/>
              <w:bottom w:val="nil"/>
              <w:right w:val="nil"/>
            </w:tcBorders>
            <w:shd w:val="clear" w:color="auto" w:fill="auto"/>
            <w:noWrap/>
            <w:vAlign w:val="bottom"/>
            <w:hideMark/>
          </w:tcPr>
          <w:p w14:paraId="43E2E361" w14:textId="77777777" w:rsidR="007E7437" w:rsidRPr="005A566B" w:rsidRDefault="007E7437" w:rsidP="007E7437">
            <w:pPr>
              <w:spacing w:after="0" w:line="240" w:lineRule="auto"/>
              <w:jc w:val="center"/>
              <w:rPr>
                <w:rFonts w:ascii="Arial" w:eastAsia="Times New Roman" w:hAnsi="Arial" w:cs="Arial"/>
                <w:lang w:eastAsia="en-GB"/>
              </w:rPr>
            </w:pPr>
          </w:p>
        </w:tc>
        <w:tc>
          <w:tcPr>
            <w:tcW w:w="1154" w:type="dxa"/>
            <w:tcBorders>
              <w:top w:val="nil"/>
              <w:left w:val="nil"/>
              <w:bottom w:val="nil"/>
              <w:right w:val="nil"/>
            </w:tcBorders>
            <w:shd w:val="clear" w:color="auto" w:fill="auto"/>
            <w:noWrap/>
            <w:vAlign w:val="bottom"/>
            <w:hideMark/>
          </w:tcPr>
          <w:p w14:paraId="7239DD39"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30E8BD82"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6BBAE9FC"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7CAF4681"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6B30BAAC" w14:textId="77777777" w:rsidR="007E7437" w:rsidRPr="005A566B" w:rsidRDefault="007E7437" w:rsidP="007E7437">
            <w:pPr>
              <w:spacing w:after="0" w:line="240" w:lineRule="auto"/>
              <w:jc w:val="center"/>
              <w:rPr>
                <w:rFonts w:ascii="Arial" w:eastAsia="Times New Roman" w:hAnsi="Arial" w:cs="Arial"/>
                <w:lang w:eastAsia="en-GB"/>
              </w:rPr>
            </w:pPr>
          </w:p>
        </w:tc>
        <w:tc>
          <w:tcPr>
            <w:tcW w:w="1679" w:type="dxa"/>
            <w:tcBorders>
              <w:top w:val="nil"/>
              <w:left w:val="nil"/>
              <w:bottom w:val="nil"/>
              <w:right w:val="nil"/>
            </w:tcBorders>
            <w:shd w:val="clear" w:color="auto" w:fill="auto"/>
            <w:noWrap/>
            <w:vAlign w:val="bottom"/>
            <w:hideMark/>
          </w:tcPr>
          <w:p w14:paraId="47764368" w14:textId="77777777" w:rsidR="007E7437" w:rsidRPr="005A566B" w:rsidRDefault="007E7437" w:rsidP="007E7437">
            <w:pPr>
              <w:spacing w:after="0" w:line="240" w:lineRule="auto"/>
              <w:jc w:val="center"/>
              <w:rPr>
                <w:rFonts w:ascii="Arial" w:eastAsia="Times New Roman" w:hAnsi="Arial" w:cs="Arial"/>
                <w:lang w:eastAsia="en-GB"/>
              </w:rPr>
            </w:pPr>
          </w:p>
        </w:tc>
        <w:tc>
          <w:tcPr>
            <w:tcW w:w="1621" w:type="dxa"/>
            <w:tcBorders>
              <w:top w:val="nil"/>
              <w:left w:val="nil"/>
              <w:bottom w:val="nil"/>
              <w:right w:val="nil"/>
            </w:tcBorders>
            <w:shd w:val="clear" w:color="auto" w:fill="auto"/>
            <w:noWrap/>
            <w:vAlign w:val="bottom"/>
            <w:hideMark/>
          </w:tcPr>
          <w:p w14:paraId="1F04CE6A"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(3.04)</w:t>
            </w:r>
          </w:p>
        </w:tc>
        <w:tc>
          <w:tcPr>
            <w:tcW w:w="2242" w:type="dxa"/>
            <w:gridSpan w:val="2"/>
            <w:tcBorders>
              <w:top w:val="nil"/>
              <w:left w:val="nil"/>
              <w:bottom w:val="nil"/>
              <w:right w:val="nil"/>
            </w:tcBorders>
            <w:shd w:val="clear" w:color="auto" w:fill="auto"/>
            <w:noWrap/>
            <w:vAlign w:val="bottom"/>
            <w:hideMark/>
          </w:tcPr>
          <w:p w14:paraId="166F85FD"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(2.03)</w:t>
            </w:r>
          </w:p>
        </w:tc>
      </w:tr>
      <w:tr w:rsidR="007E7437" w:rsidRPr="005A566B" w14:paraId="69655BDD" w14:textId="77777777" w:rsidTr="007E7437">
        <w:trPr>
          <w:trHeight w:val="292"/>
        </w:trPr>
        <w:tc>
          <w:tcPr>
            <w:tcW w:w="2809" w:type="dxa"/>
            <w:gridSpan w:val="2"/>
            <w:tcBorders>
              <w:top w:val="nil"/>
              <w:left w:val="nil"/>
              <w:bottom w:val="nil"/>
              <w:right w:val="nil"/>
            </w:tcBorders>
            <w:shd w:val="clear" w:color="auto" w:fill="auto"/>
            <w:noWrap/>
            <w:vAlign w:val="bottom"/>
            <w:hideMark/>
          </w:tcPr>
          <w:p w14:paraId="2C7EE9CB"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WCM X SIZE</w:t>
            </w:r>
          </w:p>
        </w:tc>
        <w:tc>
          <w:tcPr>
            <w:tcW w:w="1154" w:type="dxa"/>
            <w:tcBorders>
              <w:top w:val="nil"/>
              <w:left w:val="nil"/>
              <w:bottom w:val="nil"/>
              <w:right w:val="nil"/>
            </w:tcBorders>
            <w:shd w:val="clear" w:color="auto" w:fill="auto"/>
            <w:noWrap/>
            <w:vAlign w:val="bottom"/>
            <w:hideMark/>
          </w:tcPr>
          <w:p w14:paraId="1BDBEDE2"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5F41C879"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79B4ADD5"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237DC974"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2BA63165"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0.0228**</w:t>
            </w:r>
          </w:p>
        </w:tc>
        <w:tc>
          <w:tcPr>
            <w:tcW w:w="1679" w:type="dxa"/>
            <w:tcBorders>
              <w:top w:val="nil"/>
              <w:left w:val="nil"/>
              <w:bottom w:val="nil"/>
              <w:right w:val="nil"/>
            </w:tcBorders>
            <w:shd w:val="clear" w:color="auto" w:fill="auto"/>
            <w:noWrap/>
            <w:vAlign w:val="bottom"/>
            <w:hideMark/>
          </w:tcPr>
          <w:p w14:paraId="21C1C9C2"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0.0220***</w:t>
            </w:r>
          </w:p>
        </w:tc>
        <w:tc>
          <w:tcPr>
            <w:tcW w:w="1621" w:type="dxa"/>
            <w:tcBorders>
              <w:top w:val="nil"/>
              <w:left w:val="nil"/>
              <w:bottom w:val="nil"/>
              <w:right w:val="nil"/>
            </w:tcBorders>
            <w:shd w:val="clear" w:color="auto" w:fill="auto"/>
            <w:noWrap/>
            <w:vAlign w:val="bottom"/>
            <w:hideMark/>
          </w:tcPr>
          <w:p w14:paraId="2265D7B1"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38106E54" w14:textId="77777777" w:rsidR="007E7437" w:rsidRPr="005A566B" w:rsidRDefault="007E7437" w:rsidP="007E7437">
            <w:pPr>
              <w:spacing w:after="0" w:line="240" w:lineRule="auto"/>
              <w:jc w:val="center"/>
              <w:rPr>
                <w:rFonts w:ascii="Arial" w:eastAsia="Times New Roman" w:hAnsi="Arial" w:cs="Arial"/>
                <w:lang w:eastAsia="en-GB"/>
              </w:rPr>
            </w:pPr>
          </w:p>
        </w:tc>
      </w:tr>
      <w:tr w:rsidR="007E7437" w:rsidRPr="005A566B" w14:paraId="0565A73A" w14:textId="77777777" w:rsidTr="007E7437">
        <w:trPr>
          <w:trHeight w:val="292"/>
        </w:trPr>
        <w:tc>
          <w:tcPr>
            <w:tcW w:w="2809" w:type="dxa"/>
            <w:gridSpan w:val="2"/>
            <w:tcBorders>
              <w:top w:val="nil"/>
              <w:left w:val="nil"/>
              <w:bottom w:val="nil"/>
              <w:right w:val="nil"/>
            </w:tcBorders>
            <w:shd w:val="clear" w:color="auto" w:fill="auto"/>
            <w:noWrap/>
            <w:vAlign w:val="bottom"/>
            <w:hideMark/>
          </w:tcPr>
          <w:p w14:paraId="708214D5" w14:textId="77777777" w:rsidR="007E7437" w:rsidRPr="005A566B" w:rsidRDefault="007E7437" w:rsidP="007E7437">
            <w:pPr>
              <w:spacing w:after="0" w:line="240" w:lineRule="auto"/>
              <w:jc w:val="center"/>
              <w:rPr>
                <w:rFonts w:ascii="Arial" w:eastAsia="Times New Roman" w:hAnsi="Arial" w:cs="Arial"/>
                <w:lang w:eastAsia="en-GB"/>
              </w:rPr>
            </w:pPr>
          </w:p>
        </w:tc>
        <w:tc>
          <w:tcPr>
            <w:tcW w:w="1154" w:type="dxa"/>
            <w:tcBorders>
              <w:top w:val="nil"/>
              <w:left w:val="nil"/>
              <w:bottom w:val="nil"/>
              <w:right w:val="nil"/>
            </w:tcBorders>
            <w:shd w:val="clear" w:color="auto" w:fill="auto"/>
            <w:noWrap/>
            <w:vAlign w:val="bottom"/>
            <w:hideMark/>
          </w:tcPr>
          <w:p w14:paraId="496630A1" w14:textId="77777777" w:rsidR="007E7437" w:rsidRPr="005A566B" w:rsidRDefault="007E7437" w:rsidP="007E7437">
            <w:pPr>
              <w:spacing w:after="0" w:line="240" w:lineRule="auto"/>
              <w:jc w:val="center"/>
              <w:rPr>
                <w:rFonts w:ascii="Arial" w:eastAsia="Times New Roman" w:hAnsi="Arial" w:cs="Arial"/>
                <w:lang w:eastAsia="en-GB"/>
              </w:rPr>
            </w:pPr>
          </w:p>
        </w:tc>
        <w:tc>
          <w:tcPr>
            <w:tcW w:w="1316" w:type="dxa"/>
            <w:tcBorders>
              <w:top w:val="nil"/>
              <w:left w:val="nil"/>
              <w:bottom w:val="nil"/>
              <w:right w:val="nil"/>
            </w:tcBorders>
            <w:shd w:val="clear" w:color="auto" w:fill="auto"/>
            <w:noWrap/>
            <w:vAlign w:val="bottom"/>
            <w:hideMark/>
          </w:tcPr>
          <w:p w14:paraId="70647710" w14:textId="77777777" w:rsidR="007E7437" w:rsidRPr="005A566B" w:rsidRDefault="007E7437" w:rsidP="007E7437">
            <w:pPr>
              <w:spacing w:after="0" w:line="240" w:lineRule="auto"/>
              <w:jc w:val="center"/>
              <w:rPr>
                <w:rFonts w:ascii="Arial" w:eastAsia="Times New Roman" w:hAnsi="Arial" w:cs="Arial"/>
                <w:lang w:eastAsia="en-GB"/>
              </w:rPr>
            </w:pPr>
          </w:p>
        </w:tc>
        <w:tc>
          <w:tcPr>
            <w:tcW w:w="1217" w:type="dxa"/>
            <w:tcBorders>
              <w:top w:val="nil"/>
              <w:left w:val="nil"/>
              <w:bottom w:val="nil"/>
              <w:right w:val="nil"/>
            </w:tcBorders>
            <w:shd w:val="clear" w:color="auto" w:fill="auto"/>
            <w:noWrap/>
            <w:vAlign w:val="bottom"/>
            <w:hideMark/>
          </w:tcPr>
          <w:p w14:paraId="59389433" w14:textId="77777777" w:rsidR="007E7437" w:rsidRPr="005A566B" w:rsidRDefault="007E7437" w:rsidP="007E7437">
            <w:pPr>
              <w:spacing w:after="0" w:line="240" w:lineRule="auto"/>
              <w:jc w:val="center"/>
              <w:rPr>
                <w:rFonts w:ascii="Arial" w:eastAsia="Times New Roman" w:hAnsi="Arial" w:cs="Arial"/>
                <w:lang w:eastAsia="en-GB"/>
              </w:rPr>
            </w:pPr>
          </w:p>
        </w:tc>
        <w:tc>
          <w:tcPr>
            <w:tcW w:w="1411" w:type="dxa"/>
            <w:tcBorders>
              <w:top w:val="nil"/>
              <w:left w:val="nil"/>
              <w:bottom w:val="nil"/>
              <w:right w:val="nil"/>
            </w:tcBorders>
            <w:shd w:val="clear" w:color="auto" w:fill="auto"/>
            <w:noWrap/>
            <w:vAlign w:val="bottom"/>
            <w:hideMark/>
          </w:tcPr>
          <w:p w14:paraId="6A9A5E3D" w14:textId="77777777" w:rsidR="007E7437" w:rsidRPr="005A566B" w:rsidRDefault="007E7437" w:rsidP="007E7437">
            <w:pPr>
              <w:spacing w:after="0" w:line="240" w:lineRule="auto"/>
              <w:jc w:val="center"/>
              <w:rPr>
                <w:rFonts w:ascii="Arial" w:eastAsia="Times New Roman" w:hAnsi="Arial" w:cs="Arial"/>
                <w:lang w:eastAsia="en-GB"/>
              </w:rPr>
            </w:pPr>
          </w:p>
        </w:tc>
        <w:tc>
          <w:tcPr>
            <w:tcW w:w="1341" w:type="dxa"/>
            <w:tcBorders>
              <w:top w:val="nil"/>
              <w:left w:val="nil"/>
              <w:bottom w:val="nil"/>
              <w:right w:val="nil"/>
            </w:tcBorders>
            <w:shd w:val="clear" w:color="auto" w:fill="auto"/>
            <w:noWrap/>
            <w:vAlign w:val="bottom"/>
            <w:hideMark/>
          </w:tcPr>
          <w:p w14:paraId="3F1E31B6"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(2.13)</w:t>
            </w:r>
          </w:p>
        </w:tc>
        <w:tc>
          <w:tcPr>
            <w:tcW w:w="1679" w:type="dxa"/>
            <w:tcBorders>
              <w:top w:val="nil"/>
              <w:left w:val="nil"/>
              <w:bottom w:val="nil"/>
              <w:right w:val="nil"/>
            </w:tcBorders>
            <w:shd w:val="clear" w:color="auto" w:fill="auto"/>
            <w:noWrap/>
            <w:vAlign w:val="bottom"/>
            <w:hideMark/>
          </w:tcPr>
          <w:p w14:paraId="0465EE02"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(4.08)</w:t>
            </w:r>
          </w:p>
        </w:tc>
        <w:tc>
          <w:tcPr>
            <w:tcW w:w="1621" w:type="dxa"/>
            <w:tcBorders>
              <w:top w:val="nil"/>
              <w:left w:val="nil"/>
              <w:bottom w:val="nil"/>
              <w:right w:val="nil"/>
            </w:tcBorders>
            <w:shd w:val="clear" w:color="auto" w:fill="auto"/>
            <w:noWrap/>
            <w:vAlign w:val="bottom"/>
            <w:hideMark/>
          </w:tcPr>
          <w:p w14:paraId="556882DD" w14:textId="77777777" w:rsidR="007E7437" w:rsidRPr="005A566B" w:rsidRDefault="007E7437" w:rsidP="007E7437">
            <w:pPr>
              <w:spacing w:after="0" w:line="240" w:lineRule="auto"/>
              <w:jc w:val="center"/>
              <w:rPr>
                <w:rFonts w:ascii="Arial" w:eastAsia="Times New Roman" w:hAnsi="Arial" w:cs="Arial"/>
                <w:lang w:eastAsia="en-GB"/>
              </w:rPr>
            </w:pPr>
          </w:p>
        </w:tc>
        <w:tc>
          <w:tcPr>
            <w:tcW w:w="2242" w:type="dxa"/>
            <w:gridSpan w:val="2"/>
            <w:tcBorders>
              <w:top w:val="nil"/>
              <w:left w:val="nil"/>
              <w:bottom w:val="nil"/>
              <w:right w:val="nil"/>
            </w:tcBorders>
            <w:shd w:val="clear" w:color="auto" w:fill="auto"/>
            <w:noWrap/>
            <w:vAlign w:val="bottom"/>
            <w:hideMark/>
          </w:tcPr>
          <w:p w14:paraId="257144B5" w14:textId="77777777" w:rsidR="007E7437" w:rsidRPr="005A566B" w:rsidRDefault="007E7437" w:rsidP="007E7437">
            <w:pPr>
              <w:spacing w:after="0" w:line="240" w:lineRule="auto"/>
              <w:jc w:val="center"/>
              <w:rPr>
                <w:rFonts w:ascii="Arial" w:eastAsia="Times New Roman" w:hAnsi="Arial" w:cs="Arial"/>
                <w:lang w:eastAsia="en-GB"/>
              </w:rPr>
            </w:pPr>
          </w:p>
        </w:tc>
      </w:tr>
      <w:tr w:rsidR="000F3BE0" w:rsidRPr="005A566B" w14:paraId="6EFB8F35" w14:textId="77777777" w:rsidTr="007E7437">
        <w:trPr>
          <w:trHeight w:val="292"/>
        </w:trPr>
        <w:tc>
          <w:tcPr>
            <w:tcW w:w="2809" w:type="dxa"/>
            <w:gridSpan w:val="2"/>
            <w:tcBorders>
              <w:top w:val="nil"/>
              <w:left w:val="nil"/>
              <w:bottom w:val="nil"/>
              <w:right w:val="nil"/>
            </w:tcBorders>
            <w:shd w:val="clear" w:color="auto" w:fill="auto"/>
            <w:noWrap/>
            <w:vAlign w:val="bottom"/>
            <w:hideMark/>
          </w:tcPr>
          <w:p w14:paraId="27CD1CE3" w14:textId="77777777" w:rsidR="000F3BE0" w:rsidRPr="005A566B" w:rsidRDefault="000F3BE0"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OBSERVATIONS</w:t>
            </w:r>
          </w:p>
        </w:tc>
        <w:tc>
          <w:tcPr>
            <w:tcW w:w="1154" w:type="dxa"/>
            <w:tcBorders>
              <w:top w:val="nil"/>
              <w:left w:val="nil"/>
              <w:bottom w:val="nil"/>
              <w:right w:val="nil"/>
            </w:tcBorders>
            <w:shd w:val="clear" w:color="auto" w:fill="auto"/>
            <w:noWrap/>
            <w:vAlign w:val="bottom"/>
            <w:hideMark/>
          </w:tcPr>
          <w:p w14:paraId="02D9E884" w14:textId="02460C5D" w:rsidR="000F3BE0" w:rsidRPr="005A566B" w:rsidRDefault="000F3BE0"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316" w:type="dxa"/>
            <w:tcBorders>
              <w:top w:val="nil"/>
              <w:left w:val="nil"/>
              <w:bottom w:val="nil"/>
              <w:right w:val="nil"/>
            </w:tcBorders>
            <w:shd w:val="clear" w:color="auto" w:fill="auto"/>
            <w:noWrap/>
            <w:vAlign w:val="bottom"/>
            <w:hideMark/>
          </w:tcPr>
          <w:p w14:paraId="7CB9BE55" w14:textId="5454F119" w:rsidR="000F3BE0" w:rsidRPr="005A566B" w:rsidRDefault="000F3BE0"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217" w:type="dxa"/>
            <w:tcBorders>
              <w:top w:val="nil"/>
              <w:left w:val="nil"/>
              <w:bottom w:val="nil"/>
              <w:right w:val="nil"/>
            </w:tcBorders>
            <w:shd w:val="clear" w:color="auto" w:fill="auto"/>
            <w:noWrap/>
            <w:vAlign w:val="bottom"/>
            <w:hideMark/>
          </w:tcPr>
          <w:p w14:paraId="7CC7AD6D" w14:textId="59B23775" w:rsidR="000F3BE0" w:rsidRPr="005A566B" w:rsidRDefault="000F3BE0"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411" w:type="dxa"/>
            <w:tcBorders>
              <w:top w:val="nil"/>
              <w:left w:val="nil"/>
              <w:bottom w:val="nil"/>
              <w:right w:val="nil"/>
            </w:tcBorders>
            <w:shd w:val="clear" w:color="auto" w:fill="auto"/>
            <w:noWrap/>
            <w:vAlign w:val="bottom"/>
            <w:hideMark/>
          </w:tcPr>
          <w:p w14:paraId="13552AC2" w14:textId="25065926" w:rsidR="000F3BE0" w:rsidRPr="005A566B" w:rsidRDefault="000F3BE0"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341" w:type="dxa"/>
            <w:tcBorders>
              <w:top w:val="nil"/>
              <w:left w:val="nil"/>
              <w:bottom w:val="nil"/>
              <w:right w:val="nil"/>
            </w:tcBorders>
            <w:shd w:val="clear" w:color="auto" w:fill="auto"/>
            <w:noWrap/>
            <w:vAlign w:val="bottom"/>
            <w:hideMark/>
          </w:tcPr>
          <w:p w14:paraId="45560734" w14:textId="7F96D1E1" w:rsidR="000F3BE0" w:rsidRPr="005A566B" w:rsidRDefault="000F3BE0"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679" w:type="dxa"/>
            <w:tcBorders>
              <w:top w:val="nil"/>
              <w:left w:val="nil"/>
              <w:bottom w:val="nil"/>
              <w:right w:val="nil"/>
            </w:tcBorders>
            <w:shd w:val="clear" w:color="auto" w:fill="auto"/>
            <w:noWrap/>
            <w:vAlign w:val="bottom"/>
            <w:hideMark/>
          </w:tcPr>
          <w:p w14:paraId="105F2E9C" w14:textId="57FEA517" w:rsidR="000F3BE0" w:rsidRPr="005A566B" w:rsidRDefault="000F3BE0"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1621" w:type="dxa"/>
            <w:tcBorders>
              <w:top w:val="nil"/>
              <w:left w:val="nil"/>
              <w:bottom w:val="nil"/>
              <w:right w:val="nil"/>
            </w:tcBorders>
            <w:shd w:val="clear" w:color="auto" w:fill="auto"/>
            <w:noWrap/>
            <w:vAlign w:val="bottom"/>
            <w:hideMark/>
          </w:tcPr>
          <w:p w14:paraId="2E8BCC8C" w14:textId="5F10430A" w:rsidR="000F3BE0" w:rsidRPr="005A566B" w:rsidRDefault="000F3BE0"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c>
          <w:tcPr>
            <w:tcW w:w="2242" w:type="dxa"/>
            <w:gridSpan w:val="2"/>
            <w:tcBorders>
              <w:top w:val="nil"/>
              <w:left w:val="nil"/>
              <w:bottom w:val="nil"/>
              <w:right w:val="nil"/>
            </w:tcBorders>
            <w:shd w:val="clear" w:color="auto" w:fill="auto"/>
            <w:noWrap/>
            <w:vAlign w:val="bottom"/>
            <w:hideMark/>
          </w:tcPr>
          <w:p w14:paraId="4432E157" w14:textId="0DE8AEC0" w:rsidR="000F3BE0" w:rsidRPr="005A566B" w:rsidRDefault="000F3BE0"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5,845</w:t>
            </w:r>
          </w:p>
        </w:tc>
      </w:tr>
      <w:tr w:rsidR="007E7437" w:rsidRPr="005A566B" w14:paraId="08EDCADC" w14:textId="77777777" w:rsidTr="007E7437">
        <w:trPr>
          <w:trHeight w:val="292"/>
        </w:trPr>
        <w:tc>
          <w:tcPr>
            <w:tcW w:w="2809" w:type="dxa"/>
            <w:gridSpan w:val="2"/>
            <w:tcBorders>
              <w:top w:val="nil"/>
              <w:left w:val="nil"/>
              <w:bottom w:val="nil"/>
              <w:right w:val="nil"/>
            </w:tcBorders>
            <w:shd w:val="clear" w:color="auto" w:fill="auto"/>
            <w:noWrap/>
            <w:vAlign w:val="bottom"/>
          </w:tcPr>
          <w:p w14:paraId="43B1E4D5" w14:textId="77777777" w:rsidR="007E7437" w:rsidRPr="005A566B" w:rsidRDefault="007E7437" w:rsidP="007E7437">
            <w:pPr>
              <w:spacing w:after="0" w:line="240" w:lineRule="auto"/>
              <w:rPr>
                <w:rFonts w:ascii="Arial" w:eastAsia="Times New Roman" w:hAnsi="Arial" w:cs="Arial"/>
                <w:lang w:eastAsia="en-GB"/>
              </w:rPr>
            </w:pPr>
            <w:bookmarkStart w:id="311" w:name="OLE_LINK180"/>
            <w:bookmarkStart w:id="312" w:name="OLE_LINK181"/>
            <w:bookmarkStart w:id="313" w:name="OLE_LINK182"/>
            <w:r w:rsidRPr="005A566B">
              <w:rPr>
                <w:rFonts w:ascii="Arial" w:eastAsia="Times New Roman" w:hAnsi="Arial" w:cs="Arial"/>
                <w:lang w:eastAsia="en-GB"/>
              </w:rPr>
              <w:t>CONTROL VARIABLES</w:t>
            </w:r>
          </w:p>
          <w:bookmarkEnd w:id="311"/>
          <w:bookmarkEnd w:id="312"/>
          <w:bookmarkEnd w:id="313"/>
          <w:p w14:paraId="1AA48D88" w14:textId="77777777" w:rsidR="007E7437" w:rsidRPr="005A566B" w:rsidRDefault="007E7437" w:rsidP="007E7437">
            <w:pPr>
              <w:spacing w:after="0" w:line="240" w:lineRule="auto"/>
              <w:jc w:val="center"/>
              <w:rPr>
                <w:rFonts w:ascii="Arial" w:eastAsia="Times New Roman" w:hAnsi="Arial" w:cs="Arial"/>
                <w:lang w:eastAsia="en-GB"/>
              </w:rPr>
            </w:pPr>
          </w:p>
        </w:tc>
        <w:tc>
          <w:tcPr>
            <w:tcW w:w="1154" w:type="dxa"/>
            <w:tcBorders>
              <w:top w:val="nil"/>
              <w:left w:val="nil"/>
              <w:bottom w:val="nil"/>
              <w:right w:val="nil"/>
            </w:tcBorders>
            <w:shd w:val="clear" w:color="auto" w:fill="auto"/>
            <w:noWrap/>
            <w:vAlign w:val="bottom"/>
          </w:tcPr>
          <w:p w14:paraId="35D65F31"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316" w:type="dxa"/>
            <w:tcBorders>
              <w:top w:val="nil"/>
              <w:left w:val="nil"/>
              <w:bottom w:val="nil"/>
              <w:right w:val="nil"/>
            </w:tcBorders>
            <w:shd w:val="clear" w:color="auto" w:fill="auto"/>
            <w:noWrap/>
            <w:vAlign w:val="bottom"/>
          </w:tcPr>
          <w:p w14:paraId="7C0EAAE5"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217" w:type="dxa"/>
            <w:tcBorders>
              <w:top w:val="nil"/>
              <w:left w:val="nil"/>
              <w:bottom w:val="nil"/>
              <w:right w:val="nil"/>
            </w:tcBorders>
            <w:shd w:val="clear" w:color="auto" w:fill="auto"/>
            <w:noWrap/>
            <w:vAlign w:val="bottom"/>
          </w:tcPr>
          <w:p w14:paraId="59BF1A10"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411" w:type="dxa"/>
            <w:tcBorders>
              <w:top w:val="nil"/>
              <w:left w:val="nil"/>
              <w:bottom w:val="nil"/>
              <w:right w:val="nil"/>
            </w:tcBorders>
            <w:shd w:val="clear" w:color="auto" w:fill="auto"/>
            <w:noWrap/>
            <w:vAlign w:val="bottom"/>
          </w:tcPr>
          <w:p w14:paraId="1357AFDB"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341" w:type="dxa"/>
            <w:tcBorders>
              <w:top w:val="nil"/>
              <w:left w:val="nil"/>
              <w:bottom w:val="nil"/>
              <w:right w:val="nil"/>
            </w:tcBorders>
            <w:shd w:val="clear" w:color="auto" w:fill="auto"/>
            <w:noWrap/>
            <w:vAlign w:val="bottom"/>
          </w:tcPr>
          <w:p w14:paraId="26022872"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79" w:type="dxa"/>
            <w:tcBorders>
              <w:top w:val="nil"/>
              <w:left w:val="nil"/>
              <w:bottom w:val="nil"/>
              <w:right w:val="nil"/>
            </w:tcBorders>
            <w:shd w:val="clear" w:color="auto" w:fill="auto"/>
            <w:noWrap/>
            <w:vAlign w:val="bottom"/>
          </w:tcPr>
          <w:p w14:paraId="3BD6669F"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21" w:type="dxa"/>
            <w:tcBorders>
              <w:top w:val="nil"/>
              <w:left w:val="nil"/>
              <w:bottom w:val="nil"/>
              <w:right w:val="nil"/>
            </w:tcBorders>
            <w:shd w:val="clear" w:color="auto" w:fill="auto"/>
            <w:noWrap/>
            <w:vAlign w:val="bottom"/>
          </w:tcPr>
          <w:p w14:paraId="2B2BA6FF"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2242" w:type="dxa"/>
            <w:gridSpan w:val="2"/>
            <w:tcBorders>
              <w:top w:val="nil"/>
              <w:left w:val="nil"/>
              <w:bottom w:val="nil"/>
              <w:right w:val="nil"/>
            </w:tcBorders>
            <w:shd w:val="clear" w:color="auto" w:fill="auto"/>
            <w:noWrap/>
            <w:vAlign w:val="bottom"/>
          </w:tcPr>
          <w:p w14:paraId="44B2582F"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7E7437" w:rsidRPr="005A566B" w14:paraId="587E3A68" w14:textId="77777777" w:rsidTr="007E7437">
        <w:trPr>
          <w:trHeight w:val="292"/>
        </w:trPr>
        <w:tc>
          <w:tcPr>
            <w:tcW w:w="2809" w:type="dxa"/>
            <w:gridSpan w:val="2"/>
            <w:tcBorders>
              <w:top w:val="nil"/>
              <w:left w:val="nil"/>
              <w:bottom w:val="nil"/>
              <w:right w:val="nil"/>
            </w:tcBorders>
            <w:shd w:val="clear" w:color="auto" w:fill="auto"/>
            <w:noWrap/>
            <w:vAlign w:val="bottom"/>
            <w:hideMark/>
          </w:tcPr>
          <w:p w14:paraId="258C0DD9"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lastRenderedPageBreak/>
              <w:t>FIRM-AND YEAR FIXED EFFECTS</w:t>
            </w:r>
          </w:p>
        </w:tc>
        <w:tc>
          <w:tcPr>
            <w:tcW w:w="1154" w:type="dxa"/>
            <w:tcBorders>
              <w:top w:val="nil"/>
              <w:left w:val="nil"/>
              <w:bottom w:val="nil"/>
              <w:right w:val="nil"/>
            </w:tcBorders>
            <w:shd w:val="clear" w:color="auto" w:fill="auto"/>
            <w:noWrap/>
            <w:vAlign w:val="bottom"/>
            <w:hideMark/>
          </w:tcPr>
          <w:p w14:paraId="08FC12F4"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316" w:type="dxa"/>
            <w:tcBorders>
              <w:top w:val="nil"/>
              <w:left w:val="nil"/>
              <w:bottom w:val="nil"/>
              <w:right w:val="nil"/>
            </w:tcBorders>
            <w:shd w:val="clear" w:color="auto" w:fill="auto"/>
            <w:noWrap/>
            <w:vAlign w:val="bottom"/>
            <w:hideMark/>
          </w:tcPr>
          <w:p w14:paraId="496FDB4E"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217" w:type="dxa"/>
            <w:tcBorders>
              <w:top w:val="nil"/>
              <w:left w:val="nil"/>
              <w:bottom w:val="nil"/>
              <w:right w:val="nil"/>
            </w:tcBorders>
            <w:shd w:val="clear" w:color="auto" w:fill="auto"/>
            <w:noWrap/>
            <w:vAlign w:val="bottom"/>
            <w:hideMark/>
          </w:tcPr>
          <w:p w14:paraId="633D0FCF"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411" w:type="dxa"/>
            <w:tcBorders>
              <w:top w:val="nil"/>
              <w:left w:val="nil"/>
              <w:bottom w:val="nil"/>
              <w:right w:val="nil"/>
            </w:tcBorders>
            <w:shd w:val="clear" w:color="auto" w:fill="auto"/>
            <w:noWrap/>
            <w:vAlign w:val="bottom"/>
            <w:hideMark/>
          </w:tcPr>
          <w:p w14:paraId="38945530"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341" w:type="dxa"/>
            <w:tcBorders>
              <w:top w:val="nil"/>
              <w:left w:val="nil"/>
              <w:bottom w:val="nil"/>
              <w:right w:val="nil"/>
            </w:tcBorders>
            <w:shd w:val="clear" w:color="auto" w:fill="auto"/>
            <w:noWrap/>
            <w:vAlign w:val="bottom"/>
            <w:hideMark/>
          </w:tcPr>
          <w:p w14:paraId="2D94D5E0"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79" w:type="dxa"/>
            <w:tcBorders>
              <w:top w:val="nil"/>
              <w:left w:val="nil"/>
              <w:bottom w:val="nil"/>
              <w:right w:val="nil"/>
            </w:tcBorders>
            <w:shd w:val="clear" w:color="auto" w:fill="auto"/>
            <w:noWrap/>
            <w:vAlign w:val="bottom"/>
            <w:hideMark/>
          </w:tcPr>
          <w:p w14:paraId="41DDB822"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1621" w:type="dxa"/>
            <w:tcBorders>
              <w:top w:val="nil"/>
              <w:left w:val="nil"/>
              <w:bottom w:val="nil"/>
              <w:right w:val="nil"/>
            </w:tcBorders>
            <w:shd w:val="clear" w:color="auto" w:fill="auto"/>
            <w:noWrap/>
            <w:vAlign w:val="bottom"/>
            <w:hideMark/>
          </w:tcPr>
          <w:p w14:paraId="71EDCE4F"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c>
          <w:tcPr>
            <w:tcW w:w="2242" w:type="dxa"/>
            <w:gridSpan w:val="2"/>
            <w:tcBorders>
              <w:top w:val="nil"/>
              <w:left w:val="nil"/>
              <w:bottom w:val="nil"/>
              <w:right w:val="nil"/>
            </w:tcBorders>
            <w:shd w:val="clear" w:color="auto" w:fill="auto"/>
            <w:noWrap/>
            <w:vAlign w:val="bottom"/>
            <w:hideMark/>
          </w:tcPr>
          <w:p w14:paraId="4B10A45C"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eastAsia="en-GB"/>
              </w:rPr>
              <w:t>Yes</w:t>
            </w:r>
          </w:p>
        </w:tc>
      </w:tr>
      <w:tr w:rsidR="007E7437" w:rsidRPr="005A566B" w14:paraId="6520D57F" w14:textId="77777777" w:rsidTr="007E7437">
        <w:trPr>
          <w:trHeight w:val="307"/>
        </w:trPr>
        <w:tc>
          <w:tcPr>
            <w:tcW w:w="2809" w:type="dxa"/>
            <w:gridSpan w:val="2"/>
            <w:tcBorders>
              <w:top w:val="nil"/>
              <w:left w:val="nil"/>
              <w:bottom w:val="nil"/>
              <w:right w:val="nil"/>
            </w:tcBorders>
            <w:shd w:val="clear" w:color="auto" w:fill="auto"/>
            <w:noWrap/>
            <w:vAlign w:val="bottom"/>
            <w:hideMark/>
          </w:tcPr>
          <w:p w14:paraId="7D939194" w14:textId="77777777" w:rsidR="007E7437" w:rsidRPr="005A566B" w:rsidRDefault="007E7437" w:rsidP="007E7437">
            <w:pPr>
              <w:spacing w:after="0" w:line="240" w:lineRule="auto"/>
              <w:rPr>
                <w:rFonts w:ascii="Arial" w:eastAsia="Times New Roman" w:hAnsi="Arial" w:cs="Arial"/>
                <w:lang w:eastAsia="en-GB"/>
              </w:rPr>
            </w:pPr>
            <w:r w:rsidRPr="005A566B">
              <w:rPr>
                <w:rFonts w:ascii="Arial" w:eastAsia="Times New Roman" w:hAnsi="Arial" w:cs="Arial"/>
                <w:lang w:eastAsia="en-GB"/>
              </w:rPr>
              <w:t>R-SQUARED</w:t>
            </w:r>
          </w:p>
        </w:tc>
        <w:tc>
          <w:tcPr>
            <w:tcW w:w="1154" w:type="dxa"/>
            <w:tcBorders>
              <w:top w:val="nil"/>
              <w:left w:val="nil"/>
              <w:bottom w:val="nil"/>
              <w:right w:val="nil"/>
            </w:tcBorders>
            <w:shd w:val="clear" w:color="auto" w:fill="auto"/>
            <w:noWrap/>
            <w:vAlign w:val="center"/>
            <w:hideMark/>
          </w:tcPr>
          <w:p w14:paraId="2144C6E4"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0.3093</w:t>
            </w:r>
          </w:p>
        </w:tc>
        <w:tc>
          <w:tcPr>
            <w:tcW w:w="1316" w:type="dxa"/>
            <w:tcBorders>
              <w:top w:val="nil"/>
              <w:left w:val="nil"/>
              <w:bottom w:val="nil"/>
              <w:right w:val="nil"/>
            </w:tcBorders>
            <w:shd w:val="clear" w:color="auto" w:fill="auto"/>
            <w:noWrap/>
            <w:vAlign w:val="center"/>
            <w:hideMark/>
          </w:tcPr>
          <w:p w14:paraId="668ED07F"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0.3565</w:t>
            </w:r>
          </w:p>
        </w:tc>
        <w:tc>
          <w:tcPr>
            <w:tcW w:w="1217" w:type="dxa"/>
            <w:tcBorders>
              <w:top w:val="nil"/>
              <w:left w:val="nil"/>
              <w:bottom w:val="nil"/>
              <w:right w:val="nil"/>
            </w:tcBorders>
            <w:shd w:val="clear" w:color="auto" w:fill="auto"/>
            <w:noWrap/>
            <w:vAlign w:val="center"/>
            <w:hideMark/>
          </w:tcPr>
          <w:p w14:paraId="0FE196C5"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0.3103</w:t>
            </w:r>
          </w:p>
        </w:tc>
        <w:tc>
          <w:tcPr>
            <w:tcW w:w="1411" w:type="dxa"/>
            <w:tcBorders>
              <w:top w:val="nil"/>
              <w:left w:val="nil"/>
              <w:bottom w:val="nil"/>
              <w:right w:val="nil"/>
            </w:tcBorders>
            <w:shd w:val="clear" w:color="auto" w:fill="auto"/>
            <w:noWrap/>
            <w:vAlign w:val="center"/>
            <w:hideMark/>
          </w:tcPr>
          <w:p w14:paraId="5C61B5FE"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0.3575</w:t>
            </w:r>
          </w:p>
        </w:tc>
        <w:tc>
          <w:tcPr>
            <w:tcW w:w="1341" w:type="dxa"/>
            <w:tcBorders>
              <w:top w:val="nil"/>
              <w:left w:val="nil"/>
              <w:bottom w:val="nil"/>
              <w:right w:val="nil"/>
            </w:tcBorders>
            <w:shd w:val="clear" w:color="auto" w:fill="auto"/>
            <w:noWrap/>
            <w:vAlign w:val="center"/>
            <w:hideMark/>
          </w:tcPr>
          <w:p w14:paraId="2B8FB47B"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0.3074</w:t>
            </w:r>
          </w:p>
        </w:tc>
        <w:tc>
          <w:tcPr>
            <w:tcW w:w="1679" w:type="dxa"/>
            <w:tcBorders>
              <w:top w:val="nil"/>
              <w:left w:val="nil"/>
              <w:bottom w:val="nil"/>
              <w:right w:val="nil"/>
            </w:tcBorders>
            <w:shd w:val="clear" w:color="auto" w:fill="auto"/>
            <w:noWrap/>
            <w:vAlign w:val="center"/>
            <w:hideMark/>
          </w:tcPr>
          <w:p w14:paraId="430B990B"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0.3491</w:t>
            </w:r>
          </w:p>
        </w:tc>
        <w:tc>
          <w:tcPr>
            <w:tcW w:w="1621" w:type="dxa"/>
            <w:tcBorders>
              <w:top w:val="nil"/>
              <w:left w:val="nil"/>
              <w:bottom w:val="nil"/>
              <w:right w:val="nil"/>
            </w:tcBorders>
            <w:shd w:val="clear" w:color="auto" w:fill="auto"/>
            <w:noWrap/>
            <w:vAlign w:val="center"/>
            <w:hideMark/>
          </w:tcPr>
          <w:p w14:paraId="2EFB03FA"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0.3094</w:t>
            </w:r>
          </w:p>
        </w:tc>
        <w:tc>
          <w:tcPr>
            <w:tcW w:w="2242" w:type="dxa"/>
            <w:gridSpan w:val="2"/>
            <w:tcBorders>
              <w:top w:val="nil"/>
              <w:left w:val="nil"/>
              <w:bottom w:val="nil"/>
              <w:right w:val="nil"/>
            </w:tcBorders>
            <w:shd w:val="clear" w:color="auto" w:fill="auto"/>
            <w:noWrap/>
            <w:vAlign w:val="center"/>
            <w:hideMark/>
          </w:tcPr>
          <w:p w14:paraId="6ED46483" w14:textId="77777777" w:rsidR="007E7437" w:rsidRPr="005A566B" w:rsidRDefault="007E7437" w:rsidP="007E7437">
            <w:pPr>
              <w:spacing w:after="0" w:line="240" w:lineRule="auto"/>
              <w:jc w:val="center"/>
              <w:rPr>
                <w:rFonts w:ascii="Arial" w:eastAsia="Times New Roman" w:hAnsi="Arial" w:cs="Arial"/>
                <w:lang w:eastAsia="en-GB"/>
              </w:rPr>
            </w:pPr>
            <w:r w:rsidRPr="005A566B">
              <w:rPr>
                <w:rFonts w:ascii="Arial" w:eastAsia="Times New Roman" w:hAnsi="Arial" w:cs="Arial"/>
                <w:lang w:val="en-US" w:eastAsia="en-GB"/>
              </w:rPr>
              <w:t>0.3501</w:t>
            </w:r>
          </w:p>
        </w:tc>
      </w:tr>
    </w:tbl>
    <w:p w14:paraId="37AB5629" w14:textId="39D17B5D" w:rsidR="0059555D" w:rsidRPr="005A566B" w:rsidRDefault="0059555D" w:rsidP="0079751E">
      <w:pPr>
        <w:widowControl w:val="0"/>
        <w:autoSpaceDE w:val="0"/>
        <w:autoSpaceDN w:val="0"/>
        <w:adjustRightInd w:val="0"/>
        <w:spacing w:line="240" w:lineRule="auto"/>
        <w:contextualSpacing/>
        <w:jc w:val="both"/>
        <w:rPr>
          <w:rFonts w:ascii="Arial" w:hAnsi="Arial" w:cs="Arial"/>
          <w:bCs/>
          <w:iCs/>
          <w:sz w:val="18"/>
          <w:szCs w:val="18"/>
        </w:rPr>
      </w:pPr>
    </w:p>
    <w:sectPr w:rsidR="0059555D" w:rsidRPr="005A566B" w:rsidSect="0079751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A3A568" w14:textId="77777777" w:rsidR="001A7E91" w:rsidRDefault="001A7E91">
      <w:pPr>
        <w:spacing w:after="0" w:line="240" w:lineRule="auto"/>
      </w:pPr>
      <w:r>
        <w:separator/>
      </w:r>
    </w:p>
  </w:endnote>
  <w:endnote w:type="continuationSeparator" w:id="0">
    <w:p w14:paraId="20D2455D" w14:textId="77777777" w:rsidR="001A7E91" w:rsidRDefault="001A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962030"/>
      <w:docPartObj>
        <w:docPartGallery w:val="Page Numbers (Bottom of Page)"/>
        <w:docPartUnique/>
      </w:docPartObj>
    </w:sdtPr>
    <w:sdtEndPr>
      <w:rPr>
        <w:noProof/>
      </w:rPr>
    </w:sdtEndPr>
    <w:sdtContent>
      <w:p w14:paraId="72A374AC" w14:textId="0DF311FD" w:rsidR="001A7E91" w:rsidRDefault="001A7E91">
        <w:pPr>
          <w:pStyle w:val="Footer"/>
          <w:jc w:val="right"/>
        </w:pPr>
        <w:r>
          <w:fldChar w:fldCharType="begin"/>
        </w:r>
        <w:r>
          <w:instrText xml:space="preserve"> PAGE   \* MERGEFORMAT </w:instrText>
        </w:r>
        <w:r>
          <w:fldChar w:fldCharType="separate"/>
        </w:r>
        <w:r w:rsidR="00CF3976">
          <w:rPr>
            <w:noProof/>
          </w:rPr>
          <w:t>2</w:t>
        </w:r>
        <w:r>
          <w:rPr>
            <w:noProof/>
          </w:rPr>
          <w:fldChar w:fldCharType="end"/>
        </w:r>
      </w:p>
    </w:sdtContent>
  </w:sdt>
  <w:p w14:paraId="03BFE1D9" w14:textId="77777777" w:rsidR="001A7E91" w:rsidRDefault="001A7E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559139"/>
      <w:docPartObj>
        <w:docPartGallery w:val="Page Numbers (Bottom of Page)"/>
        <w:docPartUnique/>
      </w:docPartObj>
    </w:sdtPr>
    <w:sdtEndPr>
      <w:rPr>
        <w:color w:val="808080" w:themeColor="background1" w:themeShade="80"/>
        <w:spacing w:val="60"/>
      </w:rPr>
    </w:sdtEndPr>
    <w:sdtContent>
      <w:p w14:paraId="2CA5D1D6" w14:textId="5BA3E692" w:rsidR="001A7E91" w:rsidRDefault="001A7E91">
        <w:pPr>
          <w:pStyle w:val="Footer"/>
          <w:pBdr>
            <w:top w:val="single" w:sz="4" w:space="1" w:color="D9D9D9" w:themeColor="background1" w:themeShade="D9"/>
          </w:pBdr>
          <w:jc w:val="right"/>
        </w:pPr>
        <w:r>
          <w:fldChar w:fldCharType="begin"/>
        </w:r>
        <w:r>
          <w:instrText xml:space="preserve"> PAGE   \* MERGEFORMAT </w:instrText>
        </w:r>
        <w:r>
          <w:fldChar w:fldCharType="separate"/>
        </w:r>
        <w:r w:rsidR="00CF3976">
          <w:rPr>
            <w:noProof/>
          </w:rPr>
          <w:t>39</w:t>
        </w:r>
        <w:r>
          <w:rPr>
            <w:noProof/>
          </w:rPr>
          <w:fldChar w:fldCharType="end"/>
        </w:r>
        <w:r>
          <w:t xml:space="preserve"> | </w:t>
        </w:r>
        <w:r>
          <w:rPr>
            <w:color w:val="808080" w:themeColor="background1" w:themeShade="80"/>
            <w:spacing w:val="60"/>
          </w:rPr>
          <w:t>Page</w:t>
        </w:r>
      </w:p>
    </w:sdtContent>
  </w:sdt>
  <w:p w14:paraId="706FC300" w14:textId="77777777" w:rsidR="001A7E91" w:rsidRDefault="001A7E91">
    <w:pPr>
      <w:pStyle w:val="Footer"/>
    </w:pPr>
  </w:p>
  <w:p w14:paraId="0A98C30D" w14:textId="77777777" w:rsidR="001A7E91" w:rsidRDefault="001A7E91"/>
  <w:p w14:paraId="217F7A81" w14:textId="77777777" w:rsidR="001A7E91" w:rsidRDefault="001A7E9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6C723" w14:textId="77777777" w:rsidR="001A7E91" w:rsidRDefault="001A7E91" w:rsidP="004F00F6">
      <w:pPr>
        <w:spacing w:after="0" w:line="240" w:lineRule="auto"/>
      </w:pPr>
      <w:r>
        <w:separator/>
      </w:r>
    </w:p>
  </w:footnote>
  <w:footnote w:type="continuationSeparator" w:id="0">
    <w:p w14:paraId="4378B3F4" w14:textId="77777777" w:rsidR="001A7E91" w:rsidRDefault="001A7E91" w:rsidP="004F00F6">
      <w:pPr>
        <w:spacing w:after="0" w:line="240" w:lineRule="auto"/>
      </w:pPr>
      <w:r>
        <w:continuationSeparator/>
      </w:r>
    </w:p>
  </w:footnote>
  <w:footnote w:id="1">
    <w:p w14:paraId="6A720603" w14:textId="126479DD" w:rsidR="00864E1C" w:rsidRPr="006673A7" w:rsidRDefault="00864E1C" w:rsidP="00864E1C">
      <w:pPr>
        <w:pStyle w:val="FootnoteText"/>
        <w:rPr>
          <w:i/>
          <w:u w:val="single"/>
          <w:lang w:val="es-ES"/>
        </w:rPr>
      </w:pPr>
      <w:r>
        <w:rPr>
          <w:rStyle w:val="FootnoteReference"/>
        </w:rPr>
        <w:footnoteRef/>
      </w:r>
      <w:r>
        <w:t xml:space="preserve"> </w:t>
      </w:r>
      <w:r w:rsidRPr="00C50F45">
        <w:t xml:space="preserve"> </w:t>
      </w:r>
      <w:r w:rsidRPr="00031424">
        <w:rPr>
          <w:i/>
        </w:rPr>
        <w:t>Lecturer in Finance. Department of Accounting, Finance and Economics, Bournemouth University, 89 Holdernhurst Road, Bournemouth BH8 8EB, UK. * Corresponding Author</w:t>
      </w:r>
      <w:r>
        <w:rPr>
          <w:i/>
        </w:rPr>
        <w:t xml:space="preserve">. Email: </w:t>
      </w:r>
      <w:hyperlink r:id="rId1" w:history="1">
        <w:r w:rsidRPr="006673A7">
          <w:rPr>
            <w:rStyle w:val="Hyperlink"/>
            <w:i/>
            <w:lang w:val="es-ES"/>
          </w:rPr>
          <w:t>itingbani@bournemouth.ac.uk</w:t>
        </w:r>
      </w:hyperlink>
    </w:p>
    <w:p w14:paraId="335D8186" w14:textId="77777777" w:rsidR="00864E1C" w:rsidRDefault="00864E1C" w:rsidP="00864E1C">
      <w:pPr>
        <w:pStyle w:val="FootnoteText"/>
        <w:rPr>
          <w:i/>
        </w:rPr>
      </w:pPr>
    </w:p>
    <w:p w14:paraId="73C22E1E" w14:textId="25D65088" w:rsidR="00864E1C" w:rsidRPr="006673A7" w:rsidRDefault="00864E1C" w:rsidP="00864E1C">
      <w:pPr>
        <w:pStyle w:val="FootnoteText"/>
      </w:pPr>
      <w:r>
        <w:t xml:space="preserve">2 </w:t>
      </w:r>
      <w:r w:rsidRPr="006673A7">
        <w:t>Professor in Accounting.  Southampton Business School, University of Southampton, Highfield, Southampton, SO17 1BJ, UK</w:t>
      </w:r>
      <w:r>
        <w:t xml:space="preserve">. Email: </w:t>
      </w:r>
      <w:hyperlink r:id="rId2" w:history="1">
        <w:r w:rsidRPr="006673A7">
          <w:rPr>
            <w:rStyle w:val="Hyperlink"/>
            <w:b/>
            <w:bCs/>
            <w:iCs/>
            <w:lang w:val="es-ES"/>
          </w:rPr>
          <w:t>V.Tauringana@soton.ac.uk</w:t>
        </w:r>
      </w:hyperlink>
    </w:p>
  </w:footnote>
  <w:footnote w:id="2">
    <w:p w14:paraId="7B702417" w14:textId="77777777" w:rsidR="00864E1C" w:rsidRDefault="00864E1C" w:rsidP="00864E1C">
      <w:pPr>
        <w:pStyle w:val="FootnoteText"/>
      </w:pPr>
    </w:p>
  </w:footnote>
  <w:footnote w:id="3">
    <w:p w14:paraId="1825757A" w14:textId="77777777" w:rsidR="00864E1C" w:rsidRPr="00176ED4" w:rsidRDefault="00864E1C" w:rsidP="00864E1C">
      <w:pPr>
        <w:pStyle w:val="FootnoteText"/>
      </w:pPr>
      <w:r>
        <w:rPr>
          <w:rStyle w:val="FootnoteReference"/>
        </w:rPr>
        <w:footnoteRef/>
      </w:r>
      <w:r>
        <w:t xml:space="preserve">  Lecturer in Project Management.  </w:t>
      </w:r>
      <w:r w:rsidRPr="00176ED4">
        <w:t>Bournemouth University Business School</w:t>
      </w:r>
    </w:p>
    <w:p w14:paraId="78A056F3" w14:textId="369BDD14" w:rsidR="00864E1C" w:rsidRDefault="00864E1C" w:rsidP="00864E1C">
      <w:pPr>
        <w:pStyle w:val="FootnoteText"/>
      </w:pPr>
      <w:r w:rsidRPr="00176ED4">
        <w:t>Executive Business Centre, EBC 501</w:t>
      </w:r>
      <w:r>
        <w:t xml:space="preserve">,  </w:t>
      </w:r>
      <w:r w:rsidRPr="00176ED4">
        <w:t>89 Holdernhurst Road, Bournemouth</w:t>
      </w:r>
      <w:r>
        <w:t xml:space="preserve"> </w:t>
      </w:r>
      <w:r w:rsidRPr="00176ED4">
        <w:t>BH8 8EB</w:t>
      </w:r>
      <w:r>
        <w:t xml:space="preserve"> </w:t>
      </w:r>
      <w:r w:rsidRPr="00176ED4">
        <w:t>Email: </w:t>
      </w:r>
      <w:hyperlink r:id="rId3" w:tgtFrame="_blank" w:history="1">
        <w:r w:rsidRPr="00176ED4">
          <w:rPr>
            <w:rStyle w:val="Hyperlink"/>
          </w:rPr>
          <w:t>idamoah@bournemouth.ac.uk</w:t>
        </w:r>
      </w:hyperlink>
    </w:p>
    <w:p w14:paraId="29DC27A8" w14:textId="77777777" w:rsidR="00864E1C" w:rsidRDefault="00864E1C" w:rsidP="00864E1C">
      <w:pPr>
        <w:pStyle w:val="FootnoteText"/>
      </w:pPr>
    </w:p>
  </w:footnote>
  <w:footnote w:id="4">
    <w:p w14:paraId="3A34900E" w14:textId="22BC83E4" w:rsidR="00864E1C" w:rsidRDefault="00864E1C" w:rsidP="00864E1C">
      <w:pPr>
        <w:pStyle w:val="FootnoteText"/>
      </w:pPr>
      <w:r>
        <w:rPr>
          <w:rStyle w:val="FootnoteReference"/>
        </w:rPr>
        <w:footnoteRef/>
      </w:r>
      <w:r>
        <w:t xml:space="preserve"> </w:t>
      </w:r>
      <w:r w:rsidRPr="00251B55">
        <w:t xml:space="preserve">Teaching Fellow, </w:t>
      </w:r>
      <w:r w:rsidRPr="00251B55">
        <w:rPr>
          <w:bCs/>
        </w:rPr>
        <w:t>Southampton Business School, University of Southampton, Highfield, Southampton, SO17 1BJ, UK</w:t>
      </w:r>
      <w:r w:rsidR="00AC5B0A">
        <w:rPr>
          <w:bCs/>
        </w:rPr>
        <w:t>.</w:t>
      </w:r>
      <w:r w:rsidRPr="00251B55">
        <w:rPr>
          <w:bCs/>
        </w:rPr>
        <w:t xml:space="preserve"> Email:</w:t>
      </w:r>
      <w:r w:rsidRPr="00AC5B0A">
        <w:rPr>
          <w:rFonts w:ascii="Segoe UI" w:hAnsi="Segoe UI" w:cs="Segoe UI"/>
          <w:bCs/>
          <w:color w:val="5B9BD5" w:themeColor="accent1"/>
          <w:sz w:val="22"/>
          <w:szCs w:val="22"/>
          <w:shd w:val="clear" w:color="auto" w:fill="FFFFFF"/>
          <w:lang w:val="en"/>
        </w:rPr>
        <w:t xml:space="preserve"> </w:t>
      </w:r>
      <w:r w:rsidRPr="00AC5B0A">
        <w:rPr>
          <w:bCs/>
          <w:color w:val="5B9BD5" w:themeColor="accent1"/>
          <w:lang w:val="en"/>
        </w:rPr>
        <w:t>W.B.Sha'ven@soton.ac.uk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D2275E"/>
    <w:multiLevelType w:val="hybridMultilevel"/>
    <w:tmpl w:val="56AA2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74549F"/>
    <w:multiLevelType w:val="hybridMultilevel"/>
    <w:tmpl w:val="5E9CD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E87DA1"/>
    <w:multiLevelType w:val="hybridMultilevel"/>
    <w:tmpl w:val="123616A8"/>
    <w:lvl w:ilvl="0" w:tplc="D9A4FF9E">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CAD5E42"/>
    <w:multiLevelType w:val="hybridMultilevel"/>
    <w:tmpl w:val="8B28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4463E"/>
    <w:multiLevelType w:val="hybridMultilevel"/>
    <w:tmpl w:val="A586A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AF6660"/>
    <w:multiLevelType w:val="hybridMultilevel"/>
    <w:tmpl w:val="9B8A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C0B"/>
    <w:rsid w:val="00003F50"/>
    <w:rsid w:val="00015048"/>
    <w:rsid w:val="00016908"/>
    <w:rsid w:val="0002071C"/>
    <w:rsid w:val="00027747"/>
    <w:rsid w:val="00031DA3"/>
    <w:rsid w:val="00041A69"/>
    <w:rsid w:val="00042F22"/>
    <w:rsid w:val="00045027"/>
    <w:rsid w:val="00050674"/>
    <w:rsid w:val="00052C9B"/>
    <w:rsid w:val="00055DED"/>
    <w:rsid w:val="00057755"/>
    <w:rsid w:val="00061CE6"/>
    <w:rsid w:val="00066783"/>
    <w:rsid w:val="000710B3"/>
    <w:rsid w:val="00071629"/>
    <w:rsid w:val="00075545"/>
    <w:rsid w:val="00083A6D"/>
    <w:rsid w:val="0009489C"/>
    <w:rsid w:val="000A1B63"/>
    <w:rsid w:val="000B164B"/>
    <w:rsid w:val="000B715E"/>
    <w:rsid w:val="000C2A44"/>
    <w:rsid w:val="000C5BD3"/>
    <w:rsid w:val="000C667D"/>
    <w:rsid w:val="000D7324"/>
    <w:rsid w:val="000F0BD0"/>
    <w:rsid w:val="000F3BE0"/>
    <w:rsid w:val="000F54E0"/>
    <w:rsid w:val="000F78AE"/>
    <w:rsid w:val="000F799C"/>
    <w:rsid w:val="001109A2"/>
    <w:rsid w:val="0011595A"/>
    <w:rsid w:val="00127D7B"/>
    <w:rsid w:val="00131976"/>
    <w:rsid w:val="00133160"/>
    <w:rsid w:val="001363FD"/>
    <w:rsid w:val="00155DEA"/>
    <w:rsid w:val="00162B71"/>
    <w:rsid w:val="00162EFC"/>
    <w:rsid w:val="00180709"/>
    <w:rsid w:val="001A0ACA"/>
    <w:rsid w:val="001A2C0B"/>
    <w:rsid w:val="001A57DA"/>
    <w:rsid w:val="001A7E91"/>
    <w:rsid w:val="001B1423"/>
    <w:rsid w:val="001C02C9"/>
    <w:rsid w:val="001E016B"/>
    <w:rsid w:val="001E195C"/>
    <w:rsid w:val="001E751A"/>
    <w:rsid w:val="001F17E6"/>
    <w:rsid w:val="002012C4"/>
    <w:rsid w:val="00205F8C"/>
    <w:rsid w:val="002449C0"/>
    <w:rsid w:val="00245006"/>
    <w:rsid w:val="002563C7"/>
    <w:rsid w:val="002666E2"/>
    <w:rsid w:val="00267566"/>
    <w:rsid w:val="00281A9E"/>
    <w:rsid w:val="00283F18"/>
    <w:rsid w:val="00284C40"/>
    <w:rsid w:val="00295654"/>
    <w:rsid w:val="002A0F10"/>
    <w:rsid w:val="002A2835"/>
    <w:rsid w:val="002A55DE"/>
    <w:rsid w:val="002C2395"/>
    <w:rsid w:val="002D355B"/>
    <w:rsid w:val="002E100F"/>
    <w:rsid w:val="002E780D"/>
    <w:rsid w:val="00305AF4"/>
    <w:rsid w:val="00316405"/>
    <w:rsid w:val="00321079"/>
    <w:rsid w:val="00326879"/>
    <w:rsid w:val="00332B32"/>
    <w:rsid w:val="00351C6E"/>
    <w:rsid w:val="00357828"/>
    <w:rsid w:val="00376B5C"/>
    <w:rsid w:val="00381A1F"/>
    <w:rsid w:val="00383CA7"/>
    <w:rsid w:val="00387EAB"/>
    <w:rsid w:val="00392A88"/>
    <w:rsid w:val="003B267B"/>
    <w:rsid w:val="003B79AC"/>
    <w:rsid w:val="003E07CE"/>
    <w:rsid w:val="003E1722"/>
    <w:rsid w:val="003E559A"/>
    <w:rsid w:val="003F543F"/>
    <w:rsid w:val="003F5B4B"/>
    <w:rsid w:val="00411607"/>
    <w:rsid w:val="00411F18"/>
    <w:rsid w:val="004122F8"/>
    <w:rsid w:val="00421828"/>
    <w:rsid w:val="0042304A"/>
    <w:rsid w:val="00424CD3"/>
    <w:rsid w:val="00425CA5"/>
    <w:rsid w:val="00427D00"/>
    <w:rsid w:val="00437862"/>
    <w:rsid w:val="00441903"/>
    <w:rsid w:val="004504C6"/>
    <w:rsid w:val="00456A2C"/>
    <w:rsid w:val="0046546A"/>
    <w:rsid w:val="004779D9"/>
    <w:rsid w:val="00480820"/>
    <w:rsid w:val="0048215F"/>
    <w:rsid w:val="00494731"/>
    <w:rsid w:val="004A522C"/>
    <w:rsid w:val="004A5901"/>
    <w:rsid w:val="004B240A"/>
    <w:rsid w:val="004C5A1A"/>
    <w:rsid w:val="004C6C5D"/>
    <w:rsid w:val="004D2EDB"/>
    <w:rsid w:val="004E1A0D"/>
    <w:rsid w:val="004E2216"/>
    <w:rsid w:val="004E32E2"/>
    <w:rsid w:val="004F00F6"/>
    <w:rsid w:val="00504D91"/>
    <w:rsid w:val="00515FD2"/>
    <w:rsid w:val="00524258"/>
    <w:rsid w:val="00526FFA"/>
    <w:rsid w:val="00547705"/>
    <w:rsid w:val="005477A9"/>
    <w:rsid w:val="00556B0E"/>
    <w:rsid w:val="0055743F"/>
    <w:rsid w:val="005672B3"/>
    <w:rsid w:val="00572BF2"/>
    <w:rsid w:val="00580282"/>
    <w:rsid w:val="00580907"/>
    <w:rsid w:val="00592468"/>
    <w:rsid w:val="00594571"/>
    <w:rsid w:val="0059555D"/>
    <w:rsid w:val="005A566B"/>
    <w:rsid w:val="005B1337"/>
    <w:rsid w:val="005B1A08"/>
    <w:rsid w:val="005B2264"/>
    <w:rsid w:val="005B2C52"/>
    <w:rsid w:val="005B6579"/>
    <w:rsid w:val="005C5E00"/>
    <w:rsid w:val="005C7083"/>
    <w:rsid w:val="005D1499"/>
    <w:rsid w:val="005D417B"/>
    <w:rsid w:val="005D4A92"/>
    <w:rsid w:val="005E5373"/>
    <w:rsid w:val="005F449A"/>
    <w:rsid w:val="005F591E"/>
    <w:rsid w:val="005F6F28"/>
    <w:rsid w:val="005F734D"/>
    <w:rsid w:val="005F75A4"/>
    <w:rsid w:val="00603C66"/>
    <w:rsid w:val="006170B5"/>
    <w:rsid w:val="006279EE"/>
    <w:rsid w:val="00633DED"/>
    <w:rsid w:val="0063542C"/>
    <w:rsid w:val="006412CA"/>
    <w:rsid w:val="006438D1"/>
    <w:rsid w:val="00644904"/>
    <w:rsid w:val="006536C6"/>
    <w:rsid w:val="00663029"/>
    <w:rsid w:val="00665F38"/>
    <w:rsid w:val="0067039F"/>
    <w:rsid w:val="0067256D"/>
    <w:rsid w:val="00681AC5"/>
    <w:rsid w:val="006A6CBD"/>
    <w:rsid w:val="006B1A6C"/>
    <w:rsid w:val="006C02E9"/>
    <w:rsid w:val="006C463B"/>
    <w:rsid w:val="006C4B8E"/>
    <w:rsid w:val="006C54A3"/>
    <w:rsid w:val="006D0162"/>
    <w:rsid w:val="006D4805"/>
    <w:rsid w:val="006E0D50"/>
    <w:rsid w:val="006F4459"/>
    <w:rsid w:val="0070321F"/>
    <w:rsid w:val="00707D25"/>
    <w:rsid w:val="00721B82"/>
    <w:rsid w:val="0072342A"/>
    <w:rsid w:val="0072498F"/>
    <w:rsid w:val="00746E83"/>
    <w:rsid w:val="00754683"/>
    <w:rsid w:val="00754D81"/>
    <w:rsid w:val="007559A5"/>
    <w:rsid w:val="00755B96"/>
    <w:rsid w:val="00761532"/>
    <w:rsid w:val="00764E04"/>
    <w:rsid w:val="00784FCB"/>
    <w:rsid w:val="00787636"/>
    <w:rsid w:val="0079000A"/>
    <w:rsid w:val="007914BC"/>
    <w:rsid w:val="00792CFF"/>
    <w:rsid w:val="0079751E"/>
    <w:rsid w:val="007A7332"/>
    <w:rsid w:val="007C0F39"/>
    <w:rsid w:val="007C1C65"/>
    <w:rsid w:val="007C1CEA"/>
    <w:rsid w:val="007C4EC5"/>
    <w:rsid w:val="007C52F3"/>
    <w:rsid w:val="007C5CEE"/>
    <w:rsid w:val="007C6D2F"/>
    <w:rsid w:val="007D2629"/>
    <w:rsid w:val="007E3802"/>
    <w:rsid w:val="007E7437"/>
    <w:rsid w:val="007F1758"/>
    <w:rsid w:val="007F33AB"/>
    <w:rsid w:val="007F3FE1"/>
    <w:rsid w:val="007F72C7"/>
    <w:rsid w:val="007F7428"/>
    <w:rsid w:val="00801320"/>
    <w:rsid w:val="00807710"/>
    <w:rsid w:val="00812000"/>
    <w:rsid w:val="00815315"/>
    <w:rsid w:val="00823889"/>
    <w:rsid w:val="00830FFE"/>
    <w:rsid w:val="0083112C"/>
    <w:rsid w:val="0084037A"/>
    <w:rsid w:val="00864C8C"/>
    <w:rsid w:val="00864E1C"/>
    <w:rsid w:val="00874676"/>
    <w:rsid w:val="00875254"/>
    <w:rsid w:val="00886A04"/>
    <w:rsid w:val="0088790E"/>
    <w:rsid w:val="008A23EB"/>
    <w:rsid w:val="008A3ABB"/>
    <w:rsid w:val="008B0D28"/>
    <w:rsid w:val="008B5798"/>
    <w:rsid w:val="008C3642"/>
    <w:rsid w:val="008C5898"/>
    <w:rsid w:val="008C67C9"/>
    <w:rsid w:val="008D5060"/>
    <w:rsid w:val="008F0200"/>
    <w:rsid w:val="008F58A1"/>
    <w:rsid w:val="00901B16"/>
    <w:rsid w:val="00905C95"/>
    <w:rsid w:val="0091416B"/>
    <w:rsid w:val="00923096"/>
    <w:rsid w:val="0093010E"/>
    <w:rsid w:val="0093235F"/>
    <w:rsid w:val="0095264A"/>
    <w:rsid w:val="009560DD"/>
    <w:rsid w:val="00967AD5"/>
    <w:rsid w:val="00970A4E"/>
    <w:rsid w:val="00973092"/>
    <w:rsid w:val="00976F4D"/>
    <w:rsid w:val="009776DB"/>
    <w:rsid w:val="00981208"/>
    <w:rsid w:val="009872E6"/>
    <w:rsid w:val="00987632"/>
    <w:rsid w:val="00987C58"/>
    <w:rsid w:val="009A499B"/>
    <w:rsid w:val="009A4D2B"/>
    <w:rsid w:val="009A5E00"/>
    <w:rsid w:val="009B41BB"/>
    <w:rsid w:val="009C70F3"/>
    <w:rsid w:val="009D502A"/>
    <w:rsid w:val="009E0B32"/>
    <w:rsid w:val="00A2462A"/>
    <w:rsid w:val="00A31330"/>
    <w:rsid w:val="00A3259B"/>
    <w:rsid w:val="00A44DB5"/>
    <w:rsid w:val="00A52E31"/>
    <w:rsid w:val="00A552B6"/>
    <w:rsid w:val="00A5559D"/>
    <w:rsid w:val="00A6548A"/>
    <w:rsid w:val="00A85F18"/>
    <w:rsid w:val="00A91615"/>
    <w:rsid w:val="00A94BF8"/>
    <w:rsid w:val="00A962D7"/>
    <w:rsid w:val="00AA055A"/>
    <w:rsid w:val="00AA7B9F"/>
    <w:rsid w:val="00AC0B6B"/>
    <w:rsid w:val="00AC1E22"/>
    <w:rsid w:val="00AC2831"/>
    <w:rsid w:val="00AC5B0A"/>
    <w:rsid w:val="00AD0A7E"/>
    <w:rsid w:val="00AD3E5C"/>
    <w:rsid w:val="00AD51C4"/>
    <w:rsid w:val="00AD6D32"/>
    <w:rsid w:val="00AE4F33"/>
    <w:rsid w:val="00AF7EFF"/>
    <w:rsid w:val="00B11AED"/>
    <w:rsid w:val="00B22107"/>
    <w:rsid w:val="00B301DB"/>
    <w:rsid w:val="00B3770F"/>
    <w:rsid w:val="00B44460"/>
    <w:rsid w:val="00B467F8"/>
    <w:rsid w:val="00B510F2"/>
    <w:rsid w:val="00B544FF"/>
    <w:rsid w:val="00B70008"/>
    <w:rsid w:val="00B810CC"/>
    <w:rsid w:val="00B815C0"/>
    <w:rsid w:val="00B856E4"/>
    <w:rsid w:val="00BA2D49"/>
    <w:rsid w:val="00BA5AB5"/>
    <w:rsid w:val="00BD4716"/>
    <w:rsid w:val="00BE4687"/>
    <w:rsid w:val="00BF03C3"/>
    <w:rsid w:val="00BF0979"/>
    <w:rsid w:val="00BF420C"/>
    <w:rsid w:val="00C003C2"/>
    <w:rsid w:val="00C00945"/>
    <w:rsid w:val="00C00EFD"/>
    <w:rsid w:val="00C050F3"/>
    <w:rsid w:val="00C065DE"/>
    <w:rsid w:val="00C14924"/>
    <w:rsid w:val="00C17D34"/>
    <w:rsid w:val="00C265FB"/>
    <w:rsid w:val="00C304B7"/>
    <w:rsid w:val="00C41D2C"/>
    <w:rsid w:val="00C421D3"/>
    <w:rsid w:val="00C65642"/>
    <w:rsid w:val="00C830B0"/>
    <w:rsid w:val="00C91AFE"/>
    <w:rsid w:val="00C93709"/>
    <w:rsid w:val="00C96B8B"/>
    <w:rsid w:val="00CA2AB6"/>
    <w:rsid w:val="00CA3209"/>
    <w:rsid w:val="00CA5681"/>
    <w:rsid w:val="00CC0E7A"/>
    <w:rsid w:val="00CC7ABA"/>
    <w:rsid w:val="00CD31A9"/>
    <w:rsid w:val="00CE541C"/>
    <w:rsid w:val="00CF3856"/>
    <w:rsid w:val="00CF3976"/>
    <w:rsid w:val="00D1471F"/>
    <w:rsid w:val="00D15668"/>
    <w:rsid w:val="00D20702"/>
    <w:rsid w:val="00D222EB"/>
    <w:rsid w:val="00D25854"/>
    <w:rsid w:val="00D300F2"/>
    <w:rsid w:val="00D40103"/>
    <w:rsid w:val="00D45878"/>
    <w:rsid w:val="00D51F74"/>
    <w:rsid w:val="00D57E7A"/>
    <w:rsid w:val="00D770CB"/>
    <w:rsid w:val="00D77892"/>
    <w:rsid w:val="00D81EFB"/>
    <w:rsid w:val="00D86DF0"/>
    <w:rsid w:val="00D90164"/>
    <w:rsid w:val="00D959C3"/>
    <w:rsid w:val="00D96911"/>
    <w:rsid w:val="00D97E65"/>
    <w:rsid w:val="00DA1C56"/>
    <w:rsid w:val="00DB1EDC"/>
    <w:rsid w:val="00DC7762"/>
    <w:rsid w:val="00DD366F"/>
    <w:rsid w:val="00DD3BD9"/>
    <w:rsid w:val="00DD7F15"/>
    <w:rsid w:val="00DE7A3F"/>
    <w:rsid w:val="00E0543F"/>
    <w:rsid w:val="00E36569"/>
    <w:rsid w:val="00E41B03"/>
    <w:rsid w:val="00E45675"/>
    <w:rsid w:val="00E532B4"/>
    <w:rsid w:val="00E558F2"/>
    <w:rsid w:val="00E64FB7"/>
    <w:rsid w:val="00E70E2D"/>
    <w:rsid w:val="00E7121B"/>
    <w:rsid w:val="00E71A68"/>
    <w:rsid w:val="00E74227"/>
    <w:rsid w:val="00E812D2"/>
    <w:rsid w:val="00E84E43"/>
    <w:rsid w:val="00E9099C"/>
    <w:rsid w:val="00E92D44"/>
    <w:rsid w:val="00E963A1"/>
    <w:rsid w:val="00EA0398"/>
    <w:rsid w:val="00EA0BB7"/>
    <w:rsid w:val="00EC6694"/>
    <w:rsid w:val="00ED7D5D"/>
    <w:rsid w:val="00EE225D"/>
    <w:rsid w:val="00EE26E3"/>
    <w:rsid w:val="00EE29BC"/>
    <w:rsid w:val="00EE7AF0"/>
    <w:rsid w:val="00F01088"/>
    <w:rsid w:val="00F035A4"/>
    <w:rsid w:val="00F10B23"/>
    <w:rsid w:val="00F11C88"/>
    <w:rsid w:val="00F11E7C"/>
    <w:rsid w:val="00F34377"/>
    <w:rsid w:val="00F52374"/>
    <w:rsid w:val="00F55BCC"/>
    <w:rsid w:val="00F71EBD"/>
    <w:rsid w:val="00F850E6"/>
    <w:rsid w:val="00FA5592"/>
    <w:rsid w:val="00FB5EAA"/>
    <w:rsid w:val="00FC14A5"/>
    <w:rsid w:val="00FC70D7"/>
    <w:rsid w:val="00FD4BB4"/>
    <w:rsid w:val="00FE0A22"/>
    <w:rsid w:val="00FE7E27"/>
    <w:rsid w:val="00FF7AB0"/>
    <w:rsid w:val="00FF7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53DE5C"/>
  <w15:docId w15:val="{522C4F46-5F5E-4800-9099-B4304F53F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50F45"/>
    <w:pPr>
      <w:spacing w:after="0" w:line="240" w:lineRule="auto"/>
    </w:pPr>
    <w:rPr>
      <w:sz w:val="20"/>
      <w:szCs w:val="20"/>
    </w:rPr>
  </w:style>
  <w:style w:type="character" w:customStyle="1" w:styleId="FootnoteTextChar">
    <w:name w:val="Footnote Text Char"/>
    <w:basedOn w:val="DefaultParagraphFont"/>
    <w:link w:val="FootnoteText"/>
    <w:uiPriority w:val="99"/>
    <w:rsid w:val="00C50F45"/>
    <w:rPr>
      <w:sz w:val="20"/>
      <w:szCs w:val="20"/>
    </w:rPr>
  </w:style>
  <w:style w:type="character" w:styleId="FootnoteReference">
    <w:name w:val="footnote reference"/>
    <w:basedOn w:val="DefaultParagraphFont"/>
    <w:uiPriority w:val="99"/>
    <w:semiHidden/>
    <w:unhideWhenUsed/>
    <w:rsid w:val="00C50F45"/>
    <w:rPr>
      <w:vertAlign w:val="superscript"/>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26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879"/>
    <w:rPr>
      <w:rFonts w:ascii="Tahoma" w:hAnsi="Tahoma" w:cs="Tahoma"/>
      <w:sz w:val="16"/>
      <w:szCs w:val="16"/>
    </w:rPr>
  </w:style>
  <w:style w:type="character" w:styleId="Hyperlink">
    <w:name w:val="Hyperlink"/>
    <w:basedOn w:val="DefaultParagraphFont"/>
    <w:uiPriority w:val="99"/>
    <w:unhideWhenUsed/>
    <w:rsid w:val="00B815C0"/>
    <w:rPr>
      <w:color w:val="0563C1" w:themeColor="hyperlink"/>
      <w:u w:val="single"/>
    </w:rPr>
  </w:style>
  <w:style w:type="paragraph" w:styleId="ListParagraph">
    <w:name w:val="List Paragraph"/>
    <w:basedOn w:val="Normal"/>
    <w:uiPriority w:val="34"/>
    <w:qFormat/>
    <w:rsid w:val="00AD0A7E"/>
    <w:pPr>
      <w:ind w:left="720"/>
      <w:contextualSpacing/>
    </w:pPr>
  </w:style>
  <w:style w:type="paragraph" w:styleId="Header">
    <w:name w:val="header"/>
    <w:basedOn w:val="Normal"/>
    <w:link w:val="HeaderChar"/>
    <w:uiPriority w:val="99"/>
    <w:unhideWhenUsed/>
    <w:rsid w:val="00A654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48A"/>
  </w:style>
  <w:style w:type="paragraph" w:styleId="Footer">
    <w:name w:val="footer"/>
    <w:basedOn w:val="Normal"/>
    <w:link w:val="FooterChar"/>
    <w:uiPriority w:val="99"/>
    <w:unhideWhenUsed/>
    <w:rsid w:val="00A654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48A"/>
  </w:style>
  <w:style w:type="numbering" w:customStyle="1" w:styleId="NoList1">
    <w:name w:val="No List1"/>
    <w:next w:val="NoList"/>
    <w:uiPriority w:val="99"/>
    <w:semiHidden/>
    <w:unhideWhenUsed/>
    <w:rsid w:val="00FC14A5"/>
  </w:style>
  <w:style w:type="paragraph" w:customStyle="1" w:styleId="Default">
    <w:name w:val="Default"/>
    <w:rsid w:val="00FC14A5"/>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FC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C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C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A2835"/>
    <w:rPr>
      <w:b/>
      <w:bCs/>
    </w:rPr>
  </w:style>
  <w:style w:type="character" w:customStyle="1" w:styleId="CommentSubjectChar">
    <w:name w:val="Comment Subject Char"/>
    <w:basedOn w:val="CommentTextChar"/>
    <w:link w:val="CommentSubject"/>
    <w:uiPriority w:val="99"/>
    <w:semiHidden/>
    <w:rsid w:val="002A2835"/>
    <w:rPr>
      <w:b/>
      <w:bCs/>
      <w:sz w:val="20"/>
      <w:szCs w:val="20"/>
    </w:rPr>
  </w:style>
  <w:style w:type="table" w:customStyle="1" w:styleId="TableGrid3">
    <w:name w:val="Table Grid3"/>
    <w:basedOn w:val="TableNormal"/>
    <w:next w:val="TableGrid"/>
    <w:uiPriority w:val="39"/>
    <w:rsid w:val="004B2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idamoah@bournemouth.ac.uk" TargetMode="External"/><Relationship Id="rId2" Type="http://schemas.openxmlformats.org/officeDocument/2006/relationships/hyperlink" Target="mailto:V.Tauringana@soton.ac.uk" TargetMode="External"/><Relationship Id="rId1" Type="http://schemas.openxmlformats.org/officeDocument/2006/relationships/hyperlink" Target="mailto:itingbani@bourne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EA0AF-99A9-4124-BB2A-4A958ADBB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39</Pages>
  <Words>39793</Words>
  <Characters>226822</Characters>
  <Application>Microsoft Office Word</Application>
  <DocSecurity>4</DocSecurity>
  <Lines>1890</Lines>
  <Paragraphs>532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266083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Ishmael Tingbani</dc:creator>
  <cp:lastModifiedBy>Tauringana V.</cp:lastModifiedBy>
  <cp:revision>2</cp:revision>
  <cp:lastPrinted>2018-01-19T17:58:00Z</cp:lastPrinted>
  <dcterms:created xsi:type="dcterms:W3CDTF">2018-07-19T12:56:00Z</dcterms:created>
  <dcterms:modified xsi:type="dcterms:W3CDTF">2018-07-19T12:56:00Z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Harvard - Cite Them Right 9th edition</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(author-date)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nique User Id_1">
    <vt:lpwstr>b6df2065-4a4f-3ca6-a9bb-e2dcba3bd8be</vt:lpwstr>
  </property>
  <property fmtid="{D5CDD505-2E9C-101B-9397-08002B2CF9AE}" pid="24" name="Mendeley Citation Style_1">
    <vt:lpwstr>http://www.zotero.org/styles/harvard-cite-them-right</vt:lpwstr>
  </property>
</Properties>
</file>