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82AA67" w14:textId="6ABABA07" w:rsidR="00E9201B" w:rsidRPr="00EC68A6" w:rsidRDefault="00E9201B" w:rsidP="00EC68A6">
      <w:pPr>
        <w:pStyle w:val="AT"/>
      </w:pPr>
      <w:bookmarkStart w:id="0" w:name="_GoBack"/>
      <w:bookmarkEnd w:id="0"/>
      <w:r w:rsidRPr="00CE7747">
        <w:t xml:space="preserve">A </w:t>
      </w:r>
      <w:r w:rsidR="008E7839">
        <w:t xml:space="preserve">comparison of quasi-static indentation and low velocity impact on composite overwrapped pressure vessels </w:t>
      </w:r>
    </w:p>
    <w:p w14:paraId="36CFF1EF" w14:textId="358BEC06" w:rsidR="00E9201B" w:rsidRPr="00CE7747" w:rsidRDefault="00E9201B" w:rsidP="00D924F8">
      <w:pPr>
        <w:pStyle w:val="AU"/>
      </w:pPr>
      <w:r w:rsidRPr="00CE7747">
        <w:t xml:space="preserve">T. </w:t>
      </w:r>
      <w:r w:rsidR="00F028AE">
        <w:t xml:space="preserve">M. </w:t>
      </w:r>
      <w:r w:rsidRPr="00CE7747">
        <w:t>Allen</w:t>
      </w:r>
      <w:r w:rsidRPr="00CE7747">
        <w:rPr>
          <w:sz w:val="22"/>
          <w:szCs w:val="22"/>
          <w:vertAlign w:val="superscript"/>
        </w:rPr>
        <w:t>1</w:t>
      </w:r>
      <w:r w:rsidRPr="00CE7747">
        <w:t>, S. Ahmed</w:t>
      </w:r>
      <w:r w:rsidRPr="00CE7747">
        <w:rPr>
          <w:sz w:val="22"/>
          <w:szCs w:val="22"/>
          <w:vertAlign w:val="superscript"/>
        </w:rPr>
        <w:t>1</w:t>
      </w:r>
      <w:r w:rsidRPr="00CE7747">
        <w:t xml:space="preserve">, </w:t>
      </w:r>
      <w:r>
        <w:t>W. Hepples</w:t>
      </w:r>
      <w:r w:rsidRPr="00CE7747">
        <w:rPr>
          <w:sz w:val="22"/>
          <w:szCs w:val="22"/>
          <w:vertAlign w:val="superscript"/>
        </w:rPr>
        <w:t>1</w:t>
      </w:r>
      <w:r>
        <w:t xml:space="preserve">, </w:t>
      </w:r>
      <w:r w:rsidRPr="00CE7747">
        <w:t>P.A.S. Reed</w:t>
      </w:r>
      <w:r w:rsidRPr="00CE7747">
        <w:rPr>
          <w:sz w:val="22"/>
          <w:szCs w:val="22"/>
          <w:vertAlign w:val="superscript"/>
        </w:rPr>
        <w:t>1</w:t>
      </w:r>
      <w:r w:rsidRPr="00CE7747">
        <w:t>, I. Sinclair</w:t>
      </w:r>
      <w:r w:rsidRPr="00CE7747">
        <w:rPr>
          <w:sz w:val="22"/>
          <w:szCs w:val="22"/>
          <w:vertAlign w:val="superscript"/>
        </w:rPr>
        <w:t>1</w:t>
      </w:r>
      <w:r w:rsidRPr="00CE7747">
        <w:t>, S.M. Spearing</w:t>
      </w:r>
      <w:r w:rsidRPr="00CE7747">
        <w:rPr>
          <w:sz w:val="22"/>
          <w:szCs w:val="22"/>
          <w:vertAlign w:val="superscript"/>
        </w:rPr>
        <w:t>1</w:t>
      </w:r>
    </w:p>
    <w:p w14:paraId="6281205C" w14:textId="77777777" w:rsidR="00E9201B" w:rsidRPr="00CE7747" w:rsidRDefault="00E9201B" w:rsidP="00E9201B">
      <w:pPr>
        <w:jc w:val="center"/>
        <w:rPr>
          <w:sz w:val="22"/>
          <w:szCs w:val="22"/>
        </w:rPr>
      </w:pPr>
    </w:p>
    <w:p w14:paraId="0EC34EA7" w14:textId="1BB93E7B" w:rsidR="00E9201B" w:rsidRPr="00CE7747" w:rsidRDefault="00E9201B" w:rsidP="003448E4">
      <w:pPr>
        <w:pStyle w:val="AF"/>
      </w:pPr>
      <w:r w:rsidRPr="00CE7747">
        <w:rPr>
          <w:vertAlign w:val="superscript"/>
        </w:rPr>
        <w:t xml:space="preserve">1 </w:t>
      </w:r>
      <w:r w:rsidRPr="00CE7747">
        <w:t xml:space="preserve">Engineering Materials, Faculty of Engineering and the Environment, University of Southampton, University Road SO17 1BJ, Southampton, UK. </w:t>
      </w:r>
    </w:p>
    <w:p w14:paraId="75AD1F5A" w14:textId="45927D4D" w:rsidR="00E9201B" w:rsidRDefault="00E9201B" w:rsidP="00D924F8">
      <w:pPr>
        <w:pStyle w:val="AF"/>
      </w:pPr>
      <w:r w:rsidRPr="00CE7747">
        <w:t xml:space="preserve">Web Page: </w:t>
      </w:r>
      <w:hyperlink r:id="rId5" w:history="1">
        <w:r w:rsidR="003448E4" w:rsidRPr="00FB37CF">
          <w:rPr>
            <w:rStyle w:val="Hyperlink"/>
          </w:rPr>
          <w:t>http://www.southampton.ac.uk/engineering/research/groups/engmats.page</w:t>
        </w:r>
      </w:hyperlink>
    </w:p>
    <w:p w14:paraId="1FDDD2E2" w14:textId="77777777" w:rsidR="003448E4" w:rsidRDefault="003448E4" w:rsidP="003448E4">
      <w:pPr>
        <w:pStyle w:val="AF"/>
      </w:pPr>
      <w:r>
        <w:t>Corresponding Author: T. M. Allen</w:t>
      </w:r>
    </w:p>
    <w:p w14:paraId="0D98B2DD" w14:textId="7CB45965" w:rsidR="00E9201B" w:rsidRDefault="003448E4" w:rsidP="003448E4">
      <w:pPr>
        <w:pStyle w:val="AF"/>
      </w:pPr>
      <w:r w:rsidRPr="00CE7747">
        <w:t xml:space="preserve">Email: </w:t>
      </w:r>
      <w:hyperlink r:id="rId6" w:history="1">
        <w:r w:rsidRPr="00CE7747">
          <w:rPr>
            <w:rStyle w:val="Hyperlink"/>
            <w:sz w:val="22"/>
            <w:szCs w:val="22"/>
          </w:rPr>
          <w:t>tma1e12@soton.ac.uk</w:t>
        </w:r>
      </w:hyperlink>
      <w:r>
        <w:t>,</w:t>
      </w:r>
    </w:p>
    <w:p w14:paraId="2DD67CFE" w14:textId="77777777" w:rsidR="003448E4" w:rsidRPr="003448E4" w:rsidRDefault="003448E4" w:rsidP="003448E4">
      <w:pPr>
        <w:pStyle w:val="AF"/>
      </w:pPr>
    </w:p>
    <w:p w14:paraId="361282CE" w14:textId="77777777" w:rsidR="00E9201B" w:rsidRPr="00CE7747" w:rsidRDefault="00E9201B" w:rsidP="00D924F8">
      <w:pPr>
        <w:pStyle w:val="ABKWH"/>
      </w:pPr>
      <w:r w:rsidRPr="00CE7747">
        <w:t>Abstract</w:t>
      </w:r>
    </w:p>
    <w:p w14:paraId="130E91B4" w14:textId="1885D526" w:rsidR="00E9201B" w:rsidRPr="003448E4" w:rsidRDefault="00E9201B" w:rsidP="003448E4">
      <w:pPr>
        <w:pStyle w:val="ABKW"/>
      </w:pPr>
      <w:r w:rsidRPr="00CE7747">
        <w:t xml:space="preserve">The equivalence of quasi-static indentation and low velocity impact loading regimes has been assessed </w:t>
      </w:r>
      <w:r>
        <w:t>for</w:t>
      </w:r>
      <w:r w:rsidRPr="00CE7747">
        <w:t xml:space="preserve"> </w:t>
      </w:r>
      <w:r>
        <w:t>composite overwrapped pressure vessels (COPVs)</w:t>
      </w:r>
      <w:r w:rsidRPr="00CE7747">
        <w:t xml:space="preserve">. </w:t>
      </w:r>
      <w:r>
        <w:t>Test specimens</w:t>
      </w:r>
      <w:r w:rsidRPr="00CE7747">
        <w:t xml:space="preserve"> were assessed in </w:t>
      </w:r>
      <w:r>
        <w:t xml:space="preserve">detail in </w:t>
      </w:r>
      <w:r w:rsidRPr="00CE7747">
        <w:t>terms of the force-displacement response</w:t>
      </w:r>
      <w:r>
        <w:t xml:space="preserve">, and micro-focus computed tomography was used for qualitative and quantitative assessment of the associated </w:t>
      </w:r>
      <w:r w:rsidRPr="00CE7747">
        <w:t xml:space="preserve">damage to the </w:t>
      </w:r>
      <w:r>
        <w:t>constituent</w:t>
      </w:r>
      <w:r w:rsidRPr="00CE7747">
        <w:t xml:space="preserve"> material</w:t>
      </w:r>
      <w:r>
        <w:t xml:space="preserve">s/interfaces. </w:t>
      </w:r>
      <w:r w:rsidRPr="00CE7747">
        <w:t>The results show that the force-displacement response follows a</w:t>
      </w:r>
      <w:r>
        <w:t>n essentially</w:t>
      </w:r>
      <w:r w:rsidRPr="00CE7747">
        <w:t xml:space="preserve"> similar pattern between the two loading regimes</w:t>
      </w:r>
      <w:r>
        <w:t xml:space="preserve"> (within 10% for all cases)</w:t>
      </w:r>
      <w:r w:rsidRPr="00CE7747">
        <w:t xml:space="preserve">. </w:t>
      </w:r>
      <w:r>
        <w:t>Quantitative a</w:t>
      </w:r>
      <w:r w:rsidRPr="00CE7747">
        <w:t xml:space="preserve">ssessment of the projected composite damage area and </w:t>
      </w:r>
      <w:r w:rsidR="00F028AE">
        <w:t>permanent</w:t>
      </w:r>
      <w:r w:rsidRPr="00CE7747">
        <w:t xml:space="preserve"> deformation of the aluminium substrate </w:t>
      </w:r>
      <w:r>
        <w:t xml:space="preserve">as a function of peak indentor displacement also </w:t>
      </w:r>
      <w:r w:rsidRPr="00CE7747">
        <w:t xml:space="preserve">showed </w:t>
      </w:r>
      <w:r>
        <w:t>a high degree of</w:t>
      </w:r>
      <w:r w:rsidRPr="00CE7747">
        <w:t xml:space="preserve"> equivalence between the loading regimes. </w:t>
      </w:r>
      <w:r>
        <w:t xml:space="preserve">It is </w:t>
      </w:r>
      <w:r w:rsidRPr="00CE7747">
        <w:t>conclude</w:t>
      </w:r>
      <w:r>
        <w:t>d</w:t>
      </w:r>
      <w:r w:rsidRPr="00CE7747">
        <w:t xml:space="preserve"> that quasi-static indentation </w:t>
      </w:r>
      <w:r>
        <w:t>represents a usable</w:t>
      </w:r>
      <w:r w:rsidRPr="00CE7747">
        <w:t xml:space="preserve"> analogue for </w:t>
      </w:r>
      <w:r>
        <w:t xml:space="preserve">mechanistic assessment of </w:t>
      </w:r>
      <w:r w:rsidRPr="00CE7747">
        <w:t xml:space="preserve">low velocity impact </w:t>
      </w:r>
      <w:r>
        <w:t>damage</w:t>
      </w:r>
      <w:r w:rsidRPr="00CE7747">
        <w:t xml:space="preserve"> in </w:t>
      </w:r>
      <w:r>
        <w:t>the tested COPVs.</w:t>
      </w:r>
    </w:p>
    <w:p w14:paraId="30F8718C" w14:textId="77777777" w:rsidR="00D924F8" w:rsidRDefault="00E9201B" w:rsidP="00D924F8">
      <w:pPr>
        <w:pStyle w:val="ABKWH"/>
      </w:pPr>
      <w:r w:rsidRPr="00CE7747">
        <w:t xml:space="preserve">Keywords: </w:t>
      </w:r>
    </w:p>
    <w:p w14:paraId="4628C274" w14:textId="03CED8F4" w:rsidR="003448E4" w:rsidRDefault="00E9201B" w:rsidP="00D924F8">
      <w:pPr>
        <w:pStyle w:val="ABKW"/>
      </w:pPr>
      <w:r w:rsidRPr="00CE7747">
        <w:t>Hybrid Structures, Low Velocity Impact, Quasi-Static Indentation, Computed Tomography</w:t>
      </w:r>
    </w:p>
    <w:p w14:paraId="3165BD04" w14:textId="77777777" w:rsidR="003448E4" w:rsidRDefault="003448E4">
      <w:r>
        <w:br w:type="page"/>
      </w:r>
    </w:p>
    <w:p w14:paraId="24B8B7A1" w14:textId="77777777" w:rsidR="00E9201B" w:rsidRPr="00E25C56" w:rsidRDefault="00E9201B" w:rsidP="00D924F8">
      <w:pPr>
        <w:pStyle w:val="H1"/>
      </w:pPr>
      <w:r w:rsidRPr="00CE7747">
        <w:lastRenderedPageBreak/>
        <w:t>1.</w:t>
      </w:r>
      <w:r w:rsidRPr="00CE7747">
        <w:tab/>
        <w:t>Introduction</w:t>
      </w:r>
    </w:p>
    <w:p w14:paraId="5D696D02" w14:textId="5234E832" w:rsidR="00E9201B" w:rsidRDefault="00E9201B" w:rsidP="00D924F8">
      <w:r>
        <w:t xml:space="preserve">The safe storage and transportation of gas is essential to many industries, including alternative fuel vehicles, bulk gas transportation, medical and emergency breathing </w:t>
      </w:r>
      <w:r w:rsidR="003448E4">
        <w:t>apparatus</w:t>
      </w:r>
      <w:r>
        <w:t>. As such, there is a clear demand to increase the efficiency of storage by increasing gas pressures whilst decreasing the weight of the storage vessel itself. Composite Overwrapped Pressure Vessels</w:t>
      </w:r>
      <w:r w:rsidRPr="00CE7747">
        <w:t xml:space="preserve"> (</w:t>
      </w:r>
      <w:r>
        <w:t>COPVs</w:t>
      </w:r>
      <w:r w:rsidRPr="00CE7747">
        <w:t xml:space="preserve">) </w:t>
      </w:r>
      <w:r>
        <w:t xml:space="preserve">are of hybrid construction, </w:t>
      </w:r>
      <w:r w:rsidRPr="00CE7747">
        <w:t>combin</w:t>
      </w:r>
      <w:r>
        <w:t>ing</w:t>
      </w:r>
      <w:r w:rsidRPr="00CE7747">
        <w:t xml:space="preserve"> multiple material systems</w:t>
      </w:r>
      <w:r w:rsidR="0014708B">
        <w:t>,</w:t>
      </w:r>
      <w:r w:rsidRPr="00CE7747">
        <w:t xml:space="preserve"> offer</w:t>
      </w:r>
      <w:r>
        <w:t>ing</w:t>
      </w:r>
      <w:r w:rsidRPr="00CE7747">
        <w:t xml:space="preserve"> superior performance in comparison to </w:t>
      </w:r>
      <w:r>
        <w:t>metallic pressure vessels</w:t>
      </w:r>
      <w:r w:rsidRPr="00CE7747">
        <w:t xml:space="preserve">. </w:t>
      </w:r>
      <w:r>
        <w:t>Contemporary designs typically include a lightweight monolithic liner material (metallic or polymeric), with various combinations of fibre (carbon, glass, aramid) and winding patterns (hoop, longitudinal, intermediate).</w:t>
      </w:r>
    </w:p>
    <w:p w14:paraId="3087D78B" w14:textId="77777777" w:rsidR="00E9201B" w:rsidRDefault="00E9201B" w:rsidP="00D924F8"/>
    <w:p w14:paraId="6664C5F6" w14:textId="646F1A9E" w:rsidR="00E9201B" w:rsidRPr="00CE7747" w:rsidRDefault="00E9201B" w:rsidP="00D924F8">
      <w:r>
        <w:t>Incidental</w:t>
      </w:r>
      <w:r w:rsidRPr="00CE7747">
        <w:t xml:space="preserve"> load</w:t>
      </w:r>
      <w:r>
        <w:t>ing</w:t>
      </w:r>
      <w:r w:rsidRPr="00CE7747">
        <w:t xml:space="preserve"> in the radial direction, such as low velocity impact (LVI), </w:t>
      </w:r>
      <w:r>
        <w:t>is</w:t>
      </w:r>
      <w:r w:rsidRPr="00CE7747">
        <w:t xml:space="preserve"> of concern </w:t>
      </w:r>
      <w:r>
        <w:t>for subsequent</w:t>
      </w:r>
      <w:r w:rsidRPr="00CE7747">
        <w:t xml:space="preserve"> </w:t>
      </w:r>
      <w:r>
        <w:t>structural integrity</w:t>
      </w:r>
      <w:r w:rsidRPr="00CE7747">
        <w:t xml:space="preserve">. </w:t>
      </w:r>
      <w:r>
        <w:t>Gaining a greater understanding of the impact response and post-impact performance of such hybrid composite structures is a key challenge, with relatively few analyses reported in the literature [1], particularly when considered against the body of work addressing the related problem of impact and post-impact behaviour of conventional composite plates [2, 3].</w:t>
      </w:r>
    </w:p>
    <w:p w14:paraId="430B5FBC" w14:textId="77777777" w:rsidR="00E9201B" w:rsidRPr="00CE7747" w:rsidRDefault="00E9201B" w:rsidP="00D924F8"/>
    <w:p w14:paraId="26648252" w14:textId="52BCBA27" w:rsidR="00E9201B" w:rsidRPr="00CE7747" w:rsidRDefault="00E9201B" w:rsidP="00D924F8">
      <w:r w:rsidRPr="00CE7747">
        <w:t xml:space="preserve">Instrumented </w:t>
      </w:r>
      <w:r>
        <w:t>impact</w:t>
      </w:r>
      <w:r w:rsidRPr="00CE7747">
        <w:t xml:space="preserve"> tests provide </w:t>
      </w:r>
      <w:r>
        <w:t xml:space="preserve">a </w:t>
      </w:r>
      <w:r w:rsidRPr="00CE7747">
        <w:t xml:space="preserve">valuable characterisation </w:t>
      </w:r>
      <w:r>
        <w:t xml:space="preserve">tool for </w:t>
      </w:r>
      <w:r w:rsidRPr="00CE7747">
        <w:t>material and structur</w:t>
      </w:r>
      <w:r>
        <w:t>al</w:t>
      </w:r>
      <w:r w:rsidRPr="00CE7747">
        <w:t xml:space="preserve"> </w:t>
      </w:r>
      <w:r>
        <w:t xml:space="preserve">responses </w:t>
      </w:r>
      <w:r w:rsidRPr="00CE7747">
        <w:t>during impact</w:t>
      </w:r>
      <w:r>
        <w:t>, potentially</w:t>
      </w:r>
      <w:r w:rsidRPr="00CE7747">
        <w:t xml:space="preserve"> identifying the occurrence of damage events such as delamination and fibre fracture [</w:t>
      </w:r>
      <w:r>
        <w:t>4</w:t>
      </w:r>
      <w:r w:rsidRPr="00CE7747">
        <w:t xml:space="preserve">]. However, interpretation of the results can be challenging due to </w:t>
      </w:r>
      <w:r>
        <w:t xml:space="preserve">the complexity of the potential failure modes and </w:t>
      </w:r>
      <w:r w:rsidRPr="00CE7747">
        <w:t>resonance</w:t>
      </w:r>
      <w:r>
        <w:t>s</w:t>
      </w:r>
      <w:r w:rsidRPr="00CE7747">
        <w:t xml:space="preserve"> </w:t>
      </w:r>
      <w:r>
        <w:t>originating from</w:t>
      </w:r>
      <w:r w:rsidRPr="00CE7747">
        <w:t xml:space="preserve"> the support structure, specimen and impactor </w:t>
      </w:r>
      <w:r w:rsidRPr="00CE7747">
        <w:fldChar w:fldCharType="begin"/>
      </w:r>
      <w:r w:rsidRPr="00CE7747">
        <w:instrText xml:space="preserve"> ADDIN EN.CITE &lt;EndNote&gt;&lt;Cite&gt;&lt;Author&gt;Schoeppner&lt;/Author&gt;&lt;Year&gt;2000&lt;/Year&gt;&lt;RecNum&gt;59&lt;/RecNum&gt;&lt;DisplayText&gt;[43]&lt;/DisplayText&gt;&lt;record&gt;&lt;rec-number&gt;59&lt;/rec-number&gt;&lt;foreign-keys&gt;&lt;key app="EN" db-id="5v2v99dwtz9av5e5evapsa2g02aadvpsf0vp" timestamp="1441832774"&gt;59&lt;/key&gt;&lt;/foreign-keys&gt;&lt;ref-type name="Journal Article"&gt;17&lt;/ref-type&gt;&lt;contributors&gt;&lt;authors&gt;&lt;author&gt;Schoeppner, G. A.&lt;/author&gt;&lt;author&gt;Abrate, S.&lt;/author&gt;&lt;/authors&gt;&lt;/contributors&gt;&lt;titles&gt;&lt;title&gt;Delamination threshold loads for low velocity impact on composite laminates&lt;/title&gt;&lt;secondary-title&gt;Composites Part A: Applied Science and Manufacturing&lt;/secondary-title&gt;&lt;/titles&gt;&lt;periodical&gt;&lt;full-title&gt;Composites Part A: Applied Science and Manufacturing&lt;/full-title&gt;&lt;/periodical&gt;&lt;pages&gt;903-915&lt;/pages&gt;&lt;volume&gt;31&lt;/volume&gt;&lt;number&gt;9&lt;/number&gt;&lt;keywords&gt;&lt;keyword&gt;Composite laminates&lt;/keyword&gt;&lt;/keywords&gt;&lt;dates&gt;&lt;year&gt;2000&lt;/year&gt;&lt;pub-dates&gt;&lt;date&gt;9//&lt;/date&gt;&lt;/pub-dates&gt;&lt;/dates&gt;&lt;isbn&gt;1359-835X&lt;/isbn&gt;&lt;urls&gt;&lt;related-urls&gt;&lt;url&gt;http://www.sciencedirect.com/science/article/pii/S1359835X00000610&lt;/url&gt;&lt;/related-urls&gt;&lt;/urls&gt;&lt;electronic-resource-num&gt;http://dx.doi.org/10.1016/S1359-835X(00)00061-0&lt;/electronic-resource-num&gt;&lt;/record&gt;&lt;/Cite&gt;&lt;/EndNote&gt;</w:instrText>
      </w:r>
      <w:r w:rsidRPr="00CE7747">
        <w:fldChar w:fldCharType="separate"/>
      </w:r>
      <w:r w:rsidRPr="00CE7747">
        <w:rPr>
          <w:noProof/>
        </w:rPr>
        <w:t>[</w:t>
      </w:r>
      <w:r>
        <w:rPr>
          <w:noProof/>
        </w:rPr>
        <w:t>5</w:t>
      </w:r>
      <w:r w:rsidRPr="00CE7747">
        <w:rPr>
          <w:noProof/>
        </w:rPr>
        <w:t>]</w:t>
      </w:r>
      <w:r w:rsidRPr="00CE7747">
        <w:fldChar w:fldCharType="end"/>
      </w:r>
      <w:r w:rsidRPr="00CE7747">
        <w:t xml:space="preserve">. Further to this, in LVI testing only a final damage state can </w:t>
      </w:r>
      <w:r>
        <w:t xml:space="preserve">usually be </w:t>
      </w:r>
      <w:r w:rsidRPr="00CE7747">
        <w:t>assessed following the impact. The use of quasi-static indentation (QSI) tests as an analogue for LVI offers several attractive characteristics</w:t>
      </w:r>
      <w:r>
        <w:t xml:space="preserve">, such as </w:t>
      </w:r>
      <w:r w:rsidRPr="00CE7747">
        <w:t>remov</w:t>
      </w:r>
      <w:r>
        <w:t>ing</w:t>
      </w:r>
      <w:r w:rsidRPr="00CE7747">
        <w:t xml:space="preserve"> </w:t>
      </w:r>
      <w:r>
        <w:t>resonance effects seen under</w:t>
      </w:r>
      <w:r w:rsidRPr="00CE7747">
        <w:t xml:space="preserve"> dynamic </w:t>
      </w:r>
      <w:r>
        <w:t>conditions,</w:t>
      </w:r>
      <w:r w:rsidRPr="00CE7747">
        <w:t xml:space="preserve"> and </w:t>
      </w:r>
      <w:r>
        <w:t>facilitating</w:t>
      </w:r>
      <w:r w:rsidRPr="00CE7747">
        <w:t xml:space="preserve"> direct control of the force </w:t>
      </w:r>
      <w:r>
        <w:t>or</w:t>
      </w:r>
      <w:r w:rsidRPr="00CE7747">
        <w:t xml:space="preserve"> displacement applied to the specimen. Further to this, QSI tests can be interrupted, facilitating time</w:t>
      </w:r>
      <w:r>
        <w:t>-</w:t>
      </w:r>
      <w:r w:rsidRPr="00CE7747">
        <w:t xml:space="preserve">resolved studies </w:t>
      </w:r>
      <w:r>
        <w:t xml:space="preserve">of </w:t>
      </w:r>
      <w:r w:rsidRPr="00CE7747">
        <w:t xml:space="preserve">the sequence of damage </w:t>
      </w:r>
      <w:r>
        <w:t xml:space="preserve">development </w:t>
      </w:r>
      <w:r w:rsidRPr="00CE7747">
        <w:t>throughout loading [</w:t>
      </w:r>
      <w:r>
        <w:t>6</w:t>
      </w:r>
      <w:r w:rsidRPr="00CE7747">
        <w:t xml:space="preserve">]. </w:t>
      </w:r>
    </w:p>
    <w:p w14:paraId="78E84127" w14:textId="77777777" w:rsidR="00E9201B" w:rsidRPr="00CE7747" w:rsidRDefault="00E9201B" w:rsidP="00D924F8"/>
    <w:p w14:paraId="01186C4F" w14:textId="1029C908" w:rsidR="00E9201B" w:rsidRPr="00CE7747" w:rsidRDefault="00E9201B" w:rsidP="00D924F8">
      <w:pPr>
        <w:rPr>
          <w:bCs/>
        </w:rPr>
      </w:pPr>
      <w:r>
        <w:t>Using</w:t>
      </w:r>
      <w:r w:rsidRPr="00CE7747">
        <w:t xml:space="preserve"> QSI tests to simulate LVI</w:t>
      </w:r>
      <w:r>
        <w:t xml:space="preserve"> requires</w:t>
      </w:r>
      <w:r w:rsidRPr="00CE7747">
        <w:t xml:space="preserve"> </w:t>
      </w:r>
      <w:r>
        <w:t xml:space="preserve">some level of </w:t>
      </w:r>
      <w:r w:rsidRPr="00CE7747">
        <w:t xml:space="preserve">equivalence </w:t>
      </w:r>
      <w:r>
        <w:t>to</w:t>
      </w:r>
      <w:r w:rsidRPr="00CE7747">
        <w:t xml:space="preserve"> be demonstrated. </w:t>
      </w:r>
      <w:r w:rsidRPr="00CE7747">
        <w:rPr>
          <w:lang w:val="en-GB"/>
        </w:rPr>
        <w:t>It is widely reported that there is broad equivalence between QSI and LVI loading conditions in composite plate specimens [</w:t>
      </w:r>
      <w:r>
        <w:rPr>
          <w:lang w:val="en-GB"/>
        </w:rPr>
        <w:t>7-9</w:t>
      </w:r>
      <w:r w:rsidRPr="00CE7747">
        <w:rPr>
          <w:lang w:val="en-GB"/>
        </w:rPr>
        <w:t xml:space="preserve">]. </w:t>
      </w:r>
      <w:r w:rsidRPr="00CE7747">
        <w:t>However, differences have also been reported based on the</w:t>
      </w:r>
      <w:r>
        <w:t xml:space="preserve"> specimen stiffness [10</w:t>
      </w:r>
      <w:r w:rsidRPr="00CE7747">
        <w:t>] and</w:t>
      </w:r>
      <w:r>
        <w:t xml:space="preserve"> material system [11</w:t>
      </w:r>
      <w:r w:rsidRPr="00CE7747">
        <w:t xml:space="preserve">]. </w:t>
      </w:r>
      <w:r w:rsidRPr="00CE7747">
        <w:rPr>
          <w:bCs/>
        </w:rPr>
        <w:t>Whilst the vast majority of research has been conducted on plate specimens</w:t>
      </w:r>
      <w:r>
        <w:rPr>
          <w:bCs/>
        </w:rPr>
        <w:t>,</w:t>
      </w:r>
      <w:r w:rsidRPr="00CE7747">
        <w:rPr>
          <w:bCs/>
        </w:rPr>
        <w:t xml:space="preserve"> some authors have considered the similar</w:t>
      </w:r>
      <w:r>
        <w:rPr>
          <w:bCs/>
        </w:rPr>
        <w:t>i</w:t>
      </w:r>
      <w:r w:rsidRPr="00CE7747">
        <w:rPr>
          <w:bCs/>
        </w:rPr>
        <w:t xml:space="preserve">ty of the two loading regimes in </w:t>
      </w:r>
      <w:r>
        <w:rPr>
          <w:bCs/>
        </w:rPr>
        <w:t xml:space="preserve">composite materials in </w:t>
      </w:r>
      <w:r w:rsidRPr="00CE7747">
        <w:rPr>
          <w:bCs/>
        </w:rPr>
        <w:t xml:space="preserve">tubular </w:t>
      </w:r>
      <w:r>
        <w:rPr>
          <w:bCs/>
        </w:rPr>
        <w:t>geometries</w:t>
      </w:r>
      <w:r w:rsidRPr="00CE7747">
        <w:rPr>
          <w:bCs/>
        </w:rPr>
        <w:t>. Alderson and Evans, considered the equivalence of QSI and LVI in GFRP pipes of 162mm outside diameter (OD) in two support conditions</w:t>
      </w:r>
      <w:r>
        <w:rPr>
          <w:bCs/>
        </w:rPr>
        <w:t xml:space="preserve"> [12</w:t>
      </w:r>
      <w:r w:rsidRPr="00CE7747">
        <w:rPr>
          <w:bCs/>
        </w:rPr>
        <w:t xml:space="preserve">]. </w:t>
      </w:r>
      <w:r w:rsidRPr="00CE7747">
        <w:t xml:space="preserve">The force-displacement response showed agreement between the two loading conditions in both floor and end-cradled support conditions. However, the resulting damage area indicated some dependence on the support condition; specimens supported on end-cradles showed stronger agreement between QSI and LVI than floor support conditions. Curtis </w:t>
      </w:r>
      <w:r w:rsidRPr="00CE7747">
        <w:rPr>
          <w:i/>
        </w:rPr>
        <w:t>et al.</w:t>
      </w:r>
      <w:r w:rsidRPr="00CE7747">
        <w:t xml:space="preserve"> </w:t>
      </w:r>
      <w:r>
        <w:t>[13</w:t>
      </w:r>
      <w:r w:rsidRPr="00CE7747">
        <w:t>]</w:t>
      </w:r>
      <w:r>
        <w:t xml:space="preserve"> </w:t>
      </w:r>
      <w:r w:rsidRPr="00CE7747">
        <w:t xml:space="preserve">also tested GFRP pipes of similar OD, but of thinner wall thickness, in a floor support condition; in these tests </w:t>
      </w:r>
      <w:r w:rsidR="003448E4" w:rsidRPr="00CE7747">
        <w:t>equivalence</w:t>
      </w:r>
      <w:r w:rsidRPr="00CE7747">
        <w:t xml:space="preserve"> between QSI and LVI was demonstrated </w:t>
      </w:r>
      <w:r w:rsidRPr="00CE7747">
        <w:rPr>
          <w:lang w:val="en-GB"/>
        </w:rPr>
        <w:t xml:space="preserve">both in terms of force-displacement response and residual </w:t>
      </w:r>
      <w:r>
        <w:rPr>
          <w:lang w:val="en-GB"/>
        </w:rPr>
        <w:t>strength</w:t>
      </w:r>
      <w:r w:rsidRPr="00CE7747">
        <w:rPr>
          <w:lang w:val="en-GB"/>
        </w:rPr>
        <w:t xml:space="preserve"> of the specimens.</w:t>
      </w:r>
    </w:p>
    <w:p w14:paraId="20FFBEFC" w14:textId="77777777" w:rsidR="00E9201B" w:rsidRDefault="00E9201B" w:rsidP="00D924F8">
      <w:pPr>
        <w:rPr>
          <w:bCs/>
        </w:rPr>
      </w:pPr>
    </w:p>
    <w:p w14:paraId="0E4E8A70" w14:textId="77777777" w:rsidR="00E9201B" w:rsidRDefault="00E9201B" w:rsidP="00D924F8">
      <w:r>
        <w:t>In the case of COPVs t</w:t>
      </w:r>
      <w:r w:rsidRPr="00CE7747">
        <w:t xml:space="preserve">he presence of multiple materials, a non-symmetrical composite layup and a residual stress state </w:t>
      </w:r>
      <w:r>
        <w:t>may be expected to result in a more</w:t>
      </w:r>
      <w:r w:rsidRPr="00CE7747">
        <w:t xml:space="preserve"> complex</w:t>
      </w:r>
      <w:r>
        <w:t xml:space="preserve"> impact </w:t>
      </w:r>
      <w:r w:rsidRPr="00CE7747">
        <w:t>response compar</w:t>
      </w:r>
      <w:r>
        <w:t>ed</w:t>
      </w:r>
      <w:r w:rsidRPr="00CE7747">
        <w:t xml:space="preserve"> to plate or tub</w:t>
      </w:r>
      <w:r>
        <w:t>ular</w:t>
      </w:r>
      <w:r w:rsidRPr="00CE7747">
        <w:t xml:space="preserve"> structures [1</w:t>
      </w:r>
      <w:r>
        <w:t>4</w:t>
      </w:r>
      <w:r w:rsidRPr="00CE7747">
        <w:t xml:space="preserve">]. In </w:t>
      </w:r>
      <w:r>
        <w:t>COPVs</w:t>
      </w:r>
      <w:r w:rsidRPr="00CE7747">
        <w:t xml:space="preserve"> many damage mechanisms may be anticipated, such as: fibre breaks, delamination, intra-laminar cracks, metallic yield and interface debonding between the different material </w:t>
      </w:r>
      <w:r>
        <w:t>layers</w:t>
      </w:r>
      <w:r w:rsidRPr="00CE7747">
        <w:t>.</w:t>
      </w:r>
      <w:r>
        <w:t xml:space="preserve"> Kobayashi and Kawahara </w:t>
      </w:r>
      <w:r w:rsidRPr="00FB19A3">
        <w:rPr>
          <w:i/>
        </w:rPr>
        <w:t>et al.</w:t>
      </w:r>
      <w:r>
        <w:t xml:space="preserve"> [15] used both QSI and LVI tests to assess the effect of composite stacking thickness in hoop-wrapped COPVs, in which similarities between QSI and LVI were demonstrated based on a simple metric of damage depth at a specific impact energy. A detailed assessment of t</w:t>
      </w:r>
      <w:r w:rsidRPr="00CE7747">
        <w:t>he equivalence of QSI and LVI loading regimes</w:t>
      </w:r>
      <w:r>
        <w:t xml:space="preserve"> across the full range of damage mechanisms and load-displacement response</w:t>
      </w:r>
      <w:r w:rsidRPr="00CE7747">
        <w:t xml:space="preserve"> has not been reported</w:t>
      </w:r>
      <w:r>
        <w:t>.</w:t>
      </w:r>
    </w:p>
    <w:p w14:paraId="7621B533" w14:textId="77777777" w:rsidR="00E9201B" w:rsidRDefault="00E9201B" w:rsidP="00D924F8"/>
    <w:p w14:paraId="06316B2A" w14:textId="77777777" w:rsidR="00E9201B" w:rsidRDefault="00E9201B" w:rsidP="00D924F8">
      <w:r>
        <w:t xml:space="preserve">The presence of the internal aluminium layer in the COPVs under consideration in the present study provides a different boundary condition for the composite layers compared to that in the entirely composite tubes [12, 13]. Specifically, mechanisms such as metallic yield and separation between the metallic and composite plies can be expected to have an effect on the global bending stiffness of the specimens as damage develops throughout the loading process. This variable boundary condition supporting the composite may also have an effect on the relative contribution of contact and bending stresses to the overall response, which has been shown to be important in the comparison of QSI and LVI in other systems [10]. </w:t>
      </w:r>
    </w:p>
    <w:p w14:paraId="30E8EF45" w14:textId="77777777" w:rsidR="00E9201B" w:rsidRDefault="00E9201B" w:rsidP="00D924F8"/>
    <w:p w14:paraId="0FFF3BE7" w14:textId="0734E134" w:rsidR="00E9201B" w:rsidRPr="000F5D27" w:rsidRDefault="00E9201B" w:rsidP="000F5D27">
      <w:r w:rsidRPr="00CE7747">
        <w:t>Previous work</w:t>
      </w:r>
      <w:r>
        <w:t xml:space="preserve"> by the authors</w:t>
      </w:r>
      <w:r w:rsidRPr="00CE7747">
        <w:t xml:space="preserve"> </w:t>
      </w:r>
      <w:r>
        <w:t>utlilised</w:t>
      </w:r>
      <w:r w:rsidRPr="00CE7747">
        <w:t xml:space="preserve"> micro-focus X-Ray Computed Tomography (µCT) for detailed sub-surface damage assessment at a series of intervals throughout an interrupted QSI test</w:t>
      </w:r>
      <w:r>
        <w:t>,</w:t>
      </w:r>
      <w:r w:rsidRPr="00CE7747">
        <w:t xml:space="preserve"> describ</w:t>
      </w:r>
      <w:r>
        <w:t>ing</w:t>
      </w:r>
      <w:r w:rsidRPr="00CE7747">
        <w:t xml:space="preserve"> the progression of damage mechanisms in </w:t>
      </w:r>
      <w:r>
        <w:t>COPVs [16</w:t>
      </w:r>
      <w:r w:rsidRPr="00CE7747">
        <w:t>]. In this study instrumented impact tests were completed at</w:t>
      </w:r>
      <w:r>
        <w:t xml:space="preserve"> impact energies resulting in</w:t>
      </w:r>
      <w:r w:rsidRPr="00CE7747">
        <w:t xml:space="preserve"> comparable peak force and displacements to the QSI tests in order to assess the equivalence of both the load response and the nature and </w:t>
      </w:r>
      <w:r>
        <w:t xml:space="preserve">quantitative </w:t>
      </w:r>
      <w:r w:rsidRPr="00CE7747">
        <w:t xml:space="preserve">extent of the resulting damage. The contribution of each material system to the overall impact response and the initiation and progression of different damage mechanisms within a </w:t>
      </w:r>
      <w:r>
        <w:t>COPV</w:t>
      </w:r>
      <w:r w:rsidRPr="00CE7747">
        <w:t xml:space="preserve"> is assessed.</w:t>
      </w:r>
    </w:p>
    <w:p w14:paraId="4DA9BFCB" w14:textId="77777777" w:rsidR="00E9201B" w:rsidRPr="00CE7747" w:rsidRDefault="00E9201B" w:rsidP="00D924F8">
      <w:pPr>
        <w:pStyle w:val="H1"/>
      </w:pPr>
      <w:r w:rsidRPr="00CE7747">
        <w:t>2.</w:t>
      </w:r>
      <w:r w:rsidRPr="00CE7747">
        <w:tab/>
        <w:t>Method and Materials</w:t>
      </w:r>
    </w:p>
    <w:p w14:paraId="042FB567" w14:textId="77777777" w:rsidR="00E9201B" w:rsidRPr="00CE7747" w:rsidRDefault="00E9201B" w:rsidP="00D924F8">
      <w:pPr>
        <w:pStyle w:val="H2"/>
      </w:pPr>
      <w:r w:rsidRPr="00CE7747">
        <w:t xml:space="preserve">2.1. </w:t>
      </w:r>
      <w:r w:rsidRPr="00CE7747">
        <w:tab/>
        <w:t>Quasi-Static Indentation</w:t>
      </w:r>
    </w:p>
    <w:p w14:paraId="354EDE0D" w14:textId="77777777" w:rsidR="00E9201B" w:rsidRPr="00D924F8" w:rsidRDefault="00E9201B" w:rsidP="00D924F8">
      <w:pPr>
        <w:rPr>
          <w:iCs/>
          <w:color w:val="000000"/>
        </w:rPr>
      </w:pPr>
      <w:r w:rsidRPr="00CE7747">
        <w:t xml:space="preserve">Quasi-static indentation </w:t>
      </w:r>
      <w:r>
        <w:t>tests were</w:t>
      </w:r>
      <w:r w:rsidRPr="00CE7747">
        <w:t xml:space="preserve"> conducted on a</w:t>
      </w:r>
      <w:r w:rsidR="00D924F8">
        <w:t>n</w:t>
      </w:r>
      <w:r w:rsidRPr="00CE7747">
        <w:t xml:space="preserve"> </w:t>
      </w:r>
      <w:r>
        <w:t>Instron</w:t>
      </w:r>
      <w:r w:rsidRPr="00CE7747">
        <w:rPr>
          <w:szCs w:val="22"/>
          <w:vertAlign w:val="superscript"/>
        </w:rPr>
        <w:t>TM</w:t>
      </w:r>
      <w:r>
        <w:t xml:space="preserve"> 5569</w:t>
      </w:r>
      <w:r w:rsidRPr="00CE7747">
        <w:t xml:space="preserve"> electromechanical test machine</w:t>
      </w:r>
      <w:r>
        <w:t>,</w:t>
      </w:r>
      <w:r w:rsidRPr="00C1570F">
        <w:rPr>
          <w:iCs/>
          <w:color w:val="000000"/>
        </w:rPr>
        <w:t xml:space="preserve"> </w:t>
      </w:r>
      <w:r>
        <w:rPr>
          <w:iCs/>
          <w:color w:val="000000"/>
        </w:rPr>
        <w:t>a schematic diagram of the QSI test setup is presented in Fig. 1</w:t>
      </w:r>
      <w:r>
        <w:t xml:space="preserve">. </w:t>
      </w:r>
      <w:r w:rsidRPr="00CE7747">
        <w:t>A 16mm hemispherical indentor was used. Test s</w:t>
      </w:r>
      <w:r>
        <w:t>pecimens</w:t>
      </w:r>
      <w:r w:rsidRPr="00CE7747">
        <w:t xml:space="preserve"> were supported with a 150mm long st</w:t>
      </w:r>
      <w:r>
        <w:t>eel block with a shallow angle V</w:t>
      </w:r>
      <w:r w:rsidRPr="00CE7747">
        <w:t>-groove</w:t>
      </w:r>
      <w:r>
        <w:t xml:space="preserve"> (145˚)</w:t>
      </w:r>
      <w:r w:rsidRPr="00CE7747">
        <w:t xml:space="preserve"> for central location of the </w:t>
      </w:r>
      <w:r>
        <w:t>cylindrical cross-section</w:t>
      </w:r>
      <w:r w:rsidRPr="00CE7747">
        <w:t>. Force-displacement data was recorded during the loading and unloading phase of the test at a loading rate of 2mm/min for all tests.</w:t>
      </w:r>
      <w:r w:rsidRPr="00CE7747">
        <w:rPr>
          <w:iCs/>
          <w:color w:val="000000"/>
        </w:rPr>
        <w:t xml:space="preserve"> </w:t>
      </w:r>
      <w:r>
        <w:rPr>
          <w:iCs/>
          <w:color w:val="000000"/>
        </w:rPr>
        <w:t>D</w:t>
      </w:r>
      <w:r w:rsidRPr="00CE7747">
        <w:rPr>
          <w:iCs/>
          <w:color w:val="000000"/>
        </w:rPr>
        <w:t>isplacement measurement</w:t>
      </w:r>
      <w:r>
        <w:rPr>
          <w:iCs/>
          <w:color w:val="000000"/>
        </w:rPr>
        <w:t>s</w:t>
      </w:r>
      <w:r w:rsidRPr="00CE7747">
        <w:rPr>
          <w:iCs/>
          <w:color w:val="000000"/>
        </w:rPr>
        <w:t xml:space="preserve"> w</w:t>
      </w:r>
      <w:r>
        <w:rPr>
          <w:iCs/>
          <w:color w:val="000000"/>
        </w:rPr>
        <w:t>ere</w:t>
      </w:r>
      <w:r w:rsidRPr="00CE7747">
        <w:rPr>
          <w:iCs/>
          <w:color w:val="000000"/>
        </w:rPr>
        <w:t xml:space="preserve"> taken at the crosshea</w:t>
      </w:r>
      <w:r>
        <w:rPr>
          <w:iCs/>
          <w:color w:val="000000"/>
        </w:rPr>
        <w:t>d of the test machine</w:t>
      </w:r>
      <w:r w:rsidRPr="00CE7747">
        <w:rPr>
          <w:iCs/>
          <w:color w:val="000000"/>
        </w:rPr>
        <w:t xml:space="preserve">. </w:t>
      </w:r>
      <w:r>
        <w:rPr>
          <w:iCs/>
          <w:color w:val="000000"/>
        </w:rPr>
        <w:t xml:space="preserve">Compliance </w:t>
      </w:r>
      <w:r w:rsidRPr="00CE7747">
        <w:rPr>
          <w:iCs/>
          <w:color w:val="000000"/>
        </w:rPr>
        <w:t xml:space="preserve">in the </w:t>
      </w:r>
      <w:r>
        <w:rPr>
          <w:iCs/>
          <w:color w:val="000000"/>
        </w:rPr>
        <w:t xml:space="preserve">load chain was characterised against an effectively </w:t>
      </w:r>
      <w:r w:rsidRPr="00CE7747">
        <w:rPr>
          <w:iCs/>
          <w:color w:val="000000"/>
        </w:rPr>
        <w:t xml:space="preserve">rigid steel block of </w:t>
      </w:r>
      <w:r>
        <w:rPr>
          <w:iCs/>
          <w:color w:val="000000"/>
        </w:rPr>
        <w:t xml:space="preserve">the same </w:t>
      </w:r>
      <w:r w:rsidRPr="00CE7747">
        <w:rPr>
          <w:iCs/>
          <w:color w:val="000000"/>
        </w:rPr>
        <w:t xml:space="preserve">height </w:t>
      </w:r>
      <w:r>
        <w:rPr>
          <w:iCs/>
          <w:color w:val="000000"/>
        </w:rPr>
        <w:t xml:space="preserve">as the tube </w:t>
      </w:r>
      <w:r w:rsidRPr="00CE7747">
        <w:rPr>
          <w:iCs/>
          <w:color w:val="000000"/>
        </w:rPr>
        <w:t>sample</w:t>
      </w:r>
      <w:r>
        <w:rPr>
          <w:iCs/>
          <w:color w:val="000000"/>
        </w:rPr>
        <w:t>s</w:t>
      </w:r>
      <w:r w:rsidRPr="00CE7747">
        <w:rPr>
          <w:iCs/>
          <w:color w:val="000000"/>
        </w:rPr>
        <w:t xml:space="preserve">. </w:t>
      </w:r>
      <w:r>
        <w:rPr>
          <w:iCs/>
          <w:color w:val="000000"/>
        </w:rPr>
        <w:t>A corresponding</w:t>
      </w:r>
      <w:r w:rsidRPr="00CE7747">
        <w:rPr>
          <w:iCs/>
          <w:color w:val="000000"/>
        </w:rPr>
        <w:t xml:space="preserve"> compliance correction was then applied to all QSI tests.</w:t>
      </w:r>
      <w:r>
        <w:rPr>
          <w:iCs/>
          <w:color w:val="000000"/>
        </w:rPr>
        <w:t xml:space="preserve"> </w:t>
      </w:r>
    </w:p>
    <w:p w14:paraId="2DA963F4" w14:textId="77777777" w:rsidR="00E9201B" w:rsidRPr="00CE7747" w:rsidRDefault="00E9201B" w:rsidP="00D924F8">
      <w:pPr>
        <w:pStyle w:val="H2"/>
      </w:pPr>
      <w:r w:rsidRPr="00CE7747">
        <w:lastRenderedPageBreak/>
        <w:t xml:space="preserve">2.2. </w:t>
      </w:r>
      <w:r w:rsidRPr="00CE7747">
        <w:tab/>
        <w:t>Low Velocity Impact</w:t>
      </w:r>
    </w:p>
    <w:p w14:paraId="13412743" w14:textId="2E11F8F2" w:rsidR="00E9201B" w:rsidRPr="003448E4" w:rsidRDefault="00E9201B" w:rsidP="003448E4">
      <w:r w:rsidRPr="00CE7747">
        <w:t>All controlled impacts were conducted on an Instron</w:t>
      </w:r>
      <w:r w:rsidRPr="00CE7747">
        <w:rPr>
          <w:vertAlign w:val="superscript"/>
        </w:rPr>
        <w:t>TM</w:t>
      </w:r>
      <w:r w:rsidRPr="00CE7747">
        <w:t xml:space="preserve"> CEAST 9350 drop tower</w:t>
      </w:r>
      <w:r>
        <w:t>.</w:t>
      </w:r>
      <w:r w:rsidRPr="00CE7747">
        <w:t xml:space="preserve"> For each impact </w:t>
      </w:r>
      <w:r>
        <w:t xml:space="preserve">some </w:t>
      </w:r>
      <w:r w:rsidRPr="00CE7747">
        <w:t xml:space="preserve">10,000 data points were collected at a sampling frequency of 500kHz. </w:t>
      </w:r>
      <w:r>
        <w:t>The configuration of the test was similar to the QSI test shown in Fig. 1 with an</w:t>
      </w:r>
      <w:r w:rsidRPr="00CE7747">
        <w:t xml:space="preserve"> impactor of identical geometry the </w:t>
      </w:r>
      <w:r>
        <w:t>test specimens</w:t>
      </w:r>
      <w:r w:rsidRPr="00CE7747">
        <w:t xml:space="preserve"> </w:t>
      </w:r>
      <w:r>
        <w:t>supported using the same V</w:t>
      </w:r>
      <w:r w:rsidRPr="00CE7747">
        <w:t>-groove block.</w:t>
      </w:r>
      <w:r>
        <w:t xml:space="preserve"> </w:t>
      </w:r>
      <w:r w:rsidRPr="00CE7747">
        <w:t xml:space="preserve">Two lightly secured straps were used to retain the specimen in the support block during impact. </w:t>
      </w:r>
      <w:r>
        <w:t>A single impact was applied to each test specimen with secondary impacts prevented by the test machine.</w:t>
      </w:r>
    </w:p>
    <w:p w14:paraId="458BE0E0" w14:textId="77777777" w:rsidR="00E9201B" w:rsidRPr="00E25C56" w:rsidRDefault="00E9201B" w:rsidP="00D924F8">
      <w:pPr>
        <w:pStyle w:val="H2"/>
      </w:pPr>
      <w:r w:rsidRPr="00CE7747">
        <w:t>2.3 Computed Tomography</w:t>
      </w:r>
    </w:p>
    <w:p w14:paraId="223EB94F" w14:textId="77777777" w:rsidR="00E9201B" w:rsidRDefault="00E9201B" w:rsidP="00D924F8">
      <w:r w:rsidRPr="00CE7747">
        <w:t xml:space="preserve">The CT scans were completed on a Nikon Metrology HMX scanner </w:t>
      </w:r>
      <w:r>
        <w:t>(</w:t>
      </w:r>
      <w:r w:rsidRPr="00CE7747">
        <w:t>225kV X-ray source and Perkin-Elmer 1621 2048 x 2048 pixel flat panel detector</w:t>
      </w:r>
      <w:r>
        <w:t>)</w:t>
      </w:r>
      <w:r w:rsidRPr="00CE7747">
        <w:t xml:space="preserve"> at the µ-VIS </w:t>
      </w:r>
      <w:r>
        <w:t>X-ray Imaging C</w:t>
      </w:r>
      <w:r w:rsidRPr="00CE7747">
        <w:t>entre, University of Southampton.</w:t>
      </w:r>
      <w:r>
        <w:t xml:space="preserve"> </w:t>
      </w:r>
      <w:r w:rsidRPr="00CE7747">
        <w:t xml:space="preserve">A custom jig was used to offset the specimen from the centre of rotation to complete a local region-of-interest scan of </w:t>
      </w:r>
      <w:r>
        <w:t>sections</w:t>
      </w:r>
      <w:r w:rsidRPr="00CE7747">
        <w:t xml:space="preserve"> of the sidewall</w:t>
      </w:r>
      <w:r>
        <w:t xml:space="preserve"> (Fig. 2)</w:t>
      </w:r>
      <w:r w:rsidRPr="00CE7747">
        <w:t>. An electron accelerating voltage of 170kV was selected, with a tungsten reflection target and a beam current of 151µA. 3142 equiangular projections were acquired through 360º rotation of the sample, with sixteen frames per projection taken to reduce noise. 3D reconstruction was performed using a filtered-back projection algorithm implemented in CTPro 3D. The resulting volumes have an isometric voxel size of 50μm. Image processing and analysis was completed using the software packages ImageJ and VGStudio max 2.1</w:t>
      </w:r>
      <w:r w:rsidRPr="00CE7747">
        <w:rPr>
          <w:vertAlign w:val="superscript"/>
        </w:rPr>
        <w:t>TM</w:t>
      </w:r>
      <w:r w:rsidRPr="00CE7747">
        <w:t>.</w:t>
      </w:r>
    </w:p>
    <w:p w14:paraId="5B57CD8F" w14:textId="77777777" w:rsidR="00D924F8" w:rsidRPr="00D924F8" w:rsidRDefault="00D924F8" w:rsidP="00D924F8"/>
    <w:p w14:paraId="0E404B37" w14:textId="7A2C5EE4" w:rsidR="00E9201B" w:rsidRPr="00D924F8" w:rsidRDefault="00E9201B" w:rsidP="00D924F8">
      <w:r>
        <w:t>In addition to detailed visual inspection of the CT data two damage measurements were quantified for each inspection point</w:t>
      </w:r>
      <w:r w:rsidR="006D72E6" w:rsidRPr="006D72E6">
        <w:rPr>
          <w:highlight w:val="yellow"/>
        </w:rPr>
        <w:t>: plastic deformation of the aluminium substrate and the damage area in the CFRP layer</w:t>
      </w:r>
      <w:r w:rsidRPr="006D72E6">
        <w:rPr>
          <w:highlight w:val="yellow"/>
        </w:rPr>
        <w:t xml:space="preserve">. </w:t>
      </w:r>
      <w:r w:rsidR="006D72E6" w:rsidRPr="006D72E6">
        <w:rPr>
          <w:highlight w:val="yellow"/>
        </w:rPr>
        <w:t>Prior to taking these measurements all the datasets were linearly calibrated based on the first scan of the undamaged specimen in order to</w:t>
      </w:r>
      <w:r w:rsidRPr="006D72E6">
        <w:rPr>
          <w:highlight w:val="yellow"/>
        </w:rPr>
        <w:t xml:space="preserve"> account for small variations between the CT scans</w:t>
      </w:r>
      <w:r w:rsidRPr="00CE7747">
        <w:t>. This process ensures the greyscale values were as consistent as possible across all datasets. The plastic deformation of the aluminium substrate was quantified in terms of the maximum residual dent depth. This was achieved by direct measurement of the greyscale values to ensure consistency in the selection of the transition between air and aluminium. The damage in the composite was quantified in terms of the projected damage area using a histogram-based segmentation process within the CFRP layer. This approach segments all the air within the CFRP layer, which includes both the damage caused by the indentation and the void content in the structure. By performing a projection through the wall thickness the damaged area was then clearly identifiable from the background void content</w:t>
      </w:r>
      <w:r>
        <w:t xml:space="preserve">. </w:t>
      </w:r>
      <w:r w:rsidRPr="00FC25BA">
        <w:t>The damage area was segmented using a connected region analysis approach, consistent across all images.</w:t>
      </w:r>
    </w:p>
    <w:p w14:paraId="53924669" w14:textId="77777777" w:rsidR="00E9201B" w:rsidRPr="00E25C56" w:rsidRDefault="00E9201B" w:rsidP="00D924F8">
      <w:pPr>
        <w:pStyle w:val="H2"/>
      </w:pPr>
      <w:r w:rsidRPr="00CE7747">
        <w:t>2.4 Sample Details</w:t>
      </w:r>
    </w:p>
    <w:p w14:paraId="2DA40449" w14:textId="77777777" w:rsidR="00E9201B" w:rsidRPr="00D924F8" w:rsidRDefault="00E9201B" w:rsidP="00D924F8">
      <w:r>
        <w:rPr>
          <w:lang w:val="en-GB"/>
        </w:rPr>
        <w:t xml:space="preserve">The COPVs tested in this study </w:t>
      </w:r>
      <w:r w:rsidRPr="00CE7747">
        <w:rPr>
          <w:lang w:val="en-GB"/>
        </w:rPr>
        <w:t>were specially manufactured for the purposes of this work</w:t>
      </w:r>
      <w:r>
        <w:rPr>
          <w:lang w:val="en-GB"/>
        </w:rPr>
        <w:t>, consisting of</w:t>
      </w:r>
      <w:r w:rsidRPr="00CE7747">
        <w:t xml:space="preserve"> a 6061-T6 aluminium alloy </w:t>
      </w:r>
      <w:r>
        <w:t>substrate overwrapped by concentric layers of</w:t>
      </w:r>
      <w:r w:rsidRPr="00CE7747">
        <w:t xml:space="preserve"> CFRP</w:t>
      </w:r>
      <w:r>
        <w:t xml:space="preserve"> </w:t>
      </w:r>
      <w:r w:rsidRPr="00CE7747">
        <w:t xml:space="preserve">and GFRP. </w:t>
      </w:r>
      <w:r>
        <w:t>The specimens tested were 550mm in length with layer</w:t>
      </w:r>
      <w:r w:rsidRPr="00CE7747">
        <w:t xml:space="preserve"> thicknesses </w:t>
      </w:r>
      <w:r>
        <w:t>of</w:t>
      </w:r>
      <w:r w:rsidRPr="00CE7747">
        <w:t xml:space="preserve"> 2mm, 5mm and 1mm</w:t>
      </w:r>
      <w:r>
        <w:t xml:space="preserve"> for </w:t>
      </w:r>
      <w:r w:rsidRPr="00CE7747">
        <w:t>the aluminium, CFRP and GFRP respectively</w:t>
      </w:r>
      <w:r>
        <w:t>,</w:t>
      </w:r>
      <w:r w:rsidRPr="00CE7747">
        <w:t xml:space="preserve"> </w:t>
      </w:r>
      <w:r>
        <w:lastRenderedPageBreak/>
        <w:t>with</w:t>
      </w:r>
      <w:r w:rsidRPr="00CE7747">
        <w:t xml:space="preserve"> a</w:t>
      </w:r>
      <w:r>
        <w:t xml:space="preserve"> total outer diameter of</w:t>
      </w:r>
      <w:r w:rsidRPr="00CE7747">
        <w:t xml:space="preserve"> 150mm. The composite layers were filament wound in a combination of </w:t>
      </w:r>
      <w:r>
        <w:t xml:space="preserve">alternating </w:t>
      </w:r>
      <w:r w:rsidRPr="00CE7747">
        <w:t xml:space="preserve">circumferential and </w:t>
      </w:r>
      <w:r>
        <w:t>higher</w:t>
      </w:r>
      <w:r w:rsidRPr="00CE7747">
        <w:t xml:space="preserve"> angle helical wr</w:t>
      </w:r>
      <w:r>
        <w:t>a</w:t>
      </w:r>
      <w:r w:rsidRPr="00CE7747">
        <w:t xml:space="preserve">ps onto the aluminium </w:t>
      </w:r>
      <w:r>
        <w:t>substrate</w:t>
      </w:r>
      <w:r w:rsidRPr="00CE7747">
        <w:t xml:space="preserve"> and cured in a</w:t>
      </w:r>
      <w:r>
        <w:t xml:space="preserve"> non</w:t>
      </w:r>
      <w:r w:rsidRPr="00CE7747">
        <w:t>-autoclave process.</w:t>
      </w:r>
      <w:r>
        <w:t xml:space="preserve"> The CFRP layer consists of six plies and the GFRP of two plies. No internal pressure was applied to the COPV specimens during the testing process.</w:t>
      </w:r>
    </w:p>
    <w:p w14:paraId="08452BB5" w14:textId="77777777" w:rsidR="00E9201B" w:rsidRPr="00E25C56" w:rsidRDefault="00E9201B" w:rsidP="00D924F8">
      <w:pPr>
        <w:pStyle w:val="H2"/>
      </w:pPr>
      <w:r w:rsidRPr="00CE7747">
        <w:t>2.5 Experimental Method</w:t>
      </w:r>
    </w:p>
    <w:p w14:paraId="03637056" w14:textId="08AF88E9" w:rsidR="00E9201B" w:rsidRPr="003448E4" w:rsidRDefault="00E9201B" w:rsidP="00E9201B">
      <w:pPr>
        <w:rPr>
          <w:bCs/>
          <w:lang w:val="en-GB"/>
        </w:rPr>
      </w:pPr>
      <w:r w:rsidRPr="00CE7747">
        <w:t xml:space="preserve">A total of six specimens were tested. Two were loaded in separate interrupted QSI </w:t>
      </w:r>
      <w:r>
        <w:t>experiments</w:t>
      </w:r>
      <w:r w:rsidRPr="00CE7747">
        <w:t xml:space="preserve">. </w:t>
      </w:r>
      <w:r>
        <w:rPr>
          <w:lang w:val="en-GB"/>
        </w:rPr>
        <w:t>I</w:t>
      </w:r>
      <w:r w:rsidRPr="00CE7747">
        <w:rPr>
          <w:lang w:val="en-GB"/>
        </w:rPr>
        <w:t>ndentation w</w:t>
      </w:r>
      <w:r>
        <w:rPr>
          <w:lang w:val="en-GB"/>
        </w:rPr>
        <w:t>as</w:t>
      </w:r>
      <w:r w:rsidRPr="00CE7747">
        <w:rPr>
          <w:lang w:val="en-GB"/>
        </w:rPr>
        <w:t xml:space="preserve"> </w:t>
      </w:r>
      <w:r>
        <w:rPr>
          <w:lang w:val="en-GB"/>
        </w:rPr>
        <w:t>carried out</w:t>
      </w:r>
      <w:r w:rsidRPr="00CE7747">
        <w:rPr>
          <w:lang w:val="en-GB"/>
        </w:rPr>
        <w:t xml:space="preserve"> </w:t>
      </w:r>
      <w:r w:rsidRPr="00CE7747">
        <w:rPr>
          <w:i/>
          <w:lang w:val="en-GB"/>
        </w:rPr>
        <w:t>ex</w:t>
      </w:r>
      <w:r>
        <w:rPr>
          <w:i/>
          <w:lang w:val="en-GB"/>
        </w:rPr>
        <w:t xml:space="preserve"> </w:t>
      </w:r>
      <w:r w:rsidRPr="00CE7747">
        <w:rPr>
          <w:i/>
          <w:lang w:val="en-GB"/>
        </w:rPr>
        <w:t>situ</w:t>
      </w:r>
      <w:r w:rsidRPr="00CE7747">
        <w:rPr>
          <w:lang w:val="en-GB"/>
        </w:rPr>
        <w:t xml:space="preserve"> </w:t>
      </w:r>
      <w:r>
        <w:rPr>
          <w:lang w:val="en-GB"/>
        </w:rPr>
        <w:t>to</w:t>
      </w:r>
      <w:r w:rsidRPr="00CE7747">
        <w:rPr>
          <w:lang w:val="en-GB"/>
        </w:rPr>
        <w:t xml:space="preserve"> the CT scanner</w:t>
      </w:r>
      <w:r>
        <w:rPr>
          <w:lang w:val="en-GB"/>
        </w:rPr>
        <w:t>: a</w:t>
      </w:r>
      <w:r w:rsidRPr="00CE7747">
        <w:rPr>
          <w:lang w:val="en-GB"/>
        </w:rPr>
        <w:t xml:space="preserve">fter </w:t>
      </w:r>
      <w:r>
        <w:rPr>
          <w:lang w:val="en-GB"/>
        </w:rPr>
        <w:t>an initial</w:t>
      </w:r>
      <w:r w:rsidRPr="00CE7747">
        <w:rPr>
          <w:lang w:val="en-GB"/>
        </w:rPr>
        <w:t xml:space="preserve"> scan in the undamaged condition</w:t>
      </w:r>
      <w:r>
        <w:rPr>
          <w:lang w:val="en-GB"/>
        </w:rPr>
        <w:t>,</w:t>
      </w:r>
      <w:r w:rsidRPr="00CE7747">
        <w:rPr>
          <w:lang w:val="en-GB"/>
        </w:rPr>
        <w:t xml:space="preserve"> </w:t>
      </w:r>
      <w:r>
        <w:rPr>
          <w:lang w:val="en-GB"/>
        </w:rPr>
        <w:t>specimens</w:t>
      </w:r>
      <w:r w:rsidRPr="00CE7747">
        <w:rPr>
          <w:lang w:val="en-GB"/>
        </w:rPr>
        <w:t xml:space="preserve"> </w:t>
      </w:r>
      <w:r>
        <w:rPr>
          <w:lang w:val="en-GB"/>
        </w:rPr>
        <w:t>were</w:t>
      </w:r>
      <w:r w:rsidRPr="00CE7747">
        <w:rPr>
          <w:lang w:val="en-GB"/>
        </w:rPr>
        <w:t xml:space="preserve"> loaded to the first load step, unloaded and then rescanned. This process was repeated through </w:t>
      </w:r>
      <w:r>
        <w:rPr>
          <w:lang w:val="en-GB"/>
        </w:rPr>
        <w:t>successively increasing</w:t>
      </w:r>
      <w:r w:rsidRPr="00CE7747">
        <w:rPr>
          <w:lang w:val="en-GB"/>
        </w:rPr>
        <w:t xml:space="preserve"> load steps</w:t>
      </w:r>
      <w:r w:rsidRPr="00CE7747">
        <w:t>. Four s</w:t>
      </w:r>
      <w:r>
        <w:t>pecimen</w:t>
      </w:r>
      <w:r w:rsidRPr="00CE7747">
        <w:t>s were then impacted a</w:t>
      </w:r>
      <w:r>
        <w:t>cross a</w:t>
      </w:r>
      <w:r w:rsidRPr="00CE7747">
        <w:t xml:space="preserve"> </w:t>
      </w:r>
      <w:r>
        <w:t xml:space="preserve">range of </w:t>
      </w:r>
      <w:r w:rsidRPr="00CE7747">
        <w:t>energy levels</w:t>
      </w:r>
      <w:r>
        <w:t>,</w:t>
      </w:r>
      <w:r w:rsidRPr="00CE7747">
        <w:t xml:space="preserve"> </w:t>
      </w:r>
      <w:r>
        <w:t>selected to develop peak loads similar</w:t>
      </w:r>
      <w:r w:rsidRPr="00CE7747">
        <w:t xml:space="preserve"> to the </w:t>
      </w:r>
      <w:r>
        <w:t>load steps</w:t>
      </w:r>
      <w:r w:rsidRPr="00CE7747">
        <w:t xml:space="preserve"> </w:t>
      </w:r>
      <w:r>
        <w:t xml:space="preserve">of </w:t>
      </w:r>
      <w:r w:rsidRPr="00CE7747">
        <w:t xml:space="preserve">the QSI tests. </w:t>
      </w:r>
      <w:r>
        <w:t xml:space="preserve">Details of the energy, mass and velocity of the LVI tests are given in Table 1. </w:t>
      </w:r>
      <w:r w:rsidRPr="00CE7747">
        <w:t>A total of 12 CT scans were completed in this study</w:t>
      </w:r>
      <w:r>
        <w:t xml:space="preserve"> across the QSI and LVI test specimens. A</w:t>
      </w:r>
      <w:r w:rsidRPr="00CE7747">
        <w:t xml:space="preserve"> list of </w:t>
      </w:r>
      <w:r>
        <w:t xml:space="preserve">the </w:t>
      </w:r>
      <w:r w:rsidR="00AD6DFF" w:rsidRPr="00436759">
        <w:rPr>
          <w:highlight w:val="yellow"/>
        </w:rPr>
        <w:t xml:space="preserve">instances of </w:t>
      </w:r>
      <w:r w:rsidRPr="00436759">
        <w:rPr>
          <w:highlight w:val="yellow"/>
        </w:rPr>
        <w:t xml:space="preserve">damage inspection </w:t>
      </w:r>
      <w:r w:rsidR="00436759" w:rsidRPr="00436759">
        <w:rPr>
          <w:highlight w:val="yellow"/>
        </w:rPr>
        <w:t>throughout the loading process</w:t>
      </w:r>
      <w:r w:rsidR="00436759">
        <w:t xml:space="preserve"> </w:t>
      </w:r>
      <w:r>
        <w:t>is shown in Table 2,</w:t>
      </w:r>
      <w:r w:rsidRPr="00CE7747">
        <w:t xml:space="preserve"> </w:t>
      </w:r>
      <w:r>
        <w:t>normalised to</w:t>
      </w:r>
      <w:r w:rsidRPr="00CE7747">
        <w:t xml:space="preserve"> the peak load (P</w:t>
      </w:r>
      <w:r w:rsidRPr="00CE7747">
        <w:rPr>
          <w:vertAlign w:val="subscript"/>
        </w:rPr>
        <w:t>f</w:t>
      </w:r>
      <w:r w:rsidRPr="00CE7747">
        <w:t>) of the highest energy</w:t>
      </w:r>
      <w:r>
        <w:t xml:space="preserve"> (120J)</w:t>
      </w:r>
      <w:r w:rsidRPr="00CE7747">
        <w:t xml:space="preserve"> impact test</w:t>
      </w:r>
      <w:r>
        <w:t>.</w:t>
      </w:r>
    </w:p>
    <w:p w14:paraId="18D950E9" w14:textId="77777777" w:rsidR="00E9201B" w:rsidRPr="00CE7747" w:rsidRDefault="00E9201B" w:rsidP="00D924F8">
      <w:pPr>
        <w:pStyle w:val="H1"/>
      </w:pPr>
      <w:r w:rsidRPr="00CE7747">
        <w:t>3.</w:t>
      </w:r>
      <w:r w:rsidRPr="00CE7747">
        <w:tab/>
        <w:t>Results</w:t>
      </w:r>
    </w:p>
    <w:p w14:paraId="6401C0ED" w14:textId="77777777" w:rsidR="00E9201B" w:rsidRPr="00CE7747" w:rsidRDefault="00E9201B" w:rsidP="00D924F8">
      <w:pPr>
        <w:pStyle w:val="H2"/>
      </w:pPr>
      <w:r w:rsidRPr="00CE7747">
        <w:t xml:space="preserve">3.1 Force-displacement </w:t>
      </w:r>
      <w:r>
        <w:t>behaviour</w:t>
      </w:r>
    </w:p>
    <w:p w14:paraId="32532C79" w14:textId="77777777" w:rsidR="00E9201B" w:rsidRPr="00CE7747" w:rsidRDefault="00E9201B" w:rsidP="00D924F8">
      <w:r>
        <w:t>Fig.</w:t>
      </w:r>
      <w:r w:rsidRPr="00CE7747">
        <w:t xml:space="preserve"> </w:t>
      </w:r>
      <w:r>
        <w:t>3</w:t>
      </w:r>
      <w:r w:rsidRPr="00CE7747">
        <w:t xml:space="preserve"> show</w:t>
      </w:r>
      <w:r>
        <w:t>s</w:t>
      </w:r>
      <w:r w:rsidRPr="00CE7747">
        <w:t xml:space="preserve"> a comparison of the force-displacement response of </w:t>
      </w:r>
      <w:r>
        <w:t>a</w:t>
      </w:r>
      <w:r w:rsidRPr="00CE7747">
        <w:t xml:space="preserve"> complete interrupted QSI test and the highest energy impact sample. Both loading regimes demonstrate a similar force-displacement response. An initial </w:t>
      </w:r>
      <w:r>
        <w:t xml:space="preserve">elastic phase </w:t>
      </w:r>
      <w:r w:rsidRPr="00CE7747">
        <w:t xml:space="preserve">was observed up to ~1mm displacement </w:t>
      </w:r>
      <w:r>
        <w:t>at which point a slope change occurred and a secondary regime of lower gradient continued</w:t>
      </w:r>
      <w:r w:rsidRPr="00CE7747">
        <w:t xml:space="preserve"> up to ~8mm displacement</w:t>
      </w:r>
      <w:r>
        <w:t>. During this second phase</w:t>
      </w:r>
      <w:r w:rsidRPr="00CE7747">
        <w:t xml:space="preserve"> </w:t>
      </w:r>
      <w:r>
        <w:t xml:space="preserve">some stiffening of the structure was observed which may be related to membrane effects. Near the point of peak loading, </w:t>
      </w:r>
      <w:r w:rsidRPr="00CE7747">
        <w:t xml:space="preserve">a load drop </w:t>
      </w:r>
      <w:r>
        <w:t>was observed, highlighted by (i):</w:t>
      </w:r>
      <w:r w:rsidRPr="00CE7747">
        <w:t xml:space="preserve"> </w:t>
      </w:r>
      <w:r>
        <w:t>this effect was observed</w:t>
      </w:r>
      <w:r w:rsidRPr="00CE7747">
        <w:t xml:space="preserve"> in both loading </w:t>
      </w:r>
      <w:r>
        <w:t>methods - see previous work [16] for further analysis on this aspect of the force-displacement response.</w:t>
      </w:r>
    </w:p>
    <w:p w14:paraId="3BDDF8C5" w14:textId="77777777" w:rsidR="00E9201B" w:rsidRPr="00CE7747" w:rsidRDefault="00E9201B" w:rsidP="00D924F8"/>
    <w:p w14:paraId="6FA2447F" w14:textId="421A1087" w:rsidR="003448E4" w:rsidRDefault="00E9201B" w:rsidP="00D924F8">
      <w:r w:rsidRPr="00CE7747">
        <w:t xml:space="preserve">A plot of peak force versus peak displacement for all tests is presented in </w:t>
      </w:r>
      <w:r>
        <w:t>Fig.</w:t>
      </w:r>
      <w:r w:rsidRPr="00CE7747">
        <w:t xml:space="preserve"> </w:t>
      </w:r>
      <w:r>
        <w:t>4</w:t>
      </w:r>
      <w:r w:rsidRPr="00CE7747">
        <w:t xml:space="preserve">. </w:t>
      </w:r>
      <w:r>
        <w:t>The data for b</w:t>
      </w:r>
      <w:r w:rsidRPr="00CE7747">
        <w:t xml:space="preserve">oth loading </w:t>
      </w:r>
      <w:r>
        <w:t>methods</w:t>
      </w:r>
      <w:r w:rsidRPr="00CE7747">
        <w:t xml:space="preserve"> demonstrate a strongly linear relationship with </w:t>
      </w:r>
      <w:r>
        <w:t>a correlation coefficient (</w:t>
      </w:r>
      <w:r w:rsidRPr="00CE7747">
        <w:t>R</w:t>
      </w:r>
      <w:r w:rsidRPr="00CE7747">
        <w:rPr>
          <w:vertAlign w:val="superscript"/>
        </w:rPr>
        <w:t>2</w:t>
      </w:r>
      <w:r>
        <w:t>)</w:t>
      </w:r>
      <w:r w:rsidRPr="00CE7747">
        <w:t xml:space="preserve"> of 0.99. The LVI load case demonstrates a consistent</w:t>
      </w:r>
      <w:r>
        <w:t>,</w:t>
      </w:r>
      <w:r w:rsidRPr="00CE7747">
        <w:t xml:space="preserve"> </w:t>
      </w:r>
      <w:r>
        <w:t xml:space="preserve">slightly </w:t>
      </w:r>
      <w:r w:rsidRPr="00CE7747">
        <w:t xml:space="preserve">higher load than the QSI case for comparable displacements. The discrepancy in the peak loads between the two loading regimes is </w:t>
      </w:r>
      <w:r>
        <w:t>within</w:t>
      </w:r>
      <w:r w:rsidRPr="00CE7747">
        <w:t xml:space="preserve"> 10%, similar to </w:t>
      </w:r>
      <w:r>
        <w:t>results reported</w:t>
      </w:r>
      <w:r w:rsidRPr="00CE7747">
        <w:t xml:space="preserve"> by Bull </w:t>
      </w:r>
      <w:r w:rsidRPr="00CE7747">
        <w:rPr>
          <w:i/>
        </w:rPr>
        <w:t>et al</w:t>
      </w:r>
      <w:r w:rsidRPr="00CE7747">
        <w:t>. in a co</w:t>
      </w:r>
      <w:r>
        <w:t>mparable study of conventional CFRP plate (flat, composite only) [11</w:t>
      </w:r>
      <w:r w:rsidRPr="00CE7747">
        <w:t>].</w:t>
      </w:r>
    </w:p>
    <w:p w14:paraId="7CF8E242" w14:textId="77777777" w:rsidR="003448E4" w:rsidRDefault="003448E4">
      <w:r>
        <w:br w:type="page"/>
      </w:r>
    </w:p>
    <w:p w14:paraId="2DD518A0" w14:textId="77777777" w:rsidR="00E9201B" w:rsidRPr="00CE7747" w:rsidRDefault="00E9201B" w:rsidP="00D924F8">
      <w:pPr>
        <w:pStyle w:val="H2"/>
      </w:pPr>
      <w:r w:rsidRPr="00CE7747">
        <w:lastRenderedPageBreak/>
        <w:t>3.2 Damage assessment</w:t>
      </w:r>
    </w:p>
    <w:p w14:paraId="631E8538" w14:textId="77777777" w:rsidR="00E9201B" w:rsidRDefault="00E9201B" w:rsidP="00D924F8">
      <w:r w:rsidRPr="00CE7747">
        <w:t xml:space="preserve">A representative CT slice from the centre of the impact/indent location for the </w:t>
      </w:r>
      <w:r>
        <w:t>highest</w:t>
      </w:r>
      <w:r w:rsidRPr="00CE7747">
        <w:t xml:space="preserve"> load of the QSI tests and the highest energy impact case is shown in </w:t>
      </w:r>
      <w:r>
        <w:t>Fig.</w:t>
      </w:r>
      <w:r w:rsidRPr="00CE7747">
        <w:t xml:space="preserve"> </w:t>
      </w:r>
      <w:r>
        <w:t>5</w:t>
      </w:r>
      <w:r w:rsidRPr="00CE7747">
        <w:t xml:space="preserve">. Qualitative assessment of the </w:t>
      </w:r>
      <w:r>
        <w:t xml:space="preserve">CT </w:t>
      </w:r>
      <w:r w:rsidRPr="00CE7747">
        <w:t xml:space="preserve">slices </w:t>
      </w:r>
      <w:r>
        <w:t>indicates</w:t>
      </w:r>
      <w:r w:rsidRPr="00CE7747">
        <w:t xml:space="preserve"> that </w:t>
      </w:r>
      <w:r>
        <w:t>close</w:t>
      </w:r>
      <w:r w:rsidRPr="00CE7747">
        <w:t xml:space="preserve"> similarities exist between the damage states of the structure under the two loading conditions. </w:t>
      </w:r>
      <w:r>
        <w:t>Across all three images, in most cases the extent and nature of the plastic deformation in the aluminium and the CFRP damage show very similar behaviour</w:t>
      </w:r>
      <w:r w:rsidRPr="00CE7747">
        <w:t>.</w:t>
      </w:r>
      <w:r>
        <w:t xml:space="preserve"> However, t</w:t>
      </w:r>
      <w:r w:rsidRPr="00CE7747">
        <w:t xml:space="preserve">wo </w:t>
      </w:r>
      <w:r>
        <w:t xml:space="preserve">notable </w:t>
      </w:r>
      <w:r w:rsidRPr="00CE7747">
        <w:t xml:space="preserve">differences are highlighted </w:t>
      </w:r>
      <w:r>
        <w:t>i</w:t>
      </w:r>
      <w:r w:rsidRPr="00CE7747">
        <w:t xml:space="preserve">n </w:t>
      </w:r>
      <w:r>
        <w:t>Fig.</w:t>
      </w:r>
      <w:r w:rsidRPr="00CE7747">
        <w:t xml:space="preserve"> </w:t>
      </w:r>
      <w:r>
        <w:t>5(</w:t>
      </w:r>
      <w:r w:rsidRPr="00CE7747">
        <w:t>a</w:t>
      </w:r>
      <w:r>
        <w:t>)</w:t>
      </w:r>
      <w:r w:rsidRPr="00CE7747">
        <w:t>. Marker (i) highlights that the outermost CFRP delamination</w:t>
      </w:r>
      <w:r>
        <w:t xml:space="preserve"> shows a greater </w:t>
      </w:r>
      <w:r w:rsidRPr="00CE7747">
        <w:t>crack opening displacement in the QSI case</w:t>
      </w:r>
      <w:r>
        <w:t xml:space="preserve"> by</w:t>
      </w:r>
      <w:r w:rsidRPr="00CE7747">
        <w:t xml:space="preserve"> comparing this location to </w:t>
      </w:r>
      <w:r>
        <w:t>Fig.</w:t>
      </w:r>
      <w:r w:rsidRPr="00CE7747">
        <w:t xml:space="preserve"> </w:t>
      </w:r>
      <w:r>
        <w:t>5(</w:t>
      </w:r>
      <w:r w:rsidRPr="00CE7747">
        <w:t>b</w:t>
      </w:r>
      <w:r>
        <w:t>). I</w:t>
      </w:r>
      <w:r w:rsidRPr="00CE7747">
        <w:t xml:space="preserve">t can </w:t>
      </w:r>
      <w:r>
        <w:t xml:space="preserve">also </w:t>
      </w:r>
      <w:r w:rsidRPr="00CE7747">
        <w:t>be see</w:t>
      </w:r>
      <w:r>
        <w:t xml:space="preserve">n </w:t>
      </w:r>
      <w:r w:rsidRPr="00CE7747">
        <w:t>that the</w:t>
      </w:r>
      <w:r>
        <w:t>re is a larger local surface indentation under QSI than LVI for a comparable load, illustrated by</w:t>
      </w:r>
      <w:r w:rsidRPr="00CE7747">
        <w:t xml:space="preserve"> </w:t>
      </w:r>
      <w:r>
        <w:t>m</w:t>
      </w:r>
      <w:r w:rsidRPr="00CE7747">
        <w:t xml:space="preserve">arker (ii) </w:t>
      </w:r>
      <w:r>
        <w:t>and in comparison to Fig. 5(b).</w:t>
      </w:r>
    </w:p>
    <w:p w14:paraId="24E9A00B" w14:textId="77777777" w:rsidR="00D924F8" w:rsidRPr="00D924F8" w:rsidRDefault="00D924F8" w:rsidP="00D924F8"/>
    <w:p w14:paraId="31AD92A6" w14:textId="77777777" w:rsidR="00E9201B" w:rsidRPr="00E25C56" w:rsidRDefault="00E9201B" w:rsidP="00D924F8">
      <w:pPr>
        <w:pStyle w:val="H3"/>
      </w:pPr>
      <w:r>
        <w:t>3.2.1 Aluminium plastic deformation</w:t>
      </w:r>
    </w:p>
    <w:p w14:paraId="6ADFBD2C" w14:textId="77777777" w:rsidR="00E9201B" w:rsidRDefault="00E9201B" w:rsidP="00D924F8">
      <w:pPr>
        <w:rPr>
          <w:b/>
          <w:szCs w:val="22"/>
        </w:rPr>
      </w:pPr>
      <w:r>
        <w:t>P</w:t>
      </w:r>
      <w:r w:rsidRPr="00CE7747">
        <w:t xml:space="preserve">lastic deformation of the aluminium substrate was </w:t>
      </w:r>
      <w:r>
        <w:t xml:space="preserve">observed and its incidence </w:t>
      </w:r>
      <w:r w:rsidRPr="00CE7747">
        <w:t xml:space="preserve">quantified in terms of </w:t>
      </w:r>
      <w:r>
        <w:t xml:space="preserve">the </w:t>
      </w:r>
      <w:r w:rsidRPr="00CE7747">
        <w:t xml:space="preserve">residual dent depth. </w:t>
      </w:r>
      <w:r>
        <w:t>Figs.</w:t>
      </w:r>
      <w:r w:rsidRPr="00CE7747">
        <w:t xml:space="preserve"> </w:t>
      </w:r>
      <w:r>
        <w:t>6</w:t>
      </w:r>
      <w:r w:rsidRPr="00CE7747">
        <w:t xml:space="preserve"> </w:t>
      </w:r>
      <w:r>
        <w:t xml:space="preserve">and 7 </w:t>
      </w:r>
      <w:r w:rsidRPr="00CE7747">
        <w:t>show the maximum dent depth measured in the aluminium substrate versus the peak indentor displacement and peak force</w:t>
      </w:r>
      <w:r>
        <w:t xml:space="preserve"> respectively</w:t>
      </w:r>
      <w:r w:rsidRPr="00CE7747">
        <w:t xml:space="preserve">. Both plots </w:t>
      </w:r>
      <w:r>
        <w:t>suggest</w:t>
      </w:r>
      <w:r w:rsidRPr="00CE7747">
        <w:t xml:space="preserve"> a linear progression of aluminium dent depth above a threshold value</w:t>
      </w:r>
      <w:r>
        <w:t>, with very close correspondence between the two loading cases</w:t>
      </w:r>
      <w:r w:rsidRPr="00CE7747">
        <w:t xml:space="preserve">. When compared </w:t>
      </w:r>
      <w:r>
        <w:t>in terms of</w:t>
      </w:r>
      <w:r w:rsidRPr="00CE7747">
        <w:t xml:space="preserve"> peak displacement</w:t>
      </w:r>
      <w:r>
        <w:t>,</w:t>
      </w:r>
      <w:r w:rsidRPr="00CE7747">
        <w:t xml:space="preserve"> QSI and LVI show a </w:t>
      </w:r>
      <w:r>
        <w:t>particularly close</w:t>
      </w:r>
      <w:r w:rsidRPr="00CE7747">
        <w:t xml:space="preserve"> correlation. When compared on a peak force basis there is a consistent </w:t>
      </w:r>
      <w:r>
        <w:t xml:space="preserve">slight </w:t>
      </w:r>
      <w:r w:rsidRPr="00CE7747">
        <w:t xml:space="preserve">discrepancy between QSI and LVI, </w:t>
      </w:r>
      <w:r w:rsidRPr="00B63B92">
        <w:rPr>
          <w:i/>
        </w:rPr>
        <w:t>i.e.</w:t>
      </w:r>
      <w:r>
        <w:t xml:space="preserve"> </w:t>
      </w:r>
      <w:r w:rsidRPr="00CE7747">
        <w:t xml:space="preserve">a </w:t>
      </w:r>
      <w:r>
        <w:t>fractionally greater</w:t>
      </w:r>
      <w:r w:rsidRPr="00CE7747">
        <w:t xml:space="preserve"> peak force is required to achieve the same depth of dent in the aluminium in the LVI case. It can also be </w:t>
      </w:r>
      <w:r>
        <w:t>seen</w:t>
      </w:r>
      <w:r w:rsidRPr="00CE7747">
        <w:t xml:space="preserve"> from </w:t>
      </w:r>
      <w:r>
        <w:t>Fig.</w:t>
      </w:r>
      <w:r w:rsidRPr="00CE7747">
        <w:t xml:space="preserve"> </w:t>
      </w:r>
      <w:r>
        <w:t>6</w:t>
      </w:r>
      <w:r w:rsidRPr="00CE7747">
        <w:t xml:space="preserve"> that </w:t>
      </w:r>
      <w:r>
        <w:t>plastic deformation of</w:t>
      </w:r>
      <w:r w:rsidRPr="00CE7747">
        <w:t xml:space="preserve"> </w:t>
      </w:r>
      <w:r>
        <w:t xml:space="preserve">the </w:t>
      </w:r>
      <w:r w:rsidRPr="00CE7747">
        <w:t xml:space="preserve">aluminium substrate </w:t>
      </w:r>
      <w:r>
        <w:t xml:space="preserve">was </w:t>
      </w:r>
      <w:r w:rsidRPr="00CE7747">
        <w:t xml:space="preserve">not </w:t>
      </w:r>
      <w:r>
        <w:t>resolved</w:t>
      </w:r>
      <w:r w:rsidRPr="00CE7747">
        <w:t xml:space="preserve"> </w:t>
      </w:r>
      <w:r>
        <w:t>in</w:t>
      </w:r>
      <w:r w:rsidRPr="00CE7747">
        <w:t xml:space="preserve"> the lowest impact energy case</w:t>
      </w:r>
      <w:r>
        <w:t>,</w:t>
      </w:r>
      <w:r w:rsidRPr="00CE7747">
        <w:t xml:space="preserve"> </w:t>
      </w:r>
      <w:r>
        <w:t>whilst</w:t>
      </w:r>
      <w:r w:rsidRPr="00CE7747">
        <w:t xml:space="preserve"> </w:t>
      </w:r>
      <w:r>
        <w:t>deformation was seen in the equivalent</w:t>
      </w:r>
      <w:r w:rsidRPr="00CE7747">
        <w:t xml:space="preserve"> QSI </w:t>
      </w:r>
      <w:r>
        <w:t>data</w:t>
      </w:r>
      <w:r w:rsidRPr="00CE7747">
        <w:t>,</w:t>
      </w:r>
      <w:r>
        <w:t xml:space="preserve"> suggesting</w:t>
      </w:r>
      <w:r w:rsidRPr="00CE7747">
        <w:t xml:space="preserve"> a slightly higher threshold value under LVI</w:t>
      </w:r>
      <w:r>
        <w:t xml:space="preserve"> conditions</w:t>
      </w:r>
      <w:r w:rsidRPr="00CE7747">
        <w:t>.</w:t>
      </w:r>
    </w:p>
    <w:p w14:paraId="24693D24" w14:textId="77777777" w:rsidR="00D924F8" w:rsidRPr="00D924F8" w:rsidRDefault="00D924F8" w:rsidP="00D924F8">
      <w:pPr>
        <w:rPr>
          <w:b/>
          <w:szCs w:val="22"/>
        </w:rPr>
      </w:pPr>
    </w:p>
    <w:p w14:paraId="745B672A" w14:textId="77777777" w:rsidR="00E9201B" w:rsidRPr="00E25C56" w:rsidRDefault="00E9201B" w:rsidP="00D924F8">
      <w:pPr>
        <w:pStyle w:val="H3"/>
      </w:pPr>
      <w:r>
        <w:t xml:space="preserve">3.2.2 CFRP Damage </w:t>
      </w:r>
    </w:p>
    <w:p w14:paraId="7191B555" w14:textId="77777777" w:rsidR="00E9201B" w:rsidRDefault="00E9201B" w:rsidP="00D924F8">
      <w:r>
        <w:t>Figs. 8 and 9 show the projected damage area for three equivalent load steps for LVI and QSI Specimen 1 respectively. In these through-thickness projections the damage area is clearly distinguishable from the background void content. The extent and morphology of CFRP damage is broadly similar between LVI and QSI loading regimes. Figs.</w:t>
      </w:r>
      <w:r w:rsidRPr="00CE7747">
        <w:t xml:space="preserve"> </w:t>
      </w:r>
      <w:r>
        <w:t>10</w:t>
      </w:r>
      <w:r w:rsidRPr="00CE7747">
        <w:t xml:space="preserve"> </w:t>
      </w:r>
      <w:r>
        <w:t xml:space="preserve">and 11 </w:t>
      </w:r>
      <w:r w:rsidRPr="00CE7747">
        <w:t xml:space="preserve">show the </w:t>
      </w:r>
      <w:r>
        <w:t>measured</w:t>
      </w:r>
      <w:r w:rsidRPr="00CE7747">
        <w:t xml:space="preserve"> area of composite damage in the CFRP layer versus the peak indentor displacement and peak force. Both plots demonstrate a linear progression of the delaminated area in the composite above a threshold value. No damage area was identifiable using the histogram based segmentation and projected area technique in the lowest load/impact specimens. However, detailed assessment of the raw scan data revealed that some intra-laminar micro cracking had occurred in both QSI specimens but not in the LVI case. </w:t>
      </w:r>
    </w:p>
    <w:p w14:paraId="7DE6807A" w14:textId="77777777" w:rsidR="00E9201B" w:rsidRDefault="00E9201B" w:rsidP="00D924F8"/>
    <w:p w14:paraId="0EDBB93E" w14:textId="77777777" w:rsidR="00E9201B" w:rsidRDefault="00E9201B" w:rsidP="00D924F8">
      <w:pPr>
        <w:rPr>
          <w:szCs w:val="22"/>
        </w:rPr>
      </w:pPr>
      <w:r w:rsidRPr="00D42C83">
        <w:rPr>
          <w:szCs w:val="22"/>
        </w:rPr>
        <w:t xml:space="preserve">Previous work has shown that the load drop seen at the upper </w:t>
      </w:r>
      <w:r>
        <w:rPr>
          <w:szCs w:val="22"/>
        </w:rPr>
        <w:t>part</w:t>
      </w:r>
      <w:r w:rsidRPr="00D42C83">
        <w:rPr>
          <w:szCs w:val="22"/>
        </w:rPr>
        <w:t xml:space="preserve"> of the loading process can be attributed to fibre fracture directly under the indentor in the o</w:t>
      </w:r>
      <w:r>
        <w:rPr>
          <w:szCs w:val="22"/>
        </w:rPr>
        <w:t>utermost CFRP ply [16]. Fig. 12</w:t>
      </w:r>
      <w:r w:rsidRPr="00D42C83">
        <w:rPr>
          <w:szCs w:val="22"/>
        </w:rPr>
        <w:t xml:space="preserve"> confirms the presence of this damage feature in all CT scans </w:t>
      </w:r>
      <w:r>
        <w:rPr>
          <w:szCs w:val="22"/>
        </w:rPr>
        <w:t>in which</w:t>
      </w:r>
      <w:r w:rsidRPr="00D42C83">
        <w:rPr>
          <w:szCs w:val="22"/>
        </w:rPr>
        <w:t xml:space="preserve"> a corresponding load drop was observed in the force-displacement tests under both QSI and LVI regimes. </w:t>
      </w:r>
      <w:r>
        <w:rPr>
          <w:szCs w:val="22"/>
        </w:rPr>
        <w:t xml:space="preserve">These cracks were tracked visually in the through-thickness direction. Evidence of the fibre fracture in these locations was present in eleven, nine and eleven </w:t>
      </w:r>
      <w:r>
        <w:rPr>
          <w:szCs w:val="22"/>
        </w:rPr>
        <w:lastRenderedPageBreak/>
        <w:t>slices in the QSI 0.96 P</w:t>
      </w:r>
      <w:r w:rsidRPr="00FD5D64">
        <w:rPr>
          <w:szCs w:val="22"/>
          <w:vertAlign w:val="subscript"/>
        </w:rPr>
        <w:t>f</w:t>
      </w:r>
      <w:r>
        <w:rPr>
          <w:szCs w:val="22"/>
        </w:rPr>
        <w:t>, 0.86 P</w:t>
      </w:r>
      <w:r w:rsidRPr="00292DD2">
        <w:rPr>
          <w:szCs w:val="22"/>
          <w:vertAlign w:val="subscript"/>
        </w:rPr>
        <w:t>f</w:t>
      </w:r>
      <w:r>
        <w:rPr>
          <w:szCs w:val="22"/>
        </w:rPr>
        <w:t xml:space="preserve"> and LVI 1.0 P</w:t>
      </w:r>
      <w:r w:rsidRPr="00292DD2">
        <w:rPr>
          <w:szCs w:val="22"/>
          <w:vertAlign w:val="subscript"/>
        </w:rPr>
        <w:t>f</w:t>
      </w:r>
      <w:r>
        <w:rPr>
          <w:szCs w:val="22"/>
          <w:vertAlign w:val="subscript"/>
        </w:rPr>
        <w:t xml:space="preserve">  </w:t>
      </w:r>
      <w:r>
        <w:rPr>
          <w:szCs w:val="22"/>
        </w:rPr>
        <w:t>scans respectively, representing fibre fracture depths of 0.55mm, 0.45mm and 0.55mm.</w:t>
      </w:r>
    </w:p>
    <w:p w14:paraId="1E5E28D0" w14:textId="77777777" w:rsidR="00E9201B" w:rsidRDefault="00E9201B" w:rsidP="00D924F8">
      <w:pPr>
        <w:rPr>
          <w:szCs w:val="22"/>
        </w:rPr>
      </w:pPr>
    </w:p>
    <w:p w14:paraId="1D506A43" w14:textId="77777777" w:rsidR="00E9201B" w:rsidRDefault="00E9201B" w:rsidP="00D924F8">
      <w:pPr>
        <w:rPr>
          <w:iCs/>
          <w:szCs w:val="22"/>
          <w:lang w:val="en-GB"/>
        </w:rPr>
      </w:pPr>
      <w:r w:rsidRPr="00D42C83">
        <w:rPr>
          <w:szCs w:val="22"/>
        </w:rPr>
        <w:t>Fibre fracture was also observed in the innermost CFRP ply</w:t>
      </w:r>
      <w:r>
        <w:rPr>
          <w:szCs w:val="22"/>
        </w:rPr>
        <w:t>,</w:t>
      </w:r>
      <w:r w:rsidRPr="00D42C83">
        <w:rPr>
          <w:iCs/>
          <w:szCs w:val="22"/>
          <w:lang w:val="en-GB"/>
        </w:rPr>
        <w:t xml:space="preserve"> consistent with the principal tensile stress direction in the inner CFRP plies under a radial (bending) load, in some but not all higher load specimens. </w:t>
      </w:r>
      <w:r>
        <w:rPr>
          <w:iCs/>
          <w:szCs w:val="22"/>
          <w:lang w:val="en-GB"/>
        </w:rPr>
        <w:t>Fig. 13</w:t>
      </w:r>
      <w:r w:rsidRPr="00D42C83">
        <w:rPr>
          <w:iCs/>
          <w:szCs w:val="22"/>
          <w:lang w:val="en-GB"/>
        </w:rPr>
        <w:t xml:space="preserve"> shows evidence of this fibre fracture under both LVI and QSI. Detailed visual inspection of the CT data in all three orthogonal planes showed evidence of this type of CFRP fracture in the LVI load</w:t>
      </w:r>
      <w:r>
        <w:rPr>
          <w:iCs/>
          <w:szCs w:val="22"/>
          <w:lang w:val="en-GB"/>
        </w:rPr>
        <w:t>ed samples at</w:t>
      </w:r>
      <w:r w:rsidRPr="00D42C83">
        <w:rPr>
          <w:iCs/>
          <w:szCs w:val="22"/>
          <w:lang w:val="en-GB"/>
        </w:rPr>
        <w:t xml:space="preserve"> 0.76P</w:t>
      </w:r>
      <w:r w:rsidRPr="00D42C83">
        <w:rPr>
          <w:iCs/>
          <w:szCs w:val="22"/>
          <w:vertAlign w:val="subscript"/>
          <w:lang w:val="en-GB"/>
        </w:rPr>
        <w:t>f</w:t>
      </w:r>
      <w:r>
        <w:rPr>
          <w:iCs/>
          <w:szCs w:val="22"/>
          <w:lang w:val="en-GB"/>
        </w:rPr>
        <w:t xml:space="preserve"> </w:t>
      </w:r>
      <w:r w:rsidRPr="00D42C83">
        <w:rPr>
          <w:iCs/>
          <w:szCs w:val="22"/>
          <w:lang w:val="en-GB"/>
        </w:rPr>
        <w:t>and 1.0 P</w:t>
      </w:r>
      <w:r w:rsidRPr="00D42C83">
        <w:rPr>
          <w:iCs/>
          <w:szCs w:val="22"/>
          <w:vertAlign w:val="subscript"/>
          <w:lang w:val="en-GB"/>
        </w:rPr>
        <w:t>f</w:t>
      </w:r>
      <w:r>
        <w:rPr>
          <w:iCs/>
          <w:szCs w:val="22"/>
          <w:lang w:val="en-GB"/>
        </w:rPr>
        <w:t xml:space="preserve">, </w:t>
      </w:r>
      <w:r w:rsidRPr="00D42C83">
        <w:rPr>
          <w:iCs/>
          <w:szCs w:val="22"/>
          <w:lang w:val="en-GB"/>
        </w:rPr>
        <w:t>and QSI specimen 2 at 0.86P</w:t>
      </w:r>
      <w:r w:rsidRPr="00D42C83">
        <w:rPr>
          <w:iCs/>
          <w:szCs w:val="22"/>
          <w:vertAlign w:val="subscript"/>
          <w:lang w:val="en-GB"/>
        </w:rPr>
        <w:t xml:space="preserve">f </w:t>
      </w:r>
      <w:r w:rsidRPr="00D42C83">
        <w:rPr>
          <w:iCs/>
          <w:szCs w:val="22"/>
          <w:lang w:val="en-GB"/>
        </w:rPr>
        <w:t>. There was no evidence</w:t>
      </w:r>
      <w:r>
        <w:rPr>
          <w:iCs/>
          <w:szCs w:val="22"/>
          <w:lang w:val="en-GB"/>
        </w:rPr>
        <w:t xml:space="preserve"> of fibre fracture in any of the CT scans of QSI S</w:t>
      </w:r>
      <w:r w:rsidRPr="00D42C83">
        <w:rPr>
          <w:iCs/>
          <w:szCs w:val="22"/>
          <w:lang w:val="en-GB"/>
        </w:rPr>
        <w:t xml:space="preserve">pecimen </w:t>
      </w:r>
      <w:r>
        <w:rPr>
          <w:iCs/>
          <w:szCs w:val="22"/>
          <w:lang w:val="en-GB"/>
        </w:rPr>
        <w:t>1</w:t>
      </w:r>
      <w:r w:rsidRPr="00D42C83">
        <w:rPr>
          <w:iCs/>
          <w:szCs w:val="22"/>
          <w:lang w:val="en-GB"/>
        </w:rPr>
        <w:t xml:space="preserve">. </w:t>
      </w:r>
      <w:r>
        <w:rPr>
          <w:iCs/>
          <w:szCs w:val="22"/>
          <w:lang w:val="en-GB"/>
        </w:rPr>
        <w:t>As such,</w:t>
      </w:r>
      <w:r w:rsidRPr="00D42C83">
        <w:rPr>
          <w:iCs/>
          <w:szCs w:val="22"/>
          <w:lang w:val="en-GB"/>
        </w:rPr>
        <w:t xml:space="preserve"> variability between specimens </w:t>
      </w:r>
      <w:r>
        <w:rPr>
          <w:iCs/>
          <w:szCs w:val="22"/>
          <w:lang w:val="en-GB"/>
        </w:rPr>
        <w:t>may play</w:t>
      </w:r>
      <w:r w:rsidRPr="00D42C83">
        <w:rPr>
          <w:iCs/>
          <w:szCs w:val="22"/>
          <w:lang w:val="en-GB"/>
        </w:rPr>
        <w:t xml:space="preserve"> a </w:t>
      </w:r>
      <w:r>
        <w:rPr>
          <w:iCs/>
          <w:szCs w:val="22"/>
          <w:lang w:val="en-GB"/>
        </w:rPr>
        <w:t>significant</w:t>
      </w:r>
      <w:r w:rsidRPr="00D42C83">
        <w:rPr>
          <w:iCs/>
          <w:szCs w:val="22"/>
          <w:lang w:val="en-GB"/>
        </w:rPr>
        <w:t xml:space="preserve"> role</w:t>
      </w:r>
      <w:r>
        <w:rPr>
          <w:iCs/>
          <w:szCs w:val="22"/>
          <w:lang w:val="en-GB"/>
        </w:rPr>
        <w:t xml:space="preserve"> in this failure mode, over and above the dynamic vs. interrupted nature of loading</w:t>
      </w:r>
      <w:r w:rsidRPr="00D42C83">
        <w:rPr>
          <w:iCs/>
          <w:szCs w:val="22"/>
          <w:lang w:val="en-GB"/>
        </w:rPr>
        <w:t xml:space="preserve">. </w:t>
      </w:r>
    </w:p>
    <w:p w14:paraId="310956BF" w14:textId="77777777" w:rsidR="00D924F8" w:rsidRPr="00D924F8" w:rsidRDefault="00D924F8" w:rsidP="00D924F8">
      <w:pPr>
        <w:rPr>
          <w:iCs/>
          <w:szCs w:val="22"/>
          <w:lang w:val="en-GB"/>
        </w:rPr>
      </w:pPr>
    </w:p>
    <w:p w14:paraId="4E519F06" w14:textId="77777777" w:rsidR="00E9201B" w:rsidRDefault="00E9201B" w:rsidP="00D924F8">
      <w:pPr>
        <w:pStyle w:val="H3"/>
      </w:pPr>
      <w:r>
        <w:t>3.2.3 Surface Indentation</w:t>
      </w:r>
    </w:p>
    <w:p w14:paraId="2C4E8784" w14:textId="53363A76" w:rsidR="00E9201B" w:rsidRPr="00D924F8" w:rsidRDefault="00E9201B" w:rsidP="00D924F8">
      <w:r>
        <w:t>Fig. 14</w:t>
      </w:r>
      <w:r w:rsidRPr="005D52C8">
        <w:t xml:space="preserve"> plots the indentation depth</w:t>
      </w:r>
      <w:r>
        <w:t xml:space="preserve"> on the exterior surface of the specimens</w:t>
      </w:r>
      <w:r w:rsidRPr="005D52C8">
        <w:t xml:space="preserve"> versus the applied load of each load step under QSI and LVI. It can be seen that QSI and LVI behave differently</w:t>
      </w:r>
      <w:r>
        <w:t>:</w:t>
      </w:r>
      <w:r w:rsidRPr="007C58E3">
        <w:t xml:space="preserve"> </w:t>
      </w:r>
      <w:r>
        <w:t>a</w:t>
      </w:r>
      <w:r w:rsidRPr="005D52C8">
        <w:t xml:space="preserve"> larger local surface indentation </w:t>
      </w:r>
      <w:r>
        <w:t>was observed</w:t>
      </w:r>
      <w:r w:rsidRPr="005D52C8">
        <w:t xml:space="preserve"> </w:t>
      </w:r>
      <w:r>
        <w:t>under</w:t>
      </w:r>
      <w:r w:rsidRPr="005D52C8">
        <w:t xml:space="preserve"> QSI </w:t>
      </w:r>
      <w:r>
        <w:t xml:space="preserve">loading </w:t>
      </w:r>
      <w:r w:rsidRPr="005D52C8">
        <w:t>in comparison to LVI</w:t>
      </w:r>
      <w:r>
        <w:t>. T</w:t>
      </w:r>
      <w:r w:rsidRPr="005D52C8">
        <w:t xml:space="preserve">his response has </w:t>
      </w:r>
      <w:r>
        <w:t xml:space="preserve">previously </w:t>
      </w:r>
      <w:r w:rsidRPr="005D52C8">
        <w:t>been observed in CFRP plates [1</w:t>
      </w:r>
      <w:r>
        <w:t>7</w:t>
      </w:r>
      <w:r w:rsidRPr="005D52C8">
        <w:t>].</w:t>
      </w:r>
      <w:r>
        <w:t xml:space="preserve"> In addition to the difference in contact time between the two loading regimes, the interrupted nature of the QSI test method also introduces an element of repeated loading in the same location. The differences observed in surface indentation depth may indicate that either contact duration or the repeated loading </w:t>
      </w:r>
      <w:r w:rsidRPr="005D52C8">
        <w:t xml:space="preserve">may </w:t>
      </w:r>
      <w:r>
        <w:t xml:space="preserve">indeed </w:t>
      </w:r>
      <w:r w:rsidRPr="005D52C8">
        <w:t xml:space="preserve">play </w:t>
      </w:r>
      <w:r>
        <w:t>some</w:t>
      </w:r>
      <w:r w:rsidRPr="005D52C8">
        <w:t xml:space="preserve"> role in local indentation formation</w:t>
      </w:r>
      <w:r>
        <w:t xml:space="preserve"> rather</w:t>
      </w:r>
      <w:r w:rsidRPr="005D52C8">
        <w:t xml:space="preserve"> than</w:t>
      </w:r>
      <w:r>
        <w:t xml:space="preserve"> simply the</w:t>
      </w:r>
      <w:r w:rsidRPr="005D52C8">
        <w:t xml:space="preserve"> peak</w:t>
      </w:r>
      <w:r>
        <w:t xml:space="preserve"> applied</w:t>
      </w:r>
      <w:r w:rsidRPr="005D52C8">
        <w:t xml:space="preserve"> load</w:t>
      </w:r>
      <w:r>
        <w:t>.</w:t>
      </w:r>
      <w:r w:rsidRPr="005D52C8">
        <w:t xml:space="preserve"> </w:t>
      </w:r>
      <w:r w:rsidR="00B17A8F" w:rsidRPr="00B17A8F">
        <w:rPr>
          <w:highlight w:val="yellow"/>
        </w:rPr>
        <w:t>Surface indentation is not of primary concern to the residual performance of COPVs and as such is not considered as critical to the comparison on QSI and LVI in this case.</w:t>
      </w:r>
    </w:p>
    <w:p w14:paraId="5BB1A0BA" w14:textId="77777777" w:rsidR="00E9201B" w:rsidRPr="00CE7747" w:rsidRDefault="00E9201B" w:rsidP="00D924F8">
      <w:pPr>
        <w:pStyle w:val="H1"/>
      </w:pPr>
      <w:r w:rsidRPr="00CE7747">
        <w:t>4. Discussion</w:t>
      </w:r>
    </w:p>
    <w:p w14:paraId="486FEE3D" w14:textId="5199E47B" w:rsidR="00E9201B" w:rsidRDefault="00E9201B" w:rsidP="00D924F8">
      <w:r>
        <w:t xml:space="preserve">As no similar results have been reported previously for COPVs, it is of interest to consider the current results in the wider context of </w:t>
      </w:r>
      <w:r w:rsidR="003448E4">
        <w:t>structural</w:t>
      </w:r>
      <w:r>
        <w:t xml:space="preserve"> composites. In the first instance, the definition of the “low-velocity” regime is relevant; there are several different approaches discussed in the literature. Simple velocity based limits are useful from a practical perspective, however u</w:t>
      </w:r>
      <w:r>
        <w:rPr>
          <w:lang w:val="en-GB"/>
        </w:rPr>
        <w:t>pper limits have been reported between 10ms</w:t>
      </w:r>
      <w:r w:rsidRPr="00FE0AEA">
        <w:rPr>
          <w:vertAlign w:val="superscript"/>
          <w:lang w:val="en-GB"/>
        </w:rPr>
        <w:t>-1</w:t>
      </w:r>
      <w:r>
        <w:rPr>
          <w:lang w:val="en-GB"/>
        </w:rPr>
        <w:t xml:space="preserve"> [2] and 100ms</w:t>
      </w:r>
      <w:r w:rsidRPr="00EE5ADF">
        <w:rPr>
          <w:vertAlign w:val="superscript"/>
          <w:lang w:val="en-GB"/>
        </w:rPr>
        <w:t>-1</w:t>
      </w:r>
      <w:r>
        <w:rPr>
          <w:vertAlign w:val="superscript"/>
          <w:lang w:val="en-GB"/>
        </w:rPr>
        <w:t xml:space="preserve"> </w:t>
      </w:r>
      <w:r>
        <w:rPr>
          <w:lang w:val="en-GB"/>
        </w:rPr>
        <w:t>[3]. Other authors have presented p</w:t>
      </w:r>
      <w:r w:rsidRPr="00FE0AEA">
        <w:rPr>
          <w:lang w:val="en-GB"/>
        </w:rPr>
        <w:t>henomenological</w:t>
      </w:r>
      <w:r>
        <w:rPr>
          <w:lang w:val="en-GB"/>
        </w:rPr>
        <w:t xml:space="preserve"> based definitions: Robinson and Davies suggest that an impact can be termed as “low-velocity” when the contribution of through-thickness stress waves to the </w:t>
      </w:r>
      <w:r w:rsidR="003448E4">
        <w:rPr>
          <w:lang w:val="en-GB"/>
        </w:rPr>
        <w:t>overall</w:t>
      </w:r>
      <w:r>
        <w:rPr>
          <w:lang w:val="en-GB"/>
        </w:rPr>
        <w:t xml:space="preserve"> response impact is negligible [18]. Alternatively, Olsson argues that impactor to target mass ratio is more important than velocity, concluding that “large mass” impacts can be considered quasi-static [19]. These definitions are not </w:t>
      </w:r>
      <w:r w:rsidR="003448E4">
        <w:rPr>
          <w:lang w:val="en-GB"/>
        </w:rPr>
        <w:t>necessarily</w:t>
      </w:r>
      <w:r>
        <w:rPr>
          <w:lang w:val="en-GB"/>
        </w:rPr>
        <w:t xml:space="preserve"> mutually exclusive: the nature of the impact tests conducted in this study are consistent with all the present “low-velocity” definitions and the “large-mass” regime.</w:t>
      </w:r>
    </w:p>
    <w:p w14:paraId="09137EDE" w14:textId="77777777" w:rsidR="00E9201B" w:rsidRDefault="00E9201B" w:rsidP="00D924F8"/>
    <w:p w14:paraId="4BF6C2EB" w14:textId="5B931909" w:rsidR="00E9201B" w:rsidRDefault="00E9201B" w:rsidP="00D924F8">
      <w:r>
        <w:t>The projected damage area metric used in this study (Figs. 8 and 9) is a similar assessment approach to the Ultrasonic C-Scan measurements widely reported in compos</w:t>
      </w:r>
      <w:r w:rsidR="003448E4">
        <w:t>ite plate impact studies e.g. [8</w:t>
      </w:r>
      <w:r>
        <w:t xml:space="preserve">, 20]. </w:t>
      </w:r>
      <w:r w:rsidRPr="003054C8">
        <w:t xml:space="preserve">The linear progression of delaminated area above a threshold </w:t>
      </w:r>
      <w:r>
        <w:t>loading</w:t>
      </w:r>
      <w:r w:rsidRPr="003054C8">
        <w:t xml:space="preserve"> observed in this study has been described in many previous </w:t>
      </w:r>
      <w:r w:rsidRPr="003054C8">
        <w:lastRenderedPageBreak/>
        <w:t>studies of both CFRP and GFRP plates</w:t>
      </w:r>
      <w:r>
        <w:t>,</w:t>
      </w:r>
      <w:r w:rsidRPr="003054C8">
        <w:t xml:space="preserve"> e.g. </w:t>
      </w:r>
      <w:r>
        <w:t xml:space="preserve">see </w:t>
      </w:r>
      <w:r w:rsidR="003448E4">
        <w:t>[11</w:t>
      </w:r>
      <w:r w:rsidRPr="003054C8">
        <w:t xml:space="preserve">, </w:t>
      </w:r>
      <w:r>
        <w:t>20</w:t>
      </w:r>
      <w:r w:rsidRPr="003054C8">
        <w:t>, 2</w:t>
      </w:r>
      <w:r>
        <w:t>1</w:t>
      </w:r>
      <w:r w:rsidRPr="003054C8">
        <w:t>]</w:t>
      </w:r>
      <w:r>
        <w:t>,</w:t>
      </w:r>
      <w:r w:rsidRPr="003054C8">
        <w:t xml:space="preserve"> but </w:t>
      </w:r>
      <w:r>
        <w:t>has not been</w:t>
      </w:r>
      <w:r w:rsidRPr="003054C8">
        <w:t xml:space="preserve"> </w:t>
      </w:r>
      <w:r>
        <w:t xml:space="preserve">reported previously for </w:t>
      </w:r>
      <w:r w:rsidRPr="003054C8">
        <w:t>COPVs.</w:t>
      </w:r>
      <w:r>
        <w:t xml:space="preserve"> </w:t>
      </w:r>
    </w:p>
    <w:p w14:paraId="54A09B05" w14:textId="77777777" w:rsidR="00E9201B" w:rsidRDefault="00E9201B" w:rsidP="00D924F8"/>
    <w:p w14:paraId="3067ED01" w14:textId="4E79CA79" w:rsidR="00E9201B" w:rsidRPr="00CE7747" w:rsidRDefault="00E9201B" w:rsidP="00D924F8">
      <w:r>
        <w:t>C</w:t>
      </w:r>
      <w:r w:rsidRPr="00CE7747">
        <w:t xml:space="preserve">omparison of the lowest energy impact scan </w:t>
      </w:r>
      <w:r>
        <w:t>with</w:t>
      </w:r>
      <w:r w:rsidRPr="00CE7747">
        <w:t xml:space="preserve"> the lowest load QSI specimens indicates that the threshold value for the initiation of plastic deformation </w:t>
      </w:r>
      <w:r>
        <w:t>in</w:t>
      </w:r>
      <w:r w:rsidRPr="00CE7747">
        <w:t xml:space="preserve"> the aluminium</w:t>
      </w:r>
      <w:r>
        <w:t xml:space="preserve"> substrate</w:t>
      </w:r>
      <w:r w:rsidRPr="00CE7747">
        <w:t xml:space="preserve"> </w:t>
      </w:r>
      <w:r>
        <w:t xml:space="preserve">may be </w:t>
      </w:r>
      <w:r w:rsidRPr="00CE7747">
        <w:t>higher under LVI</w:t>
      </w:r>
      <w:r>
        <w:t xml:space="preserve"> (Fig. 6 &amp; 7)</w:t>
      </w:r>
      <w:r w:rsidRPr="00CE7747">
        <w:t>. Both QSI samples demonstrated the onset of damage</w:t>
      </w:r>
      <w:r>
        <w:t>, with a measured</w:t>
      </w:r>
      <w:r w:rsidR="00377A27">
        <w:t xml:space="preserve"> residual deformation of 0.2mm (</w:t>
      </w:r>
      <w:r w:rsidR="00436759" w:rsidRPr="00436759">
        <w:rPr>
          <w:i/>
          <w:highlight w:val="yellow"/>
        </w:rPr>
        <w:t xml:space="preserve">i.e. </w:t>
      </w:r>
      <w:r w:rsidR="00436759" w:rsidRPr="00436759">
        <w:rPr>
          <w:highlight w:val="yellow"/>
        </w:rPr>
        <w:t>four voxels</w:t>
      </w:r>
      <w:r w:rsidR="00377A27">
        <w:rPr>
          <w:highlight w:val="yellow"/>
        </w:rPr>
        <w:t xml:space="preserve"> at the current scan resolution)</w:t>
      </w:r>
      <w:r w:rsidR="00436759" w:rsidRPr="00436759">
        <w:rPr>
          <w:highlight w:val="yellow"/>
        </w:rPr>
        <w:t>,</w:t>
      </w:r>
      <w:r w:rsidR="00436759">
        <w:t xml:space="preserve"> </w:t>
      </w:r>
      <w:r>
        <w:t xml:space="preserve">at a lower load and </w:t>
      </w:r>
      <w:r w:rsidRPr="00CE7747">
        <w:t xml:space="preserve">displacement than the corresponding LVI cylinder in which no evidence of </w:t>
      </w:r>
      <w:r>
        <w:t>plastic deformation</w:t>
      </w:r>
      <w:r w:rsidRPr="00CE7747">
        <w:t xml:space="preserve"> was </w:t>
      </w:r>
      <w:r>
        <w:t>resolved</w:t>
      </w:r>
      <w:r w:rsidRPr="00CE7747">
        <w:t xml:space="preserve">. </w:t>
      </w:r>
      <w:r>
        <w:t xml:space="preserve">A possible explanation for this is that during the initial phase of the loading process, when the aluminium layer remains in the elastic regime the support condition of the CFRP is substantially stiffer. The increased structural stiffness, during this initial phase, can be expected to result in a greater contribution of contact forces to the impact response in comparison to the global bending response during this part of the loading process. This may be significant for the QSI-LVI comparison, as discussed by Lagacé [8]. However, whilst the observed response </w:t>
      </w:r>
      <w:r w:rsidR="00DD6DAD" w:rsidRPr="00DD6DAD">
        <w:rPr>
          <w:highlight w:val="yellow"/>
        </w:rPr>
        <w:t>provides preliminary evidence</w:t>
      </w:r>
      <w:r>
        <w:t xml:space="preserve"> of a higher damage </w:t>
      </w:r>
      <w:r w:rsidR="00377A27">
        <w:t xml:space="preserve">initiation threshold under LVI </w:t>
      </w:r>
      <w:r>
        <w:t>in COPVs</w:t>
      </w:r>
      <w:r w:rsidR="00377A27">
        <w:t>,</w:t>
      </w:r>
      <w:r>
        <w:t xml:space="preserve"> </w:t>
      </w:r>
      <w:r w:rsidR="00DD6DAD" w:rsidRPr="00DD6DAD">
        <w:rPr>
          <w:highlight w:val="yellow"/>
        </w:rPr>
        <w:t>the differences observed in this study are</w:t>
      </w:r>
      <w:r w:rsidR="00DD6DAD">
        <w:t xml:space="preserve"> </w:t>
      </w:r>
      <w:r>
        <w:t>within a range that could be anticipated from experimental scatter between specimens or local variation between different locations within a single specimen.</w:t>
      </w:r>
      <w:r w:rsidR="009A1D43">
        <w:t xml:space="preserve"> </w:t>
      </w:r>
      <w:r w:rsidR="00DD6DAD">
        <w:t>F</w:t>
      </w:r>
      <w:r w:rsidR="009A1D43">
        <w:t xml:space="preserve">urther investigation would be required </w:t>
      </w:r>
      <w:r w:rsidR="00DD6DAD">
        <w:t>to confirm this.</w:t>
      </w:r>
      <w:r w:rsidR="009A1D43">
        <w:t xml:space="preserve">  </w:t>
      </w:r>
    </w:p>
    <w:p w14:paraId="1DFBFF34" w14:textId="77777777" w:rsidR="00E9201B" w:rsidRDefault="00E9201B" w:rsidP="00D924F8"/>
    <w:p w14:paraId="677A3E70" w14:textId="561F719C" w:rsidR="00E9201B" w:rsidRDefault="00E9201B" w:rsidP="00D924F8">
      <w:r>
        <w:t>Above the initiation threshold, t</w:t>
      </w:r>
      <w:r w:rsidRPr="00CE7747">
        <w:t xml:space="preserve">he </w:t>
      </w:r>
      <w:r>
        <w:t xml:space="preserve">damage development </w:t>
      </w:r>
      <w:r w:rsidRPr="00CE7747">
        <w:t xml:space="preserve">between </w:t>
      </w:r>
      <w:r>
        <w:t xml:space="preserve">the two </w:t>
      </w:r>
      <w:r w:rsidRPr="00CE7747">
        <w:t xml:space="preserve">loading regimes </w:t>
      </w:r>
      <w:r>
        <w:t xml:space="preserve">showed a slightly better correspondence </w:t>
      </w:r>
      <w:r w:rsidRPr="00CE7747">
        <w:t xml:space="preserve">when compared based on the peak indentor displacement rather than the peak force. </w:t>
      </w:r>
      <w:r>
        <w:t>The use of the compliance correction factor should mitigate any systematic error arising from different displacement measurement location between the two test machines. A</w:t>
      </w:r>
      <w:r w:rsidRPr="00CE7747">
        <w:t xml:space="preserve"> possible explanati</w:t>
      </w:r>
      <w:r>
        <w:t xml:space="preserve">on for the observed differences </w:t>
      </w:r>
      <w:r w:rsidRPr="00CE7747">
        <w:t xml:space="preserve">is </w:t>
      </w:r>
      <w:r>
        <w:t xml:space="preserve">that the </w:t>
      </w:r>
      <w:r w:rsidRPr="00CE7747">
        <w:t xml:space="preserve">peak force </w:t>
      </w:r>
      <w:r>
        <w:t>value</w:t>
      </w:r>
      <w:r w:rsidRPr="00CE7747">
        <w:t xml:space="preserve"> may be </w:t>
      </w:r>
      <w:r>
        <w:t>affected</w:t>
      </w:r>
      <w:r w:rsidRPr="00CE7747">
        <w:t xml:space="preserve"> by </w:t>
      </w:r>
      <w:r>
        <w:t xml:space="preserve">peaks of the oscillations </w:t>
      </w:r>
      <w:r w:rsidRPr="00CE7747">
        <w:t xml:space="preserve">the force signal </w:t>
      </w:r>
      <w:r>
        <w:t xml:space="preserve">under the dynamic tests which are </w:t>
      </w:r>
      <w:r w:rsidRPr="00CE7747">
        <w:t xml:space="preserve">not present under quasi-static load rates. </w:t>
      </w:r>
    </w:p>
    <w:p w14:paraId="57BA32A4" w14:textId="77777777" w:rsidR="00E9201B" w:rsidRDefault="00E9201B" w:rsidP="00D924F8"/>
    <w:p w14:paraId="1D35A342" w14:textId="2F7B50C7" w:rsidR="00E9201B" w:rsidRDefault="00E9201B" w:rsidP="00D924F8">
      <w:r>
        <w:t xml:space="preserve">A further difference between the QSI and LVI tests completed in this study is the use of an </w:t>
      </w:r>
      <w:r w:rsidRPr="00CE7747">
        <w:t xml:space="preserve">interrupted </w:t>
      </w:r>
      <w:r>
        <w:t>test methodology for the QSI tests, compared with the continuous nature of the impact tests. An advantage of the interrupted method is that it</w:t>
      </w:r>
      <w:r w:rsidRPr="00CE7747">
        <w:t xml:space="preserve"> reduces the </w:t>
      </w:r>
      <w:r>
        <w:t>effects of</w:t>
      </w:r>
      <w:r w:rsidRPr="00CE7747">
        <w:t xml:space="preserve"> specimen-to-specimen variability</w:t>
      </w:r>
      <w:r>
        <w:t>;</w:t>
      </w:r>
      <w:r w:rsidRPr="00CE7747">
        <w:t xml:space="preserve"> </w:t>
      </w:r>
      <w:r>
        <w:t>however</w:t>
      </w:r>
      <w:r w:rsidRPr="00CE7747">
        <w:t xml:space="preserve"> </w:t>
      </w:r>
      <w:r>
        <w:t xml:space="preserve">it also </w:t>
      </w:r>
      <w:r w:rsidRPr="00CE7747">
        <w:t xml:space="preserve">presents an opportunity for </w:t>
      </w:r>
      <w:r>
        <w:t xml:space="preserve">repeated indentations to introduce low-cycle </w:t>
      </w:r>
      <w:r w:rsidRPr="00CE7747">
        <w:t>fatigue. The force-displacement response of the QSI results demonstrate that the reloading curve returns to</w:t>
      </w:r>
      <w:r>
        <w:t>, or very close to,</w:t>
      </w:r>
      <w:r w:rsidRPr="00CE7747">
        <w:t xml:space="preserve"> the previous level</w:t>
      </w:r>
      <w:r>
        <w:t xml:space="preserve"> </w:t>
      </w:r>
      <w:r w:rsidRPr="00CE7747">
        <w:t>(</w:t>
      </w:r>
      <w:r>
        <w:t>Fig. 3</w:t>
      </w:r>
      <w:r w:rsidRPr="00CE7747">
        <w:t>), which indicat</w:t>
      </w:r>
      <w:r>
        <w:t>es</w:t>
      </w:r>
      <w:r w:rsidRPr="00CE7747">
        <w:t xml:space="preserve"> that </w:t>
      </w:r>
      <w:r>
        <w:t>the repeated loading</w:t>
      </w:r>
      <w:r w:rsidRPr="00CE7747">
        <w:t xml:space="preserve"> is not</w:t>
      </w:r>
      <w:r>
        <w:t xml:space="preserve"> significantly</w:t>
      </w:r>
      <w:r w:rsidRPr="00CE7747">
        <w:t xml:space="preserve"> affecting the </w:t>
      </w:r>
      <w:r>
        <w:t>overall structural response</w:t>
      </w:r>
      <w:r w:rsidRPr="00CE7747">
        <w:t xml:space="preserve">. </w:t>
      </w:r>
      <w:r>
        <w:t>Further to this, if low cycle fatigue effects were influencing the results this would be anticipated to manifest as an increase in the damage observed with increasing number of repeat QSI tests, which is not present</w:t>
      </w:r>
      <w:r w:rsidR="00A258F1">
        <w:t xml:space="preserve"> in the data (Fig. 6, Fig. 10). </w:t>
      </w:r>
    </w:p>
    <w:p w14:paraId="2DC4E11C" w14:textId="77777777" w:rsidR="00E9201B" w:rsidRPr="0054062E" w:rsidRDefault="00E9201B" w:rsidP="00D924F8"/>
    <w:p w14:paraId="74FCC99B" w14:textId="77777777" w:rsidR="00E9201B" w:rsidRPr="00D924F8" w:rsidRDefault="00E9201B" w:rsidP="00D924F8">
      <w:r>
        <w:t xml:space="preserve">Whilst the damage response of the CFRP in COPVs may be identified as broadly similar to that of a simple composite plate, the force-displacement response of the COPVs is notably different. The onset of non-linearity in the force-displacement response is followed by change in slope indicating a reduction in the structural (tangent) stiffness (Fig. 3). The change in slope coincides with the initiation of two damage mechanisms: plastic deformation in the aluminium substrate (Fig. 6) and the onset of delamination in </w:t>
      </w:r>
      <w:r>
        <w:lastRenderedPageBreak/>
        <w:t xml:space="preserve">the CFRP (Fig. 10). In CFRP plate specimens the onset of non-linearity in the force-displacement profile typically manifests as a load drop, rather than a smooth slope change [2, 9, 22]. This has also been observed in GFRP pipes of similar OD to the COPVs tested [10]. The slope change response observed in COPVs may be due to the contribution of the plastic deformation in the aluminium to the overall response of the structure, with studies of fibre metal laminates indicating that the majority of impact energy is in fact absorbed by the metal [23]. </w:t>
      </w:r>
    </w:p>
    <w:p w14:paraId="20CF48BB" w14:textId="77777777" w:rsidR="00E9201B" w:rsidRPr="00E25C56" w:rsidRDefault="00E9201B" w:rsidP="00D924F8">
      <w:pPr>
        <w:pStyle w:val="H1"/>
      </w:pPr>
      <w:r w:rsidRPr="00CE7747">
        <w:t>5. Conclusion</w:t>
      </w:r>
    </w:p>
    <w:p w14:paraId="4B25E681" w14:textId="7C1BF470" w:rsidR="00E9201B" w:rsidRPr="00CE7747" w:rsidRDefault="00E9201B" w:rsidP="00D924F8">
      <w:r>
        <w:t>T</w:t>
      </w:r>
      <w:r w:rsidRPr="00CE7747">
        <w:t xml:space="preserve">he equivalence of QSI and LVI loading regimes on </w:t>
      </w:r>
      <w:r>
        <w:t>metal-lined COPVs</w:t>
      </w:r>
      <w:r w:rsidRPr="00CE7747">
        <w:t xml:space="preserve"> </w:t>
      </w:r>
      <w:r>
        <w:t xml:space="preserve">of 150mm OD </w:t>
      </w:r>
      <w:r w:rsidRPr="00CE7747">
        <w:t xml:space="preserve">has been </w:t>
      </w:r>
      <w:r>
        <w:t>tested</w:t>
      </w:r>
      <w:r w:rsidRPr="00CE7747">
        <w:t xml:space="preserve"> using </w:t>
      </w:r>
      <w:r>
        <w:t>micro</w:t>
      </w:r>
      <w:r w:rsidR="00703C4D">
        <w:t>-</w:t>
      </w:r>
      <w:r>
        <w:t>focus computed tomography</w:t>
      </w:r>
      <w:r w:rsidRPr="00CE7747">
        <w:t xml:space="preserve"> for subsurface damage assessment. The instrumented force-displacement response of the structures tested showed that under LVI the measured peak force was consistently </w:t>
      </w:r>
      <w:r>
        <w:t xml:space="preserve">within </w:t>
      </w:r>
      <w:r w:rsidRPr="00CE7747">
        <w:t xml:space="preserve">10% </w:t>
      </w:r>
      <w:r>
        <w:t xml:space="preserve">of the </w:t>
      </w:r>
      <w:r w:rsidRPr="00CE7747">
        <w:t>equivalent QSI test</w:t>
      </w:r>
      <w:r>
        <w:t xml:space="preserve"> and the</w:t>
      </w:r>
      <w:r w:rsidRPr="00CE7747">
        <w:t xml:space="preserve"> overall</w:t>
      </w:r>
      <w:r>
        <w:t xml:space="preserve"> damage</w:t>
      </w:r>
      <w:r w:rsidRPr="00CE7747">
        <w:t xml:space="preserve"> response under QSI and LVI was</w:t>
      </w:r>
      <w:r>
        <w:t xml:space="preserve"> very similar</w:t>
      </w:r>
      <w:r w:rsidRPr="00CE7747">
        <w:t>. Qualitative assessment of the damage in the most highly loaded samples indicate some</w:t>
      </w:r>
      <w:r>
        <w:t xml:space="preserve"> slight</w:t>
      </w:r>
      <w:r w:rsidRPr="00CE7747">
        <w:t xml:space="preserve"> differences between the two loading regimes</w:t>
      </w:r>
      <w:r>
        <w:t>, particularly</w:t>
      </w:r>
      <w:r w:rsidRPr="00CE7747">
        <w:t xml:space="preserve"> evidenced by a larger local indent on the </w:t>
      </w:r>
      <w:r w:rsidRPr="00731916">
        <w:t>surface</w:t>
      </w:r>
      <w:r w:rsidRPr="00CE7747">
        <w:t xml:space="preserve"> of the specimen and larger crack opening displacements. Quantitative assessment of two major subsurface damage mechanisms </w:t>
      </w:r>
      <w:r>
        <w:t>(</w:t>
      </w:r>
      <w:r w:rsidRPr="00CE7747">
        <w:t>projected delaminated area and the residual dent depth in the aluminium substrate</w:t>
      </w:r>
      <w:r>
        <w:t>)</w:t>
      </w:r>
      <w:r w:rsidRPr="00CE7747">
        <w:t xml:space="preserve"> demonstrated a high degree of equivalence when assessed in terms of peak displacement. Both damage mechanisms demonstrate a linear progression with increasing indentor displacement above a threshold value. There is </w:t>
      </w:r>
      <w:r>
        <w:t xml:space="preserve">some </w:t>
      </w:r>
      <w:r w:rsidRPr="00CE7747">
        <w:t xml:space="preserve">evidence that the damage initiation threshold value </w:t>
      </w:r>
      <w:r>
        <w:t>may be</w:t>
      </w:r>
      <w:r w:rsidRPr="00CE7747">
        <w:t xml:space="preserve"> </w:t>
      </w:r>
      <w:r>
        <w:t xml:space="preserve">slightly </w:t>
      </w:r>
      <w:r w:rsidRPr="00CE7747">
        <w:t>higher under LVI conditions</w:t>
      </w:r>
      <w:r>
        <w:t>, however further statistical assessment would be required to confirm this.</w:t>
      </w:r>
      <w:r w:rsidRPr="00CE7747">
        <w:t xml:space="preserve"> </w:t>
      </w:r>
    </w:p>
    <w:p w14:paraId="0808C207" w14:textId="77777777" w:rsidR="00E9201B" w:rsidRPr="00CE7747" w:rsidRDefault="00E9201B" w:rsidP="00D924F8"/>
    <w:p w14:paraId="53082DE1" w14:textId="77777777" w:rsidR="0062255F" w:rsidRPr="0062255F" w:rsidRDefault="00E9201B" w:rsidP="0062255F">
      <w:r w:rsidRPr="00CE7747">
        <w:t xml:space="preserve">This </w:t>
      </w:r>
      <w:r>
        <w:t>work</w:t>
      </w:r>
      <w:r w:rsidRPr="00CE7747">
        <w:t xml:space="preserve"> </w:t>
      </w:r>
      <w:r>
        <w:t>demonstrates</w:t>
      </w:r>
      <w:r w:rsidRPr="00CE7747">
        <w:t xml:space="preserve"> that QSI testing can be used as an analogue for LVI in </w:t>
      </w:r>
      <w:r>
        <w:t>the tested COPVs</w:t>
      </w:r>
      <w:r w:rsidRPr="00CE7747">
        <w:t xml:space="preserve"> both in terms of force-displacement and the damage developed in the different material systems above the threshold of damage initiation</w:t>
      </w:r>
      <w:r>
        <w:t>.</w:t>
      </w:r>
      <w:r w:rsidRPr="00CE7747">
        <w:t xml:space="preserve"> </w:t>
      </w:r>
    </w:p>
    <w:p w14:paraId="7BD4F870" w14:textId="77777777" w:rsidR="0062255F" w:rsidRDefault="0062255F" w:rsidP="0062255F">
      <w:pPr>
        <w:pStyle w:val="H1"/>
        <w:rPr>
          <w:lang w:eastAsia="es-ES"/>
        </w:rPr>
      </w:pPr>
      <w:r>
        <w:rPr>
          <w:lang w:eastAsia="es-ES"/>
        </w:rPr>
        <w:t>Funding statement</w:t>
      </w:r>
    </w:p>
    <w:p w14:paraId="344BC983" w14:textId="77777777" w:rsidR="0062255F" w:rsidRPr="00CE7747" w:rsidRDefault="0062255F" w:rsidP="0062255F">
      <w:pPr>
        <w:rPr>
          <w:b/>
          <w:bCs/>
          <w:sz w:val="22"/>
          <w:szCs w:val="22"/>
          <w:lang w:eastAsia="es-ES"/>
        </w:rPr>
      </w:pPr>
      <w:r w:rsidRPr="00A11F4B">
        <w:rPr>
          <w:lang w:val="en-GB"/>
        </w:rPr>
        <w:t>The authors would like to acknowledge EPSRC for supporting this work under award</w:t>
      </w:r>
      <w:r>
        <w:rPr>
          <w:lang w:val="en-GB"/>
        </w:rPr>
        <w:t xml:space="preserve"> number</w:t>
      </w:r>
      <w:r w:rsidRPr="00A11F4B">
        <w:rPr>
          <w:lang w:val="en-GB"/>
        </w:rPr>
        <w:t xml:space="preserve"> 1241284. </w:t>
      </w:r>
      <w:r>
        <w:rPr>
          <w:lang w:val="en-GB"/>
        </w:rPr>
        <w:t xml:space="preserve">Data published in this paper is available from the University of Southampton repository at: </w:t>
      </w:r>
      <w:r w:rsidRPr="00A11F4B">
        <w:t>http://dx.doi.org/10.5258/SOTON/397920</w:t>
      </w:r>
      <w:r>
        <w:t>.</w:t>
      </w:r>
    </w:p>
    <w:p w14:paraId="5A7E84EC" w14:textId="77777777" w:rsidR="00E9201B" w:rsidRPr="00CE7747" w:rsidRDefault="00E9201B" w:rsidP="00703C4D">
      <w:pPr>
        <w:pStyle w:val="H1"/>
      </w:pPr>
      <w:r w:rsidRPr="00CE7747">
        <w:t>Acknowledgments</w:t>
      </w:r>
    </w:p>
    <w:p w14:paraId="42BE45E0" w14:textId="77777777" w:rsidR="00E9201B" w:rsidRPr="00CE7747" w:rsidRDefault="00E9201B" w:rsidP="0004003A">
      <w:pPr>
        <w:pStyle w:val="AN"/>
        <w:rPr>
          <w:lang w:val="en-GB"/>
        </w:rPr>
      </w:pPr>
      <w:r w:rsidRPr="00A11F4B">
        <w:rPr>
          <w:lang w:val="en-GB"/>
        </w:rPr>
        <w:t xml:space="preserve">Thanks must also be given to the </w:t>
      </w:r>
      <w:r w:rsidRPr="00A11F4B">
        <w:rPr>
          <w:iCs/>
          <w:color w:val="000000"/>
        </w:rPr>
        <w:t>µ-VIS X-ray Imaging Centre at the University of Southampton (supported</w:t>
      </w:r>
      <w:r w:rsidRPr="0045160E">
        <w:rPr>
          <w:iCs/>
          <w:color w:val="000000"/>
        </w:rPr>
        <w:t xml:space="preserve"> by EPSRC grant EP-H01506X</w:t>
      </w:r>
      <w:r>
        <w:rPr>
          <w:iCs/>
          <w:color w:val="000000"/>
        </w:rPr>
        <w:t>)</w:t>
      </w:r>
      <w:r w:rsidRPr="00CE7747">
        <w:rPr>
          <w:iCs/>
          <w:color w:val="000000"/>
        </w:rPr>
        <w:t xml:space="preserve"> for facilitating the CT scanning</w:t>
      </w:r>
      <w:r>
        <w:rPr>
          <w:iCs/>
          <w:color w:val="000000"/>
        </w:rPr>
        <w:t>.</w:t>
      </w:r>
    </w:p>
    <w:p w14:paraId="188B6AAF" w14:textId="77777777" w:rsidR="00703C4D" w:rsidRDefault="00703C4D">
      <w:pPr>
        <w:rPr>
          <w:sz w:val="22"/>
          <w:szCs w:val="22"/>
          <w:lang w:eastAsia="es-ES"/>
        </w:rPr>
      </w:pPr>
      <w:r>
        <w:rPr>
          <w:sz w:val="22"/>
          <w:szCs w:val="22"/>
        </w:rPr>
        <w:br w:type="page"/>
      </w:r>
    </w:p>
    <w:p w14:paraId="378879EA" w14:textId="77777777" w:rsidR="00E9201B" w:rsidRPr="00CE7747" w:rsidRDefault="00E9201B" w:rsidP="00703C4D">
      <w:pPr>
        <w:pStyle w:val="H1"/>
      </w:pPr>
      <w:r w:rsidRPr="00CE7747">
        <w:lastRenderedPageBreak/>
        <w:t>References</w:t>
      </w:r>
    </w:p>
    <w:p w14:paraId="09B9E4A5" w14:textId="77777777" w:rsidR="00E9201B" w:rsidRDefault="00E9201B" w:rsidP="00703C4D">
      <w:pPr>
        <w:pStyle w:val="Reference"/>
        <w:rPr>
          <w:noProof/>
        </w:rPr>
      </w:pPr>
      <w:r w:rsidRPr="003D31C7">
        <w:rPr>
          <w:noProof/>
        </w:rPr>
        <w:t xml:space="preserve">Barthelemy H, Weber M, Barbier F. Hydrogen storage: Recent improvements and industrial perspectives. </w:t>
      </w:r>
      <w:r>
        <w:rPr>
          <w:noProof/>
        </w:rPr>
        <w:t>Int</w:t>
      </w:r>
      <w:r w:rsidRPr="003D31C7">
        <w:rPr>
          <w:noProof/>
        </w:rPr>
        <w:t xml:space="preserve"> J of Hydrogen Energ</w:t>
      </w:r>
      <w:r>
        <w:rPr>
          <w:noProof/>
        </w:rPr>
        <w:t xml:space="preserve"> 2016</w:t>
      </w:r>
      <w:r w:rsidRPr="003D31C7">
        <w:rPr>
          <w:noProof/>
        </w:rPr>
        <w:t>.</w:t>
      </w:r>
    </w:p>
    <w:p w14:paraId="3B85513A" w14:textId="77777777" w:rsidR="00E9201B" w:rsidRPr="00745F25" w:rsidRDefault="00E9201B" w:rsidP="00703C4D">
      <w:pPr>
        <w:pStyle w:val="Reference"/>
        <w:rPr>
          <w:noProof/>
        </w:rPr>
      </w:pPr>
      <w:r w:rsidRPr="00745F25">
        <w:rPr>
          <w:rFonts w:eastAsiaTheme="minorEastAsia"/>
        </w:rPr>
        <w:t>Cantwell WJ, Morton J</w:t>
      </w:r>
      <w:r>
        <w:rPr>
          <w:rFonts w:eastAsiaTheme="minorEastAsia"/>
        </w:rPr>
        <w:t>.</w:t>
      </w:r>
      <w:r w:rsidRPr="00745F25">
        <w:rPr>
          <w:rFonts w:eastAsiaTheme="minorEastAsia"/>
        </w:rPr>
        <w:t xml:space="preserve"> </w:t>
      </w:r>
      <w:r w:rsidRPr="00745F25">
        <w:rPr>
          <w:rFonts w:eastAsiaTheme="minorEastAsia"/>
          <w:iCs/>
        </w:rPr>
        <w:t>The impact resistance of composite materials — a review.</w:t>
      </w:r>
      <w:r w:rsidRPr="00745F25">
        <w:rPr>
          <w:rFonts w:eastAsiaTheme="minorEastAsia"/>
        </w:rPr>
        <w:t xml:space="preserve"> Composites 1991;</w:t>
      </w:r>
      <w:r w:rsidRPr="00745F25">
        <w:rPr>
          <w:rFonts w:eastAsiaTheme="minorEastAsia"/>
          <w:bCs/>
        </w:rPr>
        <w:t>22</w:t>
      </w:r>
      <w:r w:rsidRPr="00745F25">
        <w:rPr>
          <w:rFonts w:eastAsiaTheme="minorEastAsia"/>
        </w:rPr>
        <w:t>(5):347-362.</w:t>
      </w:r>
    </w:p>
    <w:p w14:paraId="0489FC42" w14:textId="77777777" w:rsidR="00E9201B" w:rsidRPr="00BA1C08" w:rsidRDefault="00E9201B" w:rsidP="00703C4D">
      <w:pPr>
        <w:pStyle w:val="Reference"/>
        <w:rPr>
          <w:noProof/>
        </w:rPr>
      </w:pPr>
      <w:r w:rsidRPr="00745F25">
        <w:rPr>
          <w:noProof/>
        </w:rPr>
        <w:t>Abrate S</w:t>
      </w:r>
      <w:r>
        <w:rPr>
          <w:noProof/>
        </w:rPr>
        <w:t>.</w:t>
      </w:r>
      <w:r w:rsidRPr="00745F25">
        <w:rPr>
          <w:noProof/>
        </w:rPr>
        <w:t xml:space="preserve"> Impact on Laminated Composite Materials. Appl Mech Rev 1991;44(4):155-190.</w:t>
      </w:r>
    </w:p>
    <w:p w14:paraId="3C9F2FD1" w14:textId="77777777" w:rsidR="00E9201B" w:rsidRPr="00745F25" w:rsidRDefault="00E9201B" w:rsidP="00703C4D">
      <w:pPr>
        <w:pStyle w:val="Reference"/>
        <w:rPr>
          <w:noProof/>
        </w:rPr>
      </w:pPr>
      <w:r w:rsidRPr="00745F25">
        <w:rPr>
          <w:noProof/>
        </w:rPr>
        <w:t xml:space="preserve">Delfosse D, Poursartip A. </w:t>
      </w:r>
      <w:r w:rsidRPr="00745F25">
        <w:rPr>
          <w:iCs/>
          <w:noProof/>
        </w:rPr>
        <w:t>Energy-based approach to impact damage in CFRP laminates.</w:t>
      </w:r>
      <w:r w:rsidRPr="00745F25">
        <w:rPr>
          <w:noProof/>
        </w:rPr>
        <w:t xml:space="preserve"> </w:t>
      </w:r>
      <w:r w:rsidRPr="00745F25">
        <w:rPr>
          <w:bCs/>
          <w:noProof/>
        </w:rPr>
        <w:t>Compos Part A-Appl Sci Manuf</w:t>
      </w:r>
      <w:r w:rsidRPr="00745F25">
        <w:rPr>
          <w:noProof/>
        </w:rPr>
        <w:t xml:space="preserve"> 1997;</w:t>
      </w:r>
      <w:r w:rsidRPr="00745F25">
        <w:rPr>
          <w:bCs/>
          <w:noProof/>
        </w:rPr>
        <w:t>28</w:t>
      </w:r>
      <w:r w:rsidRPr="00745F25">
        <w:rPr>
          <w:noProof/>
        </w:rPr>
        <w:t>(7):647-655.</w:t>
      </w:r>
    </w:p>
    <w:p w14:paraId="41FA3579" w14:textId="77777777" w:rsidR="00E9201B" w:rsidRPr="00745F25" w:rsidRDefault="00E9201B" w:rsidP="00703C4D">
      <w:pPr>
        <w:pStyle w:val="Reference"/>
        <w:rPr>
          <w:noProof/>
        </w:rPr>
      </w:pPr>
      <w:r w:rsidRPr="00745F25">
        <w:rPr>
          <w:noProof/>
        </w:rPr>
        <w:t xml:space="preserve">Schoeppner GA, Abrate S. Delamination threshold loads for low velocity impact on composite laminates. </w:t>
      </w:r>
      <w:r w:rsidRPr="00745F25">
        <w:rPr>
          <w:bCs/>
          <w:noProof/>
        </w:rPr>
        <w:t>Compos Part A-Appl Sci Manuf</w:t>
      </w:r>
      <w:r w:rsidRPr="00745F25">
        <w:rPr>
          <w:noProof/>
        </w:rPr>
        <w:t xml:space="preserve"> 2000;31(9):903-915.</w:t>
      </w:r>
    </w:p>
    <w:p w14:paraId="36E246EA" w14:textId="77777777" w:rsidR="00E9201B" w:rsidRPr="00745F25" w:rsidRDefault="00E9201B" w:rsidP="00703C4D">
      <w:pPr>
        <w:pStyle w:val="Reference"/>
        <w:rPr>
          <w:rFonts w:eastAsiaTheme="minorEastAsia"/>
        </w:rPr>
      </w:pPr>
      <w:r w:rsidRPr="00745F25">
        <w:rPr>
          <w:rFonts w:eastAsiaTheme="minorEastAsia"/>
        </w:rPr>
        <w:t>Tan KT, Yoshimura A, Wantanbe N, Iwahori Y, Ishikawa T.</w:t>
      </w:r>
      <w:r w:rsidRPr="00745F25">
        <w:rPr>
          <w:rFonts w:eastAsiaTheme="minorEastAsia"/>
          <w:iCs/>
        </w:rPr>
        <w:t xml:space="preserve"> Effect of stitch density and stitch thread thickness on damage progression and failure characteristics of stitched composites under out-of-plane loading.</w:t>
      </w:r>
      <w:r w:rsidRPr="00745F25">
        <w:rPr>
          <w:rFonts w:eastAsiaTheme="minorEastAsia"/>
        </w:rPr>
        <w:t xml:space="preserve"> Compos Sci Technol 2013;</w:t>
      </w:r>
      <w:r w:rsidRPr="00745F25">
        <w:rPr>
          <w:rFonts w:eastAsiaTheme="minorEastAsia"/>
          <w:bCs/>
        </w:rPr>
        <w:t>74</w:t>
      </w:r>
      <w:r w:rsidRPr="00745F25">
        <w:rPr>
          <w:rFonts w:eastAsiaTheme="minorEastAsia"/>
        </w:rPr>
        <w:t>:194-204.</w:t>
      </w:r>
    </w:p>
    <w:p w14:paraId="21C73E53" w14:textId="77777777" w:rsidR="00E9201B" w:rsidRPr="00745F25" w:rsidRDefault="00E9201B" w:rsidP="003448E4">
      <w:pPr>
        <w:pStyle w:val="Reference"/>
        <w:rPr>
          <w:noProof/>
        </w:rPr>
      </w:pPr>
      <w:r w:rsidRPr="00745F25">
        <w:rPr>
          <w:noProof/>
        </w:rPr>
        <w:t>Wardle BL, Lagace PA</w:t>
      </w:r>
      <w:r>
        <w:rPr>
          <w:noProof/>
        </w:rPr>
        <w:t>.</w:t>
      </w:r>
      <w:r w:rsidRPr="00745F25">
        <w:rPr>
          <w:noProof/>
        </w:rPr>
        <w:t xml:space="preserve"> Behavior of Composite Shells Under Transverse Impact and Quasi-Static Loading. Mech Compos Mater St 1998;5(1):368-381.</w:t>
      </w:r>
    </w:p>
    <w:p w14:paraId="73AEBC48" w14:textId="77777777" w:rsidR="00E9201B" w:rsidRPr="00745F25" w:rsidRDefault="00E9201B" w:rsidP="003448E4">
      <w:pPr>
        <w:pStyle w:val="Reference"/>
        <w:rPr>
          <w:noProof/>
        </w:rPr>
      </w:pPr>
      <w:r w:rsidRPr="00745F25">
        <w:rPr>
          <w:noProof/>
        </w:rPr>
        <w:t>Kaczmarek H, Maison S. Comparative ultrasonic analysis of damage in CFRP under static indentation and low-velocity impact. Compos Sci Technol 1994;51(1):11-26.</w:t>
      </w:r>
    </w:p>
    <w:p w14:paraId="117A16F6" w14:textId="77777777" w:rsidR="00E9201B" w:rsidRPr="00745F25" w:rsidRDefault="00E9201B" w:rsidP="003448E4">
      <w:pPr>
        <w:pStyle w:val="Reference"/>
        <w:rPr>
          <w:noProof/>
        </w:rPr>
      </w:pPr>
      <w:r w:rsidRPr="00745F25">
        <w:rPr>
          <w:noProof/>
        </w:rPr>
        <w:t>Sjoblom PO, Hartness JT, Cordell TM, On Low-Velocity Impact Testing of Composite Materials. J of Compos Mater 1988;22(1):30-52.</w:t>
      </w:r>
    </w:p>
    <w:p w14:paraId="13CF9823" w14:textId="77777777" w:rsidR="00E9201B" w:rsidRPr="00745F25" w:rsidRDefault="00E9201B" w:rsidP="003448E4">
      <w:pPr>
        <w:pStyle w:val="Reference"/>
        <w:rPr>
          <w:noProof/>
        </w:rPr>
      </w:pPr>
      <w:r w:rsidRPr="00745F25">
        <w:rPr>
          <w:noProof/>
        </w:rPr>
        <w:t>Lagacé PA, Williamson JE, Tsang PHW, Wolf E, Thomas S. A Preliminary Proposition for a Test Method to Measure (Impact) Damage Resistance. J of Reinf Plast and Compos 1993;12(5):584-601.</w:t>
      </w:r>
    </w:p>
    <w:p w14:paraId="1E0C361B" w14:textId="77777777" w:rsidR="00E9201B" w:rsidRPr="00745F25" w:rsidRDefault="00E9201B" w:rsidP="00703C4D">
      <w:pPr>
        <w:pStyle w:val="Reference"/>
        <w:rPr>
          <w:noProof/>
        </w:rPr>
      </w:pPr>
      <w:r>
        <w:rPr>
          <w:noProof/>
        </w:rPr>
        <w:t>Bull DJ, Spearing SM</w:t>
      </w:r>
      <w:r w:rsidRPr="00745F25">
        <w:rPr>
          <w:noProof/>
        </w:rPr>
        <w:t>,</w:t>
      </w:r>
      <w:r>
        <w:rPr>
          <w:noProof/>
        </w:rPr>
        <w:t xml:space="preserve"> Sinclair</w:t>
      </w:r>
      <w:r w:rsidRPr="00745F25">
        <w:rPr>
          <w:noProof/>
        </w:rPr>
        <w:t xml:space="preserve"> I. Investigation of the response to low velocity impact and quasi-static indentation loading of particle-toughened carbon-fibre composite materials. </w:t>
      </w:r>
      <w:r w:rsidRPr="00745F25">
        <w:rPr>
          <w:bCs/>
          <w:noProof/>
        </w:rPr>
        <w:t>Compos Part A-Appl Sci Manuf</w:t>
      </w:r>
      <w:r w:rsidRPr="00745F25">
        <w:rPr>
          <w:noProof/>
        </w:rPr>
        <w:t xml:space="preserve"> 2015;74:38-46.</w:t>
      </w:r>
    </w:p>
    <w:p w14:paraId="558476E9" w14:textId="77777777" w:rsidR="00E9201B" w:rsidRPr="00745F25" w:rsidRDefault="00E9201B" w:rsidP="00703C4D">
      <w:pPr>
        <w:pStyle w:val="Reference"/>
        <w:rPr>
          <w:noProof/>
        </w:rPr>
      </w:pPr>
      <w:r w:rsidRPr="00745F25">
        <w:rPr>
          <w:noProof/>
        </w:rPr>
        <w:t>Al</w:t>
      </w:r>
      <w:r>
        <w:rPr>
          <w:noProof/>
        </w:rPr>
        <w:t>derson</w:t>
      </w:r>
      <w:r w:rsidRPr="00745F25">
        <w:rPr>
          <w:noProof/>
        </w:rPr>
        <w:t xml:space="preserve"> KL, </w:t>
      </w:r>
      <w:r>
        <w:rPr>
          <w:noProof/>
        </w:rPr>
        <w:t>Evans K</w:t>
      </w:r>
      <w:r w:rsidRPr="00745F25">
        <w:rPr>
          <w:noProof/>
        </w:rPr>
        <w:t>E. Failure mechanisms during the transverse loading of filament-wound pipes under static and low velocity impact conditions. Composites 1992;23(3):167-173.</w:t>
      </w:r>
    </w:p>
    <w:p w14:paraId="55D29EF6" w14:textId="77777777" w:rsidR="00E9201B" w:rsidRDefault="00E9201B" w:rsidP="00703C4D">
      <w:pPr>
        <w:pStyle w:val="Reference"/>
        <w:rPr>
          <w:noProof/>
        </w:rPr>
      </w:pPr>
      <w:r w:rsidRPr="00745F25">
        <w:rPr>
          <w:noProof/>
        </w:rPr>
        <w:t>Curtis J, Hinton MJ, Li S, Reid SR, Soden PD. Damage, deformation and residual burst strength of filament-wound composite tubes subjected to impact or quasi-static indentation. Compos Part B-Eng 2000;31(5):419-433.</w:t>
      </w:r>
    </w:p>
    <w:p w14:paraId="0C2926CD" w14:textId="77777777" w:rsidR="00E9201B" w:rsidRPr="00745F25" w:rsidRDefault="00E9201B" w:rsidP="00703C4D">
      <w:pPr>
        <w:pStyle w:val="Reference"/>
        <w:rPr>
          <w:noProof/>
        </w:rPr>
      </w:pPr>
      <w:r w:rsidRPr="00745F25">
        <w:rPr>
          <w:noProof/>
        </w:rPr>
        <w:t>Allen T, Scott AE, Hepples W, Spearing SM, Reed PA, Sinclair I. Investigating damage resistance of hybrid-composite metallic structures using multi-scale computed tomogrpahy. In: Pr</w:t>
      </w:r>
      <w:r>
        <w:rPr>
          <w:noProof/>
        </w:rPr>
        <w:t>oceedings of ECCM-16 Conference.</w:t>
      </w:r>
      <w:r w:rsidRPr="00745F25">
        <w:rPr>
          <w:noProof/>
        </w:rPr>
        <w:t xml:space="preserve"> Seville, June, 2014</w:t>
      </w:r>
      <w:r>
        <w:rPr>
          <w:noProof/>
        </w:rPr>
        <w:t>.</w:t>
      </w:r>
    </w:p>
    <w:p w14:paraId="21C23B60" w14:textId="77777777" w:rsidR="00E9201B" w:rsidRPr="00745F25" w:rsidRDefault="00E9201B" w:rsidP="00703C4D">
      <w:pPr>
        <w:pStyle w:val="Reference"/>
        <w:rPr>
          <w:noProof/>
        </w:rPr>
      </w:pPr>
      <w:r w:rsidRPr="00745F25">
        <w:rPr>
          <w:noProof/>
        </w:rPr>
        <w:t xml:space="preserve">Kobayashi S, Kawahara M. </w:t>
      </w:r>
      <w:r w:rsidRPr="00745F25">
        <w:rPr>
          <w:iCs/>
          <w:noProof/>
        </w:rPr>
        <w:t>Effects of stacking thickness on the damage behavior in CFRP composite cylinders subjected to out-of-plane loading.</w:t>
      </w:r>
      <w:r w:rsidRPr="00745F25">
        <w:rPr>
          <w:noProof/>
        </w:rPr>
        <w:t xml:space="preserve"> </w:t>
      </w:r>
      <w:r w:rsidRPr="00745F25">
        <w:rPr>
          <w:bCs/>
          <w:noProof/>
        </w:rPr>
        <w:t>Compos Part A-Appl Sci Manuf</w:t>
      </w:r>
      <w:r w:rsidRPr="00745F25">
        <w:rPr>
          <w:noProof/>
        </w:rPr>
        <w:t xml:space="preserve"> 2012;</w:t>
      </w:r>
      <w:r w:rsidRPr="00745F25">
        <w:rPr>
          <w:bCs/>
          <w:noProof/>
        </w:rPr>
        <w:t>43</w:t>
      </w:r>
      <w:r w:rsidRPr="00745F25">
        <w:rPr>
          <w:noProof/>
        </w:rPr>
        <w:t>(1):231-237.</w:t>
      </w:r>
    </w:p>
    <w:p w14:paraId="336C8E7E" w14:textId="77777777" w:rsidR="00E9201B" w:rsidRPr="00745F25" w:rsidRDefault="00E9201B" w:rsidP="00703C4D">
      <w:pPr>
        <w:pStyle w:val="Reference"/>
        <w:rPr>
          <w:noProof/>
        </w:rPr>
      </w:pPr>
      <w:r w:rsidRPr="00745F25">
        <w:rPr>
          <w:noProof/>
        </w:rPr>
        <w:t>Allen T, Ahmed SI, Reed PA, Sinclair I, Spearing SM, Understanding the sequence of damage in complex hybrid composite metallic structures subject to out-of-plane loading investigated using computed tomography</w:t>
      </w:r>
      <w:r>
        <w:rPr>
          <w:noProof/>
        </w:rPr>
        <w:t>.</w:t>
      </w:r>
      <w:r w:rsidRPr="00745F25">
        <w:rPr>
          <w:noProof/>
        </w:rPr>
        <w:t xml:space="preserve"> In: Proceedings of ICCM-20</w:t>
      </w:r>
      <w:r>
        <w:rPr>
          <w:noProof/>
        </w:rPr>
        <w:t>.</w:t>
      </w:r>
      <w:r w:rsidRPr="00745F25">
        <w:rPr>
          <w:noProof/>
        </w:rPr>
        <w:t xml:space="preserve"> Copenhagen, July. 2015.</w:t>
      </w:r>
    </w:p>
    <w:p w14:paraId="66A34F96" w14:textId="77777777" w:rsidR="00E9201B" w:rsidRPr="00745F25" w:rsidRDefault="00E9201B" w:rsidP="00703C4D">
      <w:pPr>
        <w:pStyle w:val="Reference"/>
        <w:rPr>
          <w:noProof/>
        </w:rPr>
      </w:pPr>
      <w:r w:rsidRPr="00745F25">
        <w:rPr>
          <w:rFonts w:eastAsiaTheme="minorEastAsia"/>
        </w:rPr>
        <w:t xml:space="preserve">Abdallah EA, Bouvet C, Rivallant S, Broll B, Barrau JJ. </w:t>
      </w:r>
      <w:r w:rsidRPr="00745F25">
        <w:rPr>
          <w:rFonts w:eastAsiaTheme="minorEastAsia"/>
          <w:iCs/>
        </w:rPr>
        <w:t>Experimental analysis of damage creation and permanent indentation on highly oriented plates.</w:t>
      </w:r>
      <w:r w:rsidRPr="00745F25">
        <w:rPr>
          <w:rFonts w:eastAsiaTheme="minorEastAsia"/>
        </w:rPr>
        <w:t xml:space="preserve"> Compos Sci Technol 2009; </w:t>
      </w:r>
      <w:r w:rsidRPr="00745F25">
        <w:rPr>
          <w:rFonts w:eastAsiaTheme="minorEastAsia"/>
          <w:bCs/>
        </w:rPr>
        <w:t>69</w:t>
      </w:r>
      <w:r w:rsidRPr="00745F25">
        <w:rPr>
          <w:rFonts w:eastAsiaTheme="minorEastAsia"/>
        </w:rPr>
        <w:t>(7–8):1238-1245.</w:t>
      </w:r>
    </w:p>
    <w:p w14:paraId="22312933" w14:textId="77777777" w:rsidR="00E9201B" w:rsidRPr="00745F25" w:rsidRDefault="00E9201B" w:rsidP="00703C4D">
      <w:pPr>
        <w:pStyle w:val="Reference"/>
        <w:rPr>
          <w:noProof/>
        </w:rPr>
      </w:pPr>
      <w:r w:rsidRPr="00745F25">
        <w:rPr>
          <w:rFonts w:eastAsiaTheme="minorEastAsia"/>
        </w:rPr>
        <w:t xml:space="preserve">Robinson P, Davies GAO. </w:t>
      </w:r>
      <w:r w:rsidRPr="00745F25">
        <w:rPr>
          <w:rFonts w:eastAsiaTheme="minorEastAsia"/>
          <w:iCs/>
        </w:rPr>
        <w:t>Impactor mass and specimen geometry effects in low velocity impact of laminated composites.</w:t>
      </w:r>
      <w:r w:rsidRPr="00745F25">
        <w:rPr>
          <w:rFonts w:eastAsiaTheme="minorEastAsia"/>
        </w:rPr>
        <w:t xml:space="preserve"> Int J Impact Eng 1992;</w:t>
      </w:r>
      <w:r w:rsidRPr="00745F25">
        <w:rPr>
          <w:rFonts w:eastAsiaTheme="minorEastAsia"/>
          <w:bCs/>
        </w:rPr>
        <w:t>12</w:t>
      </w:r>
      <w:r w:rsidRPr="00745F25">
        <w:rPr>
          <w:rFonts w:eastAsiaTheme="minorEastAsia"/>
        </w:rPr>
        <w:t>(2):189-207.</w:t>
      </w:r>
    </w:p>
    <w:p w14:paraId="53065F18" w14:textId="77777777" w:rsidR="00E9201B" w:rsidRPr="00745F25" w:rsidRDefault="00E9201B" w:rsidP="00703C4D">
      <w:pPr>
        <w:pStyle w:val="Reference"/>
        <w:rPr>
          <w:rFonts w:eastAsiaTheme="minorEastAsia"/>
        </w:rPr>
      </w:pPr>
      <w:r w:rsidRPr="00745F25">
        <w:rPr>
          <w:rFonts w:eastAsiaTheme="minorEastAsia"/>
        </w:rPr>
        <w:t xml:space="preserve"> Olsson R. </w:t>
      </w:r>
      <w:r w:rsidRPr="00745F25">
        <w:rPr>
          <w:rFonts w:eastAsiaTheme="minorEastAsia"/>
          <w:iCs/>
        </w:rPr>
        <w:t>Mass criterion for wave controlled impact response of composite plates.</w:t>
      </w:r>
      <w:r w:rsidRPr="00745F25">
        <w:rPr>
          <w:rFonts w:eastAsiaTheme="minorEastAsia"/>
        </w:rPr>
        <w:t xml:space="preserve"> </w:t>
      </w:r>
      <w:r w:rsidRPr="00745F25">
        <w:rPr>
          <w:bCs/>
          <w:noProof/>
        </w:rPr>
        <w:t>Compos Part A-Appl Sci Manuf</w:t>
      </w:r>
      <w:r w:rsidRPr="00745F25">
        <w:rPr>
          <w:noProof/>
        </w:rPr>
        <w:t xml:space="preserve"> </w:t>
      </w:r>
      <w:r w:rsidRPr="00745F25">
        <w:rPr>
          <w:rFonts w:eastAsiaTheme="minorEastAsia"/>
        </w:rPr>
        <w:t>2000;</w:t>
      </w:r>
      <w:r w:rsidRPr="00745F25">
        <w:rPr>
          <w:rFonts w:eastAsiaTheme="minorEastAsia"/>
          <w:bCs/>
        </w:rPr>
        <w:t>31</w:t>
      </w:r>
      <w:r w:rsidRPr="00745F25">
        <w:rPr>
          <w:rFonts w:eastAsiaTheme="minorEastAsia"/>
        </w:rPr>
        <w:t>(8):879-887.</w:t>
      </w:r>
    </w:p>
    <w:p w14:paraId="367B0631" w14:textId="77777777" w:rsidR="00E9201B" w:rsidRPr="00745F25" w:rsidRDefault="00E9201B" w:rsidP="00703C4D">
      <w:pPr>
        <w:pStyle w:val="Reference"/>
        <w:rPr>
          <w:rFonts w:eastAsiaTheme="minorEastAsia"/>
        </w:rPr>
      </w:pPr>
      <w:r w:rsidRPr="00745F25">
        <w:t xml:space="preserve"> </w:t>
      </w:r>
      <w:r w:rsidRPr="00745F25">
        <w:rPr>
          <w:noProof/>
        </w:rPr>
        <w:t xml:space="preserve">Cartie DDR, Irving PE. Effect of resin and fibre properties on impact and compression after impact performance of CFRP. </w:t>
      </w:r>
      <w:r w:rsidRPr="00745F25">
        <w:rPr>
          <w:bCs/>
          <w:noProof/>
        </w:rPr>
        <w:t>Compos Part A-Appl Sci Manuf</w:t>
      </w:r>
      <w:r w:rsidRPr="00745F25">
        <w:rPr>
          <w:noProof/>
        </w:rPr>
        <w:t xml:space="preserve"> 2002;33(4):483-493.</w:t>
      </w:r>
    </w:p>
    <w:p w14:paraId="28A963EA" w14:textId="77777777" w:rsidR="00E9201B" w:rsidRPr="00745F25" w:rsidRDefault="00E9201B" w:rsidP="00703C4D">
      <w:pPr>
        <w:pStyle w:val="Reference"/>
        <w:rPr>
          <w:rFonts w:eastAsiaTheme="minorEastAsia"/>
        </w:rPr>
      </w:pPr>
      <w:r>
        <w:rPr>
          <w:rFonts w:eastAsia="Calibri"/>
        </w:rPr>
        <w:t>Rydin RW,</w:t>
      </w:r>
      <w:r w:rsidRPr="00745F25">
        <w:rPr>
          <w:rFonts w:eastAsia="Calibri"/>
        </w:rPr>
        <w:t xml:space="preserve"> Bushman</w:t>
      </w:r>
      <w:r>
        <w:rPr>
          <w:rFonts w:eastAsia="Calibri"/>
        </w:rPr>
        <w:t xml:space="preserve"> MB, </w:t>
      </w:r>
      <w:r w:rsidRPr="00745F25">
        <w:rPr>
          <w:rFonts w:eastAsia="Calibri"/>
        </w:rPr>
        <w:t>Karbhari</w:t>
      </w:r>
      <w:r>
        <w:rPr>
          <w:rFonts w:eastAsia="Calibri"/>
        </w:rPr>
        <w:t xml:space="preserve"> VM.</w:t>
      </w:r>
      <w:r w:rsidRPr="00745F25">
        <w:rPr>
          <w:rFonts w:eastAsia="Calibri"/>
        </w:rPr>
        <w:t xml:space="preserve"> </w:t>
      </w:r>
      <w:r w:rsidRPr="00745F25">
        <w:rPr>
          <w:rFonts w:eastAsia="Calibri"/>
          <w:iCs/>
        </w:rPr>
        <w:t>The Influence of Velocity in Low-Velocity Impact Testing of Composites Using the Drop Weight Impact Tower.</w:t>
      </w:r>
      <w:r w:rsidRPr="00745F25">
        <w:rPr>
          <w:rFonts w:eastAsia="Calibri"/>
        </w:rPr>
        <w:t xml:space="preserve"> J of Reinf Plast and Compos 1995;</w:t>
      </w:r>
      <w:r w:rsidRPr="00745F25">
        <w:rPr>
          <w:rFonts w:eastAsia="Calibri"/>
          <w:bCs/>
        </w:rPr>
        <w:t>14</w:t>
      </w:r>
      <w:r w:rsidRPr="00745F25">
        <w:rPr>
          <w:rFonts w:eastAsia="Calibri"/>
        </w:rPr>
        <w:t>(2):113-127.</w:t>
      </w:r>
    </w:p>
    <w:p w14:paraId="056AC0E2" w14:textId="77777777" w:rsidR="00E9201B" w:rsidRPr="00745F25" w:rsidRDefault="00E9201B" w:rsidP="00703C4D">
      <w:pPr>
        <w:pStyle w:val="Reference"/>
        <w:rPr>
          <w:color w:val="000000"/>
        </w:rPr>
      </w:pPr>
      <w:r w:rsidRPr="000A7A5A">
        <w:rPr>
          <w:color w:val="000000"/>
        </w:rPr>
        <w:lastRenderedPageBreak/>
        <w:t>Wagih A, Maimí P, González EV, Blanco N, de A</w:t>
      </w:r>
      <w:r>
        <w:rPr>
          <w:color w:val="000000"/>
        </w:rPr>
        <w:t>ja JRS, de la Escalera FM, Olsson R, Alvarez E</w:t>
      </w:r>
      <w:r w:rsidRPr="000A7A5A">
        <w:rPr>
          <w:color w:val="000000"/>
        </w:rPr>
        <w:t xml:space="preserve">. Damage sequence in thin-ply composite laminates under out-of-plane loading. </w:t>
      </w:r>
      <w:r w:rsidRPr="00745F25">
        <w:rPr>
          <w:bCs/>
          <w:noProof/>
        </w:rPr>
        <w:t>Compos Part A-Appl Sci Manuf</w:t>
      </w:r>
      <w:r w:rsidRPr="000A7A5A">
        <w:rPr>
          <w:color w:val="000000"/>
        </w:rPr>
        <w:t xml:space="preserve"> 2016;87:66-77.</w:t>
      </w:r>
    </w:p>
    <w:p w14:paraId="6A16295C" w14:textId="326360D3" w:rsidR="008F6184" w:rsidRDefault="008F6184" w:rsidP="008F6184">
      <w:pPr>
        <w:pStyle w:val="Reference"/>
      </w:pPr>
      <w:r>
        <w:t>Morinière, FD., Alderleisten, RC.</w:t>
      </w:r>
      <w:r>
        <w:rPr>
          <w:rFonts w:cs="Helvetica"/>
        </w:rPr>
        <w:t xml:space="preserve">, Sadighi, M., Benedictus, R. 2013. An integrated study on the low-velocity impact response of the GLARE fibre-metal laminate. </w:t>
      </w:r>
      <w:r w:rsidRPr="00745F25">
        <w:t>Comp</w:t>
      </w:r>
      <w:r>
        <w:t>o</w:t>
      </w:r>
      <w:r w:rsidRPr="00745F25">
        <w:t>s Struct</w:t>
      </w:r>
      <w:r>
        <w:t xml:space="preserve"> 2013</w:t>
      </w:r>
      <w:r>
        <w:rPr>
          <w:rFonts w:cs="Helvetica"/>
          <w:i/>
          <w:iCs/>
        </w:rPr>
        <w:t>,</w:t>
      </w:r>
      <w:r>
        <w:rPr>
          <w:rFonts w:cs="Helvetica"/>
        </w:rPr>
        <w:t xml:space="preserve"> 100</w:t>
      </w:r>
      <w:r>
        <w:rPr>
          <w:rFonts w:cs="Helvetica"/>
          <w:b/>
          <w:bCs/>
        </w:rPr>
        <w:t>:</w:t>
      </w:r>
      <w:r>
        <w:rPr>
          <w:rFonts w:cs="Helvetica"/>
        </w:rPr>
        <w:t>89-103.</w:t>
      </w:r>
    </w:p>
    <w:p w14:paraId="6B764C68" w14:textId="561F6677" w:rsidR="00E9201B" w:rsidRPr="00B63B92" w:rsidRDefault="00E9201B" w:rsidP="008F6184">
      <w:pPr>
        <w:pStyle w:val="Reference"/>
        <w:numPr>
          <w:ilvl w:val="0"/>
          <w:numId w:val="0"/>
        </w:numPr>
        <w:ind w:left="360" w:hanging="360"/>
        <w:rPr>
          <w:color w:val="000000"/>
        </w:rPr>
      </w:pPr>
      <w:r w:rsidRPr="00B63B92">
        <w:rPr>
          <w:color w:val="000000"/>
        </w:rPr>
        <w:br w:type="page"/>
      </w:r>
    </w:p>
    <w:p w14:paraId="345E155D" w14:textId="77777777" w:rsidR="00E9201B" w:rsidRDefault="00E9201B" w:rsidP="00E9201B">
      <w:pPr>
        <w:spacing w:before="60" w:after="60" w:line="480" w:lineRule="auto"/>
        <w:ind w:right="4"/>
        <w:jc w:val="both"/>
        <w:rPr>
          <w:b/>
          <w:color w:val="000000"/>
          <w:sz w:val="22"/>
          <w:szCs w:val="22"/>
        </w:rPr>
      </w:pPr>
      <w:r>
        <w:rPr>
          <w:b/>
          <w:color w:val="000000"/>
          <w:sz w:val="22"/>
          <w:szCs w:val="22"/>
        </w:rPr>
        <w:lastRenderedPageBreak/>
        <w:t>FIGURES</w:t>
      </w:r>
    </w:p>
    <w:p w14:paraId="186653B3" w14:textId="77777777" w:rsidR="00E9201B" w:rsidRDefault="00E9201B" w:rsidP="00E9201B">
      <w:pPr>
        <w:spacing w:before="60" w:after="60" w:line="480" w:lineRule="auto"/>
        <w:ind w:right="4"/>
        <w:jc w:val="center"/>
        <w:rPr>
          <w:b/>
          <w:color w:val="000000"/>
          <w:sz w:val="22"/>
          <w:szCs w:val="22"/>
        </w:rPr>
      </w:pPr>
      <w:r w:rsidRPr="00E86DE1">
        <w:rPr>
          <w:b/>
          <w:noProof/>
          <w:color w:val="000000"/>
          <w:sz w:val="22"/>
          <w:szCs w:val="22"/>
          <w:lang w:val="en-GB" w:eastAsia="en-GB"/>
        </w:rPr>
        <w:drawing>
          <wp:inline distT="0" distB="0" distL="0" distR="0" wp14:anchorId="04628B51" wp14:editId="538752FA">
            <wp:extent cx="2750820" cy="275082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erimental Setup_scale.tiff"/>
                    <pic:cNvPicPr/>
                  </pic:nvPicPr>
                  <pic:blipFill>
                    <a:blip r:embed="rId7">
                      <a:extLst>
                        <a:ext uri="{28A0092B-C50C-407E-A947-70E740481C1C}">
                          <a14:useLocalDpi xmlns:a14="http://schemas.microsoft.com/office/drawing/2010/main" val="0"/>
                        </a:ext>
                      </a:extLst>
                    </a:blip>
                    <a:stretch>
                      <a:fillRect/>
                    </a:stretch>
                  </pic:blipFill>
                  <pic:spPr>
                    <a:xfrm>
                      <a:off x="0" y="0"/>
                      <a:ext cx="2750820" cy="2750820"/>
                    </a:xfrm>
                    <a:prstGeom prst="rect">
                      <a:avLst/>
                    </a:prstGeom>
                  </pic:spPr>
                </pic:pic>
              </a:graphicData>
            </a:graphic>
          </wp:inline>
        </w:drawing>
      </w:r>
    </w:p>
    <w:p w14:paraId="28A5B55F" w14:textId="77777777" w:rsidR="00E9201B" w:rsidRDefault="00E9201B" w:rsidP="00E9201B">
      <w:pPr>
        <w:spacing w:line="480" w:lineRule="auto"/>
        <w:rPr>
          <w:sz w:val="22"/>
          <w:szCs w:val="22"/>
        </w:rPr>
      </w:pPr>
      <w:r>
        <w:rPr>
          <w:b/>
          <w:sz w:val="22"/>
          <w:szCs w:val="22"/>
        </w:rPr>
        <w:t>Fig.</w:t>
      </w:r>
      <w:r w:rsidRPr="00CE7747">
        <w:rPr>
          <w:b/>
          <w:sz w:val="22"/>
          <w:szCs w:val="22"/>
        </w:rPr>
        <w:t xml:space="preserve"> </w:t>
      </w:r>
      <w:r>
        <w:rPr>
          <w:b/>
          <w:sz w:val="22"/>
          <w:szCs w:val="22"/>
        </w:rPr>
        <w:fldChar w:fldCharType="begin"/>
      </w:r>
      <w:r>
        <w:rPr>
          <w:b/>
          <w:sz w:val="22"/>
          <w:szCs w:val="22"/>
        </w:rPr>
        <w:instrText xml:space="preserve"> SEQ Figure \* ARABIC </w:instrText>
      </w:r>
      <w:r>
        <w:rPr>
          <w:b/>
          <w:sz w:val="22"/>
          <w:szCs w:val="22"/>
        </w:rPr>
        <w:fldChar w:fldCharType="separate"/>
      </w:r>
      <w:r>
        <w:rPr>
          <w:b/>
          <w:noProof/>
          <w:sz w:val="22"/>
          <w:szCs w:val="22"/>
        </w:rPr>
        <w:t>1</w:t>
      </w:r>
      <w:r>
        <w:rPr>
          <w:b/>
          <w:sz w:val="22"/>
          <w:szCs w:val="22"/>
        </w:rPr>
        <w:fldChar w:fldCharType="end"/>
      </w:r>
      <w:r w:rsidRPr="00CE7747">
        <w:rPr>
          <w:b/>
          <w:sz w:val="22"/>
          <w:szCs w:val="22"/>
        </w:rPr>
        <w:t>.</w:t>
      </w:r>
      <w:r w:rsidRPr="00CE7747">
        <w:rPr>
          <w:sz w:val="22"/>
          <w:szCs w:val="22"/>
        </w:rPr>
        <w:t xml:space="preserve"> </w:t>
      </w:r>
      <w:r>
        <w:rPr>
          <w:sz w:val="22"/>
          <w:szCs w:val="22"/>
        </w:rPr>
        <w:t>Experimental setup for the quasi-static indentation tests</w:t>
      </w:r>
    </w:p>
    <w:p w14:paraId="782BD1F4" w14:textId="77777777" w:rsidR="00E9201B" w:rsidRDefault="00E9201B" w:rsidP="00E9201B">
      <w:pPr>
        <w:spacing w:line="480" w:lineRule="auto"/>
        <w:rPr>
          <w:sz w:val="22"/>
          <w:szCs w:val="22"/>
        </w:rPr>
      </w:pPr>
    </w:p>
    <w:p w14:paraId="442272AE" w14:textId="77777777" w:rsidR="00E9201B" w:rsidRDefault="00E9201B" w:rsidP="00E9201B">
      <w:pPr>
        <w:spacing w:line="480" w:lineRule="auto"/>
        <w:jc w:val="center"/>
        <w:rPr>
          <w:sz w:val="22"/>
          <w:szCs w:val="22"/>
        </w:rPr>
      </w:pPr>
      <w:r w:rsidRPr="00DE405D">
        <w:rPr>
          <w:noProof/>
          <w:sz w:val="22"/>
          <w:szCs w:val="22"/>
          <w:lang w:val="en-GB" w:eastAsia="en-GB"/>
        </w:rPr>
        <w:drawing>
          <wp:inline distT="0" distB="0" distL="0" distR="0" wp14:anchorId="098735A3" wp14:editId="23216883">
            <wp:extent cx="3200400" cy="1676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schematic.tiff"/>
                    <pic:cNvPicPr/>
                  </pic:nvPicPr>
                  <pic:blipFill>
                    <a:blip r:embed="rId8">
                      <a:extLst>
                        <a:ext uri="{28A0092B-C50C-407E-A947-70E740481C1C}">
                          <a14:useLocalDpi xmlns:a14="http://schemas.microsoft.com/office/drawing/2010/main" val="0"/>
                        </a:ext>
                      </a:extLst>
                    </a:blip>
                    <a:stretch>
                      <a:fillRect/>
                    </a:stretch>
                  </pic:blipFill>
                  <pic:spPr>
                    <a:xfrm>
                      <a:off x="0" y="0"/>
                      <a:ext cx="3200400" cy="1676400"/>
                    </a:xfrm>
                    <a:prstGeom prst="rect">
                      <a:avLst/>
                    </a:prstGeom>
                  </pic:spPr>
                </pic:pic>
              </a:graphicData>
            </a:graphic>
          </wp:inline>
        </w:drawing>
      </w:r>
    </w:p>
    <w:p w14:paraId="78964C8F" w14:textId="77777777" w:rsidR="00E9201B" w:rsidRDefault="00E9201B" w:rsidP="00E9201B">
      <w:pPr>
        <w:spacing w:line="480" w:lineRule="auto"/>
        <w:rPr>
          <w:sz w:val="22"/>
          <w:szCs w:val="22"/>
        </w:rPr>
      </w:pPr>
      <w:r>
        <w:rPr>
          <w:b/>
          <w:sz w:val="22"/>
          <w:szCs w:val="22"/>
        </w:rPr>
        <w:t>Fig.</w:t>
      </w:r>
      <w:r w:rsidRPr="00CE7747">
        <w:rPr>
          <w:b/>
          <w:sz w:val="22"/>
          <w:szCs w:val="22"/>
        </w:rPr>
        <w:t xml:space="preserve"> </w:t>
      </w:r>
      <w:r>
        <w:rPr>
          <w:b/>
          <w:sz w:val="22"/>
          <w:szCs w:val="22"/>
        </w:rPr>
        <w:fldChar w:fldCharType="begin"/>
      </w:r>
      <w:r>
        <w:rPr>
          <w:b/>
          <w:sz w:val="22"/>
          <w:szCs w:val="22"/>
        </w:rPr>
        <w:instrText xml:space="preserve"> SEQ Figure \* ARABIC </w:instrText>
      </w:r>
      <w:r>
        <w:rPr>
          <w:b/>
          <w:sz w:val="22"/>
          <w:szCs w:val="22"/>
        </w:rPr>
        <w:fldChar w:fldCharType="separate"/>
      </w:r>
      <w:r>
        <w:rPr>
          <w:b/>
          <w:noProof/>
          <w:sz w:val="22"/>
          <w:szCs w:val="22"/>
        </w:rPr>
        <w:t>2</w:t>
      </w:r>
      <w:r>
        <w:rPr>
          <w:b/>
          <w:sz w:val="22"/>
          <w:szCs w:val="22"/>
        </w:rPr>
        <w:fldChar w:fldCharType="end"/>
      </w:r>
      <w:r w:rsidRPr="00CE7747">
        <w:rPr>
          <w:b/>
          <w:sz w:val="22"/>
          <w:szCs w:val="22"/>
        </w:rPr>
        <w:t>.</w:t>
      </w:r>
      <w:r w:rsidRPr="00CE7747">
        <w:rPr>
          <w:sz w:val="22"/>
          <w:szCs w:val="22"/>
        </w:rPr>
        <w:t xml:space="preserve"> </w:t>
      </w:r>
      <w:r>
        <w:rPr>
          <w:sz w:val="22"/>
          <w:szCs w:val="22"/>
        </w:rPr>
        <w:t xml:space="preserve">Plan view of the specimen CT scanning setup. </w:t>
      </w:r>
    </w:p>
    <w:p w14:paraId="3903F180" w14:textId="77777777" w:rsidR="00E9201B" w:rsidRPr="00CE7747" w:rsidRDefault="00E9201B" w:rsidP="00E9201B">
      <w:pPr>
        <w:spacing w:line="480" w:lineRule="auto"/>
        <w:jc w:val="center"/>
        <w:rPr>
          <w:sz w:val="22"/>
          <w:szCs w:val="22"/>
        </w:rPr>
      </w:pPr>
    </w:p>
    <w:p w14:paraId="67549689" w14:textId="77777777" w:rsidR="00E9201B" w:rsidRPr="003734AA" w:rsidRDefault="00E9201B" w:rsidP="00E9201B">
      <w:pPr>
        <w:spacing w:line="480" w:lineRule="auto"/>
        <w:jc w:val="center"/>
        <w:rPr>
          <w:sz w:val="20"/>
          <w:szCs w:val="22"/>
        </w:rPr>
      </w:pPr>
      <w:r>
        <w:rPr>
          <w:noProof/>
          <w:sz w:val="20"/>
          <w:szCs w:val="22"/>
          <w:lang w:val="en-GB" w:eastAsia="en-GB"/>
        </w:rPr>
        <w:lastRenderedPageBreak/>
        <w:drawing>
          <wp:inline distT="0" distB="0" distL="0" distR="0" wp14:anchorId="53B32934" wp14:editId="1B4091E6">
            <wp:extent cx="3251200" cy="3251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eps"/>
                    <pic:cNvPicPr/>
                  </pic:nvPicPr>
                  <pic:blipFill>
                    <a:blip r:embed="rId9">
                      <a:extLst>
                        <a:ext uri="{28A0092B-C50C-407E-A947-70E740481C1C}">
                          <a14:useLocalDpi xmlns:a14="http://schemas.microsoft.com/office/drawing/2010/main"/>
                        </a:ext>
                      </a:extLst>
                    </a:blip>
                    <a:stretch>
                      <a:fillRect/>
                    </a:stretch>
                  </pic:blipFill>
                  <pic:spPr>
                    <a:xfrm>
                      <a:off x="0" y="0"/>
                      <a:ext cx="3251200" cy="3251200"/>
                    </a:xfrm>
                    <a:prstGeom prst="rect">
                      <a:avLst/>
                    </a:prstGeom>
                  </pic:spPr>
                </pic:pic>
              </a:graphicData>
            </a:graphic>
          </wp:inline>
        </w:drawing>
      </w:r>
    </w:p>
    <w:p w14:paraId="331FFA36" w14:textId="77777777" w:rsidR="00E9201B" w:rsidRPr="00CE7747" w:rsidRDefault="00E9201B" w:rsidP="00E9201B">
      <w:pPr>
        <w:spacing w:line="480" w:lineRule="auto"/>
        <w:rPr>
          <w:sz w:val="22"/>
          <w:szCs w:val="22"/>
        </w:rPr>
      </w:pPr>
      <w:bookmarkStart w:id="1" w:name="_Ref321401403"/>
      <w:r>
        <w:rPr>
          <w:b/>
          <w:sz w:val="22"/>
          <w:szCs w:val="22"/>
        </w:rPr>
        <w:t>Fig.</w:t>
      </w:r>
      <w:r w:rsidRPr="00CE7747">
        <w:rPr>
          <w:b/>
          <w:sz w:val="22"/>
          <w:szCs w:val="22"/>
        </w:rPr>
        <w:t xml:space="preserve"> </w:t>
      </w:r>
      <w:r>
        <w:rPr>
          <w:b/>
          <w:sz w:val="22"/>
          <w:szCs w:val="22"/>
        </w:rPr>
        <w:fldChar w:fldCharType="begin"/>
      </w:r>
      <w:r>
        <w:rPr>
          <w:b/>
          <w:sz w:val="22"/>
          <w:szCs w:val="22"/>
        </w:rPr>
        <w:instrText xml:space="preserve"> SEQ Figure \* ARABIC </w:instrText>
      </w:r>
      <w:r>
        <w:rPr>
          <w:b/>
          <w:sz w:val="22"/>
          <w:szCs w:val="22"/>
        </w:rPr>
        <w:fldChar w:fldCharType="separate"/>
      </w:r>
      <w:r>
        <w:rPr>
          <w:b/>
          <w:noProof/>
          <w:sz w:val="22"/>
          <w:szCs w:val="22"/>
        </w:rPr>
        <w:t>3</w:t>
      </w:r>
      <w:r>
        <w:rPr>
          <w:b/>
          <w:sz w:val="22"/>
          <w:szCs w:val="22"/>
        </w:rPr>
        <w:fldChar w:fldCharType="end"/>
      </w:r>
      <w:bookmarkEnd w:id="1"/>
      <w:r w:rsidRPr="00CE7747">
        <w:rPr>
          <w:b/>
          <w:sz w:val="22"/>
          <w:szCs w:val="22"/>
        </w:rPr>
        <w:t>.</w:t>
      </w:r>
      <w:r w:rsidRPr="00CE7747">
        <w:rPr>
          <w:sz w:val="22"/>
          <w:szCs w:val="22"/>
        </w:rPr>
        <w:t xml:space="preserve"> </w:t>
      </w:r>
      <w:r>
        <w:rPr>
          <w:sz w:val="22"/>
          <w:szCs w:val="22"/>
        </w:rPr>
        <w:t>C</w:t>
      </w:r>
      <w:r w:rsidRPr="00CE7747">
        <w:rPr>
          <w:sz w:val="22"/>
          <w:szCs w:val="22"/>
        </w:rPr>
        <w:t xml:space="preserve">omparison of the force-displacement response of </w:t>
      </w:r>
      <w:r>
        <w:rPr>
          <w:sz w:val="22"/>
          <w:szCs w:val="22"/>
        </w:rPr>
        <w:t>COPVs</w:t>
      </w:r>
      <w:r w:rsidRPr="00CE7747">
        <w:rPr>
          <w:sz w:val="22"/>
          <w:szCs w:val="22"/>
        </w:rPr>
        <w:t xml:space="preserve"> subject to low velocity impact and quasi-static indentation</w:t>
      </w:r>
      <w:r>
        <w:rPr>
          <w:sz w:val="22"/>
          <w:szCs w:val="22"/>
        </w:rPr>
        <w:t>.</w:t>
      </w:r>
    </w:p>
    <w:p w14:paraId="6CCEA76E" w14:textId="77777777" w:rsidR="00E9201B" w:rsidRPr="00CE7747" w:rsidRDefault="00E9201B" w:rsidP="00E9201B">
      <w:pPr>
        <w:keepNext/>
        <w:spacing w:line="480" w:lineRule="auto"/>
        <w:jc w:val="center"/>
      </w:pPr>
      <w:r>
        <w:rPr>
          <w:noProof/>
          <w:lang w:val="en-GB" w:eastAsia="en-GB"/>
        </w:rPr>
        <w:drawing>
          <wp:inline distT="0" distB="0" distL="0" distR="0" wp14:anchorId="1729EE83" wp14:editId="3EAFD5C8">
            <wp:extent cx="3251200" cy="3251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eps"/>
                    <pic:cNvPicPr/>
                  </pic:nvPicPr>
                  <pic:blipFill>
                    <a:blip r:embed="rId10">
                      <a:extLst>
                        <a:ext uri="{28A0092B-C50C-407E-A947-70E740481C1C}">
                          <a14:useLocalDpi xmlns:a14="http://schemas.microsoft.com/office/drawing/2010/main"/>
                        </a:ext>
                      </a:extLst>
                    </a:blip>
                    <a:stretch>
                      <a:fillRect/>
                    </a:stretch>
                  </pic:blipFill>
                  <pic:spPr>
                    <a:xfrm>
                      <a:off x="0" y="0"/>
                      <a:ext cx="3251200" cy="3251200"/>
                    </a:xfrm>
                    <a:prstGeom prst="rect">
                      <a:avLst/>
                    </a:prstGeom>
                  </pic:spPr>
                </pic:pic>
              </a:graphicData>
            </a:graphic>
          </wp:inline>
        </w:drawing>
      </w:r>
    </w:p>
    <w:p w14:paraId="4EFA218B" w14:textId="77777777" w:rsidR="00E9201B" w:rsidRDefault="00E9201B" w:rsidP="00E9201B">
      <w:pPr>
        <w:spacing w:line="480" w:lineRule="auto"/>
        <w:rPr>
          <w:sz w:val="22"/>
        </w:rPr>
      </w:pPr>
      <w:r>
        <w:rPr>
          <w:b/>
          <w:sz w:val="22"/>
        </w:rPr>
        <w:t>Fig.</w:t>
      </w:r>
      <w:r w:rsidRPr="00CE7747">
        <w:rPr>
          <w:b/>
          <w:sz w:val="22"/>
        </w:rPr>
        <w:t xml:space="preserve"> </w:t>
      </w:r>
      <w:r>
        <w:rPr>
          <w:b/>
          <w:sz w:val="22"/>
        </w:rPr>
        <w:fldChar w:fldCharType="begin"/>
      </w:r>
      <w:r>
        <w:rPr>
          <w:b/>
          <w:sz w:val="22"/>
        </w:rPr>
        <w:instrText xml:space="preserve"> SEQ Figure \* ARABIC </w:instrText>
      </w:r>
      <w:r>
        <w:rPr>
          <w:b/>
          <w:sz w:val="22"/>
        </w:rPr>
        <w:fldChar w:fldCharType="separate"/>
      </w:r>
      <w:r>
        <w:rPr>
          <w:b/>
          <w:noProof/>
          <w:sz w:val="22"/>
        </w:rPr>
        <w:t>4</w:t>
      </w:r>
      <w:r>
        <w:rPr>
          <w:b/>
          <w:sz w:val="22"/>
        </w:rPr>
        <w:fldChar w:fldCharType="end"/>
      </w:r>
      <w:r w:rsidRPr="00CE7747">
        <w:rPr>
          <w:b/>
          <w:sz w:val="22"/>
        </w:rPr>
        <w:t>.</w:t>
      </w:r>
      <w:r w:rsidRPr="00CE7747">
        <w:rPr>
          <w:sz w:val="22"/>
        </w:rPr>
        <w:t xml:space="preserve"> </w:t>
      </w:r>
      <w:r>
        <w:rPr>
          <w:sz w:val="22"/>
        </w:rPr>
        <w:t>C</w:t>
      </w:r>
      <w:r w:rsidRPr="00CE7747">
        <w:rPr>
          <w:sz w:val="22"/>
        </w:rPr>
        <w:t>omparison of the peak force versus peak displacement between low velocity impact and quasi static loading conditions.</w:t>
      </w:r>
    </w:p>
    <w:p w14:paraId="6CE5B1A0" w14:textId="77777777" w:rsidR="00E9201B" w:rsidRPr="00017754" w:rsidRDefault="00E9201B" w:rsidP="00E9201B">
      <w:pPr>
        <w:spacing w:line="480" w:lineRule="auto"/>
        <w:rPr>
          <w:sz w:val="22"/>
        </w:rPr>
      </w:pPr>
      <w:r>
        <w:rPr>
          <w:noProof/>
          <w:sz w:val="22"/>
          <w:lang w:val="en-GB" w:eastAsia="en-GB"/>
        </w:rPr>
        <w:lastRenderedPageBreak/>
        <w:drawing>
          <wp:inline distT="0" distB="0" distL="0" distR="0" wp14:anchorId="7AA92A5A" wp14:editId="46CAB096">
            <wp:extent cx="5401945" cy="4321175"/>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tif"/>
                    <pic:cNvPicPr/>
                  </pic:nvPicPr>
                  <pic:blipFill>
                    <a:blip r:embed="rId11" cstate="print">
                      <a:extLst>
                        <a:ext uri="{28A0092B-C50C-407E-A947-70E740481C1C}">
                          <a14:useLocalDpi xmlns:a14="http://schemas.microsoft.com/office/drawing/2010/main"/>
                        </a:ext>
                      </a:extLst>
                    </a:blip>
                    <a:stretch>
                      <a:fillRect/>
                    </a:stretch>
                  </pic:blipFill>
                  <pic:spPr>
                    <a:xfrm>
                      <a:off x="0" y="0"/>
                      <a:ext cx="5401945" cy="4321175"/>
                    </a:xfrm>
                    <a:prstGeom prst="rect">
                      <a:avLst/>
                    </a:prstGeom>
                  </pic:spPr>
                </pic:pic>
              </a:graphicData>
            </a:graphic>
          </wp:inline>
        </w:drawing>
      </w:r>
    </w:p>
    <w:p w14:paraId="42DC490D" w14:textId="77777777" w:rsidR="00E9201B" w:rsidRPr="00CE7747" w:rsidRDefault="00E9201B" w:rsidP="00E9201B">
      <w:pPr>
        <w:spacing w:line="480" w:lineRule="auto"/>
        <w:rPr>
          <w:sz w:val="22"/>
        </w:rPr>
      </w:pPr>
      <w:r>
        <w:rPr>
          <w:b/>
          <w:sz w:val="22"/>
        </w:rPr>
        <w:t>Fig.</w:t>
      </w:r>
      <w:r w:rsidRPr="00CE7747">
        <w:rPr>
          <w:b/>
          <w:sz w:val="22"/>
        </w:rPr>
        <w:t xml:space="preserve"> </w:t>
      </w:r>
      <w:r>
        <w:rPr>
          <w:b/>
          <w:sz w:val="22"/>
        </w:rPr>
        <w:fldChar w:fldCharType="begin"/>
      </w:r>
      <w:r>
        <w:rPr>
          <w:b/>
          <w:sz w:val="22"/>
        </w:rPr>
        <w:instrText xml:space="preserve"> SEQ Figure \* ARABIC </w:instrText>
      </w:r>
      <w:r>
        <w:rPr>
          <w:b/>
          <w:sz w:val="22"/>
        </w:rPr>
        <w:fldChar w:fldCharType="separate"/>
      </w:r>
      <w:r>
        <w:rPr>
          <w:b/>
          <w:noProof/>
          <w:sz w:val="22"/>
        </w:rPr>
        <w:t>5</w:t>
      </w:r>
      <w:r>
        <w:rPr>
          <w:b/>
          <w:sz w:val="22"/>
        </w:rPr>
        <w:fldChar w:fldCharType="end"/>
      </w:r>
      <w:r w:rsidRPr="00CE7747">
        <w:rPr>
          <w:b/>
          <w:sz w:val="22"/>
        </w:rPr>
        <w:t xml:space="preserve">. </w:t>
      </w:r>
      <w:r>
        <w:rPr>
          <w:sz w:val="22"/>
        </w:rPr>
        <w:t>C</w:t>
      </w:r>
      <w:r w:rsidRPr="00CE7747">
        <w:rPr>
          <w:sz w:val="22"/>
        </w:rPr>
        <w:t xml:space="preserve">entral CT slice from </w:t>
      </w:r>
      <w:r>
        <w:rPr>
          <w:sz w:val="22"/>
        </w:rPr>
        <w:t>the respective peak</w:t>
      </w:r>
      <w:r w:rsidRPr="00CE7747">
        <w:rPr>
          <w:sz w:val="22"/>
        </w:rPr>
        <w:t xml:space="preserve"> load steps </w:t>
      </w:r>
      <w:r>
        <w:rPr>
          <w:sz w:val="22"/>
        </w:rPr>
        <w:t>for</w:t>
      </w:r>
      <w:r w:rsidRPr="00CE7747">
        <w:rPr>
          <w:sz w:val="22"/>
        </w:rPr>
        <w:t xml:space="preserve"> (a) quasi-static </w:t>
      </w:r>
      <w:r>
        <w:rPr>
          <w:sz w:val="22"/>
        </w:rPr>
        <w:t>indentation Specimen 1 (0.96 P</w:t>
      </w:r>
      <w:r w:rsidRPr="006E5417">
        <w:rPr>
          <w:sz w:val="22"/>
          <w:vertAlign w:val="subscript"/>
        </w:rPr>
        <w:t>f</w:t>
      </w:r>
      <w:r>
        <w:rPr>
          <w:sz w:val="22"/>
        </w:rPr>
        <w:t>) and (b) low velocity impact (1.0 P</w:t>
      </w:r>
      <w:r w:rsidRPr="006E5417">
        <w:rPr>
          <w:sz w:val="22"/>
          <w:vertAlign w:val="subscript"/>
        </w:rPr>
        <w:t>f</w:t>
      </w:r>
      <w:r>
        <w:rPr>
          <w:sz w:val="22"/>
        </w:rPr>
        <w:t>) and (c) quasi-static indentation Specimen 2 (0.86 P</w:t>
      </w:r>
      <w:r w:rsidRPr="006E5417">
        <w:rPr>
          <w:sz w:val="22"/>
          <w:vertAlign w:val="subscript"/>
        </w:rPr>
        <w:t>f</w:t>
      </w:r>
      <w:r>
        <w:rPr>
          <w:sz w:val="22"/>
        </w:rPr>
        <w:t xml:space="preserve">) </w:t>
      </w:r>
    </w:p>
    <w:p w14:paraId="17EB505E" w14:textId="77777777" w:rsidR="00E9201B" w:rsidRDefault="00E9201B" w:rsidP="00E9201B">
      <w:pPr>
        <w:keepNext/>
        <w:spacing w:line="480" w:lineRule="auto"/>
        <w:jc w:val="center"/>
      </w:pPr>
      <w:r>
        <w:rPr>
          <w:noProof/>
          <w:lang w:val="en-GB" w:eastAsia="en-GB"/>
        </w:rPr>
        <w:lastRenderedPageBreak/>
        <w:drawing>
          <wp:inline distT="0" distB="0" distL="0" distR="0" wp14:anchorId="68E547ED" wp14:editId="3F053C58">
            <wp:extent cx="3251200" cy="3251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eps"/>
                    <pic:cNvPicPr/>
                  </pic:nvPicPr>
                  <pic:blipFill>
                    <a:blip r:embed="rId12">
                      <a:extLst>
                        <a:ext uri="{28A0092B-C50C-407E-A947-70E740481C1C}">
                          <a14:useLocalDpi xmlns:a14="http://schemas.microsoft.com/office/drawing/2010/main"/>
                        </a:ext>
                      </a:extLst>
                    </a:blip>
                    <a:stretch>
                      <a:fillRect/>
                    </a:stretch>
                  </pic:blipFill>
                  <pic:spPr>
                    <a:xfrm>
                      <a:off x="0" y="0"/>
                      <a:ext cx="3251200" cy="3251200"/>
                    </a:xfrm>
                    <a:prstGeom prst="rect">
                      <a:avLst/>
                    </a:prstGeom>
                  </pic:spPr>
                </pic:pic>
              </a:graphicData>
            </a:graphic>
          </wp:inline>
        </w:drawing>
      </w:r>
    </w:p>
    <w:p w14:paraId="3976D50E" w14:textId="77777777" w:rsidR="00E9201B" w:rsidRPr="00CE7747" w:rsidRDefault="00E9201B" w:rsidP="00E9201B">
      <w:pPr>
        <w:pStyle w:val="Caption"/>
        <w:spacing w:line="480" w:lineRule="auto"/>
        <w:rPr>
          <w:b w:val="0"/>
          <w:color w:val="auto"/>
          <w:sz w:val="22"/>
          <w:szCs w:val="22"/>
        </w:rPr>
      </w:pPr>
      <w:r>
        <w:rPr>
          <w:color w:val="auto"/>
          <w:sz w:val="22"/>
          <w:szCs w:val="22"/>
        </w:rPr>
        <w:t>Fig.</w:t>
      </w:r>
      <w:r w:rsidRPr="00CE7747">
        <w:rPr>
          <w:color w:val="auto"/>
          <w:sz w:val="22"/>
          <w:szCs w:val="22"/>
        </w:rPr>
        <w:t xml:space="preserve"> </w:t>
      </w:r>
      <w:r>
        <w:rPr>
          <w:color w:val="auto"/>
          <w:sz w:val="22"/>
          <w:szCs w:val="22"/>
        </w:rPr>
        <w:fldChar w:fldCharType="begin"/>
      </w:r>
      <w:r>
        <w:rPr>
          <w:color w:val="auto"/>
          <w:sz w:val="22"/>
          <w:szCs w:val="22"/>
        </w:rPr>
        <w:instrText xml:space="preserve"> SEQ Figure \* ARABIC </w:instrText>
      </w:r>
      <w:r>
        <w:rPr>
          <w:color w:val="auto"/>
          <w:sz w:val="22"/>
          <w:szCs w:val="22"/>
        </w:rPr>
        <w:fldChar w:fldCharType="separate"/>
      </w:r>
      <w:r>
        <w:rPr>
          <w:noProof/>
          <w:color w:val="auto"/>
          <w:sz w:val="22"/>
          <w:szCs w:val="22"/>
        </w:rPr>
        <w:t>6</w:t>
      </w:r>
      <w:r>
        <w:rPr>
          <w:color w:val="auto"/>
          <w:sz w:val="22"/>
          <w:szCs w:val="22"/>
        </w:rPr>
        <w:fldChar w:fldCharType="end"/>
      </w:r>
      <w:r w:rsidRPr="00CE7747">
        <w:rPr>
          <w:color w:val="auto"/>
          <w:sz w:val="22"/>
          <w:szCs w:val="22"/>
        </w:rPr>
        <w:t xml:space="preserve">. </w:t>
      </w:r>
      <w:r w:rsidRPr="00CE7747">
        <w:rPr>
          <w:b w:val="0"/>
          <w:color w:val="auto"/>
          <w:sz w:val="22"/>
          <w:szCs w:val="22"/>
        </w:rPr>
        <w:t xml:space="preserve">Comparison of the residual dent depth in the aluminium substrate in a </w:t>
      </w:r>
      <w:r>
        <w:rPr>
          <w:b w:val="0"/>
          <w:color w:val="auto"/>
          <w:sz w:val="22"/>
          <w:szCs w:val="22"/>
        </w:rPr>
        <w:t>COPVs</w:t>
      </w:r>
      <w:r w:rsidRPr="00CE7747">
        <w:rPr>
          <w:b w:val="0"/>
          <w:color w:val="auto"/>
          <w:sz w:val="22"/>
          <w:szCs w:val="22"/>
        </w:rPr>
        <w:t xml:space="preserve"> under quasi-static indentation and low velocity impact loading regimes in terms of the peak indentor</w:t>
      </w:r>
      <w:r>
        <w:rPr>
          <w:b w:val="0"/>
          <w:color w:val="auto"/>
          <w:sz w:val="22"/>
          <w:szCs w:val="22"/>
        </w:rPr>
        <w:t xml:space="preserve"> displacement.</w:t>
      </w:r>
    </w:p>
    <w:p w14:paraId="1ED848B0" w14:textId="77777777" w:rsidR="00E9201B" w:rsidRDefault="00E9201B" w:rsidP="00E9201B">
      <w:pPr>
        <w:keepNext/>
        <w:spacing w:line="480" w:lineRule="auto"/>
        <w:jc w:val="center"/>
      </w:pPr>
      <w:r>
        <w:rPr>
          <w:noProof/>
          <w:lang w:val="en-GB" w:eastAsia="en-GB"/>
        </w:rPr>
        <w:lastRenderedPageBreak/>
        <w:drawing>
          <wp:inline distT="0" distB="0" distL="0" distR="0" wp14:anchorId="46E8CF5D" wp14:editId="6C6802FE">
            <wp:extent cx="3251200" cy="3251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eps"/>
                    <pic:cNvPicPr/>
                  </pic:nvPicPr>
                  <pic:blipFill>
                    <a:blip r:embed="rId13">
                      <a:extLst>
                        <a:ext uri="{28A0092B-C50C-407E-A947-70E740481C1C}">
                          <a14:useLocalDpi xmlns:a14="http://schemas.microsoft.com/office/drawing/2010/main"/>
                        </a:ext>
                      </a:extLst>
                    </a:blip>
                    <a:stretch>
                      <a:fillRect/>
                    </a:stretch>
                  </pic:blipFill>
                  <pic:spPr>
                    <a:xfrm>
                      <a:off x="0" y="0"/>
                      <a:ext cx="3251200" cy="3251200"/>
                    </a:xfrm>
                    <a:prstGeom prst="rect">
                      <a:avLst/>
                    </a:prstGeom>
                  </pic:spPr>
                </pic:pic>
              </a:graphicData>
            </a:graphic>
          </wp:inline>
        </w:drawing>
      </w:r>
    </w:p>
    <w:p w14:paraId="6A69502B" w14:textId="54806FF0" w:rsidR="00E9201B" w:rsidRDefault="00E9201B" w:rsidP="00E9201B">
      <w:pPr>
        <w:pStyle w:val="Caption"/>
        <w:spacing w:line="480" w:lineRule="auto"/>
      </w:pPr>
      <w:r>
        <w:rPr>
          <w:color w:val="auto"/>
          <w:sz w:val="22"/>
          <w:szCs w:val="22"/>
        </w:rPr>
        <w:t>Fig.</w:t>
      </w:r>
      <w:r w:rsidRPr="00D3365E">
        <w:rPr>
          <w:color w:val="auto"/>
          <w:sz w:val="22"/>
          <w:szCs w:val="22"/>
        </w:rPr>
        <w:t xml:space="preserve"> </w:t>
      </w:r>
      <w:r w:rsidRPr="00D3365E">
        <w:rPr>
          <w:color w:val="auto"/>
          <w:sz w:val="22"/>
          <w:szCs w:val="22"/>
        </w:rPr>
        <w:fldChar w:fldCharType="begin"/>
      </w:r>
      <w:r w:rsidRPr="00D3365E">
        <w:rPr>
          <w:color w:val="auto"/>
          <w:sz w:val="22"/>
          <w:szCs w:val="22"/>
        </w:rPr>
        <w:instrText xml:space="preserve"> SEQ Figure \* ARABIC </w:instrText>
      </w:r>
      <w:r w:rsidRPr="00D3365E">
        <w:rPr>
          <w:color w:val="auto"/>
          <w:sz w:val="22"/>
          <w:szCs w:val="22"/>
        </w:rPr>
        <w:fldChar w:fldCharType="separate"/>
      </w:r>
      <w:r>
        <w:rPr>
          <w:noProof/>
          <w:color w:val="auto"/>
          <w:sz w:val="22"/>
          <w:szCs w:val="22"/>
        </w:rPr>
        <w:t>7</w:t>
      </w:r>
      <w:r w:rsidRPr="00D3365E">
        <w:rPr>
          <w:color w:val="auto"/>
          <w:sz w:val="22"/>
          <w:szCs w:val="22"/>
        </w:rPr>
        <w:fldChar w:fldCharType="end"/>
      </w:r>
      <w:r>
        <w:rPr>
          <w:color w:val="auto"/>
          <w:sz w:val="22"/>
          <w:szCs w:val="22"/>
        </w:rPr>
        <w:t>.</w:t>
      </w:r>
      <w:r w:rsidRPr="00D3365E">
        <w:rPr>
          <w:sz w:val="22"/>
          <w:szCs w:val="22"/>
        </w:rPr>
        <w:t xml:space="preserve"> </w:t>
      </w:r>
      <w:r w:rsidRPr="00D3365E">
        <w:rPr>
          <w:b w:val="0"/>
          <w:color w:val="auto"/>
          <w:sz w:val="22"/>
          <w:szCs w:val="22"/>
        </w:rPr>
        <w:t>Comparison of the residual dent depth</w:t>
      </w:r>
      <w:r w:rsidR="00EE322C">
        <w:rPr>
          <w:b w:val="0"/>
          <w:color w:val="auto"/>
          <w:sz w:val="22"/>
          <w:szCs w:val="22"/>
        </w:rPr>
        <w:t xml:space="preserve"> in the aluminium substrate in</w:t>
      </w:r>
      <w:r w:rsidRPr="00D3365E">
        <w:rPr>
          <w:b w:val="0"/>
          <w:color w:val="auto"/>
          <w:sz w:val="22"/>
          <w:szCs w:val="22"/>
        </w:rPr>
        <w:t xml:space="preserve"> </w:t>
      </w:r>
      <w:r>
        <w:rPr>
          <w:b w:val="0"/>
          <w:color w:val="auto"/>
          <w:sz w:val="22"/>
          <w:szCs w:val="22"/>
        </w:rPr>
        <w:t>COPVs</w:t>
      </w:r>
      <w:r w:rsidRPr="00D3365E">
        <w:rPr>
          <w:b w:val="0"/>
          <w:color w:val="auto"/>
          <w:sz w:val="22"/>
          <w:szCs w:val="22"/>
        </w:rPr>
        <w:t xml:space="preserve"> under quasi-</w:t>
      </w:r>
      <w:r w:rsidRPr="00CE7747">
        <w:rPr>
          <w:b w:val="0"/>
          <w:color w:val="auto"/>
          <w:sz w:val="22"/>
          <w:szCs w:val="22"/>
        </w:rPr>
        <w:t>static indentation and low velocity impact loading regimes in terms of the peak force.</w:t>
      </w:r>
    </w:p>
    <w:p w14:paraId="65355F5B" w14:textId="77777777" w:rsidR="00E9201B" w:rsidRDefault="00E9201B" w:rsidP="00E9201B">
      <w:pPr>
        <w:spacing w:line="480" w:lineRule="auto"/>
        <w:rPr>
          <w:sz w:val="22"/>
        </w:rPr>
      </w:pPr>
      <w:r>
        <w:rPr>
          <w:noProof/>
          <w:sz w:val="22"/>
          <w:lang w:val="en-GB" w:eastAsia="en-GB"/>
        </w:rPr>
        <w:drawing>
          <wp:inline distT="0" distB="0" distL="0" distR="0" wp14:anchorId="6D47ACCD" wp14:editId="71BD2F47">
            <wp:extent cx="5401945" cy="1567815"/>
            <wp:effectExtent l="0" t="0" r="825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tif"/>
                    <pic:cNvPicPr/>
                  </pic:nvPicPr>
                  <pic:blipFill>
                    <a:blip r:embed="rId14" cstate="print">
                      <a:extLst>
                        <a:ext uri="{28A0092B-C50C-407E-A947-70E740481C1C}">
                          <a14:useLocalDpi xmlns:a14="http://schemas.microsoft.com/office/drawing/2010/main"/>
                        </a:ext>
                      </a:extLst>
                    </a:blip>
                    <a:stretch>
                      <a:fillRect/>
                    </a:stretch>
                  </pic:blipFill>
                  <pic:spPr>
                    <a:xfrm>
                      <a:off x="0" y="0"/>
                      <a:ext cx="5401945" cy="1567815"/>
                    </a:xfrm>
                    <a:prstGeom prst="rect">
                      <a:avLst/>
                    </a:prstGeom>
                  </pic:spPr>
                </pic:pic>
              </a:graphicData>
            </a:graphic>
          </wp:inline>
        </w:drawing>
      </w:r>
    </w:p>
    <w:p w14:paraId="4B9808D0" w14:textId="77777777" w:rsidR="00E9201B" w:rsidRPr="00A4684D" w:rsidRDefault="00E9201B" w:rsidP="00E9201B">
      <w:pPr>
        <w:pStyle w:val="Caption"/>
        <w:spacing w:line="480" w:lineRule="auto"/>
        <w:rPr>
          <w:b w:val="0"/>
          <w:color w:val="auto"/>
          <w:sz w:val="22"/>
          <w:szCs w:val="22"/>
        </w:rPr>
      </w:pPr>
      <w:r>
        <w:rPr>
          <w:color w:val="auto"/>
          <w:sz w:val="22"/>
          <w:szCs w:val="22"/>
        </w:rPr>
        <w:t>Fig.</w:t>
      </w:r>
      <w:r w:rsidRPr="00CE7747">
        <w:rPr>
          <w:color w:val="auto"/>
          <w:sz w:val="22"/>
          <w:szCs w:val="22"/>
        </w:rPr>
        <w:t xml:space="preserve"> </w:t>
      </w:r>
      <w:r>
        <w:rPr>
          <w:color w:val="auto"/>
          <w:sz w:val="22"/>
          <w:szCs w:val="22"/>
        </w:rPr>
        <w:fldChar w:fldCharType="begin"/>
      </w:r>
      <w:r>
        <w:rPr>
          <w:color w:val="auto"/>
          <w:sz w:val="22"/>
          <w:szCs w:val="22"/>
        </w:rPr>
        <w:instrText xml:space="preserve"> SEQ Figure \* ARABIC </w:instrText>
      </w:r>
      <w:r>
        <w:rPr>
          <w:color w:val="auto"/>
          <w:sz w:val="22"/>
          <w:szCs w:val="22"/>
        </w:rPr>
        <w:fldChar w:fldCharType="separate"/>
      </w:r>
      <w:r>
        <w:rPr>
          <w:noProof/>
          <w:color w:val="auto"/>
          <w:sz w:val="22"/>
          <w:szCs w:val="22"/>
        </w:rPr>
        <w:t>8</w:t>
      </w:r>
      <w:r>
        <w:rPr>
          <w:color w:val="auto"/>
          <w:sz w:val="22"/>
          <w:szCs w:val="22"/>
        </w:rPr>
        <w:fldChar w:fldCharType="end"/>
      </w:r>
      <w:r>
        <w:rPr>
          <w:color w:val="auto"/>
          <w:sz w:val="22"/>
          <w:szCs w:val="22"/>
        </w:rPr>
        <w:t xml:space="preserve">. </w:t>
      </w:r>
      <w:r>
        <w:rPr>
          <w:b w:val="0"/>
          <w:color w:val="auto"/>
          <w:sz w:val="22"/>
          <w:szCs w:val="22"/>
        </w:rPr>
        <w:t>Projected area of composite damage of COPVs under LVI impact of peak load (a) 0.61 (b) 0.76 and (c) 1.0 P</w:t>
      </w:r>
      <w:r w:rsidRPr="00A4684D">
        <w:rPr>
          <w:b w:val="0"/>
          <w:color w:val="auto"/>
          <w:sz w:val="22"/>
          <w:szCs w:val="22"/>
          <w:vertAlign w:val="subscript"/>
        </w:rPr>
        <w:t>f</w:t>
      </w:r>
    </w:p>
    <w:p w14:paraId="2296FCD7" w14:textId="77777777" w:rsidR="00E9201B" w:rsidRDefault="00E9201B" w:rsidP="00E9201B">
      <w:pPr>
        <w:keepNext/>
        <w:spacing w:line="480" w:lineRule="auto"/>
      </w:pPr>
      <w:r>
        <w:rPr>
          <w:noProof/>
          <w:lang w:val="en-GB" w:eastAsia="en-GB"/>
        </w:rPr>
        <w:lastRenderedPageBreak/>
        <w:drawing>
          <wp:inline distT="0" distB="0" distL="0" distR="0" wp14:anchorId="01CBABE9" wp14:editId="7D8EB985">
            <wp:extent cx="5401945" cy="1515110"/>
            <wp:effectExtent l="0" t="0" r="8255"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tif"/>
                    <pic:cNvPicPr/>
                  </pic:nvPicPr>
                  <pic:blipFill>
                    <a:blip r:embed="rId15" cstate="print">
                      <a:extLst>
                        <a:ext uri="{28A0092B-C50C-407E-A947-70E740481C1C}">
                          <a14:useLocalDpi xmlns:a14="http://schemas.microsoft.com/office/drawing/2010/main"/>
                        </a:ext>
                      </a:extLst>
                    </a:blip>
                    <a:stretch>
                      <a:fillRect/>
                    </a:stretch>
                  </pic:blipFill>
                  <pic:spPr>
                    <a:xfrm>
                      <a:off x="0" y="0"/>
                      <a:ext cx="5401945" cy="1515110"/>
                    </a:xfrm>
                    <a:prstGeom prst="rect">
                      <a:avLst/>
                    </a:prstGeom>
                  </pic:spPr>
                </pic:pic>
              </a:graphicData>
            </a:graphic>
          </wp:inline>
        </w:drawing>
      </w:r>
    </w:p>
    <w:p w14:paraId="156E7F74" w14:textId="77777777" w:rsidR="00E9201B" w:rsidRDefault="00E9201B" w:rsidP="00E9201B">
      <w:pPr>
        <w:pStyle w:val="Caption"/>
        <w:spacing w:line="480" w:lineRule="auto"/>
        <w:rPr>
          <w:b w:val="0"/>
          <w:color w:val="auto"/>
          <w:sz w:val="22"/>
          <w:szCs w:val="22"/>
          <w:vertAlign w:val="subscript"/>
        </w:rPr>
      </w:pPr>
      <w:r>
        <w:rPr>
          <w:color w:val="auto"/>
          <w:sz w:val="22"/>
        </w:rPr>
        <w:t>Fig.</w:t>
      </w:r>
      <w:r w:rsidRPr="008C3871">
        <w:rPr>
          <w:color w:val="auto"/>
          <w:sz w:val="22"/>
        </w:rPr>
        <w:t xml:space="preserve"> </w:t>
      </w:r>
      <w:r>
        <w:rPr>
          <w:color w:val="auto"/>
          <w:sz w:val="22"/>
        </w:rPr>
        <w:fldChar w:fldCharType="begin"/>
      </w:r>
      <w:r>
        <w:rPr>
          <w:color w:val="auto"/>
          <w:sz w:val="22"/>
        </w:rPr>
        <w:instrText xml:space="preserve"> SEQ Figure \* ARABIC </w:instrText>
      </w:r>
      <w:r>
        <w:rPr>
          <w:color w:val="auto"/>
          <w:sz w:val="22"/>
        </w:rPr>
        <w:fldChar w:fldCharType="separate"/>
      </w:r>
      <w:r>
        <w:rPr>
          <w:noProof/>
          <w:color w:val="auto"/>
          <w:sz w:val="22"/>
        </w:rPr>
        <w:t>9</w:t>
      </w:r>
      <w:r>
        <w:rPr>
          <w:color w:val="auto"/>
          <w:sz w:val="22"/>
        </w:rPr>
        <w:fldChar w:fldCharType="end"/>
      </w:r>
      <w:r>
        <w:rPr>
          <w:color w:val="auto"/>
          <w:sz w:val="22"/>
        </w:rPr>
        <w:t xml:space="preserve">. </w:t>
      </w:r>
      <w:r>
        <w:rPr>
          <w:b w:val="0"/>
          <w:color w:val="auto"/>
          <w:sz w:val="22"/>
          <w:szCs w:val="22"/>
        </w:rPr>
        <w:t>Projected area of composite damage of COPVs under QSI loads of (a) 0.56 P</w:t>
      </w:r>
      <w:r w:rsidRPr="00A4684D">
        <w:rPr>
          <w:b w:val="0"/>
          <w:color w:val="auto"/>
          <w:sz w:val="22"/>
          <w:szCs w:val="22"/>
          <w:vertAlign w:val="subscript"/>
        </w:rPr>
        <w:t>f</w:t>
      </w:r>
      <w:r>
        <w:rPr>
          <w:b w:val="0"/>
          <w:color w:val="auto"/>
          <w:sz w:val="22"/>
          <w:szCs w:val="22"/>
        </w:rPr>
        <w:t xml:space="preserve"> (b) 0.74 P</w:t>
      </w:r>
      <w:r w:rsidRPr="00A4684D">
        <w:rPr>
          <w:b w:val="0"/>
          <w:color w:val="auto"/>
          <w:sz w:val="22"/>
          <w:szCs w:val="22"/>
          <w:vertAlign w:val="subscript"/>
        </w:rPr>
        <w:t>f</w:t>
      </w:r>
      <w:r>
        <w:rPr>
          <w:b w:val="0"/>
          <w:color w:val="auto"/>
          <w:sz w:val="22"/>
          <w:szCs w:val="22"/>
        </w:rPr>
        <w:t xml:space="preserve"> and (c) 0.96 P</w:t>
      </w:r>
      <w:r w:rsidRPr="00A4684D">
        <w:rPr>
          <w:b w:val="0"/>
          <w:color w:val="auto"/>
          <w:sz w:val="22"/>
          <w:szCs w:val="22"/>
          <w:vertAlign w:val="subscript"/>
        </w:rPr>
        <w:t>f</w:t>
      </w:r>
    </w:p>
    <w:p w14:paraId="4B1C3339" w14:textId="77777777" w:rsidR="00E9201B" w:rsidRDefault="00E9201B" w:rsidP="00E9201B">
      <w:pPr>
        <w:rPr>
          <w:bCs/>
          <w:sz w:val="22"/>
          <w:szCs w:val="22"/>
          <w:vertAlign w:val="subscript"/>
        </w:rPr>
      </w:pPr>
      <w:r>
        <w:rPr>
          <w:b/>
          <w:sz w:val="22"/>
          <w:szCs w:val="22"/>
          <w:vertAlign w:val="subscript"/>
        </w:rPr>
        <w:br w:type="page"/>
      </w:r>
    </w:p>
    <w:p w14:paraId="13E5E062" w14:textId="77777777" w:rsidR="00E9201B" w:rsidRPr="008C3871" w:rsidRDefault="00E9201B" w:rsidP="00E9201B">
      <w:pPr>
        <w:pStyle w:val="Caption"/>
        <w:spacing w:line="480" w:lineRule="auto"/>
        <w:rPr>
          <w:color w:val="auto"/>
          <w:sz w:val="22"/>
        </w:rPr>
      </w:pPr>
    </w:p>
    <w:p w14:paraId="74DDDECC" w14:textId="77777777" w:rsidR="00E9201B" w:rsidRPr="00CE7747" w:rsidRDefault="00E9201B" w:rsidP="00E9201B">
      <w:pPr>
        <w:pStyle w:val="NormalWCCM"/>
        <w:spacing w:line="480" w:lineRule="auto"/>
        <w:ind w:firstLine="0"/>
        <w:jc w:val="center"/>
        <w:rPr>
          <w:color w:val="000000"/>
          <w:sz w:val="21"/>
          <w:szCs w:val="21"/>
        </w:rPr>
      </w:pPr>
      <w:r>
        <w:rPr>
          <w:noProof/>
          <w:color w:val="000000"/>
          <w:sz w:val="21"/>
          <w:szCs w:val="21"/>
          <w:lang w:val="en-GB" w:eastAsia="en-GB"/>
        </w:rPr>
        <w:drawing>
          <wp:inline distT="0" distB="0" distL="0" distR="0" wp14:anchorId="67702624" wp14:editId="5474298A">
            <wp:extent cx="3251200" cy="3251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8.eps"/>
                    <pic:cNvPicPr/>
                  </pic:nvPicPr>
                  <pic:blipFill>
                    <a:blip r:embed="rId16">
                      <a:extLst>
                        <a:ext uri="{28A0092B-C50C-407E-A947-70E740481C1C}">
                          <a14:useLocalDpi xmlns:a14="http://schemas.microsoft.com/office/drawing/2010/main"/>
                        </a:ext>
                      </a:extLst>
                    </a:blip>
                    <a:stretch>
                      <a:fillRect/>
                    </a:stretch>
                  </pic:blipFill>
                  <pic:spPr>
                    <a:xfrm>
                      <a:off x="0" y="0"/>
                      <a:ext cx="3251200" cy="3251200"/>
                    </a:xfrm>
                    <a:prstGeom prst="rect">
                      <a:avLst/>
                    </a:prstGeom>
                  </pic:spPr>
                </pic:pic>
              </a:graphicData>
            </a:graphic>
          </wp:inline>
        </w:drawing>
      </w:r>
    </w:p>
    <w:p w14:paraId="7EB93815" w14:textId="77777777" w:rsidR="00E9201B" w:rsidRDefault="00E9201B" w:rsidP="00E9201B">
      <w:pPr>
        <w:pStyle w:val="Caption"/>
        <w:spacing w:line="480" w:lineRule="auto"/>
        <w:rPr>
          <w:b w:val="0"/>
          <w:color w:val="auto"/>
          <w:sz w:val="22"/>
          <w:szCs w:val="22"/>
        </w:rPr>
      </w:pPr>
      <w:r>
        <w:rPr>
          <w:color w:val="auto"/>
          <w:sz w:val="22"/>
          <w:szCs w:val="22"/>
        </w:rPr>
        <w:t>Fig.</w:t>
      </w:r>
      <w:r w:rsidRPr="00CE7747">
        <w:rPr>
          <w:color w:val="auto"/>
          <w:sz w:val="22"/>
          <w:szCs w:val="22"/>
        </w:rPr>
        <w:t xml:space="preserve"> </w:t>
      </w:r>
      <w:r>
        <w:rPr>
          <w:color w:val="auto"/>
          <w:sz w:val="22"/>
          <w:szCs w:val="22"/>
        </w:rPr>
        <w:fldChar w:fldCharType="begin"/>
      </w:r>
      <w:r>
        <w:rPr>
          <w:color w:val="auto"/>
          <w:sz w:val="22"/>
          <w:szCs w:val="22"/>
        </w:rPr>
        <w:instrText xml:space="preserve"> SEQ Figure \* ARABIC </w:instrText>
      </w:r>
      <w:r>
        <w:rPr>
          <w:color w:val="auto"/>
          <w:sz w:val="22"/>
          <w:szCs w:val="22"/>
        </w:rPr>
        <w:fldChar w:fldCharType="separate"/>
      </w:r>
      <w:r>
        <w:rPr>
          <w:noProof/>
          <w:color w:val="auto"/>
          <w:sz w:val="22"/>
          <w:szCs w:val="22"/>
        </w:rPr>
        <w:t>10</w:t>
      </w:r>
      <w:r>
        <w:rPr>
          <w:color w:val="auto"/>
          <w:sz w:val="22"/>
          <w:szCs w:val="22"/>
        </w:rPr>
        <w:fldChar w:fldCharType="end"/>
      </w:r>
      <w:r w:rsidRPr="00CE7747">
        <w:rPr>
          <w:color w:val="auto"/>
          <w:sz w:val="22"/>
          <w:szCs w:val="22"/>
        </w:rPr>
        <w:t xml:space="preserve">. </w:t>
      </w:r>
      <w:r w:rsidRPr="00CE7747">
        <w:rPr>
          <w:b w:val="0"/>
          <w:color w:val="auto"/>
          <w:sz w:val="22"/>
          <w:szCs w:val="22"/>
        </w:rPr>
        <w:t xml:space="preserve">Comparison of the projected area of composite damage in the CFRP layer in a </w:t>
      </w:r>
      <w:r>
        <w:rPr>
          <w:b w:val="0"/>
          <w:color w:val="auto"/>
          <w:sz w:val="22"/>
          <w:szCs w:val="22"/>
        </w:rPr>
        <w:t xml:space="preserve">COPV </w:t>
      </w:r>
      <w:r w:rsidRPr="00CE7747">
        <w:rPr>
          <w:b w:val="0"/>
          <w:color w:val="auto"/>
          <w:sz w:val="22"/>
          <w:szCs w:val="22"/>
        </w:rPr>
        <w:t>under quasi-static indentation and low velocity impact loading regimes plotted in terms of</w:t>
      </w:r>
      <w:r>
        <w:rPr>
          <w:b w:val="0"/>
          <w:color w:val="auto"/>
          <w:sz w:val="22"/>
          <w:szCs w:val="22"/>
        </w:rPr>
        <w:t xml:space="preserve"> the peak indentor displacement.</w:t>
      </w:r>
    </w:p>
    <w:p w14:paraId="22A98720" w14:textId="77777777" w:rsidR="00E9201B" w:rsidRDefault="00E9201B" w:rsidP="00E9201B">
      <w:pPr>
        <w:keepNext/>
        <w:spacing w:line="480" w:lineRule="auto"/>
        <w:jc w:val="center"/>
      </w:pPr>
      <w:r>
        <w:rPr>
          <w:noProof/>
          <w:lang w:val="en-GB" w:eastAsia="en-GB"/>
        </w:rPr>
        <w:lastRenderedPageBreak/>
        <w:drawing>
          <wp:inline distT="0" distB="0" distL="0" distR="0" wp14:anchorId="076A73A5" wp14:editId="19E3329F">
            <wp:extent cx="3251200" cy="3251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eps"/>
                    <pic:cNvPicPr/>
                  </pic:nvPicPr>
                  <pic:blipFill>
                    <a:blip r:embed="rId17">
                      <a:extLst>
                        <a:ext uri="{28A0092B-C50C-407E-A947-70E740481C1C}">
                          <a14:useLocalDpi xmlns:a14="http://schemas.microsoft.com/office/drawing/2010/main"/>
                        </a:ext>
                      </a:extLst>
                    </a:blip>
                    <a:stretch>
                      <a:fillRect/>
                    </a:stretch>
                  </pic:blipFill>
                  <pic:spPr>
                    <a:xfrm>
                      <a:off x="0" y="0"/>
                      <a:ext cx="3251200" cy="3251200"/>
                    </a:xfrm>
                    <a:prstGeom prst="rect">
                      <a:avLst/>
                    </a:prstGeom>
                  </pic:spPr>
                </pic:pic>
              </a:graphicData>
            </a:graphic>
          </wp:inline>
        </w:drawing>
      </w:r>
    </w:p>
    <w:p w14:paraId="5CB19616" w14:textId="77777777" w:rsidR="00E9201B" w:rsidRDefault="00E9201B" w:rsidP="00E9201B">
      <w:pPr>
        <w:pStyle w:val="Caption"/>
        <w:spacing w:line="480" w:lineRule="auto"/>
        <w:rPr>
          <w:b w:val="0"/>
          <w:color w:val="auto"/>
          <w:sz w:val="22"/>
          <w:szCs w:val="22"/>
        </w:rPr>
      </w:pPr>
      <w:r>
        <w:rPr>
          <w:color w:val="auto"/>
          <w:sz w:val="22"/>
          <w:szCs w:val="22"/>
        </w:rPr>
        <w:t>Fig.</w:t>
      </w:r>
      <w:r w:rsidRPr="0053675F">
        <w:rPr>
          <w:color w:val="auto"/>
          <w:sz w:val="22"/>
          <w:szCs w:val="22"/>
        </w:rPr>
        <w:t xml:space="preserve"> </w:t>
      </w:r>
      <w:r w:rsidRPr="0053675F">
        <w:rPr>
          <w:color w:val="auto"/>
          <w:sz w:val="22"/>
          <w:szCs w:val="22"/>
        </w:rPr>
        <w:fldChar w:fldCharType="begin"/>
      </w:r>
      <w:r w:rsidRPr="0053675F">
        <w:rPr>
          <w:color w:val="auto"/>
          <w:sz w:val="22"/>
          <w:szCs w:val="22"/>
        </w:rPr>
        <w:instrText xml:space="preserve"> SEQ Figure \* ARABIC </w:instrText>
      </w:r>
      <w:r w:rsidRPr="0053675F">
        <w:rPr>
          <w:color w:val="auto"/>
          <w:sz w:val="22"/>
          <w:szCs w:val="22"/>
        </w:rPr>
        <w:fldChar w:fldCharType="separate"/>
      </w:r>
      <w:r>
        <w:rPr>
          <w:noProof/>
          <w:color w:val="auto"/>
          <w:sz w:val="22"/>
          <w:szCs w:val="22"/>
        </w:rPr>
        <w:t>11</w:t>
      </w:r>
      <w:r w:rsidRPr="0053675F">
        <w:rPr>
          <w:color w:val="auto"/>
          <w:sz w:val="22"/>
          <w:szCs w:val="22"/>
        </w:rPr>
        <w:fldChar w:fldCharType="end"/>
      </w:r>
      <w:r>
        <w:rPr>
          <w:color w:val="auto"/>
          <w:sz w:val="22"/>
          <w:szCs w:val="22"/>
        </w:rPr>
        <w:t xml:space="preserve">. </w:t>
      </w:r>
      <w:r w:rsidRPr="00CE7747">
        <w:rPr>
          <w:b w:val="0"/>
          <w:color w:val="auto"/>
          <w:sz w:val="22"/>
          <w:szCs w:val="22"/>
        </w:rPr>
        <w:t xml:space="preserve">Comparison of the projected area of composite damage in the CFRP layer in a </w:t>
      </w:r>
      <w:r>
        <w:rPr>
          <w:b w:val="0"/>
          <w:color w:val="auto"/>
          <w:sz w:val="22"/>
          <w:szCs w:val="22"/>
        </w:rPr>
        <w:t>COPV</w:t>
      </w:r>
      <w:r w:rsidRPr="00CE7747">
        <w:rPr>
          <w:b w:val="0"/>
          <w:color w:val="auto"/>
          <w:sz w:val="22"/>
          <w:szCs w:val="22"/>
        </w:rPr>
        <w:t xml:space="preserve"> under quasi-static indentation and low velocity impact loading regimes plotted in terms the peak </w:t>
      </w:r>
      <w:r>
        <w:rPr>
          <w:b w:val="0"/>
          <w:color w:val="auto"/>
          <w:sz w:val="22"/>
          <w:szCs w:val="22"/>
        </w:rPr>
        <w:t xml:space="preserve">normalised </w:t>
      </w:r>
      <w:r w:rsidRPr="00CE7747">
        <w:rPr>
          <w:b w:val="0"/>
          <w:color w:val="auto"/>
          <w:sz w:val="22"/>
          <w:szCs w:val="22"/>
        </w:rPr>
        <w:t>force.</w:t>
      </w:r>
    </w:p>
    <w:p w14:paraId="23D7C46D" w14:textId="77777777" w:rsidR="00E9201B" w:rsidRPr="0053675F" w:rsidRDefault="00E9201B" w:rsidP="00E9201B">
      <w:pPr>
        <w:pStyle w:val="Caption"/>
        <w:spacing w:line="480" w:lineRule="auto"/>
        <w:rPr>
          <w:color w:val="auto"/>
          <w:sz w:val="22"/>
          <w:szCs w:val="22"/>
        </w:rPr>
      </w:pPr>
      <w:r>
        <w:rPr>
          <w:noProof/>
          <w:color w:val="auto"/>
          <w:sz w:val="22"/>
          <w:szCs w:val="22"/>
          <w:lang w:val="en-GB" w:eastAsia="en-GB"/>
        </w:rPr>
        <w:drawing>
          <wp:inline distT="0" distB="0" distL="0" distR="0" wp14:anchorId="3C19C1A6" wp14:editId="4326C682">
            <wp:extent cx="5401945" cy="171069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tif"/>
                    <pic:cNvPicPr/>
                  </pic:nvPicPr>
                  <pic:blipFill>
                    <a:blip r:embed="rId18" cstate="print">
                      <a:extLst>
                        <a:ext uri="{28A0092B-C50C-407E-A947-70E740481C1C}">
                          <a14:useLocalDpi xmlns:a14="http://schemas.microsoft.com/office/drawing/2010/main"/>
                        </a:ext>
                      </a:extLst>
                    </a:blip>
                    <a:stretch>
                      <a:fillRect/>
                    </a:stretch>
                  </pic:blipFill>
                  <pic:spPr>
                    <a:xfrm>
                      <a:off x="0" y="0"/>
                      <a:ext cx="5401945" cy="1710690"/>
                    </a:xfrm>
                    <a:prstGeom prst="rect">
                      <a:avLst/>
                    </a:prstGeom>
                  </pic:spPr>
                </pic:pic>
              </a:graphicData>
            </a:graphic>
          </wp:inline>
        </w:drawing>
      </w:r>
    </w:p>
    <w:p w14:paraId="27975BCC" w14:textId="77777777" w:rsidR="00E9201B" w:rsidRPr="009B5EB4" w:rsidRDefault="00E9201B" w:rsidP="00E9201B">
      <w:pPr>
        <w:pStyle w:val="Caption"/>
        <w:spacing w:line="480" w:lineRule="auto"/>
        <w:rPr>
          <w:b w:val="0"/>
          <w:color w:val="auto"/>
          <w:sz w:val="22"/>
        </w:rPr>
      </w:pPr>
      <w:r>
        <w:rPr>
          <w:color w:val="auto"/>
          <w:sz w:val="22"/>
        </w:rPr>
        <w:t>Fig.</w:t>
      </w:r>
      <w:r w:rsidRPr="00817383">
        <w:rPr>
          <w:color w:val="auto"/>
          <w:sz w:val="22"/>
        </w:rPr>
        <w:t xml:space="preserve"> </w:t>
      </w:r>
      <w:r>
        <w:rPr>
          <w:color w:val="auto"/>
          <w:sz w:val="22"/>
        </w:rPr>
        <w:fldChar w:fldCharType="begin"/>
      </w:r>
      <w:r>
        <w:rPr>
          <w:color w:val="auto"/>
          <w:sz w:val="22"/>
        </w:rPr>
        <w:instrText xml:space="preserve"> SEQ Figure \* ARABIC </w:instrText>
      </w:r>
      <w:r>
        <w:rPr>
          <w:color w:val="auto"/>
          <w:sz w:val="22"/>
        </w:rPr>
        <w:fldChar w:fldCharType="separate"/>
      </w:r>
      <w:r>
        <w:rPr>
          <w:noProof/>
          <w:color w:val="auto"/>
          <w:sz w:val="22"/>
        </w:rPr>
        <w:t>12</w:t>
      </w:r>
      <w:r>
        <w:rPr>
          <w:color w:val="auto"/>
          <w:sz w:val="22"/>
        </w:rPr>
        <w:fldChar w:fldCharType="end"/>
      </w:r>
      <w:r>
        <w:rPr>
          <w:color w:val="auto"/>
          <w:sz w:val="22"/>
        </w:rPr>
        <w:t xml:space="preserve">. </w:t>
      </w:r>
      <w:r>
        <w:rPr>
          <w:b w:val="0"/>
          <w:color w:val="auto"/>
          <w:sz w:val="22"/>
        </w:rPr>
        <w:t>CT slices highlighting fibre fracture in the CFRP, labeled (i), occurring directly under the impactor in the outermost helical ply at the peak load in (a) QSI Specimen 1, (b) LVI and (c) QSI Specimen 2.</w:t>
      </w:r>
    </w:p>
    <w:p w14:paraId="74A95E8C" w14:textId="77777777" w:rsidR="00E9201B" w:rsidRDefault="00E9201B" w:rsidP="00E9201B">
      <w:pPr>
        <w:keepNext/>
        <w:spacing w:line="480" w:lineRule="auto"/>
      </w:pPr>
      <w:r>
        <w:rPr>
          <w:noProof/>
          <w:lang w:val="en-GB" w:eastAsia="en-GB"/>
        </w:rPr>
        <w:lastRenderedPageBreak/>
        <w:drawing>
          <wp:inline distT="0" distB="0" distL="0" distR="0" wp14:anchorId="419A54D3" wp14:editId="58B4F632">
            <wp:extent cx="5401945" cy="2880995"/>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tif"/>
                    <pic:cNvPicPr/>
                  </pic:nvPicPr>
                  <pic:blipFill>
                    <a:blip r:embed="rId19" cstate="print">
                      <a:extLst>
                        <a:ext uri="{28A0092B-C50C-407E-A947-70E740481C1C}">
                          <a14:useLocalDpi xmlns:a14="http://schemas.microsoft.com/office/drawing/2010/main"/>
                        </a:ext>
                      </a:extLst>
                    </a:blip>
                    <a:stretch>
                      <a:fillRect/>
                    </a:stretch>
                  </pic:blipFill>
                  <pic:spPr>
                    <a:xfrm>
                      <a:off x="0" y="0"/>
                      <a:ext cx="5401945" cy="2880995"/>
                    </a:xfrm>
                    <a:prstGeom prst="rect">
                      <a:avLst/>
                    </a:prstGeom>
                  </pic:spPr>
                </pic:pic>
              </a:graphicData>
            </a:graphic>
          </wp:inline>
        </w:drawing>
      </w:r>
    </w:p>
    <w:p w14:paraId="209D1EF7" w14:textId="77777777" w:rsidR="00E9201B" w:rsidRPr="003F6B1F" w:rsidRDefault="00E9201B" w:rsidP="00E9201B">
      <w:pPr>
        <w:pStyle w:val="Caption"/>
        <w:spacing w:line="480" w:lineRule="auto"/>
        <w:rPr>
          <w:b w:val="0"/>
          <w:color w:val="auto"/>
          <w:sz w:val="22"/>
        </w:rPr>
      </w:pPr>
      <w:r>
        <w:rPr>
          <w:color w:val="auto"/>
          <w:sz w:val="22"/>
        </w:rPr>
        <w:t>Fig.</w:t>
      </w:r>
      <w:r w:rsidRPr="00105DA9">
        <w:rPr>
          <w:color w:val="auto"/>
          <w:sz w:val="22"/>
        </w:rPr>
        <w:t xml:space="preserve"> </w:t>
      </w:r>
      <w:r>
        <w:rPr>
          <w:color w:val="auto"/>
          <w:sz w:val="22"/>
        </w:rPr>
        <w:fldChar w:fldCharType="begin"/>
      </w:r>
      <w:r>
        <w:rPr>
          <w:color w:val="auto"/>
          <w:sz w:val="22"/>
        </w:rPr>
        <w:instrText xml:space="preserve"> SEQ Figure \* ARABIC </w:instrText>
      </w:r>
      <w:r>
        <w:rPr>
          <w:color w:val="auto"/>
          <w:sz w:val="22"/>
        </w:rPr>
        <w:fldChar w:fldCharType="separate"/>
      </w:r>
      <w:r>
        <w:rPr>
          <w:noProof/>
          <w:color w:val="auto"/>
          <w:sz w:val="22"/>
        </w:rPr>
        <w:t>13</w:t>
      </w:r>
      <w:r>
        <w:rPr>
          <w:color w:val="auto"/>
          <w:sz w:val="22"/>
        </w:rPr>
        <w:fldChar w:fldCharType="end"/>
      </w:r>
      <w:r>
        <w:rPr>
          <w:color w:val="auto"/>
          <w:sz w:val="22"/>
        </w:rPr>
        <w:t xml:space="preserve">. </w:t>
      </w:r>
      <w:r>
        <w:rPr>
          <w:b w:val="0"/>
          <w:color w:val="auto"/>
          <w:sz w:val="22"/>
        </w:rPr>
        <w:t>CT slices identifying back face fibre fracture highlighted (i) in the CFRP in CT scan (a) low velocity impact (1.0 P</w:t>
      </w:r>
      <w:r w:rsidRPr="003F6B1F">
        <w:rPr>
          <w:b w:val="0"/>
          <w:color w:val="auto"/>
          <w:sz w:val="22"/>
          <w:vertAlign w:val="subscript"/>
        </w:rPr>
        <w:t>f</w:t>
      </w:r>
      <w:r>
        <w:rPr>
          <w:b w:val="0"/>
          <w:color w:val="auto"/>
          <w:sz w:val="22"/>
          <w:vertAlign w:val="subscript"/>
        </w:rPr>
        <w:t xml:space="preserve"> </w:t>
      </w:r>
      <w:r w:rsidRPr="003F6B1F">
        <w:rPr>
          <w:b w:val="0"/>
          <w:color w:val="auto"/>
          <w:sz w:val="22"/>
        </w:rPr>
        <w:t>)</w:t>
      </w:r>
      <w:r>
        <w:rPr>
          <w:b w:val="0"/>
          <w:color w:val="auto"/>
          <w:sz w:val="22"/>
          <w:vertAlign w:val="subscript"/>
        </w:rPr>
        <w:t xml:space="preserve"> </w:t>
      </w:r>
      <w:r>
        <w:rPr>
          <w:b w:val="0"/>
          <w:color w:val="auto"/>
          <w:sz w:val="22"/>
        </w:rPr>
        <w:t>and (b) quasi-static indentation specimen 2 (0.86 P</w:t>
      </w:r>
      <w:r w:rsidRPr="003F6B1F">
        <w:rPr>
          <w:b w:val="0"/>
          <w:color w:val="auto"/>
          <w:sz w:val="22"/>
          <w:vertAlign w:val="subscript"/>
        </w:rPr>
        <w:t>f</w:t>
      </w:r>
      <w:r>
        <w:rPr>
          <w:b w:val="0"/>
          <w:color w:val="auto"/>
          <w:sz w:val="22"/>
        </w:rPr>
        <w:t>)</w:t>
      </w:r>
    </w:p>
    <w:p w14:paraId="46B9B82E" w14:textId="77777777" w:rsidR="00E9201B" w:rsidRDefault="00E9201B" w:rsidP="00E9201B">
      <w:pPr>
        <w:keepNext/>
        <w:spacing w:line="480" w:lineRule="auto"/>
        <w:jc w:val="center"/>
      </w:pPr>
      <w:r>
        <w:rPr>
          <w:noProof/>
          <w:lang w:val="en-GB" w:eastAsia="en-GB"/>
        </w:rPr>
        <w:drawing>
          <wp:inline distT="0" distB="0" distL="0" distR="0" wp14:anchorId="3155CA4F" wp14:editId="433F12FD">
            <wp:extent cx="3251200" cy="3251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2.eps"/>
                    <pic:cNvPicPr/>
                  </pic:nvPicPr>
                  <pic:blipFill>
                    <a:blip r:embed="rId20">
                      <a:extLst>
                        <a:ext uri="{28A0092B-C50C-407E-A947-70E740481C1C}">
                          <a14:useLocalDpi xmlns:a14="http://schemas.microsoft.com/office/drawing/2010/main"/>
                        </a:ext>
                      </a:extLst>
                    </a:blip>
                    <a:stretch>
                      <a:fillRect/>
                    </a:stretch>
                  </pic:blipFill>
                  <pic:spPr>
                    <a:xfrm>
                      <a:off x="0" y="0"/>
                      <a:ext cx="3251200" cy="3251200"/>
                    </a:xfrm>
                    <a:prstGeom prst="rect">
                      <a:avLst/>
                    </a:prstGeom>
                  </pic:spPr>
                </pic:pic>
              </a:graphicData>
            </a:graphic>
          </wp:inline>
        </w:drawing>
      </w:r>
    </w:p>
    <w:p w14:paraId="39C746AD" w14:textId="2CEF355D" w:rsidR="00397FFE" w:rsidRDefault="00E9201B" w:rsidP="00397FFE">
      <w:pPr>
        <w:pStyle w:val="Caption"/>
        <w:spacing w:line="480" w:lineRule="auto"/>
        <w:rPr>
          <w:bCs w:val="0"/>
          <w:strike/>
          <w:sz w:val="22"/>
        </w:rPr>
      </w:pPr>
      <w:r>
        <w:rPr>
          <w:color w:val="auto"/>
          <w:sz w:val="22"/>
        </w:rPr>
        <w:t>Fig.</w:t>
      </w:r>
      <w:r w:rsidRPr="002E5733">
        <w:rPr>
          <w:color w:val="auto"/>
          <w:sz w:val="22"/>
        </w:rPr>
        <w:t xml:space="preserve"> </w:t>
      </w:r>
      <w:r>
        <w:rPr>
          <w:color w:val="auto"/>
          <w:sz w:val="22"/>
        </w:rPr>
        <w:fldChar w:fldCharType="begin"/>
      </w:r>
      <w:r>
        <w:rPr>
          <w:color w:val="auto"/>
          <w:sz w:val="22"/>
        </w:rPr>
        <w:instrText xml:space="preserve"> SEQ Figure \* ARABIC </w:instrText>
      </w:r>
      <w:r>
        <w:rPr>
          <w:color w:val="auto"/>
          <w:sz w:val="22"/>
        </w:rPr>
        <w:fldChar w:fldCharType="separate"/>
      </w:r>
      <w:r>
        <w:rPr>
          <w:noProof/>
          <w:color w:val="auto"/>
          <w:sz w:val="22"/>
        </w:rPr>
        <w:t>14</w:t>
      </w:r>
      <w:r>
        <w:rPr>
          <w:color w:val="auto"/>
          <w:sz w:val="22"/>
        </w:rPr>
        <w:fldChar w:fldCharType="end"/>
      </w:r>
      <w:r>
        <w:rPr>
          <w:color w:val="auto"/>
          <w:sz w:val="22"/>
        </w:rPr>
        <w:t xml:space="preserve">. </w:t>
      </w:r>
      <w:r>
        <w:rPr>
          <w:b w:val="0"/>
          <w:color w:val="auto"/>
          <w:sz w:val="22"/>
        </w:rPr>
        <w:t>Local surface indentation versus the peak applied load under all quasi-static indentation and low velocity impact tests. For a given load the local surface indentation is increased under quasi-static indentation</w:t>
      </w:r>
      <w:r>
        <w:rPr>
          <w:b w:val="0"/>
          <w:strike/>
          <w:color w:val="auto"/>
          <w:sz w:val="22"/>
        </w:rPr>
        <w:t>.</w:t>
      </w:r>
      <w:r w:rsidR="00397FFE">
        <w:rPr>
          <w:b w:val="0"/>
          <w:strike/>
          <w:color w:val="auto"/>
          <w:sz w:val="22"/>
        </w:rPr>
        <w:br w:type="page"/>
      </w:r>
    </w:p>
    <w:p w14:paraId="6C9E7EA1" w14:textId="77777777" w:rsidR="00E9201B" w:rsidRDefault="00E9201B" w:rsidP="00E9201B">
      <w:pPr>
        <w:spacing w:before="60" w:after="60" w:line="276" w:lineRule="auto"/>
        <w:ind w:right="4"/>
        <w:jc w:val="both"/>
        <w:rPr>
          <w:b/>
          <w:color w:val="000000"/>
          <w:sz w:val="22"/>
          <w:szCs w:val="22"/>
        </w:rPr>
      </w:pPr>
      <w:r>
        <w:rPr>
          <w:b/>
          <w:color w:val="000000"/>
          <w:sz w:val="22"/>
          <w:szCs w:val="22"/>
        </w:rPr>
        <w:lastRenderedPageBreak/>
        <w:t>TABLES</w:t>
      </w:r>
    </w:p>
    <w:p w14:paraId="176CD6CF" w14:textId="77777777" w:rsidR="00E9201B" w:rsidRDefault="00E9201B" w:rsidP="00E9201B">
      <w:pPr>
        <w:spacing w:before="60" w:after="60" w:line="276" w:lineRule="auto"/>
        <w:ind w:right="4"/>
        <w:jc w:val="both"/>
        <w:rPr>
          <w:b/>
          <w:color w:val="000000"/>
          <w:sz w:val="22"/>
          <w:szCs w:val="22"/>
        </w:rPr>
      </w:pPr>
    </w:p>
    <w:p w14:paraId="45798177" w14:textId="77777777" w:rsidR="00E9201B" w:rsidRDefault="00E9201B" w:rsidP="00E9201B">
      <w:pPr>
        <w:pStyle w:val="Caption"/>
        <w:keepNext/>
        <w:spacing w:line="480" w:lineRule="auto"/>
        <w:rPr>
          <w:color w:val="auto"/>
          <w:sz w:val="22"/>
        </w:rPr>
      </w:pPr>
      <w:r>
        <w:rPr>
          <w:color w:val="auto"/>
          <w:sz w:val="22"/>
        </w:rPr>
        <w:t>Table 1. Details of the low velocity impact tests</w:t>
      </w:r>
    </w:p>
    <w:tbl>
      <w:tblPr>
        <w:tblW w:w="3849" w:type="dxa"/>
        <w:jc w:val="center"/>
        <w:tblLook w:val="04A0" w:firstRow="1" w:lastRow="0" w:firstColumn="1" w:lastColumn="0" w:noHBand="0" w:noVBand="1"/>
      </w:tblPr>
      <w:tblGrid>
        <w:gridCol w:w="866"/>
        <w:gridCol w:w="121"/>
        <w:gridCol w:w="1362"/>
        <w:gridCol w:w="1500"/>
      </w:tblGrid>
      <w:tr w:rsidR="00E9201B" w:rsidRPr="00CE7747" w14:paraId="55D6F213" w14:textId="77777777" w:rsidTr="00E9201B">
        <w:trPr>
          <w:trHeight w:val="320"/>
          <w:jc w:val="center"/>
        </w:trPr>
        <w:tc>
          <w:tcPr>
            <w:tcW w:w="987" w:type="dxa"/>
            <w:gridSpan w:val="2"/>
            <w:tcBorders>
              <w:top w:val="single" w:sz="4" w:space="0" w:color="auto"/>
              <w:left w:val="nil"/>
              <w:bottom w:val="single" w:sz="8" w:space="0" w:color="auto"/>
              <w:right w:val="nil"/>
            </w:tcBorders>
            <w:shd w:val="clear" w:color="auto" w:fill="auto"/>
            <w:noWrap/>
            <w:vAlign w:val="bottom"/>
            <w:hideMark/>
          </w:tcPr>
          <w:p w14:paraId="616889E5" w14:textId="77777777" w:rsidR="00E9201B" w:rsidRPr="00CE7747" w:rsidRDefault="00E9201B" w:rsidP="00E9201B">
            <w:pPr>
              <w:keepLines/>
              <w:jc w:val="center"/>
              <w:rPr>
                <w:color w:val="000000"/>
                <w:sz w:val="22"/>
                <w:szCs w:val="22"/>
                <w:lang w:val="en-GB"/>
              </w:rPr>
            </w:pPr>
            <w:r>
              <w:rPr>
                <w:color w:val="000000"/>
                <w:sz w:val="22"/>
                <w:szCs w:val="22"/>
                <w:lang w:val="en-GB"/>
              </w:rPr>
              <w:t>Energy (J)</w:t>
            </w:r>
          </w:p>
        </w:tc>
        <w:tc>
          <w:tcPr>
            <w:tcW w:w="1362" w:type="dxa"/>
            <w:tcBorders>
              <w:top w:val="single" w:sz="4" w:space="0" w:color="auto"/>
              <w:left w:val="nil"/>
              <w:bottom w:val="single" w:sz="8" w:space="0" w:color="auto"/>
              <w:right w:val="nil"/>
            </w:tcBorders>
            <w:shd w:val="clear" w:color="auto" w:fill="auto"/>
            <w:noWrap/>
            <w:vAlign w:val="bottom"/>
            <w:hideMark/>
          </w:tcPr>
          <w:p w14:paraId="027F03F7" w14:textId="77777777" w:rsidR="00E9201B" w:rsidRPr="00CE7747" w:rsidRDefault="00E9201B" w:rsidP="00E9201B">
            <w:pPr>
              <w:keepLines/>
              <w:jc w:val="center"/>
              <w:rPr>
                <w:color w:val="000000"/>
                <w:sz w:val="22"/>
                <w:szCs w:val="22"/>
                <w:lang w:val="en-GB"/>
              </w:rPr>
            </w:pPr>
            <w:r>
              <w:rPr>
                <w:color w:val="000000"/>
                <w:sz w:val="22"/>
                <w:szCs w:val="22"/>
                <w:lang w:val="en-GB"/>
              </w:rPr>
              <w:t>Impactor Mass (kg)</w:t>
            </w:r>
          </w:p>
        </w:tc>
        <w:tc>
          <w:tcPr>
            <w:tcW w:w="1500" w:type="dxa"/>
            <w:tcBorders>
              <w:top w:val="single" w:sz="4" w:space="0" w:color="auto"/>
              <w:left w:val="nil"/>
              <w:bottom w:val="single" w:sz="8" w:space="0" w:color="auto"/>
              <w:right w:val="nil"/>
            </w:tcBorders>
            <w:vAlign w:val="bottom"/>
          </w:tcPr>
          <w:p w14:paraId="5DC7D22D" w14:textId="77777777" w:rsidR="00E9201B" w:rsidRDefault="00E9201B" w:rsidP="00E9201B">
            <w:pPr>
              <w:keepLines/>
              <w:jc w:val="center"/>
              <w:rPr>
                <w:color w:val="000000"/>
                <w:sz w:val="22"/>
                <w:szCs w:val="22"/>
                <w:lang w:val="en-GB"/>
              </w:rPr>
            </w:pPr>
            <w:r>
              <w:rPr>
                <w:color w:val="000000"/>
                <w:sz w:val="22"/>
                <w:szCs w:val="22"/>
                <w:lang w:val="en-GB"/>
              </w:rPr>
              <w:t>Impact Velocity (m/s)</w:t>
            </w:r>
          </w:p>
        </w:tc>
      </w:tr>
      <w:tr w:rsidR="00E9201B" w:rsidRPr="00CE7747" w14:paraId="797AD05C" w14:textId="77777777" w:rsidTr="00E9201B">
        <w:trPr>
          <w:trHeight w:val="300"/>
          <w:jc w:val="center"/>
        </w:trPr>
        <w:tc>
          <w:tcPr>
            <w:tcW w:w="866" w:type="dxa"/>
            <w:tcBorders>
              <w:top w:val="nil"/>
              <w:left w:val="nil"/>
              <w:bottom w:val="nil"/>
              <w:right w:val="nil"/>
            </w:tcBorders>
            <w:shd w:val="clear" w:color="auto" w:fill="auto"/>
            <w:noWrap/>
            <w:vAlign w:val="bottom"/>
            <w:hideMark/>
          </w:tcPr>
          <w:p w14:paraId="321198B2" w14:textId="77777777" w:rsidR="00E9201B" w:rsidRPr="00CE7747" w:rsidRDefault="00E9201B" w:rsidP="00E9201B">
            <w:pPr>
              <w:keepLines/>
              <w:jc w:val="center"/>
              <w:rPr>
                <w:color w:val="000000"/>
                <w:sz w:val="20"/>
                <w:szCs w:val="22"/>
                <w:lang w:val="en-GB"/>
              </w:rPr>
            </w:pPr>
            <w:r>
              <w:rPr>
                <w:color w:val="000000"/>
                <w:sz w:val="20"/>
                <w:szCs w:val="22"/>
                <w:lang w:val="en-GB"/>
              </w:rPr>
              <w:t>10</w:t>
            </w:r>
          </w:p>
        </w:tc>
        <w:tc>
          <w:tcPr>
            <w:tcW w:w="1483" w:type="dxa"/>
            <w:gridSpan w:val="2"/>
            <w:tcBorders>
              <w:top w:val="nil"/>
              <w:left w:val="nil"/>
              <w:bottom w:val="nil"/>
              <w:right w:val="nil"/>
            </w:tcBorders>
            <w:shd w:val="clear" w:color="auto" w:fill="auto"/>
            <w:noWrap/>
            <w:vAlign w:val="bottom"/>
            <w:hideMark/>
          </w:tcPr>
          <w:p w14:paraId="681BBDAD" w14:textId="77777777" w:rsidR="00E9201B" w:rsidRPr="00CE7747" w:rsidRDefault="00E9201B" w:rsidP="00E9201B">
            <w:pPr>
              <w:keepLines/>
              <w:jc w:val="center"/>
              <w:rPr>
                <w:color w:val="000000"/>
                <w:sz w:val="20"/>
                <w:szCs w:val="22"/>
                <w:lang w:val="en-GB"/>
              </w:rPr>
            </w:pPr>
            <w:r>
              <w:rPr>
                <w:color w:val="000000"/>
                <w:sz w:val="20"/>
                <w:szCs w:val="22"/>
                <w:lang w:val="en-GB"/>
              </w:rPr>
              <w:t>6.2</w:t>
            </w:r>
          </w:p>
        </w:tc>
        <w:tc>
          <w:tcPr>
            <w:tcW w:w="1500" w:type="dxa"/>
            <w:tcBorders>
              <w:top w:val="nil"/>
              <w:left w:val="nil"/>
              <w:bottom w:val="nil"/>
              <w:right w:val="nil"/>
            </w:tcBorders>
            <w:vAlign w:val="bottom"/>
          </w:tcPr>
          <w:p w14:paraId="0B488DF6" w14:textId="77777777" w:rsidR="00E9201B" w:rsidRDefault="00E9201B" w:rsidP="00E9201B">
            <w:pPr>
              <w:keepLines/>
              <w:jc w:val="center"/>
              <w:rPr>
                <w:color w:val="000000"/>
                <w:sz w:val="20"/>
                <w:szCs w:val="22"/>
                <w:lang w:val="en-GB"/>
              </w:rPr>
            </w:pPr>
            <w:r>
              <w:rPr>
                <w:color w:val="000000"/>
                <w:sz w:val="20"/>
                <w:szCs w:val="22"/>
                <w:lang w:val="en-GB"/>
              </w:rPr>
              <w:t>1.8</w:t>
            </w:r>
          </w:p>
        </w:tc>
      </w:tr>
      <w:tr w:rsidR="00E9201B" w:rsidRPr="00CE7747" w14:paraId="4ABB7AE8" w14:textId="77777777" w:rsidTr="00E9201B">
        <w:trPr>
          <w:trHeight w:val="300"/>
          <w:jc w:val="center"/>
        </w:trPr>
        <w:tc>
          <w:tcPr>
            <w:tcW w:w="866" w:type="dxa"/>
            <w:tcBorders>
              <w:top w:val="nil"/>
              <w:left w:val="nil"/>
              <w:bottom w:val="nil"/>
              <w:right w:val="nil"/>
            </w:tcBorders>
            <w:shd w:val="clear" w:color="auto" w:fill="auto"/>
            <w:noWrap/>
            <w:vAlign w:val="bottom"/>
            <w:hideMark/>
          </w:tcPr>
          <w:p w14:paraId="779849E3" w14:textId="77777777" w:rsidR="00E9201B" w:rsidRPr="00CE7747" w:rsidRDefault="00E9201B" w:rsidP="00E9201B">
            <w:pPr>
              <w:keepLines/>
              <w:jc w:val="center"/>
              <w:rPr>
                <w:color w:val="000000"/>
                <w:sz w:val="20"/>
                <w:szCs w:val="22"/>
                <w:lang w:val="en-GB"/>
              </w:rPr>
            </w:pPr>
            <w:r>
              <w:rPr>
                <w:color w:val="000000"/>
                <w:sz w:val="20"/>
                <w:szCs w:val="22"/>
                <w:lang w:val="en-GB"/>
              </w:rPr>
              <w:t>30</w:t>
            </w:r>
          </w:p>
        </w:tc>
        <w:tc>
          <w:tcPr>
            <w:tcW w:w="1483" w:type="dxa"/>
            <w:gridSpan w:val="2"/>
            <w:tcBorders>
              <w:top w:val="nil"/>
              <w:left w:val="nil"/>
              <w:bottom w:val="nil"/>
              <w:right w:val="nil"/>
            </w:tcBorders>
            <w:shd w:val="clear" w:color="auto" w:fill="auto"/>
            <w:noWrap/>
            <w:vAlign w:val="bottom"/>
            <w:hideMark/>
          </w:tcPr>
          <w:p w14:paraId="28577C08" w14:textId="77777777" w:rsidR="00E9201B" w:rsidRPr="00CE7747" w:rsidRDefault="00E9201B" w:rsidP="00E9201B">
            <w:pPr>
              <w:keepLines/>
              <w:jc w:val="center"/>
              <w:rPr>
                <w:color w:val="000000"/>
                <w:sz w:val="20"/>
                <w:szCs w:val="22"/>
                <w:lang w:val="en-GB"/>
              </w:rPr>
            </w:pPr>
            <w:r>
              <w:rPr>
                <w:color w:val="000000"/>
                <w:sz w:val="20"/>
                <w:szCs w:val="22"/>
                <w:lang w:val="en-GB"/>
              </w:rPr>
              <w:t>6.2</w:t>
            </w:r>
          </w:p>
        </w:tc>
        <w:tc>
          <w:tcPr>
            <w:tcW w:w="1500" w:type="dxa"/>
            <w:tcBorders>
              <w:top w:val="nil"/>
              <w:left w:val="nil"/>
              <w:bottom w:val="nil"/>
              <w:right w:val="nil"/>
            </w:tcBorders>
            <w:vAlign w:val="bottom"/>
          </w:tcPr>
          <w:p w14:paraId="3F3E0E68" w14:textId="77777777" w:rsidR="00E9201B" w:rsidRDefault="00E9201B" w:rsidP="00E9201B">
            <w:pPr>
              <w:keepLines/>
              <w:jc w:val="center"/>
              <w:rPr>
                <w:color w:val="000000"/>
                <w:sz w:val="20"/>
                <w:szCs w:val="22"/>
                <w:lang w:val="en-GB"/>
              </w:rPr>
            </w:pPr>
            <w:r>
              <w:rPr>
                <w:color w:val="000000"/>
                <w:sz w:val="20"/>
                <w:szCs w:val="22"/>
                <w:lang w:val="en-GB"/>
              </w:rPr>
              <w:t>3.1</w:t>
            </w:r>
          </w:p>
        </w:tc>
      </w:tr>
      <w:tr w:rsidR="00E9201B" w:rsidRPr="00CE7747" w14:paraId="4DB710BD" w14:textId="77777777" w:rsidTr="00E9201B">
        <w:trPr>
          <w:trHeight w:val="300"/>
          <w:jc w:val="center"/>
        </w:trPr>
        <w:tc>
          <w:tcPr>
            <w:tcW w:w="866" w:type="dxa"/>
            <w:tcBorders>
              <w:top w:val="nil"/>
              <w:left w:val="nil"/>
              <w:right w:val="nil"/>
            </w:tcBorders>
            <w:shd w:val="clear" w:color="auto" w:fill="auto"/>
            <w:noWrap/>
            <w:vAlign w:val="bottom"/>
            <w:hideMark/>
          </w:tcPr>
          <w:p w14:paraId="1566E8EE" w14:textId="77777777" w:rsidR="00E9201B" w:rsidRPr="00CE7747" w:rsidRDefault="00E9201B" w:rsidP="00E9201B">
            <w:pPr>
              <w:keepLines/>
              <w:jc w:val="center"/>
              <w:rPr>
                <w:color w:val="000000"/>
                <w:sz w:val="20"/>
                <w:szCs w:val="22"/>
                <w:lang w:val="en-GB"/>
              </w:rPr>
            </w:pPr>
            <w:r>
              <w:rPr>
                <w:color w:val="000000"/>
                <w:sz w:val="20"/>
                <w:szCs w:val="22"/>
                <w:lang w:val="en-GB"/>
              </w:rPr>
              <w:t>60</w:t>
            </w:r>
          </w:p>
        </w:tc>
        <w:tc>
          <w:tcPr>
            <w:tcW w:w="1483" w:type="dxa"/>
            <w:gridSpan w:val="2"/>
            <w:tcBorders>
              <w:top w:val="nil"/>
              <w:left w:val="nil"/>
              <w:right w:val="nil"/>
            </w:tcBorders>
            <w:shd w:val="clear" w:color="auto" w:fill="auto"/>
            <w:noWrap/>
            <w:vAlign w:val="bottom"/>
            <w:hideMark/>
          </w:tcPr>
          <w:p w14:paraId="2802B35A" w14:textId="77777777" w:rsidR="00E9201B" w:rsidRPr="00CE7747" w:rsidRDefault="00E9201B" w:rsidP="00E9201B">
            <w:pPr>
              <w:keepLines/>
              <w:jc w:val="center"/>
              <w:rPr>
                <w:color w:val="000000"/>
                <w:sz w:val="20"/>
                <w:szCs w:val="22"/>
                <w:lang w:val="en-GB"/>
              </w:rPr>
            </w:pPr>
            <w:r>
              <w:rPr>
                <w:color w:val="000000"/>
                <w:sz w:val="20"/>
                <w:szCs w:val="22"/>
                <w:lang w:val="en-GB"/>
              </w:rPr>
              <w:t>12.2</w:t>
            </w:r>
          </w:p>
        </w:tc>
        <w:tc>
          <w:tcPr>
            <w:tcW w:w="1500" w:type="dxa"/>
            <w:tcBorders>
              <w:top w:val="nil"/>
              <w:left w:val="nil"/>
              <w:right w:val="nil"/>
            </w:tcBorders>
            <w:vAlign w:val="bottom"/>
          </w:tcPr>
          <w:p w14:paraId="0AA742B7" w14:textId="77777777" w:rsidR="00E9201B" w:rsidRDefault="00E9201B" w:rsidP="00E9201B">
            <w:pPr>
              <w:keepLines/>
              <w:jc w:val="center"/>
              <w:rPr>
                <w:color w:val="000000"/>
                <w:sz w:val="20"/>
                <w:szCs w:val="22"/>
                <w:lang w:val="en-GB"/>
              </w:rPr>
            </w:pPr>
            <w:r>
              <w:rPr>
                <w:color w:val="000000"/>
                <w:sz w:val="20"/>
                <w:szCs w:val="22"/>
                <w:lang w:val="en-GB"/>
              </w:rPr>
              <w:t>3.1</w:t>
            </w:r>
          </w:p>
        </w:tc>
      </w:tr>
      <w:tr w:rsidR="00E9201B" w:rsidRPr="00CE7747" w14:paraId="401AAF56" w14:textId="77777777" w:rsidTr="00E9201B">
        <w:trPr>
          <w:trHeight w:val="320"/>
          <w:jc w:val="center"/>
        </w:trPr>
        <w:tc>
          <w:tcPr>
            <w:tcW w:w="866" w:type="dxa"/>
            <w:tcBorders>
              <w:top w:val="nil"/>
              <w:left w:val="nil"/>
              <w:bottom w:val="single" w:sz="4" w:space="0" w:color="auto"/>
              <w:right w:val="nil"/>
            </w:tcBorders>
            <w:shd w:val="clear" w:color="auto" w:fill="auto"/>
            <w:noWrap/>
            <w:vAlign w:val="bottom"/>
            <w:hideMark/>
          </w:tcPr>
          <w:p w14:paraId="030A0D96" w14:textId="77777777" w:rsidR="00E9201B" w:rsidRPr="00CE7747" w:rsidRDefault="00E9201B" w:rsidP="00E9201B">
            <w:pPr>
              <w:keepLines/>
              <w:jc w:val="center"/>
              <w:rPr>
                <w:color w:val="000000"/>
                <w:sz w:val="20"/>
                <w:szCs w:val="22"/>
                <w:lang w:val="en-GB"/>
              </w:rPr>
            </w:pPr>
            <w:r>
              <w:rPr>
                <w:color w:val="000000"/>
                <w:sz w:val="20"/>
                <w:szCs w:val="22"/>
                <w:lang w:val="en-GB"/>
              </w:rPr>
              <w:t>120</w:t>
            </w:r>
          </w:p>
        </w:tc>
        <w:tc>
          <w:tcPr>
            <w:tcW w:w="1483" w:type="dxa"/>
            <w:gridSpan w:val="2"/>
            <w:tcBorders>
              <w:top w:val="nil"/>
              <w:left w:val="nil"/>
              <w:bottom w:val="single" w:sz="4" w:space="0" w:color="auto"/>
              <w:right w:val="nil"/>
            </w:tcBorders>
            <w:shd w:val="clear" w:color="auto" w:fill="auto"/>
            <w:noWrap/>
            <w:vAlign w:val="bottom"/>
            <w:hideMark/>
          </w:tcPr>
          <w:p w14:paraId="33B7EEB0" w14:textId="77777777" w:rsidR="00E9201B" w:rsidRPr="00CE7747" w:rsidRDefault="00E9201B" w:rsidP="00E9201B">
            <w:pPr>
              <w:keepLines/>
              <w:jc w:val="center"/>
              <w:rPr>
                <w:color w:val="000000"/>
                <w:sz w:val="20"/>
                <w:szCs w:val="22"/>
                <w:lang w:val="en-GB"/>
              </w:rPr>
            </w:pPr>
            <w:r>
              <w:rPr>
                <w:color w:val="000000"/>
                <w:sz w:val="20"/>
                <w:szCs w:val="22"/>
                <w:lang w:val="en-GB"/>
              </w:rPr>
              <w:t>24.7</w:t>
            </w:r>
          </w:p>
        </w:tc>
        <w:tc>
          <w:tcPr>
            <w:tcW w:w="1500" w:type="dxa"/>
            <w:tcBorders>
              <w:top w:val="nil"/>
              <w:left w:val="nil"/>
              <w:bottom w:val="single" w:sz="4" w:space="0" w:color="auto"/>
              <w:right w:val="nil"/>
            </w:tcBorders>
            <w:vAlign w:val="bottom"/>
          </w:tcPr>
          <w:p w14:paraId="324C9C73" w14:textId="77777777" w:rsidR="00E9201B" w:rsidRDefault="00E9201B" w:rsidP="00E9201B">
            <w:pPr>
              <w:keepLines/>
              <w:jc w:val="center"/>
              <w:rPr>
                <w:color w:val="000000"/>
                <w:sz w:val="20"/>
                <w:szCs w:val="22"/>
                <w:lang w:val="en-GB"/>
              </w:rPr>
            </w:pPr>
            <w:r>
              <w:rPr>
                <w:color w:val="000000"/>
                <w:sz w:val="20"/>
                <w:szCs w:val="22"/>
                <w:lang w:val="en-GB"/>
              </w:rPr>
              <w:t>3.1</w:t>
            </w:r>
          </w:p>
        </w:tc>
      </w:tr>
    </w:tbl>
    <w:p w14:paraId="5AC53BA0" w14:textId="77777777" w:rsidR="00E9201B" w:rsidRDefault="00E9201B" w:rsidP="00E9201B">
      <w:pPr>
        <w:pStyle w:val="Caption"/>
        <w:keepNext/>
        <w:spacing w:line="480" w:lineRule="auto"/>
        <w:rPr>
          <w:color w:val="auto"/>
          <w:sz w:val="22"/>
        </w:rPr>
      </w:pPr>
    </w:p>
    <w:p w14:paraId="5B8D4A9B" w14:textId="77777777" w:rsidR="00E9201B" w:rsidRPr="00CE7747" w:rsidRDefault="00E9201B" w:rsidP="00E9201B">
      <w:pPr>
        <w:pStyle w:val="Caption"/>
        <w:keepNext/>
        <w:spacing w:line="480" w:lineRule="auto"/>
        <w:rPr>
          <w:b w:val="0"/>
          <w:color w:val="auto"/>
          <w:sz w:val="22"/>
        </w:rPr>
      </w:pPr>
      <w:r w:rsidRPr="00CE7747">
        <w:rPr>
          <w:color w:val="auto"/>
          <w:sz w:val="22"/>
        </w:rPr>
        <w:t xml:space="preserve">Table </w:t>
      </w:r>
      <w:r>
        <w:rPr>
          <w:color w:val="auto"/>
          <w:sz w:val="22"/>
        </w:rPr>
        <w:t>2.</w:t>
      </w:r>
      <w:r w:rsidRPr="00CE7747">
        <w:rPr>
          <w:color w:val="auto"/>
          <w:sz w:val="22"/>
        </w:rPr>
        <w:t xml:space="preserve"> </w:t>
      </w:r>
      <w:r>
        <w:rPr>
          <w:b w:val="0"/>
          <w:color w:val="auto"/>
          <w:sz w:val="22"/>
        </w:rPr>
        <w:t xml:space="preserve">All </w:t>
      </w:r>
      <w:r w:rsidRPr="00CE7747">
        <w:rPr>
          <w:b w:val="0"/>
          <w:color w:val="auto"/>
          <w:sz w:val="22"/>
        </w:rPr>
        <w:t>CT scan inspection points based on the peak load during impact/indentation, normalised from the peak force of the highest energy impact test.</w:t>
      </w:r>
    </w:p>
    <w:tbl>
      <w:tblPr>
        <w:tblW w:w="4433" w:type="dxa"/>
        <w:jc w:val="center"/>
        <w:tblLook w:val="04A0" w:firstRow="1" w:lastRow="0" w:firstColumn="1" w:lastColumn="0" w:noHBand="0" w:noVBand="1"/>
      </w:tblPr>
      <w:tblGrid>
        <w:gridCol w:w="773"/>
        <w:gridCol w:w="1830"/>
        <w:gridCol w:w="1830"/>
      </w:tblGrid>
      <w:tr w:rsidR="00E9201B" w:rsidRPr="00CE7747" w14:paraId="3B85ACA8" w14:textId="77777777" w:rsidTr="00E9201B">
        <w:trPr>
          <w:trHeight w:val="300"/>
          <w:jc w:val="center"/>
        </w:trPr>
        <w:tc>
          <w:tcPr>
            <w:tcW w:w="4433" w:type="dxa"/>
            <w:gridSpan w:val="3"/>
            <w:tcBorders>
              <w:top w:val="single" w:sz="4" w:space="0" w:color="auto"/>
              <w:left w:val="nil"/>
              <w:bottom w:val="single" w:sz="4" w:space="0" w:color="auto"/>
              <w:right w:val="nil"/>
            </w:tcBorders>
            <w:shd w:val="clear" w:color="auto" w:fill="auto"/>
            <w:noWrap/>
            <w:vAlign w:val="bottom"/>
            <w:hideMark/>
          </w:tcPr>
          <w:p w14:paraId="56740236" w14:textId="77777777" w:rsidR="00E9201B" w:rsidRPr="00CE7747" w:rsidRDefault="00E9201B" w:rsidP="00E9201B">
            <w:pPr>
              <w:keepLines/>
              <w:jc w:val="center"/>
              <w:rPr>
                <w:color w:val="000000"/>
                <w:sz w:val="22"/>
                <w:szCs w:val="22"/>
                <w:lang w:val="en-GB"/>
              </w:rPr>
            </w:pPr>
            <w:r w:rsidRPr="00CE7747">
              <w:rPr>
                <w:color w:val="000000"/>
                <w:sz w:val="22"/>
                <w:szCs w:val="22"/>
                <w:lang w:val="en-GB"/>
              </w:rPr>
              <w:t>CT scan inspection points (</w:t>
            </w:r>
            <w:r>
              <w:rPr>
                <w:color w:val="000000"/>
                <w:sz w:val="22"/>
                <w:szCs w:val="22"/>
                <w:lang w:val="en-GB"/>
              </w:rPr>
              <w:t>/</w:t>
            </w:r>
            <w:r w:rsidRPr="00CE7747">
              <w:rPr>
                <w:color w:val="000000"/>
                <w:sz w:val="22"/>
                <w:szCs w:val="22"/>
                <w:lang w:val="en-GB"/>
              </w:rPr>
              <w:t>P</w:t>
            </w:r>
            <w:r w:rsidRPr="00CE7747">
              <w:rPr>
                <w:color w:val="000000"/>
                <w:sz w:val="22"/>
                <w:szCs w:val="22"/>
                <w:vertAlign w:val="subscript"/>
                <w:lang w:val="en-GB"/>
              </w:rPr>
              <w:t>f</w:t>
            </w:r>
            <w:r w:rsidRPr="00CE7747">
              <w:rPr>
                <w:color w:val="000000"/>
                <w:sz w:val="22"/>
                <w:szCs w:val="22"/>
                <w:lang w:val="en-GB"/>
              </w:rPr>
              <w:t>)</w:t>
            </w:r>
          </w:p>
        </w:tc>
      </w:tr>
      <w:tr w:rsidR="00E9201B" w:rsidRPr="00CE7747" w14:paraId="0B9ED220" w14:textId="77777777" w:rsidTr="00E9201B">
        <w:trPr>
          <w:trHeight w:val="320"/>
          <w:jc w:val="center"/>
        </w:trPr>
        <w:tc>
          <w:tcPr>
            <w:tcW w:w="773" w:type="dxa"/>
            <w:tcBorders>
              <w:top w:val="nil"/>
              <w:left w:val="nil"/>
              <w:bottom w:val="single" w:sz="8" w:space="0" w:color="auto"/>
              <w:right w:val="nil"/>
            </w:tcBorders>
            <w:shd w:val="clear" w:color="auto" w:fill="auto"/>
            <w:noWrap/>
            <w:vAlign w:val="bottom"/>
            <w:hideMark/>
          </w:tcPr>
          <w:p w14:paraId="123D771C" w14:textId="77777777" w:rsidR="00E9201B" w:rsidRPr="00CE7747" w:rsidRDefault="00E9201B" w:rsidP="00E9201B">
            <w:pPr>
              <w:keepLines/>
              <w:jc w:val="center"/>
              <w:rPr>
                <w:color w:val="000000"/>
                <w:sz w:val="22"/>
                <w:szCs w:val="22"/>
                <w:lang w:val="en-GB"/>
              </w:rPr>
            </w:pPr>
            <w:r w:rsidRPr="00CE7747">
              <w:rPr>
                <w:color w:val="000000"/>
                <w:sz w:val="22"/>
                <w:szCs w:val="22"/>
                <w:lang w:val="en-GB"/>
              </w:rPr>
              <w:t>LVI</w:t>
            </w:r>
          </w:p>
        </w:tc>
        <w:tc>
          <w:tcPr>
            <w:tcW w:w="1830" w:type="dxa"/>
            <w:tcBorders>
              <w:top w:val="nil"/>
              <w:left w:val="nil"/>
              <w:bottom w:val="single" w:sz="8" w:space="0" w:color="auto"/>
              <w:right w:val="nil"/>
            </w:tcBorders>
            <w:shd w:val="clear" w:color="auto" w:fill="auto"/>
            <w:noWrap/>
            <w:vAlign w:val="bottom"/>
            <w:hideMark/>
          </w:tcPr>
          <w:p w14:paraId="5B0F2AFD" w14:textId="77777777" w:rsidR="00E9201B" w:rsidRPr="00CE7747" w:rsidRDefault="00E9201B" w:rsidP="00E9201B">
            <w:pPr>
              <w:keepLines/>
              <w:jc w:val="center"/>
              <w:rPr>
                <w:color w:val="000000"/>
                <w:sz w:val="22"/>
                <w:szCs w:val="22"/>
                <w:lang w:val="en-GB"/>
              </w:rPr>
            </w:pPr>
            <w:r w:rsidRPr="00CE7747">
              <w:rPr>
                <w:color w:val="000000"/>
                <w:sz w:val="22"/>
                <w:szCs w:val="22"/>
                <w:lang w:val="en-GB"/>
              </w:rPr>
              <w:t>QSI Specimen 1</w:t>
            </w:r>
          </w:p>
        </w:tc>
        <w:tc>
          <w:tcPr>
            <w:tcW w:w="1830" w:type="dxa"/>
            <w:tcBorders>
              <w:top w:val="nil"/>
              <w:left w:val="nil"/>
              <w:bottom w:val="single" w:sz="8" w:space="0" w:color="auto"/>
              <w:right w:val="nil"/>
            </w:tcBorders>
            <w:shd w:val="clear" w:color="auto" w:fill="auto"/>
            <w:noWrap/>
            <w:vAlign w:val="bottom"/>
            <w:hideMark/>
          </w:tcPr>
          <w:p w14:paraId="6FF10021" w14:textId="77777777" w:rsidR="00E9201B" w:rsidRPr="00CE7747" w:rsidRDefault="00E9201B" w:rsidP="00E9201B">
            <w:pPr>
              <w:keepLines/>
              <w:jc w:val="center"/>
              <w:rPr>
                <w:color w:val="000000"/>
                <w:sz w:val="22"/>
                <w:szCs w:val="22"/>
                <w:lang w:val="en-GB"/>
              </w:rPr>
            </w:pPr>
            <w:r w:rsidRPr="00CE7747">
              <w:rPr>
                <w:color w:val="000000"/>
                <w:sz w:val="22"/>
                <w:szCs w:val="22"/>
                <w:lang w:val="en-GB"/>
              </w:rPr>
              <w:t>QSI Specimen 2</w:t>
            </w:r>
          </w:p>
        </w:tc>
      </w:tr>
      <w:tr w:rsidR="00E9201B" w:rsidRPr="00CE7747" w14:paraId="758DFDF9" w14:textId="77777777" w:rsidTr="00E9201B">
        <w:trPr>
          <w:trHeight w:val="300"/>
          <w:jc w:val="center"/>
        </w:trPr>
        <w:tc>
          <w:tcPr>
            <w:tcW w:w="773" w:type="dxa"/>
            <w:tcBorders>
              <w:top w:val="nil"/>
              <w:left w:val="nil"/>
              <w:bottom w:val="nil"/>
              <w:right w:val="nil"/>
            </w:tcBorders>
            <w:shd w:val="clear" w:color="auto" w:fill="auto"/>
            <w:noWrap/>
            <w:vAlign w:val="bottom"/>
            <w:hideMark/>
          </w:tcPr>
          <w:p w14:paraId="66EFCAE6" w14:textId="77777777" w:rsidR="00E9201B" w:rsidRPr="00CE7747" w:rsidRDefault="00E9201B" w:rsidP="00E9201B">
            <w:pPr>
              <w:keepLines/>
              <w:jc w:val="center"/>
              <w:rPr>
                <w:color w:val="000000"/>
                <w:sz w:val="20"/>
                <w:szCs w:val="22"/>
                <w:lang w:val="en-GB"/>
              </w:rPr>
            </w:pPr>
            <w:r w:rsidRPr="00CE7747">
              <w:rPr>
                <w:color w:val="000000"/>
                <w:sz w:val="20"/>
                <w:szCs w:val="22"/>
                <w:lang w:val="en-GB"/>
              </w:rPr>
              <w:t>0.52</w:t>
            </w:r>
          </w:p>
        </w:tc>
        <w:tc>
          <w:tcPr>
            <w:tcW w:w="1830" w:type="dxa"/>
            <w:tcBorders>
              <w:top w:val="nil"/>
              <w:left w:val="nil"/>
              <w:bottom w:val="nil"/>
              <w:right w:val="nil"/>
            </w:tcBorders>
            <w:shd w:val="clear" w:color="auto" w:fill="auto"/>
            <w:noWrap/>
            <w:vAlign w:val="bottom"/>
            <w:hideMark/>
          </w:tcPr>
          <w:p w14:paraId="1847B904" w14:textId="77777777" w:rsidR="00E9201B" w:rsidRPr="00CE7747" w:rsidRDefault="00E9201B" w:rsidP="00E9201B">
            <w:pPr>
              <w:keepLines/>
              <w:jc w:val="center"/>
              <w:rPr>
                <w:color w:val="000000"/>
                <w:sz w:val="20"/>
                <w:szCs w:val="22"/>
                <w:lang w:val="en-GB"/>
              </w:rPr>
            </w:pPr>
            <w:r w:rsidRPr="00CE7747">
              <w:rPr>
                <w:color w:val="000000"/>
                <w:sz w:val="20"/>
                <w:szCs w:val="22"/>
                <w:lang w:val="en-GB"/>
              </w:rPr>
              <w:t>0.46</w:t>
            </w:r>
          </w:p>
        </w:tc>
        <w:tc>
          <w:tcPr>
            <w:tcW w:w="1830" w:type="dxa"/>
            <w:tcBorders>
              <w:top w:val="nil"/>
              <w:left w:val="nil"/>
              <w:bottom w:val="nil"/>
              <w:right w:val="nil"/>
            </w:tcBorders>
            <w:shd w:val="clear" w:color="auto" w:fill="auto"/>
            <w:noWrap/>
            <w:vAlign w:val="bottom"/>
            <w:hideMark/>
          </w:tcPr>
          <w:p w14:paraId="129191AB" w14:textId="77777777" w:rsidR="00E9201B" w:rsidRPr="00CE7747" w:rsidRDefault="00E9201B" w:rsidP="00E9201B">
            <w:pPr>
              <w:keepLines/>
              <w:jc w:val="center"/>
              <w:rPr>
                <w:color w:val="000000"/>
                <w:sz w:val="20"/>
                <w:szCs w:val="22"/>
                <w:lang w:val="en-GB"/>
              </w:rPr>
            </w:pPr>
            <w:r w:rsidRPr="00CE7747">
              <w:rPr>
                <w:color w:val="000000"/>
                <w:sz w:val="20"/>
                <w:szCs w:val="22"/>
                <w:lang w:val="en-GB"/>
              </w:rPr>
              <w:t>0.46</w:t>
            </w:r>
          </w:p>
        </w:tc>
      </w:tr>
      <w:tr w:rsidR="00E9201B" w:rsidRPr="00CE7747" w14:paraId="79695295" w14:textId="77777777" w:rsidTr="00E9201B">
        <w:trPr>
          <w:trHeight w:val="300"/>
          <w:jc w:val="center"/>
        </w:trPr>
        <w:tc>
          <w:tcPr>
            <w:tcW w:w="773" w:type="dxa"/>
            <w:tcBorders>
              <w:top w:val="nil"/>
              <w:left w:val="nil"/>
              <w:bottom w:val="nil"/>
              <w:right w:val="nil"/>
            </w:tcBorders>
            <w:shd w:val="clear" w:color="auto" w:fill="auto"/>
            <w:noWrap/>
            <w:vAlign w:val="bottom"/>
            <w:hideMark/>
          </w:tcPr>
          <w:p w14:paraId="635523C7" w14:textId="77777777" w:rsidR="00E9201B" w:rsidRPr="00CE7747" w:rsidRDefault="00E9201B" w:rsidP="00E9201B">
            <w:pPr>
              <w:keepLines/>
              <w:jc w:val="center"/>
              <w:rPr>
                <w:color w:val="000000"/>
                <w:sz w:val="20"/>
                <w:szCs w:val="22"/>
                <w:lang w:val="en-GB"/>
              </w:rPr>
            </w:pPr>
            <w:r w:rsidRPr="00CE7747">
              <w:rPr>
                <w:color w:val="000000"/>
                <w:sz w:val="20"/>
                <w:szCs w:val="22"/>
                <w:lang w:val="en-GB"/>
              </w:rPr>
              <w:t>0.61</w:t>
            </w:r>
          </w:p>
        </w:tc>
        <w:tc>
          <w:tcPr>
            <w:tcW w:w="1830" w:type="dxa"/>
            <w:tcBorders>
              <w:top w:val="nil"/>
              <w:left w:val="nil"/>
              <w:bottom w:val="nil"/>
              <w:right w:val="nil"/>
            </w:tcBorders>
            <w:shd w:val="clear" w:color="auto" w:fill="auto"/>
            <w:noWrap/>
            <w:vAlign w:val="bottom"/>
            <w:hideMark/>
          </w:tcPr>
          <w:p w14:paraId="544A7FE7" w14:textId="77777777" w:rsidR="00E9201B" w:rsidRPr="00CE7747" w:rsidRDefault="00E9201B" w:rsidP="00E9201B">
            <w:pPr>
              <w:keepLines/>
              <w:jc w:val="center"/>
              <w:rPr>
                <w:color w:val="000000"/>
                <w:sz w:val="20"/>
                <w:szCs w:val="22"/>
                <w:lang w:val="en-GB"/>
              </w:rPr>
            </w:pPr>
            <w:r w:rsidRPr="00CE7747">
              <w:rPr>
                <w:color w:val="000000"/>
                <w:sz w:val="20"/>
                <w:szCs w:val="22"/>
                <w:lang w:val="en-GB"/>
              </w:rPr>
              <w:t>0.56</w:t>
            </w:r>
          </w:p>
        </w:tc>
        <w:tc>
          <w:tcPr>
            <w:tcW w:w="1830" w:type="dxa"/>
            <w:tcBorders>
              <w:top w:val="nil"/>
              <w:left w:val="nil"/>
              <w:bottom w:val="nil"/>
              <w:right w:val="nil"/>
            </w:tcBorders>
            <w:shd w:val="clear" w:color="auto" w:fill="auto"/>
            <w:noWrap/>
            <w:vAlign w:val="bottom"/>
            <w:hideMark/>
          </w:tcPr>
          <w:p w14:paraId="4919AF5D" w14:textId="77777777" w:rsidR="00E9201B" w:rsidRPr="00CE7747" w:rsidRDefault="00E9201B" w:rsidP="00E9201B">
            <w:pPr>
              <w:keepLines/>
              <w:jc w:val="center"/>
              <w:rPr>
                <w:color w:val="000000"/>
                <w:sz w:val="20"/>
                <w:szCs w:val="22"/>
                <w:lang w:val="en-GB"/>
              </w:rPr>
            </w:pPr>
            <w:r w:rsidRPr="00CE7747">
              <w:rPr>
                <w:color w:val="000000"/>
                <w:sz w:val="20"/>
                <w:szCs w:val="22"/>
                <w:lang w:val="en-GB"/>
              </w:rPr>
              <w:t>0.56</w:t>
            </w:r>
          </w:p>
        </w:tc>
      </w:tr>
      <w:tr w:rsidR="00E9201B" w:rsidRPr="00CE7747" w14:paraId="0F6C9208" w14:textId="77777777" w:rsidTr="00E9201B">
        <w:trPr>
          <w:trHeight w:val="300"/>
          <w:jc w:val="center"/>
        </w:trPr>
        <w:tc>
          <w:tcPr>
            <w:tcW w:w="773" w:type="dxa"/>
            <w:tcBorders>
              <w:top w:val="nil"/>
              <w:left w:val="nil"/>
              <w:bottom w:val="nil"/>
              <w:right w:val="nil"/>
            </w:tcBorders>
            <w:shd w:val="clear" w:color="auto" w:fill="auto"/>
            <w:noWrap/>
            <w:vAlign w:val="bottom"/>
            <w:hideMark/>
          </w:tcPr>
          <w:p w14:paraId="58920920" w14:textId="77777777" w:rsidR="00E9201B" w:rsidRPr="00CE7747" w:rsidRDefault="00E9201B" w:rsidP="00E9201B">
            <w:pPr>
              <w:keepLines/>
              <w:jc w:val="center"/>
              <w:rPr>
                <w:color w:val="000000"/>
                <w:sz w:val="20"/>
                <w:szCs w:val="22"/>
                <w:lang w:val="en-GB"/>
              </w:rPr>
            </w:pPr>
            <w:r w:rsidRPr="00CE7747">
              <w:rPr>
                <w:color w:val="000000"/>
                <w:sz w:val="20"/>
                <w:szCs w:val="22"/>
                <w:lang w:val="en-GB"/>
              </w:rPr>
              <w:t>0.76</w:t>
            </w:r>
          </w:p>
        </w:tc>
        <w:tc>
          <w:tcPr>
            <w:tcW w:w="1830" w:type="dxa"/>
            <w:tcBorders>
              <w:top w:val="nil"/>
              <w:left w:val="nil"/>
              <w:bottom w:val="nil"/>
              <w:right w:val="nil"/>
            </w:tcBorders>
            <w:shd w:val="clear" w:color="auto" w:fill="auto"/>
            <w:noWrap/>
            <w:vAlign w:val="bottom"/>
            <w:hideMark/>
          </w:tcPr>
          <w:p w14:paraId="7574F926" w14:textId="77777777" w:rsidR="00E9201B" w:rsidRPr="00CE7747" w:rsidRDefault="00E9201B" w:rsidP="00E9201B">
            <w:pPr>
              <w:keepLines/>
              <w:jc w:val="center"/>
              <w:rPr>
                <w:color w:val="000000"/>
                <w:sz w:val="20"/>
                <w:szCs w:val="22"/>
                <w:lang w:val="en-GB"/>
              </w:rPr>
            </w:pPr>
            <w:r w:rsidRPr="00CE7747">
              <w:rPr>
                <w:color w:val="000000"/>
                <w:sz w:val="20"/>
                <w:szCs w:val="22"/>
                <w:lang w:val="en-GB"/>
              </w:rPr>
              <w:t>0.74</w:t>
            </w:r>
          </w:p>
        </w:tc>
        <w:tc>
          <w:tcPr>
            <w:tcW w:w="1830" w:type="dxa"/>
            <w:tcBorders>
              <w:top w:val="nil"/>
              <w:left w:val="nil"/>
              <w:bottom w:val="nil"/>
              <w:right w:val="nil"/>
            </w:tcBorders>
            <w:shd w:val="clear" w:color="auto" w:fill="auto"/>
            <w:noWrap/>
            <w:vAlign w:val="bottom"/>
            <w:hideMark/>
          </w:tcPr>
          <w:p w14:paraId="23870F8E" w14:textId="77777777" w:rsidR="00E9201B" w:rsidRPr="00CE7747" w:rsidRDefault="00E9201B" w:rsidP="00E9201B">
            <w:pPr>
              <w:keepLines/>
              <w:jc w:val="center"/>
              <w:rPr>
                <w:color w:val="000000"/>
                <w:sz w:val="20"/>
                <w:szCs w:val="22"/>
                <w:lang w:val="en-GB"/>
              </w:rPr>
            </w:pPr>
            <w:r w:rsidRPr="00CE7747">
              <w:rPr>
                <w:color w:val="000000"/>
                <w:sz w:val="20"/>
                <w:szCs w:val="22"/>
                <w:lang w:val="en-GB"/>
              </w:rPr>
              <w:t>0.86</w:t>
            </w:r>
          </w:p>
        </w:tc>
      </w:tr>
      <w:tr w:rsidR="00E9201B" w:rsidRPr="00CE7747" w14:paraId="0FB66AE2" w14:textId="77777777" w:rsidTr="00E9201B">
        <w:trPr>
          <w:trHeight w:val="320"/>
          <w:jc w:val="center"/>
        </w:trPr>
        <w:tc>
          <w:tcPr>
            <w:tcW w:w="773" w:type="dxa"/>
            <w:tcBorders>
              <w:top w:val="nil"/>
              <w:left w:val="nil"/>
              <w:bottom w:val="nil"/>
              <w:right w:val="nil"/>
            </w:tcBorders>
            <w:shd w:val="clear" w:color="auto" w:fill="auto"/>
            <w:noWrap/>
            <w:vAlign w:val="bottom"/>
            <w:hideMark/>
          </w:tcPr>
          <w:p w14:paraId="532AEF68" w14:textId="77777777" w:rsidR="00E9201B" w:rsidRPr="00CE7747" w:rsidRDefault="00E9201B" w:rsidP="00E9201B">
            <w:pPr>
              <w:keepLines/>
              <w:jc w:val="center"/>
              <w:rPr>
                <w:color w:val="000000"/>
                <w:sz w:val="20"/>
                <w:szCs w:val="22"/>
                <w:lang w:val="en-GB"/>
              </w:rPr>
            </w:pPr>
            <w:r w:rsidRPr="00CE7747">
              <w:rPr>
                <w:color w:val="000000"/>
                <w:sz w:val="20"/>
                <w:szCs w:val="22"/>
                <w:lang w:val="en-GB"/>
              </w:rPr>
              <w:t>1.00</w:t>
            </w:r>
          </w:p>
        </w:tc>
        <w:tc>
          <w:tcPr>
            <w:tcW w:w="1830" w:type="dxa"/>
            <w:tcBorders>
              <w:top w:val="nil"/>
              <w:left w:val="nil"/>
              <w:bottom w:val="nil"/>
              <w:right w:val="nil"/>
            </w:tcBorders>
            <w:shd w:val="clear" w:color="auto" w:fill="auto"/>
            <w:noWrap/>
            <w:vAlign w:val="bottom"/>
            <w:hideMark/>
          </w:tcPr>
          <w:p w14:paraId="312F52F5" w14:textId="77777777" w:rsidR="00E9201B" w:rsidRPr="00CE7747" w:rsidRDefault="00E9201B" w:rsidP="00E9201B">
            <w:pPr>
              <w:keepLines/>
              <w:jc w:val="center"/>
              <w:rPr>
                <w:color w:val="000000"/>
                <w:sz w:val="20"/>
                <w:szCs w:val="22"/>
                <w:lang w:val="en-GB"/>
              </w:rPr>
            </w:pPr>
            <w:r w:rsidRPr="00CE7747">
              <w:rPr>
                <w:color w:val="000000"/>
                <w:sz w:val="20"/>
                <w:szCs w:val="22"/>
                <w:lang w:val="en-GB"/>
              </w:rPr>
              <w:t>0.93</w:t>
            </w:r>
          </w:p>
        </w:tc>
        <w:tc>
          <w:tcPr>
            <w:tcW w:w="1830" w:type="dxa"/>
            <w:tcBorders>
              <w:top w:val="nil"/>
              <w:left w:val="nil"/>
              <w:bottom w:val="nil"/>
              <w:right w:val="nil"/>
            </w:tcBorders>
            <w:shd w:val="clear" w:color="auto" w:fill="auto"/>
            <w:noWrap/>
            <w:vAlign w:val="bottom"/>
            <w:hideMark/>
          </w:tcPr>
          <w:p w14:paraId="7F8E433D" w14:textId="77777777" w:rsidR="00E9201B" w:rsidRPr="00CE7747" w:rsidRDefault="00E9201B" w:rsidP="00E9201B">
            <w:pPr>
              <w:keepLines/>
              <w:jc w:val="center"/>
              <w:rPr>
                <w:color w:val="000000"/>
                <w:sz w:val="20"/>
                <w:szCs w:val="22"/>
                <w:lang w:val="en-GB"/>
              </w:rPr>
            </w:pPr>
            <w:r w:rsidRPr="00CE7747">
              <w:rPr>
                <w:color w:val="000000"/>
                <w:sz w:val="20"/>
                <w:szCs w:val="22"/>
                <w:lang w:val="en-GB"/>
              </w:rPr>
              <w:t> -</w:t>
            </w:r>
          </w:p>
        </w:tc>
      </w:tr>
      <w:tr w:rsidR="00E9201B" w:rsidRPr="00CE7747" w14:paraId="0324ABBA" w14:textId="77777777" w:rsidTr="00E9201B">
        <w:trPr>
          <w:trHeight w:val="320"/>
          <w:jc w:val="center"/>
        </w:trPr>
        <w:tc>
          <w:tcPr>
            <w:tcW w:w="773" w:type="dxa"/>
            <w:tcBorders>
              <w:top w:val="nil"/>
              <w:left w:val="nil"/>
              <w:bottom w:val="single" w:sz="8" w:space="0" w:color="auto"/>
              <w:right w:val="nil"/>
            </w:tcBorders>
            <w:shd w:val="clear" w:color="auto" w:fill="auto"/>
            <w:noWrap/>
            <w:vAlign w:val="bottom"/>
          </w:tcPr>
          <w:p w14:paraId="642F0CFB" w14:textId="77777777" w:rsidR="00E9201B" w:rsidRPr="00CE7747" w:rsidRDefault="00E9201B" w:rsidP="00E9201B">
            <w:pPr>
              <w:keepLines/>
              <w:jc w:val="center"/>
              <w:rPr>
                <w:color w:val="000000"/>
                <w:sz w:val="20"/>
                <w:szCs w:val="22"/>
                <w:lang w:val="en-GB"/>
              </w:rPr>
            </w:pPr>
            <w:r w:rsidRPr="00CE7747">
              <w:rPr>
                <w:color w:val="000000"/>
                <w:sz w:val="20"/>
                <w:szCs w:val="22"/>
                <w:lang w:val="en-GB"/>
              </w:rPr>
              <w:t>-</w:t>
            </w:r>
          </w:p>
        </w:tc>
        <w:tc>
          <w:tcPr>
            <w:tcW w:w="1830" w:type="dxa"/>
            <w:tcBorders>
              <w:top w:val="nil"/>
              <w:left w:val="nil"/>
              <w:bottom w:val="single" w:sz="8" w:space="0" w:color="auto"/>
              <w:right w:val="nil"/>
            </w:tcBorders>
            <w:shd w:val="clear" w:color="auto" w:fill="auto"/>
            <w:noWrap/>
            <w:vAlign w:val="bottom"/>
          </w:tcPr>
          <w:p w14:paraId="7C11F1D1" w14:textId="77777777" w:rsidR="00E9201B" w:rsidRPr="00CE7747" w:rsidRDefault="00E9201B" w:rsidP="00E9201B">
            <w:pPr>
              <w:keepLines/>
              <w:jc w:val="center"/>
              <w:rPr>
                <w:color w:val="000000"/>
                <w:sz w:val="20"/>
                <w:szCs w:val="22"/>
                <w:lang w:val="en-GB"/>
              </w:rPr>
            </w:pPr>
            <w:r w:rsidRPr="00CE7747">
              <w:rPr>
                <w:color w:val="000000"/>
                <w:sz w:val="20"/>
                <w:szCs w:val="22"/>
                <w:lang w:val="en-GB"/>
              </w:rPr>
              <w:t>0.96</w:t>
            </w:r>
          </w:p>
        </w:tc>
        <w:tc>
          <w:tcPr>
            <w:tcW w:w="1830" w:type="dxa"/>
            <w:tcBorders>
              <w:top w:val="nil"/>
              <w:left w:val="nil"/>
              <w:bottom w:val="single" w:sz="8" w:space="0" w:color="auto"/>
              <w:right w:val="nil"/>
            </w:tcBorders>
            <w:shd w:val="clear" w:color="auto" w:fill="auto"/>
            <w:noWrap/>
            <w:vAlign w:val="bottom"/>
          </w:tcPr>
          <w:p w14:paraId="5776C9B3" w14:textId="77777777" w:rsidR="00E9201B" w:rsidRPr="00CE7747" w:rsidRDefault="00E9201B" w:rsidP="00E9201B">
            <w:pPr>
              <w:keepLines/>
              <w:jc w:val="center"/>
              <w:rPr>
                <w:color w:val="000000"/>
                <w:sz w:val="20"/>
                <w:szCs w:val="22"/>
                <w:lang w:val="en-GB"/>
              </w:rPr>
            </w:pPr>
            <w:r w:rsidRPr="00CE7747">
              <w:rPr>
                <w:color w:val="000000"/>
                <w:sz w:val="20"/>
                <w:szCs w:val="22"/>
                <w:lang w:val="en-GB"/>
              </w:rPr>
              <w:t>-</w:t>
            </w:r>
          </w:p>
        </w:tc>
      </w:tr>
    </w:tbl>
    <w:p w14:paraId="30DCADED" w14:textId="77777777" w:rsidR="00E9201B" w:rsidRPr="0074088B" w:rsidRDefault="00E9201B" w:rsidP="00E9201B">
      <w:pPr>
        <w:spacing w:before="60" w:after="60" w:line="276" w:lineRule="auto"/>
        <w:ind w:right="4"/>
        <w:jc w:val="both"/>
        <w:rPr>
          <w:b/>
          <w:color w:val="000000"/>
          <w:sz w:val="22"/>
          <w:szCs w:val="22"/>
        </w:rPr>
      </w:pPr>
    </w:p>
    <w:p w14:paraId="1D092F26" w14:textId="77777777" w:rsidR="009078D0" w:rsidRPr="009078D0" w:rsidRDefault="009078D0" w:rsidP="009078D0">
      <w:pPr>
        <w:pStyle w:val="AU"/>
        <w:rPr>
          <w:lang w:val="en-GB"/>
        </w:rPr>
      </w:pPr>
    </w:p>
    <w:sectPr w:rsidR="009078D0" w:rsidRPr="009078D0">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43" w:usb2="00000009" w:usb3="00000000" w:csb0="000001FF" w:csb1="00000000"/>
  </w:font>
  <w:font w:name="Segoe UI">
    <w:altName w:val="Calibri"/>
    <w:panose1 w:val="020B0502040204020203"/>
    <w:charset w:val="59"/>
    <w:family w:val="auto"/>
    <w:notTrueType/>
    <w:pitch w:val="variable"/>
    <w:sig w:usb0="00000201" w:usb1="00000000" w:usb2="00000000" w:usb3="00000000" w:csb0="00000004" w:csb1="00000000"/>
  </w:font>
  <w:font w:name="Lucida Sans">
    <w:panose1 w:val="020B0602030504020204"/>
    <w:charset w:val="00"/>
    <w:family w:val="auto"/>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4E"/>
    <w:family w:val="auto"/>
    <w:pitch w:val="variable"/>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57B66F0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361669A6"/>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DA266C8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757800BE"/>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FC981546"/>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4940A7D6"/>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DE90B61E"/>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9A541B84"/>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EB70E6B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4D66BA20"/>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A666B4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1E72356E"/>
    <w:multiLevelType w:val="multilevel"/>
    <w:tmpl w:val="F6E0849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15:restartNumberingAfterBreak="0">
    <w:nsid w:val="22752788"/>
    <w:multiLevelType w:val="hybridMultilevel"/>
    <w:tmpl w:val="AFA27AB2"/>
    <w:lvl w:ilvl="0" w:tplc="A6EC4BAA">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15:restartNumberingAfterBreak="0">
    <w:nsid w:val="3AA51319"/>
    <w:multiLevelType w:val="hybridMultilevel"/>
    <w:tmpl w:val="CE9234BA"/>
    <w:lvl w:ilvl="0" w:tplc="A6EC4B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39911EE"/>
    <w:multiLevelType w:val="hybridMultilevel"/>
    <w:tmpl w:val="2284A9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5C56B05"/>
    <w:multiLevelType w:val="hybridMultilevel"/>
    <w:tmpl w:val="FC584B5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6" w15:restartNumberingAfterBreak="0">
    <w:nsid w:val="69C20431"/>
    <w:multiLevelType w:val="hybridMultilevel"/>
    <w:tmpl w:val="8F1838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03E56B7"/>
    <w:multiLevelType w:val="hybridMultilevel"/>
    <w:tmpl w:val="F01E7178"/>
    <w:lvl w:ilvl="0" w:tplc="FF10CC74">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71604DCD"/>
    <w:multiLevelType w:val="singleLevel"/>
    <w:tmpl w:val="9E9AE636"/>
    <w:lvl w:ilvl="0">
      <w:start w:val="1"/>
      <w:numFmt w:val="decimal"/>
      <w:pStyle w:val="Reference"/>
      <w:lvlText w:val="[%1]"/>
      <w:lvlJc w:val="left"/>
      <w:pPr>
        <w:tabs>
          <w:tab w:val="num" w:pos="360"/>
        </w:tabs>
        <w:ind w:left="360" w:hanging="360"/>
      </w:pPr>
      <w:rPr>
        <w:rFonts w:hint="default"/>
      </w:rPr>
    </w:lvl>
  </w:abstractNum>
  <w:num w:numId="1">
    <w:abstractNumId w:val="16"/>
  </w:num>
  <w:num w:numId="2">
    <w:abstractNumId w:val="15"/>
  </w:num>
  <w:num w:numId="3">
    <w:abstractNumId w:val="18"/>
  </w:num>
  <w:num w:numId="4">
    <w:abstractNumId w:val="12"/>
  </w:num>
  <w:num w:numId="5">
    <w:abstractNumId w:val="14"/>
  </w:num>
  <w:num w:numId="6">
    <w:abstractNumId w:val="0"/>
  </w:num>
  <w:num w:numId="7">
    <w:abstractNumId w:val="17"/>
  </w:num>
  <w:num w:numId="8">
    <w:abstractNumId w:val="11"/>
  </w:num>
  <w:num w:numId="9">
    <w:abstractNumId w:val="13"/>
  </w:num>
  <w:num w:numId="10">
    <w:abstractNumId w:val="10"/>
  </w:num>
  <w:num w:numId="11">
    <w:abstractNumId w:val="8"/>
  </w:num>
  <w:num w:numId="12">
    <w:abstractNumId w:val="7"/>
  </w:num>
  <w:num w:numId="13">
    <w:abstractNumId w:val="6"/>
  </w:num>
  <w:num w:numId="14">
    <w:abstractNumId w:val="5"/>
  </w:num>
  <w:num w:numId="15">
    <w:abstractNumId w:val="9"/>
  </w:num>
  <w:num w:numId="16">
    <w:abstractNumId w:val="4"/>
  </w:num>
  <w:num w:numId="17">
    <w:abstractNumId w:val="3"/>
  </w:num>
  <w:num w:numId="18">
    <w:abstractNumId w:val="2"/>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embedSystemFont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78D0"/>
    <w:rsid w:val="0004003A"/>
    <w:rsid w:val="000605A1"/>
    <w:rsid w:val="00071E95"/>
    <w:rsid w:val="000F2F75"/>
    <w:rsid w:val="000F5D27"/>
    <w:rsid w:val="000F67CE"/>
    <w:rsid w:val="00144684"/>
    <w:rsid w:val="001463EE"/>
    <w:rsid w:val="0014708B"/>
    <w:rsid w:val="00181A42"/>
    <w:rsid w:val="001A774B"/>
    <w:rsid w:val="001F14BC"/>
    <w:rsid w:val="0028723D"/>
    <w:rsid w:val="00291546"/>
    <w:rsid w:val="002C362F"/>
    <w:rsid w:val="003448E4"/>
    <w:rsid w:val="003454DD"/>
    <w:rsid w:val="00377A27"/>
    <w:rsid w:val="00397FFE"/>
    <w:rsid w:val="003A087C"/>
    <w:rsid w:val="0041252B"/>
    <w:rsid w:val="00416AAC"/>
    <w:rsid w:val="00424785"/>
    <w:rsid w:val="00436759"/>
    <w:rsid w:val="00457744"/>
    <w:rsid w:val="004724DA"/>
    <w:rsid w:val="00482374"/>
    <w:rsid w:val="004B6117"/>
    <w:rsid w:val="00515967"/>
    <w:rsid w:val="00583EED"/>
    <w:rsid w:val="00587574"/>
    <w:rsid w:val="005A4766"/>
    <w:rsid w:val="0062255F"/>
    <w:rsid w:val="00632673"/>
    <w:rsid w:val="006D72E6"/>
    <w:rsid w:val="00703C4D"/>
    <w:rsid w:val="00734684"/>
    <w:rsid w:val="0079478C"/>
    <w:rsid w:val="00840101"/>
    <w:rsid w:val="00864A51"/>
    <w:rsid w:val="008A61A8"/>
    <w:rsid w:val="008B6062"/>
    <w:rsid w:val="008C0FCF"/>
    <w:rsid w:val="008E7839"/>
    <w:rsid w:val="008F6184"/>
    <w:rsid w:val="009078D0"/>
    <w:rsid w:val="00980835"/>
    <w:rsid w:val="009A1D43"/>
    <w:rsid w:val="009D6ECC"/>
    <w:rsid w:val="009E4233"/>
    <w:rsid w:val="00A149F7"/>
    <w:rsid w:val="00A258F1"/>
    <w:rsid w:val="00A45820"/>
    <w:rsid w:val="00A641D9"/>
    <w:rsid w:val="00AC7F08"/>
    <w:rsid w:val="00AD6DFF"/>
    <w:rsid w:val="00AF4C05"/>
    <w:rsid w:val="00B010E7"/>
    <w:rsid w:val="00B06D22"/>
    <w:rsid w:val="00B072D2"/>
    <w:rsid w:val="00B17A8F"/>
    <w:rsid w:val="00B372B2"/>
    <w:rsid w:val="00B56DCB"/>
    <w:rsid w:val="00B82FD4"/>
    <w:rsid w:val="00B92E2B"/>
    <w:rsid w:val="00BD1EB4"/>
    <w:rsid w:val="00BD6DA6"/>
    <w:rsid w:val="00C25234"/>
    <w:rsid w:val="00C31874"/>
    <w:rsid w:val="00C82BC6"/>
    <w:rsid w:val="00D27253"/>
    <w:rsid w:val="00D52189"/>
    <w:rsid w:val="00D924F8"/>
    <w:rsid w:val="00DA3D8A"/>
    <w:rsid w:val="00DC6DF9"/>
    <w:rsid w:val="00DD6DAD"/>
    <w:rsid w:val="00E72516"/>
    <w:rsid w:val="00E83973"/>
    <w:rsid w:val="00E9201B"/>
    <w:rsid w:val="00EB7DD3"/>
    <w:rsid w:val="00EC68A6"/>
    <w:rsid w:val="00ED6A8E"/>
    <w:rsid w:val="00EE322C"/>
    <w:rsid w:val="00EF227E"/>
    <w:rsid w:val="00F028AE"/>
    <w:rsid w:val="00F17FC8"/>
    <w:rsid w:val="00F8385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FA67892"/>
  <w15:docId w15:val="{77564FEF-C496-4616-B303-A45CCA7D8B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7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KW">
    <w:name w:val="ABKW"/>
    <w:basedOn w:val="Normal"/>
    <w:rsid w:val="00291546"/>
    <w:pPr>
      <w:spacing w:before="120" w:after="120"/>
    </w:pPr>
  </w:style>
  <w:style w:type="paragraph" w:customStyle="1" w:styleId="ABKWH">
    <w:name w:val="ABKWH"/>
    <w:basedOn w:val="Normal"/>
    <w:rsid w:val="00B92E2B"/>
    <w:pPr>
      <w:spacing w:before="120" w:after="120"/>
    </w:pPr>
    <w:rPr>
      <w:color w:val="9E3A3A"/>
      <w:sz w:val="32"/>
    </w:rPr>
  </w:style>
  <w:style w:type="paragraph" w:customStyle="1" w:styleId="AF">
    <w:name w:val="AF"/>
    <w:basedOn w:val="Normal"/>
    <w:rsid w:val="0079478C"/>
    <w:pPr>
      <w:spacing w:before="120" w:after="120"/>
    </w:pPr>
  </w:style>
  <w:style w:type="paragraph" w:customStyle="1" w:styleId="AN">
    <w:name w:val="AN"/>
    <w:basedOn w:val="Normal"/>
    <w:rsid w:val="00416AAC"/>
  </w:style>
  <w:style w:type="paragraph" w:customStyle="1" w:styleId="AS">
    <w:name w:val="AS"/>
    <w:basedOn w:val="Normal"/>
    <w:rsid w:val="00734684"/>
    <w:rPr>
      <w:color w:val="4BACC6" w:themeColor="accent5"/>
      <w:sz w:val="36"/>
    </w:rPr>
  </w:style>
  <w:style w:type="paragraph" w:customStyle="1" w:styleId="AT">
    <w:name w:val="AT"/>
    <w:basedOn w:val="Normal"/>
    <w:rsid w:val="00B06D22"/>
    <w:pPr>
      <w:spacing w:before="120" w:after="300"/>
    </w:pPr>
    <w:rPr>
      <w:b/>
      <w:color w:val="007474"/>
      <w:sz w:val="48"/>
    </w:rPr>
  </w:style>
  <w:style w:type="paragraph" w:customStyle="1" w:styleId="AU">
    <w:name w:val="AU"/>
    <w:basedOn w:val="Normal"/>
    <w:rsid w:val="00B06D22"/>
    <w:pPr>
      <w:spacing w:before="120" w:after="120"/>
    </w:pPr>
    <w:rPr>
      <w:color w:val="00823B"/>
      <w:sz w:val="32"/>
    </w:rPr>
  </w:style>
  <w:style w:type="paragraph" w:customStyle="1" w:styleId="BL">
    <w:name w:val="BL"/>
    <w:basedOn w:val="Normal"/>
    <w:rsid w:val="001463EE"/>
    <w:rPr>
      <w:color w:val="666633"/>
    </w:rPr>
  </w:style>
  <w:style w:type="paragraph" w:customStyle="1" w:styleId="BRA">
    <w:name w:val="BRA"/>
    <w:basedOn w:val="Normal"/>
    <w:rsid w:val="00416AAC"/>
  </w:style>
  <w:style w:type="paragraph" w:customStyle="1" w:styleId="BRAF">
    <w:name w:val="BRAF"/>
    <w:basedOn w:val="Normal"/>
    <w:rsid w:val="00416AAC"/>
  </w:style>
  <w:style w:type="paragraph" w:customStyle="1" w:styleId="BRD">
    <w:name w:val="BRD"/>
    <w:basedOn w:val="Normal"/>
    <w:rsid w:val="00416AAC"/>
  </w:style>
  <w:style w:type="paragraph" w:customStyle="1" w:styleId="BRE">
    <w:name w:val="BRE"/>
    <w:basedOn w:val="Normal"/>
    <w:rsid w:val="00416AAC"/>
  </w:style>
  <w:style w:type="paragraph" w:customStyle="1" w:styleId="BRREF">
    <w:name w:val="BRREF"/>
    <w:basedOn w:val="Normal"/>
    <w:rsid w:val="00416AAC"/>
  </w:style>
  <w:style w:type="paragraph" w:customStyle="1" w:styleId="BRT">
    <w:name w:val="BRT"/>
    <w:basedOn w:val="Normal"/>
    <w:rsid w:val="00416AAC"/>
  </w:style>
  <w:style w:type="paragraph" w:customStyle="1" w:styleId="BRTI">
    <w:name w:val="BRTI"/>
    <w:basedOn w:val="Normal"/>
    <w:rsid w:val="00416AAC"/>
  </w:style>
  <w:style w:type="paragraph" w:customStyle="1" w:styleId="CL">
    <w:name w:val="CL"/>
    <w:basedOn w:val="Normal"/>
    <w:rsid w:val="00B06D22"/>
    <w:pPr>
      <w:spacing w:before="120" w:after="120"/>
    </w:pPr>
    <w:rPr>
      <w:b/>
      <w:color w:val="FF0000"/>
    </w:rPr>
  </w:style>
  <w:style w:type="paragraph" w:customStyle="1" w:styleId="CP">
    <w:name w:val="CP"/>
    <w:basedOn w:val="Normal"/>
    <w:rsid w:val="00B06D22"/>
    <w:pPr>
      <w:spacing w:before="120" w:after="120"/>
    </w:pPr>
    <w:rPr>
      <w:color w:val="6D4321"/>
    </w:rPr>
  </w:style>
  <w:style w:type="paragraph" w:customStyle="1" w:styleId="CPB">
    <w:name w:val="CPB"/>
    <w:basedOn w:val="Normal"/>
    <w:rsid w:val="004724DA"/>
    <w:pPr>
      <w:spacing w:before="360" w:after="120"/>
    </w:pPr>
    <w:rPr>
      <w:color w:val="E36C0A" w:themeColor="accent6" w:themeShade="BF"/>
      <w:sz w:val="28"/>
    </w:rPr>
  </w:style>
  <w:style w:type="paragraph" w:customStyle="1" w:styleId="CPSO">
    <w:name w:val="CPSO"/>
    <w:basedOn w:val="Normal"/>
    <w:rsid w:val="00144684"/>
    <w:pPr>
      <w:spacing w:before="120" w:after="120"/>
    </w:pPr>
    <w:rPr>
      <w:color w:val="007434"/>
    </w:rPr>
  </w:style>
  <w:style w:type="paragraph" w:customStyle="1" w:styleId="DI">
    <w:name w:val="DI"/>
    <w:basedOn w:val="Normal"/>
    <w:rsid w:val="00416AAC"/>
  </w:style>
  <w:style w:type="paragraph" w:customStyle="1" w:styleId="DR">
    <w:name w:val="DR"/>
    <w:basedOn w:val="Normal"/>
    <w:rsid w:val="00416AAC"/>
  </w:style>
  <w:style w:type="paragraph" w:customStyle="1" w:styleId="EH">
    <w:name w:val="EH"/>
    <w:basedOn w:val="Normal"/>
    <w:rsid w:val="00A641D9"/>
    <w:pPr>
      <w:spacing w:before="240" w:after="240"/>
    </w:pPr>
    <w:rPr>
      <w:color w:val="516529"/>
      <w:sz w:val="36"/>
    </w:rPr>
  </w:style>
  <w:style w:type="paragraph" w:customStyle="1" w:styleId="EN">
    <w:name w:val="EN"/>
    <w:basedOn w:val="Normal"/>
    <w:rsid w:val="00416AAC"/>
  </w:style>
  <w:style w:type="paragraph" w:customStyle="1" w:styleId="EQ">
    <w:name w:val="EQ"/>
    <w:basedOn w:val="Normal"/>
    <w:rsid w:val="00416AAC"/>
  </w:style>
  <w:style w:type="paragraph" w:customStyle="1" w:styleId="EX">
    <w:name w:val="EX"/>
    <w:basedOn w:val="Normal"/>
    <w:rsid w:val="00A641D9"/>
    <w:pPr>
      <w:spacing w:before="120" w:after="120"/>
      <w:ind w:left="720" w:right="720"/>
    </w:pPr>
    <w:rPr>
      <w:color w:val="000076"/>
    </w:rPr>
  </w:style>
  <w:style w:type="paragraph" w:customStyle="1" w:styleId="H1">
    <w:name w:val="H1"/>
    <w:basedOn w:val="Normal"/>
    <w:rsid w:val="003A087C"/>
    <w:pPr>
      <w:spacing w:before="240" w:after="240"/>
    </w:pPr>
    <w:rPr>
      <w:color w:val="31849B"/>
      <w:sz w:val="36"/>
    </w:rPr>
  </w:style>
  <w:style w:type="paragraph" w:customStyle="1" w:styleId="H2">
    <w:name w:val="H2"/>
    <w:basedOn w:val="Normal"/>
    <w:rsid w:val="00424785"/>
    <w:pPr>
      <w:spacing w:before="240" w:after="240"/>
    </w:pPr>
    <w:rPr>
      <w:color w:val="C0504D" w:themeColor="accent2"/>
      <w:sz w:val="32"/>
    </w:rPr>
  </w:style>
  <w:style w:type="paragraph" w:customStyle="1" w:styleId="H3">
    <w:name w:val="H3"/>
    <w:basedOn w:val="Normal"/>
    <w:rsid w:val="003A087C"/>
    <w:rPr>
      <w:color w:val="007434"/>
      <w:sz w:val="28"/>
    </w:rPr>
  </w:style>
  <w:style w:type="paragraph" w:customStyle="1" w:styleId="H4">
    <w:name w:val="H4"/>
    <w:basedOn w:val="Normal"/>
    <w:rsid w:val="002C362F"/>
    <w:rPr>
      <w:color w:val="3C2D65"/>
    </w:rPr>
  </w:style>
  <w:style w:type="paragraph" w:customStyle="1" w:styleId="H4IN">
    <w:name w:val="H4 IN"/>
    <w:basedOn w:val="Normal"/>
    <w:rsid w:val="00EF227E"/>
    <w:rPr>
      <w:color w:val="FF0000"/>
    </w:rPr>
  </w:style>
  <w:style w:type="paragraph" w:customStyle="1" w:styleId="IN">
    <w:name w:val="IN"/>
    <w:basedOn w:val="Normal"/>
    <w:rsid w:val="00416AAC"/>
  </w:style>
  <w:style w:type="paragraph" w:customStyle="1" w:styleId="INFL">
    <w:name w:val="IN FL"/>
    <w:basedOn w:val="Normal"/>
    <w:rsid w:val="00416AAC"/>
  </w:style>
  <w:style w:type="paragraph" w:customStyle="1" w:styleId="ML">
    <w:name w:val="ML"/>
    <w:basedOn w:val="Normal"/>
    <w:rsid w:val="00416AAC"/>
  </w:style>
  <w:style w:type="paragraph" w:customStyle="1" w:styleId="NL">
    <w:name w:val="NL"/>
    <w:basedOn w:val="Normal"/>
    <w:rsid w:val="001463EE"/>
    <w:rPr>
      <w:color w:val="666633"/>
    </w:rPr>
  </w:style>
  <w:style w:type="paragraph" w:customStyle="1" w:styleId="NNUM">
    <w:name w:val="NNUM"/>
    <w:basedOn w:val="Normal"/>
    <w:rsid w:val="00416AAC"/>
  </w:style>
  <w:style w:type="paragraph" w:customStyle="1" w:styleId="OPIN">
    <w:name w:val="OP IN"/>
    <w:basedOn w:val="Normal"/>
    <w:rsid w:val="00416AAC"/>
  </w:style>
  <w:style w:type="paragraph" w:customStyle="1" w:styleId="OQ">
    <w:name w:val="OQ"/>
    <w:basedOn w:val="Normal"/>
    <w:rsid w:val="00416AAC"/>
  </w:style>
  <w:style w:type="paragraph" w:customStyle="1" w:styleId="OUT">
    <w:name w:val="OUT"/>
    <w:basedOn w:val="Normal"/>
    <w:rsid w:val="00416AAC"/>
  </w:style>
  <w:style w:type="paragraph" w:customStyle="1" w:styleId="OUTFL">
    <w:name w:val="OUT FL"/>
    <w:basedOn w:val="Normal"/>
    <w:rsid w:val="00416AAC"/>
  </w:style>
  <w:style w:type="paragraph" w:customStyle="1" w:styleId="OUTIN">
    <w:name w:val="OUT IN"/>
    <w:basedOn w:val="Normal"/>
    <w:rsid w:val="00416AAC"/>
  </w:style>
  <w:style w:type="paragraph" w:customStyle="1" w:styleId="OUTINFL">
    <w:name w:val="OUT IN FL"/>
    <w:basedOn w:val="Normal"/>
    <w:rsid w:val="00416AAC"/>
  </w:style>
  <w:style w:type="paragraph" w:customStyle="1" w:styleId="PO">
    <w:name w:val="PO"/>
    <w:basedOn w:val="Normal"/>
    <w:rsid w:val="00416AAC"/>
  </w:style>
  <w:style w:type="paragraph" w:customStyle="1" w:styleId="PX">
    <w:name w:val="PX"/>
    <w:basedOn w:val="Normal"/>
    <w:rsid w:val="00416AAC"/>
  </w:style>
  <w:style w:type="paragraph" w:customStyle="1" w:styleId="QS">
    <w:name w:val="QS"/>
    <w:basedOn w:val="Normal"/>
    <w:rsid w:val="00416AAC"/>
  </w:style>
  <w:style w:type="paragraph" w:customStyle="1" w:styleId="REF">
    <w:name w:val="REF"/>
    <w:basedOn w:val="Normal"/>
    <w:rsid w:val="00B372B2"/>
    <w:pPr>
      <w:spacing w:before="280" w:after="280" w:line="360" w:lineRule="auto"/>
      <w:ind w:left="432" w:hanging="432"/>
    </w:pPr>
  </w:style>
  <w:style w:type="paragraph" w:customStyle="1" w:styleId="SI">
    <w:name w:val="SI"/>
    <w:basedOn w:val="Normal"/>
    <w:rsid w:val="00416AAC"/>
  </w:style>
  <w:style w:type="paragraph" w:customStyle="1" w:styleId="SIAF">
    <w:name w:val="SI AF"/>
    <w:basedOn w:val="Normal"/>
    <w:rsid w:val="00416AAC"/>
  </w:style>
  <w:style w:type="paragraph" w:customStyle="1" w:styleId="TBL">
    <w:name w:val="TBL"/>
    <w:basedOn w:val="Normal"/>
    <w:rsid w:val="008B6062"/>
    <w:rPr>
      <w:color w:val="31849B"/>
    </w:rPr>
  </w:style>
  <w:style w:type="paragraph" w:customStyle="1" w:styleId="TCH">
    <w:name w:val="TCH"/>
    <w:basedOn w:val="Normal"/>
    <w:rsid w:val="002C362F"/>
    <w:pPr>
      <w:spacing w:before="120" w:after="120"/>
    </w:pPr>
    <w:rPr>
      <w:color w:val="6D4321"/>
    </w:rPr>
  </w:style>
  <w:style w:type="paragraph" w:customStyle="1" w:styleId="TEXT">
    <w:name w:val="TEXT"/>
    <w:basedOn w:val="Normal"/>
    <w:rsid w:val="00416AAC"/>
  </w:style>
  <w:style w:type="paragraph" w:customStyle="1" w:styleId="TEXTIND">
    <w:name w:val="TEXT IND"/>
    <w:basedOn w:val="Normal"/>
    <w:rsid w:val="004B6117"/>
    <w:pPr>
      <w:spacing w:before="240" w:after="240"/>
      <w:ind w:firstLine="720"/>
    </w:pPr>
  </w:style>
  <w:style w:type="paragraph" w:customStyle="1" w:styleId="TNL">
    <w:name w:val="TNL"/>
    <w:basedOn w:val="Normal"/>
    <w:rsid w:val="008B6062"/>
    <w:rPr>
      <w:color w:val="31849B"/>
    </w:rPr>
  </w:style>
  <w:style w:type="paragraph" w:customStyle="1" w:styleId="TT">
    <w:name w:val="TT"/>
    <w:basedOn w:val="Normal"/>
    <w:rsid w:val="002C362F"/>
    <w:pPr>
      <w:spacing w:before="120" w:after="120"/>
    </w:pPr>
    <w:rPr>
      <w:color w:val="007474"/>
    </w:rPr>
  </w:style>
  <w:style w:type="paragraph" w:customStyle="1" w:styleId="TY">
    <w:name w:val="TY"/>
    <w:basedOn w:val="Normal"/>
    <w:rsid w:val="002C362F"/>
    <w:pPr>
      <w:spacing w:before="120" w:after="120"/>
    </w:pPr>
    <w:rPr>
      <w:color w:val="3C2D65"/>
    </w:rPr>
  </w:style>
  <w:style w:type="paragraph" w:customStyle="1" w:styleId="UL">
    <w:name w:val="UL"/>
    <w:basedOn w:val="Normal"/>
    <w:rsid w:val="001463EE"/>
    <w:rPr>
      <w:color w:val="666633"/>
    </w:rPr>
  </w:style>
  <w:style w:type="paragraph" w:customStyle="1" w:styleId="ULB">
    <w:name w:val="ULB"/>
    <w:basedOn w:val="Normal"/>
    <w:rsid w:val="00416AAC"/>
  </w:style>
  <w:style w:type="paragraph" w:customStyle="1" w:styleId="ULT">
    <w:name w:val="ULT"/>
    <w:basedOn w:val="Normal"/>
    <w:rsid w:val="00416AAC"/>
  </w:style>
  <w:style w:type="paragraph" w:customStyle="1" w:styleId="DOI">
    <w:name w:val="DOI"/>
    <w:basedOn w:val="Normal"/>
    <w:qFormat/>
    <w:rsid w:val="00A641D9"/>
    <w:pPr>
      <w:spacing w:before="120" w:after="120"/>
    </w:pPr>
    <w:rPr>
      <w:color w:val="460076"/>
    </w:rPr>
  </w:style>
  <w:style w:type="paragraph" w:customStyle="1" w:styleId="RRH">
    <w:name w:val="RRH"/>
    <w:basedOn w:val="Normal"/>
    <w:qFormat/>
    <w:rsid w:val="001A774B"/>
    <w:pPr>
      <w:spacing w:before="120" w:after="120"/>
    </w:pPr>
    <w:rPr>
      <w:color w:val="E36C0A"/>
    </w:rPr>
  </w:style>
  <w:style w:type="paragraph" w:customStyle="1" w:styleId="LRH">
    <w:name w:val="LRH"/>
    <w:basedOn w:val="Normal"/>
    <w:qFormat/>
    <w:rsid w:val="00A149F7"/>
    <w:pPr>
      <w:spacing w:before="120" w:after="120"/>
    </w:pPr>
    <w:rPr>
      <w:color w:val="6D4321"/>
    </w:rPr>
  </w:style>
  <w:style w:type="paragraph" w:customStyle="1" w:styleId="LL">
    <w:name w:val="LL"/>
    <w:qFormat/>
    <w:rsid w:val="00A149F7"/>
    <w:rPr>
      <w:color w:val="6D4321"/>
      <w:sz w:val="24"/>
      <w:szCs w:val="24"/>
    </w:rPr>
  </w:style>
  <w:style w:type="paragraph" w:customStyle="1" w:styleId="SUBNL">
    <w:name w:val="SUB NL"/>
    <w:qFormat/>
    <w:rsid w:val="00AF4C05"/>
    <w:rPr>
      <w:color w:val="666633"/>
      <w:sz w:val="24"/>
      <w:szCs w:val="24"/>
    </w:rPr>
  </w:style>
  <w:style w:type="paragraph" w:customStyle="1" w:styleId="SUBBL">
    <w:name w:val="SUB BL"/>
    <w:next w:val="BL"/>
    <w:qFormat/>
    <w:rsid w:val="00980835"/>
    <w:rPr>
      <w:color w:val="666633"/>
      <w:sz w:val="24"/>
      <w:szCs w:val="24"/>
    </w:rPr>
  </w:style>
  <w:style w:type="paragraph" w:customStyle="1" w:styleId="TSUBNL">
    <w:name w:val="TSUBNL"/>
    <w:qFormat/>
    <w:rsid w:val="00587574"/>
    <w:rPr>
      <w:color w:val="666633"/>
      <w:sz w:val="24"/>
      <w:szCs w:val="24"/>
    </w:rPr>
  </w:style>
  <w:style w:type="paragraph" w:customStyle="1" w:styleId="TSUBBL">
    <w:name w:val="TSUBBL"/>
    <w:qFormat/>
    <w:rsid w:val="009D6ECC"/>
    <w:rPr>
      <w:color w:val="666633"/>
      <w:sz w:val="24"/>
      <w:szCs w:val="24"/>
    </w:rPr>
  </w:style>
  <w:style w:type="character" w:styleId="Hyperlink">
    <w:name w:val="Hyperlink"/>
    <w:basedOn w:val="DefaultParagraphFont"/>
    <w:rsid w:val="009078D0"/>
    <w:rPr>
      <w:color w:val="0000FF"/>
      <w:u w:val="single"/>
    </w:rPr>
  </w:style>
  <w:style w:type="paragraph" w:customStyle="1" w:styleId="NormalWCCM">
    <w:name w:val="Normal WCCM"/>
    <w:rsid w:val="00E9201B"/>
    <w:pPr>
      <w:widowControl w:val="0"/>
      <w:autoSpaceDE w:val="0"/>
      <w:autoSpaceDN w:val="0"/>
      <w:ind w:firstLine="284"/>
      <w:jc w:val="both"/>
    </w:pPr>
    <w:rPr>
      <w:szCs w:val="24"/>
      <w:lang w:eastAsia="es-ES"/>
    </w:rPr>
  </w:style>
  <w:style w:type="paragraph" w:styleId="BodyText">
    <w:name w:val="Body Text"/>
    <w:basedOn w:val="Normal"/>
    <w:link w:val="BodyTextChar"/>
    <w:rsid w:val="00E9201B"/>
    <w:pPr>
      <w:jc w:val="both"/>
    </w:pPr>
    <w:rPr>
      <w:lang w:val="en-GB"/>
    </w:rPr>
  </w:style>
  <w:style w:type="character" w:customStyle="1" w:styleId="BodyTextChar">
    <w:name w:val="Body Text Char"/>
    <w:basedOn w:val="DefaultParagraphFont"/>
    <w:link w:val="BodyText"/>
    <w:rsid w:val="00E9201B"/>
    <w:rPr>
      <w:sz w:val="24"/>
      <w:szCs w:val="24"/>
      <w:lang w:val="en-GB"/>
    </w:rPr>
  </w:style>
  <w:style w:type="paragraph" w:styleId="Header">
    <w:name w:val="header"/>
    <w:basedOn w:val="Normal"/>
    <w:link w:val="HeaderChar"/>
    <w:uiPriority w:val="99"/>
    <w:rsid w:val="00E9201B"/>
    <w:pPr>
      <w:tabs>
        <w:tab w:val="center" w:pos="4320"/>
        <w:tab w:val="right" w:pos="8640"/>
      </w:tabs>
    </w:pPr>
  </w:style>
  <w:style w:type="character" w:customStyle="1" w:styleId="HeaderChar">
    <w:name w:val="Header Char"/>
    <w:basedOn w:val="DefaultParagraphFont"/>
    <w:link w:val="Header"/>
    <w:uiPriority w:val="99"/>
    <w:rsid w:val="00E9201B"/>
    <w:rPr>
      <w:sz w:val="24"/>
      <w:szCs w:val="24"/>
    </w:rPr>
  </w:style>
  <w:style w:type="paragraph" w:customStyle="1" w:styleId="RefTitleWCCM">
    <w:name w:val="Ref Title WCCM"/>
    <w:basedOn w:val="1stTitleWCCM"/>
    <w:rsid w:val="00E9201B"/>
    <w:pPr>
      <w:tabs>
        <w:tab w:val="clear" w:pos="360"/>
      </w:tabs>
    </w:pPr>
  </w:style>
  <w:style w:type="paragraph" w:customStyle="1" w:styleId="1stTitleWCCM">
    <w:name w:val="1st Title WCCM"/>
    <w:basedOn w:val="NormalWCCM"/>
    <w:rsid w:val="00E9201B"/>
    <w:pPr>
      <w:keepNext/>
      <w:keepLines/>
      <w:tabs>
        <w:tab w:val="left" w:pos="360"/>
      </w:tabs>
      <w:spacing w:before="240" w:after="120"/>
      <w:ind w:firstLine="0"/>
      <w:jc w:val="left"/>
    </w:pPr>
    <w:rPr>
      <w:b/>
      <w:bCs/>
      <w:caps/>
    </w:rPr>
  </w:style>
  <w:style w:type="paragraph" w:customStyle="1" w:styleId="2ndTitleWCCM">
    <w:name w:val="2nd Title WCCM"/>
    <w:basedOn w:val="NormalWCCM"/>
    <w:rsid w:val="00E9201B"/>
    <w:pPr>
      <w:keepNext/>
      <w:keepLines/>
      <w:tabs>
        <w:tab w:val="left" w:pos="426"/>
        <w:tab w:val="left" w:pos="720"/>
      </w:tabs>
      <w:spacing w:before="240" w:after="120"/>
      <w:ind w:firstLine="0"/>
      <w:jc w:val="left"/>
    </w:pPr>
    <w:rPr>
      <w:b/>
      <w:bCs/>
    </w:rPr>
  </w:style>
  <w:style w:type="paragraph" w:styleId="Footer">
    <w:name w:val="footer"/>
    <w:basedOn w:val="Normal"/>
    <w:link w:val="FooterChar"/>
    <w:uiPriority w:val="99"/>
    <w:unhideWhenUsed/>
    <w:rsid w:val="00E9201B"/>
    <w:pPr>
      <w:tabs>
        <w:tab w:val="center" w:pos="4536"/>
        <w:tab w:val="right" w:pos="9072"/>
      </w:tabs>
    </w:pPr>
  </w:style>
  <w:style w:type="character" w:customStyle="1" w:styleId="FooterChar">
    <w:name w:val="Footer Char"/>
    <w:basedOn w:val="DefaultParagraphFont"/>
    <w:link w:val="Footer"/>
    <w:uiPriority w:val="99"/>
    <w:rsid w:val="00E9201B"/>
    <w:rPr>
      <w:sz w:val="24"/>
      <w:szCs w:val="24"/>
    </w:rPr>
  </w:style>
  <w:style w:type="paragraph" w:customStyle="1" w:styleId="Reference">
    <w:name w:val="Reference"/>
    <w:basedOn w:val="Normal"/>
    <w:rsid w:val="00E9201B"/>
    <w:pPr>
      <w:numPr>
        <w:numId w:val="3"/>
      </w:numPr>
      <w:spacing w:line="240" w:lineRule="exact"/>
      <w:jc w:val="both"/>
    </w:pPr>
    <w:rPr>
      <w:rFonts w:ascii="Helvetica" w:hAnsi="Helvetica"/>
      <w:sz w:val="20"/>
      <w:szCs w:val="20"/>
    </w:rPr>
  </w:style>
  <w:style w:type="character" w:styleId="CommentReference">
    <w:name w:val="annotation reference"/>
    <w:uiPriority w:val="99"/>
    <w:unhideWhenUsed/>
    <w:rsid w:val="00E9201B"/>
    <w:rPr>
      <w:sz w:val="16"/>
      <w:szCs w:val="16"/>
    </w:rPr>
  </w:style>
  <w:style w:type="paragraph" w:styleId="CommentText">
    <w:name w:val="annotation text"/>
    <w:basedOn w:val="Normal"/>
    <w:link w:val="CommentTextChar"/>
    <w:uiPriority w:val="99"/>
    <w:unhideWhenUsed/>
    <w:rsid w:val="00E9201B"/>
    <w:rPr>
      <w:sz w:val="20"/>
      <w:szCs w:val="20"/>
    </w:rPr>
  </w:style>
  <w:style w:type="character" w:customStyle="1" w:styleId="CommentTextChar">
    <w:name w:val="Comment Text Char"/>
    <w:basedOn w:val="DefaultParagraphFont"/>
    <w:link w:val="CommentText"/>
    <w:uiPriority w:val="99"/>
    <w:rsid w:val="00E9201B"/>
  </w:style>
  <w:style w:type="paragraph" w:styleId="CommentSubject">
    <w:name w:val="annotation subject"/>
    <w:basedOn w:val="CommentText"/>
    <w:next w:val="CommentText"/>
    <w:link w:val="CommentSubjectChar"/>
    <w:uiPriority w:val="99"/>
    <w:unhideWhenUsed/>
    <w:rsid w:val="00E9201B"/>
    <w:rPr>
      <w:b/>
      <w:bCs/>
    </w:rPr>
  </w:style>
  <w:style w:type="character" w:customStyle="1" w:styleId="CommentSubjectChar">
    <w:name w:val="Comment Subject Char"/>
    <w:basedOn w:val="CommentTextChar"/>
    <w:link w:val="CommentSubject"/>
    <w:uiPriority w:val="99"/>
    <w:rsid w:val="00E9201B"/>
    <w:rPr>
      <w:b/>
      <w:bCs/>
    </w:rPr>
  </w:style>
  <w:style w:type="paragraph" w:styleId="BalloonText">
    <w:name w:val="Balloon Text"/>
    <w:basedOn w:val="Normal"/>
    <w:link w:val="BalloonTextChar"/>
    <w:uiPriority w:val="99"/>
    <w:unhideWhenUsed/>
    <w:rsid w:val="00E9201B"/>
    <w:rPr>
      <w:rFonts w:ascii="Segoe UI" w:hAnsi="Segoe UI" w:cs="Segoe UI"/>
      <w:sz w:val="18"/>
      <w:szCs w:val="18"/>
    </w:rPr>
  </w:style>
  <w:style w:type="character" w:customStyle="1" w:styleId="BalloonTextChar">
    <w:name w:val="Balloon Text Char"/>
    <w:basedOn w:val="DefaultParagraphFont"/>
    <w:link w:val="BalloonText"/>
    <w:uiPriority w:val="99"/>
    <w:rsid w:val="00E9201B"/>
    <w:rPr>
      <w:rFonts w:ascii="Segoe UI" w:hAnsi="Segoe UI" w:cs="Segoe UI"/>
      <w:sz w:val="18"/>
      <w:szCs w:val="18"/>
    </w:rPr>
  </w:style>
  <w:style w:type="paragraph" w:styleId="BodyTextIndent">
    <w:name w:val="Body Text Indent"/>
    <w:basedOn w:val="Normal"/>
    <w:link w:val="BodyTextIndentChar"/>
    <w:uiPriority w:val="99"/>
    <w:unhideWhenUsed/>
    <w:rsid w:val="00E9201B"/>
    <w:pPr>
      <w:spacing w:after="120"/>
      <w:ind w:left="283"/>
    </w:pPr>
  </w:style>
  <w:style w:type="character" w:customStyle="1" w:styleId="BodyTextIndentChar">
    <w:name w:val="Body Text Indent Char"/>
    <w:basedOn w:val="DefaultParagraphFont"/>
    <w:link w:val="BodyTextIndent"/>
    <w:uiPriority w:val="99"/>
    <w:rsid w:val="00E9201B"/>
    <w:rPr>
      <w:sz w:val="24"/>
      <w:szCs w:val="24"/>
    </w:rPr>
  </w:style>
  <w:style w:type="paragraph" w:customStyle="1" w:styleId="EndNoteBibliography">
    <w:name w:val="EndNote Bibliography"/>
    <w:basedOn w:val="Normal"/>
    <w:rsid w:val="00E9201B"/>
    <w:pPr>
      <w:spacing w:before="200"/>
      <w:jc w:val="both"/>
    </w:pPr>
    <w:rPr>
      <w:rFonts w:ascii="Lucida Sans" w:hAnsi="Lucida Sans"/>
      <w:sz w:val="22"/>
      <w:szCs w:val="22"/>
      <w:lang w:val="en-GB" w:eastAsia="zh-CN"/>
    </w:rPr>
  </w:style>
  <w:style w:type="paragraph" w:styleId="ListParagraph">
    <w:name w:val="List Paragraph"/>
    <w:basedOn w:val="Normal"/>
    <w:uiPriority w:val="72"/>
    <w:unhideWhenUsed/>
    <w:rsid w:val="00E9201B"/>
    <w:pPr>
      <w:ind w:left="720"/>
      <w:contextualSpacing/>
    </w:pPr>
  </w:style>
  <w:style w:type="paragraph" w:styleId="Caption">
    <w:name w:val="caption"/>
    <w:basedOn w:val="Normal"/>
    <w:next w:val="Normal"/>
    <w:uiPriority w:val="35"/>
    <w:unhideWhenUsed/>
    <w:qFormat/>
    <w:rsid w:val="00E9201B"/>
    <w:pPr>
      <w:spacing w:after="200"/>
    </w:pPr>
    <w:rPr>
      <w:b/>
      <w:bCs/>
      <w:color w:val="4F81BD" w:themeColor="accent1"/>
      <w:sz w:val="18"/>
      <w:szCs w:val="18"/>
    </w:rPr>
  </w:style>
  <w:style w:type="paragraph" w:styleId="DocumentMap">
    <w:name w:val="Document Map"/>
    <w:basedOn w:val="Normal"/>
    <w:link w:val="DocumentMapChar"/>
    <w:uiPriority w:val="99"/>
    <w:unhideWhenUsed/>
    <w:rsid w:val="00E9201B"/>
    <w:rPr>
      <w:rFonts w:ascii="Lucida Grande" w:hAnsi="Lucida Grande" w:cs="Lucida Grande"/>
    </w:rPr>
  </w:style>
  <w:style w:type="character" w:customStyle="1" w:styleId="DocumentMapChar">
    <w:name w:val="Document Map Char"/>
    <w:basedOn w:val="DefaultParagraphFont"/>
    <w:link w:val="DocumentMap"/>
    <w:uiPriority w:val="99"/>
    <w:rsid w:val="00E9201B"/>
    <w:rPr>
      <w:rFonts w:ascii="Lucida Grande" w:hAnsi="Lucida Grande" w:cs="Lucida Grande"/>
      <w:sz w:val="24"/>
      <w:szCs w:val="24"/>
    </w:rPr>
  </w:style>
  <w:style w:type="character" w:styleId="PageNumber">
    <w:name w:val="page number"/>
    <w:basedOn w:val="DefaultParagraphFont"/>
    <w:uiPriority w:val="99"/>
    <w:unhideWhenUsed/>
    <w:rsid w:val="00E9201B"/>
  </w:style>
  <w:style w:type="paragraph" w:styleId="Title">
    <w:name w:val="Title"/>
    <w:basedOn w:val="Normal"/>
    <w:next w:val="Normal"/>
    <w:link w:val="TitleChar"/>
    <w:qFormat/>
    <w:rsid w:val="00E9201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E9201B"/>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emf"/><Relationship Id="rId18" Type="http://schemas.openxmlformats.org/officeDocument/2006/relationships/image" Target="media/image12.tif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tiff"/><Relationship Id="rId12" Type="http://schemas.openxmlformats.org/officeDocument/2006/relationships/image" Target="media/image6.emf"/><Relationship Id="rId17"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numbering" Target="numbering.xml"/><Relationship Id="rId6" Type="http://schemas.openxmlformats.org/officeDocument/2006/relationships/hyperlink" Target="mailto:tma1e12@soton.ac.uk" TargetMode="External"/><Relationship Id="rId11" Type="http://schemas.openxmlformats.org/officeDocument/2006/relationships/image" Target="media/image5.tif"/><Relationship Id="rId5" Type="http://schemas.openxmlformats.org/officeDocument/2006/relationships/hyperlink" Target="http://www.southampton.ac.uk/engineering/research/groups/engmats.page" TargetMode="External"/><Relationship Id="rId15" Type="http://schemas.openxmlformats.org/officeDocument/2006/relationships/image" Target="media/image9.tiff"/><Relationship Id="rId10" Type="http://schemas.openxmlformats.org/officeDocument/2006/relationships/image" Target="media/image4.emf"/><Relationship Id="rId19" Type="http://schemas.openxmlformats.org/officeDocument/2006/relationships/image" Target="media/image13.ti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ti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5166</Words>
  <Characters>29452</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
    </vt:vector>
  </TitlesOfParts>
  <Company>Sage Publications</Company>
  <LinksUpToDate>false</LinksUpToDate>
  <CharactersWithSpaces>34549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Wittkopf, Hendrik</dc:creator>
  <cp:lastModifiedBy>Lapage K.P.</cp:lastModifiedBy>
  <cp:revision>2</cp:revision>
  <dcterms:created xsi:type="dcterms:W3CDTF">2018-08-01T13:49:00Z</dcterms:created>
  <dcterms:modified xsi:type="dcterms:W3CDTF">2018-08-01T13:49:00Z</dcterms:modified>
</cp:coreProperties>
</file>