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D7" w:rsidRPr="00711708" w:rsidRDefault="00027A85" w:rsidP="006961A6">
      <w:pPr>
        <w:spacing w:after="0" w:line="480" w:lineRule="auto"/>
        <w:jc w:val="center"/>
        <w:rPr>
          <w:b/>
          <w:sz w:val="32"/>
          <w:szCs w:val="32"/>
        </w:rPr>
      </w:pPr>
      <w:bookmarkStart w:id="0" w:name="_GoBack"/>
      <w:bookmarkEnd w:id="0"/>
      <w:r w:rsidRPr="00711708">
        <w:rPr>
          <w:b/>
          <w:sz w:val="32"/>
          <w:szCs w:val="32"/>
        </w:rPr>
        <w:t xml:space="preserve">Accelerating </w:t>
      </w:r>
      <w:r w:rsidR="008449EA">
        <w:rPr>
          <w:b/>
          <w:sz w:val="32"/>
          <w:szCs w:val="32"/>
        </w:rPr>
        <w:t xml:space="preserve">progress towards </w:t>
      </w:r>
      <w:r w:rsidRPr="00711708">
        <w:rPr>
          <w:b/>
          <w:sz w:val="32"/>
          <w:szCs w:val="32"/>
        </w:rPr>
        <w:t xml:space="preserve">the Zero Hunger </w:t>
      </w:r>
      <w:r w:rsidR="00CD78A4">
        <w:rPr>
          <w:b/>
          <w:sz w:val="32"/>
          <w:szCs w:val="32"/>
        </w:rPr>
        <w:t>G</w:t>
      </w:r>
      <w:r w:rsidRPr="00711708">
        <w:rPr>
          <w:b/>
          <w:sz w:val="32"/>
          <w:szCs w:val="32"/>
        </w:rPr>
        <w:t>oal</w:t>
      </w:r>
      <w:r w:rsidR="00EF4D7D" w:rsidRPr="00711708">
        <w:rPr>
          <w:b/>
          <w:sz w:val="32"/>
          <w:szCs w:val="32"/>
        </w:rPr>
        <w:t xml:space="preserve"> in cross-boundary climate change hotspots</w:t>
      </w:r>
    </w:p>
    <w:p w:rsidR="00912629" w:rsidRPr="006C6099" w:rsidRDefault="00912629" w:rsidP="00912629">
      <w:pPr>
        <w:spacing w:after="0" w:line="480" w:lineRule="auto"/>
        <w:jc w:val="center"/>
      </w:pPr>
      <w:r w:rsidRPr="006C6099">
        <w:t>Sylvia Szabo</w:t>
      </w:r>
      <w:r w:rsidRPr="006C6099">
        <w:rPr>
          <w:vertAlign w:val="superscript"/>
        </w:rPr>
        <w:t>1</w:t>
      </w:r>
      <w:r w:rsidRPr="006C6099">
        <w:t>,</w:t>
      </w:r>
      <w:r w:rsidRPr="006C6099">
        <w:rPr>
          <w:vertAlign w:val="superscript"/>
        </w:rPr>
        <w:t>2</w:t>
      </w:r>
      <w:r w:rsidRPr="006C6099">
        <w:t xml:space="preserve">, </w:t>
      </w:r>
      <w:r>
        <w:t>Md. Sarwar Hossain</w:t>
      </w:r>
      <w:r w:rsidRPr="008E3F81">
        <w:rPr>
          <w:vertAlign w:val="superscript"/>
        </w:rPr>
        <w:t>3</w:t>
      </w:r>
      <w:r>
        <w:t xml:space="preserve">, </w:t>
      </w:r>
      <w:r w:rsidRPr="006C6099">
        <w:t>Fabrice Renaud</w:t>
      </w:r>
      <w:r>
        <w:rPr>
          <w:vertAlign w:val="superscript"/>
        </w:rPr>
        <w:t>4</w:t>
      </w:r>
      <w:r w:rsidRPr="006C6099">
        <w:t xml:space="preserve">, </w:t>
      </w:r>
      <w:r w:rsidRPr="00FE33C2">
        <w:t>Djaffra Traore</w:t>
      </w:r>
      <w:r>
        <w:rPr>
          <w:vertAlign w:val="superscript"/>
        </w:rPr>
        <w:t>5</w:t>
      </w:r>
      <w:r>
        <w:t>, Abid Hussain</w:t>
      </w:r>
      <w:r>
        <w:rPr>
          <w:vertAlign w:val="superscript"/>
        </w:rPr>
        <w:t>6</w:t>
      </w:r>
      <w:r w:rsidRPr="003E33BF">
        <w:t xml:space="preserve">, </w:t>
      </w:r>
      <w:r w:rsidRPr="006C6099">
        <w:t>Piotr Matczak</w:t>
      </w:r>
      <w:r>
        <w:rPr>
          <w:vertAlign w:val="superscript"/>
        </w:rPr>
        <w:t>7</w:t>
      </w:r>
      <w:r w:rsidRPr="003E33BF">
        <w:t xml:space="preserve">, </w:t>
      </w:r>
      <w:r w:rsidRPr="006C6099">
        <w:t>Sate Ahmad</w:t>
      </w:r>
      <w:r>
        <w:rPr>
          <w:vertAlign w:val="superscript"/>
        </w:rPr>
        <w:t>8</w:t>
      </w:r>
      <w:r w:rsidRPr="003E33BF">
        <w:t>,</w:t>
      </w:r>
      <w:r>
        <w:rPr>
          <w:vertAlign w:val="superscript"/>
        </w:rPr>
        <w:t>9</w:t>
      </w:r>
      <w:r w:rsidRPr="006C6099">
        <w:t>,</w:t>
      </w:r>
      <w:r w:rsidRPr="00BB4F01">
        <w:t xml:space="preserve"> </w:t>
      </w:r>
      <w:r w:rsidRPr="006C6099">
        <w:t>Devendra Raj Singh</w:t>
      </w:r>
      <w:r>
        <w:rPr>
          <w:vertAlign w:val="superscript"/>
        </w:rPr>
        <w:t>10</w:t>
      </w:r>
      <w:r w:rsidRPr="003E33BF">
        <w:t xml:space="preserve">, </w:t>
      </w:r>
      <w:r w:rsidRPr="000C73F1">
        <w:t>Barbara Neumann</w:t>
      </w:r>
      <w:r w:rsidRPr="001D1C14">
        <w:rPr>
          <w:vertAlign w:val="superscript"/>
        </w:rPr>
        <w:t>11</w:t>
      </w:r>
      <w:r>
        <w:rPr>
          <w:vertAlign w:val="superscript"/>
        </w:rPr>
        <w:t xml:space="preserve">, </w:t>
      </w:r>
      <w:r w:rsidRPr="00D83D91">
        <w:t>Zoe Matthews</w:t>
      </w:r>
      <w:r w:rsidRPr="003E33BF">
        <w:rPr>
          <w:vertAlign w:val="superscript"/>
        </w:rPr>
        <w:t>12</w:t>
      </w:r>
    </w:p>
    <w:p w:rsidR="00912629" w:rsidRPr="004E48C6" w:rsidRDefault="00912629" w:rsidP="00912629">
      <w:pPr>
        <w:spacing w:after="0" w:line="480" w:lineRule="auto"/>
        <w:jc w:val="center"/>
        <w:rPr>
          <w:b/>
        </w:rPr>
      </w:pPr>
    </w:p>
    <w:p w:rsidR="00912629" w:rsidRPr="004E48C6" w:rsidRDefault="00912629" w:rsidP="00912629">
      <w:pPr>
        <w:spacing w:after="0" w:line="480" w:lineRule="auto"/>
      </w:pPr>
      <w:r w:rsidRPr="004E48C6">
        <w:rPr>
          <w:vertAlign w:val="superscript"/>
        </w:rPr>
        <w:t>1</w:t>
      </w:r>
      <w:r w:rsidRPr="004E48C6">
        <w:t xml:space="preserve"> Department of Development and Sustainability, Asian Institute of Technology, Bangkok, Thailand</w:t>
      </w:r>
    </w:p>
    <w:p w:rsidR="00912629" w:rsidRDefault="00912629" w:rsidP="00912629">
      <w:pPr>
        <w:spacing w:after="0" w:line="480" w:lineRule="auto"/>
      </w:pPr>
      <w:r w:rsidRPr="004E48C6">
        <w:rPr>
          <w:vertAlign w:val="superscript"/>
        </w:rPr>
        <w:t xml:space="preserve">2 </w:t>
      </w:r>
      <w:r w:rsidRPr="004E48C6">
        <w:t>Centre for Population Change, University of Southampton, Southampton, United Kingdom</w:t>
      </w:r>
    </w:p>
    <w:p w:rsidR="00912629" w:rsidRPr="004E48C6" w:rsidRDefault="00912629" w:rsidP="00912629">
      <w:pPr>
        <w:spacing w:after="0" w:line="480" w:lineRule="auto"/>
      </w:pPr>
      <w:r>
        <w:rPr>
          <w:vertAlign w:val="superscript"/>
        </w:rPr>
        <w:t>3</w:t>
      </w:r>
      <w:r w:rsidRPr="004E48C6">
        <w:t xml:space="preserve"> Institute of Geography, University of Bern, Bern, Switzerland</w:t>
      </w:r>
    </w:p>
    <w:p w:rsidR="00912629" w:rsidRDefault="00912629" w:rsidP="00912629">
      <w:pPr>
        <w:spacing w:after="0" w:line="480" w:lineRule="auto"/>
      </w:pPr>
      <w:r>
        <w:rPr>
          <w:vertAlign w:val="superscript"/>
        </w:rPr>
        <w:t>4</w:t>
      </w:r>
      <w:r w:rsidRPr="004E48C6">
        <w:t xml:space="preserve"> Institute for Environment and Human Security, United Nations University, Bonn, Germany</w:t>
      </w:r>
    </w:p>
    <w:p w:rsidR="00912629" w:rsidRDefault="00912629" w:rsidP="00912629">
      <w:pPr>
        <w:spacing w:after="0" w:line="480" w:lineRule="auto"/>
      </w:pPr>
      <w:r>
        <w:rPr>
          <w:vertAlign w:val="superscript"/>
        </w:rPr>
        <w:t>5</w:t>
      </w:r>
      <w:r w:rsidRPr="004E48C6">
        <w:t xml:space="preserve"> Policy and Advocacy Division, Action Against Hunger, Bamako, Mali </w:t>
      </w:r>
    </w:p>
    <w:p w:rsidR="00912629" w:rsidRDefault="00912629" w:rsidP="00912629">
      <w:pPr>
        <w:spacing w:after="0" w:line="480" w:lineRule="auto"/>
      </w:pPr>
      <w:r>
        <w:rPr>
          <w:vertAlign w:val="superscript"/>
        </w:rPr>
        <w:t xml:space="preserve">6 </w:t>
      </w:r>
      <w:r w:rsidRPr="00712F56">
        <w:t>International Centre for Integrated Mountain Development (ICIMOD), Kathmandu, Nepal</w:t>
      </w:r>
    </w:p>
    <w:p w:rsidR="00912629" w:rsidRDefault="00912629" w:rsidP="00912629">
      <w:pPr>
        <w:spacing w:after="0" w:line="480" w:lineRule="auto"/>
      </w:pPr>
      <w:r>
        <w:rPr>
          <w:vertAlign w:val="superscript"/>
        </w:rPr>
        <w:t>7</w:t>
      </w:r>
      <w:r w:rsidRPr="006772F7">
        <w:rPr>
          <w:vertAlign w:val="superscript"/>
        </w:rPr>
        <w:t xml:space="preserve"> </w:t>
      </w:r>
      <w:r w:rsidRPr="006772F7">
        <w:t>Department</w:t>
      </w:r>
      <w:r>
        <w:t xml:space="preserve"> of Local and Regional Communities</w:t>
      </w:r>
      <w:r w:rsidRPr="006772F7">
        <w:t xml:space="preserve"> Research,</w:t>
      </w:r>
      <w:r>
        <w:rPr>
          <w:vertAlign w:val="superscript"/>
        </w:rPr>
        <w:t xml:space="preserve"> </w:t>
      </w:r>
      <w:r w:rsidRPr="006772F7">
        <w:t xml:space="preserve">Adam Mickiewicz University, </w:t>
      </w:r>
      <w:r w:rsidRPr="00434FA4">
        <w:t>Poznań</w:t>
      </w:r>
      <w:r w:rsidRPr="006772F7">
        <w:t>, Poland</w:t>
      </w:r>
    </w:p>
    <w:p w:rsidR="00912629" w:rsidRPr="004E48C6" w:rsidRDefault="00912629" w:rsidP="00912629">
      <w:pPr>
        <w:spacing w:after="0" w:line="480" w:lineRule="auto"/>
      </w:pPr>
      <w:r>
        <w:rPr>
          <w:vertAlign w:val="superscript"/>
        </w:rPr>
        <w:t>8</w:t>
      </w:r>
      <w:r w:rsidRPr="004E48C6">
        <w:t xml:space="preserve"> </w:t>
      </w:r>
      <w:r w:rsidRPr="003F649E">
        <w:t>Faculty of Agricultural and Environmental Sciences</w:t>
      </w:r>
      <w:r>
        <w:t xml:space="preserve">, </w:t>
      </w:r>
      <w:r w:rsidRPr="004E48C6">
        <w:t>University of Rostock, Rostock, Germany</w:t>
      </w:r>
    </w:p>
    <w:p w:rsidR="00912629" w:rsidRDefault="00912629" w:rsidP="00912629">
      <w:pPr>
        <w:spacing w:after="0" w:line="480" w:lineRule="auto"/>
      </w:pPr>
      <w:r>
        <w:rPr>
          <w:vertAlign w:val="superscript"/>
        </w:rPr>
        <w:t>9</w:t>
      </w:r>
      <w:r w:rsidRPr="004E48C6">
        <w:t xml:space="preserve"> </w:t>
      </w:r>
      <w:r w:rsidRPr="00F371F9">
        <w:t>Centre for Population, Urbanization &amp; Climate Change</w:t>
      </w:r>
      <w:r>
        <w:t xml:space="preserve">, </w:t>
      </w:r>
      <w:r w:rsidRPr="004E48C6">
        <w:t>icddr,b, Dhaka, Bangladesh</w:t>
      </w:r>
    </w:p>
    <w:p w:rsidR="00912629" w:rsidRDefault="00912629" w:rsidP="00912629">
      <w:pPr>
        <w:spacing w:after="0" w:line="480" w:lineRule="auto"/>
      </w:pPr>
      <w:r>
        <w:rPr>
          <w:vertAlign w:val="superscript"/>
        </w:rPr>
        <w:t>10</w:t>
      </w:r>
      <w:r w:rsidRPr="004E48C6">
        <w:rPr>
          <w:vertAlign w:val="superscript"/>
        </w:rPr>
        <w:t xml:space="preserve"> </w:t>
      </w:r>
      <w:r>
        <w:t>Asian College for Advanced Studies</w:t>
      </w:r>
      <w:r w:rsidRPr="004E48C6">
        <w:t>, Purbanchal University, Kathmandu, Nepal</w:t>
      </w:r>
    </w:p>
    <w:p w:rsidR="00912629" w:rsidRDefault="00912629" w:rsidP="00912629">
      <w:pPr>
        <w:spacing w:after="0" w:line="480" w:lineRule="auto"/>
      </w:pPr>
      <w:r>
        <w:rPr>
          <w:vertAlign w:val="superscript"/>
        </w:rPr>
        <w:t xml:space="preserve">11 </w:t>
      </w:r>
      <w:r w:rsidRPr="001D1C14">
        <w:t>Institute for Advanced Sustainability Studies (IASS), Potsdam, Germany</w:t>
      </w:r>
    </w:p>
    <w:p w:rsidR="00912629" w:rsidRPr="00097F4A" w:rsidRDefault="00912629" w:rsidP="00912629">
      <w:pPr>
        <w:spacing w:after="0" w:line="480" w:lineRule="auto"/>
      </w:pPr>
      <w:r w:rsidRPr="003E33BF">
        <w:rPr>
          <w:vertAlign w:val="superscript"/>
        </w:rPr>
        <w:t>12</w:t>
      </w:r>
      <w:r>
        <w:t xml:space="preserve"> Division</w:t>
      </w:r>
      <w:r w:rsidRPr="00097F4A">
        <w:t xml:space="preserve"> of Social Statistics and Demography, University of Southampton, Southampton, United Kingdom</w:t>
      </w:r>
    </w:p>
    <w:p w:rsidR="00345075" w:rsidRDefault="00345075" w:rsidP="00345075">
      <w:pPr>
        <w:pStyle w:val="ListParagraph"/>
        <w:spacing w:after="0" w:line="480" w:lineRule="auto"/>
        <w:rPr>
          <w:sz w:val="24"/>
          <w:szCs w:val="24"/>
        </w:rPr>
      </w:pPr>
    </w:p>
    <w:p w:rsidR="00912629" w:rsidRDefault="00912629" w:rsidP="00345075">
      <w:pPr>
        <w:pStyle w:val="ListParagraph"/>
        <w:spacing w:after="0" w:line="480" w:lineRule="auto"/>
        <w:rPr>
          <w:sz w:val="24"/>
          <w:szCs w:val="24"/>
        </w:rPr>
      </w:pPr>
    </w:p>
    <w:p w:rsidR="00912629" w:rsidRDefault="00912629" w:rsidP="00345075">
      <w:pPr>
        <w:pStyle w:val="ListParagraph"/>
        <w:spacing w:after="0" w:line="480" w:lineRule="auto"/>
        <w:rPr>
          <w:sz w:val="24"/>
          <w:szCs w:val="24"/>
        </w:rPr>
      </w:pPr>
    </w:p>
    <w:p w:rsidR="00912629" w:rsidRDefault="00912629" w:rsidP="00345075">
      <w:pPr>
        <w:pStyle w:val="ListParagraph"/>
        <w:spacing w:after="0" w:line="480" w:lineRule="auto"/>
        <w:rPr>
          <w:sz w:val="24"/>
          <w:szCs w:val="24"/>
        </w:rPr>
      </w:pPr>
    </w:p>
    <w:p w:rsidR="00912629" w:rsidRPr="00345075" w:rsidRDefault="00912629" w:rsidP="00345075">
      <w:pPr>
        <w:pStyle w:val="ListParagraph"/>
        <w:spacing w:after="0" w:line="480" w:lineRule="auto"/>
        <w:rPr>
          <w:sz w:val="24"/>
          <w:szCs w:val="24"/>
        </w:rPr>
      </w:pPr>
    </w:p>
    <w:p w:rsidR="008A5E0C" w:rsidRPr="00471C88" w:rsidRDefault="00912629" w:rsidP="00471C88">
      <w:pPr>
        <w:pStyle w:val="ListParagraph"/>
        <w:spacing w:after="0" w:line="480" w:lineRule="auto"/>
        <w:ind w:left="0"/>
      </w:pPr>
      <w:r w:rsidRPr="00912629">
        <w:rPr>
          <w:b/>
        </w:rPr>
        <w:lastRenderedPageBreak/>
        <w:t>Abstract -</w:t>
      </w:r>
      <w:r>
        <w:t xml:space="preserve"> </w:t>
      </w:r>
      <w:r w:rsidR="00345075" w:rsidRPr="00471C88">
        <w:t xml:space="preserve">The most recent 2017 United Nations’ Sustainable Development Goals progress report highlighted the need to accelerate the pace of progress in order for the Sustainable Development Goals to be fully achieved. Responding to these concerns, the present commentary proposes four distinct, but interrelated approaches to accelerate the Zero Hunger </w:t>
      </w:r>
      <w:r w:rsidR="00CD78A4">
        <w:t>G</w:t>
      </w:r>
      <w:r w:rsidR="00345075" w:rsidRPr="00471C88">
        <w:t xml:space="preserve">oal in transboundary climate change hotspots, regions which suffer from multiple stressors and vulnerabilities, and in which prevalence of food insecurity and malnutrition often remains disproportionately high. These conceptual, programmatic and policy approaches are discussed drawing from a newly developed conceptual framework and referring to specific examples from climate change hotspots around the world.  </w:t>
      </w:r>
    </w:p>
    <w:p w:rsidR="008A5E0C" w:rsidRDefault="008A5E0C" w:rsidP="006961A6">
      <w:pPr>
        <w:pStyle w:val="ListParagraph"/>
        <w:spacing w:after="0" w:line="480" w:lineRule="auto"/>
        <w:rPr>
          <w:sz w:val="24"/>
          <w:szCs w:val="24"/>
        </w:rPr>
      </w:pPr>
    </w:p>
    <w:p w:rsidR="00471C88" w:rsidRDefault="00471C88" w:rsidP="006961A6">
      <w:pPr>
        <w:pStyle w:val="ListParagraph"/>
        <w:spacing w:after="0" w:line="480" w:lineRule="auto"/>
        <w:rPr>
          <w:sz w:val="24"/>
          <w:szCs w:val="24"/>
        </w:rPr>
      </w:pPr>
    </w:p>
    <w:p w:rsidR="00471C88" w:rsidRDefault="00471C88" w:rsidP="006961A6">
      <w:pPr>
        <w:pStyle w:val="ListParagraph"/>
        <w:spacing w:after="0" w:line="480" w:lineRule="auto"/>
        <w:rPr>
          <w:sz w:val="24"/>
          <w:szCs w:val="24"/>
        </w:rPr>
      </w:pPr>
    </w:p>
    <w:p w:rsidR="00471C88" w:rsidRDefault="00471C88" w:rsidP="006961A6">
      <w:pPr>
        <w:pStyle w:val="ListParagraph"/>
        <w:spacing w:after="0" w:line="480" w:lineRule="auto"/>
        <w:rPr>
          <w:sz w:val="24"/>
          <w:szCs w:val="24"/>
        </w:rPr>
      </w:pPr>
    </w:p>
    <w:p w:rsidR="00471C88" w:rsidRDefault="00471C88" w:rsidP="006961A6">
      <w:pPr>
        <w:pStyle w:val="ListParagraph"/>
        <w:spacing w:after="0" w:line="480" w:lineRule="auto"/>
        <w:rPr>
          <w:sz w:val="24"/>
          <w:szCs w:val="24"/>
        </w:rPr>
      </w:pPr>
    </w:p>
    <w:p w:rsidR="00471C88" w:rsidRDefault="00471C88" w:rsidP="006961A6">
      <w:pPr>
        <w:pStyle w:val="ListParagraph"/>
        <w:spacing w:after="0" w:line="480" w:lineRule="auto"/>
        <w:rPr>
          <w:sz w:val="24"/>
          <w:szCs w:val="24"/>
        </w:rPr>
      </w:pPr>
    </w:p>
    <w:p w:rsidR="008262B8" w:rsidRDefault="008262B8" w:rsidP="006961A6">
      <w:pPr>
        <w:pStyle w:val="ListParagraph"/>
        <w:spacing w:after="0" w:line="480" w:lineRule="auto"/>
        <w:rPr>
          <w:sz w:val="24"/>
          <w:szCs w:val="24"/>
        </w:rPr>
      </w:pPr>
    </w:p>
    <w:p w:rsidR="008262B8" w:rsidRDefault="008262B8" w:rsidP="006961A6">
      <w:pPr>
        <w:pStyle w:val="ListParagraph"/>
        <w:spacing w:after="0" w:line="480" w:lineRule="auto"/>
        <w:rPr>
          <w:sz w:val="24"/>
          <w:szCs w:val="24"/>
        </w:rPr>
      </w:pPr>
    </w:p>
    <w:p w:rsidR="008262B8" w:rsidRDefault="008262B8" w:rsidP="006961A6">
      <w:pPr>
        <w:pStyle w:val="ListParagraph"/>
        <w:spacing w:after="0" w:line="480" w:lineRule="auto"/>
        <w:rPr>
          <w:sz w:val="24"/>
          <w:szCs w:val="24"/>
        </w:rPr>
      </w:pPr>
    </w:p>
    <w:p w:rsidR="00471C88" w:rsidRDefault="00471C88" w:rsidP="006961A6">
      <w:pPr>
        <w:pStyle w:val="ListParagraph"/>
        <w:spacing w:after="0" w:line="480" w:lineRule="auto"/>
        <w:rPr>
          <w:sz w:val="24"/>
          <w:szCs w:val="24"/>
        </w:rPr>
      </w:pPr>
    </w:p>
    <w:p w:rsidR="00471C88" w:rsidRDefault="00471C88" w:rsidP="006961A6">
      <w:pPr>
        <w:pStyle w:val="ListParagraph"/>
        <w:spacing w:after="0" w:line="480" w:lineRule="auto"/>
        <w:rPr>
          <w:sz w:val="24"/>
          <w:szCs w:val="24"/>
        </w:rPr>
      </w:pPr>
    </w:p>
    <w:p w:rsidR="00471C88" w:rsidRPr="008A5E0C" w:rsidRDefault="00471C88" w:rsidP="006961A6">
      <w:pPr>
        <w:pStyle w:val="ListParagraph"/>
        <w:spacing w:after="0" w:line="480" w:lineRule="auto"/>
        <w:rPr>
          <w:sz w:val="24"/>
          <w:szCs w:val="24"/>
        </w:rPr>
      </w:pPr>
    </w:p>
    <w:p w:rsidR="008A5E0C" w:rsidRPr="008A5E0C" w:rsidRDefault="008A5E0C" w:rsidP="006961A6">
      <w:pPr>
        <w:pStyle w:val="ListParagraph"/>
        <w:spacing w:after="0" w:line="480" w:lineRule="auto"/>
        <w:rPr>
          <w:sz w:val="24"/>
          <w:szCs w:val="24"/>
        </w:rPr>
      </w:pPr>
    </w:p>
    <w:p w:rsidR="008A5E0C" w:rsidRPr="008A5E0C" w:rsidRDefault="008A5E0C" w:rsidP="006961A6">
      <w:pPr>
        <w:pStyle w:val="ListParagraph"/>
        <w:spacing w:after="0" w:line="480" w:lineRule="auto"/>
        <w:rPr>
          <w:sz w:val="24"/>
          <w:szCs w:val="24"/>
        </w:rPr>
      </w:pPr>
    </w:p>
    <w:p w:rsidR="008A5E0C" w:rsidRPr="008A5E0C" w:rsidRDefault="008A5E0C" w:rsidP="006961A6">
      <w:pPr>
        <w:pStyle w:val="ListParagraph"/>
        <w:spacing w:after="0" w:line="480" w:lineRule="auto"/>
        <w:rPr>
          <w:sz w:val="24"/>
          <w:szCs w:val="24"/>
        </w:rPr>
      </w:pPr>
    </w:p>
    <w:p w:rsidR="00745EB7" w:rsidRPr="00745EB7" w:rsidRDefault="009A46F4" w:rsidP="006961A6">
      <w:pPr>
        <w:spacing w:after="0" w:line="480" w:lineRule="auto"/>
      </w:pPr>
      <w:r>
        <w:lastRenderedPageBreak/>
        <w:t xml:space="preserve">Nutrition and food security </w:t>
      </w:r>
      <w:r w:rsidR="00301F78">
        <w:t xml:space="preserve">constitute a critical development challenge, and a </w:t>
      </w:r>
      <w:r w:rsidR="00301F78" w:rsidRPr="00D5669F">
        <w:rPr>
          <w:i/>
        </w:rPr>
        <w:t>sine qua non</w:t>
      </w:r>
      <w:r w:rsidR="00301F78">
        <w:t xml:space="preserve"> condition for human-wellbeing and macro-economic growth. According to the most recent estimates, </w:t>
      </w:r>
      <w:r w:rsidR="00AD3B5E">
        <w:t>2 billion people suffer from m</w:t>
      </w:r>
      <w:r w:rsidR="00CD72AD">
        <w:t>i</w:t>
      </w:r>
      <w:r w:rsidR="00AD3B5E">
        <w:t>cronutrient malnutrition, 15</w:t>
      </w:r>
      <w:r w:rsidR="00D36B6E">
        <w:t>5</w:t>
      </w:r>
      <w:r w:rsidR="00AD3B5E">
        <w:t xml:space="preserve"> </w:t>
      </w:r>
      <w:r w:rsidR="00393FC5">
        <w:t xml:space="preserve">million </w:t>
      </w:r>
      <w:r w:rsidR="00AD3B5E">
        <w:t>children under the age of five are stunted and 41 million are overweight</w:t>
      </w:r>
      <w:r w:rsidR="00D31E68">
        <w:t>.</w:t>
      </w:r>
      <w:r w:rsidR="00114EF6" w:rsidRPr="00114EF6">
        <w:rPr>
          <w:vertAlign w:val="superscript"/>
        </w:rPr>
        <w:t>1</w:t>
      </w:r>
      <w:r w:rsidR="00AD3B5E">
        <w:t xml:space="preserve"> </w:t>
      </w:r>
      <w:r w:rsidR="0003322B">
        <w:t>Despite considerable progres</w:t>
      </w:r>
      <w:r w:rsidR="007A42A8">
        <w:t xml:space="preserve">s towards </w:t>
      </w:r>
      <w:r w:rsidR="000525A9">
        <w:t xml:space="preserve">the </w:t>
      </w:r>
      <w:r w:rsidR="007A42A8">
        <w:t>hunger related target</w:t>
      </w:r>
      <w:r w:rsidR="0003322B">
        <w:t xml:space="preserve"> </w:t>
      </w:r>
      <w:r w:rsidR="0075298B">
        <w:t xml:space="preserve">1.C </w:t>
      </w:r>
      <w:r w:rsidR="0003322B">
        <w:t xml:space="preserve">under Millennium Development Goal 2, </w:t>
      </w:r>
      <w:r w:rsidR="00AD1934">
        <w:t>it</w:t>
      </w:r>
      <w:r w:rsidR="007A42A8">
        <w:t xml:space="preserve"> </w:t>
      </w:r>
      <w:r w:rsidR="00293B87">
        <w:t xml:space="preserve">was not </w:t>
      </w:r>
      <w:r w:rsidR="007A42A8">
        <w:t>reached</w:t>
      </w:r>
      <w:r w:rsidR="008B3A6D">
        <w:t>, with</w:t>
      </w:r>
      <w:r w:rsidR="007A42A8">
        <w:t xml:space="preserve"> Sub-Saharan Africa</w:t>
      </w:r>
      <w:r w:rsidR="008B3A6D">
        <w:t xml:space="preserve">, </w:t>
      </w:r>
      <w:r w:rsidR="0075298B">
        <w:t xml:space="preserve">the </w:t>
      </w:r>
      <w:r w:rsidR="008B3A6D">
        <w:t>Caribbean, South Asia and Oceania all making insufficient progress</w:t>
      </w:r>
      <w:r w:rsidR="00D31E68">
        <w:t>.</w:t>
      </w:r>
      <w:r w:rsidR="00D31E68" w:rsidRPr="00D31E68">
        <w:rPr>
          <w:vertAlign w:val="superscript"/>
        </w:rPr>
        <w:t>2</w:t>
      </w:r>
      <w:r w:rsidR="0003322B">
        <w:t xml:space="preserve"> </w:t>
      </w:r>
      <w:r w:rsidR="004E4CCE">
        <w:t>Ending poverty and hunger is topmost on the 2030 Agenda for Sustainable Development. Sustainable Development Goal (SDG) 2 entitled “</w:t>
      </w:r>
      <w:r w:rsidR="004E4CCE" w:rsidRPr="00745EB7">
        <w:t xml:space="preserve">End hunger, achieve food security and improved nutrition and </w:t>
      </w:r>
      <w:r w:rsidR="004E4CCE" w:rsidRPr="004E4CCE">
        <w:t>promote sustainable agriculture</w:t>
      </w:r>
      <w:r w:rsidR="004E4CCE">
        <w:t xml:space="preserve">” has </w:t>
      </w:r>
      <w:r w:rsidR="00745EB7">
        <w:t xml:space="preserve">eight targets that </w:t>
      </w:r>
      <w:r w:rsidR="00293B87">
        <w:t>must</w:t>
      </w:r>
      <w:r w:rsidR="00745EB7">
        <w:t xml:space="preserve"> be achieved in the </w:t>
      </w:r>
      <w:r w:rsidR="008651EA">
        <w:t>2020-30-time</w:t>
      </w:r>
      <w:r w:rsidR="00745EB7">
        <w:t xml:space="preserve"> horizon, including target 2.1 “</w:t>
      </w:r>
      <w:r w:rsidR="00745EB7" w:rsidRPr="00745EB7">
        <w:t>By 2030, end hunger and ensure access by all people, in particular the poor and people in vulnerable situations, including infants, to safe, nutritious and sufficient food all year round</w:t>
      </w:r>
      <w:r w:rsidR="00745EB7">
        <w:t>”.</w:t>
      </w:r>
      <w:r w:rsidR="00D31E68" w:rsidRPr="00D31E68">
        <w:rPr>
          <w:vertAlign w:val="superscript"/>
        </w:rPr>
        <w:t>3</w:t>
      </w:r>
    </w:p>
    <w:p w:rsidR="002802A0" w:rsidRDefault="00F02D5F" w:rsidP="006961A6">
      <w:pPr>
        <w:spacing w:after="0" w:line="480" w:lineRule="auto"/>
      </w:pPr>
      <w:r>
        <w:t>The food security and nutrition challenges are particularly critic</w:t>
      </w:r>
      <w:r w:rsidR="008D708F">
        <w:t>al in regions, which are prone to</w:t>
      </w:r>
      <w:r>
        <w:t xml:space="preserve"> multiple vulnerabilities</w:t>
      </w:r>
      <w:r w:rsidR="00904C19">
        <w:t xml:space="preserve"> and often </w:t>
      </w:r>
      <w:r w:rsidR="00454331">
        <w:t>cut across national boundaries</w:t>
      </w:r>
      <w:r>
        <w:t>, such as climate change hotspots (CCH)</w:t>
      </w:r>
      <w:r w:rsidR="00134BE9">
        <w:t>.</w:t>
      </w:r>
      <w:r w:rsidR="00134BE9" w:rsidRPr="00134BE9">
        <w:rPr>
          <w:vertAlign w:val="superscript"/>
        </w:rPr>
        <w:t>4,5</w:t>
      </w:r>
      <w:r>
        <w:t xml:space="preserve"> </w:t>
      </w:r>
      <w:r w:rsidR="0075298B">
        <w:t xml:space="preserve">These </w:t>
      </w:r>
      <w:r w:rsidR="005358FD" w:rsidRPr="00FE7160">
        <w:t xml:space="preserve">are areas characterised by both </w:t>
      </w:r>
      <w:r w:rsidR="0075298B">
        <w:t xml:space="preserve">a </w:t>
      </w:r>
      <w:r w:rsidR="005358FD" w:rsidRPr="00FE7160">
        <w:t>“strong climate signal” and concentration of vulnerable populations</w:t>
      </w:r>
      <w:r w:rsidR="00134BE9">
        <w:rPr>
          <w:vertAlign w:val="superscript"/>
        </w:rPr>
        <w:t>6</w:t>
      </w:r>
      <w:r w:rsidR="00B46711">
        <w:t xml:space="preserve"> </w:t>
      </w:r>
      <w:r w:rsidR="001E4537">
        <w:t>and</w:t>
      </w:r>
      <w:r w:rsidR="00FF4A9B">
        <w:t xml:space="preserve"> </w:t>
      </w:r>
      <w:r w:rsidR="0047461D">
        <w:t>can be defined as</w:t>
      </w:r>
      <w:r w:rsidR="00C41903">
        <w:t xml:space="preserve"> “geographic regions of compound risk that might be regarded as particularly susceptible to a changing climate”.</w:t>
      </w:r>
      <w:r w:rsidR="00134BE9">
        <w:rPr>
          <w:vertAlign w:val="superscript"/>
        </w:rPr>
        <w:t>7</w:t>
      </w:r>
      <w:r w:rsidR="00C41903">
        <w:t xml:space="preserve"> </w:t>
      </w:r>
      <w:r w:rsidR="0035425B">
        <w:t>In this commenta</w:t>
      </w:r>
      <w:r w:rsidR="00903CFD">
        <w:t>ry we provide specific approaches</w:t>
      </w:r>
      <w:r w:rsidR="00E56F21">
        <w:t xml:space="preserve">, which will </w:t>
      </w:r>
      <w:r w:rsidR="007F79BE">
        <w:t>help address nutrition and food</w:t>
      </w:r>
      <w:r w:rsidR="00E56F21">
        <w:t xml:space="preserve"> insecurity challenges in </w:t>
      </w:r>
      <w:r w:rsidR="00F7098E">
        <w:t>these regions</w:t>
      </w:r>
      <w:r w:rsidR="005F37FF">
        <w:t>, and thus</w:t>
      </w:r>
      <w:r w:rsidR="00155784">
        <w:t xml:space="preserve"> contribute </w:t>
      </w:r>
      <w:r w:rsidR="00454331">
        <w:t xml:space="preserve">significantly </w:t>
      </w:r>
      <w:r w:rsidR="00155784">
        <w:t>to acce</w:t>
      </w:r>
      <w:r w:rsidR="005F37FF">
        <w:t xml:space="preserve">lerating the rate of progress towards the Zero Hunger </w:t>
      </w:r>
      <w:r w:rsidR="00CD78A4">
        <w:t>G</w:t>
      </w:r>
      <w:r w:rsidR="00E56F21">
        <w:t>oal</w:t>
      </w:r>
      <w:r w:rsidR="00A23030">
        <w:t xml:space="preserve"> in the 2030 Agenda</w:t>
      </w:r>
      <w:r w:rsidR="00E56F21">
        <w:t xml:space="preserve">. In doing so, we respond </w:t>
      </w:r>
      <w:r w:rsidR="00FB746C">
        <w:t xml:space="preserve">directly </w:t>
      </w:r>
      <w:r w:rsidR="00E56F21">
        <w:t>to the concern</w:t>
      </w:r>
      <w:r w:rsidR="00DB2562">
        <w:t>s</w:t>
      </w:r>
      <w:r w:rsidR="00E56F21">
        <w:t xml:space="preserve"> </w:t>
      </w:r>
      <w:r w:rsidR="004535A4">
        <w:t>raised in the most recent</w:t>
      </w:r>
      <w:r w:rsidR="0027736C">
        <w:t xml:space="preserve"> </w:t>
      </w:r>
      <w:r w:rsidR="004535A4">
        <w:t>SDG progress report</w:t>
      </w:r>
      <w:r w:rsidR="00B20D28">
        <w:rPr>
          <w:vertAlign w:val="superscript"/>
        </w:rPr>
        <w:t>8</w:t>
      </w:r>
      <w:r w:rsidR="00EF5B20">
        <w:t>, which warned</w:t>
      </w:r>
      <w:r w:rsidR="00155784">
        <w:t xml:space="preserve"> that the current </w:t>
      </w:r>
      <w:r w:rsidR="001B2804">
        <w:t xml:space="preserve">SDG </w:t>
      </w:r>
      <w:r w:rsidR="00155784">
        <w:t xml:space="preserve">rate of progress </w:t>
      </w:r>
      <w:r w:rsidR="00426DA9">
        <w:t>wa</w:t>
      </w:r>
      <w:r w:rsidR="00DB2562">
        <w:t xml:space="preserve">s </w:t>
      </w:r>
      <w:r w:rsidR="00155784">
        <w:t>too slow</w:t>
      </w:r>
      <w:r w:rsidR="002802A0">
        <w:t>.</w:t>
      </w:r>
    </w:p>
    <w:p w:rsidR="00F7098E" w:rsidRPr="00FE7160" w:rsidRDefault="002802A0" w:rsidP="006961A6">
      <w:pPr>
        <w:pStyle w:val="ListParagraph"/>
        <w:spacing w:after="0" w:line="480" w:lineRule="auto"/>
        <w:ind w:left="0"/>
      </w:pPr>
      <w:r>
        <w:t xml:space="preserve">The </w:t>
      </w:r>
      <w:r w:rsidR="00DC3577">
        <w:t>four</w:t>
      </w:r>
      <w:r>
        <w:t xml:space="preserve"> specific </w:t>
      </w:r>
      <w:r w:rsidR="00EF7D6F">
        <w:t>and complementary approaches</w:t>
      </w:r>
      <w:r>
        <w:t>, whi</w:t>
      </w:r>
      <w:r w:rsidR="00C97003">
        <w:t>ch we suggest here are: 1) Apply</w:t>
      </w:r>
      <w:r>
        <w:t xml:space="preserve">ing </w:t>
      </w:r>
      <w:r w:rsidR="00C97003">
        <w:t xml:space="preserve">the concept of </w:t>
      </w:r>
      <w:r>
        <w:t>sa</w:t>
      </w:r>
      <w:r w:rsidR="00BD79DC">
        <w:t>fe and just operating spaces (SJOP)</w:t>
      </w:r>
      <w:r>
        <w:t xml:space="preserve"> </w:t>
      </w:r>
      <w:r w:rsidR="00BD79DC">
        <w:t xml:space="preserve">in </w:t>
      </w:r>
      <w:r w:rsidR="00C97003">
        <w:t xml:space="preserve">CCH </w:t>
      </w:r>
      <w:r>
        <w:t xml:space="preserve">social-ecological systems; 2) </w:t>
      </w:r>
      <w:r w:rsidRPr="002802A0">
        <w:t>Capitalising on cross-boundary</w:t>
      </w:r>
      <w:r w:rsidR="00A2128D">
        <w:t xml:space="preserve"> and cross-sectoral</w:t>
      </w:r>
      <w:r w:rsidRPr="002802A0">
        <w:t xml:space="preserve"> interdependencies</w:t>
      </w:r>
      <w:r>
        <w:t xml:space="preserve">; </w:t>
      </w:r>
      <w:r w:rsidR="00874F39">
        <w:t xml:space="preserve">3) </w:t>
      </w:r>
      <w:r w:rsidR="00874F39" w:rsidRPr="00874F39">
        <w:t>Tapping the potential of rising food and nutrition security opportunities in CCHs</w:t>
      </w:r>
      <w:r w:rsidR="00874F39">
        <w:t xml:space="preserve">; </w:t>
      </w:r>
      <w:r w:rsidR="00DC3577">
        <w:t xml:space="preserve">and </w:t>
      </w:r>
      <w:r w:rsidR="00874F39">
        <w:t>4</w:t>
      </w:r>
      <w:r>
        <w:t xml:space="preserve">) </w:t>
      </w:r>
      <w:r w:rsidR="00367935">
        <w:t>Setting up robust</w:t>
      </w:r>
      <w:r w:rsidRPr="002802A0">
        <w:t xml:space="preserve"> </w:t>
      </w:r>
      <w:r w:rsidR="00B352E6">
        <w:t xml:space="preserve">regional scale monitoring frameworks for greater accountability </w:t>
      </w:r>
      <w:r w:rsidR="00903CFD">
        <w:t xml:space="preserve">(Fig. 1). </w:t>
      </w:r>
      <w:r w:rsidR="00150B1A">
        <w:t xml:space="preserve">While these </w:t>
      </w:r>
      <w:r w:rsidR="00903CFD">
        <w:t>proposals</w:t>
      </w:r>
      <w:r w:rsidR="00150B1A">
        <w:t xml:space="preserve"> are by no means a</w:t>
      </w:r>
      <w:r w:rsidR="000D5F32">
        <w:t xml:space="preserve"> complete</w:t>
      </w:r>
      <w:r w:rsidR="00150B1A">
        <w:t xml:space="preserve"> remedy to developmental problems in CCH, they complement existing </w:t>
      </w:r>
      <w:r w:rsidR="00561FC0">
        <w:t xml:space="preserve">approaches to </w:t>
      </w:r>
      <w:r w:rsidR="000159E4">
        <w:t xml:space="preserve">eradicating </w:t>
      </w:r>
      <w:r w:rsidR="000159E4">
        <w:lastRenderedPageBreak/>
        <w:t>malnutrition and hunger</w:t>
      </w:r>
      <w:r w:rsidR="00150B1A">
        <w:t xml:space="preserve">. We claim that these </w:t>
      </w:r>
      <w:r w:rsidR="00455923">
        <w:t>strategies</w:t>
      </w:r>
      <w:r w:rsidR="00150B1A">
        <w:t xml:space="preserve"> will contribute to fulfilling both global nutrition and food security relevant goals – such as SDG2, the World Health Assembly (WHA) 2025 nutrition targets</w:t>
      </w:r>
      <w:r w:rsidR="00C244E2">
        <w:t xml:space="preserve"> and relevant</w:t>
      </w:r>
      <w:r w:rsidR="00F500C4">
        <w:t xml:space="preserve"> priorities</w:t>
      </w:r>
      <w:r w:rsidR="00A414F2">
        <w:t xml:space="preserve"> under at the </w:t>
      </w:r>
      <w:r w:rsidR="00A414F2" w:rsidRPr="00A414F2">
        <w:t>Sendai Framework for Disaster Risk Reduction 2015-2030</w:t>
      </w:r>
      <w:r w:rsidR="00A414F2">
        <w:t xml:space="preserve"> (Sendai Framework) </w:t>
      </w:r>
      <w:r w:rsidR="00150B1A">
        <w:t>–</w:t>
      </w:r>
      <w:r w:rsidR="00455923">
        <w:t xml:space="preserve"> and regional, CCH-</w:t>
      </w:r>
      <w:r w:rsidR="00150B1A">
        <w:t xml:space="preserve">relevant targets included in the regional development plans and programmes. </w:t>
      </w:r>
      <w:r w:rsidR="00903CFD">
        <w:t>In order to work, t</w:t>
      </w:r>
      <w:r w:rsidR="00150B1A">
        <w:t xml:space="preserve">hese </w:t>
      </w:r>
      <w:r w:rsidR="00903CFD">
        <w:t>approaches would need to be tailored to specific geographic and socio-economic settings and ideally</w:t>
      </w:r>
      <w:r w:rsidR="00455923">
        <w:t xml:space="preserve"> fit</w:t>
      </w:r>
      <w:r w:rsidR="00903CFD">
        <w:t xml:space="preserve"> within the contextualised theory of change developed for each CCH.</w:t>
      </w:r>
    </w:p>
    <w:p w:rsidR="008A5E0C" w:rsidRPr="008A5E0C" w:rsidRDefault="008A5E0C" w:rsidP="006961A6">
      <w:pPr>
        <w:pStyle w:val="ListParagraph"/>
        <w:spacing w:after="0" w:line="480" w:lineRule="auto"/>
        <w:rPr>
          <w:sz w:val="24"/>
          <w:szCs w:val="24"/>
        </w:rPr>
      </w:pPr>
    </w:p>
    <w:p w:rsidR="00F33249" w:rsidRDefault="00665BF2" w:rsidP="006961A6">
      <w:pPr>
        <w:pStyle w:val="ListParagraph"/>
        <w:numPr>
          <w:ilvl w:val="0"/>
          <w:numId w:val="8"/>
        </w:numPr>
        <w:spacing w:after="0" w:line="480" w:lineRule="auto"/>
        <w:jc w:val="center"/>
        <w:rPr>
          <w:sz w:val="24"/>
          <w:szCs w:val="24"/>
        </w:rPr>
      </w:pPr>
      <w:r>
        <w:rPr>
          <w:sz w:val="24"/>
          <w:szCs w:val="24"/>
        </w:rPr>
        <w:t>Figure 1 around here</w:t>
      </w:r>
      <w:r w:rsidR="002C482C">
        <w:rPr>
          <w:sz w:val="24"/>
          <w:szCs w:val="24"/>
        </w:rPr>
        <w:t xml:space="preserve"> –</w:t>
      </w:r>
    </w:p>
    <w:p w:rsidR="00231BFB" w:rsidRDefault="00231BFB" w:rsidP="006961A6">
      <w:pPr>
        <w:pStyle w:val="ListParagraph"/>
        <w:spacing w:after="0" w:line="480" w:lineRule="auto"/>
        <w:ind w:left="1080"/>
        <w:rPr>
          <w:sz w:val="24"/>
          <w:szCs w:val="24"/>
        </w:rPr>
      </w:pPr>
    </w:p>
    <w:p w:rsidR="007500B3" w:rsidRDefault="00231BFB" w:rsidP="006961A6">
      <w:pPr>
        <w:spacing w:after="0" w:line="480" w:lineRule="auto"/>
        <w:rPr>
          <w:b/>
        </w:rPr>
      </w:pPr>
      <w:r>
        <w:rPr>
          <w:noProof/>
          <w:lang w:eastAsia="zh-CN"/>
        </w:rPr>
        <mc:AlternateContent>
          <mc:Choice Requires="wps">
            <w:drawing>
              <wp:anchor distT="0" distB="0" distL="114300" distR="114300" simplePos="0" relativeHeight="251657728" behindDoc="1" locked="0" layoutInCell="1" allowOverlap="1">
                <wp:simplePos x="0" y="0"/>
                <wp:positionH relativeFrom="column">
                  <wp:posOffset>-24765</wp:posOffset>
                </wp:positionH>
                <wp:positionV relativeFrom="paragraph">
                  <wp:posOffset>207645</wp:posOffset>
                </wp:positionV>
                <wp:extent cx="5730875" cy="266700"/>
                <wp:effectExtent l="0" t="0" r="0" b="0"/>
                <wp:wrapTight wrapText="bothSides">
                  <wp:wrapPolygon edited="0">
                    <wp:start x="0" y="0"/>
                    <wp:lineTo x="0" y="20057"/>
                    <wp:lineTo x="21540" y="20057"/>
                    <wp:lineTo x="2154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875" cy="266700"/>
                        </a:xfrm>
                        <a:prstGeom prst="rect">
                          <a:avLst/>
                        </a:prstGeom>
                        <a:solidFill>
                          <a:prstClr val="white"/>
                        </a:solidFill>
                        <a:ln>
                          <a:noFill/>
                        </a:ln>
                      </wps:spPr>
                      <wps:txbx>
                        <w:txbxContent>
                          <w:p w:rsidR="001D4FB1" w:rsidRPr="00FD2560" w:rsidRDefault="001D4FB1" w:rsidP="00FD2560">
                            <w:pPr>
                              <w:pStyle w:val="Caption"/>
                              <w:rPr>
                                <w:b/>
                                <w:i w:val="0"/>
                                <w:color w:val="auto"/>
                              </w:rPr>
                            </w:pPr>
                            <w:r w:rsidRPr="00FD2560">
                              <w:rPr>
                                <w:b/>
                                <w:i w:val="0"/>
                                <w:color w:val="auto"/>
                              </w:rPr>
                              <w:t xml:space="preserve">Figure </w:t>
                            </w:r>
                            <w:r w:rsidR="00154F5C" w:rsidRPr="00FD2560">
                              <w:rPr>
                                <w:b/>
                                <w:i w:val="0"/>
                                <w:color w:val="auto"/>
                              </w:rPr>
                              <w:fldChar w:fldCharType="begin"/>
                            </w:r>
                            <w:r w:rsidRPr="00FD2560">
                              <w:rPr>
                                <w:b/>
                                <w:i w:val="0"/>
                                <w:color w:val="auto"/>
                              </w:rPr>
                              <w:instrText xml:space="preserve"> SEQ Figure \* ARABIC </w:instrText>
                            </w:r>
                            <w:r w:rsidR="00154F5C" w:rsidRPr="00FD2560">
                              <w:rPr>
                                <w:b/>
                                <w:i w:val="0"/>
                                <w:color w:val="auto"/>
                              </w:rPr>
                              <w:fldChar w:fldCharType="separate"/>
                            </w:r>
                            <w:r w:rsidRPr="00FD2560">
                              <w:rPr>
                                <w:b/>
                                <w:i w:val="0"/>
                                <w:noProof/>
                                <w:color w:val="auto"/>
                              </w:rPr>
                              <w:t>1</w:t>
                            </w:r>
                            <w:r w:rsidR="00154F5C" w:rsidRPr="00FD2560">
                              <w:rPr>
                                <w:b/>
                                <w:i w:val="0"/>
                                <w:color w:val="auto"/>
                              </w:rPr>
                              <w:fldChar w:fldCharType="end"/>
                            </w:r>
                            <w:r w:rsidRPr="00FD2560">
                              <w:rPr>
                                <w:b/>
                                <w:i w:val="0"/>
                                <w:color w:val="auto"/>
                              </w:rPr>
                              <w:t xml:space="preserve"> </w:t>
                            </w:r>
                            <w:r w:rsidR="0034000F">
                              <w:rPr>
                                <w:b/>
                                <w:i w:val="0"/>
                                <w:color w:val="auto"/>
                              </w:rPr>
                              <w:t>Conceptual framework for accelerating Zero Hunger goal</w:t>
                            </w:r>
                            <w:r w:rsidRPr="00FD2560">
                              <w:rPr>
                                <w:b/>
                                <w:i w:val="0"/>
                                <w:color w:val="auto"/>
                              </w:rPr>
                              <w:t xml:space="preserve"> in </w:t>
                            </w:r>
                            <w:r w:rsidR="00BC3E43">
                              <w:rPr>
                                <w:b/>
                                <w:i w:val="0"/>
                                <w:color w:val="auto"/>
                              </w:rPr>
                              <w:t>cross-b</w:t>
                            </w:r>
                            <w:r w:rsidRPr="00FD2560">
                              <w:rPr>
                                <w:b/>
                                <w:i w:val="0"/>
                                <w:color w:val="auto"/>
                              </w:rPr>
                              <w:t>oundary climate change hotspots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95pt;margin-top:16.35pt;width:451.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" stroked="f">
                <v:textbox style="mso-fit-shape-to-text:t" inset="0,0,0,0">
                  <w:txbxContent>
                    <w:p w:rsidR="001D4FB1" w:rsidRPr="00FD2560" w:rsidRDefault="001D4FB1" w:rsidP="00FD2560">
                      <w:pPr>
                        <w:pStyle w:val="Caption"/>
                        <w:rPr>
                          <w:b/>
                          <w:i w:val="0"/>
                          <w:color w:val="auto"/>
                        </w:rPr>
                      </w:pPr>
                      <w:r w:rsidRPr="00FD2560">
                        <w:rPr>
                          <w:b/>
                          <w:i w:val="0"/>
                          <w:color w:val="auto"/>
                        </w:rPr>
                        <w:t xml:space="preserve">Figure </w:t>
                      </w:r>
                      <w:r w:rsidR="00154F5C" w:rsidRPr="00FD2560">
                        <w:rPr>
                          <w:b/>
                          <w:i w:val="0"/>
                          <w:color w:val="auto"/>
                        </w:rPr>
                        <w:fldChar w:fldCharType="begin"/>
                      </w:r>
                      <w:r w:rsidRPr="00FD2560">
                        <w:rPr>
                          <w:b/>
                          <w:i w:val="0"/>
                          <w:color w:val="auto"/>
                        </w:rPr>
                        <w:instrText xml:space="preserve"> SEQ Figure \* ARABIC </w:instrText>
                      </w:r>
                      <w:r w:rsidR="00154F5C" w:rsidRPr="00FD2560">
                        <w:rPr>
                          <w:b/>
                          <w:i w:val="0"/>
                          <w:color w:val="auto"/>
                        </w:rPr>
                        <w:fldChar w:fldCharType="separate"/>
                      </w:r>
                      <w:r w:rsidRPr="00FD2560">
                        <w:rPr>
                          <w:b/>
                          <w:i w:val="0"/>
                          <w:noProof/>
                          <w:color w:val="auto"/>
                        </w:rPr>
                        <w:t>1</w:t>
                      </w:r>
                      <w:r w:rsidR="00154F5C" w:rsidRPr="00FD2560">
                        <w:rPr>
                          <w:b/>
                          <w:i w:val="0"/>
                          <w:color w:val="auto"/>
                        </w:rPr>
                        <w:fldChar w:fldCharType="end"/>
                      </w:r>
                      <w:r w:rsidRPr="00FD2560">
                        <w:rPr>
                          <w:b/>
                          <w:i w:val="0"/>
                          <w:color w:val="auto"/>
                        </w:rPr>
                        <w:t xml:space="preserve"> </w:t>
                      </w:r>
                      <w:r w:rsidR="0034000F">
                        <w:rPr>
                          <w:b/>
                          <w:i w:val="0"/>
                          <w:color w:val="auto"/>
                        </w:rPr>
                        <w:t>Conceptual framework for accelerating Zero Hunger goal</w:t>
                      </w:r>
                      <w:r w:rsidRPr="00FD2560">
                        <w:rPr>
                          <w:b/>
                          <w:i w:val="0"/>
                          <w:color w:val="auto"/>
                        </w:rPr>
                        <w:t xml:space="preserve"> in </w:t>
                      </w:r>
                      <w:r w:rsidR="00BC3E43">
                        <w:rPr>
                          <w:b/>
                          <w:i w:val="0"/>
                          <w:color w:val="auto"/>
                        </w:rPr>
                        <w:t>cross-b</w:t>
                      </w:r>
                      <w:r w:rsidRPr="00FD2560">
                        <w:rPr>
                          <w:b/>
                          <w:i w:val="0"/>
                          <w:color w:val="auto"/>
                        </w:rPr>
                        <w:t>oundary climate change hotspots</w:t>
                      </w:r>
                    </w:p>
                  </w:txbxContent>
                </v:textbox>
                <w10:wrap type="tight"/>
              </v:shape>
            </w:pict>
          </mc:Fallback>
        </mc:AlternateContent>
      </w:r>
    </w:p>
    <w:p w:rsidR="00231BFB" w:rsidRDefault="00231BFB" w:rsidP="006961A6">
      <w:pPr>
        <w:spacing w:after="0" w:line="480" w:lineRule="auto"/>
        <w:rPr>
          <w:b/>
        </w:rPr>
      </w:pPr>
    </w:p>
    <w:p w:rsidR="002C482C" w:rsidRDefault="00043FD1" w:rsidP="006961A6">
      <w:pPr>
        <w:spacing w:after="0" w:line="480" w:lineRule="auto"/>
        <w:rPr>
          <w:b/>
        </w:rPr>
      </w:pPr>
      <w:r>
        <w:rPr>
          <w:b/>
        </w:rPr>
        <w:t>Applyi</w:t>
      </w:r>
      <w:r w:rsidR="005C7C9B">
        <w:rPr>
          <w:b/>
        </w:rPr>
        <w:t>ng</w:t>
      </w:r>
      <w:r w:rsidR="00DD7177" w:rsidRPr="006C6099">
        <w:rPr>
          <w:b/>
        </w:rPr>
        <w:t xml:space="preserve"> </w:t>
      </w:r>
      <w:r w:rsidR="006561AA">
        <w:rPr>
          <w:b/>
        </w:rPr>
        <w:t>the concept of</w:t>
      </w:r>
      <w:r w:rsidR="0027736C" w:rsidRPr="0027736C">
        <w:t xml:space="preserve"> </w:t>
      </w:r>
      <w:r w:rsidR="0027736C" w:rsidRPr="0027736C">
        <w:rPr>
          <w:b/>
        </w:rPr>
        <w:t xml:space="preserve">safe and just operating spaces </w:t>
      </w:r>
      <w:r>
        <w:rPr>
          <w:b/>
        </w:rPr>
        <w:t>in</w:t>
      </w:r>
      <w:r w:rsidR="00DD7177" w:rsidRPr="006C6099">
        <w:rPr>
          <w:b/>
        </w:rPr>
        <w:t xml:space="preserve"> regional </w:t>
      </w:r>
      <w:r w:rsidR="007030D1">
        <w:rPr>
          <w:b/>
        </w:rPr>
        <w:t xml:space="preserve">CCH </w:t>
      </w:r>
      <w:r w:rsidR="00DD7177" w:rsidRPr="006C6099">
        <w:rPr>
          <w:b/>
        </w:rPr>
        <w:t>social-ecological systems</w:t>
      </w:r>
    </w:p>
    <w:p w:rsidR="00217F5C" w:rsidRDefault="009C41E8" w:rsidP="006961A6">
      <w:pPr>
        <w:spacing w:after="0" w:line="480" w:lineRule="auto"/>
        <w:rPr>
          <w:rFonts w:cstheme="minorHAnsi"/>
        </w:rPr>
      </w:pPr>
      <w:r w:rsidRPr="00021428">
        <w:rPr>
          <w:rFonts w:cstheme="minorHAnsi"/>
        </w:rPr>
        <w:t>The concept of a</w:t>
      </w:r>
      <w:r w:rsidR="00CE283F">
        <w:rPr>
          <w:rFonts w:cstheme="minorHAnsi"/>
        </w:rPr>
        <w:t xml:space="preserve"> SJOS</w:t>
      </w:r>
      <w:r w:rsidRPr="00021428">
        <w:rPr>
          <w:rFonts w:cstheme="minorHAnsi"/>
        </w:rPr>
        <w:t xml:space="preserve"> provided through </w:t>
      </w:r>
      <w:r w:rsidR="001D0AA6">
        <w:rPr>
          <w:rFonts w:cstheme="minorHAnsi"/>
        </w:rPr>
        <w:t>the so-called</w:t>
      </w:r>
      <w:r w:rsidR="001D0AA6" w:rsidRPr="00021428">
        <w:rPr>
          <w:rFonts w:cstheme="minorHAnsi"/>
        </w:rPr>
        <w:t xml:space="preserve"> </w:t>
      </w:r>
      <w:r w:rsidR="001D0AA6">
        <w:rPr>
          <w:rFonts w:cstheme="minorHAnsi"/>
        </w:rPr>
        <w:t>“</w:t>
      </w:r>
      <w:r w:rsidRPr="00021428">
        <w:rPr>
          <w:rFonts w:cstheme="minorHAnsi"/>
        </w:rPr>
        <w:t>doughnut framework</w:t>
      </w:r>
      <w:r w:rsidR="001D0AA6">
        <w:rPr>
          <w:rFonts w:cstheme="minorHAnsi"/>
        </w:rPr>
        <w:t>”</w:t>
      </w:r>
      <w:r w:rsidRPr="00021428">
        <w:rPr>
          <w:rFonts w:cstheme="minorHAnsi"/>
        </w:rPr>
        <w:t xml:space="preserve"> has delineated boundaries for ecological processes and thresholds for social wellbeing at glo</w:t>
      </w:r>
      <w:r w:rsidRPr="005C7C9B">
        <w:rPr>
          <w:rFonts w:cstheme="minorHAnsi"/>
        </w:rPr>
        <w:t>bal scale.</w:t>
      </w:r>
      <w:r w:rsidR="00B20D28">
        <w:rPr>
          <w:rFonts w:cstheme="minorHAnsi"/>
          <w:vertAlign w:val="superscript"/>
        </w:rPr>
        <w:t>9</w:t>
      </w:r>
      <w:r w:rsidRPr="005C7C9B">
        <w:rPr>
          <w:rFonts w:cstheme="minorHAnsi"/>
        </w:rPr>
        <w:t xml:space="preserve"> The operationalization of the SJOS concept </w:t>
      </w:r>
      <w:r w:rsidR="000D5F32">
        <w:rPr>
          <w:rFonts w:cstheme="minorHAnsi"/>
        </w:rPr>
        <w:t xml:space="preserve">therefore </w:t>
      </w:r>
      <w:r w:rsidRPr="005C7C9B">
        <w:rPr>
          <w:rFonts w:cstheme="minorHAnsi"/>
        </w:rPr>
        <w:t>provides</w:t>
      </w:r>
      <w:r w:rsidR="004F68EC">
        <w:rPr>
          <w:rFonts w:cstheme="minorHAnsi"/>
        </w:rPr>
        <w:t xml:space="preserve"> </w:t>
      </w:r>
      <w:r w:rsidRPr="005C7C9B">
        <w:rPr>
          <w:rFonts w:cstheme="minorHAnsi"/>
        </w:rPr>
        <w:t>a basis</w:t>
      </w:r>
      <w:r w:rsidR="00F1014E" w:rsidRPr="005C7C9B">
        <w:rPr>
          <w:rFonts w:cstheme="minorHAnsi"/>
        </w:rPr>
        <w:t xml:space="preserve"> </w:t>
      </w:r>
      <w:r w:rsidRPr="005C7C9B">
        <w:rPr>
          <w:rFonts w:cstheme="minorHAnsi"/>
        </w:rPr>
        <w:t xml:space="preserve">for exploring the linkages between social and ecological systems and </w:t>
      </w:r>
      <w:r w:rsidR="00F64C37">
        <w:rPr>
          <w:rFonts w:cstheme="minorHAnsi"/>
        </w:rPr>
        <w:t>allows identification of</w:t>
      </w:r>
      <w:r w:rsidRPr="005C7C9B">
        <w:rPr>
          <w:rFonts w:cstheme="minorHAnsi"/>
        </w:rPr>
        <w:t xml:space="preserve"> minimum thresholds for social systems</w:t>
      </w:r>
      <w:r w:rsidR="005E7E33">
        <w:rPr>
          <w:rFonts w:cstheme="minorHAnsi"/>
        </w:rPr>
        <w:t xml:space="preserve"> – and maximum thresholds for ecological systems</w:t>
      </w:r>
      <w:r w:rsidRPr="005C7C9B">
        <w:rPr>
          <w:rFonts w:cstheme="minorHAnsi"/>
        </w:rPr>
        <w:t xml:space="preserve">. For example, </w:t>
      </w:r>
      <w:r w:rsidR="00666B31">
        <w:rPr>
          <w:rFonts w:cstheme="minorHAnsi"/>
        </w:rPr>
        <w:t>the SJOS concept</w:t>
      </w:r>
      <w:r w:rsidR="00F1014E" w:rsidRPr="005C7C9B">
        <w:rPr>
          <w:rFonts w:cstheme="minorHAnsi"/>
        </w:rPr>
        <w:t xml:space="preserve"> can be applied to </w:t>
      </w:r>
      <w:r w:rsidR="005E7E33">
        <w:rPr>
          <w:rFonts w:cstheme="minorHAnsi"/>
        </w:rPr>
        <w:t>understand</w:t>
      </w:r>
      <w:r w:rsidR="005E7E33" w:rsidRPr="005C7C9B">
        <w:rPr>
          <w:rFonts w:cstheme="minorHAnsi"/>
        </w:rPr>
        <w:t xml:space="preserve"> </w:t>
      </w:r>
      <w:r w:rsidR="00F1014E" w:rsidRPr="005C7C9B">
        <w:rPr>
          <w:rFonts w:cstheme="minorHAnsi"/>
        </w:rPr>
        <w:t xml:space="preserve">how rapid resource </w:t>
      </w:r>
      <w:r w:rsidR="005E4929" w:rsidRPr="005C7C9B">
        <w:rPr>
          <w:rFonts w:cstheme="minorHAnsi"/>
        </w:rPr>
        <w:t>exploitation</w:t>
      </w:r>
      <w:r w:rsidR="005C7C9B">
        <w:rPr>
          <w:rFonts w:cstheme="minorHAnsi"/>
        </w:rPr>
        <w:t xml:space="preserve">, such as </w:t>
      </w:r>
      <w:r w:rsidR="00217F5C">
        <w:rPr>
          <w:rFonts w:cstheme="minorHAnsi"/>
        </w:rPr>
        <w:t>s</w:t>
      </w:r>
      <w:r w:rsidR="006D2CBA" w:rsidRPr="005C7C9B">
        <w:rPr>
          <w:rFonts w:cstheme="minorHAnsi"/>
        </w:rPr>
        <w:t>hrimp</w:t>
      </w:r>
      <w:r w:rsidR="00F1014E" w:rsidRPr="005C7C9B">
        <w:rPr>
          <w:rFonts w:cstheme="minorHAnsi"/>
        </w:rPr>
        <w:t xml:space="preserve"> farming</w:t>
      </w:r>
      <w:r w:rsidR="005C7C9B">
        <w:rPr>
          <w:rFonts w:cstheme="minorHAnsi"/>
        </w:rPr>
        <w:t xml:space="preserve"> or</w:t>
      </w:r>
      <w:r w:rsidR="00F1014E" w:rsidRPr="005C7C9B">
        <w:rPr>
          <w:rFonts w:cstheme="minorHAnsi"/>
        </w:rPr>
        <w:t xml:space="preserve"> agricultural intensification</w:t>
      </w:r>
      <w:r w:rsidR="005C7C9B">
        <w:rPr>
          <w:rFonts w:cstheme="minorHAnsi"/>
        </w:rPr>
        <w:t>,</w:t>
      </w:r>
      <w:r w:rsidR="00F1014E" w:rsidRPr="005C7C9B">
        <w:rPr>
          <w:rFonts w:cstheme="minorHAnsi"/>
        </w:rPr>
        <w:t xml:space="preserve"> is associated with food and nutrition security, which in turn may increase environmental degradation</w:t>
      </w:r>
      <w:r w:rsidR="005C7C9B">
        <w:rPr>
          <w:rFonts w:cstheme="minorHAnsi"/>
        </w:rPr>
        <w:t xml:space="preserve"> in CCH</w:t>
      </w:r>
      <w:r w:rsidR="005E7E33">
        <w:rPr>
          <w:rFonts w:cstheme="minorHAnsi"/>
        </w:rPr>
        <w:t xml:space="preserve"> – with possible feedbacks on the social system and a reduction of resilience in both systems</w:t>
      </w:r>
      <w:r w:rsidR="00F1014E" w:rsidRPr="005C7C9B">
        <w:rPr>
          <w:rFonts w:cstheme="minorHAnsi"/>
        </w:rPr>
        <w:t xml:space="preserve">. </w:t>
      </w:r>
      <w:r w:rsidR="00FB5A04">
        <w:rPr>
          <w:rFonts w:cstheme="minorHAnsi"/>
        </w:rPr>
        <w:t xml:space="preserve">The resulting evidence </w:t>
      </w:r>
      <w:r w:rsidR="00666B31" w:rsidRPr="003A131D">
        <w:rPr>
          <w:rFonts w:cstheme="minorHAnsi"/>
        </w:rPr>
        <w:t xml:space="preserve">can </w:t>
      </w:r>
      <w:r w:rsidR="00FB5A04" w:rsidRPr="003A131D">
        <w:rPr>
          <w:rFonts w:cstheme="minorHAnsi"/>
        </w:rPr>
        <w:t>be used</w:t>
      </w:r>
      <w:r w:rsidR="00666B31" w:rsidRPr="003A131D">
        <w:rPr>
          <w:rFonts w:cstheme="minorHAnsi"/>
        </w:rPr>
        <w:t xml:space="preserve"> </w:t>
      </w:r>
      <w:r w:rsidR="00FB5A04" w:rsidRPr="003A131D">
        <w:rPr>
          <w:rFonts w:cstheme="minorHAnsi"/>
        </w:rPr>
        <w:t>during the design of</w:t>
      </w:r>
      <w:r w:rsidR="00666B31" w:rsidRPr="003A131D">
        <w:rPr>
          <w:rFonts w:cstheme="minorHAnsi"/>
        </w:rPr>
        <w:t xml:space="preserve"> </w:t>
      </w:r>
      <w:r w:rsidR="0081093F" w:rsidRPr="003A131D">
        <w:rPr>
          <w:rFonts w:cstheme="minorHAnsi"/>
        </w:rPr>
        <w:t xml:space="preserve">the transboundary cooperation and development plans for CCH, such </w:t>
      </w:r>
      <w:r w:rsidR="004C5BC0">
        <w:rPr>
          <w:rFonts w:cstheme="minorHAnsi"/>
        </w:rPr>
        <w:t xml:space="preserve">as the </w:t>
      </w:r>
      <w:r w:rsidR="00CB5A3D" w:rsidRPr="00CB5A3D">
        <w:rPr>
          <w:rFonts w:cstheme="minorHAnsi"/>
        </w:rPr>
        <w:t>Sea-Red river delta master plan</w:t>
      </w:r>
      <w:r w:rsidR="002E0EB5">
        <w:rPr>
          <w:rFonts w:cstheme="minorHAnsi"/>
        </w:rPr>
        <w:t>.</w:t>
      </w:r>
      <w:r w:rsidR="00B20D28">
        <w:rPr>
          <w:rFonts w:cstheme="minorHAnsi"/>
          <w:vertAlign w:val="superscript"/>
        </w:rPr>
        <w:t>10</w:t>
      </w:r>
      <w:r w:rsidR="009B5D61">
        <w:rPr>
          <w:rFonts w:cstheme="minorHAnsi"/>
        </w:rPr>
        <w:t xml:space="preserve"> </w:t>
      </w:r>
      <w:r w:rsidR="00987868" w:rsidRPr="003A131D">
        <w:rPr>
          <w:rFonts w:cstheme="minorHAnsi"/>
        </w:rPr>
        <w:t>In semi-arid regions</w:t>
      </w:r>
      <w:r w:rsidR="00C55647" w:rsidRPr="003A131D">
        <w:rPr>
          <w:rFonts w:cstheme="minorHAnsi"/>
        </w:rPr>
        <w:t>,</w:t>
      </w:r>
      <w:r w:rsidR="00987868" w:rsidRPr="003A131D">
        <w:rPr>
          <w:rFonts w:cstheme="minorHAnsi"/>
        </w:rPr>
        <w:t xml:space="preserve"> for example in the Sahel, the SJOS concept can be applied to investigate the boundaries and thresholds </w:t>
      </w:r>
      <w:r w:rsidR="00987868" w:rsidRPr="003A131D">
        <w:rPr>
          <w:rFonts w:cstheme="minorHAnsi"/>
        </w:rPr>
        <w:lastRenderedPageBreak/>
        <w:t xml:space="preserve">of the </w:t>
      </w:r>
      <w:r w:rsidR="003A131D" w:rsidRPr="003A131D">
        <w:rPr>
          <w:rFonts w:cstheme="minorHAnsi"/>
        </w:rPr>
        <w:t>socioeconomic systems, which are home to often marginalised pastoral and transhumant communities</w:t>
      </w:r>
      <w:r w:rsidR="00987868" w:rsidRPr="003A131D">
        <w:rPr>
          <w:rFonts w:cstheme="minorHAnsi"/>
        </w:rPr>
        <w:t>.</w:t>
      </w:r>
    </w:p>
    <w:p w:rsidR="002B570F" w:rsidRPr="00C55647" w:rsidRDefault="006D2CBA" w:rsidP="006961A6">
      <w:pPr>
        <w:spacing w:after="0" w:line="480" w:lineRule="auto"/>
        <w:rPr>
          <w:rFonts w:cstheme="minorHAnsi"/>
        </w:rPr>
      </w:pPr>
      <w:r w:rsidRPr="005C7C9B">
        <w:rPr>
          <w:rFonts w:cstheme="minorHAnsi"/>
        </w:rPr>
        <w:t>Furthermore, t</w:t>
      </w:r>
      <w:r w:rsidR="00F1014E" w:rsidRPr="005C7C9B">
        <w:rPr>
          <w:rFonts w:cstheme="minorHAnsi"/>
        </w:rPr>
        <w:t xml:space="preserve">he SJOS concept can serve as a powerful </w:t>
      </w:r>
      <w:r w:rsidR="0019731F">
        <w:rPr>
          <w:rFonts w:cstheme="minorHAnsi"/>
        </w:rPr>
        <w:t>tool</w:t>
      </w:r>
      <w:r w:rsidR="00F1014E" w:rsidRPr="005C7C9B">
        <w:rPr>
          <w:rFonts w:cstheme="minorHAnsi"/>
        </w:rPr>
        <w:t xml:space="preserve"> to </w:t>
      </w:r>
      <w:r w:rsidR="00D136E9">
        <w:rPr>
          <w:rFonts w:cstheme="minorHAnsi"/>
        </w:rPr>
        <w:t>quantify</w:t>
      </w:r>
      <w:r w:rsidR="00F1014E" w:rsidRPr="005C7C9B">
        <w:rPr>
          <w:rFonts w:cstheme="minorHAnsi"/>
        </w:rPr>
        <w:t xml:space="preserve"> and compare regional differences</w:t>
      </w:r>
      <w:r w:rsidR="0091643D">
        <w:rPr>
          <w:rFonts w:cstheme="minorHAnsi"/>
        </w:rPr>
        <w:t xml:space="preserve">. Dearing et al. (2014) showed </w:t>
      </w:r>
      <w:r w:rsidR="00EF1664">
        <w:rPr>
          <w:rFonts w:cstheme="minorHAnsi"/>
        </w:rPr>
        <w:t xml:space="preserve">the usefulness of this concept in mapping environmental degradation boundaries in Shucheng county in eastern China, which </w:t>
      </w:r>
      <w:r w:rsidR="000D5F32">
        <w:rPr>
          <w:rFonts w:cstheme="minorHAnsi"/>
        </w:rPr>
        <w:t xml:space="preserve">revealed </w:t>
      </w:r>
      <w:r w:rsidR="00EF1664">
        <w:rPr>
          <w:rFonts w:cstheme="minorHAnsi"/>
        </w:rPr>
        <w:t>unsustainable use of ecological services.</w:t>
      </w:r>
      <w:r w:rsidR="00B20D28">
        <w:rPr>
          <w:rFonts w:cstheme="minorHAnsi"/>
          <w:vertAlign w:val="superscript"/>
        </w:rPr>
        <w:t>11</w:t>
      </w:r>
      <w:r w:rsidR="00EF1664">
        <w:rPr>
          <w:rFonts w:cstheme="minorHAnsi"/>
        </w:rPr>
        <w:t xml:space="preserve"> Operationalising the SJOS would also be useful in the</w:t>
      </w:r>
      <w:r w:rsidR="000906B1">
        <w:rPr>
          <w:rFonts w:cstheme="minorHAnsi"/>
        </w:rPr>
        <w:t xml:space="preserve"> context of</w:t>
      </w:r>
      <w:r w:rsidR="00F1014E" w:rsidRPr="00021428">
        <w:rPr>
          <w:rFonts w:cstheme="minorHAnsi"/>
        </w:rPr>
        <w:t xml:space="preserve"> the </w:t>
      </w:r>
      <w:r w:rsidR="00E450CB" w:rsidRPr="005C7C9B">
        <w:rPr>
          <w:rFonts w:cstheme="minorHAnsi"/>
        </w:rPr>
        <w:t xml:space="preserve">water resource management </w:t>
      </w:r>
      <w:r w:rsidRPr="00021428">
        <w:rPr>
          <w:rFonts w:cstheme="minorHAnsi"/>
        </w:rPr>
        <w:t xml:space="preserve">conflicts </w:t>
      </w:r>
      <w:r w:rsidR="005C7C9B">
        <w:rPr>
          <w:rFonts w:cstheme="minorHAnsi"/>
        </w:rPr>
        <w:t xml:space="preserve">in the Ganges Brahmaputra hotspot </w:t>
      </w:r>
      <w:r w:rsidRPr="00021428">
        <w:rPr>
          <w:rFonts w:cstheme="minorHAnsi"/>
        </w:rPr>
        <w:t>between Bangladesh and India</w:t>
      </w:r>
      <w:r w:rsidR="00E450CB" w:rsidRPr="005C7C9B">
        <w:rPr>
          <w:rFonts w:cstheme="minorHAnsi"/>
        </w:rPr>
        <w:t xml:space="preserve">. </w:t>
      </w:r>
      <w:r w:rsidR="002B570F" w:rsidRPr="00021428">
        <w:rPr>
          <w:rFonts w:cstheme="minorHAnsi"/>
        </w:rPr>
        <w:t>The</w:t>
      </w:r>
      <w:r w:rsidR="0073774A" w:rsidRPr="00021428">
        <w:rPr>
          <w:rFonts w:cstheme="minorHAnsi"/>
        </w:rPr>
        <w:t xml:space="preserve"> SJOS concept</w:t>
      </w:r>
      <w:r w:rsidR="009C41E8" w:rsidRPr="00021428">
        <w:rPr>
          <w:rFonts w:cstheme="minorHAnsi"/>
        </w:rPr>
        <w:t xml:space="preserve"> can also serve as a basis for exploring transformation pathways within which the Zero Hunger </w:t>
      </w:r>
      <w:r w:rsidR="00CD78A4">
        <w:rPr>
          <w:rFonts w:cstheme="minorHAnsi"/>
        </w:rPr>
        <w:t>G</w:t>
      </w:r>
      <w:r w:rsidR="009C41E8" w:rsidRPr="00021428">
        <w:rPr>
          <w:rFonts w:cstheme="minorHAnsi"/>
        </w:rPr>
        <w:t xml:space="preserve">oal </w:t>
      </w:r>
      <w:r w:rsidR="00140561">
        <w:rPr>
          <w:rFonts w:cstheme="minorHAnsi"/>
        </w:rPr>
        <w:t xml:space="preserve">can be achieved, </w:t>
      </w:r>
      <w:r w:rsidR="009C41E8" w:rsidRPr="00021428">
        <w:rPr>
          <w:rFonts w:cstheme="minorHAnsi"/>
        </w:rPr>
        <w:t xml:space="preserve">and which could be jeopardised by moving beyond the SJOS. </w:t>
      </w:r>
      <w:r w:rsidR="005C7C9B">
        <w:rPr>
          <w:rFonts w:cstheme="minorHAnsi"/>
        </w:rPr>
        <w:t>It</w:t>
      </w:r>
      <w:r w:rsidR="009C41E8" w:rsidRPr="00021428">
        <w:rPr>
          <w:rFonts w:cstheme="minorHAnsi"/>
        </w:rPr>
        <w:t xml:space="preserve"> is particularly important in the </w:t>
      </w:r>
      <w:r w:rsidR="005C7C9B">
        <w:rPr>
          <w:rFonts w:cstheme="minorHAnsi"/>
        </w:rPr>
        <w:t xml:space="preserve">CCH </w:t>
      </w:r>
      <w:r w:rsidR="002B570F" w:rsidRPr="005C7C9B">
        <w:rPr>
          <w:rFonts w:cstheme="minorHAnsi"/>
        </w:rPr>
        <w:t>across the world to investigate</w:t>
      </w:r>
      <w:r w:rsidR="00140561">
        <w:rPr>
          <w:rFonts w:cstheme="minorHAnsi"/>
        </w:rPr>
        <w:t xml:space="preserve"> and influence</w:t>
      </w:r>
      <w:r w:rsidR="00E450CB" w:rsidRPr="005C7C9B">
        <w:rPr>
          <w:rFonts w:cstheme="minorHAnsi"/>
        </w:rPr>
        <w:t xml:space="preserve"> </w:t>
      </w:r>
      <w:r w:rsidR="002B570F" w:rsidRPr="005C7C9B">
        <w:rPr>
          <w:rFonts w:cstheme="minorHAnsi"/>
        </w:rPr>
        <w:t>the pathways and the drivers that may lead the social-ecological systems</w:t>
      </w:r>
      <w:r w:rsidR="00140561">
        <w:rPr>
          <w:rFonts w:cstheme="minorHAnsi"/>
        </w:rPr>
        <w:t xml:space="preserve"> to</w:t>
      </w:r>
      <w:r w:rsidR="002B570F" w:rsidRPr="005C7C9B">
        <w:rPr>
          <w:rFonts w:cstheme="minorHAnsi"/>
        </w:rPr>
        <w:t xml:space="preserve"> mov</w:t>
      </w:r>
      <w:r w:rsidR="00140561">
        <w:rPr>
          <w:rFonts w:cstheme="minorHAnsi"/>
        </w:rPr>
        <w:t>e</w:t>
      </w:r>
      <w:r w:rsidR="002B570F" w:rsidRPr="005C7C9B">
        <w:rPr>
          <w:rFonts w:cstheme="minorHAnsi"/>
        </w:rPr>
        <w:t xml:space="preserve"> out of a SJOS, beyond which there is a high risk of hunger and food insecurity.</w:t>
      </w:r>
      <w:r w:rsidR="009B5D61" w:rsidRPr="009B5D61">
        <w:rPr>
          <w:rFonts w:cstheme="minorHAnsi"/>
          <w:vertAlign w:val="superscript"/>
        </w:rPr>
        <w:t>1</w:t>
      </w:r>
      <w:r w:rsidR="00B20D28">
        <w:rPr>
          <w:rFonts w:cstheme="minorHAnsi"/>
          <w:vertAlign w:val="superscript"/>
        </w:rPr>
        <w:t>2</w:t>
      </w:r>
      <w:r w:rsidR="002B570F" w:rsidRPr="009B5D61">
        <w:rPr>
          <w:rFonts w:cstheme="minorHAnsi"/>
          <w:sz w:val="20"/>
          <w:szCs w:val="20"/>
          <w:vertAlign w:val="superscript"/>
        </w:rPr>
        <w:t xml:space="preserve">  </w:t>
      </w:r>
    </w:p>
    <w:p w:rsidR="00217F5C" w:rsidRDefault="00217F5C" w:rsidP="006961A6">
      <w:pPr>
        <w:pStyle w:val="ListParagraph"/>
        <w:spacing w:after="0" w:line="480" w:lineRule="auto"/>
        <w:ind w:left="0"/>
      </w:pPr>
    </w:p>
    <w:p w:rsidR="00021428" w:rsidRPr="00021428" w:rsidRDefault="00021428" w:rsidP="006961A6">
      <w:pPr>
        <w:tabs>
          <w:tab w:val="left" w:pos="6072"/>
        </w:tabs>
        <w:spacing w:after="0" w:line="480" w:lineRule="auto"/>
        <w:rPr>
          <w:b/>
        </w:rPr>
      </w:pPr>
      <w:r w:rsidRPr="00021428">
        <w:rPr>
          <w:b/>
        </w:rPr>
        <w:t>Capitalising on cross-boundary</w:t>
      </w:r>
      <w:r w:rsidR="00A2128D">
        <w:rPr>
          <w:b/>
        </w:rPr>
        <w:t xml:space="preserve"> and cross-sectoral </w:t>
      </w:r>
      <w:r w:rsidRPr="00021428">
        <w:rPr>
          <w:b/>
        </w:rPr>
        <w:t xml:space="preserve">interdependencies </w:t>
      </w:r>
      <w:r w:rsidRPr="00021428">
        <w:rPr>
          <w:b/>
        </w:rPr>
        <w:tab/>
      </w:r>
    </w:p>
    <w:p w:rsidR="00021428" w:rsidRPr="005C7C9B" w:rsidRDefault="00021428" w:rsidP="006961A6">
      <w:pPr>
        <w:tabs>
          <w:tab w:val="left" w:pos="6072"/>
        </w:tabs>
        <w:spacing w:after="0" w:line="480" w:lineRule="auto"/>
      </w:pPr>
      <w:r w:rsidRPr="005C7C9B">
        <w:t xml:space="preserve">While by definition, CCH suffer from multiple </w:t>
      </w:r>
      <w:r w:rsidR="00C97F7F">
        <w:t xml:space="preserve">stressors and </w:t>
      </w:r>
      <w:r w:rsidRPr="005C7C9B">
        <w:t xml:space="preserve">vulnerabilities, their cross-boundary nature offers scope for innovative approaches. </w:t>
      </w:r>
      <w:r w:rsidR="0044629C" w:rsidRPr="00576205">
        <w:t xml:space="preserve">To </w:t>
      </w:r>
      <w:r w:rsidR="00E40325">
        <w:t>accelerate the progress towards SDG2 in CCH</w:t>
      </w:r>
      <w:r w:rsidR="0044629C" w:rsidRPr="00576205">
        <w:t xml:space="preserve">, </w:t>
      </w:r>
      <w:r w:rsidR="00E40325">
        <w:rPr>
          <w:rFonts w:cs="WrnpxgAdvTT3713a231"/>
          <w:bCs/>
          <w:i/>
          <w:color w:val="131413"/>
        </w:rPr>
        <w:t>b</w:t>
      </w:r>
      <w:r w:rsidR="0044629C" w:rsidRPr="00164BDE">
        <w:rPr>
          <w:rFonts w:cs="WrnpxgAdvTT3713a231"/>
          <w:bCs/>
          <w:i/>
          <w:color w:val="131413"/>
        </w:rPr>
        <w:t>orders should be considered as meeting points to share knowledge and experiences, rather than divisions</w:t>
      </w:r>
      <w:r w:rsidR="0044629C" w:rsidRPr="00576205">
        <w:rPr>
          <w:rFonts w:cs="WrnpxgAdvTT3713a231"/>
          <w:bCs/>
          <w:color w:val="131413"/>
        </w:rPr>
        <w:t>”.</w:t>
      </w:r>
      <w:r w:rsidR="007D0165" w:rsidRPr="007D0165">
        <w:rPr>
          <w:rFonts w:cs="WrnpxgAdvTT3713a231"/>
          <w:bCs/>
          <w:color w:val="131413"/>
          <w:vertAlign w:val="superscript"/>
        </w:rPr>
        <w:t>1</w:t>
      </w:r>
      <w:r w:rsidR="00B20D28">
        <w:rPr>
          <w:rFonts w:cs="WrnpxgAdvTT3713a231"/>
          <w:bCs/>
          <w:color w:val="131413"/>
          <w:vertAlign w:val="superscript"/>
        </w:rPr>
        <w:t>3</w:t>
      </w:r>
      <w:r w:rsidR="0044629C" w:rsidRPr="00576205">
        <w:rPr>
          <w:rFonts w:cs="WrnpxgAdvTT3713a231"/>
          <w:bCs/>
          <w:color w:val="131413"/>
        </w:rPr>
        <w:t xml:space="preserve"> </w:t>
      </w:r>
      <w:r w:rsidRPr="005C7C9B">
        <w:t xml:space="preserve">Supporting these regions in </w:t>
      </w:r>
      <w:r w:rsidR="00E40325">
        <w:t>scaling up the rate of progress towards</w:t>
      </w:r>
      <w:r w:rsidRPr="005C7C9B">
        <w:t xml:space="preserve"> the Zero Hunger </w:t>
      </w:r>
      <w:r w:rsidR="00CD78A4">
        <w:t>G</w:t>
      </w:r>
      <w:r w:rsidRPr="005C7C9B">
        <w:t xml:space="preserve">oal will require, </w:t>
      </w:r>
      <w:r w:rsidR="00E40325">
        <w:t xml:space="preserve">among other measures, </w:t>
      </w:r>
      <w:r w:rsidR="00215532">
        <w:t xml:space="preserve">setting up innovative </w:t>
      </w:r>
      <w:r w:rsidR="008C5520">
        <w:t xml:space="preserve">agricultural insurance schemes and other </w:t>
      </w:r>
      <w:r w:rsidR="00215532">
        <w:t xml:space="preserve">social security measures, beyond the </w:t>
      </w:r>
      <w:r w:rsidRPr="005C7C9B">
        <w:t>provision</w:t>
      </w:r>
      <w:r w:rsidR="00215532">
        <w:t xml:space="preserve"> </w:t>
      </w:r>
      <w:r w:rsidR="00E40325">
        <w:t xml:space="preserve">of </w:t>
      </w:r>
      <w:r w:rsidR="007A25A4">
        <w:t xml:space="preserve">project-based </w:t>
      </w:r>
      <w:r w:rsidRPr="005C7C9B">
        <w:t xml:space="preserve">cash transfers. </w:t>
      </w:r>
      <w:r w:rsidR="007A25A4">
        <w:t xml:space="preserve">Such schemes would need to allow </w:t>
      </w:r>
      <w:r w:rsidR="00284C16">
        <w:t>a response</w:t>
      </w:r>
      <w:r w:rsidR="007A25A4">
        <w:t xml:space="preserve"> to climate and climate-related market shocks and be operational at the regional level. </w:t>
      </w:r>
      <w:r w:rsidRPr="005C7C9B">
        <w:t>In addition, regional organisations such as the Economic Community of West African States (ECOWAS) and West African Economic and Monetary Union (UEMOA) will</w:t>
      </w:r>
      <w:r w:rsidR="00284C16">
        <w:t xml:space="preserve"> need</w:t>
      </w:r>
      <w:r w:rsidRPr="005C7C9B">
        <w:t xml:space="preserve"> to develop coherent strategies that account for the interests of producers as well as populations made vulnerable by price volatility. This should be done by combining structural policy measures and cyclical policy measures aimed at stabilizing prices and reducing the effects of price volatility within a </w:t>
      </w:r>
      <w:r w:rsidRPr="005C7C9B">
        <w:lastRenderedPageBreak/>
        <w:t>comprehensive food and nutrition security policy framework across the West African semi-arid regions.</w:t>
      </w:r>
    </w:p>
    <w:p w:rsidR="00021428" w:rsidRPr="005C7C9B" w:rsidRDefault="00021428" w:rsidP="006961A6">
      <w:pPr>
        <w:tabs>
          <w:tab w:val="left" w:pos="6072"/>
        </w:tabs>
        <w:spacing w:after="0" w:line="480" w:lineRule="auto"/>
      </w:pPr>
      <w:r w:rsidRPr="005C7C9B">
        <w:t xml:space="preserve">In the </w:t>
      </w:r>
      <w:r w:rsidR="00A053BD">
        <w:t xml:space="preserve">transboundary </w:t>
      </w:r>
      <w:r w:rsidRPr="005C7C9B">
        <w:t>Hindu Kush-Himalaya (HKH)</w:t>
      </w:r>
      <w:r w:rsidR="00BF454B">
        <w:t xml:space="preserve"> region</w:t>
      </w:r>
      <w:r w:rsidRPr="005C7C9B">
        <w:t>, agriculture system</w:t>
      </w:r>
      <w:r w:rsidR="008C17AF">
        <w:t>s are</w:t>
      </w:r>
      <w:r w:rsidRPr="005C7C9B">
        <w:t xml:space="preserve"> highly sensitive to c</w:t>
      </w:r>
      <w:r w:rsidR="008C17AF">
        <w:t>limate change</w:t>
      </w:r>
      <w:r w:rsidR="00BF454B">
        <w:t xml:space="preserve"> and mountain farmers experience prolonged droughts and flooding, which affects food security</w:t>
      </w:r>
      <w:r w:rsidR="008C17AF">
        <w:t>.</w:t>
      </w:r>
      <w:r w:rsidR="007D0165" w:rsidRPr="007D0165">
        <w:rPr>
          <w:vertAlign w:val="superscript"/>
        </w:rPr>
        <w:t>1</w:t>
      </w:r>
      <w:r w:rsidR="00B20D28">
        <w:rPr>
          <w:vertAlign w:val="superscript"/>
        </w:rPr>
        <w:t>4</w:t>
      </w:r>
      <w:r w:rsidR="008C17AF">
        <w:t xml:space="preserve"> In order to mitigate</w:t>
      </w:r>
      <w:r w:rsidRPr="005C7C9B">
        <w:t xml:space="preserve"> the impacts of climate and environmental change, farmers have adopted </w:t>
      </w:r>
      <w:r w:rsidR="00284C16">
        <w:t xml:space="preserve">a </w:t>
      </w:r>
      <w:r w:rsidRPr="005C7C9B">
        <w:t>variet</w:t>
      </w:r>
      <w:r w:rsidR="00284C16">
        <w:t>y</w:t>
      </w:r>
      <w:r w:rsidRPr="005C7C9B">
        <w:t xml:space="preserve"> of locally developed techniques, </w:t>
      </w:r>
      <w:r w:rsidR="00284C16">
        <w:t xml:space="preserve">one of which is </w:t>
      </w:r>
      <w:r w:rsidRPr="005C7C9B">
        <w:t xml:space="preserve">to manage their cardamom terraces using natural fertiliser. However, even where communities benefit directly from climate funds, they </w:t>
      </w:r>
      <w:r w:rsidR="00D71197">
        <w:t xml:space="preserve">are </w:t>
      </w:r>
      <w:r w:rsidRPr="005C7C9B">
        <w:t>often just passive beneficiaries instead of actively participating in development initiatives. Thus, in addition to the existing national and regional policies, such as National Adaptation Plan of Action (NAPA) and Climate Resilient Planning Framewo</w:t>
      </w:r>
      <w:r w:rsidR="00D71197">
        <w:t xml:space="preserve">rk, </w:t>
      </w:r>
      <w:r w:rsidR="006233D5">
        <w:t xml:space="preserve">local </w:t>
      </w:r>
      <w:r w:rsidR="00D71197">
        <w:t>authorities an</w:t>
      </w:r>
      <w:r w:rsidR="006233D5">
        <w:t>d</w:t>
      </w:r>
      <w:r w:rsidR="00D71197">
        <w:t xml:space="preserve"> populations will need to set up</w:t>
      </w:r>
      <w:r w:rsidRPr="005C7C9B">
        <w:t xml:space="preserve"> well-structured </w:t>
      </w:r>
      <w:r w:rsidR="001B6BB0">
        <w:t>transboundary</w:t>
      </w:r>
      <w:r w:rsidRPr="005C7C9B">
        <w:t xml:space="preserve"> multi stakeholder platforms, which would</w:t>
      </w:r>
      <w:r w:rsidR="00D71197">
        <w:t xml:space="preserve"> allow</w:t>
      </w:r>
      <w:r w:rsidRPr="005C7C9B">
        <w:t xml:space="preserve"> effective implementation of efforts as well as knowledge sharing.</w:t>
      </w:r>
    </w:p>
    <w:p w:rsidR="008F0DA6" w:rsidRDefault="00021428" w:rsidP="006961A6">
      <w:pPr>
        <w:tabs>
          <w:tab w:val="left" w:pos="6072"/>
        </w:tabs>
        <w:spacing w:after="0" w:line="480" w:lineRule="auto"/>
      </w:pPr>
      <w:r w:rsidRPr="005C7C9B">
        <w:t xml:space="preserve">Accelerating the Zero Hunger </w:t>
      </w:r>
      <w:r w:rsidR="004E4593">
        <w:t>G</w:t>
      </w:r>
      <w:r w:rsidRPr="005C7C9B">
        <w:t>oal across CCH should not only be a priority for developing countries. For the European Union (EU), for instance, food insecurity should not only be seen as a threat caused by climate change, but it should also serve as an opportunity to develop policies that can enhance innovation, and reformulate health, trade and social cohesion. This will require strong coordination both at the EU level and with the countries, which are part of the European Neighbourhood Policy. Some examples of policies which go in the right direction include the collective approach to the agri-environment-climate measure (AECM), a measure under pillar 2 of the Common Agriculture Policy of the EU.</w:t>
      </w:r>
      <w:r w:rsidR="00B20D28">
        <w:rPr>
          <w:vertAlign w:val="superscript"/>
        </w:rPr>
        <w:t xml:space="preserve">7 </w:t>
      </w:r>
      <w:r w:rsidRPr="005C7C9B">
        <w:t>Under this instrument, farmers across regions are encouraged to work together to deliver joint ecosystem services at a larger scale.</w:t>
      </w:r>
    </w:p>
    <w:p w:rsidR="00E40325" w:rsidRDefault="00E40325" w:rsidP="006961A6">
      <w:pPr>
        <w:tabs>
          <w:tab w:val="left" w:pos="6072"/>
        </w:tabs>
        <w:spacing w:after="0" w:line="480" w:lineRule="auto"/>
        <w:rPr>
          <w:vertAlign w:val="superscript"/>
        </w:rPr>
      </w:pPr>
      <w:r>
        <w:t>Importantly, as nutrition is a multi-sectoral issue, context-specific cross</w:t>
      </w:r>
      <w:r w:rsidR="0047455E">
        <w:t>-</w:t>
      </w:r>
      <w:r>
        <w:t xml:space="preserve">boundary measures will need to be set up as part of the </w:t>
      </w:r>
      <w:r w:rsidR="00E53D4F">
        <w:t>relevant</w:t>
      </w:r>
      <w:r>
        <w:t xml:space="preserve"> policy and strategy documents, such as multi-sector nutrition and food security plans.  </w:t>
      </w:r>
      <w:r w:rsidR="003B5B15" w:rsidRPr="003B5B15">
        <w:t xml:space="preserve">Further, interlinkages between different </w:t>
      </w:r>
      <w:r w:rsidR="00E53D4F">
        <w:t>SDGs, including</w:t>
      </w:r>
      <w:r w:rsidR="003B5B15" w:rsidRPr="003B5B15">
        <w:t xml:space="preserve"> between </w:t>
      </w:r>
      <w:r w:rsidR="00E53D4F">
        <w:t xml:space="preserve">the </w:t>
      </w:r>
      <w:r w:rsidR="003B5B15" w:rsidRPr="003B5B15">
        <w:t xml:space="preserve">Zero Hunger </w:t>
      </w:r>
      <w:r w:rsidR="004E4593">
        <w:t>G</w:t>
      </w:r>
      <w:r w:rsidR="00E53D4F">
        <w:t xml:space="preserve">oal </w:t>
      </w:r>
      <w:r w:rsidR="003B5B15" w:rsidRPr="003B5B15">
        <w:t>and the goals addressing climate change (SDG 13) or coastal and marine resources (SDG 14) should be taken into consideration</w:t>
      </w:r>
      <w:r w:rsidR="00E53D4F">
        <w:t xml:space="preserve">, as progress towards these goals will also contribute to reducing </w:t>
      </w:r>
      <w:r w:rsidR="003B5B15" w:rsidRPr="003B5B15">
        <w:t>hunger and food</w:t>
      </w:r>
      <w:r w:rsidR="00E53D4F">
        <w:t xml:space="preserve"> and nutrition</w:t>
      </w:r>
      <w:r w:rsidR="003B5B15" w:rsidRPr="003B5B15">
        <w:t xml:space="preserve"> </w:t>
      </w:r>
      <w:r w:rsidR="00E53D4F">
        <w:t>in</w:t>
      </w:r>
      <w:r w:rsidR="003B5B15" w:rsidRPr="003B5B15">
        <w:t>security.</w:t>
      </w:r>
      <w:r w:rsidR="004E24EE" w:rsidRPr="004E24EE">
        <w:rPr>
          <w:vertAlign w:val="superscript"/>
        </w:rPr>
        <w:t>1</w:t>
      </w:r>
      <w:r w:rsidR="00B20D28">
        <w:rPr>
          <w:vertAlign w:val="superscript"/>
        </w:rPr>
        <w:t>5</w:t>
      </w:r>
    </w:p>
    <w:p w:rsidR="004E24EE" w:rsidRDefault="004E24EE" w:rsidP="006961A6">
      <w:pPr>
        <w:tabs>
          <w:tab w:val="left" w:pos="6072"/>
        </w:tabs>
        <w:spacing w:after="0" w:line="480" w:lineRule="auto"/>
      </w:pPr>
    </w:p>
    <w:p w:rsidR="00432345" w:rsidRPr="003D5F11" w:rsidRDefault="00432345" w:rsidP="006961A6">
      <w:pPr>
        <w:tabs>
          <w:tab w:val="left" w:pos="6072"/>
        </w:tabs>
        <w:spacing w:after="0" w:line="480" w:lineRule="auto"/>
        <w:rPr>
          <w:b/>
        </w:rPr>
      </w:pPr>
      <w:r w:rsidRPr="003D5F11">
        <w:rPr>
          <w:b/>
        </w:rPr>
        <w:t>Tapping the potential of rising</w:t>
      </w:r>
      <w:r w:rsidR="0044629C">
        <w:rPr>
          <w:b/>
        </w:rPr>
        <w:t xml:space="preserve"> food and nutrition security</w:t>
      </w:r>
      <w:r w:rsidRPr="003D5F11">
        <w:rPr>
          <w:b/>
        </w:rPr>
        <w:t xml:space="preserve"> opportunities in CCHs</w:t>
      </w:r>
    </w:p>
    <w:p w:rsidR="00AF65DB" w:rsidRPr="00874F39" w:rsidRDefault="00432345" w:rsidP="006961A6">
      <w:pPr>
        <w:spacing w:after="0" w:line="480" w:lineRule="auto"/>
      </w:pPr>
      <w:r w:rsidRPr="00576205">
        <w:rPr>
          <w:rFonts w:eastAsia="Times New Roman"/>
        </w:rPr>
        <w:t xml:space="preserve">Despite challenges in CCHs, opportunities are also rising that may be tapped to achieve sustainable food and nutrition security. For example, mountain ecosystems in the HKH region are rich in water sources, and are highly suitable for cultivation of traditional food crops, also known as ‘neglected and underutilized species’ </w:t>
      </w:r>
      <w:r w:rsidRPr="00576205">
        <w:t xml:space="preserve">(e.g. barley, sorghum, millets, buckwheat, pulses and beans). These crops are rich in micronutrients, and are more resilient to climatic </w:t>
      </w:r>
      <w:r w:rsidRPr="00874F39">
        <w:t>stresses.</w:t>
      </w:r>
      <w:r w:rsidR="007C7F8B" w:rsidRPr="007C7F8B">
        <w:rPr>
          <w:vertAlign w:val="superscript"/>
        </w:rPr>
        <w:t>1</w:t>
      </w:r>
      <w:r w:rsidR="00B20D28">
        <w:rPr>
          <w:vertAlign w:val="superscript"/>
        </w:rPr>
        <w:t xml:space="preserve">6 </w:t>
      </w:r>
      <w:r w:rsidRPr="00874F39">
        <w:t>In view of their higher benefits in terms of nutrition, climate change resilience and biodiversity, these crops are recently renamed as ‘</w:t>
      </w:r>
      <w:r w:rsidRPr="00874F39">
        <w:rPr>
          <w:i/>
        </w:rPr>
        <w:t>Future Smart Foods</w:t>
      </w:r>
      <w:r w:rsidRPr="00874F39">
        <w:t>’.</w:t>
      </w:r>
      <w:r w:rsidR="007C7F8B" w:rsidRPr="007C7F8B">
        <w:rPr>
          <w:vertAlign w:val="superscript"/>
        </w:rPr>
        <w:t>1</w:t>
      </w:r>
      <w:r w:rsidR="00B20D28">
        <w:rPr>
          <w:vertAlign w:val="superscript"/>
        </w:rPr>
        <w:t>7</w:t>
      </w:r>
      <w:r w:rsidRPr="007C7F8B">
        <w:rPr>
          <w:vertAlign w:val="superscript"/>
        </w:rPr>
        <w:t xml:space="preserve"> </w:t>
      </w:r>
      <w:r w:rsidRPr="00874F39">
        <w:t>Native livestock and rangelands also offer an opportunity in the HKH, particularly in the high mountains (&gt;2000masl). In Tibetan Platea</w:t>
      </w:r>
      <w:r w:rsidR="003731C4">
        <w:t>u</w:t>
      </w:r>
      <w:r w:rsidRPr="00874F39">
        <w:t xml:space="preserve"> of China, support mechanism for yak including value chain development has played very important role in local people’s food security and livelihoods.</w:t>
      </w:r>
      <w:r w:rsidR="00E93AB2" w:rsidRPr="00874F39">
        <w:t xml:space="preserve"> </w:t>
      </w:r>
    </w:p>
    <w:p w:rsidR="00432345" w:rsidRDefault="00E93AB2" w:rsidP="006961A6">
      <w:pPr>
        <w:spacing w:after="0" w:line="480" w:lineRule="auto"/>
      </w:pPr>
      <w:r w:rsidRPr="00874F39">
        <w:t>The HKH region also has a potential for growing vegetables, fruits, nuts, tea, and NTFPs (e.g. honey and medicinal plants). These sources have shown a rise in production and increased contribution to food security over time despite climatic challenges.</w:t>
      </w:r>
      <w:r w:rsidR="00134BE9" w:rsidRPr="00134BE9">
        <w:rPr>
          <w:vertAlign w:val="superscript"/>
        </w:rPr>
        <w:t>1</w:t>
      </w:r>
      <w:r w:rsidR="00B20D28">
        <w:rPr>
          <w:vertAlign w:val="superscript"/>
        </w:rPr>
        <w:t>2</w:t>
      </w:r>
      <w:r w:rsidRPr="00874F39">
        <w:t xml:space="preserve"> Similarly</w:t>
      </w:r>
      <w:r>
        <w:t xml:space="preserve">, area-specific opportunities </w:t>
      </w:r>
      <w:r w:rsidR="00AF65DB">
        <w:t xml:space="preserve">for tapping the potential of rising food and nutrition security, including where relevant </w:t>
      </w:r>
      <w:r w:rsidR="009029F1">
        <w:t xml:space="preserve">indigenous and cash crops, </w:t>
      </w:r>
      <w:r>
        <w:t>should be explored in CCH in other regions.</w:t>
      </w:r>
      <w:r w:rsidR="00432345" w:rsidRPr="00576205">
        <w:t xml:space="preserve"> </w:t>
      </w:r>
    </w:p>
    <w:p w:rsidR="006D2502" w:rsidRDefault="006D2502" w:rsidP="006961A6">
      <w:pPr>
        <w:spacing w:after="0" w:line="480" w:lineRule="auto"/>
      </w:pPr>
    </w:p>
    <w:p w:rsidR="00AC6E6F" w:rsidRPr="00021428" w:rsidRDefault="00AC6E6F" w:rsidP="006961A6">
      <w:pPr>
        <w:tabs>
          <w:tab w:val="left" w:pos="6072"/>
        </w:tabs>
        <w:spacing w:after="0" w:line="480" w:lineRule="auto"/>
        <w:rPr>
          <w:b/>
        </w:rPr>
      </w:pPr>
      <w:r>
        <w:rPr>
          <w:b/>
        </w:rPr>
        <w:t>Setting up robust</w:t>
      </w:r>
      <w:r w:rsidRPr="00021428">
        <w:rPr>
          <w:b/>
        </w:rPr>
        <w:t xml:space="preserve"> CCH SDG monitoring framework</w:t>
      </w:r>
      <w:r>
        <w:rPr>
          <w:b/>
        </w:rPr>
        <w:t>s</w:t>
      </w:r>
      <w:r w:rsidRPr="00021428">
        <w:rPr>
          <w:b/>
        </w:rPr>
        <w:t xml:space="preserve"> for greater accountability</w:t>
      </w:r>
    </w:p>
    <w:p w:rsidR="00DC3577" w:rsidRDefault="00AC6E6F" w:rsidP="006961A6">
      <w:pPr>
        <w:tabs>
          <w:tab w:val="left" w:pos="6072"/>
        </w:tabs>
        <w:spacing w:after="0" w:line="480" w:lineRule="auto"/>
      </w:pPr>
      <w:r w:rsidRPr="005C7C9B">
        <w:t xml:space="preserve">As the UN Secretary-General’s synthesis report </w:t>
      </w:r>
      <w:r>
        <w:t>noted,</w:t>
      </w:r>
      <w:r w:rsidRPr="005C7C9B">
        <w:t xml:space="preserve"> there exist four levels of monitoring for the SDGs: national, regional, global, and thematic.</w:t>
      </w:r>
      <w:r w:rsidR="00B20D28" w:rsidRPr="00B20D28">
        <w:rPr>
          <w:vertAlign w:val="superscript"/>
        </w:rPr>
        <w:t>18</w:t>
      </w:r>
      <w:r w:rsidR="00B20D28">
        <w:t xml:space="preserve"> </w:t>
      </w:r>
      <w:r w:rsidRPr="005C7C9B">
        <w:t xml:space="preserve">While national reporting will be the most significant level of reporting and will rely heavily on the work of </w:t>
      </w:r>
      <w:r w:rsidR="0047455E">
        <w:t xml:space="preserve">national </w:t>
      </w:r>
      <w:r w:rsidRPr="005C7C9B">
        <w:t xml:space="preserve">statistical offices, complementary regional level monitoring frameworks and indicators should be generated for </w:t>
      </w:r>
      <w:r>
        <w:t>socio-economic systems</w:t>
      </w:r>
      <w:r w:rsidRPr="005C7C9B">
        <w:t xml:space="preserve">, such as CCH. </w:t>
      </w:r>
      <w:r w:rsidR="00A61A99">
        <w:t xml:space="preserve">As stipulated in the Sendai Framework, monitoring should involve developing and sharing risk modelling, assessment and mapping tools and </w:t>
      </w:r>
      <w:r w:rsidR="00FC1BF9">
        <w:t>providing</w:t>
      </w:r>
      <w:r w:rsidR="00A61A99">
        <w:t xml:space="preserve"> comprehensive </w:t>
      </w:r>
      <w:r w:rsidR="00FC1BF9">
        <w:t>surveys on multi-hazard risk</w:t>
      </w:r>
      <w:r w:rsidR="004D2D11">
        <w:t>s</w:t>
      </w:r>
      <w:r w:rsidR="00FC1BF9">
        <w:t>.</w:t>
      </w:r>
      <w:r w:rsidR="004D2D11" w:rsidRPr="004D2D11">
        <w:rPr>
          <w:vertAlign w:val="superscript"/>
        </w:rPr>
        <w:t>1</w:t>
      </w:r>
      <w:r w:rsidR="009D2887">
        <w:rPr>
          <w:vertAlign w:val="superscript"/>
        </w:rPr>
        <w:t>9</w:t>
      </w:r>
      <w:r w:rsidR="00FC1BF9">
        <w:t xml:space="preserve"> </w:t>
      </w:r>
      <w:r w:rsidRPr="005C7C9B">
        <w:t xml:space="preserve">An example of good practice to note in the Bengal delta is the Food Security and Nutritional Surveillance Project. As part of this project, </w:t>
      </w:r>
      <w:r>
        <w:t xml:space="preserve">for </w:t>
      </w:r>
      <w:r w:rsidRPr="005C7C9B">
        <w:t xml:space="preserve">the first time in Bangladesh, seasonal surveys of food security generated a large amount of data which aided policy formulation with respect to nutrition and food security in Bangladesh. </w:t>
      </w:r>
    </w:p>
    <w:p w:rsidR="00AC6E6F" w:rsidRDefault="00DC3577" w:rsidP="006961A6">
      <w:pPr>
        <w:tabs>
          <w:tab w:val="left" w:pos="6072"/>
        </w:tabs>
        <w:spacing w:after="0" w:line="480" w:lineRule="auto"/>
      </w:pPr>
      <w:r>
        <w:t>In November 2017, Nepal</w:t>
      </w:r>
      <w:r w:rsidRPr="00BF12DA">
        <w:t xml:space="preserve">, with the support of the United Nations World Food Programme and the International Centre for Integrated Mountain Development (ICIMOD), launched a new online </w:t>
      </w:r>
      <w:hyperlink r:id="rId8" w:tgtFrame="_blank" w:history="1">
        <w:r w:rsidRPr="00BF12DA">
          <w:t>Food Security Information System</w:t>
        </w:r>
      </w:hyperlink>
      <w:r w:rsidRPr="00BF12DA">
        <w:t xml:space="preserve"> </w:t>
      </w:r>
      <w:r>
        <w:t xml:space="preserve">(OFSIS) </w:t>
      </w:r>
      <w:r w:rsidRPr="00BF12DA">
        <w:t>to map and visualize patterns of food security, p</w:t>
      </w:r>
      <w:r>
        <w:t>overty and malnutrition in the country</w:t>
      </w:r>
      <w:r w:rsidRPr="00BF12DA">
        <w:t xml:space="preserve">. </w:t>
      </w:r>
      <w:r w:rsidRPr="005C7C9B">
        <w:t xml:space="preserve">Such initiatives, </w:t>
      </w:r>
      <w:r>
        <w:t>should be expanded to neighbouring countries in the HKH region</w:t>
      </w:r>
      <w:r w:rsidR="009231FC">
        <w:t xml:space="preserve"> and applied in other CCH.  R</w:t>
      </w:r>
      <w:r>
        <w:t xml:space="preserve">egional OFSIS </w:t>
      </w:r>
      <w:r w:rsidR="00F0759A">
        <w:t>would allow</w:t>
      </w:r>
      <w:r>
        <w:t xml:space="preserve"> regular monitoring on the progress of important indicators within and across countries.</w:t>
      </w:r>
      <w:r w:rsidR="003F5C0F">
        <w:t xml:space="preserve"> </w:t>
      </w:r>
      <w:r w:rsidR="00AC6E6F" w:rsidRPr="005C7C9B">
        <w:t xml:space="preserve">Only with sufficient </w:t>
      </w:r>
      <w:r w:rsidR="0047455E" w:rsidRPr="005C7C9B">
        <w:t>d</w:t>
      </w:r>
      <w:r w:rsidR="0047455E">
        <w:t>i</w:t>
      </w:r>
      <w:r w:rsidR="0047455E" w:rsidRPr="005C7C9B">
        <w:t>saggregated</w:t>
      </w:r>
      <w:r w:rsidR="00AC6E6F" w:rsidRPr="005C7C9B">
        <w:t xml:space="preserve"> data</w:t>
      </w:r>
      <w:r w:rsidR="00AC6E6F">
        <w:t>,</w:t>
      </w:r>
      <w:r w:rsidR="00AC6E6F" w:rsidRPr="005C7C9B">
        <w:t xml:space="preserve"> and effective monitoring systems and tools</w:t>
      </w:r>
      <w:r w:rsidR="00AC6E6F">
        <w:t xml:space="preserve"> at the CCH level</w:t>
      </w:r>
      <w:r w:rsidR="00AC6E6F" w:rsidRPr="005C7C9B">
        <w:t xml:space="preserve">, will we be able to ensure that progress towards the Zero Hunger </w:t>
      </w:r>
      <w:r w:rsidR="00E40FBC">
        <w:t>G</w:t>
      </w:r>
      <w:r w:rsidR="00AC6E6F" w:rsidRPr="005C7C9B">
        <w:t xml:space="preserve">oal will </w:t>
      </w:r>
      <w:r w:rsidR="0047455E">
        <w:t xml:space="preserve">keep on </w:t>
      </w:r>
      <w:r w:rsidR="00AC6E6F" w:rsidRPr="005C7C9B">
        <w:t>track.</w:t>
      </w:r>
    </w:p>
    <w:p w:rsidR="00021428" w:rsidRPr="00F318A2" w:rsidRDefault="00021428" w:rsidP="006961A6">
      <w:pPr>
        <w:tabs>
          <w:tab w:val="left" w:pos="6072"/>
        </w:tabs>
        <w:spacing w:after="0" w:line="480" w:lineRule="auto"/>
        <w:rPr>
          <w:b/>
        </w:rPr>
      </w:pPr>
    </w:p>
    <w:p w:rsidR="00021428" w:rsidRPr="00F318A2" w:rsidRDefault="00A34EB3" w:rsidP="006961A6">
      <w:pPr>
        <w:tabs>
          <w:tab w:val="left" w:pos="6072"/>
        </w:tabs>
        <w:spacing w:after="0" w:line="480" w:lineRule="auto"/>
        <w:rPr>
          <w:b/>
        </w:rPr>
      </w:pPr>
      <w:r w:rsidRPr="00F318A2">
        <w:rPr>
          <w:b/>
        </w:rPr>
        <w:t>Acknowledgements</w:t>
      </w:r>
    </w:p>
    <w:p w:rsidR="00A34EB3" w:rsidRDefault="003F3069" w:rsidP="006961A6">
      <w:pPr>
        <w:tabs>
          <w:tab w:val="left" w:pos="6072"/>
        </w:tabs>
        <w:spacing w:after="0" w:line="480" w:lineRule="auto"/>
      </w:pPr>
      <w:r w:rsidRPr="00F318A2">
        <w:t xml:space="preserve">The authors wish to thank </w:t>
      </w:r>
      <w:r w:rsidR="00EA3587">
        <w:t xml:space="preserve">the participants of the </w:t>
      </w:r>
      <w:r w:rsidR="00EA3587" w:rsidRPr="001F3381">
        <w:rPr>
          <w:i/>
        </w:rPr>
        <w:t>High-</w:t>
      </w:r>
      <w:r w:rsidR="00733B0B" w:rsidRPr="001F3381">
        <w:rPr>
          <w:i/>
        </w:rPr>
        <w:t>Level</w:t>
      </w:r>
      <w:r w:rsidR="00EA3587" w:rsidRPr="001F3381">
        <w:rPr>
          <w:i/>
        </w:rPr>
        <w:t xml:space="preserve"> </w:t>
      </w:r>
      <w:r w:rsidR="00733B0B" w:rsidRPr="001F3381">
        <w:rPr>
          <w:i/>
        </w:rPr>
        <w:t>SDG Action Symposium</w:t>
      </w:r>
      <w:r w:rsidR="002528AE">
        <w:rPr>
          <w:i/>
        </w:rPr>
        <w:t xml:space="preserve">: Accelerating Nepal’s SDG progress for nutrition, health and climate change </w:t>
      </w:r>
      <w:r w:rsidR="002528AE" w:rsidRPr="002528AE">
        <w:t>(Kathmandu, 28</w:t>
      </w:r>
      <w:r w:rsidR="002528AE" w:rsidRPr="002528AE">
        <w:rPr>
          <w:vertAlign w:val="superscript"/>
        </w:rPr>
        <w:t>th</w:t>
      </w:r>
      <w:r w:rsidR="002528AE" w:rsidRPr="002528AE">
        <w:t xml:space="preserve"> November 2017)</w:t>
      </w:r>
      <w:r w:rsidR="00733B0B">
        <w:t xml:space="preserve"> for stimulating </w:t>
      </w:r>
      <w:r w:rsidR="00685679">
        <w:t>discussions</w:t>
      </w:r>
      <w:r w:rsidR="00733B0B">
        <w:t xml:space="preserve">, which </w:t>
      </w:r>
      <w:r w:rsidR="00ED37DA">
        <w:t xml:space="preserve">helped </w:t>
      </w:r>
      <w:r w:rsidR="00097C87">
        <w:t xml:space="preserve">refining </w:t>
      </w:r>
      <w:r w:rsidR="00733B0B">
        <w:t xml:space="preserve">some of the ideas for this paper. </w:t>
      </w:r>
    </w:p>
    <w:p w:rsidR="006D2502" w:rsidRDefault="006D2502" w:rsidP="006961A6">
      <w:pPr>
        <w:tabs>
          <w:tab w:val="left" w:pos="6072"/>
        </w:tabs>
        <w:spacing w:after="0" w:line="480" w:lineRule="auto"/>
      </w:pPr>
    </w:p>
    <w:p w:rsidR="005127AA" w:rsidRPr="005127AA" w:rsidRDefault="005127AA" w:rsidP="006961A6">
      <w:pPr>
        <w:tabs>
          <w:tab w:val="left" w:pos="6072"/>
        </w:tabs>
        <w:spacing w:after="0" w:line="480" w:lineRule="auto"/>
        <w:rPr>
          <w:b/>
        </w:rPr>
      </w:pPr>
      <w:r w:rsidRPr="005127AA">
        <w:rPr>
          <w:b/>
        </w:rPr>
        <w:t xml:space="preserve">Conflict of </w:t>
      </w:r>
      <w:r>
        <w:rPr>
          <w:b/>
        </w:rPr>
        <w:t>i</w:t>
      </w:r>
      <w:r w:rsidRPr="005127AA">
        <w:rPr>
          <w:b/>
        </w:rPr>
        <w:t>nterest</w:t>
      </w:r>
      <w:r>
        <w:rPr>
          <w:b/>
        </w:rPr>
        <w:t xml:space="preserve"> statement</w:t>
      </w:r>
    </w:p>
    <w:p w:rsidR="005127AA" w:rsidRDefault="005127AA" w:rsidP="006961A6">
      <w:pPr>
        <w:tabs>
          <w:tab w:val="left" w:pos="6072"/>
        </w:tabs>
        <w:spacing w:after="0" w:line="480" w:lineRule="auto"/>
      </w:pPr>
      <w:r w:rsidRPr="005127AA">
        <w:t>The authors declared that they have no conflict of interest</w:t>
      </w:r>
      <w:r>
        <w:t>.</w:t>
      </w:r>
    </w:p>
    <w:p w:rsidR="00097C87" w:rsidRDefault="00097C87" w:rsidP="006961A6">
      <w:pPr>
        <w:tabs>
          <w:tab w:val="left" w:pos="6072"/>
        </w:tabs>
        <w:spacing w:after="0" w:line="480" w:lineRule="auto"/>
      </w:pPr>
    </w:p>
    <w:p w:rsidR="00097C87" w:rsidRDefault="00097C87" w:rsidP="006961A6">
      <w:pPr>
        <w:tabs>
          <w:tab w:val="left" w:pos="6072"/>
        </w:tabs>
        <w:spacing w:after="0" w:line="480" w:lineRule="auto"/>
      </w:pPr>
    </w:p>
    <w:p w:rsidR="00097C87" w:rsidRDefault="00097C87" w:rsidP="006961A6">
      <w:pPr>
        <w:tabs>
          <w:tab w:val="left" w:pos="6072"/>
        </w:tabs>
        <w:spacing w:after="0" w:line="480" w:lineRule="auto"/>
      </w:pPr>
    </w:p>
    <w:p w:rsidR="008262B8" w:rsidRDefault="008262B8" w:rsidP="006961A6">
      <w:pPr>
        <w:tabs>
          <w:tab w:val="left" w:pos="6072"/>
        </w:tabs>
        <w:spacing w:after="0" w:line="480" w:lineRule="auto"/>
      </w:pPr>
    </w:p>
    <w:p w:rsidR="00097C87" w:rsidRDefault="00097C87" w:rsidP="006961A6">
      <w:pPr>
        <w:tabs>
          <w:tab w:val="left" w:pos="6072"/>
        </w:tabs>
        <w:spacing w:after="0" w:line="480" w:lineRule="auto"/>
      </w:pPr>
    </w:p>
    <w:p w:rsidR="00021428" w:rsidRPr="00021428" w:rsidRDefault="00021428" w:rsidP="006961A6">
      <w:pPr>
        <w:tabs>
          <w:tab w:val="left" w:pos="6072"/>
        </w:tabs>
        <w:spacing w:after="0" w:line="480" w:lineRule="auto"/>
        <w:rPr>
          <w:b/>
        </w:rPr>
      </w:pPr>
      <w:r w:rsidRPr="00021428">
        <w:rPr>
          <w:b/>
        </w:rPr>
        <w:t>References:</w:t>
      </w:r>
    </w:p>
    <w:p w:rsidR="00114EF6" w:rsidRDefault="00114EF6" w:rsidP="00114EF6">
      <w:pPr>
        <w:pStyle w:val="ListParagraph"/>
        <w:numPr>
          <w:ilvl w:val="0"/>
          <w:numId w:val="9"/>
        </w:numPr>
        <w:tabs>
          <w:tab w:val="left" w:pos="6072"/>
        </w:tabs>
        <w:spacing w:before="240" w:after="0" w:line="480" w:lineRule="auto"/>
      </w:pPr>
      <w:r>
        <w:t xml:space="preserve">Development Initiatives, </w:t>
      </w:r>
      <w:r w:rsidRPr="00EB460D">
        <w:rPr>
          <w:i/>
        </w:rPr>
        <w:t>Global Nutrition Report 2017: Nourishing the SDGs</w:t>
      </w:r>
      <w:r>
        <w:t>. Bristol, UK: Development Initiatives (2017).</w:t>
      </w:r>
    </w:p>
    <w:p w:rsidR="00D31E68" w:rsidRDefault="00D31E68" w:rsidP="00E66024">
      <w:pPr>
        <w:pStyle w:val="ListParagraph"/>
        <w:numPr>
          <w:ilvl w:val="0"/>
          <w:numId w:val="9"/>
        </w:numPr>
        <w:tabs>
          <w:tab w:val="left" w:pos="6072"/>
        </w:tabs>
        <w:spacing w:before="240" w:after="0" w:line="480" w:lineRule="auto"/>
      </w:pPr>
      <w:r>
        <w:t xml:space="preserve">United Nations, </w:t>
      </w:r>
      <w:r w:rsidRPr="00D31E68">
        <w:rPr>
          <w:i/>
        </w:rPr>
        <w:t>The Millennium Development Goals Report 2015</w:t>
      </w:r>
      <w:r>
        <w:t xml:space="preserve">. </w:t>
      </w:r>
      <w:hyperlink r:id="rId9" w:history="1">
        <w:r w:rsidR="00E66024" w:rsidRPr="00FF4680">
          <w:rPr>
            <w:rStyle w:val="Hyperlink"/>
          </w:rPr>
          <w:t>http://www.un.org/millenniumgoals/2015_MDG_Report/pdf/MDG%202015%20rev%20(July%201).pdf</w:t>
        </w:r>
      </w:hyperlink>
      <w:r w:rsidR="00E66024">
        <w:t xml:space="preserve"> [27 </w:t>
      </w:r>
      <w:r>
        <w:t>December 2017].</w:t>
      </w:r>
    </w:p>
    <w:p w:rsidR="007F0A58" w:rsidRDefault="007F0A58" w:rsidP="007F0A58">
      <w:pPr>
        <w:pStyle w:val="ListParagraph"/>
        <w:numPr>
          <w:ilvl w:val="0"/>
          <w:numId w:val="9"/>
        </w:numPr>
        <w:tabs>
          <w:tab w:val="left" w:pos="6072"/>
        </w:tabs>
        <w:spacing w:before="240" w:after="0" w:line="480" w:lineRule="auto"/>
      </w:pPr>
      <w:r w:rsidRPr="007F0A58">
        <w:t xml:space="preserve">United Nations, </w:t>
      </w:r>
      <w:r w:rsidRPr="007F0A58">
        <w:rPr>
          <w:i/>
        </w:rPr>
        <w:t>Resolution adopted by the General Assembly on 25 September 2015</w:t>
      </w:r>
      <w:r w:rsidRPr="007F0A58">
        <w:t xml:space="preserve">, </w:t>
      </w:r>
      <w:hyperlink r:id="rId10" w:history="1">
        <w:r w:rsidRPr="00FF4680">
          <w:rPr>
            <w:rStyle w:val="Hyperlink"/>
          </w:rPr>
          <w:t>http://www.un.org/ga/search/view_doc.asp?symbol=A/RES/70/1&amp;Lang=E</w:t>
        </w:r>
      </w:hyperlink>
      <w:r>
        <w:t xml:space="preserve"> [20 </w:t>
      </w:r>
      <w:r w:rsidR="00F407BF">
        <w:t>October 2017].</w:t>
      </w:r>
    </w:p>
    <w:p w:rsidR="00134BE9" w:rsidRDefault="00134BE9" w:rsidP="00134BE9">
      <w:pPr>
        <w:pStyle w:val="ListParagraph"/>
        <w:numPr>
          <w:ilvl w:val="0"/>
          <w:numId w:val="9"/>
        </w:numPr>
        <w:tabs>
          <w:tab w:val="left" w:pos="6072"/>
        </w:tabs>
        <w:spacing w:after="0" w:line="480" w:lineRule="auto"/>
      </w:pPr>
      <w:r w:rsidRPr="0086586B">
        <w:t>Szabo S, Renaud F, Hossain S, Sebesv</w:t>
      </w:r>
      <w:r>
        <w:t>a</w:t>
      </w:r>
      <w:r w:rsidRPr="0086586B">
        <w:t>ri Z, Matthews Z, Foufoula-Georgiou E</w:t>
      </w:r>
      <w:r>
        <w:t>,</w:t>
      </w:r>
      <w:r w:rsidRPr="0086586B">
        <w:t xml:space="preserve"> and Nicholls RJ</w:t>
      </w:r>
      <w:r>
        <w:t>,</w:t>
      </w:r>
      <w:r w:rsidRPr="0086586B">
        <w:t xml:space="preserve"> New opportunities for tropical delta regions offered by the proposed Sustainable Development Goals. </w:t>
      </w:r>
      <w:r w:rsidRPr="00134BE9">
        <w:rPr>
          <w:i/>
        </w:rPr>
        <w:t>Environment: Science and Policy for Sustainable Development</w:t>
      </w:r>
      <w:r w:rsidRPr="0086586B">
        <w:t xml:space="preserve">, </w:t>
      </w:r>
      <w:r w:rsidRPr="00646AFC">
        <w:rPr>
          <w:b/>
        </w:rPr>
        <w:t>57</w:t>
      </w:r>
      <w:r w:rsidRPr="0086586B">
        <w:t xml:space="preserve"> (4</w:t>
      </w:r>
      <w:r>
        <w:t>), DOI</w:t>
      </w:r>
      <w:r w:rsidRPr="0086586B">
        <w:t>:</w:t>
      </w:r>
      <w:r>
        <w:t xml:space="preserve"> </w:t>
      </w:r>
      <w:r w:rsidRPr="0086586B">
        <w:t>10.1080/001391</w:t>
      </w:r>
      <w:r>
        <w:t>57.2015.1048142.</w:t>
      </w:r>
    </w:p>
    <w:p w:rsidR="00134BE9" w:rsidRDefault="00134BE9" w:rsidP="00134BE9">
      <w:pPr>
        <w:pStyle w:val="ListParagraph"/>
        <w:numPr>
          <w:ilvl w:val="0"/>
          <w:numId w:val="9"/>
        </w:numPr>
        <w:tabs>
          <w:tab w:val="left" w:pos="6072"/>
        </w:tabs>
        <w:spacing w:after="0" w:line="480" w:lineRule="auto"/>
      </w:pPr>
      <w:r w:rsidRPr="005C7C9B">
        <w:t>Szabo S, Nicholl</w:t>
      </w:r>
      <w:r>
        <w:t>s</w:t>
      </w:r>
      <w:r w:rsidRPr="005C7C9B">
        <w:t xml:space="preserve"> R, Neumann B., Renaud F, Matthews Z, Sebesvari Z, AghaKouchak A, Bales R, Ruktanonchai C, Kloos J, Foufoula-Georgiou E, Wester P, New M, Rhyner </w:t>
      </w:r>
      <w:r>
        <w:t>J</w:t>
      </w:r>
      <w:r w:rsidRPr="005C7C9B">
        <w:t xml:space="preserve">, </w:t>
      </w:r>
      <w:r>
        <w:t xml:space="preserve">and </w:t>
      </w:r>
      <w:r w:rsidRPr="005C7C9B">
        <w:t xml:space="preserve">Hutton C, Making SDGs work for climate change hotspots, </w:t>
      </w:r>
      <w:r w:rsidRPr="00134BE9">
        <w:rPr>
          <w:i/>
        </w:rPr>
        <w:t>Environment: Science and Policy for Sustainable Development</w:t>
      </w:r>
      <w:r w:rsidRPr="005C7C9B">
        <w:t xml:space="preserve"> </w:t>
      </w:r>
      <w:r w:rsidRPr="00CE68A7">
        <w:rPr>
          <w:b/>
        </w:rPr>
        <w:t>58</w:t>
      </w:r>
      <w:r w:rsidRPr="005C7C9B">
        <w:t>(6), 24-33</w:t>
      </w:r>
      <w:r>
        <w:t xml:space="preserve">, DOI: </w:t>
      </w:r>
      <w:hyperlink r:id="rId11" w:history="1">
        <w:r w:rsidRPr="00134BE9">
          <w:t>10.1080/00139157.2016.1209016</w:t>
        </w:r>
      </w:hyperlink>
      <w:r w:rsidR="00646AFC">
        <w:t xml:space="preserve"> (</w:t>
      </w:r>
      <w:r w:rsidR="00CE68A7">
        <w:t>2016</w:t>
      </w:r>
      <w:r w:rsidR="00646AFC">
        <w:t>)</w:t>
      </w:r>
      <w:r>
        <w:t>.</w:t>
      </w:r>
    </w:p>
    <w:p w:rsidR="007367BE" w:rsidRDefault="007367BE" w:rsidP="007367BE">
      <w:pPr>
        <w:pStyle w:val="ListParagraph"/>
        <w:numPr>
          <w:ilvl w:val="0"/>
          <w:numId w:val="9"/>
        </w:numPr>
        <w:tabs>
          <w:tab w:val="left" w:pos="6072"/>
        </w:tabs>
        <w:spacing w:after="0" w:line="480" w:lineRule="auto"/>
      </w:pPr>
      <w:r w:rsidRPr="00703372">
        <w:t xml:space="preserve">De Souza K, Kituyi E, Harvey B, </w:t>
      </w:r>
      <w:r>
        <w:t>Leone M, Murali KS, and Ford</w:t>
      </w:r>
      <w:r w:rsidRPr="005C7C9B">
        <w:t xml:space="preserve"> </w:t>
      </w:r>
      <w:r>
        <w:t xml:space="preserve">JD, </w:t>
      </w:r>
      <w:r w:rsidRPr="005C7C9B">
        <w:t xml:space="preserve">Vulnerability to Climate Change in Three Hot Spots in Africa and Asia: Key Issues for Policy-Relevant Adaptation and Resilience-Building Research, </w:t>
      </w:r>
      <w:r w:rsidRPr="007367BE">
        <w:rPr>
          <w:i/>
        </w:rPr>
        <w:t>Reg Env Change,</w:t>
      </w:r>
      <w:r>
        <w:t xml:space="preserve"> </w:t>
      </w:r>
      <w:r w:rsidRPr="00CE68A7">
        <w:rPr>
          <w:b/>
        </w:rPr>
        <w:t>15</w:t>
      </w:r>
      <w:r>
        <w:t>(5), 747–53 (2015).</w:t>
      </w:r>
    </w:p>
    <w:p w:rsidR="007C65CC" w:rsidRPr="007C65CC" w:rsidRDefault="007C65CC" w:rsidP="007C65CC">
      <w:pPr>
        <w:pStyle w:val="ListParagraph"/>
        <w:numPr>
          <w:ilvl w:val="0"/>
          <w:numId w:val="9"/>
        </w:numPr>
        <w:tabs>
          <w:tab w:val="left" w:pos="6072"/>
        </w:tabs>
        <w:spacing w:after="0" w:line="480" w:lineRule="auto"/>
      </w:pPr>
      <w:r>
        <w:t xml:space="preserve">European Environmental Agency (EEA) </w:t>
      </w:r>
      <w:r w:rsidRPr="007C65CC">
        <w:rPr>
          <w:i/>
        </w:rPr>
        <w:t>Climate change, impacts and vulnerability in Europe 2016. An indicator-based repor</w:t>
      </w:r>
      <w:r>
        <w:rPr>
          <w:i/>
        </w:rPr>
        <w:t xml:space="preserve">t. </w:t>
      </w:r>
      <w:hyperlink r:id="rId12" w:history="1">
        <w:r w:rsidRPr="007C65CC">
          <w:rPr>
            <w:rStyle w:val="Hyperlink"/>
          </w:rPr>
          <w:t>https://www.eea.europa.eu/publications/climate-change-impacts-and-vulnerability-2016 [20</w:t>
        </w:r>
      </w:hyperlink>
      <w:r w:rsidRPr="007C65CC">
        <w:t xml:space="preserve"> Oct</w:t>
      </w:r>
      <w:r>
        <w:t>ober 2017].</w:t>
      </w:r>
    </w:p>
    <w:p w:rsidR="007367BE" w:rsidRDefault="001B05C1" w:rsidP="001B05C1">
      <w:pPr>
        <w:pStyle w:val="ListParagraph"/>
        <w:numPr>
          <w:ilvl w:val="0"/>
          <w:numId w:val="9"/>
        </w:numPr>
        <w:tabs>
          <w:tab w:val="left" w:pos="6072"/>
        </w:tabs>
        <w:spacing w:before="240" w:after="0" w:line="480" w:lineRule="auto"/>
      </w:pPr>
      <w:r>
        <w:t xml:space="preserve">United Nations, </w:t>
      </w:r>
      <w:r w:rsidRPr="001B05C1">
        <w:rPr>
          <w:i/>
        </w:rPr>
        <w:t>The Sustainable Development Goals Report 2017</w:t>
      </w:r>
      <w:r>
        <w:rPr>
          <w:i/>
        </w:rPr>
        <w:t xml:space="preserve">, </w:t>
      </w:r>
      <w:hyperlink r:id="rId13" w:history="1">
        <w:r w:rsidR="00CE68A7" w:rsidRPr="00FF4680">
          <w:rPr>
            <w:rStyle w:val="Hyperlink"/>
          </w:rPr>
          <w:t>https://unstats.un.org/sdgs/files/report/2017/TheSustainableDevelopmentGoalsReport2017.pdf</w:t>
        </w:r>
      </w:hyperlink>
      <w:r w:rsidR="00CE68A7">
        <w:t xml:space="preserve"> [20 </w:t>
      </w:r>
      <w:r>
        <w:t>November 2017].</w:t>
      </w:r>
    </w:p>
    <w:p w:rsidR="00C2180A" w:rsidRDefault="00C2180A" w:rsidP="00C2180A">
      <w:pPr>
        <w:pStyle w:val="ListParagraph"/>
        <w:numPr>
          <w:ilvl w:val="0"/>
          <w:numId w:val="9"/>
        </w:numPr>
        <w:tabs>
          <w:tab w:val="left" w:pos="6072"/>
        </w:tabs>
        <w:spacing w:before="240" w:after="0" w:line="480" w:lineRule="auto"/>
      </w:pPr>
      <w:r w:rsidRPr="00C2180A">
        <w:t>Raworth KA</w:t>
      </w:r>
      <w:r>
        <w:t>,</w:t>
      </w:r>
      <w:r w:rsidRPr="00C2180A">
        <w:t xml:space="preserve"> </w:t>
      </w:r>
      <w:r w:rsidRPr="00C2180A">
        <w:rPr>
          <w:i/>
        </w:rPr>
        <w:t>Safe and Just Space for Humanity: Can We Live Within the Doughnut?</w:t>
      </w:r>
      <w:r w:rsidRPr="00C2180A">
        <w:t xml:space="preserve"> Oxfam Discussion Paper. Oxford, UK (2012).</w:t>
      </w:r>
    </w:p>
    <w:p w:rsidR="00461A39" w:rsidRDefault="00461A39" w:rsidP="00461A39">
      <w:pPr>
        <w:pStyle w:val="ListParagraph"/>
        <w:numPr>
          <w:ilvl w:val="0"/>
          <w:numId w:val="9"/>
        </w:numPr>
        <w:tabs>
          <w:tab w:val="left" w:pos="6072"/>
        </w:tabs>
        <w:spacing w:before="240" w:after="0" w:line="480" w:lineRule="auto"/>
      </w:pPr>
      <w:r w:rsidRPr="00461A39">
        <w:t>Trinh L</w:t>
      </w:r>
      <w:r>
        <w:t>,</w:t>
      </w:r>
      <w:r w:rsidRPr="00461A39">
        <w:t xml:space="preserve"> </w:t>
      </w:r>
      <w:r w:rsidRPr="00461A39">
        <w:rPr>
          <w:i/>
        </w:rPr>
        <w:t>Vietnam - Sea-Red river delta master plan</w:t>
      </w:r>
      <w:r w:rsidRPr="00461A39">
        <w:t xml:space="preserve">. </w:t>
      </w:r>
      <w:hyperlink r:id="rId14" w:history="1">
        <w:r w:rsidR="00CE68A7" w:rsidRPr="00FF4680">
          <w:rPr>
            <w:rStyle w:val="Hyperlink"/>
          </w:rPr>
          <w:t xml:space="preserve">http://documents.worldbank.org/curated/en/121841468321531958/Vietnam-Sea-Red-river-delta-master-plan </w:t>
        </w:r>
      </w:hyperlink>
      <w:r w:rsidR="00CE68A7">
        <w:t xml:space="preserve"> [20 </w:t>
      </w:r>
      <w:r w:rsidRPr="00461A39">
        <w:t>Oct</w:t>
      </w:r>
      <w:r>
        <w:t>ober 2017].</w:t>
      </w:r>
    </w:p>
    <w:p w:rsidR="00461A39" w:rsidRDefault="008014C3" w:rsidP="008014C3">
      <w:pPr>
        <w:pStyle w:val="ListParagraph"/>
        <w:numPr>
          <w:ilvl w:val="0"/>
          <w:numId w:val="9"/>
        </w:numPr>
        <w:tabs>
          <w:tab w:val="left" w:pos="6072"/>
        </w:tabs>
        <w:spacing w:before="240" w:after="0" w:line="480" w:lineRule="auto"/>
      </w:pPr>
      <w:r w:rsidRPr="008014C3">
        <w:t>Dearing JA, Wang R, Zhang K, Dyke JG, Haberl H, Hossain MS, Langdon PG, Lenton TM, Raworth K, Brown S, Carstensen J, Cole MJ, Cornell SE, Dawson TP, Doncaster CP, Eigenbrod F, Flörken M, Jeffers E, Mackay AS, Nykvist B, Poppy GM, Safe and just operating spaces for regional social-ecological system. Glob</w:t>
      </w:r>
      <w:r w:rsidR="00CE68A7">
        <w:t>.</w:t>
      </w:r>
      <w:r w:rsidRPr="008014C3">
        <w:t xml:space="preserve"> Env</w:t>
      </w:r>
      <w:r w:rsidR="00CE68A7">
        <w:t>.</w:t>
      </w:r>
      <w:r w:rsidRPr="008014C3">
        <w:t xml:space="preserve"> Change </w:t>
      </w:r>
      <w:r w:rsidRPr="00CE68A7">
        <w:rPr>
          <w:b/>
        </w:rPr>
        <w:t>28</w:t>
      </w:r>
      <w:r w:rsidRPr="008014C3">
        <w:t xml:space="preserve">, 227–238. </w:t>
      </w:r>
      <w:r>
        <w:t>DOI</w:t>
      </w:r>
      <w:r w:rsidRPr="008014C3">
        <w:t>:</w:t>
      </w:r>
      <w:r w:rsidR="00CE68A7">
        <w:t xml:space="preserve"> </w:t>
      </w:r>
      <w:r w:rsidRPr="008014C3">
        <w:t>10.1016/j.gloenvcha.2014.06.012 (2014).</w:t>
      </w:r>
    </w:p>
    <w:p w:rsidR="008014C3" w:rsidRDefault="008014C3" w:rsidP="008014C3">
      <w:pPr>
        <w:pStyle w:val="ListParagraph"/>
        <w:numPr>
          <w:ilvl w:val="0"/>
          <w:numId w:val="9"/>
        </w:numPr>
        <w:tabs>
          <w:tab w:val="left" w:pos="6072"/>
        </w:tabs>
        <w:spacing w:before="240" w:after="0" w:line="480" w:lineRule="auto"/>
      </w:pPr>
      <w:r w:rsidRPr="008014C3">
        <w:t>Hossain MS, Dearing JA, Eigenbrod F</w:t>
      </w:r>
      <w:r>
        <w:t>,</w:t>
      </w:r>
      <w:r w:rsidRPr="008014C3">
        <w:t xml:space="preserve"> and Johnson FA, Operationalizing safe operating space for regional social-ecological systems. </w:t>
      </w:r>
      <w:r w:rsidRPr="00CE68A7">
        <w:rPr>
          <w:i/>
        </w:rPr>
        <w:t>Sci</w:t>
      </w:r>
      <w:r w:rsidR="00CE68A7" w:rsidRPr="00CE68A7">
        <w:rPr>
          <w:i/>
        </w:rPr>
        <w:t xml:space="preserve"> </w:t>
      </w:r>
      <w:r w:rsidRPr="00CE68A7">
        <w:rPr>
          <w:i/>
        </w:rPr>
        <w:t>Total Envi</w:t>
      </w:r>
      <w:r w:rsidR="00CE68A7" w:rsidRPr="00CE68A7">
        <w:rPr>
          <w:i/>
        </w:rPr>
        <w:t>ron</w:t>
      </w:r>
      <w:r w:rsidRPr="008014C3">
        <w:t xml:space="preserve">. </w:t>
      </w:r>
      <w:r>
        <w:t xml:space="preserve">DOI: </w:t>
      </w:r>
      <w:r w:rsidRPr="008014C3">
        <w:t>10.1016/j.scitotenv.2017.01.095</w:t>
      </w:r>
      <w:r w:rsidR="00CE68A7">
        <w:t xml:space="preserve"> (2015)</w:t>
      </w:r>
      <w:r w:rsidRPr="008014C3">
        <w:t>.</w:t>
      </w:r>
    </w:p>
    <w:p w:rsidR="007D0165" w:rsidRDefault="007D0165" w:rsidP="007D0165">
      <w:pPr>
        <w:pStyle w:val="ListParagraph"/>
        <w:numPr>
          <w:ilvl w:val="0"/>
          <w:numId w:val="9"/>
        </w:numPr>
        <w:tabs>
          <w:tab w:val="left" w:pos="6072"/>
        </w:tabs>
        <w:spacing w:before="240" w:after="0" w:line="480" w:lineRule="auto"/>
      </w:pPr>
      <w:r w:rsidRPr="007D0165">
        <w:t xml:space="preserve">Hussain A, Agrawal NK, and Leikanger I, Action for Adaptation: Bringing climate change science to policy makers-a synthesis report of a conference held in Islamabad on 23–25 July 2015. </w:t>
      </w:r>
      <w:r w:rsidRPr="007D0165">
        <w:rPr>
          <w:i/>
        </w:rPr>
        <w:t>Food Security</w:t>
      </w:r>
      <w:r w:rsidRPr="007D0165">
        <w:t xml:space="preserve">, </w:t>
      </w:r>
      <w:r w:rsidRPr="00033DE9">
        <w:rPr>
          <w:b/>
        </w:rPr>
        <w:t>8</w:t>
      </w:r>
      <w:r w:rsidRPr="007D0165">
        <w:t>(1), pp.285-289 (2016b).</w:t>
      </w:r>
    </w:p>
    <w:p w:rsidR="00A97F0D" w:rsidRDefault="00A97F0D" w:rsidP="00A97F0D">
      <w:pPr>
        <w:pStyle w:val="ListParagraph"/>
        <w:numPr>
          <w:ilvl w:val="0"/>
          <w:numId w:val="9"/>
        </w:numPr>
        <w:tabs>
          <w:tab w:val="left" w:pos="6072"/>
        </w:tabs>
        <w:spacing w:after="0" w:line="480" w:lineRule="auto"/>
      </w:pPr>
      <w:r w:rsidRPr="005C099C">
        <w:t>Hussain</w:t>
      </w:r>
      <w:r>
        <w:t xml:space="preserve"> </w:t>
      </w:r>
      <w:r w:rsidRPr="005C099C">
        <w:t>A, Golam R, Mahapatra B, Tula</w:t>
      </w:r>
      <w:r>
        <w:t xml:space="preserve">ndhar S, Household food security in the face of climate change in the Hindu-Kush Himalayan region. </w:t>
      </w:r>
      <w:r w:rsidRPr="00A97F0D">
        <w:rPr>
          <w:i/>
        </w:rPr>
        <w:t>Food Security</w:t>
      </w:r>
      <w:r>
        <w:t xml:space="preserve">, </w:t>
      </w:r>
      <w:r w:rsidRPr="005C099C">
        <w:t>8</w:t>
      </w:r>
      <w:r>
        <w:t xml:space="preserve">, </w:t>
      </w:r>
      <w:r w:rsidRPr="005C099C">
        <w:t>921–937</w:t>
      </w:r>
      <w:r>
        <w:t xml:space="preserve">, DOI: </w:t>
      </w:r>
      <w:r w:rsidRPr="005C099C">
        <w:t>10.1007/s12571-016-0607-5</w:t>
      </w:r>
      <w:r>
        <w:t>.</w:t>
      </w:r>
    </w:p>
    <w:p w:rsidR="007C7F8B" w:rsidRDefault="007C7F8B" w:rsidP="007C7F8B">
      <w:pPr>
        <w:pStyle w:val="ListParagraph"/>
        <w:numPr>
          <w:ilvl w:val="0"/>
          <w:numId w:val="9"/>
        </w:numPr>
        <w:tabs>
          <w:tab w:val="left" w:pos="6072"/>
        </w:tabs>
        <w:spacing w:after="0" w:line="480" w:lineRule="auto"/>
      </w:pPr>
      <w:r w:rsidRPr="00213B96">
        <w:t>Mollier L, Seyler F, Chotte J-L, Ringler C</w:t>
      </w:r>
      <w:r>
        <w:t xml:space="preserve">, </w:t>
      </w:r>
      <w:r w:rsidRPr="00213B96">
        <w:t>SDG2 End Hunger, Achieve Food Security and Improved Nutrition and Promote Sustainable Agriculture. In: Griggs DJ, Nilsson M, Stevance A-S, McCollum D (eds) A Guide to SDG Interactions: from Science to Implementation. International Council for Science (ICSU), Paris, pp 33-79</w:t>
      </w:r>
      <w:r>
        <w:t xml:space="preserve"> (2016).</w:t>
      </w:r>
    </w:p>
    <w:p w:rsidR="00804F50" w:rsidRDefault="00804F50" w:rsidP="002838CF">
      <w:pPr>
        <w:pStyle w:val="ListParagraph"/>
        <w:numPr>
          <w:ilvl w:val="0"/>
          <w:numId w:val="9"/>
        </w:numPr>
        <w:tabs>
          <w:tab w:val="left" w:pos="6072"/>
        </w:tabs>
        <w:spacing w:before="240" w:after="0" w:line="480" w:lineRule="auto"/>
      </w:pPr>
      <w:r w:rsidRPr="00804F50">
        <w:t>Adhikari L, Hussain</w:t>
      </w:r>
      <w:r w:rsidR="002838CF">
        <w:t xml:space="preserve"> </w:t>
      </w:r>
      <w:r w:rsidRPr="00804F50">
        <w:t xml:space="preserve">A and Rasul G, Tapping the Potential of Neglected and Underutilized Food Crops for Sustainable Nutrition Security in the Mountains of Pakistan and Nepal. </w:t>
      </w:r>
      <w:r w:rsidRPr="007C7F8B">
        <w:rPr>
          <w:i/>
        </w:rPr>
        <w:t>Sustainability</w:t>
      </w:r>
      <w:r w:rsidRPr="00804F50">
        <w:t xml:space="preserve">, </w:t>
      </w:r>
      <w:r w:rsidRPr="00033DE9">
        <w:rPr>
          <w:b/>
        </w:rPr>
        <w:t>9</w:t>
      </w:r>
      <w:r w:rsidRPr="00804F50">
        <w:t>(2), p.291</w:t>
      </w:r>
      <w:r w:rsidR="002838CF">
        <w:t xml:space="preserve"> (2017)</w:t>
      </w:r>
      <w:r w:rsidRPr="00804F50">
        <w:t>.</w:t>
      </w:r>
    </w:p>
    <w:p w:rsidR="000D2F81" w:rsidRPr="005C7C9B" w:rsidRDefault="000D2F81" w:rsidP="000D2F81">
      <w:pPr>
        <w:pStyle w:val="ListParagraph"/>
        <w:numPr>
          <w:ilvl w:val="0"/>
          <w:numId w:val="9"/>
        </w:numPr>
        <w:tabs>
          <w:tab w:val="left" w:pos="6072"/>
        </w:tabs>
        <w:spacing w:after="0" w:line="480" w:lineRule="auto"/>
      </w:pPr>
      <w:r w:rsidRPr="00804F50">
        <w:t>FAO</w:t>
      </w:r>
      <w:r>
        <w:t>,</w:t>
      </w:r>
      <w:r w:rsidRPr="00804F50">
        <w:t xml:space="preserve"> </w:t>
      </w:r>
      <w:r w:rsidRPr="000D2F81">
        <w:rPr>
          <w:i/>
        </w:rPr>
        <w:t>Future Smart Food: Unlocking Hidden Treasures in Asia and the Pacific. RI-Zero Hunger- Policy Brief-Agricultural Diversification for a Healthy Diet</w:t>
      </w:r>
      <w:r w:rsidRPr="00804F50">
        <w:t>. FAO Regional Office for Asia and the Pacific, Bangkok, Thailand</w:t>
      </w:r>
      <w:r>
        <w:t xml:space="preserve"> (2017)</w:t>
      </w:r>
      <w:r w:rsidRPr="00804F50">
        <w:t>.</w:t>
      </w:r>
    </w:p>
    <w:p w:rsidR="00C36DBF" w:rsidRPr="00C36DBF" w:rsidRDefault="00C36DBF" w:rsidP="00C36DBF">
      <w:pPr>
        <w:pStyle w:val="ListParagraph"/>
        <w:numPr>
          <w:ilvl w:val="0"/>
          <w:numId w:val="9"/>
        </w:numPr>
        <w:tabs>
          <w:tab w:val="left" w:pos="6072"/>
        </w:tabs>
        <w:spacing w:after="0" w:line="480" w:lineRule="auto"/>
      </w:pPr>
      <w:r>
        <w:t xml:space="preserve">United Nations, </w:t>
      </w:r>
      <w:r w:rsidRPr="00C36DBF">
        <w:rPr>
          <w:i/>
        </w:rPr>
        <w:t>The Road to Dignity by 2030: Ending Poverty, Transforming All Lives and Protecting the Planet Synthesis Report of the Secretary-General on the Post-2015 Agenda</w:t>
      </w:r>
      <w:r>
        <w:t xml:space="preserve">. </w:t>
      </w:r>
      <w:hyperlink r:id="rId15" w:history="1">
        <w:r w:rsidRPr="00C36DBF">
          <w:rPr>
            <w:rStyle w:val="Hyperlink"/>
          </w:rPr>
          <w:t>http://www.un.org/disabilities/documents/reports/SG_Synthesis_Report_Road_to_Dignity_by_2030.pdf</w:t>
        </w:r>
      </w:hyperlink>
      <w:r w:rsidRPr="00C36DBF">
        <w:t xml:space="preserve"> [20 Octo</w:t>
      </w:r>
      <w:r>
        <w:t>ber 2017</w:t>
      </w:r>
      <w:r w:rsidRPr="00C36DBF">
        <w:t>]</w:t>
      </w:r>
      <w:r>
        <w:t>.</w:t>
      </w:r>
    </w:p>
    <w:p w:rsidR="0048535F" w:rsidRPr="00E042A3" w:rsidRDefault="0048535F" w:rsidP="006961A6">
      <w:pPr>
        <w:pStyle w:val="ListParagraph"/>
        <w:numPr>
          <w:ilvl w:val="0"/>
          <w:numId w:val="9"/>
        </w:numPr>
        <w:tabs>
          <w:tab w:val="left" w:pos="6072"/>
        </w:tabs>
        <w:spacing w:before="240" w:after="0" w:line="480" w:lineRule="auto"/>
      </w:pPr>
      <w:r>
        <w:t>United Nations</w:t>
      </w:r>
      <w:r w:rsidR="001E45B0">
        <w:t>,</w:t>
      </w:r>
      <w:r>
        <w:t xml:space="preserve"> </w:t>
      </w:r>
      <w:r w:rsidRPr="00C36DBF">
        <w:rPr>
          <w:i/>
        </w:rPr>
        <w:t>Sendai Framework for Disaster Risk Reduction 2015 – 2030</w:t>
      </w:r>
      <w:r>
        <w:t xml:space="preserve">. </w:t>
      </w:r>
      <w:hyperlink r:id="rId16" w:history="1">
        <w:r w:rsidR="00C36DBF" w:rsidRPr="00FF4680">
          <w:rPr>
            <w:rStyle w:val="Hyperlink"/>
          </w:rPr>
          <w:t>http://www.unisdr.org/we/coordinate/sendai-framework</w:t>
        </w:r>
      </w:hyperlink>
      <w:r w:rsidR="00C36DBF">
        <w:t xml:space="preserve"> [20 October 2017].</w:t>
      </w:r>
    </w:p>
    <w:p w:rsidR="00021428" w:rsidRPr="00E042A3" w:rsidRDefault="00021428" w:rsidP="006961A6">
      <w:pPr>
        <w:tabs>
          <w:tab w:val="left" w:pos="6072"/>
        </w:tabs>
        <w:spacing w:after="0" w:line="480" w:lineRule="auto"/>
        <w:rPr>
          <w:b/>
        </w:rPr>
      </w:pPr>
    </w:p>
    <w:p w:rsidR="00C97F7F" w:rsidRDefault="00C97F7F" w:rsidP="006961A6">
      <w:pPr>
        <w:pStyle w:val="ListParagraph"/>
        <w:spacing w:after="0" w:line="480" w:lineRule="auto"/>
        <w:rPr>
          <w:sz w:val="24"/>
          <w:szCs w:val="24"/>
        </w:rPr>
      </w:pPr>
    </w:p>
    <w:p w:rsidR="00763CB4" w:rsidRPr="00E042A3" w:rsidRDefault="00763CB4" w:rsidP="006961A6">
      <w:pPr>
        <w:pStyle w:val="ListParagraph"/>
        <w:spacing w:after="0" w:line="480" w:lineRule="auto"/>
        <w:rPr>
          <w:sz w:val="24"/>
          <w:szCs w:val="24"/>
        </w:rPr>
      </w:pPr>
    </w:p>
    <w:sectPr w:rsidR="00763CB4" w:rsidRPr="00E042A3" w:rsidSect="006D2502">
      <w:footerReference w:type="defaul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9B" w:rsidRDefault="00A85A9B" w:rsidP="00C75C66">
      <w:pPr>
        <w:spacing w:after="0" w:line="240" w:lineRule="auto"/>
      </w:pPr>
      <w:r>
        <w:separator/>
      </w:r>
    </w:p>
  </w:endnote>
  <w:endnote w:type="continuationSeparator" w:id="0">
    <w:p w:rsidR="00A85A9B" w:rsidRDefault="00A85A9B" w:rsidP="00C7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rnpxgAdvTT3713a231">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4071"/>
      <w:docPartObj>
        <w:docPartGallery w:val="Page Numbers (Bottom of Page)"/>
        <w:docPartUnique/>
      </w:docPartObj>
    </w:sdtPr>
    <w:sdtEndPr>
      <w:rPr>
        <w:noProof/>
      </w:rPr>
    </w:sdtEndPr>
    <w:sdtContent>
      <w:p w:rsidR="001D4FB1" w:rsidRDefault="00154F5C">
        <w:pPr>
          <w:pStyle w:val="Footer"/>
          <w:jc w:val="right"/>
        </w:pPr>
        <w:r>
          <w:fldChar w:fldCharType="begin"/>
        </w:r>
        <w:r w:rsidR="001D4FB1">
          <w:instrText xml:space="preserve"> PAGE   \* MERGEFORMAT </w:instrText>
        </w:r>
        <w:r>
          <w:fldChar w:fldCharType="separate"/>
        </w:r>
        <w:r w:rsidR="00FE7067">
          <w:rPr>
            <w:noProof/>
          </w:rPr>
          <w:t>4</w:t>
        </w:r>
        <w:r>
          <w:rPr>
            <w:noProof/>
          </w:rPr>
          <w:fldChar w:fldCharType="end"/>
        </w:r>
      </w:p>
    </w:sdtContent>
  </w:sdt>
  <w:p w:rsidR="001D4FB1" w:rsidRDefault="001D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9B" w:rsidRDefault="00A85A9B" w:rsidP="00C75C66">
      <w:pPr>
        <w:spacing w:after="0" w:line="240" w:lineRule="auto"/>
      </w:pPr>
      <w:r>
        <w:separator/>
      </w:r>
    </w:p>
  </w:footnote>
  <w:footnote w:type="continuationSeparator" w:id="0">
    <w:p w:rsidR="00A85A9B" w:rsidRDefault="00A85A9B" w:rsidP="00C75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900"/>
    <w:multiLevelType w:val="hybridMultilevel"/>
    <w:tmpl w:val="754E9D02"/>
    <w:lvl w:ilvl="0" w:tplc="0C849F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C0DF4"/>
    <w:multiLevelType w:val="hybridMultilevel"/>
    <w:tmpl w:val="1430C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A37881"/>
    <w:multiLevelType w:val="hybridMultilevel"/>
    <w:tmpl w:val="65BA0B7E"/>
    <w:lvl w:ilvl="0" w:tplc="0C849F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915036"/>
    <w:multiLevelType w:val="hybridMultilevel"/>
    <w:tmpl w:val="AE16132A"/>
    <w:lvl w:ilvl="0" w:tplc="92DA40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A44086"/>
    <w:multiLevelType w:val="hybridMultilevel"/>
    <w:tmpl w:val="685A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D24C9"/>
    <w:multiLevelType w:val="hybridMultilevel"/>
    <w:tmpl w:val="D86A1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4930B7"/>
    <w:multiLevelType w:val="hybridMultilevel"/>
    <w:tmpl w:val="1EF2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E473D"/>
    <w:multiLevelType w:val="hybridMultilevel"/>
    <w:tmpl w:val="6E3C4B3E"/>
    <w:lvl w:ilvl="0" w:tplc="0C849F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646E95"/>
    <w:multiLevelType w:val="hybridMultilevel"/>
    <w:tmpl w:val="175EF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3 Bio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pwrfwdopa59med2s8pfadv9zfp9vzf509d&quot;&gt;My EndNote Library&lt;record-ids&gt;&lt;item&gt;4899&lt;/item&gt;&lt;item&gt;5203&lt;/item&gt;&lt;item&gt;5216&lt;/item&gt;&lt;item&gt;5477&lt;/item&gt;&lt;item&gt;5598&lt;/item&gt;&lt;item&gt;5599&lt;/item&gt;&lt;/record-ids&gt;&lt;/item&gt;&lt;/Libraries&gt;"/>
  </w:docVars>
  <w:rsids>
    <w:rsidRoot w:val="00EE191F"/>
    <w:rsid w:val="000024D4"/>
    <w:rsid w:val="000059F8"/>
    <w:rsid w:val="0000777B"/>
    <w:rsid w:val="000159E4"/>
    <w:rsid w:val="00021428"/>
    <w:rsid w:val="000229E6"/>
    <w:rsid w:val="00027A85"/>
    <w:rsid w:val="0003322B"/>
    <w:rsid w:val="00033B29"/>
    <w:rsid w:val="00033DE9"/>
    <w:rsid w:val="000373EA"/>
    <w:rsid w:val="00037AE9"/>
    <w:rsid w:val="00041468"/>
    <w:rsid w:val="00043FD1"/>
    <w:rsid w:val="00050615"/>
    <w:rsid w:val="00051F92"/>
    <w:rsid w:val="000525A9"/>
    <w:rsid w:val="000550C6"/>
    <w:rsid w:val="0006207D"/>
    <w:rsid w:val="00064BB5"/>
    <w:rsid w:val="000703D8"/>
    <w:rsid w:val="00070ECE"/>
    <w:rsid w:val="00076CBE"/>
    <w:rsid w:val="0008686F"/>
    <w:rsid w:val="00087589"/>
    <w:rsid w:val="000906B1"/>
    <w:rsid w:val="0009099D"/>
    <w:rsid w:val="00091925"/>
    <w:rsid w:val="00092256"/>
    <w:rsid w:val="00096644"/>
    <w:rsid w:val="00097C87"/>
    <w:rsid w:val="00097F4A"/>
    <w:rsid w:val="000A33C5"/>
    <w:rsid w:val="000A6CAE"/>
    <w:rsid w:val="000B28AA"/>
    <w:rsid w:val="000B5476"/>
    <w:rsid w:val="000C1363"/>
    <w:rsid w:val="000C2CA6"/>
    <w:rsid w:val="000C699E"/>
    <w:rsid w:val="000C73F1"/>
    <w:rsid w:val="000D2F81"/>
    <w:rsid w:val="000D5F32"/>
    <w:rsid w:val="000D7731"/>
    <w:rsid w:val="000E5723"/>
    <w:rsid w:val="000E764E"/>
    <w:rsid w:val="000F0187"/>
    <w:rsid w:val="000F1155"/>
    <w:rsid w:val="000F1C49"/>
    <w:rsid w:val="000F6082"/>
    <w:rsid w:val="00100491"/>
    <w:rsid w:val="00110059"/>
    <w:rsid w:val="00110CBF"/>
    <w:rsid w:val="001111A5"/>
    <w:rsid w:val="00111A42"/>
    <w:rsid w:val="0011413D"/>
    <w:rsid w:val="00114EF6"/>
    <w:rsid w:val="0012228A"/>
    <w:rsid w:val="00122FDB"/>
    <w:rsid w:val="00126808"/>
    <w:rsid w:val="00132DE9"/>
    <w:rsid w:val="00134BE9"/>
    <w:rsid w:val="00140561"/>
    <w:rsid w:val="00145032"/>
    <w:rsid w:val="001468D9"/>
    <w:rsid w:val="00147B5B"/>
    <w:rsid w:val="00150B1A"/>
    <w:rsid w:val="00154F5C"/>
    <w:rsid w:val="00155784"/>
    <w:rsid w:val="0015667F"/>
    <w:rsid w:val="00157291"/>
    <w:rsid w:val="001604FE"/>
    <w:rsid w:val="00162A30"/>
    <w:rsid w:val="001634C1"/>
    <w:rsid w:val="001651B8"/>
    <w:rsid w:val="00171C3D"/>
    <w:rsid w:val="00173799"/>
    <w:rsid w:val="00180B51"/>
    <w:rsid w:val="00185744"/>
    <w:rsid w:val="00191718"/>
    <w:rsid w:val="001918C9"/>
    <w:rsid w:val="00192997"/>
    <w:rsid w:val="00195868"/>
    <w:rsid w:val="0019731F"/>
    <w:rsid w:val="001A09D7"/>
    <w:rsid w:val="001A3F62"/>
    <w:rsid w:val="001A5136"/>
    <w:rsid w:val="001B05C1"/>
    <w:rsid w:val="001B2804"/>
    <w:rsid w:val="001B557B"/>
    <w:rsid w:val="001B5A50"/>
    <w:rsid w:val="001B6BB0"/>
    <w:rsid w:val="001C069C"/>
    <w:rsid w:val="001C1BD5"/>
    <w:rsid w:val="001C226B"/>
    <w:rsid w:val="001C30D6"/>
    <w:rsid w:val="001C522D"/>
    <w:rsid w:val="001D0073"/>
    <w:rsid w:val="001D0AA6"/>
    <w:rsid w:val="001D1C14"/>
    <w:rsid w:val="001D4FB1"/>
    <w:rsid w:val="001E0FAD"/>
    <w:rsid w:val="001E4320"/>
    <w:rsid w:val="001E4537"/>
    <w:rsid w:val="001E45B0"/>
    <w:rsid w:val="001E53C3"/>
    <w:rsid w:val="001F3381"/>
    <w:rsid w:val="001F6358"/>
    <w:rsid w:val="001F6E26"/>
    <w:rsid w:val="002015AE"/>
    <w:rsid w:val="00201D6C"/>
    <w:rsid w:val="00206BB7"/>
    <w:rsid w:val="00213B96"/>
    <w:rsid w:val="00215532"/>
    <w:rsid w:val="002156C0"/>
    <w:rsid w:val="00215F07"/>
    <w:rsid w:val="00217F31"/>
    <w:rsid w:val="00217F5C"/>
    <w:rsid w:val="00224643"/>
    <w:rsid w:val="00231BFB"/>
    <w:rsid w:val="0023561A"/>
    <w:rsid w:val="00240B4B"/>
    <w:rsid w:val="002455D8"/>
    <w:rsid w:val="00250B26"/>
    <w:rsid w:val="00251A00"/>
    <w:rsid w:val="00252663"/>
    <w:rsid w:val="002528AE"/>
    <w:rsid w:val="00253671"/>
    <w:rsid w:val="00260E9E"/>
    <w:rsid w:val="00261645"/>
    <w:rsid w:val="00264EA7"/>
    <w:rsid w:val="00265570"/>
    <w:rsid w:val="002658D2"/>
    <w:rsid w:val="0027551C"/>
    <w:rsid w:val="0027736C"/>
    <w:rsid w:val="002802A0"/>
    <w:rsid w:val="002838CF"/>
    <w:rsid w:val="00284C16"/>
    <w:rsid w:val="00290B33"/>
    <w:rsid w:val="00291261"/>
    <w:rsid w:val="00292072"/>
    <w:rsid w:val="00293B87"/>
    <w:rsid w:val="002A1867"/>
    <w:rsid w:val="002A389B"/>
    <w:rsid w:val="002B27E5"/>
    <w:rsid w:val="002B570F"/>
    <w:rsid w:val="002C0530"/>
    <w:rsid w:val="002C482C"/>
    <w:rsid w:val="002D5C9C"/>
    <w:rsid w:val="002D5F0B"/>
    <w:rsid w:val="002D6087"/>
    <w:rsid w:val="002E0EB5"/>
    <w:rsid w:val="002E417C"/>
    <w:rsid w:val="002F04D0"/>
    <w:rsid w:val="00301DC1"/>
    <w:rsid w:val="00301F78"/>
    <w:rsid w:val="00302560"/>
    <w:rsid w:val="0030474E"/>
    <w:rsid w:val="00306A71"/>
    <w:rsid w:val="00306DAD"/>
    <w:rsid w:val="00307271"/>
    <w:rsid w:val="00307307"/>
    <w:rsid w:val="00307A63"/>
    <w:rsid w:val="00312FC2"/>
    <w:rsid w:val="003156A2"/>
    <w:rsid w:val="00315CA7"/>
    <w:rsid w:val="0032041B"/>
    <w:rsid w:val="00334ABA"/>
    <w:rsid w:val="0034000F"/>
    <w:rsid w:val="00340A48"/>
    <w:rsid w:val="0034203F"/>
    <w:rsid w:val="00342A42"/>
    <w:rsid w:val="003430D7"/>
    <w:rsid w:val="00345075"/>
    <w:rsid w:val="00353991"/>
    <w:rsid w:val="0035425B"/>
    <w:rsid w:val="00357AAA"/>
    <w:rsid w:val="003600BC"/>
    <w:rsid w:val="00361205"/>
    <w:rsid w:val="00361518"/>
    <w:rsid w:val="00367935"/>
    <w:rsid w:val="003731C4"/>
    <w:rsid w:val="00382C90"/>
    <w:rsid w:val="003867C0"/>
    <w:rsid w:val="00393FC5"/>
    <w:rsid w:val="00394D89"/>
    <w:rsid w:val="0039501B"/>
    <w:rsid w:val="003A131D"/>
    <w:rsid w:val="003A3777"/>
    <w:rsid w:val="003A6546"/>
    <w:rsid w:val="003B46DD"/>
    <w:rsid w:val="003B5B15"/>
    <w:rsid w:val="003C33DF"/>
    <w:rsid w:val="003D1363"/>
    <w:rsid w:val="003D4353"/>
    <w:rsid w:val="003D6361"/>
    <w:rsid w:val="003E33BF"/>
    <w:rsid w:val="003E6DF3"/>
    <w:rsid w:val="003F0F40"/>
    <w:rsid w:val="003F3069"/>
    <w:rsid w:val="003F5BCC"/>
    <w:rsid w:val="003F5C0F"/>
    <w:rsid w:val="003F62AE"/>
    <w:rsid w:val="003F649E"/>
    <w:rsid w:val="003F7919"/>
    <w:rsid w:val="004010EE"/>
    <w:rsid w:val="00403136"/>
    <w:rsid w:val="00410AC5"/>
    <w:rsid w:val="004132F7"/>
    <w:rsid w:val="004139F4"/>
    <w:rsid w:val="00413C1F"/>
    <w:rsid w:val="00414099"/>
    <w:rsid w:val="00422039"/>
    <w:rsid w:val="00422D51"/>
    <w:rsid w:val="00423859"/>
    <w:rsid w:val="00426DA9"/>
    <w:rsid w:val="00427589"/>
    <w:rsid w:val="0043090F"/>
    <w:rsid w:val="00432345"/>
    <w:rsid w:val="00432DAC"/>
    <w:rsid w:val="0043480F"/>
    <w:rsid w:val="00434FA4"/>
    <w:rsid w:val="004368D4"/>
    <w:rsid w:val="00441B7A"/>
    <w:rsid w:val="00442884"/>
    <w:rsid w:val="00443FB3"/>
    <w:rsid w:val="004459CE"/>
    <w:rsid w:val="0044629C"/>
    <w:rsid w:val="004478B5"/>
    <w:rsid w:val="00447BAB"/>
    <w:rsid w:val="004535A4"/>
    <w:rsid w:val="00453D04"/>
    <w:rsid w:val="00454331"/>
    <w:rsid w:val="00454702"/>
    <w:rsid w:val="00454DE4"/>
    <w:rsid w:val="00455923"/>
    <w:rsid w:val="00461A39"/>
    <w:rsid w:val="00465F8E"/>
    <w:rsid w:val="004661C2"/>
    <w:rsid w:val="00471C88"/>
    <w:rsid w:val="00473F8C"/>
    <w:rsid w:val="0047455E"/>
    <w:rsid w:val="0047461D"/>
    <w:rsid w:val="00484E51"/>
    <w:rsid w:val="0048535F"/>
    <w:rsid w:val="004964FD"/>
    <w:rsid w:val="004A30D4"/>
    <w:rsid w:val="004A3471"/>
    <w:rsid w:val="004B0EBC"/>
    <w:rsid w:val="004B127A"/>
    <w:rsid w:val="004B2F12"/>
    <w:rsid w:val="004C2C96"/>
    <w:rsid w:val="004C51BB"/>
    <w:rsid w:val="004C5473"/>
    <w:rsid w:val="004C5BC0"/>
    <w:rsid w:val="004D2D11"/>
    <w:rsid w:val="004D4099"/>
    <w:rsid w:val="004D7E68"/>
    <w:rsid w:val="004E19A0"/>
    <w:rsid w:val="004E24EE"/>
    <w:rsid w:val="004E2BE3"/>
    <w:rsid w:val="004E4412"/>
    <w:rsid w:val="004E4593"/>
    <w:rsid w:val="004E48C6"/>
    <w:rsid w:val="004E4CCE"/>
    <w:rsid w:val="004E5CE4"/>
    <w:rsid w:val="004E77F8"/>
    <w:rsid w:val="004F2F50"/>
    <w:rsid w:val="004F68EC"/>
    <w:rsid w:val="00504AEC"/>
    <w:rsid w:val="00511946"/>
    <w:rsid w:val="005127AA"/>
    <w:rsid w:val="005174F8"/>
    <w:rsid w:val="005214DC"/>
    <w:rsid w:val="00521520"/>
    <w:rsid w:val="00527140"/>
    <w:rsid w:val="00532397"/>
    <w:rsid w:val="0053348A"/>
    <w:rsid w:val="00533A30"/>
    <w:rsid w:val="005358FD"/>
    <w:rsid w:val="00542C66"/>
    <w:rsid w:val="00561132"/>
    <w:rsid w:val="00561FC0"/>
    <w:rsid w:val="00564D5D"/>
    <w:rsid w:val="00571E81"/>
    <w:rsid w:val="00574E71"/>
    <w:rsid w:val="005761AA"/>
    <w:rsid w:val="0057737A"/>
    <w:rsid w:val="00582A4A"/>
    <w:rsid w:val="005834CC"/>
    <w:rsid w:val="00583A70"/>
    <w:rsid w:val="005841A8"/>
    <w:rsid w:val="00592E51"/>
    <w:rsid w:val="00596568"/>
    <w:rsid w:val="005A00BA"/>
    <w:rsid w:val="005A4FEB"/>
    <w:rsid w:val="005A5F48"/>
    <w:rsid w:val="005A6AAD"/>
    <w:rsid w:val="005B03D1"/>
    <w:rsid w:val="005B061B"/>
    <w:rsid w:val="005B17E9"/>
    <w:rsid w:val="005B3C51"/>
    <w:rsid w:val="005C099C"/>
    <w:rsid w:val="005C6CF8"/>
    <w:rsid w:val="005C793F"/>
    <w:rsid w:val="005C7C9B"/>
    <w:rsid w:val="005D01A9"/>
    <w:rsid w:val="005D27A0"/>
    <w:rsid w:val="005E0913"/>
    <w:rsid w:val="005E4929"/>
    <w:rsid w:val="005E4D8C"/>
    <w:rsid w:val="005E7E33"/>
    <w:rsid w:val="005F0417"/>
    <w:rsid w:val="005F37FF"/>
    <w:rsid w:val="005F4503"/>
    <w:rsid w:val="005F4922"/>
    <w:rsid w:val="005F70BC"/>
    <w:rsid w:val="006008D7"/>
    <w:rsid w:val="00601794"/>
    <w:rsid w:val="00605F42"/>
    <w:rsid w:val="006109A8"/>
    <w:rsid w:val="00612198"/>
    <w:rsid w:val="00621C2C"/>
    <w:rsid w:val="006233D5"/>
    <w:rsid w:val="00624D52"/>
    <w:rsid w:val="0063000A"/>
    <w:rsid w:val="006347B9"/>
    <w:rsid w:val="00636D29"/>
    <w:rsid w:val="00646AFC"/>
    <w:rsid w:val="00650947"/>
    <w:rsid w:val="00652F41"/>
    <w:rsid w:val="006536EE"/>
    <w:rsid w:val="0065370E"/>
    <w:rsid w:val="006561AA"/>
    <w:rsid w:val="00656699"/>
    <w:rsid w:val="00657961"/>
    <w:rsid w:val="00665BF2"/>
    <w:rsid w:val="00665E4B"/>
    <w:rsid w:val="00666B31"/>
    <w:rsid w:val="00672550"/>
    <w:rsid w:val="00674299"/>
    <w:rsid w:val="006772F7"/>
    <w:rsid w:val="00677958"/>
    <w:rsid w:val="00685679"/>
    <w:rsid w:val="006867C0"/>
    <w:rsid w:val="006908B4"/>
    <w:rsid w:val="006934D4"/>
    <w:rsid w:val="006961A6"/>
    <w:rsid w:val="006967C2"/>
    <w:rsid w:val="006A16F2"/>
    <w:rsid w:val="006A4D2F"/>
    <w:rsid w:val="006B34E7"/>
    <w:rsid w:val="006B61A6"/>
    <w:rsid w:val="006B622D"/>
    <w:rsid w:val="006B7188"/>
    <w:rsid w:val="006B75A5"/>
    <w:rsid w:val="006C5B97"/>
    <w:rsid w:val="006C6099"/>
    <w:rsid w:val="006C776A"/>
    <w:rsid w:val="006D0212"/>
    <w:rsid w:val="006D0A51"/>
    <w:rsid w:val="006D1AEC"/>
    <w:rsid w:val="006D2502"/>
    <w:rsid w:val="006D2CBA"/>
    <w:rsid w:val="006D4496"/>
    <w:rsid w:val="006D4998"/>
    <w:rsid w:val="006F10C4"/>
    <w:rsid w:val="006F7B89"/>
    <w:rsid w:val="00701FCD"/>
    <w:rsid w:val="007030D1"/>
    <w:rsid w:val="00703372"/>
    <w:rsid w:val="00703BD4"/>
    <w:rsid w:val="00704B9B"/>
    <w:rsid w:val="007072D8"/>
    <w:rsid w:val="00707CCA"/>
    <w:rsid w:val="00711423"/>
    <w:rsid w:val="007115AE"/>
    <w:rsid w:val="00711708"/>
    <w:rsid w:val="00712F56"/>
    <w:rsid w:val="007135E8"/>
    <w:rsid w:val="007204AC"/>
    <w:rsid w:val="00724547"/>
    <w:rsid w:val="00726E27"/>
    <w:rsid w:val="00732C4E"/>
    <w:rsid w:val="00733B0B"/>
    <w:rsid w:val="007367BE"/>
    <w:rsid w:val="0073774A"/>
    <w:rsid w:val="00742D1F"/>
    <w:rsid w:val="0074334B"/>
    <w:rsid w:val="00745EB7"/>
    <w:rsid w:val="0074628D"/>
    <w:rsid w:val="007500B3"/>
    <w:rsid w:val="0075298B"/>
    <w:rsid w:val="007530F4"/>
    <w:rsid w:val="00762A54"/>
    <w:rsid w:val="00762FF9"/>
    <w:rsid w:val="00763CB4"/>
    <w:rsid w:val="00765DC8"/>
    <w:rsid w:val="007700FA"/>
    <w:rsid w:val="007708F6"/>
    <w:rsid w:val="00772A01"/>
    <w:rsid w:val="007755A0"/>
    <w:rsid w:val="00777C19"/>
    <w:rsid w:val="00780224"/>
    <w:rsid w:val="007840A6"/>
    <w:rsid w:val="0078443A"/>
    <w:rsid w:val="007876E8"/>
    <w:rsid w:val="00791B2C"/>
    <w:rsid w:val="007A054B"/>
    <w:rsid w:val="007A25A4"/>
    <w:rsid w:val="007A3AEA"/>
    <w:rsid w:val="007A40CD"/>
    <w:rsid w:val="007A42A8"/>
    <w:rsid w:val="007B2CBE"/>
    <w:rsid w:val="007B6631"/>
    <w:rsid w:val="007C0E6F"/>
    <w:rsid w:val="007C65CC"/>
    <w:rsid w:val="007C7F8B"/>
    <w:rsid w:val="007D0165"/>
    <w:rsid w:val="007D43D9"/>
    <w:rsid w:val="007D71F9"/>
    <w:rsid w:val="007E3306"/>
    <w:rsid w:val="007E4DF1"/>
    <w:rsid w:val="007F0A58"/>
    <w:rsid w:val="007F3D9E"/>
    <w:rsid w:val="007F79BE"/>
    <w:rsid w:val="008014C3"/>
    <w:rsid w:val="00801E58"/>
    <w:rsid w:val="00804F50"/>
    <w:rsid w:val="00807BDB"/>
    <w:rsid w:val="0081093F"/>
    <w:rsid w:val="0081303D"/>
    <w:rsid w:val="00813969"/>
    <w:rsid w:val="00815175"/>
    <w:rsid w:val="0081566F"/>
    <w:rsid w:val="0081698B"/>
    <w:rsid w:val="00816C6D"/>
    <w:rsid w:val="008205F1"/>
    <w:rsid w:val="00822247"/>
    <w:rsid w:val="008262B8"/>
    <w:rsid w:val="00840966"/>
    <w:rsid w:val="008429B7"/>
    <w:rsid w:val="008430A9"/>
    <w:rsid w:val="00843C52"/>
    <w:rsid w:val="008449EA"/>
    <w:rsid w:val="0084514B"/>
    <w:rsid w:val="008477F9"/>
    <w:rsid w:val="00851262"/>
    <w:rsid w:val="00852E0A"/>
    <w:rsid w:val="00856F21"/>
    <w:rsid w:val="008575FB"/>
    <w:rsid w:val="008619D1"/>
    <w:rsid w:val="0086219F"/>
    <w:rsid w:val="00863A0C"/>
    <w:rsid w:val="008651EA"/>
    <w:rsid w:val="0086586B"/>
    <w:rsid w:val="00871F68"/>
    <w:rsid w:val="00874F39"/>
    <w:rsid w:val="0088167B"/>
    <w:rsid w:val="00881FBC"/>
    <w:rsid w:val="0089137D"/>
    <w:rsid w:val="008A08EC"/>
    <w:rsid w:val="008A5E0C"/>
    <w:rsid w:val="008B3A6D"/>
    <w:rsid w:val="008B4E55"/>
    <w:rsid w:val="008B745D"/>
    <w:rsid w:val="008C17AF"/>
    <w:rsid w:val="008C5520"/>
    <w:rsid w:val="008C5C57"/>
    <w:rsid w:val="008C7D71"/>
    <w:rsid w:val="008D708F"/>
    <w:rsid w:val="008E01F7"/>
    <w:rsid w:val="008E0DCD"/>
    <w:rsid w:val="008E3F81"/>
    <w:rsid w:val="008E5CAA"/>
    <w:rsid w:val="008F0027"/>
    <w:rsid w:val="008F0C69"/>
    <w:rsid w:val="008F0DA6"/>
    <w:rsid w:val="009029F1"/>
    <w:rsid w:val="00903CFD"/>
    <w:rsid w:val="00904C19"/>
    <w:rsid w:val="009067E1"/>
    <w:rsid w:val="00907870"/>
    <w:rsid w:val="00912629"/>
    <w:rsid w:val="0091643D"/>
    <w:rsid w:val="00920B24"/>
    <w:rsid w:val="009231FC"/>
    <w:rsid w:val="00926BD7"/>
    <w:rsid w:val="00927D5B"/>
    <w:rsid w:val="009314D5"/>
    <w:rsid w:val="00931D85"/>
    <w:rsid w:val="009320C1"/>
    <w:rsid w:val="00941438"/>
    <w:rsid w:val="00943090"/>
    <w:rsid w:val="00943CD5"/>
    <w:rsid w:val="00951975"/>
    <w:rsid w:val="00952AA7"/>
    <w:rsid w:val="00953BCD"/>
    <w:rsid w:val="009571EF"/>
    <w:rsid w:val="00960CCC"/>
    <w:rsid w:val="00964039"/>
    <w:rsid w:val="00965E4C"/>
    <w:rsid w:val="009664A1"/>
    <w:rsid w:val="00967634"/>
    <w:rsid w:val="00971201"/>
    <w:rsid w:val="009713BE"/>
    <w:rsid w:val="009729BF"/>
    <w:rsid w:val="009752CB"/>
    <w:rsid w:val="009828FC"/>
    <w:rsid w:val="00987868"/>
    <w:rsid w:val="00992D15"/>
    <w:rsid w:val="00994521"/>
    <w:rsid w:val="009952D2"/>
    <w:rsid w:val="009A3D31"/>
    <w:rsid w:val="009A46F4"/>
    <w:rsid w:val="009A68B3"/>
    <w:rsid w:val="009A7997"/>
    <w:rsid w:val="009B2D0A"/>
    <w:rsid w:val="009B2FC8"/>
    <w:rsid w:val="009B4ED7"/>
    <w:rsid w:val="009B5A9B"/>
    <w:rsid w:val="009B5D61"/>
    <w:rsid w:val="009B618D"/>
    <w:rsid w:val="009B7292"/>
    <w:rsid w:val="009C0770"/>
    <w:rsid w:val="009C41E8"/>
    <w:rsid w:val="009C4602"/>
    <w:rsid w:val="009C79D5"/>
    <w:rsid w:val="009D2887"/>
    <w:rsid w:val="009D3423"/>
    <w:rsid w:val="009D40AC"/>
    <w:rsid w:val="009E0851"/>
    <w:rsid w:val="009E5204"/>
    <w:rsid w:val="009F7F7E"/>
    <w:rsid w:val="00A053BD"/>
    <w:rsid w:val="00A07F9D"/>
    <w:rsid w:val="00A128A0"/>
    <w:rsid w:val="00A17AAD"/>
    <w:rsid w:val="00A206B4"/>
    <w:rsid w:val="00A2128D"/>
    <w:rsid w:val="00A23030"/>
    <w:rsid w:val="00A274D2"/>
    <w:rsid w:val="00A317E8"/>
    <w:rsid w:val="00A31A65"/>
    <w:rsid w:val="00A34EB3"/>
    <w:rsid w:val="00A414F2"/>
    <w:rsid w:val="00A417D5"/>
    <w:rsid w:val="00A441DA"/>
    <w:rsid w:val="00A52A3E"/>
    <w:rsid w:val="00A57446"/>
    <w:rsid w:val="00A61A99"/>
    <w:rsid w:val="00A6737F"/>
    <w:rsid w:val="00A72712"/>
    <w:rsid w:val="00A85A9B"/>
    <w:rsid w:val="00A85AC5"/>
    <w:rsid w:val="00A95C54"/>
    <w:rsid w:val="00A96D5B"/>
    <w:rsid w:val="00A97F0D"/>
    <w:rsid w:val="00AA3C40"/>
    <w:rsid w:val="00AA5034"/>
    <w:rsid w:val="00AB1190"/>
    <w:rsid w:val="00AB26C5"/>
    <w:rsid w:val="00AC5762"/>
    <w:rsid w:val="00AC5ADB"/>
    <w:rsid w:val="00AC6E6F"/>
    <w:rsid w:val="00AD0094"/>
    <w:rsid w:val="00AD02A6"/>
    <w:rsid w:val="00AD1934"/>
    <w:rsid w:val="00AD1B27"/>
    <w:rsid w:val="00AD3B5E"/>
    <w:rsid w:val="00AD5497"/>
    <w:rsid w:val="00AD6ECC"/>
    <w:rsid w:val="00AE02C6"/>
    <w:rsid w:val="00AE31B9"/>
    <w:rsid w:val="00AF064B"/>
    <w:rsid w:val="00AF1D8C"/>
    <w:rsid w:val="00AF65DB"/>
    <w:rsid w:val="00AF7882"/>
    <w:rsid w:val="00B05D55"/>
    <w:rsid w:val="00B10092"/>
    <w:rsid w:val="00B12918"/>
    <w:rsid w:val="00B20D28"/>
    <w:rsid w:val="00B24C56"/>
    <w:rsid w:val="00B25AB5"/>
    <w:rsid w:val="00B352E6"/>
    <w:rsid w:val="00B42C6E"/>
    <w:rsid w:val="00B43CE1"/>
    <w:rsid w:val="00B46711"/>
    <w:rsid w:val="00B4680C"/>
    <w:rsid w:val="00B46BF9"/>
    <w:rsid w:val="00B52AE1"/>
    <w:rsid w:val="00B57F80"/>
    <w:rsid w:val="00B63D50"/>
    <w:rsid w:val="00B73755"/>
    <w:rsid w:val="00B832A6"/>
    <w:rsid w:val="00B84A05"/>
    <w:rsid w:val="00B85B0F"/>
    <w:rsid w:val="00B91DB8"/>
    <w:rsid w:val="00B93EB9"/>
    <w:rsid w:val="00B97F00"/>
    <w:rsid w:val="00BA6B83"/>
    <w:rsid w:val="00BB2F9E"/>
    <w:rsid w:val="00BB4222"/>
    <w:rsid w:val="00BB4F01"/>
    <w:rsid w:val="00BB5251"/>
    <w:rsid w:val="00BB703B"/>
    <w:rsid w:val="00BC3D9E"/>
    <w:rsid w:val="00BC3E43"/>
    <w:rsid w:val="00BD184E"/>
    <w:rsid w:val="00BD273E"/>
    <w:rsid w:val="00BD5F1B"/>
    <w:rsid w:val="00BD79DC"/>
    <w:rsid w:val="00BE34C5"/>
    <w:rsid w:val="00BE471D"/>
    <w:rsid w:val="00BF432A"/>
    <w:rsid w:val="00BF454B"/>
    <w:rsid w:val="00BF573A"/>
    <w:rsid w:val="00C07F7C"/>
    <w:rsid w:val="00C11B5C"/>
    <w:rsid w:val="00C1498B"/>
    <w:rsid w:val="00C2180A"/>
    <w:rsid w:val="00C244E2"/>
    <w:rsid w:val="00C259D5"/>
    <w:rsid w:val="00C27974"/>
    <w:rsid w:val="00C36DBF"/>
    <w:rsid w:val="00C37CB6"/>
    <w:rsid w:val="00C412A2"/>
    <w:rsid w:val="00C41903"/>
    <w:rsid w:val="00C41D75"/>
    <w:rsid w:val="00C455A3"/>
    <w:rsid w:val="00C55647"/>
    <w:rsid w:val="00C578CB"/>
    <w:rsid w:val="00C60122"/>
    <w:rsid w:val="00C62AAB"/>
    <w:rsid w:val="00C75C66"/>
    <w:rsid w:val="00C82A22"/>
    <w:rsid w:val="00C8590F"/>
    <w:rsid w:val="00C8636E"/>
    <w:rsid w:val="00C8655B"/>
    <w:rsid w:val="00C911FC"/>
    <w:rsid w:val="00C97003"/>
    <w:rsid w:val="00C97F7F"/>
    <w:rsid w:val="00CA2E1C"/>
    <w:rsid w:val="00CA602A"/>
    <w:rsid w:val="00CB1CCD"/>
    <w:rsid w:val="00CB244B"/>
    <w:rsid w:val="00CB4130"/>
    <w:rsid w:val="00CB5A3D"/>
    <w:rsid w:val="00CC4D9D"/>
    <w:rsid w:val="00CD1A63"/>
    <w:rsid w:val="00CD72AD"/>
    <w:rsid w:val="00CD75FF"/>
    <w:rsid w:val="00CD7737"/>
    <w:rsid w:val="00CD78A4"/>
    <w:rsid w:val="00CE07FB"/>
    <w:rsid w:val="00CE283F"/>
    <w:rsid w:val="00CE4564"/>
    <w:rsid w:val="00CE68A7"/>
    <w:rsid w:val="00CF424F"/>
    <w:rsid w:val="00D00F23"/>
    <w:rsid w:val="00D0164D"/>
    <w:rsid w:val="00D13320"/>
    <w:rsid w:val="00D136E9"/>
    <w:rsid w:val="00D1793B"/>
    <w:rsid w:val="00D22B49"/>
    <w:rsid w:val="00D253FA"/>
    <w:rsid w:val="00D31E68"/>
    <w:rsid w:val="00D3213F"/>
    <w:rsid w:val="00D33767"/>
    <w:rsid w:val="00D36B6E"/>
    <w:rsid w:val="00D37678"/>
    <w:rsid w:val="00D40721"/>
    <w:rsid w:val="00D41650"/>
    <w:rsid w:val="00D45236"/>
    <w:rsid w:val="00D46C10"/>
    <w:rsid w:val="00D5083E"/>
    <w:rsid w:val="00D52B29"/>
    <w:rsid w:val="00D52F83"/>
    <w:rsid w:val="00D53F6B"/>
    <w:rsid w:val="00D5669F"/>
    <w:rsid w:val="00D60E4A"/>
    <w:rsid w:val="00D71197"/>
    <w:rsid w:val="00D71FDE"/>
    <w:rsid w:val="00D76B9A"/>
    <w:rsid w:val="00D80857"/>
    <w:rsid w:val="00D81B18"/>
    <w:rsid w:val="00D83BF2"/>
    <w:rsid w:val="00D83D91"/>
    <w:rsid w:val="00D85274"/>
    <w:rsid w:val="00D85694"/>
    <w:rsid w:val="00D940D3"/>
    <w:rsid w:val="00D95FFE"/>
    <w:rsid w:val="00DA3A8A"/>
    <w:rsid w:val="00DB11B2"/>
    <w:rsid w:val="00DB20D4"/>
    <w:rsid w:val="00DB2562"/>
    <w:rsid w:val="00DC3577"/>
    <w:rsid w:val="00DC542A"/>
    <w:rsid w:val="00DC6EBD"/>
    <w:rsid w:val="00DD4E74"/>
    <w:rsid w:val="00DD5FED"/>
    <w:rsid w:val="00DD68D1"/>
    <w:rsid w:val="00DD7177"/>
    <w:rsid w:val="00DD72F6"/>
    <w:rsid w:val="00DE315A"/>
    <w:rsid w:val="00DE5C55"/>
    <w:rsid w:val="00DF09F5"/>
    <w:rsid w:val="00DF1EB0"/>
    <w:rsid w:val="00DF4BBC"/>
    <w:rsid w:val="00DF51D7"/>
    <w:rsid w:val="00DF5E8B"/>
    <w:rsid w:val="00E0018F"/>
    <w:rsid w:val="00E004D0"/>
    <w:rsid w:val="00E00AD7"/>
    <w:rsid w:val="00E0276C"/>
    <w:rsid w:val="00E039BF"/>
    <w:rsid w:val="00E042A3"/>
    <w:rsid w:val="00E13F0F"/>
    <w:rsid w:val="00E23195"/>
    <w:rsid w:val="00E31191"/>
    <w:rsid w:val="00E32DE3"/>
    <w:rsid w:val="00E34A2A"/>
    <w:rsid w:val="00E34C7B"/>
    <w:rsid w:val="00E37287"/>
    <w:rsid w:val="00E40325"/>
    <w:rsid w:val="00E40AC8"/>
    <w:rsid w:val="00E40F6E"/>
    <w:rsid w:val="00E40FBC"/>
    <w:rsid w:val="00E44FCE"/>
    <w:rsid w:val="00E450CB"/>
    <w:rsid w:val="00E45D10"/>
    <w:rsid w:val="00E4647B"/>
    <w:rsid w:val="00E472A0"/>
    <w:rsid w:val="00E53D4F"/>
    <w:rsid w:val="00E56F21"/>
    <w:rsid w:val="00E6404A"/>
    <w:rsid w:val="00E66024"/>
    <w:rsid w:val="00E720EC"/>
    <w:rsid w:val="00E76497"/>
    <w:rsid w:val="00E76F08"/>
    <w:rsid w:val="00E77133"/>
    <w:rsid w:val="00E81012"/>
    <w:rsid w:val="00E93AB2"/>
    <w:rsid w:val="00E9654E"/>
    <w:rsid w:val="00E97904"/>
    <w:rsid w:val="00EA3587"/>
    <w:rsid w:val="00EA79E2"/>
    <w:rsid w:val="00EB23EC"/>
    <w:rsid w:val="00EB460D"/>
    <w:rsid w:val="00EB6065"/>
    <w:rsid w:val="00EC4397"/>
    <w:rsid w:val="00ED37DA"/>
    <w:rsid w:val="00EE191F"/>
    <w:rsid w:val="00EE405F"/>
    <w:rsid w:val="00EE4198"/>
    <w:rsid w:val="00EE4E0A"/>
    <w:rsid w:val="00EE788A"/>
    <w:rsid w:val="00EF1664"/>
    <w:rsid w:val="00EF4D7D"/>
    <w:rsid w:val="00EF5B20"/>
    <w:rsid w:val="00EF78E5"/>
    <w:rsid w:val="00EF7D6F"/>
    <w:rsid w:val="00F02D5F"/>
    <w:rsid w:val="00F058A3"/>
    <w:rsid w:val="00F0759A"/>
    <w:rsid w:val="00F0790D"/>
    <w:rsid w:val="00F1014E"/>
    <w:rsid w:val="00F11BD4"/>
    <w:rsid w:val="00F13A68"/>
    <w:rsid w:val="00F14C29"/>
    <w:rsid w:val="00F1544B"/>
    <w:rsid w:val="00F245BB"/>
    <w:rsid w:val="00F2723D"/>
    <w:rsid w:val="00F30C7F"/>
    <w:rsid w:val="00F318A2"/>
    <w:rsid w:val="00F33249"/>
    <w:rsid w:val="00F371F9"/>
    <w:rsid w:val="00F37624"/>
    <w:rsid w:val="00F407BF"/>
    <w:rsid w:val="00F413CC"/>
    <w:rsid w:val="00F474F1"/>
    <w:rsid w:val="00F500C4"/>
    <w:rsid w:val="00F5163D"/>
    <w:rsid w:val="00F55261"/>
    <w:rsid w:val="00F613FA"/>
    <w:rsid w:val="00F63C7B"/>
    <w:rsid w:val="00F63D26"/>
    <w:rsid w:val="00F64C37"/>
    <w:rsid w:val="00F7098E"/>
    <w:rsid w:val="00F756CE"/>
    <w:rsid w:val="00F85604"/>
    <w:rsid w:val="00F86CE5"/>
    <w:rsid w:val="00F87BC5"/>
    <w:rsid w:val="00F9443A"/>
    <w:rsid w:val="00F9681B"/>
    <w:rsid w:val="00FB0361"/>
    <w:rsid w:val="00FB5A04"/>
    <w:rsid w:val="00FB746C"/>
    <w:rsid w:val="00FC1BF9"/>
    <w:rsid w:val="00FC53DD"/>
    <w:rsid w:val="00FC7E86"/>
    <w:rsid w:val="00FD2337"/>
    <w:rsid w:val="00FD2560"/>
    <w:rsid w:val="00FD3A6F"/>
    <w:rsid w:val="00FE33C2"/>
    <w:rsid w:val="00FE4467"/>
    <w:rsid w:val="00FE7067"/>
    <w:rsid w:val="00FE7160"/>
    <w:rsid w:val="00FE7CA9"/>
    <w:rsid w:val="00FF4744"/>
    <w:rsid w:val="00FF4A9B"/>
    <w:rsid w:val="00FF4BA7"/>
    <w:rsid w:val="00FF5B56"/>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281C7-96C0-420B-84B7-7E20554F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C66"/>
    <w:pPr>
      <w:ind w:left="720"/>
      <w:contextualSpacing/>
    </w:pPr>
  </w:style>
  <w:style w:type="paragraph" w:styleId="Header">
    <w:name w:val="header"/>
    <w:basedOn w:val="Normal"/>
    <w:link w:val="HeaderChar"/>
    <w:uiPriority w:val="99"/>
    <w:unhideWhenUsed/>
    <w:rsid w:val="00C75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66"/>
  </w:style>
  <w:style w:type="paragraph" w:styleId="Footer">
    <w:name w:val="footer"/>
    <w:basedOn w:val="Normal"/>
    <w:link w:val="FooterChar"/>
    <w:uiPriority w:val="99"/>
    <w:unhideWhenUsed/>
    <w:rsid w:val="00C7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66"/>
  </w:style>
  <w:style w:type="character" w:styleId="CommentReference">
    <w:name w:val="annotation reference"/>
    <w:basedOn w:val="DefaultParagraphFont"/>
    <w:uiPriority w:val="99"/>
    <w:semiHidden/>
    <w:unhideWhenUsed/>
    <w:rsid w:val="00D80857"/>
    <w:rPr>
      <w:sz w:val="16"/>
      <w:szCs w:val="16"/>
    </w:rPr>
  </w:style>
  <w:style w:type="paragraph" w:styleId="CommentText">
    <w:name w:val="annotation text"/>
    <w:basedOn w:val="Normal"/>
    <w:link w:val="CommentTextChar"/>
    <w:uiPriority w:val="99"/>
    <w:semiHidden/>
    <w:unhideWhenUsed/>
    <w:rsid w:val="00D80857"/>
    <w:pPr>
      <w:spacing w:line="240" w:lineRule="auto"/>
    </w:pPr>
    <w:rPr>
      <w:sz w:val="20"/>
      <w:szCs w:val="20"/>
    </w:rPr>
  </w:style>
  <w:style w:type="character" w:customStyle="1" w:styleId="CommentTextChar">
    <w:name w:val="Comment Text Char"/>
    <w:basedOn w:val="DefaultParagraphFont"/>
    <w:link w:val="CommentText"/>
    <w:uiPriority w:val="99"/>
    <w:semiHidden/>
    <w:rsid w:val="00D80857"/>
    <w:rPr>
      <w:sz w:val="20"/>
      <w:szCs w:val="20"/>
    </w:rPr>
  </w:style>
  <w:style w:type="paragraph" w:styleId="CommentSubject">
    <w:name w:val="annotation subject"/>
    <w:basedOn w:val="CommentText"/>
    <w:next w:val="CommentText"/>
    <w:link w:val="CommentSubjectChar"/>
    <w:uiPriority w:val="99"/>
    <w:semiHidden/>
    <w:unhideWhenUsed/>
    <w:rsid w:val="00D80857"/>
    <w:rPr>
      <w:b/>
      <w:bCs/>
    </w:rPr>
  </w:style>
  <w:style w:type="character" w:customStyle="1" w:styleId="CommentSubjectChar">
    <w:name w:val="Comment Subject Char"/>
    <w:basedOn w:val="CommentTextChar"/>
    <w:link w:val="CommentSubject"/>
    <w:uiPriority w:val="99"/>
    <w:semiHidden/>
    <w:rsid w:val="00D80857"/>
    <w:rPr>
      <w:b/>
      <w:bCs/>
      <w:sz w:val="20"/>
      <w:szCs w:val="20"/>
    </w:rPr>
  </w:style>
  <w:style w:type="paragraph" w:styleId="BalloonText">
    <w:name w:val="Balloon Text"/>
    <w:basedOn w:val="Normal"/>
    <w:link w:val="BalloonTextChar"/>
    <w:uiPriority w:val="99"/>
    <w:semiHidden/>
    <w:unhideWhenUsed/>
    <w:rsid w:val="00D8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57"/>
    <w:rPr>
      <w:rFonts w:ascii="Segoe UI" w:hAnsi="Segoe UI" w:cs="Segoe UI"/>
      <w:sz w:val="18"/>
      <w:szCs w:val="18"/>
    </w:rPr>
  </w:style>
  <w:style w:type="paragraph" w:styleId="Caption">
    <w:name w:val="caption"/>
    <w:basedOn w:val="Normal"/>
    <w:next w:val="Normal"/>
    <w:uiPriority w:val="35"/>
    <w:unhideWhenUsed/>
    <w:qFormat/>
    <w:rsid w:val="00FD2560"/>
    <w:pPr>
      <w:spacing w:line="240" w:lineRule="auto"/>
    </w:pPr>
    <w:rPr>
      <w:i/>
      <w:iCs/>
      <w:color w:val="1F497D" w:themeColor="text2"/>
      <w:sz w:val="18"/>
      <w:szCs w:val="18"/>
    </w:rPr>
  </w:style>
  <w:style w:type="paragraph" w:styleId="NormalWeb">
    <w:name w:val="Normal (Web)"/>
    <w:basedOn w:val="Normal"/>
    <w:uiPriority w:val="99"/>
    <w:semiHidden/>
    <w:unhideWhenUsed/>
    <w:rsid w:val="00A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54"/>
    <w:rPr>
      <w:color w:val="0000FF"/>
      <w:u w:val="single"/>
    </w:rPr>
  </w:style>
  <w:style w:type="character" w:customStyle="1" w:styleId="UnresolvedMention1">
    <w:name w:val="Unresolved Mention1"/>
    <w:basedOn w:val="DefaultParagraphFont"/>
    <w:uiPriority w:val="99"/>
    <w:semiHidden/>
    <w:unhideWhenUsed/>
    <w:rsid w:val="004C51BB"/>
    <w:rPr>
      <w:color w:val="808080"/>
      <w:shd w:val="clear" w:color="auto" w:fill="E6E6E6"/>
    </w:rPr>
  </w:style>
  <w:style w:type="character" w:customStyle="1" w:styleId="UnresolvedMention2">
    <w:name w:val="Unresolved Mention2"/>
    <w:basedOn w:val="DefaultParagraphFont"/>
    <w:uiPriority w:val="99"/>
    <w:semiHidden/>
    <w:unhideWhenUsed/>
    <w:rsid w:val="00E042A3"/>
    <w:rPr>
      <w:color w:val="808080"/>
      <w:shd w:val="clear" w:color="auto" w:fill="E6E6E6"/>
    </w:rPr>
  </w:style>
  <w:style w:type="character" w:customStyle="1" w:styleId="UnresolvedMention3">
    <w:name w:val="Unresolved Mention3"/>
    <w:basedOn w:val="DefaultParagraphFont"/>
    <w:uiPriority w:val="99"/>
    <w:semiHidden/>
    <w:unhideWhenUsed/>
    <w:rsid w:val="002C0530"/>
    <w:rPr>
      <w:color w:val="808080"/>
      <w:shd w:val="clear" w:color="auto" w:fill="E6E6E6"/>
    </w:rPr>
  </w:style>
  <w:style w:type="paragraph" w:customStyle="1" w:styleId="EndNoteBibliographyTitle">
    <w:name w:val="EndNote Bibliography Title"/>
    <w:basedOn w:val="Normal"/>
    <w:link w:val="EndNoteBibliographyTitleZchn"/>
    <w:rsid w:val="00C97F7F"/>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C97F7F"/>
    <w:rPr>
      <w:rFonts w:ascii="Calibri" w:hAnsi="Calibri" w:cs="Calibri"/>
      <w:noProof/>
      <w:lang w:val="en-US"/>
    </w:rPr>
  </w:style>
  <w:style w:type="paragraph" w:customStyle="1" w:styleId="EndNoteBibliography">
    <w:name w:val="EndNote Bibliography"/>
    <w:basedOn w:val="Normal"/>
    <w:link w:val="EndNoteBibliographyZchn"/>
    <w:rsid w:val="00C97F7F"/>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C97F7F"/>
    <w:rPr>
      <w:rFonts w:ascii="Calibri" w:hAnsi="Calibri" w:cs="Calibri"/>
      <w:noProof/>
      <w:lang w:val="en-US"/>
    </w:rPr>
  </w:style>
  <w:style w:type="character" w:customStyle="1" w:styleId="UnresolvedMention">
    <w:name w:val="Unresolved Mention"/>
    <w:basedOn w:val="DefaultParagraphFont"/>
    <w:uiPriority w:val="99"/>
    <w:semiHidden/>
    <w:unhideWhenUsed/>
    <w:rsid w:val="004C5BC0"/>
    <w:rPr>
      <w:color w:val="808080"/>
      <w:shd w:val="clear" w:color="auto" w:fill="E6E6E6"/>
    </w:rPr>
  </w:style>
  <w:style w:type="character" w:styleId="LineNumber">
    <w:name w:val="line number"/>
    <w:basedOn w:val="DefaultParagraphFont"/>
    <w:uiPriority w:val="99"/>
    <w:semiHidden/>
    <w:unhideWhenUsed/>
    <w:rsid w:val="006D2502"/>
  </w:style>
  <w:style w:type="paragraph" w:styleId="EndnoteText">
    <w:name w:val="endnote text"/>
    <w:basedOn w:val="Normal"/>
    <w:link w:val="EndnoteTextChar"/>
    <w:uiPriority w:val="99"/>
    <w:semiHidden/>
    <w:unhideWhenUsed/>
    <w:rsid w:val="00114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EF6"/>
    <w:rPr>
      <w:sz w:val="20"/>
      <w:szCs w:val="20"/>
    </w:rPr>
  </w:style>
  <w:style w:type="character" w:styleId="EndnoteReference">
    <w:name w:val="endnote reference"/>
    <w:basedOn w:val="DefaultParagraphFont"/>
    <w:uiPriority w:val="99"/>
    <w:semiHidden/>
    <w:unhideWhenUsed/>
    <w:rsid w:val="00114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4523">
      <w:bodyDiv w:val="1"/>
      <w:marLeft w:val="0"/>
      <w:marRight w:val="0"/>
      <w:marTop w:val="0"/>
      <w:marBottom w:val="0"/>
      <w:divBdr>
        <w:top w:val="none" w:sz="0" w:space="0" w:color="auto"/>
        <w:left w:val="none" w:sz="0" w:space="0" w:color="auto"/>
        <w:bottom w:val="none" w:sz="0" w:space="0" w:color="auto"/>
        <w:right w:val="none" w:sz="0" w:space="0" w:color="auto"/>
      </w:divBdr>
      <w:divsChild>
        <w:div w:id="1635405003">
          <w:marLeft w:val="0"/>
          <w:marRight w:val="0"/>
          <w:marTop w:val="0"/>
          <w:marBottom w:val="0"/>
          <w:divBdr>
            <w:top w:val="none" w:sz="0" w:space="0" w:color="auto"/>
            <w:left w:val="none" w:sz="0" w:space="0" w:color="auto"/>
            <w:bottom w:val="none" w:sz="0" w:space="0" w:color="auto"/>
            <w:right w:val="none" w:sz="0" w:space="0" w:color="auto"/>
          </w:divBdr>
        </w:div>
        <w:div w:id="948899985">
          <w:marLeft w:val="0"/>
          <w:marRight w:val="0"/>
          <w:marTop w:val="0"/>
          <w:marBottom w:val="0"/>
          <w:divBdr>
            <w:top w:val="none" w:sz="0" w:space="0" w:color="auto"/>
            <w:left w:val="none" w:sz="0" w:space="0" w:color="auto"/>
            <w:bottom w:val="none" w:sz="0" w:space="0" w:color="auto"/>
            <w:right w:val="none" w:sz="0" w:space="0" w:color="auto"/>
          </w:divBdr>
        </w:div>
        <w:div w:id="441732112">
          <w:marLeft w:val="0"/>
          <w:marRight w:val="0"/>
          <w:marTop w:val="0"/>
          <w:marBottom w:val="0"/>
          <w:divBdr>
            <w:top w:val="none" w:sz="0" w:space="0" w:color="auto"/>
            <w:left w:val="none" w:sz="0" w:space="0" w:color="auto"/>
            <w:bottom w:val="none" w:sz="0" w:space="0" w:color="auto"/>
            <w:right w:val="none" w:sz="0" w:space="0" w:color="auto"/>
          </w:divBdr>
        </w:div>
        <w:div w:id="320279164">
          <w:marLeft w:val="0"/>
          <w:marRight w:val="0"/>
          <w:marTop w:val="0"/>
          <w:marBottom w:val="0"/>
          <w:divBdr>
            <w:top w:val="none" w:sz="0" w:space="0" w:color="auto"/>
            <w:left w:val="none" w:sz="0" w:space="0" w:color="auto"/>
            <w:bottom w:val="none" w:sz="0" w:space="0" w:color="auto"/>
            <w:right w:val="none" w:sz="0" w:space="0" w:color="auto"/>
          </w:divBdr>
        </w:div>
        <w:div w:id="942424356">
          <w:marLeft w:val="0"/>
          <w:marRight w:val="0"/>
          <w:marTop w:val="0"/>
          <w:marBottom w:val="0"/>
          <w:divBdr>
            <w:top w:val="none" w:sz="0" w:space="0" w:color="auto"/>
            <w:left w:val="none" w:sz="0" w:space="0" w:color="auto"/>
            <w:bottom w:val="none" w:sz="0" w:space="0" w:color="auto"/>
            <w:right w:val="none" w:sz="0" w:space="0" w:color="auto"/>
          </w:divBdr>
        </w:div>
      </w:divsChild>
    </w:div>
    <w:div w:id="654063835">
      <w:bodyDiv w:val="1"/>
      <w:marLeft w:val="0"/>
      <w:marRight w:val="0"/>
      <w:marTop w:val="0"/>
      <w:marBottom w:val="0"/>
      <w:divBdr>
        <w:top w:val="none" w:sz="0" w:space="0" w:color="auto"/>
        <w:left w:val="none" w:sz="0" w:space="0" w:color="auto"/>
        <w:bottom w:val="none" w:sz="0" w:space="0" w:color="auto"/>
        <w:right w:val="none" w:sz="0" w:space="0" w:color="auto"/>
      </w:divBdr>
      <w:divsChild>
        <w:div w:id="610354197">
          <w:marLeft w:val="0"/>
          <w:marRight w:val="0"/>
          <w:marTop w:val="0"/>
          <w:marBottom w:val="0"/>
          <w:divBdr>
            <w:top w:val="none" w:sz="0" w:space="0" w:color="auto"/>
            <w:left w:val="none" w:sz="0" w:space="0" w:color="auto"/>
            <w:bottom w:val="none" w:sz="0" w:space="0" w:color="auto"/>
            <w:right w:val="none" w:sz="0" w:space="0" w:color="auto"/>
          </w:divBdr>
        </w:div>
        <w:div w:id="2024428613">
          <w:marLeft w:val="0"/>
          <w:marRight w:val="0"/>
          <w:marTop w:val="0"/>
          <w:marBottom w:val="0"/>
          <w:divBdr>
            <w:top w:val="none" w:sz="0" w:space="0" w:color="auto"/>
            <w:left w:val="none" w:sz="0" w:space="0" w:color="auto"/>
            <w:bottom w:val="none" w:sz="0" w:space="0" w:color="auto"/>
            <w:right w:val="none" w:sz="0" w:space="0" w:color="auto"/>
          </w:divBdr>
        </w:div>
        <w:div w:id="1867282835">
          <w:marLeft w:val="0"/>
          <w:marRight w:val="0"/>
          <w:marTop w:val="0"/>
          <w:marBottom w:val="0"/>
          <w:divBdr>
            <w:top w:val="none" w:sz="0" w:space="0" w:color="auto"/>
            <w:left w:val="none" w:sz="0" w:space="0" w:color="auto"/>
            <w:bottom w:val="none" w:sz="0" w:space="0" w:color="auto"/>
            <w:right w:val="none" w:sz="0" w:space="0" w:color="auto"/>
          </w:divBdr>
        </w:div>
      </w:divsChild>
    </w:div>
    <w:div w:id="16483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apps.icimod.org/npfoodsecurity" TargetMode="External"/><Relationship Id="rId13" Type="http://schemas.openxmlformats.org/officeDocument/2006/relationships/hyperlink" Target="https://unstats.un.org/sdgs/files/report/2017/TheSustainableDevelopmentGoalsReport201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europa.eu/publications/climate-change-impacts-and-vulnerability-2016%20%5b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sdr.org/we/coordinate/sendai-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0139157.2016.1209016" TargetMode="External"/><Relationship Id="rId5" Type="http://schemas.openxmlformats.org/officeDocument/2006/relationships/webSettings" Target="webSettings.xml"/><Relationship Id="rId15" Type="http://schemas.openxmlformats.org/officeDocument/2006/relationships/hyperlink" Target="http://www.un.org/disabilities/documents/reports/SG_Synthesis_Report_Road_to_Dignity_by_2030.pdf" TargetMode="External"/><Relationship Id="rId10" Type="http://schemas.openxmlformats.org/officeDocument/2006/relationships/hyperlink" Target="http://www.un.org/ga/search/view_doc.asp?symbol=A/RES/70/1&amp;La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millenniumgoals/2015_MDG_Report/pdf/MDG%202015%20rev%20(July%201).pdf" TargetMode="External"/><Relationship Id="rId14" Type="http://schemas.openxmlformats.org/officeDocument/2006/relationships/hyperlink" Target="http://documents.worldbank.org/curated/en/121841468321531958/Vietnam-Sea-Red-river-delta-master-plan%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C41F-9A80-477E-A01F-1D709F97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2953</Words>
  <Characters>16838</Characters>
  <Application>Microsoft Office Word</Application>
  <DocSecurity>4</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AUFCENTER</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Szabo</dc:creator>
  <cp:lastModifiedBy>Edwards L.</cp:lastModifiedBy>
  <cp:revision>2</cp:revision>
  <dcterms:created xsi:type="dcterms:W3CDTF">2018-07-16T08:34:00Z</dcterms:created>
  <dcterms:modified xsi:type="dcterms:W3CDTF">2018-07-16T08:34:00Z</dcterms:modified>
</cp:coreProperties>
</file>