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093C8" w14:textId="77777777" w:rsidR="005C2F9E" w:rsidRDefault="005C2F9E" w:rsidP="005C2F9E">
      <w:pPr>
        <w:spacing w:line="360" w:lineRule="auto"/>
        <w:jc w:val="center"/>
        <w:rPr>
          <w:rFonts w:ascii="Times New Roman"/>
          <w:b/>
          <w:sz w:val="28"/>
          <w:szCs w:val="28"/>
        </w:rPr>
      </w:pPr>
      <w:bookmarkStart w:id="0" w:name="_GoBack"/>
      <w:bookmarkEnd w:id="0"/>
      <w:r>
        <w:rPr>
          <w:rFonts w:ascii="Times New Roman"/>
          <w:b/>
          <w:sz w:val="28"/>
          <w:szCs w:val="28"/>
        </w:rPr>
        <w:t>Infant and childhood growth and frailty in old age: the Helsinki Birth Cohort Study</w:t>
      </w:r>
    </w:p>
    <w:p w14:paraId="3C923094" w14:textId="77777777" w:rsidR="005C2F9E" w:rsidRDefault="005C2F9E" w:rsidP="005C2F9E">
      <w:pPr>
        <w:spacing w:after="0" w:line="360" w:lineRule="auto"/>
        <w:rPr>
          <w:rFonts w:ascii="Times New Roman"/>
          <w:sz w:val="24"/>
          <w:szCs w:val="24"/>
          <w:lang w:val="fi-FI"/>
        </w:rPr>
      </w:pPr>
      <w:r w:rsidRPr="00F847A9">
        <w:rPr>
          <w:rFonts w:ascii="Times New Roman"/>
          <w:sz w:val="24"/>
          <w:szCs w:val="24"/>
          <w:lang w:val="fi-FI"/>
        </w:rPr>
        <w:t>Haapanen MJ</w:t>
      </w:r>
      <w:r w:rsidRPr="00F847A9">
        <w:rPr>
          <w:rFonts w:ascii="Times New Roman"/>
          <w:sz w:val="24"/>
          <w:szCs w:val="24"/>
          <w:vertAlign w:val="superscript"/>
          <w:lang w:val="fi-FI"/>
        </w:rPr>
        <w:t>1,2</w:t>
      </w:r>
      <w:r w:rsidRPr="00F847A9">
        <w:rPr>
          <w:rFonts w:ascii="Times New Roman"/>
          <w:sz w:val="24"/>
          <w:szCs w:val="24"/>
          <w:lang w:val="fi-FI"/>
        </w:rPr>
        <w:t>, Perälä MM</w:t>
      </w:r>
      <w:r w:rsidRPr="00F847A9">
        <w:rPr>
          <w:rFonts w:ascii="Times New Roman"/>
          <w:sz w:val="24"/>
          <w:szCs w:val="24"/>
          <w:vertAlign w:val="superscript"/>
          <w:lang w:val="fi-FI"/>
        </w:rPr>
        <w:t>2,3</w:t>
      </w:r>
      <w:r w:rsidRPr="00F847A9">
        <w:rPr>
          <w:rFonts w:ascii="Times New Roman"/>
          <w:sz w:val="24"/>
          <w:szCs w:val="24"/>
          <w:lang w:val="fi-FI"/>
        </w:rPr>
        <w:t>, Osmond C</w:t>
      </w:r>
      <w:r w:rsidRPr="00F847A9">
        <w:rPr>
          <w:rFonts w:ascii="Times New Roman"/>
          <w:sz w:val="24"/>
          <w:szCs w:val="24"/>
          <w:vertAlign w:val="superscript"/>
          <w:lang w:val="fi-FI"/>
        </w:rPr>
        <w:t>4</w:t>
      </w:r>
      <w:r w:rsidRPr="00F847A9">
        <w:rPr>
          <w:rFonts w:ascii="Times New Roman"/>
          <w:sz w:val="24"/>
          <w:szCs w:val="24"/>
          <w:lang w:val="fi-FI"/>
        </w:rPr>
        <w:t>, Salonen MK</w:t>
      </w:r>
      <w:r w:rsidRPr="00F847A9">
        <w:rPr>
          <w:rFonts w:ascii="Times New Roman"/>
          <w:sz w:val="24"/>
          <w:szCs w:val="24"/>
          <w:vertAlign w:val="superscript"/>
          <w:lang w:val="fi-FI"/>
        </w:rPr>
        <w:t>2,3</w:t>
      </w:r>
      <w:r w:rsidRPr="00F847A9">
        <w:rPr>
          <w:rFonts w:ascii="Times New Roman"/>
          <w:sz w:val="24"/>
          <w:szCs w:val="24"/>
          <w:lang w:val="fi-FI"/>
        </w:rPr>
        <w:t>, Kajantie E</w:t>
      </w:r>
      <w:r w:rsidRPr="00F847A9">
        <w:rPr>
          <w:rFonts w:ascii="Times New Roman"/>
          <w:sz w:val="24"/>
          <w:szCs w:val="24"/>
          <w:vertAlign w:val="superscript"/>
          <w:lang w:val="fi-FI"/>
        </w:rPr>
        <w:t>3,5,6</w:t>
      </w:r>
      <w:r w:rsidRPr="00F847A9">
        <w:rPr>
          <w:rFonts w:ascii="Times New Roman"/>
          <w:sz w:val="24"/>
          <w:szCs w:val="24"/>
          <w:lang w:val="fi-FI"/>
        </w:rPr>
        <w:t>, Rantanen T</w:t>
      </w:r>
      <w:r>
        <w:rPr>
          <w:rFonts w:ascii="Times New Roman"/>
          <w:sz w:val="24"/>
          <w:szCs w:val="24"/>
          <w:vertAlign w:val="superscript"/>
          <w:lang w:val="fi-FI"/>
        </w:rPr>
        <w:t>7</w:t>
      </w:r>
      <w:r>
        <w:rPr>
          <w:rFonts w:ascii="Times New Roman"/>
          <w:sz w:val="24"/>
          <w:szCs w:val="24"/>
          <w:lang w:val="fi-FI"/>
        </w:rPr>
        <w:t>,</w:t>
      </w:r>
      <w:r w:rsidRPr="00F847A9">
        <w:rPr>
          <w:rFonts w:ascii="Times New Roman"/>
          <w:sz w:val="24"/>
          <w:szCs w:val="24"/>
          <w:lang w:val="fi-FI"/>
        </w:rPr>
        <w:t xml:space="preserve"> Simonen M</w:t>
      </w:r>
      <w:r>
        <w:rPr>
          <w:rFonts w:ascii="Times New Roman"/>
          <w:sz w:val="24"/>
          <w:szCs w:val="24"/>
          <w:vertAlign w:val="superscript"/>
          <w:lang w:val="fi-FI"/>
        </w:rPr>
        <w:t>8</w:t>
      </w:r>
      <w:r w:rsidRPr="00F847A9">
        <w:rPr>
          <w:rFonts w:ascii="Times New Roman"/>
          <w:sz w:val="24"/>
          <w:szCs w:val="24"/>
          <w:lang w:val="fi-FI"/>
        </w:rPr>
        <w:t>, Pohjolainen P</w:t>
      </w:r>
      <w:r>
        <w:rPr>
          <w:rFonts w:ascii="Times New Roman"/>
          <w:sz w:val="24"/>
          <w:szCs w:val="24"/>
          <w:vertAlign w:val="superscript"/>
          <w:lang w:val="fi-FI"/>
        </w:rPr>
        <w:t>9</w:t>
      </w:r>
      <w:r w:rsidRPr="00F847A9">
        <w:rPr>
          <w:rFonts w:ascii="Times New Roman"/>
          <w:sz w:val="24"/>
          <w:szCs w:val="24"/>
          <w:lang w:val="fi-FI"/>
        </w:rPr>
        <w:t>, Eriksson JG</w:t>
      </w:r>
      <w:r>
        <w:rPr>
          <w:rFonts w:ascii="Times New Roman"/>
          <w:sz w:val="24"/>
          <w:szCs w:val="24"/>
          <w:vertAlign w:val="superscript"/>
          <w:lang w:val="fi-FI"/>
        </w:rPr>
        <w:t>1-3</w:t>
      </w:r>
      <w:r w:rsidRPr="00F847A9">
        <w:rPr>
          <w:rFonts w:ascii="Times New Roman"/>
          <w:sz w:val="24"/>
          <w:szCs w:val="24"/>
          <w:lang w:val="fi-FI"/>
        </w:rPr>
        <w:t>, von Bonsdorff MB</w:t>
      </w:r>
      <w:r>
        <w:rPr>
          <w:rFonts w:ascii="Times New Roman"/>
          <w:sz w:val="24"/>
          <w:szCs w:val="24"/>
          <w:vertAlign w:val="superscript"/>
          <w:lang w:val="fi-FI"/>
        </w:rPr>
        <w:t>2,7</w:t>
      </w:r>
      <w:r w:rsidRPr="00F847A9">
        <w:rPr>
          <w:rFonts w:ascii="Times New Roman"/>
          <w:sz w:val="24"/>
          <w:szCs w:val="24"/>
          <w:lang w:val="fi-FI"/>
        </w:rPr>
        <w:t>.</w:t>
      </w:r>
    </w:p>
    <w:p w14:paraId="4F5E7E33" w14:textId="77777777" w:rsidR="005C2F9E" w:rsidRPr="00F847A9" w:rsidRDefault="005C2F9E" w:rsidP="005C2F9E">
      <w:pPr>
        <w:spacing w:after="0" w:line="360" w:lineRule="auto"/>
        <w:rPr>
          <w:rFonts w:ascii="Times New Roman"/>
          <w:sz w:val="24"/>
          <w:szCs w:val="24"/>
          <w:lang w:val="fi-FI"/>
        </w:rPr>
      </w:pPr>
    </w:p>
    <w:p w14:paraId="771C3B99" w14:textId="77777777" w:rsidR="005C2F9E" w:rsidRDefault="005C2F9E" w:rsidP="005C2F9E">
      <w:pPr>
        <w:tabs>
          <w:tab w:val="left" w:pos="142"/>
        </w:tabs>
        <w:spacing w:after="0" w:line="360" w:lineRule="auto"/>
        <w:rPr>
          <w:rFonts w:ascii="Times New Roman"/>
          <w:sz w:val="24"/>
          <w:szCs w:val="24"/>
          <w:lang w:val="en-US"/>
        </w:rPr>
      </w:pPr>
      <w:r w:rsidRPr="00E16507">
        <w:rPr>
          <w:rFonts w:ascii="Times New Roman"/>
          <w:sz w:val="24"/>
          <w:szCs w:val="24"/>
          <w:vertAlign w:val="superscript"/>
          <w:lang w:val="en-US"/>
        </w:rPr>
        <w:t>1</w:t>
      </w:r>
      <w:r>
        <w:rPr>
          <w:rFonts w:ascii="Times New Roman"/>
          <w:sz w:val="24"/>
          <w:szCs w:val="24"/>
          <w:vertAlign w:val="superscript"/>
          <w:lang w:val="en-US"/>
        </w:rPr>
        <w:t xml:space="preserve"> </w:t>
      </w:r>
      <w:r w:rsidRPr="00E16507">
        <w:rPr>
          <w:rFonts w:ascii="Times New Roman"/>
          <w:sz w:val="24"/>
          <w:szCs w:val="24"/>
          <w:lang w:val="en-US"/>
        </w:rPr>
        <w:t>Department of General Practice and Primary Health Care, University of Helsinki and Helsinki University Hospital, Helsinki, Finland</w:t>
      </w:r>
    </w:p>
    <w:p w14:paraId="11274AF4" w14:textId="77777777" w:rsidR="005C2F9E" w:rsidRDefault="005C2F9E" w:rsidP="005C2F9E">
      <w:pPr>
        <w:tabs>
          <w:tab w:val="left" w:pos="142"/>
        </w:tabs>
        <w:spacing w:after="0" w:line="360" w:lineRule="auto"/>
        <w:rPr>
          <w:rFonts w:ascii="Times New Roman"/>
          <w:sz w:val="24"/>
          <w:szCs w:val="24"/>
          <w:lang w:val="en-US"/>
        </w:rPr>
      </w:pPr>
      <w:r>
        <w:rPr>
          <w:rFonts w:ascii="Times New Roman"/>
          <w:sz w:val="24"/>
          <w:szCs w:val="24"/>
          <w:vertAlign w:val="superscript"/>
          <w:lang w:val="en-US"/>
        </w:rPr>
        <w:t xml:space="preserve">2 </w:t>
      </w:r>
      <w:proofErr w:type="spellStart"/>
      <w:r>
        <w:rPr>
          <w:rFonts w:ascii="Times New Roman"/>
          <w:sz w:val="24"/>
          <w:szCs w:val="24"/>
          <w:lang w:val="en-US"/>
        </w:rPr>
        <w:t>Folkhälsan</w:t>
      </w:r>
      <w:proofErr w:type="spellEnd"/>
      <w:r>
        <w:rPr>
          <w:rFonts w:ascii="Times New Roman"/>
          <w:sz w:val="24"/>
          <w:szCs w:val="24"/>
          <w:lang w:val="en-US"/>
        </w:rPr>
        <w:t xml:space="preserve"> Research Center, Helsinki, Finland</w:t>
      </w:r>
    </w:p>
    <w:p w14:paraId="2B733B8C" w14:textId="77777777" w:rsidR="005C2F9E" w:rsidRDefault="005C2F9E" w:rsidP="005C2F9E">
      <w:pPr>
        <w:tabs>
          <w:tab w:val="left" w:pos="142"/>
        </w:tabs>
        <w:spacing w:after="0" w:line="360" w:lineRule="auto"/>
        <w:rPr>
          <w:rFonts w:ascii="Times New Roman"/>
          <w:sz w:val="24"/>
          <w:szCs w:val="24"/>
          <w:lang w:val="en-US"/>
        </w:rPr>
      </w:pPr>
      <w:r>
        <w:rPr>
          <w:rFonts w:ascii="Times New Roman"/>
          <w:sz w:val="24"/>
          <w:szCs w:val="24"/>
          <w:vertAlign w:val="superscript"/>
          <w:lang w:val="en-US"/>
        </w:rPr>
        <w:t xml:space="preserve">3 </w:t>
      </w:r>
      <w:r>
        <w:rPr>
          <w:rFonts w:ascii="Times New Roman"/>
          <w:sz w:val="24"/>
          <w:szCs w:val="24"/>
          <w:lang w:val="en-US"/>
        </w:rPr>
        <w:t>Department of Public Health Solutions, Chronic Disease Prevention Unit, National Institute for Health and Welfare, Helsinki, Finland</w:t>
      </w:r>
    </w:p>
    <w:p w14:paraId="7EC03994" w14:textId="77777777" w:rsidR="005C2F9E" w:rsidRPr="00DF6A6C" w:rsidRDefault="005C2F9E" w:rsidP="005C2F9E">
      <w:pPr>
        <w:tabs>
          <w:tab w:val="left" w:pos="142"/>
        </w:tabs>
        <w:spacing w:after="0" w:line="360" w:lineRule="auto"/>
        <w:rPr>
          <w:rFonts w:ascii="Times New Roman"/>
          <w:sz w:val="24"/>
          <w:szCs w:val="24"/>
          <w:lang w:val="en-US"/>
        </w:rPr>
      </w:pPr>
      <w:r>
        <w:rPr>
          <w:rFonts w:ascii="Times New Roman"/>
          <w:sz w:val="24"/>
          <w:szCs w:val="24"/>
          <w:vertAlign w:val="superscript"/>
          <w:lang w:val="en-US"/>
        </w:rPr>
        <w:t xml:space="preserve">4 </w:t>
      </w:r>
      <w:r>
        <w:rPr>
          <w:rFonts w:ascii="Times New Roman"/>
          <w:sz w:val="24"/>
          <w:szCs w:val="24"/>
          <w:lang w:val="en-US"/>
        </w:rPr>
        <w:t xml:space="preserve">MRC Lifecourse Epidemiology Unit, University of </w:t>
      </w:r>
      <w:proofErr w:type="spellStart"/>
      <w:r>
        <w:rPr>
          <w:rFonts w:ascii="Times New Roman"/>
          <w:sz w:val="24"/>
          <w:szCs w:val="24"/>
          <w:lang w:val="en-US"/>
        </w:rPr>
        <w:t>Southamptom</w:t>
      </w:r>
      <w:proofErr w:type="spellEnd"/>
      <w:r>
        <w:rPr>
          <w:rFonts w:ascii="Times New Roman"/>
          <w:sz w:val="24"/>
          <w:szCs w:val="24"/>
          <w:lang w:val="en-US"/>
        </w:rPr>
        <w:t>, Southampton General Hospital, Southampton, UK</w:t>
      </w:r>
    </w:p>
    <w:p w14:paraId="2F6DED29" w14:textId="77777777" w:rsidR="005C2F9E" w:rsidRDefault="005C2F9E" w:rsidP="005C2F9E">
      <w:pPr>
        <w:tabs>
          <w:tab w:val="left" w:pos="142"/>
        </w:tabs>
        <w:spacing w:after="0" w:line="360" w:lineRule="auto"/>
        <w:rPr>
          <w:rFonts w:ascii="Times New Roman"/>
          <w:sz w:val="24"/>
          <w:szCs w:val="24"/>
          <w:lang w:val="en-US"/>
        </w:rPr>
      </w:pPr>
      <w:r>
        <w:rPr>
          <w:rFonts w:ascii="Times New Roman"/>
          <w:sz w:val="24"/>
          <w:szCs w:val="24"/>
          <w:vertAlign w:val="superscript"/>
          <w:lang w:val="en-US"/>
        </w:rPr>
        <w:t xml:space="preserve">5 </w:t>
      </w:r>
      <w:r>
        <w:rPr>
          <w:rFonts w:ascii="Times New Roman"/>
          <w:sz w:val="24"/>
          <w:szCs w:val="24"/>
          <w:lang w:val="en-US"/>
        </w:rPr>
        <w:t>Hospital for Children and Adolescents, Helsinki University Central Hospital and University of Helsinki, Helsinki, Finland</w:t>
      </w:r>
    </w:p>
    <w:p w14:paraId="27300441" w14:textId="77777777" w:rsidR="005C2F9E" w:rsidRDefault="005C2F9E" w:rsidP="005C2F9E">
      <w:pPr>
        <w:tabs>
          <w:tab w:val="left" w:pos="142"/>
        </w:tabs>
        <w:spacing w:after="0" w:line="360" w:lineRule="auto"/>
        <w:rPr>
          <w:rFonts w:ascii="Times New Roman"/>
          <w:sz w:val="24"/>
          <w:szCs w:val="24"/>
          <w:lang w:val="en-US"/>
        </w:rPr>
      </w:pPr>
      <w:r>
        <w:rPr>
          <w:rFonts w:ascii="Times New Roman"/>
          <w:sz w:val="24"/>
          <w:szCs w:val="24"/>
          <w:vertAlign w:val="superscript"/>
          <w:lang w:val="en-US"/>
        </w:rPr>
        <w:t xml:space="preserve">6 </w:t>
      </w:r>
      <w:r>
        <w:rPr>
          <w:rFonts w:ascii="Times New Roman"/>
          <w:sz w:val="24"/>
          <w:szCs w:val="24"/>
          <w:lang w:val="en-US"/>
        </w:rPr>
        <w:t>PEDEGO Research Unit, MRC Oulu, Oulu University Hospital and University of Oulu, Oulu, Finland</w:t>
      </w:r>
    </w:p>
    <w:p w14:paraId="781FFA97" w14:textId="77777777" w:rsidR="005C2F9E" w:rsidRPr="001F59EA" w:rsidRDefault="005C2F9E" w:rsidP="005C2F9E">
      <w:pPr>
        <w:tabs>
          <w:tab w:val="left" w:pos="142"/>
        </w:tabs>
        <w:spacing w:after="0" w:line="360" w:lineRule="auto"/>
        <w:rPr>
          <w:rFonts w:ascii="Times New Roman"/>
          <w:sz w:val="24"/>
          <w:szCs w:val="24"/>
        </w:rPr>
      </w:pPr>
      <w:r>
        <w:rPr>
          <w:rFonts w:ascii="Times New Roman"/>
          <w:sz w:val="24"/>
          <w:szCs w:val="24"/>
          <w:vertAlign w:val="superscript"/>
          <w:lang w:val="en-US"/>
        </w:rPr>
        <w:t xml:space="preserve">7 </w:t>
      </w:r>
      <w:r w:rsidRPr="005E34F6">
        <w:rPr>
          <w:rFonts w:ascii="Times New Roman"/>
          <w:sz w:val="24"/>
          <w:szCs w:val="24"/>
          <w:lang w:val="en-US"/>
        </w:rPr>
        <w:t>Gerontology</w:t>
      </w:r>
      <w:r w:rsidRPr="00E16507">
        <w:rPr>
          <w:rFonts w:ascii="Times New Roman"/>
          <w:sz w:val="24"/>
          <w:szCs w:val="24"/>
          <w:lang w:val="en-US"/>
        </w:rPr>
        <w:t xml:space="preserve"> Research Center, Faculty of Sport and Health Sciences, University of </w:t>
      </w:r>
      <w:proofErr w:type="spellStart"/>
      <w:r w:rsidRPr="00E16507">
        <w:rPr>
          <w:rFonts w:ascii="Times New Roman"/>
          <w:sz w:val="24"/>
          <w:szCs w:val="24"/>
          <w:lang w:val="en-US"/>
        </w:rPr>
        <w:t>Jyväskylä</w:t>
      </w:r>
      <w:proofErr w:type="spellEnd"/>
      <w:r w:rsidRPr="00E16507">
        <w:rPr>
          <w:rFonts w:ascii="Times New Roman"/>
          <w:sz w:val="24"/>
          <w:szCs w:val="24"/>
          <w:lang w:val="en-US"/>
        </w:rPr>
        <w:t xml:space="preserve">, </w:t>
      </w:r>
      <w:proofErr w:type="spellStart"/>
      <w:r>
        <w:rPr>
          <w:rFonts w:ascii="Times New Roman"/>
          <w:sz w:val="24"/>
          <w:szCs w:val="24"/>
          <w:lang w:val="en-US"/>
        </w:rPr>
        <w:t>Jyväskylä</w:t>
      </w:r>
      <w:proofErr w:type="spellEnd"/>
      <w:r>
        <w:rPr>
          <w:rFonts w:ascii="Times New Roman"/>
          <w:sz w:val="24"/>
          <w:szCs w:val="24"/>
          <w:lang w:val="en-US"/>
        </w:rPr>
        <w:t xml:space="preserve">, </w:t>
      </w:r>
      <w:r w:rsidRPr="00E16507">
        <w:rPr>
          <w:rFonts w:ascii="Times New Roman"/>
          <w:sz w:val="24"/>
          <w:szCs w:val="24"/>
          <w:lang w:val="en-US"/>
        </w:rPr>
        <w:t>Finland</w:t>
      </w:r>
      <w:r w:rsidRPr="00B960D0">
        <w:rPr>
          <w:rFonts w:ascii="Times New Roman"/>
          <w:sz w:val="24"/>
          <w:szCs w:val="24"/>
        </w:rPr>
        <w:t xml:space="preserve"> </w:t>
      </w:r>
    </w:p>
    <w:p w14:paraId="7DDD6FE8" w14:textId="77777777" w:rsidR="005C2F9E" w:rsidRDefault="005C2F9E" w:rsidP="005C2F9E">
      <w:pPr>
        <w:tabs>
          <w:tab w:val="left" w:pos="142"/>
        </w:tabs>
        <w:spacing w:after="0" w:line="360" w:lineRule="auto"/>
        <w:rPr>
          <w:rFonts w:ascii="Times New Roman"/>
          <w:sz w:val="24"/>
          <w:szCs w:val="24"/>
          <w:lang w:val="en-US"/>
        </w:rPr>
      </w:pPr>
      <w:r>
        <w:rPr>
          <w:rFonts w:ascii="Times New Roman"/>
          <w:sz w:val="24"/>
          <w:szCs w:val="24"/>
          <w:vertAlign w:val="superscript"/>
        </w:rPr>
        <w:t>8</w:t>
      </w:r>
      <w:r>
        <w:rPr>
          <w:rFonts w:ascii="Times New Roman"/>
          <w:sz w:val="24"/>
          <w:szCs w:val="24"/>
          <w:vertAlign w:val="superscript"/>
          <w:lang w:val="en-US"/>
        </w:rPr>
        <w:t xml:space="preserve"> </w:t>
      </w:r>
      <w:r>
        <w:rPr>
          <w:rFonts w:ascii="Times New Roman"/>
          <w:sz w:val="24"/>
          <w:szCs w:val="24"/>
          <w:lang w:val="en-US"/>
        </w:rPr>
        <w:t>Finnish Centre of Excellence in Intersubjectivity in Interaction, University of Helsinki, Helsinki, Finland</w:t>
      </w:r>
    </w:p>
    <w:p w14:paraId="331B1DA1" w14:textId="77777777" w:rsidR="005C2F9E" w:rsidRPr="002D1AC4" w:rsidRDefault="005C2F9E" w:rsidP="005C2F9E">
      <w:pPr>
        <w:tabs>
          <w:tab w:val="left" w:pos="142"/>
        </w:tabs>
        <w:spacing w:after="0" w:line="360" w:lineRule="auto"/>
        <w:rPr>
          <w:rFonts w:ascii="Times New Roman"/>
          <w:sz w:val="24"/>
          <w:szCs w:val="24"/>
          <w:lang w:val="sv-SE"/>
        </w:rPr>
      </w:pPr>
      <w:r w:rsidRPr="002D1AC4">
        <w:rPr>
          <w:rFonts w:ascii="Times New Roman"/>
          <w:sz w:val="24"/>
          <w:szCs w:val="24"/>
          <w:vertAlign w:val="superscript"/>
          <w:lang w:val="sv-SE"/>
        </w:rPr>
        <w:t xml:space="preserve">9 </w:t>
      </w:r>
      <w:r w:rsidRPr="002D1AC4">
        <w:rPr>
          <w:rFonts w:ascii="Times New Roman"/>
          <w:sz w:val="24"/>
          <w:szCs w:val="24"/>
          <w:lang w:val="sv-SE"/>
        </w:rPr>
        <w:t>Age Institute, Helsinki, Finland</w:t>
      </w:r>
    </w:p>
    <w:p w14:paraId="324C7731" w14:textId="77777777" w:rsidR="005C2F9E" w:rsidRPr="002D1AC4" w:rsidRDefault="005C2F9E" w:rsidP="005C2F9E">
      <w:pPr>
        <w:tabs>
          <w:tab w:val="left" w:pos="142"/>
        </w:tabs>
        <w:spacing w:after="0" w:line="360" w:lineRule="auto"/>
        <w:rPr>
          <w:rFonts w:ascii="Times New Roman"/>
          <w:sz w:val="24"/>
          <w:szCs w:val="24"/>
          <w:lang w:val="sv-SE"/>
        </w:rPr>
      </w:pPr>
    </w:p>
    <w:p w14:paraId="3036AB65" w14:textId="77777777" w:rsidR="005C2F9E" w:rsidRPr="002D1AC4" w:rsidRDefault="005C2F9E" w:rsidP="005C2F9E">
      <w:pPr>
        <w:spacing w:after="0" w:line="360" w:lineRule="auto"/>
        <w:rPr>
          <w:rFonts w:ascii="Times New Roman"/>
          <w:b/>
          <w:sz w:val="24"/>
          <w:szCs w:val="24"/>
          <w:lang w:val="sv-SE"/>
        </w:rPr>
      </w:pPr>
    </w:p>
    <w:p w14:paraId="1DCD4D8A" w14:textId="77777777" w:rsidR="00784BB8" w:rsidRPr="002D1AC4" w:rsidRDefault="00784BB8" w:rsidP="005C2F9E">
      <w:pPr>
        <w:spacing w:after="0" w:line="360" w:lineRule="auto"/>
        <w:rPr>
          <w:rFonts w:ascii="Times New Roman"/>
          <w:b/>
          <w:sz w:val="24"/>
          <w:szCs w:val="24"/>
          <w:lang w:val="sv-SE"/>
        </w:rPr>
      </w:pPr>
    </w:p>
    <w:p w14:paraId="682460D3" w14:textId="77777777" w:rsidR="00784BB8" w:rsidRPr="002D1AC4" w:rsidRDefault="00784BB8" w:rsidP="005C2F9E">
      <w:pPr>
        <w:spacing w:after="0" w:line="360" w:lineRule="auto"/>
        <w:rPr>
          <w:rFonts w:ascii="Times New Roman"/>
          <w:b/>
          <w:sz w:val="24"/>
          <w:szCs w:val="24"/>
          <w:lang w:val="sv-SE"/>
        </w:rPr>
      </w:pPr>
    </w:p>
    <w:p w14:paraId="56A3799C" w14:textId="77777777" w:rsidR="00784BB8" w:rsidRPr="002D1AC4" w:rsidRDefault="00784BB8" w:rsidP="005C2F9E">
      <w:pPr>
        <w:spacing w:after="0" w:line="360" w:lineRule="auto"/>
        <w:rPr>
          <w:rFonts w:ascii="Times New Roman"/>
          <w:b/>
          <w:sz w:val="24"/>
          <w:szCs w:val="24"/>
          <w:lang w:val="sv-SE"/>
        </w:rPr>
      </w:pPr>
    </w:p>
    <w:p w14:paraId="587D3248" w14:textId="77777777" w:rsidR="00784BB8" w:rsidRPr="002D1AC4" w:rsidRDefault="00784BB8" w:rsidP="005C2F9E">
      <w:pPr>
        <w:spacing w:after="0" w:line="360" w:lineRule="auto"/>
        <w:rPr>
          <w:rFonts w:ascii="Times New Roman"/>
          <w:sz w:val="24"/>
          <w:szCs w:val="24"/>
          <w:lang w:val="sv-SE"/>
        </w:rPr>
      </w:pPr>
    </w:p>
    <w:p w14:paraId="3C5A0880" w14:textId="77777777" w:rsidR="005C2F9E" w:rsidRPr="002D1AC4" w:rsidRDefault="005C2F9E" w:rsidP="005C2F9E">
      <w:pPr>
        <w:spacing w:after="0" w:line="360" w:lineRule="auto"/>
        <w:rPr>
          <w:rFonts w:ascii="Times New Roman"/>
          <w:sz w:val="24"/>
          <w:szCs w:val="24"/>
          <w:lang w:val="sv-SE"/>
        </w:rPr>
      </w:pPr>
      <w:r w:rsidRPr="002D1AC4">
        <w:rPr>
          <w:rFonts w:ascii="Times New Roman"/>
          <w:sz w:val="24"/>
          <w:szCs w:val="24"/>
          <w:lang w:val="sv-SE"/>
        </w:rPr>
        <w:t>Markus Haapanen</w:t>
      </w:r>
    </w:p>
    <w:p w14:paraId="6504E2ED" w14:textId="77777777" w:rsidR="005C2F9E" w:rsidRPr="004E5FD0" w:rsidRDefault="005C2F9E" w:rsidP="005C2F9E">
      <w:pPr>
        <w:spacing w:after="0" w:line="360" w:lineRule="auto"/>
        <w:rPr>
          <w:rFonts w:ascii="Times New Roman"/>
          <w:sz w:val="24"/>
          <w:szCs w:val="24"/>
        </w:rPr>
      </w:pPr>
      <w:r w:rsidRPr="004E5FD0">
        <w:rPr>
          <w:rFonts w:ascii="Times New Roman"/>
          <w:sz w:val="24"/>
          <w:szCs w:val="24"/>
        </w:rPr>
        <w:t>Department of General Practice and Primary Health Care</w:t>
      </w:r>
    </w:p>
    <w:p w14:paraId="0782826E" w14:textId="77777777" w:rsidR="005C2F9E" w:rsidRPr="008A7E84" w:rsidRDefault="005C2F9E" w:rsidP="005C2F9E">
      <w:pPr>
        <w:spacing w:after="0" w:line="360" w:lineRule="auto"/>
        <w:rPr>
          <w:rFonts w:ascii="Times New Roman"/>
          <w:sz w:val="24"/>
          <w:szCs w:val="24"/>
        </w:rPr>
      </w:pPr>
      <w:r w:rsidRPr="00B75623">
        <w:rPr>
          <w:rFonts w:ascii="Times New Roman"/>
          <w:sz w:val="24"/>
          <w:szCs w:val="24"/>
        </w:rPr>
        <w:t>Universi</w:t>
      </w:r>
      <w:r w:rsidRPr="008A7E84">
        <w:rPr>
          <w:rFonts w:ascii="Times New Roman"/>
          <w:sz w:val="24"/>
          <w:szCs w:val="24"/>
        </w:rPr>
        <w:t>ty of Helsinki</w:t>
      </w:r>
    </w:p>
    <w:p w14:paraId="34D271C1" w14:textId="77777777" w:rsidR="005C2F9E" w:rsidRPr="008A7E84" w:rsidRDefault="005C2F9E" w:rsidP="005C2F9E">
      <w:pPr>
        <w:spacing w:after="0" w:line="360" w:lineRule="auto"/>
        <w:rPr>
          <w:rFonts w:ascii="Times New Roman"/>
          <w:sz w:val="24"/>
          <w:szCs w:val="24"/>
        </w:rPr>
      </w:pPr>
      <w:r w:rsidRPr="008A7E84">
        <w:rPr>
          <w:rFonts w:ascii="Times New Roman"/>
          <w:sz w:val="24"/>
          <w:szCs w:val="24"/>
        </w:rPr>
        <w:t>PO Box</w:t>
      </w:r>
      <w:r>
        <w:rPr>
          <w:rFonts w:ascii="Times New Roman"/>
          <w:sz w:val="24"/>
          <w:szCs w:val="24"/>
        </w:rPr>
        <w:t xml:space="preserve"> 20</w:t>
      </w:r>
    </w:p>
    <w:p w14:paraId="0862D102" w14:textId="77777777" w:rsidR="005C2F9E" w:rsidRDefault="005C2F9E" w:rsidP="005C2F9E">
      <w:pPr>
        <w:spacing w:after="0" w:line="360" w:lineRule="auto"/>
        <w:rPr>
          <w:rFonts w:ascii="Times New Roman"/>
          <w:sz w:val="24"/>
          <w:szCs w:val="24"/>
          <w:lang w:val="en-US"/>
        </w:rPr>
      </w:pPr>
      <w:r>
        <w:rPr>
          <w:rFonts w:ascii="Times New Roman"/>
          <w:sz w:val="24"/>
          <w:szCs w:val="24"/>
          <w:lang w:val="en-US"/>
        </w:rPr>
        <w:t>FI-00014 University of Helsinki</w:t>
      </w:r>
    </w:p>
    <w:p w14:paraId="51F8EFAD" w14:textId="77777777" w:rsidR="005C2F9E" w:rsidRPr="000F70A6" w:rsidRDefault="00450AB8" w:rsidP="005C2F9E">
      <w:pPr>
        <w:spacing w:after="0" w:line="360" w:lineRule="auto"/>
        <w:rPr>
          <w:rFonts w:ascii="Times New Roman"/>
          <w:sz w:val="24"/>
          <w:szCs w:val="24"/>
          <w:lang w:val="en-US"/>
        </w:rPr>
      </w:pPr>
      <w:hyperlink r:id="rId6" w:history="1">
        <w:r w:rsidR="005C2F9E" w:rsidRPr="005E36C4">
          <w:rPr>
            <w:rStyle w:val="Hyperlink"/>
            <w:rFonts w:ascii="Times New Roman"/>
            <w:sz w:val="24"/>
            <w:szCs w:val="24"/>
            <w:lang w:val="en-US"/>
          </w:rPr>
          <w:t>markus.haapanen@helsinki.fi</w:t>
        </w:r>
      </w:hyperlink>
    </w:p>
    <w:p w14:paraId="6646622B" w14:textId="1ED74E7A" w:rsidR="00050EF3" w:rsidRPr="00A113AC" w:rsidRDefault="00050EF3" w:rsidP="00A113AC">
      <w:pPr>
        <w:spacing w:after="0" w:line="480" w:lineRule="auto"/>
        <w:rPr>
          <w:rFonts w:ascii="Times New Roman"/>
          <w:sz w:val="24"/>
          <w:szCs w:val="24"/>
          <w:lang w:val="en-US"/>
        </w:rPr>
      </w:pPr>
      <w:r>
        <w:rPr>
          <w:rFonts w:ascii="Times New Roman"/>
          <w:b/>
          <w:sz w:val="24"/>
          <w:szCs w:val="24"/>
        </w:rPr>
        <w:lastRenderedPageBreak/>
        <w:t>Abstract</w:t>
      </w:r>
    </w:p>
    <w:p w14:paraId="6B1E3322" w14:textId="2FAE679A" w:rsidR="00375285" w:rsidRPr="00375285" w:rsidRDefault="00050EF3" w:rsidP="00F51259">
      <w:pPr>
        <w:spacing w:line="480" w:lineRule="auto"/>
        <w:jc w:val="both"/>
        <w:rPr>
          <w:rFonts w:ascii="Times New Roman"/>
          <w:sz w:val="24"/>
          <w:szCs w:val="24"/>
        </w:rPr>
      </w:pPr>
      <w:r>
        <w:rPr>
          <w:rFonts w:ascii="Times New Roman"/>
          <w:b/>
          <w:sz w:val="24"/>
          <w:szCs w:val="24"/>
        </w:rPr>
        <w:t xml:space="preserve">Background: </w:t>
      </w:r>
      <w:r w:rsidR="00375285">
        <w:rPr>
          <w:rFonts w:ascii="Times New Roman"/>
          <w:sz w:val="24"/>
          <w:szCs w:val="24"/>
        </w:rPr>
        <w:t>Evidence fro</w:t>
      </w:r>
      <w:r w:rsidR="006964F4">
        <w:rPr>
          <w:rFonts w:ascii="Times New Roman"/>
          <w:sz w:val="24"/>
          <w:szCs w:val="24"/>
        </w:rPr>
        <w:t>m life course studies highlight</w:t>
      </w:r>
      <w:r w:rsidR="00D0194A">
        <w:rPr>
          <w:rFonts w:ascii="Times New Roman"/>
          <w:sz w:val="24"/>
          <w:szCs w:val="24"/>
        </w:rPr>
        <w:t>s</w:t>
      </w:r>
      <w:r w:rsidR="00375285">
        <w:rPr>
          <w:rFonts w:ascii="Times New Roman"/>
          <w:sz w:val="24"/>
          <w:szCs w:val="24"/>
        </w:rPr>
        <w:t xml:space="preserve"> the importance of infant and childhood growth as risk factors </w:t>
      </w:r>
      <w:r w:rsidR="0028338D">
        <w:rPr>
          <w:rFonts w:ascii="Times New Roman"/>
          <w:sz w:val="24"/>
          <w:szCs w:val="24"/>
        </w:rPr>
        <w:t>for adulthood chronic diseases.</w:t>
      </w:r>
    </w:p>
    <w:p w14:paraId="6378DACE" w14:textId="40860128" w:rsidR="0028338D" w:rsidRPr="0028338D" w:rsidRDefault="00050EF3" w:rsidP="00F51259">
      <w:pPr>
        <w:spacing w:line="480" w:lineRule="auto"/>
        <w:jc w:val="both"/>
        <w:rPr>
          <w:rFonts w:ascii="Times New Roman"/>
          <w:sz w:val="24"/>
          <w:szCs w:val="24"/>
        </w:rPr>
      </w:pPr>
      <w:r>
        <w:rPr>
          <w:rFonts w:ascii="Times New Roman"/>
          <w:b/>
          <w:sz w:val="24"/>
          <w:szCs w:val="24"/>
        </w:rPr>
        <w:t xml:space="preserve">Methods: </w:t>
      </w:r>
      <w:r w:rsidR="0028338D">
        <w:rPr>
          <w:rFonts w:ascii="Times New Roman"/>
          <w:sz w:val="24"/>
          <w:szCs w:val="24"/>
        </w:rPr>
        <w:t xml:space="preserve">In this sub-study of the Helsinki Birth Cohort Study we studied 1078 individuals who had </w:t>
      </w:r>
      <w:r w:rsidR="00017FEC">
        <w:rPr>
          <w:rFonts w:ascii="Times New Roman"/>
          <w:sz w:val="24"/>
          <w:szCs w:val="24"/>
        </w:rPr>
        <w:t xml:space="preserve">both </w:t>
      </w:r>
      <w:r w:rsidR="0028338D">
        <w:rPr>
          <w:rFonts w:ascii="Times New Roman"/>
          <w:sz w:val="24"/>
          <w:szCs w:val="24"/>
        </w:rPr>
        <w:t>information on body size from birth to 12 years of age and who were assessed for frailty according to the Fried criteria at the mean age of 71 years.</w:t>
      </w:r>
    </w:p>
    <w:p w14:paraId="063C7592" w14:textId="37B703C0" w:rsidR="00050EF3" w:rsidRPr="00A37819" w:rsidRDefault="00050EF3" w:rsidP="00F51259">
      <w:pPr>
        <w:spacing w:line="480" w:lineRule="auto"/>
        <w:jc w:val="both"/>
        <w:rPr>
          <w:rFonts w:ascii="Times New Roman"/>
          <w:sz w:val="24"/>
          <w:szCs w:val="24"/>
        </w:rPr>
      </w:pPr>
      <w:r>
        <w:rPr>
          <w:rFonts w:ascii="Times New Roman"/>
          <w:b/>
          <w:sz w:val="24"/>
          <w:szCs w:val="24"/>
        </w:rPr>
        <w:t xml:space="preserve">Results: </w:t>
      </w:r>
      <w:r w:rsidR="00C252E1">
        <w:rPr>
          <w:rFonts w:ascii="Times New Roman"/>
          <w:sz w:val="24"/>
          <w:szCs w:val="24"/>
        </w:rPr>
        <w:t>Greater BMI gain between 2 and 11 years</w:t>
      </w:r>
      <w:r w:rsidR="006A7D54">
        <w:rPr>
          <w:rFonts w:ascii="Times New Roman"/>
          <w:sz w:val="24"/>
          <w:szCs w:val="24"/>
        </w:rPr>
        <w:t xml:space="preserve"> in boys was associated with frailty in old age (age-adjusted RRR </w:t>
      </w:r>
      <w:r w:rsidR="00C34F4D">
        <w:rPr>
          <w:rFonts w:ascii="Times New Roman"/>
          <w:sz w:val="24"/>
          <w:szCs w:val="24"/>
        </w:rPr>
        <w:t>2.36, 95% CI 1.21, 4.63).</w:t>
      </w:r>
      <w:r w:rsidR="009F5BBA">
        <w:rPr>
          <w:rFonts w:ascii="Times New Roman"/>
          <w:sz w:val="24"/>
          <w:szCs w:val="24"/>
        </w:rPr>
        <w:t xml:space="preserve"> </w:t>
      </w:r>
      <w:r w:rsidR="00CF7C15">
        <w:rPr>
          <w:rFonts w:ascii="Times New Roman"/>
          <w:sz w:val="24"/>
          <w:szCs w:val="24"/>
        </w:rPr>
        <w:t>No similar associations were observed in girls.</w:t>
      </w:r>
    </w:p>
    <w:p w14:paraId="3592B8AF" w14:textId="0AD43B88" w:rsidR="000D61E5" w:rsidRPr="00D27E4E" w:rsidRDefault="00050EF3" w:rsidP="00F51259">
      <w:pPr>
        <w:spacing w:line="480" w:lineRule="auto"/>
        <w:jc w:val="both"/>
        <w:rPr>
          <w:rFonts w:ascii="Times New Roman"/>
          <w:sz w:val="24"/>
          <w:szCs w:val="24"/>
        </w:rPr>
      </w:pPr>
      <w:r>
        <w:rPr>
          <w:rFonts w:ascii="Times New Roman"/>
          <w:b/>
          <w:sz w:val="24"/>
          <w:szCs w:val="24"/>
        </w:rPr>
        <w:t xml:space="preserve">Conclusions: </w:t>
      </w:r>
      <w:r w:rsidR="00294657">
        <w:rPr>
          <w:rFonts w:ascii="Times New Roman"/>
          <w:sz w:val="24"/>
          <w:szCs w:val="24"/>
        </w:rPr>
        <w:t xml:space="preserve">Men who were frail </w:t>
      </w:r>
      <w:r w:rsidR="00CB577D">
        <w:rPr>
          <w:rFonts w:ascii="Times New Roman"/>
          <w:sz w:val="24"/>
          <w:szCs w:val="24"/>
        </w:rPr>
        <w:t xml:space="preserve">in old age experienced accelerated BMI gain in childhood compared with those men who </w:t>
      </w:r>
      <w:r w:rsidR="007E1A2A">
        <w:rPr>
          <w:rFonts w:ascii="Times New Roman"/>
          <w:sz w:val="24"/>
          <w:szCs w:val="24"/>
        </w:rPr>
        <w:t>were not frail.</w:t>
      </w:r>
      <w:r w:rsidR="00FA40BB">
        <w:rPr>
          <w:rFonts w:ascii="Times New Roman"/>
          <w:sz w:val="24"/>
          <w:szCs w:val="24"/>
        </w:rPr>
        <w:t xml:space="preserve"> This was not observed in women</w:t>
      </w:r>
      <w:r w:rsidR="00A74431">
        <w:rPr>
          <w:rFonts w:ascii="Times New Roman"/>
          <w:sz w:val="24"/>
          <w:szCs w:val="24"/>
        </w:rPr>
        <w:t xml:space="preserve">, which suggests that the patterns of early growth </w:t>
      </w:r>
      <w:r w:rsidR="00D27E4E">
        <w:rPr>
          <w:rFonts w:ascii="Times New Roman"/>
          <w:sz w:val="24"/>
          <w:szCs w:val="24"/>
        </w:rPr>
        <w:t>predisposing</w:t>
      </w:r>
      <w:r w:rsidR="00A74431">
        <w:rPr>
          <w:rFonts w:ascii="Times New Roman"/>
          <w:sz w:val="24"/>
          <w:szCs w:val="24"/>
        </w:rPr>
        <w:t xml:space="preserve"> to frailty </w:t>
      </w:r>
      <w:r w:rsidR="00D27E4E">
        <w:rPr>
          <w:rFonts w:ascii="Times New Roman"/>
          <w:sz w:val="24"/>
          <w:szCs w:val="24"/>
        </w:rPr>
        <w:t>may</w:t>
      </w:r>
      <w:r w:rsidR="00A74431">
        <w:rPr>
          <w:rFonts w:ascii="Times New Roman"/>
          <w:sz w:val="24"/>
          <w:szCs w:val="24"/>
        </w:rPr>
        <w:t xml:space="preserve"> vary by sex.</w:t>
      </w:r>
    </w:p>
    <w:p w14:paraId="6DC6A337" w14:textId="1EF17C5F" w:rsidR="000D61E5" w:rsidRPr="00C72743" w:rsidRDefault="009E114F" w:rsidP="00F51259">
      <w:pPr>
        <w:spacing w:line="480" w:lineRule="auto"/>
        <w:jc w:val="both"/>
        <w:rPr>
          <w:rFonts w:ascii="Times New Roman"/>
          <w:sz w:val="24"/>
          <w:szCs w:val="24"/>
        </w:rPr>
      </w:pPr>
      <w:r>
        <w:rPr>
          <w:rFonts w:ascii="Times New Roman"/>
          <w:b/>
          <w:sz w:val="24"/>
          <w:szCs w:val="24"/>
        </w:rPr>
        <w:t>Key Wo</w:t>
      </w:r>
      <w:r w:rsidR="00C72743">
        <w:rPr>
          <w:rFonts w:ascii="Times New Roman"/>
          <w:b/>
          <w:sz w:val="24"/>
          <w:szCs w:val="24"/>
        </w:rPr>
        <w:t xml:space="preserve">rds: </w:t>
      </w:r>
      <w:r w:rsidR="0074064F">
        <w:rPr>
          <w:rFonts w:ascii="Times New Roman"/>
          <w:sz w:val="24"/>
          <w:szCs w:val="24"/>
        </w:rPr>
        <w:t>growth, frailty, life-course, risk factor.</w:t>
      </w:r>
    </w:p>
    <w:p w14:paraId="683D3B05" w14:textId="77777777" w:rsidR="00784BB8" w:rsidRDefault="00784BB8" w:rsidP="00F51259">
      <w:pPr>
        <w:spacing w:line="480" w:lineRule="auto"/>
        <w:jc w:val="both"/>
        <w:rPr>
          <w:rFonts w:ascii="Times New Roman"/>
          <w:b/>
          <w:sz w:val="24"/>
          <w:szCs w:val="24"/>
        </w:rPr>
      </w:pPr>
    </w:p>
    <w:p w14:paraId="3E9A2267" w14:textId="77777777" w:rsidR="00784BB8" w:rsidRDefault="00784BB8" w:rsidP="00F51259">
      <w:pPr>
        <w:spacing w:line="480" w:lineRule="auto"/>
        <w:jc w:val="both"/>
        <w:rPr>
          <w:rFonts w:ascii="Times New Roman"/>
          <w:b/>
          <w:sz w:val="24"/>
          <w:szCs w:val="24"/>
        </w:rPr>
      </w:pPr>
    </w:p>
    <w:p w14:paraId="1129C5FE" w14:textId="77777777" w:rsidR="00784BB8" w:rsidRDefault="00784BB8" w:rsidP="00F51259">
      <w:pPr>
        <w:spacing w:line="480" w:lineRule="auto"/>
        <w:jc w:val="both"/>
        <w:rPr>
          <w:rFonts w:ascii="Times New Roman"/>
          <w:b/>
          <w:sz w:val="24"/>
          <w:szCs w:val="24"/>
        </w:rPr>
      </w:pPr>
    </w:p>
    <w:p w14:paraId="5B7E1412" w14:textId="77777777" w:rsidR="00784BB8" w:rsidRDefault="00784BB8" w:rsidP="00F51259">
      <w:pPr>
        <w:spacing w:line="480" w:lineRule="auto"/>
        <w:jc w:val="both"/>
        <w:rPr>
          <w:rFonts w:ascii="Times New Roman"/>
          <w:b/>
          <w:sz w:val="24"/>
          <w:szCs w:val="24"/>
        </w:rPr>
      </w:pPr>
    </w:p>
    <w:p w14:paraId="5A6A472D" w14:textId="77777777" w:rsidR="00784BB8" w:rsidRDefault="00784BB8" w:rsidP="00F51259">
      <w:pPr>
        <w:spacing w:line="480" w:lineRule="auto"/>
        <w:jc w:val="both"/>
        <w:rPr>
          <w:rFonts w:ascii="Times New Roman"/>
          <w:b/>
          <w:sz w:val="24"/>
          <w:szCs w:val="24"/>
        </w:rPr>
      </w:pPr>
    </w:p>
    <w:p w14:paraId="0CB1463B" w14:textId="77777777" w:rsidR="00784BB8" w:rsidRDefault="00784BB8" w:rsidP="00F51259">
      <w:pPr>
        <w:spacing w:line="480" w:lineRule="auto"/>
        <w:jc w:val="both"/>
        <w:rPr>
          <w:rFonts w:ascii="Times New Roman"/>
          <w:b/>
          <w:sz w:val="24"/>
          <w:szCs w:val="24"/>
        </w:rPr>
      </w:pPr>
    </w:p>
    <w:p w14:paraId="37D15F0E" w14:textId="77777777" w:rsidR="00784BB8" w:rsidRDefault="00784BB8" w:rsidP="00F51259">
      <w:pPr>
        <w:spacing w:line="480" w:lineRule="auto"/>
        <w:jc w:val="both"/>
        <w:rPr>
          <w:rFonts w:ascii="Times New Roman"/>
          <w:b/>
          <w:sz w:val="24"/>
          <w:szCs w:val="24"/>
        </w:rPr>
      </w:pPr>
    </w:p>
    <w:p w14:paraId="0E3B0F39" w14:textId="77777777" w:rsidR="00784BB8" w:rsidRDefault="00784BB8" w:rsidP="00F51259">
      <w:pPr>
        <w:spacing w:line="480" w:lineRule="auto"/>
        <w:jc w:val="both"/>
        <w:rPr>
          <w:rFonts w:ascii="Times New Roman"/>
          <w:b/>
          <w:sz w:val="24"/>
          <w:szCs w:val="24"/>
        </w:rPr>
      </w:pPr>
    </w:p>
    <w:p w14:paraId="528EACE7" w14:textId="77777777" w:rsidR="00784BB8" w:rsidRDefault="00784BB8" w:rsidP="00F51259">
      <w:pPr>
        <w:spacing w:line="480" w:lineRule="auto"/>
        <w:jc w:val="both"/>
        <w:rPr>
          <w:rFonts w:ascii="Times New Roman"/>
          <w:b/>
          <w:sz w:val="24"/>
          <w:szCs w:val="24"/>
        </w:rPr>
      </w:pPr>
    </w:p>
    <w:p w14:paraId="28E02739" w14:textId="108D35AD" w:rsidR="00294777" w:rsidRPr="00465058" w:rsidRDefault="00F51259" w:rsidP="00F51259">
      <w:pPr>
        <w:spacing w:line="480" w:lineRule="auto"/>
        <w:jc w:val="both"/>
        <w:rPr>
          <w:rFonts w:ascii="Times New Roman"/>
          <w:b/>
          <w:sz w:val="24"/>
          <w:szCs w:val="24"/>
        </w:rPr>
      </w:pPr>
      <w:r>
        <w:rPr>
          <w:rFonts w:ascii="Times New Roman"/>
          <w:b/>
          <w:sz w:val="24"/>
          <w:szCs w:val="24"/>
        </w:rPr>
        <w:lastRenderedPageBreak/>
        <w:t>Introduction</w:t>
      </w:r>
    </w:p>
    <w:p w14:paraId="57FF1A47" w14:textId="4ACE116E" w:rsidR="004E5664" w:rsidRDefault="00076F46" w:rsidP="00F51259">
      <w:pPr>
        <w:spacing w:line="480" w:lineRule="auto"/>
        <w:jc w:val="both"/>
        <w:rPr>
          <w:rFonts w:ascii="Times New Roman"/>
          <w:sz w:val="24"/>
          <w:szCs w:val="24"/>
        </w:rPr>
      </w:pPr>
      <w:r>
        <w:rPr>
          <w:rFonts w:ascii="Times New Roman"/>
          <w:sz w:val="24"/>
          <w:szCs w:val="24"/>
        </w:rPr>
        <w:t>Frailty, the clinical condition that affects several organ systems leading to incomplete recovery from changes in health status and of which the prevalence increases on average from 3.2 at age 65-70 years to 16.3% at age 80-84 years</w:t>
      </w:r>
      <w:r w:rsidR="00C83931">
        <w:rPr>
          <w:rFonts w:ascii="Times New Roman"/>
          <w:sz w:val="24"/>
          <w:szCs w:val="24"/>
        </w:rPr>
        <w:t xml:space="preserve">, is associated with </w:t>
      </w:r>
      <w:r w:rsidR="00C83931" w:rsidRPr="00526599">
        <w:rPr>
          <w:rFonts w:ascii="Times New Roman"/>
          <w:sz w:val="24"/>
          <w:szCs w:val="24"/>
        </w:rPr>
        <w:t xml:space="preserve">adverse health outcomes </w:t>
      </w:r>
      <w:r w:rsidR="004E5664" w:rsidRPr="00526599">
        <w:rPr>
          <w:rFonts w:ascii="Times New Roman"/>
          <w:sz w:val="24"/>
          <w:szCs w:val="24"/>
        </w:rPr>
        <w:t>including falls, fractures, difficulties in activities of daily living, hospitalization and premature mortality</w:t>
      </w:r>
      <w:r w:rsidR="00C83931" w:rsidRPr="00526599">
        <w:rPr>
          <w:rFonts w:ascii="Times New Roman"/>
          <w:sz w:val="24"/>
          <w:szCs w:val="24"/>
        </w:rPr>
        <w:t xml:space="preserve"> </w:t>
      </w:r>
      <w:r w:rsidR="00426D7C" w:rsidRPr="00526599">
        <w:rPr>
          <w:rFonts w:ascii="Times New Roman"/>
          <w:sz w:val="24"/>
          <w:szCs w:val="24"/>
        </w:rPr>
        <w:fldChar w:fldCharType="begin" w:fldLock="1"/>
      </w:r>
      <w:r w:rsidR="00426D7C" w:rsidRPr="00526599">
        <w:rPr>
          <w:rFonts w:ascii="Times New Roman"/>
          <w:sz w:val="24"/>
          <w:szCs w:val="24"/>
        </w:rPr>
        <w:instrText>ADDIN CSL_CITATION { "citationItems" : [ { "id" : "ITEM-1", "itemData" : { "ISSN" : "1079-5006", "PMID" : "11253156", "abstract" : "BACKGROUND Frailty is considered highly prevalent in old age and to confer high risk for falls, disability, hospitalization, and mortality. Frailty has been considered synonymous with disability, comorbidity, and other characteristics, but it is recognized that it may have a biologic basis and be a distinct clinical syndrome. A standardized definition has not yet been established. METHODS To develop and operationalize a phenotype of frailty in older adults and assess concurrent and predictive validity, the study used data from the Cardiovascular Health Study. Participants were 5,317 men and women 65 years and older (4,735 from an original cohort recruited in 1989-90 and 582 from an African American cohort recruited in 1992-93). Both cohorts received almost identical baseline evaluations and 7 and 4 years of follow-up, respectively, with annual examinations and surveillance for outcomes including incident disease, hospitalization, falls, disability, and mortality. RESULTS Frailty was defined as a clinical syndrome in which three or more of the following criteria were present: unintentional weight loss (10 lbs in past year), self-reported exhaustion, weakness (grip strength), slow walking speed, and low physical activity. The overall prevalence of frailty in this community-dwelling population was 6.9%; it increased with age and was greater in women than men. Four-year incidence was 7.2%. Frailty was associated with being African American, having lower education and income, poorer health, and having higher rates of comorbid chronic diseases and disability. There was overlap, but not concordance, in the cooccurrence of frailty, comorbidity, and disability. This frailty phenotype was independently predictive (over 3 years) of incident falls, worsening mobility or ADL disability, hospitalization, and death, with hazard ratios ranging from 1.82 to 4.46, unadjusted, and 1.29-2.24, adjusted for a number of health, disease, and social characteristics predictive of 5-year mortality. Intermediate frailty status, as indicated by the presence of one or two criteria, showed intermediate risk of these outcomes as well as increased risk of becoming frail over 3-4 years of follow-up (odds ratios for incident frailty = 4.51 unadjusted and 2.63 adjusted for covariates, compared to those with no frailty criteria at baseline). CONCLUSIONS This study provides a potential standardized definition for frailty in community-dwelling older adults and offers concurrent and predictiv\u2026", "author" : [ { "dropping-particle" : "", "family" : "Fried", "given" : "L P", "non-dropping-particle" : "", "parse-names" : false, "suffix" : "" }, { "dropping-particle" : "", "family" : "Tangen", "given" : "C M", "non-dropping-particle" : "", "parse-names" : false, "suffix" : "" }, { "dropping-particle" : "", "family" : "Walston", "given" : "J", "non-dropping-particle" : "", "parse-names" : false, "suffix" : "" }, { "dropping-particle" : "", "family" : "Newman", "given" : "A B", "non-dropping-particle" : "", "parse-names" : false, "suffix" : "" }, { "dropping-particle" : "", "family" : "Hirsch", "given" : "C", "non-dropping-particle" : "", "parse-names" : false, "suffix" : "" }, { "dropping-particle" : "", "family" : "Gottdiener", "given" : "J", "non-dropping-particle" : "", "parse-names" : false, "suffix" : "" }, { "dropping-particle" : "", "family" : "Seeman", "given" : "T", "non-dropping-particle" : "", "parse-names" : false, "suffix" : "" }, { "dropping-particle" : "", "family" : "Tracy", "given" : "R", "non-dropping-particle" : "", "parse-names" : false, "suffix" : "" }, { "dropping-particle" : "", "family" : "Kop", "given" : "W J", "non-dropping-particle" : "", "parse-names" : false, "suffix" : "" }, { "dropping-particle" : "", "family" : "Burke", "given" : "G", "non-dropping-particle" : "", "parse-names" : false, "suffix" : "" }, { "dropping-particle" : "", "family" : "McBurnie", "given" : "M A", "non-dropping-particle" : "", "parse-names" : false, "suffix" : "" }, { "dropping-particle" : "", "family" : "Cardiovascular Health Study Collaborative Research Group", "given" : "", "non-dropping-particle" : "", "parse-names" : false, "suffix" : "" } ], "container-title" : "The journals of gerontology. Series A, Biological sciences and medical sciences", "id" : "ITEM-1", "issue" : "3", "issued" : { "date-parts" : [ [ "2001", "3" ] ] }, "page" : "M146-56", "title" : "Frailty in older adults: evidence for a phenotype.", "type" : "article-journal", "volume" : "56" }, "uris" : [ "http://www.mendeley.com/documents/?uuid=ff745cc9-864d-32b7-b1fc-a1d8ae245b60" ] }, { "id" : "ITEM-2", "itemData" : { "DOI" : "10.1016/j.jamda.2016.09.010", "ISSN" : "15258610", "PMID" : "27886869", "abstract" : "INTRODUCTION Frailty is one of the most important concerns regarding our aging population. Evidence grows that the syndrome is linked to several important health outcomes. A general overview of frailty concepts and a comprehensive meta-analysis of their relation with negative health outcomes still lacks in literature, making it difficult for health care professionals and researchers to recognize frailty and the related health risks on the one hand and on the other hand to appropriately follow up the frailty process and take substantiated action. Therefore, this study aims to give an overview of the predictive value of the main frailty concepts for negative health outcomes in community-dwelling older adults. METHODS This review and meta-analysis assembles prospective studies regarding the relation between frailty and any potential health outcome. Frailty instruments were subdivided into frailty concepts, so as to make comprehensive comparisons. Odds ratios (ORs), hazard ratios (HRs), and relative risk (RR) scores were extracted from the studies, and meta-analyses were conducted in OpenMeta Analyst software. RESULTS In total, 31 articles retrieved from PubMed, Web of Knowledge, and PsycInfo provided sufficient information for the systematic review and meta-analysis. Overall, (pre)frailty increased the likelihood for developing negative health outcomes; for example, premature mortality (OR 2.34 [1.77-3.09]; HR/RR 1.83 [1.68-1.98]), hospitalization (OR 1.82 [1.53-2.15]; HR/RR 1.18 [1.10-1.28]), or the development of disabilities in basic activities of daily living (OR 2.05 [1.73-2.44]); HR/RR 1.62 [1.50-1.76]). CONCLUSION Overall, frailty increases the risk for developing any discussed negative health outcome, with a 1.8- to 2.3-fold risk for mortality; a 1.6- to 2.0-fold risk for loss of activities of daily living; 1.2- to 1.8-fold risk for hospitalization; 1.5- to 2.6-fold risk for physical limitation; and a 1.2- to 2.8-fold risk for falls and fractures. The analyses presented in this study can be used as a guideline for the prediction of negative outcomes according to the frailty concept used, as well as to estimate the time frame within which these events can be expected to occur.", "author" : [ { "dropping-particle" : "", "family" : "Vermeiren", "given" : "Sofie", "non-dropping-particle" : "", "parse-names" : false, "suffix" : "" }, { "dropping-particle" : "", "family" : "Vella-Azzopardi", "given" : "Roberta", "non-dropping-particle" : "", "parse-names" : false, "suffix" : "" }, { "dropping-particle" : "", "family" : "Beckw\u00e9e", "given" : "David", "non-dropping-particle" : "", "parse-names" : false, "suffix" : "" }, { "dropping-particle" : "", "family" : "Habbig", "given" : "Ann-Katrin", "non-dropping-particle" : "", "parse-names" : false, "suffix" : "" }, { "dropping-particle" : "", "family" : "Scafoglieri", "given" : "Aldo", "non-dropping-particle" : "", "parse-names" : false, "suffix" : "" }, { "dropping-particle" : "", "family" : "Jansen", "given" : "Bart", "non-dropping-particle" : "", "parse-names" : false, "suffix" : "" }, { "dropping-particle" : "", "family" : "Bautmans", "given" : "Ivan", "non-dropping-particle" : "", "parse-names" : false, "suffix" : "" }, { "dropping-particle" : "", "family" : "Bautmans", "given" : "Ivan", "non-dropping-particle" : "", "parse-names" : false, "suffix" : "" }, { "dropping-particle" : "", "family" : "Vert\u00e9", "given" : "Dominque", "non-dropping-particle" : "", "parse-names" : false, "suffix" : "" }, { "dropping-particle" : "", "family" : "Beyer", "given" : "Ingo", "non-dropping-particle" : "", "parse-names" : false, "suffix" : "" }, { "dropping-particle" : "", "family" : "Petrovic", "given" : "Mirko", "non-dropping-particle" : "", "parse-names" : false, "suffix" : "" }, { "dropping-particle" : "", "family" : "Donder", "given" : "Liesbeth", "non-dropping-particle" : "De", "parse-names" : false, "suffix" : "" }, { "dropping-particle" : "", "family" : "Kardol", "given" : "Tinie", "non-dropping-particle" : "", "parse-names" : false, "suffix" : "" }, { "dropping-particle" : "", "family" : "Rossi", "given" : "Gina", "non-dropping-particle" : "", "parse-names" : false, "suffix" : "" }, { "dropping-particle" : "", "family" : "Clarys", "given" : "Peter", "non-dropping-particle" : "", "parse-names" : false, "suffix" : "" }, { "dropping-particle" : "", "family" : "Scafoglieri", "given" : "Aldo", "non-dropping-particle" : "", "parse-names" : false, "suffix" : "" }, { "dropping-particle" : "", "family" : "Cattrysse", "given" : "Eric", "non-dropping-particle" : "", "parse-names" : false, "suffix" : "" }, { "dropping-particle" : "", "family" : "Hert", "given" : "Paul", "non-dropping-particle" : "de", "parse-names" : false, "suffix" : "" }, { "dropping-particle" : "", "family" : "Jansen", "given" : "Bart", "non-dropping-particle" : "", "parse-names" : false, "suffix" : "" } ], "container-title" : "Journal of the American Medical Directors Association", "id" : "ITEM-2", "issue" : "12", "issued" : { "date-parts" : [ [ "2016", "12", "1" ] ] }, "page" : "1163.e1-1163.e17", "title" : "Frailty and the Prediction of Negative Health Outcomes: A Meta-Analysis", "type" : "article-journal", "volume" : "17" }, "uris" : [ "http://www.mendeley.com/documents/?uuid=419022d5-16ff-3885-b4a9-9ac84131befc" ] } ], "mendeley" : { "formattedCitation" : "&lt;span style=\"baseline\"&gt;(1,2)&lt;/span&gt;", "plainTextFormattedCitation" : "(1,2)", "previouslyFormattedCitation" : "&lt;span style=\"baseline\"&gt;(1,2)&lt;/span&gt;" }, "properties" : {  }, "schema" : "https://github.com/citation-style-language/schema/raw/master/csl-citation.json" }</w:instrText>
      </w:r>
      <w:r w:rsidR="00426D7C" w:rsidRPr="00526599">
        <w:rPr>
          <w:rFonts w:ascii="Times New Roman"/>
          <w:sz w:val="24"/>
          <w:szCs w:val="24"/>
        </w:rPr>
        <w:fldChar w:fldCharType="separate"/>
      </w:r>
      <w:r w:rsidR="00426D7C" w:rsidRPr="00526599">
        <w:rPr>
          <w:rFonts w:ascii="Times New Roman"/>
          <w:noProof/>
          <w:sz w:val="24"/>
          <w:szCs w:val="24"/>
        </w:rPr>
        <w:t>(1,2)</w:t>
      </w:r>
      <w:r w:rsidR="00426D7C" w:rsidRPr="00526599">
        <w:rPr>
          <w:rFonts w:ascii="Times New Roman"/>
          <w:sz w:val="24"/>
          <w:szCs w:val="24"/>
        </w:rPr>
        <w:fldChar w:fldCharType="end"/>
      </w:r>
      <w:r w:rsidR="00426D7C" w:rsidRPr="00526599">
        <w:rPr>
          <w:rFonts w:ascii="Times New Roman"/>
          <w:sz w:val="24"/>
          <w:szCs w:val="24"/>
        </w:rPr>
        <w:t>.</w:t>
      </w:r>
      <w:r w:rsidR="004E5664" w:rsidRPr="00526599">
        <w:rPr>
          <w:rFonts w:ascii="Times New Roman"/>
          <w:sz w:val="24"/>
          <w:szCs w:val="24"/>
        </w:rPr>
        <w:t xml:space="preserve"> </w:t>
      </w:r>
      <w:r w:rsidR="00C80E71" w:rsidRPr="00526599">
        <w:rPr>
          <w:rFonts w:ascii="Times New Roman"/>
          <w:sz w:val="24"/>
          <w:szCs w:val="24"/>
        </w:rPr>
        <w:t>Prevention and treatment of frailty, which have been addressed as a public health priority</w:t>
      </w:r>
      <w:r w:rsidR="0064298F" w:rsidRPr="00526599">
        <w:rPr>
          <w:rFonts w:ascii="Times New Roman"/>
          <w:sz w:val="24"/>
          <w:szCs w:val="24"/>
        </w:rPr>
        <w:t xml:space="preserve"> </w:t>
      </w:r>
      <w:r w:rsidR="0064298F" w:rsidRPr="00526599">
        <w:rPr>
          <w:rFonts w:ascii="Times New Roman"/>
          <w:sz w:val="24"/>
          <w:szCs w:val="24"/>
        </w:rPr>
        <w:fldChar w:fldCharType="begin" w:fldLock="1"/>
      </w:r>
      <w:r w:rsidR="0064298F" w:rsidRPr="00526599">
        <w:rPr>
          <w:rFonts w:ascii="Times New Roman"/>
          <w:sz w:val="24"/>
          <w:szCs w:val="24"/>
        </w:rPr>
        <w:instrText>ADDIN CSL_CITATION { "citationItems" : [ { "id" : "ITEM-1", "itemData" : { "DOI" : "10.1016/j.jamda.2015.12.016", "ISSN" : "1538-9375", "PMID" : "26805753", "abstract" : "The absolute and relative increases in the number of older persons are evident worldwide, from the most developed countries to the lowest-income regions. Multimorbidity and need for social support increase with age. Age-related conditions and, in particular, disabilities are a significant burden for the person, his or her family, and public health care systems. To guarantee the sustainability of public health systems and improve the quality of care provided, it is becoming urgent to act to prevent and delay the disabling cascade. Current evidence shows that too large a proportion of community-dwelling older people present risk factors for major health-related events and unmet clinical needs. In this scenario, the \"frailty syndrome\" is a condition of special interest. Frailty is a status of extreme vulnerability to endogenous and exogenous stressors exposing the individual to a higher risk of negative health-related outcomes. Frailty may represent a transition phase between successful aging and disability, and a condition to target for restoring robustness in the individual at risk. Given its syndromic nature, targeting frailty requires a comprehensive approach. The identification of frailty as a target for implementing preventive interventions against age-related conditions is pivotal. Every effort should be made by health care authorities to maximize efforts in this field, balancing priorities, needs, and resources. Raising awareness about frailty and age-related conditions in the population is important for effective prevention, and should lead to the promotion of lifelong healthy behaviors and lifestyle.", "author" : [ { "dropping-particle" : "", "family" : "Cesari", "given" : "Matteo", "non-dropping-particle" : "", "parse-names" : false, "suffix" : "" }, { "dropping-particle" : "", "family" : "Prince", "given" : "Martin", "non-dropping-particle" : "", "parse-names" : false, "suffix" : "" }, { "dropping-particle" : "", "family" : "Thiyagarajan", "given" : "Jotheeswaran Amuthavalli", "non-dropping-particle" : "", "parse-names" : false, "suffix" : "" }, { "dropping-particle" : "", "family" : "Carvalho", "given" : "Islene Araujo", "non-dropping-particle" : "De", "parse-names" : false, "suffix" : "" }, { "dropping-particle" : "", "family" : "Bernabei", "given" : "Roberto", "non-dropping-particle" : "", "parse-names" : false, "suffix" : "" }, { "dropping-particle" : "", "family" : "Chan", "given" : "Piu", "non-dropping-particle" : "", "parse-names" : false, "suffix" : "" }, { "dropping-particle" : "", "family" : "Gutierrez-Robledo", "given" : "Luis Miguel", "non-dropping-particle" : "", "parse-names" : false, "suffix" : "" }, { "dropping-particle" : "", "family" : "Michel", "given" : "Jean-Pierre", "non-dropping-particle" : "", "parse-names" : false, "suffix" : "" }, { "dropping-particle" : "", "family" : "Morley", "given" : "John E", "non-dropping-particle" : "", "parse-names" : false, "suffix" : "" }, { "dropping-particle" : "", "family" : "Ong", "given" : "Paul", "non-dropping-particle" : "", "parse-names" : false, "suffix" : "" }, { "dropping-particle" : "", "family" : "Rodriguez Manas", "given" : "Leocadio", "non-dropping-particle" : "", "parse-names" : false, "suffix" : "" }, { "dropping-particle" : "", "family" : "Sinclair", "given" : "Alan", "non-dropping-particle" : "", "parse-names" : false, "suffix" : "" }, { "dropping-particle" : "", "family" : "Won", "given" : "Chang Won", "non-dropping-particle" : "", "parse-names" : false, "suffix" : "" }, { "dropping-particle" : "", "family" : "Beard", "given" : "John", "non-dropping-particle" : "", "parse-names" : false, "suffix" : "" }, { "dropping-particle" : "", "family" : "Vellas", "given" : "Bruno", "non-dropping-particle" : "", "parse-names" : false, "suffix" : "" } ], "container-title" : "Journal of the American Medical Directors Association", "id" : "ITEM-1", "issue" : "3", "issued" : { "date-parts" : [ [ "2016", "3", "1" ] ] }, "page" : "188-92", "title" : "Frailty: An Emerging Public Health Priority.", "type" : "article-journal", "volume" : "17" }, "uris" : [ "http://www.mendeley.com/documents/?uuid=bfb43579-a966-3a6a-979f-c465b8fde4a7" ] } ], "mendeley" : { "formattedCitation" : "&lt;span style=\"baseline\"&gt;(3)&lt;/span&gt;", "plainTextFormattedCitation" : "(3)", "previouslyFormattedCitation" : "&lt;span style=\"baseline\"&gt;(3)&lt;/span&gt;" }, "properties" : {  }, "schema" : "https://github.com/citation-style-language/schema/raw/master/csl-citation.json" }</w:instrText>
      </w:r>
      <w:r w:rsidR="0064298F" w:rsidRPr="00526599">
        <w:rPr>
          <w:rFonts w:ascii="Times New Roman"/>
          <w:sz w:val="24"/>
          <w:szCs w:val="24"/>
        </w:rPr>
        <w:fldChar w:fldCharType="separate"/>
      </w:r>
      <w:r w:rsidR="0064298F" w:rsidRPr="00526599">
        <w:rPr>
          <w:rFonts w:ascii="Times New Roman"/>
          <w:noProof/>
          <w:sz w:val="24"/>
          <w:szCs w:val="24"/>
        </w:rPr>
        <w:t>(3)</w:t>
      </w:r>
      <w:r w:rsidR="0064298F" w:rsidRPr="00526599">
        <w:rPr>
          <w:rFonts w:ascii="Times New Roman"/>
          <w:sz w:val="24"/>
          <w:szCs w:val="24"/>
        </w:rPr>
        <w:fldChar w:fldCharType="end"/>
      </w:r>
      <w:r w:rsidR="00C80E71" w:rsidRPr="00526599">
        <w:rPr>
          <w:rFonts w:ascii="Times New Roman"/>
          <w:sz w:val="24"/>
          <w:szCs w:val="24"/>
        </w:rPr>
        <w:t xml:space="preserve">, require a life course perspective </w:t>
      </w:r>
      <w:r w:rsidR="00136927" w:rsidRPr="00526599">
        <w:rPr>
          <w:rFonts w:ascii="Times New Roman"/>
          <w:sz w:val="24"/>
          <w:szCs w:val="24"/>
        </w:rPr>
        <w:t>for</w:t>
      </w:r>
      <w:r w:rsidR="00C80E71" w:rsidRPr="00526599">
        <w:rPr>
          <w:rFonts w:ascii="Times New Roman"/>
          <w:sz w:val="24"/>
          <w:szCs w:val="24"/>
        </w:rPr>
        <w:t xml:space="preserve"> the understanding of its long-term dynamic development</w:t>
      </w:r>
      <w:r w:rsidR="00370CE4" w:rsidRPr="00526599">
        <w:rPr>
          <w:rFonts w:ascii="Times New Roman"/>
          <w:sz w:val="24"/>
          <w:szCs w:val="24"/>
        </w:rPr>
        <w:t xml:space="preserve"> </w:t>
      </w:r>
      <w:r w:rsidR="00370CE4" w:rsidRPr="00526599">
        <w:rPr>
          <w:rFonts w:ascii="Times New Roman"/>
          <w:sz w:val="24"/>
          <w:szCs w:val="24"/>
        </w:rPr>
        <w:fldChar w:fldCharType="begin" w:fldLock="1"/>
      </w:r>
      <w:r w:rsidR="00370CE4" w:rsidRPr="00526599">
        <w:rPr>
          <w:rFonts w:ascii="Times New Roman"/>
          <w:sz w:val="24"/>
          <w:szCs w:val="24"/>
        </w:rPr>
        <w:instrText>ADDIN CSL_CITATION { "citationItems" : [ { "id" : "ITEM-1", "itemData" : { "ISSN" : "1079-5006", "PMID" : "17634317", "author" : [ { "dropping-particle" : "", "family" : "Kuh", "given" : "Diana", "non-dropping-particle" : "", "parse-names" : false, "suffix" : "" }, { "dropping-particle" : "", "family" : "New Dynamics of Ageing (NDA) Preparatory Network", "given" : "", "non-dropping-particle" : "", "parse-names" : false, "suffix" : "" } ], "container-title" : "The journals of gerontology. Series A, Biological sciences and medical sciences", "id" : "ITEM-1", "issue" : "7", "issued" : { "date-parts" : [ [ "2007", "7" ] ] }, "page" : "717-21", "title" : "A life course approach to healthy aging, frailty, and capability.", "type" : "article-journal", "volume" : "62" }, "uris" : [ "http://www.mendeley.com/documents/?uuid=579609f4-2393-38ea-bc27-f1e27af29a32" ] } ], "mendeley" : { "formattedCitation" : "&lt;span style=\"baseline\"&gt;(4)&lt;/span&gt;", "plainTextFormattedCitation" : "(4)", "previouslyFormattedCitation" : "&lt;span style=\"baseline\"&gt;(4)&lt;/span&gt;" }, "properties" : {  }, "schema" : "https://github.com/citation-style-language/schema/raw/master/csl-citation.json" }</w:instrText>
      </w:r>
      <w:r w:rsidR="00370CE4" w:rsidRPr="00526599">
        <w:rPr>
          <w:rFonts w:ascii="Times New Roman"/>
          <w:sz w:val="24"/>
          <w:szCs w:val="24"/>
        </w:rPr>
        <w:fldChar w:fldCharType="separate"/>
      </w:r>
      <w:r w:rsidR="00370CE4" w:rsidRPr="00526599">
        <w:rPr>
          <w:rFonts w:ascii="Times New Roman"/>
          <w:noProof/>
          <w:sz w:val="24"/>
          <w:szCs w:val="24"/>
        </w:rPr>
        <w:t>(4)</w:t>
      </w:r>
      <w:r w:rsidR="00370CE4" w:rsidRPr="00526599">
        <w:rPr>
          <w:rFonts w:ascii="Times New Roman"/>
          <w:sz w:val="24"/>
          <w:szCs w:val="24"/>
        </w:rPr>
        <w:fldChar w:fldCharType="end"/>
      </w:r>
      <w:r w:rsidR="00C80E71" w:rsidRPr="00526599">
        <w:rPr>
          <w:rFonts w:ascii="Times New Roman"/>
          <w:sz w:val="24"/>
          <w:szCs w:val="24"/>
        </w:rPr>
        <w:t>.</w:t>
      </w:r>
      <w:r w:rsidR="00C80E71">
        <w:rPr>
          <w:rFonts w:ascii="Times New Roman"/>
          <w:sz w:val="24"/>
          <w:szCs w:val="24"/>
        </w:rPr>
        <w:t xml:space="preserve"> </w:t>
      </w:r>
    </w:p>
    <w:p w14:paraId="5D801513" w14:textId="39C47C70" w:rsidR="008014C0" w:rsidRDefault="00C83931" w:rsidP="00F51259">
      <w:pPr>
        <w:spacing w:line="480" w:lineRule="auto"/>
        <w:jc w:val="both"/>
        <w:rPr>
          <w:rFonts w:ascii="Times New Roman"/>
          <w:sz w:val="24"/>
          <w:szCs w:val="24"/>
        </w:rPr>
      </w:pPr>
      <w:r>
        <w:rPr>
          <w:rFonts w:ascii="Times New Roman"/>
          <w:sz w:val="24"/>
          <w:szCs w:val="24"/>
        </w:rPr>
        <w:t>Life course studies have indicated that chronic diseases such as hypertension, cardiovascular disease and type 2 diabetes, have in addition</w:t>
      </w:r>
      <w:r w:rsidR="00D0194A">
        <w:rPr>
          <w:rFonts w:ascii="Times New Roman"/>
          <w:sz w:val="24"/>
          <w:szCs w:val="24"/>
        </w:rPr>
        <w:t xml:space="preserve"> to</w:t>
      </w:r>
      <w:r>
        <w:rPr>
          <w:rFonts w:ascii="Times New Roman"/>
          <w:sz w:val="24"/>
          <w:szCs w:val="24"/>
        </w:rPr>
        <w:t xml:space="preserve"> risk factors related to adult lifestyle, risk factors originating from infancy and childhood as a </w:t>
      </w:r>
      <w:r w:rsidR="004770F4">
        <w:rPr>
          <w:rFonts w:ascii="Times New Roman"/>
          <w:sz w:val="24"/>
          <w:szCs w:val="24"/>
        </w:rPr>
        <w:t>consequence</w:t>
      </w:r>
      <w:r>
        <w:rPr>
          <w:rFonts w:ascii="Times New Roman"/>
          <w:sz w:val="24"/>
          <w:szCs w:val="24"/>
        </w:rPr>
        <w:t xml:space="preserve"> of the phenomenon known as “programming” </w:t>
      </w:r>
      <w:r>
        <w:rPr>
          <w:rFonts w:ascii="Times New Roman"/>
          <w:sz w:val="24"/>
          <w:szCs w:val="24"/>
        </w:rPr>
        <w:fldChar w:fldCharType="begin" w:fldLock="1"/>
      </w:r>
      <w:r w:rsidR="00370CE4">
        <w:rPr>
          <w:rFonts w:ascii="Times New Roman"/>
          <w:sz w:val="24"/>
          <w:szCs w:val="24"/>
        </w:rPr>
        <w:instrText>ADDIN CSL_CITATION { "citationItems" : [ { "id" : "ITEM-1", "itemData" : { "DOI" : "10.1056/NEJMoa044160", "ISSN" : "1533-4406", "PMID" : "16251536", "abstract" : "BACKGROUND Low birth weight is a risk factor for coronary heart disease. It is uncertain how postnatal growth affects disease risk. METHODS We studied 8760 people born in Helsinki from 1934 through 1944. Childhood growth had been recorded. A total of 357 men and 87 women had been admitted to the hospital with coronary heart disease or had died from the disease. Coronary risk factors were measured in a subset of 2003 people. RESULTS The mean body size of children who had coronary events as adults was below average at birth. At two years of age the children were thin; subsequently, their body-mass index (BMI) increased relative to that of other children and had reached average values by 11 years of age. In simultaneous regressions, the hazard ratios associated with a 1 SD increase in BMI were 0.76 (95 percent confidence interval, 0.66 to 0.87; P&lt;0.001) at 2 years and 1.14 (95 percent confidence interval, 1.00 to 1.31; P=0.05) at 11 years among the boys. The corresponding figures for the girls were 0.62 (95 percent confidence interval, 0.46 to 0.82; P=0.001) and 1.35 (95 percent confidence interval, 1.02 to 1.78; P=0.04). Low BMI at 2 years of age and increased BMI from 2 to 11 years of age were also associated with raised fasting insulin concentrations (P&lt;0.001 for both). CONCLUSIONS On average, adults who had a coronary event had been small at birth and thin at two years of age and thereafter put on weight rapidly. This pattern of growth during childhood was associated with insulin resistance in later life. The risk of coronary events was more strongly related to the tempo of childhood gain in BMI than to the BMI attained at any particular age.", "author" : [ { "dropping-particle" : "", "family" : "Barker", "given" : "David J P", "non-dropping-particle" : "", "parse-names" : false, "suffix" : "" }, { "dropping-particle" : "", "family" : "Osmond", "given" : "Clive", "non-dropping-particle" : "", "parse-names" : false, "suffix" : "" }, { "dropping-particle" : "", "family" : "Fors\u00e9n", "given" : "Tom J", "non-dropping-particle" : "", "parse-names" : false, "suffix" : "" }, { "dropping-particle" : "", "family" : "Kajantie", "given" : "Eero", "non-dropping-particle" : "", "parse-names" : false, "suffix" : "" }, { "dropping-particle" : "", "family" : "Eriksson", "given" : "Johan G", "non-dropping-particle" : "", "parse-names" : false, "suffix" : "" } ], "container-title" : "The New England journal of medicine", "id" : "ITEM-1", "issue" : "17", "issued" : { "date-parts" : [ [ "2005", "10", "27" ] ] }, "page" : "1802-9", "title" : "Trajectories of growth among children who have coronary events as adults.", "type" : "article-journal", "volume" : "353" }, "uris" : [ "http://www.mendeley.com/documents/?uuid=77b4f2f8-6018-3c91-b54e-f97219a2c56e" ] }, { "id" : "ITEM-2", "itemData" : { "DOI" : "10.1080/03014460902980295", "ISSN" : "1464-5033", "PMID" : "19562567", "abstract" : "There is now clear evidence that the pace and pathway of early growth is a major risk factor for the development of a group of chronic diseases that include coronary heart disease, stroke, type 2 diabetes and hypertension. This has led to a new 'developmental' model for these disorders. The so-called 'fetal origins hypothesis' proposes that the disorders originate through developmental plasticity, whereby malnutrition during fetal life, infancy and early childhood permanently change the structure and function of the body, a phenomenon known as 'programming'. This paper reviews recent findings in the Helsinki Birth Cohort, which comprises 13 345 men and women born in the city during 1934-1944. There is also an older cohort comprising 7086 people born during 1924-1933. We review the paths of pre- and postnatal growth that lead to later disease. Children who later develop coronary heart disease and type 2 diabetes grow slowly during fetal life and infancy but thereafter increase their body mass indices rapidly. Those who later develop stroke grow slowly in fetal life, infancy and during childhood. We also review how the growth of girls during infancy, childhood and at puberty influences chronic disease in the next generation.", "author" : [ { "dropping-particle" : "", "family" : "Barker", "given" : "David J P", "non-dropping-particle" : "", "parse-names" : false, "suffix" : "" }, { "dropping-particle" : "", "family" : "Osmond", "given" : "Clive", "non-dropping-particle" : "", "parse-names" : false, "suffix" : "" }, { "dropping-particle" : "", "family" : "Kajantie", "given" : "Eero", "non-dropping-particle" : "", "parse-names" : false, "suffix" : "" }, { "dropping-particle" : "", "family" : "Eriksson", "given" : "Johan G", "non-dropping-particle" : "", "parse-names" : false, "suffix" : "" } ], "container-title" : "Annals of human biology", "id" : "ITEM-2", "issue" : "5", "issued" : { "date-parts" : [ [ "2009", "1", "9" ] ] }, "page" : "445-58", "title" : "Growth and chronic disease: findings in the Helsinki Birth Cohort.", "type" : "article-journal", "volume" : "36" }, "uris" : [ "http://www.mendeley.com/documents/?uuid=47cb0ac4-7507-3544-96d4-3ee79b2f10b2" ] } ], "mendeley" : { "formattedCitation" : "&lt;span style=\"baseline\"&gt;(5,6)&lt;/span&gt;", "plainTextFormattedCitation" : "(5,6)", "previouslyFormattedCitation" : "&lt;span style=\"baseline\"&gt;(5,6)&lt;/span&gt;" }, "properties" : {  }, "schema" : "https://github.com/citation-style-language/schema/raw/master/csl-citation.json" }</w:instrText>
      </w:r>
      <w:r>
        <w:rPr>
          <w:rFonts w:ascii="Times New Roman"/>
          <w:sz w:val="24"/>
          <w:szCs w:val="24"/>
        </w:rPr>
        <w:fldChar w:fldCharType="separate"/>
      </w:r>
      <w:r w:rsidR="00370CE4" w:rsidRPr="00370CE4">
        <w:rPr>
          <w:rFonts w:ascii="Times New Roman"/>
          <w:noProof/>
          <w:sz w:val="24"/>
          <w:szCs w:val="24"/>
        </w:rPr>
        <w:t>(5,6)</w:t>
      </w:r>
      <w:r>
        <w:rPr>
          <w:rFonts w:ascii="Times New Roman"/>
          <w:sz w:val="24"/>
          <w:szCs w:val="24"/>
        </w:rPr>
        <w:fldChar w:fldCharType="end"/>
      </w:r>
      <w:r>
        <w:rPr>
          <w:rFonts w:ascii="Times New Roman"/>
          <w:sz w:val="24"/>
          <w:szCs w:val="24"/>
        </w:rPr>
        <w:t xml:space="preserve">. Although studies examining the associations of early growth and the individual components of frailty such as grip strength and physical performance exist, research into the early life origins of the condition as a whole are scarce </w:t>
      </w:r>
      <w:r w:rsidR="003A3598">
        <w:rPr>
          <w:rFonts w:ascii="Times New Roman"/>
          <w:sz w:val="24"/>
          <w:szCs w:val="24"/>
        </w:rPr>
        <w:fldChar w:fldCharType="begin" w:fldLock="1"/>
      </w:r>
      <w:r w:rsidR="00370CE4">
        <w:rPr>
          <w:rFonts w:ascii="Times New Roman"/>
          <w:sz w:val="24"/>
          <w:szCs w:val="24"/>
        </w:rPr>
        <w:instrText>ADDIN CSL_CITATION { "citationItems" : [ { "id" : "ITEM-1", "itemData" : { "DOI" : "10.1007/s11357-015-9846-1", "ISSN" : "1574-4647", "PMID" : "26499818", "abstract" : "Health in adulthood is in part a consequence of development and growth taking place during sensitive periods in early life. It has not been explored previously whether early growth is associated with physical performance in old age from a life course perspective taking into account health-related behavior, biological risk factors, and early life experiences. At a mean age of 71 years, physical performance was assessed using the Senior Fitness Test (SFT) in 1078 individuals belonging to the Helsinki Birth Cohort Study. We used multiple linear regression analysis to assess the association between the SFT physical fitness scores and individual life course measurements. Several adult characteristics were associated with physical performance including socioeconomic status, lifestyle factors, and adult anthropometry. Higher birth weight and length were associated with better physical performance, even after adjusting for potential confounders (all p values &lt;0.05). The strongest individual association between life course measurements and physical performance in old age was found for adult body fat percentage. However, prenatal growth was independently associated with physical performance seven decades later. These findings suggest that physical performance in old age is at least partly programmed in early life.", "author" : [ { "dropping-particle" : "", "family" : "Eriksson", "given" : "Johan G", "non-dropping-particle" : "", "parse-names" : false, "suffix" : "" }, { "dropping-particle" : "", "family" : "Osmond", "given" : "Clive", "non-dropping-particle" : "", "parse-names" : false, "suffix" : "" }, { "dropping-particle" : "", "family" : "Per\u00e4l\u00e4", "given" : "Mia-Maria", "non-dropping-particle" : "", "parse-names" : false, "suffix" : "" }, { "dropping-particle" : "", "family" : "Salonen", "given" : "Minna K", "non-dropping-particle" : "", "parse-names" : false, "suffix" : "" }, { "dropping-particle" : "", "family" : "Simonen", "given" : "Mika", "non-dropping-particle" : "", "parse-names" : false, "suffix" : "" }, { "dropping-particle" : "", "family" : "Pohjolainen", "given" : "Pertti", "non-dropping-particle" : "", "parse-names" : false, "suffix" : "" }, { "dropping-particle" : "", "family" : "Kajantie", "given" : "Eero", "non-dropping-particle" : "", "parse-names" : false, "suffix" : "" }, { "dropping-particle" : "", "family" : "Rantanen", "given" : "Taina", "non-dropping-particle" : "", "parse-names" : false, "suffix" : "" }, { "dropping-particle" : "", "family" : "Bonsdorff", "given" : "Mikaela B", "non-dropping-particle" : "von", "parse-names" : false, "suffix" : "" } ], "container-title" : "Age (Dordrecht, Netherlands)", "id" : "ITEM-1", "issue" : "6", "issued" : { "date-parts" : [ [ "2015", "12", "24" ] ] }, "page" : "108", "title" : "Prenatal and childhood growth and physical performance in old age--findings from the Helsinki Birth Cohort Study 1934-1944.", "type" : "article-journal", "volume" : "37" }, "uris" : [ "http://www.mendeley.com/documents/?uuid=35f7d9b7-204a-30ce-983c-352383bbbcf4" ] }, { "id" : "ITEM-2", "itemData" : { "DOI" : "10.1159/000174823", "ISSN" : "1423-0003", "PMID" : "19018124", "abstract" : "BACKGROUND Reduced physical performance and physical activity have serious health consequences, but adult determinants do not fully explain variation in older people. OBJECTIVE Our objective was to investigate the relationship between early growth, physical performance and physical activity in older people. METHODS We studied 349 men and 280 women born 1931-1939 with known birth weight and weight at 1 year who were taking part in the Hertfordshire Cohort Study, UK. Physical performance was measured (3-m walk, chair rises and standing balance) and physical activity was assessed by questionnaire and converted to estimated energy expenditure. RESULTS Poor balance was associated with lower birth weight (odds ratio [OR] for poor balance per standard deviation [SD] increase in birth weight = 0.68, p=0.01) and weight at 1 year (OR for poor balance per SD increase in weight at 1 year=0.67, p=0.03) after adjustment for age and current size in men, but not in women. There were no significant positive relationships between early size and growth and the other measures of physical performance or physical activity in men or women. CONCLUSION Current lifestyle factors, particularly those affecting adult weight, may be more important than developmental influences on most measures of physical performance and physical activity in older people.", "author" : [ { "dropping-particle" : "", "family" : "Martin", "given" : "H J", "non-dropping-particle" : "", "parse-names" : false, "suffix" : "" }, { "dropping-particle" : "", "family" : "Syddall", "given" : "H E", "non-dropping-particle" : "", "parse-names" : false, "suffix" : "" }, { "dropping-particle" : "", "family" : "Dennison", "given" : "E M", "non-dropping-particle" : "", "parse-names" : false, "suffix" : "" }, { "dropping-particle" : "", "family" : "Cooper", "given" : "C", "non-dropping-particle" : "", "parse-names" : false, "suffix" : "" }, { "dropping-particle" : "", "family" : "Sayer", "given" : "A Aihie", "non-dropping-particle" : "", "parse-names" : false, "suffix" : "" } ], "container-title" : "Gerontology", "id" : "ITEM-2", "issue" : "2", "issued" : { "date-parts" : [ [ "2009", "11", "18" ] ] }, "page" : "186-93", "title" : "Physical performance and physical activity in older people: are developmental influences important?", "type" : "article-journal", "volume" : "55" }, "uris" : [ "http://www.mendeley.com/documents/?uuid=12d667e5-07f3-3aef-9556-0c6263243d2b" ] }, { "id" : "ITEM-3", "itemData" : { "ISSN" : "1079-5006", "PMID" : "16870632", "abstract" : "BACKGROUND There is growing evidence that the prenatal environment has long-term effects on adult grip strength, but little is known about the effects of the postnatal environment. We tested whether prepubertal growth, pubertal growth, or the development of motor and cognitive capabilities was associated with midlife muscle strength independently of other determinants of grip strength. METHODS Handgrip strength and body size were measured in a representative British sample of 1406 men and 1444 women 53 years old with prospective childhood data. Normal regression models were used to examine the effects of birth weight, postnatal height and weight gain before 7 years and between 7 and 15 years, motor milestones and cognitive ability on grip strength at age 53, taking account of lifetime social class, current physical activity, and health status. RESULTS Birth weight and prepubertal height gain were associated with midlife grip strength, independently of later weight and height gain and other determinants. Pubertal growth was also independently associated with midlife grip strength; for men weight gain during puberty was beneficial, whereas for women it was height gain. Those participants with earlier infant motor development had better midlife grip strength, which was partly confounded by the growth trajectory. CONCLUSIONS This study showed that components of prenatal, prepubertal, and pubertal growth have long-term effects on midlife grip strength. To the extent that these associations are modifiable, interventions in childhood that help to build muscle mass and strength, such as increased physical exercise, may have long-term beneficial effects on adult muscle strength and may help to prevent sarcopenia, disability, and frailty in later life.", "author" : [ { "dropping-particle" : "", "family" : "Kuh", "given" : "Diana", "non-dropping-particle" : "", "parse-names" : false, "suffix" : "" }, { "dropping-particle" : "", "family" : "Hardy", "given" : "Rebecca", "non-dropping-particle" : "", "parse-names" : false, "suffix" : "" }, { "dropping-particle" : "", "family" : "Butterworth", "given" : "Suzanne", "non-dropping-particle" : "", "parse-names" : false, "suffix" : "" }, { "dropping-particle" : "", "family" : "Okell", "given" : "Lucy", "non-dropping-particle" : "", "parse-names" : false, "suffix" : "" }, { "dropping-particle" : "", "family" : "Wadsworth", "given" : "Michael", "non-dropping-particle" : "", "parse-names" : false, "suffix" : "" }, { "dropping-particle" : "", "family" : "Cooper", "given" : "Cyrus", "non-dropping-particle" : "", "parse-names" : false, "suffix" : "" }, { "dropping-particle" : "", "family" : "Aihie Sayer", "given" : "Avan", "non-dropping-particle" : "", "parse-names" : false, "suffix" : "" } ], "container-title" : "The journals of gerontology. Series A, Biological sciences and medical sciences", "id" : "ITEM-3", "issue" : "7", "issued" : { "date-parts" : [ [ "2006", "7" ] ] }, "page" : "702-6", "title" : "Developmental origins of midlife grip strength: findings from a birth cohort study.", "type" : "article-journal", "volume" : "61" }, "uris" : [ "http://www.mendeley.com/documents/?uuid=8406ae41-4a08-3f97-aa96-97c34e40ab99" ] } ], "mendeley" : { "formattedCitation" : "&lt;span style=\"baseline\"&gt;(7\u20139)&lt;/span&gt;", "plainTextFormattedCitation" : "(7\u20139)", "previouslyFormattedCitation" : "&lt;span style=\"baseline\"&gt;(7\u20139)&lt;/span&gt;" }, "properties" : {  }, "schema" : "https://github.com/citation-style-language/schema/raw/master/csl-citation.json" }</w:instrText>
      </w:r>
      <w:r w:rsidR="003A3598">
        <w:rPr>
          <w:rFonts w:ascii="Times New Roman"/>
          <w:sz w:val="24"/>
          <w:szCs w:val="24"/>
        </w:rPr>
        <w:fldChar w:fldCharType="separate"/>
      </w:r>
      <w:r w:rsidR="00370CE4" w:rsidRPr="00370CE4">
        <w:rPr>
          <w:rFonts w:ascii="Times New Roman"/>
          <w:noProof/>
          <w:sz w:val="24"/>
          <w:szCs w:val="24"/>
        </w:rPr>
        <w:t>(7–9)</w:t>
      </w:r>
      <w:r w:rsidR="003A3598">
        <w:rPr>
          <w:rFonts w:ascii="Times New Roman"/>
          <w:sz w:val="24"/>
          <w:szCs w:val="24"/>
        </w:rPr>
        <w:fldChar w:fldCharType="end"/>
      </w:r>
      <w:r>
        <w:rPr>
          <w:rFonts w:ascii="Times New Roman"/>
          <w:sz w:val="24"/>
          <w:szCs w:val="24"/>
        </w:rPr>
        <w:t xml:space="preserve">. </w:t>
      </w:r>
      <w:r w:rsidR="00240EFD">
        <w:rPr>
          <w:rFonts w:ascii="Times New Roman"/>
          <w:sz w:val="24"/>
          <w:szCs w:val="24"/>
        </w:rPr>
        <w:t xml:space="preserve">An association between body size at birth and frailty at the mean age of 71 years has been </w:t>
      </w:r>
      <w:r w:rsidR="004770F4">
        <w:rPr>
          <w:rFonts w:ascii="Times New Roman"/>
          <w:sz w:val="24"/>
          <w:szCs w:val="24"/>
        </w:rPr>
        <w:t>reported</w:t>
      </w:r>
      <w:r w:rsidR="00240EFD">
        <w:rPr>
          <w:rFonts w:ascii="Times New Roman"/>
          <w:sz w:val="24"/>
          <w:szCs w:val="24"/>
        </w:rPr>
        <w:t xml:space="preserve"> previously in the Helsinki Birth Cohort Study (HBCS)</w:t>
      </w:r>
      <w:r w:rsidR="00531EFB">
        <w:rPr>
          <w:rFonts w:ascii="Times New Roman"/>
          <w:sz w:val="24"/>
          <w:szCs w:val="24"/>
        </w:rPr>
        <w:t xml:space="preserve"> </w:t>
      </w:r>
      <w:r w:rsidR="009B0B39">
        <w:rPr>
          <w:rFonts w:ascii="Times New Roman"/>
          <w:sz w:val="24"/>
          <w:szCs w:val="24"/>
        </w:rPr>
        <w:fldChar w:fldCharType="begin" w:fldLock="1"/>
      </w:r>
      <w:r w:rsidR="00370CE4">
        <w:rPr>
          <w:rFonts w:ascii="Times New Roman"/>
          <w:sz w:val="24"/>
          <w:szCs w:val="24"/>
        </w:rPr>
        <w:instrText>ADDIN CSL_CITATION { "citationItems" : [ { "id" : "ITEM-1", "itemData" : { "author" : [ { "dropping-particle" : "", "family" : "Haapanen", "given" : "M J", "non-dropping-particle" : "", "parse-names" : false, "suffix" : "" }, { "dropping-particle" : "", "family" : "Per\u00e4l\u00e4", "given" : "M-M", "non-dropping-particle" : "", "parse-names" : false, "suffix" : "" }, { "dropping-particle" : "", "family" : "Salonen", "given" : "M K", "non-dropping-particle" : "", "parse-names" : false, "suffix" : "" }, { "dropping-particle" : "", "family" : "Kajantie", "given" : "E", "non-dropping-particle" : "", "parse-names" : false, "suffix" : "" }, { "dropping-particle" : "", "family" : "Simonen", "given" : "M", "non-dropping-particle" : "", "parse-names" : false, "suffix" : "" }, { "dropping-particle" : "", "family" : "Pohjolainen", "given" : "P", "non-dropping-particle" : "", "parse-names" : false, "suffix" : "" }, { "dropping-particle" : "", "family" : "Eriksson", "given" : "J G", "non-dropping-particle" : "", "parse-names" : false, "suffix" : "" }, { "dropping-particle" : "", "family" : "Bonsdorff", "given" : "M B", "non-dropping-particle" : "von", "parse-names" : false, "suffix" : "" } ], "container-title" : "Age and ageing", "id" : "ITEM-1", "issued" : { "date-parts" : [ [ "0" ] ] }, "title" : "Early life determinants of frailty in old age: The Helsinki Birth Cohort Study", "type" : "article-journal", "volume" : "In press" }, "uris" : [ "http://www.mendeley.com/documents/?uuid=2e70a79a-9359-44dd-a16f-6dd179b3883d" ] } ], "mendeley" : { "formattedCitation" : "&lt;span style=\"baseline\"&gt;(10)&lt;/span&gt;", "plainTextFormattedCitation" : "(10)", "previouslyFormattedCitation" : "&lt;span style=\"baseline\"&gt;(10)&lt;/span&gt;" }, "properties" : {  }, "schema" : "https://github.com/citation-style-language/schema/raw/master/csl-citation.json" }</w:instrText>
      </w:r>
      <w:r w:rsidR="009B0B39">
        <w:rPr>
          <w:rFonts w:ascii="Times New Roman"/>
          <w:sz w:val="24"/>
          <w:szCs w:val="24"/>
        </w:rPr>
        <w:fldChar w:fldCharType="separate"/>
      </w:r>
      <w:r w:rsidR="00370CE4" w:rsidRPr="00370CE4">
        <w:rPr>
          <w:rFonts w:ascii="Times New Roman"/>
          <w:noProof/>
          <w:sz w:val="24"/>
          <w:szCs w:val="24"/>
        </w:rPr>
        <w:t>(10)</w:t>
      </w:r>
      <w:r w:rsidR="009B0B39">
        <w:rPr>
          <w:rFonts w:ascii="Times New Roman"/>
          <w:sz w:val="24"/>
          <w:szCs w:val="24"/>
        </w:rPr>
        <w:fldChar w:fldCharType="end"/>
      </w:r>
      <w:r w:rsidR="005F39E5">
        <w:rPr>
          <w:rFonts w:ascii="Times New Roman"/>
          <w:sz w:val="24"/>
          <w:szCs w:val="24"/>
        </w:rPr>
        <w:t xml:space="preserve">, yet little is known </w:t>
      </w:r>
      <w:r w:rsidR="00D75813">
        <w:rPr>
          <w:rFonts w:ascii="Times New Roman"/>
          <w:sz w:val="24"/>
          <w:szCs w:val="24"/>
        </w:rPr>
        <w:t>whether</w:t>
      </w:r>
      <w:r w:rsidR="005F39E5">
        <w:rPr>
          <w:rFonts w:ascii="Times New Roman"/>
          <w:sz w:val="24"/>
          <w:szCs w:val="24"/>
        </w:rPr>
        <w:t xml:space="preserve"> </w:t>
      </w:r>
      <w:r w:rsidR="009B1DEB">
        <w:rPr>
          <w:rFonts w:ascii="Times New Roman"/>
          <w:sz w:val="24"/>
          <w:szCs w:val="24"/>
        </w:rPr>
        <w:t>size and</w:t>
      </w:r>
      <w:r w:rsidR="005F39E5">
        <w:rPr>
          <w:rFonts w:ascii="Times New Roman"/>
          <w:sz w:val="24"/>
          <w:szCs w:val="24"/>
        </w:rPr>
        <w:t xml:space="preserve"> growth later in infancy and childhood </w:t>
      </w:r>
      <w:r w:rsidR="00D75813">
        <w:rPr>
          <w:rFonts w:ascii="Times New Roman"/>
          <w:sz w:val="24"/>
          <w:szCs w:val="24"/>
        </w:rPr>
        <w:t>are associated with</w:t>
      </w:r>
      <w:r w:rsidR="00531EFB">
        <w:rPr>
          <w:rFonts w:ascii="Times New Roman"/>
          <w:sz w:val="24"/>
          <w:szCs w:val="24"/>
        </w:rPr>
        <w:t xml:space="preserve"> frailty.</w:t>
      </w:r>
      <w:r w:rsidR="004C623A">
        <w:rPr>
          <w:rFonts w:ascii="Times New Roman"/>
          <w:sz w:val="24"/>
          <w:szCs w:val="24"/>
        </w:rPr>
        <w:t xml:space="preserve"> Therefore, </w:t>
      </w:r>
      <w:r w:rsidR="00E915FE">
        <w:rPr>
          <w:rFonts w:ascii="Times New Roman"/>
          <w:sz w:val="24"/>
          <w:szCs w:val="24"/>
        </w:rPr>
        <w:t>using unique data on growth</w:t>
      </w:r>
      <w:r w:rsidR="00862DD1">
        <w:rPr>
          <w:rFonts w:ascii="Times New Roman"/>
          <w:sz w:val="24"/>
          <w:szCs w:val="24"/>
        </w:rPr>
        <w:t>,</w:t>
      </w:r>
      <w:r w:rsidR="00E915FE">
        <w:rPr>
          <w:rFonts w:ascii="Times New Roman"/>
          <w:sz w:val="24"/>
          <w:szCs w:val="24"/>
        </w:rPr>
        <w:t xml:space="preserve"> </w:t>
      </w:r>
      <w:r w:rsidR="004C623A">
        <w:rPr>
          <w:rFonts w:ascii="Times New Roman"/>
          <w:sz w:val="24"/>
          <w:szCs w:val="24"/>
        </w:rPr>
        <w:t xml:space="preserve">we investigated the association between size and growth in </w:t>
      </w:r>
      <w:r w:rsidR="00B37DE8">
        <w:rPr>
          <w:rFonts w:ascii="Times New Roman"/>
          <w:sz w:val="24"/>
          <w:szCs w:val="24"/>
        </w:rPr>
        <w:t>infancy and childhood and frailty in the HBCS.</w:t>
      </w:r>
    </w:p>
    <w:p w14:paraId="73E5AA82" w14:textId="77777777" w:rsidR="00F51259" w:rsidRDefault="00F51259" w:rsidP="00F51259">
      <w:pPr>
        <w:spacing w:line="480" w:lineRule="auto"/>
        <w:jc w:val="both"/>
        <w:rPr>
          <w:rFonts w:ascii="Times New Roman"/>
          <w:b/>
          <w:sz w:val="24"/>
          <w:szCs w:val="24"/>
        </w:rPr>
      </w:pPr>
      <w:r>
        <w:rPr>
          <w:rFonts w:ascii="Times New Roman"/>
          <w:b/>
          <w:sz w:val="24"/>
          <w:szCs w:val="24"/>
        </w:rPr>
        <w:t>Materials and methods</w:t>
      </w:r>
    </w:p>
    <w:p w14:paraId="4CCB2FF1" w14:textId="77777777" w:rsidR="00F51259" w:rsidRPr="001E2047" w:rsidRDefault="00F51259" w:rsidP="00F51259">
      <w:pPr>
        <w:spacing w:line="480" w:lineRule="auto"/>
        <w:jc w:val="both"/>
        <w:rPr>
          <w:rFonts w:ascii="Times New Roman"/>
          <w:i/>
          <w:sz w:val="24"/>
          <w:szCs w:val="24"/>
        </w:rPr>
      </w:pPr>
      <w:r>
        <w:rPr>
          <w:rFonts w:ascii="Times New Roman"/>
          <w:i/>
          <w:sz w:val="24"/>
          <w:szCs w:val="24"/>
        </w:rPr>
        <w:t>Study design</w:t>
      </w:r>
    </w:p>
    <w:p w14:paraId="29FB0DFD" w14:textId="60A0CAF6" w:rsidR="00F51259" w:rsidRDefault="00251E11" w:rsidP="00F51259">
      <w:pPr>
        <w:spacing w:line="480" w:lineRule="auto"/>
        <w:jc w:val="both"/>
        <w:rPr>
          <w:rFonts w:ascii="Times New Roman"/>
          <w:sz w:val="24"/>
          <w:szCs w:val="24"/>
          <w:lang w:val="en-US"/>
        </w:rPr>
      </w:pPr>
      <w:r>
        <w:rPr>
          <w:rFonts w:ascii="Times New Roman"/>
          <w:sz w:val="24"/>
          <w:szCs w:val="24"/>
          <w:lang w:val="en-US"/>
        </w:rPr>
        <w:t>HBCS</w:t>
      </w:r>
      <w:r w:rsidR="00693091">
        <w:rPr>
          <w:rFonts w:ascii="Times New Roman"/>
          <w:sz w:val="24"/>
          <w:szCs w:val="24"/>
          <w:lang w:val="en-US"/>
        </w:rPr>
        <w:t xml:space="preserve"> has been described in detail previously</w:t>
      </w:r>
      <w:r w:rsidR="00466DF3">
        <w:rPr>
          <w:rFonts w:ascii="Times New Roman"/>
          <w:sz w:val="24"/>
          <w:szCs w:val="24"/>
          <w:lang w:val="en-US"/>
        </w:rPr>
        <w:t xml:space="preserve"> </w:t>
      </w:r>
      <w:r w:rsidR="00466DF3">
        <w:rPr>
          <w:rFonts w:ascii="Times New Roman"/>
          <w:sz w:val="24"/>
          <w:szCs w:val="24"/>
          <w:lang w:val="en-US"/>
        </w:rPr>
        <w:fldChar w:fldCharType="begin" w:fldLock="1"/>
      </w:r>
      <w:r w:rsidR="00370CE4">
        <w:rPr>
          <w:rFonts w:ascii="Times New Roman"/>
          <w:sz w:val="24"/>
          <w:szCs w:val="24"/>
          <w:lang w:val="en-US"/>
        </w:rPr>
        <w:instrText>ADDIN CSL_CITATION { "citationItems" : [ { "id" : "ITEM-1", "itemData" : { "DOI" : "10.1056/NEJMoa044160", "ISSN" : "1533-4406", "PMID" : "16251536", "abstract" : "BACKGROUND Low birth weight is a risk factor for coronary heart disease. It is uncertain how postnatal growth affects disease risk. METHODS We studied 8760 people born in Helsinki from 1934 through 1944. Childhood growth had been recorded. A total of 357 men and 87 women had been admitted to the hospital with coronary heart disease or had died from the disease. Coronary risk factors were measured in a subset of 2003 people. RESULTS The mean body size of children who had coronary events as adults was below average at birth. At two years of age the children were thin; subsequently, their body-mass index (BMI) increased relative to that of other children and had reached average values by 11 years of age. In simultaneous regressions, the hazard ratios associated with a 1 SD increase in BMI were 0.76 (95 percent confidence interval, 0.66 to 0.87; P&lt;0.001) at 2 years and 1.14 (95 percent confidence interval, 1.00 to 1.31; P=0.05) at 11 years among the boys. The corresponding figures for the girls were 0.62 (95 percent confidence interval, 0.46 to 0.82; P=0.001) and 1.35 (95 percent confidence interval, 1.02 to 1.78; P=0.04). Low BMI at 2 years of age and increased BMI from 2 to 11 years of age were also associated with raised fasting insulin concentrations (P&lt;0.001 for both). CONCLUSIONS On average, adults who had a coronary event had been small at birth and thin at two years of age and thereafter put on weight rapidly. This pattern of growth during childhood was associated with insulin resistance in later life. The risk of coronary events was more strongly related to the tempo of childhood gain in BMI than to the BMI attained at any particular age.", "author" : [ { "dropping-particle" : "", "family" : "Barker", "given" : "David J P", "non-dropping-particle" : "", "parse-names" : false, "suffix" : "" }, { "dropping-particle" : "", "family" : "Osmond", "given" : "Clive", "non-dropping-particle" : "", "parse-names" : false, "suffix" : "" }, { "dropping-particle" : "", "family" : "Fors\u00e9n", "given" : "Tom J", "non-dropping-particle" : "", "parse-names" : false, "suffix" : "" }, { "dropping-particle" : "", "family" : "Kajantie", "given" : "Eero", "non-dropping-particle" : "", "parse-names" : false, "suffix" : "" }, { "dropping-particle" : "", "family" : "Eriksson", "given" : "Johan G", "non-dropping-particle" : "", "parse-names" : false, "suffix" : "" } ], "container-title" : "The New England journal of medicine", "id" : "ITEM-1", "issue" : "17", "issued" : { "date-parts" : [ [ "2005", "10", "27" ] ] }, "page" : "1802-9", "title" : "Trajectories of growth among children who have coronary events as adults.", "type" : "article-journal", "volume" : "353" }, "uris" : [ "http://www.mendeley.com/documents/?uuid=77b4f2f8-6018-3c91-b54e-f97219a2c56e" ] }, { "id" : "ITEM-2", "itemData" : { "DOI" : "10.1017/S0007114515005309", "ISSN" : "0007-1145", "PMID" : "26785760", "abstract" : "Epidemiological studies have shown that a number of nutrients are associated with better physical performance. However, little is still known about the role of the whole diet, particularly a healthy Nordic diet, in relation to physical performance. Therefore, we examined whether a healthy Nordic diet was associated with measures of physical performance 10 years later. We studied 1072 participants from the Helsinki Birth Cohort Study. Participants\u2019 diet was assessed using a validated 128-item FFQ at the mean age of 61 years, and a priori -defined Nordic diet score (NDS) was calculated. The score included Nordic fruits and berries, vegetables, cereals, PUFA:SFA and trans -fatty acids ratio, low-fat milk, fish, red and processed meat, total fat and alcohol. At the mean age of 71 years, participants\u2019 physical performance was measured using the Senior Fitness Test (SFT), and an overall SFT score was calculated. Women in the highest fourth of the NDS had on average 5 points higher SFT score compared with those in the lowest fourth ( P for trend 0\u00b7005). No such association was observed in men. Women with the highest score had 17 % better result in the 6-min walk test, 16 % better arm curl and 20 % better chair stand results compared with those with the lowest score (all P values&amp;lt;0\u00b701). In conclusion, a healthy Nordic diet was associated with better overall physical performance among women and might help decrease the risk of disability in old age.", "author" : [ { "dropping-particle" : "", "family" : "Per\u00e4l\u00e4", "given" : "Mia-Maria", "non-dropping-particle" : "", "parse-names" : false, "suffix" : "" }, { "dropping-particle" : "", "family" : "Bonsdorff", "given" : "Mikaela", "non-dropping-particle" : "von", "parse-names" : false, "suffix" : "" }, { "dropping-particle" : "", "family" : "M\u00e4nnist\u00f6", "given" : "Satu", "non-dropping-particle" : "", "parse-names" : false, "suffix" : "" }, { "dropping-particle" : "", "family" : "Salonen", "given" : "Minna K.", "non-dropping-particle" : "", "parse-names" : false, "suffix" : "" }, { "dropping-particle" : "", "family" : "Simonen", "given" : "Mika", "non-dropping-particle" : "", "parse-names" : false, "suffix" : "" }, { "dropping-particle" : "", "family" : "Kanerva", "given" : "Noora", "non-dropping-particle" : "", "parse-names" : false, "suffix" : "" }, { "dropping-particle" : "", "family" : "Pohjolainen", "given" : "Pertti", "non-dropping-particle" : "", "parse-names" : false, "suffix" : "" }, { "dropping-particle" : "", "family" : "Kajantie", "given" : "Eero", "non-dropping-particle" : "", "parse-names" : false, "suffix" : "" }, { "dropping-particle" : "", "family" : "Rantanen", "given" : "Taina", "non-dropping-particle" : "", "parse-names" : false, "suffix" : "" }, { "dropping-particle" : "", "family" : "Eriksson", "given" : "Johan G.", "non-dropping-particle" : "", "parse-names" : false, "suffix" : "" } ], "container-title" : "British Journal of Nutrition", "id" : "ITEM-2", "issue" : "05", "issued" : { "date-parts" : [ [ "2016", "3", "20" ] ] }, "page" : "878-886", "title" : "A healthy Nordic diet and physical performance in old age: findings from the longitudinal Helsinki Birth Cohort Study", "type" : "article-journal", "volume" : "115" }, "uris" : [ "http://www.mendeley.com/documents/?uuid=8a4ca413-5573-3547-8e3b-e3d7e0055ffd" ] } ], "mendeley" : { "formattedCitation" : "&lt;span style=\"baseline\"&gt;(5,11)&lt;/span&gt;", "plainTextFormattedCitation" : "(5,11)", "previouslyFormattedCitation" : "&lt;span style=\"baseline\"&gt;(5,11)&lt;/span&gt;" }, "properties" : {  }, "schema" : "https://github.com/citation-style-language/schema/raw/master/csl-citation.json" }</w:instrText>
      </w:r>
      <w:r w:rsidR="00466DF3">
        <w:rPr>
          <w:rFonts w:ascii="Times New Roman"/>
          <w:sz w:val="24"/>
          <w:szCs w:val="24"/>
          <w:lang w:val="en-US"/>
        </w:rPr>
        <w:fldChar w:fldCharType="separate"/>
      </w:r>
      <w:r w:rsidR="00370CE4" w:rsidRPr="00370CE4">
        <w:rPr>
          <w:rFonts w:ascii="Times New Roman"/>
          <w:noProof/>
          <w:sz w:val="24"/>
          <w:szCs w:val="24"/>
          <w:lang w:val="en-US"/>
        </w:rPr>
        <w:t>(5,11)</w:t>
      </w:r>
      <w:r w:rsidR="00466DF3">
        <w:rPr>
          <w:rFonts w:ascii="Times New Roman"/>
          <w:sz w:val="24"/>
          <w:szCs w:val="24"/>
          <w:lang w:val="en-US"/>
        </w:rPr>
        <w:fldChar w:fldCharType="end"/>
      </w:r>
      <w:r w:rsidR="00466DF3">
        <w:rPr>
          <w:rFonts w:ascii="Times New Roman"/>
          <w:sz w:val="24"/>
          <w:szCs w:val="24"/>
          <w:lang w:val="en-US"/>
        </w:rPr>
        <w:t xml:space="preserve">. </w:t>
      </w:r>
      <w:r w:rsidR="00693091">
        <w:rPr>
          <w:rFonts w:ascii="Times New Roman"/>
          <w:sz w:val="24"/>
          <w:szCs w:val="24"/>
          <w:lang w:val="en-US"/>
        </w:rPr>
        <w:t xml:space="preserve">The present </w:t>
      </w:r>
      <w:r w:rsidR="001B612D">
        <w:rPr>
          <w:rFonts w:ascii="Times New Roman"/>
          <w:sz w:val="24"/>
          <w:szCs w:val="24"/>
          <w:lang w:val="en-US"/>
        </w:rPr>
        <w:t>sub-</w:t>
      </w:r>
      <w:r w:rsidR="0024459D">
        <w:rPr>
          <w:rFonts w:ascii="Times New Roman"/>
          <w:sz w:val="24"/>
          <w:szCs w:val="24"/>
          <w:lang w:val="en-US"/>
        </w:rPr>
        <w:t xml:space="preserve">study </w:t>
      </w:r>
      <w:r w:rsidR="00693091">
        <w:rPr>
          <w:rFonts w:ascii="Times New Roman"/>
          <w:sz w:val="24"/>
          <w:szCs w:val="24"/>
          <w:lang w:val="en-US"/>
        </w:rPr>
        <w:t>includes 1078 participants (603 women and 475 men) born between 1934 and 1944</w:t>
      </w:r>
      <w:r w:rsidR="0024459D">
        <w:rPr>
          <w:rFonts w:ascii="Times New Roman"/>
          <w:sz w:val="24"/>
          <w:szCs w:val="24"/>
          <w:lang w:val="en-US"/>
        </w:rPr>
        <w:t>.</w:t>
      </w:r>
      <w:r w:rsidR="00E575A6">
        <w:rPr>
          <w:rFonts w:ascii="Times New Roman"/>
          <w:sz w:val="24"/>
          <w:szCs w:val="24"/>
          <w:lang w:val="en-US"/>
        </w:rPr>
        <w:t xml:space="preserve"> </w:t>
      </w:r>
      <w:r w:rsidR="00E575A6" w:rsidRPr="00E575A6">
        <w:rPr>
          <w:rFonts w:ascii="Times New Roman"/>
          <w:sz w:val="24"/>
          <w:szCs w:val="24"/>
        </w:rPr>
        <w:t xml:space="preserve">There were on average 17 measurements on body size available for each individual from birth to </w:t>
      </w:r>
      <w:r w:rsidR="001B612D">
        <w:rPr>
          <w:rFonts w:ascii="Times New Roman"/>
          <w:sz w:val="24"/>
          <w:szCs w:val="24"/>
        </w:rPr>
        <w:t>12 years of age</w:t>
      </w:r>
      <w:r w:rsidR="00466DF3">
        <w:rPr>
          <w:rFonts w:ascii="Times New Roman"/>
          <w:sz w:val="24"/>
          <w:szCs w:val="24"/>
        </w:rPr>
        <w:t xml:space="preserve"> </w:t>
      </w:r>
      <w:r w:rsidR="00466DF3">
        <w:rPr>
          <w:rFonts w:ascii="Times New Roman"/>
          <w:sz w:val="24"/>
          <w:szCs w:val="24"/>
        </w:rPr>
        <w:fldChar w:fldCharType="begin" w:fldLock="1"/>
      </w:r>
      <w:r w:rsidR="00370CE4">
        <w:rPr>
          <w:rFonts w:ascii="Times New Roman"/>
          <w:sz w:val="24"/>
          <w:szCs w:val="24"/>
        </w:rPr>
        <w:instrText>ADDIN CSL_CITATION { "citationItems" : [ { "id" : "ITEM-1", "itemData" : { "DOI" : "10.3945/ajcn.110.000638", "ISSN" : "0002-9165", "PMID" : "21613556", "abstract" : "A slow rate of intrauterine growth is a major risk factor for several common noncommunicable diseases, which include the following: coronary heart disease (CHD), hypertension, and type 2 diabetes. Likewise, growth patterns in infancy and childhood have been identified as important factors linked to the pathogenesis of these disorders. In this overview, patterns of growth associated with CHD, type 2 diabetes, and related metabolic traits in adult life are presented on the basis of findings from the Helsinki Birth Cohort Study (HBCS) 1934-1944. Later risk of CHD was associated with small body size at birth and during infancy, followed by an increase in body size later in childhood. This pattern of growth has been associated with dyslipidemia in later life, which offers an explanation for the observed findings. Type 2 diabetes and CHD share several risk factors. The early growth of persons who later develop type 2 diabetes includes a small body size at birth as well as a small body size during infancy. An early age at adiposity rebound was associated with a markedly increased risk of type 2 diabetes in adulthood. The patterns of growth associated with type 2 diabetes are also associated with alterations in body composition, which predisposes to insulin resistance and the metabolic syndrome. The presented findings suggest that to be able to understand the pathogenesis of several noncommunicable diseases, the diseases need to be studied from a life-course perspective, and prenatal and childhood growth as well as adult characteristics need to be taken into account.", "author" : [ { "dropping-particle" : "", "family" : "Eriksson", "given" : "J. G.", "non-dropping-particle" : "", "parse-names" : false, "suffix" : "" } ], "container-title" : "American Journal of Clinical Nutrition", "id" : "ITEM-1", "issue" : "6_Suppl", "issued" : { "date-parts" : [ [ "2011", "12", "1" ] ] }, "page" : "1799S-1802S", "title" : "Early growth and coronary heart disease and type 2 diabetes: findings from the Helsinki Birth Cohort Study (HBCS)", "type" : "article-journal", "volume" : "94" }, "uris" : [ "http://www.mendeley.com/documents/?uuid=05513efb-9c52-3278-b358-89ee41fd2adb" ] } ], "mendeley" : { "formattedCitation" : "&lt;span style=\"baseline\"&gt;(12)&lt;/span&gt;", "plainTextFormattedCitation" : "(12)", "previouslyFormattedCitation" : "&lt;span style=\"baseline\"&gt;(12)&lt;/span&gt;" }, "properties" : {  }, "schema" : "https://github.com/citation-style-language/schema/raw/master/csl-citation.json" }</w:instrText>
      </w:r>
      <w:r w:rsidR="00466DF3">
        <w:rPr>
          <w:rFonts w:ascii="Times New Roman"/>
          <w:sz w:val="24"/>
          <w:szCs w:val="24"/>
        </w:rPr>
        <w:fldChar w:fldCharType="separate"/>
      </w:r>
      <w:r w:rsidR="00370CE4" w:rsidRPr="00370CE4">
        <w:rPr>
          <w:rFonts w:ascii="Times New Roman"/>
          <w:noProof/>
          <w:sz w:val="24"/>
          <w:szCs w:val="24"/>
        </w:rPr>
        <w:t>(12)</w:t>
      </w:r>
      <w:r w:rsidR="00466DF3">
        <w:rPr>
          <w:rFonts w:ascii="Times New Roman"/>
          <w:sz w:val="24"/>
          <w:szCs w:val="24"/>
        </w:rPr>
        <w:fldChar w:fldCharType="end"/>
      </w:r>
      <w:r w:rsidR="00E575A6">
        <w:rPr>
          <w:rFonts w:ascii="Times New Roman"/>
          <w:sz w:val="24"/>
          <w:szCs w:val="24"/>
        </w:rPr>
        <w:t>.</w:t>
      </w:r>
      <w:r w:rsidR="0024459D">
        <w:rPr>
          <w:rFonts w:ascii="Times New Roman"/>
          <w:sz w:val="24"/>
          <w:szCs w:val="24"/>
          <w:lang w:val="en-US"/>
        </w:rPr>
        <w:t xml:space="preserve"> The participants were examined clinically</w:t>
      </w:r>
      <w:r w:rsidR="00140C70">
        <w:rPr>
          <w:rFonts w:ascii="Times New Roman"/>
          <w:sz w:val="24"/>
          <w:szCs w:val="24"/>
          <w:lang w:val="en-US"/>
        </w:rPr>
        <w:t xml:space="preserve"> at baseline</w:t>
      </w:r>
      <w:r w:rsidR="00C83931">
        <w:rPr>
          <w:rFonts w:ascii="Times New Roman"/>
          <w:sz w:val="24"/>
          <w:szCs w:val="24"/>
          <w:lang w:val="en-US"/>
        </w:rPr>
        <w:t xml:space="preserve"> between the years 2001 and </w:t>
      </w:r>
      <w:r w:rsidR="0024459D">
        <w:rPr>
          <w:rFonts w:ascii="Times New Roman"/>
          <w:sz w:val="24"/>
          <w:szCs w:val="24"/>
          <w:lang w:val="en-US"/>
        </w:rPr>
        <w:t>2004 and</w:t>
      </w:r>
      <w:r w:rsidR="00140C70">
        <w:rPr>
          <w:rFonts w:ascii="Times New Roman"/>
          <w:sz w:val="24"/>
          <w:szCs w:val="24"/>
          <w:lang w:val="en-US"/>
        </w:rPr>
        <w:t xml:space="preserve"> followed up </w:t>
      </w:r>
      <w:r w:rsidR="00D400F4">
        <w:rPr>
          <w:rFonts w:ascii="Times New Roman"/>
          <w:sz w:val="24"/>
          <w:szCs w:val="24"/>
          <w:lang w:val="en-US"/>
        </w:rPr>
        <w:t>between</w:t>
      </w:r>
      <w:r w:rsidR="00984795">
        <w:rPr>
          <w:rFonts w:ascii="Times New Roman"/>
          <w:sz w:val="24"/>
          <w:szCs w:val="24"/>
          <w:lang w:val="en-US"/>
        </w:rPr>
        <w:t xml:space="preserve"> 2011 and </w:t>
      </w:r>
      <w:r w:rsidR="0024459D">
        <w:rPr>
          <w:rFonts w:ascii="Times New Roman"/>
          <w:sz w:val="24"/>
          <w:szCs w:val="24"/>
          <w:lang w:val="en-US"/>
        </w:rPr>
        <w:t>2013.</w:t>
      </w:r>
    </w:p>
    <w:p w14:paraId="1F5469CB" w14:textId="77777777" w:rsidR="00F51259" w:rsidRDefault="00F51259" w:rsidP="00F51259">
      <w:pPr>
        <w:spacing w:line="480" w:lineRule="auto"/>
        <w:jc w:val="both"/>
        <w:rPr>
          <w:rFonts w:ascii="Times New Roman"/>
          <w:i/>
          <w:sz w:val="24"/>
          <w:szCs w:val="24"/>
          <w:lang w:val="en-US"/>
        </w:rPr>
      </w:pPr>
      <w:r>
        <w:rPr>
          <w:rFonts w:ascii="Times New Roman"/>
          <w:i/>
          <w:sz w:val="24"/>
          <w:szCs w:val="24"/>
          <w:lang w:val="en-US"/>
        </w:rPr>
        <w:lastRenderedPageBreak/>
        <w:t>Measurements</w:t>
      </w:r>
    </w:p>
    <w:p w14:paraId="48544DC0" w14:textId="7ACDB9A8" w:rsidR="002B1E3E" w:rsidRDefault="00140C70" w:rsidP="00F51259">
      <w:pPr>
        <w:spacing w:line="480" w:lineRule="auto"/>
        <w:jc w:val="both"/>
        <w:rPr>
          <w:rFonts w:ascii="Times New Roman"/>
          <w:sz w:val="24"/>
          <w:szCs w:val="24"/>
          <w:lang w:val="en-US"/>
        </w:rPr>
      </w:pPr>
      <w:r>
        <w:rPr>
          <w:rFonts w:ascii="Times New Roman"/>
          <w:sz w:val="24"/>
          <w:szCs w:val="24"/>
          <w:lang w:val="en-US"/>
        </w:rPr>
        <w:t>Child welfare and school health</w:t>
      </w:r>
      <w:r w:rsidR="00C83931">
        <w:rPr>
          <w:rFonts w:ascii="Times New Roman"/>
          <w:sz w:val="24"/>
          <w:szCs w:val="24"/>
          <w:lang w:val="en-US"/>
        </w:rPr>
        <w:t>care</w:t>
      </w:r>
      <w:r>
        <w:rPr>
          <w:rFonts w:ascii="Times New Roman"/>
          <w:sz w:val="24"/>
          <w:szCs w:val="24"/>
          <w:lang w:val="en-US"/>
        </w:rPr>
        <w:t xml:space="preserve"> records provided information on the serial measurements of the participants’ weight and height and</w:t>
      </w:r>
      <w:r w:rsidR="00714AB0">
        <w:rPr>
          <w:rFonts w:ascii="Times New Roman"/>
          <w:sz w:val="24"/>
          <w:szCs w:val="24"/>
          <w:lang w:val="en-US"/>
        </w:rPr>
        <w:t xml:space="preserve"> their</w:t>
      </w:r>
      <w:r>
        <w:rPr>
          <w:rFonts w:ascii="Times New Roman"/>
          <w:sz w:val="24"/>
          <w:szCs w:val="24"/>
          <w:lang w:val="en-US"/>
        </w:rPr>
        <w:t xml:space="preserve"> socio-economic status (SES) </w:t>
      </w:r>
      <w:r w:rsidR="00714AB0">
        <w:rPr>
          <w:rFonts w:ascii="Times New Roman"/>
          <w:sz w:val="24"/>
          <w:szCs w:val="24"/>
          <w:lang w:val="en-US"/>
        </w:rPr>
        <w:t>in childhood</w:t>
      </w:r>
      <w:r w:rsidR="001B612D">
        <w:rPr>
          <w:rFonts w:ascii="Times New Roman"/>
          <w:sz w:val="24"/>
          <w:szCs w:val="24"/>
          <w:lang w:val="en-US"/>
        </w:rPr>
        <w:t xml:space="preserve"> (</w:t>
      </w:r>
      <w:r w:rsidR="00CC52A4">
        <w:rPr>
          <w:rFonts w:ascii="Times New Roman"/>
          <w:sz w:val="24"/>
          <w:szCs w:val="24"/>
          <w:lang w:val="en-US"/>
        </w:rPr>
        <w:t>father’s highest occupational status coded as manual workers, lower middle class and upper middle class</w:t>
      </w:r>
      <w:r w:rsidR="001B612D">
        <w:rPr>
          <w:rFonts w:ascii="Times New Roman"/>
          <w:sz w:val="24"/>
          <w:szCs w:val="24"/>
          <w:lang w:val="en-US"/>
        </w:rPr>
        <w:t>)</w:t>
      </w:r>
      <w:r w:rsidR="00714AB0">
        <w:rPr>
          <w:rFonts w:ascii="Times New Roman"/>
          <w:sz w:val="24"/>
          <w:szCs w:val="24"/>
          <w:lang w:val="en-US"/>
        </w:rPr>
        <w:t>. SES in adulthood, based on</w:t>
      </w:r>
      <w:r w:rsidR="00D75813">
        <w:rPr>
          <w:rFonts w:ascii="Times New Roman"/>
          <w:sz w:val="24"/>
          <w:szCs w:val="24"/>
          <w:lang w:val="en-US"/>
        </w:rPr>
        <w:t xml:space="preserve"> the highest</w:t>
      </w:r>
      <w:r w:rsidR="00714AB0">
        <w:rPr>
          <w:rFonts w:ascii="Times New Roman"/>
          <w:sz w:val="24"/>
          <w:szCs w:val="24"/>
          <w:lang w:val="en-US"/>
        </w:rPr>
        <w:t xml:space="preserve"> attained occupational status, was obtained from Statistics Finland</w:t>
      </w:r>
      <w:r w:rsidR="00CC52A4">
        <w:rPr>
          <w:rFonts w:ascii="Times New Roman"/>
          <w:sz w:val="24"/>
          <w:szCs w:val="24"/>
          <w:lang w:val="en-US"/>
        </w:rPr>
        <w:t xml:space="preserve"> (manual workers, self-employed, lower </w:t>
      </w:r>
      <w:r w:rsidR="001E495E">
        <w:rPr>
          <w:rFonts w:ascii="Times New Roman"/>
          <w:sz w:val="24"/>
          <w:szCs w:val="24"/>
          <w:lang w:val="en-US"/>
        </w:rPr>
        <w:t>middle class</w:t>
      </w:r>
      <w:r w:rsidR="00CC52A4">
        <w:rPr>
          <w:rFonts w:ascii="Times New Roman"/>
          <w:sz w:val="24"/>
          <w:szCs w:val="24"/>
          <w:lang w:val="en-US"/>
        </w:rPr>
        <w:t xml:space="preserve"> </w:t>
      </w:r>
      <w:r w:rsidR="001E495E">
        <w:rPr>
          <w:rFonts w:ascii="Times New Roman"/>
          <w:sz w:val="24"/>
          <w:szCs w:val="24"/>
          <w:lang w:val="en-US"/>
        </w:rPr>
        <w:t>and upper</w:t>
      </w:r>
      <w:r w:rsidR="00CC52A4">
        <w:rPr>
          <w:rFonts w:ascii="Times New Roman"/>
          <w:sz w:val="24"/>
          <w:szCs w:val="24"/>
          <w:lang w:val="en-US"/>
        </w:rPr>
        <w:t xml:space="preserve"> middle class)</w:t>
      </w:r>
      <w:r w:rsidR="00714AB0">
        <w:rPr>
          <w:rFonts w:ascii="Times New Roman"/>
          <w:sz w:val="24"/>
          <w:szCs w:val="24"/>
          <w:lang w:val="en-US"/>
        </w:rPr>
        <w:t xml:space="preserve">. </w:t>
      </w:r>
      <w:r w:rsidR="006E13FC">
        <w:rPr>
          <w:rFonts w:ascii="Times New Roman"/>
          <w:sz w:val="24"/>
          <w:szCs w:val="24"/>
          <w:lang w:val="en-US"/>
        </w:rPr>
        <w:t>Measurements of</w:t>
      </w:r>
      <w:r w:rsidR="00714AB0">
        <w:rPr>
          <w:rFonts w:ascii="Times New Roman"/>
          <w:sz w:val="24"/>
          <w:szCs w:val="24"/>
          <w:lang w:val="en-US"/>
        </w:rPr>
        <w:t xml:space="preserve"> the participants’</w:t>
      </w:r>
      <w:r w:rsidR="006E13FC">
        <w:rPr>
          <w:rFonts w:ascii="Times New Roman"/>
          <w:sz w:val="24"/>
          <w:szCs w:val="24"/>
          <w:lang w:val="en-US"/>
        </w:rPr>
        <w:t xml:space="preserve"> weight and</w:t>
      </w:r>
      <w:r w:rsidR="00714AB0">
        <w:rPr>
          <w:rFonts w:ascii="Times New Roman"/>
          <w:sz w:val="24"/>
          <w:szCs w:val="24"/>
          <w:lang w:val="en-US"/>
        </w:rPr>
        <w:t xml:space="preserve"> height</w:t>
      </w:r>
      <w:r w:rsidR="006E13FC">
        <w:rPr>
          <w:rFonts w:ascii="Times New Roman"/>
          <w:sz w:val="24"/>
          <w:szCs w:val="24"/>
          <w:lang w:val="en-US"/>
        </w:rPr>
        <w:t xml:space="preserve"> and self-reported data on</w:t>
      </w:r>
      <w:r w:rsidR="00714AB0">
        <w:rPr>
          <w:rFonts w:ascii="Times New Roman"/>
          <w:sz w:val="24"/>
          <w:szCs w:val="24"/>
          <w:lang w:val="en-US"/>
        </w:rPr>
        <w:t xml:space="preserve"> smoking status and the prevalence of hypertension and diabetes were obtained at the clinical baseline examination between the years 2001-2004.</w:t>
      </w:r>
      <w:r w:rsidR="00C95BB3">
        <w:rPr>
          <w:rFonts w:ascii="Times New Roman"/>
          <w:sz w:val="24"/>
          <w:szCs w:val="24"/>
          <w:lang w:val="en-US"/>
        </w:rPr>
        <w:t xml:space="preserve"> </w:t>
      </w:r>
      <w:r w:rsidR="002B1E3E">
        <w:rPr>
          <w:rFonts w:ascii="Times New Roman"/>
          <w:sz w:val="24"/>
          <w:szCs w:val="24"/>
          <w:lang w:val="en-US"/>
        </w:rPr>
        <w:t>Body mass index (BMI) was calculated as weight in kilograms divided by square of height in meters (kg/m</w:t>
      </w:r>
      <w:r w:rsidR="002B1E3E">
        <w:rPr>
          <w:rFonts w:ascii="Times New Roman"/>
          <w:sz w:val="24"/>
          <w:szCs w:val="24"/>
          <w:vertAlign w:val="superscript"/>
          <w:lang w:val="en-US"/>
        </w:rPr>
        <w:t>2</w:t>
      </w:r>
      <w:r w:rsidR="002B1E3E">
        <w:rPr>
          <w:rFonts w:ascii="Times New Roman"/>
          <w:sz w:val="24"/>
          <w:szCs w:val="24"/>
          <w:lang w:val="en-US"/>
        </w:rPr>
        <w:t xml:space="preserve">). </w:t>
      </w:r>
    </w:p>
    <w:p w14:paraId="26ED994A" w14:textId="6537A4BA" w:rsidR="00F51259" w:rsidRDefault="00F51259" w:rsidP="00F51259">
      <w:pPr>
        <w:spacing w:line="480" w:lineRule="auto"/>
        <w:jc w:val="both"/>
        <w:rPr>
          <w:rFonts w:ascii="Times New Roman"/>
          <w:i/>
          <w:sz w:val="24"/>
          <w:szCs w:val="24"/>
        </w:rPr>
      </w:pPr>
      <w:r>
        <w:rPr>
          <w:rFonts w:ascii="Times New Roman"/>
          <w:i/>
          <w:sz w:val="24"/>
          <w:szCs w:val="24"/>
        </w:rPr>
        <w:t>Frailty</w:t>
      </w:r>
    </w:p>
    <w:p w14:paraId="041E680E" w14:textId="1F3D6B2E" w:rsidR="00F51259" w:rsidRDefault="00F51259" w:rsidP="00F51259">
      <w:pPr>
        <w:spacing w:line="480" w:lineRule="auto"/>
        <w:jc w:val="both"/>
        <w:rPr>
          <w:rFonts w:ascii="Times New Roman"/>
          <w:sz w:val="24"/>
          <w:szCs w:val="24"/>
          <w:lang w:val="en-US"/>
        </w:rPr>
      </w:pPr>
      <w:r>
        <w:rPr>
          <w:rFonts w:ascii="Times New Roman"/>
          <w:sz w:val="24"/>
          <w:szCs w:val="24"/>
          <w:lang w:val="en-US"/>
        </w:rPr>
        <w:t>Frailty was assessed</w:t>
      </w:r>
      <w:r w:rsidR="007B1224">
        <w:rPr>
          <w:rFonts w:ascii="Times New Roman"/>
          <w:sz w:val="24"/>
          <w:szCs w:val="24"/>
          <w:lang w:val="en-US"/>
        </w:rPr>
        <w:t xml:space="preserve"> in 2011-2013</w:t>
      </w:r>
      <w:r>
        <w:rPr>
          <w:rFonts w:ascii="Times New Roman"/>
          <w:sz w:val="24"/>
          <w:szCs w:val="24"/>
          <w:lang w:val="en-US"/>
        </w:rPr>
        <w:t xml:space="preserve"> using five </w:t>
      </w:r>
      <w:r w:rsidR="007B1224">
        <w:rPr>
          <w:rFonts w:ascii="Times New Roman"/>
          <w:sz w:val="24"/>
          <w:szCs w:val="24"/>
          <w:lang w:val="en-US"/>
        </w:rPr>
        <w:t>criteria:</w:t>
      </w:r>
      <w:r>
        <w:rPr>
          <w:rFonts w:ascii="Times New Roman"/>
          <w:sz w:val="24"/>
          <w:szCs w:val="24"/>
          <w:lang w:val="en-US"/>
        </w:rPr>
        <w:t xml:space="preserve"> weight loss, exhaustion, low physical</w:t>
      </w:r>
      <w:r w:rsidR="007B1224">
        <w:rPr>
          <w:rFonts w:ascii="Times New Roman"/>
          <w:sz w:val="24"/>
          <w:szCs w:val="24"/>
          <w:lang w:val="en-US"/>
        </w:rPr>
        <w:t xml:space="preserve"> activity, slowness and weakness</w:t>
      </w:r>
      <w:r w:rsidR="00CC21B4">
        <w:rPr>
          <w:rFonts w:ascii="Times New Roman"/>
          <w:sz w:val="24"/>
          <w:szCs w:val="24"/>
          <w:lang w:val="en-US"/>
        </w:rPr>
        <w:t xml:space="preserve"> as in a previous publication </w:t>
      </w:r>
      <w:r w:rsidR="009B0B39">
        <w:rPr>
          <w:rFonts w:ascii="Times New Roman"/>
          <w:sz w:val="24"/>
          <w:szCs w:val="24"/>
          <w:lang w:val="en-US"/>
        </w:rPr>
        <w:fldChar w:fldCharType="begin" w:fldLock="1"/>
      </w:r>
      <w:r w:rsidR="00370CE4">
        <w:rPr>
          <w:rFonts w:ascii="Times New Roman"/>
          <w:sz w:val="24"/>
          <w:szCs w:val="24"/>
          <w:lang w:val="en-US"/>
        </w:rPr>
        <w:instrText>ADDIN CSL_CITATION { "citationItems" : [ { "id" : "ITEM-1", "itemData" : { "ISSN" : "1079-5006", "PMID" : "11253156", "abstract" : "BACKGROUND Frailty is considered highly prevalent in old age and to confer high risk for falls, disability, hospitalization, and mortality. Frailty has been considered synonymous with disability, comorbidity, and other characteristics, but it is recognized that it may have a biologic basis and be a distinct clinical syndrome. A standardized definition has not yet been established. METHODS To develop and operationalize a phenotype of frailty in older adults and assess concurrent and predictive validity, the study used data from the Cardiovascular Health Study. Participants were 5,317 men and women 65 years and older (4,735 from an original cohort recruited in 1989-90 and 582 from an African American cohort recruited in 1992-93). Both cohorts received almost identical baseline evaluations and 7 and 4 years of follow-up, respectively, with annual examinations and surveillance for outcomes including incident disease, hospitalization, falls, disability, and mortality. RESULTS Frailty was defined as a clinical syndrome in which three or more of the following criteria were present: unintentional weight loss (10 lbs in past year), self-reported exhaustion, weakness (grip strength), slow walking speed, and low physical activity. The overall prevalence of frailty in this community-dwelling population was 6.9%; it increased with age and was greater in women than men. Four-year incidence was 7.2%. Frailty was associated with being African American, having lower education and income, poorer health, and having higher rates of comorbid chronic diseases and disability. There was overlap, but not concordance, in the cooccurrence of frailty, comorbidity, and disability. This frailty phenotype was independently predictive (over 3 years) of incident falls, worsening mobility or ADL disability, hospitalization, and death, with hazard ratios ranging from 1.82 to 4.46, unadjusted, and 1.29-2.24, adjusted for a number of health, disease, and social characteristics predictive of 5-year mortality. Intermediate frailty status, as indicated by the presence of one or two criteria, showed intermediate risk of these outcomes as well as increased risk of becoming frail over 3-4 years of follow-up (odds ratios for incident frailty = 4.51 unadjusted and 2.63 adjusted for covariates, compared to those with no frailty criteria at baseline). CONCLUSIONS This study provides a potential standardized definition for frailty in community-dwelling older adults and offers concurrent and predictiv\u2026", "author" : [ { "dropping-particle" : "", "family" : "Fried", "given" : "L P", "non-dropping-particle" : "", "parse-names" : false, "suffix" : "" }, { "dropping-particle" : "", "family" : "Tangen", "given" : "C M", "non-dropping-particle" : "", "parse-names" : false, "suffix" : "" }, { "dropping-particle" : "", "family" : "Walston", "given" : "J", "non-dropping-particle" : "", "parse-names" : false, "suffix" : "" }, { "dropping-particle" : "", "family" : "Newman", "given" : "A B", "non-dropping-particle" : "", "parse-names" : false, "suffix" : "" }, { "dropping-particle" : "", "family" : "Hirsch", "given" : "C", "non-dropping-particle" : "", "parse-names" : false, "suffix" : "" }, { "dropping-particle" : "", "family" : "Gottdiener", "given" : "J", "non-dropping-particle" : "", "parse-names" : false, "suffix" : "" }, { "dropping-particle" : "", "family" : "Seeman", "given" : "T", "non-dropping-particle" : "", "parse-names" : false, "suffix" : "" }, { "dropping-particle" : "", "family" : "Tracy", "given" : "R", "non-dropping-particle" : "", "parse-names" : false, "suffix" : "" }, { "dropping-particle" : "", "family" : "Kop", "given" : "W J", "non-dropping-particle" : "", "parse-names" : false, "suffix" : "" }, { "dropping-particle" : "", "family" : "Burke", "given" : "G", "non-dropping-particle" : "", "parse-names" : false, "suffix" : "" }, { "dropping-particle" : "", "family" : "McBurnie", "given" : "M A", "non-dropping-particle" : "", "parse-names" : false, "suffix" : "" }, { "dropping-particle" : "", "family" : "Cardiovascular Health Study Collaborative Research Group", "given" : "", "non-dropping-particle" : "", "parse-names" : false, "suffix" : "" } ], "container-title" : "The journals of gerontology. Series A, Biological sciences and medical sciences", "id" : "ITEM-1", "issue" : "3", "issued" : { "date-parts" : [ [ "2001", "3" ] ] }, "page" : "M146-56", "title" : "Frailty in older adults: evidence for a phenotype.", "type" : "article-journal", "volume" : "56" }, "uris" : [ "http://www.mendeley.com/documents/?uuid=ff745cc9-864d-32b7-b1fc-a1d8ae245b60" ] }, { "id" : "ITEM-2", "itemData" : { "author" : [ { "dropping-particle" : "", "family" : "Haapanen", "given" : "M J", "non-dropping-particle" : "", "parse-names" : false, "suffix" : "" }, { "dropping-particle" : "", "family" : "Per\u00e4l\u00e4", "given" : "M-M", "non-dropping-particle" : "", "parse-names" : false, "suffix" : "" }, { "dropping-particle" : "", "family" : "Salonen", "given" : "M K", "non-dropping-particle" : "", "parse-names" : false, "suffix" : "" }, { "dropping-particle" : "", "family" : "Kajantie", "given" : "E", "non-dropping-particle" : "", "parse-names" : false, "suffix" : "" }, { "dropping-particle" : "", "family" : "Simonen", "given" : "M", "non-dropping-particle" : "", "parse-names" : false, "suffix" : "" }, { "dropping-particle" : "", "family" : "Pohjolainen", "given" : "P", "non-dropping-particle" : "", "parse-names" : false, "suffix" : "" }, { "dropping-particle" : "", "family" : "Eriksson", "given" : "J G", "non-dropping-particle" : "", "parse-names" : false, "suffix" : "" }, { "dropping-particle" : "", "family" : "Bonsdorff", "given" : "M B", "non-dropping-particle" : "von", "parse-names" : false, "suffix" : "" } ], "container-title" : "Age and ageing", "id" : "ITEM-2", "issued" : { "date-parts" : [ [ "0" ] ] }, "title" : "Early life determinants of frailty in old age: The Helsinki Birth Cohort Study", "type" : "article-journal", "volume" : "In press" }, "uris" : [ "http://www.mendeley.com/documents/?uuid=2e70a79a-9359-44dd-a16f-6dd179b3883d" ] } ], "mendeley" : { "formattedCitation" : "&lt;span style=\"baseline\"&gt;(1,10)&lt;/span&gt;", "plainTextFormattedCitation" : "(1,10)", "previouslyFormattedCitation" : "&lt;span style=\"baseline\"&gt;(1,10)&lt;/span&gt;" }, "properties" : {  }, "schema" : "https://github.com/citation-style-language/schema/raw/master/csl-citation.json" }</w:instrText>
      </w:r>
      <w:r w:rsidR="009B0B39">
        <w:rPr>
          <w:rFonts w:ascii="Times New Roman"/>
          <w:sz w:val="24"/>
          <w:szCs w:val="24"/>
          <w:lang w:val="en-US"/>
        </w:rPr>
        <w:fldChar w:fldCharType="separate"/>
      </w:r>
      <w:r w:rsidR="00370CE4" w:rsidRPr="00370CE4">
        <w:rPr>
          <w:rFonts w:ascii="Times New Roman"/>
          <w:noProof/>
          <w:sz w:val="24"/>
          <w:szCs w:val="24"/>
          <w:lang w:val="en-US"/>
        </w:rPr>
        <w:t>(1,10)</w:t>
      </w:r>
      <w:r w:rsidR="009B0B39">
        <w:rPr>
          <w:rFonts w:ascii="Times New Roman"/>
          <w:sz w:val="24"/>
          <w:szCs w:val="24"/>
          <w:lang w:val="en-US"/>
        </w:rPr>
        <w:fldChar w:fldCharType="end"/>
      </w:r>
      <w:r w:rsidR="00CC21B4">
        <w:rPr>
          <w:rFonts w:ascii="Times New Roman"/>
          <w:sz w:val="24"/>
          <w:szCs w:val="24"/>
          <w:lang w:val="en-US"/>
        </w:rPr>
        <w:t>.</w:t>
      </w:r>
      <w:r w:rsidR="001B612D">
        <w:rPr>
          <w:rFonts w:ascii="Times New Roman"/>
          <w:sz w:val="24"/>
          <w:szCs w:val="24"/>
          <w:lang w:val="en-US"/>
        </w:rPr>
        <w:t xml:space="preserve"> </w:t>
      </w:r>
      <w:r w:rsidR="00CC21B4">
        <w:rPr>
          <w:rFonts w:ascii="Times New Roman"/>
          <w:sz w:val="24"/>
          <w:szCs w:val="24"/>
          <w:lang w:val="en-US"/>
        </w:rPr>
        <w:t>Briefly, weight loss, exhaustion and low physical activity were assessed using questionnaires</w:t>
      </w:r>
      <w:r w:rsidR="006630CA">
        <w:rPr>
          <w:rFonts w:ascii="Times New Roman"/>
          <w:sz w:val="24"/>
          <w:szCs w:val="24"/>
          <w:lang w:val="en-US"/>
        </w:rPr>
        <w:t>.</w:t>
      </w:r>
      <w:r w:rsidR="00CC21B4">
        <w:rPr>
          <w:rFonts w:ascii="Times New Roman"/>
          <w:sz w:val="24"/>
          <w:szCs w:val="24"/>
          <w:lang w:val="en-US"/>
        </w:rPr>
        <w:t xml:space="preserve"> Slowness and weakness were defined according to objective measurements of maximal walking speed and grip strength, respectively. </w:t>
      </w:r>
      <w:r w:rsidRPr="00CC21B4">
        <w:rPr>
          <w:rFonts w:ascii="Times New Roman"/>
          <w:sz w:val="24"/>
          <w:szCs w:val="24"/>
          <w:lang w:val="en-US"/>
        </w:rPr>
        <w:t>Cohort</w:t>
      </w:r>
      <w:r>
        <w:rPr>
          <w:rFonts w:ascii="Times New Roman"/>
          <w:sz w:val="24"/>
          <w:szCs w:val="24"/>
          <w:lang w:val="en-US"/>
        </w:rPr>
        <w:t xml:space="preserve"> members were classified as frail if they met three or more, pre-frail if they met one or two and non-frail if none of the criteria were met.</w:t>
      </w:r>
    </w:p>
    <w:p w14:paraId="1D8A8F18" w14:textId="77777777" w:rsidR="00F51259" w:rsidRDefault="00F51259" w:rsidP="00F51259">
      <w:pPr>
        <w:spacing w:line="480" w:lineRule="auto"/>
        <w:jc w:val="both"/>
        <w:rPr>
          <w:rFonts w:ascii="Times New Roman"/>
          <w:i/>
          <w:sz w:val="24"/>
          <w:szCs w:val="24"/>
          <w:lang w:val="en-US"/>
        </w:rPr>
      </w:pPr>
      <w:r>
        <w:rPr>
          <w:rFonts w:ascii="Times New Roman"/>
          <w:i/>
          <w:sz w:val="24"/>
          <w:szCs w:val="24"/>
          <w:lang w:val="en-US"/>
        </w:rPr>
        <w:t>Statistics</w:t>
      </w:r>
    </w:p>
    <w:p w14:paraId="08402766" w14:textId="1CB93E22" w:rsidR="006E13FC" w:rsidRDefault="00D35BCD" w:rsidP="00210FAA">
      <w:pPr>
        <w:spacing w:before="240" w:line="480" w:lineRule="auto"/>
        <w:jc w:val="both"/>
        <w:rPr>
          <w:rFonts w:ascii="Times New Roman"/>
          <w:sz w:val="24"/>
          <w:szCs w:val="24"/>
          <w:lang w:val="en-US"/>
        </w:rPr>
      </w:pPr>
      <w:r>
        <w:rPr>
          <w:rFonts w:ascii="Times New Roman"/>
          <w:sz w:val="24"/>
          <w:szCs w:val="24"/>
          <w:lang w:val="en-US"/>
        </w:rPr>
        <w:t>The measurements of size for each child every month from birth to 2 years of age and then at each birthday thereafter until 12 years of age were converted into z scores representing the difference from the mean value of the cohort, expressed in standard deviations</w:t>
      </w:r>
      <w:r w:rsidR="00466DF3">
        <w:rPr>
          <w:rFonts w:ascii="Times New Roman"/>
          <w:sz w:val="24"/>
          <w:szCs w:val="24"/>
          <w:lang w:val="en-US"/>
        </w:rPr>
        <w:t xml:space="preserve"> </w:t>
      </w:r>
      <w:r w:rsidR="00466DF3">
        <w:rPr>
          <w:rFonts w:ascii="Times New Roman"/>
          <w:sz w:val="24"/>
          <w:szCs w:val="24"/>
          <w:lang w:val="en-US"/>
        </w:rPr>
        <w:fldChar w:fldCharType="begin" w:fldLock="1"/>
      </w:r>
      <w:r w:rsidR="00370CE4">
        <w:rPr>
          <w:rFonts w:ascii="Times New Roman"/>
          <w:sz w:val="24"/>
          <w:szCs w:val="24"/>
          <w:lang w:val="en-US"/>
        </w:rPr>
        <w:instrText>ADDIN CSL_CITATION { "citationItems" : [ { "id" : "ITEM-1", "itemData" : { "ISSN" : "0277-6715", "PMID" : "2068420", "abstract" : "Reference ranges which take time (such as age) into account are often required in medicine, but simple, systematic and efficient statistical methods for constructing them are lacking. A method is described which is based on low order polynomial curves (linear, quadratic or occasionally cubic), together with guidelines for when and how to apply a logarithmic transformation to the variable analysed, testing for departures from normality, and assessment of the adequacy of the reference range which is constructed from the regression line plus or minus a multiple of the standard deviation. Standard statistical packages may be used to carry out the calculations. The question of comparing two or more groups of patients is addressed. Three examples are discussed in detail.", "author" : [ { "dropping-particle" : "", "family" : "Royston", "given" : "P", "non-dropping-particle" : "", "parse-names" : false, "suffix" : "" } ], "container-title" : "Statistics in medicine", "id" : "ITEM-1", "issue" : "5", "issued" : { "date-parts" : [ [ "1991", "5" ] ] }, "page" : "675-90", "title" : "Constructing time-specific reference ranges.", "type" : "article-journal", "volume" : "10" }, "uris" : [ "http://www.mendeley.com/documents/?uuid=40d275ba-1e22-30a6-b438-071b29aa90d7" ] } ], "mendeley" : { "formattedCitation" : "&lt;span style=\"baseline\"&gt;(13)&lt;/span&gt;", "plainTextFormattedCitation" : "(13)", "previouslyFormattedCitation" : "&lt;span style=\"baseline\"&gt;(13)&lt;/span&gt;" }, "properties" : {  }, "schema" : "https://github.com/citation-style-language/schema/raw/master/csl-citation.json" }</w:instrText>
      </w:r>
      <w:r w:rsidR="00466DF3">
        <w:rPr>
          <w:rFonts w:ascii="Times New Roman"/>
          <w:sz w:val="24"/>
          <w:szCs w:val="24"/>
          <w:lang w:val="en-US"/>
        </w:rPr>
        <w:fldChar w:fldCharType="separate"/>
      </w:r>
      <w:r w:rsidR="00370CE4" w:rsidRPr="00370CE4">
        <w:rPr>
          <w:rFonts w:ascii="Times New Roman"/>
          <w:noProof/>
          <w:sz w:val="24"/>
          <w:szCs w:val="24"/>
          <w:lang w:val="en-US"/>
        </w:rPr>
        <w:t>(13)</w:t>
      </w:r>
      <w:r w:rsidR="00466DF3">
        <w:rPr>
          <w:rFonts w:ascii="Times New Roman"/>
          <w:sz w:val="24"/>
          <w:szCs w:val="24"/>
          <w:lang w:val="en-US"/>
        </w:rPr>
        <w:fldChar w:fldCharType="end"/>
      </w:r>
      <w:r w:rsidR="00466DF3">
        <w:rPr>
          <w:rFonts w:ascii="Times New Roman"/>
          <w:sz w:val="24"/>
          <w:szCs w:val="24"/>
          <w:lang w:val="en-US"/>
        </w:rPr>
        <w:t>.</w:t>
      </w:r>
      <w:r w:rsidR="00633531">
        <w:rPr>
          <w:rFonts w:ascii="Times New Roman"/>
          <w:sz w:val="24"/>
          <w:szCs w:val="24"/>
          <w:lang w:val="en-US"/>
        </w:rPr>
        <w:t xml:space="preserve"> </w:t>
      </w:r>
      <w:r>
        <w:rPr>
          <w:rFonts w:ascii="Times New Roman"/>
          <w:sz w:val="24"/>
          <w:szCs w:val="24"/>
          <w:lang w:val="en-US"/>
        </w:rPr>
        <w:t>We examined how body size at each age differed from that predicted by size at an earlier age using the residuals from linear regression, which we refer to as conditional growth.</w:t>
      </w:r>
      <w:r w:rsidR="00E57C9C">
        <w:rPr>
          <w:rFonts w:ascii="Times New Roman"/>
          <w:sz w:val="24"/>
          <w:szCs w:val="24"/>
          <w:lang w:val="en-US"/>
        </w:rPr>
        <w:t xml:space="preserve"> Age at minimum BMI between the ages from 1 to 12 years was used to calculate the age at BMI rebound.</w:t>
      </w:r>
      <w:r w:rsidR="001E495E">
        <w:rPr>
          <w:rFonts w:ascii="Times New Roman"/>
          <w:sz w:val="24"/>
          <w:szCs w:val="24"/>
          <w:lang w:val="en-US"/>
        </w:rPr>
        <w:t xml:space="preserve"> Birth weight was divided into </w:t>
      </w:r>
      <w:r w:rsidR="000E580E">
        <w:rPr>
          <w:rFonts w:ascii="Times New Roman"/>
          <w:sz w:val="24"/>
          <w:szCs w:val="24"/>
          <w:lang w:val="en-US"/>
        </w:rPr>
        <w:t>thirds</w:t>
      </w:r>
      <w:r w:rsidR="001E495E">
        <w:rPr>
          <w:rFonts w:ascii="Times New Roman"/>
          <w:sz w:val="24"/>
          <w:szCs w:val="24"/>
          <w:lang w:val="en-US"/>
        </w:rPr>
        <w:t xml:space="preserve"> (cut-offs 3.22 kg and 3.60 kg).</w:t>
      </w:r>
      <w:r w:rsidR="00E57C9C">
        <w:rPr>
          <w:rFonts w:ascii="Times New Roman"/>
          <w:sz w:val="24"/>
          <w:szCs w:val="24"/>
          <w:lang w:val="en-US"/>
        </w:rPr>
        <w:t xml:space="preserve"> </w:t>
      </w:r>
      <w:r w:rsidR="00D75813">
        <w:rPr>
          <w:rFonts w:ascii="Times New Roman"/>
          <w:sz w:val="24"/>
          <w:szCs w:val="24"/>
          <w:lang w:val="en-US"/>
        </w:rPr>
        <w:t>For consistency with previous studies</w:t>
      </w:r>
      <w:r w:rsidR="009943D8">
        <w:rPr>
          <w:rFonts w:ascii="Times New Roman"/>
          <w:sz w:val="24"/>
          <w:szCs w:val="24"/>
          <w:lang w:val="en-US"/>
        </w:rPr>
        <w:t xml:space="preserve"> </w:t>
      </w:r>
      <w:r w:rsidR="009943D8">
        <w:rPr>
          <w:rFonts w:ascii="Times New Roman"/>
          <w:sz w:val="24"/>
          <w:szCs w:val="24"/>
          <w:lang w:val="en-US"/>
        </w:rPr>
        <w:fldChar w:fldCharType="begin" w:fldLock="1"/>
      </w:r>
      <w:r w:rsidR="00370CE4">
        <w:rPr>
          <w:rFonts w:ascii="Times New Roman"/>
          <w:sz w:val="24"/>
          <w:szCs w:val="24"/>
          <w:lang w:val="en-US"/>
        </w:rPr>
        <w:instrText>ADDIN CSL_CITATION { "citationItems" : [ { "id" : "ITEM-1", "itemData" : { "DOI" : "10.1093/aje/kwr270", "ISSN" : "1476-6256", "PMID" : "22071586", "abstract" : "The study reports on the associations of infant and childhood anthropometric measurements, early growth, and the combined effect of birth weight and childhood body mass index with older age physical functioning among 1,999 individuals born in 1934-1944 and belonging to the Helsinki Birth Cohort Study. Physical functioning was assessed by the Short Form 36 scale. Anthropometric data from infancy and childhood were retrieved from medical records. The risk of lower Short Form 36 physical functioning at the mean age of 61.6 years was increased for those with birth weight less than 2.5 kg compared with those weighing 3.0-3.5 kg at birth (odds ratio (OR) = 2.73, 95% confidence interval (CI): 1.57, 4.72). The gain in weight from birth to age 2 years was associated with decreased risk of lower physical functioning for a 1-standard deviation increase (OR = 0.84, 95% CI: 0.75, 0.94). The risk of lower physical functioning was highest for individuals with birth weight in the lowest third and body mass index at 11 years of age in the highest third compared with those whose birth weight was in the middle third and body mass index at age 11 years was in the highest third (OR = 3.08, 95% CI: 1.83, 5.19). The increasing prevalence of obesity at all ages and the aging of populations warrant closer investigation of the role of weight trajectories in old age functional decline.", "author" : [ { "dropping-particle" : "", "family" : "Bonsdorff", "given" : "Mikaela B", "non-dropping-particle" : "von", "parse-names" : false, "suffix" : "" }, { "dropping-particle" : "", "family" : "Rantanen", "given" : "Taina", "non-dropping-particle" : "", "parse-names" : false, "suffix" : "" }, { "dropping-particle" : "", "family" : "Sipil\u00e4", "given" : "Sarianna", "non-dropping-particle" : "", "parse-names" : false, "suffix" : "" }, { "dropping-particle" : "", "family" : "Salonen", "given" : "Minna K", "non-dropping-particle" : "", "parse-names" : false, "suffix" : "" }, { "dropping-particle" : "", "family" : "Kajantie", "given" : "Eero", "non-dropping-particle" : "", "parse-names" : false, "suffix" : "" }, { "dropping-particle" : "", "family" : "Osmond", "given" : "Clive", "non-dropping-particle" : "", "parse-names" : false, "suffix" : "" }, { "dropping-particle" : "", "family" : "Barker", "given" : "David J P", "non-dropping-particle" : "", "parse-names" : false, "suffix" : "" }, { "dropping-particle" : "", "family" : "Eriksson", "given" : "Johan G", "non-dropping-particle" : "", "parse-names" : false, "suffix" : "" } ], "container-title" : "American journal of epidemiology", "id" : "ITEM-1", "issue" : "12", "issued" : { "date-parts" : [ [ "2011", "12", "15" ] ] }, "page" : "1336-44", "title" : "Birth size and childhood growth as determinants of physical functioning in older age: the Helsinki Birth Cohort Study.", "type" : "article-journal", "volume" : "174" }, "uris" : [ "http://www.mendeley.com/documents/?uuid=8dd959da-d5da-3633-881c-f0223718d890" ] } ], "mendeley" : { "formattedCitation" : "&lt;span style=\"baseline\"&gt;(14)&lt;/span&gt;", "plainTextFormattedCitation" : "(14)", "previouslyFormattedCitation" : "&lt;span style=\"baseline\"&gt;(14)&lt;/span&gt;" }, "properties" : {  }, "schema" : "https://github.com/citation-style-language/schema/raw/master/csl-citation.json" }</w:instrText>
      </w:r>
      <w:r w:rsidR="009943D8">
        <w:rPr>
          <w:rFonts w:ascii="Times New Roman"/>
          <w:sz w:val="24"/>
          <w:szCs w:val="24"/>
          <w:lang w:val="en-US"/>
        </w:rPr>
        <w:fldChar w:fldCharType="separate"/>
      </w:r>
      <w:r w:rsidR="00370CE4" w:rsidRPr="00370CE4">
        <w:rPr>
          <w:rFonts w:ascii="Times New Roman"/>
          <w:noProof/>
          <w:sz w:val="24"/>
          <w:szCs w:val="24"/>
          <w:lang w:val="en-US"/>
        </w:rPr>
        <w:t>(14)</w:t>
      </w:r>
      <w:r w:rsidR="009943D8">
        <w:rPr>
          <w:rFonts w:ascii="Times New Roman"/>
          <w:sz w:val="24"/>
          <w:szCs w:val="24"/>
          <w:lang w:val="en-US"/>
        </w:rPr>
        <w:fldChar w:fldCharType="end"/>
      </w:r>
      <w:r w:rsidR="00D75813">
        <w:rPr>
          <w:rFonts w:ascii="Times New Roman"/>
          <w:sz w:val="24"/>
          <w:szCs w:val="24"/>
          <w:lang w:val="en-US"/>
        </w:rPr>
        <w:t xml:space="preserve">, </w:t>
      </w:r>
      <w:r w:rsidR="0007511D">
        <w:rPr>
          <w:rFonts w:ascii="Times New Roman"/>
          <w:sz w:val="24"/>
          <w:szCs w:val="24"/>
          <w:lang w:val="en-US"/>
        </w:rPr>
        <w:t xml:space="preserve"> </w:t>
      </w:r>
      <w:r w:rsidR="00D75813">
        <w:rPr>
          <w:rFonts w:ascii="Times New Roman"/>
          <w:sz w:val="24"/>
          <w:szCs w:val="24"/>
          <w:lang w:val="en-US"/>
        </w:rPr>
        <w:t>BMI at age 11 was grouped into three categories (&lt;16.0 kg/</w:t>
      </w:r>
      <w:r w:rsidR="00D75813" w:rsidRPr="00E57C9C">
        <w:rPr>
          <w:rFonts w:ascii="Times New Roman"/>
          <w:sz w:val="24"/>
          <w:szCs w:val="24"/>
          <w:lang w:val="en-US"/>
        </w:rPr>
        <w:t>m</w:t>
      </w:r>
      <w:r w:rsidR="00D75813" w:rsidRPr="00E57C9C">
        <w:rPr>
          <w:rFonts w:ascii="Times New Roman"/>
          <w:sz w:val="24"/>
          <w:szCs w:val="24"/>
          <w:vertAlign w:val="superscript"/>
          <w:lang w:val="en-US"/>
        </w:rPr>
        <w:t>2</w:t>
      </w:r>
      <w:r w:rsidR="00D75813">
        <w:rPr>
          <w:rFonts w:ascii="Times New Roman"/>
          <w:sz w:val="24"/>
          <w:szCs w:val="24"/>
          <w:lang w:val="en-US"/>
        </w:rPr>
        <w:t>, 16.0-17.5 kg/</w:t>
      </w:r>
      <w:r w:rsidR="00D75813" w:rsidRPr="00E57C9C">
        <w:rPr>
          <w:rFonts w:ascii="Times New Roman"/>
          <w:sz w:val="24"/>
          <w:szCs w:val="24"/>
          <w:lang w:val="en-US"/>
        </w:rPr>
        <w:t>m</w:t>
      </w:r>
      <w:r w:rsidR="00D75813" w:rsidRPr="00E57C9C">
        <w:rPr>
          <w:rFonts w:ascii="Times New Roman"/>
          <w:sz w:val="24"/>
          <w:szCs w:val="24"/>
          <w:vertAlign w:val="superscript"/>
          <w:lang w:val="en-US"/>
        </w:rPr>
        <w:t>2</w:t>
      </w:r>
      <w:r w:rsidR="00D75813">
        <w:rPr>
          <w:rFonts w:ascii="Times New Roman"/>
          <w:sz w:val="24"/>
          <w:szCs w:val="24"/>
          <w:lang w:val="en-US"/>
        </w:rPr>
        <w:t xml:space="preserve"> and &gt;17.5 kg/</w:t>
      </w:r>
      <w:r w:rsidR="00D75813" w:rsidRPr="00E57C9C">
        <w:rPr>
          <w:rFonts w:ascii="Times New Roman"/>
          <w:sz w:val="24"/>
          <w:szCs w:val="24"/>
          <w:lang w:val="en-US"/>
        </w:rPr>
        <w:t>m</w:t>
      </w:r>
      <w:r w:rsidR="00D75813" w:rsidRPr="00E57C9C">
        <w:rPr>
          <w:rFonts w:ascii="Times New Roman"/>
          <w:sz w:val="24"/>
          <w:szCs w:val="24"/>
          <w:vertAlign w:val="superscript"/>
          <w:lang w:val="en-US"/>
        </w:rPr>
        <w:t>2</w:t>
      </w:r>
      <w:r w:rsidR="00D75813">
        <w:rPr>
          <w:rFonts w:ascii="Times New Roman"/>
          <w:sz w:val="24"/>
          <w:szCs w:val="24"/>
          <w:lang w:val="en-US"/>
        </w:rPr>
        <w:t xml:space="preserve">) and body size at 1, 2, 7 and 11 years was used in the analyses. </w:t>
      </w:r>
      <w:r w:rsidR="00103BD7">
        <w:rPr>
          <w:rFonts w:ascii="Times New Roman"/>
          <w:sz w:val="24"/>
          <w:szCs w:val="24"/>
          <w:lang w:val="en-US"/>
        </w:rPr>
        <w:t>Multinomial</w:t>
      </w:r>
      <w:r w:rsidR="006E13FC">
        <w:rPr>
          <w:rFonts w:ascii="Times New Roman"/>
          <w:sz w:val="24"/>
          <w:szCs w:val="24"/>
          <w:lang w:val="en-US"/>
        </w:rPr>
        <w:t xml:space="preserve"> regression analyses were used to investigate the association between body size at birth, 1, 2, 7 and 11 years, </w:t>
      </w:r>
      <w:r>
        <w:rPr>
          <w:rFonts w:ascii="Times New Roman"/>
          <w:sz w:val="24"/>
          <w:szCs w:val="24"/>
          <w:lang w:val="en-US"/>
        </w:rPr>
        <w:t xml:space="preserve">conditional </w:t>
      </w:r>
      <w:r w:rsidR="006E13FC">
        <w:rPr>
          <w:rFonts w:ascii="Times New Roman"/>
          <w:sz w:val="24"/>
          <w:szCs w:val="24"/>
          <w:lang w:val="en-US"/>
        </w:rPr>
        <w:t>growth and BMI rebound</w:t>
      </w:r>
      <w:r>
        <w:rPr>
          <w:rFonts w:ascii="Times New Roman"/>
          <w:sz w:val="24"/>
          <w:szCs w:val="24"/>
          <w:lang w:val="en-US"/>
        </w:rPr>
        <w:t xml:space="preserve"> </w:t>
      </w:r>
      <w:r w:rsidR="00103BD7">
        <w:rPr>
          <w:rFonts w:ascii="Times New Roman"/>
          <w:sz w:val="24"/>
          <w:szCs w:val="24"/>
          <w:lang w:val="en-US"/>
        </w:rPr>
        <w:t>and</w:t>
      </w:r>
      <w:r>
        <w:rPr>
          <w:rFonts w:ascii="Times New Roman"/>
          <w:sz w:val="24"/>
          <w:szCs w:val="24"/>
          <w:lang w:val="en-US"/>
        </w:rPr>
        <w:t xml:space="preserve"> frailty in old age.</w:t>
      </w:r>
      <w:r w:rsidR="00FE222F">
        <w:rPr>
          <w:rFonts w:ascii="Times New Roman"/>
          <w:sz w:val="24"/>
          <w:szCs w:val="24"/>
          <w:lang w:val="en-US"/>
        </w:rPr>
        <w:t xml:space="preserve"> </w:t>
      </w:r>
      <w:r w:rsidR="00FE222F">
        <w:rPr>
          <w:rFonts w:ascii="Times New Roman"/>
          <w:sz w:val="24"/>
          <w:szCs w:val="24"/>
        </w:rPr>
        <w:t xml:space="preserve">Conditional BMI </w:t>
      </w:r>
      <w:r w:rsidR="004A32EB">
        <w:rPr>
          <w:rFonts w:ascii="Times New Roman"/>
          <w:sz w:val="24"/>
          <w:szCs w:val="24"/>
        </w:rPr>
        <w:t>gain</w:t>
      </w:r>
      <w:r w:rsidR="00FE222F">
        <w:rPr>
          <w:rFonts w:ascii="Times New Roman"/>
          <w:sz w:val="24"/>
          <w:szCs w:val="24"/>
        </w:rPr>
        <w:t xml:space="preserve"> was analysed separately for men and women due to an interaction </w:t>
      </w:r>
      <w:r w:rsidR="001B612D">
        <w:rPr>
          <w:rFonts w:ascii="Times New Roman"/>
          <w:sz w:val="24"/>
          <w:szCs w:val="24"/>
        </w:rPr>
        <w:t>between</w:t>
      </w:r>
      <w:r w:rsidR="00FE222F">
        <w:rPr>
          <w:rFonts w:ascii="Times New Roman"/>
          <w:sz w:val="24"/>
          <w:szCs w:val="24"/>
        </w:rPr>
        <w:t xml:space="preserve"> sex and conditional BMI </w:t>
      </w:r>
      <w:r w:rsidR="004A32EB">
        <w:rPr>
          <w:rFonts w:ascii="Times New Roman"/>
          <w:sz w:val="24"/>
          <w:szCs w:val="24"/>
        </w:rPr>
        <w:t>gain</w:t>
      </w:r>
      <w:r w:rsidR="00FE222F">
        <w:rPr>
          <w:rFonts w:ascii="Times New Roman"/>
          <w:sz w:val="24"/>
          <w:szCs w:val="24"/>
        </w:rPr>
        <w:t xml:space="preserve"> fro</w:t>
      </w:r>
      <w:r w:rsidR="002C1AB1">
        <w:rPr>
          <w:rFonts w:ascii="Times New Roman"/>
          <w:sz w:val="24"/>
          <w:szCs w:val="24"/>
        </w:rPr>
        <w:t>m 2</w:t>
      </w:r>
      <w:r w:rsidR="0023473B">
        <w:rPr>
          <w:rFonts w:ascii="Times New Roman"/>
          <w:sz w:val="24"/>
          <w:szCs w:val="24"/>
        </w:rPr>
        <w:t>-11 years on frailty (p=</w:t>
      </w:r>
      <w:r w:rsidR="002D5372">
        <w:rPr>
          <w:rFonts w:ascii="Times New Roman"/>
          <w:sz w:val="24"/>
          <w:szCs w:val="24"/>
        </w:rPr>
        <w:t>0</w:t>
      </w:r>
      <w:r w:rsidR="0023473B">
        <w:rPr>
          <w:rFonts w:ascii="Times New Roman"/>
          <w:sz w:val="24"/>
          <w:szCs w:val="24"/>
        </w:rPr>
        <w:t>.05</w:t>
      </w:r>
      <w:r w:rsidR="00FE222F">
        <w:rPr>
          <w:rFonts w:ascii="Times New Roman"/>
          <w:sz w:val="24"/>
          <w:szCs w:val="24"/>
        </w:rPr>
        <w:t xml:space="preserve">). </w:t>
      </w:r>
      <w:r w:rsidR="009A043D">
        <w:rPr>
          <w:rFonts w:ascii="Times New Roman"/>
          <w:sz w:val="24"/>
          <w:szCs w:val="24"/>
        </w:rPr>
        <w:t>We first adjusted for age and sex</w:t>
      </w:r>
      <w:r w:rsidR="00103BD7">
        <w:rPr>
          <w:rFonts w:ascii="Times New Roman"/>
          <w:sz w:val="24"/>
          <w:szCs w:val="24"/>
        </w:rPr>
        <w:t xml:space="preserve">, and </w:t>
      </w:r>
      <w:r w:rsidR="00FE222F">
        <w:rPr>
          <w:rFonts w:ascii="Times New Roman"/>
          <w:sz w:val="24"/>
          <w:szCs w:val="24"/>
          <w:lang w:val="en-US"/>
        </w:rPr>
        <w:t>further for childhood and adulthood SES, adulthood BMI, smoking, hypertension and diabetes. The analyses were carried out with IBM SPSS version 23.0.</w:t>
      </w:r>
    </w:p>
    <w:p w14:paraId="40A8FCA8" w14:textId="744BFB83" w:rsidR="00F846A9" w:rsidRDefault="00F51259" w:rsidP="00210FAA">
      <w:pPr>
        <w:spacing w:before="240"/>
        <w:rPr>
          <w:rFonts w:ascii="Times New Roman"/>
          <w:b/>
          <w:sz w:val="24"/>
          <w:szCs w:val="24"/>
        </w:rPr>
      </w:pPr>
      <w:r>
        <w:rPr>
          <w:rFonts w:ascii="Times New Roman"/>
          <w:b/>
          <w:sz w:val="24"/>
          <w:szCs w:val="24"/>
        </w:rPr>
        <w:t>Results</w:t>
      </w:r>
    </w:p>
    <w:p w14:paraId="4B1D0DE5" w14:textId="462A90BF" w:rsidR="004704D5" w:rsidRDefault="004704D5" w:rsidP="00210FAA">
      <w:pPr>
        <w:spacing w:before="240" w:line="480" w:lineRule="auto"/>
        <w:jc w:val="both"/>
        <w:rPr>
          <w:rFonts w:ascii="Times New Roman"/>
          <w:sz w:val="24"/>
          <w:szCs w:val="24"/>
        </w:rPr>
      </w:pPr>
      <w:r>
        <w:rPr>
          <w:rFonts w:ascii="Times New Roman"/>
          <w:sz w:val="24"/>
          <w:szCs w:val="24"/>
        </w:rPr>
        <w:t xml:space="preserve">The anthropometric measurements of the 475 boys and 603 girls and their characteristics in old age are shown in </w:t>
      </w:r>
      <w:r w:rsidR="00CC21B4">
        <w:rPr>
          <w:rFonts w:ascii="Times New Roman"/>
          <w:sz w:val="24"/>
          <w:szCs w:val="24"/>
        </w:rPr>
        <w:t>the Supplementary T</w:t>
      </w:r>
      <w:r w:rsidR="00D400F4">
        <w:rPr>
          <w:rFonts w:ascii="Times New Roman"/>
          <w:sz w:val="24"/>
          <w:szCs w:val="24"/>
        </w:rPr>
        <w:t>able</w:t>
      </w:r>
      <w:r>
        <w:rPr>
          <w:rFonts w:ascii="Times New Roman"/>
          <w:sz w:val="24"/>
          <w:szCs w:val="24"/>
        </w:rPr>
        <w:t xml:space="preserve">. The boys were heavier and taller than the girls at 1, 2 and 7 years, after which the sex </w:t>
      </w:r>
      <w:r w:rsidR="009879DD">
        <w:rPr>
          <w:rFonts w:ascii="Times New Roman"/>
          <w:sz w:val="24"/>
          <w:szCs w:val="24"/>
        </w:rPr>
        <w:t>differences in size levelled off</w:t>
      </w:r>
      <w:r>
        <w:rPr>
          <w:rFonts w:ascii="Times New Roman"/>
          <w:sz w:val="24"/>
          <w:szCs w:val="24"/>
        </w:rPr>
        <w:t>. A greater proportion of girls experienced BMI rebound before 5 years of age compared to the boys (21.4% and 15.2%, p=</w:t>
      </w:r>
      <w:r w:rsidR="00CC21B4">
        <w:rPr>
          <w:rFonts w:ascii="Times New Roman"/>
          <w:sz w:val="24"/>
          <w:szCs w:val="24"/>
        </w:rPr>
        <w:t>0</w:t>
      </w:r>
      <w:r>
        <w:rPr>
          <w:rFonts w:ascii="Times New Roman"/>
          <w:sz w:val="24"/>
          <w:szCs w:val="24"/>
        </w:rPr>
        <w:t xml:space="preserve">.03). </w:t>
      </w:r>
      <w:r w:rsidR="00D75813">
        <w:rPr>
          <w:rFonts w:ascii="Times New Roman"/>
          <w:sz w:val="24"/>
          <w:szCs w:val="24"/>
        </w:rPr>
        <w:t>T</w:t>
      </w:r>
      <w:r w:rsidR="00CC21B4">
        <w:rPr>
          <w:rFonts w:ascii="Times New Roman"/>
          <w:sz w:val="24"/>
          <w:szCs w:val="24"/>
        </w:rPr>
        <w:t>he prevalence of frailty was 2.7% and 4.3%, respectively for men and women at the mean age of 71 years</w:t>
      </w:r>
      <w:r w:rsidR="00D75813">
        <w:rPr>
          <w:rFonts w:ascii="Times New Roman"/>
          <w:sz w:val="24"/>
          <w:szCs w:val="24"/>
        </w:rPr>
        <w:t>.</w:t>
      </w:r>
    </w:p>
    <w:p w14:paraId="4550D4AF" w14:textId="3CE3E01A" w:rsidR="002F3D91" w:rsidRPr="005723D6" w:rsidRDefault="001B612D" w:rsidP="00F51259">
      <w:pPr>
        <w:spacing w:line="480" w:lineRule="auto"/>
        <w:jc w:val="both"/>
        <w:rPr>
          <w:rFonts w:ascii="Times New Roman"/>
          <w:i/>
          <w:sz w:val="24"/>
          <w:szCs w:val="24"/>
        </w:rPr>
      </w:pPr>
      <w:r>
        <w:rPr>
          <w:rFonts w:ascii="Times New Roman"/>
          <w:i/>
          <w:sz w:val="24"/>
          <w:szCs w:val="24"/>
        </w:rPr>
        <w:t xml:space="preserve">Body size at </w:t>
      </w:r>
      <w:r w:rsidR="00BA5377">
        <w:rPr>
          <w:rFonts w:ascii="Times New Roman"/>
          <w:i/>
          <w:sz w:val="24"/>
          <w:szCs w:val="24"/>
        </w:rPr>
        <w:t>1, 2, 7 and 11 years</w:t>
      </w:r>
      <w:r w:rsidR="005723D6">
        <w:rPr>
          <w:rFonts w:ascii="Times New Roman"/>
          <w:i/>
          <w:sz w:val="24"/>
          <w:szCs w:val="24"/>
        </w:rPr>
        <w:t>, BMI rebound</w:t>
      </w:r>
      <w:r w:rsidR="00BA5377">
        <w:rPr>
          <w:rFonts w:ascii="Times New Roman"/>
          <w:i/>
          <w:sz w:val="24"/>
          <w:szCs w:val="24"/>
        </w:rPr>
        <w:t xml:space="preserve"> and</w:t>
      </w:r>
      <w:r>
        <w:rPr>
          <w:rFonts w:ascii="Times New Roman"/>
          <w:i/>
          <w:sz w:val="24"/>
          <w:szCs w:val="24"/>
        </w:rPr>
        <w:t xml:space="preserve"> frailty in old age</w:t>
      </w:r>
    </w:p>
    <w:p w14:paraId="3B7A61A0" w14:textId="6714B2A4" w:rsidR="00BA5377" w:rsidRDefault="00BA5377" w:rsidP="00F51259">
      <w:pPr>
        <w:spacing w:line="480" w:lineRule="auto"/>
        <w:jc w:val="both"/>
        <w:rPr>
          <w:rFonts w:ascii="Times New Roman"/>
          <w:sz w:val="24"/>
          <w:szCs w:val="24"/>
        </w:rPr>
      </w:pPr>
      <w:r>
        <w:rPr>
          <w:rFonts w:ascii="Times New Roman"/>
          <w:sz w:val="24"/>
          <w:szCs w:val="24"/>
        </w:rPr>
        <w:t>No associations between size at 1, 2, 7 or 11 years</w:t>
      </w:r>
      <w:r w:rsidR="00285509">
        <w:rPr>
          <w:rFonts w:ascii="Times New Roman"/>
          <w:sz w:val="24"/>
          <w:szCs w:val="24"/>
        </w:rPr>
        <w:t xml:space="preserve">, </w:t>
      </w:r>
      <w:r w:rsidR="004770F4">
        <w:rPr>
          <w:rFonts w:ascii="Times New Roman"/>
          <w:sz w:val="24"/>
          <w:szCs w:val="24"/>
        </w:rPr>
        <w:t xml:space="preserve">age at </w:t>
      </w:r>
      <w:r w:rsidR="00285509">
        <w:rPr>
          <w:rFonts w:ascii="Times New Roman"/>
          <w:sz w:val="24"/>
          <w:szCs w:val="24"/>
        </w:rPr>
        <w:t>BMI rebound</w:t>
      </w:r>
      <w:r>
        <w:rPr>
          <w:rFonts w:ascii="Times New Roman"/>
          <w:sz w:val="24"/>
          <w:szCs w:val="24"/>
        </w:rPr>
        <w:t xml:space="preserve"> and frailty were observed. However, </w:t>
      </w:r>
      <w:r w:rsidRPr="005E6D38">
        <w:rPr>
          <w:rFonts w:ascii="Times New Roman"/>
          <w:sz w:val="24"/>
          <w:szCs w:val="24"/>
        </w:rPr>
        <w:t>t</w:t>
      </w:r>
      <w:r>
        <w:rPr>
          <w:rFonts w:ascii="Times New Roman"/>
          <w:sz w:val="24"/>
          <w:szCs w:val="24"/>
        </w:rPr>
        <w:t>he prevalence of frailty was higher (8.6%) than the cohort average (2.7%) in boys who at birth belonged to the lowest tertile of birth weight and at 11 years of age to the group with the highest (&gt;17.5 kg/m</w:t>
      </w:r>
      <w:r>
        <w:rPr>
          <w:rFonts w:ascii="Times New Roman"/>
          <w:sz w:val="24"/>
          <w:szCs w:val="24"/>
          <w:vertAlign w:val="superscript"/>
        </w:rPr>
        <w:t>2</w:t>
      </w:r>
      <w:r>
        <w:rPr>
          <w:rFonts w:ascii="Times New Roman"/>
          <w:sz w:val="24"/>
          <w:szCs w:val="24"/>
        </w:rPr>
        <w:t>) body mass index (4.2% and 4.3% respectively for girls</w:t>
      </w:r>
      <w:r w:rsidRPr="005E6D38">
        <w:rPr>
          <w:rFonts w:ascii="Times New Roman"/>
          <w:sz w:val="24"/>
          <w:szCs w:val="24"/>
        </w:rPr>
        <w:t>).</w:t>
      </w:r>
    </w:p>
    <w:p w14:paraId="1F302472" w14:textId="48107638" w:rsidR="00F51259" w:rsidRDefault="00F51259" w:rsidP="00F51259">
      <w:pPr>
        <w:spacing w:line="480" w:lineRule="auto"/>
        <w:jc w:val="both"/>
        <w:rPr>
          <w:rFonts w:ascii="Times New Roman"/>
          <w:i/>
          <w:sz w:val="24"/>
          <w:szCs w:val="24"/>
        </w:rPr>
      </w:pPr>
      <w:r>
        <w:rPr>
          <w:rFonts w:ascii="Times New Roman"/>
          <w:i/>
          <w:sz w:val="24"/>
          <w:szCs w:val="24"/>
        </w:rPr>
        <w:t>Infant and c</w:t>
      </w:r>
      <w:r w:rsidRPr="00D16A14">
        <w:rPr>
          <w:rFonts w:ascii="Times New Roman"/>
          <w:i/>
          <w:sz w:val="24"/>
          <w:szCs w:val="24"/>
        </w:rPr>
        <w:t>hildhood</w:t>
      </w:r>
      <w:r>
        <w:rPr>
          <w:rFonts w:ascii="Times New Roman"/>
          <w:i/>
          <w:sz w:val="24"/>
          <w:szCs w:val="24"/>
        </w:rPr>
        <w:t xml:space="preserve"> growth</w:t>
      </w:r>
      <w:r w:rsidR="001B612D">
        <w:rPr>
          <w:rFonts w:ascii="Times New Roman"/>
          <w:i/>
          <w:sz w:val="24"/>
          <w:szCs w:val="24"/>
        </w:rPr>
        <w:t xml:space="preserve"> and frailty</w:t>
      </w:r>
    </w:p>
    <w:p w14:paraId="588B5F9F" w14:textId="2B652390" w:rsidR="00936316" w:rsidRDefault="005F616F" w:rsidP="00F51259">
      <w:pPr>
        <w:spacing w:line="480" w:lineRule="auto"/>
        <w:jc w:val="both"/>
        <w:rPr>
          <w:rFonts w:ascii="Times New Roman"/>
          <w:sz w:val="24"/>
          <w:szCs w:val="24"/>
        </w:rPr>
      </w:pPr>
      <w:r>
        <w:rPr>
          <w:rFonts w:ascii="Times New Roman"/>
          <w:sz w:val="24"/>
          <w:szCs w:val="24"/>
        </w:rPr>
        <w:t>Infant and c</w:t>
      </w:r>
      <w:r w:rsidR="001108E4">
        <w:rPr>
          <w:rFonts w:ascii="Times New Roman"/>
          <w:sz w:val="24"/>
          <w:szCs w:val="24"/>
        </w:rPr>
        <w:t xml:space="preserve">hildhood growth of the boys and girls who </w:t>
      </w:r>
      <w:r w:rsidR="00D75813">
        <w:rPr>
          <w:rFonts w:ascii="Times New Roman"/>
          <w:sz w:val="24"/>
          <w:szCs w:val="24"/>
        </w:rPr>
        <w:t>were frail</w:t>
      </w:r>
      <w:r w:rsidR="001108E4">
        <w:rPr>
          <w:rFonts w:ascii="Times New Roman"/>
          <w:sz w:val="24"/>
          <w:szCs w:val="24"/>
        </w:rPr>
        <w:t xml:space="preserve"> in old age is expressed as mean Z scores in </w:t>
      </w:r>
      <w:r w:rsidR="00ED5E0F">
        <w:rPr>
          <w:rFonts w:ascii="Times New Roman"/>
          <w:sz w:val="24"/>
          <w:szCs w:val="24"/>
        </w:rPr>
        <w:t>Figure 1</w:t>
      </w:r>
      <w:r w:rsidR="001108E4">
        <w:rPr>
          <w:rFonts w:ascii="Times New Roman"/>
          <w:sz w:val="24"/>
          <w:szCs w:val="24"/>
        </w:rPr>
        <w:t>.</w:t>
      </w:r>
      <w:r w:rsidR="00936316">
        <w:rPr>
          <w:rFonts w:ascii="Times New Roman"/>
          <w:sz w:val="24"/>
          <w:szCs w:val="24"/>
        </w:rPr>
        <w:t xml:space="preserve"> A child maintaining size in relation to other children in the cohort would follow a horizontal path in the figure. Boys who later developed frailty, however, having been small in size at birth, had accelerated BMI and weight gain </w:t>
      </w:r>
      <w:r w:rsidR="00142116">
        <w:rPr>
          <w:rFonts w:ascii="Times New Roman"/>
          <w:sz w:val="24"/>
          <w:szCs w:val="24"/>
        </w:rPr>
        <w:t>starting approximately from the age of 1 year</w:t>
      </w:r>
      <w:r w:rsidR="00936316">
        <w:rPr>
          <w:rFonts w:ascii="Times New Roman"/>
          <w:sz w:val="24"/>
          <w:szCs w:val="24"/>
        </w:rPr>
        <w:t>.</w:t>
      </w:r>
      <w:r w:rsidR="00142116">
        <w:rPr>
          <w:rFonts w:ascii="Times New Roman"/>
          <w:sz w:val="24"/>
          <w:szCs w:val="24"/>
        </w:rPr>
        <w:t xml:space="preserve"> In childhood, the boys’ BMI and weight measurements increased further so that they were well above the cohort average</w:t>
      </w:r>
      <w:r w:rsidR="00362876">
        <w:rPr>
          <w:rFonts w:ascii="Times New Roman"/>
          <w:sz w:val="24"/>
          <w:szCs w:val="24"/>
        </w:rPr>
        <w:t xml:space="preserve">. </w:t>
      </w:r>
      <w:r w:rsidR="00936316">
        <w:rPr>
          <w:rFonts w:ascii="Times New Roman"/>
          <w:sz w:val="24"/>
          <w:szCs w:val="24"/>
        </w:rPr>
        <w:t>In contrast, their heights increased rapidly after birth but remained slightly below the cohort average thereafter. This was not observed in women, who despite being slightly below the cohort average at birth, experienced accelerated growth in early life. However, in childhood their mean measurements of weight, height and BMI regressed towards the horizontal line</w:t>
      </w:r>
      <w:r w:rsidR="00362876">
        <w:rPr>
          <w:rFonts w:ascii="Times New Roman"/>
          <w:sz w:val="24"/>
          <w:szCs w:val="24"/>
        </w:rPr>
        <w:t xml:space="preserve"> indicating the cohort average</w:t>
      </w:r>
      <w:r w:rsidR="00936316">
        <w:rPr>
          <w:rFonts w:ascii="Times New Roman"/>
          <w:sz w:val="24"/>
          <w:szCs w:val="24"/>
        </w:rPr>
        <w:t>.</w:t>
      </w:r>
      <w:r w:rsidR="00F51259">
        <w:rPr>
          <w:rFonts w:ascii="Times New Roman"/>
          <w:sz w:val="24"/>
          <w:szCs w:val="24"/>
        </w:rPr>
        <w:t xml:space="preserve"> </w:t>
      </w:r>
    </w:p>
    <w:p w14:paraId="4FB4FB66" w14:textId="6887D01F" w:rsidR="00571C58" w:rsidRDefault="00F51259" w:rsidP="00F51259">
      <w:pPr>
        <w:spacing w:line="480" w:lineRule="auto"/>
        <w:jc w:val="both"/>
        <w:rPr>
          <w:rFonts w:ascii="Times New Roman"/>
          <w:sz w:val="24"/>
          <w:szCs w:val="24"/>
        </w:rPr>
      </w:pPr>
      <w:r>
        <w:rPr>
          <w:rFonts w:ascii="Times New Roman"/>
          <w:sz w:val="24"/>
          <w:szCs w:val="24"/>
        </w:rPr>
        <w:t xml:space="preserve">Conditional growth was calculated for the age periods </w:t>
      </w:r>
      <w:r w:rsidR="00CB0C6F">
        <w:rPr>
          <w:rFonts w:ascii="Times New Roman"/>
          <w:sz w:val="24"/>
          <w:szCs w:val="24"/>
        </w:rPr>
        <w:t>of 0-6 months</w:t>
      </w:r>
      <w:r w:rsidR="00874C53">
        <w:rPr>
          <w:rFonts w:ascii="Times New Roman"/>
          <w:sz w:val="24"/>
          <w:szCs w:val="24"/>
        </w:rPr>
        <w:t xml:space="preserve"> (early infancy)</w:t>
      </w:r>
      <w:r w:rsidR="00CB0C6F">
        <w:rPr>
          <w:rFonts w:ascii="Times New Roman"/>
          <w:sz w:val="24"/>
          <w:szCs w:val="24"/>
        </w:rPr>
        <w:t xml:space="preserve">, 6-24 months </w:t>
      </w:r>
      <w:r w:rsidR="00874C53">
        <w:rPr>
          <w:rFonts w:ascii="Times New Roman"/>
          <w:sz w:val="24"/>
          <w:szCs w:val="24"/>
        </w:rPr>
        <w:t xml:space="preserve">(late infancy) </w:t>
      </w:r>
      <w:r w:rsidR="00CB0C6F">
        <w:rPr>
          <w:rFonts w:ascii="Times New Roman"/>
          <w:sz w:val="24"/>
          <w:szCs w:val="24"/>
        </w:rPr>
        <w:t>and 2</w:t>
      </w:r>
      <w:r w:rsidR="009A043D">
        <w:rPr>
          <w:rFonts w:ascii="Times New Roman"/>
          <w:sz w:val="24"/>
          <w:szCs w:val="24"/>
        </w:rPr>
        <w:t>-11 years</w:t>
      </w:r>
      <w:r w:rsidR="00874C53">
        <w:rPr>
          <w:rFonts w:ascii="Times New Roman"/>
          <w:sz w:val="24"/>
          <w:szCs w:val="24"/>
        </w:rPr>
        <w:t xml:space="preserve"> (childhood)</w:t>
      </w:r>
      <w:r w:rsidR="00F847A9">
        <w:rPr>
          <w:rFonts w:ascii="Times New Roman"/>
          <w:sz w:val="24"/>
          <w:szCs w:val="24"/>
        </w:rPr>
        <w:t>.</w:t>
      </w:r>
      <w:r w:rsidR="009A043D">
        <w:rPr>
          <w:rFonts w:ascii="Times New Roman"/>
          <w:sz w:val="24"/>
          <w:szCs w:val="24"/>
        </w:rPr>
        <w:t xml:space="preserve"> </w:t>
      </w:r>
      <w:r w:rsidR="00FD2FAC">
        <w:rPr>
          <w:rFonts w:ascii="Times New Roman"/>
          <w:sz w:val="24"/>
          <w:szCs w:val="24"/>
        </w:rPr>
        <w:t xml:space="preserve">No associations were observed between BMI </w:t>
      </w:r>
      <w:r w:rsidR="004A32EB">
        <w:rPr>
          <w:rFonts w:ascii="Times New Roman"/>
          <w:sz w:val="24"/>
          <w:szCs w:val="24"/>
        </w:rPr>
        <w:t>gain</w:t>
      </w:r>
      <w:r w:rsidR="00FD2FAC">
        <w:rPr>
          <w:rFonts w:ascii="Times New Roman"/>
          <w:sz w:val="24"/>
          <w:szCs w:val="24"/>
        </w:rPr>
        <w:t xml:space="preserve"> in infancy and frailty</w:t>
      </w:r>
      <w:r w:rsidR="00571C58">
        <w:rPr>
          <w:rFonts w:ascii="Times New Roman"/>
          <w:sz w:val="24"/>
          <w:szCs w:val="24"/>
        </w:rPr>
        <w:t xml:space="preserve">. </w:t>
      </w:r>
      <w:r w:rsidR="00FE58F1">
        <w:rPr>
          <w:rFonts w:ascii="Times New Roman"/>
          <w:sz w:val="24"/>
          <w:szCs w:val="24"/>
        </w:rPr>
        <w:t>However, in analyses conducted separately for men and</w:t>
      </w:r>
      <w:r w:rsidR="00FD2FAC">
        <w:rPr>
          <w:rFonts w:ascii="Times New Roman"/>
          <w:sz w:val="24"/>
          <w:szCs w:val="24"/>
        </w:rPr>
        <w:t xml:space="preserve"> women</w:t>
      </w:r>
      <w:r w:rsidR="00FE58F1">
        <w:rPr>
          <w:rFonts w:ascii="Times New Roman"/>
          <w:sz w:val="24"/>
          <w:szCs w:val="24"/>
        </w:rPr>
        <w:t xml:space="preserve">, greater BMI </w:t>
      </w:r>
      <w:r w:rsidR="004A32EB">
        <w:rPr>
          <w:rFonts w:ascii="Times New Roman"/>
          <w:sz w:val="24"/>
          <w:szCs w:val="24"/>
        </w:rPr>
        <w:t>gain</w:t>
      </w:r>
      <w:r w:rsidR="00FE58F1">
        <w:rPr>
          <w:rFonts w:ascii="Times New Roman"/>
          <w:sz w:val="24"/>
          <w:szCs w:val="24"/>
        </w:rPr>
        <w:t xml:space="preserve"> during the period of 2-11 years was associated with frailty in boys (age-adjusted RRR 2.36, 95% CI 1.21, 4.63). The association was attenua</w:t>
      </w:r>
      <w:r w:rsidR="00362876">
        <w:rPr>
          <w:rFonts w:ascii="Times New Roman"/>
          <w:sz w:val="24"/>
          <w:szCs w:val="24"/>
        </w:rPr>
        <w:t>ted after additional adjustment</w:t>
      </w:r>
      <w:r w:rsidR="00FE58F1">
        <w:rPr>
          <w:rFonts w:ascii="Times New Roman"/>
          <w:sz w:val="24"/>
          <w:szCs w:val="24"/>
        </w:rPr>
        <w:t xml:space="preserve"> for childhood and adulthood SES, adulthood BMI, smoking, hypertension and diabetes (adjusted RRR 2.07, 95% CI 0.94, 4.56). </w:t>
      </w:r>
      <w:r w:rsidR="006B5C45">
        <w:rPr>
          <w:rFonts w:ascii="Times New Roman"/>
          <w:sz w:val="24"/>
          <w:szCs w:val="24"/>
        </w:rPr>
        <w:t xml:space="preserve">Exclusion of adulthood BMI from the adjustments had little effect on the association (adjusted RRR 2.16, 95% CI 0.98, 4.73). </w:t>
      </w:r>
      <w:r w:rsidR="0038752F">
        <w:rPr>
          <w:rFonts w:ascii="Times New Roman"/>
          <w:sz w:val="24"/>
          <w:szCs w:val="24"/>
        </w:rPr>
        <w:t xml:space="preserve">Infant and childhood weight and height </w:t>
      </w:r>
      <w:r w:rsidR="002D425F">
        <w:rPr>
          <w:rFonts w:ascii="Times New Roman"/>
          <w:sz w:val="24"/>
          <w:szCs w:val="24"/>
        </w:rPr>
        <w:t>gain</w:t>
      </w:r>
      <w:r w:rsidR="0038752F">
        <w:rPr>
          <w:rFonts w:ascii="Times New Roman"/>
          <w:sz w:val="24"/>
          <w:szCs w:val="24"/>
        </w:rPr>
        <w:t xml:space="preserve"> were not associated with frailty in old age.</w:t>
      </w:r>
    </w:p>
    <w:p w14:paraId="7E9F76DE" w14:textId="7C1DA8EA" w:rsidR="00572DD2" w:rsidRPr="001D5E40" w:rsidRDefault="00777284" w:rsidP="00F51259">
      <w:pPr>
        <w:spacing w:line="480" w:lineRule="auto"/>
        <w:jc w:val="both"/>
        <w:rPr>
          <w:rFonts w:ascii="Times New Roman"/>
          <w:b/>
          <w:sz w:val="24"/>
          <w:szCs w:val="24"/>
        </w:rPr>
      </w:pPr>
      <w:r>
        <w:rPr>
          <w:rFonts w:ascii="Times New Roman"/>
          <w:b/>
          <w:sz w:val="24"/>
          <w:szCs w:val="24"/>
        </w:rPr>
        <w:t>Discussion</w:t>
      </w:r>
      <w:r w:rsidR="00797F22">
        <w:rPr>
          <w:rFonts w:ascii="Times New Roman"/>
          <w:sz w:val="24"/>
          <w:szCs w:val="24"/>
        </w:rPr>
        <w:t xml:space="preserve"> </w:t>
      </w:r>
    </w:p>
    <w:p w14:paraId="19138DD9" w14:textId="78D10B00" w:rsidR="00572DD2" w:rsidRDefault="00797F22" w:rsidP="00F51259">
      <w:pPr>
        <w:spacing w:line="480" w:lineRule="auto"/>
        <w:jc w:val="both"/>
        <w:rPr>
          <w:rFonts w:ascii="Times New Roman"/>
          <w:sz w:val="24"/>
          <w:szCs w:val="24"/>
        </w:rPr>
      </w:pPr>
      <w:r>
        <w:rPr>
          <w:rFonts w:ascii="Times New Roman"/>
          <w:sz w:val="24"/>
          <w:szCs w:val="24"/>
        </w:rPr>
        <w:t>Previously, a pattern of thinness both at birth and at 2 years followed by rapid growth thereafter</w:t>
      </w:r>
      <w:r w:rsidR="00572DD2">
        <w:rPr>
          <w:rFonts w:ascii="Times New Roman"/>
          <w:sz w:val="24"/>
          <w:szCs w:val="24"/>
        </w:rPr>
        <w:t>, with boys being more sensitive to weight and girls more sensitive to height gain,</w:t>
      </w:r>
      <w:r>
        <w:rPr>
          <w:rFonts w:ascii="Times New Roman"/>
          <w:sz w:val="24"/>
          <w:szCs w:val="24"/>
        </w:rPr>
        <w:t xml:space="preserve"> has been associated with chronic diseases such as cardiovascular disease and type 2 diabetes</w:t>
      </w:r>
      <w:r w:rsidR="00783ADD">
        <w:rPr>
          <w:rFonts w:ascii="Times New Roman"/>
          <w:sz w:val="24"/>
          <w:szCs w:val="24"/>
        </w:rPr>
        <w:t xml:space="preserve"> </w:t>
      </w:r>
      <w:r w:rsidR="00783ADD">
        <w:rPr>
          <w:rFonts w:ascii="Times New Roman"/>
          <w:sz w:val="24"/>
          <w:szCs w:val="24"/>
        </w:rPr>
        <w:fldChar w:fldCharType="begin" w:fldLock="1"/>
      </w:r>
      <w:r w:rsidR="00370CE4">
        <w:rPr>
          <w:rFonts w:ascii="Times New Roman"/>
          <w:sz w:val="24"/>
          <w:szCs w:val="24"/>
        </w:rPr>
        <w:instrText>ADDIN CSL_CITATION { "citationItems" : [ { "id" : "ITEM-1", "itemData" : { "DOI" : "10.1080/03014460902980295", "ISSN" : "1464-5033", "PMID" : "19562567", "abstract" : "There is now clear evidence that the pace and pathway of early growth is a major risk factor for the development of a group of chronic diseases that include coronary heart disease, stroke, type 2 diabetes and hypertension. This has led to a new 'developmental' model for these disorders. The so-called 'fetal origins hypothesis' proposes that the disorders originate through developmental plasticity, whereby malnutrition during fetal life, infancy and early childhood permanently change the structure and function of the body, a phenomenon known as 'programming'. This paper reviews recent findings in the Helsinki Birth Cohort, which comprises 13 345 men and women born in the city during 1934-1944. There is also an older cohort comprising 7086 people born during 1924-1933. We review the paths of pre- and postnatal growth that lead to later disease. Children who later develop coronary heart disease and type 2 diabetes grow slowly during fetal life and infancy but thereafter increase their body mass indices rapidly. Those who later develop stroke grow slowly in fetal life, infancy and during childhood. We also review how the growth of girls during infancy, childhood and at puberty influences chronic disease in the next generation.", "author" : [ { "dropping-particle" : "", "family" : "Barker", "given" : "David J P", "non-dropping-particle" : "", "parse-names" : false, "suffix" : "" }, { "dropping-particle" : "", "family" : "Osmond", "given" : "Clive", "non-dropping-particle" : "", "parse-names" : false, "suffix" : "" }, { "dropping-particle" : "", "family" : "Kajantie", "given" : "Eero", "non-dropping-particle" : "", "parse-names" : false, "suffix" : "" }, { "dropping-particle" : "", "family" : "Eriksson", "given" : "Johan G", "non-dropping-particle" : "", "parse-names" : false, "suffix" : "" } ], "container-title" : "Annals of human biology", "id" : "ITEM-1", "issue" : "5", "issued" : { "date-parts" : [ [ "2009", "1", "9" ] ] }, "page" : "445-58", "title" : "Growth and chronic disease: findings in the Helsinki Birth Cohort.", "type" : "article-journal", "volume" : "36" }, "uris" : [ "http://www.mendeley.com/documents/?uuid=47cb0ac4-7507-3544-96d4-3ee79b2f10b2" ] } ], "mendeley" : { "formattedCitation" : "&lt;span style=\"baseline\"&gt;(6)&lt;/span&gt;", "plainTextFormattedCitation" : "(6)", "previouslyFormattedCitation" : "&lt;span style=\"baseline\"&gt;(6)&lt;/span&gt;" }, "properties" : {  }, "schema" : "https://github.com/citation-style-language/schema/raw/master/csl-citation.json" }</w:instrText>
      </w:r>
      <w:r w:rsidR="00783ADD">
        <w:rPr>
          <w:rFonts w:ascii="Times New Roman"/>
          <w:sz w:val="24"/>
          <w:szCs w:val="24"/>
        </w:rPr>
        <w:fldChar w:fldCharType="separate"/>
      </w:r>
      <w:r w:rsidR="00370CE4" w:rsidRPr="00370CE4">
        <w:rPr>
          <w:rFonts w:ascii="Times New Roman"/>
          <w:noProof/>
          <w:sz w:val="24"/>
          <w:szCs w:val="24"/>
        </w:rPr>
        <w:t>(6)</w:t>
      </w:r>
      <w:r w:rsidR="00783ADD">
        <w:rPr>
          <w:rFonts w:ascii="Times New Roman"/>
          <w:sz w:val="24"/>
          <w:szCs w:val="24"/>
        </w:rPr>
        <w:fldChar w:fldCharType="end"/>
      </w:r>
      <w:r>
        <w:rPr>
          <w:rFonts w:ascii="Times New Roman"/>
          <w:sz w:val="24"/>
          <w:szCs w:val="24"/>
        </w:rPr>
        <w:t>.</w:t>
      </w:r>
      <w:r w:rsidR="00572DD2">
        <w:rPr>
          <w:rFonts w:ascii="Times New Roman"/>
          <w:sz w:val="24"/>
          <w:szCs w:val="24"/>
        </w:rPr>
        <w:t xml:space="preserve"> </w:t>
      </w:r>
      <w:r w:rsidR="001D5E40">
        <w:rPr>
          <w:rFonts w:ascii="Times New Roman"/>
          <w:sz w:val="24"/>
          <w:szCs w:val="24"/>
        </w:rPr>
        <w:t xml:space="preserve">Using unique data on growth in the Helsinki Birth Cohort Study, we are the first to report that men who were frail at the mean age of 71 years had on average experienced accelerated BMI gain between the ages of 2 and 11 years. </w:t>
      </w:r>
      <w:r w:rsidR="006C1F7B">
        <w:rPr>
          <w:rFonts w:ascii="Times New Roman"/>
          <w:sz w:val="24"/>
          <w:szCs w:val="24"/>
        </w:rPr>
        <w:t>Furthermore, f</w:t>
      </w:r>
      <w:r w:rsidR="001D5E40">
        <w:rPr>
          <w:rFonts w:ascii="Times New Roman"/>
          <w:sz w:val="24"/>
          <w:szCs w:val="24"/>
        </w:rPr>
        <w:t xml:space="preserve">railty was most prevalent in the boys who at birth belonged to the lowest third of birth weight and later at 11 years to the group with the highest BMI, </w:t>
      </w:r>
      <w:r w:rsidR="006A2712">
        <w:rPr>
          <w:rFonts w:ascii="Times New Roman"/>
          <w:sz w:val="24"/>
          <w:szCs w:val="24"/>
        </w:rPr>
        <w:t xml:space="preserve">a finding </w:t>
      </w:r>
      <w:r w:rsidR="001D5E40">
        <w:rPr>
          <w:rFonts w:ascii="Times New Roman"/>
          <w:sz w:val="24"/>
          <w:szCs w:val="24"/>
        </w:rPr>
        <w:t>which is in line with previous findings on physical functioning</w:t>
      </w:r>
      <w:r w:rsidR="00A9680D">
        <w:rPr>
          <w:rFonts w:ascii="Times New Roman"/>
          <w:sz w:val="24"/>
          <w:szCs w:val="24"/>
        </w:rPr>
        <w:t xml:space="preserve"> </w:t>
      </w:r>
      <w:r w:rsidR="00A9680D">
        <w:rPr>
          <w:rFonts w:ascii="Times New Roman"/>
          <w:sz w:val="24"/>
          <w:szCs w:val="24"/>
        </w:rPr>
        <w:fldChar w:fldCharType="begin" w:fldLock="1"/>
      </w:r>
      <w:r w:rsidR="00370CE4">
        <w:rPr>
          <w:rFonts w:ascii="Times New Roman"/>
          <w:sz w:val="24"/>
          <w:szCs w:val="24"/>
        </w:rPr>
        <w:instrText>ADDIN CSL_CITATION { "citationItems" : [ { "id" : "ITEM-1", "itemData" : { "DOI" : "10.1093/aje/kwr270", "ISSN" : "1476-6256", "PMID" : "22071586", "abstract" : "The study reports on the associations of infant and childhood anthropometric measurements, early growth, and the combined effect of birth weight and childhood body mass index with older age physical functioning among 1,999 individuals born in 1934-1944 and belonging to the Helsinki Birth Cohort Study. Physical functioning was assessed by the Short Form 36 scale. Anthropometric data from infancy and childhood were retrieved from medical records. The risk of lower Short Form 36 physical functioning at the mean age of 61.6 years was increased for those with birth weight less than 2.5 kg compared with those weighing 3.0-3.5 kg at birth (odds ratio (OR) = 2.73, 95% confidence interval (CI): 1.57, 4.72). The gain in weight from birth to age 2 years was associated with decreased risk of lower physical functioning for a 1-standard deviation increase (OR = 0.84, 95% CI: 0.75, 0.94). The risk of lower physical functioning was highest for individuals with birth weight in the lowest third and body mass index at 11 years of age in the highest third compared with those whose birth weight was in the middle third and body mass index at age 11 years was in the highest third (OR = 3.08, 95% CI: 1.83, 5.19). The increasing prevalence of obesity at all ages and the aging of populations warrant closer investigation of the role of weight trajectories in old age functional decline.", "author" : [ { "dropping-particle" : "", "family" : "Bonsdorff", "given" : "Mikaela B", "non-dropping-particle" : "von", "parse-names" : false, "suffix" : "" }, { "dropping-particle" : "", "family" : "Rantanen", "given" : "Taina", "non-dropping-particle" : "", "parse-names" : false, "suffix" : "" }, { "dropping-particle" : "", "family" : "Sipil\u00e4", "given" : "Sarianna", "non-dropping-particle" : "", "parse-names" : false, "suffix" : "" }, { "dropping-particle" : "", "family" : "Salonen", "given" : "Minna K", "non-dropping-particle" : "", "parse-names" : false, "suffix" : "" }, { "dropping-particle" : "", "family" : "Kajantie", "given" : "Eero", "non-dropping-particle" : "", "parse-names" : false, "suffix" : "" }, { "dropping-particle" : "", "family" : "Osmond", "given" : "Clive", "non-dropping-particle" : "", "parse-names" : false, "suffix" : "" }, { "dropping-particle" : "", "family" : "Barker", "given" : "David J P", "non-dropping-particle" : "", "parse-names" : false, "suffix" : "" }, { "dropping-particle" : "", "family" : "Eriksson", "given" : "Johan G", "non-dropping-particle" : "", "parse-names" : false, "suffix" : "" } ], "container-title" : "American journal of epidemiology", "id" : "ITEM-1", "issue" : "12", "issued" : { "date-parts" : [ [ "2011", "12", "15" ] ] }, "page" : "1336-44", "title" : "Birth size and childhood growth as determinants of physical functioning in older age: the Helsinki Birth Cohort Study.", "type" : "article-journal", "volume" : "174" }, "uris" : [ "http://www.mendeley.com/documents/?uuid=8dd959da-d5da-3633-881c-f0223718d890" ] } ], "mendeley" : { "formattedCitation" : "&lt;span style=\"baseline\"&gt;(14)&lt;/span&gt;", "plainTextFormattedCitation" : "(14)", "previouslyFormattedCitation" : "&lt;span style=\"baseline\"&gt;(14)&lt;/span&gt;" }, "properties" : {  }, "schema" : "https://github.com/citation-style-language/schema/raw/master/csl-citation.json" }</w:instrText>
      </w:r>
      <w:r w:rsidR="00A9680D">
        <w:rPr>
          <w:rFonts w:ascii="Times New Roman"/>
          <w:sz w:val="24"/>
          <w:szCs w:val="24"/>
        </w:rPr>
        <w:fldChar w:fldCharType="separate"/>
      </w:r>
      <w:r w:rsidR="00370CE4" w:rsidRPr="00370CE4">
        <w:rPr>
          <w:rFonts w:ascii="Times New Roman"/>
          <w:noProof/>
          <w:sz w:val="24"/>
          <w:szCs w:val="24"/>
        </w:rPr>
        <w:t>(14)</w:t>
      </w:r>
      <w:r w:rsidR="00A9680D">
        <w:rPr>
          <w:rFonts w:ascii="Times New Roman"/>
          <w:sz w:val="24"/>
          <w:szCs w:val="24"/>
        </w:rPr>
        <w:fldChar w:fldCharType="end"/>
      </w:r>
      <w:r w:rsidR="001D5E40">
        <w:rPr>
          <w:rFonts w:ascii="Times New Roman"/>
          <w:sz w:val="24"/>
          <w:szCs w:val="24"/>
        </w:rPr>
        <w:t>.</w:t>
      </w:r>
    </w:p>
    <w:p w14:paraId="0AC2CC24" w14:textId="5F39F8B3" w:rsidR="00E07BDF" w:rsidRDefault="001D5E40" w:rsidP="00F51259">
      <w:pPr>
        <w:spacing w:line="480" w:lineRule="auto"/>
        <w:jc w:val="both"/>
        <w:rPr>
          <w:rFonts w:ascii="Times New Roman"/>
          <w:sz w:val="24"/>
          <w:szCs w:val="24"/>
        </w:rPr>
      </w:pPr>
      <w:r>
        <w:rPr>
          <w:rFonts w:ascii="Times New Roman"/>
          <w:sz w:val="24"/>
          <w:szCs w:val="24"/>
        </w:rPr>
        <w:t>Possible mechanisms underlying the association between childhood growth and frailty in old age could include besides environmental, genetic as well as epigenetic mechanisms, early programming. An unfavourable pre-natal environment may result in the trade-off of muscle tissue at the expense of the development of vital organs such as the brain</w:t>
      </w:r>
      <w:r w:rsidR="00822C43">
        <w:rPr>
          <w:rFonts w:ascii="Times New Roman"/>
          <w:sz w:val="24"/>
          <w:szCs w:val="24"/>
        </w:rPr>
        <w:t xml:space="preserve"> </w:t>
      </w:r>
      <w:r w:rsidR="00822C43">
        <w:rPr>
          <w:rFonts w:ascii="Times New Roman"/>
          <w:sz w:val="24"/>
          <w:szCs w:val="24"/>
        </w:rPr>
        <w:fldChar w:fldCharType="begin" w:fldLock="1"/>
      </w:r>
      <w:r w:rsidR="00370CE4">
        <w:rPr>
          <w:rFonts w:ascii="Times New Roman"/>
          <w:sz w:val="24"/>
          <w:szCs w:val="24"/>
        </w:rPr>
        <w:instrText>ADDIN CSL_CITATION { "citationItems" : [ { "id" : "ITEM-1", "itemData" : { "DOI" : "10.1093/ije/dyt133", "ISSN" : "0300-5771", "PMID" : "24159065", "author" : [ { "dropping-particle" : "", "family" : "Hales", "given" : "C.", "non-dropping-particle" : "", "parse-names" : false, "suffix" : "" }, { "dropping-particle" : "", "family" : "Barker", "given" : "D.", "non-dropping-particle" : "", "parse-names" : false, "suffix" : "" } ], "container-title" : "International Journal of Epidemiology", "id" : "ITEM-1", "issue" : "5", "issued" : { "date-parts" : [ [ "2013", "10", "1" ] ] }, "page" : "1215-1222", "title" : "Type 2 (non-insulin-dependent) diabetes mellitus: the thrifty phenotype hypothesis", "type" : "article-journal", "volume" : "42" }, "uris" : [ "http://www.mendeley.com/documents/?uuid=0e133ed0-9e2c-387b-9c4e-6fa0ab057198" ] } ], "mendeley" : { "formattedCitation" : "&lt;span style=\"baseline\"&gt;(15)&lt;/span&gt;", "plainTextFormattedCitation" : "(15)", "previouslyFormattedCitation" : "&lt;span style=\"baseline\"&gt;(15)&lt;/span&gt;" }, "properties" : {  }, "schema" : "https://github.com/citation-style-language/schema/raw/master/csl-citation.json" }</w:instrText>
      </w:r>
      <w:r w:rsidR="00822C43">
        <w:rPr>
          <w:rFonts w:ascii="Times New Roman"/>
          <w:sz w:val="24"/>
          <w:szCs w:val="24"/>
        </w:rPr>
        <w:fldChar w:fldCharType="separate"/>
      </w:r>
      <w:r w:rsidR="00370CE4" w:rsidRPr="00370CE4">
        <w:rPr>
          <w:rFonts w:ascii="Times New Roman"/>
          <w:noProof/>
          <w:sz w:val="24"/>
          <w:szCs w:val="24"/>
        </w:rPr>
        <w:t>(15)</w:t>
      </w:r>
      <w:r w:rsidR="00822C43">
        <w:rPr>
          <w:rFonts w:ascii="Times New Roman"/>
          <w:sz w:val="24"/>
          <w:szCs w:val="24"/>
        </w:rPr>
        <w:fldChar w:fldCharType="end"/>
      </w:r>
      <w:r>
        <w:rPr>
          <w:rFonts w:ascii="Times New Roman"/>
          <w:sz w:val="24"/>
          <w:szCs w:val="24"/>
        </w:rPr>
        <w:t>. Early infancy is of major importance for muscle development, and as a result of this trade-off, babies born small lack muscle tissue which can persist into later life and manifest as decreased muscle strength</w:t>
      </w:r>
      <w:r w:rsidR="00822C43">
        <w:rPr>
          <w:rFonts w:ascii="Times New Roman"/>
          <w:sz w:val="24"/>
          <w:szCs w:val="24"/>
        </w:rPr>
        <w:t xml:space="preserve"> </w:t>
      </w:r>
      <w:r w:rsidR="00822C43">
        <w:rPr>
          <w:rFonts w:ascii="Times New Roman"/>
          <w:sz w:val="24"/>
          <w:szCs w:val="24"/>
        </w:rPr>
        <w:fldChar w:fldCharType="begin" w:fldLock="1"/>
      </w:r>
      <w:r w:rsidR="00370CE4">
        <w:rPr>
          <w:rFonts w:ascii="Times New Roman"/>
          <w:sz w:val="24"/>
          <w:szCs w:val="24"/>
        </w:rPr>
        <w:instrText>ADDIN CSL_CITATION { "citationItems" : [ { "id" : "ITEM-1", "itemData" : { "DOI" : "10.1038/sj.ijo.0803612", "ISSN" : "0307-0565", "PMID" : "17356523", "abstract" : "OBJECTIVE Low birth weight has been linked to lower lean body mass and abdominal obesity later in life, whereas high birth weight has been suggested to predict later obesity as indicated by high body mass index (BMI). We examined how birth weight was related to adult body size, body composition and grip strength. DESIGN/SUBJECTS Cross-sectional study on 928 men and 1075 women born in 1934-1944, with measurements at birth recorded. MEASUREMENTS Height, weight, waist and hip circumference and isometric grip strength were measured. Lean and fat body mass were estimated by bioelectrical impedance with an eight-polar tactile electrode system. RESULTS A 1 kg increase in birth weight corresponded in men to a 4.1 kg (95% CI: 3.1, 5.1) and in women to a 2.9 kg (2.1, 3.6) increase in adult lean mass. This association remained significant after adjustment for age, adult body size, physical activity, smoking status, social class and maternal size. Grip strength was positively related to birth weight through its association with lean mass. The positive association of birth weight with adult BMI was explained by its association with lean mass. Low birth weight was related to higher body fat percentage only after adjustment for adult BMI. Abdominal obesity was not predicted by low birth weight. CONCLUSIONS Low birth weight is associated with lower lean mass in adult life and thus contributes to the risk of relative sarcopenia and the related functional inability at the other end of the lifespan. At a given level of adult BMI, low birth weight predicts higher body fat percentage.", "author" : [ { "dropping-particle" : "", "family" : "Ylih\u00e4rsil\u00e4", "given" : "H", "non-dropping-particle" : "", "parse-names" : false, "suffix" : "" }, { "dropping-particle" : "", "family" : "Kajantie", "given" : "E", "non-dropping-particle" : "", "parse-names" : false, "suffix" : "" }, { "dropping-particle" : "", "family" : "Osmond", "given" : "C", "non-dropping-particle" : "", "parse-names" : false, "suffix" : "" }, { "dropping-particle" : "", "family" : "Fors\u00e9n", "given" : "T", "non-dropping-particle" : "", "parse-names" : false, "suffix" : "" }, { "dropping-particle" : "", "family" : "Barker", "given" : "D J P", "non-dropping-particle" : "", "parse-names" : false, "suffix" : "" }, { "dropping-particle" : "", "family" : "Eriksson", "given" : "J G", "non-dropping-particle" : "", "parse-names" : false, "suffix" : "" } ], "container-title" : "International journal of obesity (2005)", "id" : "ITEM-1", "issue" : "9", "issued" : { "date-parts" : [ [ "2007", "9", "13" ] ] }, "page" : "1392-9", "title" : "Birth size, adult body composition and muscle strength in later life.", "type" : "article-journal", "volume" : "31" }, "uris" : [ "http://www.mendeley.com/documents/?uuid=eeaf3e30-4055-38c9-afff-3853370c9100" ] } ], "mendeley" : { "formattedCitation" : "&lt;span style=\"baseline\"&gt;(16)&lt;/span&gt;", "plainTextFormattedCitation" : "(16)", "previouslyFormattedCitation" : "&lt;span style=\"baseline\"&gt;(16)&lt;/span&gt;" }, "properties" : {  }, "schema" : "https://github.com/citation-style-language/schema/raw/master/csl-citation.json" }</w:instrText>
      </w:r>
      <w:r w:rsidR="00822C43">
        <w:rPr>
          <w:rFonts w:ascii="Times New Roman"/>
          <w:sz w:val="24"/>
          <w:szCs w:val="24"/>
        </w:rPr>
        <w:fldChar w:fldCharType="separate"/>
      </w:r>
      <w:r w:rsidR="00370CE4" w:rsidRPr="00370CE4">
        <w:rPr>
          <w:rFonts w:ascii="Times New Roman"/>
          <w:noProof/>
          <w:sz w:val="24"/>
          <w:szCs w:val="24"/>
        </w:rPr>
        <w:t>(16)</w:t>
      </w:r>
      <w:r w:rsidR="00822C43">
        <w:rPr>
          <w:rFonts w:ascii="Times New Roman"/>
          <w:sz w:val="24"/>
          <w:szCs w:val="24"/>
        </w:rPr>
        <w:fldChar w:fldCharType="end"/>
      </w:r>
      <w:r>
        <w:rPr>
          <w:rFonts w:ascii="Times New Roman"/>
          <w:sz w:val="24"/>
          <w:szCs w:val="24"/>
        </w:rPr>
        <w:t xml:space="preserve">. </w:t>
      </w:r>
      <w:r w:rsidR="005A7C5B">
        <w:rPr>
          <w:rFonts w:ascii="Times New Roman"/>
          <w:sz w:val="24"/>
          <w:szCs w:val="24"/>
        </w:rPr>
        <w:t>Thus</w:t>
      </w:r>
      <w:r w:rsidR="002D1AC4">
        <w:rPr>
          <w:rFonts w:ascii="Times New Roman"/>
          <w:sz w:val="24"/>
          <w:szCs w:val="24"/>
        </w:rPr>
        <w:t xml:space="preserve">, the observed BMI gain in the present study may have been attributed to increases in primarily adipose tissue. </w:t>
      </w:r>
      <w:r w:rsidR="001E02F5" w:rsidRPr="00526599">
        <w:rPr>
          <w:rFonts w:ascii="Times New Roman"/>
          <w:sz w:val="24"/>
          <w:szCs w:val="24"/>
        </w:rPr>
        <w:t>Although greater rates of frailty have been observed among individuals with both high and low BMI, a higher waist circumference indicating abdominal obesity was associated with frailty even within normal ranges of BMI</w:t>
      </w:r>
      <w:r w:rsidR="00FE256C" w:rsidRPr="00526599">
        <w:rPr>
          <w:rFonts w:ascii="Times New Roman"/>
          <w:sz w:val="24"/>
          <w:szCs w:val="24"/>
        </w:rPr>
        <w:t xml:space="preserve"> </w:t>
      </w:r>
      <w:r w:rsidR="00FE256C" w:rsidRPr="00526599">
        <w:rPr>
          <w:rFonts w:ascii="Times New Roman"/>
          <w:sz w:val="24"/>
          <w:szCs w:val="24"/>
        </w:rPr>
        <w:fldChar w:fldCharType="begin" w:fldLock="1"/>
      </w:r>
      <w:r w:rsidR="00370CE4" w:rsidRPr="00526599">
        <w:rPr>
          <w:rFonts w:ascii="Times New Roman"/>
          <w:sz w:val="24"/>
          <w:szCs w:val="24"/>
        </w:rPr>
        <w:instrText>ADDIN CSL_CITATION { "citationItems" : [ { "id" : "ITEM-1", "itemData" : { "DOI" : "10.1093/gerona/glp186", "ISSN" : "1079-5006", "author" : [ { "dropping-particle" : "", "family" : "Hubbard", "given" : "R. E.", "non-dropping-particle" : "", "parse-names" : false, "suffix" : "" }, { "dropping-particle" : "", "family" : "Lang", "given" : "I. A.", "non-dropping-particle" : "", "parse-names" : false, "suffix" : "" }, { "dropping-particle" : "", "family" : "Llewellyn", "given" : "D. J.", "non-dropping-particle" : "", "parse-names" : false, "suffix" : "" }, { "dropping-particle" : "", "family" : "Rockwood", "given" : "K.", "non-dropping-particle" : "", "parse-names" : false, "suffix" : "" } ], "container-title" : "The Journals of Gerontology Series A: Biological Sciences and Medical Sciences", "id" : "ITEM-1", "issue" : "4", "issued" : { "date-parts" : [ [ "2010", "4", "1" ] ] }, "page" : "377-381", "publisher" : "Oxford University Press", "title" : "Frailty, Body Mass Index, and Abdominal Obesity in Older People", "type" : "article-journal", "volume" : "65A" }, "uris" : [ "http://www.mendeley.com/documents/?uuid=36ee6fa6-6fa2-33cf-81c6-f2003de77fe9" ] } ], "mendeley" : { "formattedCitation" : "&lt;span style=\"baseline\"&gt;(17)&lt;/span&gt;", "plainTextFormattedCitation" : "(17)", "previouslyFormattedCitation" : "&lt;span style=\"baseline\"&gt;(17)&lt;/span&gt;" }, "properties" : {  }, "schema" : "https://github.com/citation-style-language/schema/raw/master/csl-citation.json" }</w:instrText>
      </w:r>
      <w:r w:rsidR="00FE256C" w:rsidRPr="00526599">
        <w:rPr>
          <w:rFonts w:ascii="Times New Roman"/>
          <w:sz w:val="24"/>
          <w:szCs w:val="24"/>
        </w:rPr>
        <w:fldChar w:fldCharType="separate"/>
      </w:r>
      <w:r w:rsidR="00370CE4" w:rsidRPr="00526599">
        <w:rPr>
          <w:rFonts w:ascii="Times New Roman"/>
          <w:noProof/>
          <w:sz w:val="24"/>
          <w:szCs w:val="24"/>
        </w:rPr>
        <w:t>(17)</w:t>
      </w:r>
      <w:r w:rsidR="00FE256C" w:rsidRPr="00526599">
        <w:rPr>
          <w:rFonts w:ascii="Times New Roman"/>
          <w:sz w:val="24"/>
          <w:szCs w:val="24"/>
        </w:rPr>
        <w:fldChar w:fldCharType="end"/>
      </w:r>
      <w:r w:rsidR="001E02F5" w:rsidRPr="00526599">
        <w:rPr>
          <w:rFonts w:ascii="Times New Roman"/>
          <w:sz w:val="24"/>
          <w:szCs w:val="24"/>
        </w:rPr>
        <w:t>.</w:t>
      </w:r>
      <w:r w:rsidR="005A7C5B" w:rsidRPr="00526599">
        <w:rPr>
          <w:rFonts w:ascii="Times New Roman"/>
          <w:sz w:val="24"/>
          <w:szCs w:val="24"/>
        </w:rPr>
        <w:t xml:space="preserve"> </w:t>
      </w:r>
      <w:r w:rsidR="009F7947" w:rsidRPr="00526599">
        <w:rPr>
          <w:rFonts w:ascii="Times New Roman"/>
          <w:sz w:val="24"/>
          <w:szCs w:val="24"/>
        </w:rPr>
        <w:t xml:space="preserve">Furthermore, </w:t>
      </w:r>
      <w:r w:rsidR="00A67EEB" w:rsidRPr="00526599">
        <w:rPr>
          <w:rFonts w:ascii="Times New Roman"/>
          <w:sz w:val="24"/>
          <w:szCs w:val="24"/>
        </w:rPr>
        <w:t>BMI</w:t>
      </w:r>
      <w:r w:rsidR="006234F7" w:rsidRPr="00526599">
        <w:rPr>
          <w:rFonts w:ascii="Times New Roman"/>
          <w:sz w:val="24"/>
          <w:szCs w:val="24"/>
        </w:rPr>
        <w:t xml:space="preserve"> has also been found to mediate </w:t>
      </w:r>
      <w:r w:rsidR="0055408F" w:rsidRPr="00526599">
        <w:rPr>
          <w:rFonts w:ascii="Times New Roman"/>
          <w:sz w:val="24"/>
          <w:szCs w:val="24"/>
        </w:rPr>
        <w:t xml:space="preserve">certain </w:t>
      </w:r>
      <w:r w:rsidR="00A67EEB" w:rsidRPr="00526599">
        <w:rPr>
          <w:rFonts w:ascii="Times New Roman"/>
          <w:sz w:val="24"/>
          <w:szCs w:val="24"/>
        </w:rPr>
        <w:t>factors that are associated with frailty</w:t>
      </w:r>
      <w:r w:rsidR="006234F7" w:rsidRPr="00526599">
        <w:rPr>
          <w:rFonts w:ascii="Times New Roman"/>
          <w:sz w:val="24"/>
          <w:szCs w:val="24"/>
        </w:rPr>
        <w:t>, namely markers of systemic</w:t>
      </w:r>
      <w:r w:rsidR="0085713A" w:rsidRPr="00526599">
        <w:rPr>
          <w:rFonts w:ascii="Times New Roman"/>
          <w:sz w:val="24"/>
          <w:szCs w:val="24"/>
        </w:rPr>
        <w:t xml:space="preserve"> inflammation</w:t>
      </w:r>
      <w:r w:rsidR="00F66580" w:rsidRPr="00526599">
        <w:rPr>
          <w:rFonts w:ascii="Times New Roman"/>
          <w:sz w:val="24"/>
          <w:szCs w:val="24"/>
        </w:rPr>
        <w:t xml:space="preserve"> </w:t>
      </w:r>
      <w:r w:rsidR="0046580E" w:rsidRPr="00526599">
        <w:rPr>
          <w:rFonts w:ascii="Times New Roman"/>
          <w:sz w:val="24"/>
          <w:szCs w:val="24"/>
        </w:rPr>
        <w:fldChar w:fldCharType="begin" w:fldLock="1"/>
      </w:r>
      <w:r w:rsidR="00370CE4" w:rsidRPr="00526599">
        <w:rPr>
          <w:rFonts w:ascii="Times New Roman"/>
          <w:sz w:val="24"/>
          <w:szCs w:val="24"/>
        </w:rPr>
        <w:instrText>ADDIN CSL_CITATION { "citationItems" : [ { "id" : "ITEM-1", "itemData" : { "DOI" : "10.1016/j.arr.2016.08.006", "ISSN" : "15681637", "PMID" : "27592340", "abstract" : "The pathogenesis of frailty and the role of inflammation is poorly understood. We examined the evidence considering the relationship between inflammation and frailty through a systematic review and meta-analysis. A systematic literature search of papers providing data on inflammatory biomarkers and frailty was carried out in major electronic databases from inception until May 2016. From 1856 initial hits, 35 studies (32 cross-sectional studies n=3232 frail, n=11,483 pre-frail and n=8522 robust, and 563 pre-frail+robust; 3 longitudinal studies n=3402 participants without frailty at baseline) were meta-analyzed. Cross-sectional studies reported that compared to 6757 robust participants, both 1698 frail (SMD=1.00, 95%CI: 0.40-1.61) and 8568 pre-frail (SMD=0.33, 95%CI: 0.04-0.62) participants had significantly higher levels of C-reactive protein (CRP). Frailty (n=1057; SMD=1.12, 95%CI: 0.27-2.13) and pre-frailty (n=4467; SMD=0.56, 95%CI: 0.00-1.11) were associated with higher serum levels of interleukin-6 compared to people who were robust (n=2392). Frailty and pre-frailty were also significantly associated with elevated white blood cell and fibrinogen levels. In three longitudinal studies, higher serum CRP (OR=1.06, 95%CI: 0.78-1.44,) and IL-6 (OR=1.19, 95%CI: 0.87-1.62) were not associated with frailty. In conclusion, frailty and pre-frailty are associated with higher inflammatory parameters and in particular CRP and IL-6. Further longitudinal studies are needed.", "author" : [ { "dropping-particle" : "", "family" : "Soysal", "given" : "Pinar", "non-dropping-particle" : "", "parse-names" : false, "suffix" : "" }, { "dropping-particle" : "", "family" : "Stubbs", "given" : "Brendon", "non-dropping-particle" : "", "parse-names" : false, "suffix" : "" }, { "dropping-particle" : "", "family" : "Lucato", "given" : "Paola", "non-dropping-particle" : "", "parse-names" : false, "suffix" : "" }, { "dropping-particle" : "", "family" : "Luchini", "given" : "Claudio", "non-dropping-particle" : "", "parse-names" : false, "suffix" : "" }, { "dropping-particle" : "", "family" : "Solmi", "given" : "Marco", "non-dropping-particle" : "", "parse-names" : false, "suffix" : "" }, { "dropping-particle" : "", "family" : "Peluso", "given" : "Roberto", "non-dropping-particle" : "", "parse-names" : false, "suffix" : "" }, { "dropping-particle" : "", "family" : "Sergi", "given" : "Giuseppe", "non-dropping-particle" : "", "parse-names" : false, "suffix" : "" }, { "dropping-particle" : "", "family" : "Isik", "given" : "Ahmet Turan", "non-dropping-particle" : "", "parse-names" : false, "suffix" : "" }, { "dropping-particle" : "", "family" : "Manzato", "given" : "Enzo", "non-dropping-particle" : "", "parse-names" : false, "suffix" : "" }, { "dropping-particle" : "", "family" : "Maggi", "given" : "Stefania", "non-dropping-particle" : "", "parse-names" : false, "suffix" : "" }, { "dropping-particle" : "", "family" : "Maggio", "given" : "Marcello", "non-dropping-particle" : "", "parse-names" : false, "suffix" : "" }, { "dropping-particle" : "", "family" : "Prina", "given" : "A. Matthew", "non-dropping-particle" : "", "parse-names" : false, "suffix" : "" }, { "dropping-particle" : "", "family" : "Cosco", "given" : "Theodore D.", "non-dropping-particle" : "", "parse-names" : false, "suffix" : "" }, { "dropping-particle" : "", "family" : "Wu", "given" : "Yu-Tzu", "non-dropping-particle" : "", "parse-names" : false, "suffix" : "" }, { "dropping-particle" : "", "family" : "Veronese", "given" : "Nicola", "non-dropping-particle" : "", "parse-names" : false, "suffix" : "" } ], "container-title" : "Ageing Research Reviews", "id" : "ITEM-1", "issued" : { "date-parts" : [ [ "2016", "11" ] ] }, "page" : "1-8", "title" : "Inflammation and frailty in the elderly: A systematic review and meta-analysis", "type" : "article-journal", "volume" : "31" }, "uris" : [ "http://www.mendeley.com/documents/?uuid=0736c357-5d11-382f-8efd-c44d12bc8b51" ] } ], "mendeley" : { "formattedCitation" : "&lt;span style=\"baseline\"&gt;(18)&lt;/span&gt;", "plainTextFormattedCitation" : "(18)", "previouslyFormattedCitation" : "&lt;span style=\"baseline\"&gt;(18)&lt;/span&gt;" }, "properties" : {  }, "schema" : "https://github.com/citation-style-language/schema/raw/master/csl-citation.json" }</w:instrText>
      </w:r>
      <w:r w:rsidR="0046580E" w:rsidRPr="00526599">
        <w:rPr>
          <w:rFonts w:ascii="Times New Roman"/>
          <w:sz w:val="24"/>
          <w:szCs w:val="24"/>
        </w:rPr>
        <w:fldChar w:fldCharType="separate"/>
      </w:r>
      <w:r w:rsidR="00370CE4" w:rsidRPr="00526599">
        <w:rPr>
          <w:rFonts w:ascii="Times New Roman"/>
          <w:noProof/>
          <w:sz w:val="24"/>
          <w:szCs w:val="24"/>
        </w:rPr>
        <w:t>(18)</w:t>
      </w:r>
      <w:r w:rsidR="0046580E" w:rsidRPr="00526599">
        <w:rPr>
          <w:rFonts w:ascii="Times New Roman"/>
          <w:sz w:val="24"/>
          <w:szCs w:val="24"/>
        </w:rPr>
        <w:fldChar w:fldCharType="end"/>
      </w:r>
      <w:r w:rsidR="00F66580" w:rsidRPr="00526599">
        <w:rPr>
          <w:rFonts w:ascii="Times New Roman"/>
          <w:sz w:val="24"/>
          <w:szCs w:val="24"/>
        </w:rPr>
        <w:t>,</w:t>
      </w:r>
      <w:r w:rsidR="009F7947" w:rsidRPr="00526599">
        <w:rPr>
          <w:rFonts w:ascii="Times New Roman"/>
          <w:sz w:val="24"/>
          <w:szCs w:val="24"/>
        </w:rPr>
        <w:t xml:space="preserve"> the role of which </w:t>
      </w:r>
      <w:r w:rsidR="00F66580" w:rsidRPr="00526599">
        <w:rPr>
          <w:rFonts w:ascii="Times New Roman"/>
          <w:sz w:val="24"/>
          <w:szCs w:val="24"/>
        </w:rPr>
        <w:t xml:space="preserve">in aging-related chronic disease pathogenesis has been established </w:t>
      </w:r>
      <w:r w:rsidR="00D969A3" w:rsidRPr="00526599">
        <w:rPr>
          <w:rFonts w:ascii="Times New Roman"/>
          <w:sz w:val="24"/>
          <w:szCs w:val="24"/>
        </w:rPr>
        <w:fldChar w:fldCharType="begin" w:fldLock="1"/>
      </w:r>
      <w:r w:rsidR="00370CE4" w:rsidRPr="00526599">
        <w:rPr>
          <w:rFonts w:ascii="Times New Roman"/>
          <w:sz w:val="24"/>
          <w:szCs w:val="24"/>
        </w:rPr>
        <w:instrText>ADDIN CSL_CITATION { "citationItems" : [ { "id" : "ITEM-1", "itemData" : { "DOI" : "10.1093/gerona/glu057", "ISSN" : "1079-5006", "author" : [ { "dropping-particle" : "", "family" : "Franceschi", "given" : "C.", "non-dropping-particle" : "", "parse-names" : false, "suffix" : "" }, { "dropping-particle" : "", "family" : "Campisi", "given" : "J.", "non-dropping-particle" : "", "parse-names" : false, "suffix" : "" } ], "container-title" : "The Journals of Gerontology Series A: Biological Sciences and Medical Sciences", "id" : "ITEM-1", "issue" : "Suppl 1", "issued" : { "date-parts" : [ [ "2014", "6", "1" ] ] }, "page" : "S4-S9", "publisher" : "Oxford University Press", "title" : "Chronic Inflammation (Inflammaging) and Its Potential Contribution to Age-Associated Diseases", "type" : "article-journal", "volume" : "69" }, "uris" : [ "http://www.mendeley.com/documents/?uuid=52360c02-8c51-3fb8-b716-a62712e803f4" ] } ], "mendeley" : { "formattedCitation" : "&lt;span style=\"baseline\"&gt;(19)&lt;/span&gt;", "plainTextFormattedCitation" : "(19)", "previouslyFormattedCitation" : "&lt;span style=\"baseline\"&gt;(19)&lt;/span&gt;" }, "properties" : {  }, "schema" : "https://github.com/citation-style-language/schema/raw/master/csl-citation.json" }</w:instrText>
      </w:r>
      <w:r w:rsidR="00D969A3" w:rsidRPr="00526599">
        <w:rPr>
          <w:rFonts w:ascii="Times New Roman"/>
          <w:sz w:val="24"/>
          <w:szCs w:val="24"/>
        </w:rPr>
        <w:fldChar w:fldCharType="separate"/>
      </w:r>
      <w:r w:rsidR="00370CE4" w:rsidRPr="00526599">
        <w:rPr>
          <w:rFonts w:ascii="Times New Roman"/>
          <w:noProof/>
          <w:sz w:val="24"/>
          <w:szCs w:val="24"/>
        </w:rPr>
        <w:t>(19)</w:t>
      </w:r>
      <w:r w:rsidR="00D969A3" w:rsidRPr="00526599">
        <w:rPr>
          <w:rFonts w:ascii="Times New Roman"/>
          <w:sz w:val="24"/>
          <w:szCs w:val="24"/>
        </w:rPr>
        <w:fldChar w:fldCharType="end"/>
      </w:r>
      <w:r w:rsidR="00F66580" w:rsidRPr="00526599">
        <w:rPr>
          <w:rFonts w:ascii="Times New Roman"/>
          <w:sz w:val="24"/>
          <w:szCs w:val="24"/>
        </w:rPr>
        <w:t xml:space="preserve">. </w:t>
      </w:r>
      <w:r w:rsidR="00A67EEB" w:rsidRPr="00526599">
        <w:rPr>
          <w:rFonts w:ascii="Times New Roman"/>
          <w:sz w:val="24"/>
          <w:szCs w:val="24"/>
        </w:rPr>
        <w:t xml:space="preserve">Besides inflammation, certain abnormal patterns of </w:t>
      </w:r>
      <w:r w:rsidR="006958A2" w:rsidRPr="00526599">
        <w:rPr>
          <w:rFonts w:ascii="Times New Roman"/>
          <w:sz w:val="24"/>
          <w:szCs w:val="24"/>
        </w:rPr>
        <w:t xml:space="preserve">early </w:t>
      </w:r>
      <w:r w:rsidR="00A67EEB" w:rsidRPr="00526599">
        <w:rPr>
          <w:rFonts w:ascii="Times New Roman"/>
          <w:sz w:val="24"/>
          <w:szCs w:val="24"/>
        </w:rPr>
        <w:t>growth have also been found to contribute to adult chronic disease risk</w:t>
      </w:r>
      <w:r w:rsidR="005B022E" w:rsidRPr="00526599">
        <w:rPr>
          <w:rFonts w:ascii="Times New Roman"/>
          <w:sz w:val="24"/>
          <w:szCs w:val="24"/>
        </w:rPr>
        <w:t xml:space="preserve"> </w:t>
      </w:r>
      <w:r w:rsidR="00D75813" w:rsidRPr="00526599">
        <w:rPr>
          <w:rFonts w:ascii="Times New Roman"/>
          <w:sz w:val="24"/>
          <w:szCs w:val="24"/>
        </w:rPr>
        <w:fldChar w:fldCharType="begin" w:fldLock="1"/>
      </w:r>
      <w:r w:rsidR="00370CE4" w:rsidRPr="00526599">
        <w:rPr>
          <w:rFonts w:ascii="Times New Roman"/>
          <w:sz w:val="24"/>
          <w:szCs w:val="24"/>
        </w:rPr>
        <w:instrText>ADDIN CSL_CITATION { "citationItems" : [ { "id" : "ITEM-1", "itemData" : { "DOI" : "10.1080/03014460902980295", "ISSN" : "1464-5033", "PMID" : "19562567", "abstract" : "There is now clear evidence that the pace and pathway of early growth is a major risk factor for the development of a group of chronic diseases that include coronary heart disease, stroke, type 2 diabetes and hypertension. This has led to a new 'developmental' model for these disorders. The so-called 'fetal origins hypothesis' proposes that the disorders originate through developmental plasticity, whereby malnutrition during fetal life, infancy and early childhood permanently change the structure and function of the body, a phenomenon known as 'programming'. This paper reviews recent findings in the Helsinki Birth Cohort, which comprises 13 345 men and women born in the city during 1934-1944. There is also an older cohort comprising 7086 people born during 1924-1933. We review the paths of pre- and postnatal growth that lead to later disease. Children who later develop coronary heart disease and type 2 diabetes grow slowly during fetal life and infancy but thereafter increase their body mass indices rapidly. Those who later develop stroke grow slowly in fetal life, infancy and during childhood. We also review how the growth of girls during infancy, childhood and at puberty influences chronic disease in the next generation.", "author" : [ { "dropping-particle" : "", "family" : "Barker", "given" : "David J P", "non-dropping-particle" : "", "parse-names" : false, "suffix" : "" }, { "dropping-particle" : "", "family" : "Osmond", "given" : "Clive", "non-dropping-particle" : "", "parse-names" : false, "suffix" : "" }, { "dropping-particle" : "", "family" : "Kajantie", "given" : "Eero", "non-dropping-particle" : "", "parse-names" : false, "suffix" : "" }, { "dropping-particle" : "", "family" : "Eriksson", "given" : "Johan G", "non-dropping-particle" : "", "parse-names" : false, "suffix" : "" } ], "container-title" : "Annals of human biology", "id" : "ITEM-1", "issue" : "5", "issued" : { "date-parts" : [ [ "2009", "1", "9" ] ] }, "page" : "445-58", "title" : "Growth and chronic disease: findings in the Helsinki Birth Cohort.", "type" : "article-journal", "volume" : "36" }, "uris" : [ "http://www.mendeley.com/documents/?uuid=47cb0ac4-7507-3544-96d4-3ee79b2f10b2" ] } ], "mendeley" : { "formattedCitation" : "&lt;span style=\"baseline\"&gt;(6)&lt;/span&gt;", "plainTextFormattedCitation" : "(6)", "previouslyFormattedCitation" : "&lt;span style=\"baseline\"&gt;(6)&lt;/span&gt;" }, "properties" : {  }, "schema" : "https://github.com/citation-style-language/schema/raw/master/csl-citation.json" }</w:instrText>
      </w:r>
      <w:r w:rsidR="00D75813" w:rsidRPr="00526599">
        <w:rPr>
          <w:rFonts w:ascii="Times New Roman"/>
          <w:sz w:val="24"/>
          <w:szCs w:val="24"/>
        </w:rPr>
        <w:fldChar w:fldCharType="separate"/>
      </w:r>
      <w:r w:rsidR="00370CE4" w:rsidRPr="00526599">
        <w:rPr>
          <w:rFonts w:ascii="Times New Roman"/>
          <w:noProof/>
          <w:sz w:val="24"/>
          <w:szCs w:val="24"/>
        </w:rPr>
        <w:t>(6)</w:t>
      </w:r>
      <w:r w:rsidR="00D75813" w:rsidRPr="00526599">
        <w:rPr>
          <w:rFonts w:ascii="Times New Roman"/>
          <w:sz w:val="24"/>
          <w:szCs w:val="24"/>
        </w:rPr>
        <w:fldChar w:fldCharType="end"/>
      </w:r>
      <w:r w:rsidR="005B022E" w:rsidRPr="00526599">
        <w:rPr>
          <w:rFonts w:ascii="Times New Roman"/>
          <w:sz w:val="24"/>
          <w:szCs w:val="24"/>
        </w:rPr>
        <w:t>.</w:t>
      </w:r>
      <w:r w:rsidR="00BE28F5" w:rsidRPr="00526599">
        <w:rPr>
          <w:rFonts w:ascii="Times New Roman"/>
          <w:sz w:val="24"/>
          <w:szCs w:val="24"/>
        </w:rPr>
        <w:t xml:space="preserve"> </w:t>
      </w:r>
      <w:r w:rsidR="005B022E" w:rsidRPr="00526599">
        <w:rPr>
          <w:rFonts w:ascii="Times New Roman"/>
          <w:sz w:val="24"/>
          <w:szCs w:val="24"/>
        </w:rPr>
        <w:t>A greater simultaneous prevalence of these diseases may result in diminished functional capacity to cope with stressors that are characteristic of frailty</w:t>
      </w:r>
      <w:r w:rsidR="00BE28F5" w:rsidRPr="00526599">
        <w:rPr>
          <w:rFonts w:ascii="Times New Roman"/>
          <w:sz w:val="24"/>
          <w:szCs w:val="24"/>
        </w:rPr>
        <w:t xml:space="preserve"> </w:t>
      </w:r>
      <w:r w:rsidR="00E07BDF" w:rsidRPr="00526599">
        <w:rPr>
          <w:rFonts w:ascii="Times New Roman"/>
          <w:sz w:val="24"/>
          <w:szCs w:val="24"/>
        </w:rPr>
        <w:fldChar w:fldCharType="begin" w:fldLock="1"/>
      </w:r>
      <w:r w:rsidR="00370CE4" w:rsidRPr="00526599">
        <w:rPr>
          <w:rFonts w:ascii="Times New Roman"/>
          <w:sz w:val="24"/>
          <w:szCs w:val="24"/>
        </w:rPr>
        <w:instrText>ADDIN CSL_CITATION { "citationItems" : [ { "id" : "ITEM-1", "itemData" : { "ISSN" : "1079-5006", "PMID" : "15031310", "abstract" : "Three terms are commonly used interchangeably to identify vulnerable older adults: comorbidity, or multiple chronic conditions, frailty, and disability. However, in geriatric medicine, there is a growing consensus that these are distinct clinical entities that are causally related. Each, individually, occurs frequently and has high import clinically. This article provides a narrative review of current understanding of the definitions and distinguishing characteristics of each of these conditions, including their clinical relevance and distinct prevention and therapeutic issues, and how they are related. Review of the current state of published knowledge is supplemented by targeted analyses in selected areas where no current published data exists. Overall, the goal of this article is to provide a basis for distinguishing between these three important clinical conditions in older adults and showing how use of separate, distinct definitions of each can improve our understanding of the problems affecting older patients and lead to development of improved strategies for diagnosis, care, research, and medical education in this area.", "author" : [ { "dropping-particle" : "", "family" : "Fried", "given" : "Linda P", "non-dropping-particle" : "", "parse-names" : false, "suffix" : "" }, { "dropping-particle" : "", "family" : "Ferrucci", "given" : "Luigi", "non-dropping-particle" : "", "parse-names" : false, "suffix" : "" }, { "dropping-particle" : "", "family" : "Darer", "given" : "Jonathan", "non-dropping-particle" : "", "parse-names" : false, "suffix" : "" }, { "dropping-particle" : "", "family" : "Williamson", "given" : "Jeff D", "non-dropping-particle" : "", "parse-names" : false, "suffix" : "" }, { "dropping-particle" : "", "family" : "Anderson", "given" : "Gerard", "non-dropping-particle" : "", "parse-names" : false, "suffix" : "" } ], "container-title" : "The journals of gerontology. Series A, Biological sciences and medical sciences", "id" : "ITEM-1", "issue" : "3", "issued" : { "date-parts" : [ [ "2004", "3" ] ] }, "page" : "255-63", "title" : "Untangling the concepts of disability, frailty, and comorbidity: implications for improved targeting and care.", "type" : "article-journal", "volume" : "59" }, "uris" : [ "http://www.mendeley.com/documents/?uuid=b0d61492-21f4-3ee4-b1f4-0d793be39ab2" ] } ], "mendeley" : { "formattedCitation" : "&lt;span style=\"baseline\"&gt;(20)&lt;/span&gt;", "plainTextFormattedCitation" : "(20)", "previouslyFormattedCitation" : "&lt;span style=\"baseline\"&gt;(20)&lt;/span&gt;" }, "properties" : {  }, "schema" : "https://github.com/citation-style-language/schema/raw/master/csl-citation.json" }</w:instrText>
      </w:r>
      <w:r w:rsidR="00E07BDF" w:rsidRPr="00526599">
        <w:rPr>
          <w:rFonts w:ascii="Times New Roman"/>
          <w:sz w:val="24"/>
          <w:szCs w:val="24"/>
        </w:rPr>
        <w:fldChar w:fldCharType="separate"/>
      </w:r>
      <w:r w:rsidR="00370CE4" w:rsidRPr="00526599">
        <w:rPr>
          <w:rFonts w:ascii="Times New Roman"/>
          <w:noProof/>
          <w:sz w:val="24"/>
          <w:szCs w:val="24"/>
        </w:rPr>
        <w:t>(20)</w:t>
      </w:r>
      <w:r w:rsidR="00E07BDF" w:rsidRPr="00526599">
        <w:rPr>
          <w:rFonts w:ascii="Times New Roman"/>
          <w:sz w:val="24"/>
          <w:szCs w:val="24"/>
        </w:rPr>
        <w:fldChar w:fldCharType="end"/>
      </w:r>
      <w:r w:rsidR="00E07BDF">
        <w:rPr>
          <w:rFonts w:ascii="Times New Roman"/>
          <w:sz w:val="24"/>
          <w:szCs w:val="24"/>
        </w:rPr>
        <w:t>.</w:t>
      </w:r>
    </w:p>
    <w:p w14:paraId="33BB7B4B" w14:textId="3B16EDCB" w:rsidR="001108E4" w:rsidRDefault="004B09AA" w:rsidP="00F51259">
      <w:pPr>
        <w:spacing w:line="480" w:lineRule="auto"/>
        <w:jc w:val="both"/>
        <w:rPr>
          <w:rFonts w:ascii="Times New Roman"/>
          <w:sz w:val="24"/>
          <w:szCs w:val="24"/>
        </w:rPr>
      </w:pPr>
      <w:r>
        <w:rPr>
          <w:rFonts w:ascii="Times New Roman"/>
          <w:sz w:val="24"/>
          <w:szCs w:val="24"/>
        </w:rPr>
        <w:t xml:space="preserve">A key strength of this well-characterised cohort is the unique data on infant and childhood growth. </w:t>
      </w:r>
      <w:r w:rsidR="00993958">
        <w:rPr>
          <w:rFonts w:ascii="Times New Roman"/>
          <w:sz w:val="24"/>
          <w:szCs w:val="24"/>
        </w:rPr>
        <w:t xml:space="preserve">The participants were followed up into the seventh decade with register-based information on covariates including SES. </w:t>
      </w:r>
      <w:r w:rsidR="00F07B87" w:rsidRPr="000C414B">
        <w:rPr>
          <w:rFonts w:ascii="Times New Roman"/>
          <w:sz w:val="24"/>
          <w:szCs w:val="24"/>
        </w:rPr>
        <w:t>A</w:t>
      </w:r>
      <w:r w:rsidR="00E322B2" w:rsidRPr="000C414B">
        <w:rPr>
          <w:rFonts w:ascii="Times New Roman"/>
          <w:sz w:val="24"/>
          <w:szCs w:val="24"/>
        </w:rPr>
        <w:t xml:space="preserve"> major limitation to the interpretation of the results is the sm</w:t>
      </w:r>
      <w:r w:rsidR="00F07B87" w:rsidRPr="000C414B">
        <w:rPr>
          <w:rFonts w:ascii="Times New Roman"/>
          <w:sz w:val="24"/>
          <w:szCs w:val="24"/>
        </w:rPr>
        <w:t xml:space="preserve">all number of frail men (n=13). We consider these findings preliminary and expect </w:t>
      </w:r>
      <w:r w:rsidR="008D4C4B" w:rsidRPr="000C414B">
        <w:rPr>
          <w:rFonts w:ascii="Times New Roman"/>
          <w:sz w:val="24"/>
          <w:szCs w:val="24"/>
        </w:rPr>
        <w:t xml:space="preserve">an increase in </w:t>
      </w:r>
      <w:r w:rsidR="00F07B87" w:rsidRPr="000C414B">
        <w:rPr>
          <w:rFonts w:ascii="Times New Roman"/>
          <w:sz w:val="24"/>
          <w:szCs w:val="24"/>
        </w:rPr>
        <w:t xml:space="preserve">the number of frail individuals </w:t>
      </w:r>
      <w:r w:rsidR="008D4C4B" w:rsidRPr="000C414B">
        <w:rPr>
          <w:rFonts w:ascii="Times New Roman"/>
          <w:sz w:val="24"/>
          <w:szCs w:val="24"/>
        </w:rPr>
        <w:t xml:space="preserve">as the cohort ages. </w:t>
      </w:r>
      <w:r w:rsidR="00E322B2" w:rsidRPr="000C414B">
        <w:rPr>
          <w:rFonts w:ascii="Times New Roman"/>
          <w:sz w:val="24"/>
          <w:szCs w:val="24"/>
        </w:rPr>
        <w:t xml:space="preserve">Voluntary participation </w:t>
      </w:r>
      <w:r w:rsidR="00F07B87" w:rsidRPr="000C414B">
        <w:rPr>
          <w:rFonts w:ascii="Times New Roman"/>
          <w:sz w:val="24"/>
          <w:szCs w:val="24"/>
        </w:rPr>
        <w:t>in</w:t>
      </w:r>
      <w:r w:rsidR="00E322B2" w:rsidRPr="000C414B">
        <w:rPr>
          <w:rFonts w:ascii="Times New Roman"/>
          <w:sz w:val="24"/>
          <w:szCs w:val="24"/>
        </w:rPr>
        <w:t xml:space="preserve"> the clinical visits m</w:t>
      </w:r>
      <w:r w:rsidR="00F07B87" w:rsidRPr="000C414B">
        <w:rPr>
          <w:rFonts w:ascii="Times New Roman"/>
          <w:sz w:val="24"/>
          <w:szCs w:val="24"/>
        </w:rPr>
        <w:t>ay</w:t>
      </w:r>
      <w:r w:rsidR="00E322B2" w:rsidRPr="000C414B">
        <w:rPr>
          <w:rFonts w:ascii="Times New Roman"/>
          <w:sz w:val="24"/>
          <w:szCs w:val="24"/>
        </w:rPr>
        <w:t xml:space="preserve"> have resulted in selective survival and an underrepresentation of frail individuals. </w:t>
      </w:r>
      <w:r w:rsidR="00F07B87" w:rsidRPr="000C414B">
        <w:rPr>
          <w:rFonts w:ascii="Times New Roman"/>
          <w:sz w:val="24"/>
          <w:szCs w:val="24"/>
        </w:rPr>
        <w:t>Similarly, participation in the child welfare clinics was voluntary which limits the generalizability of the results</w:t>
      </w:r>
      <w:r w:rsidR="008D4C4B" w:rsidRPr="000C414B">
        <w:rPr>
          <w:rFonts w:ascii="Times New Roman"/>
          <w:sz w:val="24"/>
          <w:szCs w:val="24"/>
        </w:rPr>
        <w:t xml:space="preserve"> to those who did not attend these visits</w:t>
      </w:r>
      <w:r w:rsidR="00F07B87" w:rsidRPr="000C414B">
        <w:rPr>
          <w:rFonts w:ascii="Times New Roman"/>
          <w:sz w:val="24"/>
          <w:szCs w:val="24"/>
        </w:rPr>
        <w:t>.</w:t>
      </w:r>
      <w:r w:rsidR="008D4C4B" w:rsidRPr="000C414B">
        <w:rPr>
          <w:rFonts w:ascii="Times New Roman"/>
          <w:sz w:val="24"/>
          <w:szCs w:val="24"/>
        </w:rPr>
        <w:t xml:space="preserve"> The long follow-up period might have resulted in confounding during the life course that we were not able to account for in the analyses. </w:t>
      </w:r>
      <w:r w:rsidR="00F07B87" w:rsidRPr="000C414B">
        <w:rPr>
          <w:rFonts w:ascii="Times New Roman"/>
          <w:sz w:val="24"/>
          <w:szCs w:val="24"/>
        </w:rPr>
        <w:t>This study was conducted on people who were born in Helsinki in 1934-1944 and the results need to be addressed in more contemporary cohorts.</w:t>
      </w:r>
    </w:p>
    <w:p w14:paraId="2424D2E4" w14:textId="4A10594F" w:rsidR="00AE2227" w:rsidRDefault="00AE2227" w:rsidP="00F51259">
      <w:pPr>
        <w:spacing w:line="480" w:lineRule="auto"/>
        <w:jc w:val="both"/>
        <w:rPr>
          <w:rFonts w:ascii="Times New Roman"/>
          <w:sz w:val="24"/>
          <w:szCs w:val="24"/>
        </w:rPr>
      </w:pPr>
      <w:r>
        <w:rPr>
          <w:rFonts w:ascii="Times New Roman"/>
          <w:sz w:val="24"/>
          <w:szCs w:val="24"/>
        </w:rPr>
        <w:t xml:space="preserve">In conclusion, men </w:t>
      </w:r>
      <w:r w:rsidR="009B2AC6">
        <w:rPr>
          <w:rFonts w:ascii="Times New Roman"/>
          <w:sz w:val="24"/>
          <w:szCs w:val="24"/>
        </w:rPr>
        <w:t xml:space="preserve">who were frail at the mean age of 71 years had on average experienced greater BMI gain from </w:t>
      </w:r>
      <w:r w:rsidR="00EC4683">
        <w:rPr>
          <w:rFonts w:ascii="Times New Roman"/>
          <w:sz w:val="24"/>
          <w:szCs w:val="24"/>
        </w:rPr>
        <w:t xml:space="preserve">2 to 11 years than their non-frail peers independent of BMI measured in late adulthood. </w:t>
      </w:r>
      <w:r w:rsidR="003C3A57">
        <w:rPr>
          <w:rFonts w:ascii="Times New Roman"/>
          <w:sz w:val="24"/>
          <w:szCs w:val="24"/>
        </w:rPr>
        <w:t xml:space="preserve">This was not observed among women, suggesting that </w:t>
      </w:r>
      <w:r w:rsidR="002201BB">
        <w:rPr>
          <w:rFonts w:ascii="Times New Roman"/>
          <w:sz w:val="24"/>
          <w:szCs w:val="24"/>
        </w:rPr>
        <w:t xml:space="preserve">the patterns of early growth that predispose to frailty in old age </w:t>
      </w:r>
      <w:r w:rsidR="00ED5E0F">
        <w:rPr>
          <w:rFonts w:ascii="Times New Roman"/>
          <w:sz w:val="24"/>
          <w:szCs w:val="24"/>
        </w:rPr>
        <w:t xml:space="preserve">may </w:t>
      </w:r>
      <w:r w:rsidR="002201BB">
        <w:rPr>
          <w:rFonts w:ascii="Times New Roman"/>
          <w:sz w:val="24"/>
          <w:szCs w:val="24"/>
        </w:rPr>
        <w:t>differ by sex.</w:t>
      </w:r>
    </w:p>
    <w:p w14:paraId="2692ECC8" w14:textId="035120D3" w:rsidR="00CE50C1" w:rsidRDefault="00D32028" w:rsidP="00CE50C1">
      <w:pPr>
        <w:spacing w:line="480" w:lineRule="auto"/>
        <w:jc w:val="both"/>
        <w:rPr>
          <w:rFonts w:ascii="Times New Roman"/>
          <w:b/>
          <w:sz w:val="24"/>
          <w:szCs w:val="24"/>
          <w:lang w:val="en-US"/>
        </w:rPr>
      </w:pPr>
      <w:r>
        <w:rPr>
          <w:rFonts w:ascii="Times New Roman"/>
          <w:b/>
          <w:sz w:val="24"/>
          <w:szCs w:val="24"/>
          <w:lang w:val="en-US"/>
        </w:rPr>
        <w:t xml:space="preserve">Funding: </w:t>
      </w:r>
      <w:r w:rsidR="005E205D">
        <w:rPr>
          <w:rFonts w:ascii="Times New Roman"/>
          <w:sz w:val="24"/>
          <w:szCs w:val="24"/>
          <w:lang w:val="en-US"/>
        </w:rPr>
        <w:t xml:space="preserve">HBCS was supported by Emil </w:t>
      </w:r>
      <w:proofErr w:type="spellStart"/>
      <w:r w:rsidR="005E205D">
        <w:rPr>
          <w:rFonts w:ascii="Times New Roman"/>
          <w:sz w:val="24"/>
          <w:szCs w:val="24"/>
          <w:lang w:val="en-US"/>
        </w:rPr>
        <w:t>Aaltonen</w:t>
      </w:r>
      <w:proofErr w:type="spellEnd"/>
      <w:r w:rsidR="005E205D">
        <w:rPr>
          <w:rFonts w:ascii="Times New Roman"/>
          <w:sz w:val="24"/>
          <w:szCs w:val="24"/>
          <w:lang w:val="en-US"/>
        </w:rPr>
        <w:t xml:space="preserve"> Foundation, Finnish Foundation for Cardiovascular Research, Finnish Foundation for Diabetes Research, Finnish Foundation for Pediatric Research, </w:t>
      </w:r>
      <w:proofErr w:type="spellStart"/>
      <w:r w:rsidR="005E205D">
        <w:rPr>
          <w:rFonts w:ascii="Times New Roman"/>
          <w:sz w:val="24"/>
          <w:szCs w:val="24"/>
          <w:lang w:val="en-US"/>
        </w:rPr>
        <w:t>Juha</w:t>
      </w:r>
      <w:proofErr w:type="spellEnd"/>
      <w:r w:rsidR="005E205D">
        <w:rPr>
          <w:rFonts w:ascii="Times New Roman"/>
          <w:sz w:val="24"/>
          <w:szCs w:val="24"/>
          <w:lang w:val="en-US"/>
        </w:rPr>
        <w:t xml:space="preserve"> </w:t>
      </w:r>
      <w:proofErr w:type="spellStart"/>
      <w:r w:rsidR="005E205D">
        <w:rPr>
          <w:rFonts w:ascii="Times New Roman"/>
          <w:sz w:val="24"/>
          <w:szCs w:val="24"/>
          <w:lang w:val="en-US"/>
        </w:rPr>
        <w:t>Vainio</w:t>
      </w:r>
      <w:proofErr w:type="spellEnd"/>
      <w:r w:rsidR="005E205D">
        <w:rPr>
          <w:rFonts w:ascii="Times New Roman"/>
          <w:sz w:val="24"/>
          <w:szCs w:val="24"/>
          <w:lang w:val="en-US"/>
        </w:rPr>
        <w:t xml:space="preserve"> Foundation, Novo Nordisk Foundation, Signe and </w:t>
      </w:r>
      <w:proofErr w:type="spellStart"/>
      <w:r w:rsidR="005E205D">
        <w:rPr>
          <w:rFonts w:ascii="Times New Roman"/>
          <w:sz w:val="24"/>
          <w:szCs w:val="24"/>
          <w:lang w:val="en-US"/>
        </w:rPr>
        <w:t>Ane</w:t>
      </w:r>
      <w:proofErr w:type="spellEnd"/>
      <w:r w:rsidR="005E205D">
        <w:rPr>
          <w:rFonts w:ascii="Times New Roman"/>
          <w:sz w:val="24"/>
          <w:szCs w:val="24"/>
          <w:lang w:val="en-US"/>
        </w:rPr>
        <w:t xml:space="preserve"> </w:t>
      </w:r>
      <w:proofErr w:type="spellStart"/>
      <w:r w:rsidR="005E205D">
        <w:rPr>
          <w:rFonts w:ascii="Times New Roman"/>
          <w:sz w:val="24"/>
          <w:szCs w:val="24"/>
          <w:lang w:val="en-US"/>
        </w:rPr>
        <w:t>Gyllenberg</w:t>
      </w:r>
      <w:proofErr w:type="spellEnd"/>
      <w:r w:rsidR="005E205D">
        <w:rPr>
          <w:rFonts w:ascii="Times New Roman"/>
          <w:sz w:val="24"/>
          <w:szCs w:val="24"/>
          <w:lang w:val="en-US"/>
        </w:rPr>
        <w:t xml:space="preserve"> Foundation, </w:t>
      </w:r>
      <w:proofErr w:type="spellStart"/>
      <w:r w:rsidR="005E205D">
        <w:rPr>
          <w:rFonts w:ascii="Times New Roman"/>
          <w:sz w:val="24"/>
          <w:szCs w:val="24"/>
          <w:lang w:val="en-US"/>
        </w:rPr>
        <w:t>Samfundet</w:t>
      </w:r>
      <w:proofErr w:type="spellEnd"/>
      <w:r w:rsidR="005E205D">
        <w:rPr>
          <w:rFonts w:ascii="Times New Roman"/>
          <w:sz w:val="24"/>
          <w:szCs w:val="24"/>
          <w:lang w:val="en-US"/>
        </w:rPr>
        <w:t xml:space="preserve"> </w:t>
      </w:r>
      <w:proofErr w:type="spellStart"/>
      <w:r w:rsidR="005E205D">
        <w:rPr>
          <w:rFonts w:ascii="Times New Roman"/>
          <w:sz w:val="24"/>
          <w:szCs w:val="24"/>
          <w:lang w:val="en-US"/>
        </w:rPr>
        <w:t>Folkhälsan</w:t>
      </w:r>
      <w:proofErr w:type="spellEnd"/>
      <w:r w:rsidR="005E205D">
        <w:rPr>
          <w:rFonts w:ascii="Times New Roman"/>
          <w:sz w:val="24"/>
          <w:szCs w:val="24"/>
          <w:lang w:val="en-US"/>
        </w:rPr>
        <w:t xml:space="preserve">, </w:t>
      </w:r>
      <w:proofErr w:type="spellStart"/>
      <w:r w:rsidR="005E205D">
        <w:rPr>
          <w:rFonts w:ascii="Times New Roman"/>
          <w:sz w:val="24"/>
          <w:szCs w:val="24"/>
          <w:lang w:val="en-US"/>
        </w:rPr>
        <w:t>Finska</w:t>
      </w:r>
      <w:proofErr w:type="spellEnd"/>
      <w:r w:rsidR="005E205D">
        <w:rPr>
          <w:rFonts w:ascii="Times New Roman"/>
          <w:sz w:val="24"/>
          <w:szCs w:val="24"/>
          <w:lang w:val="en-US"/>
        </w:rPr>
        <w:t xml:space="preserve"> </w:t>
      </w:r>
      <w:proofErr w:type="spellStart"/>
      <w:r w:rsidR="005E205D">
        <w:rPr>
          <w:rFonts w:ascii="Times New Roman"/>
          <w:sz w:val="24"/>
          <w:szCs w:val="24"/>
          <w:lang w:val="en-US"/>
        </w:rPr>
        <w:t>Läkaresällskapet</w:t>
      </w:r>
      <w:proofErr w:type="spellEnd"/>
      <w:r w:rsidR="005E205D">
        <w:rPr>
          <w:rFonts w:ascii="Times New Roman"/>
          <w:sz w:val="24"/>
          <w:szCs w:val="24"/>
          <w:lang w:val="en-US"/>
        </w:rPr>
        <w:t xml:space="preserve">, Liv </w:t>
      </w:r>
      <w:proofErr w:type="spellStart"/>
      <w:r w:rsidR="005E205D">
        <w:rPr>
          <w:rFonts w:ascii="Times New Roman"/>
          <w:sz w:val="24"/>
          <w:szCs w:val="24"/>
          <w:lang w:val="en-US"/>
        </w:rPr>
        <w:t>och</w:t>
      </w:r>
      <w:proofErr w:type="spellEnd"/>
      <w:r w:rsidR="005E205D">
        <w:rPr>
          <w:rFonts w:ascii="Times New Roman"/>
          <w:sz w:val="24"/>
          <w:szCs w:val="24"/>
          <w:lang w:val="en-US"/>
        </w:rPr>
        <w:t xml:space="preserve"> </w:t>
      </w:r>
      <w:proofErr w:type="spellStart"/>
      <w:r w:rsidR="005E205D">
        <w:rPr>
          <w:rFonts w:ascii="Times New Roman"/>
          <w:sz w:val="24"/>
          <w:szCs w:val="24"/>
          <w:lang w:val="en-US"/>
        </w:rPr>
        <w:t>Hälsa</w:t>
      </w:r>
      <w:proofErr w:type="spellEnd"/>
      <w:r w:rsidR="005E205D">
        <w:rPr>
          <w:rFonts w:ascii="Times New Roman"/>
          <w:sz w:val="24"/>
          <w:szCs w:val="24"/>
          <w:lang w:val="en-US"/>
        </w:rPr>
        <w:t>, European Commission FP7 (DORIAN) grant agreement no 278603 and EU H2020-PHC-2014-DynaHealth grant no. 633595 and the Academy of Finland.</w:t>
      </w:r>
    </w:p>
    <w:p w14:paraId="6D143FDD" w14:textId="3EB67DCB" w:rsidR="009B0B39" w:rsidRDefault="00017FEC" w:rsidP="00F51259">
      <w:pPr>
        <w:spacing w:line="480" w:lineRule="auto"/>
        <w:jc w:val="both"/>
        <w:rPr>
          <w:rFonts w:ascii="Times New Roman"/>
          <w:sz w:val="24"/>
          <w:szCs w:val="24"/>
          <w:lang w:val="en"/>
        </w:rPr>
      </w:pPr>
      <w:r w:rsidRPr="00017FEC">
        <w:rPr>
          <w:rFonts w:ascii="Times New Roman"/>
          <w:b/>
          <w:sz w:val="24"/>
          <w:szCs w:val="24"/>
          <w:lang w:val="en"/>
        </w:rPr>
        <w:t>Conflict of Interest:</w:t>
      </w:r>
      <w:r w:rsidRPr="00017FEC">
        <w:rPr>
          <w:rFonts w:ascii="Times New Roman"/>
          <w:sz w:val="24"/>
          <w:szCs w:val="24"/>
          <w:lang w:val="en"/>
        </w:rPr>
        <w:t xml:space="preserve"> The authors declare that they have no conflict of interest.</w:t>
      </w:r>
    </w:p>
    <w:p w14:paraId="096E48F5" w14:textId="09C112D0" w:rsidR="00936316" w:rsidRDefault="00936316" w:rsidP="00F51259">
      <w:pPr>
        <w:spacing w:line="480" w:lineRule="auto"/>
        <w:jc w:val="both"/>
        <w:rPr>
          <w:rFonts w:ascii="Times New Roman"/>
          <w:sz w:val="24"/>
          <w:szCs w:val="24"/>
          <w:lang w:val="en-US"/>
        </w:rPr>
      </w:pPr>
      <w:r>
        <w:rPr>
          <w:rFonts w:ascii="Times New Roman"/>
          <w:b/>
          <w:sz w:val="24"/>
          <w:szCs w:val="24"/>
          <w:lang w:val="en-US"/>
        </w:rPr>
        <w:t xml:space="preserve">Ethical approval: </w:t>
      </w:r>
      <w:r>
        <w:rPr>
          <w:rFonts w:ascii="Times New Roman"/>
          <w:sz w:val="24"/>
          <w:szCs w:val="24"/>
          <w:lang w:val="en-US"/>
        </w:rPr>
        <w:t>All procedures performed in studies involving human participants were in accordance with the ethical standards of the institutional and/or national research committee</w:t>
      </w:r>
      <w:r w:rsidR="00A85F93">
        <w:rPr>
          <w:rFonts w:ascii="Times New Roman"/>
          <w:sz w:val="24"/>
          <w:szCs w:val="24"/>
          <w:lang w:val="en-US"/>
        </w:rPr>
        <w:t xml:space="preserve"> (Coordinating Ethics Committee of The Hospital District of Helsinki an</w:t>
      </w:r>
      <w:r w:rsidR="001E02F5">
        <w:rPr>
          <w:rFonts w:ascii="Times New Roman"/>
          <w:sz w:val="24"/>
          <w:szCs w:val="24"/>
          <w:lang w:val="en-US"/>
        </w:rPr>
        <w:t xml:space="preserve">d </w:t>
      </w:r>
      <w:proofErr w:type="spellStart"/>
      <w:r w:rsidR="001E02F5">
        <w:rPr>
          <w:rFonts w:ascii="Times New Roman"/>
          <w:sz w:val="24"/>
          <w:szCs w:val="24"/>
          <w:lang w:val="en-US"/>
        </w:rPr>
        <w:t>Uusimaa</w:t>
      </w:r>
      <w:proofErr w:type="spellEnd"/>
      <w:r w:rsidR="001E02F5">
        <w:rPr>
          <w:rFonts w:ascii="Times New Roman"/>
          <w:sz w:val="24"/>
          <w:szCs w:val="24"/>
          <w:lang w:val="en-US"/>
        </w:rPr>
        <w:t>)</w:t>
      </w:r>
      <w:r>
        <w:rPr>
          <w:rFonts w:ascii="Times New Roman"/>
          <w:sz w:val="24"/>
          <w:szCs w:val="24"/>
          <w:lang w:val="en-US"/>
        </w:rPr>
        <w:t xml:space="preserve"> and with the 1964 Helsinki declaration and its later amendments or comparable ethical standards.</w:t>
      </w:r>
    </w:p>
    <w:p w14:paraId="6C5C6590" w14:textId="29AD280E" w:rsidR="009B0B39" w:rsidRPr="00784BB8" w:rsidRDefault="00784BB8" w:rsidP="00F51259">
      <w:pPr>
        <w:spacing w:line="480" w:lineRule="auto"/>
        <w:jc w:val="both"/>
        <w:rPr>
          <w:rFonts w:ascii="Times New Roman"/>
          <w:i/>
          <w:sz w:val="24"/>
          <w:szCs w:val="24"/>
          <w:lang w:val="en-US"/>
        </w:rPr>
      </w:pPr>
      <w:r>
        <w:rPr>
          <w:rFonts w:ascii="Times New Roman"/>
          <w:b/>
          <w:sz w:val="24"/>
          <w:szCs w:val="24"/>
          <w:lang w:val="en-US"/>
        </w:rPr>
        <w:t xml:space="preserve">Informed consent: </w:t>
      </w:r>
      <w:r>
        <w:rPr>
          <w:rFonts w:ascii="Times New Roman"/>
          <w:sz w:val="24"/>
          <w:szCs w:val="24"/>
          <w:lang w:val="en-US"/>
        </w:rPr>
        <w:t>Informed consent was obtained from all individual participants included in the study.</w:t>
      </w:r>
    </w:p>
    <w:p w14:paraId="026C555A" w14:textId="77777777" w:rsidR="00F61D73" w:rsidRDefault="00F61D73" w:rsidP="00F51259">
      <w:pPr>
        <w:spacing w:line="480" w:lineRule="auto"/>
        <w:jc w:val="both"/>
        <w:rPr>
          <w:rFonts w:ascii="Times New Roman"/>
          <w:b/>
          <w:sz w:val="24"/>
          <w:szCs w:val="24"/>
        </w:rPr>
      </w:pPr>
    </w:p>
    <w:p w14:paraId="22FC9CDE" w14:textId="77777777" w:rsidR="00F61D73" w:rsidRDefault="00F61D73" w:rsidP="00F51259">
      <w:pPr>
        <w:spacing w:line="480" w:lineRule="auto"/>
        <w:jc w:val="both"/>
        <w:rPr>
          <w:rFonts w:ascii="Times New Roman"/>
          <w:b/>
          <w:sz w:val="24"/>
          <w:szCs w:val="24"/>
        </w:rPr>
      </w:pPr>
    </w:p>
    <w:p w14:paraId="2D5E6006" w14:textId="77777777" w:rsidR="00F61D73" w:rsidRDefault="00F61D73" w:rsidP="00F51259">
      <w:pPr>
        <w:spacing w:line="480" w:lineRule="auto"/>
        <w:jc w:val="both"/>
        <w:rPr>
          <w:rFonts w:ascii="Times New Roman"/>
          <w:b/>
          <w:sz w:val="24"/>
          <w:szCs w:val="24"/>
        </w:rPr>
      </w:pPr>
    </w:p>
    <w:p w14:paraId="12A5642D" w14:textId="77777777" w:rsidR="00E74C44" w:rsidRDefault="00E74C44" w:rsidP="00F51259">
      <w:pPr>
        <w:spacing w:line="480" w:lineRule="auto"/>
        <w:jc w:val="both"/>
        <w:rPr>
          <w:rFonts w:ascii="Times New Roman"/>
          <w:b/>
          <w:sz w:val="24"/>
          <w:szCs w:val="24"/>
        </w:rPr>
      </w:pPr>
    </w:p>
    <w:p w14:paraId="6F80BD1F" w14:textId="5A36EC07" w:rsidR="00E575A6" w:rsidRPr="00285509" w:rsidRDefault="001108E4" w:rsidP="00F51259">
      <w:pPr>
        <w:spacing w:line="480" w:lineRule="auto"/>
        <w:jc w:val="both"/>
        <w:rPr>
          <w:rFonts w:ascii="Times New Roman"/>
          <w:sz w:val="24"/>
          <w:szCs w:val="24"/>
          <w:lang w:val="en-US"/>
        </w:rPr>
      </w:pPr>
      <w:r>
        <w:rPr>
          <w:rFonts w:ascii="Times New Roman"/>
          <w:b/>
          <w:sz w:val="24"/>
          <w:szCs w:val="24"/>
        </w:rPr>
        <w:t>References</w:t>
      </w:r>
    </w:p>
    <w:p w14:paraId="752217BD" w14:textId="2CBC31C5" w:rsidR="00426D7C" w:rsidRPr="00426D7C" w:rsidRDefault="001108E4" w:rsidP="00426D7C">
      <w:pPr>
        <w:widowControl w:val="0"/>
        <w:autoSpaceDE w:val="0"/>
        <w:autoSpaceDN w:val="0"/>
        <w:adjustRightInd w:val="0"/>
        <w:spacing w:line="480" w:lineRule="auto"/>
        <w:ind w:left="640" w:hanging="640"/>
        <w:rPr>
          <w:rFonts w:ascii="Times New Roman"/>
          <w:noProof/>
          <w:sz w:val="24"/>
          <w:szCs w:val="24"/>
        </w:rPr>
      </w:pPr>
      <w:r>
        <w:rPr>
          <w:rFonts w:ascii="Times New Roman"/>
          <w:b/>
          <w:sz w:val="24"/>
          <w:szCs w:val="24"/>
        </w:rPr>
        <w:fldChar w:fldCharType="begin" w:fldLock="1"/>
      </w:r>
      <w:r>
        <w:rPr>
          <w:rFonts w:ascii="Times New Roman"/>
          <w:b/>
          <w:sz w:val="24"/>
          <w:szCs w:val="24"/>
        </w:rPr>
        <w:instrText xml:space="preserve">ADDIN Mendeley Bibliography CSL_BIBLIOGRAPHY </w:instrText>
      </w:r>
      <w:r>
        <w:rPr>
          <w:rFonts w:ascii="Times New Roman"/>
          <w:b/>
          <w:sz w:val="24"/>
          <w:szCs w:val="24"/>
        </w:rPr>
        <w:fldChar w:fldCharType="separate"/>
      </w:r>
      <w:r w:rsidR="00426D7C" w:rsidRPr="00426D7C">
        <w:rPr>
          <w:rFonts w:ascii="Times New Roman"/>
          <w:noProof/>
          <w:sz w:val="24"/>
          <w:szCs w:val="24"/>
        </w:rPr>
        <w:t xml:space="preserve">1. </w:t>
      </w:r>
      <w:r w:rsidR="00426D7C" w:rsidRPr="00426D7C">
        <w:rPr>
          <w:rFonts w:ascii="Times New Roman"/>
          <w:noProof/>
          <w:sz w:val="24"/>
          <w:szCs w:val="24"/>
        </w:rPr>
        <w:tab/>
        <w:t xml:space="preserve">Fried LP, Tangen CM, Walston J, et al. Frailty in older adults: evidence for a phenotype. </w:t>
      </w:r>
      <w:r w:rsidR="00426D7C" w:rsidRPr="00426D7C">
        <w:rPr>
          <w:rFonts w:ascii="Times New Roman"/>
          <w:i/>
          <w:iCs/>
          <w:noProof/>
          <w:sz w:val="24"/>
          <w:szCs w:val="24"/>
        </w:rPr>
        <w:t>J Gerontol A Biol Sci Med Sci</w:t>
      </w:r>
      <w:r w:rsidR="00426D7C" w:rsidRPr="00426D7C">
        <w:rPr>
          <w:rFonts w:ascii="Times New Roman"/>
          <w:noProof/>
          <w:sz w:val="24"/>
          <w:szCs w:val="24"/>
        </w:rPr>
        <w:t>. 2001;56(3):M146-56. http://www.ncbi.nlm.nih.gov/pubmed/11253156. Accessed March 11, 2017.</w:t>
      </w:r>
    </w:p>
    <w:p w14:paraId="37F5B701" w14:textId="77777777" w:rsidR="00426D7C" w:rsidRPr="00426D7C" w:rsidRDefault="00426D7C" w:rsidP="00426D7C">
      <w:pPr>
        <w:widowControl w:val="0"/>
        <w:autoSpaceDE w:val="0"/>
        <w:autoSpaceDN w:val="0"/>
        <w:adjustRightInd w:val="0"/>
        <w:spacing w:line="480" w:lineRule="auto"/>
        <w:ind w:left="640" w:hanging="640"/>
        <w:rPr>
          <w:rFonts w:ascii="Times New Roman"/>
          <w:noProof/>
          <w:sz w:val="24"/>
          <w:szCs w:val="24"/>
        </w:rPr>
      </w:pPr>
      <w:r w:rsidRPr="00426D7C">
        <w:rPr>
          <w:rFonts w:ascii="Times New Roman"/>
          <w:noProof/>
          <w:sz w:val="24"/>
          <w:szCs w:val="24"/>
        </w:rPr>
        <w:t xml:space="preserve">2. </w:t>
      </w:r>
      <w:r w:rsidRPr="00426D7C">
        <w:rPr>
          <w:rFonts w:ascii="Times New Roman"/>
          <w:noProof/>
          <w:sz w:val="24"/>
          <w:szCs w:val="24"/>
        </w:rPr>
        <w:tab/>
        <w:t xml:space="preserve">Vermeiren S, Vella-Azzopardi R, Beckwée D, et al. Frailty and the Prediction of Negative Health Outcomes: A Meta-Analysis. </w:t>
      </w:r>
      <w:r w:rsidRPr="00426D7C">
        <w:rPr>
          <w:rFonts w:ascii="Times New Roman"/>
          <w:i/>
          <w:iCs/>
          <w:noProof/>
          <w:sz w:val="24"/>
          <w:szCs w:val="24"/>
        </w:rPr>
        <w:t>J Am Med Dir Assoc</w:t>
      </w:r>
      <w:r w:rsidRPr="00426D7C">
        <w:rPr>
          <w:rFonts w:ascii="Times New Roman"/>
          <w:noProof/>
          <w:sz w:val="24"/>
          <w:szCs w:val="24"/>
        </w:rPr>
        <w:t>. 2016;17(12):1163.e1-1163.e17. doi:10.1016/j.jamda.2016.09.010.</w:t>
      </w:r>
    </w:p>
    <w:p w14:paraId="687A7941" w14:textId="77777777" w:rsidR="00426D7C" w:rsidRPr="00426D7C" w:rsidRDefault="00426D7C" w:rsidP="00426D7C">
      <w:pPr>
        <w:widowControl w:val="0"/>
        <w:autoSpaceDE w:val="0"/>
        <w:autoSpaceDN w:val="0"/>
        <w:adjustRightInd w:val="0"/>
        <w:spacing w:line="480" w:lineRule="auto"/>
        <w:ind w:left="640" w:hanging="640"/>
        <w:rPr>
          <w:rFonts w:ascii="Times New Roman"/>
          <w:noProof/>
          <w:sz w:val="24"/>
          <w:szCs w:val="24"/>
        </w:rPr>
      </w:pPr>
      <w:r w:rsidRPr="00526599">
        <w:rPr>
          <w:rFonts w:ascii="Times New Roman"/>
          <w:noProof/>
          <w:sz w:val="24"/>
          <w:szCs w:val="24"/>
          <w:lang w:val="fi-FI"/>
        </w:rPr>
        <w:t xml:space="preserve">3. </w:t>
      </w:r>
      <w:r w:rsidRPr="00526599">
        <w:rPr>
          <w:rFonts w:ascii="Times New Roman"/>
          <w:noProof/>
          <w:sz w:val="24"/>
          <w:szCs w:val="24"/>
          <w:lang w:val="fi-FI"/>
        </w:rPr>
        <w:tab/>
        <w:t xml:space="preserve">Cesari M, Prince M, Thiyagarajan JA, et al. </w:t>
      </w:r>
      <w:r w:rsidRPr="00426D7C">
        <w:rPr>
          <w:rFonts w:ascii="Times New Roman"/>
          <w:noProof/>
          <w:sz w:val="24"/>
          <w:szCs w:val="24"/>
        </w:rPr>
        <w:t xml:space="preserve">Frailty: An Emerging Public Health Priority. </w:t>
      </w:r>
      <w:r w:rsidRPr="00426D7C">
        <w:rPr>
          <w:rFonts w:ascii="Times New Roman"/>
          <w:i/>
          <w:iCs/>
          <w:noProof/>
          <w:sz w:val="24"/>
          <w:szCs w:val="24"/>
        </w:rPr>
        <w:t>J Am Med Dir Assoc</w:t>
      </w:r>
      <w:r w:rsidRPr="00426D7C">
        <w:rPr>
          <w:rFonts w:ascii="Times New Roman"/>
          <w:noProof/>
          <w:sz w:val="24"/>
          <w:szCs w:val="24"/>
        </w:rPr>
        <w:t>. 2016;17(3):188-192. doi:10.1016/j.jamda.2015.12.016.</w:t>
      </w:r>
    </w:p>
    <w:p w14:paraId="3D8A8EED" w14:textId="77777777" w:rsidR="00426D7C" w:rsidRPr="00426D7C" w:rsidRDefault="00426D7C" w:rsidP="00426D7C">
      <w:pPr>
        <w:widowControl w:val="0"/>
        <w:autoSpaceDE w:val="0"/>
        <w:autoSpaceDN w:val="0"/>
        <w:adjustRightInd w:val="0"/>
        <w:spacing w:line="480" w:lineRule="auto"/>
        <w:ind w:left="640" w:hanging="640"/>
        <w:rPr>
          <w:rFonts w:ascii="Times New Roman"/>
          <w:noProof/>
          <w:sz w:val="24"/>
          <w:szCs w:val="24"/>
        </w:rPr>
      </w:pPr>
      <w:r w:rsidRPr="00426D7C">
        <w:rPr>
          <w:rFonts w:ascii="Times New Roman"/>
          <w:noProof/>
          <w:sz w:val="24"/>
          <w:szCs w:val="24"/>
        </w:rPr>
        <w:t xml:space="preserve">4. </w:t>
      </w:r>
      <w:r w:rsidRPr="00426D7C">
        <w:rPr>
          <w:rFonts w:ascii="Times New Roman"/>
          <w:noProof/>
          <w:sz w:val="24"/>
          <w:szCs w:val="24"/>
        </w:rPr>
        <w:tab/>
        <w:t xml:space="preserve">Kuh D, New Dynamics of Ageing (NDA) Preparatory Network. A life course approach to healthy aging, frailty, and capability. </w:t>
      </w:r>
      <w:r w:rsidRPr="00426D7C">
        <w:rPr>
          <w:rFonts w:ascii="Times New Roman"/>
          <w:i/>
          <w:iCs/>
          <w:noProof/>
          <w:sz w:val="24"/>
          <w:szCs w:val="24"/>
        </w:rPr>
        <w:t>J Gerontol A Biol Sci Med Sci</w:t>
      </w:r>
      <w:r w:rsidRPr="00426D7C">
        <w:rPr>
          <w:rFonts w:ascii="Times New Roman"/>
          <w:noProof/>
          <w:sz w:val="24"/>
          <w:szCs w:val="24"/>
        </w:rPr>
        <w:t>. 2007;62(7):717-721. http://www.ncbi.nlm.nih.gov/pubmed/17634317. Accessed March 11, 2017.</w:t>
      </w:r>
    </w:p>
    <w:p w14:paraId="0799EB8C" w14:textId="77777777" w:rsidR="00426D7C" w:rsidRPr="00426D7C" w:rsidRDefault="00426D7C" w:rsidP="00426D7C">
      <w:pPr>
        <w:widowControl w:val="0"/>
        <w:autoSpaceDE w:val="0"/>
        <w:autoSpaceDN w:val="0"/>
        <w:adjustRightInd w:val="0"/>
        <w:spacing w:line="480" w:lineRule="auto"/>
        <w:ind w:left="640" w:hanging="640"/>
        <w:rPr>
          <w:rFonts w:ascii="Times New Roman"/>
          <w:noProof/>
          <w:sz w:val="24"/>
          <w:szCs w:val="24"/>
        </w:rPr>
      </w:pPr>
      <w:r w:rsidRPr="00426D7C">
        <w:rPr>
          <w:rFonts w:ascii="Times New Roman"/>
          <w:noProof/>
          <w:sz w:val="24"/>
          <w:szCs w:val="24"/>
        </w:rPr>
        <w:t xml:space="preserve">5. </w:t>
      </w:r>
      <w:r w:rsidRPr="00426D7C">
        <w:rPr>
          <w:rFonts w:ascii="Times New Roman"/>
          <w:noProof/>
          <w:sz w:val="24"/>
          <w:szCs w:val="24"/>
        </w:rPr>
        <w:tab/>
        <w:t xml:space="preserve">Barker DJP, Osmond C, Forsén TJ, Kajantie E, Eriksson JG. Trajectories of growth among children who have coronary events as adults. </w:t>
      </w:r>
      <w:r w:rsidRPr="00426D7C">
        <w:rPr>
          <w:rFonts w:ascii="Times New Roman"/>
          <w:i/>
          <w:iCs/>
          <w:noProof/>
          <w:sz w:val="24"/>
          <w:szCs w:val="24"/>
        </w:rPr>
        <w:t>N Engl J Med</w:t>
      </w:r>
      <w:r w:rsidRPr="00426D7C">
        <w:rPr>
          <w:rFonts w:ascii="Times New Roman"/>
          <w:noProof/>
          <w:sz w:val="24"/>
          <w:szCs w:val="24"/>
        </w:rPr>
        <w:t>. 2005;353(17):1802-1809. doi:10.1056/NEJMoa044160.</w:t>
      </w:r>
    </w:p>
    <w:p w14:paraId="36EE1E58" w14:textId="77777777" w:rsidR="00426D7C" w:rsidRPr="000C414B" w:rsidRDefault="00426D7C" w:rsidP="00426D7C">
      <w:pPr>
        <w:widowControl w:val="0"/>
        <w:autoSpaceDE w:val="0"/>
        <w:autoSpaceDN w:val="0"/>
        <w:adjustRightInd w:val="0"/>
        <w:spacing w:line="480" w:lineRule="auto"/>
        <w:ind w:left="640" w:hanging="640"/>
        <w:rPr>
          <w:rFonts w:ascii="Times New Roman"/>
          <w:noProof/>
          <w:sz w:val="24"/>
          <w:szCs w:val="24"/>
        </w:rPr>
      </w:pPr>
      <w:r w:rsidRPr="00426D7C">
        <w:rPr>
          <w:rFonts w:ascii="Times New Roman"/>
          <w:noProof/>
          <w:sz w:val="24"/>
          <w:szCs w:val="24"/>
        </w:rPr>
        <w:t xml:space="preserve">6. </w:t>
      </w:r>
      <w:r w:rsidRPr="00426D7C">
        <w:rPr>
          <w:rFonts w:ascii="Times New Roman"/>
          <w:noProof/>
          <w:sz w:val="24"/>
          <w:szCs w:val="24"/>
        </w:rPr>
        <w:tab/>
        <w:t xml:space="preserve">Barker DJP, Osmond C, Kajantie E, Eriksson JG. Growth and chronic disease: findings in the Helsinki Birth Cohort. </w:t>
      </w:r>
      <w:r w:rsidRPr="000C414B">
        <w:rPr>
          <w:rFonts w:ascii="Times New Roman"/>
          <w:i/>
          <w:iCs/>
          <w:noProof/>
          <w:sz w:val="24"/>
          <w:szCs w:val="24"/>
        </w:rPr>
        <w:t>Ann Hum Biol</w:t>
      </w:r>
      <w:r w:rsidRPr="000C414B">
        <w:rPr>
          <w:rFonts w:ascii="Times New Roman"/>
          <w:noProof/>
          <w:sz w:val="24"/>
          <w:szCs w:val="24"/>
        </w:rPr>
        <w:t>. 2009;36(5):445-458. doi:10.1080/03014460902980295.</w:t>
      </w:r>
    </w:p>
    <w:p w14:paraId="680EF08E" w14:textId="77777777" w:rsidR="00426D7C" w:rsidRPr="00426D7C" w:rsidRDefault="00426D7C" w:rsidP="00426D7C">
      <w:pPr>
        <w:widowControl w:val="0"/>
        <w:autoSpaceDE w:val="0"/>
        <w:autoSpaceDN w:val="0"/>
        <w:adjustRightInd w:val="0"/>
        <w:spacing w:line="480" w:lineRule="auto"/>
        <w:ind w:left="640" w:hanging="640"/>
        <w:rPr>
          <w:rFonts w:ascii="Times New Roman"/>
          <w:noProof/>
          <w:sz w:val="24"/>
          <w:szCs w:val="24"/>
        </w:rPr>
      </w:pPr>
      <w:r w:rsidRPr="000C414B">
        <w:rPr>
          <w:rFonts w:ascii="Times New Roman"/>
          <w:noProof/>
          <w:sz w:val="24"/>
          <w:szCs w:val="24"/>
        </w:rPr>
        <w:t xml:space="preserve">7. </w:t>
      </w:r>
      <w:r w:rsidRPr="000C414B">
        <w:rPr>
          <w:rFonts w:ascii="Times New Roman"/>
          <w:noProof/>
          <w:sz w:val="24"/>
          <w:szCs w:val="24"/>
        </w:rPr>
        <w:tab/>
        <w:t xml:space="preserve">Eriksson JG, Osmond C, Perälä M-M, et al. </w:t>
      </w:r>
      <w:r w:rsidRPr="00426D7C">
        <w:rPr>
          <w:rFonts w:ascii="Times New Roman"/>
          <w:noProof/>
          <w:sz w:val="24"/>
          <w:szCs w:val="24"/>
        </w:rPr>
        <w:t xml:space="preserve">Prenatal and childhood growth and physical performance in old age--findings from the Helsinki Birth Cohort Study 1934-1944. </w:t>
      </w:r>
      <w:r w:rsidRPr="00426D7C">
        <w:rPr>
          <w:rFonts w:ascii="Times New Roman"/>
          <w:i/>
          <w:iCs/>
          <w:noProof/>
          <w:sz w:val="24"/>
          <w:szCs w:val="24"/>
        </w:rPr>
        <w:t>Age (Dordr)</w:t>
      </w:r>
      <w:r w:rsidRPr="00426D7C">
        <w:rPr>
          <w:rFonts w:ascii="Times New Roman"/>
          <w:noProof/>
          <w:sz w:val="24"/>
          <w:szCs w:val="24"/>
        </w:rPr>
        <w:t>. 2015;37(6):108. doi:10.1007/s11357-015-9846-1.</w:t>
      </w:r>
    </w:p>
    <w:p w14:paraId="202F6894" w14:textId="77777777" w:rsidR="00426D7C" w:rsidRPr="00426D7C" w:rsidRDefault="00426D7C" w:rsidP="00426D7C">
      <w:pPr>
        <w:widowControl w:val="0"/>
        <w:autoSpaceDE w:val="0"/>
        <w:autoSpaceDN w:val="0"/>
        <w:adjustRightInd w:val="0"/>
        <w:spacing w:line="480" w:lineRule="auto"/>
        <w:ind w:left="640" w:hanging="640"/>
        <w:rPr>
          <w:rFonts w:ascii="Times New Roman"/>
          <w:noProof/>
          <w:sz w:val="24"/>
          <w:szCs w:val="24"/>
        </w:rPr>
      </w:pPr>
      <w:r w:rsidRPr="00426D7C">
        <w:rPr>
          <w:rFonts w:ascii="Times New Roman"/>
          <w:noProof/>
          <w:sz w:val="24"/>
          <w:szCs w:val="24"/>
        </w:rPr>
        <w:t xml:space="preserve">8. </w:t>
      </w:r>
      <w:r w:rsidRPr="00426D7C">
        <w:rPr>
          <w:rFonts w:ascii="Times New Roman"/>
          <w:noProof/>
          <w:sz w:val="24"/>
          <w:szCs w:val="24"/>
        </w:rPr>
        <w:tab/>
        <w:t xml:space="preserve">Martin HJ, Syddall HE, Dennison EM, Cooper C, Sayer AA. Physical performance and physical activity in older people: are developmental influences important? </w:t>
      </w:r>
      <w:r w:rsidRPr="00426D7C">
        <w:rPr>
          <w:rFonts w:ascii="Times New Roman"/>
          <w:i/>
          <w:iCs/>
          <w:noProof/>
          <w:sz w:val="24"/>
          <w:szCs w:val="24"/>
        </w:rPr>
        <w:t>Gerontology</w:t>
      </w:r>
      <w:r w:rsidRPr="00426D7C">
        <w:rPr>
          <w:rFonts w:ascii="Times New Roman"/>
          <w:noProof/>
          <w:sz w:val="24"/>
          <w:szCs w:val="24"/>
        </w:rPr>
        <w:t>. 2009;55(2):186-193. doi:10.1159/000174823.</w:t>
      </w:r>
    </w:p>
    <w:p w14:paraId="55CBCC4F" w14:textId="77777777" w:rsidR="00426D7C" w:rsidRPr="00426D7C" w:rsidRDefault="00426D7C" w:rsidP="00426D7C">
      <w:pPr>
        <w:widowControl w:val="0"/>
        <w:autoSpaceDE w:val="0"/>
        <w:autoSpaceDN w:val="0"/>
        <w:adjustRightInd w:val="0"/>
        <w:spacing w:line="480" w:lineRule="auto"/>
        <w:ind w:left="640" w:hanging="640"/>
        <w:rPr>
          <w:rFonts w:ascii="Times New Roman"/>
          <w:noProof/>
          <w:sz w:val="24"/>
          <w:szCs w:val="24"/>
        </w:rPr>
      </w:pPr>
      <w:r w:rsidRPr="00426D7C">
        <w:rPr>
          <w:rFonts w:ascii="Times New Roman"/>
          <w:noProof/>
          <w:sz w:val="24"/>
          <w:szCs w:val="24"/>
        </w:rPr>
        <w:t xml:space="preserve">9. </w:t>
      </w:r>
      <w:r w:rsidRPr="00426D7C">
        <w:rPr>
          <w:rFonts w:ascii="Times New Roman"/>
          <w:noProof/>
          <w:sz w:val="24"/>
          <w:szCs w:val="24"/>
        </w:rPr>
        <w:tab/>
        <w:t xml:space="preserve">Kuh D, Hardy R, Butterworth S, et al. Developmental origins of midlife grip strength: findings from a birth cohort study. </w:t>
      </w:r>
      <w:r w:rsidRPr="00426D7C">
        <w:rPr>
          <w:rFonts w:ascii="Times New Roman"/>
          <w:i/>
          <w:iCs/>
          <w:noProof/>
          <w:sz w:val="24"/>
          <w:szCs w:val="24"/>
        </w:rPr>
        <w:t>J Gerontol A Biol Sci Med Sci</w:t>
      </w:r>
      <w:r w:rsidRPr="00426D7C">
        <w:rPr>
          <w:rFonts w:ascii="Times New Roman"/>
          <w:noProof/>
          <w:sz w:val="24"/>
          <w:szCs w:val="24"/>
        </w:rPr>
        <w:t>. 2006;61(7):702-706. http://www.ncbi.nlm.nih.gov/pubmed/16870632. Accessed March 11, 2017.</w:t>
      </w:r>
    </w:p>
    <w:p w14:paraId="0669C4AD" w14:textId="77777777" w:rsidR="00426D7C" w:rsidRPr="00426D7C" w:rsidRDefault="00426D7C" w:rsidP="00426D7C">
      <w:pPr>
        <w:widowControl w:val="0"/>
        <w:autoSpaceDE w:val="0"/>
        <w:autoSpaceDN w:val="0"/>
        <w:adjustRightInd w:val="0"/>
        <w:spacing w:line="480" w:lineRule="auto"/>
        <w:ind w:left="640" w:hanging="640"/>
        <w:rPr>
          <w:rFonts w:ascii="Times New Roman"/>
          <w:noProof/>
          <w:sz w:val="24"/>
          <w:szCs w:val="24"/>
        </w:rPr>
      </w:pPr>
      <w:r w:rsidRPr="00426D7C">
        <w:rPr>
          <w:rFonts w:ascii="Times New Roman"/>
          <w:noProof/>
          <w:sz w:val="24"/>
          <w:szCs w:val="24"/>
        </w:rPr>
        <w:t xml:space="preserve">10. </w:t>
      </w:r>
      <w:r w:rsidRPr="00426D7C">
        <w:rPr>
          <w:rFonts w:ascii="Times New Roman"/>
          <w:noProof/>
          <w:sz w:val="24"/>
          <w:szCs w:val="24"/>
        </w:rPr>
        <w:tab/>
        <w:t xml:space="preserve">Haapanen MJ, Perälä M-M, Salonen MK, et al. Early life determinants of frailty in old age: The Helsinki Birth Cohort Study. </w:t>
      </w:r>
      <w:r w:rsidRPr="00426D7C">
        <w:rPr>
          <w:rFonts w:ascii="Times New Roman"/>
          <w:i/>
          <w:iCs/>
          <w:noProof/>
          <w:sz w:val="24"/>
          <w:szCs w:val="24"/>
        </w:rPr>
        <w:t>Age Ageing</w:t>
      </w:r>
      <w:r w:rsidRPr="00426D7C">
        <w:rPr>
          <w:rFonts w:ascii="Times New Roman"/>
          <w:noProof/>
          <w:sz w:val="24"/>
          <w:szCs w:val="24"/>
        </w:rPr>
        <w:t>. In press.</w:t>
      </w:r>
    </w:p>
    <w:p w14:paraId="22AAC963" w14:textId="77777777" w:rsidR="00426D7C" w:rsidRPr="00426D7C" w:rsidRDefault="00426D7C" w:rsidP="00426D7C">
      <w:pPr>
        <w:widowControl w:val="0"/>
        <w:autoSpaceDE w:val="0"/>
        <w:autoSpaceDN w:val="0"/>
        <w:adjustRightInd w:val="0"/>
        <w:spacing w:line="480" w:lineRule="auto"/>
        <w:ind w:left="640" w:hanging="640"/>
        <w:rPr>
          <w:rFonts w:ascii="Times New Roman"/>
          <w:noProof/>
          <w:sz w:val="24"/>
          <w:szCs w:val="24"/>
        </w:rPr>
      </w:pPr>
      <w:r w:rsidRPr="00426D7C">
        <w:rPr>
          <w:rFonts w:ascii="Times New Roman"/>
          <w:noProof/>
          <w:sz w:val="24"/>
          <w:szCs w:val="24"/>
        </w:rPr>
        <w:t xml:space="preserve">11. </w:t>
      </w:r>
      <w:r w:rsidRPr="00426D7C">
        <w:rPr>
          <w:rFonts w:ascii="Times New Roman"/>
          <w:noProof/>
          <w:sz w:val="24"/>
          <w:szCs w:val="24"/>
        </w:rPr>
        <w:tab/>
        <w:t xml:space="preserve">Perälä M-M, von Bonsdorff M, Männistö S, et al. A healthy Nordic diet and physical performance in old age: findings from the longitudinal Helsinki Birth Cohort Study. </w:t>
      </w:r>
      <w:r w:rsidRPr="00426D7C">
        <w:rPr>
          <w:rFonts w:ascii="Times New Roman"/>
          <w:i/>
          <w:iCs/>
          <w:noProof/>
          <w:sz w:val="24"/>
          <w:szCs w:val="24"/>
        </w:rPr>
        <w:t>Br J Nutr</w:t>
      </w:r>
      <w:r w:rsidRPr="00426D7C">
        <w:rPr>
          <w:rFonts w:ascii="Times New Roman"/>
          <w:noProof/>
          <w:sz w:val="24"/>
          <w:szCs w:val="24"/>
        </w:rPr>
        <w:t>. 2016;115(5):878-886. doi:10.1017/S0007114515005309.</w:t>
      </w:r>
    </w:p>
    <w:p w14:paraId="0CFC98B6" w14:textId="77777777" w:rsidR="00426D7C" w:rsidRPr="00426D7C" w:rsidRDefault="00426D7C" w:rsidP="00426D7C">
      <w:pPr>
        <w:widowControl w:val="0"/>
        <w:autoSpaceDE w:val="0"/>
        <w:autoSpaceDN w:val="0"/>
        <w:adjustRightInd w:val="0"/>
        <w:spacing w:line="480" w:lineRule="auto"/>
        <w:ind w:left="640" w:hanging="640"/>
        <w:rPr>
          <w:rFonts w:ascii="Times New Roman"/>
          <w:noProof/>
          <w:sz w:val="24"/>
          <w:szCs w:val="24"/>
        </w:rPr>
      </w:pPr>
      <w:r w:rsidRPr="00426D7C">
        <w:rPr>
          <w:rFonts w:ascii="Times New Roman"/>
          <w:noProof/>
          <w:sz w:val="24"/>
          <w:szCs w:val="24"/>
        </w:rPr>
        <w:t xml:space="preserve">12. </w:t>
      </w:r>
      <w:r w:rsidRPr="00426D7C">
        <w:rPr>
          <w:rFonts w:ascii="Times New Roman"/>
          <w:noProof/>
          <w:sz w:val="24"/>
          <w:szCs w:val="24"/>
        </w:rPr>
        <w:tab/>
        <w:t xml:space="preserve">Eriksson JG. Early growth and coronary heart disease and type 2 diabetes: findings from the Helsinki Birth Cohort Study (HBCS). </w:t>
      </w:r>
      <w:r w:rsidRPr="00426D7C">
        <w:rPr>
          <w:rFonts w:ascii="Times New Roman"/>
          <w:i/>
          <w:iCs/>
          <w:noProof/>
          <w:sz w:val="24"/>
          <w:szCs w:val="24"/>
        </w:rPr>
        <w:t>Am J Clin Nutr</w:t>
      </w:r>
      <w:r w:rsidRPr="00426D7C">
        <w:rPr>
          <w:rFonts w:ascii="Times New Roman"/>
          <w:noProof/>
          <w:sz w:val="24"/>
          <w:szCs w:val="24"/>
        </w:rPr>
        <w:t>. 2011;94(6_Suppl):1799S-1802S. doi:10.3945/ajcn.110.000638.</w:t>
      </w:r>
    </w:p>
    <w:p w14:paraId="517B2501" w14:textId="77777777" w:rsidR="00426D7C" w:rsidRPr="00426D7C" w:rsidRDefault="00426D7C" w:rsidP="00426D7C">
      <w:pPr>
        <w:widowControl w:val="0"/>
        <w:autoSpaceDE w:val="0"/>
        <w:autoSpaceDN w:val="0"/>
        <w:adjustRightInd w:val="0"/>
        <w:spacing w:line="480" w:lineRule="auto"/>
        <w:ind w:left="640" w:hanging="640"/>
        <w:rPr>
          <w:rFonts w:ascii="Times New Roman"/>
          <w:noProof/>
          <w:sz w:val="24"/>
          <w:szCs w:val="24"/>
        </w:rPr>
      </w:pPr>
      <w:r w:rsidRPr="00426D7C">
        <w:rPr>
          <w:rFonts w:ascii="Times New Roman"/>
          <w:noProof/>
          <w:sz w:val="24"/>
          <w:szCs w:val="24"/>
        </w:rPr>
        <w:t xml:space="preserve">13. </w:t>
      </w:r>
      <w:r w:rsidRPr="00426D7C">
        <w:rPr>
          <w:rFonts w:ascii="Times New Roman"/>
          <w:noProof/>
          <w:sz w:val="24"/>
          <w:szCs w:val="24"/>
        </w:rPr>
        <w:tab/>
        <w:t xml:space="preserve">Royston P. Constructing time-specific reference ranges. </w:t>
      </w:r>
      <w:r w:rsidRPr="00526599">
        <w:rPr>
          <w:rFonts w:ascii="Times New Roman"/>
          <w:i/>
          <w:iCs/>
          <w:noProof/>
          <w:sz w:val="24"/>
          <w:szCs w:val="24"/>
          <w:lang w:val="sv-SE"/>
        </w:rPr>
        <w:t>Stat Med</w:t>
      </w:r>
      <w:r w:rsidRPr="00526599">
        <w:rPr>
          <w:rFonts w:ascii="Times New Roman"/>
          <w:noProof/>
          <w:sz w:val="24"/>
          <w:szCs w:val="24"/>
          <w:lang w:val="sv-SE"/>
        </w:rPr>
        <w:t xml:space="preserve">. 1991;10(5):675-690. http://www.ncbi.nlm.nih.gov/pubmed/2068420. </w:t>
      </w:r>
      <w:r w:rsidRPr="00426D7C">
        <w:rPr>
          <w:rFonts w:ascii="Times New Roman"/>
          <w:noProof/>
          <w:sz w:val="24"/>
          <w:szCs w:val="24"/>
        </w:rPr>
        <w:t>Accessed May 28, 2017.</w:t>
      </w:r>
    </w:p>
    <w:p w14:paraId="7C477B9D" w14:textId="77777777" w:rsidR="00426D7C" w:rsidRPr="00426D7C" w:rsidRDefault="00426D7C" w:rsidP="00426D7C">
      <w:pPr>
        <w:widowControl w:val="0"/>
        <w:autoSpaceDE w:val="0"/>
        <w:autoSpaceDN w:val="0"/>
        <w:adjustRightInd w:val="0"/>
        <w:spacing w:line="480" w:lineRule="auto"/>
        <w:ind w:left="640" w:hanging="640"/>
        <w:rPr>
          <w:rFonts w:ascii="Times New Roman"/>
          <w:noProof/>
          <w:sz w:val="24"/>
          <w:szCs w:val="24"/>
        </w:rPr>
      </w:pPr>
      <w:r w:rsidRPr="00426D7C">
        <w:rPr>
          <w:rFonts w:ascii="Times New Roman"/>
          <w:noProof/>
          <w:sz w:val="24"/>
          <w:szCs w:val="24"/>
        </w:rPr>
        <w:t xml:space="preserve">14. </w:t>
      </w:r>
      <w:r w:rsidRPr="00426D7C">
        <w:rPr>
          <w:rFonts w:ascii="Times New Roman"/>
          <w:noProof/>
          <w:sz w:val="24"/>
          <w:szCs w:val="24"/>
        </w:rPr>
        <w:tab/>
        <w:t xml:space="preserve">von Bonsdorff MB, Rantanen T, Sipilä S, et al. Birth size and childhood growth as determinants of physical functioning in older age: the Helsinki Birth Cohort Study. </w:t>
      </w:r>
      <w:r w:rsidRPr="00426D7C">
        <w:rPr>
          <w:rFonts w:ascii="Times New Roman"/>
          <w:i/>
          <w:iCs/>
          <w:noProof/>
          <w:sz w:val="24"/>
          <w:szCs w:val="24"/>
        </w:rPr>
        <w:t>Am J Epidemiol</w:t>
      </w:r>
      <w:r w:rsidRPr="00426D7C">
        <w:rPr>
          <w:rFonts w:ascii="Times New Roman"/>
          <w:noProof/>
          <w:sz w:val="24"/>
          <w:szCs w:val="24"/>
        </w:rPr>
        <w:t>. 2011;174(12):1336-1344. doi:10.1093/aje/kwr270.</w:t>
      </w:r>
    </w:p>
    <w:p w14:paraId="5D5E3796" w14:textId="77777777" w:rsidR="00426D7C" w:rsidRPr="00426D7C" w:rsidRDefault="00426D7C" w:rsidP="00426D7C">
      <w:pPr>
        <w:widowControl w:val="0"/>
        <w:autoSpaceDE w:val="0"/>
        <w:autoSpaceDN w:val="0"/>
        <w:adjustRightInd w:val="0"/>
        <w:spacing w:line="480" w:lineRule="auto"/>
        <w:ind w:left="640" w:hanging="640"/>
        <w:rPr>
          <w:rFonts w:ascii="Times New Roman"/>
          <w:noProof/>
          <w:sz w:val="24"/>
          <w:szCs w:val="24"/>
        </w:rPr>
      </w:pPr>
      <w:r w:rsidRPr="00426D7C">
        <w:rPr>
          <w:rFonts w:ascii="Times New Roman"/>
          <w:noProof/>
          <w:sz w:val="24"/>
          <w:szCs w:val="24"/>
        </w:rPr>
        <w:t xml:space="preserve">15. </w:t>
      </w:r>
      <w:r w:rsidRPr="00426D7C">
        <w:rPr>
          <w:rFonts w:ascii="Times New Roman"/>
          <w:noProof/>
          <w:sz w:val="24"/>
          <w:szCs w:val="24"/>
        </w:rPr>
        <w:tab/>
        <w:t xml:space="preserve">Hales C, Barker D. Type 2 (non-insulin-dependent) diabetes mellitus: the thrifty phenotype hypothesis. </w:t>
      </w:r>
      <w:r w:rsidRPr="00426D7C">
        <w:rPr>
          <w:rFonts w:ascii="Times New Roman"/>
          <w:i/>
          <w:iCs/>
          <w:noProof/>
          <w:sz w:val="24"/>
          <w:szCs w:val="24"/>
        </w:rPr>
        <w:t>Int J Epidemiol</w:t>
      </w:r>
      <w:r w:rsidRPr="00426D7C">
        <w:rPr>
          <w:rFonts w:ascii="Times New Roman"/>
          <w:noProof/>
          <w:sz w:val="24"/>
          <w:szCs w:val="24"/>
        </w:rPr>
        <w:t>. 2013;42(5):1215-1222. doi:10.1093/ije/dyt133.</w:t>
      </w:r>
    </w:p>
    <w:p w14:paraId="02875195" w14:textId="77777777" w:rsidR="00426D7C" w:rsidRPr="00426D7C" w:rsidRDefault="00426D7C" w:rsidP="00426D7C">
      <w:pPr>
        <w:widowControl w:val="0"/>
        <w:autoSpaceDE w:val="0"/>
        <w:autoSpaceDN w:val="0"/>
        <w:adjustRightInd w:val="0"/>
        <w:spacing w:line="480" w:lineRule="auto"/>
        <w:ind w:left="640" w:hanging="640"/>
        <w:rPr>
          <w:rFonts w:ascii="Times New Roman"/>
          <w:noProof/>
          <w:sz w:val="24"/>
          <w:szCs w:val="24"/>
        </w:rPr>
      </w:pPr>
      <w:r w:rsidRPr="00426D7C">
        <w:rPr>
          <w:rFonts w:ascii="Times New Roman"/>
          <w:noProof/>
          <w:sz w:val="24"/>
          <w:szCs w:val="24"/>
        </w:rPr>
        <w:t xml:space="preserve">16. </w:t>
      </w:r>
      <w:r w:rsidRPr="00426D7C">
        <w:rPr>
          <w:rFonts w:ascii="Times New Roman"/>
          <w:noProof/>
          <w:sz w:val="24"/>
          <w:szCs w:val="24"/>
        </w:rPr>
        <w:tab/>
        <w:t xml:space="preserve">Ylihärsilä H, Kajantie E, Osmond C, Forsén T, Barker DJP, Eriksson JG. Birth size, adult body composition and muscle strength in later life. </w:t>
      </w:r>
      <w:r w:rsidRPr="00426D7C">
        <w:rPr>
          <w:rFonts w:ascii="Times New Roman"/>
          <w:i/>
          <w:iCs/>
          <w:noProof/>
          <w:sz w:val="24"/>
          <w:szCs w:val="24"/>
        </w:rPr>
        <w:t>Int J Obes (Lond)</w:t>
      </w:r>
      <w:r w:rsidRPr="00426D7C">
        <w:rPr>
          <w:rFonts w:ascii="Times New Roman"/>
          <w:noProof/>
          <w:sz w:val="24"/>
          <w:szCs w:val="24"/>
        </w:rPr>
        <w:t>. 2007;31(9):1392-1399. doi:10.1038/sj.ijo.0803612.</w:t>
      </w:r>
    </w:p>
    <w:p w14:paraId="1C517DAC" w14:textId="77777777" w:rsidR="00426D7C" w:rsidRPr="00426D7C" w:rsidRDefault="00426D7C" w:rsidP="00426D7C">
      <w:pPr>
        <w:widowControl w:val="0"/>
        <w:autoSpaceDE w:val="0"/>
        <w:autoSpaceDN w:val="0"/>
        <w:adjustRightInd w:val="0"/>
        <w:spacing w:line="480" w:lineRule="auto"/>
        <w:ind w:left="640" w:hanging="640"/>
        <w:rPr>
          <w:rFonts w:ascii="Times New Roman"/>
          <w:noProof/>
          <w:sz w:val="24"/>
          <w:szCs w:val="24"/>
        </w:rPr>
      </w:pPr>
      <w:r w:rsidRPr="00426D7C">
        <w:rPr>
          <w:rFonts w:ascii="Times New Roman"/>
          <w:noProof/>
          <w:sz w:val="24"/>
          <w:szCs w:val="24"/>
        </w:rPr>
        <w:t xml:space="preserve">17. </w:t>
      </w:r>
      <w:r w:rsidRPr="00426D7C">
        <w:rPr>
          <w:rFonts w:ascii="Times New Roman"/>
          <w:noProof/>
          <w:sz w:val="24"/>
          <w:szCs w:val="24"/>
        </w:rPr>
        <w:tab/>
        <w:t xml:space="preserve">Hubbard RE, Lang IA, Llewellyn DJ, Rockwood K. Frailty, Body Mass Index, and Abdominal Obesity in Older People. </w:t>
      </w:r>
      <w:r w:rsidRPr="00426D7C">
        <w:rPr>
          <w:rFonts w:ascii="Times New Roman"/>
          <w:i/>
          <w:iCs/>
          <w:noProof/>
          <w:sz w:val="24"/>
          <w:szCs w:val="24"/>
        </w:rPr>
        <w:t>Journals Gerontol Ser A Biol Sci Med Sci</w:t>
      </w:r>
      <w:r w:rsidRPr="00426D7C">
        <w:rPr>
          <w:rFonts w:ascii="Times New Roman"/>
          <w:noProof/>
          <w:sz w:val="24"/>
          <w:szCs w:val="24"/>
        </w:rPr>
        <w:t>. 2010;65A(4):377-381. doi:10.1093/gerona/glp186.</w:t>
      </w:r>
    </w:p>
    <w:p w14:paraId="7D4F0055" w14:textId="77777777" w:rsidR="00426D7C" w:rsidRPr="00426D7C" w:rsidRDefault="00426D7C" w:rsidP="00426D7C">
      <w:pPr>
        <w:widowControl w:val="0"/>
        <w:autoSpaceDE w:val="0"/>
        <w:autoSpaceDN w:val="0"/>
        <w:adjustRightInd w:val="0"/>
        <w:spacing w:line="480" w:lineRule="auto"/>
        <w:ind w:left="640" w:hanging="640"/>
        <w:rPr>
          <w:rFonts w:ascii="Times New Roman"/>
          <w:noProof/>
          <w:sz w:val="24"/>
          <w:szCs w:val="24"/>
        </w:rPr>
      </w:pPr>
      <w:r w:rsidRPr="00426D7C">
        <w:rPr>
          <w:rFonts w:ascii="Times New Roman"/>
          <w:noProof/>
          <w:sz w:val="24"/>
          <w:szCs w:val="24"/>
        </w:rPr>
        <w:t xml:space="preserve">18. </w:t>
      </w:r>
      <w:r w:rsidRPr="00426D7C">
        <w:rPr>
          <w:rFonts w:ascii="Times New Roman"/>
          <w:noProof/>
          <w:sz w:val="24"/>
          <w:szCs w:val="24"/>
        </w:rPr>
        <w:tab/>
        <w:t xml:space="preserve">Soysal P, Stubbs B, Lucato P, et al. Inflammation and frailty in the elderly: A systematic review and meta-analysis. </w:t>
      </w:r>
      <w:r w:rsidRPr="00426D7C">
        <w:rPr>
          <w:rFonts w:ascii="Times New Roman"/>
          <w:i/>
          <w:iCs/>
          <w:noProof/>
          <w:sz w:val="24"/>
          <w:szCs w:val="24"/>
        </w:rPr>
        <w:t>Ageing Res Rev</w:t>
      </w:r>
      <w:r w:rsidRPr="00426D7C">
        <w:rPr>
          <w:rFonts w:ascii="Times New Roman"/>
          <w:noProof/>
          <w:sz w:val="24"/>
          <w:szCs w:val="24"/>
        </w:rPr>
        <w:t>. 2016;31:1-8. doi:10.1016/j.arr.2016.08.006.</w:t>
      </w:r>
    </w:p>
    <w:p w14:paraId="5ACCAD58" w14:textId="77777777" w:rsidR="00426D7C" w:rsidRPr="00426D7C" w:rsidRDefault="00426D7C" w:rsidP="00426D7C">
      <w:pPr>
        <w:widowControl w:val="0"/>
        <w:autoSpaceDE w:val="0"/>
        <w:autoSpaceDN w:val="0"/>
        <w:adjustRightInd w:val="0"/>
        <w:spacing w:line="480" w:lineRule="auto"/>
        <w:ind w:left="640" w:hanging="640"/>
        <w:rPr>
          <w:rFonts w:ascii="Times New Roman"/>
          <w:noProof/>
          <w:sz w:val="24"/>
          <w:szCs w:val="24"/>
        </w:rPr>
      </w:pPr>
      <w:r w:rsidRPr="00426D7C">
        <w:rPr>
          <w:rFonts w:ascii="Times New Roman"/>
          <w:noProof/>
          <w:sz w:val="24"/>
          <w:szCs w:val="24"/>
        </w:rPr>
        <w:t xml:space="preserve">19. </w:t>
      </w:r>
      <w:r w:rsidRPr="00426D7C">
        <w:rPr>
          <w:rFonts w:ascii="Times New Roman"/>
          <w:noProof/>
          <w:sz w:val="24"/>
          <w:szCs w:val="24"/>
        </w:rPr>
        <w:tab/>
        <w:t xml:space="preserve">Franceschi C, Campisi J. Chronic Inflammation (Inflammaging) and Its Potential Contribution to Age-Associated Diseases. </w:t>
      </w:r>
      <w:r w:rsidRPr="00426D7C">
        <w:rPr>
          <w:rFonts w:ascii="Times New Roman"/>
          <w:i/>
          <w:iCs/>
          <w:noProof/>
          <w:sz w:val="24"/>
          <w:szCs w:val="24"/>
        </w:rPr>
        <w:t>Journals Gerontol Ser A Biol Sci Med Sci</w:t>
      </w:r>
      <w:r w:rsidRPr="00426D7C">
        <w:rPr>
          <w:rFonts w:ascii="Times New Roman"/>
          <w:noProof/>
          <w:sz w:val="24"/>
          <w:szCs w:val="24"/>
        </w:rPr>
        <w:t>. 2014;69(Suppl 1):S4-S9. doi:10.1093/gerona/glu057.</w:t>
      </w:r>
    </w:p>
    <w:p w14:paraId="7922FB88" w14:textId="77777777" w:rsidR="00426D7C" w:rsidRPr="00426D7C" w:rsidRDefault="00426D7C" w:rsidP="00426D7C">
      <w:pPr>
        <w:widowControl w:val="0"/>
        <w:autoSpaceDE w:val="0"/>
        <w:autoSpaceDN w:val="0"/>
        <w:adjustRightInd w:val="0"/>
        <w:spacing w:line="480" w:lineRule="auto"/>
        <w:ind w:left="640" w:hanging="640"/>
        <w:rPr>
          <w:rFonts w:ascii="Times New Roman"/>
          <w:noProof/>
          <w:sz w:val="24"/>
        </w:rPr>
      </w:pPr>
      <w:r w:rsidRPr="00426D7C">
        <w:rPr>
          <w:rFonts w:ascii="Times New Roman"/>
          <w:noProof/>
          <w:sz w:val="24"/>
          <w:szCs w:val="24"/>
        </w:rPr>
        <w:t xml:space="preserve">20. </w:t>
      </w:r>
      <w:r w:rsidRPr="00426D7C">
        <w:rPr>
          <w:rFonts w:ascii="Times New Roman"/>
          <w:noProof/>
          <w:sz w:val="24"/>
          <w:szCs w:val="24"/>
        </w:rPr>
        <w:tab/>
        <w:t xml:space="preserve">Fried LP, Ferrucci L, Darer J, Williamson JD, Anderson G. Untangling the concepts of disability, frailty, and comorbidity: implications for improved targeting and care. </w:t>
      </w:r>
      <w:r w:rsidRPr="00426D7C">
        <w:rPr>
          <w:rFonts w:ascii="Times New Roman"/>
          <w:i/>
          <w:iCs/>
          <w:noProof/>
          <w:sz w:val="24"/>
          <w:szCs w:val="24"/>
        </w:rPr>
        <w:t>J Gerontol A Biol Sci Med Sci</w:t>
      </w:r>
      <w:r w:rsidRPr="00426D7C">
        <w:rPr>
          <w:rFonts w:ascii="Times New Roman"/>
          <w:noProof/>
          <w:sz w:val="24"/>
          <w:szCs w:val="24"/>
        </w:rPr>
        <w:t>. 2004;59(3):255-263. http://www.ncbi.nlm.nih.gov/pubmed/15031310. Accessed March 11, 2017.</w:t>
      </w:r>
    </w:p>
    <w:p w14:paraId="1E20401C" w14:textId="54DCD80C" w:rsidR="00912279" w:rsidRDefault="001108E4" w:rsidP="00F51259">
      <w:pPr>
        <w:spacing w:line="480" w:lineRule="auto"/>
        <w:jc w:val="both"/>
        <w:rPr>
          <w:rFonts w:ascii="Times New Roman"/>
          <w:b/>
          <w:sz w:val="24"/>
          <w:szCs w:val="24"/>
        </w:rPr>
      </w:pPr>
      <w:r>
        <w:rPr>
          <w:rFonts w:ascii="Times New Roman"/>
          <w:b/>
          <w:sz w:val="24"/>
          <w:szCs w:val="24"/>
        </w:rPr>
        <w:fldChar w:fldCharType="end"/>
      </w:r>
    </w:p>
    <w:p w14:paraId="4C5E0D27" w14:textId="77777777" w:rsidR="00F61D73" w:rsidRDefault="00F61D73" w:rsidP="003C3E14">
      <w:pPr>
        <w:rPr>
          <w:rFonts w:ascii="Times New Roman"/>
          <w:b/>
          <w:sz w:val="24"/>
          <w:szCs w:val="24"/>
        </w:rPr>
      </w:pPr>
    </w:p>
    <w:p w14:paraId="6E00CDC3" w14:textId="77777777" w:rsidR="00E74C44" w:rsidRDefault="00E74C44" w:rsidP="003C3E14">
      <w:pPr>
        <w:rPr>
          <w:rFonts w:ascii="Times New Roman"/>
          <w:b/>
          <w:sz w:val="24"/>
          <w:szCs w:val="24"/>
        </w:rPr>
      </w:pPr>
    </w:p>
    <w:p w14:paraId="2FE2B39E" w14:textId="77777777" w:rsidR="00E74C44" w:rsidRDefault="00E74C44" w:rsidP="003C3E14">
      <w:pPr>
        <w:rPr>
          <w:rFonts w:ascii="Times New Roman"/>
          <w:b/>
          <w:sz w:val="24"/>
          <w:szCs w:val="24"/>
        </w:rPr>
      </w:pPr>
    </w:p>
    <w:p w14:paraId="27117EF4" w14:textId="77777777" w:rsidR="00E74C44" w:rsidRDefault="00E74C44" w:rsidP="003C3E14">
      <w:pPr>
        <w:rPr>
          <w:rFonts w:ascii="Times New Roman"/>
          <w:b/>
          <w:sz w:val="24"/>
          <w:szCs w:val="24"/>
        </w:rPr>
      </w:pPr>
    </w:p>
    <w:p w14:paraId="65402636" w14:textId="77777777" w:rsidR="00E74C44" w:rsidRDefault="00E74C44" w:rsidP="003C3E14">
      <w:pPr>
        <w:rPr>
          <w:rFonts w:ascii="Times New Roman"/>
          <w:b/>
          <w:sz w:val="24"/>
          <w:szCs w:val="24"/>
        </w:rPr>
      </w:pPr>
    </w:p>
    <w:p w14:paraId="6906E212" w14:textId="77777777" w:rsidR="00E74C44" w:rsidRDefault="00E74C44" w:rsidP="003C3E14">
      <w:pPr>
        <w:rPr>
          <w:rFonts w:ascii="Times New Roman"/>
          <w:b/>
          <w:sz w:val="24"/>
          <w:szCs w:val="24"/>
        </w:rPr>
      </w:pPr>
    </w:p>
    <w:p w14:paraId="481BC16D" w14:textId="77777777" w:rsidR="00E74C44" w:rsidRDefault="00E74C44" w:rsidP="003C3E14">
      <w:pPr>
        <w:rPr>
          <w:rFonts w:ascii="Times New Roman"/>
          <w:b/>
          <w:sz w:val="24"/>
          <w:szCs w:val="24"/>
        </w:rPr>
      </w:pPr>
    </w:p>
    <w:p w14:paraId="6BD85A39" w14:textId="77777777" w:rsidR="00E74C44" w:rsidRDefault="00E74C44" w:rsidP="003C3E14">
      <w:pPr>
        <w:rPr>
          <w:rFonts w:ascii="Times New Roman"/>
          <w:b/>
          <w:sz w:val="24"/>
          <w:szCs w:val="24"/>
        </w:rPr>
      </w:pPr>
    </w:p>
    <w:p w14:paraId="660A1E90" w14:textId="77777777" w:rsidR="00E74C44" w:rsidRDefault="00E74C44" w:rsidP="003C3E14">
      <w:pPr>
        <w:rPr>
          <w:rFonts w:ascii="Times New Roman"/>
          <w:b/>
          <w:sz w:val="24"/>
          <w:szCs w:val="24"/>
        </w:rPr>
      </w:pPr>
    </w:p>
    <w:p w14:paraId="2D435CD8" w14:textId="77777777" w:rsidR="00E74C44" w:rsidRDefault="00E74C44" w:rsidP="003C3E14">
      <w:pPr>
        <w:rPr>
          <w:rFonts w:ascii="Times New Roman"/>
          <w:b/>
          <w:sz w:val="24"/>
          <w:szCs w:val="24"/>
        </w:rPr>
      </w:pPr>
    </w:p>
    <w:p w14:paraId="0C4D9ED7" w14:textId="77777777" w:rsidR="00E74C44" w:rsidRDefault="00E74C44" w:rsidP="003C3E14">
      <w:pPr>
        <w:rPr>
          <w:rFonts w:ascii="Times New Roman"/>
          <w:b/>
          <w:sz w:val="24"/>
          <w:szCs w:val="24"/>
        </w:rPr>
      </w:pPr>
    </w:p>
    <w:p w14:paraId="18D365D1" w14:textId="77777777" w:rsidR="00E74C44" w:rsidRDefault="00E74C44" w:rsidP="003C3E14">
      <w:pPr>
        <w:rPr>
          <w:rFonts w:ascii="Times New Roman"/>
          <w:b/>
          <w:sz w:val="24"/>
          <w:szCs w:val="24"/>
        </w:rPr>
      </w:pPr>
    </w:p>
    <w:p w14:paraId="00F5AFE3" w14:textId="77777777" w:rsidR="00E74C44" w:rsidRDefault="00E74C44" w:rsidP="003C3E14">
      <w:pPr>
        <w:rPr>
          <w:rFonts w:ascii="Times New Roman"/>
          <w:b/>
          <w:sz w:val="24"/>
          <w:szCs w:val="24"/>
        </w:rPr>
      </w:pPr>
    </w:p>
    <w:p w14:paraId="6C694A57" w14:textId="77777777" w:rsidR="00E74C44" w:rsidRDefault="00E74C44" w:rsidP="003C3E14">
      <w:pPr>
        <w:rPr>
          <w:rFonts w:ascii="Times New Roman"/>
          <w:b/>
          <w:sz w:val="24"/>
          <w:szCs w:val="24"/>
        </w:rPr>
      </w:pPr>
    </w:p>
    <w:p w14:paraId="313E457D" w14:textId="0793CE4D" w:rsidR="001F59EA" w:rsidRPr="00285509" w:rsidRDefault="001D4B66" w:rsidP="003C3E14">
      <w:pPr>
        <w:rPr>
          <w:rFonts w:ascii="Times New Roman"/>
          <w:b/>
          <w:sz w:val="24"/>
          <w:szCs w:val="24"/>
        </w:rPr>
      </w:pPr>
      <w:r>
        <w:rPr>
          <w:rFonts w:ascii="Times New Roman"/>
          <w:b/>
          <w:sz w:val="24"/>
          <w:szCs w:val="24"/>
        </w:rPr>
        <w:t xml:space="preserve">Figure </w:t>
      </w:r>
      <w:r w:rsidR="005C2F9E">
        <w:rPr>
          <w:rFonts w:ascii="Times New Roman"/>
          <w:b/>
          <w:sz w:val="24"/>
          <w:szCs w:val="24"/>
        </w:rPr>
        <w:t>C</w:t>
      </w:r>
      <w:r w:rsidR="00142116">
        <w:rPr>
          <w:rFonts w:ascii="Times New Roman"/>
          <w:b/>
          <w:sz w:val="24"/>
          <w:szCs w:val="24"/>
        </w:rPr>
        <w:t>aption</w:t>
      </w:r>
    </w:p>
    <w:p w14:paraId="63685839" w14:textId="36F71BA0" w:rsidR="00285509" w:rsidRDefault="00936316" w:rsidP="00285509">
      <w:pPr>
        <w:jc w:val="both"/>
        <w:rPr>
          <w:rFonts w:ascii="Times New Roman"/>
          <w:sz w:val="24"/>
          <w:szCs w:val="24"/>
        </w:rPr>
      </w:pPr>
      <w:r>
        <w:rPr>
          <w:rFonts w:ascii="Times New Roman"/>
          <w:b/>
          <w:sz w:val="24"/>
          <w:szCs w:val="24"/>
        </w:rPr>
        <w:t>Fig. 1</w:t>
      </w:r>
      <w:r w:rsidR="00285509" w:rsidRPr="00605FDE">
        <w:rPr>
          <w:rFonts w:ascii="Times New Roman"/>
          <w:sz w:val="24"/>
          <w:szCs w:val="24"/>
        </w:rPr>
        <w:t>.</w:t>
      </w:r>
      <w:r w:rsidR="00285509">
        <w:rPr>
          <w:rFonts w:ascii="Times New Roman"/>
          <w:sz w:val="24"/>
          <w:szCs w:val="24"/>
        </w:rPr>
        <w:t xml:space="preserve"> Infant and childhood growth of the 13 men and 26 women who developed frailty in a cohort of 1078</w:t>
      </w:r>
      <w:r>
        <w:rPr>
          <w:rFonts w:ascii="Times New Roman"/>
          <w:sz w:val="24"/>
          <w:szCs w:val="24"/>
        </w:rPr>
        <w:t xml:space="preserve"> participants born in Helsinki</w:t>
      </w:r>
    </w:p>
    <w:p w14:paraId="51C3585E" w14:textId="1FA500EB" w:rsidR="00D400F4" w:rsidRPr="001D4B66" w:rsidRDefault="00862B5A" w:rsidP="003C3E14">
      <w:pPr>
        <w:rPr>
          <w:rFonts w:ascii="Times New Roman"/>
          <w:b/>
          <w:sz w:val="24"/>
          <w:szCs w:val="24"/>
        </w:rPr>
      </w:pPr>
      <w:r>
        <w:rPr>
          <w:rFonts w:ascii="Times New Roman"/>
          <w:b/>
          <w:sz w:val="24"/>
          <w:szCs w:val="24"/>
        </w:rPr>
        <w:t xml:space="preserve">Legend </w:t>
      </w:r>
      <w:r w:rsidR="001D4B66">
        <w:rPr>
          <w:rFonts w:ascii="Times New Roman"/>
          <w:b/>
          <w:sz w:val="24"/>
          <w:szCs w:val="24"/>
        </w:rPr>
        <w:t>of</w:t>
      </w:r>
      <w:r>
        <w:rPr>
          <w:rFonts w:ascii="Times New Roman"/>
          <w:b/>
          <w:sz w:val="24"/>
          <w:szCs w:val="24"/>
        </w:rPr>
        <w:t xml:space="preserve"> Supplementary </w:t>
      </w:r>
      <w:r w:rsidR="001D4B66">
        <w:rPr>
          <w:rFonts w:ascii="Times New Roman"/>
          <w:b/>
          <w:sz w:val="24"/>
          <w:szCs w:val="24"/>
        </w:rPr>
        <w:t>Material</w:t>
      </w:r>
    </w:p>
    <w:p w14:paraId="37A2F5E9" w14:textId="02A55880" w:rsidR="00D400F4" w:rsidRPr="0032654B" w:rsidRDefault="00D400F4" w:rsidP="00D400F4">
      <w:pPr>
        <w:spacing w:line="480" w:lineRule="auto"/>
        <w:jc w:val="both"/>
        <w:rPr>
          <w:rFonts w:ascii="Times New Roman"/>
          <w:b/>
          <w:sz w:val="24"/>
          <w:szCs w:val="24"/>
        </w:rPr>
      </w:pPr>
      <w:r>
        <w:rPr>
          <w:rFonts w:ascii="Times New Roman"/>
          <w:sz w:val="24"/>
          <w:szCs w:val="24"/>
        </w:rPr>
        <w:t xml:space="preserve">Supplementary </w:t>
      </w:r>
      <w:r w:rsidR="001D4B66">
        <w:rPr>
          <w:rFonts w:ascii="Times New Roman"/>
          <w:sz w:val="24"/>
          <w:szCs w:val="24"/>
        </w:rPr>
        <w:t>T</w:t>
      </w:r>
      <w:r>
        <w:rPr>
          <w:rFonts w:ascii="Times New Roman"/>
          <w:sz w:val="24"/>
          <w:szCs w:val="24"/>
        </w:rPr>
        <w:t>able. Characteristics of the study cohort (n=1078).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1424"/>
        <w:gridCol w:w="851"/>
        <w:gridCol w:w="1559"/>
        <w:gridCol w:w="850"/>
        <w:gridCol w:w="1105"/>
      </w:tblGrid>
      <w:tr w:rsidR="00D400F4" w:rsidRPr="00AF6A0B" w14:paraId="47DD1519" w14:textId="77777777" w:rsidTr="001E2549">
        <w:trPr>
          <w:trHeight w:val="231"/>
          <w:jc w:val="center"/>
        </w:trPr>
        <w:tc>
          <w:tcPr>
            <w:tcW w:w="3794" w:type="dxa"/>
            <w:tcBorders>
              <w:left w:val="nil"/>
              <w:bottom w:val="nil"/>
              <w:right w:val="nil"/>
            </w:tcBorders>
          </w:tcPr>
          <w:p w14:paraId="01C0B467" w14:textId="77777777" w:rsidR="00D400F4" w:rsidRPr="00AF6A0B" w:rsidRDefault="00D400F4" w:rsidP="001E2549">
            <w:pPr>
              <w:rPr>
                <w:rFonts w:ascii="Times New Roman"/>
                <w:sz w:val="24"/>
                <w:szCs w:val="24"/>
              </w:rPr>
            </w:pPr>
          </w:p>
        </w:tc>
        <w:tc>
          <w:tcPr>
            <w:tcW w:w="2275" w:type="dxa"/>
            <w:gridSpan w:val="2"/>
            <w:tcBorders>
              <w:left w:val="nil"/>
              <w:bottom w:val="nil"/>
              <w:right w:val="nil"/>
            </w:tcBorders>
          </w:tcPr>
          <w:p w14:paraId="58D59534" w14:textId="77777777" w:rsidR="00D400F4" w:rsidRPr="00AF6A0B" w:rsidRDefault="00D400F4" w:rsidP="001E2549">
            <w:pPr>
              <w:jc w:val="center"/>
              <w:rPr>
                <w:rFonts w:ascii="Times New Roman"/>
                <w:b/>
                <w:sz w:val="24"/>
                <w:szCs w:val="24"/>
              </w:rPr>
            </w:pPr>
            <w:r>
              <w:rPr>
                <w:rFonts w:ascii="Times New Roman"/>
                <w:b/>
                <w:sz w:val="24"/>
                <w:szCs w:val="24"/>
              </w:rPr>
              <w:t>Men (n=475)</w:t>
            </w:r>
          </w:p>
        </w:tc>
        <w:tc>
          <w:tcPr>
            <w:tcW w:w="2409" w:type="dxa"/>
            <w:gridSpan w:val="2"/>
            <w:tcBorders>
              <w:left w:val="nil"/>
              <w:bottom w:val="nil"/>
              <w:right w:val="nil"/>
            </w:tcBorders>
          </w:tcPr>
          <w:p w14:paraId="14C9D82B" w14:textId="77777777" w:rsidR="00D400F4" w:rsidRPr="00AF6A0B" w:rsidRDefault="00D400F4" w:rsidP="001E2549">
            <w:pPr>
              <w:jc w:val="center"/>
              <w:rPr>
                <w:rFonts w:ascii="Times New Roman"/>
                <w:sz w:val="24"/>
                <w:szCs w:val="24"/>
              </w:rPr>
            </w:pPr>
            <w:r>
              <w:rPr>
                <w:rFonts w:ascii="Times New Roman"/>
                <w:b/>
                <w:sz w:val="24"/>
                <w:szCs w:val="24"/>
              </w:rPr>
              <w:t>Women (n=603)</w:t>
            </w:r>
          </w:p>
        </w:tc>
        <w:tc>
          <w:tcPr>
            <w:tcW w:w="1105" w:type="dxa"/>
            <w:tcBorders>
              <w:left w:val="nil"/>
              <w:bottom w:val="nil"/>
              <w:right w:val="nil"/>
            </w:tcBorders>
          </w:tcPr>
          <w:p w14:paraId="1E769FCC" w14:textId="77777777" w:rsidR="00D400F4" w:rsidRPr="00AF6A0B" w:rsidRDefault="00D400F4" w:rsidP="001E2549">
            <w:pPr>
              <w:jc w:val="center"/>
              <w:rPr>
                <w:rFonts w:ascii="Times New Roman"/>
                <w:sz w:val="24"/>
                <w:szCs w:val="24"/>
              </w:rPr>
            </w:pPr>
          </w:p>
        </w:tc>
      </w:tr>
      <w:tr w:rsidR="00D400F4" w:rsidRPr="00AF6A0B" w14:paraId="3CF4D9BD" w14:textId="77777777" w:rsidTr="001E2549">
        <w:trPr>
          <w:trHeight w:val="231"/>
          <w:jc w:val="center"/>
        </w:trPr>
        <w:tc>
          <w:tcPr>
            <w:tcW w:w="3794" w:type="dxa"/>
            <w:tcBorders>
              <w:top w:val="nil"/>
              <w:left w:val="nil"/>
              <w:right w:val="nil"/>
            </w:tcBorders>
          </w:tcPr>
          <w:p w14:paraId="077F3E92" w14:textId="77777777" w:rsidR="00D400F4" w:rsidRPr="00AF6A0B" w:rsidRDefault="00D400F4" w:rsidP="001E2549">
            <w:pPr>
              <w:rPr>
                <w:rFonts w:ascii="Times New Roman"/>
                <w:sz w:val="24"/>
                <w:szCs w:val="24"/>
              </w:rPr>
            </w:pPr>
          </w:p>
        </w:tc>
        <w:tc>
          <w:tcPr>
            <w:tcW w:w="1424" w:type="dxa"/>
            <w:tcBorders>
              <w:top w:val="nil"/>
              <w:left w:val="nil"/>
              <w:right w:val="nil"/>
            </w:tcBorders>
          </w:tcPr>
          <w:p w14:paraId="37901C64" w14:textId="77777777" w:rsidR="00D400F4" w:rsidRPr="00AF6A0B" w:rsidRDefault="00D400F4" w:rsidP="001E2549">
            <w:pPr>
              <w:jc w:val="center"/>
              <w:rPr>
                <w:rFonts w:ascii="Times New Roman"/>
                <w:b/>
                <w:sz w:val="24"/>
                <w:szCs w:val="24"/>
              </w:rPr>
            </w:pPr>
            <w:r>
              <w:rPr>
                <w:rFonts w:ascii="Times New Roman"/>
                <w:b/>
                <w:sz w:val="24"/>
                <w:szCs w:val="24"/>
              </w:rPr>
              <w:t>Means (SD)</w:t>
            </w:r>
          </w:p>
        </w:tc>
        <w:tc>
          <w:tcPr>
            <w:tcW w:w="851" w:type="dxa"/>
            <w:tcBorders>
              <w:top w:val="nil"/>
              <w:left w:val="nil"/>
              <w:right w:val="nil"/>
            </w:tcBorders>
          </w:tcPr>
          <w:p w14:paraId="2E9DE865" w14:textId="77777777" w:rsidR="00D400F4" w:rsidRPr="00AF6A0B" w:rsidRDefault="00D400F4" w:rsidP="001E2549">
            <w:pPr>
              <w:jc w:val="center"/>
              <w:rPr>
                <w:rFonts w:ascii="Times New Roman"/>
                <w:b/>
                <w:sz w:val="24"/>
                <w:szCs w:val="24"/>
              </w:rPr>
            </w:pPr>
            <w:r>
              <w:rPr>
                <w:rFonts w:ascii="Times New Roman"/>
                <w:b/>
                <w:sz w:val="24"/>
                <w:szCs w:val="24"/>
              </w:rPr>
              <w:t>n</w:t>
            </w:r>
          </w:p>
        </w:tc>
        <w:tc>
          <w:tcPr>
            <w:tcW w:w="1559" w:type="dxa"/>
            <w:tcBorders>
              <w:top w:val="nil"/>
              <w:left w:val="nil"/>
              <w:right w:val="nil"/>
            </w:tcBorders>
          </w:tcPr>
          <w:p w14:paraId="7AE929C7" w14:textId="77777777" w:rsidR="00D400F4" w:rsidRPr="00AF6A0B" w:rsidRDefault="00D400F4" w:rsidP="001E2549">
            <w:pPr>
              <w:jc w:val="center"/>
              <w:rPr>
                <w:rFonts w:ascii="Times New Roman"/>
                <w:sz w:val="24"/>
                <w:szCs w:val="24"/>
              </w:rPr>
            </w:pPr>
            <w:r>
              <w:rPr>
                <w:rFonts w:ascii="Times New Roman"/>
                <w:b/>
                <w:sz w:val="24"/>
                <w:szCs w:val="24"/>
              </w:rPr>
              <w:t>Means (SD)</w:t>
            </w:r>
          </w:p>
        </w:tc>
        <w:tc>
          <w:tcPr>
            <w:tcW w:w="850" w:type="dxa"/>
            <w:tcBorders>
              <w:top w:val="nil"/>
              <w:left w:val="nil"/>
              <w:right w:val="nil"/>
            </w:tcBorders>
          </w:tcPr>
          <w:p w14:paraId="5DF4B53F" w14:textId="77777777" w:rsidR="00D400F4" w:rsidRPr="00AF6A0B" w:rsidRDefault="00D400F4" w:rsidP="001E2549">
            <w:pPr>
              <w:jc w:val="center"/>
              <w:rPr>
                <w:rFonts w:ascii="Times New Roman"/>
                <w:sz w:val="24"/>
                <w:szCs w:val="24"/>
              </w:rPr>
            </w:pPr>
            <w:r>
              <w:rPr>
                <w:rFonts w:ascii="Times New Roman"/>
                <w:b/>
                <w:sz w:val="24"/>
                <w:szCs w:val="24"/>
              </w:rPr>
              <w:t>n</w:t>
            </w:r>
          </w:p>
        </w:tc>
        <w:tc>
          <w:tcPr>
            <w:tcW w:w="1105" w:type="dxa"/>
            <w:tcBorders>
              <w:top w:val="nil"/>
              <w:left w:val="nil"/>
              <w:right w:val="nil"/>
            </w:tcBorders>
          </w:tcPr>
          <w:p w14:paraId="0FDA18C4" w14:textId="77777777" w:rsidR="00D400F4" w:rsidRPr="00AF6A0B" w:rsidRDefault="00D400F4" w:rsidP="001E2549">
            <w:pPr>
              <w:jc w:val="center"/>
              <w:rPr>
                <w:rFonts w:ascii="Times New Roman"/>
                <w:sz w:val="24"/>
                <w:szCs w:val="24"/>
              </w:rPr>
            </w:pPr>
            <w:r>
              <w:rPr>
                <w:rFonts w:ascii="Times New Roman"/>
                <w:b/>
                <w:sz w:val="24"/>
                <w:szCs w:val="24"/>
              </w:rPr>
              <w:t>p</w:t>
            </w:r>
            <w:r>
              <w:rPr>
                <w:rFonts w:ascii="Times New Roman"/>
                <w:b/>
                <w:sz w:val="24"/>
                <w:szCs w:val="24"/>
                <w:vertAlign w:val="superscript"/>
              </w:rPr>
              <w:t>a</w:t>
            </w:r>
          </w:p>
        </w:tc>
      </w:tr>
      <w:tr w:rsidR="00D400F4" w:rsidRPr="00AF6A0B" w14:paraId="1EC54984" w14:textId="77777777" w:rsidTr="001E2549">
        <w:trPr>
          <w:trHeight w:val="264"/>
          <w:jc w:val="center"/>
        </w:trPr>
        <w:tc>
          <w:tcPr>
            <w:tcW w:w="9583" w:type="dxa"/>
            <w:gridSpan w:val="6"/>
            <w:tcBorders>
              <w:left w:val="nil"/>
              <w:bottom w:val="single" w:sz="4" w:space="0" w:color="auto"/>
              <w:right w:val="nil"/>
            </w:tcBorders>
          </w:tcPr>
          <w:p w14:paraId="18520CE4" w14:textId="77777777" w:rsidR="00D400F4" w:rsidRPr="00AF6A0B" w:rsidRDefault="00D400F4" w:rsidP="001E2549">
            <w:pPr>
              <w:rPr>
                <w:rFonts w:ascii="Times New Roman"/>
                <w:sz w:val="24"/>
                <w:szCs w:val="24"/>
              </w:rPr>
            </w:pPr>
            <w:r>
              <w:rPr>
                <w:rFonts w:ascii="Times New Roman"/>
                <w:b/>
                <w:sz w:val="24"/>
                <w:szCs w:val="24"/>
              </w:rPr>
              <w:t>Neonatal, infant and childhood characteristics</w:t>
            </w:r>
          </w:p>
        </w:tc>
      </w:tr>
      <w:tr w:rsidR="00D400F4" w:rsidRPr="00AF6A0B" w14:paraId="12C2E1EC" w14:textId="77777777" w:rsidTr="001E2549">
        <w:trPr>
          <w:trHeight w:val="264"/>
          <w:jc w:val="center"/>
        </w:trPr>
        <w:tc>
          <w:tcPr>
            <w:tcW w:w="9583" w:type="dxa"/>
            <w:gridSpan w:val="6"/>
            <w:tcBorders>
              <w:left w:val="nil"/>
              <w:bottom w:val="single" w:sz="4" w:space="0" w:color="auto"/>
              <w:right w:val="nil"/>
            </w:tcBorders>
          </w:tcPr>
          <w:p w14:paraId="11A219C2" w14:textId="77777777" w:rsidR="00D400F4" w:rsidRPr="00FD5502" w:rsidRDefault="00D400F4" w:rsidP="001E2549">
            <w:pPr>
              <w:rPr>
                <w:rFonts w:ascii="Times New Roman"/>
                <w:sz w:val="24"/>
                <w:szCs w:val="24"/>
              </w:rPr>
            </w:pPr>
            <w:r w:rsidRPr="00FD5502">
              <w:rPr>
                <w:rFonts w:ascii="Times New Roman"/>
                <w:sz w:val="24"/>
                <w:szCs w:val="24"/>
              </w:rPr>
              <w:t>Length (cm) at age</w:t>
            </w:r>
          </w:p>
        </w:tc>
      </w:tr>
      <w:tr w:rsidR="00D400F4" w:rsidRPr="00AF6A0B" w14:paraId="0742343B" w14:textId="77777777" w:rsidTr="001E2549">
        <w:trPr>
          <w:trHeight w:val="264"/>
          <w:jc w:val="center"/>
        </w:trPr>
        <w:tc>
          <w:tcPr>
            <w:tcW w:w="3794" w:type="dxa"/>
            <w:tcBorders>
              <w:top w:val="nil"/>
              <w:left w:val="nil"/>
              <w:bottom w:val="nil"/>
              <w:right w:val="nil"/>
            </w:tcBorders>
          </w:tcPr>
          <w:p w14:paraId="162E3CF8" w14:textId="77777777" w:rsidR="00D400F4" w:rsidRPr="00EA1976" w:rsidRDefault="00D400F4" w:rsidP="001E2549">
            <w:pPr>
              <w:rPr>
                <w:rFonts w:ascii="Times New Roman"/>
                <w:sz w:val="24"/>
                <w:szCs w:val="24"/>
              </w:rPr>
            </w:pPr>
            <w:r w:rsidRPr="00EA1976">
              <w:rPr>
                <w:rFonts w:ascii="Times New Roman"/>
                <w:sz w:val="24"/>
                <w:szCs w:val="24"/>
              </w:rPr>
              <w:t>1 year</w:t>
            </w:r>
          </w:p>
        </w:tc>
        <w:tc>
          <w:tcPr>
            <w:tcW w:w="1424" w:type="dxa"/>
            <w:tcBorders>
              <w:top w:val="nil"/>
              <w:left w:val="nil"/>
              <w:bottom w:val="nil"/>
              <w:right w:val="nil"/>
            </w:tcBorders>
          </w:tcPr>
          <w:p w14:paraId="06E5B63C" w14:textId="77777777" w:rsidR="00D400F4" w:rsidRDefault="00D400F4" w:rsidP="001E2549">
            <w:pPr>
              <w:rPr>
                <w:rFonts w:ascii="Times New Roman"/>
                <w:b/>
                <w:sz w:val="24"/>
                <w:szCs w:val="24"/>
              </w:rPr>
            </w:pPr>
            <w:r>
              <w:rPr>
                <w:rFonts w:ascii="Times New Roman"/>
                <w:sz w:val="24"/>
                <w:szCs w:val="24"/>
              </w:rPr>
              <w:t>76.7 (2.4)</w:t>
            </w:r>
          </w:p>
        </w:tc>
        <w:tc>
          <w:tcPr>
            <w:tcW w:w="851" w:type="dxa"/>
            <w:tcBorders>
              <w:top w:val="nil"/>
              <w:left w:val="nil"/>
              <w:bottom w:val="nil"/>
              <w:right w:val="nil"/>
            </w:tcBorders>
          </w:tcPr>
          <w:p w14:paraId="358CE1DB" w14:textId="77777777" w:rsidR="00D400F4" w:rsidRDefault="00D400F4" w:rsidP="001E2549">
            <w:pPr>
              <w:rPr>
                <w:rFonts w:ascii="Times New Roman"/>
                <w:b/>
                <w:sz w:val="24"/>
                <w:szCs w:val="24"/>
              </w:rPr>
            </w:pPr>
            <w:r>
              <w:rPr>
                <w:rFonts w:ascii="Times New Roman"/>
                <w:sz w:val="24"/>
                <w:szCs w:val="24"/>
              </w:rPr>
              <w:t>475</w:t>
            </w:r>
          </w:p>
        </w:tc>
        <w:tc>
          <w:tcPr>
            <w:tcW w:w="1559" w:type="dxa"/>
            <w:tcBorders>
              <w:top w:val="nil"/>
              <w:left w:val="nil"/>
              <w:bottom w:val="nil"/>
              <w:right w:val="nil"/>
            </w:tcBorders>
          </w:tcPr>
          <w:p w14:paraId="78C16207" w14:textId="77777777" w:rsidR="00D400F4" w:rsidRDefault="00D400F4" w:rsidP="001E2549">
            <w:pPr>
              <w:rPr>
                <w:rFonts w:ascii="Times New Roman"/>
                <w:b/>
                <w:sz w:val="24"/>
                <w:szCs w:val="24"/>
              </w:rPr>
            </w:pPr>
            <w:r>
              <w:rPr>
                <w:rFonts w:ascii="Times New Roman"/>
                <w:sz w:val="24"/>
                <w:szCs w:val="24"/>
              </w:rPr>
              <w:t>75.0 (2.4)</w:t>
            </w:r>
          </w:p>
        </w:tc>
        <w:tc>
          <w:tcPr>
            <w:tcW w:w="850" w:type="dxa"/>
            <w:tcBorders>
              <w:top w:val="nil"/>
              <w:left w:val="nil"/>
              <w:bottom w:val="nil"/>
              <w:right w:val="nil"/>
            </w:tcBorders>
          </w:tcPr>
          <w:p w14:paraId="2DDA8DB8" w14:textId="77777777" w:rsidR="00D400F4" w:rsidRDefault="00D400F4" w:rsidP="001E2549">
            <w:pPr>
              <w:rPr>
                <w:rFonts w:ascii="Times New Roman"/>
                <w:b/>
                <w:sz w:val="24"/>
                <w:szCs w:val="24"/>
              </w:rPr>
            </w:pPr>
            <w:r>
              <w:rPr>
                <w:rFonts w:ascii="Times New Roman"/>
                <w:sz w:val="24"/>
                <w:szCs w:val="24"/>
              </w:rPr>
              <w:t>603</w:t>
            </w:r>
          </w:p>
        </w:tc>
        <w:tc>
          <w:tcPr>
            <w:tcW w:w="1105" w:type="dxa"/>
            <w:tcBorders>
              <w:top w:val="nil"/>
              <w:left w:val="nil"/>
              <w:bottom w:val="nil"/>
              <w:right w:val="nil"/>
            </w:tcBorders>
          </w:tcPr>
          <w:p w14:paraId="347BAA54" w14:textId="636E6B14" w:rsidR="00D400F4" w:rsidRPr="005C503F" w:rsidRDefault="00D400F4" w:rsidP="001E2549">
            <w:pPr>
              <w:jc w:val="center"/>
              <w:rPr>
                <w:rFonts w:ascii="Times New Roman"/>
                <w:sz w:val="24"/>
                <w:szCs w:val="24"/>
              </w:rPr>
            </w:pPr>
            <w:r w:rsidRPr="005C503F">
              <w:rPr>
                <w:rFonts w:ascii="Times New Roman"/>
                <w:sz w:val="24"/>
                <w:szCs w:val="24"/>
              </w:rPr>
              <w:t>&lt;</w:t>
            </w:r>
            <w:r w:rsidR="0024735B">
              <w:rPr>
                <w:rFonts w:ascii="Times New Roman"/>
                <w:sz w:val="24"/>
                <w:szCs w:val="24"/>
              </w:rPr>
              <w:t>0</w:t>
            </w:r>
            <w:r w:rsidRPr="005C503F">
              <w:rPr>
                <w:rFonts w:ascii="Times New Roman"/>
                <w:sz w:val="24"/>
                <w:szCs w:val="24"/>
              </w:rPr>
              <w:t>.001</w:t>
            </w:r>
          </w:p>
        </w:tc>
      </w:tr>
      <w:tr w:rsidR="00D400F4" w:rsidRPr="00AF6A0B" w14:paraId="74F046F2" w14:textId="77777777" w:rsidTr="001E2549">
        <w:trPr>
          <w:trHeight w:val="264"/>
          <w:jc w:val="center"/>
        </w:trPr>
        <w:tc>
          <w:tcPr>
            <w:tcW w:w="3794" w:type="dxa"/>
            <w:tcBorders>
              <w:top w:val="nil"/>
              <w:left w:val="nil"/>
              <w:bottom w:val="nil"/>
              <w:right w:val="nil"/>
            </w:tcBorders>
          </w:tcPr>
          <w:p w14:paraId="11DA7B80" w14:textId="77777777" w:rsidR="00D400F4" w:rsidRPr="00EA1976" w:rsidRDefault="00D400F4" w:rsidP="001E2549">
            <w:pPr>
              <w:rPr>
                <w:rFonts w:ascii="Times New Roman"/>
                <w:sz w:val="24"/>
                <w:szCs w:val="24"/>
              </w:rPr>
            </w:pPr>
            <w:r w:rsidRPr="00EA1976">
              <w:rPr>
                <w:rFonts w:ascii="Times New Roman"/>
                <w:sz w:val="24"/>
                <w:szCs w:val="24"/>
              </w:rPr>
              <w:t>2 years</w:t>
            </w:r>
          </w:p>
        </w:tc>
        <w:tc>
          <w:tcPr>
            <w:tcW w:w="1424" w:type="dxa"/>
            <w:tcBorders>
              <w:top w:val="nil"/>
              <w:left w:val="nil"/>
              <w:bottom w:val="nil"/>
              <w:right w:val="nil"/>
            </w:tcBorders>
          </w:tcPr>
          <w:p w14:paraId="05C09C98" w14:textId="77777777" w:rsidR="00D400F4" w:rsidRDefault="00D400F4" w:rsidP="001E2549">
            <w:pPr>
              <w:rPr>
                <w:rFonts w:ascii="Times New Roman"/>
                <w:b/>
                <w:sz w:val="24"/>
                <w:szCs w:val="24"/>
              </w:rPr>
            </w:pPr>
            <w:r>
              <w:rPr>
                <w:rFonts w:ascii="Times New Roman"/>
                <w:sz w:val="24"/>
                <w:szCs w:val="24"/>
              </w:rPr>
              <w:t>86.8 (2.9)</w:t>
            </w:r>
          </w:p>
        </w:tc>
        <w:tc>
          <w:tcPr>
            <w:tcW w:w="851" w:type="dxa"/>
            <w:tcBorders>
              <w:top w:val="nil"/>
              <w:left w:val="nil"/>
              <w:bottom w:val="nil"/>
              <w:right w:val="nil"/>
            </w:tcBorders>
          </w:tcPr>
          <w:p w14:paraId="49442472" w14:textId="77777777" w:rsidR="00D400F4" w:rsidRDefault="00D400F4" w:rsidP="001E2549">
            <w:pPr>
              <w:rPr>
                <w:rFonts w:ascii="Times New Roman"/>
                <w:b/>
                <w:sz w:val="24"/>
                <w:szCs w:val="24"/>
              </w:rPr>
            </w:pPr>
            <w:r>
              <w:rPr>
                <w:rFonts w:ascii="Times New Roman"/>
                <w:sz w:val="24"/>
                <w:szCs w:val="24"/>
              </w:rPr>
              <w:t>475</w:t>
            </w:r>
          </w:p>
        </w:tc>
        <w:tc>
          <w:tcPr>
            <w:tcW w:w="1559" w:type="dxa"/>
            <w:tcBorders>
              <w:top w:val="nil"/>
              <w:left w:val="nil"/>
              <w:bottom w:val="nil"/>
              <w:right w:val="nil"/>
            </w:tcBorders>
          </w:tcPr>
          <w:p w14:paraId="56371037" w14:textId="77777777" w:rsidR="00D400F4" w:rsidRDefault="00D400F4" w:rsidP="001E2549">
            <w:pPr>
              <w:rPr>
                <w:rFonts w:ascii="Times New Roman"/>
                <w:b/>
                <w:sz w:val="24"/>
                <w:szCs w:val="24"/>
              </w:rPr>
            </w:pPr>
            <w:r>
              <w:rPr>
                <w:rFonts w:ascii="Times New Roman"/>
                <w:sz w:val="24"/>
                <w:szCs w:val="24"/>
              </w:rPr>
              <w:t>85.6 (2.9)</w:t>
            </w:r>
          </w:p>
        </w:tc>
        <w:tc>
          <w:tcPr>
            <w:tcW w:w="850" w:type="dxa"/>
            <w:tcBorders>
              <w:top w:val="nil"/>
              <w:left w:val="nil"/>
              <w:bottom w:val="nil"/>
              <w:right w:val="nil"/>
            </w:tcBorders>
          </w:tcPr>
          <w:p w14:paraId="1975EFEA" w14:textId="77777777" w:rsidR="00D400F4" w:rsidRDefault="00D400F4" w:rsidP="001E2549">
            <w:pPr>
              <w:rPr>
                <w:rFonts w:ascii="Times New Roman"/>
                <w:b/>
                <w:sz w:val="24"/>
                <w:szCs w:val="24"/>
              </w:rPr>
            </w:pPr>
            <w:r>
              <w:rPr>
                <w:rFonts w:ascii="Times New Roman"/>
                <w:sz w:val="24"/>
                <w:szCs w:val="24"/>
              </w:rPr>
              <w:t>603</w:t>
            </w:r>
          </w:p>
        </w:tc>
        <w:tc>
          <w:tcPr>
            <w:tcW w:w="1105" w:type="dxa"/>
            <w:tcBorders>
              <w:top w:val="nil"/>
              <w:left w:val="nil"/>
              <w:bottom w:val="nil"/>
              <w:right w:val="nil"/>
            </w:tcBorders>
          </w:tcPr>
          <w:p w14:paraId="5C81A6FE" w14:textId="3422B418" w:rsidR="00D400F4" w:rsidRPr="005C503F" w:rsidRDefault="00D400F4" w:rsidP="001E2549">
            <w:pPr>
              <w:jc w:val="center"/>
              <w:rPr>
                <w:rFonts w:ascii="Times New Roman"/>
                <w:sz w:val="24"/>
                <w:szCs w:val="24"/>
              </w:rPr>
            </w:pPr>
            <w:r w:rsidRPr="005C503F">
              <w:rPr>
                <w:rFonts w:ascii="Times New Roman"/>
                <w:sz w:val="24"/>
                <w:szCs w:val="24"/>
              </w:rPr>
              <w:t>&lt;</w:t>
            </w:r>
            <w:r w:rsidR="0024735B">
              <w:rPr>
                <w:rFonts w:ascii="Times New Roman"/>
                <w:sz w:val="24"/>
                <w:szCs w:val="24"/>
              </w:rPr>
              <w:t>0</w:t>
            </w:r>
            <w:r w:rsidRPr="005C503F">
              <w:rPr>
                <w:rFonts w:ascii="Times New Roman"/>
                <w:sz w:val="24"/>
                <w:szCs w:val="24"/>
              </w:rPr>
              <w:t>.001</w:t>
            </w:r>
          </w:p>
        </w:tc>
      </w:tr>
      <w:tr w:rsidR="00D400F4" w:rsidRPr="00AF6A0B" w14:paraId="42DBE373" w14:textId="77777777" w:rsidTr="001E2549">
        <w:trPr>
          <w:trHeight w:val="264"/>
          <w:jc w:val="center"/>
        </w:trPr>
        <w:tc>
          <w:tcPr>
            <w:tcW w:w="3794" w:type="dxa"/>
            <w:tcBorders>
              <w:top w:val="nil"/>
              <w:left w:val="nil"/>
              <w:bottom w:val="nil"/>
              <w:right w:val="nil"/>
            </w:tcBorders>
          </w:tcPr>
          <w:p w14:paraId="40DEA89A" w14:textId="77777777" w:rsidR="00D400F4" w:rsidRPr="00EA1976" w:rsidRDefault="00D400F4" w:rsidP="001E2549">
            <w:pPr>
              <w:rPr>
                <w:rFonts w:ascii="Times New Roman"/>
                <w:sz w:val="24"/>
                <w:szCs w:val="24"/>
              </w:rPr>
            </w:pPr>
            <w:r w:rsidRPr="00EA1976">
              <w:rPr>
                <w:rFonts w:ascii="Times New Roman"/>
                <w:sz w:val="24"/>
                <w:szCs w:val="24"/>
              </w:rPr>
              <w:t>7 years</w:t>
            </w:r>
          </w:p>
        </w:tc>
        <w:tc>
          <w:tcPr>
            <w:tcW w:w="1424" w:type="dxa"/>
            <w:tcBorders>
              <w:top w:val="nil"/>
              <w:left w:val="nil"/>
              <w:bottom w:val="nil"/>
              <w:right w:val="nil"/>
            </w:tcBorders>
          </w:tcPr>
          <w:p w14:paraId="38F6EAFF" w14:textId="77777777" w:rsidR="00D400F4" w:rsidRDefault="00D400F4" w:rsidP="001E2549">
            <w:pPr>
              <w:rPr>
                <w:rFonts w:ascii="Times New Roman"/>
                <w:b/>
                <w:sz w:val="24"/>
                <w:szCs w:val="24"/>
              </w:rPr>
            </w:pPr>
            <w:r>
              <w:rPr>
                <w:rFonts w:ascii="Times New Roman"/>
                <w:sz w:val="24"/>
                <w:szCs w:val="24"/>
              </w:rPr>
              <w:t>121.1 (4.7)</w:t>
            </w:r>
          </w:p>
        </w:tc>
        <w:tc>
          <w:tcPr>
            <w:tcW w:w="851" w:type="dxa"/>
            <w:tcBorders>
              <w:top w:val="nil"/>
              <w:left w:val="nil"/>
              <w:bottom w:val="nil"/>
              <w:right w:val="nil"/>
            </w:tcBorders>
          </w:tcPr>
          <w:p w14:paraId="73A20450" w14:textId="77777777" w:rsidR="00D400F4" w:rsidRDefault="00D400F4" w:rsidP="001E2549">
            <w:pPr>
              <w:rPr>
                <w:rFonts w:ascii="Times New Roman"/>
                <w:b/>
                <w:sz w:val="24"/>
                <w:szCs w:val="24"/>
              </w:rPr>
            </w:pPr>
            <w:r>
              <w:rPr>
                <w:rFonts w:ascii="Times New Roman"/>
                <w:sz w:val="24"/>
                <w:szCs w:val="24"/>
              </w:rPr>
              <w:t>461</w:t>
            </w:r>
          </w:p>
        </w:tc>
        <w:tc>
          <w:tcPr>
            <w:tcW w:w="1559" w:type="dxa"/>
            <w:tcBorders>
              <w:top w:val="nil"/>
              <w:left w:val="nil"/>
              <w:bottom w:val="nil"/>
              <w:right w:val="nil"/>
            </w:tcBorders>
          </w:tcPr>
          <w:p w14:paraId="298C5C70" w14:textId="77777777" w:rsidR="00D400F4" w:rsidRDefault="00D400F4" w:rsidP="001E2549">
            <w:pPr>
              <w:rPr>
                <w:rFonts w:ascii="Times New Roman"/>
                <w:b/>
                <w:sz w:val="24"/>
                <w:szCs w:val="24"/>
              </w:rPr>
            </w:pPr>
            <w:r>
              <w:rPr>
                <w:rFonts w:ascii="Times New Roman"/>
                <w:sz w:val="24"/>
                <w:szCs w:val="24"/>
              </w:rPr>
              <w:t>120.1 (4.5)</w:t>
            </w:r>
          </w:p>
        </w:tc>
        <w:tc>
          <w:tcPr>
            <w:tcW w:w="850" w:type="dxa"/>
            <w:tcBorders>
              <w:top w:val="nil"/>
              <w:left w:val="nil"/>
              <w:bottom w:val="nil"/>
              <w:right w:val="nil"/>
            </w:tcBorders>
          </w:tcPr>
          <w:p w14:paraId="08C2F368" w14:textId="77777777" w:rsidR="00D400F4" w:rsidRDefault="00D400F4" w:rsidP="001E2549">
            <w:pPr>
              <w:rPr>
                <w:rFonts w:ascii="Times New Roman"/>
                <w:b/>
                <w:sz w:val="24"/>
                <w:szCs w:val="24"/>
              </w:rPr>
            </w:pPr>
            <w:r>
              <w:rPr>
                <w:rFonts w:ascii="Times New Roman"/>
                <w:sz w:val="24"/>
                <w:szCs w:val="24"/>
              </w:rPr>
              <w:t>577</w:t>
            </w:r>
          </w:p>
        </w:tc>
        <w:tc>
          <w:tcPr>
            <w:tcW w:w="1105" w:type="dxa"/>
            <w:tcBorders>
              <w:top w:val="nil"/>
              <w:left w:val="nil"/>
              <w:bottom w:val="nil"/>
              <w:right w:val="nil"/>
            </w:tcBorders>
          </w:tcPr>
          <w:p w14:paraId="3A009188" w14:textId="3C44082F" w:rsidR="00D400F4" w:rsidRPr="005C503F" w:rsidRDefault="0024735B" w:rsidP="001E2549">
            <w:pPr>
              <w:jc w:val="center"/>
              <w:rPr>
                <w:rFonts w:ascii="Times New Roman"/>
                <w:sz w:val="24"/>
                <w:szCs w:val="24"/>
              </w:rPr>
            </w:pPr>
            <w:r>
              <w:rPr>
                <w:rFonts w:ascii="Times New Roman"/>
                <w:sz w:val="24"/>
                <w:szCs w:val="24"/>
              </w:rPr>
              <w:t>0</w:t>
            </w:r>
            <w:r w:rsidR="00D400F4" w:rsidRPr="005C503F">
              <w:rPr>
                <w:rFonts w:ascii="Times New Roman"/>
                <w:sz w:val="24"/>
                <w:szCs w:val="24"/>
              </w:rPr>
              <w:t>.001</w:t>
            </w:r>
          </w:p>
        </w:tc>
      </w:tr>
      <w:tr w:rsidR="00D400F4" w:rsidRPr="00AF6A0B" w14:paraId="1380DA64" w14:textId="77777777" w:rsidTr="001E2549">
        <w:trPr>
          <w:trHeight w:val="264"/>
          <w:jc w:val="center"/>
        </w:trPr>
        <w:tc>
          <w:tcPr>
            <w:tcW w:w="3794" w:type="dxa"/>
            <w:tcBorders>
              <w:top w:val="nil"/>
              <w:left w:val="nil"/>
              <w:bottom w:val="single" w:sz="4" w:space="0" w:color="auto"/>
              <w:right w:val="nil"/>
            </w:tcBorders>
          </w:tcPr>
          <w:p w14:paraId="08B192D7" w14:textId="77777777" w:rsidR="00D400F4" w:rsidRPr="00EA1976" w:rsidRDefault="00D400F4" w:rsidP="001E2549">
            <w:pPr>
              <w:rPr>
                <w:rFonts w:ascii="Times New Roman"/>
                <w:sz w:val="24"/>
                <w:szCs w:val="24"/>
              </w:rPr>
            </w:pPr>
            <w:r w:rsidRPr="00EA1976">
              <w:rPr>
                <w:rFonts w:ascii="Times New Roman"/>
                <w:sz w:val="24"/>
                <w:szCs w:val="24"/>
              </w:rPr>
              <w:t>11 years</w:t>
            </w:r>
          </w:p>
        </w:tc>
        <w:tc>
          <w:tcPr>
            <w:tcW w:w="1424" w:type="dxa"/>
            <w:tcBorders>
              <w:top w:val="nil"/>
              <w:left w:val="nil"/>
              <w:bottom w:val="single" w:sz="4" w:space="0" w:color="auto"/>
              <w:right w:val="nil"/>
            </w:tcBorders>
          </w:tcPr>
          <w:p w14:paraId="1F5AF057" w14:textId="77777777" w:rsidR="00D400F4" w:rsidRDefault="00D400F4" w:rsidP="001E2549">
            <w:pPr>
              <w:rPr>
                <w:rFonts w:ascii="Times New Roman"/>
                <w:b/>
                <w:sz w:val="24"/>
                <w:szCs w:val="24"/>
              </w:rPr>
            </w:pPr>
            <w:r>
              <w:rPr>
                <w:rFonts w:ascii="Times New Roman"/>
                <w:sz w:val="24"/>
                <w:szCs w:val="24"/>
              </w:rPr>
              <w:t>141.8 (5.6)</w:t>
            </w:r>
          </w:p>
        </w:tc>
        <w:tc>
          <w:tcPr>
            <w:tcW w:w="851" w:type="dxa"/>
            <w:tcBorders>
              <w:top w:val="nil"/>
              <w:left w:val="nil"/>
              <w:bottom w:val="single" w:sz="4" w:space="0" w:color="auto"/>
              <w:right w:val="nil"/>
            </w:tcBorders>
          </w:tcPr>
          <w:p w14:paraId="7EC2EFDA" w14:textId="77777777" w:rsidR="00D400F4" w:rsidRDefault="00D400F4" w:rsidP="001E2549">
            <w:pPr>
              <w:rPr>
                <w:rFonts w:ascii="Times New Roman"/>
                <w:b/>
                <w:sz w:val="24"/>
                <w:szCs w:val="24"/>
              </w:rPr>
            </w:pPr>
            <w:r>
              <w:rPr>
                <w:rFonts w:ascii="Times New Roman"/>
                <w:sz w:val="24"/>
                <w:szCs w:val="24"/>
              </w:rPr>
              <w:t>459</w:t>
            </w:r>
          </w:p>
        </w:tc>
        <w:tc>
          <w:tcPr>
            <w:tcW w:w="1559" w:type="dxa"/>
            <w:tcBorders>
              <w:top w:val="nil"/>
              <w:left w:val="nil"/>
              <w:bottom w:val="single" w:sz="4" w:space="0" w:color="auto"/>
              <w:right w:val="nil"/>
            </w:tcBorders>
          </w:tcPr>
          <w:p w14:paraId="17786B85" w14:textId="77777777" w:rsidR="00D400F4" w:rsidRDefault="00D400F4" w:rsidP="001E2549">
            <w:pPr>
              <w:rPr>
                <w:rFonts w:ascii="Times New Roman"/>
                <w:b/>
                <w:sz w:val="24"/>
                <w:szCs w:val="24"/>
              </w:rPr>
            </w:pPr>
            <w:r>
              <w:rPr>
                <w:rFonts w:ascii="Times New Roman"/>
                <w:sz w:val="24"/>
                <w:szCs w:val="24"/>
              </w:rPr>
              <w:t>141.7 (6.4)</w:t>
            </w:r>
          </w:p>
        </w:tc>
        <w:tc>
          <w:tcPr>
            <w:tcW w:w="850" w:type="dxa"/>
            <w:tcBorders>
              <w:top w:val="nil"/>
              <w:left w:val="nil"/>
              <w:bottom w:val="single" w:sz="4" w:space="0" w:color="auto"/>
              <w:right w:val="nil"/>
            </w:tcBorders>
          </w:tcPr>
          <w:p w14:paraId="01C18165" w14:textId="77777777" w:rsidR="00D400F4" w:rsidRDefault="00D400F4" w:rsidP="001E2549">
            <w:pPr>
              <w:rPr>
                <w:rFonts w:ascii="Times New Roman"/>
                <w:b/>
                <w:sz w:val="24"/>
                <w:szCs w:val="24"/>
              </w:rPr>
            </w:pPr>
            <w:r>
              <w:rPr>
                <w:rFonts w:ascii="Times New Roman"/>
                <w:sz w:val="24"/>
                <w:szCs w:val="24"/>
              </w:rPr>
              <w:t>581</w:t>
            </w:r>
          </w:p>
        </w:tc>
        <w:tc>
          <w:tcPr>
            <w:tcW w:w="1105" w:type="dxa"/>
            <w:tcBorders>
              <w:top w:val="nil"/>
              <w:left w:val="nil"/>
              <w:bottom w:val="single" w:sz="4" w:space="0" w:color="auto"/>
              <w:right w:val="nil"/>
            </w:tcBorders>
          </w:tcPr>
          <w:p w14:paraId="778DBC61" w14:textId="10BD4FB6" w:rsidR="00D400F4" w:rsidRPr="005C503F" w:rsidRDefault="0024735B" w:rsidP="001E2549">
            <w:pPr>
              <w:jc w:val="center"/>
              <w:rPr>
                <w:rFonts w:ascii="Times New Roman"/>
                <w:sz w:val="24"/>
                <w:szCs w:val="24"/>
              </w:rPr>
            </w:pPr>
            <w:r>
              <w:rPr>
                <w:rFonts w:ascii="Times New Roman"/>
                <w:sz w:val="24"/>
                <w:szCs w:val="24"/>
              </w:rPr>
              <w:t>0</w:t>
            </w:r>
            <w:r w:rsidR="00D400F4" w:rsidRPr="005C503F">
              <w:rPr>
                <w:rFonts w:ascii="Times New Roman"/>
                <w:sz w:val="24"/>
                <w:szCs w:val="24"/>
              </w:rPr>
              <w:t>.80</w:t>
            </w:r>
          </w:p>
        </w:tc>
      </w:tr>
      <w:tr w:rsidR="00D400F4" w:rsidRPr="00AF6A0B" w14:paraId="297954AE" w14:textId="77777777" w:rsidTr="001E2549">
        <w:trPr>
          <w:trHeight w:val="264"/>
          <w:jc w:val="center"/>
        </w:trPr>
        <w:tc>
          <w:tcPr>
            <w:tcW w:w="9583" w:type="dxa"/>
            <w:gridSpan w:val="6"/>
            <w:tcBorders>
              <w:left w:val="nil"/>
              <w:bottom w:val="single" w:sz="4" w:space="0" w:color="auto"/>
              <w:right w:val="nil"/>
            </w:tcBorders>
          </w:tcPr>
          <w:p w14:paraId="5146F030" w14:textId="77777777" w:rsidR="00D400F4" w:rsidRPr="00FD5502" w:rsidRDefault="00D400F4" w:rsidP="001E2549">
            <w:pPr>
              <w:rPr>
                <w:rFonts w:ascii="Times New Roman"/>
                <w:sz w:val="24"/>
                <w:szCs w:val="24"/>
              </w:rPr>
            </w:pPr>
            <w:r w:rsidRPr="00FD5502">
              <w:rPr>
                <w:rFonts w:ascii="Times New Roman"/>
                <w:sz w:val="24"/>
                <w:szCs w:val="24"/>
              </w:rPr>
              <w:t>Weight (kg) at age</w:t>
            </w:r>
          </w:p>
        </w:tc>
      </w:tr>
      <w:tr w:rsidR="00D400F4" w:rsidRPr="00AF6A0B" w14:paraId="53D4BF5F" w14:textId="77777777" w:rsidTr="001E2549">
        <w:trPr>
          <w:trHeight w:val="264"/>
          <w:jc w:val="center"/>
        </w:trPr>
        <w:tc>
          <w:tcPr>
            <w:tcW w:w="3794" w:type="dxa"/>
            <w:tcBorders>
              <w:top w:val="nil"/>
              <w:left w:val="nil"/>
              <w:bottom w:val="nil"/>
              <w:right w:val="nil"/>
            </w:tcBorders>
          </w:tcPr>
          <w:p w14:paraId="4500418A" w14:textId="77777777" w:rsidR="00D400F4" w:rsidRPr="00EA1976" w:rsidRDefault="00D400F4" w:rsidP="001E2549">
            <w:pPr>
              <w:rPr>
                <w:rFonts w:ascii="Times New Roman"/>
                <w:sz w:val="24"/>
                <w:szCs w:val="24"/>
              </w:rPr>
            </w:pPr>
            <w:r w:rsidRPr="00EA1976">
              <w:rPr>
                <w:rFonts w:ascii="Times New Roman"/>
                <w:sz w:val="24"/>
                <w:szCs w:val="24"/>
              </w:rPr>
              <w:t>1 year</w:t>
            </w:r>
          </w:p>
        </w:tc>
        <w:tc>
          <w:tcPr>
            <w:tcW w:w="1424" w:type="dxa"/>
            <w:tcBorders>
              <w:top w:val="nil"/>
              <w:left w:val="nil"/>
              <w:bottom w:val="nil"/>
              <w:right w:val="nil"/>
            </w:tcBorders>
          </w:tcPr>
          <w:p w14:paraId="35DF3382" w14:textId="77777777" w:rsidR="00D400F4" w:rsidRDefault="00D400F4" w:rsidP="001E2549">
            <w:pPr>
              <w:rPr>
                <w:rFonts w:ascii="Times New Roman"/>
                <w:b/>
                <w:sz w:val="24"/>
                <w:szCs w:val="24"/>
              </w:rPr>
            </w:pPr>
            <w:r>
              <w:rPr>
                <w:rFonts w:ascii="Times New Roman"/>
                <w:sz w:val="24"/>
                <w:szCs w:val="24"/>
              </w:rPr>
              <w:t>10.5 (1.0)</w:t>
            </w:r>
          </w:p>
        </w:tc>
        <w:tc>
          <w:tcPr>
            <w:tcW w:w="851" w:type="dxa"/>
            <w:tcBorders>
              <w:top w:val="nil"/>
              <w:left w:val="nil"/>
              <w:bottom w:val="nil"/>
              <w:right w:val="nil"/>
            </w:tcBorders>
          </w:tcPr>
          <w:p w14:paraId="4EC7DD0A" w14:textId="77777777" w:rsidR="00D400F4" w:rsidRDefault="00D400F4" w:rsidP="001E2549">
            <w:pPr>
              <w:rPr>
                <w:rFonts w:ascii="Times New Roman"/>
                <w:b/>
                <w:sz w:val="24"/>
                <w:szCs w:val="24"/>
              </w:rPr>
            </w:pPr>
            <w:r>
              <w:rPr>
                <w:rFonts w:ascii="Times New Roman"/>
                <w:sz w:val="24"/>
                <w:szCs w:val="24"/>
              </w:rPr>
              <w:t>475</w:t>
            </w:r>
          </w:p>
        </w:tc>
        <w:tc>
          <w:tcPr>
            <w:tcW w:w="1559" w:type="dxa"/>
            <w:tcBorders>
              <w:top w:val="nil"/>
              <w:left w:val="nil"/>
              <w:bottom w:val="nil"/>
              <w:right w:val="nil"/>
            </w:tcBorders>
          </w:tcPr>
          <w:p w14:paraId="6477A82A" w14:textId="77777777" w:rsidR="00D400F4" w:rsidRDefault="00D400F4" w:rsidP="001E2549">
            <w:pPr>
              <w:rPr>
                <w:rFonts w:ascii="Times New Roman"/>
                <w:b/>
                <w:sz w:val="24"/>
                <w:szCs w:val="24"/>
              </w:rPr>
            </w:pPr>
            <w:r>
              <w:rPr>
                <w:rFonts w:ascii="Times New Roman"/>
                <w:sz w:val="24"/>
                <w:szCs w:val="24"/>
              </w:rPr>
              <w:t>9.9 (1.0)</w:t>
            </w:r>
          </w:p>
        </w:tc>
        <w:tc>
          <w:tcPr>
            <w:tcW w:w="850" w:type="dxa"/>
            <w:tcBorders>
              <w:top w:val="nil"/>
              <w:left w:val="nil"/>
              <w:bottom w:val="nil"/>
              <w:right w:val="nil"/>
            </w:tcBorders>
          </w:tcPr>
          <w:p w14:paraId="5D7B43CC" w14:textId="77777777" w:rsidR="00D400F4" w:rsidRDefault="00D400F4" w:rsidP="001E2549">
            <w:pPr>
              <w:rPr>
                <w:rFonts w:ascii="Times New Roman"/>
                <w:b/>
                <w:sz w:val="24"/>
                <w:szCs w:val="24"/>
              </w:rPr>
            </w:pPr>
            <w:r>
              <w:rPr>
                <w:rFonts w:ascii="Times New Roman"/>
                <w:sz w:val="24"/>
                <w:szCs w:val="24"/>
              </w:rPr>
              <w:t>603</w:t>
            </w:r>
          </w:p>
        </w:tc>
        <w:tc>
          <w:tcPr>
            <w:tcW w:w="1105" w:type="dxa"/>
            <w:tcBorders>
              <w:top w:val="nil"/>
              <w:left w:val="nil"/>
              <w:bottom w:val="nil"/>
              <w:right w:val="nil"/>
            </w:tcBorders>
          </w:tcPr>
          <w:p w14:paraId="5CE4E291" w14:textId="246EBABB" w:rsidR="00D400F4" w:rsidRPr="005C503F" w:rsidRDefault="00D400F4" w:rsidP="001E2549">
            <w:pPr>
              <w:jc w:val="center"/>
              <w:rPr>
                <w:rFonts w:ascii="Times New Roman"/>
                <w:sz w:val="24"/>
                <w:szCs w:val="24"/>
              </w:rPr>
            </w:pPr>
            <w:r w:rsidRPr="005C503F">
              <w:rPr>
                <w:rFonts w:ascii="Times New Roman"/>
                <w:sz w:val="24"/>
                <w:szCs w:val="24"/>
              </w:rPr>
              <w:t>&lt;</w:t>
            </w:r>
            <w:r w:rsidR="0024735B">
              <w:rPr>
                <w:rFonts w:ascii="Times New Roman"/>
                <w:sz w:val="24"/>
                <w:szCs w:val="24"/>
              </w:rPr>
              <w:t>0</w:t>
            </w:r>
            <w:r w:rsidRPr="005C503F">
              <w:rPr>
                <w:rFonts w:ascii="Times New Roman"/>
                <w:sz w:val="24"/>
                <w:szCs w:val="24"/>
              </w:rPr>
              <w:t>.001</w:t>
            </w:r>
          </w:p>
        </w:tc>
      </w:tr>
      <w:tr w:rsidR="00D400F4" w:rsidRPr="00AF6A0B" w14:paraId="3B043615" w14:textId="77777777" w:rsidTr="001E2549">
        <w:trPr>
          <w:trHeight w:val="264"/>
          <w:jc w:val="center"/>
        </w:trPr>
        <w:tc>
          <w:tcPr>
            <w:tcW w:w="3794" w:type="dxa"/>
            <w:tcBorders>
              <w:top w:val="nil"/>
              <w:left w:val="nil"/>
              <w:bottom w:val="nil"/>
              <w:right w:val="nil"/>
            </w:tcBorders>
          </w:tcPr>
          <w:p w14:paraId="23BE9287" w14:textId="77777777" w:rsidR="00D400F4" w:rsidRPr="00EA1976" w:rsidRDefault="00D400F4" w:rsidP="001E2549">
            <w:pPr>
              <w:rPr>
                <w:rFonts w:ascii="Times New Roman"/>
                <w:sz w:val="24"/>
                <w:szCs w:val="24"/>
              </w:rPr>
            </w:pPr>
            <w:r w:rsidRPr="00EA1976">
              <w:rPr>
                <w:rFonts w:ascii="Times New Roman"/>
                <w:sz w:val="24"/>
                <w:szCs w:val="24"/>
              </w:rPr>
              <w:t>2 years</w:t>
            </w:r>
          </w:p>
        </w:tc>
        <w:tc>
          <w:tcPr>
            <w:tcW w:w="1424" w:type="dxa"/>
            <w:tcBorders>
              <w:top w:val="nil"/>
              <w:left w:val="nil"/>
              <w:bottom w:val="nil"/>
              <w:right w:val="nil"/>
            </w:tcBorders>
          </w:tcPr>
          <w:p w14:paraId="610817E9" w14:textId="77777777" w:rsidR="00D400F4" w:rsidRDefault="00D400F4" w:rsidP="001E2549">
            <w:pPr>
              <w:rPr>
                <w:rFonts w:ascii="Times New Roman"/>
                <w:b/>
                <w:sz w:val="24"/>
                <w:szCs w:val="24"/>
              </w:rPr>
            </w:pPr>
            <w:r>
              <w:rPr>
                <w:rFonts w:ascii="Times New Roman"/>
                <w:sz w:val="24"/>
                <w:szCs w:val="24"/>
              </w:rPr>
              <w:t>12.4 (1.1)</w:t>
            </w:r>
          </w:p>
        </w:tc>
        <w:tc>
          <w:tcPr>
            <w:tcW w:w="851" w:type="dxa"/>
            <w:tcBorders>
              <w:top w:val="nil"/>
              <w:left w:val="nil"/>
              <w:bottom w:val="nil"/>
              <w:right w:val="nil"/>
            </w:tcBorders>
          </w:tcPr>
          <w:p w14:paraId="0E8A41CE" w14:textId="77777777" w:rsidR="00D400F4" w:rsidRDefault="00D400F4" w:rsidP="001E2549">
            <w:pPr>
              <w:rPr>
                <w:rFonts w:ascii="Times New Roman"/>
                <w:b/>
                <w:sz w:val="24"/>
                <w:szCs w:val="24"/>
              </w:rPr>
            </w:pPr>
            <w:r>
              <w:rPr>
                <w:rFonts w:ascii="Times New Roman"/>
                <w:sz w:val="24"/>
                <w:szCs w:val="24"/>
              </w:rPr>
              <w:t>475</w:t>
            </w:r>
          </w:p>
        </w:tc>
        <w:tc>
          <w:tcPr>
            <w:tcW w:w="1559" w:type="dxa"/>
            <w:tcBorders>
              <w:top w:val="nil"/>
              <w:left w:val="nil"/>
              <w:bottom w:val="nil"/>
              <w:right w:val="nil"/>
            </w:tcBorders>
          </w:tcPr>
          <w:p w14:paraId="690B2E7C" w14:textId="77777777" w:rsidR="00D400F4" w:rsidRDefault="00D400F4" w:rsidP="001E2549">
            <w:pPr>
              <w:rPr>
                <w:rFonts w:ascii="Times New Roman"/>
                <w:b/>
                <w:sz w:val="24"/>
                <w:szCs w:val="24"/>
              </w:rPr>
            </w:pPr>
            <w:r>
              <w:rPr>
                <w:rFonts w:ascii="Times New Roman"/>
                <w:sz w:val="24"/>
                <w:szCs w:val="24"/>
              </w:rPr>
              <w:t>11.9 (1.1)</w:t>
            </w:r>
          </w:p>
        </w:tc>
        <w:tc>
          <w:tcPr>
            <w:tcW w:w="850" w:type="dxa"/>
            <w:tcBorders>
              <w:top w:val="nil"/>
              <w:left w:val="nil"/>
              <w:bottom w:val="nil"/>
              <w:right w:val="nil"/>
            </w:tcBorders>
          </w:tcPr>
          <w:p w14:paraId="6D034328" w14:textId="77777777" w:rsidR="00D400F4" w:rsidRDefault="00D400F4" w:rsidP="001E2549">
            <w:pPr>
              <w:rPr>
                <w:rFonts w:ascii="Times New Roman"/>
                <w:b/>
                <w:sz w:val="24"/>
                <w:szCs w:val="24"/>
              </w:rPr>
            </w:pPr>
            <w:r>
              <w:rPr>
                <w:rFonts w:ascii="Times New Roman"/>
                <w:sz w:val="24"/>
                <w:szCs w:val="24"/>
              </w:rPr>
              <w:t>603</w:t>
            </w:r>
          </w:p>
        </w:tc>
        <w:tc>
          <w:tcPr>
            <w:tcW w:w="1105" w:type="dxa"/>
            <w:tcBorders>
              <w:top w:val="nil"/>
              <w:left w:val="nil"/>
              <w:bottom w:val="nil"/>
              <w:right w:val="nil"/>
            </w:tcBorders>
          </w:tcPr>
          <w:p w14:paraId="313435E4" w14:textId="2E93498D" w:rsidR="00D400F4" w:rsidRPr="005C503F" w:rsidRDefault="00D400F4" w:rsidP="001E2549">
            <w:pPr>
              <w:jc w:val="center"/>
              <w:rPr>
                <w:rFonts w:ascii="Times New Roman"/>
                <w:sz w:val="24"/>
                <w:szCs w:val="24"/>
              </w:rPr>
            </w:pPr>
            <w:r w:rsidRPr="005C503F">
              <w:rPr>
                <w:rFonts w:ascii="Times New Roman"/>
                <w:sz w:val="24"/>
                <w:szCs w:val="24"/>
              </w:rPr>
              <w:t>&lt;</w:t>
            </w:r>
            <w:r w:rsidR="0024735B">
              <w:rPr>
                <w:rFonts w:ascii="Times New Roman"/>
                <w:sz w:val="24"/>
                <w:szCs w:val="24"/>
              </w:rPr>
              <w:t>0</w:t>
            </w:r>
            <w:r w:rsidRPr="005C503F">
              <w:rPr>
                <w:rFonts w:ascii="Times New Roman"/>
                <w:sz w:val="24"/>
                <w:szCs w:val="24"/>
              </w:rPr>
              <w:t>.001</w:t>
            </w:r>
          </w:p>
        </w:tc>
      </w:tr>
      <w:tr w:rsidR="00D400F4" w:rsidRPr="00AF6A0B" w14:paraId="3E8D296E" w14:textId="77777777" w:rsidTr="001E2549">
        <w:trPr>
          <w:trHeight w:val="264"/>
          <w:jc w:val="center"/>
        </w:trPr>
        <w:tc>
          <w:tcPr>
            <w:tcW w:w="3794" w:type="dxa"/>
            <w:tcBorders>
              <w:top w:val="nil"/>
              <w:left w:val="nil"/>
              <w:bottom w:val="nil"/>
              <w:right w:val="nil"/>
            </w:tcBorders>
          </w:tcPr>
          <w:p w14:paraId="2B9B9DB2" w14:textId="77777777" w:rsidR="00D400F4" w:rsidRPr="00EA1976" w:rsidRDefault="00D400F4" w:rsidP="001E2549">
            <w:pPr>
              <w:rPr>
                <w:rFonts w:ascii="Times New Roman"/>
                <w:sz w:val="24"/>
                <w:szCs w:val="24"/>
              </w:rPr>
            </w:pPr>
            <w:r w:rsidRPr="00EA1976">
              <w:rPr>
                <w:rFonts w:ascii="Times New Roman"/>
                <w:sz w:val="24"/>
                <w:szCs w:val="24"/>
              </w:rPr>
              <w:t>7 years</w:t>
            </w:r>
          </w:p>
        </w:tc>
        <w:tc>
          <w:tcPr>
            <w:tcW w:w="1424" w:type="dxa"/>
            <w:tcBorders>
              <w:top w:val="nil"/>
              <w:left w:val="nil"/>
              <w:bottom w:val="nil"/>
              <w:right w:val="nil"/>
            </w:tcBorders>
          </w:tcPr>
          <w:p w14:paraId="0BFD75E2" w14:textId="77777777" w:rsidR="00D400F4" w:rsidRDefault="00D400F4" w:rsidP="001E2549">
            <w:pPr>
              <w:rPr>
                <w:rFonts w:ascii="Times New Roman"/>
                <w:b/>
                <w:sz w:val="24"/>
                <w:szCs w:val="24"/>
              </w:rPr>
            </w:pPr>
            <w:r>
              <w:rPr>
                <w:rFonts w:ascii="Times New Roman"/>
                <w:sz w:val="24"/>
                <w:szCs w:val="24"/>
              </w:rPr>
              <w:t>22.7 (2.5)</w:t>
            </w:r>
          </w:p>
        </w:tc>
        <w:tc>
          <w:tcPr>
            <w:tcW w:w="851" w:type="dxa"/>
            <w:tcBorders>
              <w:top w:val="nil"/>
              <w:left w:val="nil"/>
              <w:bottom w:val="nil"/>
              <w:right w:val="nil"/>
            </w:tcBorders>
          </w:tcPr>
          <w:p w14:paraId="15A005C4" w14:textId="77777777" w:rsidR="00D400F4" w:rsidRDefault="00D400F4" w:rsidP="001E2549">
            <w:pPr>
              <w:rPr>
                <w:rFonts w:ascii="Times New Roman"/>
                <w:b/>
                <w:sz w:val="24"/>
                <w:szCs w:val="24"/>
              </w:rPr>
            </w:pPr>
            <w:r>
              <w:rPr>
                <w:rFonts w:ascii="Times New Roman"/>
                <w:sz w:val="24"/>
                <w:szCs w:val="24"/>
              </w:rPr>
              <w:t>461</w:t>
            </w:r>
          </w:p>
        </w:tc>
        <w:tc>
          <w:tcPr>
            <w:tcW w:w="1559" w:type="dxa"/>
            <w:tcBorders>
              <w:top w:val="nil"/>
              <w:left w:val="nil"/>
              <w:bottom w:val="nil"/>
              <w:right w:val="nil"/>
            </w:tcBorders>
          </w:tcPr>
          <w:p w14:paraId="3709FF8E" w14:textId="77777777" w:rsidR="00D400F4" w:rsidRDefault="00D400F4" w:rsidP="001E2549">
            <w:pPr>
              <w:rPr>
                <w:rFonts w:ascii="Times New Roman"/>
                <w:b/>
                <w:sz w:val="24"/>
                <w:szCs w:val="24"/>
              </w:rPr>
            </w:pPr>
            <w:r>
              <w:rPr>
                <w:rFonts w:ascii="Times New Roman"/>
                <w:sz w:val="24"/>
                <w:szCs w:val="24"/>
              </w:rPr>
              <w:t>22.3 (2.8)</w:t>
            </w:r>
          </w:p>
        </w:tc>
        <w:tc>
          <w:tcPr>
            <w:tcW w:w="850" w:type="dxa"/>
            <w:tcBorders>
              <w:top w:val="nil"/>
              <w:left w:val="nil"/>
              <w:bottom w:val="nil"/>
              <w:right w:val="nil"/>
            </w:tcBorders>
          </w:tcPr>
          <w:p w14:paraId="159DABC7" w14:textId="77777777" w:rsidR="00D400F4" w:rsidRDefault="00D400F4" w:rsidP="001E2549">
            <w:pPr>
              <w:rPr>
                <w:rFonts w:ascii="Times New Roman"/>
                <w:b/>
                <w:sz w:val="24"/>
                <w:szCs w:val="24"/>
              </w:rPr>
            </w:pPr>
            <w:r>
              <w:rPr>
                <w:rFonts w:ascii="Times New Roman"/>
                <w:sz w:val="24"/>
                <w:szCs w:val="24"/>
              </w:rPr>
              <w:t>577</w:t>
            </w:r>
          </w:p>
        </w:tc>
        <w:tc>
          <w:tcPr>
            <w:tcW w:w="1105" w:type="dxa"/>
            <w:tcBorders>
              <w:top w:val="nil"/>
              <w:left w:val="nil"/>
              <w:bottom w:val="nil"/>
              <w:right w:val="nil"/>
            </w:tcBorders>
          </w:tcPr>
          <w:p w14:paraId="5CD3A5D1" w14:textId="491EB779" w:rsidR="00D400F4" w:rsidRPr="005C503F" w:rsidRDefault="0024735B" w:rsidP="001E2549">
            <w:pPr>
              <w:jc w:val="center"/>
              <w:rPr>
                <w:rFonts w:ascii="Times New Roman"/>
                <w:sz w:val="24"/>
                <w:szCs w:val="24"/>
              </w:rPr>
            </w:pPr>
            <w:r>
              <w:rPr>
                <w:rFonts w:ascii="Times New Roman"/>
                <w:sz w:val="24"/>
                <w:szCs w:val="24"/>
              </w:rPr>
              <w:t>0</w:t>
            </w:r>
            <w:r w:rsidR="00D400F4" w:rsidRPr="005C503F">
              <w:rPr>
                <w:rFonts w:ascii="Times New Roman"/>
                <w:sz w:val="24"/>
                <w:szCs w:val="24"/>
              </w:rPr>
              <w:t>.02</w:t>
            </w:r>
          </w:p>
        </w:tc>
      </w:tr>
      <w:tr w:rsidR="00D400F4" w:rsidRPr="00AF6A0B" w14:paraId="5ABD2D7D" w14:textId="77777777" w:rsidTr="001E2549">
        <w:trPr>
          <w:trHeight w:val="264"/>
          <w:jc w:val="center"/>
        </w:trPr>
        <w:tc>
          <w:tcPr>
            <w:tcW w:w="3794" w:type="dxa"/>
            <w:tcBorders>
              <w:top w:val="nil"/>
              <w:left w:val="nil"/>
              <w:bottom w:val="single" w:sz="4" w:space="0" w:color="auto"/>
              <w:right w:val="nil"/>
            </w:tcBorders>
          </w:tcPr>
          <w:p w14:paraId="487B2705" w14:textId="77777777" w:rsidR="00D400F4" w:rsidRPr="00EA1976" w:rsidRDefault="00D400F4" w:rsidP="001E2549">
            <w:pPr>
              <w:rPr>
                <w:rFonts w:ascii="Times New Roman"/>
                <w:sz w:val="24"/>
                <w:szCs w:val="24"/>
              </w:rPr>
            </w:pPr>
            <w:r w:rsidRPr="00EA1976">
              <w:rPr>
                <w:rFonts w:ascii="Times New Roman"/>
                <w:sz w:val="24"/>
                <w:szCs w:val="24"/>
              </w:rPr>
              <w:t>11 years</w:t>
            </w:r>
          </w:p>
        </w:tc>
        <w:tc>
          <w:tcPr>
            <w:tcW w:w="1424" w:type="dxa"/>
            <w:tcBorders>
              <w:top w:val="nil"/>
              <w:left w:val="nil"/>
              <w:bottom w:val="single" w:sz="4" w:space="0" w:color="auto"/>
              <w:right w:val="nil"/>
            </w:tcBorders>
          </w:tcPr>
          <w:p w14:paraId="3794BE4A" w14:textId="77777777" w:rsidR="00D400F4" w:rsidRDefault="00D400F4" w:rsidP="001E2549">
            <w:pPr>
              <w:rPr>
                <w:rFonts w:ascii="Times New Roman"/>
                <w:b/>
                <w:sz w:val="24"/>
                <w:szCs w:val="24"/>
              </w:rPr>
            </w:pPr>
            <w:r>
              <w:rPr>
                <w:rFonts w:ascii="Times New Roman"/>
                <w:sz w:val="24"/>
                <w:szCs w:val="24"/>
              </w:rPr>
              <w:t>33.9 (4.3)</w:t>
            </w:r>
          </w:p>
        </w:tc>
        <w:tc>
          <w:tcPr>
            <w:tcW w:w="851" w:type="dxa"/>
            <w:tcBorders>
              <w:top w:val="nil"/>
              <w:left w:val="nil"/>
              <w:bottom w:val="single" w:sz="4" w:space="0" w:color="auto"/>
              <w:right w:val="nil"/>
            </w:tcBorders>
          </w:tcPr>
          <w:p w14:paraId="6054DDB2" w14:textId="77777777" w:rsidR="00D400F4" w:rsidRDefault="00D400F4" w:rsidP="001E2549">
            <w:pPr>
              <w:rPr>
                <w:rFonts w:ascii="Times New Roman"/>
                <w:b/>
                <w:sz w:val="24"/>
                <w:szCs w:val="24"/>
              </w:rPr>
            </w:pPr>
            <w:r>
              <w:rPr>
                <w:rFonts w:ascii="Times New Roman"/>
                <w:sz w:val="24"/>
                <w:szCs w:val="24"/>
              </w:rPr>
              <w:t>459</w:t>
            </w:r>
          </w:p>
        </w:tc>
        <w:tc>
          <w:tcPr>
            <w:tcW w:w="1559" w:type="dxa"/>
            <w:tcBorders>
              <w:top w:val="nil"/>
              <w:left w:val="nil"/>
              <w:bottom w:val="single" w:sz="4" w:space="0" w:color="auto"/>
              <w:right w:val="nil"/>
            </w:tcBorders>
          </w:tcPr>
          <w:p w14:paraId="32C9D413" w14:textId="77777777" w:rsidR="00D400F4" w:rsidRDefault="00D400F4" w:rsidP="001E2549">
            <w:pPr>
              <w:rPr>
                <w:rFonts w:ascii="Times New Roman"/>
                <w:b/>
                <w:sz w:val="24"/>
                <w:szCs w:val="24"/>
              </w:rPr>
            </w:pPr>
            <w:r>
              <w:rPr>
                <w:rFonts w:ascii="Times New Roman"/>
                <w:sz w:val="24"/>
                <w:szCs w:val="24"/>
              </w:rPr>
              <w:t>34.2 (5.5)</w:t>
            </w:r>
          </w:p>
        </w:tc>
        <w:tc>
          <w:tcPr>
            <w:tcW w:w="850" w:type="dxa"/>
            <w:tcBorders>
              <w:top w:val="nil"/>
              <w:left w:val="nil"/>
              <w:bottom w:val="single" w:sz="4" w:space="0" w:color="auto"/>
              <w:right w:val="nil"/>
            </w:tcBorders>
          </w:tcPr>
          <w:p w14:paraId="03D9B1A6" w14:textId="77777777" w:rsidR="00D400F4" w:rsidRDefault="00D400F4" w:rsidP="001E2549">
            <w:pPr>
              <w:rPr>
                <w:rFonts w:ascii="Times New Roman"/>
                <w:b/>
                <w:sz w:val="24"/>
                <w:szCs w:val="24"/>
              </w:rPr>
            </w:pPr>
            <w:r>
              <w:rPr>
                <w:rFonts w:ascii="Times New Roman"/>
                <w:sz w:val="24"/>
                <w:szCs w:val="24"/>
              </w:rPr>
              <w:t>582</w:t>
            </w:r>
          </w:p>
        </w:tc>
        <w:tc>
          <w:tcPr>
            <w:tcW w:w="1105" w:type="dxa"/>
            <w:tcBorders>
              <w:top w:val="nil"/>
              <w:left w:val="nil"/>
              <w:bottom w:val="single" w:sz="4" w:space="0" w:color="auto"/>
              <w:right w:val="nil"/>
            </w:tcBorders>
          </w:tcPr>
          <w:p w14:paraId="5180F17D" w14:textId="6CB8B03A" w:rsidR="00D400F4" w:rsidRPr="005C503F" w:rsidRDefault="0024735B" w:rsidP="001E2549">
            <w:pPr>
              <w:jc w:val="center"/>
              <w:rPr>
                <w:rFonts w:ascii="Times New Roman"/>
                <w:sz w:val="24"/>
                <w:szCs w:val="24"/>
              </w:rPr>
            </w:pPr>
            <w:r>
              <w:rPr>
                <w:rFonts w:ascii="Times New Roman"/>
                <w:sz w:val="24"/>
                <w:szCs w:val="24"/>
              </w:rPr>
              <w:t>0</w:t>
            </w:r>
            <w:r w:rsidR="00D400F4" w:rsidRPr="005C503F">
              <w:rPr>
                <w:rFonts w:ascii="Times New Roman"/>
                <w:sz w:val="24"/>
                <w:szCs w:val="24"/>
              </w:rPr>
              <w:t>.35</w:t>
            </w:r>
          </w:p>
        </w:tc>
      </w:tr>
      <w:tr w:rsidR="00D400F4" w:rsidRPr="00AF6A0B" w14:paraId="219FBCBA" w14:textId="77777777" w:rsidTr="001E2549">
        <w:trPr>
          <w:trHeight w:val="264"/>
          <w:jc w:val="center"/>
        </w:trPr>
        <w:tc>
          <w:tcPr>
            <w:tcW w:w="9583" w:type="dxa"/>
            <w:gridSpan w:val="6"/>
            <w:tcBorders>
              <w:left w:val="nil"/>
              <w:bottom w:val="single" w:sz="4" w:space="0" w:color="auto"/>
              <w:right w:val="nil"/>
            </w:tcBorders>
          </w:tcPr>
          <w:p w14:paraId="2686EF86" w14:textId="77777777" w:rsidR="00D400F4" w:rsidRPr="00FD5502" w:rsidRDefault="00D400F4" w:rsidP="001E2549">
            <w:pPr>
              <w:rPr>
                <w:rFonts w:ascii="Times New Roman"/>
                <w:sz w:val="24"/>
                <w:szCs w:val="24"/>
              </w:rPr>
            </w:pPr>
            <w:r w:rsidRPr="00FD5502">
              <w:rPr>
                <w:rFonts w:ascii="Times New Roman"/>
                <w:sz w:val="24"/>
                <w:szCs w:val="24"/>
              </w:rPr>
              <w:t>Body mass index (kg/m</w:t>
            </w:r>
            <w:r w:rsidRPr="00FD5502">
              <w:rPr>
                <w:rFonts w:ascii="Times New Roman"/>
                <w:sz w:val="24"/>
                <w:szCs w:val="24"/>
                <w:vertAlign w:val="superscript"/>
              </w:rPr>
              <w:t>2</w:t>
            </w:r>
            <w:r w:rsidRPr="00FD5502">
              <w:rPr>
                <w:rFonts w:ascii="Times New Roman"/>
                <w:sz w:val="24"/>
                <w:szCs w:val="24"/>
              </w:rPr>
              <w:t>) at age</w:t>
            </w:r>
          </w:p>
        </w:tc>
      </w:tr>
      <w:tr w:rsidR="00D400F4" w:rsidRPr="00AF6A0B" w14:paraId="1CEF8AE2" w14:textId="77777777" w:rsidTr="001E2549">
        <w:trPr>
          <w:trHeight w:val="264"/>
          <w:jc w:val="center"/>
        </w:trPr>
        <w:tc>
          <w:tcPr>
            <w:tcW w:w="3794" w:type="dxa"/>
            <w:tcBorders>
              <w:top w:val="nil"/>
              <w:left w:val="nil"/>
              <w:bottom w:val="nil"/>
              <w:right w:val="nil"/>
            </w:tcBorders>
          </w:tcPr>
          <w:p w14:paraId="29CF3E03" w14:textId="77777777" w:rsidR="00D400F4" w:rsidRPr="00EA1976" w:rsidRDefault="00D400F4" w:rsidP="001E2549">
            <w:pPr>
              <w:rPr>
                <w:rFonts w:ascii="Times New Roman"/>
                <w:sz w:val="24"/>
                <w:szCs w:val="24"/>
              </w:rPr>
            </w:pPr>
            <w:r w:rsidRPr="00EA1976">
              <w:rPr>
                <w:rFonts w:ascii="Times New Roman"/>
                <w:sz w:val="24"/>
                <w:szCs w:val="24"/>
              </w:rPr>
              <w:t>1 year</w:t>
            </w:r>
          </w:p>
        </w:tc>
        <w:tc>
          <w:tcPr>
            <w:tcW w:w="1424" w:type="dxa"/>
            <w:tcBorders>
              <w:top w:val="nil"/>
              <w:left w:val="nil"/>
              <w:bottom w:val="nil"/>
              <w:right w:val="nil"/>
            </w:tcBorders>
          </w:tcPr>
          <w:p w14:paraId="0E8AC333" w14:textId="77777777" w:rsidR="00D400F4" w:rsidRDefault="00D400F4" w:rsidP="001E2549">
            <w:pPr>
              <w:rPr>
                <w:rFonts w:ascii="Times New Roman"/>
                <w:b/>
                <w:sz w:val="24"/>
                <w:szCs w:val="24"/>
              </w:rPr>
            </w:pPr>
            <w:r>
              <w:rPr>
                <w:rFonts w:ascii="Times New Roman"/>
                <w:sz w:val="24"/>
                <w:szCs w:val="24"/>
              </w:rPr>
              <w:t>17.9 (1.4)</w:t>
            </w:r>
          </w:p>
        </w:tc>
        <w:tc>
          <w:tcPr>
            <w:tcW w:w="851" w:type="dxa"/>
            <w:tcBorders>
              <w:top w:val="nil"/>
              <w:left w:val="nil"/>
              <w:bottom w:val="nil"/>
              <w:right w:val="nil"/>
            </w:tcBorders>
          </w:tcPr>
          <w:p w14:paraId="7C6F214A" w14:textId="77777777" w:rsidR="00D400F4" w:rsidRDefault="00D400F4" w:rsidP="001E2549">
            <w:pPr>
              <w:rPr>
                <w:rFonts w:ascii="Times New Roman"/>
                <w:b/>
                <w:sz w:val="24"/>
                <w:szCs w:val="24"/>
              </w:rPr>
            </w:pPr>
            <w:r>
              <w:rPr>
                <w:rFonts w:ascii="Times New Roman"/>
                <w:sz w:val="24"/>
                <w:szCs w:val="24"/>
              </w:rPr>
              <w:t>475</w:t>
            </w:r>
          </w:p>
        </w:tc>
        <w:tc>
          <w:tcPr>
            <w:tcW w:w="1559" w:type="dxa"/>
            <w:tcBorders>
              <w:top w:val="nil"/>
              <w:left w:val="nil"/>
              <w:bottom w:val="nil"/>
              <w:right w:val="nil"/>
            </w:tcBorders>
          </w:tcPr>
          <w:p w14:paraId="4E5D02B4" w14:textId="77777777" w:rsidR="00D400F4" w:rsidRDefault="00D400F4" w:rsidP="001E2549">
            <w:pPr>
              <w:rPr>
                <w:rFonts w:ascii="Times New Roman"/>
                <w:b/>
                <w:sz w:val="24"/>
                <w:szCs w:val="24"/>
              </w:rPr>
            </w:pPr>
            <w:r>
              <w:rPr>
                <w:rFonts w:ascii="Times New Roman"/>
                <w:sz w:val="24"/>
                <w:szCs w:val="24"/>
              </w:rPr>
              <w:t>17.5 (1.3)</w:t>
            </w:r>
          </w:p>
        </w:tc>
        <w:tc>
          <w:tcPr>
            <w:tcW w:w="850" w:type="dxa"/>
            <w:tcBorders>
              <w:top w:val="nil"/>
              <w:left w:val="nil"/>
              <w:bottom w:val="nil"/>
              <w:right w:val="nil"/>
            </w:tcBorders>
          </w:tcPr>
          <w:p w14:paraId="613D7FBE" w14:textId="77777777" w:rsidR="00D400F4" w:rsidRDefault="00D400F4" w:rsidP="001E2549">
            <w:pPr>
              <w:rPr>
                <w:rFonts w:ascii="Times New Roman"/>
                <w:b/>
                <w:sz w:val="24"/>
                <w:szCs w:val="24"/>
              </w:rPr>
            </w:pPr>
            <w:r>
              <w:rPr>
                <w:rFonts w:ascii="Times New Roman"/>
                <w:sz w:val="24"/>
                <w:szCs w:val="24"/>
              </w:rPr>
              <w:t>603</w:t>
            </w:r>
          </w:p>
        </w:tc>
        <w:tc>
          <w:tcPr>
            <w:tcW w:w="1105" w:type="dxa"/>
            <w:tcBorders>
              <w:top w:val="nil"/>
              <w:left w:val="nil"/>
              <w:bottom w:val="nil"/>
              <w:right w:val="nil"/>
            </w:tcBorders>
          </w:tcPr>
          <w:p w14:paraId="0F5A7963" w14:textId="6E1333B3" w:rsidR="00D400F4" w:rsidRPr="005C503F" w:rsidRDefault="00D400F4" w:rsidP="001E2549">
            <w:pPr>
              <w:jc w:val="center"/>
              <w:rPr>
                <w:rFonts w:ascii="Times New Roman"/>
                <w:sz w:val="24"/>
                <w:szCs w:val="24"/>
              </w:rPr>
            </w:pPr>
            <w:r w:rsidRPr="005C503F">
              <w:rPr>
                <w:rFonts w:ascii="Times New Roman"/>
                <w:sz w:val="24"/>
                <w:szCs w:val="24"/>
              </w:rPr>
              <w:t>&lt;</w:t>
            </w:r>
            <w:r w:rsidR="0024735B">
              <w:rPr>
                <w:rFonts w:ascii="Times New Roman"/>
                <w:sz w:val="24"/>
                <w:szCs w:val="24"/>
              </w:rPr>
              <w:t>0</w:t>
            </w:r>
            <w:r w:rsidRPr="005C503F">
              <w:rPr>
                <w:rFonts w:ascii="Times New Roman"/>
                <w:sz w:val="24"/>
                <w:szCs w:val="24"/>
              </w:rPr>
              <w:t>.001</w:t>
            </w:r>
          </w:p>
        </w:tc>
      </w:tr>
      <w:tr w:rsidR="00D400F4" w:rsidRPr="00AF6A0B" w14:paraId="25DD2D51" w14:textId="77777777" w:rsidTr="001E2549">
        <w:trPr>
          <w:trHeight w:val="264"/>
          <w:jc w:val="center"/>
        </w:trPr>
        <w:tc>
          <w:tcPr>
            <w:tcW w:w="3794" w:type="dxa"/>
            <w:tcBorders>
              <w:top w:val="nil"/>
              <w:left w:val="nil"/>
              <w:bottom w:val="nil"/>
              <w:right w:val="nil"/>
            </w:tcBorders>
          </w:tcPr>
          <w:p w14:paraId="2CAFB142" w14:textId="77777777" w:rsidR="00D400F4" w:rsidRPr="00EA1976" w:rsidRDefault="00D400F4" w:rsidP="001E2549">
            <w:pPr>
              <w:rPr>
                <w:rFonts w:ascii="Times New Roman"/>
                <w:sz w:val="24"/>
                <w:szCs w:val="24"/>
              </w:rPr>
            </w:pPr>
            <w:r w:rsidRPr="00EA1976">
              <w:rPr>
                <w:rFonts w:ascii="Times New Roman"/>
                <w:sz w:val="24"/>
                <w:szCs w:val="24"/>
              </w:rPr>
              <w:t>2 years</w:t>
            </w:r>
          </w:p>
        </w:tc>
        <w:tc>
          <w:tcPr>
            <w:tcW w:w="1424" w:type="dxa"/>
            <w:tcBorders>
              <w:top w:val="nil"/>
              <w:left w:val="nil"/>
              <w:bottom w:val="nil"/>
              <w:right w:val="nil"/>
            </w:tcBorders>
          </w:tcPr>
          <w:p w14:paraId="6B2FEA72" w14:textId="77777777" w:rsidR="00D400F4" w:rsidRDefault="00D400F4" w:rsidP="001E2549">
            <w:pPr>
              <w:rPr>
                <w:rFonts w:ascii="Times New Roman"/>
                <w:b/>
                <w:sz w:val="24"/>
                <w:szCs w:val="24"/>
              </w:rPr>
            </w:pPr>
            <w:r>
              <w:rPr>
                <w:rFonts w:ascii="Times New Roman"/>
                <w:sz w:val="24"/>
                <w:szCs w:val="24"/>
              </w:rPr>
              <w:t>16.7 (1.2)</w:t>
            </w:r>
          </w:p>
        </w:tc>
        <w:tc>
          <w:tcPr>
            <w:tcW w:w="851" w:type="dxa"/>
            <w:tcBorders>
              <w:top w:val="nil"/>
              <w:left w:val="nil"/>
              <w:bottom w:val="nil"/>
              <w:right w:val="nil"/>
            </w:tcBorders>
          </w:tcPr>
          <w:p w14:paraId="2841FD78" w14:textId="77777777" w:rsidR="00D400F4" w:rsidRDefault="00D400F4" w:rsidP="001E2549">
            <w:pPr>
              <w:rPr>
                <w:rFonts w:ascii="Times New Roman"/>
                <w:b/>
                <w:sz w:val="24"/>
                <w:szCs w:val="24"/>
              </w:rPr>
            </w:pPr>
            <w:r>
              <w:rPr>
                <w:rFonts w:ascii="Times New Roman"/>
                <w:sz w:val="24"/>
                <w:szCs w:val="24"/>
              </w:rPr>
              <w:t>475</w:t>
            </w:r>
          </w:p>
        </w:tc>
        <w:tc>
          <w:tcPr>
            <w:tcW w:w="1559" w:type="dxa"/>
            <w:tcBorders>
              <w:top w:val="nil"/>
              <w:left w:val="nil"/>
              <w:bottom w:val="nil"/>
              <w:right w:val="nil"/>
            </w:tcBorders>
          </w:tcPr>
          <w:p w14:paraId="06A5A75C" w14:textId="77777777" w:rsidR="00D400F4" w:rsidRDefault="00D400F4" w:rsidP="001E2549">
            <w:pPr>
              <w:rPr>
                <w:rFonts w:ascii="Times New Roman"/>
                <w:b/>
                <w:sz w:val="24"/>
                <w:szCs w:val="24"/>
              </w:rPr>
            </w:pPr>
            <w:r>
              <w:rPr>
                <w:rFonts w:ascii="Times New Roman"/>
                <w:sz w:val="24"/>
                <w:szCs w:val="24"/>
              </w:rPr>
              <w:t>16.4 (1.2)</w:t>
            </w:r>
          </w:p>
        </w:tc>
        <w:tc>
          <w:tcPr>
            <w:tcW w:w="850" w:type="dxa"/>
            <w:tcBorders>
              <w:top w:val="nil"/>
              <w:left w:val="nil"/>
              <w:bottom w:val="nil"/>
              <w:right w:val="nil"/>
            </w:tcBorders>
          </w:tcPr>
          <w:p w14:paraId="1C1221D5" w14:textId="77777777" w:rsidR="00D400F4" w:rsidRDefault="00D400F4" w:rsidP="001E2549">
            <w:pPr>
              <w:rPr>
                <w:rFonts w:ascii="Times New Roman"/>
                <w:b/>
                <w:sz w:val="24"/>
                <w:szCs w:val="24"/>
              </w:rPr>
            </w:pPr>
            <w:r>
              <w:rPr>
                <w:rFonts w:ascii="Times New Roman"/>
                <w:sz w:val="24"/>
                <w:szCs w:val="24"/>
              </w:rPr>
              <w:t>603</w:t>
            </w:r>
          </w:p>
        </w:tc>
        <w:tc>
          <w:tcPr>
            <w:tcW w:w="1105" w:type="dxa"/>
            <w:tcBorders>
              <w:top w:val="nil"/>
              <w:left w:val="nil"/>
              <w:bottom w:val="nil"/>
              <w:right w:val="nil"/>
            </w:tcBorders>
          </w:tcPr>
          <w:p w14:paraId="7EA89EB3" w14:textId="2F6F7401" w:rsidR="00D400F4" w:rsidRPr="005C503F" w:rsidRDefault="0024735B" w:rsidP="001E2549">
            <w:pPr>
              <w:jc w:val="center"/>
              <w:rPr>
                <w:rFonts w:ascii="Times New Roman"/>
                <w:sz w:val="24"/>
                <w:szCs w:val="24"/>
              </w:rPr>
            </w:pPr>
            <w:r>
              <w:rPr>
                <w:rFonts w:ascii="Times New Roman"/>
                <w:sz w:val="24"/>
                <w:szCs w:val="24"/>
              </w:rPr>
              <w:t>0</w:t>
            </w:r>
            <w:r w:rsidR="00D400F4" w:rsidRPr="005C503F">
              <w:rPr>
                <w:rFonts w:ascii="Times New Roman"/>
                <w:sz w:val="24"/>
                <w:szCs w:val="24"/>
              </w:rPr>
              <w:t>.001</w:t>
            </w:r>
          </w:p>
        </w:tc>
      </w:tr>
      <w:tr w:rsidR="00D400F4" w:rsidRPr="00AF6A0B" w14:paraId="2B82AD79" w14:textId="77777777" w:rsidTr="001E2549">
        <w:trPr>
          <w:trHeight w:val="264"/>
          <w:jc w:val="center"/>
        </w:trPr>
        <w:tc>
          <w:tcPr>
            <w:tcW w:w="3794" w:type="dxa"/>
            <w:tcBorders>
              <w:top w:val="nil"/>
              <w:left w:val="nil"/>
              <w:bottom w:val="nil"/>
              <w:right w:val="nil"/>
            </w:tcBorders>
          </w:tcPr>
          <w:p w14:paraId="312052AB" w14:textId="77777777" w:rsidR="00D400F4" w:rsidRPr="00EA1976" w:rsidRDefault="00D400F4" w:rsidP="001E2549">
            <w:pPr>
              <w:rPr>
                <w:rFonts w:ascii="Times New Roman"/>
                <w:sz w:val="24"/>
                <w:szCs w:val="24"/>
              </w:rPr>
            </w:pPr>
            <w:r w:rsidRPr="00EA1976">
              <w:rPr>
                <w:rFonts w:ascii="Times New Roman"/>
                <w:sz w:val="24"/>
                <w:szCs w:val="24"/>
              </w:rPr>
              <w:t>7 years</w:t>
            </w:r>
          </w:p>
        </w:tc>
        <w:tc>
          <w:tcPr>
            <w:tcW w:w="1424" w:type="dxa"/>
            <w:tcBorders>
              <w:top w:val="nil"/>
              <w:left w:val="nil"/>
              <w:bottom w:val="nil"/>
              <w:right w:val="nil"/>
            </w:tcBorders>
          </w:tcPr>
          <w:p w14:paraId="40104695" w14:textId="77777777" w:rsidR="00D400F4" w:rsidRDefault="00D400F4" w:rsidP="001E2549">
            <w:pPr>
              <w:rPr>
                <w:rFonts w:ascii="Times New Roman"/>
                <w:b/>
                <w:sz w:val="24"/>
                <w:szCs w:val="24"/>
              </w:rPr>
            </w:pPr>
            <w:r>
              <w:rPr>
                <w:rFonts w:ascii="Times New Roman"/>
                <w:sz w:val="24"/>
                <w:szCs w:val="24"/>
              </w:rPr>
              <w:t>15.5 (1.1)</w:t>
            </w:r>
          </w:p>
        </w:tc>
        <w:tc>
          <w:tcPr>
            <w:tcW w:w="851" w:type="dxa"/>
            <w:tcBorders>
              <w:top w:val="nil"/>
              <w:left w:val="nil"/>
              <w:bottom w:val="nil"/>
              <w:right w:val="nil"/>
            </w:tcBorders>
          </w:tcPr>
          <w:p w14:paraId="4B70A183" w14:textId="77777777" w:rsidR="00D400F4" w:rsidRDefault="00D400F4" w:rsidP="001E2549">
            <w:pPr>
              <w:rPr>
                <w:rFonts w:ascii="Times New Roman"/>
                <w:b/>
                <w:sz w:val="24"/>
                <w:szCs w:val="24"/>
              </w:rPr>
            </w:pPr>
            <w:r>
              <w:rPr>
                <w:rFonts w:ascii="Times New Roman"/>
                <w:sz w:val="24"/>
                <w:szCs w:val="24"/>
              </w:rPr>
              <w:t>461</w:t>
            </w:r>
          </w:p>
        </w:tc>
        <w:tc>
          <w:tcPr>
            <w:tcW w:w="1559" w:type="dxa"/>
            <w:tcBorders>
              <w:top w:val="nil"/>
              <w:left w:val="nil"/>
              <w:bottom w:val="nil"/>
              <w:right w:val="nil"/>
            </w:tcBorders>
          </w:tcPr>
          <w:p w14:paraId="3AF10132" w14:textId="77777777" w:rsidR="00D400F4" w:rsidRDefault="00D400F4" w:rsidP="001E2549">
            <w:pPr>
              <w:rPr>
                <w:rFonts w:ascii="Times New Roman"/>
                <w:b/>
                <w:sz w:val="24"/>
                <w:szCs w:val="24"/>
              </w:rPr>
            </w:pPr>
            <w:r>
              <w:rPr>
                <w:rFonts w:ascii="Times New Roman"/>
                <w:sz w:val="24"/>
                <w:szCs w:val="24"/>
              </w:rPr>
              <w:t>15.5 (1.3)</w:t>
            </w:r>
          </w:p>
        </w:tc>
        <w:tc>
          <w:tcPr>
            <w:tcW w:w="850" w:type="dxa"/>
            <w:tcBorders>
              <w:top w:val="nil"/>
              <w:left w:val="nil"/>
              <w:bottom w:val="nil"/>
              <w:right w:val="nil"/>
            </w:tcBorders>
          </w:tcPr>
          <w:p w14:paraId="4AC7B680" w14:textId="77777777" w:rsidR="00D400F4" w:rsidRDefault="00D400F4" w:rsidP="001E2549">
            <w:pPr>
              <w:rPr>
                <w:rFonts w:ascii="Times New Roman"/>
                <w:b/>
                <w:sz w:val="24"/>
                <w:szCs w:val="24"/>
              </w:rPr>
            </w:pPr>
            <w:r>
              <w:rPr>
                <w:rFonts w:ascii="Times New Roman"/>
                <w:sz w:val="24"/>
                <w:szCs w:val="24"/>
              </w:rPr>
              <w:t>577</w:t>
            </w:r>
          </w:p>
        </w:tc>
        <w:tc>
          <w:tcPr>
            <w:tcW w:w="1105" w:type="dxa"/>
            <w:tcBorders>
              <w:top w:val="nil"/>
              <w:left w:val="nil"/>
              <w:bottom w:val="nil"/>
              <w:right w:val="nil"/>
            </w:tcBorders>
          </w:tcPr>
          <w:p w14:paraId="6AB13672" w14:textId="444A306C" w:rsidR="00D400F4" w:rsidRPr="005C503F" w:rsidRDefault="0024735B" w:rsidP="001E2549">
            <w:pPr>
              <w:jc w:val="center"/>
              <w:rPr>
                <w:rFonts w:ascii="Times New Roman"/>
                <w:sz w:val="24"/>
                <w:szCs w:val="24"/>
              </w:rPr>
            </w:pPr>
            <w:r>
              <w:rPr>
                <w:rFonts w:ascii="Times New Roman"/>
                <w:sz w:val="24"/>
                <w:szCs w:val="24"/>
              </w:rPr>
              <w:t>0</w:t>
            </w:r>
            <w:r w:rsidR="00D400F4" w:rsidRPr="005C503F">
              <w:rPr>
                <w:rFonts w:ascii="Times New Roman"/>
                <w:sz w:val="24"/>
                <w:szCs w:val="24"/>
              </w:rPr>
              <w:t>.62</w:t>
            </w:r>
          </w:p>
        </w:tc>
      </w:tr>
      <w:tr w:rsidR="00D400F4" w:rsidRPr="00AF6A0B" w14:paraId="531147AC" w14:textId="77777777" w:rsidTr="001E2549">
        <w:trPr>
          <w:trHeight w:val="264"/>
          <w:jc w:val="center"/>
        </w:trPr>
        <w:tc>
          <w:tcPr>
            <w:tcW w:w="3794" w:type="dxa"/>
            <w:tcBorders>
              <w:top w:val="nil"/>
              <w:left w:val="nil"/>
              <w:bottom w:val="single" w:sz="4" w:space="0" w:color="auto"/>
              <w:right w:val="nil"/>
            </w:tcBorders>
          </w:tcPr>
          <w:p w14:paraId="4F45D0AD" w14:textId="77777777" w:rsidR="00D400F4" w:rsidRPr="00EA1976" w:rsidRDefault="00D400F4" w:rsidP="001E2549">
            <w:pPr>
              <w:rPr>
                <w:rFonts w:ascii="Times New Roman"/>
                <w:sz w:val="24"/>
                <w:szCs w:val="24"/>
              </w:rPr>
            </w:pPr>
            <w:r w:rsidRPr="00EA1976">
              <w:rPr>
                <w:rFonts w:ascii="Times New Roman"/>
                <w:sz w:val="24"/>
                <w:szCs w:val="24"/>
              </w:rPr>
              <w:t>11 years</w:t>
            </w:r>
          </w:p>
        </w:tc>
        <w:tc>
          <w:tcPr>
            <w:tcW w:w="1424" w:type="dxa"/>
            <w:tcBorders>
              <w:top w:val="nil"/>
              <w:left w:val="nil"/>
              <w:bottom w:val="single" w:sz="4" w:space="0" w:color="auto"/>
              <w:right w:val="nil"/>
            </w:tcBorders>
          </w:tcPr>
          <w:p w14:paraId="44634EE5" w14:textId="77777777" w:rsidR="00D400F4" w:rsidRDefault="00D400F4" w:rsidP="001E2549">
            <w:pPr>
              <w:rPr>
                <w:rFonts w:ascii="Times New Roman"/>
                <w:b/>
                <w:sz w:val="24"/>
                <w:szCs w:val="24"/>
              </w:rPr>
            </w:pPr>
            <w:r>
              <w:rPr>
                <w:rFonts w:ascii="Times New Roman"/>
                <w:sz w:val="24"/>
                <w:szCs w:val="24"/>
              </w:rPr>
              <w:t>16.9 (1.4)</w:t>
            </w:r>
          </w:p>
        </w:tc>
        <w:tc>
          <w:tcPr>
            <w:tcW w:w="851" w:type="dxa"/>
            <w:tcBorders>
              <w:top w:val="nil"/>
              <w:left w:val="nil"/>
              <w:bottom w:val="single" w:sz="4" w:space="0" w:color="auto"/>
              <w:right w:val="nil"/>
            </w:tcBorders>
          </w:tcPr>
          <w:p w14:paraId="30D67D0F" w14:textId="77777777" w:rsidR="00D400F4" w:rsidRDefault="00D400F4" w:rsidP="001E2549">
            <w:pPr>
              <w:rPr>
                <w:rFonts w:ascii="Times New Roman"/>
                <w:b/>
                <w:sz w:val="24"/>
                <w:szCs w:val="24"/>
              </w:rPr>
            </w:pPr>
            <w:r>
              <w:rPr>
                <w:rFonts w:ascii="Times New Roman"/>
                <w:sz w:val="24"/>
                <w:szCs w:val="24"/>
              </w:rPr>
              <w:t>458</w:t>
            </w:r>
          </w:p>
        </w:tc>
        <w:tc>
          <w:tcPr>
            <w:tcW w:w="1559" w:type="dxa"/>
            <w:tcBorders>
              <w:top w:val="nil"/>
              <w:left w:val="nil"/>
              <w:bottom w:val="single" w:sz="4" w:space="0" w:color="auto"/>
              <w:right w:val="nil"/>
            </w:tcBorders>
          </w:tcPr>
          <w:p w14:paraId="2F88886F" w14:textId="77777777" w:rsidR="00D400F4" w:rsidRDefault="00D400F4" w:rsidP="001E2549">
            <w:pPr>
              <w:rPr>
                <w:rFonts w:ascii="Times New Roman"/>
                <w:b/>
                <w:sz w:val="24"/>
                <w:szCs w:val="24"/>
              </w:rPr>
            </w:pPr>
            <w:r>
              <w:rPr>
                <w:rFonts w:ascii="Times New Roman"/>
                <w:sz w:val="24"/>
                <w:szCs w:val="24"/>
              </w:rPr>
              <w:t>17.0 (1.9)</w:t>
            </w:r>
          </w:p>
        </w:tc>
        <w:tc>
          <w:tcPr>
            <w:tcW w:w="850" w:type="dxa"/>
            <w:tcBorders>
              <w:top w:val="nil"/>
              <w:left w:val="nil"/>
              <w:bottom w:val="single" w:sz="4" w:space="0" w:color="auto"/>
              <w:right w:val="nil"/>
            </w:tcBorders>
          </w:tcPr>
          <w:p w14:paraId="23E6D7F4" w14:textId="77777777" w:rsidR="00D400F4" w:rsidRDefault="00D400F4" w:rsidP="001E2549">
            <w:pPr>
              <w:rPr>
                <w:rFonts w:ascii="Times New Roman"/>
                <w:b/>
                <w:sz w:val="24"/>
                <w:szCs w:val="24"/>
              </w:rPr>
            </w:pPr>
            <w:r>
              <w:rPr>
                <w:rFonts w:ascii="Times New Roman"/>
                <w:sz w:val="24"/>
                <w:szCs w:val="24"/>
              </w:rPr>
              <w:t>581</w:t>
            </w:r>
          </w:p>
        </w:tc>
        <w:tc>
          <w:tcPr>
            <w:tcW w:w="1105" w:type="dxa"/>
            <w:tcBorders>
              <w:top w:val="nil"/>
              <w:left w:val="nil"/>
              <w:bottom w:val="single" w:sz="4" w:space="0" w:color="auto"/>
              <w:right w:val="nil"/>
            </w:tcBorders>
          </w:tcPr>
          <w:p w14:paraId="69F76602" w14:textId="14A4C490" w:rsidR="00D400F4" w:rsidRPr="005C503F" w:rsidRDefault="0024735B" w:rsidP="001E2549">
            <w:pPr>
              <w:jc w:val="center"/>
              <w:rPr>
                <w:rFonts w:ascii="Times New Roman"/>
                <w:sz w:val="24"/>
                <w:szCs w:val="24"/>
              </w:rPr>
            </w:pPr>
            <w:r>
              <w:rPr>
                <w:rFonts w:ascii="Times New Roman"/>
                <w:sz w:val="24"/>
                <w:szCs w:val="24"/>
              </w:rPr>
              <w:t>0</w:t>
            </w:r>
            <w:r w:rsidR="00D400F4" w:rsidRPr="005C503F">
              <w:rPr>
                <w:rFonts w:ascii="Times New Roman"/>
                <w:sz w:val="24"/>
                <w:szCs w:val="24"/>
              </w:rPr>
              <w:t>.20</w:t>
            </w:r>
          </w:p>
        </w:tc>
      </w:tr>
      <w:tr w:rsidR="00D400F4" w:rsidRPr="00AF6A0B" w14:paraId="4F1B6E23" w14:textId="77777777" w:rsidTr="001E2549">
        <w:trPr>
          <w:trHeight w:val="264"/>
          <w:jc w:val="center"/>
        </w:trPr>
        <w:tc>
          <w:tcPr>
            <w:tcW w:w="8478" w:type="dxa"/>
            <w:gridSpan w:val="5"/>
            <w:tcBorders>
              <w:left w:val="nil"/>
              <w:bottom w:val="single" w:sz="4" w:space="0" w:color="auto"/>
              <w:right w:val="nil"/>
            </w:tcBorders>
          </w:tcPr>
          <w:p w14:paraId="58F76F5E" w14:textId="77777777" w:rsidR="00D400F4" w:rsidRPr="00FD5502" w:rsidRDefault="00D400F4" w:rsidP="001E2549">
            <w:pPr>
              <w:rPr>
                <w:rFonts w:ascii="Times New Roman"/>
                <w:sz w:val="24"/>
                <w:szCs w:val="24"/>
              </w:rPr>
            </w:pPr>
            <w:r w:rsidRPr="00FD5502">
              <w:rPr>
                <w:rFonts w:ascii="Times New Roman"/>
                <w:sz w:val="24"/>
                <w:szCs w:val="24"/>
              </w:rPr>
              <w:t>Childhood socio-economic status</w:t>
            </w:r>
            <w:r>
              <w:rPr>
                <w:rFonts w:ascii="Times New Roman"/>
                <w:sz w:val="24"/>
                <w:szCs w:val="24"/>
              </w:rPr>
              <w:t xml:space="preserve"> (n=1074)</w:t>
            </w:r>
          </w:p>
        </w:tc>
        <w:tc>
          <w:tcPr>
            <w:tcW w:w="1105" w:type="dxa"/>
            <w:tcBorders>
              <w:left w:val="nil"/>
              <w:bottom w:val="single" w:sz="4" w:space="0" w:color="auto"/>
              <w:right w:val="nil"/>
            </w:tcBorders>
          </w:tcPr>
          <w:p w14:paraId="277859D8" w14:textId="2237501D" w:rsidR="00D400F4" w:rsidRPr="00FD5502" w:rsidRDefault="0024735B" w:rsidP="001E2549">
            <w:pPr>
              <w:jc w:val="center"/>
              <w:rPr>
                <w:rFonts w:ascii="Times New Roman"/>
                <w:sz w:val="24"/>
                <w:szCs w:val="24"/>
              </w:rPr>
            </w:pPr>
            <w:r>
              <w:rPr>
                <w:rFonts w:ascii="Times New Roman"/>
                <w:sz w:val="24"/>
                <w:szCs w:val="24"/>
              </w:rPr>
              <w:t>0</w:t>
            </w:r>
            <w:r w:rsidR="00D400F4">
              <w:rPr>
                <w:rFonts w:ascii="Times New Roman"/>
                <w:sz w:val="24"/>
                <w:szCs w:val="24"/>
              </w:rPr>
              <w:t>.07</w:t>
            </w:r>
          </w:p>
        </w:tc>
      </w:tr>
      <w:tr w:rsidR="00D400F4" w:rsidRPr="00AF6A0B" w14:paraId="2CD525E0" w14:textId="77777777" w:rsidTr="001E2549">
        <w:trPr>
          <w:trHeight w:val="264"/>
          <w:jc w:val="center"/>
        </w:trPr>
        <w:tc>
          <w:tcPr>
            <w:tcW w:w="3794" w:type="dxa"/>
            <w:tcBorders>
              <w:left w:val="nil"/>
              <w:bottom w:val="nil"/>
              <w:right w:val="nil"/>
            </w:tcBorders>
          </w:tcPr>
          <w:p w14:paraId="6A5D172B" w14:textId="77777777" w:rsidR="00D400F4" w:rsidRPr="00FD5502" w:rsidRDefault="00D400F4" w:rsidP="001E2549">
            <w:pPr>
              <w:rPr>
                <w:rFonts w:ascii="Times New Roman"/>
                <w:sz w:val="24"/>
                <w:szCs w:val="24"/>
              </w:rPr>
            </w:pPr>
            <w:r w:rsidRPr="00FD5502">
              <w:rPr>
                <w:rFonts w:ascii="Times New Roman"/>
                <w:sz w:val="24"/>
                <w:szCs w:val="24"/>
              </w:rPr>
              <w:t>Upper middle</w:t>
            </w:r>
            <w:r>
              <w:rPr>
                <w:rFonts w:ascii="Times New Roman"/>
                <w:sz w:val="24"/>
                <w:szCs w:val="24"/>
              </w:rPr>
              <w:t xml:space="preserve"> class (%)</w:t>
            </w:r>
          </w:p>
        </w:tc>
        <w:tc>
          <w:tcPr>
            <w:tcW w:w="1424" w:type="dxa"/>
            <w:tcBorders>
              <w:left w:val="nil"/>
              <w:bottom w:val="nil"/>
              <w:right w:val="nil"/>
            </w:tcBorders>
          </w:tcPr>
          <w:p w14:paraId="104EC063" w14:textId="77777777" w:rsidR="00D400F4" w:rsidRPr="008F0A34" w:rsidRDefault="00D400F4" w:rsidP="001E2549">
            <w:pPr>
              <w:rPr>
                <w:rFonts w:ascii="Times New Roman"/>
                <w:sz w:val="24"/>
                <w:szCs w:val="24"/>
              </w:rPr>
            </w:pPr>
            <w:r w:rsidRPr="008F0A34">
              <w:rPr>
                <w:rFonts w:ascii="Times New Roman"/>
                <w:sz w:val="24"/>
                <w:szCs w:val="24"/>
              </w:rPr>
              <w:t>22.4</w:t>
            </w:r>
          </w:p>
        </w:tc>
        <w:tc>
          <w:tcPr>
            <w:tcW w:w="851" w:type="dxa"/>
            <w:tcBorders>
              <w:left w:val="nil"/>
              <w:bottom w:val="nil"/>
              <w:right w:val="nil"/>
            </w:tcBorders>
          </w:tcPr>
          <w:p w14:paraId="383761CB" w14:textId="77777777" w:rsidR="00D400F4" w:rsidRPr="008F0A34" w:rsidRDefault="00D400F4" w:rsidP="001E2549">
            <w:pPr>
              <w:rPr>
                <w:rFonts w:ascii="Times New Roman"/>
                <w:sz w:val="24"/>
                <w:szCs w:val="24"/>
              </w:rPr>
            </w:pPr>
          </w:p>
        </w:tc>
        <w:tc>
          <w:tcPr>
            <w:tcW w:w="1559" w:type="dxa"/>
            <w:tcBorders>
              <w:left w:val="nil"/>
              <w:bottom w:val="nil"/>
              <w:right w:val="nil"/>
            </w:tcBorders>
          </w:tcPr>
          <w:p w14:paraId="3FAF7BB1" w14:textId="77777777" w:rsidR="00D400F4" w:rsidRPr="008F0A34" w:rsidRDefault="00D400F4" w:rsidP="001E2549">
            <w:pPr>
              <w:rPr>
                <w:rFonts w:ascii="Times New Roman"/>
                <w:sz w:val="24"/>
                <w:szCs w:val="24"/>
              </w:rPr>
            </w:pPr>
            <w:r w:rsidRPr="008F0A34">
              <w:rPr>
                <w:rFonts w:ascii="Times New Roman"/>
                <w:sz w:val="24"/>
                <w:szCs w:val="24"/>
              </w:rPr>
              <w:t>17.2</w:t>
            </w:r>
          </w:p>
        </w:tc>
        <w:tc>
          <w:tcPr>
            <w:tcW w:w="850" w:type="dxa"/>
            <w:tcBorders>
              <w:left w:val="nil"/>
              <w:bottom w:val="nil"/>
              <w:right w:val="nil"/>
            </w:tcBorders>
          </w:tcPr>
          <w:p w14:paraId="4A291210" w14:textId="77777777" w:rsidR="00D400F4" w:rsidRDefault="00D400F4" w:rsidP="001E2549">
            <w:pPr>
              <w:rPr>
                <w:rFonts w:ascii="Times New Roman"/>
                <w:b/>
                <w:sz w:val="24"/>
                <w:szCs w:val="24"/>
              </w:rPr>
            </w:pPr>
          </w:p>
        </w:tc>
        <w:tc>
          <w:tcPr>
            <w:tcW w:w="1105" w:type="dxa"/>
            <w:tcBorders>
              <w:left w:val="nil"/>
              <w:bottom w:val="nil"/>
              <w:right w:val="nil"/>
            </w:tcBorders>
          </w:tcPr>
          <w:p w14:paraId="24A6C4B5" w14:textId="77777777" w:rsidR="00D400F4" w:rsidRDefault="00D400F4" w:rsidP="001E2549">
            <w:pPr>
              <w:rPr>
                <w:rFonts w:ascii="Times New Roman"/>
                <w:b/>
                <w:sz w:val="24"/>
                <w:szCs w:val="24"/>
              </w:rPr>
            </w:pPr>
          </w:p>
        </w:tc>
      </w:tr>
      <w:tr w:rsidR="00D400F4" w:rsidRPr="00AF6A0B" w14:paraId="41303FCC" w14:textId="77777777" w:rsidTr="001E2549">
        <w:trPr>
          <w:trHeight w:val="264"/>
          <w:jc w:val="center"/>
        </w:trPr>
        <w:tc>
          <w:tcPr>
            <w:tcW w:w="3794" w:type="dxa"/>
            <w:tcBorders>
              <w:top w:val="nil"/>
              <w:left w:val="nil"/>
              <w:bottom w:val="nil"/>
              <w:right w:val="nil"/>
            </w:tcBorders>
          </w:tcPr>
          <w:p w14:paraId="081ADF37" w14:textId="77777777" w:rsidR="00D400F4" w:rsidRPr="00FD5502" w:rsidRDefault="00D400F4" w:rsidP="001E2549">
            <w:pPr>
              <w:rPr>
                <w:rFonts w:ascii="Times New Roman"/>
                <w:sz w:val="24"/>
                <w:szCs w:val="24"/>
              </w:rPr>
            </w:pPr>
            <w:r w:rsidRPr="00FD5502">
              <w:rPr>
                <w:rFonts w:ascii="Times New Roman"/>
                <w:sz w:val="24"/>
                <w:szCs w:val="24"/>
              </w:rPr>
              <w:t>Lower middle</w:t>
            </w:r>
            <w:r>
              <w:rPr>
                <w:rFonts w:ascii="Times New Roman"/>
                <w:sz w:val="24"/>
                <w:szCs w:val="24"/>
              </w:rPr>
              <w:t xml:space="preserve"> class (%)</w:t>
            </w:r>
          </w:p>
        </w:tc>
        <w:tc>
          <w:tcPr>
            <w:tcW w:w="1424" w:type="dxa"/>
            <w:tcBorders>
              <w:top w:val="nil"/>
              <w:left w:val="nil"/>
              <w:bottom w:val="nil"/>
              <w:right w:val="nil"/>
            </w:tcBorders>
          </w:tcPr>
          <w:p w14:paraId="09F1F67C" w14:textId="77777777" w:rsidR="00D400F4" w:rsidRPr="008F0A34" w:rsidRDefault="00D400F4" w:rsidP="001E2549">
            <w:pPr>
              <w:rPr>
                <w:rFonts w:ascii="Times New Roman"/>
                <w:sz w:val="24"/>
                <w:szCs w:val="24"/>
              </w:rPr>
            </w:pPr>
            <w:r w:rsidRPr="008F0A34">
              <w:rPr>
                <w:rFonts w:ascii="Times New Roman"/>
                <w:sz w:val="24"/>
                <w:szCs w:val="24"/>
              </w:rPr>
              <w:t>22.8</w:t>
            </w:r>
          </w:p>
        </w:tc>
        <w:tc>
          <w:tcPr>
            <w:tcW w:w="851" w:type="dxa"/>
            <w:tcBorders>
              <w:top w:val="nil"/>
              <w:left w:val="nil"/>
              <w:bottom w:val="nil"/>
              <w:right w:val="nil"/>
            </w:tcBorders>
          </w:tcPr>
          <w:p w14:paraId="22899AB0" w14:textId="77777777" w:rsidR="00D400F4" w:rsidRPr="008F0A34" w:rsidRDefault="00D400F4" w:rsidP="001E2549">
            <w:pPr>
              <w:rPr>
                <w:rFonts w:ascii="Times New Roman"/>
                <w:sz w:val="24"/>
                <w:szCs w:val="24"/>
              </w:rPr>
            </w:pPr>
          </w:p>
        </w:tc>
        <w:tc>
          <w:tcPr>
            <w:tcW w:w="1559" w:type="dxa"/>
            <w:tcBorders>
              <w:top w:val="nil"/>
              <w:left w:val="nil"/>
              <w:bottom w:val="nil"/>
              <w:right w:val="nil"/>
            </w:tcBorders>
          </w:tcPr>
          <w:p w14:paraId="140008CA" w14:textId="77777777" w:rsidR="00D400F4" w:rsidRPr="008F0A34" w:rsidRDefault="00D400F4" w:rsidP="001E2549">
            <w:pPr>
              <w:rPr>
                <w:rFonts w:ascii="Times New Roman"/>
                <w:sz w:val="24"/>
                <w:szCs w:val="24"/>
              </w:rPr>
            </w:pPr>
            <w:r w:rsidRPr="008F0A34">
              <w:rPr>
                <w:rFonts w:ascii="Times New Roman"/>
                <w:sz w:val="24"/>
                <w:szCs w:val="24"/>
              </w:rPr>
              <w:t>22.2</w:t>
            </w:r>
          </w:p>
        </w:tc>
        <w:tc>
          <w:tcPr>
            <w:tcW w:w="850" w:type="dxa"/>
            <w:tcBorders>
              <w:top w:val="nil"/>
              <w:left w:val="nil"/>
              <w:bottom w:val="nil"/>
              <w:right w:val="nil"/>
            </w:tcBorders>
          </w:tcPr>
          <w:p w14:paraId="605DDF5C" w14:textId="77777777" w:rsidR="00D400F4" w:rsidRDefault="00D400F4" w:rsidP="001E2549">
            <w:pPr>
              <w:rPr>
                <w:rFonts w:ascii="Times New Roman"/>
                <w:b/>
                <w:sz w:val="24"/>
                <w:szCs w:val="24"/>
              </w:rPr>
            </w:pPr>
          </w:p>
        </w:tc>
        <w:tc>
          <w:tcPr>
            <w:tcW w:w="1105" w:type="dxa"/>
            <w:tcBorders>
              <w:top w:val="nil"/>
              <w:left w:val="nil"/>
              <w:bottom w:val="nil"/>
              <w:right w:val="nil"/>
            </w:tcBorders>
          </w:tcPr>
          <w:p w14:paraId="0C4EAC2F" w14:textId="77777777" w:rsidR="00D400F4" w:rsidRDefault="00D400F4" w:rsidP="001E2549">
            <w:pPr>
              <w:rPr>
                <w:rFonts w:ascii="Times New Roman"/>
                <w:b/>
                <w:sz w:val="24"/>
                <w:szCs w:val="24"/>
              </w:rPr>
            </w:pPr>
          </w:p>
        </w:tc>
      </w:tr>
      <w:tr w:rsidR="00D400F4" w:rsidRPr="00AF6A0B" w14:paraId="7D609DF4" w14:textId="77777777" w:rsidTr="001E2549">
        <w:trPr>
          <w:trHeight w:val="264"/>
          <w:jc w:val="center"/>
        </w:trPr>
        <w:tc>
          <w:tcPr>
            <w:tcW w:w="3794" w:type="dxa"/>
            <w:tcBorders>
              <w:top w:val="nil"/>
              <w:left w:val="nil"/>
              <w:bottom w:val="single" w:sz="4" w:space="0" w:color="auto"/>
              <w:right w:val="nil"/>
            </w:tcBorders>
          </w:tcPr>
          <w:p w14:paraId="730C3BD7" w14:textId="77777777" w:rsidR="00D400F4" w:rsidRPr="00FD5502" w:rsidRDefault="00D400F4" w:rsidP="001E2549">
            <w:pPr>
              <w:rPr>
                <w:rFonts w:ascii="Times New Roman"/>
                <w:sz w:val="24"/>
                <w:szCs w:val="24"/>
              </w:rPr>
            </w:pPr>
            <w:r w:rsidRPr="00FD5502">
              <w:rPr>
                <w:rFonts w:ascii="Times New Roman"/>
                <w:sz w:val="24"/>
                <w:szCs w:val="24"/>
              </w:rPr>
              <w:t>Manual worker</w:t>
            </w:r>
            <w:r>
              <w:rPr>
                <w:rFonts w:ascii="Times New Roman"/>
                <w:sz w:val="24"/>
                <w:szCs w:val="24"/>
              </w:rPr>
              <w:t xml:space="preserve"> (%)</w:t>
            </w:r>
          </w:p>
        </w:tc>
        <w:tc>
          <w:tcPr>
            <w:tcW w:w="1424" w:type="dxa"/>
            <w:tcBorders>
              <w:top w:val="nil"/>
              <w:left w:val="nil"/>
              <w:bottom w:val="single" w:sz="4" w:space="0" w:color="auto"/>
              <w:right w:val="nil"/>
            </w:tcBorders>
          </w:tcPr>
          <w:p w14:paraId="376092EE" w14:textId="77777777" w:rsidR="00D400F4" w:rsidRPr="008F0A34" w:rsidRDefault="00D400F4" w:rsidP="001E2549">
            <w:pPr>
              <w:rPr>
                <w:rFonts w:ascii="Times New Roman"/>
                <w:sz w:val="24"/>
                <w:szCs w:val="24"/>
              </w:rPr>
            </w:pPr>
            <w:r w:rsidRPr="008F0A34">
              <w:rPr>
                <w:rFonts w:ascii="Times New Roman"/>
                <w:sz w:val="24"/>
                <w:szCs w:val="24"/>
              </w:rPr>
              <w:t>54.9</w:t>
            </w:r>
          </w:p>
        </w:tc>
        <w:tc>
          <w:tcPr>
            <w:tcW w:w="851" w:type="dxa"/>
            <w:tcBorders>
              <w:top w:val="nil"/>
              <w:left w:val="nil"/>
              <w:bottom w:val="single" w:sz="4" w:space="0" w:color="auto"/>
              <w:right w:val="nil"/>
            </w:tcBorders>
          </w:tcPr>
          <w:p w14:paraId="0EF176A0" w14:textId="77777777" w:rsidR="00D400F4" w:rsidRPr="008F0A34" w:rsidRDefault="00D400F4" w:rsidP="001E2549">
            <w:pPr>
              <w:rPr>
                <w:rFonts w:ascii="Times New Roman"/>
                <w:sz w:val="24"/>
                <w:szCs w:val="24"/>
              </w:rPr>
            </w:pPr>
          </w:p>
        </w:tc>
        <w:tc>
          <w:tcPr>
            <w:tcW w:w="1559" w:type="dxa"/>
            <w:tcBorders>
              <w:top w:val="nil"/>
              <w:left w:val="nil"/>
              <w:bottom w:val="single" w:sz="4" w:space="0" w:color="auto"/>
              <w:right w:val="nil"/>
            </w:tcBorders>
          </w:tcPr>
          <w:p w14:paraId="60609A83" w14:textId="77777777" w:rsidR="00D400F4" w:rsidRPr="008F0A34" w:rsidRDefault="00D400F4" w:rsidP="001E2549">
            <w:pPr>
              <w:rPr>
                <w:rFonts w:ascii="Times New Roman"/>
                <w:sz w:val="24"/>
                <w:szCs w:val="24"/>
              </w:rPr>
            </w:pPr>
            <w:r w:rsidRPr="008F0A34">
              <w:rPr>
                <w:rFonts w:ascii="Times New Roman"/>
                <w:sz w:val="24"/>
                <w:szCs w:val="24"/>
              </w:rPr>
              <w:t>60.7</w:t>
            </w:r>
          </w:p>
        </w:tc>
        <w:tc>
          <w:tcPr>
            <w:tcW w:w="850" w:type="dxa"/>
            <w:tcBorders>
              <w:top w:val="nil"/>
              <w:left w:val="nil"/>
              <w:bottom w:val="single" w:sz="4" w:space="0" w:color="auto"/>
              <w:right w:val="nil"/>
            </w:tcBorders>
          </w:tcPr>
          <w:p w14:paraId="75146AE1" w14:textId="77777777" w:rsidR="00D400F4" w:rsidRDefault="00D400F4" w:rsidP="001E2549">
            <w:pPr>
              <w:rPr>
                <w:rFonts w:ascii="Times New Roman"/>
                <w:b/>
                <w:sz w:val="24"/>
                <w:szCs w:val="24"/>
              </w:rPr>
            </w:pPr>
          </w:p>
        </w:tc>
        <w:tc>
          <w:tcPr>
            <w:tcW w:w="1105" w:type="dxa"/>
            <w:tcBorders>
              <w:top w:val="nil"/>
              <w:left w:val="nil"/>
              <w:bottom w:val="single" w:sz="4" w:space="0" w:color="auto"/>
              <w:right w:val="nil"/>
            </w:tcBorders>
          </w:tcPr>
          <w:p w14:paraId="2B552B08" w14:textId="77777777" w:rsidR="00D400F4" w:rsidRDefault="00D400F4" w:rsidP="001E2549">
            <w:pPr>
              <w:rPr>
                <w:rFonts w:ascii="Times New Roman"/>
                <w:b/>
                <w:sz w:val="24"/>
                <w:szCs w:val="24"/>
              </w:rPr>
            </w:pPr>
          </w:p>
        </w:tc>
      </w:tr>
      <w:tr w:rsidR="00D400F4" w:rsidRPr="00AF6A0B" w14:paraId="72D6E8D6" w14:textId="77777777" w:rsidTr="001E2549">
        <w:trPr>
          <w:trHeight w:val="264"/>
          <w:jc w:val="center"/>
        </w:trPr>
        <w:tc>
          <w:tcPr>
            <w:tcW w:w="8478" w:type="dxa"/>
            <w:gridSpan w:val="5"/>
            <w:tcBorders>
              <w:left w:val="nil"/>
              <w:bottom w:val="single" w:sz="4" w:space="0" w:color="auto"/>
              <w:right w:val="nil"/>
            </w:tcBorders>
          </w:tcPr>
          <w:p w14:paraId="7E98A7DA" w14:textId="77777777" w:rsidR="00D400F4" w:rsidRPr="00EE65E3" w:rsidRDefault="00D400F4" w:rsidP="001E2549">
            <w:pPr>
              <w:rPr>
                <w:rFonts w:ascii="Times New Roman"/>
                <w:sz w:val="24"/>
                <w:szCs w:val="24"/>
              </w:rPr>
            </w:pPr>
            <w:r>
              <w:rPr>
                <w:rFonts w:ascii="Times New Roman"/>
                <w:sz w:val="24"/>
                <w:szCs w:val="24"/>
              </w:rPr>
              <w:t>BMI</w:t>
            </w:r>
            <w:r w:rsidRPr="00EE65E3">
              <w:rPr>
                <w:rFonts w:ascii="Times New Roman"/>
                <w:sz w:val="24"/>
                <w:szCs w:val="24"/>
              </w:rPr>
              <w:t xml:space="preserve"> rebound</w:t>
            </w:r>
            <w:r>
              <w:rPr>
                <w:rFonts w:ascii="Times New Roman"/>
                <w:sz w:val="24"/>
                <w:szCs w:val="24"/>
              </w:rPr>
              <w:t xml:space="preserve"> (n=1078)</w:t>
            </w:r>
          </w:p>
        </w:tc>
        <w:tc>
          <w:tcPr>
            <w:tcW w:w="1105" w:type="dxa"/>
            <w:tcBorders>
              <w:left w:val="nil"/>
              <w:bottom w:val="single" w:sz="4" w:space="0" w:color="auto"/>
              <w:right w:val="nil"/>
            </w:tcBorders>
          </w:tcPr>
          <w:p w14:paraId="416C4D1B" w14:textId="2BB14352" w:rsidR="00D400F4" w:rsidRPr="00EE65E3" w:rsidRDefault="0024735B" w:rsidP="001E2549">
            <w:pPr>
              <w:jc w:val="center"/>
              <w:rPr>
                <w:rFonts w:ascii="Times New Roman"/>
                <w:sz w:val="24"/>
                <w:szCs w:val="24"/>
              </w:rPr>
            </w:pPr>
            <w:r>
              <w:rPr>
                <w:rFonts w:ascii="Times New Roman"/>
                <w:sz w:val="24"/>
                <w:szCs w:val="24"/>
              </w:rPr>
              <w:t>0</w:t>
            </w:r>
            <w:r w:rsidR="00D400F4">
              <w:rPr>
                <w:rFonts w:ascii="Times New Roman"/>
                <w:sz w:val="24"/>
                <w:szCs w:val="24"/>
              </w:rPr>
              <w:t>.03</w:t>
            </w:r>
          </w:p>
        </w:tc>
      </w:tr>
      <w:tr w:rsidR="00D400F4" w:rsidRPr="00AF6A0B" w14:paraId="5CAF5836" w14:textId="77777777" w:rsidTr="001E2549">
        <w:trPr>
          <w:trHeight w:val="264"/>
          <w:jc w:val="center"/>
        </w:trPr>
        <w:tc>
          <w:tcPr>
            <w:tcW w:w="3794" w:type="dxa"/>
            <w:tcBorders>
              <w:left w:val="nil"/>
              <w:bottom w:val="nil"/>
              <w:right w:val="nil"/>
            </w:tcBorders>
          </w:tcPr>
          <w:p w14:paraId="39AF4664" w14:textId="77777777" w:rsidR="00D400F4" w:rsidRPr="00EE65E3" w:rsidRDefault="00D400F4" w:rsidP="001E2549">
            <w:pPr>
              <w:rPr>
                <w:rFonts w:ascii="Times New Roman"/>
                <w:sz w:val="24"/>
                <w:szCs w:val="24"/>
              </w:rPr>
            </w:pPr>
            <w:r>
              <w:rPr>
                <w:rFonts w:ascii="Times New Roman"/>
                <w:sz w:val="24"/>
                <w:szCs w:val="24"/>
              </w:rPr>
              <w:t>&lt;5 years (%)</w:t>
            </w:r>
          </w:p>
        </w:tc>
        <w:tc>
          <w:tcPr>
            <w:tcW w:w="1424" w:type="dxa"/>
            <w:tcBorders>
              <w:left w:val="nil"/>
              <w:bottom w:val="nil"/>
              <w:right w:val="nil"/>
            </w:tcBorders>
          </w:tcPr>
          <w:p w14:paraId="142C2C7E" w14:textId="77777777" w:rsidR="00D400F4" w:rsidRPr="00EE65E3" w:rsidRDefault="00D400F4" w:rsidP="001E2549">
            <w:pPr>
              <w:rPr>
                <w:rFonts w:ascii="Times New Roman"/>
                <w:sz w:val="24"/>
                <w:szCs w:val="24"/>
              </w:rPr>
            </w:pPr>
            <w:r>
              <w:rPr>
                <w:rFonts w:ascii="Times New Roman"/>
                <w:sz w:val="24"/>
                <w:szCs w:val="24"/>
              </w:rPr>
              <w:t>15.2</w:t>
            </w:r>
          </w:p>
        </w:tc>
        <w:tc>
          <w:tcPr>
            <w:tcW w:w="851" w:type="dxa"/>
            <w:tcBorders>
              <w:left w:val="nil"/>
              <w:bottom w:val="nil"/>
              <w:right w:val="nil"/>
            </w:tcBorders>
          </w:tcPr>
          <w:p w14:paraId="7DB3A028" w14:textId="77777777" w:rsidR="00D400F4" w:rsidRPr="00EE65E3" w:rsidRDefault="00D400F4" w:rsidP="001E2549">
            <w:pPr>
              <w:rPr>
                <w:rFonts w:ascii="Times New Roman"/>
                <w:sz w:val="24"/>
                <w:szCs w:val="24"/>
              </w:rPr>
            </w:pPr>
          </w:p>
        </w:tc>
        <w:tc>
          <w:tcPr>
            <w:tcW w:w="1559" w:type="dxa"/>
            <w:tcBorders>
              <w:left w:val="nil"/>
              <w:bottom w:val="nil"/>
              <w:right w:val="nil"/>
            </w:tcBorders>
          </w:tcPr>
          <w:p w14:paraId="6F141C2F" w14:textId="77777777" w:rsidR="00D400F4" w:rsidRPr="00EE65E3" w:rsidRDefault="00D400F4" w:rsidP="001E2549">
            <w:pPr>
              <w:rPr>
                <w:rFonts w:ascii="Times New Roman"/>
                <w:sz w:val="24"/>
                <w:szCs w:val="24"/>
              </w:rPr>
            </w:pPr>
            <w:r>
              <w:rPr>
                <w:rFonts w:ascii="Times New Roman"/>
                <w:sz w:val="24"/>
                <w:szCs w:val="24"/>
              </w:rPr>
              <w:t>21.4</w:t>
            </w:r>
          </w:p>
        </w:tc>
        <w:tc>
          <w:tcPr>
            <w:tcW w:w="850" w:type="dxa"/>
            <w:tcBorders>
              <w:left w:val="nil"/>
              <w:bottom w:val="nil"/>
              <w:right w:val="nil"/>
            </w:tcBorders>
          </w:tcPr>
          <w:p w14:paraId="718A2870" w14:textId="77777777" w:rsidR="00D400F4" w:rsidRPr="00EE65E3" w:rsidRDefault="00D400F4" w:rsidP="001E2549">
            <w:pPr>
              <w:rPr>
                <w:rFonts w:ascii="Times New Roman"/>
                <w:sz w:val="24"/>
                <w:szCs w:val="24"/>
              </w:rPr>
            </w:pPr>
          </w:p>
        </w:tc>
        <w:tc>
          <w:tcPr>
            <w:tcW w:w="1105" w:type="dxa"/>
            <w:tcBorders>
              <w:left w:val="nil"/>
              <w:bottom w:val="nil"/>
              <w:right w:val="nil"/>
            </w:tcBorders>
          </w:tcPr>
          <w:p w14:paraId="5C3E4A25" w14:textId="77777777" w:rsidR="00D400F4" w:rsidRPr="00EE65E3" w:rsidRDefault="00D400F4" w:rsidP="001E2549">
            <w:pPr>
              <w:rPr>
                <w:rFonts w:ascii="Times New Roman"/>
                <w:sz w:val="24"/>
                <w:szCs w:val="24"/>
              </w:rPr>
            </w:pPr>
          </w:p>
        </w:tc>
      </w:tr>
      <w:tr w:rsidR="00D400F4" w:rsidRPr="00AF6A0B" w14:paraId="01C54716" w14:textId="77777777" w:rsidTr="001E2549">
        <w:trPr>
          <w:trHeight w:val="264"/>
          <w:jc w:val="center"/>
        </w:trPr>
        <w:tc>
          <w:tcPr>
            <w:tcW w:w="3794" w:type="dxa"/>
            <w:tcBorders>
              <w:top w:val="nil"/>
              <w:left w:val="nil"/>
              <w:bottom w:val="nil"/>
              <w:right w:val="nil"/>
            </w:tcBorders>
          </w:tcPr>
          <w:p w14:paraId="4DD8099A" w14:textId="77777777" w:rsidR="00D400F4" w:rsidRPr="00EE65E3" w:rsidRDefault="00D400F4" w:rsidP="001E2549">
            <w:pPr>
              <w:rPr>
                <w:rFonts w:ascii="Times New Roman"/>
                <w:sz w:val="24"/>
                <w:szCs w:val="24"/>
              </w:rPr>
            </w:pPr>
            <w:r>
              <w:rPr>
                <w:rFonts w:ascii="Times New Roman"/>
                <w:sz w:val="24"/>
                <w:szCs w:val="24"/>
              </w:rPr>
              <w:t>5-6.9 years (%)</w:t>
            </w:r>
          </w:p>
        </w:tc>
        <w:tc>
          <w:tcPr>
            <w:tcW w:w="1424" w:type="dxa"/>
            <w:tcBorders>
              <w:top w:val="nil"/>
              <w:left w:val="nil"/>
              <w:bottom w:val="nil"/>
              <w:right w:val="nil"/>
            </w:tcBorders>
          </w:tcPr>
          <w:p w14:paraId="73F527B1" w14:textId="77777777" w:rsidR="00D400F4" w:rsidRPr="00EE65E3" w:rsidRDefault="00D400F4" w:rsidP="001E2549">
            <w:pPr>
              <w:rPr>
                <w:rFonts w:ascii="Times New Roman"/>
                <w:sz w:val="24"/>
                <w:szCs w:val="24"/>
              </w:rPr>
            </w:pPr>
            <w:r>
              <w:rPr>
                <w:rFonts w:ascii="Times New Roman"/>
                <w:sz w:val="24"/>
                <w:szCs w:val="24"/>
              </w:rPr>
              <w:t>33.9</w:t>
            </w:r>
          </w:p>
        </w:tc>
        <w:tc>
          <w:tcPr>
            <w:tcW w:w="851" w:type="dxa"/>
            <w:tcBorders>
              <w:top w:val="nil"/>
              <w:left w:val="nil"/>
              <w:bottom w:val="nil"/>
              <w:right w:val="nil"/>
            </w:tcBorders>
          </w:tcPr>
          <w:p w14:paraId="1F00ADD5" w14:textId="77777777" w:rsidR="00D400F4" w:rsidRPr="00EE65E3" w:rsidRDefault="00D400F4" w:rsidP="001E2549">
            <w:pPr>
              <w:rPr>
                <w:rFonts w:ascii="Times New Roman"/>
                <w:sz w:val="24"/>
                <w:szCs w:val="24"/>
              </w:rPr>
            </w:pPr>
          </w:p>
        </w:tc>
        <w:tc>
          <w:tcPr>
            <w:tcW w:w="1559" w:type="dxa"/>
            <w:tcBorders>
              <w:top w:val="nil"/>
              <w:left w:val="nil"/>
              <w:bottom w:val="nil"/>
              <w:right w:val="nil"/>
            </w:tcBorders>
          </w:tcPr>
          <w:p w14:paraId="78199A05" w14:textId="77777777" w:rsidR="00D400F4" w:rsidRPr="00EE65E3" w:rsidRDefault="00D400F4" w:rsidP="001E2549">
            <w:pPr>
              <w:rPr>
                <w:rFonts w:ascii="Times New Roman"/>
                <w:sz w:val="24"/>
                <w:szCs w:val="24"/>
              </w:rPr>
            </w:pPr>
            <w:r>
              <w:rPr>
                <w:rFonts w:ascii="Times New Roman"/>
                <w:sz w:val="24"/>
                <w:szCs w:val="24"/>
              </w:rPr>
              <w:t>29.5</w:t>
            </w:r>
          </w:p>
        </w:tc>
        <w:tc>
          <w:tcPr>
            <w:tcW w:w="850" w:type="dxa"/>
            <w:tcBorders>
              <w:top w:val="nil"/>
              <w:left w:val="nil"/>
              <w:bottom w:val="nil"/>
              <w:right w:val="nil"/>
            </w:tcBorders>
          </w:tcPr>
          <w:p w14:paraId="0936A343" w14:textId="77777777" w:rsidR="00D400F4" w:rsidRPr="00EE65E3" w:rsidRDefault="00D400F4" w:rsidP="001E2549">
            <w:pPr>
              <w:rPr>
                <w:rFonts w:ascii="Times New Roman"/>
                <w:sz w:val="24"/>
                <w:szCs w:val="24"/>
              </w:rPr>
            </w:pPr>
          </w:p>
        </w:tc>
        <w:tc>
          <w:tcPr>
            <w:tcW w:w="1105" w:type="dxa"/>
            <w:tcBorders>
              <w:top w:val="nil"/>
              <w:left w:val="nil"/>
              <w:bottom w:val="nil"/>
              <w:right w:val="nil"/>
            </w:tcBorders>
          </w:tcPr>
          <w:p w14:paraId="1021F51E" w14:textId="77777777" w:rsidR="00D400F4" w:rsidRPr="00EE65E3" w:rsidRDefault="00D400F4" w:rsidP="001E2549">
            <w:pPr>
              <w:rPr>
                <w:rFonts w:ascii="Times New Roman"/>
                <w:sz w:val="24"/>
                <w:szCs w:val="24"/>
              </w:rPr>
            </w:pPr>
          </w:p>
        </w:tc>
      </w:tr>
      <w:tr w:rsidR="00D400F4" w:rsidRPr="00AF6A0B" w14:paraId="27E43858" w14:textId="77777777" w:rsidTr="001E2549">
        <w:trPr>
          <w:trHeight w:val="264"/>
          <w:jc w:val="center"/>
        </w:trPr>
        <w:tc>
          <w:tcPr>
            <w:tcW w:w="3794" w:type="dxa"/>
            <w:tcBorders>
              <w:top w:val="nil"/>
              <w:left w:val="nil"/>
              <w:bottom w:val="single" w:sz="4" w:space="0" w:color="auto"/>
              <w:right w:val="nil"/>
            </w:tcBorders>
          </w:tcPr>
          <w:p w14:paraId="0844B98A" w14:textId="77777777" w:rsidR="00D400F4" w:rsidRPr="00EE65E3" w:rsidRDefault="00D400F4" w:rsidP="001E2549">
            <w:pPr>
              <w:rPr>
                <w:rFonts w:ascii="Times New Roman"/>
                <w:sz w:val="24"/>
                <w:szCs w:val="24"/>
              </w:rPr>
            </w:pPr>
            <w:r>
              <w:rPr>
                <w:rFonts w:ascii="Times New Roman"/>
                <w:sz w:val="24"/>
                <w:szCs w:val="24"/>
              </w:rPr>
              <w:t>≥7 years (%)</w:t>
            </w:r>
          </w:p>
        </w:tc>
        <w:tc>
          <w:tcPr>
            <w:tcW w:w="1424" w:type="dxa"/>
            <w:tcBorders>
              <w:top w:val="nil"/>
              <w:left w:val="nil"/>
              <w:bottom w:val="single" w:sz="4" w:space="0" w:color="auto"/>
              <w:right w:val="nil"/>
            </w:tcBorders>
          </w:tcPr>
          <w:p w14:paraId="4F8E8C7F" w14:textId="77777777" w:rsidR="00D400F4" w:rsidRPr="00EE65E3" w:rsidRDefault="00D400F4" w:rsidP="001E2549">
            <w:pPr>
              <w:rPr>
                <w:rFonts w:ascii="Times New Roman"/>
                <w:sz w:val="24"/>
                <w:szCs w:val="24"/>
              </w:rPr>
            </w:pPr>
            <w:r>
              <w:rPr>
                <w:rFonts w:ascii="Times New Roman"/>
                <w:sz w:val="24"/>
                <w:szCs w:val="24"/>
              </w:rPr>
              <w:t>50.9</w:t>
            </w:r>
          </w:p>
        </w:tc>
        <w:tc>
          <w:tcPr>
            <w:tcW w:w="851" w:type="dxa"/>
            <w:tcBorders>
              <w:top w:val="nil"/>
              <w:left w:val="nil"/>
              <w:bottom w:val="single" w:sz="4" w:space="0" w:color="auto"/>
              <w:right w:val="nil"/>
            </w:tcBorders>
          </w:tcPr>
          <w:p w14:paraId="2AB0B8CC" w14:textId="77777777" w:rsidR="00D400F4" w:rsidRPr="00EE65E3" w:rsidRDefault="00D400F4" w:rsidP="001E2549">
            <w:pPr>
              <w:rPr>
                <w:rFonts w:ascii="Times New Roman"/>
                <w:sz w:val="24"/>
                <w:szCs w:val="24"/>
              </w:rPr>
            </w:pPr>
          </w:p>
        </w:tc>
        <w:tc>
          <w:tcPr>
            <w:tcW w:w="1559" w:type="dxa"/>
            <w:tcBorders>
              <w:top w:val="nil"/>
              <w:left w:val="nil"/>
              <w:bottom w:val="single" w:sz="4" w:space="0" w:color="auto"/>
              <w:right w:val="nil"/>
            </w:tcBorders>
          </w:tcPr>
          <w:p w14:paraId="58AE3E67" w14:textId="77777777" w:rsidR="00D400F4" w:rsidRPr="00EE65E3" w:rsidRDefault="00D400F4" w:rsidP="001E2549">
            <w:pPr>
              <w:rPr>
                <w:rFonts w:ascii="Times New Roman"/>
                <w:sz w:val="24"/>
                <w:szCs w:val="24"/>
              </w:rPr>
            </w:pPr>
            <w:r>
              <w:rPr>
                <w:rFonts w:ascii="Times New Roman"/>
                <w:sz w:val="24"/>
                <w:szCs w:val="24"/>
              </w:rPr>
              <w:t>49.1</w:t>
            </w:r>
          </w:p>
        </w:tc>
        <w:tc>
          <w:tcPr>
            <w:tcW w:w="850" w:type="dxa"/>
            <w:tcBorders>
              <w:top w:val="nil"/>
              <w:left w:val="nil"/>
              <w:bottom w:val="single" w:sz="4" w:space="0" w:color="auto"/>
              <w:right w:val="nil"/>
            </w:tcBorders>
          </w:tcPr>
          <w:p w14:paraId="2F9CDC85" w14:textId="77777777" w:rsidR="00D400F4" w:rsidRPr="00EE65E3" w:rsidRDefault="00D400F4" w:rsidP="001E2549">
            <w:pPr>
              <w:rPr>
                <w:rFonts w:ascii="Times New Roman"/>
                <w:sz w:val="24"/>
                <w:szCs w:val="24"/>
              </w:rPr>
            </w:pPr>
          </w:p>
        </w:tc>
        <w:tc>
          <w:tcPr>
            <w:tcW w:w="1105" w:type="dxa"/>
            <w:tcBorders>
              <w:top w:val="nil"/>
              <w:left w:val="nil"/>
              <w:bottom w:val="single" w:sz="4" w:space="0" w:color="auto"/>
              <w:right w:val="nil"/>
            </w:tcBorders>
          </w:tcPr>
          <w:p w14:paraId="2FC4B1C2" w14:textId="77777777" w:rsidR="00D400F4" w:rsidRPr="00EE65E3" w:rsidRDefault="00D400F4" w:rsidP="001E2549">
            <w:pPr>
              <w:rPr>
                <w:rFonts w:ascii="Times New Roman"/>
                <w:sz w:val="24"/>
                <w:szCs w:val="24"/>
              </w:rPr>
            </w:pPr>
          </w:p>
        </w:tc>
      </w:tr>
      <w:tr w:rsidR="00D400F4" w:rsidRPr="00AF6A0B" w14:paraId="6531F9E4" w14:textId="77777777" w:rsidTr="001E2549">
        <w:trPr>
          <w:trHeight w:val="264"/>
          <w:jc w:val="center"/>
        </w:trPr>
        <w:tc>
          <w:tcPr>
            <w:tcW w:w="9583" w:type="dxa"/>
            <w:gridSpan w:val="6"/>
            <w:tcBorders>
              <w:left w:val="nil"/>
              <w:bottom w:val="single" w:sz="4" w:space="0" w:color="auto"/>
              <w:right w:val="nil"/>
            </w:tcBorders>
          </w:tcPr>
          <w:p w14:paraId="79524BC7" w14:textId="56FD2EDF" w:rsidR="00D400F4" w:rsidRDefault="00D400F4" w:rsidP="001E2549">
            <w:pPr>
              <w:rPr>
                <w:rFonts w:ascii="Times New Roman"/>
                <w:b/>
                <w:sz w:val="24"/>
                <w:szCs w:val="24"/>
              </w:rPr>
            </w:pPr>
            <w:r>
              <w:rPr>
                <w:rFonts w:ascii="Times New Roman"/>
                <w:b/>
                <w:sz w:val="24"/>
                <w:szCs w:val="24"/>
              </w:rPr>
              <w:t>Adulthood characteristics</w:t>
            </w:r>
            <w:r w:rsidR="00192BEA">
              <w:rPr>
                <w:rFonts w:ascii="Times New Roman"/>
                <w:b/>
                <w:sz w:val="24"/>
                <w:szCs w:val="24"/>
              </w:rPr>
              <w:t xml:space="preserve"> at the mean age of 61 years</w:t>
            </w:r>
          </w:p>
        </w:tc>
      </w:tr>
      <w:tr w:rsidR="00D400F4" w:rsidRPr="00AF6A0B" w14:paraId="1800F969" w14:textId="77777777" w:rsidTr="001E2549">
        <w:trPr>
          <w:trHeight w:val="264"/>
          <w:jc w:val="center"/>
        </w:trPr>
        <w:tc>
          <w:tcPr>
            <w:tcW w:w="3794" w:type="dxa"/>
            <w:tcBorders>
              <w:top w:val="nil"/>
              <w:left w:val="nil"/>
              <w:bottom w:val="nil"/>
              <w:right w:val="nil"/>
            </w:tcBorders>
          </w:tcPr>
          <w:p w14:paraId="4D232AFB" w14:textId="77777777" w:rsidR="00D400F4" w:rsidRPr="00FD5502" w:rsidRDefault="00D400F4" w:rsidP="001E2549">
            <w:pPr>
              <w:rPr>
                <w:rFonts w:ascii="Times New Roman"/>
                <w:sz w:val="24"/>
                <w:szCs w:val="24"/>
              </w:rPr>
            </w:pPr>
            <w:r w:rsidRPr="00FD5502">
              <w:rPr>
                <w:rFonts w:ascii="Times New Roman"/>
                <w:sz w:val="24"/>
                <w:szCs w:val="24"/>
              </w:rPr>
              <w:t>Height (cm)</w:t>
            </w:r>
          </w:p>
        </w:tc>
        <w:tc>
          <w:tcPr>
            <w:tcW w:w="1424" w:type="dxa"/>
            <w:tcBorders>
              <w:top w:val="nil"/>
              <w:left w:val="nil"/>
              <w:bottom w:val="nil"/>
              <w:right w:val="nil"/>
            </w:tcBorders>
          </w:tcPr>
          <w:p w14:paraId="5934ADEF" w14:textId="77777777" w:rsidR="00D400F4" w:rsidRPr="008F0A34" w:rsidRDefault="00D400F4" w:rsidP="001E2549">
            <w:pPr>
              <w:rPr>
                <w:rFonts w:ascii="Times New Roman"/>
                <w:sz w:val="24"/>
                <w:szCs w:val="24"/>
              </w:rPr>
            </w:pPr>
            <w:r w:rsidRPr="008F0A34">
              <w:rPr>
                <w:rFonts w:ascii="Times New Roman"/>
                <w:sz w:val="24"/>
                <w:szCs w:val="24"/>
              </w:rPr>
              <w:t>176.2 (6.0)</w:t>
            </w:r>
          </w:p>
        </w:tc>
        <w:tc>
          <w:tcPr>
            <w:tcW w:w="851" w:type="dxa"/>
            <w:tcBorders>
              <w:top w:val="nil"/>
              <w:left w:val="nil"/>
              <w:bottom w:val="nil"/>
              <w:right w:val="nil"/>
            </w:tcBorders>
          </w:tcPr>
          <w:p w14:paraId="55017FFE" w14:textId="77777777" w:rsidR="00D400F4" w:rsidRPr="008F0A34" w:rsidRDefault="00D400F4" w:rsidP="001E2549">
            <w:pPr>
              <w:rPr>
                <w:rFonts w:ascii="Times New Roman"/>
                <w:sz w:val="24"/>
                <w:szCs w:val="24"/>
              </w:rPr>
            </w:pPr>
            <w:r w:rsidRPr="008F0A34">
              <w:rPr>
                <w:rFonts w:ascii="Times New Roman"/>
                <w:sz w:val="24"/>
                <w:szCs w:val="24"/>
              </w:rPr>
              <w:t>468</w:t>
            </w:r>
          </w:p>
        </w:tc>
        <w:tc>
          <w:tcPr>
            <w:tcW w:w="1559" w:type="dxa"/>
            <w:tcBorders>
              <w:top w:val="nil"/>
              <w:left w:val="nil"/>
              <w:bottom w:val="nil"/>
              <w:right w:val="nil"/>
            </w:tcBorders>
          </w:tcPr>
          <w:p w14:paraId="359808C5" w14:textId="77777777" w:rsidR="00D400F4" w:rsidRPr="008F0A34" w:rsidRDefault="00D400F4" w:rsidP="001E2549">
            <w:pPr>
              <w:rPr>
                <w:rFonts w:ascii="Times New Roman"/>
                <w:sz w:val="24"/>
                <w:szCs w:val="24"/>
              </w:rPr>
            </w:pPr>
            <w:r w:rsidRPr="008F0A34">
              <w:rPr>
                <w:rFonts w:ascii="Times New Roman"/>
                <w:sz w:val="24"/>
                <w:szCs w:val="24"/>
              </w:rPr>
              <w:t>162.3 (5.7)</w:t>
            </w:r>
          </w:p>
        </w:tc>
        <w:tc>
          <w:tcPr>
            <w:tcW w:w="850" w:type="dxa"/>
            <w:tcBorders>
              <w:top w:val="nil"/>
              <w:left w:val="nil"/>
              <w:bottom w:val="nil"/>
              <w:right w:val="nil"/>
            </w:tcBorders>
          </w:tcPr>
          <w:p w14:paraId="24952AB6" w14:textId="77777777" w:rsidR="00D400F4" w:rsidRPr="008F0A34" w:rsidRDefault="00D400F4" w:rsidP="001E2549">
            <w:pPr>
              <w:rPr>
                <w:rFonts w:ascii="Times New Roman"/>
                <w:sz w:val="24"/>
                <w:szCs w:val="24"/>
              </w:rPr>
            </w:pPr>
            <w:r w:rsidRPr="008F0A34">
              <w:rPr>
                <w:rFonts w:ascii="Times New Roman"/>
                <w:sz w:val="24"/>
                <w:szCs w:val="24"/>
              </w:rPr>
              <w:t>598</w:t>
            </w:r>
          </w:p>
        </w:tc>
        <w:tc>
          <w:tcPr>
            <w:tcW w:w="1105" w:type="dxa"/>
            <w:tcBorders>
              <w:top w:val="nil"/>
              <w:left w:val="nil"/>
              <w:bottom w:val="nil"/>
              <w:right w:val="nil"/>
            </w:tcBorders>
          </w:tcPr>
          <w:p w14:paraId="099443FD" w14:textId="01AD1B76" w:rsidR="00D400F4" w:rsidRPr="008F0A34" w:rsidRDefault="00D400F4" w:rsidP="001E2549">
            <w:pPr>
              <w:jc w:val="center"/>
              <w:rPr>
                <w:rFonts w:ascii="Times New Roman"/>
                <w:sz w:val="24"/>
                <w:szCs w:val="24"/>
              </w:rPr>
            </w:pPr>
            <w:r>
              <w:rPr>
                <w:rFonts w:ascii="Times New Roman"/>
                <w:sz w:val="24"/>
                <w:szCs w:val="24"/>
              </w:rPr>
              <w:t>&lt;</w:t>
            </w:r>
            <w:r w:rsidR="0024735B">
              <w:rPr>
                <w:rFonts w:ascii="Times New Roman"/>
                <w:sz w:val="24"/>
                <w:szCs w:val="24"/>
              </w:rPr>
              <w:t>0</w:t>
            </w:r>
            <w:r>
              <w:rPr>
                <w:rFonts w:ascii="Times New Roman"/>
                <w:sz w:val="24"/>
                <w:szCs w:val="24"/>
              </w:rPr>
              <w:t>.001</w:t>
            </w:r>
          </w:p>
        </w:tc>
      </w:tr>
      <w:tr w:rsidR="00D400F4" w:rsidRPr="00AF6A0B" w14:paraId="2B95DC4F" w14:textId="77777777" w:rsidTr="001E2549">
        <w:trPr>
          <w:trHeight w:val="264"/>
          <w:jc w:val="center"/>
        </w:trPr>
        <w:tc>
          <w:tcPr>
            <w:tcW w:w="3794" w:type="dxa"/>
            <w:tcBorders>
              <w:top w:val="nil"/>
              <w:left w:val="nil"/>
              <w:bottom w:val="nil"/>
              <w:right w:val="nil"/>
            </w:tcBorders>
          </w:tcPr>
          <w:p w14:paraId="786CE2F8" w14:textId="77777777" w:rsidR="00D400F4" w:rsidRPr="00FD5502" w:rsidRDefault="00D400F4" w:rsidP="001E2549">
            <w:pPr>
              <w:rPr>
                <w:rFonts w:ascii="Times New Roman"/>
                <w:sz w:val="24"/>
                <w:szCs w:val="24"/>
              </w:rPr>
            </w:pPr>
            <w:r w:rsidRPr="00FD5502">
              <w:rPr>
                <w:rFonts w:ascii="Times New Roman"/>
                <w:sz w:val="24"/>
                <w:szCs w:val="24"/>
              </w:rPr>
              <w:t>Weight (kg)</w:t>
            </w:r>
          </w:p>
        </w:tc>
        <w:tc>
          <w:tcPr>
            <w:tcW w:w="1424" w:type="dxa"/>
            <w:tcBorders>
              <w:top w:val="nil"/>
              <w:left w:val="nil"/>
              <w:bottom w:val="nil"/>
              <w:right w:val="nil"/>
            </w:tcBorders>
          </w:tcPr>
          <w:p w14:paraId="044C3C48" w14:textId="77777777" w:rsidR="00D400F4" w:rsidRPr="008F0A34" w:rsidRDefault="00D400F4" w:rsidP="001E2549">
            <w:pPr>
              <w:rPr>
                <w:rFonts w:ascii="Times New Roman"/>
                <w:sz w:val="24"/>
                <w:szCs w:val="24"/>
              </w:rPr>
            </w:pPr>
            <w:r w:rsidRPr="008F0A34">
              <w:rPr>
                <w:rFonts w:ascii="Times New Roman"/>
                <w:sz w:val="24"/>
                <w:szCs w:val="24"/>
              </w:rPr>
              <w:t>83.3 (13.0)</w:t>
            </w:r>
          </w:p>
        </w:tc>
        <w:tc>
          <w:tcPr>
            <w:tcW w:w="851" w:type="dxa"/>
            <w:tcBorders>
              <w:top w:val="nil"/>
              <w:left w:val="nil"/>
              <w:bottom w:val="nil"/>
              <w:right w:val="nil"/>
            </w:tcBorders>
          </w:tcPr>
          <w:p w14:paraId="7BB1571E" w14:textId="77777777" w:rsidR="00D400F4" w:rsidRPr="008F0A34" w:rsidRDefault="00D400F4" w:rsidP="001E2549">
            <w:pPr>
              <w:rPr>
                <w:rFonts w:ascii="Times New Roman"/>
                <w:sz w:val="24"/>
                <w:szCs w:val="24"/>
              </w:rPr>
            </w:pPr>
            <w:r w:rsidRPr="008F0A34">
              <w:rPr>
                <w:rFonts w:ascii="Times New Roman"/>
                <w:sz w:val="24"/>
                <w:szCs w:val="24"/>
              </w:rPr>
              <w:t>468</w:t>
            </w:r>
          </w:p>
        </w:tc>
        <w:tc>
          <w:tcPr>
            <w:tcW w:w="1559" w:type="dxa"/>
            <w:tcBorders>
              <w:top w:val="nil"/>
              <w:left w:val="nil"/>
              <w:bottom w:val="nil"/>
              <w:right w:val="nil"/>
            </w:tcBorders>
          </w:tcPr>
          <w:p w14:paraId="5D68063E" w14:textId="77777777" w:rsidR="00D400F4" w:rsidRPr="008F0A34" w:rsidRDefault="00D400F4" w:rsidP="001E2549">
            <w:pPr>
              <w:rPr>
                <w:rFonts w:ascii="Times New Roman"/>
                <w:sz w:val="24"/>
                <w:szCs w:val="24"/>
              </w:rPr>
            </w:pPr>
            <w:r w:rsidRPr="008F0A34">
              <w:rPr>
                <w:rFonts w:ascii="Times New Roman"/>
                <w:sz w:val="24"/>
                <w:szCs w:val="24"/>
              </w:rPr>
              <w:t>71.7 (13.2)</w:t>
            </w:r>
          </w:p>
        </w:tc>
        <w:tc>
          <w:tcPr>
            <w:tcW w:w="850" w:type="dxa"/>
            <w:tcBorders>
              <w:top w:val="nil"/>
              <w:left w:val="nil"/>
              <w:bottom w:val="nil"/>
              <w:right w:val="nil"/>
            </w:tcBorders>
          </w:tcPr>
          <w:p w14:paraId="7AC46B89" w14:textId="77777777" w:rsidR="00D400F4" w:rsidRPr="008F0A34" w:rsidRDefault="00D400F4" w:rsidP="001E2549">
            <w:pPr>
              <w:rPr>
                <w:rFonts w:ascii="Times New Roman"/>
                <w:sz w:val="24"/>
                <w:szCs w:val="24"/>
              </w:rPr>
            </w:pPr>
            <w:r w:rsidRPr="008F0A34">
              <w:rPr>
                <w:rFonts w:ascii="Times New Roman"/>
                <w:sz w:val="24"/>
                <w:szCs w:val="24"/>
              </w:rPr>
              <w:t>598</w:t>
            </w:r>
          </w:p>
        </w:tc>
        <w:tc>
          <w:tcPr>
            <w:tcW w:w="1105" w:type="dxa"/>
            <w:tcBorders>
              <w:top w:val="nil"/>
              <w:left w:val="nil"/>
              <w:bottom w:val="nil"/>
              <w:right w:val="nil"/>
            </w:tcBorders>
          </w:tcPr>
          <w:p w14:paraId="5C5E6001" w14:textId="13B9DC4A" w:rsidR="00D400F4" w:rsidRPr="008F0A34" w:rsidRDefault="00D400F4" w:rsidP="001E2549">
            <w:pPr>
              <w:jc w:val="center"/>
              <w:rPr>
                <w:rFonts w:ascii="Times New Roman"/>
                <w:sz w:val="24"/>
                <w:szCs w:val="24"/>
              </w:rPr>
            </w:pPr>
            <w:r>
              <w:rPr>
                <w:rFonts w:ascii="Times New Roman"/>
                <w:sz w:val="24"/>
                <w:szCs w:val="24"/>
              </w:rPr>
              <w:t>&lt;</w:t>
            </w:r>
            <w:r w:rsidR="0024735B">
              <w:rPr>
                <w:rFonts w:ascii="Times New Roman"/>
                <w:sz w:val="24"/>
                <w:szCs w:val="24"/>
              </w:rPr>
              <w:t>0</w:t>
            </w:r>
            <w:r>
              <w:rPr>
                <w:rFonts w:ascii="Times New Roman"/>
                <w:sz w:val="24"/>
                <w:szCs w:val="24"/>
              </w:rPr>
              <w:t>.001</w:t>
            </w:r>
          </w:p>
        </w:tc>
      </w:tr>
      <w:tr w:rsidR="00D400F4" w:rsidRPr="00AF6A0B" w14:paraId="5C3C7DAB" w14:textId="77777777" w:rsidTr="001E2549">
        <w:trPr>
          <w:trHeight w:val="264"/>
          <w:jc w:val="center"/>
        </w:trPr>
        <w:tc>
          <w:tcPr>
            <w:tcW w:w="3794" w:type="dxa"/>
            <w:tcBorders>
              <w:top w:val="nil"/>
              <w:left w:val="nil"/>
              <w:bottom w:val="nil"/>
              <w:right w:val="nil"/>
            </w:tcBorders>
          </w:tcPr>
          <w:p w14:paraId="2F31834A" w14:textId="77777777" w:rsidR="00D400F4" w:rsidRPr="00FD5502" w:rsidRDefault="00D400F4" w:rsidP="001E2549">
            <w:pPr>
              <w:rPr>
                <w:rFonts w:ascii="Times New Roman"/>
                <w:sz w:val="24"/>
                <w:szCs w:val="24"/>
              </w:rPr>
            </w:pPr>
            <w:r w:rsidRPr="00FD5502">
              <w:rPr>
                <w:rFonts w:ascii="Times New Roman"/>
                <w:sz w:val="24"/>
                <w:szCs w:val="24"/>
              </w:rPr>
              <w:t>Body mass index (kg/m</w:t>
            </w:r>
            <w:r w:rsidRPr="00FD5502">
              <w:rPr>
                <w:rFonts w:ascii="Times New Roman"/>
                <w:sz w:val="24"/>
                <w:szCs w:val="24"/>
                <w:vertAlign w:val="superscript"/>
              </w:rPr>
              <w:t>2</w:t>
            </w:r>
            <w:r w:rsidRPr="00FD5502">
              <w:rPr>
                <w:rFonts w:ascii="Times New Roman"/>
                <w:sz w:val="24"/>
                <w:szCs w:val="24"/>
              </w:rPr>
              <w:t>)</w:t>
            </w:r>
          </w:p>
        </w:tc>
        <w:tc>
          <w:tcPr>
            <w:tcW w:w="1424" w:type="dxa"/>
            <w:tcBorders>
              <w:top w:val="nil"/>
              <w:left w:val="nil"/>
              <w:bottom w:val="nil"/>
              <w:right w:val="nil"/>
            </w:tcBorders>
          </w:tcPr>
          <w:p w14:paraId="19867764" w14:textId="77777777" w:rsidR="00D400F4" w:rsidRPr="008F0A34" w:rsidRDefault="00D400F4" w:rsidP="001E2549">
            <w:pPr>
              <w:rPr>
                <w:rFonts w:ascii="Times New Roman"/>
                <w:sz w:val="24"/>
                <w:szCs w:val="24"/>
              </w:rPr>
            </w:pPr>
            <w:r w:rsidRPr="008F0A34">
              <w:rPr>
                <w:rFonts w:ascii="Times New Roman"/>
                <w:sz w:val="24"/>
                <w:szCs w:val="24"/>
              </w:rPr>
              <w:t>26.8 (3.8)</w:t>
            </w:r>
          </w:p>
        </w:tc>
        <w:tc>
          <w:tcPr>
            <w:tcW w:w="851" w:type="dxa"/>
            <w:tcBorders>
              <w:top w:val="nil"/>
              <w:left w:val="nil"/>
              <w:bottom w:val="nil"/>
              <w:right w:val="nil"/>
            </w:tcBorders>
          </w:tcPr>
          <w:p w14:paraId="569EF212" w14:textId="77777777" w:rsidR="00D400F4" w:rsidRPr="008F0A34" w:rsidRDefault="00D400F4" w:rsidP="001E2549">
            <w:pPr>
              <w:rPr>
                <w:rFonts w:ascii="Times New Roman"/>
                <w:sz w:val="24"/>
                <w:szCs w:val="24"/>
              </w:rPr>
            </w:pPr>
            <w:r w:rsidRPr="008F0A34">
              <w:rPr>
                <w:rFonts w:ascii="Times New Roman"/>
                <w:sz w:val="24"/>
                <w:szCs w:val="24"/>
              </w:rPr>
              <w:t>468</w:t>
            </w:r>
          </w:p>
        </w:tc>
        <w:tc>
          <w:tcPr>
            <w:tcW w:w="1559" w:type="dxa"/>
            <w:tcBorders>
              <w:top w:val="nil"/>
              <w:left w:val="nil"/>
              <w:bottom w:val="nil"/>
              <w:right w:val="nil"/>
            </w:tcBorders>
          </w:tcPr>
          <w:p w14:paraId="2AB985F7" w14:textId="77777777" w:rsidR="00D400F4" w:rsidRPr="008F0A34" w:rsidRDefault="00D400F4" w:rsidP="001E2549">
            <w:pPr>
              <w:rPr>
                <w:rFonts w:ascii="Times New Roman"/>
                <w:sz w:val="24"/>
                <w:szCs w:val="24"/>
              </w:rPr>
            </w:pPr>
            <w:r w:rsidRPr="008F0A34">
              <w:rPr>
                <w:rFonts w:ascii="Times New Roman"/>
                <w:sz w:val="24"/>
                <w:szCs w:val="24"/>
              </w:rPr>
              <w:t>27.3 (5.0)</w:t>
            </w:r>
          </w:p>
        </w:tc>
        <w:tc>
          <w:tcPr>
            <w:tcW w:w="850" w:type="dxa"/>
            <w:tcBorders>
              <w:top w:val="nil"/>
              <w:left w:val="nil"/>
              <w:bottom w:val="nil"/>
              <w:right w:val="nil"/>
            </w:tcBorders>
          </w:tcPr>
          <w:p w14:paraId="2A551E03" w14:textId="77777777" w:rsidR="00D400F4" w:rsidRPr="008F0A34" w:rsidRDefault="00D400F4" w:rsidP="001E2549">
            <w:pPr>
              <w:rPr>
                <w:rFonts w:ascii="Times New Roman"/>
                <w:sz w:val="24"/>
                <w:szCs w:val="24"/>
              </w:rPr>
            </w:pPr>
            <w:r w:rsidRPr="008F0A34">
              <w:rPr>
                <w:rFonts w:ascii="Times New Roman"/>
                <w:sz w:val="24"/>
                <w:szCs w:val="24"/>
              </w:rPr>
              <w:t>598</w:t>
            </w:r>
          </w:p>
        </w:tc>
        <w:tc>
          <w:tcPr>
            <w:tcW w:w="1105" w:type="dxa"/>
            <w:tcBorders>
              <w:top w:val="nil"/>
              <w:left w:val="nil"/>
              <w:bottom w:val="nil"/>
              <w:right w:val="nil"/>
            </w:tcBorders>
          </w:tcPr>
          <w:p w14:paraId="1E6D254B" w14:textId="78A708DB" w:rsidR="00D400F4" w:rsidRPr="008F0A34" w:rsidRDefault="0024735B" w:rsidP="001E2549">
            <w:pPr>
              <w:jc w:val="center"/>
              <w:rPr>
                <w:rFonts w:ascii="Times New Roman"/>
                <w:sz w:val="24"/>
                <w:szCs w:val="24"/>
              </w:rPr>
            </w:pPr>
            <w:r>
              <w:rPr>
                <w:rFonts w:ascii="Times New Roman"/>
                <w:sz w:val="24"/>
                <w:szCs w:val="24"/>
              </w:rPr>
              <w:t>0</w:t>
            </w:r>
            <w:r w:rsidR="00D400F4">
              <w:rPr>
                <w:rFonts w:ascii="Times New Roman"/>
                <w:sz w:val="24"/>
                <w:szCs w:val="24"/>
              </w:rPr>
              <w:t>.44</w:t>
            </w:r>
          </w:p>
        </w:tc>
      </w:tr>
      <w:tr w:rsidR="00D400F4" w:rsidRPr="00AF6A0B" w14:paraId="68633D0C" w14:textId="77777777" w:rsidTr="001E2549">
        <w:trPr>
          <w:trHeight w:val="264"/>
          <w:jc w:val="center"/>
        </w:trPr>
        <w:tc>
          <w:tcPr>
            <w:tcW w:w="3794" w:type="dxa"/>
            <w:tcBorders>
              <w:top w:val="nil"/>
              <w:left w:val="nil"/>
              <w:bottom w:val="nil"/>
              <w:right w:val="nil"/>
            </w:tcBorders>
          </w:tcPr>
          <w:p w14:paraId="17ADF7A5" w14:textId="77777777" w:rsidR="00D400F4" w:rsidRPr="00FD5502" w:rsidRDefault="00D400F4" w:rsidP="001E2549">
            <w:pPr>
              <w:rPr>
                <w:rFonts w:ascii="Times New Roman"/>
                <w:sz w:val="24"/>
                <w:szCs w:val="24"/>
              </w:rPr>
            </w:pPr>
            <w:r w:rsidRPr="00FD5502">
              <w:rPr>
                <w:rFonts w:ascii="Times New Roman"/>
                <w:sz w:val="24"/>
                <w:szCs w:val="24"/>
              </w:rPr>
              <w:t>Current smoker (%)</w:t>
            </w:r>
          </w:p>
        </w:tc>
        <w:tc>
          <w:tcPr>
            <w:tcW w:w="1424" w:type="dxa"/>
            <w:tcBorders>
              <w:top w:val="nil"/>
              <w:left w:val="nil"/>
              <w:bottom w:val="nil"/>
              <w:right w:val="nil"/>
            </w:tcBorders>
          </w:tcPr>
          <w:p w14:paraId="08022559" w14:textId="77777777" w:rsidR="00D400F4" w:rsidRPr="008F0A34" w:rsidRDefault="00D400F4" w:rsidP="001E2549">
            <w:pPr>
              <w:rPr>
                <w:rFonts w:ascii="Times New Roman"/>
                <w:sz w:val="24"/>
                <w:szCs w:val="24"/>
              </w:rPr>
            </w:pPr>
            <w:r w:rsidRPr="008F0A34">
              <w:rPr>
                <w:rFonts w:ascii="Times New Roman"/>
                <w:sz w:val="24"/>
                <w:szCs w:val="24"/>
              </w:rPr>
              <w:t>20.8</w:t>
            </w:r>
          </w:p>
        </w:tc>
        <w:tc>
          <w:tcPr>
            <w:tcW w:w="851" w:type="dxa"/>
            <w:tcBorders>
              <w:top w:val="nil"/>
              <w:left w:val="nil"/>
              <w:bottom w:val="nil"/>
              <w:right w:val="nil"/>
            </w:tcBorders>
          </w:tcPr>
          <w:p w14:paraId="555F87D8" w14:textId="77777777" w:rsidR="00D400F4" w:rsidRPr="008F0A34" w:rsidRDefault="00D400F4" w:rsidP="001E2549">
            <w:pPr>
              <w:rPr>
                <w:rFonts w:ascii="Times New Roman"/>
                <w:sz w:val="24"/>
                <w:szCs w:val="24"/>
              </w:rPr>
            </w:pPr>
            <w:r w:rsidRPr="008F0A34">
              <w:rPr>
                <w:rFonts w:ascii="Times New Roman"/>
                <w:sz w:val="24"/>
                <w:szCs w:val="24"/>
              </w:rPr>
              <w:t>471</w:t>
            </w:r>
          </w:p>
        </w:tc>
        <w:tc>
          <w:tcPr>
            <w:tcW w:w="1559" w:type="dxa"/>
            <w:tcBorders>
              <w:top w:val="nil"/>
              <w:left w:val="nil"/>
              <w:bottom w:val="nil"/>
              <w:right w:val="nil"/>
            </w:tcBorders>
          </w:tcPr>
          <w:p w14:paraId="4CEB525E" w14:textId="77777777" w:rsidR="00D400F4" w:rsidRPr="008F0A34" w:rsidRDefault="00D400F4" w:rsidP="001E2549">
            <w:pPr>
              <w:rPr>
                <w:rFonts w:ascii="Times New Roman"/>
                <w:sz w:val="24"/>
                <w:szCs w:val="24"/>
              </w:rPr>
            </w:pPr>
            <w:r w:rsidRPr="008F0A34">
              <w:rPr>
                <w:rFonts w:ascii="Times New Roman"/>
                <w:sz w:val="24"/>
                <w:szCs w:val="24"/>
              </w:rPr>
              <w:t>17.8</w:t>
            </w:r>
          </w:p>
        </w:tc>
        <w:tc>
          <w:tcPr>
            <w:tcW w:w="850" w:type="dxa"/>
            <w:tcBorders>
              <w:top w:val="nil"/>
              <w:left w:val="nil"/>
              <w:bottom w:val="nil"/>
              <w:right w:val="nil"/>
            </w:tcBorders>
          </w:tcPr>
          <w:p w14:paraId="7AC3C560" w14:textId="77777777" w:rsidR="00D400F4" w:rsidRPr="008F0A34" w:rsidRDefault="00D400F4" w:rsidP="001E2549">
            <w:pPr>
              <w:rPr>
                <w:rFonts w:ascii="Times New Roman"/>
                <w:sz w:val="24"/>
                <w:szCs w:val="24"/>
              </w:rPr>
            </w:pPr>
            <w:r w:rsidRPr="008F0A34">
              <w:rPr>
                <w:rFonts w:ascii="Times New Roman"/>
                <w:sz w:val="24"/>
                <w:szCs w:val="24"/>
              </w:rPr>
              <w:t>600</w:t>
            </w:r>
          </w:p>
        </w:tc>
        <w:tc>
          <w:tcPr>
            <w:tcW w:w="1105" w:type="dxa"/>
            <w:tcBorders>
              <w:top w:val="nil"/>
              <w:left w:val="nil"/>
              <w:bottom w:val="nil"/>
              <w:right w:val="nil"/>
            </w:tcBorders>
          </w:tcPr>
          <w:p w14:paraId="4377DCED" w14:textId="070829AD" w:rsidR="00D400F4" w:rsidRPr="008F0A34" w:rsidRDefault="00D400F4" w:rsidP="001E2549">
            <w:pPr>
              <w:jc w:val="center"/>
              <w:rPr>
                <w:rFonts w:ascii="Times New Roman"/>
                <w:sz w:val="24"/>
                <w:szCs w:val="24"/>
              </w:rPr>
            </w:pPr>
            <w:r>
              <w:rPr>
                <w:rFonts w:ascii="Times New Roman"/>
                <w:sz w:val="24"/>
                <w:szCs w:val="24"/>
              </w:rPr>
              <w:t>&lt;</w:t>
            </w:r>
            <w:r w:rsidR="0024735B">
              <w:rPr>
                <w:rFonts w:ascii="Times New Roman"/>
                <w:sz w:val="24"/>
                <w:szCs w:val="24"/>
              </w:rPr>
              <w:t>0</w:t>
            </w:r>
            <w:r>
              <w:rPr>
                <w:rFonts w:ascii="Times New Roman"/>
                <w:sz w:val="24"/>
                <w:szCs w:val="24"/>
              </w:rPr>
              <w:t>.001</w:t>
            </w:r>
          </w:p>
        </w:tc>
      </w:tr>
      <w:tr w:rsidR="00D400F4" w:rsidRPr="00AF6A0B" w14:paraId="75A4895B" w14:textId="77777777" w:rsidTr="001E2549">
        <w:trPr>
          <w:trHeight w:val="264"/>
          <w:jc w:val="center"/>
        </w:trPr>
        <w:tc>
          <w:tcPr>
            <w:tcW w:w="3794" w:type="dxa"/>
            <w:tcBorders>
              <w:top w:val="nil"/>
              <w:left w:val="nil"/>
              <w:bottom w:val="nil"/>
              <w:right w:val="nil"/>
            </w:tcBorders>
          </w:tcPr>
          <w:p w14:paraId="4229E41B" w14:textId="77777777" w:rsidR="00D400F4" w:rsidRPr="00FD5502" w:rsidRDefault="00D400F4" w:rsidP="001E2549">
            <w:pPr>
              <w:rPr>
                <w:rFonts w:ascii="Times New Roman"/>
                <w:sz w:val="24"/>
                <w:szCs w:val="24"/>
              </w:rPr>
            </w:pPr>
            <w:r w:rsidRPr="00FD5502">
              <w:rPr>
                <w:rFonts w:ascii="Times New Roman"/>
                <w:sz w:val="24"/>
                <w:szCs w:val="24"/>
              </w:rPr>
              <w:t>Hypertensi</w:t>
            </w:r>
            <w:r>
              <w:rPr>
                <w:rFonts w:ascii="Times New Roman"/>
                <w:sz w:val="24"/>
                <w:szCs w:val="24"/>
              </w:rPr>
              <w:t>on</w:t>
            </w:r>
            <w:r w:rsidRPr="00FD5502">
              <w:rPr>
                <w:rFonts w:ascii="Times New Roman"/>
                <w:sz w:val="24"/>
                <w:szCs w:val="24"/>
              </w:rPr>
              <w:t xml:space="preserve"> (%)</w:t>
            </w:r>
          </w:p>
        </w:tc>
        <w:tc>
          <w:tcPr>
            <w:tcW w:w="1424" w:type="dxa"/>
            <w:tcBorders>
              <w:top w:val="nil"/>
              <w:left w:val="nil"/>
              <w:bottom w:val="nil"/>
              <w:right w:val="nil"/>
            </w:tcBorders>
          </w:tcPr>
          <w:p w14:paraId="5C20A51E" w14:textId="77777777" w:rsidR="00D400F4" w:rsidRPr="008F0A34" w:rsidRDefault="00D400F4" w:rsidP="001E2549">
            <w:pPr>
              <w:rPr>
                <w:rFonts w:ascii="Times New Roman"/>
                <w:sz w:val="24"/>
                <w:szCs w:val="24"/>
              </w:rPr>
            </w:pPr>
            <w:r w:rsidRPr="008F0A34">
              <w:rPr>
                <w:rFonts w:ascii="Times New Roman"/>
                <w:sz w:val="24"/>
                <w:szCs w:val="24"/>
              </w:rPr>
              <w:t>32.1</w:t>
            </w:r>
          </w:p>
        </w:tc>
        <w:tc>
          <w:tcPr>
            <w:tcW w:w="851" w:type="dxa"/>
            <w:tcBorders>
              <w:top w:val="nil"/>
              <w:left w:val="nil"/>
              <w:bottom w:val="nil"/>
              <w:right w:val="nil"/>
            </w:tcBorders>
          </w:tcPr>
          <w:p w14:paraId="6B6B4A69" w14:textId="77777777" w:rsidR="00D400F4" w:rsidRPr="008F0A34" w:rsidRDefault="00D400F4" w:rsidP="001E2549">
            <w:pPr>
              <w:rPr>
                <w:rFonts w:ascii="Times New Roman"/>
                <w:sz w:val="24"/>
                <w:szCs w:val="24"/>
              </w:rPr>
            </w:pPr>
            <w:r w:rsidRPr="008F0A34">
              <w:rPr>
                <w:rFonts w:ascii="Times New Roman"/>
                <w:sz w:val="24"/>
                <w:szCs w:val="24"/>
              </w:rPr>
              <w:t>473</w:t>
            </w:r>
          </w:p>
        </w:tc>
        <w:tc>
          <w:tcPr>
            <w:tcW w:w="1559" w:type="dxa"/>
            <w:tcBorders>
              <w:top w:val="nil"/>
              <w:left w:val="nil"/>
              <w:bottom w:val="nil"/>
              <w:right w:val="nil"/>
            </w:tcBorders>
          </w:tcPr>
          <w:p w14:paraId="0E12882C" w14:textId="77777777" w:rsidR="00D400F4" w:rsidRPr="008F0A34" w:rsidRDefault="00D400F4" w:rsidP="001E2549">
            <w:pPr>
              <w:rPr>
                <w:rFonts w:ascii="Times New Roman"/>
                <w:sz w:val="24"/>
                <w:szCs w:val="24"/>
              </w:rPr>
            </w:pPr>
            <w:r w:rsidRPr="008F0A34">
              <w:rPr>
                <w:rFonts w:ascii="Times New Roman"/>
                <w:sz w:val="24"/>
                <w:szCs w:val="24"/>
              </w:rPr>
              <w:t>31.6</w:t>
            </w:r>
          </w:p>
        </w:tc>
        <w:tc>
          <w:tcPr>
            <w:tcW w:w="850" w:type="dxa"/>
            <w:tcBorders>
              <w:top w:val="nil"/>
              <w:left w:val="nil"/>
              <w:bottom w:val="nil"/>
              <w:right w:val="nil"/>
            </w:tcBorders>
          </w:tcPr>
          <w:p w14:paraId="77FEB45B" w14:textId="77777777" w:rsidR="00D400F4" w:rsidRPr="008F0A34" w:rsidRDefault="00D400F4" w:rsidP="001E2549">
            <w:pPr>
              <w:rPr>
                <w:rFonts w:ascii="Times New Roman"/>
                <w:sz w:val="24"/>
                <w:szCs w:val="24"/>
              </w:rPr>
            </w:pPr>
            <w:r w:rsidRPr="008F0A34">
              <w:rPr>
                <w:rFonts w:ascii="Times New Roman"/>
                <w:sz w:val="24"/>
                <w:szCs w:val="24"/>
              </w:rPr>
              <w:t>602</w:t>
            </w:r>
          </w:p>
        </w:tc>
        <w:tc>
          <w:tcPr>
            <w:tcW w:w="1105" w:type="dxa"/>
            <w:tcBorders>
              <w:top w:val="nil"/>
              <w:left w:val="nil"/>
              <w:bottom w:val="nil"/>
              <w:right w:val="nil"/>
            </w:tcBorders>
          </w:tcPr>
          <w:p w14:paraId="015A05FE" w14:textId="734CB784" w:rsidR="00D400F4" w:rsidRPr="008F0A34" w:rsidRDefault="0024735B" w:rsidP="001E2549">
            <w:pPr>
              <w:jc w:val="center"/>
              <w:rPr>
                <w:rFonts w:ascii="Times New Roman"/>
                <w:sz w:val="24"/>
                <w:szCs w:val="24"/>
              </w:rPr>
            </w:pPr>
            <w:r>
              <w:rPr>
                <w:rFonts w:ascii="Times New Roman"/>
                <w:sz w:val="24"/>
                <w:szCs w:val="24"/>
              </w:rPr>
              <w:t>0</w:t>
            </w:r>
            <w:r w:rsidR="00D400F4">
              <w:rPr>
                <w:rFonts w:ascii="Times New Roman"/>
                <w:sz w:val="24"/>
                <w:szCs w:val="24"/>
              </w:rPr>
              <w:t>.84</w:t>
            </w:r>
          </w:p>
        </w:tc>
      </w:tr>
      <w:tr w:rsidR="00D400F4" w:rsidRPr="00AF6A0B" w14:paraId="6D25D4EA" w14:textId="77777777" w:rsidTr="001E2549">
        <w:trPr>
          <w:trHeight w:val="264"/>
          <w:jc w:val="center"/>
        </w:trPr>
        <w:tc>
          <w:tcPr>
            <w:tcW w:w="3794" w:type="dxa"/>
            <w:tcBorders>
              <w:top w:val="nil"/>
              <w:left w:val="nil"/>
              <w:bottom w:val="single" w:sz="4" w:space="0" w:color="auto"/>
              <w:right w:val="nil"/>
            </w:tcBorders>
          </w:tcPr>
          <w:p w14:paraId="44366F15" w14:textId="77777777" w:rsidR="00D400F4" w:rsidRPr="00FD5502" w:rsidRDefault="00D400F4" w:rsidP="001E2549">
            <w:pPr>
              <w:rPr>
                <w:rFonts w:ascii="Times New Roman"/>
                <w:sz w:val="24"/>
                <w:szCs w:val="24"/>
              </w:rPr>
            </w:pPr>
            <w:r w:rsidRPr="00FD5502">
              <w:rPr>
                <w:rFonts w:ascii="Times New Roman"/>
                <w:sz w:val="24"/>
                <w:szCs w:val="24"/>
              </w:rPr>
              <w:t>Diabetes (%)</w:t>
            </w:r>
          </w:p>
        </w:tc>
        <w:tc>
          <w:tcPr>
            <w:tcW w:w="1424" w:type="dxa"/>
            <w:tcBorders>
              <w:top w:val="nil"/>
              <w:left w:val="nil"/>
              <w:bottom w:val="single" w:sz="4" w:space="0" w:color="auto"/>
              <w:right w:val="nil"/>
            </w:tcBorders>
          </w:tcPr>
          <w:p w14:paraId="775043C7" w14:textId="77777777" w:rsidR="00D400F4" w:rsidRPr="008F0A34" w:rsidRDefault="00D400F4" w:rsidP="001E2549">
            <w:pPr>
              <w:rPr>
                <w:rFonts w:ascii="Times New Roman"/>
                <w:sz w:val="24"/>
                <w:szCs w:val="24"/>
              </w:rPr>
            </w:pPr>
            <w:r w:rsidRPr="008F0A34">
              <w:rPr>
                <w:rFonts w:ascii="Times New Roman"/>
                <w:sz w:val="24"/>
                <w:szCs w:val="24"/>
              </w:rPr>
              <w:t>6.8</w:t>
            </w:r>
          </w:p>
        </w:tc>
        <w:tc>
          <w:tcPr>
            <w:tcW w:w="851" w:type="dxa"/>
            <w:tcBorders>
              <w:top w:val="nil"/>
              <w:left w:val="nil"/>
              <w:bottom w:val="single" w:sz="4" w:space="0" w:color="auto"/>
              <w:right w:val="nil"/>
            </w:tcBorders>
          </w:tcPr>
          <w:p w14:paraId="5D45309D" w14:textId="77777777" w:rsidR="00D400F4" w:rsidRPr="008F0A34" w:rsidRDefault="00D400F4" w:rsidP="001E2549">
            <w:pPr>
              <w:rPr>
                <w:rFonts w:ascii="Times New Roman"/>
                <w:sz w:val="24"/>
                <w:szCs w:val="24"/>
              </w:rPr>
            </w:pPr>
            <w:r w:rsidRPr="008F0A34">
              <w:rPr>
                <w:rFonts w:ascii="Times New Roman"/>
                <w:sz w:val="24"/>
                <w:szCs w:val="24"/>
              </w:rPr>
              <w:t>473</w:t>
            </w:r>
          </w:p>
        </w:tc>
        <w:tc>
          <w:tcPr>
            <w:tcW w:w="1559" w:type="dxa"/>
            <w:tcBorders>
              <w:top w:val="nil"/>
              <w:left w:val="nil"/>
              <w:bottom w:val="single" w:sz="4" w:space="0" w:color="auto"/>
              <w:right w:val="nil"/>
            </w:tcBorders>
          </w:tcPr>
          <w:p w14:paraId="4266D2AC" w14:textId="77777777" w:rsidR="00D400F4" w:rsidRPr="008F0A34" w:rsidRDefault="00D400F4" w:rsidP="001E2549">
            <w:pPr>
              <w:rPr>
                <w:rFonts w:ascii="Times New Roman"/>
                <w:sz w:val="24"/>
                <w:szCs w:val="24"/>
              </w:rPr>
            </w:pPr>
            <w:r w:rsidRPr="008F0A34">
              <w:rPr>
                <w:rFonts w:ascii="Times New Roman"/>
                <w:sz w:val="24"/>
                <w:szCs w:val="24"/>
              </w:rPr>
              <w:t>4.0</w:t>
            </w:r>
          </w:p>
        </w:tc>
        <w:tc>
          <w:tcPr>
            <w:tcW w:w="850" w:type="dxa"/>
            <w:tcBorders>
              <w:top w:val="nil"/>
              <w:left w:val="nil"/>
              <w:bottom w:val="single" w:sz="4" w:space="0" w:color="auto"/>
              <w:right w:val="nil"/>
            </w:tcBorders>
          </w:tcPr>
          <w:p w14:paraId="7DACEFF1" w14:textId="77777777" w:rsidR="00D400F4" w:rsidRPr="008F0A34" w:rsidRDefault="00D400F4" w:rsidP="001E2549">
            <w:pPr>
              <w:rPr>
                <w:rFonts w:ascii="Times New Roman"/>
                <w:sz w:val="24"/>
                <w:szCs w:val="24"/>
              </w:rPr>
            </w:pPr>
            <w:r w:rsidRPr="008F0A34">
              <w:rPr>
                <w:rFonts w:ascii="Times New Roman"/>
                <w:sz w:val="24"/>
                <w:szCs w:val="24"/>
              </w:rPr>
              <w:t>602</w:t>
            </w:r>
          </w:p>
        </w:tc>
        <w:tc>
          <w:tcPr>
            <w:tcW w:w="1105" w:type="dxa"/>
            <w:tcBorders>
              <w:top w:val="nil"/>
              <w:left w:val="nil"/>
              <w:bottom w:val="single" w:sz="4" w:space="0" w:color="auto"/>
              <w:right w:val="nil"/>
            </w:tcBorders>
          </w:tcPr>
          <w:p w14:paraId="6E7DDA1F" w14:textId="49B0ED50" w:rsidR="00D400F4" w:rsidRPr="008F0A34" w:rsidRDefault="0024735B" w:rsidP="001E2549">
            <w:pPr>
              <w:jc w:val="center"/>
              <w:rPr>
                <w:rFonts w:ascii="Times New Roman"/>
                <w:sz w:val="24"/>
                <w:szCs w:val="24"/>
              </w:rPr>
            </w:pPr>
            <w:r>
              <w:rPr>
                <w:rFonts w:ascii="Times New Roman"/>
                <w:sz w:val="24"/>
                <w:szCs w:val="24"/>
              </w:rPr>
              <w:t>0</w:t>
            </w:r>
            <w:r w:rsidR="00D400F4">
              <w:rPr>
                <w:rFonts w:ascii="Times New Roman"/>
                <w:sz w:val="24"/>
                <w:szCs w:val="24"/>
              </w:rPr>
              <w:t>.04</w:t>
            </w:r>
          </w:p>
        </w:tc>
      </w:tr>
      <w:tr w:rsidR="00D400F4" w:rsidRPr="00AF6A0B" w14:paraId="317B0BCB" w14:textId="77777777" w:rsidTr="001E2549">
        <w:trPr>
          <w:trHeight w:val="264"/>
          <w:jc w:val="center"/>
        </w:trPr>
        <w:tc>
          <w:tcPr>
            <w:tcW w:w="8478" w:type="dxa"/>
            <w:gridSpan w:val="5"/>
            <w:tcBorders>
              <w:left w:val="nil"/>
              <w:bottom w:val="single" w:sz="4" w:space="0" w:color="auto"/>
              <w:right w:val="nil"/>
            </w:tcBorders>
          </w:tcPr>
          <w:p w14:paraId="5F66065F" w14:textId="77777777" w:rsidR="00D400F4" w:rsidRPr="00FD5502" w:rsidRDefault="00D400F4" w:rsidP="001E2549">
            <w:pPr>
              <w:rPr>
                <w:rFonts w:ascii="Times New Roman"/>
                <w:sz w:val="24"/>
                <w:szCs w:val="24"/>
              </w:rPr>
            </w:pPr>
            <w:r w:rsidRPr="00FD5502">
              <w:rPr>
                <w:rFonts w:ascii="Times New Roman"/>
                <w:sz w:val="24"/>
                <w:szCs w:val="24"/>
              </w:rPr>
              <w:t>Adulthood socio-economic status</w:t>
            </w:r>
            <w:r>
              <w:rPr>
                <w:rFonts w:ascii="Times New Roman"/>
                <w:sz w:val="24"/>
                <w:szCs w:val="24"/>
              </w:rPr>
              <w:t xml:space="preserve"> (n=1078)</w:t>
            </w:r>
          </w:p>
        </w:tc>
        <w:tc>
          <w:tcPr>
            <w:tcW w:w="1105" w:type="dxa"/>
            <w:tcBorders>
              <w:left w:val="nil"/>
              <w:bottom w:val="single" w:sz="4" w:space="0" w:color="auto"/>
              <w:right w:val="nil"/>
            </w:tcBorders>
          </w:tcPr>
          <w:p w14:paraId="680F63F8" w14:textId="54CD3EB7" w:rsidR="00D400F4" w:rsidRPr="00FD5502" w:rsidRDefault="00D400F4" w:rsidP="001E2549">
            <w:pPr>
              <w:jc w:val="center"/>
              <w:rPr>
                <w:rFonts w:ascii="Times New Roman"/>
                <w:sz w:val="24"/>
                <w:szCs w:val="24"/>
              </w:rPr>
            </w:pPr>
            <w:r>
              <w:rPr>
                <w:rFonts w:ascii="Times New Roman"/>
                <w:sz w:val="24"/>
                <w:szCs w:val="24"/>
              </w:rPr>
              <w:t>&lt;</w:t>
            </w:r>
            <w:r w:rsidR="0024735B">
              <w:rPr>
                <w:rFonts w:ascii="Times New Roman"/>
                <w:sz w:val="24"/>
                <w:szCs w:val="24"/>
              </w:rPr>
              <w:t>0</w:t>
            </w:r>
            <w:r>
              <w:rPr>
                <w:rFonts w:ascii="Times New Roman"/>
                <w:sz w:val="24"/>
                <w:szCs w:val="24"/>
              </w:rPr>
              <w:t>.001</w:t>
            </w:r>
          </w:p>
        </w:tc>
      </w:tr>
      <w:tr w:rsidR="00D400F4" w:rsidRPr="00AF6A0B" w14:paraId="13BD7FB6" w14:textId="77777777" w:rsidTr="001E2549">
        <w:trPr>
          <w:trHeight w:val="264"/>
          <w:jc w:val="center"/>
        </w:trPr>
        <w:tc>
          <w:tcPr>
            <w:tcW w:w="3794" w:type="dxa"/>
            <w:tcBorders>
              <w:left w:val="nil"/>
              <w:bottom w:val="nil"/>
              <w:right w:val="nil"/>
            </w:tcBorders>
          </w:tcPr>
          <w:p w14:paraId="58803766" w14:textId="77777777" w:rsidR="00D400F4" w:rsidRPr="008F0A34" w:rsidRDefault="00D400F4" w:rsidP="001E2549">
            <w:r w:rsidRPr="00FD5502">
              <w:rPr>
                <w:rFonts w:ascii="Times New Roman"/>
                <w:sz w:val="24"/>
                <w:szCs w:val="24"/>
              </w:rPr>
              <w:t>Upper middle class</w:t>
            </w:r>
            <w:r>
              <w:rPr>
                <w:rFonts w:ascii="Times New Roman"/>
                <w:sz w:val="24"/>
                <w:szCs w:val="24"/>
              </w:rPr>
              <w:t xml:space="preserve"> (%)</w:t>
            </w:r>
          </w:p>
        </w:tc>
        <w:tc>
          <w:tcPr>
            <w:tcW w:w="1424" w:type="dxa"/>
            <w:tcBorders>
              <w:left w:val="nil"/>
              <w:bottom w:val="nil"/>
              <w:right w:val="nil"/>
            </w:tcBorders>
          </w:tcPr>
          <w:p w14:paraId="49DA16ED" w14:textId="77777777" w:rsidR="00D400F4" w:rsidRPr="00FD5502" w:rsidRDefault="00D400F4" w:rsidP="001E2549">
            <w:pPr>
              <w:rPr>
                <w:rFonts w:ascii="Times New Roman"/>
                <w:sz w:val="24"/>
                <w:szCs w:val="24"/>
              </w:rPr>
            </w:pPr>
            <w:r>
              <w:rPr>
                <w:rFonts w:ascii="Times New Roman"/>
                <w:sz w:val="24"/>
                <w:szCs w:val="24"/>
              </w:rPr>
              <w:t>23.6</w:t>
            </w:r>
          </w:p>
        </w:tc>
        <w:tc>
          <w:tcPr>
            <w:tcW w:w="851" w:type="dxa"/>
            <w:tcBorders>
              <w:left w:val="nil"/>
              <w:bottom w:val="nil"/>
              <w:right w:val="nil"/>
            </w:tcBorders>
          </w:tcPr>
          <w:p w14:paraId="4EAE57E4" w14:textId="77777777" w:rsidR="00D400F4" w:rsidRPr="00FD5502" w:rsidRDefault="00D400F4" w:rsidP="001E2549">
            <w:pPr>
              <w:rPr>
                <w:rFonts w:ascii="Times New Roman"/>
                <w:sz w:val="24"/>
                <w:szCs w:val="24"/>
              </w:rPr>
            </w:pPr>
          </w:p>
        </w:tc>
        <w:tc>
          <w:tcPr>
            <w:tcW w:w="1559" w:type="dxa"/>
            <w:tcBorders>
              <w:left w:val="nil"/>
              <w:bottom w:val="nil"/>
              <w:right w:val="nil"/>
            </w:tcBorders>
          </w:tcPr>
          <w:p w14:paraId="116E9ED9" w14:textId="77777777" w:rsidR="00D400F4" w:rsidRPr="00FD5502" w:rsidRDefault="00D400F4" w:rsidP="001E2549">
            <w:pPr>
              <w:rPr>
                <w:rFonts w:ascii="Times New Roman"/>
                <w:sz w:val="24"/>
                <w:szCs w:val="24"/>
              </w:rPr>
            </w:pPr>
            <w:r>
              <w:rPr>
                <w:rFonts w:ascii="Times New Roman"/>
                <w:sz w:val="24"/>
                <w:szCs w:val="24"/>
              </w:rPr>
              <w:t>11.4</w:t>
            </w:r>
          </w:p>
        </w:tc>
        <w:tc>
          <w:tcPr>
            <w:tcW w:w="850" w:type="dxa"/>
            <w:tcBorders>
              <w:left w:val="nil"/>
              <w:bottom w:val="nil"/>
              <w:right w:val="nil"/>
            </w:tcBorders>
          </w:tcPr>
          <w:p w14:paraId="5BD09637" w14:textId="77777777" w:rsidR="00D400F4" w:rsidRPr="00FD5502" w:rsidRDefault="00D400F4" w:rsidP="001E2549">
            <w:pPr>
              <w:rPr>
                <w:rFonts w:ascii="Times New Roman"/>
                <w:sz w:val="24"/>
                <w:szCs w:val="24"/>
              </w:rPr>
            </w:pPr>
          </w:p>
        </w:tc>
        <w:tc>
          <w:tcPr>
            <w:tcW w:w="1105" w:type="dxa"/>
            <w:tcBorders>
              <w:left w:val="nil"/>
              <w:bottom w:val="nil"/>
              <w:right w:val="nil"/>
            </w:tcBorders>
          </w:tcPr>
          <w:p w14:paraId="6C1F9C56" w14:textId="77777777" w:rsidR="00D400F4" w:rsidRPr="00FD5502" w:rsidRDefault="00D400F4" w:rsidP="001E2549">
            <w:pPr>
              <w:jc w:val="center"/>
              <w:rPr>
                <w:rFonts w:ascii="Times New Roman"/>
                <w:sz w:val="24"/>
                <w:szCs w:val="24"/>
              </w:rPr>
            </w:pPr>
          </w:p>
        </w:tc>
      </w:tr>
      <w:tr w:rsidR="00D400F4" w:rsidRPr="00AF6A0B" w14:paraId="5AFCE601" w14:textId="77777777" w:rsidTr="001E2549">
        <w:trPr>
          <w:trHeight w:val="264"/>
          <w:jc w:val="center"/>
        </w:trPr>
        <w:tc>
          <w:tcPr>
            <w:tcW w:w="3794" w:type="dxa"/>
            <w:tcBorders>
              <w:top w:val="nil"/>
              <w:left w:val="nil"/>
              <w:bottom w:val="nil"/>
              <w:right w:val="nil"/>
            </w:tcBorders>
          </w:tcPr>
          <w:p w14:paraId="67D93551" w14:textId="77777777" w:rsidR="00D400F4" w:rsidRPr="008F0A34" w:rsidRDefault="00D400F4" w:rsidP="001E2549">
            <w:r w:rsidRPr="00FD5502">
              <w:rPr>
                <w:rFonts w:ascii="Times New Roman"/>
                <w:sz w:val="24"/>
                <w:szCs w:val="24"/>
              </w:rPr>
              <w:t>Lower middle class</w:t>
            </w:r>
            <w:r>
              <w:rPr>
                <w:rFonts w:ascii="Times New Roman"/>
                <w:sz w:val="24"/>
                <w:szCs w:val="24"/>
              </w:rPr>
              <w:t xml:space="preserve"> (%)</w:t>
            </w:r>
          </w:p>
        </w:tc>
        <w:tc>
          <w:tcPr>
            <w:tcW w:w="1424" w:type="dxa"/>
            <w:tcBorders>
              <w:top w:val="nil"/>
              <w:left w:val="nil"/>
              <w:bottom w:val="nil"/>
              <w:right w:val="nil"/>
            </w:tcBorders>
          </w:tcPr>
          <w:p w14:paraId="12DF5A37" w14:textId="77777777" w:rsidR="00D400F4" w:rsidRPr="00FD5502" w:rsidRDefault="00D400F4" w:rsidP="001E2549">
            <w:pPr>
              <w:rPr>
                <w:rFonts w:ascii="Times New Roman"/>
                <w:sz w:val="24"/>
                <w:szCs w:val="24"/>
              </w:rPr>
            </w:pPr>
            <w:r>
              <w:rPr>
                <w:rFonts w:ascii="Times New Roman"/>
                <w:sz w:val="24"/>
                <w:szCs w:val="24"/>
              </w:rPr>
              <w:t>28.0</w:t>
            </w:r>
          </w:p>
        </w:tc>
        <w:tc>
          <w:tcPr>
            <w:tcW w:w="851" w:type="dxa"/>
            <w:tcBorders>
              <w:top w:val="nil"/>
              <w:left w:val="nil"/>
              <w:bottom w:val="nil"/>
              <w:right w:val="nil"/>
            </w:tcBorders>
          </w:tcPr>
          <w:p w14:paraId="1D94B824" w14:textId="77777777" w:rsidR="00D400F4" w:rsidRPr="00FD5502" w:rsidRDefault="00D400F4" w:rsidP="001E2549">
            <w:pPr>
              <w:rPr>
                <w:rFonts w:ascii="Times New Roman"/>
                <w:sz w:val="24"/>
                <w:szCs w:val="24"/>
              </w:rPr>
            </w:pPr>
          </w:p>
        </w:tc>
        <w:tc>
          <w:tcPr>
            <w:tcW w:w="1559" w:type="dxa"/>
            <w:tcBorders>
              <w:top w:val="nil"/>
              <w:left w:val="nil"/>
              <w:bottom w:val="nil"/>
              <w:right w:val="nil"/>
            </w:tcBorders>
          </w:tcPr>
          <w:p w14:paraId="6D68ED7B" w14:textId="77777777" w:rsidR="00D400F4" w:rsidRPr="00FD5502" w:rsidRDefault="00D400F4" w:rsidP="001E2549">
            <w:pPr>
              <w:rPr>
                <w:rFonts w:ascii="Times New Roman"/>
                <w:sz w:val="24"/>
                <w:szCs w:val="24"/>
              </w:rPr>
            </w:pPr>
            <w:r>
              <w:rPr>
                <w:rFonts w:ascii="Times New Roman"/>
                <w:sz w:val="24"/>
                <w:szCs w:val="24"/>
              </w:rPr>
              <w:t>60.2</w:t>
            </w:r>
          </w:p>
        </w:tc>
        <w:tc>
          <w:tcPr>
            <w:tcW w:w="850" w:type="dxa"/>
            <w:tcBorders>
              <w:top w:val="nil"/>
              <w:left w:val="nil"/>
              <w:bottom w:val="nil"/>
              <w:right w:val="nil"/>
            </w:tcBorders>
          </w:tcPr>
          <w:p w14:paraId="6D6B6E8F" w14:textId="77777777" w:rsidR="00D400F4" w:rsidRPr="00FD5502" w:rsidRDefault="00D400F4" w:rsidP="001E2549">
            <w:pPr>
              <w:rPr>
                <w:rFonts w:ascii="Times New Roman"/>
                <w:sz w:val="24"/>
                <w:szCs w:val="24"/>
              </w:rPr>
            </w:pPr>
          </w:p>
        </w:tc>
        <w:tc>
          <w:tcPr>
            <w:tcW w:w="1105" w:type="dxa"/>
            <w:tcBorders>
              <w:top w:val="nil"/>
              <w:left w:val="nil"/>
              <w:bottom w:val="nil"/>
              <w:right w:val="nil"/>
            </w:tcBorders>
          </w:tcPr>
          <w:p w14:paraId="4D7D4CEC" w14:textId="77777777" w:rsidR="00D400F4" w:rsidRPr="00FD5502" w:rsidRDefault="00D400F4" w:rsidP="001E2549">
            <w:pPr>
              <w:jc w:val="center"/>
              <w:rPr>
                <w:rFonts w:ascii="Times New Roman"/>
                <w:sz w:val="24"/>
                <w:szCs w:val="24"/>
              </w:rPr>
            </w:pPr>
          </w:p>
        </w:tc>
      </w:tr>
      <w:tr w:rsidR="00D400F4" w:rsidRPr="00AF6A0B" w14:paraId="4B88109F" w14:textId="77777777" w:rsidTr="001E2549">
        <w:trPr>
          <w:trHeight w:val="264"/>
          <w:jc w:val="center"/>
        </w:trPr>
        <w:tc>
          <w:tcPr>
            <w:tcW w:w="3794" w:type="dxa"/>
            <w:tcBorders>
              <w:top w:val="nil"/>
              <w:left w:val="nil"/>
              <w:bottom w:val="nil"/>
              <w:right w:val="nil"/>
            </w:tcBorders>
          </w:tcPr>
          <w:p w14:paraId="3310A043" w14:textId="77777777" w:rsidR="00D400F4" w:rsidRPr="00FD5502" w:rsidRDefault="00D400F4" w:rsidP="001E2549">
            <w:pPr>
              <w:rPr>
                <w:rFonts w:ascii="Times New Roman"/>
                <w:sz w:val="24"/>
                <w:szCs w:val="24"/>
              </w:rPr>
            </w:pPr>
            <w:r w:rsidRPr="00FD5502">
              <w:rPr>
                <w:rFonts w:ascii="Times New Roman"/>
                <w:sz w:val="24"/>
                <w:szCs w:val="24"/>
              </w:rPr>
              <w:t>Self-employed</w:t>
            </w:r>
            <w:r>
              <w:rPr>
                <w:rFonts w:ascii="Times New Roman"/>
                <w:sz w:val="24"/>
                <w:szCs w:val="24"/>
              </w:rPr>
              <w:t xml:space="preserve"> (%)</w:t>
            </w:r>
          </w:p>
        </w:tc>
        <w:tc>
          <w:tcPr>
            <w:tcW w:w="1424" w:type="dxa"/>
            <w:tcBorders>
              <w:top w:val="nil"/>
              <w:left w:val="nil"/>
              <w:bottom w:val="nil"/>
              <w:right w:val="nil"/>
            </w:tcBorders>
          </w:tcPr>
          <w:p w14:paraId="1FE0F366" w14:textId="77777777" w:rsidR="00D400F4" w:rsidRPr="00FD5502" w:rsidRDefault="00D400F4" w:rsidP="001E2549">
            <w:pPr>
              <w:rPr>
                <w:rFonts w:ascii="Times New Roman"/>
                <w:sz w:val="24"/>
                <w:szCs w:val="24"/>
              </w:rPr>
            </w:pPr>
            <w:r>
              <w:rPr>
                <w:rFonts w:ascii="Times New Roman"/>
                <w:sz w:val="24"/>
                <w:szCs w:val="24"/>
              </w:rPr>
              <w:t>9.3</w:t>
            </w:r>
          </w:p>
        </w:tc>
        <w:tc>
          <w:tcPr>
            <w:tcW w:w="851" w:type="dxa"/>
            <w:tcBorders>
              <w:top w:val="nil"/>
              <w:left w:val="nil"/>
              <w:bottom w:val="nil"/>
              <w:right w:val="nil"/>
            </w:tcBorders>
          </w:tcPr>
          <w:p w14:paraId="13E6475B" w14:textId="77777777" w:rsidR="00D400F4" w:rsidRPr="00FD5502" w:rsidRDefault="00D400F4" w:rsidP="001E2549">
            <w:pPr>
              <w:rPr>
                <w:rFonts w:ascii="Times New Roman"/>
                <w:sz w:val="24"/>
                <w:szCs w:val="24"/>
              </w:rPr>
            </w:pPr>
          </w:p>
        </w:tc>
        <w:tc>
          <w:tcPr>
            <w:tcW w:w="1559" w:type="dxa"/>
            <w:tcBorders>
              <w:top w:val="nil"/>
              <w:left w:val="nil"/>
              <w:bottom w:val="nil"/>
              <w:right w:val="nil"/>
            </w:tcBorders>
          </w:tcPr>
          <w:p w14:paraId="044C237D" w14:textId="77777777" w:rsidR="00D400F4" w:rsidRPr="00FD5502" w:rsidRDefault="00D400F4" w:rsidP="001E2549">
            <w:pPr>
              <w:rPr>
                <w:rFonts w:ascii="Times New Roman"/>
                <w:sz w:val="24"/>
                <w:szCs w:val="24"/>
              </w:rPr>
            </w:pPr>
            <w:r>
              <w:rPr>
                <w:rFonts w:ascii="Times New Roman"/>
                <w:sz w:val="24"/>
                <w:szCs w:val="24"/>
              </w:rPr>
              <w:t>8.0</w:t>
            </w:r>
          </w:p>
        </w:tc>
        <w:tc>
          <w:tcPr>
            <w:tcW w:w="850" w:type="dxa"/>
            <w:tcBorders>
              <w:top w:val="nil"/>
              <w:left w:val="nil"/>
              <w:bottom w:val="nil"/>
              <w:right w:val="nil"/>
            </w:tcBorders>
          </w:tcPr>
          <w:p w14:paraId="77FA1313" w14:textId="77777777" w:rsidR="00D400F4" w:rsidRPr="00FD5502" w:rsidRDefault="00D400F4" w:rsidP="001E2549">
            <w:pPr>
              <w:rPr>
                <w:rFonts w:ascii="Times New Roman"/>
                <w:sz w:val="24"/>
                <w:szCs w:val="24"/>
              </w:rPr>
            </w:pPr>
          </w:p>
        </w:tc>
        <w:tc>
          <w:tcPr>
            <w:tcW w:w="1105" w:type="dxa"/>
            <w:tcBorders>
              <w:top w:val="nil"/>
              <w:left w:val="nil"/>
              <w:bottom w:val="nil"/>
              <w:right w:val="nil"/>
            </w:tcBorders>
          </w:tcPr>
          <w:p w14:paraId="4FBAC799" w14:textId="77777777" w:rsidR="00D400F4" w:rsidRPr="00FD5502" w:rsidRDefault="00D400F4" w:rsidP="001E2549">
            <w:pPr>
              <w:jc w:val="center"/>
              <w:rPr>
                <w:rFonts w:ascii="Times New Roman"/>
                <w:sz w:val="24"/>
                <w:szCs w:val="24"/>
              </w:rPr>
            </w:pPr>
          </w:p>
        </w:tc>
      </w:tr>
      <w:tr w:rsidR="00D400F4" w:rsidRPr="00AF6A0B" w14:paraId="0250CE1D" w14:textId="77777777" w:rsidTr="001E2549">
        <w:trPr>
          <w:trHeight w:val="264"/>
          <w:jc w:val="center"/>
        </w:trPr>
        <w:tc>
          <w:tcPr>
            <w:tcW w:w="3794" w:type="dxa"/>
            <w:tcBorders>
              <w:top w:val="nil"/>
              <w:left w:val="nil"/>
              <w:bottom w:val="single" w:sz="4" w:space="0" w:color="auto"/>
              <w:right w:val="nil"/>
            </w:tcBorders>
          </w:tcPr>
          <w:p w14:paraId="3DF28E03" w14:textId="77777777" w:rsidR="00D400F4" w:rsidRPr="00FD5502" w:rsidRDefault="00D400F4" w:rsidP="001E2549">
            <w:pPr>
              <w:rPr>
                <w:rFonts w:ascii="Times New Roman"/>
                <w:sz w:val="24"/>
                <w:szCs w:val="24"/>
              </w:rPr>
            </w:pPr>
            <w:r w:rsidRPr="00FD5502">
              <w:rPr>
                <w:rFonts w:ascii="Times New Roman"/>
                <w:sz w:val="24"/>
                <w:szCs w:val="24"/>
              </w:rPr>
              <w:t>Manual worker</w:t>
            </w:r>
            <w:r>
              <w:rPr>
                <w:rFonts w:ascii="Times New Roman"/>
                <w:sz w:val="24"/>
                <w:szCs w:val="24"/>
              </w:rPr>
              <w:t xml:space="preserve"> (%)</w:t>
            </w:r>
          </w:p>
        </w:tc>
        <w:tc>
          <w:tcPr>
            <w:tcW w:w="1424" w:type="dxa"/>
            <w:tcBorders>
              <w:top w:val="nil"/>
              <w:left w:val="nil"/>
              <w:bottom w:val="single" w:sz="4" w:space="0" w:color="auto"/>
              <w:right w:val="nil"/>
            </w:tcBorders>
          </w:tcPr>
          <w:p w14:paraId="1D3ED24C" w14:textId="77777777" w:rsidR="00D400F4" w:rsidRPr="00FD5502" w:rsidRDefault="00D400F4" w:rsidP="001E2549">
            <w:pPr>
              <w:rPr>
                <w:rFonts w:ascii="Times New Roman"/>
                <w:sz w:val="24"/>
                <w:szCs w:val="24"/>
              </w:rPr>
            </w:pPr>
            <w:r>
              <w:rPr>
                <w:rFonts w:ascii="Times New Roman"/>
                <w:sz w:val="24"/>
                <w:szCs w:val="24"/>
              </w:rPr>
              <w:t>39.2</w:t>
            </w:r>
          </w:p>
        </w:tc>
        <w:tc>
          <w:tcPr>
            <w:tcW w:w="851" w:type="dxa"/>
            <w:tcBorders>
              <w:top w:val="nil"/>
              <w:left w:val="nil"/>
              <w:bottom w:val="single" w:sz="4" w:space="0" w:color="auto"/>
              <w:right w:val="nil"/>
            </w:tcBorders>
          </w:tcPr>
          <w:p w14:paraId="0E1672D9" w14:textId="77777777" w:rsidR="00D400F4" w:rsidRPr="00FD5502" w:rsidRDefault="00D400F4" w:rsidP="001E2549">
            <w:pPr>
              <w:rPr>
                <w:rFonts w:ascii="Times New Roman"/>
                <w:sz w:val="24"/>
                <w:szCs w:val="24"/>
              </w:rPr>
            </w:pPr>
          </w:p>
        </w:tc>
        <w:tc>
          <w:tcPr>
            <w:tcW w:w="1559" w:type="dxa"/>
            <w:tcBorders>
              <w:top w:val="nil"/>
              <w:left w:val="nil"/>
              <w:bottom w:val="single" w:sz="4" w:space="0" w:color="auto"/>
              <w:right w:val="nil"/>
            </w:tcBorders>
          </w:tcPr>
          <w:p w14:paraId="0E409C04" w14:textId="77777777" w:rsidR="00D400F4" w:rsidRPr="00FD5502" w:rsidRDefault="00D400F4" w:rsidP="001E2549">
            <w:pPr>
              <w:rPr>
                <w:rFonts w:ascii="Times New Roman"/>
                <w:sz w:val="24"/>
                <w:szCs w:val="24"/>
              </w:rPr>
            </w:pPr>
            <w:r>
              <w:rPr>
                <w:rFonts w:ascii="Times New Roman"/>
                <w:sz w:val="24"/>
                <w:szCs w:val="24"/>
              </w:rPr>
              <w:t>20.4</w:t>
            </w:r>
          </w:p>
        </w:tc>
        <w:tc>
          <w:tcPr>
            <w:tcW w:w="850" w:type="dxa"/>
            <w:tcBorders>
              <w:top w:val="nil"/>
              <w:left w:val="nil"/>
              <w:bottom w:val="single" w:sz="4" w:space="0" w:color="auto"/>
              <w:right w:val="nil"/>
            </w:tcBorders>
          </w:tcPr>
          <w:p w14:paraId="5FAE0D3C" w14:textId="77777777" w:rsidR="00D400F4" w:rsidRPr="00FD5502" w:rsidRDefault="00D400F4" w:rsidP="001E2549">
            <w:pPr>
              <w:rPr>
                <w:rFonts w:ascii="Times New Roman"/>
                <w:sz w:val="24"/>
                <w:szCs w:val="24"/>
              </w:rPr>
            </w:pPr>
          </w:p>
        </w:tc>
        <w:tc>
          <w:tcPr>
            <w:tcW w:w="1105" w:type="dxa"/>
            <w:tcBorders>
              <w:top w:val="nil"/>
              <w:left w:val="nil"/>
              <w:bottom w:val="single" w:sz="4" w:space="0" w:color="auto"/>
              <w:right w:val="nil"/>
            </w:tcBorders>
          </w:tcPr>
          <w:p w14:paraId="333E9116" w14:textId="77777777" w:rsidR="00D400F4" w:rsidRPr="00FD5502" w:rsidRDefault="00D400F4" w:rsidP="001E2549">
            <w:pPr>
              <w:jc w:val="center"/>
              <w:rPr>
                <w:rFonts w:ascii="Times New Roman"/>
                <w:sz w:val="24"/>
                <w:szCs w:val="24"/>
              </w:rPr>
            </w:pPr>
          </w:p>
        </w:tc>
      </w:tr>
      <w:tr w:rsidR="00192BEA" w:rsidRPr="00AF6A0B" w14:paraId="5C709798" w14:textId="77777777" w:rsidTr="001E2549">
        <w:trPr>
          <w:trHeight w:val="264"/>
          <w:jc w:val="center"/>
        </w:trPr>
        <w:tc>
          <w:tcPr>
            <w:tcW w:w="8478" w:type="dxa"/>
            <w:gridSpan w:val="5"/>
            <w:tcBorders>
              <w:left w:val="nil"/>
              <w:bottom w:val="single" w:sz="4" w:space="0" w:color="auto"/>
              <w:right w:val="nil"/>
            </w:tcBorders>
          </w:tcPr>
          <w:p w14:paraId="440B2F65" w14:textId="2702F52A" w:rsidR="00192BEA" w:rsidRPr="00192BEA" w:rsidRDefault="00192BEA" w:rsidP="001E2549">
            <w:pPr>
              <w:rPr>
                <w:rFonts w:ascii="Times New Roman"/>
                <w:b/>
                <w:sz w:val="24"/>
                <w:szCs w:val="24"/>
              </w:rPr>
            </w:pPr>
            <w:r>
              <w:rPr>
                <w:rFonts w:ascii="Times New Roman"/>
                <w:b/>
                <w:sz w:val="24"/>
                <w:szCs w:val="24"/>
              </w:rPr>
              <w:t xml:space="preserve">Characteristics in old age </w:t>
            </w:r>
            <w:r w:rsidR="00F264A3">
              <w:rPr>
                <w:rFonts w:ascii="Times New Roman"/>
                <w:b/>
                <w:sz w:val="24"/>
                <w:szCs w:val="24"/>
              </w:rPr>
              <w:t xml:space="preserve">measured </w:t>
            </w:r>
            <w:r>
              <w:rPr>
                <w:rFonts w:ascii="Times New Roman"/>
                <w:b/>
                <w:sz w:val="24"/>
                <w:szCs w:val="24"/>
              </w:rPr>
              <w:t>at the mean age of 71 years</w:t>
            </w:r>
          </w:p>
        </w:tc>
        <w:tc>
          <w:tcPr>
            <w:tcW w:w="1105" w:type="dxa"/>
            <w:tcBorders>
              <w:left w:val="nil"/>
              <w:bottom w:val="single" w:sz="4" w:space="0" w:color="auto"/>
              <w:right w:val="nil"/>
            </w:tcBorders>
          </w:tcPr>
          <w:p w14:paraId="7C2617EB" w14:textId="77777777" w:rsidR="00192BEA" w:rsidRDefault="00192BEA" w:rsidP="001E2549">
            <w:pPr>
              <w:jc w:val="center"/>
              <w:rPr>
                <w:rFonts w:ascii="Times New Roman"/>
                <w:sz w:val="24"/>
                <w:szCs w:val="24"/>
              </w:rPr>
            </w:pPr>
          </w:p>
        </w:tc>
      </w:tr>
      <w:tr w:rsidR="00D400F4" w:rsidRPr="00AF6A0B" w14:paraId="783F1C10" w14:textId="77777777" w:rsidTr="001E2549">
        <w:trPr>
          <w:trHeight w:val="264"/>
          <w:jc w:val="center"/>
        </w:trPr>
        <w:tc>
          <w:tcPr>
            <w:tcW w:w="8478" w:type="dxa"/>
            <w:gridSpan w:val="5"/>
            <w:tcBorders>
              <w:left w:val="nil"/>
              <w:bottom w:val="single" w:sz="4" w:space="0" w:color="auto"/>
              <w:right w:val="nil"/>
            </w:tcBorders>
          </w:tcPr>
          <w:p w14:paraId="70FFEF32" w14:textId="77777777" w:rsidR="00D400F4" w:rsidRDefault="00D400F4" w:rsidP="001E2549">
            <w:pPr>
              <w:rPr>
                <w:rFonts w:ascii="Times New Roman"/>
                <w:b/>
                <w:sz w:val="24"/>
                <w:szCs w:val="24"/>
              </w:rPr>
            </w:pPr>
            <w:r>
              <w:rPr>
                <w:rFonts w:ascii="Times New Roman"/>
                <w:sz w:val="24"/>
                <w:szCs w:val="24"/>
              </w:rPr>
              <w:t>Frailty (n=1078)</w:t>
            </w:r>
          </w:p>
        </w:tc>
        <w:tc>
          <w:tcPr>
            <w:tcW w:w="1105" w:type="dxa"/>
            <w:tcBorders>
              <w:left w:val="nil"/>
              <w:bottom w:val="single" w:sz="4" w:space="0" w:color="auto"/>
              <w:right w:val="nil"/>
            </w:tcBorders>
          </w:tcPr>
          <w:p w14:paraId="25884801" w14:textId="60E3C470" w:rsidR="00D400F4" w:rsidRPr="005C503F" w:rsidRDefault="0024735B" w:rsidP="001E2549">
            <w:pPr>
              <w:jc w:val="center"/>
              <w:rPr>
                <w:rFonts w:ascii="Times New Roman"/>
                <w:sz w:val="24"/>
                <w:szCs w:val="24"/>
              </w:rPr>
            </w:pPr>
            <w:r>
              <w:rPr>
                <w:rFonts w:ascii="Times New Roman"/>
                <w:sz w:val="24"/>
                <w:szCs w:val="24"/>
              </w:rPr>
              <w:t>0</w:t>
            </w:r>
            <w:r w:rsidR="00D400F4" w:rsidRPr="005C503F">
              <w:rPr>
                <w:rFonts w:ascii="Times New Roman"/>
                <w:sz w:val="24"/>
                <w:szCs w:val="24"/>
              </w:rPr>
              <w:t>.38</w:t>
            </w:r>
          </w:p>
        </w:tc>
      </w:tr>
      <w:tr w:rsidR="00D400F4" w:rsidRPr="00AF6A0B" w14:paraId="229B1821" w14:textId="77777777" w:rsidTr="001E2549">
        <w:trPr>
          <w:trHeight w:val="264"/>
          <w:jc w:val="center"/>
        </w:trPr>
        <w:tc>
          <w:tcPr>
            <w:tcW w:w="3794" w:type="dxa"/>
            <w:tcBorders>
              <w:left w:val="nil"/>
              <w:bottom w:val="nil"/>
              <w:right w:val="nil"/>
            </w:tcBorders>
          </w:tcPr>
          <w:p w14:paraId="28247984" w14:textId="77777777" w:rsidR="00D400F4" w:rsidRPr="0037627F" w:rsidRDefault="00D400F4" w:rsidP="001E2549">
            <w:pPr>
              <w:rPr>
                <w:rFonts w:ascii="Times New Roman"/>
                <w:sz w:val="24"/>
                <w:szCs w:val="24"/>
              </w:rPr>
            </w:pPr>
            <w:r w:rsidRPr="0037627F">
              <w:rPr>
                <w:rFonts w:ascii="Times New Roman"/>
                <w:sz w:val="24"/>
                <w:szCs w:val="24"/>
              </w:rPr>
              <w:t>Non-frail (%)</w:t>
            </w:r>
          </w:p>
        </w:tc>
        <w:tc>
          <w:tcPr>
            <w:tcW w:w="1424" w:type="dxa"/>
            <w:tcBorders>
              <w:left w:val="nil"/>
              <w:bottom w:val="nil"/>
              <w:right w:val="nil"/>
            </w:tcBorders>
          </w:tcPr>
          <w:p w14:paraId="1A567F6B" w14:textId="77777777" w:rsidR="00D400F4" w:rsidRPr="0037627F" w:rsidRDefault="00D400F4" w:rsidP="001E2549">
            <w:pPr>
              <w:rPr>
                <w:rFonts w:ascii="Times New Roman"/>
                <w:sz w:val="24"/>
                <w:szCs w:val="24"/>
              </w:rPr>
            </w:pPr>
            <w:r w:rsidRPr="0037627F">
              <w:rPr>
                <w:rFonts w:ascii="Times New Roman"/>
                <w:sz w:val="24"/>
                <w:szCs w:val="24"/>
              </w:rPr>
              <w:t>56.6</w:t>
            </w:r>
          </w:p>
        </w:tc>
        <w:tc>
          <w:tcPr>
            <w:tcW w:w="851" w:type="dxa"/>
            <w:tcBorders>
              <w:left w:val="nil"/>
              <w:bottom w:val="nil"/>
              <w:right w:val="nil"/>
            </w:tcBorders>
          </w:tcPr>
          <w:p w14:paraId="0362E3C6" w14:textId="77777777" w:rsidR="00D400F4" w:rsidRPr="0037627F" w:rsidRDefault="00D400F4" w:rsidP="001E2549">
            <w:pPr>
              <w:rPr>
                <w:rFonts w:ascii="Times New Roman"/>
                <w:sz w:val="24"/>
                <w:szCs w:val="24"/>
              </w:rPr>
            </w:pPr>
          </w:p>
        </w:tc>
        <w:tc>
          <w:tcPr>
            <w:tcW w:w="1559" w:type="dxa"/>
            <w:tcBorders>
              <w:left w:val="nil"/>
              <w:bottom w:val="nil"/>
              <w:right w:val="nil"/>
            </w:tcBorders>
          </w:tcPr>
          <w:p w14:paraId="03C8C361" w14:textId="77777777" w:rsidR="00D400F4" w:rsidRPr="0037627F" w:rsidRDefault="00D400F4" w:rsidP="001E2549">
            <w:pPr>
              <w:rPr>
                <w:rFonts w:ascii="Times New Roman"/>
                <w:sz w:val="24"/>
                <w:szCs w:val="24"/>
              </w:rPr>
            </w:pPr>
            <w:r w:rsidRPr="0037627F">
              <w:rPr>
                <w:rFonts w:ascii="Times New Roman"/>
                <w:sz w:val="24"/>
                <w:szCs w:val="24"/>
              </w:rPr>
              <w:t>56.2</w:t>
            </w:r>
          </w:p>
        </w:tc>
        <w:tc>
          <w:tcPr>
            <w:tcW w:w="850" w:type="dxa"/>
            <w:tcBorders>
              <w:left w:val="nil"/>
              <w:bottom w:val="nil"/>
              <w:right w:val="nil"/>
            </w:tcBorders>
          </w:tcPr>
          <w:p w14:paraId="47FC064D" w14:textId="77777777" w:rsidR="00D400F4" w:rsidRPr="0037627F" w:rsidRDefault="00D400F4" w:rsidP="001E2549">
            <w:pPr>
              <w:rPr>
                <w:rFonts w:ascii="Times New Roman"/>
                <w:sz w:val="24"/>
                <w:szCs w:val="24"/>
              </w:rPr>
            </w:pPr>
          </w:p>
        </w:tc>
        <w:tc>
          <w:tcPr>
            <w:tcW w:w="1105" w:type="dxa"/>
            <w:tcBorders>
              <w:left w:val="nil"/>
              <w:bottom w:val="nil"/>
              <w:right w:val="nil"/>
            </w:tcBorders>
          </w:tcPr>
          <w:p w14:paraId="2A8A9C4E" w14:textId="77777777" w:rsidR="00D400F4" w:rsidRPr="0037627F" w:rsidRDefault="00D400F4" w:rsidP="001E2549">
            <w:pPr>
              <w:jc w:val="center"/>
              <w:rPr>
                <w:rFonts w:ascii="Times New Roman"/>
                <w:sz w:val="24"/>
                <w:szCs w:val="24"/>
              </w:rPr>
            </w:pPr>
          </w:p>
        </w:tc>
      </w:tr>
      <w:tr w:rsidR="00D400F4" w:rsidRPr="00AF6A0B" w14:paraId="4E55A3EF" w14:textId="77777777" w:rsidTr="001E2549">
        <w:trPr>
          <w:trHeight w:val="264"/>
          <w:jc w:val="center"/>
        </w:trPr>
        <w:tc>
          <w:tcPr>
            <w:tcW w:w="3794" w:type="dxa"/>
            <w:tcBorders>
              <w:top w:val="nil"/>
              <w:left w:val="nil"/>
              <w:bottom w:val="nil"/>
              <w:right w:val="nil"/>
            </w:tcBorders>
          </w:tcPr>
          <w:p w14:paraId="32F981E1" w14:textId="77777777" w:rsidR="00D400F4" w:rsidRPr="0037627F" w:rsidRDefault="00D400F4" w:rsidP="001E2549">
            <w:pPr>
              <w:rPr>
                <w:rFonts w:ascii="Times New Roman"/>
                <w:sz w:val="24"/>
                <w:szCs w:val="24"/>
              </w:rPr>
            </w:pPr>
            <w:r w:rsidRPr="0037627F">
              <w:rPr>
                <w:rFonts w:ascii="Times New Roman"/>
                <w:sz w:val="24"/>
                <w:szCs w:val="24"/>
              </w:rPr>
              <w:t>Pre-frail (%)</w:t>
            </w:r>
          </w:p>
        </w:tc>
        <w:tc>
          <w:tcPr>
            <w:tcW w:w="1424" w:type="dxa"/>
            <w:tcBorders>
              <w:top w:val="nil"/>
              <w:left w:val="nil"/>
              <w:bottom w:val="nil"/>
              <w:right w:val="nil"/>
            </w:tcBorders>
          </w:tcPr>
          <w:p w14:paraId="28F8710D" w14:textId="77777777" w:rsidR="00D400F4" w:rsidRPr="0037627F" w:rsidRDefault="00D400F4" w:rsidP="001E2549">
            <w:pPr>
              <w:rPr>
                <w:rFonts w:ascii="Times New Roman"/>
                <w:sz w:val="24"/>
                <w:szCs w:val="24"/>
              </w:rPr>
            </w:pPr>
            <w:r w:rsidRPr="0037627F">
              <w:rPr>
                <w:rFonts w:ascii="Times New Roman"/>
                <w:sz w:val="24"/>
                <w:szCs w:val="24"/>
              </w:rPr>
              <w:t>40.6</w:t>
            </w:r>
          </w:p>
        </w:tc>
        <w:tc>
          <w:tcPr>
            <w:tcW w:w="851" w:type="dxa"/>
            <w:tcBorders>
              <w:top w:val="nil"/>
              <w:left w:val="nil"/>
              <w:bottom w:val="nil"/>
              <w:right w:val="nil"/>
            </w:tcBorders>
          </w:tcPr>
          <w:p w14:paraId="5E15D12B" w14:textId="77777777" w:rsidR="00D400F4" w:rsidRPr="0037627F" w:rsidRDefault="00D400F4" w:rsidP="001E2549">
            <w:pPr>
              <w:rPr>
                <w:rFonts w:ascii="Times New Roman"/>
                <w:sz w:val="24"/>
                <w:szCs w:val="24"/>
              </w:rPr>
            </w:pPr>
          </w:p>
        </w:tc>
        <w:tc>
          <w:tcPr>
            <w:tcW w:w="1559" w:type="dxa"/>
            <w:tcBorders>
              <w:top w:val="nil"/>
              <w:left w:val="nil"/>
              <w:bottom w:val="nil"/>
              <w:right w:val="nil"/>
            </w:tcBorders>
          </w:tcPr>
          <w:p w14:paraId="06064979" w14:textId="77777777" w:rsidR="00D400F4" w:rsidRPr="0037627F" w:rsidRDefault="00D400F4" w:rsidP="001E2549">
            <w:pPr>
              <w:rPr>
                <w:rFonts w:ascii="Times New Roman"/>
                <w:sz w:val="24"/>
                <w:szCs w:val="24"/>
              </w:rPr>
            </w:pPr>
            <w:r w:rsidRPr="0037627F">
              <w:rPr>
                <w:rFonts w:ascii="Times New Roman"/>
                <w:sz w:val="24"/>
                <w:szCs w:val="24"/>
              </w:rPr>
              <w:t>39.5</w:t>
            </w:r>
          </w:p>
        </w:tc>
        <w:tc>
          <w:tcPr>
            <w:tcW w:w="850" w:type="dxa"/>
            <w:tcBorders>
              <w:top w:val="nil"/>
              <w:left w:val="nil"/>
              <w:bottom w:val="nil"/>
              <w:right w:val="nil"/>
            </w:tcBorders>
          </w:tcPr>
          <w:p w14:paraId="3A3D5B2F" w14:textId="77777777" w:rsidR="00D400F4" w:rsidRPr="0037627F" w:rsidRDefault="00D400F4" w:rsidP="001E2549">
            <w:pPr>
              <w:rPr>
                <w:rFonts w:ascii="Times New Roman"/>
                <w:sz w:val="24"/>
                <w:szCs w:val="24"/>
              </w:rPr>
            </w:pPr>
          </w:p>
        </w:tc>
        <w:tc>
          <w:tcPr>
            <w:tcW w:w="1105" w:type="dxa"/>
            <w:tcBorders>
              <w:top w:val="nil"/>
              <w:left w:val="nil"/>
              <w:bottom w:val="nil"/>
              <w:right w:val="nil"/>
            </w:tcBorders>
          </w:tcPr>
          <w:p w14:paraId="5EDFE4B4" w14:textId="77777777" w:rsidR="00D400F4" w:rsidRPr="0037627F" w:rsidRDefault="00D400F4" w:rsidP="001E2549">
            <w:pPr>
              <w:jc w:val="center"/>
              <w:rPr>
                <w:rFonts w:ascii="Times New Roman"/>
                <w:sz w:val="24"/>
                <w:szCs w:val="24"/>
              </w:rPr>
            </w:pPr>
          </w:p>
        </w:tc>
      </w:tr>
      <w:tr w:rsidR="00D400F4" w:rsidRPr="00AF6A0B" w14:paraId="5F662172" w14:textId="77777777" w:rsidTr="001E2549">
        <w:trPr>
          <w:trHeight w:val="264"/>
          <w:jc w:val="center"/>
        </w:trPr>
        <w:tc>
          <w:tcPr>
            <w:tcW w:w="3794" w:type="dxa"/>
            <w:tcBorders>
              <w:top w:val="nil"/>
              <w:left w:val="nil"/>
              <w:right w:val="nil"/>
            </w:tcBorders>
          </w:tcPr>
          <w:p w14:paraId="467ED9CC" w14:textId="77777777" w:rsidR="00D400F4" w:rsidRPr="0037627F" w:rsidRDefault="00D400F4" w:rsidP="001E2549">
            <w:pPr>
              <w:rPr>
                <w:rFonts w:ascii="Times New Roman"/>
                <w:sz w:val="24"/>
                <w:szCs w:val="24"/>
              </w:rPr>
            </w:pPr>
            <w:r w:rsidRPr="0037627F">
              <w:rPr>
                <w:rFonts w:ascii="Times New Roman"/>
                <w:sz w:val="24"/>
                <w:szCs w:val="24"/>
              </w:rPr>
              <w:t>Frail (%)</w:t>
            </w:r>
          </w:p>
        </w:tc>
        <w:tc>
          <w:tcPr>
            <w:tcW w:w="1424" w:type="dxa"/>
            <w:tcBorders>
              <w:top w:val="nil"/>
              <w:left w:val="nil"/>
              <w:right w:val="nil"/>
            </w:tcBorders>
          </w:tcPr>
          <w:p w14:paraId="0B763603" w14:textId="77777777" w:rsidR="00D400F4" w:rsidRPr="0037627F" w:rsidRDefault="00D400F4" w:rsidP="001E2549">
            <w:pPr>
              <w:rPr>
                <w:rFonts w:ascii="Times New Roman"/>
                <w:sz w:val="24"/>
                <w:szCs w:val="24"/>
              </w:rPr>
            </w:pPr>
            <w:r w:rsidRPr="0037627F">
              <w:rPr>
                <w:rFonts w:ascii="Times New Roman"/>
                <w:sz w:val="24"/>
                <w:szCs w:val="24"/>
              </w:rPr>
              <w:t>2.7</w:t>
            </w:r>
          </w:p>
        </w:tc>
        <w:tc>
          <w:tcPr>
            <w:tcW w:w="851" w:type="dxa"/>
            <w:tcBorders>
              <w:top w:val="nil"/>
              <w:left w:val="nil"/>
              <w:right w:val="nil"/>
            </w:tcBorders>
          </w:tcPr>
          <w:p w14:paraId="5102CED4" w14:textId="77777777" w:rsidR="00D400F4" w:rsidRPr="0037627F" w:rsidRDefault="00D400F4" w:rsidP="001E2549">
            <w:pPr>
              <w:rPr>
                <w:rFonts w:ascii="Times New Roman"/>
                <w:sz w:val="24"/>
                <w:szCs w:val="24"/>
              </w:rPr>
            </w:pPr>
          </w:p>
        </w:tc>
        <w:tc>
          <w:tcPr>
            <w:tcW w:w="1559" w:type="dxa"/>
            <w:tcBorders>
              <w:top w:val="nil"/>
              <w:left w:val="nil"/>
              <w:right w:val="nil"/>
            </w:tcBorders>
          </w:tcPr>
          <w:p w14:paraId="73C58EA1" w14:textId="77777777" w:rsidR="00D400F4" w:rsidRPr="0037627F" w:rsidRDefault="00D400F4" w:rsidP="001E2549">
            <w:pPr>
              <w:rPr>
                <w:rFonts w:ascii="Times New Roman"/>
                <w:sz w:val="24"/>
                <w:szCs w:val="24"/>
              </w:rPr>
            </w:pPr>
            <w:r w:rsidRPr="0037627F">
              <w:rPr>
                <w:rFonts w:ascii="Times New Roman"/>
                <w:sz w:val="24"/>
                <w:szCs w:val="24"/>
              </w:rPr>
              <w:t>4.3</w:t>
            </w:r>
          </w:p>
        </w:tc>
        <w:tc>
          <w:tcPr>
            <w:tcW w:w="850" w:type="dxa"/>
            <w:tcBorders>
              <w:top w:val="nil"/>
              <w:left w:val="nil"/>
              <w:right w:val="nil"/>
            </w:tcBorders>
          </w:tcPr>
          <w:p w14:paraId="7CFD9ABD" w14:textId="77777777" w:rsidR="00D400F4" w:rsidRPr="0037627F" w:rsidRDefault="00D400F4" w:rsidP="001E2549">
            <w:pPr>
              <w:rPr>
                <w:rFonts w:ascii="Times New Roman"/>
                <w:sz w:val="24"/>
                <w:szCs w:val="24"/>
              </w:rPr>
            </w:pPr>
          </w:p>
        </w:tc>
        <w:tc>
          <w:tcPr>
            <w:tcW w:w="1105" w:type="dxa"/>
            <w:tcBorders>
              <w:top w:val="nil"/>
              <w:left w:val="nil"/>
              <w:right w:val="nil"/>
            </w:tcBorders>
          </w:tcPr>
          <w:p w14:paraId="2826465D" w14:textId="77777777" w:rsidR="00D400F4" w:rsidRPr="0037627F" w:rsidRDefault="00D400F4" w:rsidP="001E2549">
            <w:pPr>
              <w:jc w:val="center"/>
              <w:rPr>
                <w:rFonts w:ascii="Times New Roman"/>
                <w:sz w:val="24"/>
                <w:szCs w:val="24"/>
              </w:rPr>
            </w:pPr>
          </w:p>
        </w:tc>
      </w:tr>
      <w:tr w:rsidR="00D400F4" w:rsidRPr="00AF6A0B" w14:paraId="531CE9DD" w14:textId="77777777" w:rsidTr="001E2549">
        <w:trPr>
          <w:trHeight w:val="264"/>
          <w:jc w:val="center"/>
        </w:trPr>
        <w:tc>
          <w:tcPr>
            <w:tcW w:w="9583" w:type="dxa"/>
            <w:gridSpan w:val="6"/>
            <w:tcBorders>
              <w:left w:val="nil"/>
              <w:bottom w:val="single" w:sz="4" w:space="0" w:color="auto"/>
              <w:right w:val="nil"/>
            </w:tcBorders>
          </w:tcPr>
          <w:p w14:paraId="6C1DED13" w14:textId="77777777" w:rsidR="00D400F4" w:rsidRPr="0037627F" w:rsidRDefault="00D400F4" w:rsidP="001E2549">
            <w:pPr>
              <w:rPr>
                <w:rFonts w:ascii="Times New Roman"/>
                <w:sz w:val="24"/>
                <w:szCs w:val="24"/>
              </w:rPr>
            </w:pPr>
            <w:r w:rsidRPr="0037627F">
              <w:rPr>
                <w:rFonts w:ascii="Times New Roman"/>
                <w:sz w:val="24"/>
                <w:szCs w:val="24"/>
              </w:rPr>
              <w:t>Frailty criteria (n=1078)</w:t>
            </w:r>
          </w:p>
        </w:tc>
      </w:tr>
      <w:tr w:rsidR="00D400F4" w:rsidRPr="00AF6A0B" w14:paraId="34DED13C" w14:textId="77777777" w:rsidTr="001E2549">
        <w:trPr>
          <w:trHeight w:val="264"/>
          <w:jc w:val="center"/>
        </w:trPr>
        <w:tc>
          <w:tcPr>
            <w:tcW w:w="3794" w:type="dxa"/>
            <w:tcBorders>
              <w:left w:val="nil"/>
              <w:bottom w:val="nil"/>
              <w:right w:val="nil"/>
            </w:tcBorders>
          </w:tcPr>
          <w:p w14:paraId="174495C9" w14:textId="77777777" w:rsidR="00D400F4" w:rsidRPr="0037627F" w:rsidRDefault="00D400F4" w:rsidP="001E2549">
            <w:pPr>
              <w:rPr>
                <w:rFonts w:ascii="Times New Roman"/>
                <w:sz w:val="24"/>
                <w:szCs w:val="24"/>
              </w:rPr>
            </w:pPr>
            <w:r w:rsidRPr="0037627F">
              <w:rPr>
                <w:rFonts w:ascii="Times New Roman"/>
                <w:sz w:val="24"/>
                <w:szCs w:val="24"/>
              </w:rPr>
              <w:t>Exhaustion (%)</w:t>
            </w:r>
          </w:p>
        </w:tc>
        <w:tc>
          <w:tcPr>
            <w:tcW w:w="1424" w:type="dxa"/>
            <w:tcBorders>
              <w:left w:val="nil"/>
              <w:bottom w:val="nil"/>
              <w:right w:val="nil"/>
            </w:tcBorders>
          </w:tcPr>
          <w:p w14:paraId="3D32F2F9" w14:textId="77777777" w:rsidR="00D400F4" w:rsidRPr="0037627F" w:rsidRDefault="00D400F4" w:rsidP="001E2549">
            <w:pPr>
              <w:rPr>
                <w:rFonts w:ascii="Times New Roman"/>
                <w:sz w:val="24"/>
                <w:szCs w:val="24"/>
              </w:rPr>
            </w:pPr>
            <w:r w:rsidRPr="0037627F">
              <w:rPr>
                <w:rFonts w:ascii="Times New Roman"/>
                <w:sz w:val="24"/>
                <w:szCs w:val="24"/>
              </w:rPr>
              <w:t>5.1</w:t>
            </w:r>
          </w:p>
        </w:tc>
        <w:tc>
          <w:tcPr>
            <w:tcW w:w="851" w:type="dxa"/>
            <w:tcBorders>
              <w:left w:val="nil"/>
              <w:bottom w:val="nil"/>
              <w:right w:val="nil"/>
            </w:tcBorders>
          </w:tcPr>
          <w:p w14:paraId="66A001B6" w14:textId="77777777" w:rsidR="00D400F4" w:rsidRPr="0037627F" w:rsidRDefault="00D400F4" w:rsidP="001E2549">
            <w:pPr>
              <w:rPr>
                <w:rFonts w:ascii="Times New Roman"/>
                <w:sz w:val="24"/>
                <w:szCs w:val="24"/>
              </w:rPr>
            </w:pPr>
          </w:p>
        </w:tc>
        <w:tc>
          <w:tcPr>
            <w:tcW w:w="1559" w:type="dxa"/>
            <w:tcBorders>
              <w:left w:val="nil"/>
              <w:bottom w:val="nil"/>
              <w:right w:val="nil"/>
            </w:tcBorders>
          </w:tcPr>
          <w:p w14:paraId="236E995B" w14:textId="77777777" w:rsidR="00D400F4" w:rsidRPr="0037627F" w:rsidRDefault="00D400F4" w:rsidP="001E2549">
            <w:pPr>
              <w:rPr>
                <w:rFonts w:ascii="Times New Roman"/>
                <w:sz w:val="24"/>
                <w:szCs w:val="24"/>
              </w:rPr>
            </w:pPr>
            <w:r w:rsidRPr="0037627F">
              <w:rPr>
                <w:rFonts w:ascii="Times New Roman"/>
                <w:sz w:val="24"/>
                <w:szCs w:val="24"/>
              </w:rPr>
              <w:t>9.6</w:t>
            </w:r>
          </w:p>
        </w:tc>
        <w:tc>
          <w:tcPr>
            <w:tcW w:w="850" w:type="dxa"/>
            <w:tcBorders>
              <w:left w:val="nil"/>
              <w:bottom w:val="nil"/>
              <w:right w:val="nil"/>
            </w:tcBorders>
          </w:tcPr>
          <w:p w14:paraId="64FE03A9" w14:textId="77777777" w:rsidR="00D400F4" w:rsidRPr="0037627F" w:rsidRDefault="00D400F4" w:rsidP="001E2549">
            <w:pPr>
              <w:rPr>
                <w:rFonts w:ascii="Times New Roman"/>
                <w:sz w:val="24"/>
                <w:szCs w:val="24"/>
              </w:rPr>
            </w:pPr>
          </w:p>
        </w:tc>
        <w:tc>
          <w:tcPr>
            <w:tcW w:w="1105" w:type="dxa"/>
            <w:tcBorders>
              <w:left w:val="nil"/>
              <w:bottom w:val="nil"/>
              <w:right w:val="nil"/>
            </w:tcBorders>
          </w:tcPr>
          <w:p w14:paraId="7FDF4ECB" w14:textId="31E260C7" w:rsidR="00D400F4" w:rsidRPr="0037627F" w:rsidRDefault="0024735B" w:rsidP="001E2549">
            <w:pPr>
              <w:jc w:val="center"/>
              <w:rPr>
                <w:rFonts w:ascii="Times New Roman"/>
                <w:sz w:val="24"/>
                <w:szCs w:val="24"/>
              </w:rPr>
            </w:pPr>
            <w:r>
              <w:rPr>
                <w:rFonts w:ascii="Times New Roman"/>
                <w:sz w:val="24"/>
                <w:szCs w:val="24"/>
              </w:rPr>
              <w:t>0</w:t>
            </w:r>
            <w:r w:rsidR="00D400F4">
              <w:rPr>
                <w:rFonts w:ascii="Times New Roman"/>
                <w:sz w:val="24"/>
                <w:szCs w:val="24"/>
              </w:rPr>
              <w:t>.01</w:t>
            </w:r>
          </w:p>
        </w:tc>
      </w:tr>
      <w:tr w:rsidR="00D400F4" w:rsidRPr="00AF6A0B" w14:paraId="1E229FCF" w14:textId="77777777" w:rsidTr="001E2549">
        <w:trPr>
          <w:trHeight w:val="264"/>
          <w:jc w:val="center"/>
        </w:trPr>
        <w:tc>
          <w:tcPr>
            <w:tcW w:w="3794" w:type="dxa"/>
            <w:tcBorders>
              <w:top w:val="nil"/>
              <w:left w:val="nil"/>
              <w:bottom w:val="nil"/>
              <w:right w:val="nil"/>
            </w:tcBorders>
          </w:tcPr>
          <w:p w14:paraId="630DBEA4" w14:textId="77777777" w:rsidR="00D400F4" w:rsidRPr="0037627F" w:rsidRDefault="00D400F4" w:rsidP="001E2549">
            <w:pPr>
              <w:rPr>
                <w:rFonts w:ascii="Times New Roman"/>
                <w:sz w:val="24"/>
                <w:szCs w:val="24"/>
              </w:rPr>
            </w:pPr>
            <w:r w:rsidRPr="0037627F">
              <w:rPr>
                <w:rFonts w:ascii="Times New Roman"/>
                <w:sz w:val="24"/>
                <w:szCs w:val="24"/>
              </w:rPr>
              <w:t>Weight loss (%)</w:t>
            </w:r>
          </w:p>
        </w:tc>
        <w:tc>
          <w:tcPr>
            <w:tcW w:w="1424" w:type="dxa"/>
            <w:tcBorders>
              <w:top w:val="nil"/>
              <w:left w:val="nil"/>
              <w:bottom w:val="nil"/>
              <w:right w:val="nil"/>
            </w:tcBorders>
          </w:tcPr>
          <w:p w14:paraId="21577D3C" w14:textId="77777777" w:rsidR="00D400F4" w:rsidRPr="0037627F" w:rsidRDefault="00D400F4" w:rsidP="001E2549">
            <w:pPr>
              <w:rPr>
                <w:rFonts w:ascii="Times New Roman"/>
                <w:sz w:val="24"/>
                <w:szCs w:val="24"/>
              </w:rPr>
            </w:pPr>
            <w:r w:rsidRPr="0037627F">
              <w:rPr>
                <w:rFonts w:ascii="Times New Roman"/>
                <w:sz w:val="24"/>
                <w:szCs w:val="24"/>
              </w:rPr>
              <w:t>6.5</w:t>
            </w:r>
          </w:p>
        </w:tc>
        <w:tc>
          <w:tcPr>
            <w:tcW w:w="851" w:type="dxa"/>
            <w:tcBorders>
              <w:top w:val="nil"/>
              <w:left w:val="nil"/>
              <w:bottom w:val="nil"/>
              <w:right w:val="nil"/>
            </w:tcBorders>
          </w:tcPr>
          <w:p w14:paraId="346C309A" w14:textId="77777777" w:rsidR="00D400F4" w:rsidRPr="0037627F" w:rsidRDefault="00D400F4" w:rsidP="001E2549">
            <w:pPr>
              <w:rPr>
                <w:rFonts w:ascii="Times New Roman"/>
                <w:sz w:val="24"/>
                <w:szCs w:val="24"/>
              </w:rPr>
            </w:pPr>
          </w:p>
        </w:tc>
        <w:tc>
          <w:tcPr>
            <w:tcW w:w="1559" w:type="dxa"/>
            <w:tcBorders>
              <w:top w:val="nil"/>
              <w:left w:val="nil"/>
              <w:bottom w:val="nil"/>
              <w:right w:val="nil"/>
            </w:tcBorders>
          </w:tcPr>
          <w:p w14:paraId="35915A90" w14:textId="77777777" w:rsidR="00D400F4" w:rsidRPr="0037627F" w:rsidRDefault="00D400F4" w:rsidP="001E2549">
            <w:pPr>
              <w:rPr>
                <w:rFonts w:ascii="Times New Roman"/>
                <w:sz w:val="24"/>
                <w:szCs w:val="24"/>
              </w:rPr>
            </w:pPr>
            <w:r w:rsidRPr="0037627F">
              <w:rPr>
                <w:rFonts w:ascii="Times New Roman"/>
                <w:sz w:val="24"/>
                <w:szCs w:val="24"/>
              </w:rPr>
              <w:t>5.1</w:t>
            </w:r>
          </w:p>
        </w:tc>
        <w:tc>
          <w:tcPr>
            <w:tcW w:w="850" w:type="dxa"/>
            <w:tcBorders>
              <w:top w:val="nil"/>
              <w:left w:val="nil"/>
              <w:bottom w:val="nil"/>
              <w:right w:val="nil"/>
            </w:tcBorders>
          </w:tcPr>
          <w:p w14:paraId="244C1F41" w14:textId="77777777" w:rsidR="00D400F4" w:rsidRPr="0037627F" w:rsidRDefault="00D400F4" w:rsidP="001E2549">
            <w:pPr>
              <w:rPr>
                <w:rFonts w:ascii="Times New Roman"/>
                <w:sz w:val="24"/>
                <w:szCs w:val="24"/>
              </w:rPr>
            </w:pPr>
          </w:p>
        </w:tc>
        <w:tc>
          <w:tcPr>
            <w:tcW w:w="1105" w:type="dxa"/>
            <w:tcBorders>
              <w:top w:val="nil"/>
              <w:left w:val="nil"/>
              <w:bottom w:val="nil"/>
              <w:right w:val="nil"/>
            </w:tcBorders>
          </w:tcPr>
          <w:p w14:paraId="1757CB65" w14:textId="4EC20CFA" w:rsidR="00D400F4" w:rsidRPr="0037627F" w:rsidRDefault="0024735B" w:rsidP="001E2549">
            <w:pPr>
              <w:jc w:val="center"/>
              <w:rPr>
                <w:rFonts w:ascii="Times New Roman"/>
                <w:sz w:val="24"/>
                <w:szCs w:val="24"/>
              </w:rPr>
            </w:pPr>
            <w:r>
              <w:rPr>
                <w:rFonts w:ascii="Times New Roman"/>
                <w:sz w:val="24"/>
                <w:szCs w:val="24"/>
              </w:rPr>
              <w:t>0</w:t>
            </w:r>
            <w:r w:rsidR="00D400F4">
              <w:rPr>
                <w:rFonts w:ascii="Times New Roman"/>
                <w:sz w:val="24"/>
                <w:szCs w:val="24"/>
              </w:rPr>
              <w:t>.36</w:t>
            </w:r>
          </w:p>
        </w:tc>
      </w:tr>
      <w:tr w:rsidR="00D400F4" w:rsidRPr="00AF6A0B" w14:paraId="1A009A04" w14:textId="77777777" w:rsidTr="001E2549">
        <w:trPr>
          <w:trHeight w:val="264"/>
          <w:jc w:val="center"/>
        </w:trPr>
        <w:tc>
          <w:tcPr>
            <w:tcW w:w="3794" w:type="dxa"/>
            <w:tcBorders>
              <w:top w:val="nil"/>
              <w:left w:val="nil"/>
              <w:bottom w:val="nil"/>
              <w:right w:val="nil"/>
            </w:tcBorders>
          </w:tcPr>
          <w:p w14:paraId="315991EE" w14:textId="77777777" w:rsidR="00D400F4" w:rsidRPr="0037627F" w:rsidRDefault="00D400F4" w:rsidP="001E2549">
            <w:pPr>
              <w:rPr>
                <w:rFonts w:ascii="Times New Roman"/>
                <w:sz w:val="24"/>
                <w:szCs w:val="24"/>
              </w:rPr>
            </w:pPr>
            <w:r w:rsidRPr="0037627F">
              <w:rPr>
                <w:rFonts w:ascii="Times New Roman"/>
                <w:sz w:val="24"/>
                <w:szCs w:val="24"/>
              </w:rPr>
              <w:t>Low physical activity (%)</w:t>
            </w:r>
          </w:p>
        </w:tc>
        <w:tc>
          <w:tcPr>
            <w:tcW w:w="1424" w:type="dxa"/>
            <w:tcBorders>
              <w:top w:val="nil"/>
              <w:left w:val="nil"/>
              <w:bottom w:val="nil"/>
              <w:right w:val="nil"/>
            </w:tcBorders>
          </w:tcPr>
          <w:p w14:paraId="5440271C" w14:textId="77777777" w:rsidR="00D400F4" w:rsidRPr="0037627F" w:rsidRDefault="00D400F4" w:rsidP="001E2549">
            <w:pPr>
              <w:rPr>
                <w:rFonts w:ascii="Times New Roman"/>
                <w:sz w:val="24"/>
                <w:szCs w:val="24"/>
              </w:rPr>
            </w:pPr>
            <w:r w:rsidRPr="0037627F">
              <w:rPr>
                <w:rFonts w:ascii="Times New Roman"/>
                <w:sz w:val="24"/>
                <w:szCs w:val="24"/>
              </w:rPr>
              <w:t>7.4</w:t>
            </w:r>
          </w:p>
        </w:tc>
        <w:tc>
          <w:tcPr>
            <w:tcW w:w="851" w:type="dxa"/>
            <w:tcBorders>
              <w:top w:val="nil"/>
              <w:left w:val="nil"/>
              <w:bottom w:val="nil"/>
              <w:right w:val="nil"/>
            </w:tcBorders>
          </w:tcPr>
          <w:p w14:paraId="3C293A3C" w14:textId="77777777" w:rsidR="00D400F4" w:rsidRPr="0037627F" w:rsidRDefault="00D400F4" w:rsidP="001E2549">
            <w:pPr>
              <w:rPr>
                <w:rFonts w:ascii="Times New Roman"/>
                <w:sz w:val="24"/>
                <w:szCs w:val="24"/>
              </w:rPr>
            </w:pPr>
          </w:p>
        </w:tc>
        <w:tc>
          <w:tcPr>
            <w:tcW w:w="1559" w:type="dxa"/>
            <w:tcBorders>
              <w:top w:val="nil"/>
              <w:left w:val="nil"/>
              <w:bottom w:val="nil"/>
              <w:right w:val="nil"/>
            </w:tcBorders>
          </w:tcPr>
          <w:p w14:paraId="14ABDA34" w14:textId="77777777" w:rsidR="00D400F4" w:rsidRPr="0037627F" w:rsidRDefault="00D400F4" w:rsidP="001E2549">
            <w:pPr>
              <w:rPr>
                <w:rFonts w:ascii="Times New Roman"/>
                <w:sz w:val="24"/>
                <w:szCs w:val="24"/>
              </w:rPr>
            </w:pPr>
            <w:r w:rsidRPr="0037627F">
              <w:rPr>
                <w:rFonts w:ascii="Times New Roman"/>
                <w:sz w:val="24"/>
                <w:szCs w:val="24"/>
              </w:rPr>
              <w:t>11.6</w:t>
            </w:r>
          </w:p>
        </w:tc>
        <w:tc>
          <w:tcPr>
            <w:tcW w:w="850" w:type="dxa"/>
            <w:tcBorders>
              <w:top w:val="nil"/>
              <w:left w:val="nil"/>
              <w:bottom w:val="nil"/>
              <w:right w:val="nil"/>
            </w:tcBorders>
          </w:tcPr>
          <w:p w14:paraId="1FDEBE88" w14:textId="77777777" w:rsidR="00D400F4" w:rsidRPr="0037627F" w:rsidRDefault="00D400F4" w:rsidP="001E2549">
            <w:pPr>
              <w:rPr>
                <w:rFonts w:ascii="Times New Roman"/>
                <w:sz w:val="24"/>
                <w:szCs w:val="24"/>
              </w:rPr>
            </w:pPr>
          </w:p>
        </w:tc>
        <w:tc>
          <w:tcPr>
            <w:tcW w:w="1105" w:type="dxa"/>
            <w:tcBorders>
              <w:top w:val="nil"/>
              <w:left w:val="nil"/>
              <w:bottom w:val="nil"/>
              <w:right w:val="nil"/>
            </w:tcBorders>
          </w:tcPr>
          <w:p w14:paraId="3F401F61" w14:textId="0944A28E" w:rsidR="00D400F4" w:rsidRPr="0037627F" w:rsidRDefault="0024735B" w:rsidP="001E2549">
            <w:pPr>
              <w:jc w:val="center"/>
              <w:rPr>
                <w:rFonts w:ascii="Times New Roman"/>
                <w:sz w:val="24"/>
                <w:szCs w:val="24"/>
              </w:rPr>
            </w:pPr>
            <w:r>
              <w:rPr>
                <w:rFonts w:ascii="Times New Roman"/>
                <w:sz w:val="24"/>
                <w:szCs w:val="24"/>
              </w:rPr>
              <w:t>0</w:t>
            </w:r>
            <w:r w:rsidR="00D400F4">
              <w:rPr>
                <w:rFonts w:ascii="Times New Roman"/>
                <w:sz w:val="24"/>
                <w:szCs w:val="24"/>
              </w:rPr>
              <w:t>.02</w:t>
            </w:r>
          </w:p>
        </w:tc>
      </w:tr>
      <w:tr w:rsidR="00D400F4" w:rsidRPr="00AF6A0B" w14:paraId="3862386D" w14:textId="77777777" w:rsidTr="001E2549">
        <w:trPr>
          <w:trHeight w:val="264"/>
          <w:jc w:val="center"/>
        </w:trPr>
        <w:tc>
          <w:tcPr>
            <w:tcW w:w="3794" w:type="dxa"/>
            <w:tcBorders>
              <w:top w:val="nil"/>
              <w:left w:val="nil"/>
              <w:bottom w:val="nil"/>
              <w:right w:val="nil"/>
            </w:tcBorders>
          </w:tcPr>
          <w:p w14:paraId="242153C3" w14:textId="77777777" w:rsidR="00D400F4" w:rsidRPr="0037627F" w:rsidRDefault="00D400F4" w:rsidP="001E2549">
            <w:pPr>
              <w:rPr>
                <w:rFonts w:ascii="Times New Roman"/>
                <w:sz w:val="24"/>
                <w:szCs w:val="24"/>
              </w:rPr>
            </w:pPr>
            <w:r w:rsidRPr="0037627F">
              <w:rPr>
                <w:rFonts w:ascii="Times New Roman"/>
                <w:sz w:val="24"/>
                <w:szCs w:val="24"/>
              </w:rPr>
              <w:t>Slowness (%)</w:t>
            </w:r>
          </w:p>
        </w:tc>
        <w:tc>
          <w:tcPr>
            <w:tcW w:w="1424" w:type="dxa"/>
            <w:tcBorders>
              <w:top w:val="nil"/>
              <w:left w:val="nil"/>
              <w:bottom w:val="nil"/>
              <w:right w:val="nil"/>
            </w:tcBorders>
          </w:tcPr>
          <w:p w14:paraId="2D971E2E" w14:textId="77777777" w:rsidR="00D400F4" w:rsidRPr="0037627F" w:rsidRDefault="00D400F4" w:rsidP="001E2549">
            <w:pPr>
              <w:rPr>
                <w:rFonts w:ascii="Times New Roman"/>
                <w:sz w:val="24"/>
                <w:szCs w:val="24"/>
              </w:rPr>
            </w:pPr>
            <w:r w:rsidRPr="0037627F">
              <w:rPr>
                <w:rFonts w:ascii="Times New Roman"/>
                <w:sz w:val="24"/>
                <w:szCs w:val="24"/>
              </w:rPr>
              <w:t>20.2</w:t>
            </w:r>
          </w:p>
        </w:tc>
        <w:tc>
          <w:tcPr>
            <w:tcW w:w="851" w:type="dxa"/>
            <w:tcBorders>
              <w:top w:val="nil"/>
              <w:left w:val="nil"/>
              <w:bottom w:val="nil"/>
              <w:right w:val="nil"/>
            </w:tcBorders>
          </w:tcPr>
          <w:p w14:paraId="196DA959" w14:textId="77777777" w:rsidR="00D400F4" w:rsidRPr="0037627F" w:rsidRDefault="00D400F4" w:rsidP="001E2549">
            <w:pPr>
              <w:rPr>
                <w:rFonts w:ascii="Times New Roman"/>
                <w:sz w:val="24"/>
                <w:szCs w:val="24"/>
              </w:rPr>
            </w:pPr>
          </w:p>
        </w:tc>
        <w:tc>
          <w:tcPr>
            <w:tcW w:w="1559" w:type="dxa"/>
            <w:tcBorders>
              <w:top w:val="nil"/>
              <w:left w:val="nil"/>
              <w:bottom w:val="nil"/>
              <w:right w:val="nil"/>
            </w:tcBorders>
          </w:tcPr>
          <w:p w14:paraId="1F067E9F" w14:textId="77777777" w:rsidR="00D400F4" w:rsidRPr="0037627F" w:rsidRDefault="00D400F4" w:rsidP="001E2549">
            <w:pPr>
              <w:rPr>
                <w:rFonts w:ascii="Times New Roman"/>
                <w:sz w:val="24"/>
                <w:szCs w:val="24"/>
              </w:rPr>
            </w:pPr>
            <w:r w:rsidRPr="0037627F">
              <w:rPr>
                <w:rFonts w:ascii="Times New Roman"/>
                <w:sz w:val="24"/>
                <w:szCs w:val="24"/>
              </w:rPr>
              <w:t>19.9</w:t>
            </w:r>
          </w:p>
        </w:tc>
        <w:tc>
          <w:tcPr>
            <w:tcW w:w="850" w:type="dxa"/>
            <w:tcBorders>
              <w:top w:val="nil"/>
              <w:left w:val="nil"/>
              <w:bottom w:val="nil"/>
              <w:right w:val="nil"/>
            </w:tcBorders>
          </w:tcPr>
          <w:p w14:paraId="57345195" w14:textId="77777777" w:rsidR="00D400F4" w:rsidRPr="0037627F" w:rsidRDefault="00D400F4" w:rsidP="001E2549">
            <w:pPr>
              <w:rPr>
                <w:rFonts w:ascii="Times New Roman"/>
                <w:sz w:val="24"/>
                <w:szCs w:val="24"/>
              </w:rPr>
            </w:pPr>
          </w:p>
        </w:tc>
        <w:tc>
          <w:tcPr>
            <w:tcW w:w="1105" w:type="dxa"/>
            <w:tcBorders>
              <w:top w:val="nil"/>
              <w:left w:val="nil"/>
              <w:bottom w:val="nil"/>
              <w:right w:val="nil"/>
            </w:tcBorders>
          </w:tcPr>
          <w:p w14:paraId="0D2AA756" w14:textId="622865A3" w:rsidR="00D400F4" w:rsidRPr="0037627F" w:rsidRDefault="0024735B" w:rsidP="001E2549">
            <w:pPr>
              <w:jc w:val="center"/>
              <w:rPr>
                <w:rFonts w:ascii="Times New Roman"/>
                <w:sz w:val="24"/>
                <w:szCs w:val="24"/>
              </w:rPr>
            </w:pPr>
            <w:r>
              <w:rPr>
                <w:rFonts w:ascii="Times New Roman"/>
                <w:sz w:val="24"/>
                <w:szCs w:val="24"/>
              </w:rPr>
              <w:t>0</w:t>
            </w:r>
            <w:r w:rsidR="00D400F4">
              <w:rPr>
                <w:rFonts w:ascii="Times New Roman"/>
                <w:sz w:val="24"/>
                <w:szCs w:val="24"/>
              </w:rPr>
              <w:t>.91</w:t>
            </w:r>
          </w:p>
        </w:tc>
      </w:tr>
      <w:tr w:rsidR="00D400F4" w:rsidRPr="00AF6A0B" w14:paraId="44AF9709" w14:textId="77777777" w:rsidTr="001E2549">
        <w:trPr>
          <w:trHeight w:val="264"/>
          <w:jc w:val="center"/>
        </w:trPr>
        <w:tc>
          <w:tcPr>
            <w:tcW w:w="3794" w:type="dxa"/>
            <w:tcBorders>
              <w:top w:val="nil"/>
              <w:left w:val="nil"/>
              <w:right w:val="nil"/>
            </w:tcBorders>
          </w:tcPr>
          <w:p w14:paraId="2B1B918E" w14:textId="77777777" w:rsidR="00D400F4" w:rsidRPr="0037627F" w:rsidRDefault="00D400F4" w:rsidP="001E2549">
            <w:pPr>
              <w:rPr>
                <w:rFonts w:ascii="Times New Roman"/>
                <w:sz w:val="24"/>
                <w:szCs w:val="24"/>
              </w:rPr>
            </w:pPr>
            <w:r w:rsidRPr="0037627F">
              <w:rPr>
                <w:rFonts w:ascii="Times New Roman"/>
                <w:sz w:val="24"/>
                <w:szCs w:val="24"/>
              </w:rPr>
              <w:t>Weakness (%)</w:t>
            </w:r>
          </w:p>
        </w:tc>
        <w:tc>
          <w:tcPr>
            <w:tcW w:w="1424" w:type="dxa"/>
            <w:tcBorders>
              <w:top w:val="nil"/>
              <w:left w:val="nil"/>
              <w:right w:val="nil"/>
            </w:tcBorders>
          </w:tcPr>
          <w:p w14:paraId="5BABB3E6" w14:textId="77777777" w:rsidR="00D400F4" w:rsidRPr="0037627F" w:rsidRDefault="00D400F4" w:rsidP="001E2549">
            <w:pPr>
              <w:rPr>
                <w:rFonts w:ascii="Times New Roman"/>
                <w:sz w:val="24"/>
                <w:szCs w:val="24"/>
              </w:rPr>
            </w:pPr>
            <w:r w:rsidRPr="0037627F">
              <w:rPr>
                <w:rFonts w:ascii="Times New Roman"/>
                <w:sz w:val="24"/>
                <w:szCs w:val="24"/>
              </w:rPr>
              <w:t>19.7</w:t>
            </w:r>
          </w:p>
        </w:tc>
        <w:tc>
          <w:tcPr>
            <w:tcW w:w="851" w:type="dxa"/>
            <w:tcBorders>
              <w:top w:val="nil"/>
              <w:left w:val="nil"/>
              <w:right w:val="nil"/>
            </w:tcBorders>
          </w:tcPr>
          <w:p w14:paraId="65216B0D" w14:textId="77777777" w:rsidR="00D400F4" w:rsidRPr="0037627F" w:rsidRDefault="00D400F4" w:rsidP="001E2549">
            <w:pPr>
              <w:rPr>
                <w:rFonts w:ascii="Times New Roman"/>
                <w:sz w:val="24"/>
                <w:szCs w:val="24"/>
              </w:rPr>
            </w:pPr>
          </w:p>
        </w:tc>
        <w:tc>
          <w:tcPr>
            <w:tcW w:w="1559" w:type="dxa"/>
            <w:tcBorders>
              <w:top w:val="nil"/>
              <w:left w:val="nil"/>
              <w:right w:val="nil"/>
            </w:tcBorders>
          </w:tcPr>
          <w:p w14:paraId="4E14AC29" w14:textId="77777777" w:rsidR="00D400F4" w:rsidRPr="0037627F" w:rsidRDefault="00D400F4" w:rsidP="001E2549">
            <w:pPr>
              <w:rPr>
                <w:rFonts w:ascii="Times New Roman"/>
                <w:sz w:val="24"/>
                <w:szCs w:val="24"/>
              </w:rPr>
            </w:pPr>
            <w:r w:rsidRPr="0037627F">
              <w:rPr>
                <w:rFonts w:ascii="Times New Roman"/>
                <w:sz w:val="24"/>
                <w:szCs w:val="24"/>
              </w:rPr>
              <w:t>20.1</w:t>
            </w:r>
          </w:p>
        </w:tc>
        <w:tc>
          <w:tcPr>
            <w:tcW w:w="850" w:type="dxa"/>
            <w:tcBorders>
              <w:top w:val="nil"/>
              <w:left w:val="nil"/>
              <w:right w:val="nil"/>
            </w:tcBorders>
          </w:tcPr>
          <w:p w14:paraId="0A1D83F4" w14:textId="77777777" w:rsidR="00D400F4" w:rsidRPr="0037627F" w:rsidRDefault="00D400F4" w:rsidP="001E2549">
            <w:pPr>
              <w:rPr>
                <w:rFonts w:ascii="Times New Roman"/>
                <w:sz w:val="24"/>
                <w:szCs w:val="24"/>
              </w:rPr>
            </w:pPr>
          </w:p>
        </w:tc>
        <w:tc>
          <w:tcPr>
            <w:tcW w:w="1105" w:type="dxa"/>
            <w:tcBorders>
              <w:top w:val="nil"/>
              <w:left w:val="nil"/>
              <w:right w:val="nil"/>
            </w:tcBorders>
          </w:tcPr>
          <w:p w14:paraId="295BE010" w14:textId="03EF3BED" w:rsidR="00D400F4" w:rsidRPr="0037627F" w:rsidRDefault="0024735B" w:rsidP="001E2549">
            <w:pPr>
              <w:jc w:val="center"/>
              <w:rPr>
                <w:rFonts w:ascii="Times New Roman"/>
                <w:sz w:val="24"/>
                <w:szCs w:val="24"/>
              </w:rPr>
            </w:pPr>
            <w:r>
              <w:rPr>
                <w:rFonts w:ascii="Times New Roman"/>
                <w:sz w:val="24"/>
                <w:szCs w:val="24"/>
              </w:rPr>
              <w:t>0</w:t>
            </w:r>
            <w:r w:rsidR="00D400F4">
              <w:rPr>
                <w:rFonts w:ascii="Times New Roman"/>
                <w:sz w:val="24"/>
                <w:szCs w:val="24"/>
              </w:rPr>
              <w:t>.86</w:t>
            </w:r>
          </w:p>
        </w:tc>
      </w:tr>
    </w:tbl>
    <w:p w14:paraId="780D7734" w14:textId="1F36A216" w:rsidR="00D400F4" w:rsidRPr="00862B5A" w:rsidRDefault="00D400F4" w:rsidP="00F51259">
      <w:pPr>
        <w:rPr>
          <w:rFonts w:ascii="Times New Roman"/>
          <w:sz w:val="24"/>
          <w:szCs w:val="24"/>
          <w:vertAlign w:val="superscript"/>
        </w:rPr>
      </w:pPr>
      <w:proofErr w:type="spellStart"/>
      <w:r w:rsidRPr="005C503F">
        <w:rPr>
          <w:rFonts w:ascii="Times New Roman"/>
          <w:sz w:val="24"/>
          <w:szCs w:val="24"/>
          <w:vertAlign w:val="superscript"/>
        </w:rPr>
        <w:t>a</w:t>
      </w:r>
      <w:r w:rsidRPr="005C503F">
        <w:rPr>
          <w:rFonts w:ascii="Times New Roman"/>
          <w:sz w:val="24"/>
          <w:szCs w:val="24"/>
        </w:rPr>
        <w:t>Difference</w:t>
      </w:r>
      <w:proofErr w:type="spellEnd"/>
      <w:r w:rsidRPr="005C503F">
        <w:rPr>
          <w:rFonts w:ascii="Times New Roman"/>
          <w:sz w:val="24"/>
          <w:szCs w:val="24"/>
        </w:rPr>
        <w:t xml:space="preserve"> bet</w:t>
      </w:r>
      <w:r>
        <w:rPr>
          <w:rFonts w:ascii="Times New Roman"/>
          <w:sz w:val="24"/>
          <w:szCs w:val="24"/>
        </w:rPr>
        <w:t xml:space="preserve">ween </w:t>
      </w:r>
      <w:r w:rsidR="00F264A3">
        <w:rPr>
          <w:rFonts w:ascii="Times New Roman"/>
          <w:sz w:val="24"/>
          <w:szCs w:val="24"/>
        </w:rPr>
        <w:t>men and women</w:t>
      </w:r>
      <w:r>
        <w:rPr>
          <w:rFonts w:ascii="Times New Roman"/>
          <w:sz w:val="24"/>
          <w:szCs w:val="24"/>
        </w:rPr>
        <w:t>.</w:t>
      </w:r>
    </w:p>
    <w:sectPr w:rsidR="00D400F4" w:rsidRPr="00862B5A" w:rsidSect="00F35F0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124E3"/>
    <w:multiLevelType w:val="hybridMultilevel"/>
    <w:tmpl w:val="ACBA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1211C"/>
    <w:multiLevelType w:val="hybridMultilevel"/>
    <w:tmpl w:val="B2B8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59"/>
    <w:rsid w:val="000037E1"/>
    <w:rsid w:val="00012CD9"/>
    <w:rsid w:val="00014C06"/>
    <w:rsid w:val="00017FEC"/>
    <w:rsid w:val="00022EBA"/>
    <w:rsid w:val="00030460"/>
    <w:rsid w:val="00030A31"/>
    <w:rsid w:val="000343F0"/>
    <w:rsid w:val="00035DE8"/>
    <w:rsid w:val="00046656"/>
    <w:rsid w:val="00046713"/>
    <w:rsid w:val="00050EF3"/>
    <w:rsid w:val="00051994"/>
    <w:rsid w:val="00052E15"/>
    <w:rsid w:val="000613BC"/>
    <w:rsid w:val="00066BE6"/>
    <w:rsid w:val="0007511D"/>
    <w:rsid w:val="00076BFA"/>
    <w:rsid w:val="00076F46"/>
    <w:rsid w:val="000834B4"/>
    <w:rsid w:val="00093CFF"/>
    <w:rsid w:val="000A1421"/>
    <w:rsid w:val="000A5E3A"/>
    <w:rsid w:val="000A6113"/>
    <w:rsid w:val="000B28A5"/>
    <w:rsid w:val="000C0ABF"/>
    <w:rsid w:val="000C34DF"/>
    <w:rsid w:val="000C414B"/>
    <w:rsid w:val="000D4848"/>
    <w:rsid w:val="000D61E5"/>
    <w:rsid w:val="000E580E"/>
    <w:rsid w:val="000E6D1E"/>
    <w:rsid w:val="000E6F36"/>
    <w:rsid w:val="000F261B"/>
    <w:rsid w:val="000F2697"/>
    <w:rsid w:val="000F2CD2"/>
    <w:rsid w:val="000F5134"/>
    <w:rsid w:val="00101677"/>
    <w:rsid w:val="00103BD7"/>
    <w:rsid w:val="00105EF9"/>
    <w:rsid w:val="001108E4"/>
    <w:rsid w:val="001111D1"/>
    <w:rsid w:val="001266BA"/>
    <w:rsid w:val="00127A91"/>
    <w:rsid w:val="0013147C"/>
    <w:rsid w:val="001361EA"/>
    <w:rsid w:val="00136927"/>
    <w:rsid w:val="00140C70"/>
    <w:rsid w:val="00141E35"/>
    <w:rsid w:val="0014207A"/>
    <w:rsid w:val="00142116"/>
    <w:rsid w:val="00142D16"/>
    <w:rsid w:val="00155A20"/>
    <w:rsid w:val="001669CE"/>
    <w:rsid w:val="001714CD"/>
    <w:rsid w:val="00181DC8"/>
    <w:rsid w:val="001863D8"/>
    <w:rsid w:val="00186EC5"/>
    <w:rsid w:val="00192BEA"/>
    <w:rsid w:val="00197EAA"/>
    <w:rsid w:val="001A3E0F"/>
    <w:rsid w:val="001A6C7D"/>
    <w:rsid w:val="001B612D"/>
    <w:rsid w:val="001C47DC"/>
    <w:rsid w:val="001D0185"/>
    <w:rsid w:val="001D4B66"/>
    <w:rsid w:val="001D54E2"/>
    <w:rsid w:val="001D5E40"/>
    <w:rsid w:val="001E02F5"/>
    <w:rsid w:val="001E2549"/>
    <w:rsid w:val="001E495E"/>
    <w:rsid w:val="001F0946"/>
    <w:rsid w:val="001F59EA"/>
    <w:rsid w:val="00201734"/>
    <w:rsid w:val="00205B25"/>
    <w:rsid w:val="00205D3B"/>
    <w:rsid w:val="00210E17"/>
    <w:rsid w:val="00210FAA"/>
    <w:rsid w:val="002201BB"/>
    <w:rsid w:val="00222D8C"/>
    <w:rsid w:val="00224338"/>
    <w:rsid w:val="00231FC5"/>
    <w:rsid w:val="002328BF"/>
    <w:rsid w:val="00233050"/>
    <w:rsid w:val="0023473B"/>
    <w:rsid w:val="00240EFD"/>
    <w:rsid w:val="00243267"/>
    <w:rsid w:val="00243AA7"/>
    <w:rsid w:val="0024459D"/>
    <w:rsid w:val="0024735B"/>
    <w:rsid w:val="00251E11"/>
    <w:rsid w:val="00252640"/>
    <w:rsid w:val="002654ED"/>
    <w:rsid w:val="00272E57"/>
    <w:rsid w:val="00277ED7"/>
    <w:rsid w:val="002829EE"/>
    <w:rsid w:val="0028338D"/>
    <w:rsid w:val="00285509"/>
    <w:rsid w:val="0028569E"/>
    <w:rsid w:val="002856D3"/>
    <w:rsid w:val="00294657"/>
    <w:rsid w:val="00294777"/>
    <w:rsid w:val="00297FE5"/>
    <w:rsid w:val="002A6049"/>
    <w:rsid w:val="002B1E3E"/>
    <w:rsid w:val="002B7D58"/>
    <w:rsid w:val="002C1AB1"/>
    <w:rsid w:val="002C5CCD"/>
    <w:rsid w:val="002D065E"/>
    <w:rsid w:val="002D1AC4"/>
    <w:rsid w:val="002D2EDA"/>
    <w:rsid w:val="002D425F"/>
    <w:rsid w:val="002D4D90"/>
    <w:rsid w:val="002D5372"/>
    <w:rsid w:val="002D78E2"/>
    <w:rsid w:val="002F3D1E"/>
    <w:rsid w:val="002F3D91"/>
    <w:rsid w:val="00300301"/>
    <w:rsid w:val="003108A8"/>
    <w:rsid w:val="0031320C"/>
    <w:rsid w:val="003138E3"/>
    <w:rsid w:val="00332D81"/>
    <w:rsid w:val="003338C3"/>
    <w:rsid w:val="00337929"/>
    <w:rsid w:val="003426C8"/>
    <w:rsid w:val="00342712"/>
    <w:rsid w:val="003441E2"/>
    <w:rsid w:val="00346C42"/>
    <w:rsid w:val="00351765"/>
    <w:rsid w:val="00353386"/>
    <w:rsid w:val="00354991"/>
    <w:rsid w:val="00361A16"/>
    <w:rsid w:val="00362876"/>
    <w:rsid w:val="00370CE4"/>
    <w:rsid w:val="00375285"/>
    <w:rsid w:val="003830C2"/>
    <w:rsid w:val="0038752F"/>
    <w:rsid w:val="00387548"/>
    <w:rsid w:val="003927E5"/>
    <w:rsid w:val="00393F6E"/>
    <w:rsid w:val="003A3598"/>
    <w:rsid w:val="003A3C81"/>
    <w:rsid w:val="003B39A1"/>
    <w:rsid w:val="003B429E"/>
    <w:rsid w:val="003B5504"/>
    <w:rsid w:val="003C0DB6"/>
    <w:rsid w:val="003C3A57"/>
    <w:rsid w:val="003C3E14"/>
    <w:rsid w:val="003D24CA"/>
    <w:rsid w:val="003D36CC"/>
    <w:rsid w:val="003F153D"/>
    <w:rsid w:val="003F48CB"/>
    <w:rsid w:val="00401500"/>
    <w:rsid w:val="00405574"/>
    <w:rsid w:val="00411067"/>
    <w:rsid w:val="00417CE3"/>
    <w:rsid w:val="00426159"/>
    <w:rsid w:val="00426D7C"/>
    <w:rsid w:val="00430ACA"/>
    <w:rsid w:val="004329D8"/>
    <w:rsid w:val="0044033B"/>
    <w:rsid w:val="004420B7"/>
    <w:rsid w:val="00450AB8"/>
    <w:rsid w:val="00462DF6"/>
    <w:rsid w:val="00465058"/>
    <w:rsid w:val="0046580E"/>
    <w:rsid w:val="00466DF3"/>
    <w:rsid w:val="00470269"/>
    <w:rsid w:val="004704D5"/>
    <w:rsid w:val="004724D6"/>
    <w:rsid w:val="00474C80"/>
    <w:rsid w:val="004770F4"/>
    <w:rsid w:val="004851BF"/>
    <w:rsid w:val="0049329C"/>
    <w:rsid w:val="00497836"/>
    <w:rsid w:val="004A2518"/>
    <w:rsid w:val="004A32EB"/>
    <w:rsid w:val="004B09AA"/>
    <w:rsid w:val="004C372B"/>
    <w:rsid w:val="004C5554"/>
    <w:rsid w:val="004C623A"/>
    <w:rsid w:val="004C640E"/>
    <w:rsid w:val="004C6672"/>
    <w:rsid w:val="004D5F3C"/>
    <w:rsid w:val="004E0640"/>
    <w:rsid w:val="004E5664"/>
    <w:rsid w:val="004E5961"/>
    <w:rsid w:val="004F3789"/>
    <w:rsid w:val="005008C4"/>
    <w:rsid w:val="00503601"/>
    <w:rsid w:val="00512E5C"/>
    <w:rsid w:val="005239F9"/>
    <w:rsid w:val="00523CDC"/>
    <w:rsid w:val="00524D16"/>
    <w:rsid w:val="00526599"/>
    <w:rsid w:val="0052770E"/>
    <w:rsid w:val="00531EFB"/>
    <w:rsid w:val="00541281"/>
    <w:rsid w:val="00547559"/>
    <w:rsid w:val="0055408F"/>
    <w:rsid w:val="00566634"/>
    <w:rsid w:val="00571702"/>
    <w:rsid w:val="00571C58"/>
    <w:rsid w:val="005723D6"/>
    <w:rsid w:val="00572DD2"/>
    <w:rsid w:val="0057634A"/>
    <w:rsid w:val="00580928"/>
    <w:rsid w:val="00584E86"/>
    <w:rsid w:val="00587751"/>
    <w:rsid w:val="0059346B"/>
    <w:rsid w:val="00594937"/>
    <w:rsid w:val="005A28C6"/>
    <w:rsid w:val="005A7C5B"/>
    <w:rsid w:val="005B022E"/>
    <w:rsid w:val="005B1C58"/>
    <w:rsid w:val="005C2F9E"/>
    <w:rsid w:val="005C5F2A"/>
    <w:rsid w:val="005E1D03"/>
    <w:rsid w:val="005E205D"/>
    <w:rsid w:val="005E6D38"/>
    <w:rsid w:val="005F39E5"/>
    <w:rsid w:val="005F3DE3"/>
    <w:rsid w:val="005F3FDD"/>
    <w:rsid w:val="005F49A5"/>
    <w:rsid w:val="005F616F"/>
    <w:rsid w:val="00601291"/>
    <w:rsid w:val="00604ACB"/>
    <w:rsid w:val="0061227C"/>
    <w:rsid w:val="00613F56"/>
    <w:rsid w:val="006167CE"/>
    <w:rsid w:val="00620DDC"/>
    <w:rsid w:val="0062181C"/>
    <w:rsid w:val="00622319"/>
    <w:rsid w:val="006234F7"/>
    <w:rsid w:val="006239E8"/>
    <w:rsid w:val="00623B91"/>
    <w:rsid w:val="00627E36"/>
    <w:rsid w:val="00632229"/>
    <w:rsid w:val="00633531"/>
    <w:rsid w:val="00635662"/>
    <w:rsid w:val="00636FB5"/>
    <w:rsid w:val="00637067"/>
    <w:rsid w:val="0064298F"/>
    <w:rsid w:val="0064433D"/>
    <w:rsid w:val="00647582"/>
    <w:rsid w:val="00647A3D"/>
    <w:rsid w:val="006537C1"/>
    <w:rsid w:val="00654D2B"/>
    <w:rsid w:val="00657F57"/>
    <w:rsid w:val="006630CA"/>
    <w:rsid w:val="00676FF7"/>
    <w:rsid w:val="0068219A"/>
    <w:rsid w:val="00682584"/>
    <w:rsid w:val="00685EAA"/>
    <w:rsid w:val="00693091"/>
    <w:rsid w:val="0069328F"/>
    <w:rsid w:val="006958A2"/>
    <w:rsid w:val="006964F4"/>
    <w:rsid w:val="006A2712"/>
    <w:rsid w:val="006A4537"/>
    <w:rsid w:val="006A56A1"/>
    <w:rsid w:val="006A5E59"/>
    <w:rsid w:val="006A7D54"/>
    <w:rsid w:val="006B5C45"/>
    <w:rsid w:val="006C1F7B"/>
    <w:rsid w:val="006C620F"/>
    <w:rsid w:val="006D07C7"/>
    <w:rsid w:val="006E13FC"/>
    <w:rsid w:val="006E3F8C"/>
    <w:rsid w:val="006F43FB"/>
    <w:rsid w:val="006F6B63"/>
    <w:rsid w:val="00700EC3"/>
    <w:rsid w:val="00703887"/>
    <w:rsid w:val="00706F8E"/>
    <w:rsid w:val="00714AB0"/>
    <w:rsid w:val="00723F2D"/>
    <w:rsid w:val="00724FD7"/>
    <w:rsid w:val="00731533"/>
    <w:rsid w:val="00735402"/>
    <w:rsid w:val="0074064F"/>
    <w:rsid w:val="007448E4"/>
    <w:rsid w:val="00750AA3"/>
    <w:rsid w:val="00750AA7"/>
    <w:rsid w:val="00755F23"/>
    <w:rsid w:val="007635A1"/>
    <w:rsid w:val="007716AA"/>
    <w:rsid w:val="00771F1A"/>
    <w:rsid w:val="00777284"/>
    <w:rsid w:val="00777AC7"/>
    <w:rsid w:val="00783ADD"/>
    <w:rsid w:val="00784BB8"/>
    <w:rsid w:val="00795FCE"/>
    <w:rsid w:val="00797915"/>
    <w:rsid w:val="00797F22"/>
    <w:rsid w:val="007A0E80"/>
    <w:rsid w:val="007A65D1"/>
    <w:rsid w:val="007A6732"/>
    <w:rsid w:val="007B1224"/>
    <w:rsid w:val="007B246F"/>
    <w:rsid w:val="007B2723"/>
    <w:rsid w:val="007C29D5"/>
    <w:rsid w:val="007C2F7A"/>
    <w:rsid w:val="007C5FE2"/>
    <w:rsid w:val="007C6DEC"/>
    <w:rsid w:val="007C7F5C"/>
    <w:rsid w:val="007D2B25"/>
    <w:rsid w:val="007E1A2A"/>
    <w:rsid w:val="007F1E22"/>
    <w:rsid w:val="007F5F49"/>
    <w:rsid w:val="008013DA"/>
    <w:rsid w:val="008014C0"/>
    <w:rsid w:val="00803857"/>
    <w:rsid w:val="008077C1"/>
    <w:rsid w:val="008078F0"/>
    <w:rsid w:val="00822C43"/>
    <w:rsid w:val="00823065"/>
    <w:rsid w:val="00824CF6"/>
    <w:rsid w:val="00831749"/>
    <w:rsid w:val="00832D0C"/>
    <w:rsid w:val="00836137"/>
    <w:rsid w:val="0083793C"/>
    <w:rsid w:val="00841612"/>
    <w:rsid w:val="008529E3"/>
    <w:rsid w:val="0085713A"/>
    <w:rsid w:val="00860B5D"/>
    <w:rsid w:val="00862B5A"/>
    <w:rsid w:val="00862CE2"/>
    <w:rsid w:val="00862DD1"/>
    <w:rsid w:val="008653DE"/>
    <w:rsid w:val="00874C53"/>
    <w:rsid w:val="00896747"/>
    <w:rsid w:val="008A50EB"/>
    <w:rsid w:val="008A72AF"/>
    <w:rsid w:val="008B0FA0"/>
    <w:rsid w:val="008C7E4D"/>
    <w:rsid w:val="008D2D70"/>
    <w:rsid w:val="008D4C4B"/>
    <w:rsid w:val="008E21C0"/>
    <w:rsid w:val="008E23E0"/>
    <w:rsid w:val="008F0970"/>
    <w:rsid w:val="008F0BCA"/>
    <w:rsid w:val="008F65C7"/>
    <w:rsid w:val="00901401"/>
    <w:rsid w:val="00912279"/>
    <w:rsid w:val="00923E69"/>
    <w:rsid w:val="00936316"/>
    <w:rsid w:val="00936CF1"/>
    <w:rsid w:val="009420A0"/>
    <w:rsid w:val="00944088"/>
    <w:rsid w:val="009578B5"/>
    <w:rsid w:val="0096070C"/>
    <w:rsid w:val="00961557"/>
    <w:rsid w:val="0097113E"/>
    <w:rsid w:val="00976F29"/>
    <w:rsid w:val="00984795"/>
    <w:rsid w:val="009879DD"/>
    <w:rsid w:val="00993958"/>
    <w:rsid w:val="009943D8"/>
    <w:rsid w:val="009A043D"/>
    <w:rsid w:val="009A0625"/>
    <w:rsid w:val="009B0B39"/>
    <w:rsid w:val="009B1DEB"/>
    <w:rsid w:val="009B2AC6"/>
    <w:rsid w:val="009D42CC"/>
    <w:rsid w:val="009D5D9C"/>
    <w:rsid w:val="009D72E8"/>
    <w:rsid w:val="009E114F"/>
    <w:rsid w:val="009E689D"/>
    <w:rsid w:val="009F1725"/>
    <w:rsid w:val="009F3340"/>
    <w:rsid w:val="009F5BBA"/>
    <w:rsid w:val="009F7947"/>
    <w:rsid w:val="00A05181"/>
    <w:rsid w:val="00A10AB2"/>
    <w:rsid w:val="00A113AC"/>
    <w:rsid w:val="00A13039"/>
    <w:rsid w:val="00A17280"/>
    <w:rsid w:val="00A22815"/>
    <w:rsid w:val="00A2282E"/>
    <w:rsid w:val="00A2459E"/>
    <w:rsid w:val="00A37819"/>
    <w:rsid w:val="00A45504"/>
    <w:rsid w:val="00A51CE4"/>
    <w:rsid w:val="00A54DB2"/>
    <w:rsid w:val="00A54E33"/>
    <w:rsid w:val="00A67EEB"/>
    <w:rsid w:val="00A71C7A"/>
    <w:rsid w:val="00A7338C"/>
    <w:rsid w:val="00A74431"/>
    <w:rsid w:val="00A85F93"/>
    <w:rsid w:val="00A951C0"/>
    <w:rsid w:val="00A9680D"/>
    <w:rsid w:val="00A97FE7"/>
    <w:rsid w:val="00AA5569"/>
    <w:rsid w:val="00AB6011"/>
    <w:rsid w:val="00AC1719"/>
    <w:rsid w:val="00AD0407"/>
    <w:rsid w:val="00AD47C7"/>
    <w:rsid w:val="00AE0C2F"/>
    <w:rsid w:val="00AE1C43"/>
    <w:rsid w:val="00AE2227"/>
    <w:rsid w:val="00AF2964"/>
    <w:rsid w:val="00AF4B77"/>
    <w:rsid w:val="00B10F36"/>
    <w:rsid w:val="00B262DB"/>
    <w:rsid w:val="00B30034"/>
    <w:rsid w:val="00B324B9"/>
    <w:rsid w:val="00B37DE8"/>
    <w:rsid w:val="00B5364B"/>
    <w:rsid w:val="00B618C6"/>
    <w:rsid w:val="00B67895"/>
    <w:rsid w:val="00B70A6A"/>
    <w:rsid w:val="00B73FA3"/>
    <w:rsid w:val="00B83C44"/>
    <w:rsid w:val="00B83F1B"/>
    <w:rsid w:val="00B903C5"/>
    <w:rsid w:val="00B94E89"/>
    <w:rsid w:val="00BA5377"/>
    <w:rsid w:val="00BC1F9A"/>
    <w:rsid w:val="00BC3337"/>
    <w:rsid w:val="00BC65A3"/>
    <w:rsid w:val="00BE28F5"/>
    <w:rsid w:val="00BE3BF8"/>
    <w:rsid w:val="00C00A80"/>
    <w:rsid w:val="00C00D1E"/>
    <w:rsid w:val="00C03EBC"/>
    <w:rsid w:val="00C0740B"/>
    <w:rsid w:val="00C13F96"/>
    <w:rsid w:val="00C15FE2"/>
    <w:rsid w:val="00C235F0"/>
    <w:rsid w:val="00C24C35"/>
    <w:rsid w:val="00C252E1"/>
    <w:rsid w:val="00C34F4D"/>
    <w:rsid w:val="00C37711"/>
    <w:rsid w:val="00C54234"/>
    <w:rsid w:val="00C54367"/>
    <w:rsid w:val="00C632C8"/>
    <w:rsid w:val="00C6538B"/>
    <w:rsid w:val="00C72743"/>
    <w:rsid w:val="00C7488A"/>
    <w:rsid w:val="00C75F3B"/>
    <w:rsid w:val="00C76771"/>
    <w:rsid w:val="00C80E71"/>
    <w:rsid w:val="00C83931"/>
    <w:rsid w:val="00C87ABB"/>
    <w:rsid w:val="00C95BB3"/>
    <w:rsid w:val="00CA1930"/>
    <w:rsid w:val="00CA5640"/>
    <w:rsid w:val="00CB09B9"/>
    <w:rsid w:val="00CB0C6F"/>
    <w:rsid w:val="00CB577D"/>
    <w:rsid w:val="00CB6D5C"/>
    <w:rsid w:val="00CC21B4"/>
    <w:rsid w:val="00CC3D9D"/>
    <w:rsid w:val="00CC52A4"/>
    <w:rsid w:val="00CC6D17"/>
    <w:rsid w:val="00CE0C90"/>
    <w:rsid w:val="00CE49CB"/>
    <w:rsid w:val="00CE50C1"/>
    <w:rsid w:val="00CF164E"/>
    <w:rsid w:val="00CF5D2B"/>
    <w:rsid w:val="00CF6385"/>
    <w:rsid w:val="00CF7C15"/>
    <w:rsid w:val="00D00624"/>
    <w:rsid w:val="00D0194A"/>
    <w:rsid w:val="00D03304"/>
    <w:rsid w:val="00D06DDB"/>
    <w:rsid w:val="00D071C7"/>
    <w:rsid w:val="00D27E4E"/>
    <w:rsid w:val="00D31A74"/>
    <w:rsid w:val="00D32028"/>
    <w:rsid w:val="00D35980"/>
    <w:rsid w:val="00D35BCD"/>
    <w:rsid w:val="00D400F4"/>
    <w:rsid w:val="00D4675B"/>
    <w:rsid w:val="00D51723"/>
    <w:rsid w:val="00D56EFE"/>
    <w:rsid w:val="00D71D5A"/>
    <w:rsid w:val="00D72097"/>
    <w:rsid w:val="00D75813"/>
    <w:rsid w:val="00D94302"/>
    <w:rsid w:val="00D969A3"/>
    <w:rsid w:val="00DA009E"/>
    <w:rsid w:val="00DA1E8F"/>
    <w:rsid w:val="00DB2A68"/>
    <w:rsid w:val="00DC29D8"/>
    <w:rsid w:val="00DC3CA3"/>
    <w:rsid w:val="00DC5D06"/>
    <w:rsid w:val="00DC61AE"/>
    <w:rsid w:val="00DD2B18"/>
    <w:rsid w:val="00DD2FE5"/>
    <w:rsid w:val="00DD676F"/>
    <w:rsid w:val="00DE339A"/>
    <w:rsid w:val="00DE4491"/>
    <w:rsid w:val="00DE7D48"/>
    <w:rsid w:val="00DF6A3A"/>
    <w:rsid w:val="00DF6A6C"/>
    <w:rsid w:val="00E02F30"/>
    <w:rsid w:val="00E05B33"/>
    <w:rsid w:val="00E06EEA"/>
    <w:rsid w:val="00E07BDF"/>
    <w:rsid w:val="00E10007"/>
    <w:rsid w:val="00E153F5"/>
    <w:rsid w:val="00E276CA"/>
    <w:rsid w:val="00E322B2"/>
    <w:rsid w:val="00E34A6C"/>
    <w:rsid w:val="00E41F5C"/>
    <w:rsid w:val="00E56404"/>
    <w:rsid w:val="00E575A6"/>
    <w:rsid w:val="00E57C9C"/>
    <w:rsid w:val="00E74056"/>
    <w:rsid w:val="00E74988"/>
    <w:rsid w:val="00E74C44"/>
    <w:rsid w:val="00E76909"/>
    <w:rsid w:val="00E801FE"/>
    <w:rsid w:val="00E84A18"/>
    <w:rsid w:val="00E863D6"/>
    <w:rsid w:val="00E912F3"/>
    <w:rsid w:val="00E915A5"/>
    <w:rsid w:val="00E915FE"/>
    <w:rsid w:val="00E9576C"/>
    <w:rsid w:val="00EA7449"/>
    <w:rsid w:val="00EB2B3F"/>
    <w:rsid w:val="00EB6226"/>
    <w:rsid w:val="00EB636B"/>
    <w:rsid w:val="00EC01C3"/>
    <w:rsid w:val="00EC1925"/>
    <w:rsid w:val="00EC4683"/>
    <w:rsid w:val="00EC7096"/>
    <w:rsid w:val="00ED07C4"/>
    <w:rsid w:val="00ED5E0F"/>
    <w:rsid w:val="00EF3FAB"/>
    <w:rsid w:val="00F02CEA"/>
    <w:rsid w:val="00F0570A"/>
    <w:rsid w:val="00F05FC6"/>
    <w:rsid w:val="00F07B87"/>
    <w:rsid w:val="00F135CD"/>
    <w:rsid w:val="00F243D1"/>
    <w:rsid w:val="00F264A3"/>
    <w:rsid w:val="00F35F09"/>
    <w:rsid w:val="00F4225A"/>
    <w:rsid w:val="00F44595"/>
    <w:rsid w:val="00F51259"/>
    <w:rsid w:val="00F513D5"/>
    <w:rsid w:val="00F51B70"/>
    <w:rsid w:val="00F51D2C"/>
    <w:rsid w:val="00F531D0"/>
    <w:rsid w:val="00F56AA6"/>
    <w:rsid w:val="00F6003D"/>
    <w:rsid w:val="00F61D73"/>
    <w:rsid w:val="00F66580"/>
    <w:rsid w:val="00F731C0"/>
    <w:rsid w:val="00F73FCD"/>
    <w:rsid w:val="00F76264"/>
    <w:rsid w:val="00F770CC"/>
    <w:rsid w:val="00F846A9"/>
    <w:rsid w:val="00F847A9"/>
    <w:rsid w:val="00FA1A09"/>
    <w:rsid w:val="00FA40BB"/>
    <w:rsid w:val="00FB64B3"/>
    <w:rsid w:val="00FC1C7A"/>
    <w:rsid w:val="00FD0ABF"/>
    <w:rsid w:val="00FD11A5"/>
    <w:rsid w:val="00FD2FAC"/>
    <w:rsid w:val="00FD67D4"/>
    <w:rsid w:val="00FE0B22"/>
    <w:rsid w:val="00FE0C77"/>
    <w:rsid w:val="00FE222F"/>
    <w:rsid w:val="00FE256C"/>
    <w:rsid w:val="00FE40F3"/>
    <w:rsid w:val="00FE58F1"/>
    <w:rsid w:val="00FF02C9"/>
    <w:rsid w:val="00FF41E4"/>
    <w:rsid w:val="00FF47B8"/>
    <w:rsid w:val="00FF6290"/>
    <w:rsid w:val="00FF6DF5"/>
    <w:rsid w:val="00FF757A"/>
  </w:rsids>
  <m:mathPr>
    <m:mathFont m:val="Cambria Math"/>
    <m:brkBin m:val="before"/>
    <m:brkBinSub m:val="--"/>
    <m:smallFrac m:val="0"/>
    <m:dispDef/>
    <m:lMargin m:val="0"/>
    <m:rMargin m:val="0"/>
    <m:defJc m:val="centerGroup"/>
    <m:wrapIndent m:val="1440"/>
    <m:intLim m:val="subSup"/>
    <m:naryLim m:val="undOvr"/>
  </m:mathPr>
  <w:themeFontLang w:val="fi-F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7F78"/>
  <w15:chartTrackingRefBased/>
  <w15:docId w15:val="{72289060-9747-4883-BAC8-C7837E19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096"/>
    <w:rPr>
      <w:color w:val="0000FF" w:themeColor="hyperlink"/>
      <w:u w:val="single"/>
    </w:rPr>
  </w:style>
  <w:style w:type="paragraph" w:styleId="ListParagraph">
    <w:name w:val="List Paragraph"/>
    <w:basedOn w:val="Normal"/>
    <w:uiPriority w:val="34"/>
    <w:qFormat/>
    <w:rsid w:val="009D42CC"/>
    <w:pPr>
      <w:ind w:left="720"/>
      <w:contextualSpacing/>
    </w:pPr>
  </w:style>
  <w:style w:type="paragraph" w:styleId="BalloonText">
    <w:name w:val="Balloon Text"/>
    <w:basedOn w:val="Normal"/>
    <w:link w:val="BalloonTextChar"/>
    <w:uiPriority w:val="99"/>
    <w:semiHidden/>
    <w:unhideWhenUsed/>
    <w:rsid w:val="00450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kus.haapanen@helsinki.f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F4540-8824-47BC-9FCA-BE65FA20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14657</Words>
  <Characters>83547</Characters>
  <Application>Microsoft Office Word</Application>
  <DocSecurity>4</DocSecurity>
  <Lines>696</Lines>
  <Paragraphs>196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98008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Haapanen</dc:creator>
  <cp:keywords/>
  <dc:description/>
  <cp:lastModifiedBy>Karen Drake</cp:lastModifiedBy>
  <cp:revision>2</cp:revision>
  <cp:lastPrinted>2018-07-31T15:08:00Z</cp:lastPrinted>
  <dcterms:created xsi:type="dcterms:W3CDTF">2018-07-31T15:11:00Z</dcterms:created>
  <dcterms:modified xsi:type="dcterms:W3CDTF">2018-07-31T15:11:00Z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http://www.zotero.org/styles/age</vt:lpwstr>
  </property>
  <property fmtid="{D5CDD505-2E9C-101B-9397-08002B2CF9AE}" pid="3" name="Mendeley Recent Style Name 0_1">
    <vt:lpwstr>AGE</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http://www.zotero.org/styles/bmc-geriatrics</vt:lpwstr>
  </property>
  <property fmtid="{D5CDD505-2E9C-101B-9397-08002B2CF9AE}" pid="11" name="Mendeley Recent Style Name 4_1">
    <vt:lpwstr>BMC Geriatrics</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16th edition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http://www.zotero.org/styles/psychosomatic-medicine</vt:lpwstr>
  </property>
  <property fmtid="{D5CDD505-2E9C-101B-9397-08002B2CF9AE}" pid="19" name="Mendeley Recent Style Name 8_1">
    <vt:lpwstr>Psychosomatic Medicine</vt:lpwstr>
  </property>
  <property fmtid="{D5CDD505-2E9C-101B-9397-08002B2CF9AE}" pid="20" name="Mendeley Recent Style Id 9_1">
    <vt:lpwstr>http://www.zotero.org/styles/the-journals-of-gerontology-series-a</vt:lpwstr>
  </property>
  <property fmtid="{D5CDD505-2E9C-101B-9397-08002B2CF9AE}" pid="21" name="Mendeley Recent Style Name 9_1">
    <vt:lpwstr>The Journals of Gerontology, Series A: Biological Sciences and Medical Sciences</vt:lpwstr>
  </property>
  <property fmtid="{D5CDD505-2E9C-101B-9397-08002B2CF9AE}" pid="22" name="Mendeley Document_1">
    <vt:lpwstr>True</vt:lpwstr>
  </property>
  <property fmtid="{D5CDD505-2E9C-101B-9397-08002B2CF9AE}" pid="23" name="Mendeley Unique User Id_1">
    <vt:lpwstr>b599d836-a7ac-3d89-b576-b985ae6a4a88</vt:lpwstr>
  </property>
  <property fmtid="{D5CDD505-2E9C-101B-9397-08002B2CF9AE}" pid="24" name="Mendeley Citation Style_1">
    <vt:lpwstr>http://www.zotero.org/styles/the-journals-of-gerontology-series-a</vt:lpwstr>
  </property>
</Properties>
</file>