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039F7" w:rsidRPr="0049466F" w:rsidTr="00E96888">
        <w:tc>
          <w:tcPr>
            <w:tcW w:w="8856" w:type="dxa"/>
          </w:tcPr>
          <w:p w:rsidR="007039F7" w:rsidRPr="0049466F" w:rsidRDefault="007039F7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:rsidR="007039F7" w:rsidRDefault="007039F7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Supplementary </w:t>
            </w: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Figure 5b.</w:t>
            </w: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Stacked bar graph showing length of the intervention (weeks) across each OMAHA category used to deliver intervention. Key: CM: case management intervention category; SURV: surveillance intervention category; TGC: teaching, guidance and counselling intervention category; TP: treatment and procedure intervention category; UNC: unclear</w:t>
            </w:r>
          </w:p>
          <w:p w:rsidR="007039F7" w:rsidRPr="0049466F" w:rsidRDefault="007039F7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7039F7" w:rsidRPr="0049466F" w:rsidTr="00E96888">
        <w:tc>
          <w:tcPr>
            <w:tcW w:w="8856" w:type="dxa"/>
          </w:tcPr>
          <w:p w:rsidR="007039F7" w:rsidRPr="0049466F" w:rsidRDefault="007039F7" w:rsidP="00E96888">
            <w:pPr>
              <w:rPr>
                <w:rFonts w:asciiTheme="majorHAnsi" w:hAnsiTheme="majorHAnsi"/>
                <w:sz w:val="22"/>
                <w:szCs w:val="22"/>
              </w:rPr>
            </w:pPr>
            <w:r w:rsidRPr="0049466F">
              <w:rPr>
                <w:rFonts w:asciiTheme="majorHAnsi" w:hAnsiTheme="majorHAns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0C081F71" wp14:editId="2EAAD977">
                  <wp:extent cx="5486400" cy="3306445"/>
                  <wp:effectExtent l="0" t="0" r="25400" b="20955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</w:tbl>
    <w:p w:rsidR="00042F59" w:rsidRDefault="007039F7">
      <w:bookmarkStart w:id="0" w:name="_GoBack"/>
      <w:bookmarkEnd w:id="0"/>
    </w:p>
    <w:sectPr w:rsidR="00042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17"/>
    <w:rsid w:val="001C4FE7"/>
    <w:rsid w:val="007039F7"/>
    <w:rsid w:val="00920017"/>
    <w:rsid w:val="00B6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0BE13-7C98-4281-A124-65E9AC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F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9F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aulinecampbell:Dropbox:RECaN%20working%20data%20fi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Sheet6!$B$1</c:f>
              <c:strCache>
                <c:ptCount val="1"/>
                <c:pt idx="0">
                  <c:v>CM</c:v>
                </c:pt>
              </c:strCache>
            </c:strRef>
          </c:tx>
          <c:invertIfNegative val="0"/>
          <c:cat>
            <c:strRef>
              <c:f>Sheet6!$A$2:$A$8</c:f>
              <c:strCache>
                <c:ptCount val="7"/>
                <c:pt idx="0">
                  <c:v>1 to 3 weeks </c:v>
                </c:pt>
                <c:pt idx="1">
                  <c:v>4 to 6 weeks</c:v>
                </c:pt>
                <c:pt idx="2">
                  <c:v>7 to 12 weeks</c:v>
                </c:pt>
                <c:pt idx="3">
                  <c:v>13 to 26 weeks</c:v>
                </c:pt>
                <c:pt idx="4">
                  <c:v>27 to 52</c:v>
                </c:pt>
                <c:pt idx="5">
                  <c:v>&gt;53</c:v>
                </c:pt>
                <c:pt idx="6">
                  <c:v>UNC</c:v>
                </c:pt>
              </c:strCache>
            </c:strRef>
          </c:cat>
          <c:val>
            <c:numRef>
              <c:f>Sheet6!$B$2:$B$8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  <c:pt idx="4">
                  <c:v>7</c:v>
                </c:pt>
                <c:pt idx="5">
                  <c:v>2</c:v>
                </c:pt>
                <c:pt idx="6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79-4750-9693-2B9B6827E063}"/>
            </c:ext>
          </c:extLst>
        </c:ser>
        <c:ser>
          <c:idx val="1"/>
          <c:order val="1"/>
          <c:tx>
            <c:strRef>
              <c:f>Sheet6!$C$1</c:f>
              <c:strCache>
                <c:ptCount val="1"/>
                <c:pt idx="0">
                  <c:v>SURV</c:v>
                </c:pt>
              </c:strCache>
            </c:strRef>
          </c:tx>
          <c:invertIfNegative val="0"/>
          <c:cat>
            <c:strRef>
              <c:f>Sheet6!$A$2:$A$8</c:f>
              <c:strCache>
                <c:ptCount val="7"/>
                <c:pt idx="0">
                  <c:v>1 to 3 weeks </c:v>
                </c:pt>
                <c:pt idx="1">
                  <c:v>4 to 6 weeks</c:v>
                </c:pt>
                <c:pt idx="2">
                  <c:v>7 to 12 weeks</c:v>
                </c:pt>
                <c:pt idx="3">
                  <c:v>13 to 26 weeks</c:v>
                </c:pt>
                <c:pt idx="4">
                  <c:v>27 to 52</c:v>
                </c:pt>
                <c:pt idx="5">
                  <c:v>&gt;53</c:v>
                </c:pt>
                <c:pt idx="6">
                  <c:v>UNC</c:v>
                </c:pt>
              </c:strCache>
            </c:strRef>
          </c:cat>
          <c:val>
            <c:numRef>
              <c:f>Sheet6!$C$2:$C$8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79-4750-9693-2B9B6827E063}"/>
            </c:ext>
          </c:extLst>
        </c:ser>
        <c:ser>
          <c:idx val="2"/>
          <c:order val="2"/>
          <c:tx>
            <c:strRef>
              <c:f>Sheet6!$D$1</c:f>
              <c:strCache>
                <c:ptCount val="1"/>
                <c:pt idx="0">
                  <c:v>TGC</c:v>
                </c:pt>
              </c:strCache>
            </c:strRef>
          </c:tx>
          <c:invertIfNegative val="0"/>
          <c:cat>
            <c:strRef>
              <c:f>Sheet6!$A$2:$A$8</c:f>
              <c:strCache>
                <c:ptCount val="7"/>
                <c:pt idx="0">
                  <c:v>1 to 3 weeks </c:v>
                </c:pt>
                <c:pt idx="1">
                  <c:v>4 to 6 weeks</c:v>
                </c:pt>
                <c:pt idx="2">
                  <c:v>7 to 12 weeks</c:v>
                </c:pt>
                <c:pt idx="3">
                  <c:v>13 to 26 weeks</c:v>
                </c:pt>
                <c:pt idx="4">
                  <c:v>27 to 52</c:v>
                </c:pt>
                <c:pt idx="5">
                  <c:v>&gt;53</c:v>
                </c:pt>
                <c:pt idx="6">
                  <c:v>UNC</c:v>
                </c:pt>
              </c:strCache>
            </c:strRef>
          </c:cat>
          <c:val>
            <c:numRef>
              <c:f>Sheet6!$D$2:$D$8</c:f>
              <c:numCache>
                <c:formatCode>General</c:formatCode>
                <c:ptCount val="7"/>
                <c:pt idx="0">
                  <c:v>21</c:v>
                </c:pt>
                <c:pt idx="1">
                  <c:v>31</c:v>
                </c:pt>
                <c:pt idx="2">
                  <c:v>17</c:v>
                </c:pt>
                <c:pt idx="3">
                  <c:v>23</c:v>
                </c:pt>
                <c:pt idx="4">
                  <c:v>4</c:v>
                </c:pt>
                <c:pt idx="5">
                  <c:v>3</c:v>
                </c:pt>
                <c:pt idx="6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79-4750-9693-2B9B6827E063}"/>
            </c:ext>
          </c:extLst>
        </c:ser>
        <c:ser>
          <c:idx val="3"/>
          <c:order val="3"/>
          <c:tx>
            <c:strRef>
              <c:f>Sheet6!$E$1</c:f>
              <c:strCache>
                <c:ptCount val="1"/>
                <c:pt idx="0">
                  <c:v>TP</c:v>
                </c:pt>
              </c:strCache>
            </c:strRef>
          </c:tx>
          <c:invertIfNegative val="0"/>
          <c:cat>
            <c:strRef>
              <c:f>Sheet6!$A$2:$A$8</c:f>
              <c:strCache>
                <c:ptCount val="7"/>
                <c:pt idx="0">
                  <c:v>1 to 3 weeks </c:v>
                </c:pt>
                <c:pt idx="1">
                  <c:v>4 to 6 weeks</c:v>
                </c:pt>
                <c:pt idx="2">
                  <c:v>7 to 12 weeks</c:v>
                </c:pt>
                <c:pt idx="3">
                  <c:v>13 to 26 weeks</c:v>
                </c:pt>
                <c:pt idx="4">
                  <c:v>27 to 52</c:v>
                </c:pt>
                <c:pt idx="5">
                  <c:v>&gt;53</c:v>
                </c:pt>
                <c:pt idx="6">
                  <c:v>UNC</c:v>
                </c:pt>
              </c:strCache>
            </c:strRef>
          </c:cat>
          <c:val>
            <c:numRef>
              <c:f>Sheet6!$E$2:$E$8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79-4750-9693-2B9B6827E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1261744"/>
        <c:axId val="121262304"/>
      </c:barChart>
      <c:catAx>
        <c:axId val="121261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262304"/>
        <c:crosses val="autoZero"/>
        <c:auto val="1"/>
        <c:lblAlgn val="ctr"/>
        <c:lblOffset val="100"/>
        <c:noMultiLvlLbl val="0"/>
      </c:catAx>
      <c:valAx>
        <c:axId val="1212623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latin typeface="+mj-lt"/>
                  </a:defRPr>
                </a:pPr>
                <a:r>
                  <a:rPr lang="en-US">
                    <a:latin typeface="+mj-lt"/>
                  </a:rPr>
                  <a:t>Length</a:t>
                </a:r>
                <a:r>
                  <a:rPr lang="en-US" baseline="0">
                    <a:latin typeface="+mj-lt"/>
                  </a:rPr>
                  <a:t> of intervention</a:t>
                </a:r>
                <a:endParaRPr lang="en-US">
                  <a:latin typeface="+mj-lt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12617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+mj-lt"/>
              </a:defRPr>
            </a:pPr>
            <a:endParaRPr lang="el-GR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2</cp:revision>
  <dcterms:created xsi:type="dcterms:W3CDTF">2017-12-28T14:46:00Z</dcterms:created>
  <dcterms:modified xsi:type="dcterms:W3CDTF">2017-12-28T14:46:00Z</dcterms:modified>
</cp:coreProperties>
</file>