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18" w:rsidRPr="0049466F" w:rsidRDefault="00AD7A18" w:rsidP="00AD7A18">
      <w:pPr>
        <w:spacing w:line="360" w:lineRule="auto"/>
        <w:rPr>
          <w:rFonts w:asciiTheme="majorHAnsi" w:hAnsiTheme="majorHAnsi" w:cs="Times New Roman"/>
          <w:sz w:val="22"/>
          <w:szCs w:val="22"/>
        </w:rPr>
      </w:pPr>
      <w:bookmarkStart w:id="0" w:name="_GoBack"/>
      <w:bookmarkEnd w:id="0"/>
      <w:r w:rsidRPr="0049466F">
        <w:rPr>
          <w:rFonts w:asciiTheme="majorHAnsi" w:hAnsiTheme="majorHAnsi" w:cs="Times New Roman"/>
          <w:sz w:val="22"/>
          <w:szCs w:val="22"/>
        </w:rPr>
        <w:t xml:space="preserve">Table 1. Criteria for classification of interventions using the OMAHA core categories </w:t>
      </w:r>
    </w:p>
    <w:tbl>
      <w:tblPr>
        <w:tblStyle w:val="TableGrid"/>
        <w:tblW w:w="9781" w:type="dxa"/>
        <w:tblInd w:w="-459" w:type="dxa"/>
        <w:tblLook w:val="04A0" w:firstRow="1" w:lastRow="0" w:firstColumn="1" w:lastColumn="0" w:noHBand="0" w:noVBand="1"/>
      </w:tblPr>
      <w:tblGrid>
        <w:gridCol w:w="1406"/>
        <w:gridCol w:w="3524"/>
        <w:gridCol w:w="4851"/>
      </w:tblGrid>
      <w:tr w:rsidR="00AD7A18" w:rsidRPr="0049466F" w:rsidTr="00E96888">
        <w:tc>
          <w:tcPr>
            <w:tcW w:w="1276" w:type="dxa"/>
          </w:tcPr>
          <w:p w:rsidR="00AD7A18" w:rsidRPr="0049466F" w:rsidRDefault="00AD7A18" w:rsidP="00E96888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b/>
                <w:sz w:val="22"/>
                <w:szCs w:val="22"/>
              </w:rPr>
              <w:t>OMAHA category</w:t>
            </w:r>
          </w:p>
        </w:tc>
        <w:tc>
          <w:tcPr>
            <w:tcW w:w="3544" w:type="dxa"/>
          </w:tcPr>
          <w:p w:rsidR="00AD7A18" w:rsidRPr="0049466F" w:rsidRDefault="00AD7A18" w:rsidP="00E96888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b/>
                <w:sz w:val="22"/>
                <w:szCs w:val="22"/>
              </w:rPr>
              <w:t>OMAHA description</w:t>
            </w:r>
          </w:p>
        </w:tc>
        <w:tc>
          <w:tcPr>
            <w:tcW w:w="4961" w:type="dxa"/>
          </w:tcPr>
          <w:p w:rsidR="00AD7A18" w:rsidRPr="0049466F" w:rsidRDefault="00AD7A18" w:rsidP="00E96888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Additional descriptors guiding decisions made by the </w:t>
            </w:r>
            <w:proofErr w:type="spellStart"/>
            <w:r w:rsidRPr="0049466F">
              <w:rPr>
                <w:rFonts w:asciiTheme="majorHAnsi" w:hAnsiTheme="majorHAnsi" w:cs="Times New Roman"/>
                <w:b/>
                <w:sz w:val="22"/>
                <w:szCs w:val="22"/>
              </w:rPr>
              <w:t>RECaN</w:t>
            </w:r>
            <w:proofErr w:type="spellEnd"/>
            <w:r w:rsidRPr="0049466F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team</w:t>
            </w:r>
          </w:p>
        </w:tc>
      </w:tr>
      <w:tr w:rsidR="00AD7A18" w:rsidRPr="0049466F" w:rsidTr="00E96888">
        <w:tc>
          <w:tcPr>
            <w:tcW w:w="1276" w:type="dxa"/>
          </w:tcPr>
          <w:p w:rsidR="00AD7A18" w:rsidRPr="0049466F" w:rsidRDefault="00AD7A18" w:rsidP="00E96888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b/>
                <w:sz w:val="22"/>
                <w:szCs w:val="22"/>
              </w:rPr>
              <w:t>Case Management</w:t>
            </w:r>
          </w:p>
        </w:tc>
        <w:tc>
          <w:tcPr>
            <w:tcW w:w="3544" w:type="dxa"/>
          </w:tcPr>
          <w:p w:rsidR="00AD7A18" w:rsidRPr="0049466F" w:rsidRDefault="00AD7A18" w:rsidP="00E96888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sz w:val="22"/>
                <w:szCs w:val="22"/>
              </w:rPr>
              <w:t>Activities such as coordination, advocacy, and referral that facilitate service delivery, improve communication among health and human service providers, promote assertiveness, and guide the individual/family/community toward use of appropriate resources.</w:t>
            </w:r>
          </w:p>
          <w:p w:rsidR="00AD7A18" w:rsidRPr="0049466F" w:rsidRDefault="00AD7A18" w:rsidP="00E96888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AD7A18" w:rsidRPr="0049466F" w:rsidRDefault="00AD7A18" w:rsidP="00E96888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sz w:val="22"/>
                <w:szCs w:val="22"/>
              </w:rPr>
              <w:t xml:space="preserve">Interventions which involved a variety of coordinated activities were classified here, including, for example, most palliative home care interventions.  Other nurse-led interventions which involved teaching and support, monitoring symptoms or medications and liaising with other health professionals (i.e. were a combination of all four core categories or described a stepped care approach involving a range of interventions) were coded as case management.  </w:t>
            </w:r>
          </w:p>
          <w:p w:rsidR="00AD7A18" w:rsidRPr="0049466F" w:rsidRDefault="00AD7A18" w:rsidP="00E96888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AD7A18" w:rsidRPr="0049466F" w:rsidTr="00E96888">
        <w:tc>
          <w:tcPr>
            <w:tcW w:w="1276" w:type="dxa"/>
          </w:tcPr>
          <w:p w:rsidR="00AD7A18" w:rsidRPr="0049466F" w:rsidRDefault="00AD7A18" w:rsidP="00E96888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b/>
                <w:sz w:val="22"/>
                <w:szCs w:val="22"/>
              </w:rPr>
              <w:t>Surveillance</w:t>
            </w:r>
          </w:p>
        </w:tc>
        <w:tc>
          <w:tcPr>
            <w:tcW w:w="3544" w:type="dxa"/>
          </w:tcPr>
          <w:p w:rsidR="00AD7A18" w:rsidRPr="0049466F" w:rsidRDefault="00AD7A18" w:rsidP="00E96888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sz w:val="22"/>
                <w:szCs w:val="22"/>
              </w:rPr>
              <w:t>Activities such as detection, measurement, critical analysis, and monitoring intended to identify the individual/family/community's status in relation to a given condition or phenomenon.</w:t>
            </w:r>
          </w:p>
          <w:p w:rsidR="00AD7A18" w:rsidRPr="0049466F" w:rsidRDefault="00AD7A18" w:rsidP="00E96888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AD7A18" w:rsidRPr="0049466F" w:rsidRDefault="00AD7A18" w:rsidP="00E96888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sz w:val="22"/>
                <w:szCs w:val="22"/>
              </w:rPr>
              <w:t>Interventions described as nurse-led follow up were usually coded to this category, however, where it was clearly described that the intervention involved complex co-ordination of care and symptom management and a range of different activities we coded this to CASE management.</w:t>
            </w:r>
          </w:p>
          <w:p w:rsidR="00AD7A18" w:rsidRPr="0049466F" w:rsidRDefault="00AD7A18" w:rsidP="00E96888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sz w:val="22"/>
                <w:szCs w:val="22"/>
              </w:rPr>
              <w:t xml:space="preserve">Interventions directed at assessing and/or monitoring symptoms, providing tailored advice for those symptoms, reporting back to oncologists </w:t>
            </w:r>
            <w:proofErr w:type="spellStart"/>
            <w:r w:rsidRPr="0049466F">
              <w:rPr>
                <w:rFonts w:asciiTheme="majorHAnsi" w:hAnsiTheme="majorHAnsi" w:cs="Times New Roman"/>
                <w:sz w:val="22"/>
                <w:szCs w:val="22"/>
              </w:rPr>
              <w:t>etc</w:t>
            </w:r>
            <w:proofErr w:type="spellEnd"/>
            <w:r w:rsidRPr="0049466F">
              <w:rPr>
                <w:rFonts w:asciiTheme="majorHAnsi" w:hAnsiTheme="majorHAnsi" w:cs="Times New Roman"/>
                <w:sz w:val="22"/>
                <w:szCs w:val="22"/>
              </w:rPr>
              <w:t xml:space="preserve"> were also </w:t>
            </w:r>
            <w:proofErr w:type="spellStart"/>
            <w:r w:rsidRPr="0049466F">
              <w:rPr>
                <w:rFonts w:asciiTheme="majorHAnsi" w:hAnsiTheme="majorHAnsi" w:cs="Times New Roman"/>
                <w:sz w:val="22"/>
                <w:szCs w:val="22"/>
              </w:rPr>
              <w:t>categorised</w:t>
            </w:r>
            <w:proofErr w:type="spellEnd"/>
            <w:r w:rsidRPr="0049466F">
              <w:rPr>
                <w:rFonts w:asciiTheme="majorHAnsi" w:hAnsiTheme="majorHAnsi" w:cs="Times New Roman"/>
                <w:sz w:val="22"/>
                <w:szCs w:val="22"/>
              </w:rPr>
              <w:t xml:space="preserve"> here.</w:t>
            </w:r>
          </w:p>
          <w:p w:rsidR="00AD7A18" w:rsidRPr="0049466F" w:rsidRDefault="00AD7A18" w:rsidP="00E96888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AD7A18" w:rsidRPr="0049466F" w:rsidTr="00E96888">
        <w:tc>
          <w:tcPr>
            <w:tcW w:w="1276" w:type="dxa"/>
          </w:tcPr>
          <w:p w:rsidR="00AD7A18" w:rsidRPr="0049466F" w:rsidRDefault="00AD7A18" w:rsidP="00E96888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b/>
                <w:sz w:val="22"/>
                <w:szCs w:val="22"/>
              </w:rPr>
              <w:t>Teaching, Guidance, and Counselling</w:t>
            </w:r>
          </w:p>
        </w:tc>
        <w:tc>
          <w:tcPr>
            <w:tcW w:w="3544" w:type="dxa"/>
          </w:tcPr>
          <w:p w:rsidR="00AD7A18" w:rsidRPr="0049466F" w:rsidRDefault="00AD7A18" w:rsidP="00E96888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sz w:val="22"/>
                <w:szCs w:val="22"/>
              </w:rPr>
              <w:t>Activities designed to provide information and materials, encourage action and responsibility for self-care and coping, and assist the individual/family/community to make decisions and solve problems</w:t>
            </w:r>
          </w:p>
        </w:tc>
        <w:tc>
          <w:tcPr>
            <w:tcW w:w="4961" w:type="dxa"/>
          </w:tcPr>
          <w:p w:rsidR="00AD7A18" w:rsidRPr="0049466F" w:rsidRDefault="00AD7A18" w:rsidP="00E96888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sz w:val="22"/>
                <w:szCs w:val="22"/>
              </w:rPr>
              <w:t xml:space="preserve">Where the intervention was described as an educational or counselling intervention and where teaching, providing information or psychosocial support were the primary focus, and these were provided using a structured protocol and for a specific aspect of care, we used this category. We included CBT interventions and those directed at equipping </w:t>
            </w:r>
            <w:proofErr w:type="spellStart"/>
            <w:r w:rsidRPr="0049466F">
              <w:rPr>
                <w:rFonts w:asciiTheme="majorHAnsi" w:hAnsiTheme="majorHAnsi" w:cs="Times New Roman"/>
                <w:sz w:val="22"/>
                <w:szCs w:val="22"/>
              </w:rPr>
              <w:t>carers</w:t>
            </w:r>
            <w:proofErr w:type="spellEnd"/>
            <w:r w:rsidRPr="0049466F">
              <w:rPr>
                <w:rFonts w:asciiTheme="majorHAnsi" w:hAnsiTheme="majorHAnsi" w:cs="Times New Roman"/>
                <w:sz w:val="22"/>
                <w:szCs w:val="22"/>
              </w:rPr>
              <w:t xml:space="preserve"> to manage care in this category. Interventions targeted at improving specific symptoms e.g. fatigue, through a mixture of education, teaching exercise and strategies were also included here.  However, if the intervention involved education AND symptom assessment, management, coordination of care and other specialists, with a particular nurse-led focus we used the category CASE Management.  If the intervention was primarily symptom </w:t>
            </w:r>
            <w:proofErr w:type="spellStart"/>
            <w:r w:rsidRPr="0049466F">
              <w:rPr>
                <w:rFonts w:asciiTheme="majorHAnsi" w:hAnsiTheme="majorHAnsi" w:cs="Times New Roman"/>
                <w:sz w:val="22"/>
                <w:szCs w:val="22"/>
              </w:rPr>
              <w:t>focussed</w:t>
            </w:r>
            <w:proofErr w:type="spellEnd"/>
            <w:r w:rsidRPr="0049466F">
              <w:rPr>
                <w:rFonts w:asciiTheme="majorHAnsi" w:hAnsiTheme="majorHAnsi" w:cs="Times New Roman"/>
                <w:sz w:val="22"/>
                <w:szCs w:val="22"/>
              </w:rPr>
              <w:t xml:space="preserve"> and included changing or administering medication it was classified as TREATMENT. However, if it was primarily symptom </w:t>
            </w:r>
            <w:proofErr w:type="spellStart"/>
            <w:r w:rsidRPr="0049466F">
              <w:rPr>
                <w:rFonts w:asciiTheme="majorHAnsi" w:hAnsiTheme="majorHAnsi" w:cs="Times New Roman"/>
                <w:sz w:val="22"/>
                <w:szCs w:val="22"/>
              </w:rPr>
              <w:t>focussed</w:t>
            </w:r>
            <w:proofErr w:type="spellEnd"/>
            <w:r w:rsidRPr="0049466F">
              <w:rPr>
                <w:rFonts w:asciiTheme="majorHAnsi" w:hAnsiTheme="majorHAnsi" w:cs="Times New Roman"/>
                <w:sz w:val="22"/>
                <w:szCs w:val="22"/>
              </w:rPr>
              <w:t xml:space="preserve"> and mainly about </w:t>
            </w:r>
            <w:r w:rsidRPr="0049466F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assessment and tailored advice /intervention for that symptom it was classified as Surveillance.</w:t>
            </w:r>
          </w:p>
        </w:tc>
      </w:tr>
      <w:tr w:rsidR="00AD7A18" w:rsidRPr="0049466F" w:rsidTr="00E96888">
        <w:tc>
          <w:tcPr>
            <w:tcW w:w="1276" w:type="dxa"/>
          </w:tcPr>
          <w:p w:rsidR="00AD7A18" w:rsidRPr="0049466F" w:rsidRDefault="00AD7A18" w:rsidP="00E96888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b/>
                <w:sz w:val="22"/>
                <w:szCs w:val="22"/>
              </w:rPr>
              <w:lastRenderedPageBreak/>
              <w:t>Treatments and Procedures</w:t>
            </w:r>
          </w:p>
        </w:tc>
        <w:tc>
          <w:tcPr>
            <w:tcW w:w="3544" w:type="dxa"/>
          </w:tcPr>
          <w:p w:rsidR="00AD7A18" w:rsidRPr="0049466F" w:rsidRDefault="00AD7A18" w:rsidP="00E96888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sz w:val="22"/>
                <w:szCs w:val="22"/>
              </w:rPr>
              <w:t>Technical activities such as wound care, specimen collection, resistive exercises, and medication prescriptions that are designed to prevent, decrease, or alleviate signs and symptoms of the individual/ family/ community.</w:t>
            </w:r>
          </w:p>
        </w:tc>
        <w:tc>
          <w:tcPr>
            <w:tcW w:w="4961" w:type="dxa"/>
          </w:tcPr>
          <w:p w:rsidR="00AD7A18" w:rsidRPr="0049466F" w:rsidRDefault="00AD7A18" w:rsidP="00E96888">
            <w:pPr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49466F">
              <w:rPr>
                <w:rFonts w:asciiTheme="majorHAnsi" w:hAnsiTheme="majorHAnsi" w:cs="Times New Roman"/>
                <w:sz w:val="22"/>
                <w:szCs w:val="22"/>
              </w:rPr>
              <w:t>Under this category we included interventions where the nurse provided a treatment or was responsible for a specific procedure, including massage, diagnostic procedures such as endoscopy, or for managing medication.</w:t>
            </w:r>
          </w:p>
        </w:tc>
      </w:tr>
    </w:tbl>
    <w:p w:rsidR="00AD7A18" w:rsidRPr="0049466F" w:rsidRDefault="00AD7A18" w:rsidP="00AD7A18">
      <w:pPr>
        <w:spacing w:line="360" w:lineRule="auto"/>
        <w:rPr>
          <w:rFonts w:asciiTheme="majorHAnsi" w:hAnsiTheme="majorHAnsi" w:cs="Times New Roman"/>
          <w:sz w:val="22"/>
          <w:szCs w:val="22"/>
        </w:rPr>
        <w:sectPr w:rsidR="00AD7A18" w:rsidRPr="0049466F" w:rsidSect="000214C2">
          <w:footerReference w:type="even" r:id="rId4"/>
          <w:footerReference w:type="default" r:id="rId5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:rsidR="00042F59" w:rsidRDefault="00BC0D27" w:rsidP="00BC0D27"/>
    <w:sectPr w:rsidR="00042F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69C" w:rsidRDefault="00BC0D27" w:rsidP="001300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369C" w:rsidRDefault="00BC0D27" w:rsidP="001300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69C" w:rsidRPr="00857AC7" w:rsidRDefault="00BC0D27" w:rsidP="001300A9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sz w:val="20"/>
      </w:rPr>
    </w:pPr>
    <w:r w:rsidRPr="00857AC7">
      <w:rPr>
        <w:rStyle w:val="PageNumber"/>
        <w:rFonts w:asciiTheme="majorHAnsi" w:hAnsiTheme="majorHAnsi"/>
        <w:sz w:val="20"/>
      </w:rPr>
      <w:fldChar w:fldCharType="begin"/>
    </w:r>
    <w:r w:rsidRPr="00857AC7">
      <w:rPr>
        <w:rStyle w:val="PageNumber"/>
        <w:rFonts w:asciiTheme="majorHAnsi" w:hAnsiTheme="majorHAnsi"/>
        <w:sz w:val="20"/>
      </w:rPr>
      <w:instrText xml:space="preserve">PAGE  </w:instrText>
    </w:r>
    <w:r w:rsidRPr="00857AC7">
      <w:rPr>
        <w:rStyle w:val="PageNumber"/>
        <w:rFonts w:asciiTheme="majorHAnsi" w:hAnsiTheme="majorHAnsi"/>
        <w:sz w:val="20"/>
      </w:rPr>
      <w:fldChar w:fldCharType="separate"/>
    </w:r>
    <w:r>
      <w:rPr>
        <w:rStyle w:val="PageNumber"/>
        <w:rFonts w:asciiTheme="majorHAnsi" w:hAnsiTheme="majorHAnsi"/>
        <w:noProof/>
        <w:sz w:val="20"/>
      </w:rPr>
      <w:t>3</w:t>
    </w:r>
    <w:r w:rsidRPr="00857AC7">
      <w:rPr>
        <w:rStyle w:val="PageNumber"/>
        <w:rFonts w:asciiTheme="majorHAnsi" w:hAnsiTheme="majorHAnsi"/>
        <w:sz w:val="20"/>
      </w:rPr>
      <w:fldChar w:fldCharType="end"/>
    </w:r>
  </w:p>
  <w:p w:rsidR="0071369C" w:rsidRDefault="00BC0D27" w:rsidP="001300A9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80"/>
    <w:rsid w:val="001C4FE7"/>
    <w:rsid w:val="007A7B80"/>
    <w:rsid w:val="00AD7A18"/>
    <w:rsid w:val="00B61DFF"/>
    <w:rsid w:val="00BC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1DBD0-1925-4AEE-993F-2ED9DAA5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A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7A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A18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D7A18"/>
  </w:style>
  <w:style w:type="table" w:styleId="TableGrid">
    <w:name w:val="Table Grid"/>
    <w:basedOn w:val="TableNormal"/>
    <w:uiPriority w:val="59"/>
    <w:rsid w:val="00AD7A1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Charalambous</dc:creator>
  <cp:keywords/>
  <dc:description/>
  <cp:lastModifiedBy>Andreas Charalambous</cp:lastModifiedBy>
  <cp:revision>3</cp:revision>
  <dcterms:created xsi:type="dcterms:W3CDTF">2017-12-28T14:37:00Z</dcterms:created>
  <dcterms:modified xsi:type="dcterms:W3CDTF">2017-12-28T14:38:00Z</dcterms:modified>
</cp:coreProperties>
</file>