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7F8C7055" w:rsidRPr="00E16FBA" w:rsidRDefault="7F8C7055" w:rsidP="00046F10">
      <w:pPr>
        <w:spacing w:line="480" w:lineRule="auto"/>
        <w:jc w:val="center"/>
        <w:rPr>
          <w:rFonts w:asciiTheme="majorHAnsi" w:hAnsiTheme="majorHAnsi" w:cs="Times New Roman"/>
          <w:b/>
          <w:bCs/>
          <w:sz w:val="24"/>
          <w:szCs w:val="24"/>
        </w:rPr>
      </w:pPr>
      <w:bookmarkStart w:id="0" w:name="_GoBack"/>
      <w:bookmarkEnd w:id="0"/>
      <w:r w:rsidRPr="00E16FBA">
        <w:rPr>
          <w:rFonts w:asciiTheme="majorHAnsi" w:hAnsiTheme="majorHAnsi" w:cs="Times New Roman"/>
          <w:b/>
          <w:bCs/>
          <w:sz w:val="24"/>
          <w:szCs w:val="24"/>
        </w:rPr>
        <w:t>Title:</w:t>
      </w:r>
    </w:p>
    <w:p w:rsidR="7F8C7055" w:rsidRPr="00E16FBA" w:rsidRDefault="00A16FDF" w:rsidP="00046F10">
      <w:pPr>
        <w:spacing w:line="480" w:lineRule="auto"/>
        <w:jc w:val="center"/>
        <w:rPr>
          <w:rFonts w:asciiTheme="majorHAnsi" w:hAnsiTheme="majorHAnsi" w:cs="Times New Roman"/>
          <w:b/>
          <w:bCs/>
          <w:sz w:val="24"/>
          <w:szCs w:val="24"/>
        </w:rPr>
      </w:pPr>
      <w:bookmarkStart w:id="1" w:name="_Hlk500348726"/>
      <w:r w:rsidRPr="00E16FBA">
        <w:rPr>
          <w:rFonts w:asciiTheme="majorHAnsi" w:hAnsiTheme="majorHAnsi" w:cs="Times New Roman"/>
          <w:b/>
          <w:bCs/>
          <w:sz w:val="24"/>
          <w:szCs w:val="24"/>
        </w:rPr>
        <w:t>Early postnatal growth failure in preterm infants is not inevitable</w:t>
      </w:r>
      <w:bookmarkEnd w:id="1"/>
    </w:p>
    <w:p w:rsidR="009E2DF4" w:rsidRPr="00E16FBA" w:rsidRDefault="009E2DF4" w:rsidP="00046F10">
      <w:pPr>
        <w:spacing w:line="480" w:lineRule="auto"/>
        <w:jc w:val="center"/>
        <w:rPr>
          <w:rFonts w:asciiTheme="majorHAnsi" w:hAnsiTheme="majorHAnsi" w:cs="Times New Roman"/>
          <w:b/>
          <w:bCs/>
          <w:sz w:val="24"/>
          <w:szCs w:val="24"/>
        </w:rPr>
      </w:pPr>
    </w:p>
    <w:p w:rsidR="004D504D" w:rsidRPr="00E16FBA" w:rsidRDefault="004D504D" w:rsidP="00046F10">
      <w:pPr>
        <w:spacing w:line="480" w:lineRule="auto"/>
        <w:jc w:val="center"/>
        <w:rPr>
          <w:rFonts w:asciiTheme="majorHAnsi" w:hAnsiTheme="majorHAnsi" w:cs="Times New Roman"/>
          <w:sz w:val="24"/>
          <w:szCs w:val="24"/>
        </w:rPr>
      </w:pPr>
      <w:r w:rsidRPr="00E16FBA">
        <w:rPr>
          <w:rFonts w:asciiTheme="majorHAnsi" w:hAnsiTheme="majorHAnsi" w:cs="Times New Roman"/>
          <w:sz w:val="24"/>
          <w:szCs w:val="24"/>
        </w:rPr>
        <w:t>Edward T Andrews</w:t>
      </w:r>
      <w:r w:rsidR="003D514B" w:rsidRPr="00E16FBA">
        <w:rPr>
          <w:rFonts w:asciiTheme="majorHAnsi" w:hAnsiTheme="majorHAnsi" w:cs="Times New Roman"/>
          <w:sz w:val="24"/>
          <w:szCs w:val="24"/>
        </w:rPr>
        <w:t xml:space="preserve"> MRCPCH</w:t>
      </w:r>
      <w:r w:rsidRPr="00E16FBA">
        <w:rPr>
          <w:rFonts w:asciiTheme="majorHAnsi" w:hAnsiTheme="majorHAnsi" w:cs="Times New Roman"/>
          <w:sz w:val="24"/>
          <w:szCs w:val="24"/>
          <w:vertAlign w:val="superscript"/>
        </w:rPr>
        <w:t>1</w:t>
      </w:r>
      <w:r w:rsidRPr="00E16FBA">
        <w:rPr>
          <w:rFonts w:asciiTheme="majorHAnsi" w:hAnsiTheme="majorHAnsi" w:cs="Times New Roman"/>
          <w:sz w:val="24"/>
          <w:szCs w:val="24"/>
        </w:rPr>
        <w:t>, James J Ashton</w:t>
      </w:r>
      <w:r w:rsidR="00482E29" w:rsidRPr="00E16FBA">
        <w:rPr>
          <w:rFonts w:asciiTheme="majorHAnsi" w:hAnsiTheme="majorHAnsi" w:cs="Times New Roman"/>
          <w:sz w:val="24"/>
          <w:szCs w:val="24"/>
        </w:rPr>
        <w:t xml:space="preserve"> MRCPCH</w:t>
      </w:r>
      <w:r w:rsidRPr="00E16FBA">
        <w:rPr>
          <w:rFonts w:asciiTheme="majorHAnsi" w:hAnsiTheme="majorHAnsi" w:cs="Times New Roman"/>
          <w:sz w:val="24"/>
          <w:szCs w:val="24"/>
          <w:vertAlign w:val="superscript"/>
        </w:rPr>
        <w:t>2,3</w:t>
      </w:r>
      <w:r w:rsidRPr="00E16FBA">
        <w:rPr>
          <w:rFonts w:asciiTheme="majorHAnsi" w:hAnsiTheme="majorHAnsi" w:cs="Times New Roman"/>
          <w:sz w:val="24"/>
          <w:szCs w:val="24"/>
        </w:rPr>
        <w:t>, Freya Pearson</w:t>
      </w:r>
      <w:r w:rsidR="000B3010">
        <w:rPr>
          <w:rFonts w:asciiTheme="majorHAnsi" w:hAnsiTheme="majorHAnsi" w:cs="Times New Roman"/>
          <w:sz w:val="24"/>
          <w:szCs w:val="24"/>
        </w:rPr>
        <w:t xml:space="preserve"> F</w:t>
      </w:r>
      <w:r w:rsidR="00482E29" w:rsidRPr="00E16FBA">
        <w:rPr>
          <w:rFonts w:asciiTheme="majorHAnsi" w:hAnsiTheme="majorHAnsi" w:cs="Times New Roman"/>
          <w:sz w:val="24"/>
          <w:szCs w:val="24"/>
        </w:rPr>
        <w:t>RCPCH</w:t>
      </w:r>
      <w:r w:rsidRPr="00E16FBA">
        <w:rPr>
          <w:rFonts w:asciiTheme="majorHAnsi" w:hAnsiTheme="majorHAnsi" w:cs="Times New Roman"/>
          <w:sz w:val="24"/>
          <w:szCs w:val="24"/>
          <w:vertAlign w:val="superscript"/>
        </w:rPr>
        <w:t>1</w:t>
      </w:r>
      <w:r w:rsidRPr="00E16FBA">
        <w:rPr>
          <w:rFonts w:asciiTheme="majorHAnsi" w:hAnsiTheme="majorHAnsi" w:cs="Times New Roman"/>
          <w:sz w:val="24"/>
          <w:szCs w:val="24"/>
        </w:rPr>
        <w:t>, R Mark Beattie</w:t>
      </w:r>
      <w:r w:rsidR="00482E29" w:rsidRPr="00E16FBA">
        <w:rPr>
          <w:rFonts w:asciiTheme="majorHAnsi" w:hAnsiTheme="majorHAnsi" w:cs="Times New Roman"/>
          <w:sz w:val="24"/>
          <w:szCs w:val="24"/>
        </w:rPr>
        <w:t xml:space="preserve"> FRCPCH</w:t>
      </w:r>
      <w:r w:rsidR="005D5D42" w:rsidRPr="00E16FBA">
        <w:rPr>
          <w:rFonts w:asciiTheme="majorHAnsi" w:hAnsiTheme="majorHAnsi" w:cs="Times New Roman"/>
          <w:sz w:val="24"/>
          <w:szCs w:val="24"/>
          <w:vertAlign w:val="superscript"/>
        </w:rPr>
        <w:t>2</w:t>
      </w:r>
      <w:r w:rsidR="00387B52">
        <w:rPr>
          <w:rFonts w:asciiTheme="majorHAnsi" w:hAnsiTheme="majorHAnsi" w:cs="Times New Roman"/>
          <w:sz w:val="24"/>
          <w:szCs w:val="24"/>
          <w:vertAlign w:val="superscript"/>
        </w:rPr>
        <w:t>,4</w:t>
      </w:r>
      <w:r w:rsidR="005D5D42" w:rsidRPr="00E16FBA">
        <w:rPr>
          <w:rFonts w:asciiTheme="majorHAnsi" w:hAnsiTheme="majorHAnsi" w:cs="Times New Roman"/>
          <w:sz w:val="24"/>
          <w:szCs w:val="24"/>
        </w:rPr>
        <w:t>, Mark</w:t>
      </w:r>
      <w:r w:rsidRPr="00E16FBA">
        <w:rPr>
          <w:rFonts w:asciiTheme="majorHAnsi" w:hAnsiTheme="majorHAnsi" w:cs="Times New Roman"/>
          <w:sz w:val="24"/>
          <w:szCs w:val="24"/>
        </w:rPr>
        <w:t xml:space="preserve"> J Johnson</w:t>
      </w:r>
      <w:r w:rsidRPr="00E16FBA">
        <w:rPr>
          <w:rFonts w:asciiTheme="majorHAnsi" w:hAnsiTheme="majorHAnsi" w:cs="Times New Roman"/>
          <w:sz w:val="24"/>
          <w:szCs w:val="24"/>
          <w:vertAlign w:val="superscript"/>
        </w:rPr>
        <w:t>1,4</w:t>
      </w:r>
      <w:r w:rsidR="006D0064" w:rsidRPr="00E16FBA">
        <w:rPr>
          <w:rFonts w:asciiTheme="majorHAnsi" w:hAnsiTheme="majorHAnsi" w:cs="Times New Roman"/>
          <w:sz w:val="24"/>
          <w:szCs w:val="24"/>
          <w:vertAlign w:val="superscript"/>
        </w:rPr>
        <w:t xml:space="preserve"> </w:t>
      </w:r>
      <w:r w:rsidR="006D0064" w:rsidRPr="00E16FBA">
        <w:rPr>
          <w:rFonts w:asciiTheme="majorHAnsi" w:hAnsiTheme="majorHAnsi" w:cs="Times New Roman"/>
          <w:sz w:val="24"/>
          <w:szCs w:val="24"/>
        </w:rPr>
        <w:t>PhD</w:t>
      </w:r>
    </w:p>
    <w:p w:rsidR="002F5EB8" w:rsidRPr="00E16FBA" w:rsidRDefault="00EA711E" w:rsidP="00046F10">
      <w:pPr>
        <w:spacing w:line="480" w:lineRule="auto"/>
        <w:rPr>
          <w:rFonts w:asciiTheme="majorHAnsi" w:hAnsiTheme="majorHAnsi" w:cs="Times New Roman"/>
          <w:b/>
          <w:sz w:val="24"/>
          <w:szCs w:val="24"/>
        </w:rPr>
      </w:pPr>
      <w:r w:rsidRPr="00E16FBA">
        <w:rPr>
          <w:rFonts w:asciiTheme="majorHAnsi" w:hAnsiTheme="majorHAnsi" w:cs="Times New Roman"/>
          <w:b/>
          <w:sz w:val="24"/>
          <w:szCs w:val="24"/>
        </w:rPr>
        <w:t>Affiliations:</w:t>
      </w:r>
    </w:p>
    <w:p w:rsidR="004D504D" w:rsidRPr="00E16FBA" w:rsidRDefault="00EA711E" w:rsidP="00046F10">
      <w:pPr>
        <w:spacing w:line="480" w:lineRule="auto"/>
        <w:rPr>
          <w:rFonts w:asciiTheme="majorHAnsi" w:hAnsiTheme="majorHAnsi" w:cs="Times New Roman"/>
          <w:sz w:val="24"/>
          <w:szCs w:val="24"/>
        </w:rPr>
      </w:pPr>
      <w:r w:rsidRPr="00E16FBA">
        <w:rPr>
          <w:rFonts w:asciiTheme="majorHAnsi" w:hAnsiTheme="majorHAnsi" w:cs="Times New Roman"/>
          <w:sz w:val="24"/>
          <w:szCs w:val="24"/>
          <w:vertAlign w:val="superscript"/>
        </w:rPr>
        <w:t xml:space="preserve"> </w:t>
      </w:r>
      <w:r w:rsidR="004D504D" w:rsidRPr="00E16FBA">
        <w:rPr>
          <w:rFonts w:asciiTheme="majorHAnsi" w:hAnsiTheme="majorHAnsi" w:cs="Times New Roman"/>
          <w:sz w:val="24"/>
          <w:szCs w:val="24"/>
          <w:vertAlign w:val="superscript"/>
        </w:rPr>
        <w:t>1</w:t>
      </w:r>
      <w:r w:rsidR="004D504D" w:rsidRPr="00E16FBA">
        <w:rPr>
          <w:rFonts w:asciiTheme="majorHAnsi" w:hAnsiTheme="majorHAnsi" w:cs="Times New Roman"/>
          <w:sz w:val="24"/>
          <w:szCs w:val="24"/>
        </w:rPr>
        <w:t>Department of Neonatal Medicine, Princess Anne Hospital, University Hospital Southampton NHS Foundation Trust</w:t>
      </w:r>
    </w:p>
    <w:p w:rsidR="004D504D" w:rsidRPr="00E16FBA" w:rsidRDefault="004D504D" w:rsidP="00046F10">
      <w:pPr>
        <w:spacing w:line="480" w:lineRule="auto"/>
        <w:rPr>
          <w:rFonts w:asciiTheme="majorHAnsi" w:hAnsiTheme="majorHAnsi" w:cs="Times New Roman"/>
          <w:sz w:val="24"/>
          <w:szCs w:val="24"/>
        </w:rPr>
      </w:pPr>
      <w:r w:rsidRPr="00E16FBA">
        <w:rPr>
          <w:rFonts w:asciiTheme="majorHAnsi" w:hAnsiTheme="majorHAnsi" w:cs="Times New Roman"/>
          <w:sz w:val="24"/>
          <w:szCs w:val="24"/>
          <w:vertAlign w:val="superscript"/>
        </w:rPr>
        <w:t>2 </w:t>
      </w:r>
      <w:r w:rsidRPr="00E16FBA">
        <w:rPr>
          <w:rFonts w:asciiTheme="majorHAnsi" w:hAnsiTheme="majorHAnsi" w:cs="Times New Roman"/>
          <w:sz w:val="24"/>
          <w:szCs w:val="24"/>
        </w:rPr>
        <w:t>Department of Paediatric Gastroenterology, Southampton Children’s Hospital, UK</w:t>
      </w:r>
    </w:p>
    <w:p w:rsidR="004D504D" w:rsidRPr="00E16FBA" w:rsidRDefault="004D504D" w:rsidP="00046F10">
      <w:pPr>
        <w:spacing w:line="480" w:lineRule="auto"/>
        <w:rPr>
          <w:rFonts w:asciiTheme="majorHAnsi" w:hAnsiTheme="majorHAnsi" w:cs="Times New Roman"/>
          <w:sz w:val="24"/>
          <w:szCs w:val="24"/>
        </w:rPr>
      </w:pPr>
      <w:r w:rsidRPr="00E16FBA">
        <w:rPr>
          <w:rFonts w:asciiTheme="majorHAnsi" w:hAnsiTheme="majorHAnsi" w:cs="Times New Roman"/>
          <w:sz w:val="24"/>
          <w:szCs w:val="24"/>
          <w:vertAlign w:val="superscript"/>
        </w:rPr>
        <w:t>3 </w:t>
      </w:r>
      <w:r w:rsidRPr="00E16FBA">
        <w:rPr>
          <w:rFonts w:asciiTheme="majorHAnsi" w:hAnsiTheme="majorHAnsi" w:cs="Times New Roman"/>
          <w:sz w:val="24"/>
          <w:szCs w:val="24"/>
        </w:rPr>
        <w:t>Human Genetics and Genomic Medicine, University of Southampton, UK</w:t>
      </w:r>
    </w:p>
    <w:p w:rsidR="004D504D" w:rsidRPr="00E16FBA" w:rsidRDefault="004D504D" w:rsidP="00046F10">
      <w:pPr>
        <w:spacing w:line="480" w:lineRule="auto"/>
        <w:rPr>
          <w:rFonts w:asciiTheme="majorHAnsi" w:hAnsiTheme="majorHAnsi" w:cs="Times New Roman"/>
          <w:sz w:val="24"/>
          <w:szCs w:val="24"/>
          <w:shd w:val="clear" w:color="auto" w:fill="FFFFFF"/>
        </w:rPr>
      </w:pPr>
      <w:r w:rsidRPr="00E16FBA">
        <w:rPr>
          <w:rFonts w:asciiTheme="majorHAnsi" w:hAnsiTheme="majorHAnsi" w:cs="Times New Roman"/>
          <w:sz w:val="24"/>
          <w:szCs w:val="24"/>
          <w:vertAlign w:val="superscript"/>
        </w:rPr>
        <w:t>4</w:t>
      </w:r>
      <w:r w:rsidRPr="00E16FBA">
        <w:rPr>
          <w:rStyle w:val="institution"/>
          <w:rFonts w:asciiTheme="majorHAnsi" w:hAnsiTheme="majorHAnsi" w:cs="Times New Roman"/>
          <w:sz w:val="24"/>
          <w:szCs w:val="24"/>
          <w:shd w:val="clear" w:color="auto" w:fill="FFFFFF"/>
        </w:rPr>
        <w:t>National Institute for Health Research, Southampton Biomedical Research Centre, University Hospital Southampton NHS Foundation Trust and University of Southampton</w:t>
      </w:r>
      <w:r w:rsidRPr="00E16FBA">
        <w:rPr>
          <w:rFonts w:asciiTheme="majorHAnsi" w:hAnsiTheme="majorHAnsi" w:cs="Times New Roman"/>
          <w:sz w:val="24"/>
          <w:szCs w:val="24"/>
          <w:shd w:val="clear" w:color="auto" w:fill="FFFFFF"/>
        </w:rPr>
        <w:t>,</w:t>
      </w:r>
      <w:r w:rsidR="00482E29" w:rsidRPr="00E16FBA">
        <w:rPr>
          <w:rStyle w:val="apple-converted-space"/>
          <w:rFonts w:asciiTheme="majorHAnsi" w:hAnsiTheme="majorHAnsi" w:cs="Times New Roman"/>
          <w:sz w:val="24"/>
          <w:szCs w:val="24"/>
          <w:shd w:val="clear" w:color="auto" w:fill="FFFFFF"/>
        </w:rPr>
        <w:t xml:space="preserve"> </w:t>
      </w:r>
      <w:r w:rsidRPr="00E16FBA">
        <w:rPr>
          <w:rStyle w:val="addr-line"/>
          <w:rFonts w:asciiTheme="majorHAnsi" w:hAnsiTheme="majorHAnsi" w:cs="Times New Roman"/>
          <w:sz w:val="24"/>
          <w:szCs w:val="24"/>
          <w:shd w:val="clear" w:color="auto" w:fill="FFFFFF"/>
        </w:rPr>
        <w:t>Southampton</w:t>
      </w:r>
      <w:r w:rsidRPr="00E16FBA">
        <w:rPr>
          <w:rFonts w:asciiTheme="majorHAnsi" w:hAnsiTheme="majorHAnsi" w:cs="Times New Roman"/>
          <w:sz w:val="24"/>
          <w:szCs w:val="24"/>
          <w:shd w:val="clear" w:color="auto" w:fill="FFFFFF"/>
        </w:rPr>
        <w:t>, UK</w:t>
      </w:r>
    </w:p>
    <w:p w:rsidR="00EA711E" w:rsidRPr="00E16FBA" w:rsidRDefault="00EA711E" w:rsidP="00046F10">
      <w:pPr>
        <w:spacing w:line="480" w:lineRule="auto"/>
        <w:rPr>
          <w:rFonts w:asciiTheme="majorHAnsi" w:hAnsiTheme="majorHAnsi" w:cs="Times New Roman"/>
          <w:sz w:val="24"/>
          <w:szCs w:val="24"/>
          <w:shd w:val="clear" w:color="auto" w:fill="FFFFFF"/>
        </w:rPr>
      </w:pPr>
      <w:r w:rsidRPr="00E16FBA">
        <w:rPr>
          <w:rFonts w:asciiTheme="majorHAnsi" w:hAnsiTheme="majorHAnsi" w:cs="Times New Roman"/>
          <w:b/>
          <w:sz w:val="24"/>
          <w:szCs w:val="24"/>
          <w:shd w:val="clear" w:color="auto" w:fill="FFFFFF"/>
        </w:rPr>
        <w:t xml:space="preserve">Address correspondence to: </w:t>
      </w:r>
      <w:r w:rsidRPr="00E16FBA">
        <w:rPr>
          <w:rFonts w:asciiTheme="majorHAnsi" w:hAnsiTheme="majorHAnsi" w:cs="Times New Roman"/>
          <w:sz w:val="24"/>
          <w:szCs w:val="24"/>
          <w:shd w:val="clear" w:color="auto" w:fill="FFFFFF"/>
        </w:rPr>
        <w:t xml:space="preserve">Dr Mark Johnson, Department of Neonatal Medicine, Princess Anne Hospital, University Hospital Southampton NHS Foundation Trust, </w:t>
      </w:r>
      <w:proofErr w:type="spellStart"/>
      <w:r w:rsidR="004E41B5">
        <w:rPr>
          <w:rFonts w:asciiTheme="majorHAnsi" w:hAnsiTheme="majorHAnsi" w:cs="Times New Roman"/>
          <w:sz w:val="24"/>
          <w:szCs w:val="24"/>
          <w:shd w:val="clear" w:color="auto" w:fill="FFFFFF"/>
        </w:rPr>
        <w:t>Coxford</w:t>
      </w:r>
      <w:proofErr w:type="spellEnd"/>
      <w:r w:rsidRPr="00E16FBA">
        <w:rPr>
          <w:rFonts w:asciiTheme="majorHAnsi" w:hAnsiTheme="majorHAnsi" w:cs="Times New Roman"/>
          <w:sz w:val="24"/>
          <w:szCs w:val="24"/>
          <w:shd w:val="clear" w:color="auto" w:fill="FFFFFF"/>
        </w:rPr>
        <w:t xml:space="preserve"> Road, Southampton, UK</w:t>
      </w:r>
      <w:r w:rsidR="006D0064" w:rsidRPr="00E16FBA">
        <w:rPr>
          <w:rFonts w:asciiTheme="majorHAnsi" w:hAnsiTheme="majorHAnsi" w:cs="Times New Roman"/>
          <w:sz w:val="24"/>
          <w:szCs w:val="24"/>
          <w:shd w:val="clear" w:color="auto" w:fill="FFFFFF"/>
        </w:rPr>
        <w:t xml:space="preserve">, </w:t>
      </w:r>
      <w:hyperlink r:id="rId6" w:history="1">
        <w:r w:rsidR="000B3010" w:rsidRPr="00355633">
          <w:rPr>
            <w:rStyle w:val="Hyperlink"/>
            <w:rFonts w:asciiTheme="majorHAnsi" w:hAnsiTheme="majorHAnsi" w:cs="Times New Roman"/>
            <w:sz w:val="24"/>
            <w:szCs w:val="24"/>
            <w:shd w:val="clear" w:color="auto" w:fill="FFFFFF"/>
          </w:rPr>
          <w:t>M.Johnson@soton.ac.uk</w:t>
        </w:r>
      </w:hyperlink>
      <w:r w:rsidR="00D633F9">
        <w:rPr>
          <w:rFonts w:asciiTheme="majorHAnsi" w:hAnsiTheme="majorHAnsi" w:cs="Times New Roman"/>
          <w:sz w:val="24"/>
          <w:szCs w:val="24"/>
          <w:shd w:val="clear" w:color="auto" w:fill="FFFFFF"/>
        </w:rPr>
        <w:t>, 023 8120 4643</w:t>
      </w:r>
      <w:r w:rsidR="00D96D79">
        <w:rPr>
          <w:rFonts w:asciiTheme="majorHAnsi" w:hAnsiTheme="majorHAnsi" w:cs="Times New Roman"/>
          <w:sz w:val="24"/>
          <w:szCs w:val="24"/>
          <w:shd w:val="clear" w:color="auto" w:fill="FFFFFF"/>
        </w:rPr>
        <w:t xml:space="preserve">, Fax </w:t>
      </w:r>
      <w:r w:rsidR="00D96D79" w:rsidRPr="00D96D79">
        <w:rPr>
          <w:rFonts w:asciiTheme="majorHAnsi" w:hAnsiTheme="majorHAnsi" w:cs="Times New Roman"/>
          <w:sz w:val="24"/>
          <w:szCs w:val="24"/>
          <w:shd w:val="clear" w:color="auto" w:fill="FFFFFF"/>
        </w:rPr>
        <w:t>023 8120 8522</w:t>
      </w:r>
    </w:p>
    <w:p w:rsidR="00657D12" w:rsidRDefault="003B6610" w:rsidP="00396651">
      <w:pPr>
        <w:spacing w:line="480" w:lineRule="auto"/>
        <w:ind w:left="360" w:firstLine="720"/>
        <w:jc w:val="center"/>
        <w:rPr>
          <w:rFonts w:asciiTheme="majorHAnsi" w:hAnsiTheme="majorHAnsi" w:cs="Times New Roman"/>
          <w:b/>
          <w:bCs/>
          <w:sz w:val="24"/>
          <w:szCs w:val="24"/>
        </w:rPr>
      </w:pPr>
      <w:r w:rsidRPr="00D96D79">
        <w:rPr>
          <w:rFonts w:asciiTheme="majorHAnsi" w:hAnsiTheme="majorHAnsi" w:cs="Times New Roman"/>
          <w:b/>
          <w:bCs/>
          <w:sz w:val="24"/>
          <w:szCs w:val="24"/>
        </w:rPr>
        <w:t>Word Count:</w:t>
      </w:r>
    </w:p>
    <w:p w:rsidR="003B6610" w:rsidRPr="00E16FBA" w:rsidRDefault="00287326" w:rsidP="00657D12">
      <w:pPr>
        <w:spacing w:line="480" w:lineRule="auto"/>
        <w:ind w:left="360" w:firstLine="720"/>
        <w:jc w:val="center"/>
        <w:rPr>
          <w:rFonts w:asciiTheme="majorHAnsi" w:hAnsiTheme="majorHAnsi" w:cs="Times New Roman"/>
          <w:b/>
          <w:bCs/>
          <w:sz w:val="24"/>
          <w:szCs w:val="24"/>
        </w:rPr>
      </w:pPr>
      <w:r>
        <w:rPr>
          <w:rFonts w:asciiTheme="majorHAnsi" w:hAnsiTheme="majorHAnsi" w:cs="Times New Roman"/>
          <w:b/>
          <w:bCs/>
          <w:sz w:val="24"/>
          <w:szCs w:val="24"/>
        </w:rPr>
        <w:t>2</w:t>
      </w:r>
      <w:r w:rsidR="00D2394C">
        <w:rPr>
          <w:rFonts w:asciiTheme="majorHAnsi" w:hAnsiTheme="majorHAnsi" w:cs="Times New Roman"/>
          <w:b/>
          <w:bCs/>
          <w:sz w:val="24"/>
          <w:szCs w:val="24"/>
        </w:rPr>
        <w:t>75</w:t>
      </w:r>
      <w:r w:rsidR="00554DBF">
        <w:rPr>
          <w:rFonts w:asciiTheme="majorHAnsi" w:hAnsiTheme="majorHAnsi" w:cs="Times New Roman"/>
          <w:b/>
          <w:bCs/>
          <w:sz w:val="24"/>
          <w:szCs w:val="24"/>
        </w:rPr>
        <w:t>9</w:t>
      </w:r>
    </w:p>
    <w:p w:rsidR="00657D12" w:rsidRPr="00657D12" w:rsidRDefault="003B6610" w:rsidP="00657D12">
      <w:pPr>
        <w:pStyle w:val="ListParagraph"/>
        <w:spacing w:line="480" w:lineRule="auto"/>
        <w:ind w:left="1080" w:firstLine="360"/>
        <w:jc w:val="center"/>
        <w:rPr>
          <w:rFonts w:asciiTheme="majorHAnsi" w:hAnsiTheme="majorHAnsi" w:cs="Times New Roman"/>
          <w:b/>
          <w:bCs/>
          <w:sz w:val="24"/>
          <w:szCs w:val="24"/>
        </w:rPr>
      </w:pPr>
      <w:r w:rsidRPr="00E16FBA">
        <w:rPr>
          <w:rFonts w:asciiTheme="majorHAnsi" w:hAnsiTheme="majorHAnsi" w:cs="Times New Roman"/>
          <w:b/>
          <w:bCs/>
          <w:sz w:val="24"/>
          <w:szCs w:val="24"/>
        </w:rPr>
        <w:t>Abstract Word Count:</w:t>
      </w:r>
    </w:p>
    <w:p w:rsidR="00B35297" w:rsidRDefault="003211AC" w:rsidP="00D633F9">
      <w:pPr>
        <w:pStyle w:val="ListParagraph"/>
        <w:spacing w:line="480" w:lineRule="auto"/>
        <w:ind w:left="1080"/>
        <w:jc w:val="center"/>
        <w:rPr>
          <w:rFonts w:ascii="Times New Roman" w:hAnsi="Times New Roman" w:cs="Times New Roman"/>
          <w:b/>
          <w:bCs/>
          <w:sz w:val="36"/>
          <w:szCs w:val="36"/>
        </w:rPr>
      </w:pPr>
      <w:r w:rsidRPr="00E16FBA">
        <w:rPr>
          <w:rFonts w:asciiTheme="majorHAnsi" w:hAnsiTheme="majorHAnsi" w:cs="Times New Roman"/>
          <w:b/>
          <w:bCs/>
          <w:sz w:val="24"/>
          <w:szCs w:val="24"/>
        </w:rPr>
        <w:t>2</w:t>
      </w:r>
      <w:r w:rsidR="00077AE6">
        <w:rPr>
          <w:rFonts w:asciiTheme="majorHAnsi" w:hAnsiTheme="majorHAnsi" w:cs="Times New Roman"/>
          <w:b/>
          <w:bCs/>
          <w:sz w:val="24"/>
          <w:szCs w:val="24"/>
        </w:rPr>
        <w:t>35</w:t>
      </w:r>
      <w:r w:rsidR="00B35297">
        <w:rPr>
          <w:rFonts w:ascii="Times New Roman" w:hAnsi="Times New Roman" w:cs="Times New Roman"/>
          <w:b/>
          <w:bCs/>
          <w:sz w:val="36"/>
          <w:szCs w:val="36"/>
        </w:rPr>
        <w:br w:type="page"/>
      </w:r>
    </w:p>
    <w:p w:rsidR="7F8C7055" w:rsidRPr="009622E6" w:rsidRDefault="7F8C7055" w:rsidP="00046F10">
      <w:pPr>
        <w:spacing w:line="480" w:lineRule="auto"/>
        <w:rPr>
          <w:rFonts w:asciiTheme="majorHAnsi" w:hAnsiTheme="majorHAnsi" w:cs="Times New Roman"/>
          <w:b/>
          <w:bCs/>
          <w:sz w:val="24"/>
          <w:szCs w:val="24"/>
        </w:rPr>
      </w:pPr>
      <w:r w:rsidRPr="009622E6">
        <w:rPr>
          <w:rFonts w:asciiTheme="majorHAnsi" w:hAnsiTheme="majorHAnsi" w:cs="Times New Roman"/>
          <w:b/>
          <w:bCs/>
          <w:sz w:val="24"/>
          <w:szCs w:val="24"/>
        </w:rPr>
        <w:lastRenderedPageBreak/>
        <w:t>ABSTRACT:</w:t>
      </w:r>
    </w:p>
    <w:p w:rsidR="00F8532F" w:rsidRPr="009622E6" w:rsidRDefault="00CC5D97" w:rsidP="00046F10">
      <w:pPr>
        <w:spacing w:line="480" w:lineRule="auto"/>
        <w:rPr>
          <w:rFonts w:asciiTheme="majorHAnsi" w:hAnsiTheme="majorHAnsi" w:cs="Times New Roman"/>
          <w:b/>
          <w:sz w:val="24"/>
          <w:szCs w:val="24"/>
        </w:rPr>
      </w:pPr>
      <w:r w:rsidRPr="009622E6">
        <w:rPr>
          <w:rFonts w:asciiTheme="majorHAnsi" w:hAnsiTheme="majorHAnsi" w:cs="Times New Roman"/>
          <w:b/>
          <w:sz w:val="24"/>
          <w:szCs w:val="24"/>
        </w:rPr>
        <w:t xml:space="preserve">Background </w:t>
      </w:r>
    </w:p>
    <w:p w:rsidR="004D504D" w:rsidRPr="009622E6" w:rsidRDefault="004E5745" w:rsidP="00046F10">
      <w:pPr>
        <w:spacing w:line="480" w:lineRule="auto"/>
        <w:rPr>
          <w:rFonts w:asciiTheme="majorHAnsi" w:hAnsiTheme="majorHAnsi" w:cs="Times New Roman"/>
          <w:bCs/>
          <w:sz w:val="24"/>
          <w:szCs w:val="24"/>
        </w:rPr>
      </w:pPr>
      <w:r w:rsidRPr="009622E6">
        <w:rPr>
          <w:rFonts w:asciiTheme="majorHAnsi" w:hAnsiTheme="majorHAnsi" w:cs="Times New Roman"/>
          <w:bCs/>
          <w:sz w:val="24"/>
          <w:szCs w:val="24"/>
        </w:rPr>
        <w:t>Previously published data have demonstrated that</w:t>
      </w:r>
      <w:r w:rsidR="004D504D" w:rsidRPr="009622E6">
        <w:rPr>
          <w:rFonts w:asciiTheme="majorHAnsi" w:hAnsiTheme="majorHAnsi" w:cs="Times New Roman"/>
          <w:bCs/>
          <w:sz w:val="24"/>
          <w:szCs w:val="24"/>
        </w:rPr>
        <w:t xml:space="preserve"> preterm infants</w:t>
      </w:r>
      <w:r w:rsidR="00E629E0" w:rsidRPr="009622E6">
        <w:rPr>
          <w:rFonts w:asciiTheme="majorHAnsi" w:hAnsiTheme="majorHAnsi" w:cs="Times New Roman"/>
          <w:bCs/>
          <w:sz w:val="24"/>
          <w:szCs w:val="24"/>
        </w:rPr>
        <w:t xml:space="preserve"> </w:t>
      </w:r>
      <w:r w:rsidRPr="009622E6">
        <w:rPr>
          <w:rFonts w:asciiTheme="majorHAnsi" w:hAnsiTheme="majorHAnsi" w:cs="Times New Roman"/>
          <w:bCs/>
          <w:sz w:val="24"/>
          <w:szCs w:val="24"/>
        </w:rPr>
        <w:t>experience</w:t>
      </w:r>
      <w:r w:rsidR="004D504D" w:rsidRPr="009622E6">
        <w:rPr>
          <w:rFonts w:asciiTheme="majorHAnsi" w:hAnsiTheme="majorHAnsi" w:cs="Times New Roman"/>
          <w:bCs/>
          <w:sz w:val="24"/>
          <w:szCs w:val="24"/>
        </w:rPr>
        <w:t xml:space="preserve"> a fall </w:t>
      </w:r>
      <w:r w:rsidR="00F6250D" w:rsidRPr="009622E6">
        <w:rPr>
          <w:rFonts w:asciiTheme="majorHAnsi" w:hAnsiTheme="majorHAnsi" w:cs="Times New Roman"/>
          <w:bCs/>
          <w:sz w:val="24"/>
          <w:szCs w:val="24"/>
        </w:rPr>
        <w:t>across marked centile lines for</w:t>
      </w:r>
      <w:r w:rsidR="004D504D" w:rsidRPr="009622E6">
        <w:rPr>
          <w:rFonts w:asciiTheme="majorHAnsi" w:hAnsiTheme="majorHAnsi" w:cs="Times New Roman"/>
          <w:bCs/>
          <w:sz w:val="24"/>
          <w:szCs w:val="24"/>
        </w:rPr>
        <w:t xml:space="preserve"> weight </w:t>
      </w:r>
      <w:r w:rsidR="00F6250D" w:rsidRPr="009622E6">
        <w:rPr>
          <w:rFonts w:asciiTheme="majorHAnsi" w:hAnsiTheme="majorHAnsi" w:cs="Times New Roman"/>
          <w:bCs/>
          <w:sz w:val="24"/>
          <w:szCs w:val="24"/>
        </w:rPr>
        <w:t xml:space="preserve">in early </w:t>
      </w:r>
      <w:r w:rsidR="004D504D" w:rsidRPr="009622E6">
        <w:rPr>
          <w:rFonts w:asciiTheme="majorHAnsi" w:hAnsiTheme="majorHAnsi" w:cs="Times New Roman"/>
          <w:bCs/>
          <w:sz w:val="24"/>
          <w:szCs w:val="24"/>
        </w:rPr>
        <w:t>life</w:t>
      </w:r>
      <w:r w:rsidR="004D504D" w:rsidRPr="009622E6">
        <w:rPr>
          <w:rFonts w:asciiTheme="majorHAnsi" w:hAnsiTheme="majorHAnsi" w:cs="Times New Roman"/>
          <w:sz w:val="24"/>
          <w:szCs w:val="24"/>
        </w:rPr>
        <w:t xml:space="preserve"> with </w:t>
      </w:r>
      <w:r w:rsidR="00897625" w:rsidRPr="009622E6">
        <w:rPr>
          <w:rFonts w:asciiTheme="majorHAnsi" w:hAnsiTheme="majorHAnsi" w:cs="Times New Roman"/>
          <w:sz w:val="24"/>
          <w:szCs w:val="24"/>
        </w:rPr>
        <w:t>e</w:t>
      </w:r>
      <w:r w:rsidR="00E629E0" w:rsidRPr="009622E6">
        <w:rPr>
          <w:rFonts w:asciiTheme="majorHAnsi" w:hAnsiTheme="majorHAnsi" w:cs="Times New Roman"/>
          <w:sz w:val="24"/>
          <w:szCs w:val="24"/>
        </w:rPr>
        <w:t xml:space="preserve">arly poor head growth </w:t>
      </w:r>
      <w:r w:rsidRPr="009622E6">
        <w:rPr>
          <w:rFonts w:asciiTheme="majorHAnsi" w:hAnsiTheme="majorHAnsi" w:cs="Times New Roman"/>
          <w:sz w:val="24"/>
          <w:szCs w:val="24"/>
        </w:rPr>
        <w:t>also</w:t>
      </w:r>
      <w:r w:rsidR="00984292" w:rsidRPr="009622E6">
        <w:rPr>
          <w:rFonts w:asciiTheme="majorHAnsi" w:hAnsiTheme="majorHAnsi" w:cs="Times New Roman"/>
          <w:sz w:val="24"/>
          <w:szCs w:val="24"/>
        </w:rPr>
        <w:t xml:space="preserve"> </w:t>
      </w:r>
      <w:r w:rsidR="00897625" w:rsidRPr="009622E6">
        <w:rPr>
          <w:rFonts w:asciiTheme="majorHAnsi" w:hAnsiTheme="majorHAnsi" w:cs="Times New Roman"/>
          <w:sz w:val="24"/>
          <w:szCs w:val="24"/>
        </w:rPr>
        <w:t>reported</w:t>
      </w:r>
      <w:r w:rsidR="00947C86" w:rsidRPr="009622E6">
        <w:rPr>
          <w:rFonts w:asciiTheme="majorHAnsi" w:hAnsiTheme="majorHAnsi" w:cs="Times New Roman"/>
          <w:sz w:val="24"/>
          <w:szCs w:val="24"/>
        </w:rPr>
        <w:t>.</w:t>
      </w:r>
      <w:r w:rsidR="00E629E0" w:rsidRPr="009622E6">
        <w:rPr>
          <w:rFonts w:asciiTheme="majorHAnsi" w:hAnsiTheme="majorHAnsi" w:cs="Times New Roman"/>
          <w:sz w:val="24"/>
          <w:szCs w:val="24"/>
        </w:rPr>
        <w:t xml:space="preserve"> </w:t>
      </w:r>
      <w:r w:rsidR="00076790" w:rsidRPr="009622E6">
        <w:rPr>
          <w:rFonts w:asciiTheme="majorHAnsi" w:hAnsiTheme="majorHAnsi" w:cs="Times New Roman"/>
          <w:sz w:val="24"/>
          <w:szCs w:val="24"/>
        </w:rPr>
        <w:t>This study</w:t>
      </w:r>
      <w:r w:rsidR="004D504D" w:rsidRPr="009622E6">
        <w:rPr>
          <w:rFonts w:asciiTheme="majorHAnsi" w:hAnsiTheme="majorHAnsi" w:cs="Times New Roman"/>
          <w:sz w:val="24"/>
          <w:szCs w:val="24"/>
        </w:rPr>
        <w:t xml:space="preserve"> describe</w:t>
      </w:r>
      <w:r w:rsidR="00076790" w:rsidRPr="009622E6">
        <w:rPr>
          <w:rFonts w:asciiTheme="majorHAnsi" w:hAnsiTheme="majorHAnsi" w:cs="Times New Roman"/>
          <w:sz w:val="24"/>
          <w:szCs w:val="24"/>
        </w:rPr>
        <w:t>s</w:t>
      </w:r>
      <w:r w:rsidR="004D504D" w:rsidRPr="009622E6">
        <w:rPr>
          <w:rFonts w:asciiTheme="majorHAnsi" w:hAnsiTheme="majorHAnsi" w:cs="Times New Roman"/>
          <w:sz w:val="24"/>
          <w:szCs w:val="24"/>
        </w:rPr>
        <w:t xml:space="preserve"> a single neonatal unit’s</w:t>
      </w:r>
      <w:r w:rsidR="009A7AEE" w:rsidRPr="009622E6">
        <w:rPr>
          <w:rFonts w:asciiTheme="majorHAnsi" w:hAnsiTheme="majorHAnsi" w:cs="Times New Roman"/>
          <w:sz w:val="24"/>
          <w:szCs w:val="24"/>
        </w:rPr>
        <w:t xml:space="preserve"> </w:t>
      </w:r>
      <w:r w:rsidR="004D504D" w:rsidRPr="009622E6">
        <w:rPr>
          <w:rFonts w:asciiTheme="majorHAnsi" w:hAnsiTheme="majorHAnsi" w:cs="Times New Roman"/>
          <w:sz w:val="24"/>
          <w:szCs w:val="24"/>
        </w:rPr>
        <w:t>experience of longitudinal change in weight, head circumference</w:t>
      </w:r>
      <w:r w:rsidR="004A3668" w:rsidRPr="009622E6">
        <w:rPr>
          <w:rFonts w:asciiTheme="majorHAnsi" w:hAnsiTheme="majorHAnsi" w:cs="Times New Roman"/>
          <w:sz w:val="24"/>
          <w:szCs w:val="24"/>
        </w:rPr>
        <w:t xml:space="preserve"> (HC)</w:t>
      </w:r>
      <w:r w:rsidR="004D504D" w:rsidRPr="009622E6">
        <w:rPr>
          <w:rFonts w:asciiTheme="majorHAnsi" w:hAnsiTheme="majorHAnsi" w:cs="Times New Roman"/>
          <w:sz w:val="24"/>
          <w:szCs w:val="24"/>
        </w:rPr>
        <w:t xml:space="preserve"> and length</w:t>
      </w:r>
      <w:r w:rsidR="004A3668" w:rsidRPr="009622E6">
        <w:rPr>
          <w:rFonts w:asciiTheme="majorHAnsi" w:hAnsiTheme="majorHAnsi" w:cs="Times New Roman"/>
          <w:sz w:val="24"/>
          <w:szCs w:val="24"/>
        </w:rPr>
        <w:t xml:space="preserve"> from a </w:t>
      </w:r>
      <w:r w:rsidR="004D504D" w:rsidRPr="009622E6">
        <w:rPr>
          <w:rFonts w:asciiTheme="majorHAnsi" w:hAnsiTheme="majorHAnsi" w:cs="Times New Roman"/>
          <w:sz w:val="24"/>
          <w:szCs w:val="24"/>
        </w:rPr>
        <w:t xml:space="preserve">cohort </w:t>
      </w:r>
      <w:r w:rsidR="009A7AEE" w:rsidRPr="009622E6">
        <w:rPr>
          <w:rFonts w:asciiTheme="majorHAnsi" w:hAnsiTheme="majorHAnsi" w:cs="Times New Roman"/>
          <w:sz w:val="24"/>
          <w:szCs w:val="24"/>
        </w:rPr>
        <w:t xml:space="preserve">of </w:t>
      </w:r>
      <w:r w:rsidR="00A16FDF" w:rsidRPr="009622E6">
        <w:rPr>
          <w:rFonts w:asciiTheme="majorHAnsi" w:hAnsiTheme="majorHAnsi" w:cs="Times New Roman"/>
          <w:sz w:val="24"/>
          <w:szCs w:val="24"/>
        </w:rPr>
        <w:t>preterm infants</w:t>
      </w:r>
      <w:r w:rsidR="004D504D" w:rsidRPr="009622E6">
        <w:rPr>
          <w:rFonts w:asciiTheme="majorHAnsi" w:hAnsiTheme="majorHAnsi" w:cs="Times New Roman"/>
          <w:sz w:val="24"/>
          <w:szCs w:val="24"/>
        </w:rPr>
        <w:t xml:space="preserve"> born </w:t>
      </w:r>
      <w:r w:rsidR="00076790" w:rsidRPr="009622E6">
        <w:rPr>
          <w:rFonts w:asciiTheme="majorHAnsi" w:hAnsiTheme="majorHAnsi" w:cs="Times New Roman"/>
          <w:sz w:val="24"/>
          <w:szCs w:val="24"/>
        </w:rPr>
        <w:t>&lt;</w:t>
      </w:r>
      <w:r w:rsidR="004A3668" w:rsidRPr="009622E6">
        <w:rPr>
          <w:rFonts w:asciiTheme="majorHAnsi" w:hAnsiTheme="majorHAnsi" w:cs="Times New Roman"/>
          <w:sz w:val="24"/>
          <w:szCs w:val="24"/>
        </w:rPr>
        <w:t>32 weeks’ gestation</w:t>
      </w:r>
      <w:r w:rsidR="004D504D" w:rsidRPr="009622E6">
        <w:rPr>
          <w:rFonts w:asciiTheme="majorHAnsi" w:hAnsiTheme="majorHAnsi" w:cs="Times New Roman"/>
          <w:sz w:val="24"/>
          <w:szCs w:val="24"/>
        </w:rPr>
        <w:t xml:space="preserve">.  </w:t>
      </w:r>
    </w:p>
    <w:p w:rsidR="00F8532F" w:rsidRPr="009622E6" w:rsidRDefault="004A3668" w:rsidP="00046F10">
      <w:pPr>
        <w:spacing w:line="480" w:lineRule="auto"/>
        <w:rPr>
          <w:rFonts w:asciiTheme="majorHAnsi" w:hAnsiTheme="majorHAnsi" w:cs="Times New Roman"/>
          <w:b/>
          <w:sz w:val="24"/>
          <w:szCs w:val="24"/>
        </w:rPr>
      </w:pPr>
      <w:r w:rsidRPr="009622E6">
        <w:rPr>
          <w:rFonts w:asciiTheme="majorHAnsi" w:hAnsiTheme="majorHAnsi" w:cs="Times New Roman"/>
          <w:b/>
          <w:sz w:val="24"/>
          <w:szCs w:val="24"/>
        </w:rPr>
        <w:t>Methods</w:t>
      </w:r>
    </w:p>
    <w:p w:rsidR="00187D4B" w:rsidRPr="009622E6" w:rsidRDefault="00A16FDF" w:rsidP="00046F10">
      <w:pPr>
        <w:spacing w:line="480" w:lineRule="auto"/>
        <w:rPr>
          <w:rFonts w:asciiTheme="majorHAnsi" w:hAnsiTheme="majorHAnsi" w:cs="Times New Roman"/>
          <w:sz w:val="24"/>
          <w:szCs w:val="24"/>
        </w:rPr>
      </w:pPr>
      <w:r w:rsidRPr="009622E6">
        <w:rPr>
          <w:rFonts w:asciiTheme="majorHAnsi" w:hAnsiTheme="majorHAnsi" w:cs="Times New Roman"/>
          <w:sz w:val="24"/>
          <w:szCs w:val="24"/>
        </w:rPr>
        <w:t xml:space="preserve">Data were collected from a single neonatal unit between July 2012 and </w:t>
      </w:r>
      <w:r w:rsidR="002A7EB6" w:rsidRPr="009622E6">
        <w:rPr>
          <w:rFonts w:asciiTheme="majorHAnsi" w:hAnsiTheme="majorHAnsi" w:cs="Times New Roman"/>
          <w:sz w:val="24"/>
          <w:szCs w:val="24"/>
        </w:rPr>
        <w:t>June</w:t>
      </w:r>
      <w:r w:rsidRPr="009622E6">
        <w:rPr>
          <w:rFonts w:asciiTheme="majorHAnsi" w:hAnsiTheme="majorHAnsi" w:cs="Times New Roman"/>
          <w:sz w:val="24"/>
          <w:szCs w:val="24"/>
        </w:rPr>
        <w:t xml:space="preserve"> 2017. </w:t>
      </w:r>
      <w:r w:rsidR="004E5745" w:rsidRPr="009622E6">
        <w:rPr>
          <w:rFonts w:asciiTheme="majorHAnsi" w:hAnsiTheme="majorHAnsi" w:cs="Times New Roman"/>
          <w:sz w:val="24"/>
          <w:szCs w:val="24"/>
        </w:rPr>
        <w:t>This period followed the introduction of improved nutritional guideline</w:t>
      </w:r>
      <w:r w:rsidR="008078E0" w:rsidRPr="009622E6">
        <w:rPr>
          <w:rFonts w:asciiTheme="majorHAnsi" w:hAnsiTheme="majorHAnsi" w:cs="Times New Roman"/>
          <w:sz w:val="24"/>
          <w:szCs w:val="24"/>
        </w:rPr>
        <w:t>s</w:t>
      </w:r>
      <w:r w:rsidR="004E5745" w:rsidRPr="009622E6">
        <w:rPr>
          <w:rFonts w:asciiTheme="majorHAnsi" w:hAnsiTheme="majorHAnsi" w:cs="Times New Roman"/>
          <w:sz w:val="24"/>
          <w:szCs w:val="24"/>
        </w:rPr>
        <w:t>.</w:t>
      </w:r>
      <w:r w:rsidR="004A3668" w:rsidRPr="009622E6">
        <w:rPr>
          <w:rFonts w:asciiTheme="majorHAnsi" w:hAnsiTheme="majorHAnsi" w:cs="Times New Roman"/>
          <w:sz w:val="24"/>
          <w:szCs w:val="24"/>
        </w:rPr>
        <w:t xml:space="preserve"> </w:t>
      </w:r>
      <w:r w:rsidR="00D00B25" w:rsidRPr="009622E6">
        <w:rPr>
          <w:rFonts w:asciiTheme="majorHAnsi" w:hAnsiTheme="majorHAnsi" w:cs="Times New Roman"/>
          <w:sz w:val="24"/>
          <w:szCs w:val="24"/>
        </w:rPr>
        <w:t>Patients</w:t>
      </w:r>
      <w:r w:rsidR="004A3668" w:rsidRPr="009622E6">
        <w:rPr>
          <w:rFonts w:asciiTheme="majorHAnsi" w:hAnsiTheme="majorHAnsi" w:cs="Times New Roman"/>
          <w:sz w:val="24"/>
          <w:szCs w:val="24"/>
        </w:rPr>
        <w:t xml:space="preserve"> were grouped according to their gestation</w:t>
      </w:r>
      <w:r w:rsidR="009A7AEE" w:rsidRPr="009622E6">
        <w:rPr>
          <w:rFonts w:asciiTheme="majorHAnsi" w:hAnsiTheme="majorHAnsi" w:cs="Times New Roman"/>
          <w:sz w:val="24"/>
          <w:szCs w:val="24"/>
        </w:rPr>
        <w:t>al age</w:t>
      </w:r>
      <w:r w:rsidR="005F68A5" w:rsidRPr="009622E6">
        <w:rPr>
          <w:rFonts w:asciiTheme="majorHAnsi" w:hAnsiTheme="majorHAnsi" w:cs="Times New Roman"/>
          <w:sz w:val="24"/>
          <w:szCs w:val="24"/>
        </w:rPr>
        <w:t xml:space="preserve"> at birth. </w:t>
      </w:r>
      <w:r w:rsidR="00642C91">
        <w:rPr>
          <w:rFonts w:asciiTheme="majorHAnsi" w:hAnsiTheme="majorHAnsi" w:cs="Times New Roman"/>
          <w:sz w:val="24"/>
          <w:szCs w:val="24"/>
        </w:rPr>
        <w:t>G</w:t>
      </w:r>
      <w:r w:rsidR="004A3668" w:rsidRPr="009622E6">
        <w:rPr>
          <w:rFonts w:asciiTheme="majorHAnsi" w:hAnsiTheme="majorHAnsi" w:cs="Times New Roman"/>
          <w:sz w:val="24"/>
          <w:szCs w:val="24"/>
        </w:rPr>
        <w:t>rowth l</w:t>
      </w:r>
      <w:r w:rsidR="00D00B25" w:rsidRPr="009622E6">
        <w:rPr>
          <w:rFonts w:asciiTheme="majorHAnsi" w:hAnsiTheme="majorHAnsi" w:cs="Times New Roman"/>
          <w:sz w:val="24"/>
          <w:szCs w:val="24"/>
        </w:rPr>
        <w:t xml:space="preserve">ines were constructed for </w:t>
      </w:r>
      <w:r w:rsidR="004A3668" w:rsidRPr="009622E6">
        <w:rPr>
          <w:rFonts w:asciiTheme="majorHAnsi" w:hAnsiTheme="majorHAnsi" w:cs="Times New Roman"/>
          <w:sz w:val="24"/>
          <w:szCs w:val="24"/>
        </w:rPr>
        <w:t xml:space="preserve">weight, HC and length </w:t>
      </w:r>
      <w:r w:rsidR="00076790" w:rsidRPr="009622E6">
        <w:rPr>
          <w:rFonts w:asciiTheme="majorHAnsi" w:hAnsiTheme="majorHAnsi" w:cs="Times New Roman"/>
          <w:sz w:val="24"/>
          <w:szCs w:val="24"/>
        </w:rPr>
        <w:t xml:space="preserve">in each </w:t>
      </w:r>
      <w:r w:rsidR="008078E0" w:rsidRPr="009622E6">
        <w:rPr>
          <w:rFonts w:asciiTheme="majorHAnsi" w:hAnsiTheme="majorHAnsi" w:cs="Times New Roman"/>
          <w:sz w:val="24"/>
          <w:szCs w:val="24"/>
        </w:rPr>
        <w:t>gestational age</w:t>
      </w:r>
      <w:r w:rsidR="00076790" w:rsidRPr="009622E6">
        <w:rPr>
          <w:rFonts w:asciiTheme="majorHAnsi" w:hAnsiTheme="majorHAnsi" w:cs="Times New Roman"/>
          <w:sz w:val="24"/>
          <w:szCs w:val="24"/>
        </w:rPr>
        <w:t xml:space="preserve"> group</w:t>
      </w:r>
      <w:r w:rsidR="00642C91">
        <w:rPr>
          <w:rFonts w:asciiTheme="majorHAnsi" w:hAnsiTheme="majorHAnsi" w:cs="Times New Roman"/>
          <w:sz w:val="24"/>
          <w:szCs w:val="24"/>
        </w:rPr>
        <w:t xml:space="preserve"> from the median measures</w:t>
      </w:r>
      <w:r w:rsidR="00076790" w:rsidRPr="009622E6">
        <w:rPr>
          <w:rFonts w:asciiTheme="majorHAnsi" w:hAnsiTheme="majorHAnsi" w:cs="Times New Roman"/>
          <w:sz w:val="24"/>
          <w:szCs w:val="24"/>
        </w:rPr>
        <w:t xml:space="preserve"> </w:t>
      </w:r>
      <w:r w:rsidR="004A3668" w:rsidRPr="009622E6">
        <w:rPr>
          <w:rFonts w:asciiTheme="majorHAnsi" w:hAnsiTheme="majorHAnsi" w:cs="Times New Roman"/>
          <w:sz w:val="24"/>
          <w:szCs w:val="24"/>
        </w:rPr>
        <w:t xml:space="preserve">and </w:t>
      </w:r>
      <w:r w:rsidR="00076790" w:rsidRPr="009622E6">
        <w:rPr>
          <w:rFonts w:asciiTheme="majorHAnsi" w:hAnsiTheme="majorHAnsi" w:cs="Times New Roman"/>
          <w:sz w:val="24"/>
          <w:szCs w:val="24"/>
        </w:rPr>
        <w:t xml:space="preserve">compared to </w:t>
      </w:r>
      <w:r w:rsidR="00642C91">
        <w:rPr>
          <w:rFonts w:asciiTheme="majorHAnsi" w:hAnsiTheme="majorHAnsi" w:cs="Times New Roman"/>
          <w:sz w:val="24"/>
          <w:szCs w:val="24"/>
        </w:rPr>
        <w:t>reference centile lines</w:t>
      </w:r>
      <w:r w:rsidR="004A3668" w:rsidRPr="009622E6">
        <w:rPr>
          <w:rFonts w:asciiTheme="majorHAnsi" w:hAnsiTheme="majorHAnsi" w:cs="Times New Roman"/>
          <w:sz w:val="24"/>
          <w:szCs w:val="24"/>
        </w:rPr>
        <w:t xml:space="preserve">.  </w:t>
      </w:r>
    </w:p>
    <w:p w:rsidR="00F8532F" w:rsidRPr="009622E6" w:rsidRDefault="00F8532F" w:rsidP="00046F10">
      <w:pPr>
        <w:spacing w:line="480" w:lineRule="auto"/>
        <w:rPr>
          <w:rFonts w:asciiTheme="majorHAnsi" w:hAnsiTheme="majorHAnsi" w:cs="Times New Roman"/>
          <w:b/>
          <w:sz w:val="24"/>
          <w:szCs w:val="24"/>
        </w:rPr>
      </w:pPr>
      <w:r w:rsidRPr="009622E6">
        <w:rPr>
          <w:rFonts w:asciiTheme="majorHAnsi" w:hAnsiTheme="majorHAnsi" w:cs="Times New Roman"/>
          <w:b/>
          <w:sz w:val="24"/>
          <w:szCs w:val="24"/>
        </w:rPr>
        <w:t>Results</w:t>
      </w:r>
    </w:p>
    <w:p w:rsidR="00187D4B" w:rsidRPr="009622E6" w:rsidRDefault="00A16FDF" w:rsidP="00046F10">
      <w:pPr>
        <w:spacing w:line="480" w:lineRule="auto"/>
        <w:rPr>
          <w:rFonts w:asciiTheme="majorHAnsi" w:hAnsiTheme="majorHAnsi" w:cs="Times New Roman"/>
          <w:sz w:val="24"/>
          <w:szCs w:val="24"/>
        </w:rPr>
      </w:pPr>
      <w:r w:rsidRPr="009622E6">
        <w:rPr>
          <w:rFonts w:asciiTheme="majorHAnsi" w:hAnsiTheme="majorHAnsi" w:cs="Times New Roman"/>
          <w:sz w:val="24"/>
          <w:szCs w:val="24"/>
        </w:rPr>
        <w:t>Data were analysed from 396 patients consisting of 2808, 1991 and 2004 me</w:t>
      </w:r>
      <w:r w:rsidR="0000732C" w:rsidRPr="009622E6">
        <w:rPr>
          <w:rFonts w:asciiTheme="majorHAnsi" w:hAnsiTheme="majorHAnsi" w:cs="Times New Roman"/>
          <w:sz w:val="24"/>
          <w:szCs w:val="24"/>
        </w:rPr>
        <w:t>asures for weight, HC and length</w:t>
      </w:r>
      <w:r w:rsidR="00F6250D" w:rsidRPr="009622E6">
        <w:rPr>
          <w:rFonts w:asciiTheme="majorHAnsi" w:hAnsiTheme="majorHAnsi" w:cs="Times New Roman"/>
          <w:sz w:val="24"/>
          <w:szCs w:val="24"/>
        </w:rPr>
        <w:t xml:space="preserve"> respectively</w:t>
      </w:r>
      <w:r w:rsidRPr="009622E6">
        <w:rPr>
          <w:rFonts w:asciiTheme="majorHAnsi" w:hAnsiTheme="majorHAnsi" w:cs="Times New Roman"/>
          <w:sz w:val="24"/>
          <w:szCs w:val="24"/>
        </w:rPr>
        <w:t xml:space="preserve">. </w:t>
      </w:r>
      <w:r w:rsidR="00076790" w:rsidRPr="009622E6">
        <w:rPr>
          <w:rFonts w:asciiTheme="majorHAnsi" w:hAnsiTheme="majorHAnsi" w:cs="Times New Roman"/>
          <w:sz w:val="24"/>
          <w:szCs w:val="24"/>
        </w:rPr>
        <w:t>L</w:t>
      </w:r>
      <w:r w:rsidR="00187D4B" w:rsidRPr="009622E6">
        <w:rPr>
          <w:rFonts w:asciiTheme="majorHAnsi" w:hAnsiTheme="majorHAnsi" w:cs="Times New Roman"/>
          <w:sz w:val="24"/>
          <w:szCs w:val="24"/>
        </w:rPr>
        <w:t xml:space="preserve">ongitudinal </w:t>
      </w:r>
      <w:r w:rsidR="00076790" w:rsidRPr="009622E6">
        <w:rPr>
          <w:rFonts w:asciiTheme="majorHAnsi" w:hAnsiTheme="majorHAnsi" w:cs="Times New Roman"/>
          <w:sz w:val="24"/>
          <w:szCs w:val="24"/>
        </w:rPr>
        <w:t xml:space="preserve">growth </w:t>
      </w:r>
      <w:r w:rsidR="003019B3">
        <w:rPr>
          <w:rFonts w:asciiTheme="majorHAnsi" w:hAnsiTheme="majorHAnsi" w:cs="Times New Roman"/>
          <w:sz w:val="24"/>
          <w:szCs w:val="24"/>
        </w:rPr>
        <w:t>plots</w:t>
      </w:r>
      <w:r w:rsidR="00187D4B" w:rsidRPr="009622E6">
        <w:rPr>
          <w:rFonts w:asciiTheme="majorHAnsi" w:hAnsiTheme="majorHAnsi" w:cs="Times New Roman"/>
          <w:sz w:val="24"/>
          <w:szCs w:val="24"/>
        </w:rPr>
        <w:t xml:space="preserve"> d</w:t>
      </w:r>
      <w:r w:rsidR="00076790" w:rsidRPr="009622E6">
        <w:rPr>
          <w:rFonts w:asciiTheme="majorHAnsi" w:hAnsiTheme="majorHAnsi" w:cs="Times New Roman"/>
          <w:sz w:val="24"/>
          <w:szCs w:val="24"/>
        </w:rPr>
        <w:t>id</w:t>
      </w:r>
      <w:r w:rsidR="00187D4B" w:rsidRPr="009622E6">
        <w:rPr>
          <w:rFonts w:asciiTheme="majorHAnsi" w:hAnsiTheme="majorHAnsi" w:cs="Times New Roman"/>
          <w:sz w:val="24"/>
          <w:szCs w:val="24"/>
        </w:rPr>
        <w:t xml:space="preserve"> not show an initial absolute weight loss in any of the subgroup</w:t>
      </w:r>
      <w:r w:rsidR="00984292" w:rsidRPr="009622E6">
        <w:rPr>
          <w:rFonts w:asciiTheme="majorHAnsi" w:hAnsiTheme="majorHAnsi" w:cs="Times New Roman"/>
          <w:sz w:val="24"/>
          <w:szCs w:val="24"/>
        </w:rPr>
        <w:t>s</w:t>
      </w:r>
      <w:r w:rsidRPr="009622E6">
        <w:rPr>
          <w:rFonts w:asciiTheme="majorHAnsi" w:hAnsiTheme="majorHAnsi" w:cs="Times New Roman"/>
          <w:sz w:val="24"/>
          <w:szCs w:val="24"/>
        </w:rPr>
        <w:t xml:space="preserve">. Across all groups the mean </w:t>
      </w:r>
      <w:r w:rsidR="00A422BF">
        <w:rPr>
          <w:rFonts w:asciiTheme="majorHAnsi" w:hAnsiTheme="majorHAnsi" w:cs="Times New Roman"/>
          <w:sz w:val="24"/>
          <w:szCs w:val="24"/>
        </w:rPr>
        <w:t>change</w:t>
      </w:r>
      <w:r w:rsidRPr="009622E6">
        <w:rPr>
          <w:rFonts w:asciiTheme="majorHAnsi" w:hAnsiTheme="majorHAnsi" w:cs="Times New Roman"/>
          <w:sz w:val="24"/>
          <w:szCs w:val="24"/>
        </w:rPr>
        <w:t xml:space="preserve"> in</w:t>
      </w:r>
      <w:r w:rsidR="006E7191" w:rsidRPr="009622E6">
        <w:rPr>
          <w:rFonts w:asciiTheme="majorHAnsi" w:hAnsiTheme="majorHAnsi" w:cs="Times New Roman"/>
          <w:sz w:val="24"/>
          <w:szCs w:val="24"/>
        </w:rPr>
        <w:t xml:space="preserve"> </w:t>
      </w:r>
      <w:r w:rsidRPr="009622E6">
        <w:rPr>
          <w:rFonts w:asciiTheme="majorHAnsi" w:hAnsiTheme="majorHAnsi" w:cs="Times New Roman"/>
          <w:sz w:val="24"/>
          <w:szCs w:val="24"/>
        </w:rPr>
        <w:t>SDS between birth and 36 weeks was -0.</w:t>
      </w:r>
      <w:r w:rsidR="00897625" w:rsidRPr="009622E6">
        <w:rPr>
          <w:rFonts w:asciiTheme="majorHAnsi" w:hAnsiTheme="majorHAnsi" w:cs="Times New Roman"/>
          <w:sz w:val="24"/>
          <w:szCs w:val="24"/>
        </w:rPr>
        <w:t>27</w:t>
      </w:r>
      <w:r w:rsidR="00727CC9" w:rsidRPr="009622E6">
        <w:rPr>
          <w:rFonts w:asciiTheme="majorHAnsi" w:hAnsiTheme="majorHAnsi" w:cs="Times New Roman"/>
          <w:sz w:val="24"/>
          <w:szCs w:val="24"/>
        </w:rPr>
        <w:t xml:space="preserve"> (95% confidence interval -0.39 to -0.15</w:t>
      </w:r>
      <w:r w:rsidR="005F68A5" w:rsidRPr="009622E6">
        <w:rPr>
          <w:rFonts w:asciiTheme="majorHAnsi" w:hAnsiTheme="majorHAnsi" w:cs="Times New Roman"/>
          <w:sz w:val="24"/>
          <w:szCs w:val="24"/>
        </w:rPr>
        <w:t>).</w:t>
      </w:r>
      <w:r w:rsidR="002C0417">
        <w:rPr>
          <w:rFonts w:asciiTheme="majorHAnsi" w:hAnsiTheme="majorHAnsi" w:cs="Times New Roman"/>
          <w:sz w:val="24"/>
          <w:szCs w:val="24"/>
        </w:rPr>
        <w:t xml:space="preserve"> </w:t>
      </w:r>
    </w:p>
    <w:p w:rsidR="00F8532F" w:rsidRPr="009622E6" w:rsidRDefault="00F8532F" w:rsidP="00046F10">
      <w:pPr>
        <w:spacing w:line="480" w:lineRule="auto"/>
        <w:rPr>
          <w:rFonts w:asciiTheme="majorHAnsi" w:hAnsiTheme="majorHAnsi" w:cs="Times New Roman"/>
          <w:b/>
          <w:sz w:val="24"/>
          <w:szCs w:val="24"/>
        </w:rPr>
      </w:pPr>
      <w:r w:rsidRPr="009622E6">
        <w:rPr>
          <w:rFonts w:asciiTheme="majorHAnsi" w:hAnsiTheme="majorHAnsi" w:cs="Times New Roman"/>
          <w:b/>
          <w:sz w:val="24"/>
          <w:szCs w:val="24"/>
        </w:rPr>
        <w:t>Conclusions</w:t>
      </w:r>
    </w:p>
    <w:p w:rsidR="009E34E0" w:rsidRPr="009622E6" w:rsidRDefault="0000732C" w:rsidP="00046F10">
      <w:pPr>
        <w:spacing w:line="480" w:lineRule="auto"/>
        <w:rPr>
          <w:rFonts w:asciiTheme="majorHAnsi" w:hAnsiTheme="majorHAnsi" w:cs="Times New Roman"/>
          <w:sz w:val="24"/>
          <w:szCs w:val="24"/>
        </w:rPr>
      </w:pPr>
      <w:r w:rsidRPr="009622E6">
        <w:rPr>
          <w:rFonts w:asciiTheme="majorHAnsi" w:hAnsiTheme="majorHAnsi" w:cs="Times New Roman"/>
          <w:sz w:val="24"/>
          <w:szCs w:val="24"/>
        </w:rPr>
        <w:t xml:space="preserve">This description of longitudinal growth in a cohort of preterm infants demonstrates that early postnatal growth failure is not inevitable, with most infants </w:t>
      </w:r>
      <w:r w:rsidR="000F3E7E" w:rsidRPr="009622E6">
        <w:rPr>
          <w:rFonts w:asciiTheme="majorHAnsi" w:hAnsiTheme="majorHAnsi" w:cs="Times New Roman"/>
          <w:sz w:val="24"/>
          <w:szCs w:val="24"/>
        </w:rPr>
        <w:t xml:space="preserve">growing along a trajectory </w:t>
      </w:r>
      <w:r w:rsidRPr="009622E6">
        <w:rPr>
          <w:rFonts w:asciiTheme="majorHAnsi" w:hAnsiTheme="majorHAnsi" w:cs="Times New Roman"/>
          <w:sz w:val="24"/>
          <w:szCs w:val="24"/>
        </w:rPr>
        <w:t>close to their birth centile</w:t>
      </w:r>
      <w:r w:rsidR="004E5745" w:rsidRPr="009622E6">
        <w:rPr>
          <w:rFonts w:asciiTheme="majorHAnsi" w:hAnsiTheme="majorHAnsi" w:cs="Times New Roman"/>
          <w:sz w:val="24"/>
          <w:szCs w:val="24"/>
        </w:rPr>
        <w:t>.</w:t>
      </w:r>
      <w:r w:rsidR="00AA6D5E" w:rsidRPr="009622E6">
        <w:rPr>
          <w:rFonts w:asciiTheme="majorHAnsi" w:hAnsiTheme="majorHAnsi" w:cs="Times New Roman"/>
          <w:sz w:val="24"/>
          <w:szCs w:val="24"/>
        </w:rPr>
        <w:t xml:space="preserve"> </w:t>
      </w:r>
      <w:r w:rsidR="00CC31BF" w:rsidRPr="009622E6">
        <w:rPr>
          <w:rFonts w:asciiTheme="majorHAnsi" w:hAnsiTheme="majorHAnsi" w:cs="Times New Roman"/>
          <w:sz w:val="24"/>
          <w:szCs w:val="24"/>
        </w:rPr>
        <w:t>There is no evidence of a</w:t>
      </w:r>
      <w:r w:rsidR="0048548B" w:rsidRPr="009622E6">
        <w:rPr>
          <w:rFonts w:asciiTheme="majorHAnsi" w:hAnsiTheme="majorHAnsi" w:cs="Times New Roman"/>
          <w:sz w:val="24"/>
          <w:szCs w:val="24"/>
        </w:rPr>
        <w:t xml:space="preserve"> </w:t>
      </w:r>
      <w:r w:rsidR="0020287D" w:rsidRPr="009622E6">
        <w:rPr>
          <w:rFonts w:asciiTheme="majorHAnsi" w:hAnsiTheme="majorHAnsi" w:cs="Times New Roman"/>
          <w:sz w:val="24"/>
          <w:szCs w:val="24"/>
        </w:rPr>
        <w:t>2</w:t>
      </w:r>
      <w:r w:rsidR="00224018">
        <w:rPr>
          <w:rFonts w:asciiTheme="majorHAnsi" w:hAnsiTheme="majorHAnsi" w:cs="Times New Roman"/>
          <w:sz w:val="24"/>
          <w:szCs w:val="24"/>
        </w:rPr>
        <w:t xml:space="preserve"> </w:t>
      </w:r>
      <w:r w:rsidR="003748CE" w:rsidRPr="003748CE">
        <w:rPr>
          <w:rFonts w:asciiTheme="majorHAnsi" w:hAnsiTheme="majorHAnsi" w:cs="Times New Roman"/>
          <w:sz w:val="24"/>
          <w:szCs w:val="24"/>
        </w:rPr>
        <w:t>marked centile line weight decrease</w:t>
      </w:r>
      <w:r w:rsidR="003748CE" w:rsidRPr="009622E6">
        <w:rPr>
          <w:rFonts w:asciiTheme="majorHAnsi" w:hAnsiTheme="majorHAnsi" w:cs="Times New Roman"/>
          <w:sz w:val="24"/>
          <w:szCs w:val="24"/>
        </w:rPr>
        <w:t xml:space="preserve"> </w:t>
      </w:r>
      <w:r w:rsidR="0048548B" w:rsidRPr="009622E6">
        <w:rPr>
          <w:rFonts w:asciiTheme="majorHAnsi" w:hAnsiTheme="majorHAnsi" w:cs="Times New Roman"/>
          <w:sz w:val="24"/>
          <w:szCs w:val="24"/>
        </w:rPr>
        <w:t xml:space="preserve">or </w:t>
      </w:r>
      <w:r w:rsidR="0048548B" w:rsidRPr="009622E6">
        <w:rPr>
          <w:rFonts w:asciiTheme="majorHAnsi" w:hAnsiTheme="majorHAnsi" w:cs="Times New Roman"/>
          <w:sz w:val="24"/>
          <w:szCs w:val="24"/>
        </w:rPr>
        <w:lastRenderedPageBreak/>
        <w:t>weight loss</w:t>
      </w:r>
      <w:r w:rsidR="009A7AEE" w:rsidRPr="009622E6">
        <w:rPr>
          <w:rFonts w:asciiTheme="majorHAnsi" w:hAnsiTheme="majorHAnsi" w:cs="Times New Roman"/>
          <w:sz w:val="24"/>
          <w:szCs w:val="24"/>
        </w:rPr>
        <w:t xml:space="preserve">. </w:t>
      </w:r>
      <w:r w:rsidRPr="009622E6">
        <w:rPr>
          <w:rFonts w:asciiTheme="majorHAnsi" w:hAnsiTheme="majorHAnsi" w:cs="Times New Roman"/>
          <w:sz w:val="24"/>
          <w:szCs w:val="24"/>
        </w:rPr>
        <w:t xml:space="preserve">These data provide evidence to suggest that extrauterine weight gain tracking centile lines can be achieved. </w:t>
      </w:r>
    </w:p>
    <w:p w:rsidR="00B35297" w:rsidRDefault="00B35297">
      <w:pPr>
        <w:rPr>
          <w:rFonts w:ascii="Times New Roman" w:hAnsi="Times New Roman" w:cs="Times New Roman"/>
          <w:sz w:val="24"/>
          <w:szCs w:val="24"/>
        </w:rPr>
      </w:pPr>
      <w:r>
        <w:rPr>
          <w:rFonts w:ascii="Times New Roman" w:hAnsi="Times New Roman" w:cs="Times New Roman"/>
          <w:sz w:val="24"/>
          <w:szCs w:val="24"/>
        </w:rPr>
        <w:br w:type="page"/>
      </w:r>
    </w:p>
    <w:p w:rsidR="009E34E0" w:rsidRPr="009622E6" w:rsidRDefault="009E34E0" w:rsidP="009E2DF4">
      <w:pPr>
        <w:spacing w:line="480" w:lineRule="auto"/>
        <w:rPr>
          <w:rFonts w:asciiTheme="majorHAnsi" w:hAnsiTheme="majorHAnsi" w:cs="Times New Roman"/>
          <w:sz w:val="24"/>
          <w:szCs w:val="24"/>
        </w:rPr>
      </w:pPr>
      <w:bookmarkStart w:id="2" w:name="_Hlk507684040"/>
      <w:r w:rsidRPr="009622E6">
        <w:rPr>
          <w:rFonts w:asciiTheme="majorHAnsi" w:hAnsiTheme="majorHAnsi" w:cs="Times New Roman"/>
          <w:b/>
          <w:sz w:val="24"/>
          <w:szCs w:val="24"/>
        </w:rPr>
        <w:lastRenderedPageBreak/>
        <w:t>I</w:t>
      </w:r>
      <w:r w:rsidR="00CB3B03">
        <w:rPr>
          <w:rFonts w:asciiTheme="majorHAnsi" w:hAnsiTheme="majorHAnsi" w:cs="Times New Roman"/>
          <w:b/>
          <w:sz w:val="24"/>
          <w:szCs w:val="24"/>
        </w:rPr>
        <w:t>NTRODUCTION</w:t>
      </w:r>
      <w:r w:rsidRPr="009622E6">
        <w:rPr>
          <w:rFonts w:asciiTheme="majorHAnsi" w:hAnsiTheme="majorHAnsi" w:cs="Times New Roman"/>
          <w:b/>
          <w:sz w:val="24"/>
          <w:szCs w:val="24"/>
        </w:rPr>
        <w:t>:</w:t>
      </w:r>
    </w:p>
    <w:p w:rsidR="00E57F4E" w:rsidRPr="009622E6" w:rsidRDefault="009967B4" w:rsidP="009E2DF4">
      <w:pPr>
        <w:spacing w:line="480" w:lineRule="auto"/>
        <w:rPr>
          <w:rFonts w:asciiTheme="majorHAnsi" w:hAnsiTheme="majorHAnsi" w:cs="Times New Roman"/>
          <w:sz w:val="24"/>
          <w:szCs w:val="24"/>
        </w:rPr>
      </w:pPr>
      <w:r w:rsidRPr="009622E6">
        <w:rPr>
          <w:rFonts w:asciiTheme="majorHAnsi" w:hAnsiTheme="majorHAnsi" w:cs="Times New Roman"/>
          <w:sz w:val="24"/>
          <w:szCs w:val="24"/>
        </w:rPr>
        <w:t>Survival rates for preterm infants have improved</w:t>
      </w:r>
      <w:r w:rsidR="00B574D9" w:rsidRPr="009622E6">
        <w:rPr>
          <w:rFonts w:asciiTheme="majorHAnsi" w:hAnsiTheme="majorHAnsi" w:cs="Times New Roman"/>
          <w:sz w:val="24"/>
          <w:szCs w:val="24"/>
        </w:rPr>
        <w:t xml:space="preserve"> significantly in recent year</w:t>
      </w:r>
      <w:r w:rsidR="00857F4B" w:rsidRPr="009622E6">
        <w:rPr>
          <w:rFonts w:asciiTheme="majorHAnsi" w:hAnsiTheme="majorHAnsi" w:cs="Times New Roman"/>
          <w:sz w:val="24"/>
          <w:szCs w:val="24"/>
        </w:rPr>
        <w:t>s</w:t>
      </w:r>
      <w:r w:rsidR="00B574D9" w:rsidRPr="009622E6">
        <w:rPr>
          <w:rFonts w:asciiTheme="majorHAnsi" w:hAnsiTheme="majorHAnsi" w:cs="Times New Roman"/>
          <w:sz w:val="24"/>
          <w:szCs w:val="24"/>
        </w:rPr>
        <w:t xml:space="preserve"> and this has allowed </w:t>
      </w:r>
      <w:r w:rsidR="00857F4B" w:rsidRPr="009622E6">
        <w:rPr>
          <w:rFonts w:asciiTheme="majorHAnsi" w:hAnsiTheme="majorHAnsi" w:cs="Times New Roman"/>
          <w:sz w:val="24"/>
          <w:szCs w:val="24"/>
        </w:rPr>
        <w:t xml:space="preserve">accompanying </w:t>
      </w:r>
      <w:r w:rsidR="00B574D9" w:rsidRPr="009622E6">
        <w:rPr>
          <w:rFonts w:asciiTheme="majorHAnsi" w:hAnsiTheme="majorHAnsi" w:cs="Times New Roman"/>
          <w:sz w:val="24"/>
          <w:szCs w:val="24"/>
        </w:rPr>
        <w:t>morbidity</w:t>
      </w:r>
      <w:r w:rsidR="00B35297" w:rsidRPr="009622E6">
        <w:rPr>
          <w:rFonts w:asciiTheme="majorHAnsi" w:hAnsiTheme="majorHAnsi" w:cs="Times New Roman"/>
          <w:sz w:val="24"/>
          <w:szCs w:val="24"/>
        </w:rPr>
        <w:t xml:space="preserve"> such as growth</w:t>
      </w:r>
      <w:r w:rsidR="00B574D9" w:rsidRPr="009622E6">
        <w:rPr>
          <w:rFonts w:asciiTheme="majorHAnsi" w:hAnsiTheme="majorHAnsi" w:cs="Times New Roman"/>
          <w:sz w:val="24"/>
          <w:szCs w:val="24"/>
        </w:rPr>
        <w:t xml:space="preserve"> and neuro-cognitive outcomes to </w:t>
      </w:r>
      <w:r w:rsidR="00857F4B" w:rsidRPr="009622E6">
        <w:rPr>
          <w:rFonts w:asciiTheme="majorHAnsi" w:hAnsiTheme="majorHAnsi" w:cs="Times New Roman"/>
          <w:sz w:val="24"/>
          <w:szCs w:val="24"/>
        </w:rPr>
        <w:t xml:space="preserve">be </w:t>
      </w:r>
      <w:r w:rsidR="00B574D9" w:rsidRPr="009622E6">
        <w:rPr>
          <w:rFonts w:asciiTheme="majorHAnsi" w:hAnsiTheme="majorHAnsi" w:cs="Times New Roman"/>
          <w:sz w:val="24"/>
          <w:szCs w:val="24"/>
        </w:rPr>
        <w:t>brought into focus</w:t>
      </w:r>
      <w:r w:rsidR="000C362D">
        <w:rPr>
          <w:rFonts w:asciiTheme="majorHAnsi" w:hAnsiTheme="majorHAnsi" w:cs="Times New Roman"/>
          <w:sz w:val="24"/>
          <w:szCs w:val="24"/>
        </w:rPr>
        <w:t>.</w:t>
      </w:r>
      <w:r w:rsidR="00B35297" w:rsidRPr="009622E6">
        <w:rPr>
          <w:rFonts w:asciiTheme="majorHAnsi" w:hAnsiTheme="majorHAnsi" w:cs="Times New Roman"/>
          <w:sz w:val="24"/>
          <w:szCs w:val="24"/>
        </w:rPr>
        <w:t xml:space="preserve"> </w:t>
      </w:r>
      <w:r w:rsidR="00E216FC">
        <w:rPr>
          <w:rFonts w:asciiTheme="majorHAnsi" w:hAnsiTheme="majorHAnsi" w:cs="Times New Roman"/>
          <w:sz w:val="24"/>
          <w:szCs w:val="24"/>
        </w:rPr>
        <w:t>The widely</w:t>
      </w:r>
      <w:r w:rsidR="00B35297" w:rsidRPr="009622E6">
        <w:rPr>
          <w:rFonts w:asciiTheme="majorHAnsi" w:hAnsiTheme="majorHAnsi" w:cs="Times New Roman"/>
          <w:sz w:val="24"/>
          <w:szCs w:val="24"/>
        </w:rPr>
        <w:t xml:space="preserve"> accepted goal of neonatal nutritional care is </w:t>
      </w:r>
      <w:r w:rsidR="00B470F1" w:rsidRPr="009622E6">
        <w:rPr>
          <w:rFonts w:asciiTheme="majorHAnsi" w:hAnsiTheme="majorHAnsi" w:cs="Times New Roman"/>
          <w:sz w:val="24"/>
          <w:szCs w:val="24"/>
        </w:rPr>
        <w:t xml:space="preserve">to </w:t>
      </w:r>
      <w:r w:rsidR="005468BE">
        <w:rPr>
          <w:rFonts w:asciiTheme="majorHAnsi" w:hAnsiTheme="majorHAnsi" w:cs="Times New Roman"/>
          <w:sz w:val="24"/>
          <w:szCs w:val="24"/>
        </w:rPr>
        <w:t>attempt to</w:t>
      </w:r>
      <w:r w:rsidR="00B470F1" w:rsidRPr="009622E6">
        <w:rPr>
          <w:rFonts w:asciiTheme="majorHAnsi" w:hAnsiTheme="majorHAnsi" w:cs="Times New Roman"/>
          <w:sz w:val="24"/>
          <w:szCs w:val="24"/>
        </w:rPr>
        <w:t xml:space="preserve"> replicate intrauterine</w:t>
      </w:r>
      <w:r w:rsidR="00B35297" w:rsidRPr="009622E6">
        <w:rPr>
          <w:rFonts w:asciiTheme="majorHAnsi" w:hAnsiTheme="majorHAnsi" w:cs="Times New Roman"/>
          <w:sz w:val="24"/>
          <w:szCs w:val="24"/>
        </w:rPr>
        <w:t xml:space="preserve"> growth</w:t>
      </w:r>
      <w:r w:rsidR="00D864BF"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"10.1542/peds.2011-3379", "ISBN" : "1098-4275 (Electronic)\\r0031-4005 (Linking)", "ISSN" : "0031-4005", "PMID" : "22891222", "abstract" : "BACKGROUND AND OBJECTIVE: Infants born preterm are significantly lighter and shorter on reaching term equivalent age (TEA) than are those born at term, but the relation with body composition is less clear. We conducted a systematic review to assess the body composition at TEA of infants born preterm. METHODS: The databases MEDLINE, Embase, CINAHL, HMIC, ``Web of Science,{''} and ``CSA Conference Papers Index{''} were searched between 1947 and June 2011, with selective citation and reference searching. Included studies had to have directly compared measures of body composition at TEA in preterm infants and infants born full-term. Data on body composition, anthropometry, and birth details were extracted from each article. RESULTS: Eight studies (733 infants) fulfilled the inclusion criteria. Mean gestational age and weight at birth were 30.0 weeks and 1.18 kg in the preterm group and 39.6 weeks and 3.41 kg in the term group, respectively. Meta-analysis showed that the preterm infants had a greater percentage total body fat at TEA than those born full-term (mean difference, 3%; P = .03), less fat mass (mean difference, 50 g; P = .03), and much less fat-free mass (mean difference, 460 g; P &lt; .0001). CONCLUSIONS: The body composition at TEA of infants born preterm is different than that of infants born at term. Preterm infants have less lean tissue but more similar fat mass. There is a need to determine whether improved nutritional management can enhance lean tissue acquisition, which indicates a need for measures of body composition in addition to routine anthropometry. Pediatrics 2012;130:e640-e649", "author" : [ { "dropping-particle" : "", "family" : "Johnson", "given" : "M. J.", "non-dropping-particle" : "", "parse-names" : false, "suffix" : "" }, { "dropping-particle" : "", "family" : "Wootton", "given" : "S. A.", "non-dropping-particle" : "", "parse-names" : false, "suffix" : "" }, { "dropping-particle" : "", "family" : "Leaf", "given" : "A. A.", "non-dropping-particle" : "", "parse-names" : false, "suffix" : "" }, { "dropping-particle" : "", "family" : "Jackson", "given" : "A. A.", "non-dropping-particle" : "", "parse-names" : false, "suffix" : "" } ], "container-title" : "Pediatrics", "id" : "ITEM-1", "issue" : "3", "issued" : { "date-parts" : [ [ "2012" ] ] }, "note" : "From Duplicate 1 (Preterm birth and body composition at term equivalent age: a systematic review and meta-analysis - Johnson, M J; Wootton, S A; Leaf, A A; Jackson, A A)\n\nJohnson, Mark J\nWootton, Stephen A\nLeaf, Alison A\nJackson, Alan A", "page" : "e640-9", "title" : "Preterm birth and body composition at term equivalent age: a systematic review and meta-analysis", "type" : "article-journal", "volume" : "130" }, "uris" : [ "http://www.mendeley.com/documents/?uuid=df0bc539-518e-4910-88b0-ccb45e33abba" ] }, { "id" : "ITEM-2", "itemData" : { "ISBN" : "9781581102987 1581102984", "author" : [ { "dropping-particle" : "", "family" : "Kleinman", "given" : "Ronald E", "non-dropping-particle" : "", "parse-names" : false, "suffix" : "" }, { "dropping-particle" : "", "family" : "American Acadamy of Pediatrics. Committee on Nutrition", "given" : "", "non-dropping-particle" : "", "parse-names" : false, "suffix" : "" } ], "edition" : "6th editio", "id" : "ITEM-2", "issued" : { "date-parts" : [ [ "2009" ] ] }, "number-of-pages" : "79-112", "publisher" : "Elk Grove Village", "title" : "Pediatric nutrition handbook 6th edition", "type" : "book" }, "uris" : [ "http://www.mendeley.com/documents/?uuid=a18adccd-a6d4-451f-822f-8ea82d644dec" ] } ], "mendeley" : { "formattedCitation" : "[1,2]", "plainTextFormattedCitation" : "[1,2]", "previouslyFormattedCitation" : "[1,2]" }, "properties" : {  }, "schema" : "https://github.com/citation-style-language/schema/raw/master/csl-citation.json" }</w:instrText>
      </w:r>
      <w:r w:rsidR="00D864BF" w:rsidRPr="009622E6">
        <w:rPr>
          <w:rFonts w:asciiTheme="majorHAnsi" w:hAnsiTheme="majorHAnsi" w:cs="Times New Roman"/>
          <w:sz w:val="24"/>
          <w:szCs w:val="24"/>
        </w:rPr>
        <w:fldChar w:fldCharType="separate"/>
      </w:r>
      <w:r w:rsidR="00F6411A" w:rsidRPr="00F6411A">
        <w:rPr>
          <w:rFonts w:asciiTheme="majorHAnsi" w:hAnsiTheme="majorHAnsi" w:cs="Times New Roman"/>
          <w:noProof/>
          <w:sz w:val="24"/>
          <w:szCs w:val="24"/>
        </w:rPr>
        <w:t>[1,2]</w:t>
      </w:r>
      <w:r w:rsidR="00D864BF" w:rsidRPr="009622E6">
        <w:rPr>
          <w:rFonts w:asciiTheme="majorHAnsi" w:hAnsiTheme="majorHAnsi" w:cs="Times New Roman"/>
          <w:sz w:val="24"/>
          <w:szCs w:val="24"/>
        </w:rPr>
        <w:fldChar w:fldCharType="end"/>
      </w:r>
      <w:r w:rsidR="000F1937">
        <w:rPr>
          <w:rFonts w:asciiTheme="majorHAnsi" w:hAnsiTheme="majorHAnsi" w:cs="Times New Roman"/>
          <w:sz w:val="24"/>
          <w:szCs w:val="24"/>
        </w:rPr>
        <w:t>.</w:t>
      </w:r>
      <w:r w:rsidR="00B470F1" w:rsidRPr="009622E6">
        <w:rPr>
          <w:rFonts w:asciiTheme="majorHAnsi" w:hAnsiTheme="majorHAnsi" w:cs="Times New Roman"/>
          <w:sz w:val="24"/>
          <w:szCs w:val="24"/>
        </w:rPr>
        <w:t xml:space="preserve"> </w:t>
      </w:r>
      <w:r w:rsidR="00CF128C">
        <w:rPr>
          <w:rFonts w:asciiTheme="majorHAnsi" w:hAnsiTheme="majorHAnsi" w:cs="Times New Roman"/>
          <w:sz w:val="24"/>
          <w:szCs w:val="24"/>
        </w:rPr>
        <w:t>I</w:t>
      </w:r>
      <w:r w:rsidR="00B35297" w:rsidRPr="009622E6">
        <w:rPr>
          <w:rFonts w:asciiTheme="majorHAnsi" w:hAnsiTheme="majorHAnsi" w:cs="Times New Roman"/>
          <w:sz w:val="24"/>
          <w:szCs w:val="24"/>
        </w:rPr>
        <w:t>n most countries, t</w:t>
      </w:r>
      <w:r w:rsidR="009C24D4" w:rsidRPr="009622E6">
        <w:rPr>
          <w:rFonts w:asciiTheme="majorHAnsi" w:hAnsiTheme="majorHAnsi" w:cs="Times New Roman"/>
          <w:sz w:val="24"/>
          <w:szCs w:val="24"/>
        </w:rPr>
        <w:t xml:space="preserve">he </w:t>
      </w:r>
      <w:r w:rsidR="00B35297" w:rsidRPr="009622E6">
        <w:rPr>
          <w:rFonts w:asciiTheme="majorHAnsi" w:hAnsiTheme="majorHAnsi" w:cs="Times New Roman"/>
          <w:sz w:val="24"/>
          <w:szCs w:val="24"/>
        </w:rPr>
        <w:t xml:space="preserve">standard </w:t>
      </w:r>
      <w:r w:rsidR="00C73621" w:rsidRPr="009622E6">
        <w:rPr>
          <w:rFonts w:asciiTheme="majorHAnsi" w:hAnsiTheme="majorHAnsi" w:cs="Times New Roman"/>
          <w:sz w:val="24"/>
          <w:szCs w:val="24"/>
        </w:rPr>
        <w:t xml:space="preserve">used to develop longitudinal growth charts is </w:t>
      </w:r>
      <w:r w:rsidR="009C24D4" w:rsidRPr="009622E6">
        <w:rPr>
          <w:rFonts w:asciiTheme="majorHAnsi" w:hAnsiTheme="majorHAnsi" w:cs="Times New Roman"/>
          <w:sz w:val="24"/>
          <w:szCs w:val="24"/>
        </w:rPr>
        <w:t>cross sectional birth-weight data</w:t>
      </w:r>
      <w:r w:rsidR="00C73621" w:rsidRPr="009622E6">
        <w:rPr>
          <w:rFonts w:asciiTheme="majorHAnsi" w:hAnsiTheme="majorHAnsi" w:cs="Times New Roman"/>
          <w:sz w:val="24"/>
          <w:szCs w:val="24"/>
        </w:rPr>
        <w:t xml:space="preserve"> from cohorts of preterm infants</w:t>
      </w:r>
      <w:r w:rsidR="00A60E76">
        <w:rPr>
          <w:rFonts w:asciiTheme="majorHAnsi" w:hAnsiTheme="majorHAnsi" w:cs="Times New Roman"/>
          <w:sz w:val="24"/>
          <w:szCs w:val="24"/>
        </w:rPr>
        <w:t xml:space="preserve"> in order to represent in-utero growth, </w:t>
      </w:r>
      <w:r w:rsidR="007D272F" w:rsidRPr="009622E6">
        <w:rPr>
          <w:rFonts w:asciiTheme="majorHAnsi" w:hAnsiTheme="majorHAnsi" w:cs="Times New Roman"/>
          <w:sz w:val="24"/>
          <w:szCs w:val="24"/>
        </w:rPr>
        <w:t>although such data ha</w:t>
      </w:r>
      <w:r w:rsidR="00E00168">
        <w:rPr>
          <w:rFonts w:asciiTheme="majorHAnsi" w:hAnsiTheme="majorHAnsi" w:cs="Times New Roman"/>
          <w:sz w:val="24"/>
          <w:szCs w:val="24"/>
        </w:rPr>
        <w:t>ve</w:t>
      </w:r>
      <w:r w:rsidR="007D272F" w:rsidRPr="009622E6">
        <w:rPr>
          <w:rFonts w:asciiTheme="majorHAnsi" w:hAnsiTheme="majorHAnsi" w:cs="Times New Roman"/>
          <w:sz w:val="24"/>
          <w:szCs w:val="24"/>
        </w:rPr>
        <w:t xml:space="preserve"> limitations as they are based on the assumption that preterm infants are growing normally up to the point of delivery</w:t>
      </w:r>
      <w:r w:rsidR="00D864BF"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"10.1136/adc.2006.109439", "author" : [ { "dropping-particle" : "", "family" : "Ehrenkranz", "given" : "Richard A", "non-dropping-particle" : "", "parse-names" : false, "suffix" : "" } ], "container-title" : "Archives of Disease in Childhood - Fetal and Neonatal Edition", "id" : "ITEM-1", "issue" : "3", "issued" : { "date-parts" : [ [ "2007" ] ] }, "page" : "161-162", "title" : "Estimated fetal weights versus birth weights: should the reference intrauterine growth curves based on birth weights be retired ?", "type" : "article-journal", "volume" : "92" }, "uris" : [ "http://www.mendeley.com/documents/?uuid=e352c39a-ad57-4913-af0c-9dff2dbf8888" ] } ], "mendeley" : { "formattedCitation" : "[3]", "plainTextFormattedCitation" : "[3]", "previouslyFormattedCitation" : "[3]" }, "properties" : {  }, "schema" : "https://github.com/citation-style-language/schema/raw/master/csl-citation.json" }</w:instrText>
      </w:r>
      <w:r w:rsidR="00D864BF" w:rsidRPr="009622E6">
        <w:rPr>
          <w:rFonts w:asciiTheme="majorHAnsi" w:hAnsiTheme="majorHAnsi" w:cs="Times New Roman"/>
          <w:sz w:val="24"/>
          <w:szCs w:val="24"/>
        </w:rPr>
        <w:fldChar w:fldCharType="separate"/>
      </w:r>
      <w:r w:rsidR="00F6411A" w:rsidRPr="00F6411A">
        <w:rPr>
          <w:rFonts w:asciiTheme="majorHAnsi" w:hAnsiTheme="majorHAnsi" w:cs="Times New Roman"/>
          <w:noProof/>
          <w:sz w:val="24"/>
          <w:szCs w:val="24"/>
        </w:rPr>
        <w:t>[3]</w:t>
      </w:r>
      <w:r w:rsidR="00D864BF" w:rsidRPr="009622E6">
        <w:rPr>
          <w:rFonts w:asciiTheme="majorHAnsi" w:hAnsiTheme="majorHAnsi" w:cs="Times New Roman"/>
          <w:sz w:val="24"/>
          <w:szCs w:val="24"/>
        </w:rPr>
        <w:fldChar w:fldCharType="end"/>
      </w:r>
      <w:r w:rsidR="00D466B8">
        <w:rPr>
          <w:rFonts w:asciiTheme="majorHAnsi" w:hAnsiTheme="majorHAnsi" w:cs="Times New Roman"/>
          <w:sz w:val="24"/>
          <w:szCs w:val="24"/>
        </w:rPr>
        <w:t>.</w:t>
      </w:r>
      <w:r w:rsidR="007D272F" w:rsidRPr="009622E6">
        <w:rPr>
          <w:rFonts w:asciiTheme="majorHAnsi" w:hAnsiTheme="majorHAnsi" w:cs="Times New Roman"/>
          <w:sz w:val="24"/>
          <w:szCs w:val="24"/>
        </w:rPr>
        <w:t xml:space="preserve"> Examples of such charts include</w:t>
      </w:r>
      <w:r w:rsidR="00C73621" w:rsidRPr="009622E6">
        <w:rPr>
          <w:rFonts w:asciiTheme="majorHAnsi" w:hAnsiTheme="majorHAnsi" w:cs="Times New Roman"/>
          <w:sz w:val="24"/>
          <w:szCs w:val="24"/>
        </w:rPr>
        <w:t xml:space="preserve"> the Fenton growth chart in the US, r</w:t>
      </w:r>
      <w:r w:rsidR="00B470F1" w:rsidRPr="009622E6">
        <w:rPr>
          <w:rFonts w:asciiTheme="majorHAnsi" w:hAnsiTheme="majorHAnsi" w:cs="Times New Roman"/>
          <w:sz w:val="24"/>
          <w:szCs w:val="24"/>
        </w:rPr>
        <w:t>ecently updated by Olsen</w:t>
      </w:r>
      <w:r w:rsidR="00D864BF"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"10.1542/peds.2009-0913", "ISBN" : "1098-4275 (Electronic)\\n0031-4005 (Linking)", "ISSN" : "0031-4005", "PMID" : "20100760", "abstract" : "OBJECTIVE: The objective of this study was to create and validate new intrauterine weight, length, and head circumference growth curves using a contemporary, large, racially diverse US sample and compare with the Lubchenco curves. METHODS: Data on 391 681 infants (Pediatrix Medical Group) aged 22 to 42 weeks at birth from 248 hospitals within 33 US states (1998-2006) for birth weight, length, head circumference, estimated gestational age, gender, and race were used. Separate subsamples were used to create and validate curves. Smoothed percentile curves (3rd to 97th) were created by the Lambda Mu Sigma (LMS) method. The validation sample was used to confirm representativeness of the curves. The new curves were compared with the Lubchenco curves. RESULTS: Final sample included 257 855 singleton infants (57.2% male) who survived to discharge. Gender-specific weight-, length-, and head circumference-for-age curves were created (n = 130 111) and successfully validated (n = 127 744). Small-for-gestational age and large-for-gestational age classifications using the Lubchenco curves differed significantly from the new curves for each gestational age (all P &lt; .0001). The Lubchenco curves underestimated the percentage of infants who were small-for-gestational-age except for younger girls (&lt; or =36 weeks), for whom it was more likely to be overestimated; underestimated percentage of infants (&lt; or =36 weeks) who were large-for-gestational-age; and overestimated percentage of infants (&gt;36 weeks) who were large-for-gestational-age. CONCLUSIONS: The Lubchenco curves may not represent the current US population. The new intrauterine growth curves created and validated in this study, based on a contemporary, large, racially diverse US sample, provide clinicians with an updated tool for growth assessment in US NICUs. Research into the ability of the new definitions of small-for-gestational-age and large-for-gestational-age to identify high-risk infants in terms of short-term and long-term health outcomes is needed.", "author" : [ { "dropping-particle" : "", "family" : "Olsen", "given" : "Irene E", "non-dropping-particle" : "", "parse-names" : false, "suffix" : "" }, { "dropping-particle" : "", "family" : "Groveman", "given" : "Sue A", "non-dropping-particle" : "", "parse-names" : false, "suffix" : "" }, { "dropping-particle" : "", "family" : "Lawson", "given" : "M Louise", "non-dropping-particle" : "", "parse-names" : false, "suffix" : "" }, { "dropping-particle" : "", "family" : "Clark", "given" : "Reese H", "non-dropping-particle" : "", "parse-names" : false, "suffix" : "" }, { "dropping-particle" : "", "family" : "Zemel", "given" : "Babette S.", "non-dropping-particle" : "", "parse-names" : false, "suffix" : "" } ], "container-title" : "PEDIATRICS", "id" : "ITEM-1", "issue" : "2", "issued" : { "date-parts" : [ [ "2010" ] ] }, "page" : "e214-e224", "title" : "New Intrauterine Growth Curves Based on United States Data", "type" : "article-journal", "volume" : "125" }, "uris" : [ "http://www.mendeley.com/documents/?uuid=1fea7628-b37d-465a-9ec4-ff251df02ec0" ] } ], "mendeley" : { "formattedCitation" : "[4]", "plainTextFormattedCitation" : "[4]", "previouslyFormattedCitation" : "[4]" }, "properties" : {  }, "schema" : "https://github.com/citation-style-language/schema/raw/master/csl-citation.json" }</w:instrText>
      </w:r>
      <w:r w:rsidR="00D864BF" w:rsidRPr="009622E6">
        <w:rPr>
          <w:rFonts w:asciiTheme="majorHAnsi" w:hAnsiTheme="majorHAnsi" w:cs="Times New Roman"/>
          <w:sz w:val="24"/>
          <w:szCs w:val="24"/>
        </w:rPr>
        <w:fldChar w:fldCharType="separate"/>
      </w:r>
      <w:r w:rsidR="00F6411A" w:rsidRPr="00F6411A">
        <w:rPr>
          <w:rFonts w:asciiTheme="majorHAnsi" w:hAnsiTheme="majorHAnsi" w:cs="Times New Roman"/>
          <w:noProof/>
          <w:sz w:val="24"/>
          <w:szCs w:val="24"/>
        </w:rPr>
        <w:t>[4]</w:t>
      </w:r>
      <w:r w:rsidR="00D864BF" w:rsidRPr="009622E6">
        <w:rPr>
          <w:rFonts w:asciiTheme="majorHAnsi" w:hAnsiTheme="majorHAnsi" w:cs="Times New Roman"/>
          <w:sz w:val="24"/>
          <w:szCs w:val="24"/>
        </w:rPr>
        <w:fldChar w:fldCharType="end"/>
      </w:r>
      <w:r w:rsidR="00D864BF" w:rsidRPr="00052035">
        <w:rPr>
          <w:rFonts w:asciiTheme="majorHAnsi" w:hAnsiTheme="majorHAnsi" w:cs="Times New Roman"/>
          <w:sz w:val="24"/>
          <w:szCs w:val="24"/>
        </w:rPr>
        <w:t>,</w:t>
      </w:r>
      <w:r w:rsidR="00C73621" w:rsidRPr="009622E6">
        <w:rPr>
          <w:rFonts w:asciiTheme="majorHAnsi" w:hAnsiTheme="majorHAnsi" w:cs="Times New Roman"/>
          <w:sz w:val="24"/>
          <w:szCs w:val="24"/>
        </w:rPr>
        <w:t xml:space="preserve"> and N</w:t>
      </w:r>
      <w:r w:rsidR="005C3346" w:rsidRPr="009622E6">
        <w:rPr>
          <w:rFonts w:asciiTheme="majorHAnsi" w:hAnsiTheme="majorHAnsi" w:cs="Times New Roman"/>
          <w:sz w:val="24"/>
          <w:szCs w:val="24"/>
        </w:rPr>
        <w:t xml:space="preserve">eonatal and Infant Close Monitoring </w:t>
      </w:r>
      <w:r w:rsidR="00C73621" w:rsidRPr="009622E6">
        <w:rPr>
          <w:rFonts w:asciiTheme="majorHAnsi" w:hAnsiTheme="majorHAnsi" w:cs="Times New Roman"/>
          <w:sz w:val="24"/>
          <w:szCs w:val="24"/>
        </w:rPr>
        <w:t xml:space="preserve">(NICM) </w:t>
      </w:r>
      <w:r w:rsidR="005C3346" w:rsidRPr="009622E6">
        <w:rPr>
          <w:rFonts w:asciiTheme="majorHAnsi" w:hAnsiTheme="majorHAnsi" w:cs="Times New Roman"/>
          <w:sz w:val="24"/>
          <w:szCs w:val="24"/>
        </w:rPr>
        <w:t xml:space="preserve">Growth Chart </w:t>
      </w:r>
      <w:r w:rsidR="00C73621" w:rsidRPr="009622E6">
        <w:rPr>
          <w:rFonts w:asciiTheme="majorHAnsi" w:hAnsiTheme="majorHAnsi" w:cs="Times New Roman"/>
          <w:sz w:val="24"/>
          <w:szCs w:val="24"/>
        </w:rPr>
        <w:t>used in the UK</w:t>
      </w:r>
      <w:r w:rsidR="00D864BF"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"10.1002/(SICI)1097-0258(19980228)17:4&lt;407::AID-SIM742&gt;3.0.CO;2-L", "ISBN" : "0277-6715 (Print)", "ISSN" : "02776715", "PMID" : "9496720", "abstract" : "To update the British growth reference, anthropometric data for weight, height, body mass index (weight/height2) and head circumference from 17 distinct surveys representative of England, Scotland and Wales (37,700 children, age range 23 weeks gestation to 23 years) were analysed by maximum penalized likelihood using the LMS method. This estimates the measurement centiles in terms of three age-sex-specific cubic spline curves: the L curve (Box-Cox power to remove skewness), M curve (median) and S curve (coefficient of variation). A two-stage fitting procedure was developed to model the age trends in median weight and height, and simulation was used to estimate confidence intervals for the fitted centiles. The reference converts measurements to standard deviation scores (SDS) that are very close to Normally distributed - the means, medians and skewness for the four measurements are effectively zero overall, with standard deviations very close to one and only slight evidence of positive kurtosis beyond+/-2 SDS. The ability to express anthropometry as SDS greatly simplifies growth assessment.", "author" : [ { "dropping-particle" : "", "family" : "Cole", "given" : "T. J.", "non-dropping-particle" : "", "parse-names" : false, "suffix" : "" }, { "dropping-particle" : "V.", "family" : "Freeman", "given" : "J.", "non-dropping-particle" : "", "parse-names" : false, "suffix" : "" }, { "dropping-particle" : "", "family" : "Preece", "given" : "M. A.", "non-dropping-particle" : "", "parse-names" : false, "suffix" : "" } ], "container-title" : "Statistics in Medicine", "id" : "ITEM-1", "issue" : "4", "issued" : { "date-parts" : [ [ "1998" ] ] }, "page" : "407-429", "title" : "British 1990 growth reference centiles for weight, height, body mass index and head circumference fitted by maximum penalized likelihood", "type" : "article-journal", "volume" : "17" }, "uris" : [ "http://www.mendeley.com/documents/?uuid=76ab4d6a-6536-410f-9472-a785bbfac9f9" ] }, { "id" : "ITEM-2", "itemData" : { "DOI" : "10.1136/adc.2010.205864", "author" : [ { "dropping-particle" : "", "family" : "Cole", "given" : "Tim J", "non-dropping-particle" : "", "parse-names" : false, "suffix" : "" }, { "dropping-particle" : "", "family" : "Wright", "given" : "Charlotte M", "non-dropping-particle" : "", "parse-names" : false, "suffix" : "" }, { "dropping-particle" : "", "family" : "Williams", "given" : "Anthony F", "non-dropping-particle" : "", "parse-names" : false, "suffix" : "" }, { "dropping-particle" : "", "family" : "Growth", "given" : "Rcpch", "non-dropping-particle" : "", "parse-names" : false, "suffix" : "" } ], "container-title" : "Archives of Disease in Childhood - Fetal and Neonatal Edition", "id" : "ITEM-2", "issue" : "3", "issued" : { "date-parts" : [ [ "2012" ] ] }, "page" : "F219-F222", "title" : "Designing the new UK \u2013 WHO growth charts to enhance assessment of growth around birth", "type" : "article-journal", "volume" : "97" }, "uris" : [ "http://www.mendeley.com/documents/?uuid=f6928244-d581-4052-8171-b83541e2a8f7" ] }, { "id" : "ITEM-3", "itemData" : { "DOI" : "10.1136/archdischild-2017-313452", "ISSN" : "1359-2998", "author" : [ { "dropping-particle" : "", "family" : "Norris", "given" : "Tom", "non-dropping-particle" : "", "parse-names" : false, "suffix" : "" }, { "dropping-particle" : "", "family" : "Seaton", "given" : "Sarah E", "non-dropping-particle" : "", "parse-names" : false, "suffix" : "" }, { "dropping-particle" : "", "family" : "Manktelow", "given" : "Brad N", "non-dropping-particle" : "", "parse-names" : false, "suffix" : "" }, { "dropping-particle" : "", "family" : "Baker", "given" : "Philip N", "non-dropping-particle" : "", "parse-names" : false, "suffix" : "" }, { "dropping-particle" : "", "family" : "Kurinczuk", "given" : "Jennifer J", "non-dropping-particle" : "", "parse-names" : false, "suffix" : "" }, { "dropping-particle" : "", "family" : "Field", "given" : "David", "non-dropping-particle" : "", "parse-names" : false, "suffix" : "" }, { "dropping-particle" : "", "family" : "Draper", "given" : "Elizabeth S", "non-dropping-particle" : "", "parse-names" : false, "suffix" : "" }, { "dropping-particle" : "", "family" : "Smith", "given" : "Lucy K", "non-dropping-particle" : "", "parse-names" : false, "suffix" : "" } ], "container-title" : "Archives of Disease in Childhood - Fetal and Neonatal Edition", "id" : "ITEM-3", "issued" : { "date-parts" : [ [ "2017" ] ] }, "page" : "fetalneonatal-2017-313452", "title" : "Updated birth weight centiles for England and Wales", "type" : "article-journal" }, "uris" : [ "http://www.mendeley.com/documents/?uuid=3b977287-b097-4e52-a2c4-3f590de47289" ] } ], "mendeley" : { "formattedCitation" : "[5\u20137]", "plainTextFormattedCitation" : "[5\u20137]", "previouslyFormattedCitation" : "[5\u20137]" }, "properties" : {  }, "schema" : "https://github.com/citation-style-language/schema/raw/master/csl-citation.json" }</w:instrText>
      </w:r>
      <w:r w:rsidR="00D864BF" w:rsidRPr="009622E6">
        <w:rPr>
          <w:rFonts w:asciiTheme="majorHAnsi" w:hAnsiTheme="majorHAnsi" w:cs="Times New Roman"/>
          <w:sz w:val="24"/>
          <w:szCs w:val="24"/>
        </w:rPr>
        <w:fldChar w:fldCharType="separate"/>
      </w:r>
      <w:r w:rsidR="00F6411A" w:rsidRPr="00F6411A">
        <w:rPr>
          <w:rFonts w:asciiTheme="majorHAnsi" w:hAnsiTheme="majorHAnsi" w:cs="Times New Roman"/>
          <w:noProof/>
          <w:sz w:val="24"/>
          <w:szCs w:val="24"/>
        </w:rPr>
        <w:t>[5–7]</w:t>
      </w:r>
      <w:r w:rsidR="00D864BF" w:rsidRPr="009622E6">
        <w:rPr>
          <w:rFonts w:asciiTheme="majorHAnsi" w:hAnsiTheme="majorHAnsi" w:cs="Times New Roman"/>
          <w:sz w:val="24"/>
          <w:szCs w:val="24"/>
        </w:rPr>
        <w:fldChar w:fldCharType="end"/>
      </w:r>
      <w:r w:rsidR="000F1937">
        <w:rPr>
          <w:rFonts w:asciiTheme="majorHAnsi" w:hAnsiTheme="majorHAnsi" w:cs="Times New Roman"/>
          <w:sz w:val="24"/>
          <w:szCs w:val="24"/>
        </w:rPr>
        <w:t>.</w:t>
      </w:r>
      <w:r w:rsidR="00A47D2E">
        <w:rPr>
          <w:rFonts w:asciiTheme="majorHAnsi" w:hAnsiTheme="majorHAnsi" w:cs="Times New Roman"/>
          <w:sz w:val="24"/>
          <w:szCs w:val="24"/>
        </w:rPr>
        <w:t xml:space="preserve"> </w:t>
      </w:r>
      <w:r w:rsidR="009F2D88" w:rsidRPr="009622E6">
        <w:rPr>
          <w:rFonts w:asciiTheme="majorHAnsi" w:hAnsiTheme="majorHAnsi" w:cs="Times New Roman"/>
          <w:sz w:val="24"/>
          <w:szCs w:val="24"/>
        </w:rPr>
        <w:t>Growth</w:t>
      </w:r>
      <w:r w:rsidR="00AC6564" w:rsidRPr="009622E6">
        <w:rPr>
          <w:rFonts w:asciiTheme="majorHAnsi" w:hAnsiTheme="majorHAnsi" w:cs="Times New Roman"/>
          <w:sz w:val="24"/>
          <w:szCs w:val="24"/>
        </w:rPr>
        <w:t xml:space="preserve"> centiles </w:t>
      </w:r>
      <w:r w:rsidR="00C73621" w:rsidRPr="009622E6">
        <w:rPr>
          <w:rFonts w:asciiTheme="majorHAnsi" w:hAnsiTheme="majorHAnsi" w:cs="Times New Roman"/>
          <w:sz w:val="24"/>
          <w:szCs w:val="24"/>
        </w:rPr>
        <w:t xml:space="preserve">lines </w:t>
      </w:r>
      <w:r w:rsidR="000D5A4D">
        <w:rPr>
          <w:rFonts w:asciiTheme="majorHAnsi" w:hAnsiTheme="majorHAnsi" w:cs="Times New Roman"/>
          <w:sz w:val="24"/>
          <w:szCs w:val="24"/>
        </w:rPr>
        <w:t xml:space="preserve">on </w:t>
      </w:r>
      <w:r w:rsidR="009F16CE">
        <w:rPr>
          <w:rFonts w:asciiTheme="majorHAnsi" w:hAnsiTheme="majorHAnsi" w:cs="Times New Roman"/>
          <w:sz w:val="24"/>
          <w:szCs w:val="24"/>
        </w:rPr>
        <w:t>these</w:t>
      </w:r>
      <w:r w:rsidR="000D5A4D">
        <w:rPr>
          <w:rFonts w:asciiTheme="majorHAnsi" w:hAnsiTheme="majorHAnsi" w:cs="Times New Roman"/>
          <w:sz w:val="24"/>
          <w:szCs w:val="24"/>
        </w:rPr>
        <w:t xml:space="preserve"> charts </w:t>
      </w:r>
      <w:r w:rsidR="00CF128C" w:rsidRPr="009622E6">
        <w:rPr>
          <w:rFonts w:asciiTheme="majorHAnsi" w:hAnsiTheme="majorHAnsi" w:cs="Times New Roman"/>
          <w:sz w:val="24"/>
          <w:szCs w:val="24"/>
        </w:rPr>
        <w:t>illustrat</w:t>
      </w:r>
      <w:r w:rsidR="00CF128C">
        <w:rPr>
          <w:rFonts w:asciiTheme="majorHAnsi" w:hAnsiTheme="majorHAnsi" w:cs="Times New Roman"/>
          <w:sz w:val="24"/>
          <w:szCs w:val="24"/>
        </w:rPr>
        <w:t>e</w:t>
      </w:r>
      <w:r w:rsidR="00CF128C" w:rsidRPr="009622E6">
        <w:rPr>
          <w:rFonts w:asciiTheme="majorHAnsi" w:hAnsiTheme="majorHAnsi" w:cs="Times New Roman"/>
          <w:sz w:val="24"/>
          <w:szCs w:val="24"/>
        </w:rPr>
        <w:t xml:space="preserve"> </w:t>
      </w:r>
      <w:r w:rsidR="00C73621" w:rsidRPr="009622E6">
        <w:rPr>
          <w:rFonts w:asciiTheme="majorHAnsi" w:hAnsiTheme="majorHAnsi" w:cs="Times New Roman"/>
          <w:sz w:val="24"/>
          <w:szCs w:val="24"/>
        </w:rPr>
        <w:t>the</w:t>
      </w:r>
      <w:r w:rsidR="00E216FC">
        <w:rPr>
          <w:rFonts w:asciiTheme="majorHAnsi" w:hAnsiTheme="majorHAnsi" w:cs="Times New Roman"/>
          <w:sz w:val="24"/>
          <w:szCs w:val="24"/>
        </w:rPr>
        <w:t xml:space="preserve"> presumed</w:t>
      </w:r>
      <w:r w:rsidR="00C73621" w:rsidRPr="009622E6">
        <w:rPr>
          <w:rFonts w:asciiTheme="majorHAnsi" w:hAnsiTheme="majorHAnsi" w:cs="Times New Roman"/>
          <w:sz w:val="24"/>
          <w:szCs w:val="24"/>
        </w:rPr>
        <w:t xml:space="preserve"> ‘ideal’ growth of infants born at differing sizes</w:t>
      </w:r>
      <w:r w:rsidR="00E216FC">
        <w:rPr>
          <w:rFonts w:asciiTheme="majorHAnsi" w:hAnsiTheme="majorHAnsi" w:cs="Times New Roman"/>
          <w:sz w:val="24"/>
          <w:szCs w:val="24"/>
        </w:rPr>
        <w:t>, based on the assumption that intrauterine growth is an appropriate target for these infants</w:t>
      </w:r>
      <w:r w:rsidR="000653BA">
        <w:rPr>
          <w:rFonts w:asciiTheme="majorHAnsi" w:hAnsiTheme="majorHAnsi" w:cs="Times New Roman"/>
          <w:sz w:val="24"/>
          <w:szCs w:val="24"/>
        </w:rPr>
        <w:t>.</w:t>
      </w:r>
      <w:r w:rsidR="00BF0D7A">
        <w:rPr>
          <w:rFonts w:asciiTheme="majorHAnsi" w:hAnsiTheme="majorHAnsi" w:cs="Times New Roman"/>
          <w:sz w:val="24"/>
          <w:szCs w:val="24"/>
        </w:rPr>
        <w:t xml:space="preserve"> </w:t>
      </w:r>
      <w:r w:rsidR="00CF128C">
        <w:rPr>
          <w:rFonts w:asciiTheme="majorHAnsi" w:hAnsiTheme="majorHAnsi" w:cs="Times New Roman"/>
          <w:sz w:val="24"/>
          <w:szCs w:val="24"/>
        </w:rPr>
        <w:t>I</w:t>
      </w:r>
      <w:r w:rsidR="00C73621" w:rsidRPr="009622E6">
        <w:rPr>
          <w:rFonts w:asciiTheme="majorHAnsi" w:hAnsiTheme="majorHAnsi" w:cs="Times New Roman"/>
          <w:sz w:val="24"/>
          <w:szCs w:val="24"/>
        </w:rPr>
        <w:t xml:space="preserve">t </w:t>
      </w:r>
      <w:r w:rsidR="00D74A31">
        <w:rPr>
          <w:rFonts w:asciiTheme="majorHAnsi" w:hAnsiTheme="majorHAnsi" w:cs="Times New Roman"/>
          <w:sz w:val="24"/>
          <w:szCs w:val="24"/>
        </w:rPr>
        <w:t xml:space="preserve">has </w:t>
      </w:r>
      <w:r w:rsidR="009F16CE">
        <w:rPr>
          <w:rFonts w:asciiTheme="majorHAnsi" w:hAnsiTheme="majorHAnsi" w:cs="Times New Roman"/>
          <w:sz w:val="24"/>
          <w:szCs w:val="24"/>
        </w:rPr>
        <w:t xml:space="preserve">therefore </w:t>
      </w:r>
      <w:r w:rsidR="00D74A31">
        <w:rPr>
          <w:rFonts w:asciiTheme="majorHAnsi" w:hAnsiTheme="majorHAnsi" w:cs="Times New Roman"/>
          <w:sz w:val="24"/>
          <w:szCs w:val="24"/>
        </w:rPr>
        <w:t>been</w:t>
      </w:r>
      <w:r w:rsidR="00C73621" w:rsidRPr="009622E6">
        <w:rPr>
          <w:rFonts w:asciiTheme="majorHAnsi" w:hAnsiTheme="majorHAnsi" w:cs="Times New Roman"/>
          <w:sz w:val="24"/>
          <w:szCs w:val="24"/>
        </w:rPr>
        <w:t xml:space="preserve"> r</w:t>
      </w:r>
      <w:r w:rsidR="00B574D9" w:rsidRPr="009622E6">
        <w:rPr>
          <w:rFonts w:asciiTheme="majorHAnsi" w:hAnsiTheme="majorHAnsi" w:cs="Times New Roman"/>
          <w:sz w:val="24"/>
          <w:szCs w:val="24"/>
        </w:rPr>
        <w:t>ecommend</w:t>
      </w:r>
      <w:r w:rsidR="00C73621" w:rsidRPr="009622E6">
        <w:rPr>
          <w:rFonts w:asciiTheme="majorHAnsi" w:hAnsiTheme="majorHAnsi" w:cs="Times New Roman"/>
          <w:sz w:val="24"/>
          <w:szCs w:val="24"/>
        </w:rPr>
        <w:t xml:space="preserve">ed that </w:t>
      </w:r>
      <w:r w:rsidR="00245151" w:rsidRPr="009622E6">
        <w:rPr>
          <w:rFonts w:asciiTheme="majorHAnsi" w:hAnsiTheme="majorHAnsi" w:cs="Times New Roman"/>
          <w:sz w:val="24"/>
          <w:szCs w:val="24"/>
        </w:rPr>
        <w:t>preterm infants</w:t>
      </w:r>
      <w:r w:rsidR="00B574D9" w:rsidRPr="009622E6">
        <w:rPr>
          <w:rFonts w:asciiTheme="majorHAnsi" w:hAnsiTheme="majorHAnsi" w:cs="Times New Roman"/>
          <w:sz w:val="24"/>
          <w:szCs w:val="24"/>
        </w:rPr>
        <w:t xml:space="preserve"> </w:t>
      </w:r>
      <w:r w:rsidR="000D5A4D">
        <w:rPr>
          <w:rFonts w:asciiTheme="majorHAnsi" w:hAnsiTheme="majorHAnsi" w:cs="Times New Roman"/>
          <w:sz w:val="24"/>
          <w:szCs w:val="24"/>
        </w:rPr>
        <w:t>s</w:t>
      </w:r>
      <w:r w:rsidR="00C73621" w:rsidRPr="009622E6">
        <w:rPr>
          <w:rFonts w:asciiTheme="majorHAnsi" w:hAnsiTheme="majorHAnsi" w:cs="Times New Roman"/>
          <w:sz w:val="24"/>
          <w:szCs w:val="24"/>
        </w:rPr>
        <w:t xml:space="preserve">hould track along or parallel to a marked centile line on </w:t>
      </w:r>
      <w:r w:rsidR="000F1937">
        <w:rPr>
          <w:rFonts w:asciiTheme="majorHAnsi" w:hAnsiTheme="majorHAnsi" w:cs="Times New Roman"/>
          <w:sz w:val="24"/>
          <w:szCs w:val="24"/>
        </w:rPr>
        <w:t xml:space="preserve">such </w:t>
      </w:r>
      <w:r w:rsidR="00C73621" w:rsidRPr="009622E6">
        <w:rPr>
          <w:rFonts w:asciiTheme="majorHAnsi" w:hAnsiTheme="majorHAnsi" w:cs="Times New Roman"/>
          <w:sz w:val="24"/>
          <w:szCs w:val="24"/>
        </w:rPr>
        <w:t>growth chart</w:t>
      </w:r>
      <w:r w:rsidR="000F1937">
        <w:rPr>
          <w:rFonts w:asciiTheme="majorHAnsi" w:hAnsiTheme="majorHAnsi" w:cs="Times New Roman"/>
          <w:sz w:val="24"/>
          <w:szCs w:val="24"/>
        </w:rPr>
        <w:t>s</w:t>
      </w:r>
      <w:r w:rsidR="00BF0D7A"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"ISBN" : "9781581102987 1581102984", "author" : [ { "dropping-particle" : "", "family" : "Kleinman", "given" : "Ronald E", "non-dropping-particle" : "", "parse-names" : false, "suffix" : "" }, { "dropping-particle" : "", "family" : "American Acadamy of Pediatrics. Committee on Nutrition", "given" : "", "non-dropping-particle" : "", "parse-names" : false, "suffix" : "" } ], "edition" : "6th editio", "id" : "ITEM-1", "issued" : { "date-parts" : [ [ "2009" ] ] }, "number-of-pages" : "79-112", "publisher" : "Elk Grove Village", "title" : "Pediatric nutrition handbook 6th edition", "type" : "book" }, "uris" : [ "http://www.mendeley.com/documents/?uuid=a18adccd-a6d4-451f-822f-8ea82d644dec" ] }, { "id" : "ITEM-2", "itemData" : { "DOI" : "10.1097/MPG.0b013e3181adaee0.", "PMID" : "19881390", "abstract" : "The number of surviving children born prematurely has increased substantially during the last 2 decades. The major goal of enteral nutrient supply to these infants is to achieve growth similar to foetal growth coupled with satisfactory functional development. The accumulation of knowledge since the previous guideline on nutrition of preterm infants from the Committee on Nutrition of the European Society of Paediatric Gastroenterology and Nutrition in 1987 has made a new guideline necessary. Thus, an ad hoc expert panel was convened by the Committee on Nutrition of the European Society of Paediatric Gastroenterology, Hepatology, and Nutrition in 2007 to make appropriate recommendations. The present guideline, of which the major recommendations are summarised here (for the full report, see http://links.lww.com/A1480), is consistent with, but not identical to, recent guidelines from the Life Sciences Research Office of the American Society for Nutritional Sciences published in 2002 and recommendations from the handbook Nutrition of the Preterm Infant. Scientific Basis and Practical Guidelines, 2nd ed, edited by Tsang et al, and published in 2005. The preferred food for premature infants is fortified human milk from the infant's own mother, or, alternatively, formula designed for premature infants. This guideline aims to provide proposed advisable ranges for nutrient intakes for stable-growing preterm infants up to a weight of approximately 1800 g, because most data are available for these infants. These recommendations are based on a considered review of available scientific reports on the subject, and on expert consensus for which the available scientific data are considered inadequate.", "author" : [ { "dropping-particle" : "", "family" : "Agostoni C, Buonocore G, Carnielli VP, De Curtis M, Darmaun D, Decsi T, Domell\u00f6f M, Embleton ND, Fusch C, Genzel-Boroviczeny O, Goulet O, Kalhan SC, Kolacek S, Koletzko B, Lapillonne A, Mihatsch W, Moreno L, Neu J, Poindexter B, Puntis J, Putet G, Rigo J,", "given" : "Ziegler EE; ESPGHAN Committee on Nutrition.", "non-dropping-particle" : "", "parse-names" : false, "suffix" : "" } ], "container-title" : "J Pediatr Gastroenterol Nutr.", "id" : "ITEM-2", "issue" : "1", "issued" : { "date-parts" : [ [ "2010" ] ] }, "page" : "85-91", "title" : "Enteral nutrient supply for preterm infants: commentary from the European Society of Paediatric Gastroenterology, Hepatology and Nutrition Committee on Nutrition.", "type" : "article-journal", "volume" : "50" }, "uris" : [ "http://www.mendeley.com/documents/?uuid=9c4d2779-2c8c-49d8-9500-6a25fe987e7d" ] } ], "mendeley" : { "formattedCitation" : "[2,8]", "plainTextFormattedCitation" : "[2,8]", "previouslyFormattedCitation" : "[2,9]" }, "properties" : {  }, "schema" : "https://github.com/citation-style-language/schema/raw/master/csl-citation.json" }</w:instrText>
      </w:r>
      <w:r w:rsidR="00BF0D7A" w:rsidRPr="009622E6">
        <w:rPr>
          <w:rFonts w:asciiTheme="majorHAnsi" w:hAnsiTheme="majorHAnsi" w:cs="Times New Roman"/>
          <w:sz w:val="24"/>
          <w:szCs w:val="24"/>
        </w:rPr>
        <w:fldChar w:fldCharType="separate"/>
      </w:r>
      <w:r w:rsidR="00B90AE8" w:rsidRPr="00B90AE8">
        <w:rPr>
          <w:rFonts w:asciiTheme="majorHAnsi" w:hAnsiTheme="majorHAnsi" w:cs="Times New Roman"/>
          <w:noProof/>
          <w:sz w:val="24"/>
          <w:szCs w:val="24"/>
        </w:rPr>
        <w:t>[2,8]</w:t>
      </w:r>
      <w:r w:rsidR="00BF0D7A" w:rsidRPr="009622E6">
        <w:rPr>
          <w:rFonts w:asciiTheme="majorHAnsi" w:hAnsiTheme="majorHAnsi" w:cs="Times New Roman"/>
          <w:sz w:val="24"/>
          <w:szCs w:val="24"/>
        </w:rPr>
        <w:fldChar w:fldCharType="end"/>
      </w:r>
      <w:r w:rsidR="00C73621" w:rsidRPr="009622E6">
        <w:rPr>
          <w:rFonts w:asciiTheme="majorHAnsi" w:hAnsiTheme="majorHAnsi" w:cs="Times New Roman"/>
          <w:sz w:val="24"/>
          <w:szCs w:val="24"/>
        </w:rPr>
        <w:t xml:space="preserve">. </w:t>
      </w:r>
      <w:r w:rsidR="000653BA">
        <w:rPr>
          <w:rFonts w:asciiTheme="majorHAnsi" w:hAnsiTheme="majorHAnsi" w:cs="Times New Roman"/>
          <w:sz w:val="24"/>
          <w:szCs w:val="24"/>
        </w:rPr>
        <w:t>Of note, the Intergrowth study has recently published growth curves based on the actual growth of healthy preterm infants, suggesting that it may be inappropriate to compare these infants with their in utero counterparts</w:t>
      </w:r>
      <w:r w:rsidR="000653BA">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"10.1542/peds.2017-2467", "ISSN" : "1098-4275", "PMID" : "29301912", "abstract" : "There is no consensus regarding how the growth of preterm infants should be monitored or what constitutes their ideal pattern of growth, especially after term-corrected age. The concept that the growth of preterm infants should match that of healthy fetuses is not substantiated by data and, in practice, is seldom attained, particularly for very preterm infants. Hence, by hospital discharge, many preterm infants are classified as postnatal growth-restricted. In a recent systematic review, 61 longitudinal reference charts were identified, most with considerable limitations in the quality of gestational age estimation, anthropometric measures, feeding regimens, and how morbidities were described. We suggest that the correct comparator for assessing the growth of preterm infants, especially those who are moderately or late preterm, is a cohort of preterm newborns (not fetuses or term infants) with an uncomplicated intrauterine life and low neonatal and infant morbidity. Such growth monitoring should be comprehensive, as recommended for term infants, and should include assessments of postnatal length, head circumference, weight/length ratio, and, if possible, fat and fat-free mass. Preterm postnatal growth standards meeting these criteria are now available and may be used to assess preterm infants until 64 weeks' postmenstrual age (6 months' corrected age), the time at which they overlap, without the need for any adjustment, with the World Health Organization Child Growth Standards for term newborns. Despite remaining nutritional gaps, 90% of preterm newborns (ie, moderate to late preterm infants) can be monitored by using the International Fetal and Newborn Growth Consortium for the 21st Century Preterm Postnatal Growth Standards from birth until life at home.", "author" : [ { "dropping-particle" : "", "family" : "Villar", "given" : "Jose", "non-dropping-particle" : "", "parse-names" : false, "suffix" : "" }, { "dropping-particle" : "", "family" : "Giuliani", "given" : "Francesca", "non-dropping-particle" : "", "parse-names" : false, "suffix" : "" }, { "dropping-particle" : "", "family" : "Barros", "given" : "Fernando", "non-dropping-particle" : "", "parse-names" : false, "suffix" : "" }, { "dropping-particle" : "", "family" : "Roggero", "given" : "Paola", "non-dropping-particle" : "", "parse-names" : false, "suffix" : "" }, { "dropping-particle" : "", "family" : "Coronado Zarco", "given" : "Irma Alejandra", "non-dropping-particle" : "", "parse-names" : false, "suffix" : "" }, { "dropping-particle" : "", "family" : "Rego", "given" : "Maria Albertina S", "non-dropping-particle" : "", "parse-names" : false, "suffix" : "" }, { "dropping-particle" : "", "family" : "Ochieng", "given" : "Roseline", "non-dropping-particle" : "", "parse-names" : false, "suffix" : "" }, { "dropping-particle" : "", "family" : "Gianni", "given" : "Maria Lorella", "non-dropping-particle" : "", "parse-names" : false, "suffix" : "" }, { "dropping-particle" : "", "family" : "Rao", "given" : "Suman", "non-dropping-particle" : "", "parse-names" : false, "suffix" : "" }, { "dropping-particle" : "", "family" : "Lambert", "given" : "Ann", "non-dropping-particle" : "", "parse-names" : false, "suffix" : "" }, { "dropping-particle" : "", "family" : "Ryumina", "given" : "Irina", "non-dropping-particle" : "", "parse-names" : false, "suffix" : "" }, { "dropping-particle" : "", "family" : "Britto", "given" : "Carl", "non-dropping-particle" : "", "parse-names" : false, "suffix" : "" }, { "dropping-particle" : "", "family" : "Chawla", "given" : "Deepak", "non-dropping-particle" : "", "parse-names" : false, "suffix" : "" }, { "dropping-particle" : "", "family" : "Cheikh Ismail", "given" : "Leila", "non-dropping-particle" : "", "parse-names" : false, "suffix" : "" }, { "dropping-particle" : "", "family" : "Ali", "given" : "Syed Rehan", "non-dropping-particle" : "", "parse-names" : false, "suffix" : "" }, { "dropping-particle" : "", "family" : "Hirst", "given" : "Jane", "non-dropping-particle" : "", "parse-names" : false, "suffix" : "" }, { "dropping-particle" : "", "family" : "Teji", "given" : "Jagjit Singh", "non-dropping-particle" : "", "parse-names" : false, "suffix" : "" }, { "dropping-particle" : "", "family" : "Abawi", "given" : "Karim", "non-dropping-particle" : "", "parse-names" : false, "suffix" : "" }, { "dropping-particle" : "", "family" : "Asibey", "given" : "Jacqueline", "non-dropping-particle" : "", "parse-names" : false, "suffix" : "" }, { "dropping-particle" : "", "family" : "Agyeman-Duah", "given" : "Josephine", "non-dropping-particle" : "", "parse-names" : false, "suffix" : "" }, { "dropping-particle" : "", "family" : "McCormick", "given" : "Kenny", "non-dropping-particle" : "", "parse-names" : false, "suffix" : "" }, { "dropping-particle" : "", "family" : "Bertino", "given" : "Enrico", "non-dropping-particle" : "", "parse-names" : false, "suffix" : "" }, { "dropping-particle" : "", "family" : "Papageorghiou", "given" : "Aris T", "non-dropping-particle" : "", "parse-names" : false, "suffix" : "" }, { "dropping-particle" : "", "family" : "Figueras-Aloy", "given" : "Josep", "non-dropping-particle" : "", "parse-names" : false, "suffix" : "" }, { "dropping-particle" : "", "family" : "Bhutta", "given" : "Zulfiqar", "non-dropping-particle" : "", "parse-names" : false, "suffix" : "" }, { "dropping-particle" : "", "family" : "Kennedy", "given" : "Stephen", "non-dropping-particle" : "", "parse-names" : false, "suffix" : "" } ], "container-title" : "Pediatrics", "id" : "ITEM-1", "issue" : "2", "issued" : { "date-parts" : [ [ "2018" ] ] }, "page" : "e20172467", "title" : "Monitoring the Postnatal Growth of Preterm Infants: A Paradigm Change.", "type" : "article-journal", "volume" : "141" }, "uris" : [ "http://www.mendeley.com/documents/?uuid=b21c826b-8dde-476b-9f5b-a4f971c2e422" ] } ], "mendeley" : { "formattedCitation" : "[9]", "plainTextFormattedCitation" : "[9]", "previouslyFormattedCitation" : "[8]" }, "properties" : {  }, "schema" : "https://github.com/citation-style-language/schema/raw/master/csl-citation.json" }</w:instrText>
      </w:r>
      <w:r w:rsidR="000653BA">
        <w:rPr>
          <w:rFonts w:asciiTheme="majorHAnsi" w:hAnsiTheme="majorHAnsi" w:cs="Times New Roman"/>
          <w:sz w:val="24"/>
          <w:szCs w:val="24"/>
        </w:rPr>
        <w:fldChar w:fldCharType="separate"/>
      </w:r>
      <w:r w:rsidR="00B90AE8" w:rsidRPr="00B90AE8">
        <w:rPr>
          <w:rFonts w:asciiTheme="majorHAnsi" w:hAnsiTheme="majorHAnsi" w:cs="Times New Roman"/>
          <w:noProof/>
          <w:sz w:val="24"/>
          <w:szCs w:val="24"/>
        </w:rPr>
        <w:t>[9]</w:t>
      </w:r>
      <w:r w:rsidR="000653BA">
        <w:rPr>
          <w:rFonts w:asciiTheme="majorHAnsi" w:hAnsiTheme="majorHAnsi" w:cs="Times New Roman"/>
          <w:sz w:val="24"/>
          <w:szCs w:val="24"/>
        </w:rPr>
        <w:fldChar w:fldCharType="end"/>
      </w:r>
      <w:r w:rsidR="003019B3">
        <w:rPr>
          <w:rFonts w:asciiTheme="majorHAnsi" w:hAnsiTheme="majorHAnsi" w:cs="Times New Roman"/>
          <w:sz w:val="24"/>
          <w:szCs w:val="24"/>
        </w:rPr>
        <w:t>.</w:t>
      </w:r>
    </w:p>
    <w:p w:rsidR="00747EC7" w:rsidRPr="009622E6" w:rsidRDefault="009A48B1" w:rsidP="009E2DF4">
      <w:pPr>
        <w:spacing w:line="480" w:lineRule="auto"/>
        <w:rPr>
          <w:rFonts w:asciiTheme="majorHAnsi" w:hAnsiTheme="majorHAnsi" w:cs="Times New Roman"/>
          <w:sz w:val="24"/>
          <w:szCs w:val="24"/>
        </w:rPr>
      </w:pPr>
      <w:r w:rsidRPr="009622E6">
        <w:rPr>
          <w:rFonts w:asciiTheme="majorHAnsi" w:hAnsiTheme="majorHAnsi" w:cs="Times New Roman"/>
          <w:sz w:val="24"/>
          <w:szCs w:val="24"/>
        </w:rPr>
        <w:t>T</w:t>
      </w:r>
      <w:r w:rsidR="00163489" w:rsidRPr="009622E6">
        <w:rPr>
          <w:rFonts w:asciiTheme="majorHAnsi" w:hAnsiTheme="majorHAnsi" w:cs="Times New Roman"/>
          <w:sz w:val="24"/>
          <w:szCs w:val="24"/>
        </w:rPr>
        <w:t xml:space="preserve">he </w:t>
      </w:r>
      <w:r w:rsidR="0098451F" w:rsidRPr="009622E6">
        <w:rPr>
          <w:rFonts w:asciiTheme="majorHAnsi" w:hAnsiTheme="majorHAnsi" w:cs="Times New Roman"/>
          <w:sz w:val="24"/>
          <w:szCs w:val="24"/>
        </w:rPr>
        <w:t>extrauterine</w:t>
      </w:r>
      <w:r w:rsidR="009C24D4" w:rsidRPr="009622E6">
        <w:rPr>
          <w:rFonts w:asciiTheme="majorHAnsi" w:hAnsiTheme="majorHAnsi" w:cs="Times New Roman"/>
          <w:sz w:val="24"/>
          <w:szCs w:val="24"/>
        </w:rPr>
        <w:t xml:space="preserve"> growth of </w:t>
      </w:r>
      <w:r w:rsidR="00587223" w:rsidRPr="009622E6">
        <w:rPr>
          <w:rFonts w:asciiTheme="majorHAnsi" w:hAnsiTheme="majorHAnsi" w:cs="Times New Roman"/>
          <w:sz w:val="24"/>
          <w:szCs w:val="24"/>
        </w:rPr>
        <w:t>pr</w:t>
      </w:r>
      <w:r w:rsidR="0020287D" w:rsidRPr="009622E6">
        <w:rPr>
          <w:rFonts w:asciiTheme="majorHAnsi" w:hAnsiTheme="majorHAnsi" w:cs="Times New Roman"/>
          <w:sz w:val="24"/>
          <w:szCs w:val="24"/>
        </w:rPr>
        <w:t>eterm</w:t>
      </w:r>
      <w:r w:rsidR="00587223" w:rsidRPr="009622E6">
        <w:rPr>
          <w:rFonts w:asciiTheme="majorHAnsi" w:hAnsiTheme="majorHAnsi" w:cs="Times New Roman"/>
          <w:sz w:val="24"/>
          <w:szCs w:val="24"/>
        </w:rPr>
        <w:t xml:space="preserve"> infants </w:t>
      </w:r>
      <w:r w:rsidR="00CF128C">
        <w:rPr>
          <w:rFonts w:asciiTheme="majorHAnsi" w:hAnsiTheme="majorHAnsi" w:cs="Times New Roman"/>
          <w:sz w:val="24"/>
          <w:szCs w:val="24"/>
        </w:rPr>
        <w:t>has been reported</w:t>
      </w:r>
      <w:r w:rsidR="00857F4B" w:rsidRPr="009622E6">
        <w:rPr>
          <w:rFonts w:asciiTheme="majorHAnsi" w:hAnsiTheme="majorHAnsi" w:cs="Times New Roman"/>
          <w:sz w:val="24"/>
          <w:szCs w:val="24"/>
        </w:rPr>
        <w:t xml:space="preserve"> </w:t>
      </w:r>
      <w:r w:rsidR="00587223" w:rsidRPr="009622E6">
        <w:rPr>
          <w:rFonts w:asciiTheme="majorHAnsi" w:hAnsiTheme="majorHAnsi" w:cs="Times New Roman"/>
          <w:sz w:val="24"/>
          <w:szCs w:val="24"/>
        </w:rPr>
        <w:t xml:space="preserve">to fall behind their term counterparts, crossing </w:t>
      </w:r>
      <w:r w:rsidR="00A11796" w:rsidRPr="009622E6">
        <w:rPr>
          <w:rFonts w:asciiTheme="majorHAnsi" w:hAnsiTheme="majorHAnsi" w:cs="Times New Roman"/>
          <w:sz w:val="24"/>
          <w:szCs w:val="24"/>
        </w:rPr>
        <w:t xml:space="preserve">multiple </w:t>
      </w:r>
      <w:r w:rsidR="00587223" w:rsidRPr="009622E6">
        <w:rPr>
          <w:rFonts w:asciiTheme="majorHAnsi" w:hAnsiTheme="majorHAnsi" w:cs="Times New Roman"/>
          <w:sz w:val="24"/>
          <w:szCs w:val="24"/>
        </w:rPr>
        <w:t>centile</w:t>
      </w:r>
      <w:r w:rsidR="00077AE6">
        <w:rPr>
          <w:rFonts w:asciiTheme="majorHAnsi" w:hAnsiTheme="majorHAnsi" w:cs="Times New Roman"/>
          <w:sz w:val="24"/>
          <w:szCs w:val="24"/>
        </w:rPr>
        <w:t xml:space="preserve"> </w:t>
      </w:r>
      <w:r w:rsidR="003748CE" w:rsidRPr="003748CE">
        <w:rPr>
          <w:rFonts w:asciiTheme="majorHAnsi" w:hAnsiTheme="majorHAnsi" w:cs="Times New Roman"/>
          <w:sz w:val="24"/>
          <w:szCs w:val="24"/>
        </w:rPr>
        <w:t>lines</w:t>
      </w:r>
      <w:r w:rsidR="003748CE" w:rsidRPr="009622E6">
        <w:rPr>
          <w:rFonts w:asciiTheme="majorHAnsi" w:hAnsiTheme="majorHAnsi" w:cs="Times New Roman"/>
          <w:sz w:val="24"/>
          <w:szCs w:val="24"/>
        </w:rPr>
        <w:t xml:space="preserve"> </w:t>
      </w:r>
      <w:r w:rsidR="00587223" w:rsidRPr="009622E6">
        <w:rPr>
          <w:rFonts w:asciiTheme="majorHAnsi" w:hAnsiTheme="majorHAnsi" w:cs="Times New Roman"/>
          <w:sz w:val="24"/>
          <w:szCs w:val="24"/>
        </w:rPr>
        <w:t xml:space="preserve">downward </w:t>
      </w:r>
      <w:r w:rsidR="00245151" w:rsidRPr="009622E6">
        <w:rPr>
          <w:rFonts w:asciiTheme="majorHAnsi" w:hAnsiTheme="majorHAnsi" w:cs="Times New Roman"/>
          <w:sz w:val="24"/>
          <w:szCs w:val="24"/>
        </w:rPr>
        <w:t>in infants born extremely pre</w:t>
      </w:r>
      <w:r w:rsidR="00A11796" w:rsidRPr="009622E6">
        <w:rPr>
          <w:rFonts w:asciiTheme="majorHAnsi" w:hAnsiTheme="majorHAnsi" w:cs="Times New Roman"/>
          <w:sz w:val="24"/>
          <w:szCs w:val="24"/>
        </w:rPr>
        <w:t>term</w:t>
      </w:r>
      <w:r w:rsidR="00D864BF"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"10.1542/peds.104.2.280", "ISBN" : "0031-4005 (Print)", "ISSN" : "0031-4005", "PMID" : "10429008", "abstract" : "BACKGROUND: The interpretation of growth rates for very low birth weight infants is obscured by limited data, recent changes in perinatal care, and the uncertain effects of multiple therapies. OBJECTIVES: To develop contemporary postnatal growth curves for very low birth weight preterm infants and to relate growth velocity to birth weight, nutritional practices, fetal growth status (small- or appropriate-for-gestational-age), and major neonatal morbidities (chronic lung disease, nosocomial infection or late-onset infection, severe intraventricular hemorrhage, and necrotizing enterocolitis). DESIGN: Large, multicenter, prospective cohort study. METHODS: Growth was prospectively assessed for 1660 infants with birth weights between 501 to 1500 g admitted by 24 hours of age to 1 of the 12 National Institute of Child Health and Human Development Neonatal Research Network centers between August 31, 1994 and August 9, 1995. Infants were included if they survived &gt;7 days (168 hours) and were free of major congenital anomalies. Anthropometric measures (body weight, length, head circumference, and midarm circumference) were performed from birth until discharge, transfer, death, age 120 days, or a body weight of 2000 g. To obtain representative data, nutritional practices were not altered by the study protocol. RESULTS: Postnatal growth curves suitable for clinical and research use were constructed for body weight, length, head circumference, and midarm circumference. Once birth weight was regained, weight gain (14.4-16.1 g/kg/d) approximated intrauterine rates. However, at hospital discharge, most infants born between 24 and 29 weeks of gestation had not achieved the median birth weight of the reference fetus at the same postmenstrual age. Gestational age, race, and gender had no effect on growth within 100-g birth weight strata. Appropriate-for-gestational age infants who survived to hospital discharge without developing chronic lung disease, severe intraventricular hemorrhage, necrotizing enterocolitis, or late onset-sepsis gained weight faster than comparable infants with those morbidities. More rapid weight gain was also associated with a shorter duration of parenteral nutrition providing at least 75% of the total daily fluid volume, an earlier age at the initiation of enteral feedings, and an earlier age at achievement of full enteral feedings. CONCLUSIONS: These growth curves may be used to better understand postnatal growth, to help identify infants develo\u2026", "author" : [ { "dropping-particle" : "", "family" : "Ehrenkranz", "given" : "R. A.", "non-dropping-particle" : "", "parse-names" : false, "suffix" : "" }, { "dropping-particle" : "", "family" : "Younes", "given" : "N.", "non-dropping-particle" : "", "parse-names" : false, "suffix" : "" }, { "dropping-particle" : "", "family" : "Lemons", "given" : "J. A.", "non-dropping-particle" : "", "parse-names" : false, "suffix" : "" }, { "dropping-particle" : "", "family" : "Fanaroff", "given" : "A. A.", "non-dropping-particle" : "", "parse-names" : false, "suffix" : "" }, { "dropping-particle" : "", "family" : "Donovan", "given" : "E. F.", "non-dropping-particle" : "", "parse-names" : false, "suffix" : "" }, { "dropping-particle" : "", "family" : "Wright", "given" : "L. L.", "non-dropping-particle" : "", "parse-names" : false, "suffix" : "" }, { "dropping-particle" : "", "family" : "Katsikiotis", "given" : "V.", "non-dropping-particle" : "", "parse-names" : false, "suffix" : "" }, { "dropping-particle" : "", "family" : "Tyson", "given" : "J. E.", "non-dropping-particle" : "", "parse-names" : false, "suffix" : "" }, { "dropping-particle" : "", "family" : "Oh", "given" : "W.", "non-dropping-particle" : "", "parse-names" : false, "suffix" : "" }, { "dropping-particle" : "", "family" : "Shankaran", "given" : "S.", "non-dropping-particle" : "", "parse-names" : false, "suffix" : "" }, { "dropping-particle" : "", "family" : "Bauer", "given" : "C. R.", "non-dropping-particle" : "", "parse-names" : false, "suffix" : "" }, { "dropping-particle" : "", "family" : "Korones", "given" : "S. B.", "non-dropping-particle" : "", "parse-names" : false, "suffix" : "" }, { "dropping-particle" : "", "family" : "Stoll", "given" : "B. J.", "non-dropping-particle" : "", "parse-names" : false, "suffix" : "" }, { "dropping-particle" : "", "family" : "Stevenson", "given" : "D. K.", "non-dropping-particle" : "", "parse-names" : false, "suffix" : "" }, { "dropping-particle" : "", "family" : "Papile", "given" : "L.-A.", "non-dropping-particle" : "", "parse-names" : false, "suffix" : "" } ], "container-title" : "Pediatrics", "id" : "ITEM-1", "issue" : "2", "issued" : { "date-parts" : [ [ "1999" ] ] }, "page" : "280-289", "title" : "Longitudinal Growth of Hospitalized Very Low Birth Weight Infants", "type" : "article-journal", "volume" : "104" }, "uris" : [ "http://www.mendeley.com/documents/?uuid=bc910cda-8369-41a1-b65a-7cce07ae5a51" ] }, { "id" : "ITEM-2", "itemData" : { "DOI" : "10.1136/archdischild-2012-303536", "ISBN" : "2012303536", "ISSN" : "1359-2998", "PMID" : "23934365", "abstract" : "OBJECTIVE: To describe birth weight and postnatal weight gain in a contemporaneous population of babies born &lt;32 weeks' gestation, using routinely captured electronic clinical data. DESIGN: Anonymised longitudinal weight data from 2006 to 2011. SETTING: National Health Service neonatal units in England. METHODS: Birth weight centiles were constructed using the LMS method, and longitudinal weight gain was summarised as mean growth curves for each week of gestation until discharge, using SITAR (Superimposition by Translation and Rotation) growth curve analysis. RESULTS: Data on 103 194 weights of 5009 babies born from 22-31 weeks' gestation were received from 40 neonatal units. At birth, girls weighed 6.6% (SE 0.4%) less than boys (p&lt;0.0001). For babies born at 31 weeks' gestation, weight fell after birth by an average of 258 g, with the nadir on the 8th postnatal day. The rate of weight gain then increased to a maximum of 28.4 g/d or 16.0 g/kg/d after 3 weeks. Conversely for babies of 22 to 28 weeks' gestation, there was on average no weight loss after birth. At all gestations, babies tended to cross weight centiles downwards for at least 2 weeks. CONCLUSIONS: In very preterm infants, mean weight crosses centiles downwards by at least two centile channel widths. Postnatal weight loss is generally absent in those born before 29 weeks, but marked in those born later. Assigning an infant's target centile at birth is potentially harmful as it requires rapid weight gain and should only be done once weight gain has stabilised. The use of electronic data reflects contemporary medical management.", "author" : [ { "dropping-particle" : "", "family" : "Cole", "given" : "Tim J", "non-dropping-particle" : "", "parse-names" : false, "suffix" : "" }, { "dropping-particle" : "", "family" : "Statnikov", "given" : "Yevgeniy", "non-dropping-particle" : "", "parse-names" : false, "suffix" : "" }, { "dropping-particle" : "", "family" : "Santhakumaran", "given" : "Shalini", "non-dropping-particle" : "", "parse-names" : false, "suffix" : "" }, { "dropping-particle" : "", "family" : "Pan", "given" : "Huiqi", "non-dropping-particle" : "", "parse-names" : false, "suffix" : "" }, { "dropping-particle" : "", "family" : "Modi", "given" : "Neena", "non-dropping-particle" : "", "parse-names" : false, "suffix" : "" } ], "container-title" : "Archives of Disease in Childhood - Fetal and Neonatal Edition", "id" : "ITEM-2", "issue" : "1", "issued" : { "date-parts" : [ [ "2014" ] ] }, "page" : "F34-F40", "title" : "Birth weight and longitudinal growth in infants born below 32\u2005weeks\u2019 gestation: a UK population study", "type" : "article-journal", "volume" : "99" }, "uris" : [ "http://www.mendeley.com/documents/?uuid=1dd2591b-92e3-4405-a13a-98efad7f09ad" ] }, { "id" : "ITEM-3", "itemData" : { "DOI" : "10.1542/peds.2015-0129", "ISBN" : "1098-4275 (Electronic)\\r0031-4005 (Linking)", "ISSN" : "0031-4005", "PMID" : "26101360", "abstract" : "BACKGROUND Very low birth weight infants often gain weight poorly and demonstrate growth failure during the initial hospitalization. Although many of the major morbidities experienced by these infants during their initial NICU stays have decreased in recent years, it is unclear whether growth has improved. METHODS We studied 362 833 infants weighing 501 to 1500 g without major birth defects born from 2000 to 2013 and who were hospitalized for 15 to 175 days at 736 North American hospitals in the Vermont Oxford Network. Average growth velocity (GV; g/kg per day) was computed by using a 2-point exponential model on the basis of birth weight and discharge weight. Postnatal growth failure and severe postnatal growth failure were defined as a discharge weight less than the 10th and third percentiles for postmenstrual age, respectively. RESULTS From 2000 to 2013, average GV increased from 11.8 to 12.9 g/kg per day. Postnatal growth failure decreased from 64.5% to 50.3% and severe postnatal growth failure from 39.8% to 27.5%. The interquartile ranges for the hospitals participating in 2013 were as follows: GV, 12.3 to 13.4 g/kg per day; postnatal growth failure, 41.1% to 61.7%; and severe postnatal growth failure, 19.4% to 36.0%. Adjusted and unadjusted estimates were nearly identical. CONCLUSIONS For infants weighing 501 to 1500 g at birth, average GV increased and the percentage with postnatal growth failure decreased. However, in 2013, half of these infants still demonstrated postnatal growth failure and one-quarter demonstrated severe postnatal growth failure.", "author" : [ { "dropping-particle" : "", "family" : "Horbar", "given" : "J. D.", "non-dropping-particle" : "", "parse-names" : false, "suffix" : "" }, { "dropping-particle" : "", "family" : "Ehrenkranz", "given" : "R. A.", "non-dropping-particle" : "", "parse-names" : false, "suffix" : "" }, { "dropping-particle" : "", "family" : "Badger", "given" : "G. J.", "non-dropping-particle" : "", "parse-names" : false, "suffix" : "" }, { "dropping-particle" : "", "family" : "Edwards", "given" : "E. M.", "non-dropping-particle" : "", "parse-names" : false, "suffix" : "" }, { "dropping-particle" : "", "family" : "Morrow", "given" : "K. A.", "non-dropping-particle" : "", "parse-names" : false, "suffix" : "" }, { "dropping-particle" : "", "family" : "Soll", "given" : "R. F.", "non-dropping-particle" : "", "parse-names" : false, "suffix" : "" }, { "dropping-particle" : "", "family" : "Buzas", "given" : "J. S.", "non-dropping-particle" : "", "parse-names" : false, "suffix" : "" }, { "dropping-particle" : "", "family" : "Bertino", "given" : "E.", "non-dropping-particle" : "", "parse-names" : false, "suffix" : "" }, { "dropping-particle" : "", "family" : "Gagliardi", "given" : "L.", "non-dropping-particle" : "", "parse-names" : false, "suffix" : "" }, { "dropping-particle" : "", "family" : "Bellu", "given" : "R.", "non-dropping-particle" : "", "parse-names" : false, "suffix" : "" } ], "container-title" : "Pediatrics", "id" : "ITEM-3", "issue" : "1", "issued" : { "date-parts" : [ [ "2015" ] ] }, "page" : "e84-e92", "title" : "Weight Growth Velocity and Postnatal Growth Failure in Infants 501 to 1500 Grams: 2000-2013", "type" : "article-journal", "volume" : "136" }, "uris" : [ "http://www.mendeley.com/documents/?uuid=63e39ba1-bbf4-468e-8081-4b1f060744d4" ] } ], "mendeley" : { "formattedCitation" : "[10\u201312]", "plainTextFormattedCitation" : "[10\u201312]", "previouslyFormattedCitation" : "[10\u201312]" }, "properties" : {  }, "schema" : "https://github.com/citation-style-language/schema/raw/master/csl-citation.json" }</w:instrText>
      </w:r>
      <w:r w:rsidR="00D864BF" w:rsidRPr="009622E6">
        <w:rPr>
          <w:rFonts w:asciiTheme="majorHAnsi" w:hAnsiTheme="majorHAnsi" w:cs="Times New Roman"/>
          <w:sz w:val="24"/>
          <w:szCs w:val="24"/>
        </w:rPr>
        <w:fldChar w:fldCharType="separate"/>
      </w:r>
      <w:r w:rsidR="00C4193C" w:rsidRPr="00C4193C">
        <w:rPr>
          <w:rFonts w:asciiTheme="majorHAnsi" w:hAnsiTheme="majorHAnsi" w:cs="Times New Roman"/>
          <w:noProof/>
          <w:sz w:val="24"/>
          <w:szCs w:val="24"/>
        </w:rPr>
        <w:t>[10–12]</w:t>
      </w:r>
      <w:r w:rsidR="00D864BF" w:rsidRPr="009622E6">
        <w:rPr>
          <w:rFonts w:asciiTheme="majorHAnsi" w:hAnsiTheme="majorHAnsi" w:cs="Times New Roman"/>
          <w:sz w:val="24"/>
          <w:szCs w:val="24"/>
        </w:rPr>
        <w:fldChar w:fldCharType="end"/>
      </w:r>
      <w:r w:rsidR="000F1937">
        <w:rPr>
          <w:rFonts w:asciiTheme="majorHAnsi" w:hAnsiTheme="majorHAnsi" w:cs="Times New Roman"/>
          <w:sz w:val="24"/>
          <w:szCs w:val="24"/>
        </w:rPr>
        <w:t>.</w:t>
      </w:r>
      <w:r w:rsidR="00A4615B" w:rsidRPr="009622E6">
        <w:rPr>
          <w:rFonts w:asciiTheme="majorHAnsi" w:hAnsiTheme="majorHAnsi" w:cs="Times New Roman"/>
          <w:sz w:val="24"/>
          <w:szCs w:val="24"/>
        </w:rPr>
        <w:t xml:space="preserve"> </w:t>
      </w:r>
      <w:r w:rsidR="0009052A" w:rsidRPr="009622E6">
        <w:rPr>
          <w:rFonts w:asciiTheme="majorHAnsi" w:hAnsiTheme="majorHAnsi" w:cs="Times New Roman"/>
          <w:sz w:val="24"/>
          <w:szCs w:val="24"/>
        </w:rPr>
        <w:t>Additionally</w:t>
      </w:r>
      <w:r w:rsidR="000F1937">
        <w:rPr>
          <w:rFonts w:asciiTheme="majorHAnsi" w:hAnsiTheme="majorHAnsi" w:cs="Times New Roman"/>
          <w:sz w:val="24"/>
          <w:szCs w:val="24"/>
        </w:rPr>
        <w:t>,</w:t>
      </w:r>
      <w:r w:rsidR="0009052A" w:rsidRPr="009622E6">
        <w:rPr>
          <w:rFonts w:asciiTheme="majorHAnsi" w:hAnsiTheme="majorHAnsi" w:cs="Times New Roman"/>
          <w:sz w:val="24"/>
          <w:szCs w:val="24"/>
        </w:rPr>
        <w:t xml:space="preserve"> </w:t>
      </w:r>
      <w:r w:rsidR="0098451F" w:rsidRPr="009622E6">
        <w:rPr>
          <w:rFonts w:asciiTheme="majorHAnsi" w:hAnsiTheme="majorHAnsi" w:cs="Times New Roman"/>
          <w:sz w:val="24"/>
          <w:szCs w:val="24"/>
        </w:rPr>
        <w:t>pre</w:t>
      </w:r>
      <w:r w:rsidR="00C408AC" w:rsidRPr="009622E6">
        <w:rPr>
          <w:rFonts w:asciiTheme="majorHAnsi" w:hAnsiTheme="majorHAnsi" w:cs="Times New Roman"/>
          <w:sz w:val="24"/>
          <w:szCs w:val="24"/>
        </w:rPr>
        <w:t xml:space="preserve">term infants at term equivalent age are </w:t>
      </w:r>
      <w:r w:rsidR="00E64EB0" w:rsidRPr="009622E6">
        <w:rPr>
          <w:rFonts w:asciiTheme="majorHAnsi" w:hAnsiTheme="majorHAnsi" w:cs="Times New Roman"/>
          <w:sz w:val="24"/>
          <w:szCs w:val="24"/>
        </w:rPr>
        <w:t>significantly lighter than their term counterparts</w:t>
      </w:r>
      <w:r w:rsidR="0009052A" w:rsidRPr="009622E6">
        <w:rPr>
          <w:rFonts w:asciiTheme="majorHAnsi" w:hAnsiTheme="majorHAnsi" w:cs="Times New Roman"/>
          <w:sz w:val="24"/>
          <w:szCs w:val="24"/>
        </w:rPr>
        <w:t xml:space="preserve">, </w:t>
      </w:r>
      <w:r w:rsidR="00747EC7" w:rsidRPr="009622E6">
        <w:rPr>
          <w:rFonts w:asciiTheme="majorHAnsi" w:hAnsiTheme="majorHAnsi" w:cs="Times New Roman"/>
          <w:sz w:val="24"/>
          <w:szCs w:val="24"/>
        </w:rPr>
        <w:t>and have</w:t>
      </w:r>
      <w:r w:rsidR="0009052A" w:rsidRPr="009622E6">
        <w:rPr>
          <w:rFonts w:asciiTheme="majorHAnsi" w:hAnsiTheme="majorHAnsi" w:cs="Times New Roman"/>
          <w:sz w:val="24"/>
          <w:szCs w:val="24"/>
        </w:rPr>
        <w:t xml:space="preserve"> altered body composition</w:t>
      </w:r>
      <w:r w:rsidR="002E1E8B" w:rsidRPr="009622E6">
        <w:rPr>
          <w:rFonts w:asciiTheme="majorHAnsi" w:hAnsiTheme="majorHAnsi" w:cs="Times New Roman"/>
          <w:sz w:val="24"/>
          <w:szCs w:val="24"/>
        </w:rPr>
        <w:t xml:space="preserve"> with increased percentage body fat and reduced lean mass</w:t>
      </w:r>
      <w:r w:rsidR="00D864BF"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"10.1542/peds.2011-3379", "ISBN" : "1098-4275 (Electronic)\\r0031-4005 (Linking)", "ISSN" : "0031-4005", "PMID" : "22891222", "abstract" : "BACKGROUND AND OBJECTIVE: Infants born preterm are significantly lighter and shorter on reaching term equivalent age (TEA) than are those born at term, but the relation with body composition is less clear. We conducted a systematic review to assess the body composition at TEA of infants born preterm. METHODS: The databases MEDLINE, Embase, CINAHL, HMIC, ``Web of Science,{''} and ``CSA Conference Papers Index{''} were searched between 1947 and June 2011, with selective citation and reference searching. Included studies had to have directly compared measures of body composition at TEA in preterm infants and infants born full-term. Data on body composition, anthropometry, and birth details were extracted from each article. RESULTS: Eight studies (733 infants) fulfilled the inclusion criteria. Mean gestational age and weight at birth were 30.0 weeks and 1.18 kg in the preterm group and 39.6 weeks and 3.41 kg in the term group, respectively. Meta-analysis showed that the preterm infants had a greater percentage total body fat at TEA than those born full-term (mean difference, 3%; P = .03), less fat mass (mean difference, 50 g; P = .03), and much less fat-free mass (mean difference, 460 g; P &lt; .0001). CONCLUSIONS: The body composition at TEA of infants born preterm is different than that of infants born at term. Preterm infants have less lean tissue but more similar fat mass. There is a need to determine whether improved nutritional management can enhance lean tissue acquisition, which indicates a need for measures of body composition in addition to routine anthropometry. Pediatrics 2012;130:e640-e649", "author" : [ { "dropping-particle" : "", "family" : "Johnson", "given" : "M. J.", "non-dropping-particle" : "", "parse-names" : false, "suffix" : "" }, { "dropping-particle" : "", "family" : "Wootton", "given" : "S. A.", "non-dropping-particle" : "", "parse-names" : false, "suffix" : "" }, { "dropping-particle" : "", "family" : "Leaf", "given" : "A. A.", "non-dropping-particle" : "", "parse-names" : false, "suffix" : "" }, { "dropping-particle" : "", "family" : "Jackson", "given" : "A. A.", "non-dropping-particle" : "", "parse-names" : false, "suffix" : "" } ], "container-title" : "Pediatrics", "id" : "ITEM-1", "issue" : "3", "issued" : { "date-parts" : [ [ "2012" ] ] }, "note" : "From Duplicate 1 (Preterm birth and body composition at term equivalent age: a systematic review and meta-analysis - Johnson, M J; Wootton, S A; Leaf, A A; Jackson, A A)\n\nJohnson, Mark J\nWootton, Stephen A\nLeaf, Alison A\nJackson, Alan A", "page" : "e640-9", "title" : "Preterm birth and body composition at term equivalent age: a systematic review and meta-analysis", "type" : "article-journal", "volume" : "130" }, "uris" : [ "http://www.mendeley.com/documents/?uuid=df0bc539-518e-4910-88b0-ccb45e33abba" ] } ], "mendeley" : { "formattedCitation" : "[1]", "plainTextFormattedCitation" : "[1]", "previouslyFormattedCitation" : "[1]" }, "properties" : {  }, "schema" : "https://github.com/citation-style-language/schema/raw/master/csl-citation.json" }</w:instrText>
      </w:r>
      <w:r w:rsidR="00D864BF" w:rsidRPr="009622E6">
        <w:rPr>
          <w:rFonts w:asciiTheme="majorHAnsi" w:hAnsiTheme="majorHAnsi" w:cs="Times New Roman"/>
          <w:sz w:val="24"/>
          <w:szCs w:val="24"/>
        </w:rPr>
        <w:fldChar w:fldCharType="separate"/>
      </w:r>
      <w:r w:rsidR="00F6411A" w:rsidRPr="00F6411A">
        <w:rPr>
          <w:rFonts w:asciiTheme="majorHAnsi" w:hAnsiTheme="majorHAnsi" w:cs="Times New Roman"/>
          <w:noProof/>
          <w:sz w:val="24"/>
          <w:szCs w:val="24"/>
        </w:rPr>
        <w:t>[1]</w:t>
      </w:r>
      <w:r w:rsidR="00D864BF" w:rsidRPr="009622E6">
        <w:rPr>
          <w:rFonts w:asciiTheme="majorHAnsi" w:hAnsiTheme="majorHAnsi" w:cs="Times New Roman"/>
          <w:sz w:val="24"/>
          <w:szCs w:val="24"/>
        </w:rPr>
        <w:fldChar w:fldCharType="end"/>
      </w:r>
      <w:r w:rsidR="000F1937">
        <w:rPr>
          <w:rFonts w:asciiTheme="majorHAnsi" w:hAnsiTheme="majorHAnsi" w:cs="Times New Roman"/>
          <w:sz w:val="24"/>
          <w:szCs w:val="24"/>
        </w:rPr>
        <w:t>.</w:t>
      </w:r>
      <w:r w:rsidR="00205308" w:rsidRPr="009622E6">
        <w:rPr>
          <w:rFonts w:asciiTheme="majorHAnsi" w:hAnsiTheme="majorHAnsi" w:cs="Times New Roman"/>
          <w:sz w:val="24"/>
          <w:szCs w:val="24"/>
        </w:rPr>
        <w:t xml:space="preserve"> </w:t>
      </w:r>
      <w:r w:rsidR="00E61517" w:rsidRPr="009622E6">
        <w:rPr>
          <w:rFonts w:asciiTheme="majorHAnsi" w:hAnsiTheme="majorHAnsi" w:cs="Times New Roman"/>
          <w:sz w:val="24"/>
          <w:szCs w:val="24"/>
        </w:rPr>
        <w:t xml:space="preserve">Head </w:t>
      </w:r>
      <w:r w:rsidR="00A11796" w:rsidRPr="009622E6">
        <w:rPr>
          <w:rFonts w:asciiTheme="majorHAnsi" w:hAnsiTheme="majorHAnsi" w:cs="Times New Roman"/>
          <w:sz w:val="24"/>
          <w:szCs w:val="24"/>
        </w:rPr>
        <w:t xml:space="preserve">circumference (HC) </w:t>
      </w:r>
      <w:r w:rsidR="00E61517" w:rsidRPr="009622E6">
        <w:rPr>
          <w:rFonts w:asciiTheme="majorHAnsi" w:hAnsiTheme="majorHAnsi" w:cs="Times New Roman"/>
          <w:sz w:val="24"/>
          <w:szCs w:val="24"/>
        </w:rPr>
        <w:t>growth in preterm infants has also previously been shown to fall down across</w:t>
      </w:r>
      <w:r w:rsidR="003748CE">
        <w:rPr>
          <w:rFonts w:asciiTheme="majorHAnsi" w:hAnsiTheme="majorHAnsi" w:cs="Times New Roman"/>
          <w:sz w:val="24"/>
          <w:szCs w:val="24"/>
        </w:rPr>
        <w:t xml:space="preserve"> marked</w:t>
      </w:r>
      <w:r w:rsidR="00077AE6">
        <w:rPr>
          <w:rFonts w:asciiTheme="majorHAnsi" w:hAnsiTheme="majorHAnsi" w:cs="Times New Roman"/>
          <w:sz w:val="24"/>
          <w:szCs w:val="24"/>
        </w:rPr>
        <w:t xml:space="preserve"> centile</w:t>
      </w:r>
      <w:r w:rsidR="003748CE">
        <w:rPr>
          <w:rFonts w:asciiTheme="majorHAnsi" w:hAnsiTheme="majorHAnsi" w:cs="Times New Roman"/>
          <w:sz w:val="24"/>
          <w:szCs w:val="24"/>
        </w:rPr>
        <w:t xml:space="preserve"> lines</w:t>
      </w:r>
      <w:r w:rsidR="00E61517" w:rsidRPr="009622E6">
        <w:rPr>
          <w:rFonts w:asciiTheme="majorHAnsi" w:hAnsiTheme="majorHAnsi" w:cs="Times New Roman"/>
          <w:sz w:val="24"/>
          <w:szCs w:val="24"/>
        </w:rPr>
        <w:t xml:space="preserve">, </w:t>
      </w:r>
      <w:r w:rsidR="00D864BF" w:rsidRPr="00733966">
        <w:rPr>
          <w:rFonts w:asciiTheme="majorHAnsi" w:hAnsiTheme="majorHAnsi" w:cs="Times New Roman"/>
          <w:sz w:val="24"/>
          <w:szCs w:val="24"/>
        </w:rPr>
        <w:t xml:space="preserve">with a nadir at around 4 </w:t>
      </w:r>
      <w:r w:rsidR="00D864BF" w:rsidRPr="00733966">
        <w:rPr>
          <w:rFonts w:asciiTheme="majorHAnsi" w:hAnsiTheme="majorHAnsi" w:cs="Times New Roman"/>
          <w:sz w:val="24"/>
          <w:szCs w:val="24"/>
        </w:rPr>
        <w:lastRenderedPageBreak/>
        <w:t>weeks postnatal age,</w:t>
      </w:r>
      <w:r w:rsidR="00E61517" w:rsidRPr="009622E6">
        <w:rPr>
          <w:rFonts w:asciiTheme="majorHAnsi" w:hAnsiTheme="majorHAnsi" w:cs="Times New Roman"/>
          <w:sz w:val="24"/>
          <w:szCs w:val="24"/>
        </w:rPr>
        <w:t xml:space="preserve"> before displaying some catch up growth</w:t>
      </w:r>
      <w:r w:rsidR="00D864BF"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"10.1111/apa.12359", "ISBN" : "0803-5253", "ISSN" : "08035253", "PMID" : "23855971", "abstract" : "AIM: To explore associations between energy and macronutrient intakes and early growth in extremely low gestational age (ELGA) infants.\\n\\nMETHODS: Retrospective population-based study of all ELGA infants (&lt;27 weeks) born in Sweden during 2004-2007. Detailed data on nutrition and anthropometric measurements from birth to 70 days of postnatal age were retrieved from hospital records.\\n\\nRESULTS: Study infants (n = 531) had a mean \u00b1 SD gestational age of 25.3 \u00b1 1.1 weeks and a birth weight of 765 \u00b1 170 g. Between 0 and 70 days, average daily energy and protein intakes were 120 \u00b1 11 kcal/kg and 3.2 \u00b1 0.4 g/kg, respectively. During this period, standard deviation scores for weight, length and head circumference decreased by 1.4, 2.3 and 0.7, respectively. Taking gestational age, baseline anthropometrics and severity of illness into account, lower energy intake correlated with lower gain in weight (r = +0.315, p &lt; 0.001), length (r = +0.215, p &lt; 0.001) and head circumference (r = +0.218, p &lt; 0.001). Protein intake predicted growth in all anthropometric outcomes, and fat intake was positively associated with head circumference growth.\\n\\nCONCLUSION: Extremely low gestational age infants received considerably less energy and protein than recommended and showed postnatal growth failure. Nutrient intakes were independent predictors of growth even after adjusting for severity of illness. These findings suggest that optimized energy and macronutrient intakes may prevent early growth failure in these infants.", "author" : [ { "dropping-particle" : "", "family" : "Stoltz Sj\u00f6str\u00f6m", "given" : "Elisabeth", "non-dropping-particle" : "", "parse-names" : false, "suffix" : "" }, { "dropping-particle" : "", "family" : "\u00d6hlund", "given" : "Inger", "non-dropping-particle" : "", "parse-names" : false, "suffix" : "" }, { "dropping-particle" : "", "family" : "Ahlsson", "given" : "Fredrik", "non-dropping-particle" : "", "parse-names" : false, "suffix" : "" }, { "dropping-particle" : "", "family" : "Engstr\u00f6m", "given" : "Eva", "non-dropping-particle" : "", "parse-names" : false, "suffix" : "" }, { "dropping-particle" : "", "family" : "Fellman", "given" : "Vineta", "non-dropping-particle" : "", "parse-names" : false, "suffix" : "" }, { "dropping-particle" : "", "family" : "Hellstr\u00f6m", "given" : "Ann", "non-dropping-particle" : "", "parse-names" : false, "suffix" : "" }, { "dropping-particle" : "", "family" : "K\u00e4ll\u00e9n", "given" : "Karin", "non-dropping-particle" : "", "parse-names" : false, "suffix" : "" }, { "dropping-particle" : "", "family" : "Norman", "given" : "Mikael", "non-dropping-particle" : "", "parse-names" : false, "suffix" : "" }, { "dropping-particle" : "", "family" : "Olhager", "given" : "Elisabeth", "non-dropping-particle" : "", "parse-names" : false, "suffix" : "" }, { "dropping-particle" : "", "family" : "Serenius", "given" : "Fredrik", "non-dropping-particle" : "", "parse-names" : false, "suffix" : "" }, { "dropping-particle" : "", "family" : "Domell\u00f6f", "given" : "Magnus", "non-dropping-particle" : "", "parse-names" : false, "suffix" : "" } ], "container-title" : "Acta Paediatrica", "id" : "ITEM-1", "issued" : { "date-parts" : [ [ "2013" ] ] }, "page" : "n/a-n/a", "title" : "Nutrient intakes independently affect growth in extremely preterm infants: results from a population-based study", "type" : "article-journal" }, "uris" : [ "http://www.mendeley.com/documents/?uuid=a5681672-53d8-46c8-91a1-b4b8474d0053" ] } ], "mendeley" : { "formattedCitation" : "[13]", "plainTextFormattedCitation" : "[13]", "previouslyFormattedCitation" : "[13]" }, "properties" : {  }, "schema" : "https://github.com/citation-style-language/schema/raw/master/csl-citation.json" }</w:instrText>
      </w:r>
      <w:r w:rsidR="00D864BF" w:rsidRPr="009622E6">
        <w:rPr>
          <w:rFonts w:asciiTheme="majorHAnsi" w:hAnsiTheme="majorHAnsi" w:cs="Times New Roman"/>
          <w:sz w:val="24"/>
          <w:szCs w:val="24"/>
        </w:rPr>
        <w:fldChar w:fldCharType="separate"/>
      </w:r>
      <w:r w:rsidR="00C4193C" w:rsidRPr="00C4193C">
        <w:rPr>
          <w:rFonts w:asciiTheme="majorHAnsi" w:hAnsiTheme="majorHAnsi" w:cs="Times New Roman"/>
          <w:noProof/>
          <w:sz w:val="24"/>
          <w:szCs w:val="24"/>
        </w:rPr>
        <w:t>[13]</w:t>
      </w:r>
      <w:r w:rsidR="00D864BF" w:rsidRPr="009622E6">
        <w:rPr>
          <w:rFonts w:asciiTheme="majorHAnsi" w:hAnsiTheme="majorHAnsi" w:cs="Times New Roman"/>
          <w:sz w:val="24"/>
          <w:szCs w:val="24"/>
        </w:rPr>
        <w:fldChar w:fldCharType="end"/>
      </w:r>
      <w:r w:rsidR="0071513D">
        <w:rPr>
          <w:rFonts w:asciiTheme="majorHAnsi" w:hAnsiTheme="majorHAnsi" w:cs="Times New Roman"/>
          <w:sz w:val="24"/>
          <w:szCs w:val="24"/>
        </w:rPr>
        <w:t>.</w:t>
      </w:r>
      <w:r w:rsidR="00E61517" w:rsidRPr="009622E6">
        <w:rPr>
          <w:rFonts w:asciiTheme="majorHAnsi" w:hAnsiTheme="majorHAnsi" w:cs="Times New Roman"/>
          <w:sz w:val="24"/>
          <w:szCs w:val="24"/>
        </w:rPr>
        <w:t xml:space="preserve"> </w:t>
      </w:r>
      <w:r w:rsidR="009F16CE">
        <w:rPr>
          <w:rFonts w:asciiTheme="majorHAnsi" w:hAnsiTheme="majorHAnsi" w:cs="Times New Roman"/>
          <w:sz w:val="24"/>
          <w:szCs w:val="24"/>
        </w:rPr>
        <w:t>L</w:t>
      </w:r>
      <w:r w:rsidR="00E61517" w:rsidRPr="009622E6">
        <w:rPr>
          <w:rFonts w:asciiTheme="majorHAnsi" w:hAnsiTheme="majorHAnsi" w:cs="Times New Roman"/>
          <w:sz w:val="24"/>
          <w:szCs w:val="24"/>
        </w:rPr>
        <w:t>ength growth of preterm infants display</w:t>
      </w:r>
      <w:r w:rsidR="007D0332">
        <w:rPr>
          <w:rFonts w:asciiTheme="majorHAnsi" w:hAnsiTheme="majorHAnsi" w:cs="Times New Roman"/>
          <w:sz w:val="24"/>
          <w:szCs w:val="24"/>
        </w:rPr>
        <w:t>s</w:t>
      </w:r>
      <w:r w:rsidR="00E61517" w:rsidRPr="009622E6">
        <w:rPr>
          <w:rFonts w:asciiTheme="majorHAnsi" w:hAnsiTheme="majorHAnsi" w:cs="Times New Roman"/>
          <w:sz w:val="24"/>
          <w:szCs w:val="24"/>
        </w:rPr>
        <w:t xml:space="preserve"> </w:t>
      </w:r>
      <w:r w:rsidR="009F16CE">
        <w:rPr>
          <w:rFonts w:asciiTheme="majorHAnsi" w:hAnsiTheme="majorHAnsi" w:cs="Times New Roman"/>
          <w:sz w:val="24"/>
          <w:szCs w:val="24"/>
        </w:rPr>
        <w:t>a similar pattern</w:t>
      </w:r>
      <w:r w:rsidR="00D864BF"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"10.1136/adc.2007.118596", "ISSN" : "1359-2998", "PMID" : "17660214", "abstract" : "BACKGROUND: Preterm children are at risk for reduced growth in early childhood, which may predispose them to later changes in blood pressure (BP). OBJECTIVE: To study growth and BP in extremely preterm (EP) children at age 6 years. METHODS: Children who were born at 25 completed weeks of gestation or less in the United Kingdom and Ireland in 1995 were evaluated when they reached early school age. Children underwent standardised assessments, including auxology and sitting BP. RESULTS: Of 308 surviving children, 241 (78%) were assessed at a median age of 6 years 4 months; 160 full-term classmates acted as a comparison group. Compared with classmates, EP children were 1.2 standard deviations (SDs) lighter, 0.97 SD shorter, body mass index (BMI) was 0.95 SD lower and head circumference 1.3 SD lower. Compared with 2.5 years of age, EP children had shown \"catch-up\" in their weight by 0.37 SD, height by 0.42 SD and head circumference by 0.13 SD. Systolic and diastolic BP were lower by 2.3 mm Hg and 2.4 mm Hg, respectively, in EP children, but these differences were accounted for by differences in height and BMI. Maternal smoking in pregnancy was associated with lower BP. Children born before 24 weeks had higher systolic pressures and children given postnatal steroids higher diastolic pressures. CONCLUSIONS: Poor postnatal growth seen after birth and in the third year persists into school age. Catch-up growth reduces some of the early deficit but is least for head growth. Despite serious postnatal growth restriction BP appears similar in both EP and term classmates.", "author" : [ { "dropping-particle" : "", "family" : "Bracewell", "given" : "M A", "non-dropping-particle" : "", "parse-names" : false, "suffix" : "" }, { "dropping-particle" : "", "family" : "Hennessy", "given" : "E M", "non-dropping-particle" : "", "parse-names" : false, "suffix" : "" }, { "dropping-particle" : "", "family" : "Wolke", "given" : "D", "non-dropping-particle" : "", "parse-names" : false, "suffix" : "" }, { "dropping-particle" : "", "family" : "Marlow", "given" : "N", "non-dropping-particle" : "", "parse-names" : false, "suffix" : "" } ], "container-title" : "Archives of Disease in Childhood Fetal &amp; Neonatal Edition", "id" : "ITEM-1", "issue" : "2", "issued" : { "date-parts" : [ [ "2008" ] ] }, "page" : "F108-14", "title" : "The EPICure study: growth and blood pressure at 6 years of age following extremely preterm birth", "type" : "article-journal", "volume" : "93" }, "uris" : [ "http://www.mendeley.com/documents/?uuid=17f69749-3999-4567-a3e9-c176ba247c02" ] }, { "id" : "ITEM-2", "itemData" : { "DOI" : "10.1136/fn.88.6.F492", "ISBN" : "1359-2998", "ISSN" : "1359-2998", "PMID" : "14602697", "abstract" : "AIM: To define growth outcomes of a geographically defined population of extremely preterm babies. POPULATION: The EPICure study identified all surviving children in the United Kingdom and Ireland born at &lt; or = 25 weeks 6 days gestation between March and December 1995. Of 308 survivors, 283 (92%) were evaluated at 30 months of age corrected for prematurity. METHODS: Growth was measured as part of a medical and full neurodevelopmental assessment. Growth parameters were evaluated in relation to other 30 month outcomes and perinatal variables. RESULTS: The children were smaller in each of the five growth measures compared with published population norms: mean (SD) standard deviation scores were -1.19 (1.32) for weight, -1.40 (1.37) for head circumference, -0.70 (1.19) for height, -1.00 (1.38) for body mass index, and -0.75 (0.95) for mid-upper arm circumference. Despite being of average size at birth, children were significantly lighter with smaller head circumferences at the expected date of delivery, compared with population norms, and only weight showed later catch up, by 0.5 SD. Poorer growth was found in children whose parents reported feeding problems and with longer duration of oxygen dependency, as a marker for neonatal respiratory illness. Although severe motor disability was associated with smaller head circumference, overall there was no relation between Bayley scores and head growth. CONCLUSIONS: Poor growth in early childhood is common in extremely preterm children, particularly when prolonged courses of systemic steroids have been given for chronic lung disease. Improving early growth must be a priority for clinical care.", "author" : [ { "dropping-particle" : "", "family" : "Wood", "given" : "N S", "non-dropping-particle" : "", "parse-names" : false, "suffix" : "" }, { "dropping-particle" : "", "family" : "Costeloe", "given" : "K", "non-dropping-particle" : "", "parse-names" : false, "suffix" : "" }, { "dropping-particle" : "", "family" : "Gibson", "given" : "a T", "non-dropping-particle" : "", "parse-names" : false, "suffix" : "" }, { "dropping-particle" : "", "family" : "Hennessy", "given" : "E M", "non-dropping-particle" : "", "parse-names" : false, "suffix" : "" }, { "dropping-particle" : "", "family" : "Marlow", "given" : "N", "non-dropping-particle" : "", "parse-names" : false, "suffix" : "" }, { "dropping-particle" : "", "family" : "Wilkinson", "given" : "a R", "non-dropping-particle" : "", "parse-names" : false, "suffix" : "" } ], "container-title" : "Archives of disease in childhood. Fetal and neonatal edition", "id" : "ITEM-2", "issued" : { "date-parts" : [ [ "2003" ] ] }, "page" : "F492-F500", "title" : "The EPICure study: growth and associated problems in children born at 25 weeks of gestational age or less.", "type" : "article-journal", "volume" : "88" }, "uris" : [ "http://www.mendeley.com/documents/?uuid=d7c595a1-2564-4e3e-8de6-6e97f09b2da2" ] }, { "id" : "ITEM-3", "itemData" : { "DOI" : "10.1111/apa.12359", "ISBN" : "0803-5253", "ISSN" : "08035253", "PMID" : "23855971", "abstract" : "AIM: To explore associations between energy and macronutrient intakes and early growth in extremely low gestational age (ELGA) infants.\\n\\nMETHODS: Retrospective population-based study of all ELGA infants (&lt;27 weeks) born in Sweden during 2004-2007. Detailed data on nutrition and anthropometric measurements from birth to 70 days of postnatal age were retrieved from hospital records.\\n\\nRESULTS: Study infants (n = 531) had a mean \u00b1 SD gestational age of 25.3 \u00b1 1.1 weeks and a birth weight of 765 \u00b1 170 g. Between 0 and 70 days, average daily energy and protein intakes were 120 \u00b1 11 kcal/kg and 3.2 \u00b1 0.4 g/kg, respectively. During this period, standard deviation scores for weight, length and head circumference decreased by 1.4, 2.3 and 0.7, respectively. Taking gestational age, baseline anthropometrics and severity of illness into account, lower energy intake correlated with lower gain in weight (r = +0.315, p &lt; 0.001), length (r = +0.215, p &lt; 0.001) and head circumference (r = +0.218, p &lt; 0.001). Protein intake predicted growth in all anthropometric outcomes, and fat intake was positively associated with head circumference growth.\\n\\nCONCLUSION: Extremely low gestational age infants received considerably less energy and protein than recommended and showed postnatal growth failure. Nutrient intakes were independent predictors of growth even after adjusting for severity of illness. These findings suggest that optimized energy and macronutrient intakes may prevent early growth failure in these infants.", "author" : [ { "dropping-particle" : "", "family" : "Stoltz Sj\u00f6str\u00f6m", "given" : "Elisabeth", "non-dropping-particle" : "", "parse-names" : false, "suffix" : "" }, { "dropping-particle" : "", "family" : "\u00d6hlund", "given" : "Inger", "non-dropping-particle" : "", "parse-names" : false, "suffix" : "" }, { "dropping-particle" : "", "family" : "Ahlsson", "given" : "Fredrik", "non-dropping-particle" : "", "parse-names" : false, "suffix" : "" }, { "dropping-particle" : "", "family" : "Engstr\u00f6m", "given" : "Eva", "non-dropping-particle" : "", "parse-names" : false, "suffix" : "" }, { "dropping-particle" : "", "family" : "Fellman", "given" : "Vineta", "non-dropping-particle" : "", "parse-names" : false, "suffix" : "" }, { "dropping-particle" : "", "family" : "Hellstr\u00f6m", "given" : "Ann", "non-dropping-particle" : "", "parse-names" : false, "suffix" : "" }, { "dropping-particle" : "", "family" : "K\u00e4ll\u00e9n", "given" : "Karin", "non-dropping-particle" : "", "parse-names" : false, "suffix" : "" }, { "dropping-particle" : "", "family" : "Norman", "given" : "Mikael", "non-dropping-particle" : "", "parse-names" : false, "suffix" : "" }, { "dropping-particle" : "", "family" : "Olhager", "given" : "Elisabeth", "non-dropping-particle" : "", "parse-names" : false, "suffix" : "" }, { "dropping-particle" : "", "family" : "Serenius", "given" : "Fredrik", "non-dropping-particle" : "", "parse-names" : false, "suffix" : "" }, { "dropping-particle" : "", "family" : "Domell\u00f6f", "given" : "Magnus", "non-dropping-particle" : "", "parse-names" : false, "suffix" : "" } ], "container-title" : "Acta Paediatrica", "id" : "ITEM-3", "issued" : { "date-parts" : [ [ "2013" ] ] }, "page" : "n/a-n/a", "title" : "Nutrient intakes independently affect growth in extremely preterm infants: results from a population-based study", "type" : "article-journal" }, "uris" : [ "http://www.mendeley.com/documents/?uuid=a5681672-53d8-46c8-91a1-b4b8474d0053" ] } ], "mendeley" : { "formattedCitation" : "[13\u201315]", "plainTextFormattedCitation" : "[13\u201315]", "previouslyFormattedCitation" : "[13\u201315]" }, "properties" : {  }, "schema" : "https://github.com/citation-style-language/schema/raw/master/csl-citation.json" }</w:instrText>
      </w:r>
      <w:r w:rsidR="00D864BF" w:rsidRPr="009622E6">
        <w:rPr>
          <w:rFonts w:asciiTheme="majorHAnsi" w:hAnsiTheme="majorHAnsi" w:cs="Times New Roman"/>
          <w:sz w:val="24"/>
          <w:szCs w:val="24"/>
        </w:rPr>
        <w:fldChar w:fldCharType="separate"/>
      </w:r>
      <w:r w:rsidR="00C4193C" w:rsidRPr="00C4193C">
        <w:rPr>
          <w:rFonts w:asciiTheme="majorHAnsi" w:hAnsiTheme="majorHAnsi" w:cs="Times New Roman"/>
          <w:noProof/>
          <w:sz w:val="24"/>
          <w:szCs w:val="24"/>
        </w:rPr>
        <w:t>[13–15]</w:t>
      </w:r>
      <w:r w:rsidR="00D864BF" w:rsidRPr="009622E6">
        <w:rPr>
          <w:rFonts w:asciiTheme="majorHAnsi" w:hAnsiTheme="majorHAnsi" w:cs="Times New Roman"/>
          <w:sz w:val="24"/>
          <w:szCs w:val="24"/>
        </w:rPr>
        <w:fldChar w:fldCharType="end"/>
      </w:r>
      <w:r w:rsidR="0071513D">
        <w:rPr>
          <w:rFonts w:asciiTheme="majorHAnsi" w:hAnsiTheme="majorHAnsi" w:cs="Times New Roman"/>
          <w:sz w:val="24"/>
          <w:szCs w:val="24"/>
        </w:rPr>
        <w:t>.</w:t>
      </w:r>
    </w:p>
    <w:p w:rsidR="00BC2E13" w:rsidRPr="009622E6" w:rsidRDefault="00BC2E13" w:rsidP="009E2DF4">
      <w:pPr>
        <w:spacing w:line="480" w:lineRule="auto"/>
        <w:rPr>
          <w:rFonts w:asciiTheme="majorHAnsi" w:hAnsiTheme="majorHAnsi" w:cs="Times New Roman"/>
          <w:sz w:val="24"/>
          <w:szCs w:val="24"/>
        </w:rPr>
      </w:pPr>
      <w:r w:rsidRPr="009622E6">
        <w:rPr>
          <w:rFonts w:asciiTheme="majorHAnsi" w:hAnsiTheme="majorHAnsi" w:cs="Times New Roman"/>
          <w:sz w:val="24"/>
          <w:szCs w:val="24"/>
        </w:rPr>
        <w:t>Based on</w:t>
      </w:r>
      <w:r w:rsidR="00727CC9" w:rsidRPr="009622E6">
        <w:rPr>
          <w:rFonts w:asciiTheme="majorHAnsi" w:hAnsiTheme="majorHAnsi" w:cs="Times New Roman"/>
          <w:sz w:val="24"/>
          <w:szCs w:val="24"/>
        </w:rPr>
        <w:t xml:space="preserve"> multiple</w:t>
      </w:r>
      <w:r w:rsidRPr="009622E6">
        <w:rPr>
          <w:rFonts w:asciiTheme="majorHAnsi" w:hAnsiTheme="majorHAnsi" w:cs="Times New Roman"/>
          <w:sz w:val="24"/>
          <w:szCs w:val="24"/>
        </w:rPr>
        <w:t xml:space="preserve"> population</w:t>
      </w:r>
      <w:r w:rsidR="00A11796" w:rsidRPr="009622E6">
        <w:rPr>
          <w:rFonts w:asciiTheme="majorHAnsi" w:hAnsiTheme="majorHAnsi" w:cs="Times New Roman"/>
          <w:sz w:val="24"/>
          <w:szCs w:val="24"/>
        </w:rPr>
        <w:t xml:space="preserve">-based </w:t>
      </w:r>
      <w:r w:rsidRPr="009622E6">
        <w:rPr>
          <w:rFonts w:asciiTheme="majorHAnsi" w:hAnsiTheme="majorHAnsi" w:cs="Times New Roman"/>
          <w:sz w:val="24"/>
          <w:szCs w:val="24"/>
        </w:rPr>
        <w:t>studies</w:t>
      </w:r>
      <w:r w:rsidR="00D864BF"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"10.1136/archdischild-2012-303536", "ISBN" : "2012303536", "ISSN" : "1359-2998", "PMID" : "23934365", "abstract" : "OBJECTIVE: To describe birth weight and postnatal weight gain in a contemporaneous population of babies born &lt;32 weeks' gestation, using routinely captured electronic clinical data. DESIGN: Anonymised longitudinal weight data from 2006 to 2011. SETTING: National Health Service neonatal units in England. METHODS: Birth weight centiles were constructed using the LMS method, and longitudinal weight gain was summarised as mean growth curves for each week of gestation until discharge, using SITAR (Superimposition by Translation and Rotation) growth curve analysis. RESULTS: Data on 103 194 weights of 5009 babies born from 22-31 weeks' gestation were received from 40 neonatal units. At birth, girls weighed 6.6% (SE 0.4%) less than boys (p&lt;0.0001). For babies born at 31 weeks' gestation, weight fell after birth by an average of 258 g, with the nadir on the 8th postnatal day. The rate of weight gain then increased to a maximum of 28.4 g/d or 16.0 g/kg/d after 3 weeks. Conversely for babies of 22 to 28 weeks' gestation, there was on average no weight loss after birth. At all gestations, babies tended to cross weight centiles downwards for at least 2 weeks. CONCLUSIONS: In very preterm infants, mean weight crosses centiles downwards by at least two centile channel widths. Postnatal weight loss is generally absent in those born before 29 weeks, but marked in those born later. Assigning an infant's target centile at birth is potentially harmful as it requires rapid weight gain and should only be done once weight gain has stabilised. The use of electronic data reflects contemporary medical management.", "author" : [ { "dropping-particle" : "", "family" : "Cole", "given" : "Tim J", "non-dropping-particle" : "", "parse-names" : false, "suffix" : "" }, { "dropping-particle" : "", "family" : "Statnikov", "given" : "Yevgeniy", "non-dropping-particle" : "", "parse-names" : false, "suffix" : "" }, { "dropping-particle" : "", "family" : "Santhakumaran", "given" : "Shalini", "non-dropping-particle" : "", "parse-names" : false, "suffix" : "" }, { "dropping-particle" : "", "family" : "Pan", "given" : "Huiqi", "non-dropping-particle" : "", "parse-names" : false, "suffix" : "" }, { "dropping-particle" : "", "family" : "Modi", "given" : "Neena", "non-dropping-particle" : "", "parse-names" : false, "suffix" : "" } ], "container-title" : "Archives of Disease in Childhood - Fetal and Neonatal Edition", "id" : "ITEM-1", "issue" : "1", "issued" : { "date-parts" : [ [ "2014" ] ] }, "page" : "F34-F40", "title" : "Birth weight and longitudinal growth in infants born below 32\u2005weeks\u2019 gestation: a UK population study", "type" : "article-journal", "volume" : "99" }, "uris" : [ "http://www.mendeley.com/documents/?uuid=1dd2591b-92e3-4405-a13a-98efad7f09ad" ] }, { "id" : "ITEM-2", "itemData" : { "DOI" : "10.1542/peds.104.2.280", "ISBN" : "0031-4005 (Print)", "ISSN" : "0031-4005", "PMID" : "10429008", "abstract" : "BACKGROUND: The interpretation of growth rates for very low birth weight infants is obscured by limited data, recent changes in perinatal care, and the uncertain effects of multiple therapies. OBJECTIVES: To develop contemporary postnatal growth curves for very low birth weight preterm infants and to relate growth velocity to birth weight, nutritional practices, fetal growth status (small- or appropriate-for-gestational-age), and major neonatal morbidities (chronic lung disease, nosocomial infection or late-onset infection, severe intraventricular hemorrhage, and necrotizing enterocolitis). DESIGN: Large, multicenter, prospective cohort study. METHODS: Growth was prospectively assessed for 1660 infants with birth weights between 501 to 1500 g admitted by 24 hours of age to 1 of the 12 National Institute of Child Health and Human Development Neonatal Research Network centers between August 31, 1994 and August 9, 1995. Infants were included if they survived &gt;7 days (168 hours) and were free of major congenital anomalies. Anthropometric measures (body weight, length, head circumference, and midarm circumference) were performed from birth until discharge, transfer, death, age 120 days, or a body weight of 2000 g. To obtain representative data, nutritional practices were not altered by the study protocol. RESULTS: Postnatal growth curves suitable for clinical and research use were constructed for body weight, length, head circumference, and midarm circumference. Once birth weight was regained, weight gain (14.4-16.1 g/kg/d) approximated intrauterine rates. However, at hospital discharge, most infants born between 24 and 29 weeks of gestation had not achieved the median birth weight of the reference fetus at the same postmenstrual age. Gestational age, race, and gender had no effect on growth within 100-g birth weight strata. Appropriate-for-gestational age infants who survived to hospital discharge without developing chronic lung disease, severe intraventricular hemorrhage, necrotizing enterocolitis, or late onset-sepsis gained weight faster than comparable infants with those morbidities. More rapid weight gain was also associated with a shorter duration of parenteral nutrition providing at least 75% of the total daily fluid volume, an earlier age at the initiation of enteral feedings, and an earlier age at achievement of full enteral feedings. CONCLUSIONS: These growth curves may be used to better understand postnatal growth, to help identify infants develo\u2026", "author" : [ { "dropping-particle" : "", "family" : "Ehrenkranz", "given" : "R. A.", "non-dropping-particle" : "", "parse-names" : false, "suffix" : "" }, { "dropping-particle" : "", "family" : "Younes", "given" : "N.", "non-dropping-particle" : "", "parse-names" : false, "suffix" : "" }, { "dropping-particle" : "", "family" : "Lemons", "given" : "J. A.", "non-dropping-particle" : "", "parse-names" : false, "suffix" : "" }, { "dropping-particle" : "", "family" : "Fanaroff", "given" : "A. A.", "non-dropping-particle" : "", "parse-names" : false, "suffix" : "" }, { "dropping-particle" : "", "family" : "Donovan", "given" : "E. F.", "non-dropping-particle" : "", "parse-names" : false, "suffix" : "" }, { "dropping-particle" : "", "family" : "Wright", "given" : "L. L.", "non-dropping-particle" : "", "parse-names" : false, "suffix" : "" }, { "dropping-particle" : "", "family" : "Katsikiotis", "given" : "V.", "non-dropping-particle" : "", "parse-names" : false, "suffix" : "" }, { "dropping-particle" : "", "family" : "Tyson", "given" : "J. E.", "non-dropping-particle" : "", "parse-names" : false, "suffix" : "" }, { "dropping-particle" : "", "family" : "Oh", "given" : "W.", "non-dropping-particle" : "", "parse-names" : false, "suffix" : "" }, { "dropping-particle" : "", "family" : "Shankaran", "given" : "S.", "non-dropping-particle" : "", "parse-names" : false, "suffix" : "" }, { "dropping-particle" : "", "family" : "Bauer", "given" : "C. R.", "non-dropping-particle" : "", "parse-names" : false, "suffix" : "" }, { "dropping-particle" : "", "family" : "Korones", "given" : "S. B.", "non-dropping-particle" : "", "parse-names" : false, "suffix" : "" }, { "dropping-particle" : "", "family" : "Stoll", "given" : "B. J.", "non-dropping-particle" : "", "parse-names" : false, "suffix" : "" }, { "dropping-particle" : "", "family" : "Stevenson", "given" : "D. K.", "non-dropping-particle" : "", "parse-names" : false, "suffix" : "" }, { "dropping-particle" : "", "family" : "Papile", "given" : "L.-A.", "non-dropping-particle" : "", "parse-names" : false, "suffix" : "" } ], "container-title" : "Pediatrics", "id" : "ITEM-2", "issue" : "2", "issued" : { "date-parts" : [ [ "1999" ] ] }, "page" : "280-289", "title" : "Longitudinal Growth of Hospitalized Very Low Birth Weight Infants", "type" : "article-journal", "volume" : "104" }, "uris" : [ "http://www.mendeley.com/documents/?uuid=bc910cda-8369-41a1-b65a-7cce07ae5a51" ] }, { "id" : "ITEM-3", "itemData" : { "DOI" : "10.1542/peds.2015-0129", "ISBN" : "1098-4275 (Electronic)\\r0031-4005 (Linking)", "ISSN" : "0031-4005", "PMID" : "26101360", "abstract" : "BACKGROUND Very low birth weight infants often gain weight poorly and demonstrate growth failure during the initial hospitalization. Although many of the major morbidities experienced by these infants during their initial NICU stays have decreased in recent years, it is unclear whether growth has improved. METHODS We studied 362 833 infants weighing 501 to 1500 g without major birth defects born from 2000 to 2013 and who were hospitalized for 15 to 175 days at 736 North American hospitals in the Vermont Oxford Network. Average growth velocity (GV; g/kg per day) was computed by using a 2-point exponential model on the basis of birth weight and discharge weight. Postnatal growth failure and severe postnatal growth failure were defined as a discharge weight less than the 10th and third percentiles for postmenstrual age, respectively. RESULTS From 2000 to 2013, average GV increased from 11.8 to 12.9 g/kg per day. Postnatal growth failure decreased from 64.5% to 50.3% and severe postnatal growth failure from 39.8% to 27.5%. The interquartile ranges for the hospitals participating in 2013 were as follows: GV, 12.3 to 13.4 g/kg per day; postnatal growth failure, 41.1% to 61.7%; and severe postnatal growth failure, 19.4% to 36.0%. Adjusted and unadjusted estimates were nearly identical. CONCLUSIONS For infants weighing 501 to 1500 g at birth, average GV increased and the percentage with postnatal growth failure decreased. However, in 2013, half of these infants still demonstrated postnatal growth failure and one-quarter demonstrated severe postnatal growth failure.", "author" : [ { "dropping-particle" : "", "family" : "Horbar", "given" : "J. D.", "non-dropping-particle" : "", "parse-names" : false, "suffix" : "" }, { "dropping-particle" : "", "family" : "Ehrenkranz", "given" : "R. A.", "non-dropping-particle" : "", "parse-names" : false, "suffix" : "" }, { "dropping-particle" : "", "family" : "Badger", "given" : "G. J.", "non-dropping-particle" : "", "parse-names" : false, "suffix" : "" }, { "dropping-particle" : "", "family" : "Edwards", "given" : "E. M.", "non-dropping-particle" : "", "parse-names" : false, "suffix" : "" }, { "dropping-particle" : "", "family" : "Morrow", "given" : "K. A.", "non-dropping-particle" : "", "parse-names" : false, "suffix" : "" }, { "dropping-particle" : "", "family" : "Soll", "given" : "R. F.", "non-dropping-particle" : "", "parse-names" : false, "suffix" : "" }, { "dropping-particle" : "", "family" : "Buzas", "given" : "J. S.", "non-dropping-particle" : "", "parse-names" : false, "suffix" : "" }, { "dropping-particle" : "", "family" : "Bertino", "given" : "E.", "non-dropping-particle" : "", "parse-names" : false, "suffix" : "" }, { "dropping-particle" : "", "family" : "Gagliardi", "given" : "L.", "non-dropping-particle" : "", "parse-names" : false, "suffix" : "" }, { "dropping-particle" : "", "family" : "Bellu", "given" : "R.", "non-dropping-particle" : "", "parse-names" : false, "suffix" : "" } ], "container-title" : "Pediatrics", "id" : "ITEM-3", "issue" : "1", "issued" : { "date-parts" : [ [ "2015" ] ] }, "page" : "e84-e92", "title" : "Weight Growth Velocity and Postnatal Growth Failure in Infants 501 to 1500 Grams: 2000-2013", "type" : "article-journal", "volume" : "136" }, "uris" : [ "http://www.mendeley.com/documents/?uuid=63e39ba1-bbf4-468e-8081-4b1f060744d4" ] } ], "mendeley" : { "formattedCitation" : "[10\u201312]", "plainTextFormattedCitation" : "[10\u201312]", "previouslyFormattedCitation" : "[10\u201312]" }, "properties" : {  }, "schema" : "https://github.com/citation-style-language/schema/raw/master/csl-citation.json" }</w:instrText>
      </w:r>
      <w:r w:rsidR="00D864BF" w:rsidRPr="009622E6">
        <w:rPr>
          <w:rFonts w:asciiTheme="majorHAnsi" w:hAnsiTheme="majorHAnsi" w:cs="Times New Roman"/>
          <w:sz w:val="24"/>
          <w:szCs w:val="24"/>
        </w:rPr>
        <w:fldChar w:fldCharType="separate"/>
      </w:r>
      <w:r w:rsidR="00C4193C" w:rsidRPr="00C4193C">
        <w:rPr>
          <w:rFonts w:asciiTheme="majorHAnsi" w:hAnsiTheme="majorHAnsi" w:cs="Times New Roman"/>
          <w:noProof/>
          <w:sz w:val="24"/>
          <w:szCs w:val="24"/>
        </w:rPr>
        <w:t>[10–12]</w:t>
      </w:r>
      <w:r w:rsidR="00D864BF" w:rsidRPr="009622E6">
        <w:rPr>
          <w:rFonts w:asciiTheme="majorHAnsi" w:hAnsiTheme="majorHAnsi" w:cs="Times New Roman"/>
          <w:sz w:val="24"/>
          <w:szCs w:val="24"/>
        </w:rPr>
        <w:fldChar w:fldCharType="end"/>
      </w:r>
      <w:r w:rsidR="0071513D">
        <w:rPr>
          <w:rFonts w:asciiTheme="majorHAnsi" w:hAnsiTheme="majorHAnsi" w:cs="Times New Roman"/>
          <w:sz w:val="24"/>
          <w:szCs w:val="24"/>
        </w:rPr>
        <w:t>,</w:t>
      </w:r>
      <w:r w:rsidRPr="009622E6">
        <w:rPr>
          <w:rFonts w:asciiTheme="majorHAnsi" w:hAnsiTheme="majorHAnsi" w:cs="Times New Roman"/>
          <w:sz w:val="24"/>
          <w:szCs w:val="24"/>
        </w:rPr>
        <w:t xml:space="preserve"> </w:t>
      </w:r>
      <w:r w:rsidR="002E1E8B" w:rsidRPr="009622E6">
        <w:rPr>
          <w:rFonts w:asciiTheme="majorHAnsi" w:hAnsiTheme="majorHAnsi" w:cs="Times New Roman"/>
          <w:sz w:val="24"/>
          <w:szCs w:val="24"/>
        </w:rPr>
        <w:t>there is a view that</w:t>
      </w:r>
      <w:r w:rsidRPr="009622E6">
        <w:rPr>
          <w:rFonts w:asciiTheme="majorHAnsi" w:hAnsiTheme="majorHAnsi" w:cs="Times New Roman"/>
          <w:sz w:val="24"/>
          <w:szCs w:val="24"/>
        </w:rPr>
        <w:t xml:space="preserve"> this ‘extrauterine growth restriction’ is an inevitable consequence of preterm birth and that target centiles for preterm infants should be assigned </w:t>
      </w:r>
      <w:r w:rsidRPr="00733966">
        <w:rPr>
          <w:rFonts w:asciiTheme="majorHAnsi" w:hAnsiTheme="majorHAnsi" w:cs="Times New Roman"/>
          <w:sz w:val="24"/>
          <w:szCs w:val="24"/>
        </w:rPr>
        <w:t>in a more pragmatic fashion, perhaps</w:t>
      </w:r>
      <w:r w:rsidRPr="009622E6">
        <w:rPr>
          <w:rFonts w:asciiTheme="majorHAnsi" w:hAnsiTheme="majorHAnsi" w:cs="Times New Roman"/>
          <w:sz w:val="24"/>
          <w:szCs w:val="24"/>
        </w:rPr>
        <w:t xml:space="preserve"> after the first two weeks of life when growth patterns stabilise</w:t>
      </w:r>
      <w:r w:rsidR="00D864BF"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"10.1038/pr.2016.15", "ISSN" : "15300447", "PMID" : "26859363", "abstract" : "Copyright \u00a9 2016 International Pediatric Research Foundation, Inc.Background: International guidelines suggest that growth of preterm infants should match intrauterine rates. However, the trajectory for extrauterine growth may deviate from the birth percentile due to an irreversible, physiological loss of extracellular fluid during postnatal adaptation to extrauterine conditions. To which \"new\" physiological growth trajectory preterm infants should adjust to after completed postnatal adaptation is unknown. This study analyzes the postnatal growth trajectories of healthy preterm infants using prospective criteria defining minimal support, as a model for physiological adaptation. Methods: International, multi-center, longitudinal, observational study at five neonatal intensive care units (NICUs). Daily weights until day of life (DoL) 21 of infants with undisturbed postnatal adaptation were analyzed (gestational ages: (i) 25-29 wk, (ii) 30-34 wk). Results: 981 out of 3,703 admitted infants included. Maximum weight loss was 11% (i) and 7% (ii) by DoL 5, birth weight regained by DoL 15 (i) and 13 (ii). Infants transitioned to growth trajectories parallel to Fenton chart percentiles, 0.8 z-scores below their birth percentiles. The new trajectory after completed postnatal adaptation could be predicted for DoL 21 with R 2 = 0.96. Conclusion: This study provides a robust estimate for physiological growth trajectories of infants after undisturbed postnatal adaptation. In the future, the concept of a target postnatal trajectory during NICU care may be useful.", "author" : [ { "dropping-particle" : "", "family" : "Rochow", "given" : "Niels", "non-dropping-particle" : "", "parse-names" : false, "suffix" : "" }, { "dropping-particle" : "", "family" : "Raja", "given" : "Preeya", "non-dropping-particle" : "", "parse-names" : false, "suffix" : "" }, { "dropping-particle" : "", "family" : "Liu", "given" : "Kai", "non-dropping-particle" : "", "parse-names" : false, "suffix" : "" }, { "dropping-particle" : "", "family" : "Fenton", "given" : "Tanis", "non-dropping-particle" : "", "parse-names" : false, "suffix" : "" }, { "dropping-particle" : "", "family" : "Landau-Crangle", "given" : "Erin", "non-dropping-particle" : "", "parse-names" : false, "suffix" : "" }, { "dropping-particle" : "", "family" : "G\u00f6ttler", "given" : "Susanne", "non-dropping-particle" : "", "parse-names" : false, "suffix" : "" }, { "dropping-particle" : "", "family" : "Jahn", "given" : "Andrea", "non-dropping-particle" : "", "parse-names" : false, "suffix" : "" }, { "dropping-particle" : "", "family" : "Lee", "given" : "Sauyoung", "non-dropping-particle" : "", "parse-names" : false, "suffix" : "" }, { "dropping-particle" : "", "family" : "Seigel", "given" : "Sandra", "non-dropping-particle" : "", "parse-names" : false, "suffix" : "" }, { "dropping-particle" : "", "family" : "Campbell", "given" : "Douglas", "non-dropping-particle" : "", "parse-names" : false, "suffix" : "" }, { "dropping-particle" : "", "family" : "Heckmann", "given" : "Matthias", "non-dropping-particle" : "", "parse-names" : false, "suffix" : "" }, { "dropping-particle" : "", "family" : "P\u00f6schl", "given" : "Johannes", "non-dropping-particle" : "", "parse-names" : false, "suffix" : "" }, { "dropping-particle" : "", "family" : "Fusch", "given" : "Christoph", "non-dropping-particle" : "", "parse-names" : false, "suffix" : "" } ], "container-title" : "Pediatric Research", "id" : "ITEM-1", "issue" : "6", "issued" : { "date-parts" : [ [ "2016" ] ] }, "page" : "870-879", "title" : "Physiological adjustment to postnatal growth trajectories in healthy preterm infants", "type" : "article-journal", "volume" : "79" }, "uris" : [ "http://www.mendeley.com/documents/?uuid=21e5f327-d35f-38e2-a292-e0a1e9dd97ab" ] } ], "mendeley" : { "formattedCitation" : "[16]", "plainTextFormattedCitation" : "[16]", "previouslyFormattedCitation" : "[16]" }, "properties" : {  }, "schema" : "https://github.com/citation-style-language/schema/raw/master/csl-citation.json" }</w:instrText>
      </w:r>
      <w:r w:rsidR="00D864BF" w:rsidRPr="009622E6">
        <w:rPr>
          <w:rFonts w:asciiTheme="majorHAnsi" w:hAnsiTheme="majorHAnsi" w:cs="Times New Roman"/>
          <w:sz w:val="24"/>
          <w:szCs w:val="24"/>
        </w:rPr>
        <w:fldChar w:fldCharType="separate"/>
      </w:r>
      <w:r w:rsidR="00C4193C" w:rsidRPr="00C4193C">
        <w:rPr>
          <w:rFonts w:asciiTheme="majorHAnsi" w:hAnsiTheme="majorHAnsi" w:cs="Times New Roman"/>
          <w:noProof/>
          <w:sz w:val="24"/>
          <w:szCs w:val="24"/>
        </w:rPr>
        <w:t>[16]</w:t>
      </w:r>
      <w:r w:rsidR="00D864BF" w:rsidRPr="009622E6">
        <w:rPr>
          <w:rFonts w:asciiTheme="majorHAnsi" w:hAnsiTheme="majorHAnsi" w:cs="Times New Roman"/>
          <w:sz w:val="24"/>
          <w:szCs w:val="24"/>
        </w:rPr>
        <w:fldChar w:fldCharType="end"/>
      </w:r>
      <w:r w:rsidR="0071513D">
        <w:rPr>
          <w:rFonts w:asciiTheme="majorHAnsi" w:hAnsiTheme="majorHAnsi" w:cs="Times New Roman"/>
          <w:sz w:val="24"/>
          <w:szCs w:val="24"/>
        </w:rPr>
        <w:t>.</w:t>
      </w:r>
      <w:r w:rsidR="009A62E4" w:rsidRPr="009622E6">
        <w:rPr>
          <w:rFonts w:asciiTheme="majorHAnsi" w:hAnsiTheme="majorHAnsi" w:cs="Times New Roman"/>
          <w:sz w:val="24"/>
          <w:szCs w:val="24"/>
        </w:rPr>
        <w:t xml:space="preserve"> </w:t>
      </w:r>
      <w:r w:rsidR="00D864BF" w:rsidRPr="00733966">
        <w:rPr>
          <w:rFonts w:asciiTheme="majorHAnsi" w:hAnsiTheme="majorHAnsi" w:cs="Times New Roman"/>
          <w:sz w:val="24"/>
          <w:szCs w:val="24"/>
        </w:rPr>
        <w:t>However, such conclusions are based on historical cohorts of infants who may not have received optimal nutrition, and as such do not support that such patterns of growth are either ideal or inevitable in the face of optimal nutrition.</w:t>
      </w:r>
      <w:r w:rsidR="00C055B8">
        <w:rPr>
          <w:rFonts w:asciiTheme="majorHAnsi" w:hAnsiTheme="majorHAnsi" w:cs="Times New Roman"/>
          <w:sz w:val="24"/>
          <w:szCs w:val="24"/>
        </w:rPr>
        <w:t xml:space="preserve"> At the same time there is a tension between achieving increased nutrition and faster rates of growth, and the impact on short term morbidity and long term metabolic and developmental outcomes.</w:t>
      </w:r>
    </w:p>
    <w:p w:rsidR="00E05E89" w:rsidRDefault="00AA1DDB" w:rsidP="009E2DF4">
      <w:pPr>
        <w:spacing w:line="480" w:lineRule="auto"/>
        <w:rPr>
          <w:rFonts w:asciiTheme="majorHAnsi" w:hAnsiTheme="majorHAnsi" w:cs="Times New Roman"/>
          <w:sz w:val="24"/>
          <w:szCs w:val="24"/>
        </w:rPr>
      </w:pPr>
      <w:r w:rsidRPr="009622E6">
        <w:rPr>
          <w:rFonts w:asciiTheme="majorHAnsi" w:hAnsiTheme="majorHAnsi" w:cs="Times New Roman"/>
          <w:sz w:val="24"/>
          <w:szCs w:val="24"/>
        </w:rPr>
        <w:t>Internationally e</w:t>
      </w:r>
      <w:r w:rsidR="008C1CAC" w:rsidRPr="009622E6">
        <w:rPr>
          <w:rFonts w:asciiTheme="majorHAnsi" w:hAnsiTheme="majorHAnsi" w:cs="Times New Roman"/>
          <w:sz w:val="24"/>
          <w:szCs w:val="24"/>
        </w:rPr>
        <w:t>fforts have been made to develop guidelines</w:t>
      </w:r>
      <w:r w:rsidR="006D66BA" w:rsidRPr="009622E6">
        <w:rPr>
          <w:rFonts w:asciiTheme="majorHAnsi" w:hAnsiTheme="majorHAnsi" w:cs="Times New Roman"/>
          <w:sz w:val="24"/>
          <w:szCs w:val="24"/>
        </w:rPr>
        <w:t xml:space="preserve">, including recommended nutrient </w:t>
      </w:r>
      <w:r w:rsidR="00B47FC3" w:rsidRPr="009622E6">
        <w:rPr>
          <w:rFonts w:asciiTheme="majorHAnsi" w:hAnsiTheme="majorHAnsi" w:cs="Times New Roman"/>
          <w:sz w:val="24"/>
          <w:szCs w:val="24"/>
        </w:rPr>
        <w:t xml:space="preserve">intakes, </w:t>
      </w:r>
      <w:r w:rsidR="00A17313">
        <w:rPr>
          <w:rFonts w:asciiTheme="majorHAnsi" w:hAnsiTheme="majorHAnsi" w:cs="Times New Roman"/>
          <w:sz w:val="24"/>
          <w:szCs w:val="24"/>
        </w:rPr>
        <w:t>aimed at optimising</w:t>
      </w:r>
      <w:r w:rsidR="006D66BA" w:rsidRPr="009622E6">
        <w:rPr>
          <w:rFonts w:asciiTheme="majorHAnsi" w:hAnsiTheme="majorHAnsi" w:cs="Times New Roman"/>
          <w:sz w:val="24"/>
          <w:szCs w:val="24"/>
        </w:rPr>
        <w:t xml:space="preserve"> </w:t>
      </w:r>
      <w:r w:rsidR="008C1CAC" w:rsidRPr="009622E6">
        <w:rPr>
          <w:rFonts w:asciiTheme="majorHAnsi" w:hAnsiTheme="majorHAnsi" w:cs="Times New Roman"/>
          <w:sz w:val="24"/>
          <w:szCs w:val="24"/>
        </w:rPr>
        <w:t xml:space="preserve">nutritional support </w:t>
      </w:r>
      <w:r w:rsidR="006D66BA" w:rsidRPr="009622E6">
        <w:rPr>
          <w:rFonts w:asciiTheme="majorHAnsi" w:hAnsiTheme="majorHAnsi" w:cs="Times New Roman"/>
          <w:sz w:val="24"/>
          <w:szCs w:val="24"/>
        </w:rPr>
        <w:t>and growth</w:t>
      </w:r>
      <w:r w:rsidR="00D864BF"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"ISBN" : "9781581102987 1581102984", "author" : [ { "dropping-particle" : "", "family" : "Kleinman", "given" : "Ronald E", "non-dropping-particle" : "", "parse-names" : false, "suffix" : "" }, { "dropping-particle" : "", "family" : "American Acadamy of Pediatrics. Committee on Nutrition", "given" : "", "non-dropping-particle" : "", "parse-names" : false, "suffix" : "" } ], "edition" : "6th editio", "id" : "ITEM-1", "issued" : { "date-parts" : [ [ "2009" ] ] }, "number-of-pages" : "79-112", "publisher" : "Elk Grove Village", "title" : "Pediatric nutrition handbook 6th edition", "type" : "book" }, "uris" : [ "http://www.mendeley.com/documents/?uuid=a18adccd-a6d4-451f-822f-8ea82d644dec" ] }, { "id" : "ITEM-2", "itemData" : { "DOI" : "10.1097/MPG.0b013e3181adaee0.", "PMID" : "19881390", "abstract" : "The number of surviving children born prematurely has increased substantially during the last 2 decades. The major goal of enteral nutrient supply to these infants is to achieve growth similar to foetal growth coupled with satisfactory functional development. The accumulation of knowledge since the previous guideline on nutrition of preterm infants from the Committee on Nutrition of the European Society of Paediatric Gastroenterology and Nutrition in 1987 has made a new guideline necessary. Thus, an ad hoc expert panel was convened by the Committee on Nutrition of the European Society of Paediatric Gastroenterology, Hepatology, and Nutrition in 2007 to make appropriate recommendations. The present guideline, of which the major recommendations are summarised here (for the full report, see http://links.lww.com/A1480), is consistent with, but not identical to, recent guidelines from the Life Sciences Research Office of the American Society for Nutritional Sciences published in 2002 and recommendations from the handbook Nutrition of the Preterm Infant. Scientific Basis and Practical Guidelines, 2nd ed, edited by Tsang et al, and published in 2005. The preferred food for premature infants is fortified human milk from the infant's own mother, or, alternatively, formula designed for premature infants. This guideline aims to provide proposed advisable ranges for nutrient intakes for stable-growing preterm infants up to a weight of approximately 1800 g, because most data are available for these infants. These recommendations are based on a considered review of available scientific reports on the subject, and on expert consensus for which the available scientific data are considered inadequate.", "author" : [ { "dropping-particle" : "", "family" : "Agostoni C, Buonocore G, Carnielli VP, De Curtis M, Darmaun D, Decsi T, Domell\u00f6f M, Embleton ND, Fusch C, Genzel-Boroviczeny O, Goulet O, Kalhan SC, Kolacek S, Koletzko B, Lapillonne A, Mihatsch W, Moreno L, Neu J, Poindexter B, Puntis J, Putet G, Rigo J,", "given" : "Ziegler EE; ESPGHAN Committee on Nutrition.", "non-dropping-particle" : "", "parse-names" : false, "suffix" : "" } ], "container-title" : "J Pediatr Gastroenterol Nutr.", "id" : "ITEM-2", "issue" : "1", "issued" : { "date-parts" : [ [ "2010" ] ] }, "page" : "85-91", "title" : "Enteral nutrient supply for preterm infants: commentary from the European Society of Paediatric Gastroenterology, Hepatology and Nutrition Committee on Nutrition.", "type" : "article-journal", "volume" : "50" }, "uris" : [ "http://www.mendeley.com/documents/?uuid=9c4d2779-2c8c-49d8-9500-6a25fe987e7d" ] }, { "id" : "ITEM-3", "itemData" : { "abstract" : "This BAPM working group was convened to produce a Framework for Practice on the provision of neonatal parenteral nutrition (PN) relevant to all persons involved in care of the newborn in the United Kingdom (UK), including commissioners and neonatal networks. This Framework for Practice aims to describe best practice for the administration of neonatal PN within the current system of organisation of neonatal care in the UK. We have identified those babies for whom PN should be the standard of care and how this should be achieved.", "author" : [ { "dropping-particle" : "", "family" : "Mactier", "given" : "Helen", "non-dropping-particle" : "", "parse-names" : false, "suffix" : "" } ], "container-title" : "British Association of Perinatal Medicine", "id" : "ITEM-3", "issue" : "April", "issued" : { "date-parts" : [ [ "2016" ] ] }, "page" : "1-27", "title" : "The Provision of Parenteral Nutrition within Neonatal Services : A Framework for Practice", "type" : "article-journal" }, "uris" : [ "http://www.mendeley.com/documents/?uuid=f904a305-aee7-3ba8-9aca-32d1fae26d7e" ] } ], "mendeley" : { "formattedCitation" : "[2,8,17]", "plainTextFormattedCitation" : "[2,8,17]", "previouslyFormattedCitation" : "[2,9,17]" }, "properties" : {  }, "schema" : "https://github.com/citation-style-language/schema/raw/master/csl-citation.json" }</w:instrText>
      </w:r>
      <w:r w:rsidR="00D864BF" w:rsidRPr="009622E6">
        <w:rPr>
          <w:rFonts w:asciiTheme="majorHAnsi" w:hAnsiTheme="majorHAnsi" w:cs="Times New Roman"/>
          <w:sz w:val="24"/>
          <w:szCs w:val="24"/>
        </w:rPr>
        <w:fldChar w:fldCharType="separate"/>
      </w:r>
      <w:r w:rsidR="00B90AE8" w:rsidRPr="00B90AE8">
        <w:rPr>
          <w:rFonts w:asciiTheme="majorHAnsi" w:hAnsiTheme="majorHAnsi" w:cs="Times New Roman"/>
          <w:noProof/>
          <w:sz w:val="24"/>
          <w:szCs w:val="24"/>
        </w:rPr>
        <w:t>[2,8,17]</w:t>
      </w:r>
      <w:r w:rsidR="00D864BF" w:rsidRPr="009622E6">
        <w:rPr>
          <w:rFonts w:asciiTheme="majorHAnsi" w:hAnsiTheme="majorHAnsi" w:cs="Times New Roman"/>
          <w:sz w:val="24"/>
          <w:szCs w:val="24"/>
        </w:rPr>
        <w:fldChar w:fldCharType="end"/>
      </w:r>
      <w:r w:rsidR="0071513D">
        <w:rPr>
          <w:rFonts w:asciiTheme="majorHAnsi" w:hAnsiTheme="majorHAnsi" w:cs="Times New Roman"/>
          <w:sz w:val="24"/>
          <w:szCs w:val="24"/>
        </w:rPr>
        <w:t>.</w:t>
      </w:r>
      <w:r w:rsidR="00405957" w:rsidRPr="009622E6">
        <w:rPr>
          <w:rFonts w:asciiTheme="majorHAnsi" w:hAnsiTheme="majorHAnsi" w:cs="Times New Roman"/>
          <w:sz w:val="24"/>
          <w:szCs w:val="24"/>
        </w:rPr>
        <w:t xml:space="preserve"> </w:t>
      </w:r>
      <w:r w:rsidR="00DB2D89" w:rsidRPr="009622E6">
        <w:rPr>
          <w:rFonts w:asciiTheme="majorHAnsi" w:hAnsiTheme="majorHAnsi" w:cs="Times New Roman"/>
          <w:sz w:val="24"/>
          <w:szCs w:val="24"/>
        </w:rPr>
        <w:t>N</w:t>
      </w:r>
      <w:r w:rsidR="00405957" w:rsidRPr="009622E6">
        <w:rPr>
          <w:rFonts w:asciiTheme="majorHAnsi" w:hAnsiTheme="majorHAnsi" w:cs="Times New Roman"/>
          <w:sz w:val="24"/>
          <w:szCs w:val="24"/>
        </w:rPr>
        <w:t xml:space="preserve">ew nutrition guidelines </w:t>
      </w:r>
      <w:r w:rsidR="006E6A8C" w:rsidRPr="009622E6">
        <w:rPr>
          <w:rFonts w:asciiTheme="majorHAnsi" w:hAnsiTheme="majorHAnsi" w:cs="Times New Roman"/>
          <w:sz w:val="24"/>
          <w:szCs w:val="24"/>
        </w:rPr>
        <w:t xml:space="preserve">and practices </w:t>
      </w:r>
      <w:r w:rsidR="00DB2D89" w:rsidRPr="009622E6">
        <w:rPr>
          <w:rFonts w:asciiTheme="majorHAnsi" w:hAnsiTheme="majorHAnsi" w:cs="Times New Roman"/>
          <w:sz w:val="24"/>
          <w:szCs w:val="24"/>
        </w:rPr>
        <w:t xml:space="preserve">were introduced </w:t>
      </w:r>
      <w:r w:rsidR="00405957" w:rsidRPr="009622E6">
        <w:rPr>
          <w:rFonts w:asciiTheme="majorHAnsi" w:hAnsiTheme="majorHAnsi" w:cs="Times New Roman"/>
          <w:sz w:val="24"/>
          <w:szCs w:val="24"/>
        </w:rPr>
        <w:t xml:space="preserve">in </w:t>
      </w:r>
      <w:r w:rsidR="00A11796" w:rsidRPr="009622E6">
        <w:rPr>
          <w:rFonts w:asciiTheme="majorHAnsi" w:hAnsiTheme="majorHAnsi" w:cs="Times New Roman"/>
          <w:sz w:val="24"/>
          <w:szCs w:val="24"/>
        </w:rPr>
        <w:t xml:space="preserve">our unit in </w:t>
      </w:r>
      <w:r w:rsidR="00405957" w:rsidRPr="009622E6">
        <w:rPr>
          <w:rFonts w:asciiTheme="majorHAnsi" w:hAnsiTheme="majorHAnsi" w:cs="Times New Roman"/>
          <w:sz w:val="24"/>
          <w:szCs w:val="24"/>
        </w:rPr>
        <w:t>2012</w:t>
      </w:r>
      <w:r w:rsidR="00DB2D89" w:rsidRPr="009622E6">
        <w:rPr>
          <w:rFonts w:asciiTheme="majorHAnsi" w:hAnsiTheme="majorHAnsi" w:cs="Times New Roman"/>
          <w:sz w:val="24"/>
          <w:szCs w:val="24"/>
        </w:rPr>
        <w:t>,</w:t>
      </w:r>
      <w:r w:rsidR="00405957" w:rsidRPr="009622E6">
        <w:rPr>
          <w:rFonts w:asciiTheme="majorHAnsi" w:hAnsiTheme="majorHAnsi" w:cs="Times New Roman"/>
          <w:sz w:val="24"/>
          <w:szCs w:val="24"/>
        </w:rPr>
        <w:t xml:space="preserve"> </w:t>
      </w:r>
      <w:r w:rsidR="006E6A8C" w:rsidRPr="009622E6">
        <w:rPr>
          <w:rFonts w:asciiTheme="majorHAnsi" w:hAnsiTheme="majorHAnsi" w:cs="Times New Roman"/>
          <w:sz w:val="24"/>
          <w:szCs w:val="24"/>
        </w:rPr>
        <w:t xml:space="preserve">based on </w:t>
      </w:r>
      <w:r w:rsidR="002E1E8B" w:rsidRPr="009622E6">
        <w:rPr>
          <w:rFonts w:asciiTheme="majorHAnsi" w:hAnsiTheme="majorHAnsi" w:cs="Times New Roman"/>
          <w:sz w:val="24"/>
          <w:szCs w:val="24"/>
        </w:rPr>
        <w:t xml:space="preserve">published </w:t>
      </w:r>
      <w:r w:rsidR="006E6A8C" w:rsidRPr="009622E6">
        <w:rPr>
          <w:rFonts w:asciiTheme="majorHAnsi" w:hAnsiTheme="majorHAnsi" w:cs="Times New Roman"/>
          <w:sz w:val="24"/>
          <w:szCs w:val="24"/>
        </w:rPr>
        <w:t>recommendations</w:t>
      </w:r>
      <w:r w:rsidR="0073396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"doi:10.1136/bmjopen-2017-017727", "author" : [ { "dropping-particle" : "", "family" : "Johnson", "given" : "Mark J", "non-dropping-particle" : "", "parse-names" : false, "suffix" : "" }, { "dropping-particle" : "", "family" : "Leaf", "given" : "Alison A", "non-dropping-particle" : "", "parse-names" : false, "suffix" : "" }, { "dropping-particle" : "", "family" : "Pearson", "given" : "Freya", "non-dropping-particle" : "", "parse-names" : false, "suffix" : "" } ], "container-title" : "BMJ Open", "id" : "ITEM-1", "issued" : { "date-parts" : [ [ "2017" ] ] }, "title" : "Successfully implementing and embedding guidelines to improve the nutrition and growth of preterm infants in neonatal intensive care: a prospective interventional study", "type" : "article-journal" }, "uris" : [ "http://www.mendeley.com/documents/?uuid=8bd9289d-5b98-4d0d-8b19-6fc07f7778f0" ] }, { "id" : "ITEM-2", "itemData" : { "DOI" : "10.1097/MPG.0b013e3181adaee0.", "PMID" : "19881390", "abstract" : "The number of surviving children born prematurely has increased substantially during the last 2 decades. The major goal of enteral nutrient supply to these infants is to achieve growth similar to foetal growth coupled with satisfactory functional development. The accumulation of knowledge since the previous guideline on nutrition of preterm infants from the Committee on Nutrition of the European Society of Paediatric Gastroenterology and Nutrition in 1987 has made a new guideline necessary. Thus, an ad hoc expert panel was convened by the Committee on Nutrition of the European Society of Paediatric Gastroenterology, Hepatology, and Nutrition in 2007 to make appropriate recommendations. The present guideline, of which the major recommendations are summarised here (for the full report, see http://links.lww.com/A1480), is consistent with, but not identical to, recent guidelines from the Life Sciences Research Office of the American Society for Nutritional Sciences published in 2002 and recommendations from the handbook Nutrition of the Preterm Infant. Scientific Basis and Practical Guidelines, 2nd ed, edited by Tsang et al, and published in 2005. The preferred food for premature infants is fortified human milk from the infant's own mother, or, alternatively, formula designed for premature infants. This guideline aims to provide proposed advisable ranges for nutrient intakes for stable-growing preterm infants up to a weight of approximately 1800 g, because most data are available for these infants. These recommendations are based on a considered review of available scientific reports on the subject, and on expert consensus for which the available scientific data are considered inadequate.", "author" : [ { "dropping-particle" : "", "family" : "Agostoni C, Buonocore G, Carnielli VP, De Curtis M, Darmaun D, Decsi T, Domell\u00f6f M, Embleton ND, Fusch C, Genzel-Boroviczeny O, Goulet O, Kalhan SC, Kolacek S, Koletzko B, Lapillonne A, Mihatsch W, Moreno L, Neu J, Poindexter B, Puntis J, Putet G, Rigo J,", "given" : "Ziegler EE; ESPGHAN Committee on Nutrition.", "non-dropping-particle" : "", "parse-names" : false, "suffix" : "" } ], "container-title" : "J Pediatr Gastroenterol Nutr.", "id" : "ITEM-2", "issue" : "1", "issued" : { "date-parts" : [ [ "2010" ] ] }, "page" : "85-91", "title" : "Enteral nutrient supply for preterm infants: commentary from the European Society of Paediatric Gastroenterology, Hepatology and Nutrition Committee on Nutrition.", "type" : "article-journal", "volume" : "50" }, "uris" : [ "http://www.mendeley.com/documents/?uuid=9c4d2779-2c8c-49d8-9500-6a25fe987e7d" ] }, { "id" : "ITEM-3", "itemData" : { "ISBN" : "9783318026412", "abstract" : "Historical perspective / R.C. Tsang -- Defining the nutritional needs of preterm infants / R. Uauy, B. Koletzko -- Nutrition, growth and clinical outcomes / R.A. Ehrenkranz -- Assessing the evidence from neonatal nutrition research / H. Szajewska, B. Koletzko, F. Mimouni, R. Uauy -- Amino acids and proteins / J.B. van Goudoever, H. Vlaardingerbroek, C.H. van den Akker, F. de Groof, S.R.D. van der Schoor -- Energy requirements, protein-energy metabolism and balance, and carbohydrates in preterm infants / W.W. Hay Jr., L.D. Brown, S.C. Denne -- Lipids / A. Lapillonne -- Water, sodium, potassium and chloride / C. Fusch, F. Jochum -- Nutritional care of premature infants : microminerals / M. Domellf -- Calcium, phosphorus, magnesium and vitamin d requirements of the preterm infant / F.B. Mimouni, D. Mandel, R. Lubetzky, T. Senterre -- Vitamins -- conventional uses and new insights / A. Leaf, Z. Lansdowne -- The developing intestinal microbiome: probiotics and prebiotics / J. Neu -- Practice of parenteral nutrition in vlbw and elbw infants / N.D. Embleton, K. Simmer -- Preterm nutrition and the brain / S.E. Ramel, M.K. Georgieff -- Practice of enteral nutrition in very low birth weight and extremely low birth weight infants / T. Senterre -- Human milk and human milk fortifiers / E.E. Ziegler -- Approaches to growth faltering / B.B. Poindexter -- Preterm nutrition and the lung / F. Moya -- Necrotizing enterocolitis / J. Neu -- Feeding after discharge / A. Lapillonne -- Meeting the challenge of providing neonatal nutritional care to very or extremely low birth weight infants in low-resource settings / T. Murguia-Peniche, G.F. Kirsten -- Recommended nutrient intake levels for stable, fully enterally fed very low birth weight infants / B. Koletzko, B. Poindexter, R. Uauy.", "author" : [ { "dropping-particle" : "", "family" : "Koletzko", "given" : "B. (Berthold)", "non-dropping-particle" : "", "parse-names" : false, "suffix" : "" }, { "dropping-particle" : "", "family" : "Poindexter", "given" : "Brenda", "non-dropping-particle" : "", "parse-names" : false, "suffix" : "" }, { "dropping-particle" : "", "family" : "Uauy", "given" : "Ricardo", "non-dropping-particle" : "", "parse-names" : false, "suffix" : "" } ], "id" : "ITEM-3", "issued" : { "date-parts" : [ [ "0" ] ] }, "number-of-pages" : "314", "title" : "Nutritional care of preterm infants : scientific basis and practical guidelines", "type" : "book" }, "uris" : [ "http://www.mendeley.com/documents/?uuid=3ed03225-4589-3809-a2f0-b7f9beba986e" ] } ], "mendeley" : { "formattedCitation" : "[8,18,19]", "plainTextFormattedCitation" : "[8,18,19]", "previouslyFormattedCitation" : "[9,18,19]" }, "properties" : {  }, "schema" : "https://github.com/citation-style-language/schema/raw/master/csl-citation.json" }</w:instrText>
      </w:r>
      <w:r w:rsidR="00733966">
        <w:rPr>
          <w:rFonts w:asciiTheme="majorHAnsi" w:hAnsiTheme="majorHAnsi" w:cs="Times New Roman"/>
          <w:sz w:val="24"/>
          <w:szCs w:val="24"/>
        </w:rPr>
        <w:fldChar w:fldCharType="separate"/>
      </w:r>
      <w:r w:rsidR="00B90AE8" w:rsidRPr="00B90AE8">
        <w:rPr>
          <w:rFonts w:asciiTheme="majorHAnsi" w:hAnsiTheme="majorHAnsi" w:cs="Times New Roman"/>
          <w:noProof/>
          <w:sz w:val="24"/>
          <w:szCs w:val="24"/>
        </w:rPr>
        <w:t>[8,18,19]</w:t>
      </w:r>
      <w:r w:rsidR="00733966">
        <w:rPr>
          <w:rFonts w:asciiTheme="majorHAnsi" w:hAnsiTheme="majorHAnsi" w:cs="Times New Roman"/>
          <w:sz w:val="24"/>
          <w:szCs w:val="24"/>
        </w:rPr>
        <w:fldChar w:fldCharType="end"/>
      </w:r>
      <w:r w:rsidR="0071513D">
        <w:rPr>
          <w:rFonts w:asciiTheme="majorHAnsi" w:hAnsiTheme="majorHAnsi" w:cs="Times New Roman"/>
          <w:sz w:val="24"/>
          <w:szCs w:val="24"/>
        </w:rPr>
        <w:t>.</w:t>
      </w:r>
      <w:r w:rsidR="00D405AF" w:rsidRPr="009622E6">
        <w:rPr>
          <w:rFonts w:asciiTheme="majorHAnsi" w:hAnsiTheme="majorHAnsi" w:cs="Times New Roman"/>
          <w:sz w:val="24"/>
          <w:szCs w:val="24"/>
        </w:rPr>
        <w:t xml:space="preserve"> </w:t>
      </w:r>
      <w:r w:rsidR="000D236A" w:rsidRPr="009622E6">
        <w:rPr>
          <w:rFonts w:asciiTheme="majorHAnsi" w:hAnsiTheme="majorHAnsi" w:cs="Times New Roman"/>
          <w:sz w:val="24"/>
          <w:szCs w:val="24"/>
        </w:rPr>
        <w:t>Our hypothesis was</w:t>
      </w:r>
      <w:r w:rsidR="00835048" w:rsidRPr="009622E6">
        <w:rPr>
          <w:rFonts w:asciiTheme="majorHAnsi" w:hAnsiTheme="majorHAnsi" w:cs="Times New Roman"/>
          <w:sz w:val="24"/>
          <w:szCs w:val="24"/>
        </w:rPr>
        <w:t xml:space="preserve"> that the extraut</w:t>
      </w:r>
      <w:r w:rsidR="00224D09" w:rsidRPr="009622E6">
        <w:rPr>
          <w:rFonts w:asciiTheme="majorHAnsi" w:hAnsiTheme="majorHAnsi" w:cs="Times New Roman"/>
          <w:sz w:val="24"/>
          <w:szCs w:val="24"/>
        </w:rPr>
        <w:t>e</w:t>
      </w:r>
      <w:r w:rsidR="00835048" w:rsidRPr="009622E6">
        <w:rPr>
          <w:rFonts w:asciiTheme="majorHAnsi" w:hAnsiTheme="majorHAnsi" w:cs="Times New Roman"/>
          <w:sz w:val="24"/>
          <w:szCs w:val="24"/>
        </w:rPr>
        <w:t xml:space="preserve">rine growth restriction </w:t>
      </w:r>
      <w:r w:rsidR="00A47D2E">
        <w:rPr>
          <w:rFonts w:asciiTheme="majorHAnsi" w:hAnsiTheme="majorHAnsi" w:cs="Times New Roman"/>
          <w:sz w:val="24"/>
          <w:szCs w:val="24"/>
        </w:rPr>
        <w:t xml:space="preserve">previously </w:t>
      </w:r>
      <w:r w:rsidR="00835048" w:rsidRPr="009622E6">
        <w:rPr>
          <w:rFonts w:asciiTheme="majorHAnsi" w:hAnsiTheme="majorHAnsi" w:cs="Times New Roman"/>
          <w:sz w:val="24"/>
          <w:szCs w:val="24"/>
        </w:rPr>
        <w:t xml:space="preserve">described </w:t>
      </w:r>
      <w:r w:rsidR="00CE430A">
        <w:rPr>
          <w:rFonts w:asciiTheme="majorHAnsi" w:hAnsiTheme="majorHAnsi" w:cs="Times New Roman"/>
          <w:sz w:val="24"/>
          <w:szCs w:val="24"/>
        </w:rPr>
        <w:t>i</w:t>
      </w:r>
      <w:r w:rsidR="00835048" w:rsidRPr="009622E6">
        <w:rPr>
          <w:rFonts w:asciiTheme="majorHAnsi" w:hAnsiTheme="majorHAnsi" w:cs="Times New Roman"/>
          <w:sz w:val="24"/>
          <w:szCs w:val="24"/>
        </w:rPr>
        <w:t xml:space="preserve">s not inevitable and could be prevented by the </w:t>
      </w:r>
      <w:r w:rsidR="00D405AF" w:rsidRPr="009622E6">
        <w:rPr>
          <w:rFonts w:asciiTheme="majorHAnsi" w:hAnsiTheme="majorHAnsi" w:cs="Times New Roman"/>
          <w:sz w:val="24"/>
          <w:szCs w:val="24"/>
        </w:rPr>
        <w:t xml:space="preserve">introduction </w:t>
      </w:r>
      <w:r w:rsidR="00835048" w:rsidRPr="009622E6">
        <w:rPr>
          <w:rFonts w:asciiTheme="majorHAnsi" w:hAnsiTheme="majorHAnsi" w:cs="Times New Roman"/>
          <w:sz w:val="24"/>
          <w:szCs w:val="24"/>
        </w:rPr>
        <w:t xml:space="preserve">of such practices. </w:t>
      </w:r>
    </w:p>
    <w:p w:rsidR="00C33C9E" w:rsidRPr="009622E6" w:rsidRDefault="00D405AF" w:rsidP="009E2DF4">
      <w:pPr>
        <w:spacing w:line="480" w:lineRule="auto"/>
        <w:rPr>
          <w:rFonts w:asciiTheme="majorHAnsi" w:hAnsiTheme="majorHAnsi" w:cs="Times New Roman"/>
          <w:sz w:val="24"/>
          <w:szCs w:val="24"/>
        </w:rPr>
      </w:pPr>
      <w:r w:rsidRPr="009622E6">
        <w:rPr>
          <w:rFonts w:asciiTheme="majorHAnsi" w:hAnsiTheme="majorHAnsi" w:cs="Times New Roman"/>
          <w:sz w:val="24"/>
          <w:szCs w:val="24"/>
        </w:rPr>
        <w:t xml:space="preserve">In this paper we </w:t>
      </w:r>
      <w:r w:rsidR="00C408AC" w:rsidRPr="009622E6">
        <w:rPr>
          <w:rFonts w:asciiTheme="majorHAnsi" w:hAnsiTheme="majorHAnsi" w:cs="Times New Roman"/>
          <w:sz w:val="24"/>
          <w:szCs w:val="24"/>
        </w:rPr>
        <w:t xml:space="preserve">describe the </w:t>
      </w:r>
      <w:r w:rsidRPr="009622E6">
        <w:rPr>
          <w:rFonts w:asciiTheme="majorHAnsi" w:hAnsiTheme="majorHAnsi" w:cs="Times New Roman"/>
          <w:sz w:val="24"/>
          <w:szCs w:val="24"/>
        </w:rPr>
        <w:t xml:space="preserve">longitudinal </w:t>
      </w:r>
      <w:r w:rsidR="00C408AC" w:rsidRPr="009622E6">
        <w:rPr>
          <w:rFonts w:asciiTheme="majorHAnsi" w:hAnsiTheme="majorHAnsi" w:cs="Times New Roman"/>
          <w:sz w:val="24"/>
          <w:szCs w:val="24"/>
        </w:rPr>
        <w:t xml:space="preserve">growth of </w:t>
      </w:r>
      <w:r w:rsidR="00727CC9" w:rsidRPr="009622E6">
        <w:rPr>
          <w:rFonts w:asciiTheme="majorHAnsi" w:hAnsiTheme="majorHAnsi" w:cs="Times New Roman"/>
          <w:sz w:val="24"/>
          <w:szCs w:val="24"/>
        </w:rPr>
        <w:t xml:space="preserve">hospitalized </w:t>
      </w:r>
      <w:r w:rsidR="00C408AC" w:rsidRPr="009622E6">
        <w:rPr>
          <w:rFonts w:asciiTheme="majorHAnsi" w:hAnsiTheme="majorHAnsi" w:cs="Times New Roman"/>
          <w:sz w:val="24"/>
          <w:szCs w:val="24"/>
        </w:rPr>
        <w:t xml:space="preserve">preterm </w:t>
      </w:r>
      <w:r w:rsidRPr="009622E6">
        <w:rPr>
          <w:rFonts w:asciiTheme="majorHAnsi" w:hAnsiTheme="majorHAnsi" w:cs="Times New Roman"/>
          <w:sz w:val="24"/>
          <w:szCs w:val="24"/>
        </w:rPr>
        <w:t xml:space="preserve">infants (born before </w:t>
      </w:r>
      <w:r w:rsidR="00224D09" w:rsidRPr="009622E6">
        <w:rPr>
          <w:rFonts w:asciiTheme="majorHAnsi" w:hAnsiTheme="majorHAnsi" w:cs="Times New Roman"/>
          <w:sz w:val="24"/>
          <w:szCs w:val="24"/>
        </w:rPr>
        <w:t xml:space="preserve">32 </w:t>
      </w:r>
      <w:r w:rsidRPr="009622E6">
        <w:rPr>
          <w:rFonts w:asciiTheme="majorHAnsi" w:hAnsiTheme="majorHAnsi" w:cs="Times New Roman"/>
          <w:sz w:val="24"/>
          <w:szCs w:val="24"/>
        </w:rPr>
        <w:t>weeks gestation</w:t>
      </w:r>
      <w:r w:rsidR="003908CE" w:rsidRPr="009622E6">
        <w:rPr>
          <w:rFonts w:asciiTheme="majorHAnsi" w:hAnsiTheme="majorHAnsi" w:cs="Times New Roman"/>
          <w:sz w:val="24"/>
          <w:szCs w:val="24"/>
        </w:rPr>
        <w:t>)</w:t>
      </w:r>
      <w:r w:rsidRPr="009622E6">
        <w:rPr>
          <w:rFonts w:asciiTheme="majorHAnsi" w:hAnsiTheme="majorHAnsi" w:cs="Times New Roman"/>
          <w:sz w:val="24"/>
          <w:szCs w:val="24"/>
        </w:rPr>
        <w:t xml:space="preserve"> who were born and cared for</w:t>
      </w:r>
      <w:r w:rsidR="00B85549">
        <w:rPr>
          <w:rFonts w:asciiTheme="majorHAnsi" w:hAnsiTheme="majorHAnsi" w:cs="Times New Roman"/>
          <w:sz w:val="24"/>
          <w:szCs w:val="24"/>
        </w:rPr>
        <w:t xml:space="preserve"> during</w:t>
      </w:r>
      <w:r w:rsidRPr="009622E6">
        <w:rPr>
          <w:rFonts w:asciiTheme="majorHAnsi" w:hAnsiTheme="majorHAnsi" w:cs="Times New Roman"/>
          <w:sz w:val="24"/>
          <w:szCs w:val="24"/>
        </w:rPr>
        <w:t xml:space="preserve"> the 5 years following the implementation of improved nutritional </w:t>
      </w:r>
      <w:r w:rsidR="004916FE" w:rsidRPr="009622E6">
        <w:rPr>
          <w:rFonts w:asciiTheme="majorHAnsi" w:hAnsiTheme="majorHAnsi" w:cs="Times New Roman"/>
          <w:sz w:val="24"/>
          <w:szCs w:val="24"/>
        </w:rPr>
        <w:t>practices and</w:t>
      </w:r>
      <w:r w:rsidRPr="009622E6">
        <w:rPr>
          <w:rFonts w:asciiTheme="majorHAnsi" w:hAnsiTheme="majorHAnsi" w:cs="Times New Roman"/>
          <w:sz w:val="24"/>
          <w:szCs w:val="24"/>
        </w:rPr>
        <w:t xml:space="preserve"> compare their pattern of growth to accepted national growth standards. </w:t>
      </w:r>
    </w:p>
    <w:p w:rsidR="00BC5FD7" w:rsidRDefault="00BC5FD7">
      <w:pPr>
        <w:rPr>
          <w:rFonts w:asciiTheme="majorHAnsi" w:hAnsiTheme="majorHAnsi" w:cs="Times New Roman"/>
          <w:sz w:val="24"/>
          <w:szCs w:val="24"/>
        </w:rPr>
      </w:pPr>
      <w:r>
        <w:rPr>
          <w:rFonts w:asciiTheme="majorHAnsi" w:hAnsiTheme="majorHAnsi" w:cs="Times New Roman"/>
          <w:sz w:val="24"/>
          <w:szCs w:val="24"/>
        </w:rPr>
        <w:br w:type="page"/>
      </w:r>
    </w:p>
    <w:p w:rsidR="009E34E0" w:rsidRPr="009622E6" w:rsidRDefault="007F29D5" w:rsidP="009E2DF4">
      <w:pPr>
        <w:spacing w:line="480" w:lineRule="auto"/>
        <w:rPr>
          <w:rFonts w:asciiTheme="majorHAnsi" w:hAnsiTheme="majorHAnsi" w:cs="Times New Roman"/>
          <w:b/>
          <w:sz w:val="24"/>
          <w:szCs w:val="24"/>
        </w:rPr>
      </w:pPr>
      <w:r>
        <w:rPr>
          <w:rFonts w:asciiTheme="majorHAnsi" w:hAnsiTheme="majorHAnsi" w:cs="Times New Roman"/>
          <w:b/>
          <w:sz w:val="24"/>
          <w:szCs w:val="24"/>
        </w:rPr>
        <w:lastRenderedPageBreak/>
        <w:t>PATIENTS AND METHODS</w:t>
      </w:r>
      <w:r w:rsidR="009E34E0" w:rsidRPr="009622E6">
        <w:rPr>
          <w:rFonts w:asciiTheme="majorHAnsi" w:hAnsiTheme="majorHAnsi" w:cs="Times New Roman"/>
          <w:b/>
          <w:sz w:val="24"/>
          <w:szCs w:val="24"/>
        </w:rPr>
        <w:t>:</w:t>
      </w:r>
    </w:p>
    <w:p w:rsidR="00E7252D" w:rsidRDefault="004D3A4B" w:rsidP="009E2DF4">
      <w:pPr>
        <w:spacing w:line="480" w:lineRule="auto"/>
        <w:rPr>
          <w:rFonts w:asciiTheme="majorHAnsi" w:hAnsiTheme="majorHAnsi" w:cs="Times New Roman"/>
          <w:sz w:val="24"/>
          <w:szCs w:val="24"/>
        </w:rPr>
      </w:pPr>
      <w:r>
        <w:rPr>
          <w:rFonts w:asciiTheme="majorHAnsi" w:hAnsiTheme="majorHAnsi" w:cs="Times New Roman"/>
          <w:sz w:val="24"/>
          <w:szCs w:val="24"/>
        </w:rPr>
        <w:t>The study was carried out in a single tertiary Neonatal Unit (NNU)</w:t>
      </w:r>
      <w:r w:rsidR="007375AD">
        <w:rPr>
          <w:rFonts w:asciiTheme="majorHAnsi" w:hAnsiTheme="majorHAnsi" w:cs="Times New Roman"/>
          <w:sz w:val="24"/>
          <w:szCs w:val="24"/>
        </w:rPr>
        <w:t>.</w:t>
      </w:r>
      <w:r>
        <w:rPr>
          <w:rFonts w:asciiTheme="majorHAnsi" w:hAnsiTheme="majorHAnsi" w:cs="Times New Roman"/>
          <w:sz w:val="24"/>
          <w:szCs w:val="24"/>
        </w:rPr>
        <w:t xml:space="preserve"> </w:t>
      </w:r>
      <w:r w:rsidR="007375AD">
        <w:rPr>
          <w:rFonts w:asciiTheme="majorHAnsi" w:hAnsiTheme="majorHAnsi" w:cs="Times New Roman"/>
          <w:sz w:val="24"/>
          <w:szCs w:val="24"/>
        </w:rPr>
        <w:t>The NNU</w:t>
      </w:r>
      <w:r>
        <w:rPr>
          <w:rFonts w:asciiTheme="majorHAnsi" w:hAnsiTheme="majorHAnsi" w:cs="Times New Roman"/>
          <w:sz w:val="24"/>
          <w:szCs w:val="24"/>
        </w:rPr>
        <w:t xml:space="preserve"> submits annual benchmarking data to the Vermont-Oxford network (VON) very low birth weight database.</w:t>
      </w:r>
      <w:r w:rsidRPr="009622E6">
        <w:rPr>
          <w:rFonts w:asciiTheme="majorHAnsi" w:hAnsiTheme="majorHAnsi" w:cs="Times New Roman"/>
          <w:sz w:val="24"/>
          <w:szCs w:val="24"/>
        </w:rPr>
        <w:t xml:space="preserve"> </w:t>
      </w:r>
      <w:r w:rsidR="7F8C7055" w:rsidRPr="009622E6">
        <w:rPr>
          <w:rFonts w:asciiTheme="majorHAnsi" w:hAnsiTheme="majorHAnsi" w:cs="Times New Roman"/>
          <w:sz w:val="24"/>
          <w:szCs w:val="24"/>
        </w:rPr>
        <w:t xml:space="preserve">Data were collected </w:t>
      </w:r>
      <w:r w:rsidR="00324D78" w:rsidRPr="009622E6">
        <w:rPr>
          <w:rFonts w:asciiTheme="majorHAnsi" w:hAnsiTheme="majorHAnsi" w:cs="Times New Roman"/>
          <w:sz w:val="24"/>
          <w:szCs w:val="24"/>
        </w:rPr>
        <w:t xml:space="preserve">for infants born from 23+0 to 31+6 weeks gestational age (GA) </w:t>
      </w:r>
      <w:r w:rsidR="00FA775E" w:rsidRPr="009622E6">
        <w:rPr>
          <w:rFonts w:asciiTheme="majorHAnsi" w:hAnsiTheme="majorHAnsi" w:cs="Times New Roman"/>
          <w:sz w:val="24"/>
          <w:szCs w:val="24"/>
        </w:rPr>
        <w:t xml:space="preserve">over a </w:t>
      </w:r>
      <w:r w:rsidR="004B2168" w:rsidRPr="009622E6">
        <w:rPr>
          <w:rFonts w:asciiTheme="majorHAnsi" w:hAnsiTheme="majorHAnsi" w:cs="Times New Roman"/>
          <w:sz w:val="24"/>
          <w:szCs w:val="24"/>
        </w:rPr>
        <w:t>5-year</w:t>
      </w:r>
      <w:r w:rsidR="00FA775E" w:rsidRPr="009622E6">
        <w:rPr>
          <w:rFonts w:asciiTheme="majorHAnsi" w:hAnsiTheme="majorHAnsi" w:cs="Times New Roman"/>
          <w:sz w:val="24"/>
          <w:szCs w:val="24"/>
        </w:rPr>
        <w:t xml:space="preserve"> period </w:t>
      </w:r>
      <w:r w:rsidR="00A3755A" w:rsidRPr="009622E6">
        <w:rPr>
          <w:rFonts w:asciiTheme="majorHAnsi" w:hAnsiTheme="majorHAnsi" w:cs="Times New Roman"/>
          <w:sz w:val="24"/>
          <w:szCs w:val="24"/>
        </w:rPr>
        <w:t xml:space="preserve">between </w:t>
      </w:r>
      <w:r w:rsidR="002A7EB6" w:rsidRPr="009622E6">
        <w:rPr>
          <w:rFonts w:asciiTheme="majorHAnsi" w:hAnsiTheme="majorHAnsi" w:cs="Times New Roman"/>
          <w:sz w:val="24"/>
          <w:szCs w:val="24"/>
        </w:rPr>
        <w:t>1</w:t>
      </w:r>
      <w:r w:rsidR="002A7EB6" w:rsidRPr="009622E6">
        <w:rPr>
          <w:rFonts w:asciiTheme="majorHAnsi" w:hAnsiTheme="majorHAnsi" w:cs="Times New Roman"/>
          <w:sz w:val="24"/>
          <w:szCs w:val="24"/>
          <w:vertAlign w:val="superscript"/>
        </w:rPr>
        <w:t>st</w:t>
      </w:r>
      <w:r w:rsidR="002A7EB6" w:rsidRPr="009622E6">
        <w:rPr>
          <w:rFonts w:asciiTheme="majorHAnsi" w:hAnsiTheme="majorHAnsi" w:cs="Times New Roman"/>
          <w:sz w:val="24"/>
          <w:szCs w:val="24"/>
        </w:rPr>
        <w:t xml:space="preserve"> </w:t>
      </w:r>
      <w:r w:rsidR="00A3755A" w:rsidRPr="009622E6">
        <w:rPr>
          <w:rFonts w:asciiTheme="majorHAnsi" w:hAnsiTheme="majorHAnsi" w:cs="Times New Roman"/>
          <w:sz w:val="24"/>
          <w:szCs w:val="24"/>
        </w:rPr>
        <w:t xml:space="preserve">July 2012 and </w:t>
      </w:r>
      <w:r w:rsidR="002A7EB6" w:rsidRPr="009622E6">
        <w:rPr>
          <w:rFonts w:asciiTheme="majorHAnsi" w:hAnsiTheme="majorHAnsi" w:cs="Times New Roman"/>
          <w:sz w:val="24"/>
          <w:szCs w:val="24"/>
        </w:rPr>
        <w:t>30</w:t>
      </w:r>
      <w:r w:rsidR="002A7EB6" w:rsidRPr="009622E6">
        <w:rPr>
          <w:rFonts w:asciiTheme="majorHAnsi" w:hAnsiTheme="majorHAnsi" w:cs="Times New Roman"/>
          <w:sz w:val="24"/>
          <w:szCs w:val="24"/>
          <w:vertAlign w:val="superscript"/>
        </w:rPr>
        <w:t>th</w:t>
      </w:r>
      <w:r w:rsidR="002A7EB6" w:rsidRPr="009622E6">
        <w:rPr>
          <w:rFonts w:asciiTheme="majorHAnsi" w:hAnsiTheme="majorHAnsi" w:cs="Times New Roman"/>
          <w:sz w:val="24"/>
          <w:szCs w:val="24"/>
        </w:rPr>
        <w:t xml:space="preserve"> June</w:t>
      </w:r>
      <w:r w:rsidR="00FD4584" w:rsidRPr="009622E6">
        <w:rPr>
          <w:rFonts w:asciiTheme="majorHAnsi" w:hAnsiTheme="majorHAnsi" w:cs="Times New Roman"/>
          <w:sz w:val="24"/>
          <w:szCs w:val="24"/>
        </w:rPr>
        <w:t xml:space="preserve"> </w:t>
      </w:r>
      <w:r w:rsidR="00A3755A" w:rsidRPr="009622E6">
        <w:rPr>
          <w:rFonts w:asciiTheme="majorHAnsi" w:hAnsiTheme="majorHAnsi" w:cs="Times New Roman"/>
          <w:sz w:val="24"/>
          <w:szCs w:val="24"/>
        </w:rPr>
        <w:t>2017</w:t>
      </w:r>
      <w:r w:rsidR="002A7EB6" w:rsidRPr="009622E6">
        <w:rPr>
          <w:rFonts w:asciiTheme="majorHAnsi" w:hAnsiTheme="majorHAnsi" w:cs="Times New Roman"/>
          <w:sz w:val="24"/>
          <w:szCs w:val="24"/>
        </w:rPr>
        <w:t>.</w:t>
      </w:r>
      <w:r w:rsidR="00894A48">
        <w:rPr>
          <w:rFonts w:asciiTheme="majorHAnsi" w:hAnsiTheme="majorHAnsi" w:cs="Times New Roman"/>
          <w:sz w:val="24"/>
          <w:szCs w:val="24"/>
        </w:rPr>
        <w:t xml:space="preserve"> </w:t>
      </w:r>
      <w:r w:rsidR="00814629" w:rsidRPr="009622E6">
        <w:rPr>
          <w:rFonts w:asciiTheme="majorHAnsi" w:hAnsiTheme="majorHAnsi" w:cs="Times New Roman"/>
          <w:sz w:val="24"/>
          <w:szCs w:val="24"/>
        </w:rPr>
        <w:t>This period commenced</w:t>
      </w:r>
      <w:r w:rsidR="00E52C39" w:rsidRPr="009622E6">
        <w:rPr>
          <w:rFonts w:asciiTheme="majorHAnsi" w:hAnsiTheme="majorHAnsi" w:cs="Times New Roman"/>
          <w:sz w:val="24"/>
          <w:szCs w:val="24"/>
        </w:rPr>
        <w:t xml:space="preserve"> </w:t>
      </w:r>
      <w:r w:rsidR="00405957" w:rsidRPr="009622E6">
        <w:rPr>
          <w:rFonts w:asciiTheme="majorHAnsi" w:hAnsiTheme="majorHAnsi" w:cs="Times New Roman"/>
          <w:sz w:val="24"/>
          <w:szCs w:val="24"/>
        </w:rPr>
        <w:t>6 months after the introduction of new local nutrition</w:t>
      </w:r>
      <w:r w:rsidR="00E52C39" w:rsidRPr="009622E6">
        <w:rPr>
          <w:rFonts w:asciiTheme="majorHAnsi" w:hAnsiTheme="majorHAnsi" w:cs="Times New Roman"/>
          <w:sz w:val="24"/>
          <w:szCs w:val="24"/>
        </w:rPr>
        <w:t>al practices</w:t>
      </w:r>
      <w:r w:rsidR="00405957" w:rsidRPr="009622E6">
        <w:rPr>
          <w:rFonts w:asciiTheme="majorHAnsi" w:hAnsiTheme="majorHAnsi" w:cs="Times New Roman"/>
          <w:sz w:val="24"/>
          <w:szCs w:val="24"/>
        </w:rPr>
        <w:t xml:space="preserve"> guidelines for </w:t>
      </w:r>
      <w:r w:rsidR="003908CE" w:rsidRPr="009622E6">
        <w:rPr>
          <w:rFonts w:asciiTheme="majorHAnsi" w:hAnsiTheme="majorHAnsi" w:cs="Times New Roman"/>
          <w:sz w:val="24"/>
          <w:szCs w:val="24"/>
        </w:rPr>
        <w:t>preterm infants</w:t>
      </w:r>
      <w:r w:rsidR="7F8C7055" w:rsidRPr="009622E6">
        <w:rPr>
          <w:rFonts w:asciiTheme="majorHAnsi" w:hAnsiTheme="majorHAnsi" w:cs="Times New Roman"/>
          <w:sz w:val="24"/>
          <w:szCs w:val="24"/>
        </w:rPr>
        <w:t>.</w:t>
      </w:r>
      <w:r w:rsidR="0033569E" w:rsidRPr="009622E6">
        <w:rPr>
          <w:rFonts w:asciiTheme="majorHAnsi" w:hAnsiTheme="majorHAnsi" w:cs="Times New Roman"/>
          <w:sz w:val="24"/>
          <w:szCs w:val="24"/>
        </w:rPr>
        <w:t xml:space="preserve"> </w:t>
      </w:r>
      <w:r w:rsidR="00E52C39" w:rsidRPr="009622E6">
        <w:rPr>
          <w:rFonts w:asciiTheme="majorHAnsi" w:hAnsiTheme="majorHAnsi" w:cs="Times New Roman"/>
          <w:sz w:val="24"/>
          <w:szCs w:val="24"/>
        </w:rPr>
        <w:t>The</w:t>
      </w:r>
      <w:r w:rsidR="002A7EB6" w:rsidRPr="009622E6">
        <w:rPr>
          <w:rFonts w:asciiTheme="majorHAnsi" w:hAnsiTheme="majorHAnsi" w:cs="Times New Roman"/>
          <w:sz w:val="24"/>
          <w:szCs w:val="24"/>
        </w:rPr>
        <w:t>se</w:t>
      </w:r>
      <w:r w:rsidR="00E52C39" w:rsidRPr="009622E6">
        <w:rPr>
          <w:rFonts w:asciiTheme="majorHAnsi" w:hAnsiTheme="majorHAnsi" w:cs="Times New Roman"/>
          <w:sz w:val="24"/>
          <w:szCs w:val="24"/>
        </w:rPr>
        <w:t xml:space="preserve"> have been described elsewhere</w:t>
      </w:r>
      <w:r w:rsidR="000D5A4D">
        <w:rPr>
          <w:rFonts w:asciiTheme="majorHAnsi" w:hAnsiTheme="majorHAnsi" w:cs="Times New Roman"/>
          <w:sz w:val="24"/>
          <w:szCs w:val="24"/>
        </w:rPr>
        <w:t xml:space="preserve"> (</w:t>
      </w:r>
      <w:hyperlink r:id="rId7" w:history="1">
        <w:r w:rsidR="000D5A4D" w:rsidRPr="002123B1">
          <w:rPr>
            <w:rStyle w:val="Hyperlink"/>
            <w:rFonts w:asciiTheme="majorHAnsi" w:hAnsiTheme="majorHAnsi" w:cs="Times New Roman"/>
            <w:sz w:val="24"/>
            <w:szCs w:val="24"/>
          </w:rPr>
          <w:t>http://dx.doi.org/10.1136/bmjopen-2017-017727</w:t>
        </w:r>
      </w:hyperlink>
      <w:r w:rsidR="000D5A4D">
        <w:rPr>
          <w:rFonts w:asciiTheme="majorHAnsi" w:hAnsiTheme="majorHAnsi" w:cs="Times New Roman"/>
          <w:sz w:val="24"/>
          <w:szCs w:val="24"/>
        </w:rPr>
        <w:t>,</w:t>
      </w:r>
      <w:r w:rsidR="00D864BF"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"doi:10.1136/bmjopen-2017-017727", "author" : [ { "dropping-particle" : "", "family" : "Johnson", "given" : "Mark J", "non-dropping-particle" : "", "parse-names" : false, "suffix" : "" }, { "dropping-particle" : "", "family" : "Leaf", "given" : "Alison A", "non-dropping-particle" : "", "parse-names" : false, "suffix" : "" }, { "dropping-particle" : "", "family" : "Pearson", "given" : "Freya", "non-dropping-particle" : "", "parse-names" : false, "suffix" : "" } ], "container-title" : "BMJ Open", "id" : "ITEM-1", "issued" : { "date-parts" : [ [ "2017" ] ] }, "title" : "Successfully implementing and embedding guidelines to improve the nutrition and growth of preterm infants in neonatal intensive care: a prospective interventional study", "type" : "article-journal" }, "uris" : [ "http://www.mendeley.com/documents/?uuid=8bd9289d-5b98-4d0d-8b19-6fc07f7778f0" ] } ], "mendeley" : { "formattedCitation" : "[18]", "plainTextFormattedCitation" : "[18]", "previouslyFormattedCitation" : "[18]" }, "properties" : {  }, "schema" : "https://github.com/citation-style-language/schema/raw/master/csl-citation.json" }</w:instrText>
      </w:r>
      <w:r w:rsidR="00D864BF" w:rsidRPr="009622E6">
        <w:rPr>
          <w:rFonts w:asciiTheme="majorHAnsi" w:hAnsiTheme="majorHAnsi" w:cs="Times New Roman"/>
          <w:sz w:val="24"/>
          <w:szCs w:val="24"/>
        </w:rPr>
        <w:fldChar w:fldCharType="separate"/>
      </w:r>
      <w:r w:rsidR="00C4193C" w:rsidRPr="00C4193C">
        <w:rPr>
          <w:rFonts w:asciiTheme="majorHAnsi" w:hAnsiTheme="majorHAnsi" w:cs="Times New Roman"/>
          <w:noProof/>
          <w:sz w:val="24"/>
          <w:szCs w:val="24"/>
        </w:rPr>
        <w:t>[18]</w:t>
      </w:r>
      <w:r w:rsidR="00D864BF" w:rsidRPr="009622E6">
        <w:rPr>
          <w:rFonts w:asciiTheme="majorHAnsi" w:hAnsiTheme="majorHAnsi" w:cs="Times New Roman"/>
          <w:sz w:val="24"/>
          <w:szCs w:val="24"/>
        </w:rPr>
        <w:fldChar w:fldCharType="end"/>
      </w:r>
      <w:r w:rsidR="000D5A4D">
        <w:rPr>
          <w:rFonts w:asciiTheme="majorHAnsi" w:hAnsiTheme="majorHAnsi" w:cs="Times New Roman"/>
          <w:sz w:val="24"/>
          <w:szCs w:val="24"/>
        </w:rPr>
        <w:t>)</w:t>
      </w:r>
      <w:r w:rsidR="00FA7AD5" w:rsidRPr="009622E6">
        <w:rPr>
          <w:rFonts w:asciiTheme="majorHAnsi" w:hAnsiTheme="majorHAnsi" w:cs="Times New Roman"/>
          <w:sz w:val="24"/>
          <w:szCs w:val="24"/>
        </w:rPr>
        <w:t>,</w:t>
      </w:r>
      <w:r w:rsidR="00E52C39" w:rsidRPr="009622E6">
        <w:rPr>
          <w:rFonts w:asciiTheme="majorHAnsi" w:hAnsiTheme="majorHAnsi" w:cs="Times New Roman"/>
          <w:sz w:val="24"/>
          <w:szCs w:val="24"/>
        </w:rPr>
        <w:t xml:space="preserve"> but briefly, consisted of improvements in parenteral nutrition (PN), a comprehensive nutritional guideline giving clear direction in increasing feeds and weaning of PN</w:t>
      </w:r>
      <w:r w:rsidR="004B2168" w:rsidRPr="009622E6">
        <w:rPr>
          <w:rFonts w:asciiTheme="majorHAnsi" w:hAnsiTheme="majorHAnsi" w:cs="Times New Roman"/>
          <w:sz w:val="24"/>
          <w:szCs w:val="24"/>
        </w:rPr>
        <w:t>,</w:t>
      </w:r>
      <w:r w:rsidR="00024A7D" w:rsidRPr="009622E6">
        <w:rPr>
          <w:rFonts w:asciiTheme="majorHAnsi" w:hAnsiTheme="majorHAnsi" w:cs="Times New Roman"/>
          <w:sz w:val="24"/>
          <w:szCs w:val="24"/>
        </w:rPr>
        <w:t xml:space="preserve"> a </w:t>
      </w:r>
      <w:r w:rsidR="002E1E8B" w:rsidRPr="009622E6">
        <w:rPr>
          <w:rFonts w:asciiTheme="majorHAnsi" w:hAnsiTheme="majorHAnsi" w:cs="Times New Roman"/>
          <w:sz w:val="24"/>
          <w:szCs w:val="24"/>
        </w:rPr>
        <w:t xml:space="preserve">multidisciplinary nutrition team </w:t>
      </w:r>
      <w:r w:rsidR="00E7252D">
        <w:rPr>
          <w:rFonts w:asciiTheme="majorHAnsi" w:hAnsiTheme="majorHAnsi" w:cs="Times New Roman"/>
          <w:sz w:val="24"/>
          <w:szCs w:val="24"/>
        </w:rPr>
        <w:t xml:space="preserve">(including a neonatologist, dietitian, pharmacists and nursing staff) </w:t>
      </w:r>
      <w:r w:rsidR="002E1E8B" w:rsidRPr="009622E6">
        <w:rPr>
          <w:rFonts w:asciiTheme="majorHAnsi" w:hAnsiTheme="majorHAnsi" w:cs="Times New Roman"/>
          <w:sz w:val="24"/>
          <w:szCs w:val="24"/>
        </w:rPr>
        <w:t>and weekly nutrition ward round</w:t>
      </w:r>
      <w:r w:rsidR="00E05E89">
        <w:rPr>
          <w:rFonts w:asciiTheme="majorHAnsi" w:hAnsiTheme="majorHAnsi" w:cs="Times New Roman"/>
          <w:sz w:val="24"/>
          <w:szCs w:val="24"/>
        </w:rPr>
        <w:t xml:space="preserve"> seeing all</w:t>
      </w:r>
      <w:r w:rsidR="00DB53D3">
        <w:rPr>
          <w:rFonts w:asciiTheme="majorHAnsi" w:hAnsiTheme="majorHAnsi" w:cs="Times New Roman"/>
          <w:sz w:val="24"/>
          <w:szCs w:val="24"/>
        </w:rPr>
        <w:t xml:space="preserve"> very preterm infants</w:t>
      </w:r>
      <w:r w:rsidR="00D864BF"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"doi:10.1136/bmjopen-2017-017727", "author" : [ { "dropping-particle" : "", "family" : "Johnson", "given" : "Mark J", "non-dropping-particle" : "", "parse-names" : false, "suffix" : "" }, { "dropping-particle" : "", "family" : "Leaf", "given" : "Alison A", "non-dropping-particle" : "", "parse-names" : false, "suffix" : "" }, { "dropping-particle" : "", "family" : "Pearson", "given" : "Freya", "non-dropping-particle" : "", "parse-names" : false, "suffix" : "" } ], "container-title" : "BMJ Open", "id" : "ITEM-1", "issued" : { "date-parts" : [ [ "2017" ] ] }, "title" : "Successfully implementing and embedding guidelines to improve the nutrition and growth of preterm infants in neonatal intensive care: a prospective interventional study", "type" : "article-journal" }, "uris" : [ "http://www.mendeley.com/documents/?uuid=8bd9289d-5b98-4d0d-8b19-6fc07f7778f0" ] } ], "mendeley" : { "formattedCitation" : "[18]", "plainTextFormattedCitation" : "[18]", "previouslyFormattedCitation" : "[18]" }, "properties" : {  }, "schema" : "https://github.com/citation-style-language/schema/raw/master/csl-citation.json" }</w:instrText>
      </w:r>
      <w:r w:rsidR="00D864BF" w:rsidRPr="009622E6">
        <w:rPr>
          <w:rFonts w:asciiTheme="majorHAnsi" w:hAnsiTheme="majorHAnsi" w:cs="Times New Roman"/>
          <w:sz w:val="24"/>
          <w:szCs w:val="24"/>
        </w:rPr>
        <w:fldChar w:fldCharType="separate"/>
      </w:r>
      <w:r w:rsidR="00C4193C" w:rsidRPr="00C4193C">
        <w:rPr>
          <w:rFonts w:asciiTheme="majorHAnsi" w:hAnsiTheme="majorHAnsi" w:cs="Times New Roman"/>
          <w:noProof/>
          <w:sz w:val="24"/>
          <w:szCs w:val="24"/>
        </w:rPr>
        <w:t>[18]</w:t>
      </w:r>
      <w:r w:rsidR="00D864BF" w:rsidRPr="009622E6">
        <w:rPr>
          <w:rFonts w:asciiTheme="majorHAnsi" w:hAnsiTheme="majorHAnsi" w:cs="Times New Roman"/>
          <w:sz w:val="24"/>
          <w:szCs w:val="24"/>
        </w:rPr>
        <w:fldChar w:fldCharType="end"/>
      </w:r>
      <w:r w:rsidR="00CE430A">
        <w:rPr>
          <w:rFonts w:asciiTheme="majorHAnsi" w:hAnsiTheme="majorHAnsi" w:cs="Times New Roman"/>
          <w:sz w:val="24"/>
          <w:szCs w:val="24"/>
        </w:rPr>
        <w:t>.</w:t>
      </w:r>
      <w:r w:rsidR="00D15DE3" w:rsidRPr="009622E6">
        <w:rPr>
          <w:rFonts w:asciiTheme="majorHAnsi" w:hAnsiTheme="majorHAnsi" w:cs="Times New Roman"/>
          <w:sz w:val="24"/>
          <w:szCs w:val="24"/>
        </w:rPr>
        <w:t xml:space="preserve"> </w:t>
      </w:r>
      <w:r w:rsidR="00E52C39" w:rsidRPr="009622E6">
        <w:rPr>
          <w:rFonts w:asciiTheme="majorHAnsi" w:hAnsiTheme="majorHAnsi" w:cs="Times New Roman"/>
          <w:sz w:val="24"/>
          <w:szCs w:val="24"/>
        </w:rPr>
        <w:t>Early PN and breast milk fortification were encouraged, and the changes in care aimed to deliver nutrient intakes in line with internationally recognised recommendations</w:t>
      </w:r>
      <w:r w:rsidR="00DB53D3">
        <w:rPr>
          <w:rFonts w:asciiTheme="majorHAnsi" w:hAnsiTheme="majorHAnsi" w:cs="Times New Roman"/>
          <w:sz w:val="24"/>
          <w:szCs w:val="24"/>
        </w:rPr>
        <w:t xml:space="preserve">, </w:t>
      </w:r>
      <w:r w:rsidR="00610297">
        <w:rPr>
          <w:rFonts w:asciiTheme="majorHAnsi" w:hAnsiTheme="majorHAnsi" w:cs="Times New Roman"/>
          <w:sz w:val="24"/>
          <w:szCs w:val="24"/>
        </w:rPr>
        <w:t>provid</w:t>
      </w:r>
      <w:r w:rsidR="00CE430A">
        <w:rPr>
          <w:rFonts w:asciiTheme="majorHAnsi" w:hAnsiTheme="majorHAnsi" w:cs="Times New Roman"/>
          <w:sz w:val="24"/>
          <w:szCs w:val="24"/>
        </w:rPr>
        <w:t>ing</w:t>
      </w:r>
      <w:r w:rsidR="00610297">
        <w:rPr>
          <w:rFonts w:asciiTheme="majorHAnsi" w:hAnsiTheme="majorHAnsi" w:cs="Times New Roman"/>
          <w:sz w:val="24"/>
          <w:szCs w:val="24"/>
        </w:rPr>
        <w:t xml:space="preserve"> a mean protein intake of 3.7g/kg/day during the first 2 weeks of life (range 2-4.9)</w:t>
      </w:r>
      <w:r w:rsidR="00D864BF"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"10.1097/MPG.0b013e3181adaee0.", "PMID" : "19881390", "abstract" : "The number of surviving children born prematurely has increased substantially during the last 2 decades. The major goal of enteral nutrient supply to these infants is to achieve growth similar to foetal growth coupled with satisfactory functional development. The accumulation of knowledge since the previous guideline on nutrition of preterm infants from the Committee on Nutrition of the European Society of Paediatric Gastroenterology and Nutrition in 1987 has made a new guideline necessary. Thus, an ad hoc expert panel was convened by the Committee on Nutrition of the European Society of Paediatric Gastroenterology, Hepatology, and Nutrition in 2007 to make appropriate recommendations. The present guideline, of which the major recommendations are summarised here (for the full report, see http://links.lww.com/A1480), is consistent with, but not identical to, recent guidelines from the Life Sciences Research Office of the American Society for Nutritional Sciences published in 2002 and recommendations from the handbook Nutrition of the Preterm Infant. Scientific Basis and Practical Guidelines, 2nd ed, edited by Tsang et al, and published in 2005. The preferred food for premature infants is fortified human milk from the infant's own mother, or, alternatively, formula designed for premature infants. This guideline aims to provide proposed advisable ranges for nutrient intakes for stable-growing preterm infants up to a weight of approximately 1800 g, because most data are available for these infants. These recommendations are based on a considered review of available scientific reports on the subject, and on expert consensus for which the available scientific data are considered inadequate.", "author" : [ { "dropping-particle" : "", "family" : "Agostoni C, Buonocore G, Carnielli VP, De Curtis M, Darmaun D, Decsi T, Domell\u00f6f M, Embleton ND, Fusch C, Genzel-Boroviczeny O, Goulet O, Kalhan SC, Kolacek S, Koletzko B, Lapillonne A, Mihatsch W, Moreno L, Neu J, Poindexter B, Puntis J, Putet G, Rigo J,", "given" : "Ziegler EE; ESPGHAN Committee on Nutrition.", "non-dropping-particle" : "", "parse-names" : false, "suffix" : "" } ], "container-title" : "J Pediatr Gastroenterol Nutr.", "id" : "ITEM-1", "issue" : "1", "issued" : { "date-parts" : [ [ "2010" ] ] }, "page" : "85-91", "title" : "Enteral nutrient supply for preterm infants: commentary from the European Society of Paediatric Gastroenterology, Hepatology and Nutrition Committee on Nutrition.", "type" : "article-journal", "volume" : "50" }, "uris" : [ "http://www.mendeley.com/documents/?uuid=9c4d2779-2c8c-49d8-9500-6a25fe987e7d" ] }, { "id" : "ITEM-2", "itemData" : { "DOI" : "doi:10.1136/bmjopen-2017-017727", "author" : [ { "dropping-particle" : "", "family" : "Johnson", "given" : "Mark J", "non-dropping-particle" : "", "parse-names" : false, "suffix" : "" }, { "dropping-particle" : "", "family" : "Leaf", "given" : "Alison A", "non-dropping-particle" : "", "parse-names" : false, "suffix" : "" }, { "dropping-particle" : "", "family" : "Pearson", "given" : "Freya", "non-dropping-particle" : "", "parse-names" : false, "suffix" : "" } ], "container-title" : "BMJ Open", "id" : "ITEM-2", "issued" : { "date-parts" : [ [ "2017" ] ] }, "title" : "Successfully implementing and embedding guidelines to improve the nutrition and growth of preterm infants in neonatal intensive care: a prospective interventional study", "type" : "article-journal" }, "uris" : [ "http://www.mendeley.com/documents/?uuid=8bd9289d-5b98-4d0d-8b19-6fc07f7778f0" ] } ], "mendeley" : { "formattedCitation" : "[8,18]", "plainTextFormattedCitation" : "[8,18]", "previouslyFormattedCitation" : "[9,18]" }, "properties" : {  }, "schema" : "https://github.com/citation-style-language/schema/raw/master/csl-citation.json" }</w:instrText>
      </w:r>
      <w:r w:rsidR="00D864BF" w:rsidRPr="009622E6">
        <w:rPr>
          <w:rFonts w:asciiTheme="majorHAnsi" w:hAnsiTheme="majorHAnsi" w:cs="Times New Roman"/>
          <w:sz w:val="24"/>
          <w:szCs w:val="24"/>
        </w:rPr>
        <w:fldChar w:fldCharType="separate"/>
      </w:r>
      <w:r w:rsidR="00B90AE8" w:rsidRPr="00B90AE8">
        <w:rPr>
          <w:rFonts w:asciiTheme="majorHAnsi" w:hAnsiTheme="majorHAnsi" w:cs="Times New Roman"/>
          <w:noProof/>
          <w:sz w:val="24"/>
          <w:szCs w:val="24"/>
        </w:rPr>
        <w:t>[8,18]</w:t>
      </w:r>
      <w:r w:rsidR="00D864BF" w:rsidRPr="009622E6">
        <w:rPr>
          <w:rFonts w:asciiTheme="majorHAnsi" w:hAnsiTheme="majorHAnsi" w:cs="Times New Roman"/>
          <w:sz w:val="24"/>
          <w:szCs w:val="24"/>
        </w:rPr>
        <w:fldChar w:fldCharType="end"/>
      </w:r>
      <w:r w:rsidR="00CE430A">
        <w:rPr>
          <w:rFonts w:asciiTheme="majorHAnsi" w:hAnsiTheme="majorHAnsi" w:cs="Times New Roman"/>
          <w:sz w:val="24"/>
          <w:szCs w:val="24"/>
        </w:rPr>
        <w:t>.</w:t>
      </w:r>
      <w:r w:rsidR="00CF799E">
        <w:rPr>
          <w:rFonts w:asciiTheme="majorHAnsi" w:hAnsiTheme="majorHAnsi" w:cs="Times New Roman"/>
          <w:sz w:val="24"/>
          <w:szCs w:val="24"/>
        </w:rPr>
        <w:t xml:space="preserve"> </w:t>
      </w:r>
    </w:p>
    <w:p w:rsidR="00E64EB0" w:rsidRPr="009622E6" w:rsidRDefault="00066CC5" w:rsidP="009E2DF4">
      <w:pPr>
        <w:spacing w:line="480" w:lineRule="auto"/>
        <w:rPr>
          <w:rFonts w:asciiTheme="majorHAnsi" w:hAnsiTheme="majorHAnsi" w:cs="Times New Roman"/>
          <w:sz w:val="24"/>
          <w:szCs w:val="24"/>
        </w:rPr>
      </w:pPr>
      <w:r>
        <w:rPr>
          <w:rFonts w:asciiTheme="majorHAnsi" w:hAnsiTheme="majorHAnsi" w:cs="Times New Roman"/>
          <w:sz w:val="24"/>
          <w:szCs w:val="24"/>
        </w:rPr>
        <w:t>Anonymised d</w:t>
      </w:r>
      <w:r w:rsidR="00D15DE3" w:rsidRPr="009622E6">
        <w:rPr>
          <w:rFonts w:asciiTheme="majorHAnsi" w:hAnsiTheme="majorHAnsi" w:cs="Times New Roman"/>
          <w:sz w:val="24"/>
          <w:szCs w:val="24"/>
        </w:rPr>
        <w:t xml:space="preserve">ata were </w:t>
      </w:r>
      <w:r w:rsidR="0065156E" w:rsidRPr="009622E6">
        <w:rPr>
          <w:rFonts w:asciiTheme="majorHAnsi" w:hAnsiTheme="majorHAnsi" w:cs="Times New Roman"/>
          <w:sz w:val="24"/>
          <w:szCs w:val="24"/>
        </w:rPr>
        <w:t>extracted from the clinical database (</w:t>
      </w:r>
      <w:proofErr w:type="spellStart"/>
      <w:r w:rsidR="0065156E" w:rsidRPr="009622E6">
        <w:rPr>
          <w:rFonts w:asciiTheme="majorHAnsi" w:hAnsiTheme="majorHAnsi" w:cs="Times New Roman"/>
          <w:sz w:val="24"/>
          <w:szCs w:val="24"/>
        </w:rPr>
        <w:t>BadgerNet</w:t>
      </w:r>
      <w:proofErr w:type="spellEnd"/>
      <w:r w:rsidR="0065156E" w:rsidRPr="009622E6">
        <w:rPr>
          <w:rFonts w:asciiTheme="majorHAnsi" w:hAnsiTheme="majorHAnsi" w:cs="Times New Roman"/>
          <w:sz w:val="24"/>
          <w:szCs w:val="24"/>
        </w:rPr>
        <w:t>)</w:t>
      </w:r>
      <w:r w:rsidR="00D864BF"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"author" : [ { "dropping-particle" : "", "family" : "Clevermed Ltd", "given" : "", "non-dropping-particle" : "", "parse-names" : false, "suffix" : "" } ], "id" : "ITEM-1", "issued" : { "date-parts" : [ [ "0" ] ] }, "title" : "BadgerNet Neonatal - EPR", "type" : "article" }, "uris" : [ "http://www.mendeley.com/documents/?uuid=e44b2577-3d88-4008-9b66-51ec7ceb4529" ] } ], "mendeley" : { "formattedCitation" : "[20]", "plainTextFormattedCitation" : "[20]", "previouslyFormattedCitation" : "[20]" }, "properties" : {  }, "schema" : "https://github.com/citation-style-language/schema/raw/master/csl-citation.json" }</w:instrText>
      </w:r>
      <w:r w:rsidR="00D864BF" w:rsidRPr="009622E6">
        <w:rPr>
          <w:rFonts w:asciiTheme="majorHAnsi" w:hAnsiTheme="majorHAnsi" w:cs="Times New Roman"/>
          <w:sz w:val="24"/>
          <w:szCs w:val="24"/>
        </w:rPr>
        <w:fldChar w:fldCharType="separate"/>
      </w:r>
      <w:r w:rsidR="00C4193C" w:rsidRPr="00C4193C">
        <w:rPr>
          <w:rFonts w:asciiTheme="majorHAnsi" w:hAnsiTheme="majorHAnsi" w:cs="Times New Roman"/>
          <w:noProof/>
          <w:sz w:val="24"/>
          <w:szCs w:val="24"/>
        </w:rPr>
        <w:t>[20]</w:t>
      </w:r>
      <w:r w:rsidR="00D864BF" w:rsidRPr="009622E6">
        <w:rPr>
          <w:rFonts w:asciiTheme="majorHAnsi" w:hAnsiTheme="majorHAnsi" w:cs="Times New Roman"/>
          <w:sz w:val="24"/>
          <w:szCs w:val="24"/>
        </w:rPr>
        <w:fldChar w:fldCharType="end"/>
      </w:r>
      <w:r w:rsidR="00CE430A">
        <w:rPr>
          <w:rFonts w:asciiTheme="majorHAnsi" w:hAnsiTheme="majorHAnsi" w:cs="Times New Roman"/>
          <w:sz w:val="24"/>
          <w:szCs w:val="24"/>
        </w:rPr>
        <w:t>,</w:t>
      </w:r>
      <w:r w:rsidR="0065156E" w:rsidRPr="009622E6">
        <w:rPr>
          <w:rFonts w:asciiTheme="majorHAnsi" w:hAnsiTheme="majorHAnsi" w:cs="Times New Roman"/>
          <w:sz w:val="24"/>
          <w:szCs w:val="24"/>
        </w:rPr>
        <w:t xml:space="preserve"> which prospectively collects daily da</w:t>
      </w:r>
      <w:r w:rsidR="00801140" w:rsidRPr="009622E6">
        <w:rPr>
          <w:rFonts w:asciiTheme="majorHAnsi" w:hAnsiTheme="majorHAnsi" w:cs="Times New Roman"/>
          <w:sz w:val="24"/>
          <w:szCs w:val="24"/>
        </w:rPr>
        <w:t>ta on routine infant care</w:t>
      </w:r>
      <w:r w:rsidR="0065156E" w:rsidRPr="009622E6">
        <w:rPr>
          <w:rFonts w:asciiTheme="majorHAnsi" w:hAnsiTheme="majorHAnsi" w:cs="Times New Roman"/>
          <w:sz w:val="24"/>
          <w:szCs w:val="24"/>
        </w:rPr>
        <w:t xml:space="preserve">. </w:t>
      </w:r>
      <w:r w:rsidR="0077002A" w:rsidRPr="009622E6">
        <w:rPr>
          <w:rFonts w:asciiTheme="majorHAnsi" w:hAnsiTheme="majorHAnsi" w:cs="Times New Roman"/>
          <w:sz w:val="24"/>
          <w:szCs w:val="24"/>
        </w:rPr>
        <w:t>This include</w:t>
      </w:r>
      <w:r w:rsidR="002E1E8B" w:rsidRPr="009622E6">
        <w:rPr>
          <w:rFonts w:asciiTheme="majorHAnsi" w:hAnsiTheme="majorHAnsi" w:cs="Times New Roman"/>
          <w:sz w:val="24"/>
          <w:szCs w:val="24"/>
        </w:rPr>
        <w:t>d</w:t>
      </w:r>
      <w:r w:rsidR="0077002A" w:rsidRPr="009622E6">
        <w:rPr>
          <w:rFonts w:asciiTheme="majorHAnsi" w:hAnsiTheme="majorHAnsi" w:cs="Times New Roman"/>
          <w:sz w:val="24"/>
          <w:szCs w:val="24"/>
        </w:rPr>
        <w:t xml:space="preserve"> r</w:t>
      </w:r>
      <w:r w:rsidR="7F8C7055" w:rsidRPr="009622E6">
        <w:rPr>
          <w:rFonts w:asciiTheme="majorHAnsi" w:hAnsiTheme="majorHAnsi" w:cs="Times New Roman"/>
          <w:sz w:val="24"/>
          <w:szCs w:val="24"/>
        </w:rPr>
        <w:t>outine growth data</w:t>
      </w:r>
      <w:r w:rsidR="0077002A" w:rsidRPr="009622E6">
        <w:rPr>
          <w:rFonts w:asciiTheme="majorHAnsi" w:hAnsiTheme="majorHAnsi" w:cs="Times New Roman"/>
          <w:sz w:val="24"/>
          <w:szCs w:val="24"/>
        </w:rPr>
        <w:t xml:space="preserve"> </w:t>
      </w:r>
      <w:r w:rsidR="7F8C7055" w:rsidRPr="009622E6">
        <w:rPr>
          <w:rFonts w:asciiTheme="majorHAnsi" w:hAnsiTheme="majorHAnsi" w:cs="Times New Roman"/>
          <w:sz w:val="24"/>
          <w:szCs w:val="24"/>
        </w:rPr>
        <w:t>collected for all in</w:t>
      </w:r>
      <w:r w:rsidR="00A3755A" w:rsidRPr="009622E6">
        <w:rPr>
          <w:rFonts w:asciiTheme="majorHAnsi" w:hAnsiTheme="majorHAnsi" w:cs="Times New Roman"/>
          <w:sz w:val="24"/>
          <w:szCs w:val="24"/>
        </w:rPr>
        <w:t xml:space="preserve">fants on the </w:t>
      </w:r>
      <w:r w:rsidR="007E795E" w:rsidRPr="009622E6">
        <w:rPr>
          <w:rFonts w:asciiTheme="majorHAnsi" w:hAnsiTheme="majorHAnsi" w:cs="Times New Roman"/>
          <w:sz w:val="24"/>
          <w:szCs w:val="24"/>
        </w:rPr>
        <w:t>NNU</w:t>
      </w:r>
      <w:r w:rsidR="00A3755A" w:rsidRPr="009622E6">
        <w:rPr>
          <w:rFonts w:asciiTheme="majorHAnsi" w:hAnsiTheme="majorHAnsi" w:cs="Times New Roman"/>
          <w:sz w:val="24"/>
          <w:szCs w:val="24"/>
        </w:rPr>
        <w:t xml:space="preserve"> as part of their inpatient stay including weight, </w:t>
      </w:r>
      <w:r w:rsidR="007E795E" w:rsidRPr="009622E6">
        <w:rPr>
          <w:rFonts w:asciiTheme="majorHAnsi" w:hAnsiTheme="majorHAnsi" w:cs="Times New Roman"/>
          <w:sz w:val="24"/>
          <w:szCs w:val="24"/>
        </w:rPr>
        <w:t>HC</w:t>
      </w:r>
      <w:r w:rsidR="00A3755A" w:rsidRPr="009622E6">
        <w:rPr>
          <w:rFonts w:asciiTheme="majorHAnsi" w:hAnsiTheme="majorHAnsi" w:cs="Times New Roman"/>
          <w:sz w:val="24"/>
          <w:szCs w:val="24"/>
        </w:rPr>
        <w:t xml:space="preserve"> and length</w:t>
      </w:r>
      <w:r w:rsidR="7F8C7055" w:rsidRPr="009622E6">
        <w:rPr>
          <w:rFonts w:asciiTheme="majorHAnsi" w:hAnsiTheme="majorHAnsi" w:cs="Times New Roman"/>
          <w:sz w:val="24"/>
          <w:szCs w:val="24"/>
        </w:rPr>
        <w:t xml:space="preserve">. </w:t>
      </w:r>
      <w:r w:rsidR="00E418AA">
        <w:rPr>
          <w:rFonts w:asciiTheme="majorHAnsi" w:hAnsiTheme="majorHAnsi" w:cs="Times New Roman"/>
          <w:sz w:val="24"/>
          <w:szCs w:val="24"/>
        </w:rPr>
        <w:t>To be included in the study, i</w:t>
      </w:r>
      <w:r w:rsidR="0077002A" w:rsidRPr="009622E6">
        <w:rPr>
          <w:rFonts w:asciiTheme="majorHAnsi" w:hAnsiTheme="majorHAnsi" w:cs="Times New Roman"/>
          <w:sz w:val="24"/>
          <w:szCs w:val="24"/>
        </w:rPr>
        <w:t>nfants</w:t>
      </w:r>
      <w:r w:rsidR="00C342A2" w:rsidRPr="009622E6">
        <w:rPr>
          <w:rFonts w:asciiTheme="majorHAnsi" w:hAnsiTheme="majorHAnsi" w:cs="Times New Roman"/>
          <w:sz w:val="24"/>
          <w:szCs w:val="24"/>
        </w:rPr>
        <w:t xml:space="preserve"> </w:t>
      </w:r>
      <w:r w:rsidR="00E418AA">
        <w:rPr>
          <w:rFonts w:asciiTheme="majorHAnsi" w:hAnsiTheme="majorHAnsi" w:cs="Times New Roman"/>
          <w:sz w:val="24"/>
          <w:szCs w:val="24"/>
        </w:rPr>
        <w:t xml:space="preserve">had to have </w:t>
      </w:r>
      <w:r w:rsidR="00C342A2" w:rsidRPr="009622E6">
        <w:rPr>
          <w:rFonts w:asciiTheme="majorHAnsi" w:hAnsiTheme="majorHAnsi" w:cs="Times New Roman"/>
          <w:sz w:val="24"/>
          <w:szCs w:val="24"/>
        </w:rPr>
        <w:t>&gt;1 week of growth measurements</w:t>
      </w:r>
      <w:r w:rsidR="00E418AA">
        <w:rPr>
          <w:rFonts w:asciiTheme="majorHAnsi" w:hAnsiTheme="majorHAnsi" w:cs="Times New Roman"/>
          <w:sz w:val="24"/>
          <w:szCs w:val="24"/>
        </w:rPr>
        <w:t xml:space="preserve"> and </w:t>
      </w:r>
      <w:r w:rsidR="00E61F47">
        <w:rPr>
          <w:rFonts w:asciiTheme="majorHAnsi" w:hAnsiTheme="majorHAnsi" w:cs="Times New Roman"/>
          <w:sz w:val="24"/>
          <w:szCs w:val="24"/>
        </w:rPr>
        <w:t xml:space="preserve">be </w:t>
      </w:r>
      <w:r w:rsidR="00E418AA">
        <w:rPr>
          <w:rFonts w:asciiTheme="majorHAnsi" w:hAnsiTheme="majorHAnsi" w:cs="Times New Roman"/>
          <w:sz w:val="24"/>
          <w:szCs w:val="24"/>
        </w:rPr>
        <w:t xml:space="preserve">admitted to the NNU in the first week of life. </w:t>
      </w:r>
      <w:r w:rsidR="002A4D61">
        <w:rPr>
          <w:rFonts w:asciiTheme="majorHAnsi" w:hAnsiTheme="majorHAnsi" w:cs="Times New Roman"/>
          <w:sz w:val="24"/>
          <w:szCs w:val="24"/>
        </w:rPr>
        <w:t>Preterm infants were included in the study regardless of their size and weight a</w:t>
      </w:r>
      <w:r w:rsidR="00412693">
        <w:rPr>
          <w:rFonts w:asciiTheme="majorHAnsi" w:hAnsiTheme="majorHAnsi" w:cs="Times New Roman"/>
          <w:sz w:val="24"/>
          <w:szCs w:val="24"/>
        </w:rPr>
        <w:t>t</w:t>
      </w:r>
      <w:r w:rsidR="002A4D61">
        <w:rPr>
          <w:rFonts w:asciiTheme="majorHAnsi" w:hAnsiTheme="majorHAnsi" w:cs="Times New Roman"/>
          <w:sz w:val="24"/>
          <w:szCs w:val="24"/>
        </w:rPr>
        <w:t xml:space="preserve"> birth. </w:t>
      </w:r>
      <w:r w:rsidR="0077002A" w:rsidRPr="009622E6">
        <w:rPr>
          <w:rFonts w:asciiTheme="majorHAnsi" w:hAnsiTheme="majorHAnsi" w:cs="Times New Roman"/>
          <w:sz w:val="24"/>
          <w:szCs w:val="24"/>
        </w:rPr>
        <w:t>Data</w:t>
      </w:r>
      <w:r w:rsidR="00A3755A" w:rsidRPr="009622E6">
        <w:rPr>
          <w:rFonts w:asciiTheme="majorHAnsi" w:hAnsiTheme="majorHAnsi" w:cs="Times New Roman"/>
          <w:sz w:val="24"/>
          <w:szCs w:val="24"/>
        </w:rPr>
        <w:t xml:space="preserve"> wer</w:t>
      </w:r>
      <w:r w:rsidR="00D15DE3" w:rsidRPr="009622E6">
        <w:rPr>
          <w:rFonts w:asciiTheme="majorHAnsi" w:hAnsiTheme="majorHAnsi" w:cs="Times New Roman"/>
          <w:sz w:val="24"/>
          <w:szCs w:val="24"/>
        </w:rPr>
        <w:t>e included in the study until 36</w:t>
      </w:r>
      <w:r w:rsidR="00A3755A" w:rsidRPr="009622E6">
        <w:rPr>
          <w:rFonts w:asciiTheme="majorHAnsi" w:hAnsiTheme="majorHAnsi" w:cs="Times New Roman"/>
          <w:sz w:val="24"/>
          <w:szCs w:val="24"/>
        </w:rPr>
        <w:t xml:space="preserve"> weeks </w:t>
      </w:r>
      <w:r w:rsidR="00CE66C0" w:rsidRPr="009622E6">
        <w:rPr>
          <w:rFonts w:asciiTheme="majorHAnsi" w:hAnsiTheme="majorHAnsi" w:cs="Times New Roman"/>
          <w:sz w:val="24"/>
          <w:szCs w:val="24"/>
        </w:rPr>
        <w:t>postmenstrual age</w:t>
      </w:r>
      <w:r w:rsidR="006F5D8F" w:rsidRPr="009622E6">
        <w:rPr>
          <w:rFonts w:asciiTheme="majorHAnsi" w:hAnsiTheme="majorHAnsi" w:cs="Times New Roman"/>
          <w:sz w:val="24"/>
          <w:szCs w:val="24"/>
        </w:rPr>
        <w:t xml:space="preserve"> (PMA)</w:t>
      </w:r>
      <w:r w:rsidR="006D4936" w:rsidRPr="009622E6">
        <w:rPr>
          <w:rFonts w:asciiTheme="majorHAnsi" w:hAnsiTheme="majorHAnsi" w:cs="Times New Roman"/>
          <w:sz w:val="24"/>
          <w:szCs w:val="24"/>
        </w:rPr>
        <w:t>,</w:t>
      </w:r>
      <w:r w:rsidR="00CE66C0" w:rsidRPr="009622E6">
        <w:rPr>
          <w:rFonts w:asciiTheme="majorHAnsi" w:hAnsiTheme="majorHAnsi" w:cs="Times New Roman"/>
          <w:sz w:val="24"/>
          <w:szCs w:val="24"/>
        </w:rPr>
        <w:t xml:space="preserve"> </w:t>
      </w:r>
      <w:r w:rsidR="00F92FAB" w:rsidRPr="009622E6">
        <w:rPr>
          <w:rFonts w:asciiTheme="majorHAnsi" w:hAnsiTheme="majorHAnsi" w:cs="Times New Roman"/>
          <w:sz w:val="24"/>
          <w:szCs w:val="24"/>
        </w:rPr>
        <w:t xml:space="preserve">discharge </w:t>
      </w:r>
      <w:r w:rsidR="00C342A2" w:rsidRPr="009622E6">
        <w:rPr>
          <w:rFonts w:asciiTheme="majorHAnsi" w:hAnsiTheme="majorHAnsi" w:cs="Times New Roman"/>
          <w:sz w:val="24"/>
          <w:szCs w:val="24"/>
        </w:rPr>
        <w:t>(to home, another NNU or paediatric ward)</w:t>
      </w:r>
      <w:r w:rsidR="00436EA4" w:rsidRPr="009622E6">
        <w:rPr>
          <w:rFonts w:asciiTheme="majorHAnsi" w:hAnsiTheme="majorHAnsi" w:cs="Times New Roman"/>
          <w:sz w:val="24"/>
          <w:szCs w:val="24"/>
        </w:rPr>
        <w:t xml:space="preserve"> or death</w:t>
      </w:r>
      <w:r w:rsidR="0065156E" w:rsidRPr="009622E6">
        <w:rPr>
          <w:rFonts w:asciiTheme="majorHAnsi" w:hAnsiTheme="majorHAnsi" w:cs="Times New Roman"/>
          <w:sz w:val="24"/>
          <w:szCs w:val="24"/>
        </w:rPr>
        <w:t xml:space="preserve">. Measurements of growth parameters were carried out </w:t>
      </w:r>
      <w:r w:rsidR="004B2168" w:rsidRPr="009622E6">
        <w:rPr>
          <w:rFonts w:asciiTheme="majorHAnsi" w:hAnsiTheme="majorHAnsi" w:cs="Times New Roman"/>
          <w:sz w:val="24"/>
          <w:szCs w:val="24"/>
        </w:rPr>
        <w:t xml:space="preserve">weekly </w:t>
      </w:r>
      <w:r w:rsidR="0065156E" w:rsidRPr="009622E6">
        <w:rPr>
          <w:rFonts w:asciiTheme="majorHAnsi" w:hAnsiTheme="majorHAnsi" w:cs="Times New Roman"/>
          <w:sz w:val="24"/>
          <w:szCs w:val="24"/>
        </w:rPr>
        <w:t>b</w:t>
      </w:r>
      <w:r w:rsidR="7F8C7055" w:rsidRPr="009622E6">
        <w:rPr>
          <w:rFonts w:asciiTheme="majorHAnsi" w:hAnsiTheme="majorHAnsi" w:cs="Times New Roman"/>
          <w:sz w:val="24"/>
          <w:szCs w:val="24"/>
        </w:rPr>
        <w:t xml:space="preserve">y nursing staff </w:t>
      </w:r>
      <w:r w:rsidR="0065156E" w:rsidRPr="009622E6">
        <w:rPr>
          <w:rFonts w:asciiTheme="majorHAnsi" w:hAnsiTheme="majorHAnsi" w:cs="Times New Roman"/>
          <w:sz w:val="24"/>
          <w:szCs w:val="24"/>
        </w:rPr>
        <w:lastRenderedPageBreak/>
        <w:t>according to</w:t>
      </w:r>
      <w:r w:rsidR="00FA7AD5" w:rsidRPr="009622E6">
        <w:rPr>
          <w:rFonts w:asciiTheme="majorHAnsi" w:hAnsiTheme="majorHAnsi" w:cs="Times New Roman"/>
          <w:sz w:val="24"/>
          <w:szCs w:val="24"/>
        </w:rPr>
        <w:t xml:space="preserve"> a</w:t>
      </w:r>
      <w:r w:rsidR="0065156E" w:rsidRPr="009622E6">
        <w:rPr>
          <w:rFonts w:asciiTheme="majorHAnsi" w:hAnsiTheme="majorHAnsi" w:cs="Times New Roman"/>
          <w:sz w:val="24"/>
          <w:szCs w:val="24"/>
        </w:rPr>
        <w:t xml:space="preserve"> standard operating procedure</w:t>
      </w:r>
      <w:r w:rsidR="006B79A3">
        <w:rPr>
          <w:rFonts w:asciiTheme="majorHAnsi" w:hAnsiTheme="majorHAnsi" w:cs="Times New Roman"/>
          <w:sz w:val="24"/>
          <w:szCs w:val="24"/>
        </w:rPr>
        <w:t xml:space="preserve"> and using standardised equipment</w:t>
      </w:r>
      <w:r w:rsidR="00E25DFB" w:rsidRPr="009622E6">
        <w:rPr>
          <w:rFonts w:asciiTheme="majorHAnsi" w:hAnsiTheme="majorHAnsi" w:cs="Times New Roman"/>
          <w:sz w:val="24"/>
          <w:szCs w:val="24"/>
        </w:rPr>
        <w:t>.</w:t>
      </w:r>
      <w:r w:rsidR="00C1478F">
        <w:rPr>
          <w:rFonts w:asciiTheme="majorHAnsi" w:hAnsiTheme="majorHAnsi" w:cs="Times New Roman"/>
          <w:sz w:val="24"/>
          <w:szCs w:val="24"/>
        </w:rPr>
        <w:t xml:space="preserve"> </w:t>
      </w:r>
      <w:r w:rsidR="006B79A3">
        <w:rPr>
          <w:rFonts w:asciiTheme="majorHAnsi" w:hAnsiTheme="majorHAnsi" w:cs="Times New Roman"/>
          <w:sz w:val="24"/>
          <w:szCs w:val="24"/>
        </w:rPr>
        <w:t>Staff received f</w:t>
      </w:r>
      <w:r w:rsidR="00C1478F">
        <w:rPr>
          <w:rFonts w:asciiTheme="majorHAnsi" w:hAnsiTheme="majorHAnsi" w:cs="Times New Roman"/>
          <w:sz w:val="24"/>
          <w:szCs w:val="24"/>
        </w:rPr>
        <w:t xml:space="preserve">ace to face training on measuring </w:t>
      </w:r>
      <w:r w:rsidR="006B79A3">
        <w:rPr>
          <w:rFonts w:asciiTheme="majorHAnsi" w:hAnsiTheme="majorHAnsi" w:cs="Times New Roman"/>
          <w:sz w:val="24"/>
          <w:szCs w:val="24"/>
        </w:rPr>
        <w:t>as part of their induction.</w:t>
      </w:r>
    </w:p>
    <w:p w:rsidR="00262FE4" w:rsidRPr="009622E6" w:rsidRDefault="00187FB3" w:rsidP="009E2DF4">
      <w:pPr>
        <w:spacing w:line="480" w:lineRule="auto"/>
        <w:rPr>
          <w:rFonts w:asciiTheme="majorHAnsi" w:hAnsiTheme="majorHAnsi" w:cs="Times New Roman"/>
          <w:sz w:val="24"/>
          <w:szCs w:val="24"/>
        </w:rPr>
      </w:pPr>
      <w:r w:rsidRPr="009622E6">
        <w:rPr>
          <w:rFonts w:asciiTheme="majorHAnsi" w:hAnsiTheme="majorHAnsi" w:cs="Times New Roman"/>
          <w:sz w:val="24"/>
          <w:szCs w:val="24"/>
        </w:rPr>
        <w:t>Infants</w:t>
      </w:r>
      <w:r w:rsidR="14BB74FC" w:rsidRPr="009622E6">
        <w:rPr>
          <w:rFonts w:asciiTheme="majorHAnsi" w:hAnsiTheme="majorHAnsi" w:cs="Times New Roman"/>
          <w:sz w:val="24"/>
          <w:szCs w:val="24"/>
        </w:rPr>
        <w:t xml:space="preserve"> were divided into subgroups based on </w:t>
      </w:r>
      <w:r w:rsidR="008E594B" w:rsidRPr="009622E6">
        <w:rPr>
          <w:rFonts w:asciiTheme="majorHAnsi" w:hAnsiTheme="majorHAnsi" w:cs="Times New Roman"/>
          <w:sz w:val="24"/>
          <w:szCs w:val="24"/>
        </w:rPr>
        <w:t>GA</w:t>
      </w:r>
      <w:r w:rsidR="14BB74FC" w:rsidRPr="009622E6">
        <w:rPr>
          <w:rFonts w:asciiTheme="majorHAnsi" w:hAnsiTheme="majorHAnsi" w:cs="Times New Roman"/>
          <w:sz w:val="24"/>
          <w:szCs w:val="24"/>
        </w:rPr>
        <w:t xml:space="preserve"> at bir</w:t>
      </w:r>
      <w:r w:rsidR="006D4936" w:rsidRPr="009622E6">
        <w:rPr>
          <w:rFonts w:asciiTheme="majorHAnsi" w:hAnsiTheme="majorHAnsi" w:cs="Times New Roman"/>
          <w:sz w:val="24"/>
          <w:szCs w:val="24"/>
        </w:rPr>
        <w:t>th</w:t>
      </w:r>
      <w:r w:rsidR="000E06C3">
        <w:rPr>
          <w:rFonts w:asciiTheme="majorHAnsi" w:hAnsiTheme="majorHAnsi" w:cs="Times New Roman"/>
          <w:sz w:val="24"/>
          <w:szCs w:val="24"/>
        </w:rPr>
        <w:t xml:space="preserve"> and gender</w:t>
      </w:r>
      <w:r w:rsidR="006D4936" w:rsidRPr="009622E6">
        <w:rPr>
          <w:rFonts w:asciiTheme="majorHAnsi" w:hAnsiTheme="majorHAnsi" w:cs="Times New Roman"/>
          <w:sz w:val="24"/>
          <w:szCs w:val="24"/>
        </w:rPr>
        <w:t xml:space="preserve">. </w:t>
      </w:r>
      <w:r w:rsidR="14BB74FC" w:rsidRPr="009622E6">
        <w:rPr>
          <w:rFonts w:asciiTheme="majorHAnsi" w:hAnsiTheme="majorHAnsi" w:cs="Times New Roman"/>
          <w:sz w:val="24"/>
          <w:szCs w:val="24"/>
        </w:rPr>
        <w:t>The growth data for each of these subgroups was collat</w:t>
      </w:r>
      <w:r w:rsidR="0018662C">
        <w:rPr>
          <w:rFonts w:asciiTheme="majorHAnsi" w:hAnsiTheme="majorHAnsi" w:cs="Times New Roman"/>
          <w:sz w:val="24"/>
          <w:szCs w:val="24"/>
        </w:rPr>
        <w:t>ed</w:t>
      </w:r>
      <w:r w:rsidR="00642C91">
        <w:rPr>
          <w:rFonts w:asciiTheme="majorHAnsi" w:hAnsiTheme="majorHAnsi" w:cs="Times New Roman"/>
          <w:sz w:val="24"/>
          <w:szCs w:val="24"/>
        </w:rPr>
        <w:t xml:space="preserve"> </w:t>
      </w:r>
      <w:r w:rsidR="00E418AA">
        <w:rPr>
          <w:rFonts w:asciiTheme="majorHAnsi" w:hAnsiTheme="majorHAnsi" w:cs="Times New Roman"/>
          <w:sz w:val="24"/>
          <w:szCs w:val="24"/>
        </w:rPr>
        <w:t xml:space="preserve">and </w:t>
      </w:r>
      <w:r w:rsidR="00642C91">
        <w:rPr>
          <w:rFonts w:asciiTheme="majorHAnsi" w:hAnsiTheme="majorHAnsi" w:cs="Times New Roman"/>
          <w:sz w:val="24"/>
          <w:szCs w:val="24"/>
        </w:rPr>
        <w:t xml:space="preserve">median measurements for each week </w:t>
      </w:r>
      <w:r w:rsidR="00E418AA">
        <w:rPr>
          <w:rFonts w:asciiTheme="majorHAnsi" w:hAnsiTheme="majorHAnsi" w:cs="Times New Roman"/>
          <w:sz w:val="24"/>
          <w:szCs w:val="24"/>
        </w:rPr>
        <w:t xml:space="preserve">of life </w:t>
      </w:r>
      <w:r w:rsidR="00642C91">
        <w:rPr>
          <w:rFonts w:asciiTheme="majorHAnsi" w:hAnsiTheme="majorHAnsi" w:cs="Times New Roman"/>
          <w:sz w:val="24"/>
          <w:szCs w:val="24"/>
        </w:rPr>
        <w:t>were</w:t>
      </w:r>
      <w:r w:rsidR="00CE430A">
        <w:rPr>
          <w:rFonts w:asciiTheme="majorHAnsi" w:hAnsiTheme="majorHAnsi" w:cs="Times New Roman"/>
          <w:sz w:val="24"/>
          <w:szCs w:val="24"/>
        </w:rPr>
        <w:t xml:space="preserve"> calculated</w:t>
      </w:r>
      <w:r w:rsidR="00642C91">
        <w:rPr>
          <w:rFonts w:asciiTheme="majorHAnsi" w:hAnsiTheme="majorHAnsi" w:cs="Times New Roman"/>
          <w:sz w:val="24"/>
          <w:szCs w:val="24"/>
        </w:rPr>
        <w:t xml:space="preserve"> for the subgroups</w:t>
      </w:r>
      <w:r w:rsidR="00CE430A">
        <w:rPr>
          <w:rFonts w:asciiTheme="majorHAnsi" w:hAnsiTheme="majorHAnsi" w:cs="Times New Roman"/>
          <w:sz w:val="24"/>
          <w:szCs w:val="24"/>
        </w:rPr>
        <w:t xml:space="preserve">. Medians </w:t>
      </w:r>
      <w:r w:rsidR="7F8C7055" w:rsidRPr="009622E6">
        <w:rPr>
          <w:rFonts w:asciiTheme="majorHAnsi" w:hAnsiTheme="majorHAnsi" w:cs="Times New Roman"/>
          <w:sz w:val="24"/>
          <w:szCs w:val="24"/>
        </w:rPr>
        <w:t xml:space="preserve">for each subgroup were then </w:t>
      </w:r>
      <w:r w:rsidR="002B21A4" w:rsidRPr="009622E6">
        <w:rPr>
          <w:rFonts w:asciiTheme="majorHAnsi" w:hAnsiTheme="majorHAnsi" w:cs="Times New Roman"/>
          <w:sz w:val="24"/>
          <w:szCs w:val="24"/>
        </w:rPr>
        <w:t>overlaid on the standard</w:t>
      </w:r>
      <w:r w:rsidR="00077AE6">
        <w:rPr>
          <w:rFonts w:asciiTheme="majorHAnsi" w:hAnsiTheme="majorHAnsi" w:cs="Times New Roman"/>
          <w:sz w:val="24"/>
          <w:szCs w:val="24"/>
        </w:rPr>
        <w:t xml:space="preserve"> centile </w:t>
      </w:r>
      <w:r w:rsidR="00765AFF">
        <w:rPr>
          <w:rFonts w:asciiTheme="majorHAnsi" w:hAnsiTheme="majorHAnsi" w:cs="Times New Roman"/>
          <w:sz w:val="24"/>
          <w:szCs w:val="24"/>
        </w:rPr>
        <w:t xml:space="preserve">lines </w:t>
      </w:r>
      <w:r w:rsidR="7F8C7055" w:rsidRPr="009622E6">
        <w:rPr>
          <w:rFonts w:asciiTheme="majorHAnsi" w:hAnsiTheme="majorHAnsi" w:cs="Times New Roman"/>
          <w:sz w:val="24"/>
          <w:szCs w:val="24"/>
        </w:rPr>
        <w:t>based on the source data from</w:t>
      </w:r>
      <w:r w:rsidR="001222FC" w:rsidRPr="009622E6">
        <w:rPr>
          <w:rFonts w:asciiTheme="majorHAnsi" w:hAnsiTheme="majorHAnsi" w:cs="Times New Roman"/>
          <w:sz w:val="24"/>
          <w:szCs w:val="24"/>
        </w:rPr>
        <w:t xml:space="preserve"> the</w:t>
      </w:r>
      <w:r w:rsidR="002B21A4" w:rsidRPr="009622E6">
        <w:rPr>
          <w:rFonts w:asciiTheme="majorHAnsi" w:hAnsiTheme="majorHAnsi" w:cs="Times New Roman"/>
          <w:sz w:val="24"/>
          <w:szCs w:val="24"/>
        </w:rPr>
        <w:t xml:space="preserve"> </w:t>
      </w:r>
      <w:r w:rsidR="004B2168" w:rsidRPr="009622E6">
        <w:rPr>
          <w:rFonts w:asciiTheme="majorHAnsi" w:hAnsiTheme="majorHAnsi" w:cs="Times New Roman"/>
          <w:sz w:val="24"/>
          <w:szCs w:val="24"/>
        </w:rPr>
        <w:t xml:space="preserve">UK </w:t>
      </w:r>
      <w:r w:rsidR="005C3346" w:rsidRPr="009622E6">
        <w:rPr>
          <w:rFonts w:asciiTheme="majorHAnsi" w:hAnsiTheme="majorHAnsi" w:cs="Times New Roman"/>
          <w:sz w:val="24"/>
          <w:szCs w:val="24"/>
        </w:rPr>
        <w:t>NICM growth chart</w:t>
      </w:r>
      <w:r w:rsidR="002B21A4" w:rsidRPr="009622E6">
        <w:rPr>
          <w:rFonts w:asciiTheme="majorHAnsi" w:hAnsiTheme="majorHAnsi" w:cs="Times New Roman"/>
          <w:sz w:val="24"/>
          <w:szCs w:val="24"/>
        </w:rPr>
        <w:t xml:space="preserve"> to allow </w:t>
      </w:r>
      <w:r w:rsidR="00EA597B">
        <w:rPr>
          <w:rFonts w:asciiTheme="majorHAnsi" w:hAnsiTheme="majorHAnsi" w:cs="Times New Roman"/>
          <w:sz w:val="24"/>
          <w:szCs w:val="24"/>
        </w:rPr>
        <w:t xml:space="preserve">change within </w:t>
      </w:r>
      <w:r w:rsidR="002B21A4" w:rsidRPr="009622E6">
        <w:rPr>
          <w:rFonts w:asciiTheme="majorHAnsi" w:hAnsiTheme="majorHAnsi" w:cs="Times New Roman"/>
          <w:sz w:val="24"/>
          <w:szCs w:val="24"/>
        </w:rPr>
        <w:t>each subgroup to be compared against current growth standards</w:t>
      </w:r>
      <w:r w:rsidR="007D0332">
        <w:rPr>
          <w:rFonts w:asciiTheme="majorHAnsi" w:hAnsiTheme="majorHAnsi" w:cs="Times New Roman"/>
          <w:sz w:val="24"/>
          <w:szCs w:val="24"/>
        </w:rPr>
        <w:t>.</w:t>
      </w:r>
      <w:r w:rsidR="7F8C7055" w:rsidRPr="009622E6">
        <w:rPr>
          <w:rFonts w:asciiTheme="majorHAnsi" w:hAnsiTheme="majorHAnsi" w:cs="Times New Roman"/>
          <w:sz w:val="24"/>
          <w:szCs w:val="24"/>
        </w:rPr>
        <w:t xml:space="preserve"> </w:t>
      </w:r>
    </w:p>
    <w:p w:rsidR="00E05E89" w:rsidRDefault="007F2BD9" w:rsidP="009E2DF4">
      <w:pPr>
        <w:spacing w:line="480" w:lineRule="auto"/>
        <w:rPr>
          <w:rFonts w:asciiTheme="majorHAnsi" w:hAnsiTheme="majorHAnsi" w:cs="Times New Roman"/>
          <w:sz w:val="24"/>
          <w:szCs w:val="24"/>
        </w:rPr>
      </w:pPr>
      <w:r w:rsidRPr="009622E6">
        <w:rPr>
          <w:rFonts w:asciiTheme="majorHAnsi" w:hAnsiTheme="majorHAnsi" w:cs="Times New Roman"/>
          <w:sz w:val="24"/>
          <w:szCs w:val="24"/>
        </w:rPr>
        <w:t>In addition, S</w:t>
      </w:r>
      <w:r w:rsidR="006E7F75" w:rsidRPr="009622E6">
        <w:rPr>
          <w:rFonts w:asciiTheme="majorHAnsi" w:hAnsiTheme="majorHAnsi" w:cs="Times New Roman"/>
          <w:sz w:val="24"/>
          <w:szCs w:val="24"/>
        </w:rPr>
        <w:t>tandard Deviation Scores (S</w:t>
      </w:r>
      <w:r w:rsidRPr="009622E6">
        <w:rPr>
          <w:rFonts w:asciiTheme="majorHAnsi" w:hAnsiTheme="majorHAnsi" w:cs="Times New Roman"/>
          <w:sz w:val="24"/>
          <w:szCs w:val="24"/>
        </w:rPr>
        <w:t>DS</w:t>
      </w:r>
      <w:r w:rsidR="006E7F75" w:rsidRPr="009622E6">
        <w:rPr>
          <w:rFonts w:asciiTheme="majorHAnsi" w:hAnsiTheme="majorHAnsi" w:cs="Times New Roman"/>
          <w:sz w:val="24"/>
          <w:szCs w:val="24"/>
        </w:rPr>
        <w:t>)</w:t>
      </w:r>
      <w:r w:rsidRPr="009622E6">
        <w:rPr>
          <w:rFonts w:asciiTheme="majorHAnsi" w:hAnsiTheme="majorHAnsi" w:cs="Times New Roman"/>
          <w:sz w:val="24"/>
          <w:szCs w:val="24"/>
        </w:rPr>
        <w:t xml:space="preserve"> were calculated for infants at birth and at 36 weeks for weight, HC and length</w:t>
      </w:r>
      <w:r w:rsidR="003F141C" w:rsidRPr="009622E6">
        <w:rPr>
          <w:rFonts w:asciiTheme="majorHAnsi" w:hAnsiTheme="majorHAnsi" w:cs="Times New Roman"/>
          <w:sz w:val="24"/>
          <w:szCs w:val="24"/>
        </w:rPr>
        <w:t xml:space="preserve"> based on the NICM chart reference data</w:t>
      </w:r>
      <w:r w:rsidR="00436EA4" w:rsidRPr="009622E6">
        <w:rPr>
          <w:rFonts w:asciiTheme="majorHAnsi" w:hAnsiTheme="majorHAnsi" w:cs="Times New Roman"/>
          <w:sz w:val="24"/>
          <w:szCs w:val="24"/>
        </w:rPr>
        <w:t xml:space="preserve">. </w:t>
      </w:r>
      <w:r w:rsidR="006E7F75" w:rsidRPr="009622E6">
        <w:rPr>
          <w:rFonts w:asciiTheme="majorHAnsi" w:hAnsiTheme="majorHAnsi" w:cs="Times New Roman"/>
          <w:sz w:val="24"/>
          <w:szCs w:val="24"/>
        </w:rPr>
        <w:t xml:space="preserve">The change in SDS (ΔSDS) between birth and 36 weeks </w:t>
      </w:r>
      <w:r w:rsidR="00B85549">
        <w:rPr>
          <w:rFonts w:asciiTheme="majorHAnsi" w:hAnsiTheme="majorHAnsi" w:cs="Times New Roman"/>
          <w:sz w:val="24"/>
          <w:szCs w:val="24"/>
        </w:rPr>
        <w:t xml:space="preserve">PMA </w:t>
      </w:r>
      <w:r w:rsidR="006E7F75" w:rsidRPr="009622E6">
        <w:rPr>
          <w:rFonts w:asciiTheme="majorHAnsi" w:hAnsiTheme="majorHAnsi" w:cs="Times New Roman"/>
          <w:sz w:val="24"/>
          <w:szCs w:val="24"/>
        </w:rPr>
        <w:t xml:space="preserve">was then calculated </w:t>
      </w:r>
      <w:r w:rsidR="00D633F9">
        <w:rPr>
          <w:rFonts w:asciiTheme="majorHAnsi" w:hAnsiTheme="majorHAnsi" w:cs="Times New Roman"/>
          <w:sz w:val="24"/>
          <w:szCs w:val="24"/>
        </w:rPr>
        <w:t xml:space="preserve">only </w:t>
      </w:r>
      <w:r w:rsidR="006E7F75" w:rsidRPr="009622E6">
        <w:rPr>
          <w:rFonts w:asciiTheme="majorHAnsi" w:hAnsiTheme="majorHAnsi" w:cs="Times New Roman"/>
          <w:sz w:val="24"/>
          <w:szCs w:val="24"/>
        </w:rPr>
        <w:t xml:space="preserve">for those </w:t>
      </w:r>
      <w:r w:rsidR="003F141C" w:rsidRPr="009622E6">
        <w:rPr>
          <w:rFonts w:asciiTheme="majorHAnsi" w:hAnsiTheme="majorHAnsi" w:cs="Times New Roman"/>
          <w:sz w:val="24"/>
          <w:szCs w:val="24"/>
        </w:rPr>
        <w:t>infants</w:t>
      </w:r>
      <w:r w:rsidR="006E7F75" w:rsidRPr="009622E6">
        <w:rPr>
          <w:rFonts w:asciiTheme="majorHAnsi" w:hAnsiTheme="majorHAnsi" w:cs="Times New Roman"/>
          <w:sz w:val="24"/>
          <w:szCs w:val="24"/>
        </w:rPr>
        <w:t xml:space="preserve"> that </w:t>
      </w:r>
      <w:r w:rsidR="003F141C" w:rsidRPr="009622E6">
        <w:rPr>
          <w:rFonts w:asciiTheme="majorHAnsi" w:hAnsiTheme="majorHAnsi" w:cs="Times New Roman"/>
          <w:sz w:val="24"/>
          <w:szCs w:val="24"/>
        </w:rPr>
        <w:t>remained</w:t>
      </w:r>
      <w:r w:rsidR="006E7F75" w:rsidRPr="009622E6">
        <w:rPr>
          <w:rFonts w:asciiTheme="majorHAnsi" w:hAnsiTheme="majorHAnsi" w:cs="Times New Roman"/>
          <w:sz w:val="24"/>
          <w:szCs w:val="24"/>
        </w:rPr>
        <w:t xml:space="preserve"> in the study at 36 weeks</w:t>
      </w:r>
      <w:r w:rsidR="00E7122B" w:rsidRPr="009622E6">
        <w:rPr>
          <w:rFonts w:asciiTheme="majorHAnsi" w:hAnsiTheme="majorHAnsi" w:cs="Times New Roman"/>
          <w:sz w:val="24"/>
          <w:szCs w:val="24"/>
        </w:rPr>
        <w:t xml:space="preserve">. </w:t>
      </w:r>
      <w:r w:rsidR="00DF2EA3" w:rsidRPr="009622E6">
        <w:rPr>
          <w:rFonts w:asciiTheme="majorHAnsi" w:hAnsiTheme="majorHAnsi" w:cs="Times New Roman"/>
          <w:sz w:val="24"/>
          <w:szCs w:val="24"/>
        </w:rPr>
        <w:t xml:space="preserve">Length reference data was available from 25 weeks </w:t>
      </w:r>
      <w:r w:rsidR="006F5D8F" w:rsidRPr="009622E6">
        <w:rPr>
          <w:rFonts w:asciiTheme="majorHAnsi" w:hAnsiTheme="majorHAnsi" w:cs="Times New Roman"/>
          <w:sz w:val="24"/>
          <w:szCs w:val="24"/>
        </w:rPr>
        <w:t>PMA</w:t>
      </w:r>
      <w:r w:rsidR="00DF2EA3" w:rsidRPr="009622E6">
        <w:rPr>
          <w:rFonts w:asciiTheme="majorHAnsi" w:hAnsiTheme="majorHAnsi" w:cs="Times New Roman"/>
          <w:sz w:val="24"/>
          <w:szCs w:val="24"/>
        </w:rPr>
        <w:t xml:space="preserve"> </w:t>
      </w:r>
      <w:r w:rsidR="00E418AA">
        <w:rPr>
          <w:rFonts w:asciiTheme="majorHAnsi" w:hAnsiTheme="majorHAnsi" w:cs="Times New Roman"/>
          <w:sz w:val="24"/>
          <w:szCs w:val="24"/>
        </w:rPr>
        <w:t xml:space="preserve">so </w:t>
      </w:r>
      <w:r w:rsidR="00DF2EA3" w:rsidRPr="009622E6">
        <w:rPr>
          <w:rFonts w:asciiTheme="majorHAnsi" w:hAnsiTheme="majorHAnsi" w:cs="Times New Roman"/>
          <w:sz w:val="24"/>
          <w:szCs w:val="24"/>
        </w:rPr>
        <w:t>length SD</w:t>
      </w:r>
      <w:r w:rsidR="00D633F9">
        <w:rPr>
          <w:rFonts w:asciiTheme="majorHAnsi" w:hAnsiTheme="majorHAnsi" w:cs="Times New Roman"/>
          <w:sz w:val="24"/>
          <w:szCs w:val="24"/>
        </w:rPr>
        <w:t>S</w:t>
      </w:r>
      <w:r w:rsidR="00DF2EA3" w:rsidRPr="009622E6">
        <w:rPr>
          <w:rFonts w:asciiTheme="majorHAnsi" w:hAnsiTheme="majorHAnsi" w:cs="Times New Roman"/>
          <w:sz w:val="24"/>
          <w:szCs w:val="24"/>
        </w:rPr>
        <w:t xml:space="preserve"> were either calc</w:t>
      </w:r>
      <w:r w:rsidR="00436EA4" w:rsidRPr="009622E6">
        <w:rPr>
          <w:rFonts w:asciiTheme="majorHAnsi" w:hAnsiTheme="majorHAnsi" w:cs="Times New Roman"/>
          <w:sz w:val="24"/>
          <w:szCs w:val="24"/>
        </w:rPr>
        <w:t>ulated on birth week or 25 week</w:t>
      </w:r>
      <w:r w:rsidR="006F5D8F" w:rsidRPr="009622E6">
        <w:rPr>
          <w:rFonts w:asciiTheme="majorHAnsi" w:hAnsiTheme="majorHAnsi" w:cs="Times New Roman"/>
          <w:sz w:val="24"/>
          <w:szCs w:val="24"/>
        </w:rPr>
        <w:t>s</w:t>
      </w:r>
      <w:r w:rsidR="003F141C" w:rsidRPr="009622E6">
        <w:rPr>
          <w:rFonts w:asciiTheme="majorHAnsi" w:hAnsiTheme="majorHAnsi" w:cs="Times New Roman"/>
          <w:sz w:val="24"/>
          <w:szCs w:val="24"/>
        </w:rPr>
        <w:t xml:space="preserve"> </w:t>
      </w:r>
      <w:r w:rsidR="006F5D8F" w:rsidRPr="009622E6">
        <w:rPr>
          <w:rFonts w:asciiTheme="majorHAnsi" w:hAnsiTheme="majorHAnsi" w:cs="Times New Roman"/>
          <w:sz w:val="24"/>
          <w:szCs w:val="24"/>
        </w:rPr>
        <w:t>PMA</w:t>
      </w:r>
      <w:r w:rsidR="00DF2EA3" w:rsidRPr="009622E6">
        <w:rPr>
          <w:rFonts w:asciiTheme="majorHAnsi" w:hAnsiTheme="majorHAnsi" w:cs="Times New Roman"/>
          <w:sz w:val="24"/>
          <w:szCs w:val="24"/>
        </w:rPr>
        <w:t>, whichever was</w:t>
      </w:r>
      <w:r w:rsidR="004916FE">
        <w:rPr>
          <w:rFonts w:asciiTheme="majorHAnsi" w:hAnsiTheme="majorHAnsi" w:cs="Times New Roman"/>
          <w:sz w:val="24"/>
          <w:szCs w:val="24"/>
        </w:rPr>
        <w:t xml:space="preserve"> latest</w:t>
      </w:r>
      <w:r w:rsidR="00DF2EA3" w:rsidRPr="009622E6">
        <w:rPr>
          <w:rFonts w:asciiTheme="majorHAnsi" w:hAnsiTheme="majorHAnsi" w:cs="Times New Roman"/>
          <w:sz w:val="24"/>
          <w:szCs w:val="24"/>
        </w:rPr>
        <w:t>.</w:t>
      </w:r>
      <w:r w:rsidRPr="009622E6">
        <w:rPr>
          <w:rFonts w:asciiTheme="majorHAnsi" w:hAnsiTheme="majorHAnsi" w:cs="Times New Roman"/>
          <w:sz w:val="24"/>
          <w:szCs w:val="24"/>
        </w:rPr>
        <w:t xml:space="preserve"> </w:t>
      </w:r>
    </w:p>
    <w:p w:rsidR="007F2BD9" w:rsidRPr="009622E6" w:rsidRDefault="005814CA" w:rsidP="009E2DF4">
      <w:pPr>
        <w:spacing w:line="480" w:lineRule="auto"/>
        <w:rPr>
          <w:rFonts w:asciiTheme="majorHAnsi" w:hAnsiTheme="majorHAnsi" w:cs="Times New Roman"/>
          <w:sz w:val="24"/>
          <w:szCs w:val="24"/>
        </w:rPr>
      </w:pPr>
      <w:r>
        <w:rPr>
          <w:rFonts w:asciiTheme="majorHAnsi" w:hAnsiTheme="majorHAnsi" w:cs="Times New Roman"/>
          <w:sz w:val="24"/>
          <w:szCs w:val="24"/>
        </w:rPr>
        <w:t>A</w:t>
      </w:r>
      <w:r w:rsidR="006E7F75" w:rsidRPr="009622E6">
        <w:rPr>
          <w:rFonts w:asciiTheme="majorHAnsi" w:hAnsiTheme="majorHAnsi" w:cs="Times New Roman"/>
          <w:sz w:val="24"/>
          <w:szCs w:val="24"/>
        </w:rPr>
        <w:t xml:space="preserve"> feature of the NICM chart is that there is a gap of 0.6</w:t>
      </w:r>
      <w:r w:rsidR="00C21FA3">
        <w:rPr>
          <w:rFonts w:asciiTheme="majorHAnsi" w:hAnsiTheme="majorHAnsi" w:cs="Times New Roman"/>
          <w:sz w:val="24"/>
          <w:szCs w:val="24"/>
        </w:rPr>
        <w:t>7</w:t>
      </w:r>
      <w:r w:rsidR="006E7F75" w:rsidRPr="009622E6">
        <w:rPr>
          <w:rFonts w:asciiTheme="majorHAnsi" w:hAnsiTheme="majorHAnsi" w:cs="Times New Roman"/>
          <w:sz w:val="24"/>
          <w:szCs w:val="24"/>
        </w:rPr>
        <w:t xml:space="preserve"> standard deviation (SD) between each marked centile line</w:t>
      </w:r>
      <w:r w:rsidR="000E06C3">
        <w:rPr>
          <w:rFonts w:asciiTheme="majorHAnsi" w:hAnsiTheme="majorHAnsi" w:cs="Times New Roman"/>
          <w:sz w:val="24"/>
          <w:szCs w:val="24"/>
        </w:rPr>
        <w:t xml:space="preserve">, meaning that a decrease in </w:t>
      </w:r>
      <w:r w:rsidR="000E06C3" w:rsidRPr="009622E6">
        <w:rPr>
          <w:rFonts w:asciiTheme="majorHAnsi" w:hAnsiTheme="majorHAnsi" w:cs="Times New Roman"/>
          <w:sz w:val="24"/>
          <w:szCs w:val="24"/>
        </w:rPr>
        <w:t>ΔSDS</w:t>
      </w:r>
      <w:r w:rsidR="000E06C3">
        <w:rPr>
          <w:rFonts w:asciiTheme="majorHAnsi" w:hAnsiTheme="majorHAnsi" w:cs="Times New Roman"/>
          <w:sz w:val="24"/>
          <w:szCs w:val="24"/>
        </w:rPr>
        <w:t xml:space="preserve"> of </w:t>
      </w:r>
      <w:r w:rsidR="00D864BF" w:rsidRPr="005814CA">
        <w:rPr>
          <w:rFonts w:asciiTheme="majorHAnsi" w:hAnsiTheme="majorHAnsi" w:cs="Times New Roman"/>
          <w:sz w:val="24"/>
          <w:szCs w:val="24"/>
        </w:rPr>
        <w:t>more than 0.6</w:t>
      </w:r>
      <w:r w:rsidR="00C21FA3">
        <w:rPr>
          <w:rFonts w:asciiTheme="majorHAnsi" w:hAnsiTheme="majorHAnsi" w:cs="Times New Roman"/>
          <w:sz w:val="24"/>
          <w:szCs w:val="24"/>
        </w:rPr>
        <w:t>7</w:t>
      </w:r>
      <w:r w:rsidR="00D864BF" w:rsidRPr="005814CA">
        <w:rPr>
          <w:rFonts w:asciiTheme="majorHAnsi" w:hAnsiTheme="majorHAnsi" w:cs="Times New Roman"/>
          <w:sz w:val="24"/>
          <w:szCs w:val="24"/>
        </w:rPr>
        <w:t xml:space="preserve"> represented a </w:t>
      </w:r>
      <w:r w:rsidR="00046F10" w:rsidRPr="005814CA">
        <w:rPr>
          <w:rFonts w:asciiTheme="majorHAnsi" w:hAnsiTheme="majorHAnsi" w:cs="Times New Roman"/>
          <w:sz w:val="24"/>
          <w:szCs w:val="24"/>
        </w:rPr>
        <w:t>fall</w:t>
      </w:r>
      <w:r w:rsidR="00D864BF" w:rsidRPr="005814CA">
        <w:rPr>
          <w:rFonts w:asciiTheme="majorHAnsi" w:hAnsiTheme="majorHAnsi" w:cs="Times New Roman"/>
          <w:sz w:val="24"/>
          <w:szCs w:val="24"/>
        </w:rPr>
        <w:t xml:space="preserve"> across a marked centile line the NICM chart.</w:t>
      </w:r>
    </w:p>
    <w:p w:rsidR="003F141C" w:rsidRDefault="00D85092" w:rsidP="009E2DF4">
      <w:pPr>
        <w:spacing w:line="480" w:lineRule="auto"/>
        <w:rPr>
          <w:rFonts w:asciiTheme="majorHAnsi" w:hAnsiTheme="majorHAnsi" w:cs="Times New Roman"/>
          <w:sz w:val="24"/>
          <w:szCs w:val="24"/>
        </w:rPr>
      </w:pPr>
      <w:r w:rsidRPr="009622E6">
        <w:rPr>
          <w:rFonts w:asciiTheme="majorHAnsi" w:hAnsiTheme="majorHAnsi" w:cs="Times New Roman"/>
          <w:sz w:val="24"/>
          <w:szCs w:val="24"/>
        </w:rPr>
        <w:t>Th</w:t>
      </w:r>
      <w:r w:rsidR="00CE430A">
        <w:rPr>
          <w:rFonts w:asciiTheme="majorHAnsi" w:hAnsiTheme="majorHAnsi" w:cs="Times New Roman"/>
          <w:sz w:val="24"/>
          <w:szCs w:val="24"/>
        </w:rPr>
        <w:t>e</w:t>
      </w:r>
      <w:r w:rsidRPr="009622E6">
        <w:rPr>
          <w:rFonts w:asciiTheme="majorHAnsi" w:hAnsiTheme="majorHAnsi" w:cs="Times New Roman"/>
          <w:sz w:val="24"/>
          <w:szCs w:val="24"/>
        </w:rPr>
        <w:t xml:space="preserve"> project was registered </w:t>
      </w:r>
      <w:r w:rsidR="00066CC5">
        <w:rPr>
          <w:rFonts w:asciiTheme="majorHAnsi" w:hAnsiTheme="majorHAnsi" w:cs="Times New Roman"/>
          <w:sz w:val="24"/>
          <w:szCs w:val="24"/>
        </w:rPr>
        <w:t xml:space="preserve">and approved </w:t>
      </w:r>
      <w:r w:rsidRPr="009622E6">
        <w:rPr>
          <w:rFonts w:asciiTheme="majorHAnsi" w:hAnsiTheme="majorHAnsi" w:cs="Times New Roman"/>
          <w:sz w:val="24"/>
          <w:szCs w:val="24"/>
        </w:rPr>
        <w:t xml:space="preserve">as a service evaluation project </w:t>
      </w:r>
      <w:r w:rsidR="00066CC5">
        <w:rPr>
          <w:rFonts w:asciiTheme="majorHAnsi" w:hAnsiTheme="majorHAnsi" w:cs="Times New Roman"/>
          <w:sz w:val="24"/>
          <w:szCs w:val="24"/>
        </w:rPr>
        <w:t xml:space="preserve">by </w:t>
      </w:r>
      <w:r w:rsidR="00D633F9">
        <w:rPr>
          <w:rFonts w:asciiTheme="majorHAnsi" w:hAnsiTheme="majorHAnsi" w:cs="Times New Roman"/>
          <w:sz w:val="24"/>
          <w:szCs w:val="24"/>
        </w:rPr>
        <w:t xml:space="preserve">hospital </w:t>
      </w:r>
      <w:r w:rsidR="002B21A4" w:rsidRPr="009622E6">
        <w:rPr>
          <w:rFonts w:asciiTheme="majorHAnsi" w:hAnsiTheme="majorHAnsi" w:cs="Times New Roman"/>
          <w:sz w:val="24"/>
          <w:szCs w:val="24"/>
        </w:rPr>
        <w:t>care group management</w:t>
      </w:r>
      <w:r w:rsidR="00E7252D">
        <w:rPr>
          <w:rFonts w:asciiTheme="majorHAnsi" w:hAnsiTheme="majorHAnsi" w:cs="Times New Roman"/>
          <w:sz w:val="24"/>
          <w:szCs w:val="24"/>
        </w:rPr>
        <w:t>,</w:t>
      </w:r>
      <w:r w:rsidR="00E175F3">
        <w:rPr>
          <w:rFonts w:asciiTheme="majorHAnsi" w:hAnsiTheme="majorHAnsi" w:cs="Times New Roman"/>
          <w:sz w:val="24"/>
          <w:szCs w:val="24"/>
        </w:rPr>
        <w:t xml:space="preserve"> </w:t>
      </w:r>
      <w:r w:rsidR="00CF799E">
        <w:rPr>
          <w:rFonts w:asciiTheme="majorHAnsi" w:hAnsiTheme="majorHAnsi" w:cs="Times New Roman"/>
          <w:sz w:val="24"/>
          <w:szCs w:val="24"/>
        </w:rPr>
        <w:t xml:space="preserve">and </w:t>
      </w:r>
      <w:r w:rsidR="00066CC5">
        <w:rPr>
          <w:rFonts w:asciiTheme="majorHAnsi" w:hAnsiTheme="majorHAnsi" w:cs="Times New Roman"/>
          <w:sz w:val="24"/>
          <w:szCs w:val="24"/>
        </w:rPr>
        <w:t xml:space="preserve">as such </w:t>
      </w:r>
      <w:r w:rsidR="00E7252D">
        <w:rPr>
          <w:rFonts w:asciiTheme="majorHAnsi" w:hAnsiTheme="majorHAnsi" w:cs="Times New Roman"/>
          <w:sz w:val="24"/>
          <w:szCs w:val="24"/>
        </w:rPr>
        <w:t>did not require ethical approval</w:t>
      </w:r>
      <w:r w:rsidR="00187FB3" w:rsidRPr="009622E6">
        <w:rPr>
          <w:rFonts w:asciiTheme="majorHAnsi" w:hAnsiTheme="majorHAnsi" w:cs="Times New Roman"/>
          <w:sz w:val="24"/>
          <w:szCs w:val="24"/>
        </w:rPr>
        <w:t>.</w:t>
      </w:r>
    </w:p>
    <w:p w:rsidR="008E3C3B" w:rsidRPr="00A93F2F" w:rsidRDefault="00BC5FD7" w:rsidP="00A93F2F">
      <w:pPr>
        <w:rPr>
          <w:rFonts w:asciiTheme="majorHAnsi" w:hAnsiTheme="majorHAnsi" w:cs="Times New Roman"/>
          <w:sz w:val="24"/>
          <w:szCs w:val="24"/>
        </w:rPr>
      </w:pPr>
      <w:r>
        <w:rPr>
          <w:rFonts w:asciiTheme="majorHAnsi" w:hAnsiTheme="majorHAnsi" w:cs="Times New Roman"/>
          <w:sz w:val="24"/>
          <w:szCs w:val="24"/>
        </w:rPr>
        <w:br w:type="page"/>
      </w:r>
      <w:r w:rsidR="009E34E0" w:rsidRPr="009622E6">
        <w:rPr>
          <w:rFonts w:asciiTheme="majorHAnsi" w:hAnsiTheme="majorHAnsi" w:cs="Times New Roman"/>
          <w:b/>
          <w:sz w:val="24"/>
          <w:szCs w:val="24"/>
        </w:rPr>
        <w:lastRenderedPageBreak/>
        <w:t>R</w:t>
      </w:r>
      <w:r w:rsidR="007F29D5">
        <w:rPr>
          <w:rFonts w:asciiTheme="majorHAnsi" w:hAnsiTheme="majorHAnsi" w:cs="Times New Roman"/>
          <w:b/>
          <w:sz w:val="24"/>
          <w:szCs w:val="24"/>
        </w:rPr>
        <w:t>ESULTS</w:t>
      </w:r>
      <w:r w:rsidR="009E34E0" w:rsidRPr="009622E6">
        <w:rPr>
          <w:rFonts w:asciiTheme="majorHAnsi" w:hAnsiTheme="majorHAnsi" w:cs="Times New Roman"/>
          <w:b/>
          <w:sz w:val="24"/>
          <w:szCs w:val="24"/>
        </w:rPr>
        <w:t>:</w:t>
      </w:r>
      <w:r w:rsidR="004B73EB" w:rsidRPr="009622E6">
        <w:rPr>
          <w:rFonts w:asciiTheme="majorHAnsi" w:hAnsiTheme="majorHAnsi" w:cs="Times New Roman"/>
          <w:b/>
          <w:sz w:val="24"/>
          <w:szCs w:val="24"/>
        </w:rPr>
        <w:t xml:space="preserve"> </w:t>
      </w:r>
    </w:p>
    <w:p w:rsidR="008E3C3B" w:rsidRDefault="00E418AA" w:rsidP="00894A48">
      <w:pPr>
        <w:spacing w:line="480" w:lineRule="auto"/>
        <w:rPr>
          <w:rFonts w:asciiTheme="majorHAnsi" w:hAnsiTheme="majorHAnsi" w:cs="Times New Roman"/>
          <w:sz w:val="24"/>
          <w:szCs w:val="24"/>
        </w:rPr>
      </w:pPr>
      <w:r>
        <w:rPr>
          <w:rFonts w:asciiTheme="majorHAnsi" w:hAnsiTheme="majorHAnsi" w:cs="Times New Roman"/>
          <w:sz w:val="24"/>
          <w:szCs w:val="24"/>
        </w:rPr>
        <w:t>A</w:t>
      </w:r>
      <w:r w:rsidRPr="009622E6">
        <w:rPr>
          <w:rFonts w:asciiTheme="majorHAnsi" w:hAnsiTheme="majorHAnsi" w:cs="Times New Roman"/>
          <w:sz w:val="24"/>
          <w:szCs w:val="24"/>
        </w:rPr>
        <w:t xml:space="preserve"> total of 437 patients’ data w</w:t>
      </w:r>
      <w:r w:rsidR="00B85549">
        <w:rPr>
          <w:rFonts w:asciiTheme="majorHAnsi" w:hAnsiTheme="majorHAnsi" w:cs="Times New Roman"/>
          <w:sz w:val="24"/>
          <w:szCs w:val="24"/>
        </w:rPr>
        <w:t>ere</w:t>
      </w:r>
      <w:r w:rsidRPr="009622E6">
        <w:rPr>
          <w:rFonts w:asciiTheme="majorHAnsi" w:hAnsiTheme="majorHAnsi" w:cs="Times New Roman"/>
          <w:sz w:val="24"/>
          <w:szCs w:val="24"/>
        </w:rPr>
        <w:t xml:space="preserve"> reviewed</w:t>
      </w:r>
      <w:r w:rsidR="00E61F47">
        <w:rPr>
          <w:rFonts w:asciiTheme="majorHAnsi" w:hAnsiTheme="majorHAnsi" w:cs="Times New Roman"/>
          <w:sz w:val="24"/>
          <w:szCs w:val="24"/>
        </w:rPr>
        <w:t>.</w:t>
      </w:r>
      <w:r w:rsidRPr="009622E6">
        <w:rPr>
          <w:rFonts w:asciiTheme="majorHAnsi" w:hAnsiTheme="majorHAnsi" w:cs="Times New Roman"/>
          <w:sz w:val="24"/>
          <w:szCs w:val="24"/>
        </w:rPr>
        <w:t xml:space="preserve"> 41 </w:t>
      </w:r>
      <w:r>
        <w:rPr>
          <w:rFonts w:asciiTheme="majorHAnsi" w:hAnsiTheme="majorHAnsi" w:cs="Times New Roman"/>
          <w:sz w:val="24"/>
          <w:szCs w:val="24"/>
        </w:rPr>
        <w:t>did not meet the inclusion criteria</w:t>
      </w:r>
      <w:r w:rsidR="00F41442">
        <w:rPr>
          <w:rFonts w:asciiTheme="majorHAnsi" w:hAnsiTheme="majorHAnsi" w:cs="Times New Roman"/>
          <w:sz w:val="24"/>
          <w:szCs w:val="24"/>
        </w:rPr>
        <w:t>, with the majority of excluded infants not staying on the unit beyond 1 week of age</w:t>
      </w:r>
      <w:r w:rsidRPr="009622E6">
        <w:rPr>
          <w:rFonts w:asciiTheme="majorHAnsi" w:hAnsiTheme="majorHAnsi" w:cs="Times New Roman"/>
          <w:sz w:val="24"/>
          <w:szCs w:val="24"/>
        </w:rPr>
        <w:t xml:space="preserve">. </w:t>
      </w:r>
      <w:r w:rsidR="00262FE4" w:rsidRPr="009622E6">
        <w:rPr>
          <w:rFonts w:asciiTheme="majorHAnsi" w:hAnsiTheme="majorHAnsi" w:cs="Times New Roman"/>
          <w:sz w:val="24"/>
          <w:szCs w:val="24"/>
        </w:rPr>
        <w:t>Data were collected from 396</w:t>
      </w:r>
      <w:r w:rsidR="008E3C3B" w:rsidRPr="009622E6">
        <w:rPr>
          <w:rFonts w:asciiTheme="majorHAnsi" w:hAnsiTheme="majorHAnsi" w:cs="Times New Roman"/>
          <w:sz w:val="24"/>
          <w:szCs w:val="24"/>
        </w:rPr>
        <w:t xml:space="preserve"> </w:t>
      </w:r>
      <w:r w:rsidR="00324D78" w:rsidRPr="009622E6">
        <w:rPr>
          <w:rFonts w:asciiTheme="majorHAnsi" w:hAnsiTheme="majorHAnsi" w:cs="Times New Roman"/>
          <w:sz w:val="24"/>
          <w:szCs w:val="24"/>
        </w:rPr>
        <w:t>infants</w:t>
      </w:r>
      <w:r w:rsidR="008E3C3B" w:rsidRPr="009622E6">
        <w:rPr>
          <w:rFonts w:asciiTheme="majorHAnsi" w:hAnsiTheme="majorHAnsi" w:cs="Times New Roman"/>
          <w:sz w:val="24"/>
          <w:szCs w:val="24"/>
        </w:rPr>
        <w:t xml:space="preserve"> over the </w:t>
      </w:r>
      <w:r w:rsidR="00187FB3" w:rsidRPr="009622E6">
        <w:rPr>
          <w:rFonts w:asciiTheme="majorHAnsi" w:hAnsiTheme="majorHAnsi" w:cs="Times New Roman"/>
          <w:sz w:val="24"/>
          <w:szCs w:val="24"/>
        </w:rPr>
        <w:t>5-year</w:t>
      </w:r>
      <w:r w:rsidR="008E3C3B" w:rsidRPr="009622E6">
        <w:rPr>
          <w:rFonts w:asciiTheme="majorHAnsi" w:hAnsiTheme="majorHAnsi" w:cs="Times New Roman"/>
          <w:sz w:val="24"/>
          <w:szCs w:val="24"/>
        </w:rPr>
        <w:t xml:space="preserve"> study period</w:t>
      </w:r>
      <w:r w:rsidR="005364DD" w:rsidRPr="009622E6">
        <w:rPr>
          <w:rFonts w:asciiTheme="majorHAnsi" w:hAnsiTheme="majorHAnsi" w:cs="Times New Roman"/>
          <w:sz w:val="24"/>
          <w:szCs w:val="24"/>
        </w:rPr>
        <w:t xml:space="preserve"> consisting of 2808, 1991 and 2004 measures for weight, HC and length</w:t>
      </w:r>
      <w:r w:rsidR="008E3C3B" w:rsidRPr="009622E6">
        <w:rPr>
          <w:rFonts w:asciiTheme="majorHAnsi" w:hAnsiTheme="majorHAnsi" w:cs="Times New Roman"/>
          <w:sz w:val="24"/>
          <w:szCs w:val="24"/>
        </w:rPr>
        <w:t>. There were 161 females and 235 males in the sample (table 1</w:t>
      </w:r>
      <w:r w:rsidR="00262FE4" w:rsidRPr="009622E6">
        <w:rPr>
          <w:rFonts w:asciiTheme="majorHAnsi" w:hAnsiTheme="majorHAnsi" w:cs="Times New Roman"/>
          <w:sz w:val="24"/>
          <w:szCs w:val="24"/>
        </w:rPr>
        <w:t>) with a median</w:t>
      </w:r>
      <w:r w:rsidR="005814CA">
        <w:rPr>
          <w:rFonts w:asciiTheme="majorHAnsi" w:hAnsiTheme="majorHAnsi" w:cs="Times New Roman"/>
          <w:sz w:val="24"/>
          <w:szCs w:val="24"/>
        </w:rPr>
        <w:t xml:space="preserve"> postmenstrual age </w:t>
      </w:r>
      <w:r w:rsidR="00262FE4" w:rsidRPr="009622E6">
        <w:rPr>
          <w:rFonts w:asciiTheme="majorHAnsi" w:hAnsiTheme="majorHAnsi" w:cs="Times New Roman"/>
          <w:sz w:val="24"/>
          <w:szCs w:val="24"/>
        </w:rPr>
        <w:t xml:space="preserve">at discharge of 36 weeks. </w:t>
      </w:r>
      <w:r w:rsidR="00894A48">
        <w:rPr>
          <w:rFonts w:asciiTheme="majorHAnsi" w:hAnsiTheme="majorHAnsi" w:cs="Times New Roman"/>
          <w:sz w:val="24"/>
          <w:szCs w:val="24"/>
        </w:rPr>
        <w:t xml:space="preserve">During the study period </w:t>
      </w:r>
      <w:r w:rsidR="00D07C39">
        <w:rPr>
          <w:rFonts w:asciiTheme="majorHAnsi" w:hAnsiTheme="majorHAnsi" w:cs="Times New Roman"/>
          <w:sz w:val="24"/>
          <w:szCs w:val="24"/>
        </w:rPr>
        <w:t xml:space="preserve">standardised mortality ratios for </w:t>
      </w:r>
      <w:r w:rsidR="00894A48">
        <w:rPr>
          <w:rFonts w:asciiTheme="majorHAnsi" w:hAnsiTheme="majorHAnsi" w:cs="Times New Roman"/>
          <w:sz w:val="24"/>
          <w:szCs w:val="24"/>
        </w:rPr>
        <w:t>co-morbidities (</w:t>
      </w:r>
      <w:r w:rsidR="00B83000">
        <w:rPr>
          <w:rFonts w:asciiTheme="majorHAnsi" w:hAnsiTheme="majorHAnsi" w:cs="Times New Roman"/>
          <w:sz w:val="24"/>
          <w:szCs w:val="24"/>
        </w:rPr>
        <w:t xml:space="preserve">late onset </w:t>
      </w:r>
      <w:r w:rsidR="00894A48">
        <w:rPr>
          <w:rFonts w:asciiTheme="majorHAnsi" w:hAnsiTheme="majorHAnsi" w:cs="Times New Roman"/>
          <w:sz w:val="24"/>
          <w:szCs w:val="24"/>
        </w:rPr>
        <w:t>sepsis, intraventricular haemorrhage</w:t>
      </w:r>
      <w:r w:rsidR="0048130D">
        <w:rPr>
          <w:rFonts w:asciiTheme="majorHAnsi" w:hAnsiTheme="majorHAnsi" w:cs="Times New Roman"/>
          <w:sz w:val="24"/>
          <w:szCs w:val="24"/>
        </w:rPr>
        <w:t xml:space="preserve">, retinopathy of prematurity, necrotising </w:t>
      </w:r>
      <w:r w:rsidR="00D07C39">
        <w:rPr>
          <w:rFonts w:asciiTheme="majorHAnsi" w:hAnsiTheme="majorHAnsi" w:cs="Times New Roman"/>
          <w:sz w:val="24"/>
          <w:szCs w:val="24"/>
        </w:rPr>
        <w:t>enterocolitis and chronic lungs disease</w:t>
      </w:r>
      <w:r w:rsidR="00894A48">
        <w:rPr>
          <w:rFonts w:asciiTheme="majorHAnsi" w:hAnsiTheme="majorHAnsi" w:cs="Times New Roman"/>
          <w:sz w:val="24"/>
          <w:szCs w:val="24"/>
        </w:rPr>
        <w:t xml:space="preserve">) and survival </w:t>
      </w:r>
      <w:r w:rsidR="00B83000">
        <w:rPr>
          <w:rFonts w:asciiTheme="majorHAnsi" w:hAnsiTheme="majorHAnsi" w:cs="Times New Roman"/>
          <w:sz w:val="24"/>
          <w:szCs w:val="24"/>
        </w:rPr>
        <w:t xml:space="preserve">remained </w:t>
      </w:r>
      <w:r w:rsidR="00894A48">
        <w:rPr>
          <w:rFonts w:asciiTheme="majorHAnsi" w:hAnsiTheme="majorHAnsi" w:cs="Times New Roman"/>
          <w:sz w:val="24"/>
          <w:szCs w:val="24"/>
        </w:rPr>
        <w:t xml:space="preserve">within </w:t>
      </w:r>
      <w:r w:rsidR="00D07C39">
        <w:rPr>
          <w:rFonts w:asciiTheme="majorHAnsi" w:hAnsiTheme="majorHAnsi" w:cs="Times New Roman"/>
          <w:sz w:val="24"/>
          <w:szCs w:val="24"/>
        </w:rPr>
        <w:t xml:space="preserve">or near expected limits according to </w:t>
      </w:r>
      <w:r w:rsidR="00894A48">
        <w:rPr>
          <w:rFonts w:asciiTheme="majorHAnsi" w:hAnsiTheme="majorHAnsi" w:cs="Times New Roman"/>
          <w:sz w:val="24"/>
          <w:szCs w:val="24"/>
        </w:rPr>
        <w:t>VON benchmarking data (data not shown).</w:t>
      </w:r>
    </w:p>
    <w:p w:rsidR="00396651" w:rsidRPr="00396651" w:rsidRDefault="00396651" w:rsidP="00396651">
      <w:pPr>
        <w:rPr>
          <w:rFonts w:asciiTheme="majorHAnsi" w:hAnsiTheme="majorHAnsi" w:cs="Times New Roman"/>
          <w:sz w:val="24"/>
          <w:szCs w:val="24"/>
        </w:rPr>
      </w:pPr>
    </w:p>
    <w:tbl>
      <w:tblPr>
        <w:tblStyle w:val="PlainTable21"/>
        <w:tblW w:w="9203" w:type="dxa"/>
        <w:jc w:val="center"/>
        <w:tblLook w:val="04A0" w:firstRow="1" w:lastRow="0" w:firstColumn="1" w:lastColumn="0" w:noHBand="0" w:noVBand="1"/>
      </w:tblPr>
      <w:tblGrid>
        <w:gridCol w:w="1097"/>
        <w:gridCol w:w="807"/>
        <w:gridCol w:w="807"/>
        <w:gridCol w:w="807"/>
        <w:gridCol w:w="807"/>
        <w:gridCol w:w="807"/>
        <w:gridCol w:w="807"/>
        <w:gridCol w:w="807"/>
        <w:gridCol w:w="807"/>
        <w:gridCol w:w="785"/>
        <w:gridCol w:w="865"/>
      </w:tblGrid>
      <w:tr w:rsidR="004E41B5" w:rsidRPr="00381828" w:rsidTr="004E41B5">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203" w:type="dxa"/>
            <w:gridSpan w:val="11"/>
            <w:tcBorders>
              <w:top w:val="nil"/>
              <w:bottom w:val="single" w:sz="4" w:space="0" w:color="auto"/>
            </w:tcBorders>
          </w:tcPr>
          <w:p w:rsidR="004E41B5" w:rsidRPr="004E41B5" w:rsidRDefault="004E41B5" w:rsidP="004E41B5">
            <w:pPr>
              <w:spacing w:beforeAutospacing="1" w:afterAutospacing="1"/>
              <w:textAlignment w:val="baseline"/>
              <w:rPr>
                <w:rFonts w:asciiTheme="majorHAnsi" w:eastAsia="Times New Roman" w:hAnsiTheme="majorHAnsi" w:cs="Times New Roman"/>
                <w:b w:val="0"/>
                <w:color w:val="000000"/>
                <w:lang w:eastAsia="en-GB"/>
              </w:rPr>
            </w:pPr>
            <w:r w:rsidRPr="004E41B5">
              <w:rPr>
                <w:rFonts w:asciiTheme="majorHAnsi" w:hAnsiTheme="majorHAnsi" w:cs="Times New Roman"/>
                <w:b w:val="0"/>
                <w:sz w:val="24"/>
                <w:szCs w:val="24"/>
              </w:rPr>
              <w:t>Table 1: Patient characteristics at recruitment</w:t>
            </w:r>
          </w:p>
        </w:tc>
      </w:tr>
      <w:tr w:rsidR="00396651" w:rsidRPr="00381828" w:rsidTr="004E41B5">
        <w:trPr>
          <w:cnfStyle w:val="000000100000" w:firstRow="0" w:lastRow="0" w:firstColumn="0" w:lastColumn="0" w:oddVBand="0" w:evenVBand="0" w:oddHBand="1" w:evenHBand="0" w:firstRowFirstColumn="0" w:firstRowLastColumn="0" w:lastRowFirstColumn="0" w:lastRowLastColumn="0"/>
          <w:trHeight w:val="722"/>
          <w:jc w:val="center"/>
        </w:trPr>
        <w:tc>
          <w:tcPr>
            <w:cnfStyle w:val="001000000000" w:firstRow="0" w:lastRow="0" w:firstColumn="1" w:lastColumn="0" w:oddVBand="0" w:evenVBand="0" w:oddHBand="0" w:evenHBand="0" w:firstRowFirstColumn="0" w:firstRowLastColumn="0" w:lastRowFirstColumn="0" w:lastRowLastColumn="0"/>
            <w:tcW w:w="1097" w:type="dxa"/>
            <w:tcBorders>
              <w:top w:val="single" w:sz="4" w:space="0" w:color="auto"/>
            </w:tcBorders>
            <w:hideMark/>
          </w:tcPr>
          <w:p w:rsidR="00396651" w:rsidRPr="005A0F24" w:rsidRDefault="00396651" w:rsidP="004E41B5">
            <w:pPr>
              <w:spacing w:beforeAutospacing="1" w:afterAutospacing="1"/>
              <w:textAlignment w:val="baseline"/>
              <w:rPr>
                <w:rFonts w:asciiTheme="majorHAnsi" w:eastAsia="Times New Roman" w:hAnsiTheme="majorHAnsi" w:cs="Times New Roman"/>
                <w:b w:val="0"/>
                <w:bCs w:val="0"/>
                <w:color w:val="000000"/>
                <w:sz w:val="24"/>
                <w:szCs w:val="24"/>
                <w:lang w:eastAsia="en-GB"/>
              </w:rPr>
            </w:pPr>
            <w:bookmarkStart w:id="3" w:name="_Hlk497921565"/>
            <w:r w:rsidRPr="005A0F24">
              <w:rPr>
                <w:rFonts w:asciiTheme="majorHAnsi" w:eastAsia="Times New Roman" w:hAnsiTheme="majorHAnsi" w:cs="Times New Roman"/>
                <w:b w:val="0"/>
                <w:color w:val="000000"/>
                <w:lang w:eastAsia="en-GB"/>
              </w:rPr>
              <w:t>Gestation at birth</w:t>
            </w:r>
            <w:r w:rsidRPr="005A0F24">
              <w:rPr>
                <w:rFonts w:asciiTheme="majorHAnsi" w:eastAsia="Times New Roman" w:hAnsiTheme="majorHAnsi" w:cs="Times New Roman"/>
                <w:b w:val="0"/>
                <w:bCs w:val="0"/>
                <w:color w:val="000000"/>
                <w:lang w:eastAsia="en-GB"/>
              </w:rPr>
              <w:t xml:space="preserve"> (weeks)</w:t>
            </w:r>
          </w:p>
        </w:tc>
        <w:tc>
          <w:tcPr>
            <w:tcW w:w="807" w:type="dxa"/>
            <w:tcBorders>
              <w:top w:val="single" w:sz="4" w:space="0" w:color="auto"/>
            </w:tcBorders>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bCs/>
                <w:color w:val="000000"/>
                <w:lang w:eastAsia="en-GB"/>
              </w:rPr>
            </w:pPr>
          </w:p>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23 </w:t>
            </w:r>
          </w:p>
        </w:tc>
        <w:tc>
          <w:tcPr>
            <w:tcW w:w="807" w:type="dxa"/>
            <w:tcBorders>
              <w:top w:val="single" w:sz="4" w:space="0" w:color="auto"/>
            </w:tcBorders>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bCs/>
                <w:color w:val="000000"/>
                <w:lang w:eastAsia="en-GB"/>
              </w:rPr>
            </w:pPr>
          </w:p>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24 </w:t>
            </w:r>
          </w:p>
        </w:tc>
        <w:tc>
          <w:tcPr>
            <w:tcW w:w="807" w:type="dxa"/>
            <w:tcBorders>
              <w:top w:val="single" w:sz="4" w:space="0" w:color="auto"/>
            </w:tcBorders>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bCs/>
                <w:color w:val="000000"/>
                <w:lang w:eastAsia="en-GB"/>
              </w:rPr>
            </w:pPr>
          </w:p>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25 </w:t>
            </w:r>
          </w:p>
        </w:tc>
        <w:tc>
          <w:tcPr>
            <w:tcW w:w="807" w:type="dxa"/>
            <w:tcBorders>
              <w:top w:val="single" w:sz="4" w:space="0" w:color="auto"/>
            </w:tcBorders>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bCs/>
                <w:color w:val="000000"/>
                <w:lang w:eastAsia="en-GB"/>
              </w:rPr>
            </w:pPr>
          </w:p>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26 </w:t>
            </w:r>
          </w:p>
        </w:tc>
        <w:tc>
          <w:tcPr>
            <w:tcW w:w="807" w:type="dxa"/>
            <w:tcBorders>
              <w:top w:val="single" w:sz="4" w:space="0" w:color="auto"/>
            </w:tcBorders>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bCs/>
                <w:color w:val="000000"/>
                <w:lang w:eastAsia="en-GB"/>
              </w:rPr>
            </w:pPr>
          </w:p>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27 </w:t>
            </w:r>
          </w:p>
        </w:tc>
        <w:tc>
          <w:tcPr>
            <w:tcW w:w="807" w:type="dxa"/>
            <w:tcBorders>
              <w:top w:val="single" w:sz="4" w:space="0" w:color="auto"/>
            </w:tcBorders>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bCs/>
                <w:color w:val="000000"/>
                <w:lang w:eastAsia="en-GB"/>
              </w:rPr>
            </w:pPr>
          </w:p>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28 </w:t>
            </w:r>
          </w:p>
        </w:tc>
        <w:tc>
          <w:tcPr>
            <w:tcW w:w="807" w:type="dxa"/>
            <w:tcBorders>
              <w:top w:val="single" w:sz="4" w:space="0" w:color="auto"/>
            </w:tcBorders>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bCs/>
                <w:color w:val="000000"/>
                <w:lang w:eastAsia="en-GB"/>
              </w:rPr>
            </w:pPr>
          </w:p>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29 </w:t>
            </w:r>
          </w:p>
        </w:tc>
        <w:tc>
          <w:tcPr>
            <w:tcW w:w="807" w:type="dxa"/>
            <w:tcBorders>
              <w:top w:val="single" w:sz="4" w:space="0" w:color="auto"/>
            </w:tcBorders>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bCs/>
                <w:color w:val="000000"/>
                <w:lang w:eastAsia="en-GB"/>
              </w:rPr>
            </w:pPr>
          </w:p>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30 </w:t>
            </w:r>
          </w:p>
        </w:tc>
        <w:tc>
          <w:tcPr>
            <w:tcW w:w="785" w:type="dxa"/>
            <w:tcBorders>
              <w:top w:val="single" w:sz="4" w:space="0" w:color="auto"/>
            </w:tcBorders>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color w:val="000000"/>
                <w:lang w:eastAsia="en-GB"/>
              </w:rPr>
            </w:pPr>
          </w:p>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color w:val="000000"/>
                <w:lang w:eastAsia="en-GB"/>
              </w:rPr>
            </w:pPr>
            <w:r w:rsidRPr="005A0F24">
              <w:rPr>
                <w:rFonts w:asciiTheme="majorHAnsi" w:eastAsia="Times New Roman" w:hAnsiTheme="majorHAnsi" w:cs="Times New Roman"/>
                <w:color w:val="000000"/>
                <w:lang w:eastAsia="en-GB"/>
              </w:rPr>
              <w:t>31</w:t>
            </w:r>
          </w:p>
        </w:tc>
        <w:tc>
          <w:tcPr>
            <w:tcW w:w="865" w:type="dxa"/>
            <w:tcBorders>
              <w:top w:val="single" w:sz="4" w:space="0" w:color="auto"/>
            </w:tcBorders>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w:t>
            </w:r>
          </w:p>
        </w:tc>
      </w:tr>
      <w:tr w:rsidR="00396651" w:rsidRPr="00381828" w:rsidTr="004E41B5">
        <w:trPr>
          <w:trHeight w:val="240"/>
          <w:jc w:val="center"/>
        </w:trPr>
        <w:tc>
          <w:tcPr>
            <w:cnfStyle w:val="001000000000" w:firstRow="0" w:lastRow="0" w:firstColumn="1" w:lastColumn="0" w:oddVBand="0" w:evenVBand="0" w:oddHBand="0" w:evenHBand="0" w:firstRowFirstColumn="0" w:firstRowLastColumn="0" w:lastRowFirstColumn="0" w:lastRowLastColumn="0"/>
            <w:tcW w:w="1097" w:type="dxa"/>
            <w:hideMark/>
          </w:tcPr>
          <w:p w:rsidR="00396651" w:rsidRPr="005A0F24" w:rsidRDefault="00396651" w:rsidP="004E41B5">
            <w:pPr>
              <w:spacing w:beforeAutospacing="1" w:afterAutospacing="1"/>
              <w:textAlignment w:val="baseline"/>
              <w:rPr>
                <w:rFonts w:asciiTheme="majorHAnsi" w:eastAsia="Times New Roman" w:hAnsiTheme="majorHAnsi" w:cs="Times New Roman"/>
                <w:b w:val="0"/>
                <w:bCs w:val="0"/>
                <w:color w:val="000000"/>
                <w:sz w:val="24"/>
                <w:szCs w:val="24"/>
                <w:lang w:eastAsia="en-GB"/>
              </w:rPr>
            </w:pPr>
            <w:r w:rsidRPr="005A0F24">
              <w:rPr>
                <w:rFonts w:asciiTheme="majorHAnsi" w:eastAsia="Times New Roman" w:hAnsiTheme="majorHAnsi" w:cs="Times New Roman"/>
                <w:b w:val="0"/>
                <w:bCs w:val="0"/>
                <w:color w:val="000000"/>
                <w:lang w:eastAsia="en-GB"/>
              </w:rPr>
              <w:t> </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w:t>
            </w:r>
          </w:p>
        </w:tc>
        <w:tc>
          <w:tcPr>
            <w:tcW w:w="785" w:type="dxa"/>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Cs/>
                <w:color w:val="000000"/>
                <w:lang w:eastAsia="en-GB"/>
              </w:rPr>
            </w:pPr>
          </w:p>
        </w:tc>
        <w:tc>
          <w:tcPr>
            <w:tcW w:w="865"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bCs/>
                <w:color w:val="000000"/>
                <w:lang w:eastAsia="en-GB"/>
              </w:rPr>
              <w:t>Total</w:t>
            </w:r>
            <w:r w:rsidRPr="005A0F24">
              <w:rPr>
                <w:rFonts w:asciiTheme="majorHAnsi" w:eastAsia="Times New Roman" w:hAnsiTheme="majorHAnsi" w:cs="Times New Roman"/>
                <w:color w:val="000000"/>
                <w:lang w:eastAsia="en-GB"/>
              </w:rPr>
              <w:t> </w:t>
            </w:r>
          </w:p>
        </w:tc>
      </w:tr>
      <w:tr w:rsidR="00396651" w:rsidRPr="00381828" w:rsidTr="004E41B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097" w:type="dxa"/>
            <w:hideMark/>
          </w:tcPr>
          <w:p w:rsidR="00396651" w:rsidRPr="005A0F24" w:rsidRDefault="00396651" w:rsidP="004E41B5">
            <w:pPr>
              <w:spacing w:beforeAutospacing="1" w:afterAutospacing="1"/>
              <w:textAlignment w:val="baseline"/>
              <w:rPr>
                <w:rFonts w:asciiTheme="majorHAnsi" w:eastAsia="Times New Roman" w:hAnsiTheme="majorHAnsi" w:cs="Times New Roman"/>
                <w:b w:val="0"/>
                <w:bCs w:val="0"/>
                <w:color w:val="000000"/>
                <w:sz w:val="24"/>
                <w:szCs w:val="24"/>
                <w:lang w:eastAsia="en-GB"/>
              </w:rPr>
            </w:pPr>
            <w:r w:rsidRPr="005A0F24">
              <w:rPr>
                <w:rFonts w:asciiTheme="majorHAnsi" w:eastAsia="Times New Roman" w:hAnsiTheme="majorHAnsi" w:cs="Times New Roman"/>
                <w:b w:val="0"/>
                <w:color w:val="000000"/>
                <w:lang w:eastAsia="en-GB"/>
              </w:rPr>
              <w:t>Sex</w:t>
            </w:r>
            <w:r w:rsidRPr="005A0F24">
              <w:rPr>
                <w:rFonts w:asciiTheme="majorHAnsi" w:eastAsia="Times New Roman" w:hAnsiTheme="majorHAnsi" w:cs="Times New Roman"/>
                <w:b w:val="0"/>
                <w:bCs w:val="0"/>
                <w:color w:val="000000"/>
                <w:lang w:eastAsia="en-GB"/>
              </w:rPr>
              <w:t> </w:t>
            </w:r>
          </w:p>
        </w:tc>
        <w:tc>
          <w:tcPr>
            <w:tcW w:w="807" w:type="dxa"/>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w:t>
            </w:r>
          </w:p>
        </w:tc>
        <w:tc>
          <w:tcPr>
            <w:tcW w:w="807" w:type="dxa"/>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w:t>
            </w:r>
          </w:p>
        </w:tc>
        <w:tc>
          <w:tcPr>
            <w:tcW w:w="807" w:type="dxa"/>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w:t>
            </w:r>
          </w:p>
        </w:tc>
        <w:tc>
          <w:tcPr>
            <w:tcW w:w="807" w:type="dxa"/>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w:t>
            </w:r>
          </w:p>
        </w:tc>
        <w:tc>
          <w:tcPr>
            <w:tcW w:w="807" w:type="dxa"/>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w:t>
            </w:r>
          </w:p>
        </w:tc>
        <w:tc>
          <w:tcPr>
            <w:tcW w:w="807" w:type="dxa"/>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w:t>
            </w:r>
          </w:p>
        </w:tc>
        <w:tc>
          <w:tcPr>
            <w:tcW w:w="807" w:type="dxa"/>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w:t>
            </w:r>
          </w:p>
        </w:tc>
        <w:tc>
          <w:tcPr>
            <w:tcW w:w="807" w:type="dxa"/>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w:t>
            </w:r>
          </w:p>
        </w:tc>
        <w:tc>
          <w:tcPr>
            <w:tcW w:w="785" w:type="dxa"/>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lang w:eastAsia="en-GB"/>
              </w:rPr>
            </w:pPr>
          </w:p>
        </w:tc>
        <w:tc>
          <w:tcPr>
            <w:tcW w:w="865" w:type="dxa"/>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w:t>
            </w:r>
          </w:p>
        </w:tc>
      </w:tr>
      <w:tr w:rsidR="00396651" w:rsidRPr="00381828" w:rsidTr="004E41B5">
        <w:trPr>
          <w:trHeight w:val="240"/>
          <w:jc w:val="center"/>
        </w:trPr>
        <w:tc>
          <w:tcPr>
            <w:cnfStyle w:val="001000000000" w:firstRow="0" w:lastRow="0" w:firstColumn="1" w:lastColumn="0" w:oddVBand="0" w:evenVBand="0" w:oddHBand="0" w:evenHBand="0" w:firstRowFirstColumn="0" w:firstRowLastColumn="0" w:lastRowFirstColumn="0" w:lastRowLastColumn="0"/>
            <w:tcW w:w="1097" w:type="dxa"/>
            <w:hideMark/>
          </w:tcPr>
          <w:p w:rsidR="00396651" w:rsidRPr="005A0F24" w:rsidRDefault="00396651" w:rsidP="004E41B5">
            <w:pPr>
              <w:spacing w:beforeAutospacing="1" w:afterAutospacing="1"/>
              <w:textAlignment w:val="baseline"/>
              <w:rPr>
                <w:rFonts w:asciiTheme="majorHAnsi" w:eastAsia="Times New Roman" w:hAnsiTheme="majorHAnsi" w:cs="Times New Roman"/>
                <w:b w:val="0"/>
                <w:bCs w:val="0"/>
                <w:color w:val="000000"/>
                <w:sz w:val="24"/>
                <w:szCs w:val="24"/>
                <w:lang w:eastAsia="en-GB"/>
              </w:rPr>
            </w:pPr>
            <w:r w:rsidRPr="005A0F24">
              <w:rPr>
                <w:rFonts w:asciiTheme="majorHAnsi" w:eastAsia="Times New Roman" w:hAnsiTheme="majorHAnsi" w:cs="Times New Roman"/>
                <w:b w:val="0"/>
                <w:color w:val="000000"/>
                <w:lang w:eastAsia="en-GB"/>
              </w:rPr>
              <w:t>Female</w:t>
            </w:r>
            <w:r w:rsidRPr="005A0F24">
              <w:rPr>
                <w:rFonts w:asciiTheme="majorHAnsi" w:eastAsia="Times New Roman" w:hAnsiTheme="majorHAnsi" w:cs="Times New Roman"/>
                <w:b w:val="0"/>
                <w:bCs w:val="0"/>
                <w:color w:val="000000"/>
                <w:lang w:eastAsia="en-GB"/>
              </w:rPr>
              <w:t> </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7</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11</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20</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13</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17</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34</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12</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14</w:t>
            </w:r>
          </w:p>
        </w:tc>
        <w:tc>
          <w:tcPr>
            <w:tcW w:w="785" w:type="dxa"/>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lang w:eastAsia="en-GB"/>
              </w:rPr>
            </w:pPr>
            <w:r w:rsidRPr="005A0F24">
              <w:rPr>
                <w:rFonts w:asciiTheme="majorHAnsi" w:eastAsia="Times New Roman" w:hAnsiTheme="majorHAnsi" w:cs="Times New Roman"/>
                <w:color w:val="000000"/>
                <w:lang w:eastAsia="en-GB"/>
              </w:rPr>
              <w:t>33</w:t>
            </w:r>
          </w:p>
        </w:tc>
        <w:tc>
          <w:tcPr>
            <w:tcW w:w="865"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161</w:t>
            </w:r>
          </w:p>
        </w:tc>
      </w:tr>
      <w:tr w:rsidR="00396651" w:rsidRPr="00381828" w:rsidTr="004E41B5">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097" w:type="dxa"/>
            <w:hideMark/>
          </w:tcPr>
          <w:p w:rsidR="00396651" w:rsidRPr="005A0F24" w:rsidRDefault="00396651" w:rsidP="004E41B5">
            <w:pPr>
              <w:spacing w:beforeAutospacing="1" w:afterAutospacing="1"/>
              <w:textAlignment w:val="baseline"/>
              <w:rPr>
                <w:rFonts w:asciiTheme="majorHAnsi" w:eastAsia="Times New Roman" w:hAnsiTheme="majorHAnsi" w:cs="Times New Roman"/>
                <w:b w:val="0"/>
                <w:bCs w:val="0"/>
                <w:color w:val="000000"/>
                <w:sz w:val="24"/>
                <w:szCs w:val="24"/>
                <w:lang w:eastAsia="en-GB"/>
              </w:rPr>
            </w:pPr>
            <w:r w:rsidRPr="005A0F24">
              <w:rPr>
                <w:rFonts w:asciiTheme="majorHAnsi" w:eastAsia="Times New Roman" w:hAnsiTheme="majorHAnsi" w:cs="Times New Roman"/>
                <w:b w:val="0"/>
                <w:color w:val="000000"/>
                <w:lang w:eastAsia="en-GB"/>
              </w:rPr>
              <w:t>Male</w:t>
            </w:r>
            <w:r w:rsidRPr="005A0F24">
              <w:rPr>
                <w:rFonts w:asciiTheme="majorHAnsi" w:eastAsia="Times New Roman" w:hAnsiTheme="majorHAnsi" w:cs="Times New Roman"/>
                <w:b w:val="0"/>
                <w:bCs w:val="0"/>
                <w:color w:val="000000"/>
                <w:lang w:eastAsia="en-GB"/>
              </w:rPr>
              <w:t> </w:t>
            </w:r>
          </w:p>
        </w:tc>
        <w:tc>
          <w:tcPr>
            <w:tcW w:w="807" w:type="dxa"/>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6</w:t>
            </w:r>
          </w:p>
        </w:tc>
        <w:tc>
          <w:tcPr>
            <w:tcW w:w="807" w:type="dxa"/>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25 </w:t>
            </w:r>
          </w:p>
        </w:tc>
        <w:tc>
          <w:tcPr>
            <w:tcW w:w="807" w:type="dxa"/>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23 </w:t>
            </w:r>
          </w:p>
        </w:tc>
        <w:tc>
          <w:tcPr>
            <w:tcW w:w="807" w:type="dxa"/>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26 </w:t>
            </w:r>
          </w:p>
        </w:tc>
        <w:tc>
          <w:tcPr>
            <w:tcW w:w="807" w:type="dxa"/>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34 </w:t>
            </w:r>
          </w:p>
        </w:tc>
        <w:tc>
          <w:tcPr>
            <w:tcW w:w="807" w:type="dxa"/>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32 </w:t>
            </w:r>
          </w:p>
        </w:tc>
        <w:tc>
          <w:tcPr>
            <w:tcW w:w="807" w:type="dxa"/>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25 </w:t>
            </w:r>
          </w:p>
        </w:tc>
        <w:tc>
          <w:tcPr>
            <w:tcW w:w="807" w:type="dxa"/>
            <w:hideMark/>
          </w:tcPr>
          <w:p w:rsidR="00396651" w:rsidRPr="005A0F24" w:rsidRDefault="00396651" w:rsidP="004E41B5">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29</w:t>
            </w:r>
          </w:p>
        </w:tc>
        <w:tc>
          <w:tcPr>
            <w:tcW w:w="785" w:type="dxa"/>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lang w:eastAsia="en-GB"/>
              </w:rPr>
            </w:pPr>
            <w:r w:rsidRPr="005A0F24">
              <w:rPr>
                <w:rFonts w:asciiTheme="majorHAnsi" w:eastAsia="Times New Roman" w:hAnsiTheme="majorHAnsi" w:cs="Times New Roman"/>
                <w:color w:val="000000"/>
                <w:lang w:eastAsia="en-GB"/>
              </w:rPr>
              <w:t>35</w:t>
            </w:r>
          </w:p>
        </w:tc>
        <w:tc>
          <w:tcPr>
            <w:tcW w:w="865" w:type="dxa"/>
            <w:hideMark/>
          </w:tcPr>
          <w:p w:rsidR="00396651" w:rsidRPr="005A0F24" w:rsidRDefault="00396651" w:rsidP="004E41B5">
            <w:pPr>
              <w:spacing w:beforeAutospacing="1" w:afterAutospacing="1"/>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235</w:t>
            </w:r>
          </w:p>
        </w:tc>
      </w:tr>
      <w:tr w:rsidR="00396651" w:rsidRPr="00381828" w:rsidTr="004E41B5">
        <w:trPr>
          <w:trHeight w:val="240"/>
          <w:jc w:val="center"/>
        </w:trPr>
        <w:tc>
          <w:tcPr>
            <w:cnfStyle w:val="001000000000" w:firstRow="0" w:lastRow="0" w:firstColumn="1" w:lastColumn="0" w:oddVBand="0" w:evenVBand="0" w:oddHBand="0" w:evenHBand="0" w:firstRowFirstColumn="0" w:firstRowLastColumn="0" w:lastRowFirstColumn="0" w:lastRowLastColumn="0"/>
            <w:tcW w:w="1097" w:type="dxa"/>
            <w:hideMark/>
          </w:tcPr>
          <w:p w:rsidR="00396651" w:rsidRPr="005A0F24" w:rsidRDefault="00396651" w:rsidP="004E41B5">
            <w:pPr>
              <w:spacing w:beforeAutospacing="1" w:afterAutospacing="1"/>
              <w:textAlignment w:val="baseline"/>
              <w:rPr>
                <w:rFonts w:asciiTheme="majorHAnsi" w:eastAsia="Times New Roman" w:hAnsiTheme="majorHAnsi" w:cs="Times New Roman"/>
                <w:b w:val="0"/>
                <w:bCs w:val="0"/>
                <w:color w:val="000000"/>
                <w:sz w:val="24"/>
                <w:szCs w:val="24"/>
                <w:lang w:eastAsia="en-GB"/>
              </w:rPr>
            </w:pPr>
            <w:r w:rsidRPr="005A0F24">
              <w:rPr>
                <w:rFonts w:asciiTheme="majorHAnsi" w:eastAsia="Times New Roman" w:hAnsiTheme="majorHAnsi" w:cs="Times New Roman"/>
                <w:b w:val="0"/>
                <w:color w:val="000000"/>
                <w:lang w:eastAsia="en-GB"/>
              </w:rPr>
              <w:t>Total</w:t>
            </w:r>
            <w:r w:rsidRPr="005A0F24">
              <w:rPr>
                <w:rFonts w:asciiTheme="majorHAnsi" w:eastAsia="Times New Roman" w:hAnsiTheme="majorHAnsi" w:cs="Times New Roman"/>
                <w:b w:val="0"/>
                <w:bCs w:val="0"/>
                <w:color w:val="000000"/>
                <w:lang w:eastAsia="en-GB"/>
              </w:rPr>
              <w:t> </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13</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36</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43</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39</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51</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66</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37</w:t>
            </w:r>
          </w:p>
        </w:tc>
        <w:tc>
          <w:tcPr>
            <w:tcW w:w="807"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 43</w:t>
            </w:r>
          </w:p>
        </w:tc>
        <w:tc>
          <w:tcPr>
            <w:tcW w:w="785" w:type="dxa"/>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lang w:eastAsia="en-GB"/>
              </w:rPr>
            </w:pPr>
            <w:r w:rsidRPr="005A0F24">
              <w:rPr>
                <w:rFonts w:asciiTheme="majorHAnsi" w:eastAsia="Times New Roman" w:hAnsiTheme="majorHAnsi" w:cs="Times New Roman"/>
                <w:color w:val="000000"/>
                <w:lang w:eastAsia="en-GB"/>
              </w:rPr>
              <w:t>68</w:t>
            </w:r>
          </w:p>
        </w:tc>
        <w:tc>
          <w:tcPr>
            <w:tcW w:w="865" w:type="dxa"/>
            <w:hideMark/>
          </w:tcPr>
          <w:p w:rsidR="00396651" w:rsidRPr="005A0F24" w:rsidRDefault="00396651" w:rsidP="004E41B5">
            <w:pPr>
              <w:spacing w:beforeAutospacing="1" w:afterAutospacing="1"/>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4"/>
                <w:szCs w:val="24"/>
                <w:lang w:eastAsia="en-GB"/>
              </w:rPr>
            </w:pPr>
            <w:r w:rsidRPr="005A0F24">
              <w:rPr>
                <w:rFonts w:asciiTheme="majorHAnsi" w:eastAsia="Times New Roman" w:hAnsiTheme="majorHAnsi" w:cs="Times New Roman"/>
                <w:color w:val="000000"/>
                <w:lang w:eastAsia="en-GB"/>
              </w:rPr>
              <w:t>396</w:t>
            </w:r>
          </w:p>
        </w:tc>
      </w:tr>
      <w:bookmarkEnd w:id="3"/>
    </w:tbl>
    <w:p w:rsidR="00396651" w:rsidRDefault="00396651" w:rsidP="009E2DF4">
      <w:pPr>
        <w:spacing w:line="480" w:lineRule="auto"/>
        <w:rPr>
          <w:rFonts w:asciiTheme="majorHAnsi" w:hAnsiTheme="majorHAnsi" w:cs="Times New Roman"/>
          <w:sz w:val="24"/>
          <w:szCs w:val="24"/>
        </w:rPr>
      </w:pPr>
    </w:p>
    <w:p w:rsidR="00503109" w:rsidRPr="009622E6" w:rsidRDefault="003909D4" w:rsidP="009E2DF4">
      <w:pPr>
        <w:spacing w:line="480" w:lineRule="auto"/>
        <w:rPr>
          <w:rFonts w:asciiTheme="majorHAnsi" w:hAnsiTheme="majorHAnsi" w:cs="Times New Roman"/>
          <w:b/>
          <w:sz w:val="24"/>
          <w:szCs w:val="24"/>
        </w:rPr>
      </w:pPr>
      <w:r w:rsidRPr="009622E6">
        <w:rPr>
          <w:rFonts w:asciiTheme="majorHAnsi" w:hAnsiTheme="majorHAnsi" w:cs="Times New Roman"/>
          <w:b/>
          <w:sz w:val="24"/>
          <w:szCs w:val="24"/>
        </w:rPr>
        <w:t>Longitudinal growth and</w:t>
      </w:r>
      <w:r w:rsidR="00EB34E4" w:rsidRPr="009622E6">
        <w:rPr>
          <w:rFonts w:asciiTheme="majorHAnsi" w:hAnsiTheme="majorHAnsi" w:cs="Times New Roman"/>
          <w:b/>
          <w:sz w:val="24"/>
          <w:szCs w:val="24"/>
        </w:rPr>
        <w:t xml:space="preserve"> change in SD scores:</w:t>
      </w:r>
    </w:p>
    <w:p w:rsidR="004E41B5" w:rsidRDefault="00EB34E4" w:rsidP="00E175F3">
      <w:pPr>
        <w:spacing w:line="480" w:lineRule="auto"/>
        <w:rPr>
          <w:rFonts w:asciiTheme="majorHAnsi" w:hAnsiTheme="majorHAnsi" w:cs="Times New Roman"/>
          <w:sz w:val="24"/>
          <w:szCs w:val="24"/>
        </w:rPr>
      </w:pPr>
      <w:r w:rsidRPr="009622E6">
        <w:rPr>
          <w:rFonts w:asciiTheme="majorHAnsi" w:hAnsiTheme="majorHAnsi" w:cs="Times New Roman"/>
          <w:sz w:val="24"/>
          <w:szCs w:val="24"/>
        </w:rPr>
        <w:t xml:space="preserve">Figure </w:t>
      </w:r>
      <w:r w:rsidR="00412693">
        <w:rPr>
          <w:rFonts w:asciiTheme="majorHAnsi" w:hAnsiTheme="majorHAnsi" w:cs="Times New Roman"/>
          <w:sz w:val="24"/>
          <w:szCs w:val="24"/>
        </w:rPr>
        <w:t>1</w:t>
      </w:r>
      <w:r w:rsidRPr="009622E6">
        <w:rPr>
          <w:rFonts w:asciiTheme="majorHAnsi" w:hAnsiTheme="majorHAnsi" w:cs="Times New Roman"/>
          <w:sz w:val="24"/>
          <w:szCs w:val="24"/>
        </w:rPr>
        <w:t xml:space="preserve"> shows </w:t>
      </w:r>
      <w:r w:rsidR="00642C91">
        <w:rPr>
          <w:rFonts w:asciiTheme="majorHAnsi" w:hAnsiTheme="majorHAnsi" w:cs="Times New Roman"/>
          <w:sz w:val="24"/>
          <w:szCs w:val="24"/>
        </w:rPr>
        <w:t xml:space="preserve">median </w:t>
      </w:r>
      <w:r w:rsidR="002A7F5E" w:rsidRPr="009622E6">
        <w:rPr>
          <w:rFonts w:asciiTheme="majorHAnsi" w:hAnsiTheme="majorHAnsi" w:cs="Times New Roman"/>
          <w:sz w:val="24"/>
          <w:szCs w:val="24"/>
        </w:rPr>
        <w:t>weight</w:t>
      </w:r>
      <w:r w:rsidR="00642C91">
        <w:rPr>
          <w:rFonts w:asciiTheme="majorHAnsi" w:hAnsiTheme="majorHAnsi" w:cs="Times New Roman"/>
          <w:sz w:val="24"/>
          <w:szCs w:val="24"/>
        </w:rPr>
        <w:t xml:space="preserve"> plots</w:t>
      </w:r>
      <w:r w:rsidR="002A7F5E" w:rsidRPr="009622E6">
        <w:rPr>
          <w:rFonts w:asciiTheme="majorHAnsi" w:hAnsiTheme="majorHAnsi" w:cs="Times New Roman"/>
          <w:sz w:val="24"/>
          <w:szCs w:val="24"/>
        </w:rPr>
        <w:t xml:space="preserve"> for </w:t>
      </w:r>
      <w:r w:rsidRPr="009622E6">
        <w:rPr>
          <w:rFonts w:asciiTheme="majorHAnsi" w:hAnsiTheme="majorHAnsi" w:cs="Times New Roman"/>
          <w:sz w:val="24"/>
          <w:szCs w:val="24"/>
        </w:rPr>
        <w:t xml:space="preserve">each </w:t>
      </w:r>
      <w:r w:rsidR="008E594B" w:rsidRPr="009622E6">
        <w:rPr>
          <w:rFonts w:asciiTheme="majorHAnsi" w:hAnsiTheme="majorHAnsi" w:cs="Times New Roman"/>
          <w:sz w:val="24"/>
          <w:szCs w:val="24"/>
        </w:rPr>
        <w:t>GA</w:t>
      </w:r>
      <w:r w:rsidRPr="009622E6">
        <w:rPr>
          <w:rFonts w:asciiTheme="majorHAnsi" w:hAnsiTheme="majorHAnsi" w:cs="Times New Roman"/>
          <w:sz w:val="24"/>
          <w:szCs w:val="24"/>
        </w:rPr>
        <w:t xml:space="preserve"> subgroup </w:t>
      </w:r>
      <w:r w:rsidR="002A7F5E" w:rsidRPr="009622E6">
        <w:rPr>
          <w:rFonts w:asciiTheme="majorHAnsi" w:hAnsiTheme="majorHAnsi" w:cs="Times New Roman"/>
          <w:sz w:val="24"/>
          <w:szCs w:val="24"/>
        </w:rPr>
        <w:t xml:space="preserve">overlaid on the standard NICM chart. It can be seen that these lines </w:t>
      </w:r>
      <w:r w:rsidR="00814629" w:rsidRPr="009622E6">
        <w:rPr>
          <w:rFonts w:asciiTheme="majorHAnsi" w:hAnsiTheme="majorHAnsi" w:cs="Times New Roman"/>
          <w:sz w:val="24"/>
          <w:szCs w:val="24"/>
        </w:rPr>
        <w:t>approximate</w:t>
      </w:r>
      <w:r w:rsidRPr="009622E6">
        <w:rPr>
          <w:rFonts w:asciiTheme="majorHAnsi" w:hAnsiTheme="majorHAnsi" w:cs="Times New Roman"/>
          <w:sz w:val="24"/>
          <w:szCs w:val="24"/>
        </w:rPr>
        <w:t xml:space="preserve"> the centile line that was attributed at birth. There is no weight loss in any of the subgroups seen in early life. Across all patients the mean ΔSDS for weight between birth and 36 weeks was </w:t>
      </w:r>
      <w:r w:rsidR="00CA65E1" w:rsidRPr="009622E6">
        <w:rPr>
          <w:rFonts w:asciiTheme="majorHAnsi" w:hAnsiTheme="majorHAnsi" w:cs="Times New Roman"/>
          <w:sz w:val="24"/>
          <w:szCs w:val="24"/>
        </w:rPr>
        <w:t>-0.27</w:t>
      </w:r>
      <w:r w:rsidR="007257C1" w:rsidRPr="009622E6">
        <w:rPr>
          <w:rFonts w:asciiTheme="majorHAnsi" w:hAnsiTheme="majorHAnsi" w:cs="Times New Roman"/>
          <w:sz w:val="24"/>
          <w:szCs w:val="24"/>
        </w:rPr>
        <w:t xml:space="preserve"> (95% confidence interval -0.39 to -0.15</w:t>
      </w:r>
      <w:r w:rsidR="00CA65E1" w:rsidRPr="009622E6">
        <w:rPr>
          <w:rFonts w:asciiTheme="majorHAnsi" w:hAnsiTheme="majorHAnsi" w:cs="Times New Roman"/>
          <w:sz w:val="24"/>
          <w:szCs w:val="24"/>
        </w:rPr>
        <w:t>).</w:t>
      </w:r>
      <w:r w:rsidRPr="009622E6">
        <w:rPr>
          <w:rFonts w:asciiTheme="majorHAnsi" w:hAnsiTheme="majorHAnsi" w:cs="Times New Roman"/>
          <w:sz w:val="24"/>
          <w:szCs w:val="24"/>
        </w:rPr>
        <w:t xml:space="preserve"> The </w:t>
      </w:r>
      <w:r w:rsidR="00CA6E69" w:rsidRPr="009622E6">
        <w:rPr>
          <w:rFonts w:asciiTheme="majorHAnsi" w:hAnsiTheme="majorHAnsi" w:cs="Times New Roman"/>
          <w:sz w:val="24"/>
          <w:szCs w:val="24"/>
        </w:rPr>
        <w:t>Δ</w:t>
      </w:r>
      <w:r w:rsidRPr="009622E6">
        <w:rPr>
          <w:rFonts w:asciiTheme="majorHAnsi" w:hAnsiTheme="majorHAnsi" w:cs="Times New Roman"/>
          <w:sz w:val="24"/>
          <w:szCs w:val="24"/>
        </w:rPr>
        <w:t xml:space="preserve">SDS for weight from birth to 36 weeks </w:t>
      </w:r>
      <w:r w:rsidR="006F5D8F" w:rsidRPr="009622E6">
        <w:rPr>
          <w:rFonts w:asciiTheme="majorHAnsi" w:hAnsiTheme="majorHAnsi" w:cs="Times New Roman"/>
          <w:sz w:val="24"/>
          <w:szCs w:val="24"/>
        </w:rPr>
        <w:t>PMA</w:t>
      </w:r>
      <w:r w:rsidRPr="009622E6">
        <w:rPr>
          <w:rFonts w:asciiTheme="majorHAnsi" w:hAnsiTheme="majorHAnsi" w:cs="Times New Roman"/>
          <w:sz w:val="24"/>
          <w:szCs w:val="24"/>
        </w:rPr>
        <w:t xml:space="preserve"> for all infants born at differing </w:t>
      </w:r>
      <w:r w:rsidR="006F5D8F" w:rsidRPr="009622E6">
        <w:rPr>
          <w:rFonts w:asciiTheme="majorHAnsi" w:hAnsiTheme="majorHAnsi" w:cs="Times New Roman"/>
          <w:sz w:val="24"/>
          <w:szCs w:val="24"/>
        </w:rPr>
        <w:t>PMA</w:t>
      </w:r>
      <w:r w:rsidRPr="009622E6">
        <w:rPr>
          <w:rFonts w:asciiTheme="majorHAnsi" w:hAnsiTheme="majorHAnsi" w:cs="Times New Roman"/>
          <w:sz w:val="24"/>
          <w:szCs w:val="24"/>
        </w:rPr>
        <w:t xml:space="preserve">s </w:t>
      </w:r>
      <w:r w:rsidR="004B54D2" w:rsidRPr="009622E6">
        <w:rPr>
          <w:rFonts w:asciiTheme="majorHAnsi" w:hAnsiTheme="majorHAnsi" w:cs="Times New Roman"/>
          <w:sz w:val="24"/>
          <w:szCs w:val="24"/>
        </w:rPr>
        <w:t xml:space="preserve">are also shown in table 2. </w:t>
      </w:r>
      <w:r w:rsidRPr="009622E6">
        <w:rPr>
          <w:rFonts w:asciiTheme="majorHAnsi" w:hAnsiTheme="majorHAnsi" w:cs="Times New Roman"/>
          <w:sz w:val="24"/>
          <w:szCs w:val="24"/>
        </w:rPr>
        <w:t>The weight of the 23-week group exhibited a ΔSDS of -</w:t>
      </w:r>
      <w:r w:rsidR="00F626D1" w:rsidRPr="009622E6">
        <w:rPr>
          <w:rFonts w:asciiTheme="majorHAnsi" w:hAnsiTheme="majorHAnsi" w:cs="Times New Roman"/>
          <w:sz w:val="24"/>
          <w:szCs w:val="24"/>
        </w:rPr>
        <w:t>1.</w:t>
      </w:r>
      <w:r w:rsidR="007257C1" w:rsidRPr="009622E6">
        <w:rPr>
          <w:rFonts w:asciiTheme="majorHAnsi" w:hAnsiTheme="majorHAnsi" w:cs="Times New Roman"/>
          <w:sz w:val="24"/>
          <w:szCs w:val="24"/>
        </w:rPr>
        <w:t>02</w:t>
      </w:r>
      <w:r w:rsidR="00F626D1" w:rsidRPr="009622E6">
        <w:rPr>
          <w:rFonts w:asciiTheme="majorHAnsi" w:hAnsiTheme="majorHAnsi" w:cs="Times New Roman"/>
          <w:sz w:val="24"/>
          <w:szCs w:val="24"/>
        </w:rPr>
        <w:t xml:space="preserve"> </w:t>
      </w:r>
      <w:r w:rsidR="00F626D1" w:rsidRPr="009622E6">
        <w:rPr>
          <w:rFonts w:asciiTheme="majorHAnsi" w:hAnsiTheme="majorHAnsi" w:cs="Times New Roman"/>
          <w:sz w:val="24"/>
          <w:szCs w:val="24"/>
        </w:rPr>
        <w:lastRenderedPageBreak/>
        <w:t>between birth and</w:t>
      </w:r>
      <w:r w:rsidRPr="009622E6">
        <w:rPr>
          <w:rFonts w:asciiTheme="majorHAnsi" w:hAnsiTheme="majorHAnsi" w:cs="Times New Roman"/>
          <w:sz w:val="24"/>
          <w:szCs w:val="24"/>
        </w:rPr>
        <w:t xml:space="preserve"> 36 weeks</w:t>
      </w:r>
      <w:r w:rsidR="004B54D2" w:rsidRPr="009622E6">
        <w:rPr>
          <w:rFonts w:asciiTheme="majorHAnsi" w:hAnsiTheme="majorHAnsi" w:cs="Times New Roman"/>
          <w:sz w:val="24"/>
          <w:szCs w:val="24"/>
        </w:rPr>
        <w:t xml:space="preserve"> PMA</w:t>
      </w:r>
      <w:r w:rsidRPr="009622E6">
        <w:rPr>
          <w:rFonts w:asciiTheme="majorHAnsi" w:hAnsiTheme="majorHAnsi" w:cs="Times New Roman"/>
          <w:sz w:val="24"/>
          <w:szCs w:val="24"/>
        </w:rPr>
        <w:t xml:space="preserve">. However, none of the other </w:t>
      </w:r>
      <w:r w:rsidR="008E594B" w:rsidRPr="009622E6">
        <w:rPr>
          <w:rFonts w:asciiTheme="majorHAnsi" w:hAnsiTheme="majorHAnsi" w:cs="Times New Roman"/>
          <w:sz w:val="24"/>
          <w:szCs w:val="24"/>
        </w:rPr>
        <w:t>GA</w:t>
      </w:r>
      <w:r w:rsidRPr="009622E6">
        <w:rPr>
          <w:rFonts w:asciiTheme="majorHAnsi" w:hAnsiTheme="majorHAnsi" w:cs="Times New Roman"/>
          <w:sz w:val="24"/>
          <w:szCs w:val="24"/>
        </w:rPr>
        <w:t xml:space="preserve"> subgroups fell by more than 0.6</w:t>
      </w:r>
      <w:r w:rsidR="00C21FA3">
        <w:rPr>
          <w:rFonts w:asciiTheme="majorHAnsi" w:hAnsiTheme="majorHAnsi" w:cs="Times New Roman"/>
          <w:sz w:val="24"/>
          <w:szCs w:val="24"/>
        </w:rPr>
        <w:t>7</w:t>
      </w:r>
      <w:r w:rsidRPr="009622E6">
        <w:rPr>
          <w:rFonts w:asciiTheme="majorHAnsi" w:hAnsiTheme="majorHAnsi" w:cs="Times New Roman"/>
          <w:sz w:val="24"/>
          <w:szCs w:val="24"/>
        </w:rPr>
        <w:t xml:space="preserve"> SDS between birth and 36 </w:t>
      </w:r>
      <w:r w:rsidR="00F626D1" w:rsidRPr="009622E6">
        <w:rPr>
          <w:rFonts w:asciiTheme="majorHAnsi" w:hAnsiTheme="majorHAnsi" w:cs="Times New Roman"/>
          <w:sz w:val="24"/>
          <w:szCs w:val="24"/>
        </w:rPr>
        <w:t xml:space="preserve">weeks </w:t>
      </w:r>
      <w:r w:rsidR="006F5D8F" w:rsidRPr="009622E6">
        <w:rPr>
          <w:rFonts w:asciiTheme="majorHAnsi" w:hAnsiTheme="majorHAnsi" w:cs="Times New Roman"/>
          <w:sz w:val="24"/>
          <w:szCs w:val="24"/>
        </w:rPr>
        <w:t>PMA</w:t>
      </w:r>
      <w:r w:rsidRPr="009622E6">
        <w:rPr>
          <w:rFonts w:asciiTheme="majorHAnsi" w:hAnsiTheme="majorHAnsi" w:cs="Times New Roman"/>
          <w:sz w:val="24"/>
          <w:szCs w:val="24"/>
        </w:rPr>
        <w:t xml:space="preserve">, </w:t>
      </w:r>
      <w:r w:rsidR="00D864BF" w:rsidRPr="005814CA">
        <w:rPr>
          <w:rFonts w:asciiTheme="majorHAnsi" w:hAnsiTheme="majorHAnsi" w:cs="Times New Roman"/>
          <w:sz w:val="24"/>
          <w:szCs w:val="24"/>
        </w:rPr>
        <w:t xml:space="preserve">meaning they did not fall more than a </w:t>
      </w:r>
      <w:r w:rsidR="00E61F47">
        <w:rPr>
          <w:rFonts w:asciiTheme="majorHAnsi" w:hAnsiTheme="majorHAnsi" w:cs="Times New Roman"/>
          <w:sz w:val="24"/>
          <w:szCs w:val="24"/>
        </w:rPr>
        <w:t xml:space="preserve">single </w:t>
      </w:r>
      <w:r w:rsidR="00D864BF" w:rsidRPr="005814CA">
        <w:rPr>
          <w:rFonts w:asciiTheme="majorHAnsi" w:hAnsiTheme="majorHAnsi" w:cs="Times New Roman"/>
          <w:sz w:val="24"/>
          <w:szCs w:val="24"/>
        </w:rPr>
        <w:t>marked centile line on the NICM growth chart.</w:t>
      </w:r>
      <w:r w:rsidRPr="009622E6">
        <w:rPr>
          <w:rFonts w:asciiTheme="majorHAnsi" w:hAnsiTheme="majorHAnsi" w:cs="Times New Roman"/>
          <w:sz w:val="24"/>
          <w:szCs w:val="24"/>
        </w:rPr>
        <w:t xml:space="preserve"> </w:t>
      </w:r>
      <w:r w:rsidR="007F29D5">
        <w:rPr>
          <w:rFonts w:asciiTheme="majorHAnsi" w:hAnsiTheme="majorHAnsi" w:cs="Times New Roman"/>
          <w:sz w:val="24"/>
          <w:szCs w:val="24"/>
        </w:rPr>
        <w:t xml:space="preserve">Male and female weights </w:t>
      </w:r>
      <w:r w:rsidR="000E276C">
        <w:rPr>
          <w:rFonts w:asciiTheme="majorHAnsi" w:hAnsiTheme="majorHAnsi" w:cs="Times New Roman"/>
          <w:sz w:val="24"/>
          <w:szCs w:val="24"/>
        </w:rPr>
        <w:t xml:space="preserve">were </w:t>
      </w:r>
      <w:r w:rsidR="007F29D5">
        <w:rPr>
          <w:rFonts w:asciiTheme="majorHAnsi" w:hAnsiTheme="majorHAnsi" w:cs="Times New Roman"/>
          <w:sz w:val="24"/>
          <w:szCs w:val="24"/>
        </w:rPr>
        <w:t xml:space="preserve">reviewed </w:t>
      </w:r>
      <w:r w:rsidR="000E06C3">
        <w:rPr>
          <w:rFonts w:asciiTheme="majorHAnsi" w:hAnsiTheme="majorHAnsi" w:cs="Times New Roman"/>
          <w:sz w:val="24"/>
          <w:szCs w:val="24"/>
        </w:rPr>
        <w:t>separately (</w:t>
      </w:r>
      <w:r w:rsidR="00E00168">
        <w:rPr>
          <w:rFonts w:asciiTheme="majorHAnsi" w:hAnsiTheme="majorHAnsi" w:cs="Times New Roman"/>
          <w:sz w:val="24"/>
          <w:szCs w:val="24"/>
        </w:rPr>
        <w:t>Supplementary figure 1</w:t>
      </w:r>
      <w:r w:rsidR="002727AD">
        <w:rPr>
          <w:rFonts w:asciiTheme="majorHAnsi" w:hAnsiTheme="majorHAnsi" w:cs="Times New Roman"/>
          <w:sz w:val="24"/>
          <w:szCs w:val="24"/>
        </w:rPr>
        <w:t xml:space="preserve">and supplementary </w:t>
      </w:r>
      <w:r w:rsidR="00500340">
        <w:rPr>
          <w:rFonts w:asciiTheme="majorHAnsi" w:hAnsiTheme="majorHAnsi" w:cs="Times New Roman"/>
          <w:sz w:val="24"/>
          <w:szCs w:val="24"/>
        </w:rPr>
        <w:t>file 1</w:t>
      </w:r>
      <w:r w:rsidR="000E06C3">
        <w:rPr>
          <w:rFonts w:asciiTheme="majorHAnsi" w:hAnsiTheme="majorHAnsi" w:cs="Times New Roman"/>
          <w:sz w:val="24"/>
          <w:szCs w:val="24"/>
        </w:rPr>
        <w:t>)</w:t>
      </w:r>
      <w:r w:rsidRPr="009622E6">
        <w:rPr>
          <w:rFonts w:asciiTheme="majorHAnsi" w:hAnsiTheme="majorHAnsi" w:cs="Times New Roman"/>
          <w:sz w:val="24"/>
          <w:szCs w:val="24"/>
        </w:rPr>
        <w:t xml:space="preserve"> </w:t>
      </w:r>
      <w:r w:rsidR="00E61F47">
        <w:rPr>
          <w:rFonts w:asciiTheme="majorHAnsi" w:hAnsiTheme="majorHAnsi" w:cs="Times New Roman"/>
          <w:sz w:val="24"/>
          <w:szCs w:val="24"/>
        </w:rPr>
        <w:t xml:space="preserve">and </w:t>
      </w:r>
      <w:r w:rsidRPr="009622E6">
        <w:rPr>
          <w:rFonts w:asciiTheme="majorHAnsi" w:hAnsiTheme="majorHAnsi" w:cs="Times New Roman"/>
          <w:sz w:val="24"/>
          <w:szCs w:val="24"/>
        </w:rPr>
        <w:t xml:space="preserve">showed a similar overall growth pattern with negative </w:t>
      </w:r>
      <w:r w:rsidR="00C9021C" w:rsidRPr="009622E6">
        <w:rPr>
          <w:rFonts w:asciiTheme="majorHAnsi" w:hAnsiTheme="majorHAnsi" w:cs="Times New Roman"/>
          <w:sz w:val="24"/>
          <w:szCs w:val="24"/>
        </w:rPr>
        <w:t>Δ</w:t>
      </w:r>
      <w:r w:rsidRPr="009622E6">
        <w:rPr>
          <w:rFonts w:asciiTheme="majorHAnsi" w:hAnsiTheme="majorHAnsi" w:cs="Times New Roman"/>
          <w:sz w:val="24"/>
          <w:szCs w:val="24"/>
        </w:rPr>
        <w:t xml:space="preserve">SDS from birth to 36 weeks </w:t>
      </w:r>
      <w:r w:rsidR="00002785" w:rsidRPr="009622E6">
        <w:rPr>
          <w:rFonts w:asciiTheme="majorHAnsi" w:hAnsiTheme="majorHAnsi" w:cs="Times New Roman"/>
          <w:sz w:val="24"/>
          <w:szCs w:val="24"/>
        </w:rPr>
        <w:t xml:space="preserve">in all but </w:t>
      </w:r>
      <w:r w:rsidR="00D053D1">
        <w:rPr>
          <w:rFonts w:asciiTheme="majorHAnsi" w:hAnsiTheme="majorHAnsi" w:cs="Times New Roman"/>
          <w:sz w:val="24"/>
          <w:szCs w:val="24"/>
        </w:rPr>
        <w:t>5</w:t>
      </w:r>
      <w:r w:rsidR="00002785" w:rsidRPr="009622E6">
        <w:rPr>
          <w:rFonts w:asciiTheme="majorHAnsi" w:hAnsiTheme="majorHAnsi" w:cs="Times New Roman"/>
          <w:sz w:val="24"/>
          <w:szCs w:val="24"/>
        </w:rPr>
        <w:t xml:space="preserve"> subgroups</w:t>
      </w:r>
      <w:r w:rsidR="00C13635" w:rsidRPr="009622E6">
        <w:rPr>
          <w:rFonts w:asciiTheme="majorHAnsi" w:hAnsiTheme="majorHAnsi" w:cs="Times New Roman"/>
          <w:sz w:val="24"/>
          <w:szCs w:val="24"/>
        </w:rPr>
        <w:t xml:space="preserve"> (</w:t>
      </w:r>
      <w:r w:rsidR="00412693">
        <w:rPr>
          <w:rFonts w:asciiTheme="majorHAnsi" w:hAnsiTheme="majorHAnsi" w:cs="Times New Roman"/>
          <w:sz w:val="24"/>
          <w:szCs w:val="24"/>
        </w:rPr>
        <w:t xml:space="preserve">table </w:t>
      </w:r>
      <w:r w:rsidR="007819E5">
        <w:rPr>
          <w:rFonts w:asciiTheme="majorHAnsi" w:hAnsiTheme="majorHAnsi" w:cs="Times New Roman"/>
          <w:sz w:val="24"/>
          <w:szCs w:val="24"/>
        </w:rPr>
        <w:t>2</w:t>
      </w:r>
      <w:r w:rsidRPr="009622E6">
        <w:rPr>
          <w:rFonts w:asciiTheme="majorHAnsi" w:hAnsiTheme="majorHAnsi" w:cs="Times New Roman"/>
          <w:sz w:val="24"/>
          <w:szCs w:val="24"/>
        </w:rPr>
        <w:t>).</w:t>
      </w:r>
      <w:r w:rsidR="00EF3E70">
        <w:rPr>
          <w:rFonts w:asciiTheme="majorHAnsi" w:hAnsiTheme="majorHAnsi" w:cs="Times New Roman"/>
          <w:sz w:val="24"/>
          <w:szCs w:val="24"/>
        </w:rPr>
        <w:t xml:space="preserve"> </w:t>
      </w:r>
      <w:r w:rsidR="000E276C">
        <w:rPr>
          <w:rFonts w:asciiTheme="majorHAnsi" w:hAnsiTheme="majorHAnsi" w:cs="Times New Roman"/>
          <w:sz w:val="24"/>
          <w:szCs w:val="24"/>
        </w:rPr>
        <w:t xml:space="preserve">Analysis </w:t>
      </w:r>
      <w:r w:rsidR="00EF3E70">
        <w:rPr>
          <w:rFonts w:asciiTheme="majorHAnsi" w:hAnsiTheme="majorHAnsi" w:cs="Times New Roman"/>
          <w:sz w:val="24"/>
          <w:szCs w:val="24"/>
        </w:rPr>
        <w:t>of in</w:t>
      </w:r>
      <w:r w:rsidR="0001381D">
        <w:rPr>
          <w:rFonts w:asciiTheme="majorHAnsi" w:hAnsiTheme="majorHAnsi" w:cs="Times New Roman"/>
          <w:sz w:val="24"/>
          <w:szCs w:val="24"/>
        </w:rPr>
        <w:t>fants</w:t>
      </w:r>
      <w:r w:rsidR="00EF3E70">
        <w:rPr>
          <w:rFonts w:asciiTheme="majorHAnsi" w:hAnsiTheme="majorHAnsi" w:cs="Times New Roman"/>
          <w:sz w:val="24"/>
          <w:szCs w:val="24"/>
        </w:rPr>
        <w:t xml:space="preserve"> who remained in the study </w:t>
      </w:r>
      <w:r w:rsidR="0001381D">
        <w:rPr>
          <w:rFonts w:asciiTheme="majorHAnsi" w:hAnsiTheme="majorHAnsi" w:cs="Times New Roman"/>
          <w:sz w:val="24"/>
          <w:szCs w:val="24"/>
        </w:rPr>
        <w:t xml:space="preserve">from birth until </w:t>
      </w:r>
      <w:r w:rsidR="00EF3E70">
        <w:rPr>
          <w:rFonts w:asciiTheme="majorHAnsi" w:hAnsiTheme="majorHAnsi" w:cs="Times New Roman"/>
          <w:sz w:val="24"/>
          <w:szCs w:val="24"/>
        </w:rPr>
        <w:t>36 weeks PMA</w:t>
      </w:r>
      <w:r w:rsidR="000E276C">
        <w:rPr>
          <w:rFonts w:asciiTheme="majorHAnsi" w:hAnsiTheme="majorHAnsi" w:cs="Times New Roman"/>
          <w:sz w:val="24"/>
          <w:szCs w:val="24"/>
        </w:rPr>
        <w:t xml:space="preserve"> </w:t>
      </w:r>
      <w:r w:rsidR="0001381D">
        <w:rPr>
          <w:rFonts w:asciiTheme="majorHAnsi" w:hAnsiTheme="majorHAnsi" w:cs="Times New Roman"/>
          <w:sz w:val="24"/>
          <w:szCs w:val="24"/>
        </w:rPr>
        <w:t>(n=175) demonstrated that o</w:t>
      </w:r>
      <w:r w:rsidR="00500340">
        <w:rPr>
          <w:rFonts w:asciiTheme="majorHAnsi" w:hAnsiTheme="majorHAnsi" w:cs="Times New Roman"/>
          <w:sz w:val="24"/>
          <w:szCs w:val="24"/>
        </w:rPr>
        <w:t>nly t</w:t>
      </w:r>
      <w:r w:rsidR="002D0D9D">
        <w:rPr>
          <w:rFonts w:asciiTheme="majorHAnsi" w:hAnsiTheme="majorHAnsi" w:cs="Times New Roman"/>
          <w:sz w:val="24"/>
          <w:szCs w:val="24"/>
        </w:rPr>
        <w:t>wenty</w:t>
      </w:r>
      <w:r w:rsidR="00EF3E70">
        <w:rPr>
          <w:rFonts w:asciiTheme="majorHAnsi" w:hAnsiTheme="majorHAnsi" w:cs="Times New Roman"/>
          <w:sz w:val="24"/>
          <w:szCs w:val="24"/>
        </w:rPr>
        <w:t xml:space="preserve"> (11.4%) had a </w:t>
      </w:r>
      <w:r w:rsidR="00500340">
        <w:rPr>
          <w:rFonts w:asciiTheme="majorHAnsi" w:hAnsiTheme="majorHAnsi" w:cs="Times New Roman"/>
          <w:sz w:val="24"/>
          <w:szCs w:val="24"/>
        </w:rPr>
        <w:t xml:space="preserve">fall </w:t>
      </w:r>
      <w:r w:rsidR="00EF3E70">
        <w:rPr>
          <w:rFonts w:asciiTheme="majorHAnsi" w:hAnsiTheme="majorHAnsi" w:cs="Times New Roman"/>
          <w:sz w:val="24"/>
          <w:szCs w:val="24"/>
        </w:rPr>
        <w:t xml:space="preserve">in SDS </w:t>
      </w:r>
      <w:r w:rsidR="00500340">
        <w:rPr>
          <w:rFonts w:asciiTheme="majorHAnsi" w:hAnsiTheme="majorHAnsi" w:cs="Times New Roman"/>
          <w:sz w:val="24"/>
          <w:szCs w:val="24"/>
        </w:rPr>
        <w:t>greater</w:t>
      </w:r>
      <w:r w:rsidR="00EF3E70">
        <w:rPr>
          <w:rFonts w:asciiTheme="majorHAnsi" w:hAnsiTheme="majorHAnsi" w:cs="Times New Roman"/>
          <w:sz w:val="24"/>
          <w:szCs w:val="24"/>
        </w:rPr>
        <w:t xml:space="preserve"> than 1.33</w:t>
      </w:r>
      <w:r w:rsidR="0001381D">
        <w:rPr>
          <w:rFonts w:asciiTheme="majorHAnsi" w:hAnsiTheme="majorHAnsi" w:cs="Times New Roman"/>
          <w:sz w:val="24"/>
          <w:szCs w:val="24"/>
        </w:rPr>
        <w:t xml:space="preserve"> between birth and 36 weeks PMA</w:t>
      </w:r>
      <w:r w:rsidR="00EF3E70">
        <w:rPr>
          <w:rFonts w:asciiTheme="majorHAnsi" w:hAnsiTheme="majorHAnsi" w:cs="Times New Roman"/>
          <w:sz w:val="24"/>
          <w:szCs w:val="24"/>
        </w:rPr>
        <w:t>, representing a drop of 2 marked centile lines.</w:t>
      </w:r>
    </w:p>
    <w:tbl>
      <w:tblPr>
        <w:tblStyle w:val="TableGrid"/>
        <w:tblW w:w="9730" w:type="dxa"/>
        <w:jc w:val="center"/>
        <w:tblLook w:val="04A0" w:firstRow="1" w:lastRow="0" w:firstColumn="1" w:lastColumn="0" w:noHBand="0" w:noVBand="1"/>
      </w:tblPr>
      <w:tblGrid>
        <w:gridCol w:w="1134"/>
        <w:gridCol w:w="986"/>
        <w:gridCol w:w="852"/>
        <w:gridCol w:w="960"/>
        <w:gridCol w:w="975"/>
        <w:gridCol w:w="975"/>
        <w:gridCol w:w="975"/>
        <w:gridCol w:w="974"/>
        <w:gridCol w:w="974"/>
        <w:gridCol w:w="925"/>
      </w:tblGrid>
      <w:tr w:rsidR="002727AD" w:rsidRPr="00276F55" w:rsidTr="005468BE">
        <w:trPr>
          <w:cantSplit/>
          <w:trHeight w:val="300"/>
          <w:jc w:val="center"/>
        </w:trPr>
        <w:tc>
          <w:tcPr>
            <w:tcW w:w="9730" w:type="dxa"/>
            <w:gridSpan w:val="10"/>
            <w:tcBorders>
              <w:top w:val="nil"/>
              <w:left w:val="nil"/>
              <w:bottom w:val="single" w:sz="4" w:space="0" w:color="auto"/>
              <w:right w:val="nil"/>
            </w:tcBorders>
            <w:noWrap/>
          </w:tcPr>
          <w:p w:rsidR="002727AD" w:rsidRPr="00276F55" w:rsidRDefault="002727AD" w:rsidP="0001381D">
            <w:pPr>
              <w:rPr>
                <w:rFonts w:ascii="Calibri Light" w:eastAsia="Calibri" w:hAnsi="Calibri Light" w:cs="Times New Roman"/>
                <w:sz w:val="24"/>
                <w:szCs w:val="24"/>
              </w:rPr>
            </w:pPr>
            <w:r w:rsidRPr="00276F55">
              <w:rPr>
                <w:rFonts w:ascii="Calibri Light" w:eastAsia="Calibri" w:hAnsi="Calibri Light" w:cs="Times New Roman"/>
                <w:sz w:val="24"/>
                <w:szCs w:val="24"/>
              </w:rPr>
              <w:t xml:space="preserve">Table 2: Weight SDS at birth, 36 weeks postmenstrual age and change in SDS </w:t>
            </w:r>
            <w:r w:rsidR="0001381D">
              <w:rPr>
                <w:rFonts w:ascii="Calibri Light" w:eastAsia="Calibri" w:hAnsi="Calibri Light" w:cs="Times New Roman"/>
                <w:sz w:val="24"/>
                <w:szCs w:val="24"/>
              </w:rPr>
              <w:t xml:space="preserve">(95% CI) </w:t>
            </w:r>
            <w:r w:rsidRPr="00276F55">
              <w:rPr>
                <w:rFonts w:ascii="Calibri Light" w:eastAsia="Calibri" w:hAnsi="Calibri Light" w:cs="Times New Roman"/>
                <w:sz w:val="24"/>
                <w:szCs w:val="24"/>
              </w:rPr>
              <w:t>from birth to 36 weeks postmenstrual age for all infants, female only and male only infants. Only infants who were still inpatient at 36 weeks PMA and beyond are included in this analysis.</w:t>
            </w:r>
          </w:p>
        </w:tc>
      </w:tr>
      <w:tr w:rsidR="002727AD" w:rsidRPr="00276F55" w:rsidTr="005468BE">
        <w:trPr>
          <w:cantSplit/>
          <w:trHeight w:val="300"/>
          <w:jc w:val="center"/>
        </w:trPr>
        <w:tc>
          <w:tcPr>
            <w:tcW w:w="1134" w:type="dxa"/>
            <w:tcBorders>
              <w:top w:val="single" w:sz="4" w:space="0" w:color="auto"/>
            </w:tcBorders>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Weight </w:t>
            </w:r>
          </w:p>
        </w:tc>
        <w:tc>
          <w:tcPr>
            <w:tcW w:w="8596" w:type="dxa"/>
            <w:gridSpan w:val="9"/>
            <w:tcBorders>
              <w:top w:val="single" w:sz="4" w:space="0" w:color="auto"/>
            </w:tcBorders>
            <w:noWrap/>
          </w:tcPr>
          <w:p w:rsidR="002727AD" w:rsidRPr="00276F55" w:rsidRDefault="002727AD" w:rsidP="005468BE">
            <w:pPr>
              <w:jc w:val="center"/>
              <w:rPr>
                <w:rFonts w:ascii="Calibri" w:eastAsia="Calibri" w:hAnsi="Calibri" w:cs="Times New Roman"/>
                <w:sz w:val="18"/>
                <w:szCs w:val="18"/>
              </w:rPr>
            </w:pPr>
            <w:r w:rsidRPr="00276F55">
              <w:rPr>
                <w:rFonts w:ascii="Calibri" w:eastAsia="Calibri" w:hAnsi="Calibri" w:cs="Times New Roman"/>
                <w:sz w:val="18"/>
                <w:szCs w:val="18"/>
              </w:rPr>
              <w:t>SD Scores (-/+95%CI)</w:t>
            </w:r>
          </w:p>
        </w:tc>
      </w:tr>
      <w:tr w:rsidR="002727AD" w:rsidRPr="00276F55" w:rsidTr="005468BE">
        <w:trPr>
          <w:cantSplit/>
          <w:trHeight w:val="300"/>
          <w:jc w:val="center"/>
        </w:trPr>
        <w:tc>
          <w:tcPr>
            <w:tcW w:w="1134" w:type="dxa"/>
            <w:tcBorders>
              <w:top w:val="single" w:sz="4" w:space="0" w:color="auto"/>
            </w:tcBorders>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All Infants</w:t>
            </w:r>
          </w:p>
        </w:tc>
        <w:tc>
          <w:tcPr>
            <w:tcW w:w="8596" w:type="dxa"/>
            <w:gridSpan w:val="9"/>
            <w:tcBorders>
              <w:top w:val="single" w:sz="4" w:space="0" w:color="auto"/>
            </w:tcBorders>
            <w:noWrap/>
          </w:tcPr>
          <w:p w:rsidR="002727AD" w:rsidRPr="00276F55" w:rsidRDefault="002727AD" w:rsidP="005468BE">
            <w:pPr>
              <w:jc w:val="center"/>
              <w:rPr>
                <w:rFonts w:ascii="Calibri" w:eastAsia="Calibri" w:hAnsi="Calibri" w:cs="Times New Roman"/>
                <w:sz w:val="18"/>
                <w:szCs w:val="18"/>
              </w:rPr>
            </w:pPr>
          </w:p>
        </w:tc>
      </w:tr>
      <w:tr w:rsidR="002727AD" w:rsidRPr="00276F55" w:rsidTr="005468BE">
        <w:trPr>
          <w:cantSplit/>
          <w:trHeight w:val="300"/>
          <w:jc w:val="center"/>
        </w:trPr>
        <w:tc>
          <w:tcPr>
            <w:tcW w:w="113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GA (weeks)</w:t>
            </w:r>
          </w:p>
        </w:tc>
        <w:tc>
          <w:tcPr>
            <w:tcW w:w="986"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23</w:t>
            </w:r>
          </w:p>
        </w:tc>
        <w:tc>
          <w:tcPr>
            <w:tcW w:w="852"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24</w:t>
            </w:r>
          </w:p>
        </w:tc>
        <w:tc>
          <w:tcPr>
            <w:tcW w:w="960"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25</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26</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27</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28</w:t>
            </w:r>
          </w:p>
        </w:tc>
        <w:tc>
          <w:tcPr>
            <w:tcW w:w="97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29</w:t>
            </w:r>
          </w:p>
        </w:tc>
        <w:tc>
          <w:tcPr>
            <w:tcW w:w="97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30</w:t>
            </w:r>
          </w:p>
        </w:tc>
        <w:tc>
          <w:tcPr>
            <w:tcW w:w="92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31</w:t>
            </w:r>
          </w:p>
        </w:tc>
      </w:tr>
      <w:tr w:rsidR="002727AD" w:rsidRPr="00276F55" w:rsidTr="005468BE">
        <w:trPr>
          <w:cantSplit/>
          <w:trHeight w:val="291"/>
          <w:jc w:val="center"/>
        </w:trPr>
        <w:tc>
          <w:tcPr>
            <w:tcW w:w="113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Birth</w:t>
            </w:r>
          </w:p>
        </w:tc>
        <w:tc>
          <w:tcPr>
            <w:tcW w:w="986"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0.23 </w:t>
            </w: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0.13      </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-0.16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0.29 </w:t>
            </w:r>
          </w:p>
        </w:tc>
        <w:tc>
          <w:tcPr>
            <w:tcW w:w="975"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 xml:space="preserve">-0.33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-0.48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-0.42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-0.57 </w:t>
            </w:r>
          </w:p>
        </w:tc>
        <w:tc>
          <w:tcPr>
            <w:tcW w:w="925"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-0.66</w:t>
            </w:r>
          </w:p>
        </w:tc>
      </w:tr>
      <w:tr w:rsidR="002727AD" w:rsidRPr="00276F55" w:rsidTr="005468BE">
        <w:trPr>
          <w:cantSplit/>
          <w:trHeight w:val="300"/>
          <w:jc w:val="center"/>
        </w:trPr>
        <w:tc>
          <w:tcPr>
            <w:tcW w:w="113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36 weeks</w:t>
            </w:r>
          </w:p>
        </w:tc>
        <w:tc>
          <w:tcPr>
            <w:tcW w:w="986"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-0.79</w:t>
            </w:r>
          </w:p>
        </w:tc>
        <w:tc>
          <w:tcPr>
            <w:tcW w:w="852"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-0.42</w:t>
            </w:r>
          </w:p>
        </w:tc>
        <w:tc>
          <w:tcPr>
            <w:tcW w:w="960"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-0.29</w:t>
            </w:r>
          </w:p>
        </w:tc>
        <w:tc>
          <w:tcPr>
            <w:tcW w:w="975"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-0.10</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-0.60</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-0.63 </w:t>
            </w:r>
          </w:p>
        </w:tc>
        <w:tc>
          <w:tcPr>
            <w:tcW w:w="974"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-0.59</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-0.84</w:t>
            </w:r>
          </w:p>
        </w:tc>
        <w:tc>
          <w:tcPr>
            <w:tcW w:w="925"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-0.78</w:t>
            </w:r>
          </w:p>
        </w:tc>
      </w:tr>
      <w:tr w:rsidR="002727AD" w:rsidRPr="00276F55" w:rsidTr="005468BE">
        <w:trPr>
          <w:cantSplit/>
          <w:trHeight w:val="300"/>
          <w:jc w:val="center"/>
        </w:trPr>
        <w:tc>
          <w:tcPr>
            <w:tcW w:w="113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SDS Change</w:t>
            </w:r>
          </w:p>
        </w:tc>
        <w:tc>
          <w:tcPr>
            <w:tcW w:w="986"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-1.02</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(-1.37 to -0.67)</w:t>
            </w: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-0.54</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(-0.99 to -0.10)</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-0.13</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(-0.48 to 0.23)</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-0.38</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(-0.70 to -0.07)</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-0.27</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(-0.76 to 0.22)</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-0.15</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(-0.42 to 0.13)</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-0.18</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(-0.56 to 0.20)</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-0.27 </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(-0.53 to -0.01)</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-0.12 </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(-0.46 to 0.22)</w:t>
            </w:r>
          </w:p>
        </w:tc>
      </w:tr>
      <w:tr w:rsidR="002727AD" w:rsidRPr="00276F55" w:rsidTr="005468BE">
        <w:trPr>
          <w:cantSplit/>
          <w:trHeight w:val="300"/>
          <w:jc w:val="center"/>
        </w:trPr>
        <w:tc>
          <w:tcPr>
            <w:tcW w:w="113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Female</w:t>
            </w:r>
          </w:p>
        </w:tc>
        <w:tc>
          <w:tcPr>
            <w:tcW w:w="986" w:type="dxa"/>
            <w:noWrap/>
          </w:tcPr>
          <w:p w:rsidR="002727AD" w:rsidRPr="00276F55" w:rsidRDefault="002727AD" w:rsidP="005468BE">
            <w:pPr>
              <w:rPr>
                <w:rFonts w:ascii="Calibri" w:eastAsia="Calibri" w:hAnsi="Calibri" w:cs="Times New Roman"/>
                <w:sz w:val="18"/>
                <w:szCs w:val="18"/>
              </w:rPr>
            </w:pPr>
          </w:p>
        </w:tc>
        <w:tc>
          <w:tcPr>
            <w:tcW w:w="852" w:type="dxa"/>
            <w:noWrap/>
          </w:tcPr>
          <w:p w:rsidR="002727AD" w:rsidRPr="00276F55" w:rsidRDefault="002727AD" w:rsidP="005468BE">
            <w:pPr>
              <w:rPr>
                <w:rFonts w:ascii="Calibri" w:eastAsia="Calibri" w:hAnsi="Calibri" w:cs="Times New Roman"/>
                <w:sz w:val="18"/>
                <w:szCs w:val="18"/>
              </w:rPr>
            </w:pPr>
          </w:p>
        </w:tc>
        <w:tc>
          <w:tcPr>
            <w:tcW w:w="960" w:type="dxa"/>
            <w:noWrap/>
          </w:tcPr>
          <w:p w:rsidR="002727AD" w:rsidRPr="00276F55" w:rsidRDefault="002727AD" w:rsidP="005468BE">
            <w:pPr>
              <w:rPr>
                <w:rFonts w:ascii="Calibri" w:eastAsia="Calibri" w:hAnsi="Calibri" w:cs="Times New Roman"/>
                <w:sz w:val="18"/>
                <w:szCs w:val="18"/>
              </w:rPr>
            </w:pPr>
          </w:p>
        </w:tc>
        <w:tc>
          <w:tcPr>
            <w:tcW w:w="975" w:type="dxa"/>
            <w:noWrap/>
          </w:tcPr>
          <w:p w:rsidR="002727AD" w:rsidRPr="00276F55" w:rsidRDefault="002727AD" w:rsidP="005468BE">
            <w:pPr>
              <w:rPr>
                <w:rFonts w:ascii="Calibri" w:eastAsia="Calibri" w:hAnsi="Calibri" w:cs="Times New Roman"/>
                <w:sz w:val="18"/>
                <w:szCs w:val="18"/>
              </w:rPr>
            </w:pPr>
          </w:p>
        </w:tc>
        <w:tc>
          <w:tcPr>
            <w:tcW w:w="975" w:type="dxa"/>
            <w:noWrap/>
          </w:tcPr>
          <w:p w:rsidR="002727AD" w:rsidRPr="00276F55" w:rsidRDefault="002727AD" w:rsidP="005468BE">
            <w:pPr>
              <w:rPr>
                <w:rFonts w:ascii="Calibri" w:eastAsia="Calibri" w:hAnsi="Calibri" w:cs="Times New Roman"/>
                <w:sz w:val="18"/>
                <w:szCs w:val="18"/>
              </w:rPr>
            </w:pPr>
          </w:p>
        </w:tc>
        <w:tc>
          <w:tcPr>
            <w:tcW w:w="975" w:type="dxa"/>
            <w:noWrap/>
          </w:tcPr>
          <w:p w:rsidR="002727AD" w:rsidRPr="00276F55" w:rsidRDefault="002727AD" w:rsidP="005468BE">
            <w:pPr>
              <w:rPr>
                <w:rFonts w:ascii="Calibri" w:eastAsia="Calibri" w:hAnsi="Calibri" w:cs="Times New Roman"/>
                <w:sz w:val="18"/>
                <w:szCs w:val="18"/>
              </w:rPr>
            </w:pPr>
          </w:p>
        </w:tc>
        <w:tc>
          <w:tcPr>
            <w:tcW w:w="974" w:type="dxa"/>
            <w:noWrap/>
          </w:tcPr>
          <w:p w:rsidR="002727AD" w:rsidRPr="00276F55" w:rsidRDefault="002727AD" w:rsidP="005468BE">
            <w:pPr>
              <w:rPr>
                <w:rFonts w:ascii="Calibri" w:eastAsia="Calibri" w:hAnsi="Calibri" w:cs="Times New Roman"/>
                <w:sz w:val="18"/>
                <w:szCs w:val="18"/>
              </w:rPr>
            </w:pPr>
          </w:p>
        </w:tc>
        <w:tc>
          <w:tcPr>
            <w:tcW w:w="974" w:type="dxa"/>
            <w:noWrap/>
          </w:tcPr>
          <w:p w:rsidR="002727AD" w:rsidRPr="00276F55" w:rsidRDefault="002727AD" w:rsidP="005468BE">
            <w:pPr>
              <w:rPr>
                <w:rFonts w:ascii="Calibri" w:eastAsia="Calibri" w:hAnsi="Calibri" w:cs="Times New Roman"/>
                <w:sz w:val="18"/>
                <w:szCs w:val="18"/>
              </w:rPr>
            </w:pPr>
          </w:p>
        </w:tc>
        <w:tc>
          <w:tcPr>
            <w:tcW w:w="925" w:type="dxa"/>
            <w:noWrap/>
          </w:tcPr>
          <w:p w:rsidR="002727AD" w:rsidRPr="00276F55" w:rsidRDefault="002727AD" w:rsidP="005468BE">
            <w:pPr>
              <w:rPr>
                <w:rFonts w:ascii="Calibri" w:eastAsia="Calibri" w:hAnsi="Calibri" w:cs="Times New Roman"/>
                <w:sz w:val="18"/>
                <w:szCs w:val="18"/>
              </w:rPr>
            </w:pPr>
          </w:p>
        </w:tc>
      </w:tr>
      <w:tr w:rsidR="002727AD" w:rsidRPr="00276F55" w:rsidTr="005468BE">
        <w:trPr>
          <w:cantSplit/>
          <w:trHeight w:val="300"/>
          <w:jc w:val="center"/>
        </w:trPr>
        <w:tc>
          <w:tcPr>
            <w:tcW w:w="113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GA (weeks)</w:t>
            </w:r>
          </w:p>
        </w:tc>
        <w:tc>
          <w:tcPr>
            <w:tcW w:w="986"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23</w:t>
            </w: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24</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25</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26</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27</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28</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29</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30</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31</w:t>
            </w:r>
          </w:p>
        </w:tc>
      </w:tr>
      <w:tr w:rsidR="002727AD" w:rsidRPr="00276F55" w:rsidTr="005468BE">
        <w:trPr>
          <w:cantSplit/>
          <w:trHeight w:val="300"/>
          <w:jc w:val="center"/>
        </w:trPr>
        <w:tc>
          <w:tcPr>
            <w:tcW w:w="113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Birth</w:t>
            </w:r>
          </w:p>
        </w:tc>
        <w:tc>
          <w:tcPr>
            <w:tcW w:w="986"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0.35</w:t>
            </w:r>
          </w:p>
        </w:tc>
        <w:tc>
          <w:tcPr>
            <w:tcW w:w="852"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-0.28</w:t>
            </w:r>
          </w:p>
        </w:tc>
        <w:tc>
          <w:tcPr>
            <w:tcW w:w="960"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-0.28</w:t>
            </w:r>
          </w:p>
        </w:tc>
        <w:tc>
          <w:tcPr>
            <w:tcW w:w="975"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0.47</w:t>
            </w:r>
          </w:p>
        </w:tc>
        <w:tc>
          <w:tcPr>
            <w:tcW w:w="975"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-0.03</w:t>
            </w:r>
          </w:p>
        </w:tc>
        <w:tc>
          <w:tcPr>
            <w:tcW w:w="975"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-0.37</w:t>
            </w:r>
          </w:p>
        </w:tc>
        <w:tc>
          <w:tcPr>
            <w:tcW w:w="974"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-0.03</w:t>
            </w:r>
          </w:p>
        </w:tc>
        <w:tc>
          <w:tcPr>
            <w:tcW w:w="974"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-0.57</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-0.75 </w:t>
            </w:r>
          </w:p>
        </w:tc>
      </w:tr>
      <w:tr w:rsidR="002727AD" w:rsidRPr="00276F55" w:rsidTr="005468BE">
        <w:trPr>
          <w:cantSplit/>
          <w:trHeight w:val="300"/>
          <w:jc w:val="center"/>
        </w:trPr>
        <w:tc>
          <w:tcPr>
            <w:tcW w:w="113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36 weeks</w:t>
            </w:r>
          </w:p>
        </w:tc>
        <w:tc>
          <w:tcPr>
            <w:tcW w:w="986"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-0.73</w:t>
            </w:r>
          </w:p>
        </w:tc>
        <w:tc>
          <w:tcPr>
            <w:tcW w:w="852"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-0.15</w:t>
            </w:r>
          </w:p>
        </w:tc>
        <w:tc>
          <w:tcPr>
            <w:tcW w:w="960"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-0.23</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-0.28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0.39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-0.76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-0.42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-0.85 </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-1.16 </w:t>
            </w:r>
          </w:p>
        </w:tc>
      </w:tr>
      <w:tr w:rsidR="002727AD" w:rsidRPr="00276F55" w:rsidTr="005468BE">
        <w:trPr>
          <w:cantSplit/>
          <w:trHeight w:val="300"/>
          <w:jc w:val="center"/>
        </w:trPr>
        <w:tc>
          <w:tcPr>
            <w:tcW w:w="113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SDS Change</w:t>
            </w:r>
          </w:p>
        </w:tc>
        <w:tc>
          <w:tcPr>
            <w:tcW w:w="986"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-1.08 </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(-1.42 to -0.75)</w:t>
            </w:r>
          </w:p>
        </w:tc>
        <w:tc>
          <w:tcPr>
            <w:tcW w:w="852"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0.13 </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(-0.40 to 0.66)</w:t>
            </w:r>
          </w:p>
        </w:tc>
        <w:tc>
          <w:tcPr>
            <w:tcW w:w="960"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0.05</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(-0.50 to 0.61)</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-0.75 </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(-1.33 to -0.17)</w:t>
            </w:r>
          </w:p>
        </w:tc>
        <w:tc>
          <w:tcPr>
            <w:tcW w:w="975" w:type="dxa"/>
            <w:noWrap/>
            <w:hideMark/>
          </w:tcPr>
          <w:p w:rsidR="002727AD" w:rsidRPr="00276F55" w:rsidRDefault="002727AD" w:rsidP="005468BE">
            <w:pPr>
              <w:rPr>
                <w:rFonts w:ascii="Calibri" w:eastAsia="Calibri" w:hAnsi="Calibri" w:cs="Times New Roman"/>
                <w:sz w:val="18"/>
                <w:szCs w:val="18"/>
                <w:highlight w:val="yellow"/>
              </w:rPr>
            </w:pPr>
            <w:r w:rsidRPr="00276F55">
              <w:rPr>
                <w:rFonts w:ascii="Calibri" w:eastAsia="Calibri" w:hAnsi="Calibri" w:cs="Times New Roman"/>
                <w:sz w:val="18"/>
                <w:szCs w:val="18"/>
              </w:rPr>
              <w:t>0.41 (-0.26 to 1.08)</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-0.39</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(-0.78 to 0.00)</w:t>
            </w:r>
          </w:p>
        </w:tc>
        <w:tc>
          <w:tcPr>
            <w:tcW w:w="97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-0.39 </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(-1.73 to 0.96)</w:t>
            </w:r>
          </w:p>
        </w:tc>
        <w:tc>
          <w:tcPr>
            <w:tcW w:w="97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-0.28</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(-0.63 to 0.06)</w:t>
            </w:r>
          </w:p>
        </w:tc>
        <w:tc>
          <w:tcPr>
            <w:tcW w:w="92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-0.41</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(-0.88 to 0.07)</w:t>
            </w:r>
          </w:p>
        </w:tc>
      </w:tr>
      <w:tr w:rsidR="002727AD" w:rsidRPr="00276F55" w:rsidTr="005468BE">
        <w:trPr>
          <w:cantSplit/>
          <w:trHeight w:val="300"/>
          <w:jc w:val="center"/>
        </w:trPr>
        <w:tc>
          <w:tcPr>
            <w:tcW w:w="113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Male</w:t>
            </w:r>
          </w:p>
        </w:tc>
        <w:tc>
          <w:tcPr>
            <w:tcW w:w="986" w:type="dxa"/>
            <w:noWrap/>
            <w:hideMark/>
          </w:tcPr>
          <w:p w:rsidR="002727AD" w:rsidRPr="00276F55" w:rsidRDefault="002727AD" w:rsidP="005468BE">
            <w:pPr>
              <w:rPr>
                <w:rFonts w:ascii="Calibri" w:eastAsia="Calibri" w:hAnsi="Calibri" w:cs="Times New Roman"/>
                <w:sz w:val="18"/>
                <w:szCs w:val="18"/>
                <w:highlight w:val="yellow"/>
              </w:rPr>
            </w:pPr>
          </w:p>
        </w:tc>
        <w:tc>
          <w:tcPr>
            <w:tcW w:w="852" w:type="dxa"/>
            <w:noWrap/>
            <w:hideMark/>
          </w:tcPr>
          <w:p w:rsidR="002727AD" w:rsidRPr="00276F55" w:rsidRDefault="002727AD" w:rsidP="005468BE">
            <w:pPr>
              <w:rPr>
                <w:rFonts w:ascii="Calibri" w:eastAsia="Calibri" w:hAnsi="Calibri" w:cs="Times New Roman"/>
                <w:sz w:val="18"/>
                <w:szCs w:val="18"/>
                <w:highlight w:val="yellow"/>
              </w:rPr>
            </w:pPr>
          </w:p>
        </w:tc>
        <w:tc>
          <w:tcPr>
            <w:tcW w:w="960" w:type="dxa"/>
            <w:noWrap/>
            <w:hideMark/>
          </w:tcPr>
          <w:p w:rsidR="002727AD" w:rsidRPr="00276F55" w:rsidRDefault="002727AD" w:rsidP="005468BE">
            <w:pPr>
              <w:rPr>
                <w:rFonts w:ascii="Calibri" w:eastAsia="Calibri" w:hAnsi="Calibri" w:cs="Times New Roman"/>
                <w:sz w:val="18"/>
                <w:szCs w:val="18"/>
                <w:highlight w:val="yellow"/>
              </w:rPr>
            </w:pPr>
          </w:p>
        </w:tc>
        <w:tc>
          <w:tcPr>
            <w:tcW w:w="975" w:type="dxa"/>
            <w:noWrap/>
            <w:hideMark/>
          </w:tcPr>
          <w:p w:rsidR="002727AD" w:rsidRPr="00276F55" w:rsidRDefault="002727AD" w:rsidP="005468BE">
            <w:pPr>
              <w:rPr>
                <w:rFonts w:ascii="Calibri" w:eastAsia="Calibri" w:hAnsi="Calibri" w:cs="Times New Roman"/>
                <w:sz w:val="18"/>
                <w:szCs w:val="18"/>
                <w:highlight w:val="yellow"/>
              </w:rPr>
            </w:pPr>
          </w:p>
        </w:tc>
        <w:tc>
          <w:tcPr>
            <w:tcW w:w="975" w:type="dxa"/>
            <w:noWrap/>
            <w:hideMark/>
          </w:tcPr>
          <w:p w:rsidR="002727AD" w:rsidRPr="00276F55" w:rsidRDefault="002727AD" w:rsidP="005468BE">
            <w:pPr>
              <w:rPr>
                <w:rFonts w:ascii="Calibri" w:eastAsia="Calibri" w:hAnsi="Calibri" w:cs="Times New Roman"/>
                <w:sz w:val="18"/>
                <w:szCs w:val="18"/>
                <w:highlight w:val="yellow"/>
              </w:rPr>
            </w:pPr>
          </w:p>
        </w:tc>
        <w:tc>
          <w:tcPr>
            <w:tcW w:w="975" w:type="dxa"/>
            <w:noWrap/>
            <w:hideMark/>
          </w:tcPr>
          <w:p w:rsidR="002727AD" w:rsidRPr="00276F55" w:rsidRDefault="002727AD" w:rsidP="005468BE">
            <w:pPr>
              <w:rPr>
                <w:rFonts w:ascii="Calibri" w:eastAsia="Calibri" w:hAnsi="Calibri" w:cs="Times New Roman"/>
                <w:sz w:val="18"/>
                <w:szCs w:val="18"/>
                <w:highlight w:val="yellow"/>
              </w:rPr>
            </w:pPr>
          </w:p>
        </w:tc>
        <w:tc>
          <w:tcPr>
            <w:tcW w:w="974" w:type="dxa"/>
            <w:noWrap/>
            <w:hideMark/>
          </w:tcPr>
          <w:p w:rsidR="002727AD" w:rsidRPr="00276F55" w:rsidRDefault="002727AD" w:rsidP="005468BE">
            <w:pPr>
              <w:rPr>
                <w:rFonts w:ascii="Calibri" w:eastAsia="Calibri" w:hAnsi="Calibri" w:cs="Times New Roman"/>
                <w:sz w:val="18"/>
                <w:szCs w:val="18"/>
                <w:highlight w:val="yellow"/>
              </w:rPr>
            </w:pPr>
          </w:p>
        </w:tc>
        <w:tc>
          <w:tcPr>
            <w:tcW w:w="974" w:type="dxa"/>
            <w:noWrap/>
            <w:hideMark/>
          </w:tcPr>
          <w:p w:rsidR="002727AD" w:rsidRPr="00276F55" w:rsidRDefault="002727AD" w:rsidP="005468BE">
            <w:pPr>
              <w:rPr>
                <w:rFonts w:ascii="Calibri" w:eastAsia="Calibri" w:hAnsi="Calibri" w:cs="Times New Roman"/>
                <w:sz w:val="18"/>
                <w:szCs w:val="18"/>
                <w:highlight w:val="yellow"/>
              </w:rPr>
            </w:pPr>
          </w:p>
        </w:tc>
        <w:tc>
          <w:tcPr>
            <w:tcW w:w="925" w:type="dxa"/>
            <w:noWrap/>
            <w:hideMark/>
          </w:tcPr>
          <w:p w:rsidR="002727AD" w:rsidRPr="00276F55" w:rsidRDefault="002727AD" w:rsidP="005468BE">
            <w:pPr>
              <w:rPr>
                <w:rFonts w:ascii="Calibri" w:eastAsia="Calibri" w:hAnsi="Calibri" w:cs="Times New Roman"/>
                <w:sz w:val="18"/>
                <w:szCs w:val="18"/>
                <w:highlight w:val="yellow"/>
              </w:rPr>
            </w:pPr>
          </w:p>
        </w:tc>
      </w:tr>
      <w:tr w:rsidR="002727AD" w:rsidRPr="00276F55" w:rsidTr="005468BE">
        <w:trPr>
          <w:cantSplit/>
          <w:trHeight w:val="300"/>
          <w:jc w:val="center"/>
        </w:trPr>
        <w:tc>
          <w:tcPr>
            <w:tcW w:w="113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GA (weeks)</w:t>
            </w:r>
          </w:p>
        </w:tc>
        <w:tc>
          <w:tcPr>
            <w:tcW w:w="986"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23</w:t>
            </w:r>
          </w:p>
        </w:tc>
        <w:tc>
          <w:tcPr>
            <w:tcW w:w="852"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24</w:t>
            </w:r>
          </w:p>
        </w:tc>
        <w:tc>
          <w:tcPr>
            <w:tcW w:w="960"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25</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26</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27</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28</w:t>
            </w:r>
          </w:p>
        </w:tc>
        <w:tc>
          <w:tcPr>
            <w:tcW w:w="97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29</w:t>
            </w:r>
          </w:p>
        </w:tc>
        <w:tc>
          <w:tcPr>
            <w:tcW w:w="97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30</w:t>
            </w:r>
          </w:p>
        </w:tc>
        <w:tc>
          <w:tcPr>
            <w:tcW w:w="92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31</w:t>
            </w:r>
          </w:p>
        </w:tc>
      </w:tr>
      <w:tr w:rsidR="002727AD" w:rsidRPr="00276F55" w:rsidTr="005468BE">
        <w:trPr>
          <w:cantSplit/>
          <w:trHeight w:val="300"/>
          <w:jc w:val="center"/>
        </w:trPr>
        <w:tc>
          <w:tcPr>
            <w:tcW w:w="113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Birth</w:t>
            </w:r>
          </w:p>
        </w:tc>
        <w:tc>
          <w:tcPr>
            <w:tcW w:w="986"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0.00</w:t>
            </w:r>
          </w:p>
        </w:tc>
        <w:tc>
          <w:tcPr>
            <w:tcW w:w="852"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0.29</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-0.07 </w:t>
            </w:r>
          </w:p>
        </w:tc>
        <w:tc>
          <w:tcPr>
            <w:tcW w:w="975"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0.24</w:t>
            </w:r>
          </w:p>
        </w:tc>
        <w:tc>
          <w:tcPr>
            <w:tcW w:w="975"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-0.47</w:t>
            </w:r>
          </w:p>
        </w:tc>
        <w:tc>
          <w:tcPr>
            <w:tcW w:w="975"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-0.58</w:t>
            </w:r>
          </w:p>
        </w:tc>
        <w:tc>
          <w:tcPr>
            <w:tcW w:w="974"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-0.55</w:t>
            </w:r>
          </w:p>
        </w:tc>
        <w:tc>
          <w:tcPr>
            <w:tcW w:w="974"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-0.58</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-0.56 </w:t>
            </w:r>
          </w:p>
        </w:tc>
      </w:tr>
      <w:tr w:rsidR="002727AD" w:rsidRPr="00276F55" w:rsidTr="005468BE">
        <w:trPr>
          <w:cantSplit/>
          <w:trHeight w:val="300"/>
          <w:jc w:val="center"/>
        </w:trPr>
        <w:tc>
          <w:tcPr>
            <w:tcW w:w="113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36 weeks</w:t>
            </w:r>
          </w:p>
        </w:tc>
        <w:tc>
          <w:tcPr>
            <w:tcW w:w="986"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-0.89</w:t>
            </w: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-0.53 </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-0.32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-0.06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-0.84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-0.50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-0.65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-0.82 </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-0.35 </w:t>
            </w:r>
          </w:p>
        </w:tc>
      </w:tr>
      <w:tr w:rsidR="002727AD" w:rsidRPr="00276F55" w:rsidTr="005468BE">
        <w:trPr>
          <w:cantSplit/>
          <w:trHeight w:val="300"/>
          <w:jc w:val="center"/>
        </w:trPr>
        <w:tc>
          <w:tcPr>
            <w:tcW w:w="113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SDS Change</w:t>
            </w:r>
          </w:p>
        </w:tc>
        <w:tc>
          <w:tcPr>
            <w:tcW w:w="986"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-0.89 </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(-1.94 to 0.15)</w:t>
            </w:r>
          </w:p>
        </w:tc>
        <w:tc>
          <w:tcPr>
            <w:tcW w:w="852"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-0.83</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(-1.33 to -0.32)</w:t>
            </w:r>
          </w:p>
        </w:tc>
        <w:tc>
          <w:tcPr>
            <w:tcW w:w="960"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-0.25</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(-0.71 to 0.21)</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-0.30</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(-0.65 to 0.05)</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-0.37</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(-0.94 to 0.20)</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0.08</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(-0.23 to 0.40)</w:t>
            </w:r>
          </w:p>
        </w:tc>
        <w:tc>
          <w:tcPr>
            <w:tcW w:w="97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-0.10</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(-0.48 to 0.28)</w:t>
            </w:r>
          </w:p>
        </w:tc>
        <w:tc>
          <w:tcPr>
            <w:tcW w:w="97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-0.24</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(-0.66 to 0.17)</w:t>
            </w:r>
          </w:p>
        </w:tc>
        <w:tc>
          <w:tcPr>
            <w:tcW w:w="92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0.21</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(-0.26 to 0.67)</w:t>
            </w:r>
          </w:p>
        </w:tc>
      </w:tr>
    </w:tbl>
    <w:p w:rsidR="00EB553D" w:rsidRPr="00090398" w:rsidRDefault="00EB553D" w:rsidP="002F32CB">
      <w:pPr>
        <w:spacing w:after="0" w:line="480" w:lineRule="auto"/>
        <w:rPr>
          <w:rFonts w:asciiTheme="majorHAnsi" w:hAnsiTheme="majorHAnsi" w:cs="Times New Roman"/>
          <w:sz w:val="24"/>
          <w:szCs w:val="24"/>
        </w:rPr>
      </w:pPr>
    </w:p>
    <w:p w:rsidR="0045730E" w:rsidRDefault="002A7F5E" w:rsidP="002F32CB">
      <w:pPr>
        <w:spacing w:after="0" w:line="480" w:lineRule="auto"/>
        <w:rPr>
          <w:rFonts w:asciiTheme="majorHAnsi" w:hAnsiTheme="majorHAnsi" w:cs="Times New Roman"/>
          <w:sz w:val="24"/>
          <w:szCs w:val="24"/>
        </w:rPr>
      </w:pPr>
      <w:r w:rsidRPr="009622E6">
        <w:rPr>
          <w:rFonts w:asciiTheme="majorHAnsi" w:hAnsiTheme="majorHAnsi" w:cs="Times New Roman"/>
          <w:sz w:val="24"/>
          <w:szCs w:val="24"/>
        </w:rPr>
        <w:t>Figure</w:t>
      </w:r>
      <w:r w:rsidR="007819E5">
        <w:rPr>
          <w:rFonts w:asciiTheme="majorHAnsi" w:hAnsiTheme="majorHAnsi" w:cs="Times New Roman"/>
          <w:sz w:val="24"/>
          <w:szCs w:val="24"/>
        </w:rPr>
        <w:t xml:space="preserve"> </w:t>
      </w:r>
      <w:r w:rsidR="00E00168">
        <w:rPr>
          <w:rFonts w:asciiTheme="majorHAnsi" w:hAnsiTheme="majorHAnsi" w:cs="Times New Roman"/>
          <w:sz w:val="24"/>
          <w:szCs w:val="24"/>
        </w:rPr>
        <w:t>2</w:t>
      </w:r>
      <w:r w:rsidR="00E61F47">
        <w:rPr>
          <w:rFonts w:asciiTheme="majorHAnsi" w:hAnsiTheme="majorHAnsi" w:cs="Times New Roman"/>
          <w:sz w:val="24"/>
          <w:szCs w:val="24"/>
        </w:rPr>
        <w:t xml:space="preserve"> </w:t>
      </w:r>
      <w:r w:rsidRPr="009622E6">
        <w:rPr>
          <w:rFonts w:asciiTheme="majorHAnsi" w:hAnsiTheme="majorHAnsi" w:cs="Times New Roman"/>
          <w:sz w:val="24"/>
          <w:szCs w:val="24"/>
        </w:rPr>
        <w:t>show</w:t>
      </w:r>
      <w:r w:rsidR="00C47D5F">
        <w:rPr>
          <w:rFonts w:asciiTheme="majorHAnsi" w:hAnsiTheme="majorHAnsi" w:cs="Times New Roman"/>
          <w:sz w:val="24"/>
          <w:szCs w:val="24"/>
        </w:rPr>
        <w:t>s</w:t>
      </w:r>
      <w:r w:rsidRPr="009622E6">
        <w:rPr>
          <w:rFonts w:asciiTheme="majorHAnsi" w:hAnsiTheme="majorHAnsi" w:cs="Times New Roman"/>
          <w:sz w:val="24"/>
          <w:szCs w:val="24"/>
        </w:rPr>
        <w:t xml:space="preserve"> the </w:t>
      </w:r>
      <w:r w:rsidR="00500340">
        <w:rPr>
          <w:rFonts w:asciiTheme="majorHAnsi" w:hAnsiTheme="majorHAnsi" w:cs="Times New Roman"/>
          <w:sz w:val="24"/>
          <w:szCs w:val="24"/>
        </w:rPr>
        <w:t>median HC plots</w:t>
      </w:r>
      <w:r w:rsidRPr="009622E6">
        <w:rPr>
          <w:rFonts w:asciiTheme="majorHAnsi" w:hAnsiTheme="majorHAnsi" w:cs="Times New Roman"/>
          <w:sz w:val="24"/>
          <w:szCs w:val="24"/>
        </w:rPr>
        <w:t xml:space="preserve"> </w:t>
      </w:r>
      <w:r w:rsidR="00C47D5F">
        <w:rPr>
          <w:rFonts w:asciiTheme="majorHAnsi" w:hAnsiTheme="majorHAnsi" w:cs="Times New Roman"/>
          <w:sz w:val="24"/>
          <w:szCs w:val="24"/>
        </w:rPr>
        <w:t xml:space="preserve">for </w:t>
      </w:r>
      <w:r w:rsidR="002D0D9D">
        <w:rPr>
          <w:rFonts w:asciiTheme="majorHAnsi" w:hAnsiTheme="majorHAnsi" w:cs="Times New Roman"/>
          <w:sz w:val="24"/>
          <w:szCs w:val="24"/>
        </w:rPr>
        <w:t xml:space="preserve">both </w:t>
      </w:r>
      <w:proofErr w:type="gramStart"/>
      <w:r w:rsidR="002D0D9D">
        <w:rPr>
          <w:rFonts w:asciiTheme="majorHAnsi" w:hAnsiTheme="majorHAnsi" w:cs="Times New Roman"/>
          <w:sz w:val="24"/>
          <w:szCs w:val="24"/>
        </w:rPr>
        <w:t>sexes</w:t>
      </w:r>
      <w:r w:rsidR="00C47D5F">
        <w:rPr>
          <w:rFonts w:asciiTheme="majorHAnsi" w:hAnsiTheme="majorHAnsi" w:cs="Times New Roman"/>
          <w:sz w:val="24"/>
          <w:szCs w:val="24"/>
        </w:rPr>
        <w:t xml:space="preserve">  and</w:t>
      </w:r>
      <w:proofErr w:type="gramEnd"/>
      <w:r w:rsidR="00C47D5F">
        <w:rPr>
          <w:rFonts w:asciiTheme="majorHAnsi" w:hAnsiTheme="majorHAnsi" w:cs="Times New Roman"/>
          <w:sz w:val="24"/>
          <w:szCs w:val="24"/>
        </w:rPr>
        <w:t xml:space="preserve"> then separately for males (</w:t>
      </w:r>
      <w:r w:rsidR="00E00168">
        <w:rPr>
          <w:rFonts w:asciiTheme="majorHAnsi" w:hAnsiTheme="majorHAnsi" w:cs="Times New Roman"/>
          <w:sz w:val="24"/>
          <w:szCs w:val="24"/>
        </w:rPr>
        <w:t>supplementary figure 2A</w:t>
      </w:r>
      <w:r w:rsidR="00C47D5F">
        <w:rPr>
          <w:rFonts w:asciiTheme="majorHAnsi" w:hAnsiTheme="majorHAnsi" w:cs="Times New Roman"/>
          <w:sz w:val="24"/>
          <w:szCs w:val="24"/>
        </w:rPr>
        <w:t>) and females (</w:t>
      </w:r>
      <w:r w:rsidR="00E00168">
        <w:rPr>
          <w:rFonts w:asciiTheme="majorHAnsi" w:hAnsiTheme="majorHAnsi" w:cs="Times New Roman"/>
          <w:sz w:val="24"/>
          <w:szCs w:val="24"/>
        </w:rPr>
        <w:t>supplementary figure 2B</w:t>
      </w:r>
      <w:r w:rsidR="00C47D5F">
        <w:rPr>
          <w:rFonts w:asciiTheme="majorHAnsi" w:hAnsiTheme="majorHAnsi" w:cs="Times New Roman"/>
          <w:sz w:val="24"/>
          <w:szCs w:val="24"/>
        </w:rPr>
        <w:t>)</w:t>
      </w:r>
      <w:r w:rsidR="00367213">
        <w:rPr>
          <w:rFonts w:asciiTheme="majorHAnsi" w:hAnsiTheme="majorHAnsi" w:cs="Times New Roman"/>
          <w:sz w:val="24"/>
          <w:szCs w:val="24"/>
        </w:rPr>
        <w:t>. E</w:t>
      </w:r>
      <w:r w:rsidRPr="009622E6">
        <w:rPr>
          <w:rFonts w:asciiTheme="majorHAnsi" w:hAnsiTheme="majorHAnsi" w:cs="Times New Roman"/>
          <w:sz w:val="24"/>
          <w:szCs w:val="24"/>
        </w:rPr>
        <w:t xml:space="preserve">ach GA subgroup </w:t>
      </w:r>
      <w:r w:rsidR="00367213">
        <w:rPr>
          <w:rFonts w:asciiTheme="majorHAnsi" w:hAnsiTheme="majorHAnsi" w:cs="Times New Roman"/>
          <w:sz w:val="24"/>
          <w:szCs w:val="24"/>
        </w:rPr>
        <w:t xml:space="preserve">is </w:t>
      </w:r>
      <w:r w:rsidRPr="009622E6">
        <w:rPr>
          <w:rFonts w:asciiTheme="majorHAnsi" w:hAnsiTheme="majorHAnsi" w:cs="Times New Roman"/>
          <w:sz w:val="24"/>
          <w:szCs w:val="24"/>
        </w:rPr>
        <w:t xml:space="preserve">overlaid on the standard NICM chart. </w:t>
      </w:r>
      <w:r w:rsidR="007257C1" w:rsidRPr="009622E6">
        <w:rPr>
          <w:rFonts w:asciiTheme="majorHAnsi" w:hAnsiTheme="majorHAnsi" w:cs="Times New Roman"/>
          <w:sz w:val="24"/>
          <w:szCs w:val="24"/>
        </w:rPr>
        <w:t>For</w:t>
      </w:r>
      <w:r w:rsidR="006778CE" w:rsidRPr="009622E6">
        <w:rPr>
          <w:rFonts w:asciiTheme="majorHAnsi" w:hAnsiTheme="majorHAnsi" w:cs="Times New Roman"/>
          <w:sz w:val="24"/>
          <w:szCs w:val="24"/>
        </w:rPr>
        <w:t xml:space="preserve"> infants born at 2</w:t>
      </w:r>
      <w:r w:rsidR="007257C1" w:rsidRPr="009622E6">
        <w:rPr>
          <w:rFonts w:asciiTheme="majorHAnsi" w:hAnsiTheme="majorHAnsi" w:cs="Times New Roman"/>
          <w:sz w:val="24"/>
          <w:szCs w:val="24"/>
        </w:rPr>
        <w:t>7</w:t>
      </w:r>
      <w:r w:rsidR="00AE18EC" w:rsidRPr="009622E6">
        <w:rPr>
          <w:rFonts w:asciiTheme="majorHAnsi" w:hAnsiTheme="majorHAnsi" w:cs="Times New Roman"/>
          <w:sz w:val="24"/>
          <w:szCs w:val="24"/>
        </w:rPr>
        <w:t>-</w:t>
      </w:r>
      <w:r w:rsidR="006778CE" w:rsidRPr="009622E6">
        <w:rPr>
          <w:rFonts w:asciiTheme="majorHAnsi" w:hAnsiTheme="majorHAnsi" w:cs="Times New Roman"/>
          <w:sz w:val="24"/>
          <w:szCs w:val="24"/>
        </w:rPr>
        <w:t xml:space="preserve">weeks </w:t>
      </w:r>
      <w:r w:rsidR="008E594B" w:rsidRPr="009622E6">
        <w:rPr>
          <w:rFonts w:asciiTheme="majorHAnsi" w:hAnsiTheme="majorHAnsi" w:cs="Times New Roman"/>
          <w:sz w:val="24"/>
          <w:szCs w:val="24"/>
        </w:rPr>
        <w:t>GA</w:t>
      </w:r>
      <w:r w:rsidR="006778CE" w:rsidRPr="009622E6">
        <w:rPr>
          <w:rFonts w:asciiTheme="majorHAnsi" w:hAnsiTheme="majorHAnsi" w:cs="Times New Roman"/>
          <w:sz w:val="24"/>
          <w:szCs w:val="24"/>
        </w:rPr>
        <w:t xml:space="preserve"> or greater HC ΔSDS </w:t>
      </w:r>
      <w:r w:rsidR="006778CE" w:rsidRPr="009622E6">
        <w:rPr>
          <w:rFonts w:asciiTheme="majorHAnsi" w:hAnsiTheme="majorHAnsi" w:cs="Times New Roman"/>
          <w:sz w:val="24"/>
          <w:szCs w:val="24"/>
        </w:rPr>
        <w:lastRenderedPageBreak/>
        <w:t>from birth to 36</w:t>
      </w:r>
      <w:r w:rsidR="00AE18EC" w:rsidRPr="009622E6">
        <w:rPr>
          <w:rFonts w:asciiTheme="majorHAnsi" w:hAnsiTheme="majorHAnsi" w:cs="Times New Roman"/>
          <w:sz w:val="24"/>
          <w:szCs w:val="24"/>
        </w:rPr>
        <w:t xml:space="preserve"> </w:t>
      </w:r>
      <w:r w:rsidR="006778CE" w:rsidRPr="009622E6">
        <w:rPr>
          <w:rFonts w:asciiTheme="majorHAnsi" w:hAnsiTheme="majorHAnsi" w:cs="Times New Roman"/>
          <w:sz w:val="24"/>
          <w:szCs w:val="24"/>
        </w:rPr>
        <w:t xml:space="preserve">weeks </w:t>
      </w:r>
      <w:r w:rsidR="006F5D8F" w:rsidRPr="009622E6">
        <w:rPr>
          <w:rFonts w:asciiTheme="majorHAnsi" w:hAnsiTheme="majorHAnsi" w:cs="Times New Roman"/>
          <w:sz w:val="24"/>
          <w:szCs w:val="24"/>
        </w:rPr>
        <w:t>PMA</w:t>
      </w:r>
      <w:r w:rsidR="006778CE" w:rsidRPr="009622E6">
        <w:rPr>
          <w:rFonts w:asciiTheme="majorHAnsi" w:hAnsiTheme="majorHAnsi" w:cs="Times New Roman"/>
          <w:sz w:val="24"/>
          <w:szCs w:val="24"/>
        </w:rPr>
        <w:t xml:space="preserve"> were positive</w:t>
      </w:r>
      <w:r w:rsidR="00CA6E69" w:rsidRPr="009622E6">
        <w:rPr>
          <w:rFonts w:asciiTheme="majorHAnsi" w:hAnsiTheme="majorHAnsi" w:cs="Times New Roman"/>
          <w:sz w:val="24"/>
          <w:szCs w:val="24"/>
        </w:rPr>
        <w:t xml:space="preserve"> </w:t>
      </w:r>
      <w:r w:rsidR="006778CE" w:rsidRPr="009622E6">
        <w:rPr>
          <w:rFonts w:asciiTheme="majorHAnsi" w:hAnsiTheme="majorHAnsi" w:cs="Times New Roman"/>
          <w:sz w:val="24"/>
          <w:szCs w:val="24"/>
        </w:rPr>
        <w:t xml:space="preserve">(table </w:t>
      </w:r>
      <w:r w:rsidR="004F66EC">
        <w:rPr>
          <w:rFonts w:asciiTheme="majorHAnsi" w:hAnsiTheme="majorHAnsi" w:cs="Times New Roman"/>
          <w:sz w:val="24"/>
          <w:szCs w:val="24"/>
        </w:rPr>
        <w:t>3</w:t>
      </w:r>
      <w:r w:rsidR="00547894">
        <w:rPr>
          <w:rFonts w:asciiTheme="majorHAnsi" w:hAnsiTheme="majorHAnsi" w:cs="Times New Roman"/>
          <w:sz w:val="24"/>
          <w:szCs w:val="24"/>
        </w:rPr>
        <w:t>).</w:t>
      </w:r>
      <w:r w:rsidR="006778CE" w:rsidRPr="009622E6">
        <w:rPr>
          <w:rFonts w:asciiTheme="majorHAnsi" w:hAnsiTheme="majorHAnsi" w:cs="Times New Roman"/>
          <w:sz w:val="24"/>
          <w:szCs w:val="24"/>
        </w:rPr>
        <w:t xml:space="preserve"> </w:t>
      </w:r>
      <w:r w:rsidR="00AE18EC" w:rsidRPr="009622E6">
        <w:rPr>
          <w:rFonts w:asciiTheme="majorHAnsi" w:hAnsiTheme="majorHAnsi" w:cs="Times New Roman"/>
          <w:sz w:val="24"/>
          <w:szCs w:val="24"/>
        </w:rPr>
        <w:t>A</w:t>
      </w:r>
      <w:r w:rsidR="006778CE" w:rsidRPr="009622E6">
        <w:rPr>
          <w:rFonts w:asciiTheme="majorHAnsi" w:hAnsiTheme="majorHAnsi" w:cs="Times New Roman"/>
          <w:sz w:val="24"/>
          <w:szCs w:val="24"/>
        </w:rPr>
        <w:t xml:space="preserve">ll subgroups </w:t>
      </w:r>
      <w:r w:rsidR="00CA6E69" w:rsidRPr="009622E6">
        <w:rPr>
          <w:rFonts w:asciiTheme="majorHAnsi" w:hAnsiTheme="majorHAnsi" w:cs="Times New Roman"/>
          <w:sz w:val="24"/>
          <w:szCs w:val="24"/>
        </w:rPr>
        <w:t>born at 2</w:t>
      </w:r>
      <w:r w:rsidR="007257C1" w:rsidRPr="009622E6">
        <w:rPr>
          <w:rFonts w:asciiTheme="majorHAnsi" w:hAnsiTheme="majorHAnsi" w:cs="Times New Roman"/>
          <w:sz w:val="24"/>
          <w:szCs w:val="24"/>
        </w:rPr>
        <w:t>6</w:t>
      </w:r>
      <w:r w:rsidR="00CA6E69" w:rsidRPr="009622E6">
        <w:rPr>
          <w:rFonts w:asciiTheme="majorHAnsi" w:hAnsiTheme="majorHAnsi" w:cs="Times New Roman"/>
          <w:sz w:val="24"/>
          <w:szCs w:val="24"/>
        </w:rPr>
        <w:t xml:space="preserve"> weeks </w:t>
      </w:r>
      <w:r w:rsidR="008E594B" w:rsidRPr="009622E6">
        <w:rPr>
          <w:rFonts w:asciiTheme="majorHAnsi" w:hAnsiTheme="majorHAnsi" w:cs="Times New Roman"/>
          <w:sz w:val="24"/>
          <w:szCs w:val="24"/>
        </w:rPr>
        <w:t>GA</w:t>
      </w:r>
      <w:r w:rsidR="00CA6E69" w:rsidRPr="009622E6">
        <w:rPr>
          <w:rFonts w:asciiTheme="majorHAnsi" w:hAnsiTheme="majorHAnsi" w:cs="Times New Roman"/>
          <w:sz w:val="24"/>
          <w:szCs w:val="24"/>
        </w:rPr>
        <w:t xml:space="preserve"> or less </w:t>
      </w:r>
      <w:r w:rsidR="006778CE" w:rsidRPr="009622E6">
        <w:rPr>
          <w:rFonts w:asciiTheme="majorHAnsi" w:hAnsiTheme="majorHAnsi" w:cs="Times New Roman"/>
          <w:sz w:val="24"/>
          <w:szCs w:val="24"/>
        </w:rPr>
        <w:t xml:space="preserve">displayed </w:t>
      </w:r>
      <w:r w:rsidR="00AE18EC" w:rsidRPr="009622E6">
        <w:rPr>
          <w:rFonts w:asciiTheme="majorHAnsi" w:hAnsiTheme="majorHAnsi" w:cs="Times New Roman"/>
          <w:sz w:val="24"/>
          <w:szCs w:val="24"/>
        </w:rPr>
        <w:t>a negative</w:t>
      </w:r>
      <w:r w:rsidR="006778CE" w:rsidRPr="009622E6">
        <w:rPr>
          <w:rFonts w:asciiTheme="majorHAnsi" w:hAnsiTheme="majorHAnsi" w:cs="Times New Roman"/>
          <w:sz w:val="24"/>
          <w:szCs w:val="24"/>
        </w:rPr>
        <w:t xml:space="preserve"> in HC </w:t>
      </w:r>
      <w:r w:rsidR="00AE18EC" w:rsidRPr="009622E6">
        <w:rPr>
          <w:rFonts w:asciiTheme="majorHAnsi" w:hAnsiTheme="majorHAnsi" w:cs="Times New Roman"/>
          <w:sz w:val="24"/>
          <w:szCs w:val="24"/>
        </w:rPr>
        <w:t>Δ</w:t>
      </w:r>
      <w:r w:rsidR="006778CE" w:rsidRPr="009622E6">
        <w:rPr>
          <w:rFonts w:asciiTheme="majorHAnsi" w:hAnsiTheme="majorHAnsi" w:cs="Times New Roman"/>
          <w:sz w:val="24"/>
          <w:szCs w:val="24"/>
        </w:rPr>
        <w:t xml:space="preserve">SDS from birth to 36 weeks </w:t>
      </w:r>
      <w:r w:rsidR="006F5D8F" w:rsidRPr="009622E6">
        <w:rPr>
          <w:rFonts w:asciiTheme="majorHAnsi" w:hAnsiTheme="majorHAnsi" w:cs="Times New Roman"/>
          <w:sz w:val="24"/>
          <w:szCs w:val="24"/>
        </w:rPr>
        <w:t>PMA</w:t>
      </w:r>
      <w:r w:rsidR="006778CE" w:rsidRPr="009622E6">
        <w:rPr>
          <w:rFonts w:asciiTheme="majorHAnsi" w:hAnsiTheme="majorHAnsi" w:cs="Times New Roman"/>
          <w:sz w:val="24"/>
          <w:szCs w:val="24"/>
        </w:rPr>
        <w:t xml:space="preserve">. </w:t>
      </w:r>
      <w:r w:rsidRPr="009622E6">
        <w:rPr>
          <w:rFonts w:asciiTheme="majorHAnsi" w:hAnsiTheme="majorHAnsi" w:cs="Times New Roman"/>
          <w:sz w:val="24"/>
          <w:szCs w:val="24"/>
        </w:rPr>
        <w:t>Overall, the mean</w:t>
      </w:r>
      <w:r w:rsidR="000F7AE2" w:rsidRPr="009622E6">
        <w:rPr>
          <w:rFonts w:asciiTheme="majorHAnsi" w:hAnsiTheme="majorHAnsi" w:cs="Times New Roman"/>
          <w:sz w:val="24"/>
          <w:szCs w:val="24"/>
        </w:rPr>
        <w:t xml:space="preserve"> </w:t>
      </w:r>
      <w:r w:rsidRPr="009622E6">
        <w:rPr>
          <w:rFonts w:asciiTheme="majorHAnsi" w:hAnsiTheme="majorHAnsi" w:cs="Times New Roman"/>
          <w:sz w:val="24"/>
          <w:szCs w:val="24"/>
        </w:rPr>
        <w:t xml:space="preserve">HC </w:t>
      </w:r>
      <w:r w:rsidR="000E06C3" w:rsidRPr="009622E6">
        <w:rPr>
          <w:rFonts w:asciiTheme="majorHAnsi" w:hAnsiTheme="majorHAnsi" w:cs="Times New Roman"/>
          <w:sz w:val="24"/>
          <w:szCs w:val="24"/>
        </w:rPr>
        <w:t xml:space="preserve">ΔSDS </w:t>
      </w:r>
      <w:r w:rsidRPr="009622E6">
        <w:rPr>
          <w:rFonts w:asciiTheme="majorHAnsi" w:hAnsiTheme="majorHAnsi" w:cs="Times New Roman"/>
          <w:sz w:val="24"/>
          <w:szCs w:val="24"/>
        </w:rPr>
        <w:t>between birth and 36 weeks PMA was</w:t>
      </w:r>
      <w:r w:rsidR="002A7EB6" w:rsidRPr="009622E6">
        <w:rPr>
          <w:rFonts w:asciiTheme="majorHAnsi" w:hAnsiTheme="majorHAnsi" w:cs="Times New Roman"/>
          <w:sz w:val="24"/>
          <w:szCs w:val="24"/>
        </w:rPr>
        <w:t xml:space="preserve"> 0.09</w:t>
      </w:r>
      <w:r w:rsidR="006B0F3A" w:rsidRPr="009622E6">
        <w:rPr>
          <w:rFonts w:asciiTheme="majorHAnsi" w:hAnsiTheme="majorHAnsi" w:cs="Times New Roman"/>
          <w:sz w:val="24"/>
          <w:szCs w:val="24"/>
        </w:rPr>
        <w:t xml:space="preserve"> (95% confidence interval -0.14 to 0.33)</w:t>
      </w:r>
      <w:r w:rsidRPr="009622E6">
        <w:rPr>
          <w:rFonts w:asciiTheme="majorHAnsi" w:hAnsiTheme="majorHAnsi" w:cs="Times New Roman"/>
          <w:sz w:val="24"/>
          <w:szCs w:val="24"/>
        </w:rPr>
        <w:t xml:space="preserve">. </w:t>
      </w:r>
      <w:r w:rsidR="00C47D5F">
        <w:rPr>
          <w:rFonts w:asciiTheme="majorHAnsi" w:hAnsiTheme="majorHAnsi" w:cs="Times New Roman"/>
          <w:sz w:val="24"/>
          <w:szCs w:val="24"/>
        </w:rPr>
        <w:t xml:space="preserve">Figure </w:t>
      </w:r>
      <w:proofErr w:type="gramStart"/>
      <w:r w:rsidR="00E00168">
        <w:rPr>
          <w:rFonts w:asciiTheme="majorHAnsi" w:hAnsiTheme="majorHAnsi" w:cs="Times New Roman"/>
          <w:sz w:val="24"/>
          <w:szCs w:val="24"/>
        </w:rPr>
        <w:t>3</w:t>
      </w:r>
      <w:proofErr w:type="gramEnd"/>
      <w:r w:rsidR="00C47D5F">
        <w:rPr>
          <w:rFonts w:asciiTheme="majorHAnsi" w:hAnsiTheme="majorHAnsi" w:cs="Times New Roman"/>
          <w:sz w:val="24"/>
          <w:szCs w:val="24"/>
        </w:rPr>
        <w:t xml:space="preserve"> </w:t>
      </w:r>
      <w:r w:rsidR="00C47D5F" w:rsidRPr="009622E6">
        <w:rPr>
          <w:rFonts w:asciiTheme="majorHAnsi" w:hAnsiTheme="majorHAnsi" w:cs="Times New Roman"/>
          <w:sz w:val="24"/>
          <w:szCs w:val="24"/>
        </w:rPr>
        <w:t>show</w:t>
      </w:r>
      <w:r w:rsidR="00C47D5F">
        <w:rPr>
          <w:rFonts w:asciiTheme="majorHAnsi" w:hAnsiTheme="majorHAnsi" w:cs="Times New Roman"/>
          <w:sz w:val="24"/>
          <w:szCs w:val="24"/>
        </w:rPr>
        <w:t>s</w:t>
      </w:r>
      <w:r w:rsidR="00C47D5F" w:rsidRPr="009622E6">
        <w:rPr>
          <w:rFonts w:asciiTheme="majorHAnsi" w:hAnsiTheme="majorHAnsi" w:cs="Times New Roman"/>
          <w:sz w:val="24"/>
          <w:szCs w:val="24"/>
        </w:rPr>
        <w:t xml:space="preserve"> the </w:t>
      </w:r>
      <w:r w:rsidR="00500340">
        <w:rPr>
          <w:rFonts w:asciiTheme="majorHAnsi" w:hAnsiTheme="majorHAnsi" w:cs="Times New Roman"/>
          <w:sz w:val="24"/>
          <w:szCs w:val="24"/>
        </w:rPr>
        <w:t>median length plots</w:t>
      </w:r>
      <w:r w:rsidR="00C47D5F" w:rsidRPr="009622E6">
        <w:rPr>
          <w:rFonts w:asciiTheme="majorHAnsi" w:hAnsiTheme="majorHAnsi" w:cs="Times New Roman"/>
          <w:sz w:val="24"/>
          <w:szCs w:val="24"/>
        </w:rPr>
        <w:t xml:space="preserve"> for </w:t>
      </w:r>
      <w:r w:rsidR="00500340">
        <w:rPr>
          <w:rFonts w:asciiTheme="majorHAnsi" w:hAnsiTheme="majorHAnsi" w:cs="Times New Roman"/>
          <w:sz w:val="24"/>
          <w:szCs w:val="24"/>
        </w:rPr>
        <w:t>both sexes</w:t>
      </w:r>
      <w:r w:rsidR="00C47D5F">
        <w:rPr>
          <w:rFonts w:asciiTheme="majorHAnsi" w:hAnsiTheme="majorHAnsi" w:cs="Times New Roman"/>
          <w:sz w:val="24"/>
          <w:szCs w:val="24"/>
        </w:rPr>
        <w:t xml:space="preserve"> and then separately for males (</w:t>
      </w:r>
      <w:r w:rsidR="00E00168">
        <w:rPr>
          <w:rFonts w:asciiTheme="majorHAnsi" w:hAnsiTheme="majorHAnsi" w:cs="Times New Roman"/>
          <w:sz w:val="24"/>
          <w:szCs w:val="24"/>
        </w:rPr>
        <w:t>Supplementary figure 3A</w:t>
      </w:r>
      <w:r w:rsidR="00C47D5F">
        <w:rPr>
          <w:rFonts w:asciiTheme="majorHAnsi" w:hAnsiTheme="majorHAnsi" w:cs="Times New Roman"/>
          <w:sz w:val="24"/>
          <w:szCs w:val="24"/>
        </w:rPr>
        <w:t>) and females (</w:t>
      </w:r>
      <w:r w:rsidR="00E00168">
        <w:rPr>
          <w:rFonts w:asciiTheme="majorHAnsi" w:hAnsiTheme="majorHAnsi" w:cs="Times New Roman"/>
          <w:sz w:val="24"/>
          <w:szCs w:val="24"/>
        </w:rPr>
        <w:t>supplementary figure 3B</w:t>
      </w:r>
      <w:r w:rsidR="00C47D5F">
        <w:rPr>
          <w:rFonts w:asciiTheme="majorHAnsi" w:hAnsiTheme="majorHAnsi" w:cs="Times New Roman"/>
          <w:sz w:val="24"/>
          <w:szCs w:val="24"/>
        </w:rPr>
        <w:t xml:space="preserve">) </w:t>
      </w:r>
      <w:r w:rsidR="00C47D5F" w:rsidRPr="009622E6">
        <w:rPr>
          <w:rFonts w:asciiTheme="majorHAnsi" w:hAnsiTheme="majorHAnsi" w:cs="Times New Roman"/>
          <w:sz w:val="24"/>
          <w:szCs w:val="24"/>
        </w:rPr>
        <w:t>for each GA subgroup overlaid on the standard NICM chart</w:t>
      </w:r>
      <w:r w:rsidR="00C47D5F">
        <w:rPr>
          <w:rFonts w:asciiTheme="majorHAnsi" w:hAnsiTheme="majorHAnsi" w:cs="Times New Roman"/>
          <w:sz w:val="24"/>
          <w:szCs w:val="24"/>
        </w:rPr>
        <w:t>.</w:t>
      </w:r>
      <w:r w:rsidR="00C47D5F" w:rsidRPr="009622E6">
        <w:rPr>
          <w:rFonts w:asciiTheme="majorHAnsi" w:hAnsiTheme="majorHAnsi" w:cs="Times New Roman"/>
          <w:sz w:val="24"/>
          <w:szCs w:val="24"/>
        </w:rPr>
        <w:t xml:space="preserve"> </w:t>
      </w:r>
      <w:r w:rsidR="0045730E" w:rsidRPr="009622E6">
        <w:rPr>
          <w:rFonts w:asciiTheme="majorHAnsi" w:hAnsiTheme="majorHAnsi" w:cs="Times New Roman"/>
          <w:sz w:val="24"/>
          <w:szCs w:val="24"/>
        </w:rPr>
        <w:t xml:space="preserve">Length </w:t>
      </w:r>
      <w:r w:rsidR="00AE18EC" w:rsidRPr="009622E6">
        <w:rPr>
          <w:rFonts w:asciiTheme="majorHAnsi" w:hAnsiTheme="majorHAnsi" w:cs="Times New Roman"/>
          <w:sz w:val="24"/>
          <w:szCs w:val="24"/>
        </w:rPr>
        <w:t xml:space="preserve">measures </w:t>
      </w:r>
      <w:r w:rsidR="007257C1" w:rsidRPr="009622E6">
        <w:rPr>
          <w:rFonts w:asciiTheme="majorHAnsi" w:hAnsiTheme="majorHAnsi" w:cs="Times New Roman"/>
          <w:sz w:val="24"/>
          <w:szCs w:val="24"/>
        </w:rPr>
        <w:t>showed a negative ΔSDS from birth</w:t>
      </w:r>
      <w:r w:rsidR="00E7122B" w:rsidRPr="009622E6">
        <w:rPr>
          <w:rFonts w:asciiTheme="majorHAnsi" w:hAnsiTheme="majorHAnsi" w:cs="Times New Roman"/>
          <w:sz w:val="24"/>
          <w:szCs w:val="24"/>
        </w:rPr>
        <w:t xml:space="preserve"> or 25 weeks</w:t>
      </w:r>
      <w:r w:rsidR="007257C1" w:rsidRPr="009622E6">
        <w:rPr>
          <w:rFonts w:asciiTheme="majorHAnsi" w:hAnsiTheme="majorHAnsi" w:cs="Times New Roman"/>
          <w:sz w:val="24"/>
          <w:szCs w:val="24"/>
        </w:rPr>
        <w:t xml:space="preserve"> to 36 weeks </w:t>
      </w:r>
      <w:r w:rsidR="0006686E">
        <w:rPr>
          <w:rFonts w:asciiTheme="majorHAnsi" w:hAnsiTheme="majorHAnsi" w:cs="Times New Roman"/>
          <w:sz w:val="24"/>
          <w:szCs w:val="24"/>
        </w:rPr>
        <w:t xml:space="preserve">PMA </w:t>
      </w:r>
      <w:r w:rsidR="007257C1" w:rsidRPr="009622E6">
        <w:rPr>
          <w:rFonts w:asciiTheme="majorHAnsi" w:hAnsiTheme="majorHAnsi" w:cs="Times New Roman"/>
          <w:sz w:val="24"/>
          <w:szCs w:val="24"/>
        </w:rPr>
        <w:t>in all gestations</w:t>
      </w:r>
      <w:r w:rsidR="000E06C3">
        <w:rPr>
          <w:rFonts w:asciiTheme="majorHAnsi" w:hAnsiTheme="majorHAnsi" w:cs="Times New Roman"/>
          <w:sz w:val="24"/>
          <w:szCs w:val="24"/>
        </w:rPr>
        <w:t>, with an overall</w:t>
      </w:r>
      <w:r w:rsidRPr="009622E6">
        <w:rPr>
          <w:rFonts w:asciiTheme="majorHAnsi" w:hAnsiTheme="majorHAnsi" w:cs="Times New Roman"/>
          <w:sz w:val="24"/>
          <w:szCs w:val="24"/>
        </w:rPr>
        <w:t xml:space="preserve"> mean length </w:t>
      </w:r>
      <w:r w:rsidR="000E06C3" w:rsidRPr="009622E6">
        <w:rPr>
          <w:rFonts w:asciiTheme="majorHAnsi" w:hAnsiTheme="majorHAnsi" w:cs="Times New Roman"/>
          <w:sz w:val="24"/>
          <w:szCs w:val="24"/>
        </w:rPr>
        <w:t xml:space="preserve">ΔSDS </w:t>
      </w:r>
      <w:r w:rsidRPr="009622E6">
        <w:rPr>
          <w:rFonts w:asciiTheme="majorHAnsi" w:hAnsiTheme="majorHAnsi" w:cs="Times New Roman"/>
          <w:sz w:val="24"/>
          <w:szCs w:val="24"/>
        </w:rPr>
        <w:t xml:space="preserve">between birth and 36 weeks PMA </w:t>
      </w:r>
      <w:r w:rsidR="000E06C3">
        <w:rPr>
          <w:rFonts w:asciiTheme="majorHAnsi" w:hAnsiTheme="majorHAnsi" w:cs="Times New Roman"/>
          <w:sz w:val="24"/>
          <w:szCs w:val="24"/>
        </w:rPr>
        <w:t>of</w:t>
      </w:r>
      <w:r w:rsidR="000E06C3" w:rsidRPr="009622E6">
        <w:rPr>
          <w:rFonts w:asciiTheme="majorHAnsi" w:hAnsiTheme="majorHAnsi" w:cs="Times New Roman"/>
          <w:sz w:val="24"/>
          <w:szCs w:val="24"/>
        </w:rPr>
        <w:t xml:space="preserve"> </w:t>
      </w:r>
      <w:r w:rsidR="008A0783" w:rsidRPr="009622E6">
        <w:rPr>
          <w:rFonts w:asciiTheme="majorHAnsi" w:hAnsiTheme="majorHAnsi" w:cs="Times New Roman"/>
          <w:sz w:val="24"/>
          <w:szCs w:val="24"/>
        </w:rPr>
        <w:t>-</w:t>
      </w:r>
      <w:r w:rsidR="0046233D" w:rsidRPr="009622E6">
        <w:rPr>
          <w:rFonts w:asciiTheme="majorHAnsi" w:hAnsiTheme="majorHAnsi" w:cs="Times New Roman"/>
          <w:sz w:val="24"/>
          <w:szCs w:val="24"/>
        </w:rPr>
        <w:t>0.49 (95% confidence interval -0.67 to -0.30</w:t>
      </w:r>
      <w:r w:rsidR="00C47D5F">
        <w:rPr>
          <w:rFonts w:asciiTheme="majorHAnsi" w:hAnsiTheme="majorHAnsi" w:cs="Times New Roman"/>
          <w:sz w:val="24"/>
          <w:szCs w:val="24"/>
        </w:rPr>
        <w:t>, see table 4</w:t>
      </w:r>
      <w:r w:rsidR="0046233D" w:rsidRPr="009622E6">
        <w:rPr>
          <w:rFonts w:asciiTheme="majorHAnsi" w:hAnsiTheme="majorHAnsi" w:cs="Times New Roman"/>
          <w:sz w:val="24"/>
          <w:szCs w:val="24"/>
        </w:rPr>
        <w:t>)</w:t>
      </w:r>
      <w:r w:rsidR="007257C1" w:rsidRPr="009622E6">
        <w:rPr>
          <w:rFonts w:asciiTheme="majorHAnsi" w:hAnsiTheme="majorHAnsi" w:cs="Times New Roman"/>
          <w:sz w:val="24"/>
          <w:szCs w:val="24"/>
        </w:rPr>
        <w:t xml:space="preserve">. </w:t>
      </w:r>
      <w:r w:rsidR="00C821F8">
        <w:rPr>
          <w:rFonts w:asciiTheme="majorHAnsi" w:hAnsiTheme="majorHAnsi" w:cs="Times New Roman"/>
          <w:sz w:val="24"/>
          <w:szCs w:val="24"/>
        </w:rPr>
        <w:t>Graphs were also created using only data for infants who</w:t>
      </w:r>
      <w:r w:rsidR="00A17313">
        <w:rPr>
          <w:rFonts w:asciiTheme="majorHAnsi" w:hAnsiTheme="majorHAnsi" w:cs="Times New Roman"/>
          <w:sz w:val="24"/>
          <w:szCs w:val="24"/>
        </w:rPr>
        <w:t xml:space="preserve"> remained in the NN</w:t>
      </w:r>
      <w:r w:rsidR="004E41B5">
        <w:rPr>
          <w:rFonts w:asciiTheme="majorHAnsi" w:hAnsiTheme="majorHAnsi" w:cs="Times New Roman"/>
          <w:sz w:val="24"/>
          <w:szCs w:val="24"/>
        </w:rPr>
        <w:t xml:space="preserve">U from birth until </w:t>
      </w:r>
      <w:r w:rsidR="00C821F8">
        <w:rPr>
          <w:rFonts w:asciiTheme="majorHAnsi" w:hAnsiTheme="majorHAnsi" w:cs="Times New Roman"/>
          <w:sz w:val="24"/>
          <w:szCs w:val="24"/>
        </w:rPr>
        <w:t xml:space="preserve">36 weeks </w:t>
      </w:r>
      <w:r w:rsidR="004E41B5">
        <w:rPr>
          <w:rFonts w:asciiTheme="majorHAnsi" w:hAnsiTheme="majorHAnsi" w:cs="Times New Roman"/>
          <w:sz w:val="24"/>
          <w:szCs w:val="24"/>
        </w:rPr>
        <w:t>PMA</w:t>
      </w:r>
      <w:r w:rsidR="00D633F9">
        <w:rPr>
          <w:rFonts w:asciiTheme="majorHAnsi" w:hAnsiTheme="majorHAnsi" w:cs="Times New Roman"/>
          <w:sz w:val="24"/>
          <w:szCs w:val="24"/>
        </w:rPr>
        <w:t>. These had a</w:t>
      </w:r>
      <w:r w:rsidR="00C821F8">
        <w:rPr>
          <w:rFonts w:asciiTheme="majorHAnsi" w:hAnsiTheme="majorHAnsi" w:cs="Times New Roman"/>
          <w:sz w:val="24"/>
          <w:szCs w:val="24"/>
        </w:rPr>
        <w:t xml:space="preserve"> similar</w:t>
      </w:r>
      <w:r w:rsidR="004E41B5">
        <w:rPr>
          <w:rFonts w:asciiTheme="majorHAnsi" w:hAnsiTheme="majorHAnsi" w:cs="Times New Roman"/>
          <w:sz w:val="24"/>
          <w:szCs w:val="24"/>
        </w:rPr>
        <w:t xml:space="preserve"> </w:t>
      </w:r>
      <w:r w:rsidR="00D633F9">
        <w:rPr>
          <w:rFonts w:asciiTheme="majorHAnsi" w:hAnsiTheme="majorHAnsi" w:cs="Times New Roman"/>
          <w:sz w:val="24"/>
          <w:szCs w:val="24"/>
        </w:rPr>
        <w:t xml:space="preserve">pattern </w:t>
      </w:r>
      <w:r w:rsidR="00A17313">
        <w:rPr>
          <w:rFonts w:asciiTheme="majorHAnsi" w:hAnsiTheme="majorHAnsi" w:cs="Times New Roman"/>
          <w:sz w:val="24"/>
          <w:szCs w:val="24"/>
        </w:rPr>
        <w:t xml:space="preserve">to </w:t>
      </w:r>
      <w:r w:rsidR="00F60E99">
        <w:rPr>
          <w:rFonts w:asciiTheme="majorHAnsi" w:hAnsiTheme="majorHAnsi" w:cs="Times New Roman"/>
          <w:sz w:val="24"/>
          <w:szCs w:val="24"/>
        </w:rPr>
        <w:t>those that</w:t>
      </w:r>
      <w:r w:rsidR="00D633F9">
        <w:rPr>
          <w:rFonts w:asciiTheme="majorHAnsi" w:hAnsiTheme="majorHAnsi" w:cs="Times New Roman"/>
          <w:sz w:val="24"/>
          <w:szCs w:val="24"/>
        </w:rPr>
        <w:t xml:space="preserve"> included </w:t>
      </w:r>
      <w:r w:rsidR="00A17313">
        <w:rPr>
          <w:rFonts w:asciiTheme="majorHAnsi" w:hAnsiTheme="majorHAnsi" w:cs="Times New Roman"/>
          <w:sz w:val="24"/>
          <w:szCs w:val="24"/>
        </w:rPr>
        <w:t xml:space="preserve">all infants </w:t>
      </w:r>
      <w:r w:rsidR="004E41B5">
        <w:rPr>
          <w:rFonts w:asciiTheme="majorHAnsi" w:hAnsiTheme="majorHAnsi" w:cs="Times New Roman"/>
          <w:sz w:val="24"/>
          <w:szCs w:val="24"/>
        </w:rPr>
        <w:t>(data not shown)</w:t>
      </w:r>
      <w:r w:rsidR="00C821F8">
        <w:rPr>
          <w:rFonts w:asciiTheme="majorHAnsi" w:hAnsiTheme="majorHAnsi" w:cs="Times New Roman"/>
          <w:sz w:val="24"/>
          <w:szCs w:val="24"/>
        </w:rPr>
        <w:t>.</w:t>
      </w:r>
    </w:p>
    <w:tbl>
      <w:tblPr>
        <w:tblStyle w:val="TableGrid11"/>
        <w:tblW w:w="10011" w:type="dxa"/>
        <w:jc w:val="center"/>
        <w:tblLook w:val="04A0" w:firstRow="1" w:lastRow="0" w:firstColumn="1" w:lastColumn="0" w:noHBand="0" w:noVBand="1"/>
      </w:tblPr>
      <w:tblGrid>
        <w:gridCol w:w="1288"/>
        <w:gridCol w:w="1113"/>
        <w:gridCol w:w="852"/>
        <w:gridCol w:w="960"/>
        <w:gridCol w:w="975"/>
        <w:gridCol w:w="975"/>
        <w:gridCol w:w="975"/>
        <w:gridCol w:w="974"/>
        <w:gridCol w:w="974"/>
        <w:gridCol w:w="925"/>
      </w:tblGrid>
      <w:tr w:rsidR="002727AD" w:rsidRPr="00276F55" w:rsidTr="001859F2">
        <w:trPr>
          <w:cantSplit/>
          <w:trHeight w:val="964"/>
          <w:jc w:val="center"/>
        </w:trPr>
        <w:tc>
          <w:tcPr>
            <w:tcW w:w="10011" w:type="dxa"/>
            <w:gridSpan w:val="10"/>
            <w:tcBorders>
              <w:top w:val="nil"/>
              <w:left w:val="nil"/>
              <w:bottom w:val="single" w:sz="4" w:space="0" w:color="auto"/>
              <w:right w:val="nil"/>
            </w:tcBorders>
            <w:noWrap/>
          </w:tcPr>
          <w:p w:rsidR="002727AD" w:rsidRPr="00276F55" w:rsidRDefault="002727AD" w:rsidP="0006686E">
            <w:pPr>
              <w:rPr>
                <w:rFonts w:ascii="Calibri" w:eastAsia="Calibri" w:hAnsi="Calibri" w:cs="Times New Roman"/>
                <w:sz w:val="18"/>
                <w:szCs w:val="18"/>
              </w:rPr>
            </w:pPr>
            <w:r w:rsidRPr="00276F55">
              <w:rPr>
                <w:rFonts w:ascii="Calibri Light" w:eastAsia="Calibri" w:hAnsi="Calibri Light" w:cs="Times New Roman"/>
                <w:sz w:val="24"/>
                <w:szCs w:val="24"/>
              </w:rPr>
              <w:t xml:space="preserve">Table 3: Head circumference SDS at birth, 36 weeks postmenstrual age and change in SDS </w:t>
            </w:r>
            <w:r w:rsidR="0006686E">
              <w:rPr>
                <w:rFonts w:ascii="Calibri Light" w:eastAsia="Calibri" w:hAnsi="Calibri Light" w:cs="Times New Roman"/>
                <w:sz w:val="24"/>
                <w:szCs w:val="24"/>
              </w:rPr>
              <w:t xml:space="preserve">(95% CI) </w:t>
            </w:r>
            <w:r w:rsidRPr="00276F55">
              <w:rPr>
                <w:rFonts w:ascii="Calibri Light" w:eastAsia="Calibri" w:hAnsi="Calibri Light" w:cs="Times New Roman"/>
                <w:sz w:val="24"/>
                <w:szCs w:val="24"/>
              </w:rPr>
              <w:t>from birth to 36 weeks postmenstrual age for all infants, female only and male only infants. Only infants who were still inpatient at 36 weeks PMA and beyond are included in this analysis</w:t>
            </w:r>
          </w:p>
        </w:tc>
      </w:tr>
      <w:tr w:rsidR="002727AD" w:rsidRPr="00276F55" w:rsidTr="0095752E">
        <w:trPr>
          <w:cantSplit/>
          <w:trHeight w:val="300"/>
          <w:jc w:val="center"/>
        </w:trPr>
        <w:tc>
          <w:tcPr>
            <w:tcW w:w="1288" w:type="dxa"/>
            <w:tcBorders>
              <w:top w:val="single" w:sz="4" w:space="0" w:color="auto"/>
            </w:tcBorders>
            <w:noWrap/>
          </w:tcPr>
          <w:p w:rsidR="002727AD" w:rsidRPr="00276F55" w:rsidRDefault="002727AD" w:rsidP="005468BE">
            <w:pPr>
              <w:rPr>
                <w:rFonts w:ascii="Calibri" w:eastAsia="Calibri" w:hAnsi="Calibri" w:cs="Times New Roman"/>
                <w:sz w:val="18"/>
                <w:szCs w:val="18"/>
              </w:rPr>
            </w:pPr>
            <w:bookmarkStart w:id="4" w:name="_Hlk507665714"/>
            <w:r w:rsidRPr="00276F55">
              <w:rPr>
                <w:rFonts w:ascii="Calibri" w:eastAsia="Calibri" w:hAnsi="Calibri" w:cs="Times New Roman"/>
                <w:sz w:val="18"/>
                <w:szCs w:val="18"/>
              </w:rPr>
              <w:t>Head Circumference</w:t>
            </w:r>
          </w:p>
        </w:tc>
        <w:tc>
          <w:tcPr>
            <w:tcW w:w="8723" w:type="dxa"/>
            <w:gridSpan w:val="9"/>
            <w:tcBorders>
              <w:top w:val="single" w:sz="4" w:space="0" w:color="auto"/>
            </w:tcBorders>
            <w:noWrap/>
          </w:tcPr>
          <w:p w:rsidR="002727AD" w:rsidRPr="00276F55" w:rsidRDefault="002727AD" w:rsidP="005468BE">
            <w:pPr>
              <w:jc w:val="center"/>
              <w:rPr>
                <w:rFonts w:ascii="Calibri" w:eastAsia="Calibri" w:hAnsi="Calibri" w:cs="Times New Roman"/>
                <w:sz w:val="18"/>
                <w:szCs w:val="18"/>
              </w:rPr>
            </w:pPr>
            <w:r w:rsidRPr="00276F55">
              <w:rPr>
                <w:rFonts w:ascii="Calibri" w:eastAsia="Calibri" w:hAnsi="Calibri" w:cs="Times New Roman"/>
                <w:sz w:val="18"/>
                <w:szCs w:val="18"/>
              </w:rPr>
              <w:t>SD Scores (-/+95%CI)</w:t>
            </w:r>
          </w:p>
        </w:tc>
      </w:tr>
      <w:tr w:rsidR="002727AD" w:rsidRPr="00276F55" w:rsidTr="0095752E">
        <w:trPr>
          <w:cantSplit/>
          <w:trHeight w:val="300"/>
          <w:jc w:val="center"/>
        </w:trPr>
        <w:tc>
          <w:tcPr>
            <w:tcW w:w="1288" w:type="dxa"/>
            <w:tcBorders>
              <w:top w:val="single" w:sz="4" w:space="0" w:color="auto"/>
            </w:tcBorders>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All Infants</w:t>
            </w:r>
          </w:p>
        </w:tc>
        <w:tc>
          <w:tcPr>
            <w:tcW w:w="8723" w:type="dxa"/>
            <w:gridSpan w:val="9"/>
            <w:tcBorders>
              <w:top w:val="single" w:sz="4" w:space="0" w:color="auto"/>
            </w:tcBorders>
            <w:noWrap/>
          </w:tcPr>
          <w:p w:rsidR="002727AD" w:rsidRPr="00276F55" w:rsidRDefault="002727AD" w:rsidP="005468BE">
            <w:pPr>
              <w:jc w:val="center"/>
              <w:rPr>
                <w:rFonts w:ascii="Calibri" w:eastAsia="Calibri" w:hAnsi="Calibri" w:cs="Times New Roman"/>
                <w:sz w:val="18"/>
                <w:szCs w:val="18"/>
              </w:rPr>
            </w:pPr>
          </w:p>
        </w:tc>
      </w:tr>
      <w:tr w:rsidR="002727AD" w:rsidRPr="00276F55" w:rsidTr="0095752E">
        <w:trPr>
          <w:cantSplit/>
          <w:trHeight w:val="300"/>
          <w:jc w:val="center"/>
        </w:trPr>
        <w:tc>
          <w:tcPr>
            <w:tcW w:w="1288"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GA (weeks)</w:t>
            </w:r>
          </w:p>
        </w:tc>
        <w:tc>
          <w:tcPr>
            <w:tcW w:w="1113"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23</w:t>
            </w:r>
          </w:p>
        </w:tc>
        <w:tc>
          <w:tcPr>
            <w:tcW w:w="852"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24</w:t>
            </w:r>
          </w:p>
        </w:tc>
        <w:tc>
          <w:tcPr>
            <w:tcW w:w="960"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25</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26</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27</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28</w:t>
            </w:r>
          </w:p>
        </w:tc>
        <w:tc>
          <w:tcPr>
            <w:tcW w:w="97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29</w:t>
            </w:r>
          </w:p>
        </w:tc>
        <w:tc>
          <w:tcPr>
            <w:tcW w:w="97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30</w:t>
            </w:r>
          </w:p>
        </w:tc>
        <w:tc>
          <w:tcPr>
            <w:tcW w:w="92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31</w:t>
            </w:r>
          </w:p>
        </w:tc>
      </w:tr>
      <w:tr w:rsidR="002727AD" w:rsidRPr="00276F55" w:rsidTr="0095752E">
        <w:trPr>
          <w:cantSplit/>
          <w:trHeight w:val="300"/>
          <w:jc w:val="center"/>
        </w:trPr>
        <w:tc>
          <w:tcPr>
            <w:tcW w:w="1288"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Birth</w:t>
            </w:r>
          </w:p>
        </w:tc>
        <w:tc>
          <w:tcPr>
            <w:tcW w:w="1113"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0.06 </w:t>
            </w: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-0.69 </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-0.38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0.02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-0.65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-1.01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-0.86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-1.15 </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-1.22 </w:t>
            </w:r>
          </w:p>
        </w:tc>
      </w:tr>
      <w:tr w:rsidR="002727AD" w:rsidRPr="00276F55" w:rsidTr="0095752E">
        <w:trPr>
          <w:cantSplit/>
          <w:trHeight w:val="300"/>
          <w:jc w:val="center"/>
        </w:trPr>
        <w:tc>
          <w:tcPr>
            <w:tcW w:w="1288"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36 weeks</w:t>
            </w:r>
          </w:p>
        </w:tc>
        <w:tc>
          <w:tcPr>
            <w:tcW w:w="1113"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-1.28 </w:t>
            </w: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-0.95 </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-1.35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-0.55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-0.46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-0.76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-0.36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0.82 </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-0.72 </w:t>
            </w:r>
          </w:p>
        </w:tc>
      </w:tr>
      <w:tr w:rsidR="002727AD" w:rsidRPr="00276F55" w:rsidTr="0095752E">
        <w:trPr>
          <w:cantSplit/>
          <w:trHeight w:val="300"/>
          <w:jc w:val="center"/>
        </w:trPr>
        <w:tc>
          <w:tcPr>
            <w:tcW w:w="1288"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SDS Change</w:t>
            </w:r>
          </w:p>
        </w:tc>
        <w:tc>
          <w:tcPr>
            <w:tcW w:w="1113"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-1.34</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(-1.96 to -0.72)</w:t>
            </w: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-0.26</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(-1.50 to 0.98)</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-0.98 </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(-1.37 to 0.85)</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-0.58</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(-1.70 to 0.55)</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0.19 </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(-0.49 to 0.87)</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0.25</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(-0.18 to 0.68)</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0.50</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(0.03 to 0.97)</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0.33</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(-0.09 to 0.74)</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0.50</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(-0.07 to 1.07)</w:t>
            </w:r>
          </w:p>
        </w:tc>
      </w:tr>
      <w:tr w:rsidR="002727AD" w:rsidRPr="00276F55" w:rsidTr="0095752E">
        <w:trPr>
          <w:cantSplit/>
          <w:trHeight w:val="300"/>
          <w:jc w:val="center"/>
        </w:trPr>
        <w:tc>
          <w:tcPr>
            <w:tcW w:w="1288"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Female</w:t>
            </w:r>
          </w:p>
        </w:tc>
        <w:tc>
          <w:tcPr>
            <w:tcW w:w="1113" w:type="dxa"/>
            <w:noWrap/>
          </w:tcPr>
          <w:p w:rsidR="002727AD" w:rsidRPr="00276F55" w:rsidRDefault="002727AD" w:rsidP="005468BE">
            <w:pPr>
              <w:rPr>
                <w:rFonts w:ascii="Calibri" w:eastAsia="Calibri" w:hAnsi="Calibri" w:cs="Times New Roman"/>
                <w:sz w:val="18"/>
                <w:szCs w:val="18"/>
              </w:rPr>
            </w:pPr>
          </w:p>
        </w:tc>
        <w:tc>
          <w:tcPr>
            <w:tcW w:w="852" w:type="dxa"/>
            <w:noWrap/>
          </w:tcPr>
          <w:p w:rsidR="002727AD" w:rsidRPr="00276F55" w:rsidRDefault="002727AD" w:rsidP="005468BE">
            <w:pPr>
              <w:rPr>
                <w:rFonts w:ascii="Calibri" w:eastAsia="Calibri" w:hAnsi="Calibri" w:cs="Times New Roman"/>
                <w:sz w:val="18"/>
                <w:szCs w:val="18"/>
              </w:rPr>
            </w:pPr>
          </w:p>
        </w:tc>
        <w:tc>
          <w:tcPr>
            <w:tcW w:w="960" w:type="dxa"/>
            <w:noWrap/>
          </w:tcPr>
          <w:p w:rsidR="002727AD" w:rsidRPr="00276F55" w:rsidRDefault="002727AD" w:rsidP="005468BE">
            <w:pPr>
              <w:rPr>
                <w:rFonts w:ascii="Calibri" w:eastAsia="Calibri" w:hAnsi="Calibri" w:cs="Times New Roman"/>
                <w:sz w:val="18"/>
                <w:szCs w:val="18"/>
              </w:rPr>
            </w:pPr>
          </w:p>
        </w:tc>
        <w:tc>
          <w:tcPr>
            <w:tcW w:w="975" w:type="dxa"/>
            <w:noWrap/>
          </w:tcPr>
          <w:p w:rsidR="002727AD" w:rsidRPr="00276F55" w:rsidRDefault="002727AD" w:rsidP="005468BE">
            <w:pPr>
              <w:rPr>
                <w:rFonts w:ascii="Calibri" w:eastAsia="Calibri" w:hAnsi="Calibri" w:cs="Times New Roman"/>
                <w:sz w:val="18"/>
                <w:szCs w:val="18"/>
              </w:rPr>
            </w:pPr>
          </w:p>
        </w:tc>
        <w:tc>
          <w:tcPr>
            <w:tcW w:w="975" w:type="dxa"/>
            <w:noWrap/>
          </w:tcPr>
          <w:p w:rsidR="002727AD" w:rsidRPr="00276F55" w:rsidRDefault="002727AD" w:rsidP="005468BE">
            <w:pPr>
              <w:rPr>
                <w:rFonts w:ascii="Calibri" w:eastAsia="Calibri" w:hAnsi="Calibri" w:cs="Times New Roman"/>
                <w:sz w:val="18"/>
                <w:szCs w:val="18"/>
              </w:rPr>
            </w:pPr>
          </w:p>
        </w:tc>
        <w:tc>
          <w:tcPr>
            <w:tcW w:w="975" w:type="dxa"/>
            <w:noWrap/>
          </w:tcPr>
          <w:p w:rsidR="002727AD" w:rsidRPr="00276F55" w:rsidRDefault="002727AD" w:rsidP="005468BE">
            <w:pPr>
              <w:rPr>
                <w:rFonts w:ascii="Calibri" w:eastAsia="Calibri" w:hAnsi="Calibri" w:cs="Times New Roman"/>
                <w:sz w:val="18"/>
                <w:szCs w:val="18"/>
              </w:rPr>
            </w:pPr>
          </w:p>
        </w:tc>
        <w:tc>
          <w:tcPr>
            <w:tcW w:w="974" w:type="dxa"/>
            <w:noWrap/>
          </w:tcPr>
          <w:p w:rsidR="002727AD" w:rsidRPr="00276F55" w:rsidRDefault="002727AD" w:rsidP="005468BE">
            <w:pPr>
              <w:rPr>
                <w:rFonts w:ascii="Calibri" w:eastAsia="Calibri" w:hAnsi="Calibri" w:cs="Times New Roman"/>
                <w:sz w:val="18"/>
                <w:szCs w:val="18"/>
              </w:rPr>
            </w:pPr>
          </w:p>
        </w:tc>
        <w:tc>
          <w:tcPr>
            <w:tcW w:w="974" w:type="dxa"/>
            <w:noWrap/>
          </w:tcPr>
          <w:p w:rsidR="002727AD" w:rsidRPr="00276F55" w:rsidRDefault="002727AD" w:rsidP="005468BE">
            <w:pPr>
              <w:rPr>
                <w:rFonts w:ascii="Calibri" w:eastAsia="Calibri" w:hAnsi="Calibri" w:cs="Times New Roman"/>
                <w:sz w:val="18"/>
                <w:szCs w:val="18"/>
              </w:rPr>
            </w:pPr>
          </w:p>
        </w:tc>
        <w:tc>
          <w:tcPr>
            <w:tcW w:w="925" w:type="dxa"/>
            <w:noWrap/>
          </w:tcPr>
          <w:p w:rsidR="002727AD" w:rsidRPr="00276F55" w:rsidRDefault="002727AD" w:rsidP="005468BE">
            <w:pPr>
              <w:rPr>
                <w:rFonts w:ascii="Calibri" w:eastAsia="Calibri" w:hAnsi="Calibri" w:cs="Times New Roman"/>
                <w:sz w:val="18"/>
                <w:szCs w:val="18"/>
              </w:rPr>
            </w:pPr>
          </w:p>
        </w:tc>
      </w:tr>
      <w:tr w:rsidR="002727AD" w:rsidRPr="00276F55" w:rsidTr="0095752E">
        <w:trPr>
          <w:cantSplit/>
          <w:trHeight w:val="300"/>
          <w:jc w:val="center"/>
        </w:trPr>
        <w:tc>
          <w:tcPr>
            <w:tcW w:w="1288"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GA (weeks)</w:t>
            </w:r>
          </w:p>
        </w:tc>
        <w:tc>
          <w:tcPr>
            <w:tcW w:w="1113"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23</w:t>
            </w: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24</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25</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26</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27</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28</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29</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30</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31</w:t>
            </w:r>
          </w:p>
        </w:tc>
      </w:tr>
      <w:tr w:rsidR="002727AD" w:rsidRPr="00276F55" w:rsidTr="0095752E">
        <w:trPr>
          <w:cantSplit/>
          <w:trHeight w:val="300"/>
          <w:jc w:val="center"/>
        </w:trPr>
        <w:tc>
          <w:tcPr>
            <w:tcW w:w="1288"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Birth</w:t>
            </w:r>
          </w:p>
        </w:tc>
        <w:tc>
          <w:tcPr>
            <w:tcW w:w="1113"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1.47 </w:t>
            </w: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-0.76 </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-0.97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-0.80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-0.37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-0.71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-0.57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-1.66 </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-1.05 </w:t>
            </w:r>
          </w:p>
        </w:tc>
      </w:tr>
      <w:tr w:rsidR="002727AD" w:rsidRPr="00276F55" w:rsidTr="0095752E">
        <w:trPr>
          <w:cantSplit/>
          <w:trHeight w:val="300"/>
          <w:jc w:val="center"/>
        </w:trPr>
        <w:tc>
          <w:tcPr>
            <w:tcW w:w="1288"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36 weeks</w:t>
            </w:r>
          </w:p>
        </w:tc>
        <w:tc>
          <w:tcPr>
            <w:tcW w:w="1113"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-0.19 </w:t>
            </w: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-2.08 </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-1.32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-1.06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-0.74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-0.58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-0.82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-1.16 </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-0.68 </w:t>
            </w:r>
          </w:p>
        </w:tc>
      </w:tr>
      <w:tr w:rsidR="002727AD" w:rsidRPr="00276F55" w:rsidTr="0095752E">
        <w:trPr>
          <w:cantSplit/>
          <w:trHeight w:val="300"/>
          <w:jc w:val="center"/>
        </w:trPr>
        <w:tc>
          <w:tcPr>
            <w:tcW w:w="1288"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SDS Change</w:t>
            </w:r>
          </w:p>
        </w:tc>
        <w:tc>
          <w:tcPr>
            <w:tcW w:w="1113"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-1.66 (-1.66 to -1.66)</w:t>
            </w: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-1.32 (-1.63 to -1.01)</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-0.35 (-1.57 to 0.87)</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-0.25 (-0.25 to -0.25)</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-0.37 (-1.15 to 0.42)</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0.13 (-0.45 to 0.71)</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-0.25 (-1.42 to 0.92)</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0.50 (0.06 to 0.94)</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0.37 (-0.31 to 1.05)</w:t>
            </w:r>
          </w:p>
        </w:tc>
      </w:tr>
      <w:tr w:rsidR="002727AD" w:rsidRPr="00276F55" w:rsidTr="0095752E">
        <w:trPr>
          <w:cantSplit/>
          <w:trHeight w:val="300"/>
          <w:jc w:val="center"/>
        </w:trPr>
        <w:tc>
          <w:tcPr>
            <w:tcW w:w="1288"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Male</w:t>
            </w:r>
          </w:p>
        </w:tc>
        <w:tc>
          <w:tcPr>
            <w:tcW w:w="1113" w:type="dxa"/>
            <w:noWrap/>
            <w:hideMark/>
          </w:tcPr>
          <w:p w:rsidR="002727AD" w:rsidRPr="00276F55" w:rsidRDefault="002727AD" w:rsidP="005468BE">
            <w:pPr>
              <w:rPr>
                <w:rFonts w:ascii="Calibri" w:eastAsia="Calibri" w:hAnsi="Calibri" w:cs="Times New Roman"/>
                <w:sz w:val="18"/>
                <w:szCs w:val="18"/>
              </w:rPr>
            </w:pPr>
          </w:p>
        </w:tc>
        <w:tc>
          <w:tcPr>
            <w:tcW w:w="852" w:type="dxa"/>
            <w:noWrap/>
            <w:hideMark/>
          </w:tcPr>
          <w:p w:rsidR="002727AD" w:rsidRPr="00276F55" w:rsidRDefault="002727AD" w:rsidP="005468BE">
            <w:pPr>
              <w:rPr>
                <w:rFonts w:ascii="Calibri" w:eastAsia="Calibri" w:hAnsi="Calibri" w:cs="Times New Roman"/>
                <w:sz w:val="18"/>
                <w:szCs w:val="18"/>
              </w:rPr>
            </w:pPr>
          </w:p>
        </w:tc>
        <w:tc>
          <w:tcPr>
            <w:tcW w:w="960" w:type="dxa"/>
            <w:noWrap/>
            <w:hideMark/>
          </w:tcPr>
          <w:p w:rsidR="002727AD" w:rsidRPr="00276F55" w:rsidRDefault="002727AD" w:rsidP="005468BE">
            <w:pPr>
              <w:rPr>
                <w:rFonts w:ascii="Calibri" w:eastAsia="Calibri" w:hAnsi="Calibri" w:cs="Times New Roman"/>
                <w:sz w:val="18"/>
                <w:szCs w:val="18"/>
              </w:rPr>
            </w:pPr>
          </w:p>
        </w:tc>
        <w:tc>
          <w:tcPr>
            <w:tcW w:w="975" w:type="dxa"/>
            <w:noWrap/>
            <w:hideMark/>
          </w:tcPr>
          <w:p w:rsidR="002727AD" w:rsidRPr="00276F55" w:rsidRDefault="002727AD" w:rsidP="005468BE">
            <w:pPr>
              <w:rPr>
                <w:rFonts w:ascii="Calibri" w:eastAsia="Calibri" w:hAnsi="Calibri" w:cs="Times New Roman"/>
                <w:sz w:val="18"/>
                <w:szCs w:val="18"/>
              </w:rPr>
            </w:pPr>
          </w:p>
        </w:tc>
        <w:tc>
          <w:tcPr>
            <w:tcW w:w="975" w:type="dxa"/>
            <w:noWrap/>
            <w:hideMark/>
          </w:tcPr>
          <w:p w:rsidR="002727AD" w:rsidRPr="00276F55" w:rsidRDefault="002727AD" w:rsidP="005468BE">
            <w:pPr>
              <w:rPr>
                <w:rFonts w:ascii="Calibri" w:eastAsia="Calibri" w:hAnsi="Calibri" w:cs="Times New Roman"/>
                <w:sz w:val="18"/>
                <w:szCs w:val="18"/>
              </w:rPr>
            </w:pPr>
          </w:p>
        </w:tc>
        <w:tc>
          <w:tcPr>
            <w:tcW w:w="975" w:type="dxa"/>
            <w:noWrap/>
            <w:hideMark/>
          </w:tcPr>
          <w:p w:rsidR="002727AD" w:rsidRPr="00276F55" w:rsidRDefault="002727AD" w:rsidP="005468BE">
            <w:pPr>
              <w:rPr>
                <w:rFonts w:ascii="Calibri" w:eastAsia="Calibri" w:hAnsi="Calibri" w:cs="Times New Roman"/>
                <w:sz w:val="18"/>
                <w:szCs w:val="18"/>
              </w:rPr>
            </w:pPr>
          </w:p>
        </w:tc>
        <w:tc>
          <w:tcPr>
            <w:tcW w:w="974" w:type="dxa"/>
            <w:noWrap/>
            <w:hideMark/>
          </w:tcPr>
          <w:p w:rsidR="002727AD" w:rsidRPr="00276F55" w:rsidRDefault="002727AD" w:rsidP="005468BE">
            <w:pPr>
              <w:rPr>
                <w:rFonts w:ascii="Calibri" w:eastAsia="Calibri" w:hAnsi="Calibri" w:cs="Times New Roman"/>
                <w:sz w:val="18"/>
                <w:szCs w:val="18"/>
              </w:rPr>
            </w:pPr>
          </w:p>
        </w:tc>
        <w:tc>
          <w:tcPr>
            <w:tcW w:w="974" w:type="dxa"/>
            <w:noWrap/>
            <w:hideMark/>
          </w:tcPr>
          <w:p w:rsidR="002727AD" w:rsidRPr="00276F55" w:rsidRDefault="002727AD" w:rsidP="005468BE">
            <w:pPr>
              <w:rPr>
                <w:rFonts w:ascii="Calibri" w:eastAsia="Calibri" w:hAnsi="Calibri" w:cs="Times New Roman"/>
                <w:sz w:val="18"/>
                <w:szCs w:val="18"/>
              </w:rPr>
            </w:pPr>
          </w:p>
        </w:tc>
        <w:tc>
          <w:tcPr>
            <w:tcW w:w="925" w:type="dxa"/>
            <w:noWrap/>
            <w:hideMark/>
          </w:tcPr>
          <w:p w:rsidR="002727AD" w:rsidRPr="00276F55" w:rsidRDefault="002727AD" w:rsidP="005468BE">
            <w:pPr>
              <w:rPr>
                <w:rFonts w:ascii="Calibri" w:eastAsia="Calibri" w:hAnsi="Calibri" w:cs="Times New Roman"/>
                <w:sz w:val="18"/>
                <w:szCs w:val="18"/>
              </w:rPr>
            </w:pPr>
          </w:p>
        </w:tc>
      </w:tr>
      <w:tr w:rsidR="002727AD" w:rsidRPr="00276F55" w:rsidTr="0095752E">
        <w:trPr>
          <w:cantSplit/>
          <w:trHeight w:val="300"/>
          <w:jc w:val="center"/>
        </w:trPr>
        <w:tc>
          <w:tcPr>
            <w:tcW w:w="1288"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GA (weeks)</w:t>
            </w:r>
          </w:p>
        </w:tc>
        <w:tc>
          <w:tcPr>
            <w:tcW w:w="1113"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23</w:t>
            </w:r>
          </w:p>
        </w:tc>
        <w:tc>
          <w:tcPr>
            <w:tcW w:w="852"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24</w:t>
            </w:r>
          </w:p>
        </w:tc>
        <w:tc>
          <w:tcPr>
            <w:tcW w:w="960"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25</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26</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27</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28</w:t>
            </w:r>
          </w:p>
        </w:tc>
        <w:tc>
          <w:tcPr>
            <w:tcW w:w="97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29</w:t>
            </w:r>
          </w:p>
        </w:tc>
        <w:tc>
          <w:tcPr>
            <w:tcW w:w="97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30</w:t>
            </w:r>
          </w:p>
        </w:tc>
        <w:tc>
          <w:tcPr>
            <w:tcW w:w="92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31</w:t>
            </w:r>
          </w:p>
        </w:tc>
      </w:tr>
      <w:tr w:rsidR="002727AD" w:rsidRPr="00276F55" w:rsidTr="0095752E">
        <w:trPr>
          <w:cantSplit/>
          <w:trHeight w:val="300"/>
          <w:jc w:val="center"/>
        </w:trPr>
        <w:tc>
          <w:tcPr>
            <w:tcW w:w="1288"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Birth</w:t>
            </w:r>
          </w:p>
        </w:tc>
        <w:tc>
          <w:tcPr>
            <w:tcW w:w="1113"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-1.35 </w:t>
            </w: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-0.64 </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0.07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0.16 </w:t>
            </w:r>
          </w:p>
        </w:tc>
        <w:tc>
          <w:tcPr>
            <w:tcW w:w="975"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-0.92</w:t>
            </w:r>
          </w:p>
        </w:tc>
        <w:tc>
          <w:tcPr>
            <w:tcW w:w="975"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-1.48</w:t>
            </w:r>
          </w:p>
        </w:tc>
        <w:tc>
          <w:tcPr>
            <w:tcW w:w="974"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-0.96</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-0.26 </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-1.49 </w:t>
            </w:r>
          </w:p>
        </w:tc>
      </w:tr>
      <w:tr w:rsidR="002727AD" w:rsidRPr="00276F55" w:rsidTr="0095752E">
        <w:trPr>
          <w:cantSplit/>
          <w:trHeight w:val="300"/>
          <w:jc w:val="center"/>
        </w:trPr>
        <w:tc>
          <w:tcPr>
            <w:tcW w:w="1288"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36 weeks</w:t>
            </w:r>
          </w:p>
        </w:tc>
        <w:tc>
          <w:tcPr>
            <w:tcW w:w="1113"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-2.38 </w:t>
            </w: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-0.20 </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-1.39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-0.32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-0.18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-1.04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-0.21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-0.23 </w:t>
            </w:r>
          </w:p>
        </w:tc>
        <w:tc>
          <w:tcPr>
            <w:tcW w:w="925"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-0.79</w:t>
            </w:r>
          </w:p>
        </w:tc>
      </w:tr>
      <w:tr w:rsidR="002727AD" w:rsidRPr="00276F55" w:rsidTr="0095752E">
        <w:trPr>
          <w:cantSplit/>
          <w:trHeight w:val="300"/>
          <w:jc w:val="center"/>
        </w:trPr>
        <w:tc>
          <w:tcPr>
            <w:tcW w:w="1288"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SDS Change</w:t>
            </w:r>
          </w:p>
        </w:tc>
        <w:tc>
          <w:tcPr>
            <w:tcW w:w="1113"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-1.03 (-1.03 to -1.03)</w:t>
            </w: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0.44 (-0.89 to 1.78)</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-1.45 (-2.40 to -0.51)</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-0.63 (-1.66 to 0.40)</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0.75 (0.40 to 1.09)</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0.44 (-0.06 to 0.94)</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0.75 (0.38 to 1.12)</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0.03 (-0.64 to 0.69)</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0.70 (-0.20 to 1.59)</w:t>
            </w:r>
          </w:p>
        </w:tc>
      </w:tr>
    </w:tbl>
    <w:p w:rsidR="0006686E" w:rsidRDefault="0006686E"/>
    <w:p w:rsidR="0006686E" w:rsidRDefault="0006686E"/>
    <w:tbl>
      <w:tblPr>
        <w:tblStyle w:val="TableGrid11"/>
        <w:tblW w:w="10011" w:type="dxa"/>
        <w:jc w:val="center"/>
        <w:tblLook w:val="04A0" w:firstRow="1" w:lastRow="0" w:firstColumn="1" w:lastColumn="0" w:noHBand="0" w:noVBand="1"/>
      </w:tblPr>
      <w:tblGrid>
        <w:gridCol w:w="1288"/>
        <w:gridCol w:w="1113"/>
        <w:gridCol w:w="852"/>
        <w:gridCol w:w="960"/>
        <w:gridCol w:w="975"/>
        <w:gridCol w:w="975"/>
        <w:gridCol w:w="975"/>
        <w:gridCol w:w="974"/>
        <w:gridCol w:w="974"/>
        <w:gridCol w:w="925"/>
      </w:tblGrid>
      <w:tr w:rsidR="002727AD" w:rsidRPr="00276F55" w:rsidTr="001859F2">
        <w:trPr>
          <w:cantSplit/>
          <w:trHeight w:val="964"/>
          <w:jc w:val="center"/>
        </w:trPr>
        <w:tc>
          <w:tcPr>
            <w:tcW w:w="10011" w:type="dxa"/>
            <w:gridSpan w:val="10"/>
            <w:tcBorders>
              <w:top w:val="nil"/>
              <w:left w:val="nil"/>
              <w:bottom w:val="single" w:sz="4" w:space="0" w:color="auto"/>
              <w:right w:val="nil"/>
            </w:tcBorders>
            <w:noWrap/>
          </w:tcPr>
          <w:bookmarkEnd w:id="4"/>
          <w:p w:rsidR="002727AD" w:rsidRPr="00276F55" w:rsidRDefault="002727AD" w:rsidP="001859F2">
            <w:pPr>
              <w:rPr>
                <w:rFonts w:ascii="Calibri" w:eastAsia="Calibri" w:hAnsi="Calibri" w:cs="Times New Roman"/>
                <w:sz w:val="18"/>
                <w:szCs w:val="18"/>
              </w:rPr>
            </w:pPr>
            <w:r w:rsidRPr="00276F55">
              <w:rPr>
                <w:rFonts w:ascii="Calibri Light" w:eastAsia="Calibri" w:hAnsi="Calibri Light" w:cs="Times New Roman"/>
                <w:sz w:val="24"/>
                <w:szCs w:val="24"/>
              </w:rPr>
              <w:lastRenderedPageBreak/>
              <w:t>Table 4: Length SDS at birth (or 25 weeks), 36 weeks postmenstrual age and change in SDS</w:t>
            </w:r>
            <w:r w:rsidR="0006686E">
              <w:rPr>
                <w:rFonts w:ascii="Calibri Light" w:eastAsia="Calibri" w:hAnsi="Calibri Light" w:cs="Times New Roman"/>
                <w:sz w:val="24"/>
                <w:szCs w:val="24"/>
              </w:rPr>
              <w:t xml:space="preserve"> (95% CI)</w:t>
            </w:r>
            <w:r w:rsidRPr="00276F55">
              <w:rPr>
                <w:rFonts w:ascii="Calibri Light" w:eastAsia="Calibri" w:hAnsi="Calibri Light" w:cs="Times New Roman"/>
                <w:sz w:val="24"/>
                <w:szCs w:val="24"/>
              </w:rPr>
              <w:t xml:space="preserve"> from birth to 36 weeks postmenstrual age for all infants, female only and male only infants. Only infants who were still inpatient at 36 weeks PMA and beyond are included in this analysis</w:t>
            </w:r>
          </w:p>
        </w:tc>
      </w:tr>
      <w:tr w:rsidR="002727AD" w:rsidRPr="00276F55" w:rsidTr="005468BE">
        <w:trPr>
          <w:cantSplit/>
          <w:trHeight w:val="300"/>
          <w:jc w:val="center"/>
        </w:trPr>
        <w:tc>
          <w:tcPr>
            <w:tcW w:w="1288" w:type="dxa"/>
            <w:tcBorders>
              <w:top w:val="single" w:sz="4" w:space="0" w:color="auto"/>
            </w:tcBorders>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Length</w:t>
            </w:r>
          </w:p>
        </w:tc>
        <w:tc>
          <w:tcPr>
            <w:tcW w:w="8723" w:type="dxa"/>
            <w:gridSpan w:val="9"/>
            <w:tcBorders>
              <w:top w:val="single" w:sz="4" w:space="0" w:color="auto"/>
            </w:tcBorders>
            <w:noWrap/>
          </w:tcPr>
          <w:p w:rsidR="002727AD" w:rsidRPr="00276F55" w:rsidRDefault="002727AD" w:rsidP="005468BE">
            <w:pPr>
              <w:jc w:val="center"/>
              <w:rPr>
                <w:rFonts w:ascii="Calibri" w:eastAsia="Calibri" w:hAnsi="Calibri" w:cs="Times New Roman"/>
                <w:sz w:val="18"/>
                <w:szCs w:val="18"/>
              </w:rPr>
            </w:pPr>
            <w:r w:rsidRPr="00276F55">
              <w:rPr>
                <w:rFonts w:ascii="Calibri" w:eastAsia="Calibri" w:hAnsi="Calibri" w:cs="Times New Roman"/>
                <w:sz w:val="18"/>
                <w:szCs w:val="18"/>
              </w:rPr>
              <w:t>SD Scores (-/+95%CI)</w:t>
            </w:r>
          </w:p>
        </w:tc>
      </w:tr>
      <w:tr w:rsidR="002727AD" w:rsidRPr="00276F55" w:rsidTr="005468BE">
        <w:trPr>
          <w:cantSplit/>
          <w:trHeight w:val="300"/>
          <w:jc w:val="center"/>
        </w:trPr>
        <w:tc>
          <w:tcPr>
            <w:tcW w:w="1288" w:type="dxa"/>
            <w:tcBorders>
              <w:top w:val="single" w:sz="4" w:space="0" w:color="auto"/>
            </w:tcBorders>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Male and Female</w:t>
            </w:r>
          </w:p>
        </w:tc>
        <w:tc>
          <w:tcPr>
            <w:tcW w:w="8723" w:type="dxa"/>
            <w:gridSpan w:val="9"/>
            <w:tcBorders>
              <w:top w:val="single" w:sz="4" w:space="0" w:color="auto"/>
            </w:tcBorders>
            <w:noWrap/>
          </w:tcPr>
          <w:p w:rsidR="002727AD" w:rsidRPr="00276F55" w:rsidRDefault="002727AD" w:rsidP="005468BE">
            <w:pPr>
              <w:jc w:val="center"/>
              <w:rPr>
                <w:rFonts w:ascii="Calibri" w:eastAsia="Calibri" w:hAnsi="Calibri" w:cs="Times New Roman"/>
                <w:sz w:val="18"/>
                <w:szCs w:val="18"/>
              </w:rPr>
            </w:pPr>
          </w:p>
        </w:tc>
      </w:tr>
      <w:tr w:rsidR="002727AD" w:rsidRPr="00276F55" w:rsidTr="005468BE">
        <w:trPr>
          <w:cantSplit/>
          <w:trHeight w:val="300"/>
          <w:jc w:val="center"/>
        </w:trPr>
        <w:tc>
          <w:tcPr>
            <w:tcW w:w="1288"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GA (weeks)</w:t>
            </w:r>
          </w:p>
        </w:tc>
        <w:tc>
          <w:tcPr>
            <w:tcW w:w="1113"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23</w:t>
            </w:r>
          </w:p>
        </w:tc>
        <w:tc>
          <w:tcPr>
            <w:tcW w:w="852"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24</w:t>
            </w:r>
          </w:p>
        </w:tc>
        <w:tc>
          <w:tcPr>
            <w:tcW w:w="960"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25</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26</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27</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28</w:t>
            </w:r>
          </w:p>
        </w:tc>
        <w:tc>
          <w:tcPr>
            <w:tcW w:w="97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29</w:t>
            </w:r>
          </w:p>
        </w:tc>
        <w:tc>
          <w:tcPr>
            <w:tcW w:w="97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30</w:t>
            </w:r>
          </w:p>
        </w:tc>
        <w:tc>
          <w:tcPr>
            <w:tcW w:w="92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31</w:t>
            </w:r>
          </w:p>
        </w:tc>
      </w:tr>
      <w:tr w:rsidR="002727AD" w:rsidRPr="00276F55" w:rsidTr="005468BE">
        <w:trPr>
          <w:cantSplit/>
          <w:trHeight w:val="300"/>
          <w:jc w:val="center"/>
        </w:trPr>
        <w:tc>
          <w:tcPr>
            <w:tcW w:w="1288"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Birth (or 25 weeks)</w:t>
            </w:r>
          </w:p>
        </w:tc>
        <w:tc>
          <w:tcPr>
            <w:tcW w:w="1113" w:type="dxa"/>
            <w:noWrap/>
          </w:tcPr>
          <w:p w:rsidR="002727AD" w:rsidRPr="00276F55" w:rsidRDefault="002727AD" w:rsidP="005468BE">
            <w:pPr>
              <w:rPr>
                <w:rFonts w:ascii="Calibri" w:eastAsia="Calibri" w:hAnsi="Calibri" w:cs="Times New Roman"/>
                <w:sz w:val="18"/>
                <w:szCs w:val="18"/>
              </w:rPr>
            </w:pPr>
            <w:r>
              <w:rPr>
                <w:rFonts w:ascii="Calibri" w:eastAsia="Calibri" w:hAnsi="Calibri" w:cs="Times New Roman"/>
                <w:sz w:val="18"/>
                <w:szCs w:val="18"/>
              </w:rPr>
              <w:t xml:space="preserve">-1.09 </w:t>
            </w: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-1.07 </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-1.04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-0.69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-0.92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-1.33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-0.92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-1.25 </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-1.06 </w:t>
            </w:r>
          </w:p>
        </w:tc>
      </w:tr>
      <w:tr w:rsidR="002727AD" w:rsidRPr="00276F55" w:rsidTr="005468BE">
        <w:trPr>
          <w:cantSplit/>
          <w:trHeight w:val="300"/>
          <w:jc w:val="center"/>
        </w:trPr>
        <w:tc>
          <w:tcPr>
            <w:tcW w:w="1288"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36 weeks</w:t>
            </w:r>
          </w:p>
        </w:tc>
        <w:tc>
          <w:tcPr>
            <w:tcW w:w="1113"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-1.70 </w:t>
            </w: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-1.10 </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-1.87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-1.40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-1.30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-1.52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-1.32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-1.81 </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-1.87 </w:t>
            </w:r>
          </w:p>
        </w:tc>
      </w:tr>
      <w:tr w:rsidR="002727AD" w:rsidRPr="00276F55" w:rsidTr="005468BE">
        <w:trPr>
          <w:cantSplit/>
          <w:trHeight w:val="300"/>
          <w:jc w:val="center"/>
        </w:trPr>
        <w:tc>
          <w:tcPr>
            <w:tcW w:w="1288"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SDS Change</w:t>
            </w:r>
          </w:p>
        </w:tc>
        <w:tc>
          <w:tcPr>
            <w:tcW w:w="1113"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-0.61</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(-1.23 to 0.02)</w:t>
            </w: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-0.04</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(-0.55 to 0.48)</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-0.83 (-1.56 to -0.10)</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-0.71</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(-1.37 to   -0.05)</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-0.38</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(-1.03 to 0.27)</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-0.19</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(-0.53 to 0.14)</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-0.40</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(-0.82 to 0.02)</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-0.56</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(-0.99 to   -0.13)</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-0.81</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(-1.32 to -0.31)</w:t>
            </w:r>
          </w:p>
        </w:tc>
      </w:tr>
      <w:tr w:rsidR="002727AD" w:rsidRPr="00276F55" w:rsidTr="005468BE">
        <w:trPr>
          <w:cantSplit/>
          <w:trHeight w:val="300"/>
          <w:jc w:val="center"/>
        </w:trPr>
        <w:tc>
          <w:tcPr>
            <w:tcW w:w="1288"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Female</w:t>
            </w:r>
          </w:p>
        </w:tc>
        <w:tc>
          <w:tcPr>
            <w:tcW w:w="1113" w:type="dxa"/>
            <w:noWrap/>
          </w:tcPr>
          <w:p w:rsidR="002727AD" w:rsidRPr="00276F55" w:rsidRDefault="002727AD" w:rsidP="005468BE">
            <w:pPr>
              <w:rPr>
                <w:rFonts w:ascii="Calibri" w:eastAsia="Calibri" w:hAnsi="Calibri" w:cs="Times New Roman"/>
                <w:sz w:val="18"/>
                <w:szCs w:val="18"/>
              </w:rPr>
            </w:pPr>
          </w:p>
        </w:tc>
        <w:tc>
          <w:tcPr>
            <w:tcW w:w="852" w:type="dxa"/>
            <w:noWrap/>
          </w:tcPr>
          <w:p w:rsidR="002727AD" w:rsidRPr="00276F55" w:rsidRDefault="002727AD" w:rsidP="005468BE">
            <w:pPr>
              <w:rPr>
                <w:rFonts w:ascii="Calibri" w:eastAsia="Calibri" w:hAnsi="Calibri" w:cs="Times New Roman"/>
                <w:sz w:val="18"/>
                <w:szCs w:val="18"/>
              </w:rPr>
            </w:pPr>
          </w:p>
        </w:tc>
        <w:tc>
          <w:tcPr>
            <w:tcW w:w="960" w:type="dxa"/>
            <w:noWrap/>
          </w:tcPr>
          <w:p w:rsidR="002727AD" w:rsidRPr="00276F55" w:rsidRDefault="002727AD" w:rsidP="005468BE">
            <w:pPr>
              <w:rPr>
                <w:rFonts w:ascii="Calibri" w:eastAsia="Calibri" w:hAnsi="Calibri" w:cs="Times New Roman"/>
                <w:sz w:val="18"/>
                <w:szCs w:val="18"/>
              </w:rPr>
            </w:pPr>
          </w:p>
        </w:tc>
        <w:tc>
          <w:tcPr>
            <w:tcW w:w="975" w:type="dxa"/>
            <w:noWrap/>
          </w:tcPr>
          <w:p w:rsidR="002727AD" w:rsidRPr="00276F55" w:rsidRDefault="002727AD" w:rsidP="005468BE">
            <w:pPr>
              <w:rPr>
                <w:rFonts w:ascii="Calibri" w:eastAsia="Calibri" w:hAnsi="Calibri" w:cs="Times New Roman"/>
                <w:sz w:val="18"/>
                <w:szCs w:val="18"/>
              </w:rPr>
            </w:pPr>
          </w:p>
        </w:tc>
        <w:tc>
          <w:tcPr>
            <w:tcW w:w="975" w:type="dxa"/>
            <w:noWrap/>
          </w:tcPr>
          <w:p w:rsidR="002727AD" w:rsidRPr="00276F55" w:rsidRDefault="002727AD" w:rsidP="005468BE">
            <w:pPr>
              <w:rPr>
                <w:rFonts w:ascii="Calibri" w:eastAsia="Calibri" w:hAnsi="Calibri" w:cs="Times New Roman"/>
                <w:sz w:val="18"/>
                <w:szCs w:val="18"/>
              </w:rPr>
            </w:pPr>
          </w:p>
        </w:tc>
        <w:tc>
          <w:tcPr>
            <w:tcW w:w="975" w:type="dxa"/>
            <w:noWrap/>
          </w:tcPr>
          <w:p w:rsidR="002727AD" w:rsidRPr="00276F55" w:rsidRDefault="002727AD" w:rsidP="005468BE">
            <w:pPr>
              <w:rPr>
                <w:rFonts w:ascii="Calibri" w:eastAsia="Calibri" w:hAnsi="Calibri" w:cs="Times New Roman"/>
                <w:sz w:val="18"/>
                <w:szCs w:val="18"/>
              </w:rPr>
            </w:pPr>
          </w:p>
        </w:tc>
        <w:tc>
          <w:tcPr>
            <w:tcW w:w="974" w:type="dxa"/>
            <w:noWrap/>
          </w:tcPr>
          <w:p w:rsidR="002727AD" w:rsidRPr="00276F55" w:rsidRDefault="002727AD" w:rsidP="005468BE">
            <w:pPr>
              <w:rPr>
                <w:rFonts w:ascii="Calibri" w:eastAsia="Calibri" w:hAnsi="Calibri" w:cs="Times New Roman"/>
                <w:sz w:val="18"/>
                <w:szCs w:val="18"/>
              </w:rPr>
            </w:pPr>
          </w:p>
        </w:tc>
        <w:tc>
          <w:tcPr>
            <w:tcW w:w="974" w:type="dxa"/>
            <w:noWrap/>
          </w:tcPr>
          <w:p w:rsidR="002727AD" w:rsidRPr="00276F55" w:rsidRDefault="002727AD" w:rsidP="005468BE">
            <w:pPr>
              <w:rPr>
                <w:rFonts w:ascii="Calibri" w:eastAsia="Calibri" w:hAnsi="Calibri" w:cs="Times New Roman"/>
                <w:sz w:val="18"/>
                <w:szCs w:val="18"/>
              </w:rPr>
            </w:pPr>
          </w:p>
        </w:tc>
        <w:tc>
          <w:tcPr>
            <w:tcW w:w="925" w:type="dxa"/>
            <w:noWrap/>
          </w:tcPr>
          <w:p w:rsidR="002727AD" w:rsidRPr="00276F55" w:rsidRDefault="002727AD" w:rsidP="005468BE">
            <w:pPr>
              <w:rPr>
                <w:rFonts w:ascii="Calibri" w:eastAsia="Calibri" w:hAnsi="Calibri" w:cs="Times New Roman"/>
                <w:sz w:val="18"/>
                <w:szCs w:val="18"/>
              </w:rPr>
            </w:pPr>
          </w:p>
        </w:tc>
      </w:tr>
      <w:tr w:rsidR="002727AD" w:rsidRPr="00276F55" w:rsidTr="005468BE">
        <w:trPr>
          <w:cantSplit/>
          <w:trHeight w:val="300"/>
          <w:jc w:val="center"/>
        </w:trPr>
        <w:tc>
          <w:tcPr>
            <w:tcW w:w="1288"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GA (weeks)</w:t>
            </w:r>
          </w:p>
        </w:tc>
        <w:tc>
          <w:tcPr>
            <w:tcW w:w="1113"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23</w:t>
            </w: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24</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25</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26</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27</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28</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29</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30</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31</w:t>
            </w:r>
          </w:p>
        </w:tc>
      </w:tr>
      <w:tr w:rsidR="002727AD" w:rsidRPr="00276F55" w:rsidTr="005468BE">
        <w:trPr>
          <w:cantSplit/>
          <w:trHeight w:val="300"/>
          <w:jc w:val="center"/>
        </w:trPr>
        <w:tc>
          <w:tcPr>
            <w:tcW w:w="1288"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Birth (or 25 weeks)</w:t>
            </w:r>
          </w:p>
        </w:tc>
        <w:tc>
          <w:tcPr>
            <w:tcW w:w="1113"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-1.09 </w:t>
            </w: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-1.35 </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-1.00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-0.51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-0.73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-1.34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-0.46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-1.63</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-0.98 </w:t>
            </w:r>
          </w:p>
        </w:tc>
      </w:tr>
      <w:tr w:rsidR="002727AD" w:rsidRPr="00276F55" w:rsidTr="005468BE">
        <w:trPr>
          <w:cantSplit/>
          <w:trHeight w:val="300"/>
          <w:jc w:val="center"/>
        </w:trPr>
        <w:tc>
          <w:tcPr>
            <w:tcW w:w="1288"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36 weeks</w:t>
            </w:r>
          </w:p>
        </w:tc>
        <w:tc>
          <w:tcPr>
            <w:tcW w:w="1113"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-1.70 </w:t>
            </w: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-1.56 </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-1.88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-1.09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-1.51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-1.58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-1.26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-2.13 </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-2.37 </w:t>
            </w:r>
          </w:p>
        </w:tc>
      </w:tr>
      <w:tr w:rsidR="002727AD" w:rsidRPr="00276F55" w:rsidTr="005468BE">
        <w:trPr>
          <w:cantSplit/>
          <w:trHeight w:val="300"/>
          <w:jc w:val="center"/>
        </w:trPr>
        <w:tc>
          <w:tcPr>
            <w:tcW w:w="1288"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SDS Change</w:t>
            </w:r>
          </w:p>
        </w:tc>
        <w:tc>
          <w:tcPr>
            <w:tcW w:w="1113"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-0.61 (-1.23 to 0.02)</w:t>
            </w: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-0.22 (-1.04 to 0.61)</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-0.88 (-1.14 to -0.62)</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-0.57 (0.57-0.57)</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-0.79 (-2.19 to 0.61)</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-0.24 (-0.59 to 0.12)</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-0.8</w:t>
            </w:r>
          </w:p>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(-1.46 to -0.15)</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-0.5 (-1.06 to 0.06)</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-1.38 (-1.74 to -1.020</w:t>
            </w:r>
          </w:p>
        </w:tc>
      </w:tr>
      <w:tr w:rsidR="002727AD" w:rsidRPr="00276F55" w:rsidTr="005468BE">
        <w:trPr>
          <w:cantSplit/>
          <w:trHeight w:val="300"/>
          <w:jc w:val="center"/>
        </w:trPr>
        <w:tc>
          <w:tcPr>
            <w:tcW w:w="1288"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Male</w:t>
            </w:r>
          </w:p>
        </w:tc>
        <w:tc>
          <w:tcPr>
            <w:tcW w:w="1113" w:type="dxa"/>
            <w:noWrap/>
            <w:hideMark/>
          </w:tcPr>
          <w:p w:rsidR="002727AD" w:rsidRPr="00276F55" w:rsidRDefault="002727AD" w:rsidP="005468BE">
            <w:pPr>
              <w:rPr>
                <w:rFonts w:ascii="Calibri" w:eastAsia="Calibri" w:hAnsi="Calibri" w:cs="Times New Roman"/>
                <w:sz w:val="18"/>
                <w:szCs w:val="18"/>
              </w:rPr>
            </w:pPr>
          </w:p>
        </w:tc>
        <w:tc>
          <w:tcPr>
            <w:tcW w:w="852" w:type="dxa"/>
            <w:noWrap/>
            <w:hideMark/>
          </w:tcPr>
          <w:p w:rsidR="002727AD" w:rsidRPr="00276F55" w:rsidRDefault="002727AD" w:rsidP="005468BE">
            <w:pPr>
              <w:rPr>
                <w:rFonts w:ascii="Calibri" w:eastAsia="Calibri" w:hAnsi="Calibri" w:cs="Times New Roman"/>
                <w:sz w:val="18"/>
                <w:szCs w:val="18"/>
              </w:rPr>
            </w:pPr>
          </w:p>
        </w:tc>
        <w:tc>
          <w:tcPr>
            <w:tcW w:w="960" w:type="dxa"/>
            <w:noWrap/>
            <w:hideMark/>
          </w:tcPr>
          <w:p w:rsidR="002727AD" w:rsidRPr="00276F55" w:rsidRDefault="002727AD" w:rsidP="005468BE">
            <w:pPr>
              <w:rPr>
                <w:rFonts w:ascii="Calibri" w:eastAsia="Calibri" w:hAnsi="Calibri" w:cs="Times New Roman"/>
                <w:sz w:val="18"/>
                <w:szCs w:val="18"/>
              </w:rPr>
            </w:pPr>
          </w:p>
        </w:tc>
        <w:tc>
          <w:tcPr>
            <w:tcW w:w="975" w:type="dxa"/>
            <w:noWrap/>
            <w:hideMark/>
          </w:tcPr>
          <w:p w:rsidR="002727AD" w:rsidRPr="00276F55" w:rsidRDefault="002727AD" w:rsidP="005468BE">
            <w:pPr>
              <w:rPr>
                <w:rFonts w:ascii="Calibri" w:eastAsia="Calibri" w:hAnsi="Calibri" w:cs="Times New Roman"/>
                <w:sz w:val="18"/>
                <w:szCs w:val="18"/>
              </w:rPr>
            </w:pPr>
          </w:p>
        </w:tc>
        <w:tc>
          <w:tcPr>
            <w:tcW w:w="975" w:type="dxa"/>
            <w:noWrap/>
            <w:hideMark/>
          </w:tcPr>
          <w:p w:rsidR="002727AD" w:rsidRPr="00276F55" w:rsidRDefault="002727AD" w:rsidP="005468BE">
            <w:pPr>
              <w:rPr>
                <w:rFonts w:ascii="Calibri" w:eastAsia="Calibri" w:hAnsi="Calibri" w:cs="Times New Roman"/>
                <w:sz w:val="18"/>
                <w:szCs w:val="18"/>
              </w:rPr>
            </w:pPr>
          </w:p>
        </w:tc>
        <w:tc>
          <w:tcPr>
            <w:tcW w:w="975" w:type="dxa"/>
            <w:noWrap/>
            <w:hideMark/>
          </w:tcPr>
          <w:p w:rsidR="002727AD" w:rsidRPr="00276F55" w:rsidRDefault="002727AD" w:rsidP="005468BE">
            <w:pPr>
              <w:rPr>
                <w:rFonts w:ascii="Calibri" w:eastAsia="Calibri" w:hAnsi="Calibri" w:cs="Times New Roman"/>
                <w:sz w:val="18"/>
                <w:szCs w:val="18"/>
              </w:rPr>
            </w:pPr>
          </w:p>
        </w:tc>
        <w:tc>
          <w:tcPr>
            <w:tcW w:w="974" w:type="dxa"/>
            <w:noWrap/>
            <w:hideMark/>
          </w:tcPr>
          <w:p w:rsidR="002727AD" w:rsidRPr="00276F55" w:rsidRDefault="002727AD" w:rsidP="005468BE">
            <w:pPr>
              <w:rPr>
                <w:rFonts w:ascii="Calibri" w:eastAsia="Calibri" w:hAnsi="Calibri" w:cs="Times New Roman"/>
                <w:sz w:val="18"/>
                <w:szCs w:val="18"/>
              </w:rPr>
            </w:pPr>
          </w:p>
        </w:tc>
        <w:tc>
          <w:tcPr>
            <w:tcW w:w="974" w:type="dxa"/>
            <w:noWrap/>
            <w:hideMark/>
          </w:tcPr>
          <w:p w:rsidR="002727AD" w:rsidRPr="00276F55" w:rsidRDefault="002727AD" w:rsidP="005468BE">
            <w:pPr>
              <w:rPr>
                <w:rFonts w:ascii="Calibri" w:eastAsia="Calibri" w:hAnsi="Calibri" w:cs="Times New Roman"/>
                <w:sz w:val="18"/>
                <w:szCs w:val="18"/>
              </w:rPr>
            </w:pPr>
          </w:p>
        </w:tc>
        <w:tc>
          <w:tcPr>
            <w:tcW w:w="925" w:type="dxa"/>
            <w:noWrap/>
            <w:hideMark/>
          </w:tcPr>
          <w:p w:rsidR="002727AD" w:rsidRPr="00276F55" w:rsidRDefault="002727AD" w:rsidP="005468BE">
            <w:pPr>
              <w:rPr>
                <w:rFonts w:ascii="Calibri" w:eastAsia="Calibri" w:hAnsi="Calibri" w:cs="Times New Roman"/>
                <w:sz w:val="18"/>
                <w:szCs w:val="18"/>
              </w:rPr>
            </w:pPr>
          </w:p>
        </w:tc>
      </w:tr>
      <w:tr w:rsidR="002727AD" w:rsidRPr="00276F55" w:rsidTr="005468BE">
        <w:trPr>
          <w:cantSplit/>
          <w:trHeight w:val="300"/>
          <w:jc w:val="center"/>
        </w:trPr>
        <w:tc>
          <w:tcPr>
            <w:tcW w:w="1288"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GA (weeks)</w:t>
            </w:r>
          </w:p>
        </w:tc>
        <w:tc>
          <w:tcPr>
            <w:tcW w:w="1113"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23</w:t>
            </w:r>
          </w:p>
        </w:tc>
        <w:tc>
          <w:tcPr>
            <w:tcW w:w="852"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24</w:t>
            </w:r>
          </w:p>
        </w:tc>
        <w:tc>
          <w:tcPr>
            <w:tcW w:w="960"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25</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26</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27</w:t>
            </w:r>
          </w:p>
        </w:tc>
        <w:tc>
          <w:tcPr>
            <w:tcW w:w="97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28</w:t>
            </w:r>
          </w:p>
        </w:tc>
        <w:tc>
          <w:tcPr>
            <w:tcW w:w="97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29</w:t>
            </w:r>
          </w:p>
        </w:tc>
        <w:tc>
          <w:tcPr>
            <w:tcW w:w="974"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30</w:t>
            </w:r>
          </w:p>
        </w:tc>
        <w:tc>
          <w:tcPr>
            <w:tcW w:w="925"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31</w:t>
            </w:r>
          </w:p>
        </w:tc>
      </w:tr>
      <w:tr w:rsidR="002727AD" w:rsidRPr="00276F55" w:rsidTr="005468BE">
        <w:trPr>
          <w:cantSplit/>
          <w:trHeight w:val="300"/>
          <w:jc w:val="center"/>
        </w:trPr>
        <w:tc>
          <w:tcPr>
            <w:tcW w:w="1288"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Birth (or 25 weeks)</w:t>
            </w:r>
          </w:p>
        </w:tc>
        <w:tc>
          <w:tcPr>
            <w:tcW w:w="1113" w:type="dxa"/>
            <w:noWrap/>
          </w:tcPr>
          <w:p w:rsidR="002727AD" w:rsidRPr="00276F55" w:rsidRDefault="002727AD" w:rsidP="005468BE">
            <w:pPr>
              <w:rPr>
                <w:rFonts w:ascii="Calibri" w:eastAsia="Calibri" w:hAnsi="Calibri" w:cs="Times New Roman"/>
                <w:sz w:val="18"/>
                <w:szCs w:val="18"/>
              </w:rPr>
            </w:pP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-0.64 </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-1.08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-0.73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-0.99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-1.32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-1.05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-0.78  </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-1.15 </w:t>
            </w:r>
          </w:p>
        </w:tc>
      </w:tr>
      <w:tr w:rsidR="002727AD" w:rsidRPr="00276F55" w:rsidTr="005468BE">
        <w:trPr>
          <w:cantSplit/>
          <w:trHeight w:val="300"/>
          <w:jc w:val="center"/>
        </w:trPr>
        <w:tc>
          <w:tcPr>
            <w:tcW w:w="1288"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36 weeks</w:t>
            </w:r>
          </w:p>
        </w:tc>
        <w:tc>
          <w:tcPr>
            <w:tcW w:w="1113" w:type="dxa"/>
            <w:noWrap/>
          </w:tcPr>
          <w:p w:rsidR="002727AD" w:rsidRPr="00276F55" w:rsidRDefault="002727AD" w:rsidP="005468BE">
            <w:pPr>
              <w:rPr>
                <w:rFonts w:ascii="Calibri" w:eastAsia="Calibri" w:hAnsi="Calibri" w:cs="Times New Roman"/>
                <w:sz w:val="18"/>
                <w:szCs w:val="18"/>
              </w:rPr>
            </w:pP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-0.42 </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-1.87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-1.48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-1.21 </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-1.47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-1.34 </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-1.42 </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 xml:space="preserve">-1.28 </w:t>
            </w:r>
          </w:p>
        </w:tc>
      </w:tr>
      <w:tr w:rsidR="002727AD" w:rsidRPr="00276F55" w:rsidTr="005468BE">
        <w:trPr>
          <w:cantSplit/>
          <w:trHeight w:val="300"/>
          <w:jc w:val="center"/>
        </w:trPr>
        <w:tc>
          <w:tcPr>
            <w:tcW w:w="1288" w:type="dxa"/>
            <w:noWrap/>
            <w:hideMark/>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SDS Change</w:t>
            </w:r>
          </w:p>
        </w:tc>
        <w:tc>
          <w:tcPr>
            <w:tcW w:w="1113" w:type="dxa"/>
            <w:noWrap/>
          </w:tcPr>
          <w:p w:rsidR="002727AD" w:rsidRPr="00276F55" w:rsidRDefault="002727AD" w:rsidP="005468BE">
            <w:pPr>
              <w:rPr>
                <w:rFonts w:ascii="Calibri" w:eastAsia="Calibri" w:hAnsi="Calibri" w:cs="Times New Roman"/>
                <w:sz w:val="18"/>
                <w:szCs w:val="18"/>
              </w:rPr>
            </w:pPr>
          </w:p>
        </w:tc>
        <w:tc>
          <w:tcPr>
            <w:tcW w:w="852"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0.23 (-0.05 to 0.50)</w:t>
            </w:r>
          </w:p>
        </w:tc>
        <w:tc>
          <w:tcPr>
            <w:tcW w:w="960"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-0.78 (-2.22 to 0.65)</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-0.75 (-1.80 to 0.31)</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-0.22 (-0.87 to 0.44)</w:t>
            </w:r>
          </w:p>
        </w:tc>
        <w:tc>
          <w:tcPr>
            <w:tcW w:w="97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-0.15 (-0.67 to 0.38)</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-0.29 (-0.79 to 0.20)</w:t>
            </w:r>
          </w:p>
        </w:tc>
        <w:tc>
          <w:tcPr>
            <w:tcW w:w="974"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-0.64 (-1.24 to -0.03)</w:t>
            </w:r>
          </w:p>
        </w:tc>
        <w:tc>
          <w:tcPr>
            <w:tcW w:w="925" w:type="dxa"/>
            <w:noWrap/>
          </w:tcPr>
          <w:p w:rsidR="002727AD" w:rsidRPr="00276F55" w:rsidRDefault="002727AD" w:rsidP="005468BE">
            <w:pPr>
              <w:rPr>
                <w:rFonts w:ascii="Calibri" w:eastAsia="Calibri" w:hAnsi="Calibri" w:cs="Times New Roman"/>
                <w:sz w:val="18"/>
                <w:szCs w:val="18"/>
              </w:rPr>
            </w:pPr>
            <w:r w:rsidRPr="00276F55">
              <w:rPr>
                <w:rFonts w:ascii="Calibri" w:eastAsia="Calibri" w:hAnsi="Calibri" w:cs="Times New Roman"/>
                <w:sz w:val="18"/>
                <w:szCs w:val="18"/>
              </w:rPr>
              <w:t>-0.12 (-0.64 to 0.40)</w:t>
            </w:r>
          </w:p>
        </w:tc>
      </w:tr>
    </w:tbl>
    <w:p w:rsidR="00090398" w:rsidRDefault="00090398" w:rsidP="009E2DF4">
      <w:pPr>
        <w:spacing w:line="480" w:lineRule="auto"/>
        <w:rPr>
          <w:rFonts w:asciiTheme="majorHAnsi" w:hAnsiTheme="majorHAnsi" w:cs="Times New Roman"/>
          <w:b/>
          <w:sz w:val="24"/>
          <w:szCs w:val="24"/>
        </w:rPr>
      </w:pPr>
    </w:p>
    <w:p w:rsidR="004E41B5" w:rsidRDefault="004E41B5">
      <w:pPr>
        <w:rPr>
          <w:rFonts w:asciiTheme="majorHAnsi" w:hAnsiTheme="majorHAnsi" w:cs="Times New Roman"/>
          <w:b/>
          <w:sz w:val="24"/>
          <w:szCs w:val="24"/>
        </w:rPr>
      </w:pPr>
      <w:r>
        <w:rPr>
          <w:rFonts w:asciiTheme="majorHAnsi" w:hAnsiTheme="majorHAnsi" w:cs="Times New Roman"/>
          <w:b/>
          <w:sz w:val="24"/>
          <w:szCs w:val="24"/>
        </w:rPr>
        <w:br w:type="page"/>
      </w:r>
    </w:p>
    <w:p w:rsidR="009E34E0" w:rsidRPr="009622E6" w:rsidRDefault="009E34E0" w:rsidP="009E2DF4">
      <w:pPr>
        <w:spacing w:line="480" w:lineRule="auto"/>
        <w:rPr>
          <w:rFonts w:asciiTheme="majorHAnsi" w:hAnsiTheme="majorHAnsi" w:cs="Times New Roman"/>
          <w:b/>
          <w:sz w:val="24"/>
          <w:szCs w:val="24"/>
        </w:rPr>
      </w:pPr>
      <w:r w:rsidRPr="009622E6">
        <w:rPr>
          <w:rFonts w:asciiTheme="majorHAnsi" w:hAnsiTheme="majorHAnsi" w:cs="Times New Roman"/>
          <w:b/>
          <w:sz w:val="24"/>
          <w:szCs w:val="24"/>
        </w:rPr>
        <w:lastRenderedPageBreak/>
        <w:t>D</w:t>
      </w:r>
      <w:r w:rsidR="004E41B5">
        <w:rPr>
          <w:rFonts w:asciiTheme="majorHAnsi" w:hAnsiTheme="majorHAnsi" w:cs="Times New Roman"/>
          <w:b/>
          <w:sz w:val="24"/>
          <w:szCs w:val="24"/>
        </w:rPr>
        <w:t>ISCUSSION</w:t>
      </w:r>
      <w:r w:rsidRPr="009622E6">
        <w:rPr>
          <w:rFonts w:asciiTheme="majorHAnsi" w:hAnsiTheme="majorHAnsi" w:cs="Times New Roman"/>
          <w:b/>
          <w:sz w:val="24"/>
          <w:szCs w:val="24"/>
        </w:rPr>
        <w:t>:</w:t>
      </w:r>
      <w:r w:rsidR="00050B73" w:rsidRPr="009622E6">
        <w:rPr>
          <w:rFonts w:asciiTheme="majorHAnsi" w:hAnsiTheme="majorHAnsi" w:cs="Times New Roman"/>
          <w:b/>
          <w:sz w:val="24"/>
          <w:szCs w:val="24"/>
        </w:rPr>
        <w:t xml:space="preserve"> </w:t>
      </w:r>
    </w:p>
    <w:p w:rsidR="009516DE" w:rsidRPr="009622E6" w:rsidRDefault="004379C9" w:rsidP="009E2DF4">
      <w:pPr>
        <w:spacing w:line="480" w:lineRule="auto"/>
        <w:rPr>
          <w:rFonts w:asciiTheme="majorHAnsi" w:hAnsiTheme="majorHAnsi" w:cs="Times New Roman"/>
          <w:sz w:val="24"/>
          <w:szCs w:val="24"/>
        </w:rPr>
      </w:pPr>
      <w:r w:rsidRPr="009622E6">
        <w:rPr>
          <w:rFonts w:asciiTheme="majorHAnsi" w:hAnsiTheme="majorHAnsi" w:cs="Times New Roman"/>
          <w:sz w:val="24"/>
          <w:szCs w:val="24"/>
        </w:rPr>
        <w:t>This study demonstrates</w:t>
      </w:r>
      <w:r w:rsidR="00DE5305" w:rsidRPr="009622E6">
        <w:rPr>
          <w:rFonts w:asciiTheme="majorHAnsi" w:hAnsiTheme="majorHAnsi" w:cs="Times New Roman"/>
          <w:sz w:val="24"/>
          <w:szCs w:val="24"/>
        </w:rPr>
        <w:t xml:space="preserve"> </w:t>
      </w:r>
      <w:r w:rsidR="001E433A" w:rsidRPr="009622E6">
        <w:rPr>
          <w:rFonts w:asciiTheme="majorHAnsi" w:hAnsiTheme="majorHAnsi" w:cs="Times New Roman"/>
          <w:sz w:val="24"/>
          <w:szCs w:val="24"/>
        </w:rPr>
        <w:t xml:space="preserve">that </w:t>
      </w:r>
      <w:r w:rsidR="00ED4795" w:rsidRPr="009622E6">
        <w:rPr>
          <w:rFonts w:asciiTheme="majorHAnsi" w:hAnsiTheme="majorHAnsi" w:cs="Times New Roman"/>
          <w:sz w:val="24"/>
          <w:szCs w:val="24"/>
        </w:rPr>
        <w:t xml:space="preserve">growth failure in preterm infants, with a </w:t>
      </w:r>
      <w:r w:rsidR="00077AE6">
        <w:rPr>
          <w:rFonts w:asciiTheme="majorHAnsi" w:hAnsiTheme="majorHAnsi" w:cs="Times New Roman"/>
          <w:sz w:val="24"/>
          <w:szCs w:val="24"/>
        </w:rPr>
        <w:t>fall across</w:t>
      </w:r>
      <w:r w:rsidR="00765AFF">
        <w:rPr>
          <w:rFonts w:asciiTheme="majorHAnsi" w:hAnsiTheme="majorHAnsi" w:cs="Times New Roman"/>
          <w:sz w:val="24"/>
          <w:szCs w:val="24"/>
        </w:rPr>
        <w:t xml:space="preserve"> marked</w:t>
      </w:r>
      <w:r w:rsidR="00077AE6">
        <w:rPr>
          <w:rFonts w:asciiTheme="majorHAnsi" w:hAnsiTheme="majorHAnsi" w:cs="Times New Roman"/>
          <w:sz w:val="24"/>
          <w:szCs w:val="24"/>
        </w:rPr>
        <w:t xml:space="preserve"> centile </w:t>
      </w:r>
      <w:r w:rsidR="00765AFF">
        <w:rPr>
          <w:rFonts w:asciiTheme="majorHAnsi" w:hAnsiTheme="majorHAnsi" w:cs="Times New Roman"/>
          <w:sz w:val="24"/>
          <w:szCs w:val="24"/>
        </w:rPr>
        <w:t xml:space="preserve">lines </w:t>
      </w:r>
      <w:r w:rsidR="001E433A" w:rsidRPr="009622E6">
        <w:rPr>
          <w:rFonts w:asciiTheme="majorHAnsi" w:hAnsiTheme="majorHAnsi" w:cs="Times New Roman"/>
          <w:sz w:val="24"/>
          <w:szCs w:val="24"/>
        </w:rPr>
        <w:t xml:space="preserve">during the first few weeks of life is not inevitable. We have </w:t>
      </w:r>
      <w:r w:rsidR="000E06C3">
        <w:rPr>
          <w:rFonts w:asciiTheme="majorHAnsi" w:hAnsiTheme="majorHAnsi" w:cs="Times New Roman"/>
          <w:sz w:val="24"/>
          <w:szCs w:val="24"/>
        </w:rPr>
        <w:t xml:space="preserve">plotted the </w:t>
      </w:r>
      <w:r w:rsidR="00DE5305" w:rsidRPr="009622E6">
        <w:rPr>
          <w:rFonts w:asciiTheme="majorHAnsi" w:hAnsiTheme="majorHAnsi" w:cs="Times New Roman"/>
          <w:sz w:val="24"/>
          <w:szCs w:val="24"/>
        </w:rPr>
        <w:t xml:space="preserve">growth </w:t>
      </w:r>
      <w:r w:rsidR="0001381D">
        <w:rPr>
          <w:rFonts w:asciiTheme="majorHAnsi" w:hAnsiTheme="majorHAnsi" w:cs="Times New Roman"/>
          <w:sz w:val="24"/>
          <w:szCs w:val="24"/>
        </w:rPr>
        <w:t>of</w:t>
      </w:r>
      <w:r w:rsidR="001E433A" w:rsidRPr="009622E6">
        <w:rPr>
          <w:rFonts w:asciiTheme="majorHAnsi" w:hAnsiTheme="majorHAnsi" w:cs="Times New Roman"/>
          <w:sz w:val="24"/>
          <w:szCs w:val="24"/>
        </w:rPr>
        <w:t xml:space="preserve"> preterm infants cared for in a tertiary </w:t>
      </w:r>
      <w:r w:rsidR="00112628" w:rsidRPr="009622E6">
        <w:rPr>
          <w:rFonts w:asciiTheme="majorHAnsi" w:hAnsiTheme="majorHAnsi" w:cs="Times New Roman"/>
          <w:sz w:val="24"/>
          <w:szCs w:val="24"/>
        </w:rPr>
        <w:t>NNU</w:t>
      </w:r>
      <w:r w:rsidR="001E433A" w:rsidRPr="009622E6">
        <w:rPr>
          <w:rFonts w:asciiTheme="majorHAnsi" w:hAnsiTheme="majorHAnsi" w:cs="Times New Roman"/>
          <w:sz w:val="24"/>
          <w:szCs w:val="24"/>
        </w:rPr>
        <w:t xml:space="preserve"> with nutritional practices aimed at optimising intake a</w:t>
      </w:r>
      <w:r w:rsidR="008B7E88" w:rsidRPr="009622E6">
        <w:rPr>
          <w:rFonts w:asciiTheme="majorHAnsi" w:hAnsiTheme="majorHAnsi" w:cs="Times New Roman"/>
          <w:sz w:val="24"/>
          <w:szCs w:val="24"/>
        </w:rPr>
        <w:t>nd</w:t>
      </w:r>
      <w:r w:rsidR="001E433A" w:rsidRPr="009622E6">
        <w:rPr>
          <w:rFonts w:asciiTheme="majorHAnsi" w:hAnsiTheme="majorHAnsi" w:cs="Times New Roman"/>
          <w:sz w:val="24"/>
          <w:szCs w:val="24"/>
        </w:rPr>
        <w:t xml:space="preserve"> growth </w:t>
      </w:r>
      <w:r w:rsidR="000E06C3">
        <w:rPr>
          <w:rFonts w:asciiTheme="majorHAnsi" w:hAnsiTheme="majorHAnsi" w:cs="Times New Roman"/>
          <w:sz w:val="24"/>
          <w:szCs w:val="24"/>
        </w:rPr>
        <w:t>and</w:t>
      </w:r>
      <w:r w:rsidR="008B7E88" w:rsidRPr="009622E6">
        <w:rPr>
          <w:rFonts w:asciiTheme="majorHAnsi" w:hAnsiTheme="majorHAnsi" w:cs="Times New Roman"/>
          <w:sz w:val="24"/>
          <w:szCs w:val="24"/>
        </w:rPr>
        <w:t xml:space="preserve"> </w:t>
      </w:r>
      <w:r w:rsidR="001E433A" w:rsidRPr="009622E6">
        <w:rPr>
          <w:rFonts w:asciiTheme="majorHAnsi" w:hAnsiTheme="majorHAnsi" w:cs="Times New Roman"/>
          <w:sz w:val="24"/>
          <w:szCs w:val="24"/>
        </w:rPr>
        <w:t>shown that these infants can follow growth trajectories similar to standards based on in</w:t>
      </w:r>
      <w:r w:rsidR="00B31BF6" w:rsidRPr="009622E6">
        <w:rPr>
          <w:rFonts w:asciiTheme="majorHAnsi" w:hAnsiTheme="majorHAnsi" w:cs="Times New Roman"/>
          <w:sz w:val="24"/>
          <w:szCs w:val="24"/>
        </w:rPr>
        <w:t>tra</w:t>
      </w:r>
      <w:r w:rsidR="001E433A" w:rsidRPr="009622E6">
        <w:rPr>
          <w:rFonts w:asciiTheme="majorHAnsi" w:hAnsiTheme="majorHAnsi" w:cs="Times New Roman"/>
          <w:sz w:val="24"/>
          <w:szCs w:val="24"/>
        </w:rPr>
        <w:t>uter</w:t>
      </w:r>
      <w:r w:rsidR="00B31BF6" w:rsidRPr="009622E6">
        <w:rPr>
          <w:rFonts w:asciiTheme="majorHAnsi" w:hAnsiTheme="majorHAnsi" w:cs="Times New Roman"/>
          <w:sz w:val="24"/>
          <w:szCs w:val="24"/>
        </w:rPr>
        <w:t>ine</w:t>
      </w:r>
      <w:r w:rsidR="001E433A" w:rsidRPr="009622E6">
        <w:rPr>
          <w:rFonts w:asciiTheme="majorHAnsi" w:hAnsiTheme="majorHAnsi" w:cs="Times New Roman"/>
          <w:sz w:val="24"/>
          <w:szCs w:val="24"/>
        </w:rPr>
        <w:t xml:space="preserve"> growth.</w:t>
      </w:r>
      <w:r w:rsidR="0038357D" w:rsidRPr="009622E6">
        <w:rPr>
          <w:rFonts w:asciiTheme="majorHAnsi" w:hAnsiTheme="majorHAnsi" w:cs="Times New Roman"/>
          <w:sz w:val="24"/>
          <w:szCs w:val="24"/>
        </w:rPr>
        <w:t xml:space="preserve"> </w:t>
      </w:r>
      <w:r w:rsidR="00F3650F" w:rsidRPr="009622E6">
        <w:rPr>
          <w:rFonts w:asciiTheme="majorHAnsi" w:hAnsiTheme="majorHAnsi" w:cs="Times New Roman"/>
          <w:sz w:val="24"/>
          <w:szCs w:val="24"/>
        </w:rPr>
        <w:t xml:space="preserve">Growth failure has previously been defined </w:t>
      </w:r>
      <w:r w:rsidR="000857C2" w:rsidRPr="009622E6">
        <w:rPr>
          <w:rFonts w:asciiTheme="majorHAnsi" w:hAnsiTheme="majorHAnsi" w:cs="Times New Roman"/>
          <w:sz w:val="24"/>
          <w:szCs w:val="24"/>
        </w:rPr>
        <w:t xml:space="preserve">in preterm infants as </w:t>
      </w:r>
      <w:r w:rsidR="005207D1">
        <w:rPr>
          <w:rFonts w:asciiTheme="majorHAnsi" w:hAnsiTheme="majorHAnsi" w:cs="Times New Roman"/>
          <w:sz w:val="24"/>
          <w:szCs w:val="24"/>
        </w:rPr>
        <w:t>dropping</w:t>
      </w:r>
      <w:r w:rsidR="000857C2" w:rsidRPr="009622E6">
        <w:rPr>
          <w:rFonts w:asciiTheme="majorHAnsi" w:hAnsiTheme="majorHAnsi" w:cs="Times New Roman"/>
          <w:sz w:val="24"/>
          <w:szCs w:val="24"/>
        </w:rPr>
        <w:t xml:space="preserve"> two marked centile </w:t>
      </w:r>
      <w:r w:rsidR="00537C73" w:rsidRPr="009622E6">
        <w:rPr>
          <w:rFonts w:asciiTheme="majorHAnsi" w:hAnsiTheme="majorHAnsi" w:cs="Times New Roman"/>
          <w:sz w:val="24"/>
          <w:szCs w:val="24"/>
        </w:rPr>
        <w:t>lines</w:t>
      </w:r>
      <w:r w:rsidR="008266F7">
        <w:rPr>
          <w:rFonts w:asciiTheme="majorHAnsi" w:hAnsiTheme="majorHAnsi" w:cs="Times New Roman"/>
          <w:sz w:val="24"/>
          <w:szCs w:val="24"/>
        </w:rPr>
        <w:t>.</w:t>
      </w:r>
      <w:r w:rsidR="000857C2" w:rsidRPr="009622E6">
        <w:rPr>
          <w:rFonts w:asciiTheme="majorHAnsi" w:hAnsiTheme="majorHAnsi" w:cs="Times New Roman"/>
          <w:sz w:val="24"/>
          <w:szCs w:val="24"/>
        </w:rPr>
        <w:t xml:space="preserve"> </w:t>
      </w:r>
      <w:r w:rsidR="00E7122B" w:rsidRPr="009622E6">
        <w:rPr>
          <w:rFonts w:asciiTheme="majorHAnsi" w:hAnsiTheme="majorHAnsi" w:cs="Times New Roman"/>
          <w:sz w:val="24"/>
          <w:szCs w:val="24"/>
        </w:rPr>
        <w:t>T</w:t>
      </w:r>
      <w:r w:rsidR="000857C2" w:rsidRPr="009622E6">
        <w:rPr>
          <w:rFonts w:asciiTheme="majorHAnsi" w:hAnsiTheme="majorHAnsi" w:cs="Times New Roman"/>
          <w:sz w:val="24"/>
          <w:szCs w:val="24"/>
        </w:rPr>
        <w:t xml:space="preserve">his definition of growth failure was not met by </w:t>
      </w:r>
      <w:r w:rsidR="007375AD">
        <w:rPr>
          <w:rFonts w:asciiTheme="majorHAnsi" w:hAnsiTheme="majorHAnsi" w:cs="Times New Roman"/>
          <w:sz w:val="24"/>
          <w:szCs w:val="24"/>
        </w:rPr>
        <w:t>8</w:t>
      </w:r>
      <w:r w:rsidR="00560433">
        <w:rPr>
          <w:rFonts w:asciiTheme="majorHAnsi" w:hAnsiTheme="majorHAnsi" w:cs="Times New Roman"/>
          <w:sz w:val="24"/>
          <w:szCs w:val="24"/>
        </w:rPr>
        <w:t>8</w:t>
      </w:r>
      <w:r w:rsidR="007375AD">
        <w:rPr>
          <w:rFonts w:asciiTheme="majorHAnsi" w:hAnsiTheme="majorHAnsi" w:cs="Times New Roman"/>
          <w:sz w:val="24"/>
          <w:szCs w:val="24"/>
        </w:rPr>
        <w:t>%</w:t>
      </w:r>
      <w:r w:rsidR="00560433">
        <w:rPr>
          <w:rFonts w:asciiTheme="majorHAnsi" w:hAnsiTheme="majorHAnsi" w:cs="Times New Roman"/>
          <w:sz w:val="24"/>
          <w:szCs w:val="24"/>
        </w:rPr>
        <w:t xml:space="preserve"> </w:t>
      </w:r>
      <w:r w:rsidR="004C2AC2">
        <w:rPr>
          <w:rFonts w:asciiTheme="majorHAnsi" w:hAnsiTheme="majorHAnsi" w:cs="Times New Roman"/>
          <w:sz w:val="24"/>
          <w:szCs w:val="24"/>
        </w:rPr>
        <w:t>of this</w:t>
      </w:r>
      <w:r w:rsidR="000857C2" w:rsidRPr="009622E6">
        <w:rPr>
          <w:rFonts w:asciiTheme="majorHAnsi" w:hAnsiTheme="majorHAnsi" w:cs="Times New Roman"/>
          <w:sz w:val="24"/>
          <w:szCs w:val="24"/>
        </w:rPr>
        <w:t xml:space="preserve"> cohort,</w:t>
      </w:r>
      <w:r w:rsidR="007A04D2" w:rsidRPr="009622E6">
        <w:rPr>
          <w:rFonts w:asciiTheme="majorHAnsi" w:hAnsiTheme="majorHAnsi" w:cs="Times New Roman"/>
          <w:sz w:val="24"/>
          <w:szCs w:val="24"/>
        </w:rPr>
        <w:t xml:space="preserve"> </w:t>
      </w:r>
      <w:r w:rsidR="0001381D">
        <w:rPr>
          <w:rFonts w:asciiTheme="majorHAnsi" w:hAnsiTheme="majorHAnsi" w:cs="Times New Roman"/>
          <w:sz w:val="24"/>
          <w:szCs w:val="24"/>
        </w:rPr>
        <w:t>and there was</w:t>
      </w:r>
      <w:r w:rsidR="00732153" w:rsidRPr="009622E6">
        <w:rPr>
          <w:rFonts w:asciiTheme="majorHAnsi" w:hAnsiTheme="majorHAnsi" w:cs="Times New Roman"/>
          <w:sz w:val="24"/>
          <w:szCs w:val="24"/>
        </w:rPr>
        <w:t xml:space="preserve"> </w:t>
      </w:r>
      <w:r w:rsidR="007A04D2" w:rsidRPr="009622E6">
        <w:rPr>
          <w:rFonts w:asciiTheme="majorHAnsi" w:hAnsiTheme="majorHAnsi" w:cs="Times New Roman"/>
          <w:sz w:val="24"/>
          <w:szCs w:val="24"/>
        </w:rPr>
        <w:t>no</w:t>
      </w:r>
      <w:r w:rsidR="00ED4795" w:rsidRPr="009622E6">
        <w:rPr>
          <w:rFonts w:asciiTheme="majorHAnsi" w:hAnsiTheme="majorHAnsi" w:cs="Times New Roman"/>
          <w:sz w:val="24"/>
          <w:szCs w:val="24"/>
        </w:rPr>
        <w:t xml:space="preserve"> early weight loss in any</w:t>
      </w:r>
      <w:r w:rsidR="000857C2" w:rsidRPr="009622E6">
        <w:rPr>
          <w:rFonts w:asciiTheme="majorHAnsi" w:hAnsiTheme="majorHAnsi" w:cs="Times New Roman"/>
          <w:sz w:val="24"/>
          <w:szCs w:val="24"/>
        </w:rPr>
        <w:t xml:space="preserve"> of</w:t>
      </w:r>
      <w:r w:rsidR="00ED4795" w:rsidRPr="009622E6">
        <w:rPr>
          <w:rFonts w:asciiTheme="majorHAnsi" w:hAnsiTheme="majorHAnsi" w:cs="Times New Roman"/>
          <w:sz w:val="24"/>
          <w:szCs w:val="24"/>
        </w:rPr>
        <w:t xml:space="preserve"> the subgroups</w:t>
      </w:r>
      <w:r w:rsidR="009516DE" w:rsidRPr="009622E6">
        <w:rPr>
          <w:rFonts w:asciiTheme="majorHAnsi" w:hAnsiTheme="majorHAnsi" w:cs="Times New Roman"/>
          <w:sz w:val="24"/>
          <w:szCs w:val="24"/>
        </w:rPr>
        <w:t>.</w:t>
      </w:r>
    </w:p>
    <w:p w:rsidR="00C45BCC" w:rsidRPr="009622E6" w:rsidRDefault="004379C9" w:rsidP="00610297">
      <w:pPr>
        <w:spacing w:line="480" w:lineRule="auto"/>
        <w:rPr>
          <w:rFonts w:asciiTheme="majorHAnsi" w:hAnsiTheme="majorHAnsi" w:cs="Times New Roman"/>
          <w:sz w:val="24"/>
          <w:szCs w:val="24"/>
        </w:rPr>
      </w:pPr>
      <w:r w:rsidRPr="009622E6">
        <w:rPr>
          <w:rFonts w:asciiTheme="majorHAnsi" w:hAnsiTheme="majorHAnsi" w:cs="Times New Roman"/>
          <w:sz w:val="24"/>
          <w:szCs w:val="24"/>
        </w:rPr>
        <w:t>P</w:t>
      </w:r>
      <w:r w:rsidR="00DE5305" w:rsidRPr="009622E6">
        <w:rPr>
          <w:rFonts w:asciiTheme="majorHAnsi" w:hAnsiTheme="majorHAnsi" w:cs="Times New Roman"/>
          <w:sz w:val="24"/>
          <w:szCs w:val="24"/>
        </w:rPr>
        <w:t xml:space="preserve">reterm infants are currently plotted on growth charts </w:t>
      </w:r>
      <w:r w:rsidR="00267FA4" w:rsidRPr="009622E6">
        <w:rPr>
          <w:rFonts w:asciiTheme="majorHAnsi" w:hAnsiTheme="majorHAnsi" w:cs="Times New Roman"/>
          <w:sz w:val="24"/>
          <w:szCs w:val="24"/>
        </w:rPr>
        <w:t xml:space="preserve">constructed from </w:t>
      </w:r>
      <w:r w:rsidR="007240D7" w:rsidRPr="009622E6">
        <w:rPr>
          <w:rFonts w:asciiTheme="majorHAnsi" w:hAnsiTheme="majorHAnsi" w:cs="Times New Roman"/>
          <w:sz w:val="24"/>
          <w:szCs w:val="24"/>
        </w:rPr>
        <w:t>cross</w:t>
      </w:r>
      <w:r w:rsidR="00267FA4" w:rsidRPr="009622E6">
        <w:rPr>
          <w:rFonts w:asciiTheme="majorHAnsi" w:hAnsiTheme="majorHAnsi" w:cs="Times New Roman"/>
          <w:sz w:val="24"/>
          <w:szCs w:val="24"/>
        </w:rPr>
        <w:t>-</w:t>
      </w:r>
      <w:r w:rsidR="007240D7" w:rsidRPr="009622E6">
        <w:rPr>
          <w:rFonts w:asciiTheme="majorHAnsi" w:hAnsiTheme="majorHAnsi" w:cs="Times New Roman"/>
          <w:sz w:val="24"/>
          <w:szCs w:val="24"/>
        </w:rPr>
        <w:t>sectional birth weight data</w:t>
      </w:r>
      <w:r w:rsidR="00732153" w:rsidRPr="009622E6">
        <w:rPr>
          <w:rFonts w:asciiTheme="majorHAnsi" w:hAnsiTheme="majorHAnsi" w:cs="Times New Roman"/>
          <w:sz w:val="24"/>
          <w:szCs w:val="24"/>
        </w:rPr>
        <w:t xml:space="preserve"> with the</w:t>
      </w:r>
      <w:r w:rsidR="00DE5305" w:rsidRPr="009622E6">
        <w:rPr>
          <w:rFonts w:asciiTheme="majorHAnsi" w:hAnsiTheme="majorHAnsi" w:cs="Times New Roman"/>
          <w:sz w:val="24"/>
          <w:szCs w:val="24"/>
        </w:rPr>
        <w:t xml:space="preserve"> assumption that tissue accretion at a rate similar to the preterm </w:t>
      </w:r>
      <w:r w:rsidR="008B7E88" w:rsidRPr="009622E6">
        <w:rPr>
          <w:rFonts w:asciiTheme="majorHAnsi" w:hAnsiTheme="majorHAnsi" w:cs="Times New Roman"/>
          <w:sz w:val="24"/>
          <w:szCs w:val="24"/>
        </w:rPr>
        <w:t xml:space="preserve">infants’ </w:t>
      </w:r>
      <w:r w:rsidR="004B6E1D" w:rsidRPr="009622E6">
        <w:rPr>
          <w:rFonts w:asciiTheme="majorHAnsi" w:hAnsiTheme="majorHAnsi" w:cs="Times New Roman"/>
          <w:sz w:val="24"/>
          <w:szCs w:val="24"/>
        </w:rPr>
        <w:t>intra</w:t>
      </w:r>
      <w:r w:rsidR="001D55A9" w:rsidRPr="009622E6">
        <w:rPr>
          <w:rFonts w:asciiTheme="majorHAnsi" w:hAnsiTheme="majorHAnsi" w:cs="Times New Roman"/>
          <w:sz w:val="24"/>
          <w:szCs w:val="24"/>
        </w:rPr>
        <w:t>uterine</w:t>
      </w:r>
      <w:r w:rsidR="00DE5305" w:rsidRPr="009622E6">
        <w:rPr>
          <w:rFonts w:asciiTheme="majorHAnsi" w:hAnsiTheme="majorHAnsi" w:cs="Times New Roman"/>
          <w:sz w:val="24"/>
          <w:szCs w:val="24"/>
        </w:rPr>
        <w:t xml:space="preserve"> counterparts is an appropriate target. However</w:t>
      </w:r>
      <w:r w:rsidR="00267FA4" w:rsidRPr="009622E6">
        <w:rPr>
          <w:rFonts w:asciiTheme="majorHAnsi" w:hAnsiTheme="majorHAnsi" w:cs="Times New Roman"/>
          <w:sz w:val="24"/>
          <w:szCs w:val="24"/>
        </w:rPr>
        <w:t>, to date</w:t>
      </w:r>
      <w:r w:rsidR="00732153" w:rsidRPr="009622E6">
        <w:rPr>
          <w:rFonts w:asciiTheme="majorHAnsi" w:hAnsiTheme="majorHAnsi" w:cs="Times New Roman"/>
          <w:sz w:val="24"/>
          <w:szCs w:val="24"/>
        </w:rPr>
        <w:t>,</w:t>
      </w:r>
      <w:r w:rsidR="00DE5305" w:rsidRPr="009622E6">
        <w:rPr>
          <w:rFonts w:asciiTheme="majorHAnsi" w:hAnsiTheme="majorHAnsi" w:cs="Times New Roman"/>
          <w:sz w:val="24"/>
          <w:szCs w:val="24"/>
        </w:rPr>
        <w:t xml:space="preserve"> other depictions of </w:t>
      </w:r>
      <w:r w:rsidR="00403FB7" w:rsidRPr="009622E6">
        <w:rPr>
          <w:rFonts w:asciiTheme="majorHAnsi" w:hAnsiTheme="majorHAnsi" w:cs="Times New Roman"/>
          <w:sz w:val="24"/>
          <w:szCs w:val="24"/>
        </w:rPr>
        <w:t>extra</w:t>
      </w:r>
      <w:r w:rsidR="001D55A9" w:rsidRPr="009622E6">
        <w:rPr>
          <w:rFonts w:asciiTheme="majorHAnsi" w:hAnsiTheme="majorHAnsi" w:cs="Times New Roman"/>
          <w:sz w:val="24"/>
          <w:szCs w:val="24"/>
        </w:rPr>
        <w:t xml:space="preserve">uterine </w:t>
      </w:r>
      <w:r w:rsidR="00DE5305" w:rsidRPr="009622E6">
        <w:rPr>
          <w:rFonts w:asciiTheme="majorHAnsi" w:hAnsiTheme="majorHAnsi" w:cs="Times New Roman"/>
          <w:sz w:val="24"/>
          <w:szCs w:val="24"/>
        </w:rPr>
        <w:t>longitudinal growth have not borne this out</w:t>
      </w:r>
      <w:r w:rsidR="00403FB7" w:rsidRPr="009622E6">
        <w:rPr>
          <w:rFonts w:asciiTheme="majorHAnsi" w:hAnsiTheme="majorHAnsi" w:cs="Times New Roman"/>
          <w:sz w:val="24"/>
          <w:szCs w:val="24"/>
        </w:rPr>
        <w:t xml:space="preserve"> as commonly </w:t>
      </w:r>
      <w:r w:rsidRPr="009622E6">
        <w:rPr>
          <w:rFonts w:asciiTheme="majorHAnsi" w:hAnsiTheme="majorHAnsi" w:cs="Times New Roman"/>
          <w:sz w:val="24"/>
          <w:szCs w:val="24"/>
        </w:rPr>
        <w:t>achievable</w:t>
      </w:r>
      <w:r w:rsidR="00D864BF"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"10.1136/archdischild-2012-303536", "ISBN" : "2012303536", "ISSN" : "1359-2998", "PMID" : "23934365", "abstract" : "OBJECTIVE: To describe birth weight and postnatal weight gain in a contemporaneous population of babies born &lt;32 weeks' gestation, using routinely captured electronic clinical data. DESIGN: Anonymised longitudinal weight data from 2006 to 2011. SETTING: National Health Service neonatal units in England. METHODS: Birth weight centiles were constructed using the LMS method, and longitudinal weight gain was summarised as mean growth curves for each week of gestation until discharge, using SITAR (Superimposition by Translation and Rotation) growth curve analysis. RESULTS: Data on 103 194 weights of 5009 babies born from 22-31 weeks' gestation were received from 40 neonatal units. At birth, girls weighed 6.6% (SE 0.4%) less than boys (p&lt;0.0001). For babies born at 31 weeks' gestation, weight fell after birth by an average of 258 g, with the nadir on the 8th postnatal day. The rate of weight gain then increased to a maximum of 28.4 g/d or 16.0 g/kg/d after 3 weeks. Conversely for babies of 22 to 28 weeks' gestation, there was on average no weight loss after birth. At all gestations, babies tended to cross weight centiles downwards for at least 2 weeks. CONCLUSIONS: In very preterm infants, mean weight crosses centiles downwards by at least two centile channel widths. Postnatal weight loss is generally absent in those born before 29 weeks, but marked in those born later. Assigning an infant's target centile at birth is potentially harmful as it requires rapid weight gain and should only be done once weight gain has stabilised. The use of electronic data reflects contemporary medical management.", "author" : [ { "dropping-particle" : "", "family" : "Cole", "given" : "Tim J", "non-dropping-particle" : "", "parse-names" : false, "suffix" : "" }, { "dropping-particle" : "", "family" : "Statnikov", "given" : "Yevgeniy", "non-dropping-particle" : "", "parse-names" : false, "suffix" : "" }, { "dropping-particle" : "", "family" : "Santhakumaran", "given" : "Shalini", "non-dropping-particle" : "", "parse-names" : false, "suffix" : "" }, { "dropping-particle" : "", "family" : "Pan", "given" : "Huiqi", "non-dropping-particle" : "", "parse-names" : false, "suffix" : "" }, { "dropping-particle" : "", "family" : "Modi", "given" : "Neena", "non-dropping-particle" : "", "parse-names" : false, "suffix" : "" } ], "container-title" : "Archives of Disease in Childhood - Fetal and Neonatal Edition", "id" : "ITEM-1", "issue" : "1", "issued" : { "date-parts" : [ [ "2014" ] ] }, "page" : "F34-F40", "title" : "Birth weight and longitudinal growth in infants born below 32\u2005weeks\u2019 gestation: a UK population study", "type" : "article-journal", "volume" : "99" }, "uris" : [ "http://www.mendeley.com/documents/?uuid=1dd2591b-92e3-4405-a13a-98efad7f09ad" ] }, { "id" : "ITEM-2", "itemData" : { "DOI" : "10.1136/fn.88.6.F492", "ISBN" : "1359-2998", "ISSN" : "1359-2998", "PMID" : "14602697", "abstract" : "AIM: To define growth outcomes of a geographically defined population of extremely preterm babies. POPULATION: The EPICure study identified all surviving children in the United Kingdom and Ireland born at &lt; or = 25 weeks 6 days gestation between March and December 1995. Of 308 survivors, 283 (92%) were evaluated at 30 months of age corrected for prematurity. METHODS: Growth was measured as part of a medical and full neurodevelopmental assessment. Growth parameters were evaluated in relation to other 30 month outcomes and perinatal variables. RESULTS: The children were smaller in each of the five growth measures compared with published population norms: mean (SD) standard deviation scores were -1.19 (1.32) for weight, -1.40 (1.37) for head circumference, -0.70 (1.19) for height, -1.00 (1.38) for body mass index, and -0.75 (0.95) for mid-upper arm circumference. Despite being of average size at birth, children were significantly lighter with smaller head circumferences at the expected date of delivery, compared with population norms, and only weight showed later catch up, by 0.5 SD. Poorer growth was found in children whose parents reported feeding problems and with longer duration of oxygen dependency, as a marker for neonatal respiratory illness. Although severe motor disability was associated with smaller head circumference, overall there was no relation between Bayley scores and head growth. CONCLUSIONS: Poor growth in early childhood is common in extremely preterm children, particularly when prolonged courses of systemic steroids have been given for chronic lung disease. Improving early growth must be a priority for clinical care.", "author" : [ { "dropping-particle" : "", "family" : "Wood", "given" : "N S", "non-dropping-particle" : "", "parse-names" : false, "suffix" : "" }, { "dropping-particle" : "", "family" : "Costeloe", "given" : "K", "non-dropping-particle" : "", "parse-names" : false, "suffix" : "" }, { "dropping-particle" : "", "family" : "Gibson", "given" : "a T", "non-dropping-particle" : "", "parse-names" : false, "suffix" : "" }, { "dropping-particle" : "", "family" : "Hennessy", "given" : "E M", "non-dropping-particle" : "", "parse-names" : false, "suffix" : "" }, { "dropping-particle" : "", "family" : "Marlow", "given" : "N", "non-dropping-particle" : "", "parse-names" : false, "suffix" : "" }, { "dropping-particle" : "", "family" : "Wilkinson", "given" : "a R", "non-dropping-particle" : "", "parse-names" : false, "suffix" : "" } ], "container-title" : "Archives of disease in childhood. Fetal and neonatal edition", "id" : "ITEM-2", "issued" : { "date-parts" : [ [ "2003" ] ] }, "page" : "F492-F500", "title" : "The EPICure study: growth and associated problems in children born at 25 weeks of gestational age or less.", "type" : "article-journal", "volume" : "88" }, "uris" : [ "http://www.mendeley.com/documents/?uuid=d7c595a1-2564-4e3e-8de6-6e97f09b2da2" ] }, { "id" : "ITEM-3", "itemData" : { "DOI" : "10.1542/peds.104.2.280", "ISBN" : "0031-4005 (Print)", "ISSN" : "0031-4005", "PMID" : "10429008", "abstract" : "BACKGROUND: The interpretation of growth rates for very low birth weight infants is obscured by limited data, recent changes in perinatal care, and the uncertain effects of multiple therapies. OBJECTIVES: To develop contemporary postnatal growth curves for very low birth weight preterm infants and to relate growth velocity to birth weight, nutritional practices, fetal growth status (small- or appropriate-for-gestational-age), and major neonatal morbidities (chronic lung disease, nosocomial infection or late-onset infection, severe intraventricular hemorrhage, and necrotizing enterocolitis). DESIGN: Large, multicenter, prospective cohort study. METHODS: Growth was prospectively assessed for 1660 infants with birth weights between 501 to 1500 g admitted by 24 hours of age to 1 of the 12 National Institute of Child Health and Human Development Neonatal Research Network centers between August 31, 1994 and August 9, 1995. Infants were included if they survived &gt;7 days (168 hours) and were free of major congenital anomalies. Anthropometric measures (body weight, length, head circumference, and midarm circumference) were performed from birth until discharge, transfer, death, age 120 days, or a body weight of 2000 g. To obtain representative data, nutritional practices were not altered by the study protocol. RESULTS: Postnatal growth curves suitable for clinical and research use were constructed for body weight, length, head circumference, and midarm circumference. Once birth weight was regained, weight gain (14.4-16.1 g/kg/d) approximated intrauterine rates. However, at hospital discharge, most infants born between 24 and 29 weeks of gestation had not achieved the median birth weight of the reference fetus at the same postmenstrual age. Gestational age, race, and gender had no effect on growth within 100-g birth weight strata. Appropriate-for-gestational age infants who survived to hospital discharge without developing chronic lung disease, severe intraventricular hemorrhage, necrotizing enterocolitis, or late onset-sepsis gained weight faster than comparable infants with those morbidities. More rapid weight gain was also associated with a shorter duration of parenteral nutrition providing at least 75% of the total daily fluid volume, an earlier age at the initiation of enteral feedings, and an earlier age at achievement of full enteral feedings. CONCLUSIONS: These growth curves may be used to better understand postnatal growth, to help identify infants develo\u2026", "author" : [ { "dropping-particle" : "", "family" : "Ehrenkranz", "given" : "R. A.", "non-dropping-particle" : "", "parse-names" : false, "suffix" : "" }, { "dropping-particle" : "", "family" : "Younes", "given" : "N.", "non-dropping-particle" : "", "parse-names" : false, "suffix" : "" }, { "dropping-particle" : "", "family" : "Lemons", "given" : "J. A.", "non-dropping-particle" : "", "parse-names" : false, "suffix" : "" }, { "dropping-particle" : "", "family" : "Fanaroff", "given" : "A. A.", "non-dropping-particle" : "", "parse-names" : false, "suffix" : "" }, { "dropping-particle" : "", "family" : "Donovan", "given" : "E. F.", "non-dropping-particle" : "", "parse-names" : false, "suffix" : "" }, { "dropping-particle" : "", "family" : "Wright", "given" : "L. L.", "non-dropping-particle" : "", "parse-names" : false, "suffix" : "" }, { "dropping-particle" : "", "family" : "Katsikiotis", "given" : "V.", "non-dropping-particle" : "", "parse-names" : false, "suffix" : "" }, { "dropping-particle" : "", "family" : "Tyson", "given" : "J. E.", "non-dropping-particle" : "", "parse-names" : false, "suffix" : "" }, { "dropping-particle" : "", "family" : "Oh", "given" : "W.", "non-dropping-particle" : "", "parse-names" : false, "suffix" : "" }, { "dropping-particle" : "", "family" : "Shankaran", "given" : "S.", "non-dropping-particle" : "", "parse-names" : false, "suffix" : "" }, { "dropping-particle" : "", "family" : "Bauer", "given" : "C. R.", "non-dropping-particle" : "", "parse-names" : false, "suffix" : "" }, { "dropping-particle" : "", "family" : "Korones", "given" : "S. B.", "non-dropping-particle" : "", "parse-names" : false, "suffix" : "" }, { "dropping-particle" : "", "family" : "Stoll", "given" : "B. J.", "non-dropping-particle" : "", "parse-names" : false, "suffix" : "" }, { "dropping-particle" : "", "family" : "Stevenson", "given" : "D. K.", "non-dropping-particle" : "", "parse-names" : false, "suffix" : "" }, { "dropping-particle" : "", "family" : "Papile", "given" : "L.-A.", "non-dropping-particle" : "", "parse-names" : false, "suffix" : "" } ], "container-title" : "Pediatrics", "id" : "ITEM-3", "issue" : "2", "issued" : { "date-parts" : [ [ "1999" ] ] }, "page" : "280-289", "title" : "Longitudinal Growth of Hospitalized Very Low Birth Weight Infants", "type" : "article-journal", "volume" : "104" }, "uris" : [ "http://www.mendeley.com/documents/?uuid=bc910cda-8369-41a1-b65a-7cce07ae5a51" ] } ], "mendeley" : { "formattedCitation" : "[10,11,15]", "plainTextFormattedCitation" : "[10,11,15]", "previouslyFormattedCitation" : "[10,11,15]" }, "properties" : {  }, "schema" : "https://github.com/citation-style-language/schema/raw/master/csl-citation.json" }</w:instrText>
      </w:r>
      <w:r w:rsidR="00D864BF" w:rsidRPr="009622E6">
        <w:rPr>
          <w:rFonts w:asciiTheme="majorHAnsi" w:hAnsiTheme="majorHAnsi" w:cs="Times New Roman"/>
          <w:sz w:val="24"/>
          <w:szCs w:val="24"/>
        </w:rPr>
        <w:fldChar w:fldCharType="separate"/>
      </w:r>
      <w:r w:rsidR="00C4193C" w:rsidRPr="00C4193C">
        <w:rPr>
          <w:rFonts w:asciiTheme="majorHAnsi" w:hAnsiTheme="majorHAnsi" w:cs="Times New Roman"/>
          <w:noProof/>
          <w:sz w:val="24"/>
          <w:szCs w:val="24"/>
        </w:rPr>
        <w:t>[10,11,15]</w:t>
      </w:r>
      <w:r w:rsidR="00D864BF" w:rsidRPr="009622E6">
        <w:rPr>
          <w:rFonts w:asciiTheme="majorHAnsi" w:hAnsiTheme="majorHAnsi" w:cs="Times New Roman"/>
          <w:sz w:val="24"/>
          <w:szCs w:val="24"/>
        </w:rPr>
        <w:fldChar w:fldCharType="end"/>
      </w:r>
      <w:r w:rsidR="00CD0825">
        <w:rPr>
          <w:rFonts w:asciiTheme="majorHAnsi" w:hAnsiTheme="majorHAnsi" w:cs="Times New Roman"/>
          <w:sz w:val="24"/>
          <w:szCs w:val="24"/>
        </w:rPr>
        <w:t>,</w:t>
      </w:r>
      <w:r w:rsidR="00403FB7" w:rsidRPr="009622E6">
        <w:rPr>
          <w:rFonts w:asciiTheme="majorHAnsi" w:hAnsiTheme="majorHAnsi" w:cs="Times New Roman"/>
          <w:sz w:val="24"/>
          <w:szCs w:val="24"/>
        </w:rPr>
        <w:t xml:space="preserve"> </w:t>
      </w:r>
      <w:r w:rsidR="00267FA4" w:rsidRPr="009622E6">
        <w:rPr>
          <w:rFonts w:asciiTheme="majorHAnsi" w:hAnsiTheme="majorHAnsi" w:cs="Times New Roman"/>
          <w:sz w:val="24"/>
          <w:szCs w:val="24"/>
        </w:rPr>
        <w:t>with the literature generally describing an ini</w:t>
      </w:r>
      <w:r w:rsidR="00077AE6">
        <w:rPr>
          <w:rFonts w:asciiTheme="majorHAnsi" w:hAnsiTheme="majorHAnsi" w:cs="Times New Roman"/>
          <w:sz w:val="24"/>
          <w:szCs w:val="24"/>
        </w:rPr>
        <w:t xml:space="preserve">tial weight loss across centile </w:t>
      </w:r>
      <w:r w:rsidR="00765AFF">
        <w:rPr>
          <w:rFonts w:asciiTheme="majorHAnsi" w:hAnsiTheme="majorHAnsi" w:cs="Times New Roman"/>
          <w:sz w:val="24"/>
          <w:szCs w:val="24"/>
        </w:rPr>
        <w:t xml:space="preserve">lines </w:t>
      </w:r>
      <w:r w:rsidR="00267FA4" w:rsidRPr="009622E6">
        <w:rPr>
          <w:rFonts w:asciiTheme="majorHAnsi" w:hAnsiTheme="majorHAnsi" w:cs="Times New Roman"/>
          <w:sz w:val="24"/>
          <w:szCs w:val="24"/>
        </w:rPr>
        <w:t>without recovery</w:t>
      </w:r>
      <w:r w:rsidR="00D864BF"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"10.1136/archdischild-2012-303536", "ISBN" : "2012303536", "ISSN" : "1359-2998", "PMID" : "23934365", "abstract" : "OBJECTIVE: To describe birth weight and postnatal weight gain in a contemporaneous population of babies born &lt;32 weeks' gestation, using routinely captured electronic clinical data. DESIGN: Anonymised longitudinal weight data from 2006 to 2011. SETTING: National Health Service neonatal units in England. METHODS: Birth weight centiles were constructed using the LMS method, and longitudinal weight gain was summarised as mean growth curves for each week of gestation until discharge, using SITAR (Superimposition by Translation and Rotation) growth curve analysis. RESULTS: Data on 103 194 weights of 5009 babies born from 22-31 weeks' gestation were received from 40 neonatal units. At birth, girls weighed 6.6% (SE 0.4%) less than boys (p&lt;0.0001). For babies born at 31 weeks' gestation, weight fell after birth by an average of 258 g, with the nadir on the 8th postnatal day. The rate of weight gain then increased to a maximum of 28.4 g/d or 16.0 g/kg/d after 3 weeks. Conversely for babies of 22 to 28 weeks' gestation, there was on average no weight loss after birth. At all gestations, babies tended to cross weight centiles downwards for at least 2 weeks. CONCLUSIONS: In very preterm infants, mean weight crosses centiles downwards by at least two centile channel widths. Postnatal weight loss is generally absent in those born before 29 weeks, but marked in those born later. Assigning an infant's target centile at birth is potentially harmful as it requires rapid weight gain and should only be done once weight gain has stabilised. The use of electronic data reflects contemporary medical management.", "author" : [ { "dropping-particle" : "", "family" : "Cole", "given" : "Tim J", "non-dropping-particle" : "", "parse-names" : false, "suffix" : "" }, { "dropping-particle" : "", "family" : "Statnikov", "given" : "Yevgeniy", "non-dropping-particle" : "", "parse-names" : false, "suffix" : "" }, { "dropping-particle" : "", "family" : "Santhakumaran", "given" : "Shalini", "non-dropping-particle" : "", "parse-names" : false, "suffix" : "" }, { "dropping-particle" : "", "family" : "Pan", "given" : "Huiqi", "non-dropping-particle" : "", "parse-names" : false, "suffix" : "" }, { "dropping-particle" : "", "family" : "Modi", "given" : "Neena", "non-dropping-particle" : "", "parse-names" : false, "suffix" : "" } ], "container-title" : "Archives of Disease in Childhood - Fetal and Neonatal Edition", "id" : "ITEM-1", "issue" : "1", "issued" : { "date-parts" : [ [ "2014" ] ] }, "page" : "F34-F40", "title" : "Birth weight and longitudinal growth in infants born below 32\u2005weeks\u2019 gestation: a UK population study", "type" : "article-journal", "volume" : "99" }, "uris" : [ "http://www.mendeley.com/documents/?uuid=1dd2591b-92e3-4405-a13a-98efad7f09ad" ] }, { "id" : "ITEM-2", "itemData" : { "DOI" : "10.1038/pr.2016.15", "ISSN" : "15300447", "PMID" : "26859363", "abstract" : "Copyright \u00a9 2016 International Pediatric Research Foundation, Inc.Background: International guidelines suggest that growth of preterm infants should match intrauterine rates. However, the trajectory for extrauterine growth may deviate from the birth percentile due to an irreversible, physiological loss of extracellular fluid during postnatal adaptation to extrauterine conditions. To which \"new\" physiological growth trajectory preterm infants should adjust to after completed postnatal adaptation is unknown. This study analyzes the postnatal growth trajectories of healthy preterm infants using prospective criteria defining minimal support, as a model for physiological adaptation. Methods: International, multi-center, longitudinal, observational study at five neonatal intensive care units (NICUs). Daily weights until day of life (DoL) 21 of infants with undisturbed postnatal adaptation were analyzed (gestational ages: (i) 25-29 wk, (ii) 30-34 wk). Results: 981 out of 3,703 admitted infants included. Maximum weight loss was 11% (i) and 7% (ii) by DoL 5, birth weight regained by DoL 15 (i) and 13 (ii). Infants transitioned to growth trajectories parallel to Fenton chart percentiles, 0.8 z-scores below their birth percentiles. The new trajectory after completed postnatal adaptation could be predicted for DoL 21 with R 2 = 0.96. Conclusion: This study provides a robust estimate for physiological growth trajectories of infants after undisturbed postnatal adaptation. In the future, the concept of a target postnatal trajectory during NICU care may be useful.", "author" : [ { "dropping-particle" : "", "family" : "Rochow", "given" : "Niels", "non-dropping-particle" : "", "parse-names" : false, "suffix" : "" }, { "dropping-particle" : "", "family" : "Raja", "given" : "Preeya", "non-dropping-particle" : "", "parse-names" : false, "suffix" : "" }, { "dropping-particle" : "", "family" : "Liu", "given" : "Kai", "non-dropping-particle" : "", "parse-names" : false, "suffix" : "" }, { "dropping-particle" : "", "family" : "Fenton", "given" : "Tanis", "non-dropping-particle" : "", "parse-names" : false, "suffix" : "" }, { "dropping-particle" : "", "family" : "Landau-Crangle", "given" : "Erin", "non-dropping-particle" : "", "parse-names" : false, "suffix" : "" }, { "dropping-particle" : "", "family" : "G\u00f6ttler", "given" : "Susanne", "non-dropping-particle" : "", "parse-names" : false, "suffix" : "" }, { "dropping-particle" : "", "family" : "Jahn", "given" : "Andrea", "non-dropping-particle" : "", "parse-names" : false, "suffix" : "" }, { "dropping-particle" : "", "family" : "Lee", "given" : "Sauyoung", "non-dropping-particle" : "", "parse-names" : false, "suffix" : "" }, { "dropping-particle" : "", "family" : "Seigel", "given" : "Sandra", "non-dropping-particle" : "", "parse-names" : false, "suffix" : "" }, { "dropping-particle" : "", "family" : "Campbell", "given" : "Douglas", "non-dropping-particle" : "", "parse-names" : false, "suffix" : "" }, { "dropping-particle" : "", "family" : "Heckmann", "given" : "Matthias", "non-dropping-particle" : "", "parse-names" : false, "suffix" : "" }, { "dropping-particle" : "", "family" : "P\u00f6schl", "given" : "Johannes", "non-dropping-particle" : "", "parse-names" : false, "suffix" : "" }, { "dropping-particle" : "", "family" : "Fusch", "given" : "Christoph", "non-dropping-particle" : "", "parse-names" : false, "suffix" : "" } ], "container-title" : "Pediatric Research", "id" : "ITEM-2", "issue" : "6", "issued" : { "date-parts" : [ [ "2016" ] ] }, "page" : "870-879", "title" : "Physiological adjustment to postnatal growth trajectories in healthy preterm infants", "type" : "article-journal", "volume" : "79" }, "uris" : [ "http://www.mendeley.com/documents/?uuid=21e5f327-d35f-38e2-a292-e0a1e9dd97ab" ] }, { "id" : "ITEM-3", "itemData" : { "DOI" : "10.1542/peds.104.2.280", "ISBN" : "0031-4005 (Print)", "ISSN" : "0031-4005", "PMID" : "10429008", "abstract" : "BACKGROUND: The interpretation of growth rates for very low birth weight infants is obscured by limited data, recent changes in perinatal care, and the uncertain effects of multiple therapies. OBJECTIVES: To develop contemporary postnatal growth curves for very low birth weight preterm infants and to relate growth velocity to birth weight, nutritional practices, fetal growth status (small- or appropriate-for-gestational-age), and major neonatal morbidities (chronic lung disease, nosocomial infection or late-onset infection, severe intraventricular hemorrhage, and necrotizing enterocolitis). DESIGN: Large, multicenter, prospective cohort study. METHODS: Growth was prospectively assessed for 1660 infants with birth weights between 501 to 1500 g admitted by 24 hours of age to 1 of the 12 National Institute of Child Health and Human Development Neonatal Research Network centers between August 31, 1994 and August 9, 1995. Infants were included if they survived &gt;7 days (168 hours) and were free of major congenital anomalies. Anthropometric measures (body weight, length, head circumference, and midarm circumference) were performed from birth until discharge, transfer, death, age 120 days, or a body weight of 2000 g. To obtain representative data, nutritional practices were not altered by the study protocol. RESULTS: Postnatal growth curves suitable for clinical and research use were constructed for body weight, length, head circumference, and midarm circumference. Once birth weight was regained, weight gain (14.4-16.1 g/kg/d) approximated intrauterine rates. However, at hospital discharge, most infants born between 24 and 29 weeks of gestation had not achieved the median birth weight of the reference fetus at the same postmenstrual age. Gestational age, race, and gender had no effect on growth within 100-g birth weight strata. Appropriate-for-gestational age infants who survived to hospital discharge without developing chronic lung disease, severe intraventricular hemorrhage, necrotizing enterocolitis, or late onset-sepsis gained weight faster than comparable infants with those morbidities. More rapid weight gain was also associated with a shorter duration of parenteral nutrition providing at least 75% of the total daily fluid volume, an earlier age at the initiation of enteral feedings, and an earlier age at achievement of full enteral feedings. CONCLUSIONS: These growth curves may be used to better understand postnatal growth, to help identify infants develo\u2026", "author" : [ { "dropping-particle" : "", "family" : "Ehrenkranz", "given" : "R. A.", "non-dropping-particle" : "", "parse-names" : false, "suffix" : "" }, { "dropping-particle" : "", "family" : "Younes", "given" : "N.", "non-dropping-particle" : "", "parse-names" : false, "suffix" : "" }, { "dropping-particle" : "", "family" : "Lemons", "given" : "J. A.", "non-dropping-particle" : "", "parse-names" : false, "suffix" : "" }, { "dropping-particle" : "", "family" : "Fanaroff", "given" : "A. A.", "non-dropping-particle" : "", "parse-names" : false, "suffix" : "" }, { "dropping-particle" : "", "family" : "Donovan", "given" : "E. F.", "non-dropping-particle" : "", "parse-names" : false, "suffix" : "" }, { "dropping-particle" : "", "family" : "Wright", "given" : "L. L.", "non-dropping-particle" : "", "parse-names" : false, "suffix" : "" }, { "dropping-particle" : "", "family" : "Katsikiotis", "given" : "V.", "non-dropping-particle" : "", "parse-names" : false, "suffix" : "" }, { "dropping-particle" : "", "family" : "Tyson", "given" : "J. E.", "non-dropping-particle" : "", "parse-names" : false, "suffix" : "" }, { "dropping-particle" : "", "family" : "Oh", "given" : "W.", "non-dropping-particle" : "", "parse-names" : false, "suffix" : "" }, { "dropping-particle" : "", "family" : "Shankaran", "given" : "S.", "non-dropping-particle" : "", "parse-names" : false, "suffix" : "" }, { "dropping-particle" : "", "family" : "Bauer", "given" : "C. R.", "non-dropping-particle" : "", "parse-names" : false, "suffix" : "" }, { "dropping-particle" : "", "family" : "Korones", "given" : "S. B.", "non-dropping-particle" : "", "parse-names" : false, "suffix" : "" }, { "dropping-particle" : "", "family" : "Stoll", "given" : "B. J.", "non-dropping-particle" : "", "parse-names" : false, "suffix" : "" }, { "dropping-particle" : "", "family" : "Stevenson", "given" : "D. K.", "non-dropping-particle" : "", "parse-names" : false, "suffix" : "" }, { "dropping-particle" : "", "family" : "Papile", "given" : "L.-A.", "non-dropping-particle" : "", "parse-names" : false, "suffix" : "" } ], "container-title" : "Pediatrics", "id" : "ITEM-3", "issue" : "2", "issued" : { "date-parts" : [ [ "1999" ] ] }, "page" : "280-289", "title" : "Longitudinal Growth of Hospitalized Very Low Birth Weight Infants", "type" : "article-journal", "volume" : "104" }, "uris" : [ "http://www.mendeley.com/documents/?uuid=bc910cda-8369-41a1-b65a-7cce07ae5a51" ] } ], "mendeley" : { "formattedCitation" : "[10,11,16]", "plainTextFormattedCitation" : "[10,11,16]", "previouslyFormattedCitation" : "[10,11,16]" }, "properties" : {  }, "schema" : "https://github.com/citation-style-language/schema/raw/master/csl-citation.json" }</w:instrText>
      </w:r>
      <w:r w:rsidR="00D864BF" w:rsidRPr="009622E6">
        <w:rPr>
          <w:rFonts w:asciiTheme="majorHAnsi" w:hAnsiTheme="majorHAnsi" w:cs="Times New Roman"/>
          <w:sz w:val="24"/>
          <w:szCs w:val="24"/>
        </w:rPr>
        <w:fldChar w:fldCharType="separate"/>
      </w:r>
      <w:r w:rsidR="00C4193C" w:rsidRPr="00C4193C">
        <w:rPr>
          <w:rFonts w:asciiTheme="majorHAnsi" w:hAnsiTheme="majorHAnsi" w:cs="Times New Roman"/>
          <w:noProof/>
          <w:sz w:val="24"/>
          <w:szCs w:val="24"/>
        </w:rPr>
        <w:t>[10,11,16]</w:t>
      </w:r>
      <w:r w:rsidR="00D864BF" w:rsidRPr="009622E6">
        <w:rPr>
          <w:rFonts w:asciiTheme="majorHAnsi" w:hAnsiTheme="majorHAnsi" w:cs="Times New Roman"/>
          <w:sz w:val="24"/>
          <w:szCs w:val="24"/>
        </w:rPr>
        <w:fldChar w:fldCharType="end"/>
      </w:r>
      <w:r w:rsidR="00241F79">
        <w:rPr>
          <w:rFonts w:asciiTheme="majorHAnsi" w:hAnsiTheme="majorHAnsi" w:cs="Times New Roman"/>
          <w:sz w:val="24"/>
          <w:szCs w:val="24"/>
        </w:rPr>
        <w:t>.</w:t>
      </w:r>
      <w:r w:rsidR="00D15DE3" w:rsidRPr="009622E6">
        <w:rPr>
          <w:rFonts w:asciiTheme="majorHAnsi" w:hAnsiTheme="majorHAnsi" w:cs="Times New Roman"/>
          <w:sz w:val="24"/>
          <w:szCs w:val="24"/>
        </w:rPr>
        <w:t xml:space="preserve"> </w:t>
      </w:r>
      <w:proofErr w:type="spellStart"/>
      <w:r w:rsidR="00D864BF" w:rsidRPr="005814CA">
        <w:rPr>
          <w:rFonts w:asciiTheme="majorHAnsi" w:hAnsiTheme="majorHAnsi" w:cs="Times New Roman"/>
          <w:sz w:val="24"/>
          <w:szCs w:val="24"/>
        </w:rPr>
        <w:t>Ehrenkranz</w:t>
      </w:r>
      <w:proofErr w:type="spellEnd"/>
      <w:r w:rsidR="00D864BF" w:rsidRPr="005814CA">
        <w:rPr>
          <w:rFonts w:asciiTheme="majorHAnsi" w:hAnsiTheme="majorHAnsi" w:cs="Times New Roman"/>
          <w:sz w:val="24"/>
          <w:szCs w:val="24"/>
        </w:rPr>
        <w:t xml:space="preserve"> et al (1999), plotted the growth of 1660 US infants born at less than 30 weeks on the Fenton growth chart, showing </w:t>
      </w:r>
      <w:r w:rsidR="00287326">
        <w:rPr>
          <w:rFonts w:asciiTheme="majorHAnsi" w:hAnsiTheme="majorHAnsi" w:cs="Times New Roman"/>
          <w:sz w:val="24"/>
          <w:szCs w:val="24"/>
        </w:rPr>
        <w:t xml:space="preserve">a </w:t>
      </w:r>
      <w:r w:rsidR="00D864BF" w:rsidRPr="005814CA">
        <w:rPr>
          <w:rFonts w:asciiTheme="majorHAnsi" w:hAnsiTheme="majorHAnsi" w:cs="Times New Roman"/>
          <w:sz w:val="24"/>
          <w:szCs w:val="24"/>
        </w:rPr>
        <w:t>f</w:t>
      </w:r>
      <w:r w:rsidR="00287326">
        <w:rPr>
          <w:rFonts w:asciiTheme="majorHAnsi" w:hAnsiTheme="majorHAnsi" w:cs="Times New Roman"/>
          <w:sz w:val="24"/>
          <w:szCs w:val="24"/>
        </w:rPr>
        <w:t>a</w:t>
      </w:r>
      <w:r w:rsidR="00D864BF" w:rsidRPr="005814CA">
        <w:rPr>
          <w:rFonts w:asciiTheme="majorHAnsi" w:hAnsiTheme="majorHAnsi" w:cs="Times New Roman"/>
          <w:sz w:val="24"/>
          <w:szCs w:val="24"/>
        </w:rPr>
        <w:t xml:space="preserve">ll down across centile lines over the first few weeks of life </w:t>
      </w:r>
      <w:r w:rsidR="00A17313">
        <w:rPr>
          <w:rFonts w:asciiTheme="majorHAnsi" w:hAnsiTheme="majorHAnsi" w:cs="Times New Roman"/>
          <w:sz w:val="24"/>
          <w:szCs w:val="24"/>
        </w:rPr>
        <w:t>with</w:t>
      </w:r>
      <w:r w:rsidR="00D864BF" w:rsidRPr="005814CA">
        <w:rPr>
          <w:rFonts w:asciiTheme="majorHAnsi" w:hAnsiTheme="majorHAnsi" w:cs="Times New Roman"/>
          <w:sz w:val="24"/>
          <w:szCs w:val="24"/>
        </w:rPr>
        <w:t xml:space="preserve"> growth trajectories that were divergent f</w:t>
      </w:r>
      <w:r w:rsidR="00A17313">
        <w:rPr>
          <w:rFonts w:asciiTheme="majorHAnsi" w:hAnsiTheme="majorHAnsi" w:cs="Times New Roman"/>
          <w:sz w:val="24"/>
          <w:szCs w:val="24"/>
        </w:rPr>
        <w:t>rom</w:t>
      </w:r>
      <w:r w:rsidR="00D864BF" w:rsidRPr="005814CA">
        <w:rPr>
          <w:rFonts w:asciiTheme="majorHAnsi" w:hAnsiTheme="majorHAnsi" w:cs="Times New Roman"/>
          <w:sz w:val="24"/>
          <w:szCs w:val="24"/>
        </w:rPr>
        <w:t xml:space="preserve"> the Fenton standards</w:t>
      </w:r>
      <w:r w:rsidR="00D864BF" w:rsidRPr="005814CA">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"10.1542/peds.104.2.280", "ISBN" : "0031-4005 (Print)", "ISSN" : "0031-4005", "PMID" : "10429008", "abstract" : "BACKGROUND: The interpretation of growth rates for very low birth weight infants is obscured by limited data, recent changes in perinatal care, and the uncertain effects of multiple therapies. OBJECTIVES: To develop contemporary postnatal growth curves for very low birth weight preterm infants and to relate growth velocity to birth weight, nutritional practices, fetal growth status (small- or appropriate-for-gestational-age), and major neonatal morbidities (chronic lung disease, nosocomial infection or late-onset infection, severe intraventricular hemorrhage, and necrotizing enterocolitis). DESIGN: Large, multicenter, prospective cohort study. METHODS: Growth was prospectively assessed for 1660 infants with birth weights between 501 to 1500 g admitted by 24 hours of age to 1 of the 12 National Institute of Child Health and Human Development Neonatal Research Network centers between August 31, 1994 and August 9, 1995. Infants were included if they survived &gt;7 days (168 hours) and were free of major congenital anomalies. Anthropometric measures (body weight, length, head circumference, and midarm circumference) were performed from birth until discharge, transfer, death, age 120 days, or a body weight of 2000 g. To obtain representative data, nutritional practices were not altered by the study protocol. RESULTS: Postnatal growth curves suitable for clinical and research use were constructed for body weight, length, head circumference, and midarm circumference. Once birth weight was regained, weight gain (14.4-16.1 g/kg/d) approximated intrauterine rates. However, at hospital discharge, most infants born between 24 and 29 weeks of gestation had not achieved the median birth weight of the reference fetus at the same postmenstrual age. Gestational age, race, and gender had no effect on growth within 100-g birth weight strata. Appropriate-for-gestational age infants who survived to hospital discharge without developing chronic lung disease, severe intraventricular hemorrhage, necrotizing enterocolitis, or late onset-sepsis gained weight faster than comparable infants with those morbidities. More rapid weight gain was also associated with a shorter duration of parenteral nutrition providing at least 75% of the total daily fluid volume, an earlier age at the initiation of enteral feedings, and an earlier age at achievement of full enteral feedings. CONCLUSIONS: These growth curves may be used to better understand postnatal growth, to help identify infants develo\u2026", "author" : [ { "dropping-particle" : "", "family" : "Ehrenkranz", "given" : "R. A.", "non-dropping-particle" : "", "parse-names" : false, "suffix" : "" }, { "dropping-particle" : "", "family" : "Younes", "given" : "N.", "non-dropping-particle" : "", "parse-names" : false, "suffix" : "" }, { "dropping-particle" : "", "family" : "Lemons", "given" : "J. A.", "non-dropping-particle" : "", "parse-names" : false, "suffix" : "" }, { "dropping-particle" : "", "family" : "Fanaroff", "given" : "A. A.", "non-dropping-particle" : "", "parse-names" : false, "suffix" : "" }, { "dropping-particle" : "", "family" : "Donovan", "given" : "E. F.", "non-dropping-particle" : "", "parse-names" : false, "suffix" : "" }, { "dropping-particle" : "", "family" : "Wright", "given" : "L. L.", "non-dropping-particle" : "", "parse-names" : false, "suffix" : "" }, { "dropping-particle" : "", "family" : "Katsikiotis", "given" : "V.", "non-dropping-particle" : "", "parse-names" : false, "suffix" : "" }, { "dropping-particle" : "", "family" : "Tyson", "given" : "J. E.", "non-dropping-particle" : "", "parse-names" : false, "suffix" : "" }, { "dropping-particle" : "", "family" : "Oh", "given" : "W.", "non-dropping-particle" : "", "parse-names" : false, "suffix" : "" }, { "dropping-particle" : "", "family" : "Shankaran", "given" : "S.", "non-dropping-particle" : "", "parse-names" : false, "suffix" : "" }, { "dropping-particle" : "", "family" : "Bauer", "given" : "C. R.", "non-dropping-particle" : "", "parse-names" : false, "suffix" : "" }, { "dropping-particle" : "", "family" : "Korones", "given" : "S. B.", "non-dropping-particle" : "", "parse-names" : false, "suffix" : "" }, { "dropping-particle" : "", "family" : "Stoll", "given" : "B. J.", "non-dropping-particle" : "", "parse-names" : false, "suffix" : "" }, { "dropping-particle" : "", "family" : "Stevenson", "given" : "D. K.", "non-dropping-particle" : "", "parse-names" : false, "suffix" : "" }, { "dropping-particle" : "", "family" : "Papile", "given" : "L.-A.", "non-dropping-particle" : "", "parse-names" : false, "suffix" : "" } ], "container-title" : "Pediatrics", "id" : "ITEM-1", "issue" : "2", "issued" : { "date-parts" : [ [ "1999" ] ] }, "page" : "280-289", "title" : "Longitudinal Growth of Hospitalized Very Low Birth Weight Infants", "type" : "article-journal", "volume" : "104" }, "uris" : [ "http://www.mendeley.com/documents/?uuid=bc910cda-8369-41a1-b65a-7cce07ae5a51" ] } ], "mendeley" : { "formattedCitation" : "[10]", "plainTextFormattedCitation" : "[10]", "previouslyFormattedCitation" : "[10]" }, "properties" : {  }, "schema" : "https://github.com/citation-style-language/schema/raw/master/csl-citation.json" }</w:instrText>
      </w:r>
      <w:r w:rsidR="00D864BF" w:rsidRPr="005814CA">
        <w:rPr>
          <w:rFonts w:asciiTheme="majorHAnsi" w:hAnsiTheme="majorHAnsi" w:cs="Times New Roman"/>
          <w:sz w:val="24"/>
          <w:szCs w:val="24"/>
        </w:rPr>
        <w:fldChar w:fldCharType="separate"/>
      </w:r>
      <w:r w:rsidR="00C4193C" w:rsidRPr="00C4193C">
        <w:rPr>
          <w:rFonts w:asciiTheme="majorHAnsi" w:hAnsiTheme="majorHAnsi" w:cs="Times New Roman"/>
          <w:noProof/>
          <w:sz w:val="24"/>
          <w:szCs w:val="24"/>
        </w:rPr>
        <w:t>[10]</w:t>
      </w:r>
      <w:r w:rsidR="00D864BF" w:rsidRPr="005814CA">
        <w:rPr>
          <w:rFonts w:asciiTheme="majorHAnsi" w:hAnsiTheme="majorHAnsi" w:cs="Times New Roman"/>
          <w:sz w:val="24"/>
          <w:szCs w:val="24"/>
        </w:rPr>
        <w:fldChar w:fldCharType="end"/>
      </w:r>
      <w:r w:rsidR="00CD0825">
        <w:rPr>
          <w:rFonts w:asciiTheme="majorHAnsi" w:hAnsiTheme="majorHAnsi" w:cs="Times New Roman"/>
          <w:sz w:val="24"/>
          <w:szCs w:val="24"/>
        </w:rPr>
        <w:t>.</w:t>
      </w:r>
      <w:r w:rsidR="00D864BF" w:rsidRPr="005814CA">
        <w:rPr>
          <w:rFonts w:asciiTheme="majorHAnsi" w:hAnsiTheme="majorHAnsi" w:cs="Times New Roman"/>
          <w:sz w:val="24"/>
          <w:szCs w:val="24"/>
        </w:rPr>
        <w:t xml:space="preserve"> More recently in 2014, Cole et. al described the longitudinal weight gain of 5009 infants born below 32 weeks' gestation. They noted a downward crossing of marked centile lines in all gestations over the first 2-3 weeks of life, with an absolute post-natal weight loss </w:t>
      </w:r>
      <w:r w:rsidR="007D2B04">
        <w:rPr>
          <w:rFonts w:asciiTheme="majorHAnsi" w:hAnsiTheme="majorHAnsi" w:cs="Times New Roman"/>
          <w:sz w:val="24"/>
          <w:szCs w:val="24"/>
        </w:rPr>
        <w:t>following</w:t>
      </w:r>
      <w:r w:rsidR="007D2B04" w:rsidRPr="005814CA">
        <w:rPr>
          <w:rFonts w:asciiTheme="majorHAnsi" w:hAnsiTheme="majorHAnsi" w:cs="Times New Roman"/>
          <w:sz w:val="24"/>
          <w:szCs w:val="24"/>
        </w:rPr>
        <w:t xml:space="preserve"> </w:t>
      </w:r>
      <w:r w:rsidR="00D864BF" w:rsidRPr="005814CA">
        <w:rPr>
          <w:rFonts w:asciiTheme="majorHAnsi" w:hAnsiTheme="majorHAnsi" w:cs="Times New Roman"/>
          <w:sz w:val="24"/>
          <w:szCs w:val="24"/>
        </w:rPr>
        <w:t>birth in infants born after 29 week’s gestation</w:t>
      </w:r>
      <w:r w:rsidR="00D864BF" w:rsidRPr="005814CA">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"10.1136/archdischild-2012-303536", "ISBN" : "2012303536", "ISSN" : "1359-2998", "PMID" : "23934365", "abstract" : "OBJECTIVE: To describe birth weight and postnatal weight gain in a contemporaneous population of babies born &lt;32 weeks' gestation, using routinely captured electronic clinical data. DESIGN: Anonymised longitudinal weight data from 2006 to 2011. SETTING: National Health Service neonatal units in England. METHODS: Birth weight centiles were constructed using the LMS method, and longitudinal weight gain was summarised as mean growth curves for each week of gestation until discharge, using SITAR (Superimposition by Translation and Rotation) growth curve analysis. RESULTS: Data on 103 194 weights of 5009 babies born from 22-31 weeks' gestation were received from 40 neonatal units. At birth, girls weighed 6.6% (SE 0.4%) less than boys (p&lt;0.0001). For babies born at 31 weeks' gestation, weight fell after birth by an average of 258 g, with the nadir on the 8th postnatal day. The rate of weight gain then increased to a maximum of 28.4 g/d or 16.0 g/kg/d after 3 weeks. Conversely for babies of 22 to 28 weeks' gestation, there was on average no weight loss after birth. At all gestations, babies tended to cross weight centiles downwards for at least 2 weeks. CONCLUSIONS: In very preterm infants, mean weight crosses centiles downwards by at least two centile channel widths. Postnatal weight loss is generally absent in those born before 29 weeks, but marked in those born later. Assigning an infant's target centile at birth is potentially harmful as it requires rapid weight gain and should only be done once weight gain has stabilised. The use of electronic data reflects contemporary medical management.", "author" : [ { "dropping-particle" : "", "family" : "Cole", "given" : "Tim J", "non-dropping-particle" : "", "parse-names" : false, "suffix" : "" }, { "dropping-particle" : "", "family" : "Statnikov", "given" : "Yevgeniy", "non-dropping-particle" : "", "parse-names" : false, "suffix" : "" }, { "dropping-particle" : "", "family" : "Santhakumaran", "given" : "Shalini", "non-dropping-particle" : "", "parse-names" : false, "suffix" : "" }, { "dropping-particle" : "", "family" : "Pan", "given" : "Huiqi", "non-dropping-particle" : "", "parse-names" : false, "suffix" : "" }, { "dropping-particle" : "", "family" : "Modi", "given" : "Neena", "non-dropping-particle" : "", "parse-names" : false, "suffix" : "" } ], "container-title" : "Archives of Disease in Childhood - Fetal and Neonatal Edition", "id" : "ITEM-1", "issue" : "1", "issued" : { "date-parts" : [ [ "2014" ] ] }, "page" : "F34-F40", "title" : "Birth weight and longitudinal growth in infants born below 32\u2005weeks\u2019 gestation: a UK population study", "type" : "article-journal", "volume" : "99" }, "uris" : [ "http://www.mendeley.com/documents/?uuid=1dd2591b-92e3-4405-a13a-98efad7f09ad" ] } ], "mendeley" : { "formattedCitation" : "[11]", "plainTextFormattedCitation" : "[11]", "previouslyFormattedCitation" : "[11]" }, "properties" : {  }, "schema" : "https://github.com/citation-style-language/schema/raw/master/csl-citation.json" }</w:instrText>
      </w:r>
      <w:r w:rsidR="00D864BF" w:rsidRPr="005814CA">
        <w:rPr>
          <w:rFonts w:asciiTheme="majorHAnsi" w:hAnsiTheme="majorHAnsi" w:cs="Times New Roman"/>
          <w:sz w:val="24"/>
          <w:szCs w:val="24"/>
        </w:rPr>
        <w:fldChar w:fldCharType="separate"/>
      </w:r>
      <w:r w:rsidR="00C4193C" w:rsidRPr="00C4193C">
        <w:rPr>
          <w:rFonts w:asciiTheme="majorHAnsi" w:hAnsiTheme="majorHAnsi" w:cs="Times New Roman"/>
          <w:noProof/>
          <w:sz w:val="24"/>
          <w:szCs w:val="24"/>
        </w:rPr>
        <w:t>[11]</w:t>
      </w:r>
      <w:r w:rsidR="00D864BF" w:rsidRPr="005814CA">
        <w:rPr>
          <w:rFonts w:asciiTheme="majorHAnsi" w:hAnsiTheme="majorHAnsi" w:cs="Times New Roman"/>
          <w:sz w:val="24"/>
          <w:szCs w:val="24"/>
        </w:rPr>
        <w:fldChar w:fldCharType="end"/>
      </w:r>
      <w:r w:rsidR="00CD0825">
        <w:rPr>
          <w:rFonts w:asciiTheme="majorHAnsi" w:hAnsiTheme="majorHAnsi" w:cs="Times New Roman"/>
          <w:sz w:val="24"/>
          <w:szCs w:val="24"/>
        </w:rPr>
        <w:t>.</w:t>
      </w:r>
      <w:r w:rsidR="00A4615B" w:rsidRPr="009622E6">
        <w:rPr>
          <w:rFonts w:asciiTheme="majorHAnsi" w:hAnsiTheme="majorHAnsi" w:cs="Times New Roman"/>
          <w:sz w:val="24"/>
          <w:szCs w:val="24"/>
        </w:rPr>
        <w:t xml:space="preserve"> Cole also noted that by 40 weeks </w:t>
      </w:r>
      <w:r w:rsidR="006F5D8F" w:rsidRPr="009622E6">
        <w:rPr>
          <w:rFonts w:asciiTheme="majorHAnsi" w:hAnsiTheme="majorHAnsi" w:cs="Times New Roman"/>
          <w:sz w:val="24"/>
          <w:szCs w:val="24"/>
        </w:rPr>
        <w:t>PMA</w:t>
      </w:r>
      <w:r w:rsidR="00A4615B" w:rsidRPr="009622E6">
        <w:rPr>
          <w:rFonts w:asciiTheme="majorHAnsi" w:hAnsiTheme="majorHAnsi" w:cs="Times New Roman"/>
          <w:sz w:val="24"/>
          <w:szCs w:val="24"/>
        </w:rPr>
        <w:t xml:space="preserve"> weight </w:t>
      </w:r>
      <w:r w:rsidR="00A17313">
        <w:rPr>
          <w:rFonts w:asciiTheme="majorHAnsi" w:hAnsiTheme="majorHAnsi" w:cs="Times New Roman"/>
          <w:sz w:val="24"/>
          <w:szCs w:val="24"/>
        </w:rPr>
        <w:t>SDS</w:t>
      </w:r>
      <w:r w:rsidR="00A4615B" w:rsidRPr="009622E6">
        <w:rPr>
          <w:rFonts w:asciiTheme="majorHAnsi" w:hAnsiTheme="majorHAnsi" w:cs="Times New Roman"/>
          <w:sz w:val="24"/>
          <w:szCs w:val="24"/>
        </w:rPr>
        <w:t xml:space="preserve"> for infants born below 32 weeks gestation was more than one SD below that of the mean for term born</w:t>
      </w:r>
      <w:r w:rsidR="00324D78" w:rsidRPr="009622E6">
        <w:rPr>
          <w:rFonts w:asciiTheme="majorHAnsi" w:hAnsiTheme="majorHAnsi" w:cs="Times New Roman"/>
          <w:sz w:val="24"/>
          <w:szCs w:val="24"/>
        </w:rPr>
        <w:t xml:space="preserve"> infants</w:t>
      </w:r>
      <w:r w:rsidR="008C342F">
        <w:rPr>
          <w:rFonts w:asciiTheme="majorHAnsi" w:hAnsiTheme="majorHAnsi" w:cs="Times New Roman"/>
          <w:sz w:val="24"/>
          <w:szCs w:val="24"/>
        </w:rPr>
        <w:t xml:space="preserve"> with</w:t>
      </w:r>
      <w:r w:rsidR="00A4615B" w:rsidRPr="009622E6">
        <w:rPr>
          <w:rFonts w:asciiTheme="majorHAnsi" w:hAnsiTheme="majorHAnsi" w:cs="Times New Roman"/>
          <w:sz w:val="24"/>
          <w:szCs w:val="24"/>
        </w:rPr>
        <w:t xml:space="preserve"> </w:t>
      </w:r>
      <w:r w:rsidR="008C342F">
        <w:rPr>
          <w:rFonts w:asciiTheme="majorHAnsi" w:hAnsiTheme="majorHAnsi" w:cs="Times New Roman"/>
          <w:sz w:val="24"/>
          <w:szCs w:val="24"/>
        </w:rPr>
        <w:t>g</w:t>
      </w:r>
      <w:r w:rsidR="00A4615B" w:rsidRPr="009622E6">
        <w:rPr>
          <w:rFonts w:asciiTheme="majorHAnsi" w:hAnsiTheme="majorHAnsi" w:cs="Times New Roman"/>
          <w:sz w:val="24"/>
          <w:szCs w:val="24"/>
        </w:rPr>
        <w:t xml:space="preserve">rowth trajectories toward term </w:t>
      </w:r>
      <w:r w:rsidR="008C342F">
        <w:rPr>
          <w:rFonts w:asciiTheme="majorHAnsi" w:hAnsiTheme="majorHAnsi" w:cs="Times New Roman"/>
          <w:sz w:val="24"/>
          <w:szCs w:val="24"/>
        </w:rPr>
        <w:t xml:space="preserve">that </w:t>
      </w:r>
      <w:r w:rsidR="00A4615B" w:rsidRPr="009622E6">
        <w:rPr>
          <w:rFonts w:asciiTheme="majorHAnsi" w:hAnsiTheme="majorHAnsi" w:cs="Times New Roman"/>
          <w:sz w:val="24"/>
          <w:szCs w:val="24"/>
        </w:rPr>
        <w:t>were downwardly diver</w:t>
      </w:r>
      <w:r w:rsidR="004C0EDE" w:rsidRPr="009622E6">
        <w:rPr>
          <w:rFonts w:asciiTheme="majorHAnsi" w:hAnsiTheme="majorHAnsi" w:cs="Times New Roman"/>
          <w:sz w:val="24"/>
          <w:szCs w:val="24"/>
        </w:rPr>
        <w:t>gent away from marked centiles</w:t>
      </w:r>
      <w:r w:rsidR="00D864BF">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"10.1136/archdischild-2012-303536", "ISBN" : "2012303536", "ISSN" : "1359-2998", "PMID" : "23934365", "abstract" : "OBJECTIVE: To describe birth weight and postnatal weight gain in a contemporaneous population of babies born &lt;32 weeks' gestation, using routinely captured electronic clinical data. DESIGN: Anonymised longitudinal weight data from 2006 to 2011. SETTING: National Health Service neonatal units in England. METHODS: Birth weight centiles were constructed using the LMS method, and longitudinal weight gain was summarised as mean growth curves for each week of gestation until discharge, using SITAR (Superimposition by Translation and Rotation) growth curve analysis. RESULTS: Data on 103 194 weights of 5009 babies born from 22-31 weeks' gestation were received from 40 neonatal units. At birth, girls weighed 6.6% (SE 0.4%) less than boys (p&lt;0.0001). For babies born at 31 weeks' gestation, weight fell after birth by an average of 258 g, with the nadir on the 8th postnatal day. The rate of weight gain then increased to a maximum of 28.4 g/d or 16.0 g/kg/d after 3 weeks. Conversely for babies of 22 to 28 weeks' gestation, there was on average no weight loss after birth. At all gestations, babies tended to cross weight centiles downwards for at least 2 weeks. CONCLUSIONS: In very preterm infants, mean weight crosses centiles downwards by at least two centile channel widths. Postnatal weight loss is generally absent in those born before 29 weeks, but marked in those born later. Assigning an infant's target centile at birth is potentially harmful as it requires rapid weight gain and should only be done once weight gain has stabilised. The use of electronic data reflects contemporary medical management.", "author" : [ { "dropping-particle" : "", "family" : "Cole", "given" : "Tim J", "non-dropping-particle" : "", "parse-names" : false, "suffix" : "" }, { "dropping-particle" : "", "family" : "Statnikov", "given" : "Yevgeniy", "non-dropping-particle" : "", "parse-names" : false, "suffix" : "" }, { "dropping-particle" : "", "family" : "Santhakumaran", "given" : "Shalini", "non-dropping-particle" : "", "parse-names" : false, "suffix" : "" }, { "dropping-particle" : "", "family" : "Pan", "given" : "Huiqi", "non-dropping-particle" : "", "parse-names" : false, "suffix" : "" }, { "dropping-particle" : "", "family" : "Modi", "given" : "Neena", "non-dropping-particle" : "", "parse-names" : false, "suffix" : "" } ], "container-title" : "Archives of Disease in Childhood - Fetal and Neonatal Edition", "id" : "ITEM-1", "issue" : "1", "issued" : { "date-parts" : [ [ "2014" ] ] }, "page" : "F34-F40", "title" : "Birth weight and longitudinal growth in infants born below 32\u2005weeks\u2019 gestation: a UK population study", "type" : "article-journal", "volume" : "99" }, "uris" : [ "http://www.mendeley.com/documents/?uuid=1dd2591b-92e3-4405-a13a-98efad7f09ad" ] } ], "mendeley" : { "formattedCitation" : "[11]", "plainTextFormattedCitation" : "[11]", "previouslyFormattedCitation" : "[11]" }, "properties" : {  }, "schema" : "https://github.com/citation-style-language/schema/raw/master/csl-citation.json" }</w:instrText>
      </w:r>
      <w:r w:rsidR="00D864BF">
        <w:rPr>
          <w:rFonts w:asciiTheme="majorHAnsi" w:hAnsiTheme="majorHAnsi" w:cs="Times New Roman"/>
          <w:sz w:val="24"/>
          <w:szCs w:val="24"/>
        </w:rPr>
        <w:fldChar w:fldCharType="separate"/>
      </w:r>
      <w:r w:rsidR="00C4193C" w:rsidRPr="00C4193C">
        <w:rPr>
          <w:rFonts w:asciiTheme="majorHAnsi" w:hAnsiTheme="majorHAnsi" w:cs="Times New Roman"/>
          <w:noProof/>
          <w:sz w:val="24"/>
          <w:szCs w:val="24"/>
        </w:rPr>
        <w:t>[11]</w:t>
      </w:r>
      <w:r w:rsidR="00D864BF">
        <w:rPr>
          <w:rFonts w:asciiTheme="majorHAnsi" w:hAnsiTheme="majorHAnsi" w:cs="Times New Roman"/>
          <w:sz w:val="24"/>
          <w:szCs w:val="24"/>
        </w:rPr>
        <w:fldChar w:fldCharType="end"/>
      </w:r>
      <w:r w:rsidR="00CD0825">
        <w:rPr>
          <w:rFonts w:asciiTheme="majorHAnsi" w:hAnsiTheme="majorHAnsi" w:cs="Times New Roman"/>
          <w:sz w:val="24"/>
          <w:szCs w:val="24"/>
        </w:rPr>
        <w:t>.</w:t>
      </w:r>
      <w:r w:rsidR="00E51465">
        <w:rPr>
          <w:rFonts w:asciiTheme="majorHAnsi" w:hAnsiTheme="majorHAnsi" w:cs="Times New Roman"/>
          <w:sz w:val="24"/>
          <w:szCs w:val="24"/>
        </w:rPr>
        <w:t xml:space="preserve"> A</w:t>
      </w:r>
      <w:r w:rsidR="00847467">
        <w:rPr>
          <w:rFonts w:asciiTheme="majorHAnsi" w:hAnsiTheme="majorHAnsi" w:cs="Times New Roman"/>
          <w:sz w:val="24"/>
          <w:szCs w:val="24"/>
        </w:rPr>
        <w:t xml:space="preserve"> </w:t>
      </w:r>
      <w:r w:rsidR="00E51465">
        <w:rPr>
          <w:rFonts w:asciiTheme="majorHAnsi" w:hAnsiTheme="majorHAnsi" w:cs="Times New Roman"/>
          <w:sz w:val="24"/>
          <w:szCs w:val="24"/>
        </w:rPr>
        <w:t xml:space="preserve">potential issue with these </w:t>
      </w:r>
      <w:r w:rsidR="00847467">
        <w:rPr>
          <w:rFonts w:asciiTheme="majorHAnsi" w:hAnsiTheme="majorHAnsi" w:cs="Times New Roman"/>
          <w:sz w:val="24"/>
          <w:szCs w:val="24"/>
        </w:rPr>
        <w:lastRenderedPageBreak/>
        <w:t>studies</w:t>
      </w:r>
      <w:r w:rsidR="00E51465">
        <w:rPr>
          <w:rFonts w:asciiTheme="majorHAnsi" w:hAnsiTheme="majorHAnsi" w:cs="Times New Roman"/>
          <w:sz w:val="24"/>
          <w:szCs w:val="24"/>
        </w:rPr>
        <w:t xml:space="preserve"> is that they use cohorts where the quality of nutritional care is </w:t>
      </w:r>
      <w:r w:rsidR="00847467">
        <w:rPr>
          <w:rFonts w:asciiTheme="majorHAnsi" w:hAnsiTheme="majorHAnsi" w:cs="Times New Roman"/>
          <w:sz w:val="24"/>
          <w:szCs w:val="24"/>
        </w:rPr>
        <w:t>unknown</w:t>
      </w:r>
      <w:r w:rsidR="00E51465">
        <w:rPr>
          <w:rFonts w:asciiTheme="majorHAnsi" w:hAnsiTheme="majorHAnsi" w:cs="Times New Roman"/>
          <w:sz w:val="24"/>
          <w:szCs w:val="24"/>
        </w:rPr>
        <w:t xml:space="preserve"> or not </w:t>
      </w:r>
      <w:r w:rsidR="00847467">
        <w:rPr>
          <w:rFonts w:asciiTheme="majorHAnsi" w:hAnsiTheme="majorHAnsi" w:cs="Times New Roman"/>
          <w:sz w:val="24"/>
          <w:szCs w:val="24"/>
        </w:rPr>
        <w:t>specified</w:t>
      </w:r>
      <w:r w:rsidR="00E51465">
        <w:rPr>
          <w:rFonts w:asciiTheme="majorHAnsi" w:hAnsiTheme="majorHAnsi" w:cs="Times New Roman"/>
          <w:sz w:val="24"/>
          <w:szCs w:val="24"/>
        </w:rPr>
        <w:t>, which</w:t>
      </w:r>
      <w:r w:rsidR="00847467">
        <w:rPr>
          <w:rFonts w:asciiTheme="majorHAnsi" w:hAnsiTheme="majorHAnsi" w:cs="Times New Roman"/>
          <w:sz w:val="24"/>
          <w:szCs w:val="24"/>
        </w:rPr>
        <w:t xml:space="preserve"> </w:t>
      </w:r>
      <w:r w:rsidR="00E51465">
        <w:rPr>
          <w:rFonts w:asciiTheme="majorHAnsi" w:hAnsiTheme="majorHAnsi" w:cs="Times New Roman"/>
          <w:sz w:val="24"/>
          <w:szCs w:val="24"/>
        </w:rPr>
        <w:t xml:space="preserve">may </w:t>
      </w:r>
      <w:r w:rsidR="00847467">
        <w:rPr>
          <w:rFonts w:asciiTheme="majorHAnsi" w:hAnsiTheme="majorHAnsi" w:cs="Times New Roman"/>
          <w:sz w:val="24"/>
          <w:szCs w:val="24"/>
        </w:rPr>
        <w:t xml:space="preserve">account </w:t>
      </w:r>
      <w:r w:rsidR="00E51465">
        <w:rPr>
          <w:rFonts w:asciiTheme="majorHAnsi" w:hAnsiTheme="majorHAnsi" w:cs="Times New Roman"/>
          <w:sz w:val="24"/>
          <w:szCs w:val="24"/>
        </w:rPr>
        <w:t xml:space="preserve">for the </w:t>
      </w:r>
      <w:r w:rsidR="00847467">
        <w:rPr>
          <w:rFonts w:asciiTheme="majorHAnsi" w:hAnsiTheme="majorHAnsi" w:cs="Times New Roman"/>
          <w:sz w:val="24"/>
          <w:szCs w:val="24"/>
        </w:rPr>
        <w:t>pattern</w:t>
      </w:r>
      <w:r w:rsidR="00E51465">
        <w:rPr>
          <w:rFonts w:asciiTheme="majorHAnsi" w:hAnsiTheme="majorHAnsi" w:cs="Times New Roman"/>
          <w:sz w:val="24"/>
          <w:szCs w:val="24"/>
        </w:rPr>
        <w:t xml:space="preserve"> of growth seen. </w:t>
      </w:r>
      <w:r w:rsidR="009B543A">
        <w:rPr>
          <w:rFonts w:asciiTheme="majorHAnsi" w:hAnsiTheme="majorHAnsi" w:cs="Times New Roman"/>
          <w:sz w:val="24"/>
          <w:szCs w:val="24"/>
        </w:rPr>
        <w:t>The INTERGROWTH-21</w:t>
      </w:r>
      <w:r w:rsidR="009B543A" w:rsidRPr="001859F2">
        <w:rPr>
          <w:rFonts w:asciiTheme="majorHAnsi" w:hAnsiTheme="majorHAnsi" w:cs="Times New Roman"/>
          <w:sz w:val="24"/>
          <w:szCs w:val="24"/>
          <w:vertAlign w:val="superscript"/>
        </w:rPr>
        <w:t>st</w:t>
      </w:r>
      <w:r w:rsidR="009B543A">
        <w:rPr>
          <w:rFonts w:asciiTheme="majorHAnsi" w:hAnsiTheme="majorHAnsi" w:cs="Times New Roman"/>
          <w:sz w:val="24"/>
          <w:szCs w:val="24"/>
        </w:rPr>
        <w:t xml:space="preserve"> study </w:t>
      </w:r>
      <w:r w:rsidR="00847467">
        <w:rPr>
          <w:rFonts w:asciiTheme="majorHAnsi" w:hAnsiTheme="majorHAnsi" w:cs="Times New Roman"/>
          <w:sz w:val="24"/>
          <w:szCs w:val="24"/>
        </w:rPr>
        <w:t xml:space="preserve">recently </w:t>
      </w:r>
      <w:r w:rsidR="009B543A">
        <w:rPr>
          <w:rFonts w:asciiTheme="majorHAnsi" w:hAnsiTheme="majorHAnsi" w:cs="Times New Roman"/>
          <w:sz w:val="24"/>
          <w:szCs w:val="24"/>
        </w:rPr>
        <w:t xml:space="preserve">sought to address this by </w:t>
      </w:r>
      <w:r w:rsidR="00847467">
        <w:rPr>
          <w:rFonts w:asciiTheme="majorHAnsi" w:hAnsiTheme="majorHAnsi" w:cs="Times New Roman"/>
          <w:sz w:val="24"/>
          <w:szCs w:val="24"/>
        </w:rPr>
        <w:t>develop</w:t>
      </w:r>
      <w:r w:rsidR="009B543A">
        <w:rPr>
          <w:rFonts w:asciiTheme="majorHAnsi" w:hAnsiTheme="majorHAnsi" w:cs="Times New Roman"/>
          <w:sz w:val="24"/>
          <w:szCs w:val="24"/>
        </w:rPr>
        <w:t>ing</w:t>
      </w:r>
      <w:r w:rsidR="00847467">
        <w:rPr>
          <w:rFonts w:asciiTheme="majorHAnsi" w:hAnsiTheme="majorHAnsi" w:cs="Times New Roman"/>
          <w:sz w:val="24"/>
          <w:szCs w:val="24"/>
        </w:rPr>
        <w:t xml:space="preserve"> growth standards based on the growth of otherwise healthy preterm infants</w:t>
      </w:r>
      <w:r w:rsidR="009B543A">
        <w:rPr>
          <w:rFonts w:asciiTheme="majorHAnsi" w:hAnsiTheme="majorHAnsi" w:cs="Times New Roman"/>
          <w:sz w:val="24"/>
          <w:szCs w:val="24"/>
        </w:rPr>
        <w:t xml:space="preserve"> who received nutritional care in accordance to standardised guidelines. The authors of the study </w:t>
      </w:r>
      <w:r w:rsidR="002D7AAC">
        <w:rPr>
          <w:rFonts w:asciiTheme="majorHAnsi" w:hAnsiTheme="majorHAnsi" w:cs="Times New Roman"/>
          <w:sz w:val="24"/>
          <w:szCs w:val="24"/>
        </w:rPr>
        <w:t>assert</w:t>
      </w:r>
      <w:r w:rsidR="009B543A">
        <w:rPr>
          <w:rFonts w:asciiTheme="majorHAnsi" w:hAnsiTheme="majorHAnsi" w:cs="Times New Roman"/>
          <w:sz w:val="24"/>
          <w:szCs w:val="24"/>
        </w:rPr>
        <w:t>ed</w:t>
      </w:r>
      <w:r w:rsidR="002D7AAC">
        <w:rPr>
          <w:rFonts w:asciiTheme="majorHAnsi" w:hAnsiTheme="majorHAnsi" w:cs="Times New Roman"/>
          <w:sz w:val="24"/>
          <w:szCs w:val="24"/>
        </w:rPr>
        <w:t xml:space="preserve"> that it is perhaps not appropriate to expect preterm infants to mimic </w:t>
      </w:r>
      <w:proofErr w:type="spellStart"/>
      <w:r w:rsidR="002D7AAC">
        <w:rPr>
          <w:rFonts w:asciiTheme="majorHAnsi" w:hAnsiTheme="majorHAnsi" w:cs="Times New Roman"/>
          <w:sz w:val="24"/>
          <w:szCs w:val="24"/>
        </w:rPr>
        <w:t>fetal</w:t>
      </w:r>
      <w:proofErr w:type="spellEnd"/>
      <w:r w:rsidR="002D7AAC">
        <w:rPr>
          <w:rFonts w:asciiTheme="majorHAnsi" w:hAnsiTheme="majorHAnsi" w:cs="Times New Roman"/>
          <w:sz w:val="24"/>
          <w:szCs w:val="24"/>
        </w:rPr>
        <w:t xml:space="preserve"> growth</w:t>
      </w:r>
      <w:r w:rsidR="00847467">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"10.1542/peds.2017-2467", "ISSN" : "1098-4275", "PMID" : "29301912", "abstract" : "There is no consensus regarding how the growth of preterm infants should be monitored or what constitutes their ideal pattern of growth, especially after term-corrected age. The concept that the growth of preterm infants should match that of healthy fetuses is not substantiated by data and, in practice, is seldom attained, particularly for very preterm infants. Hence, by hospital discharge, many preterm infants are classified as postnatal growth-restricted. In a recent systematic review, 61 longitudinal reference charts were identified, most with considerable limitations in the quality of gestational age estimation, anthropometric measures, feeding regimens, and how morbidities were described. We suggest that the correct comparator for assessing the growth of preterm infants, especially those who are moderately or late preterm, is a cohort of preterm newborns (not fetuses or term infants) with an uncomplicated intrauterine life and low neonatal and infant morbidity. Such growth monitoring should be comprehensive, as recommended for term infants, and should include assessments of postnatal length, head circumference, weight/length ratio, and, if possible, fat and fat-free mass. Preterm postnatal growth standards meeting these criteria are now available and may be used to assess preterm infants until 64 weeks' postmenstrual age (6 months' corrected age), the time at which they overlap, without the need for any adjustment, with the World Health Organization Child Growth Standards for term newborns. Despite remaining nutritional gaps, 90% of preterm newborns (ie, moderate to late preterm infants) can be monitored by using the International Fetal and Newborn Growth Consortium for the 21st Century Preterm Postnatal Growth Standards from birth until life at home.", "author" : [ { "dropping-particle" : "", "family" : "Villar", "given" : "Jose", "non-dropping-particle" : "", "parse-names" : false, "suffix" : "" }, { "dropping-particle" : "", "family" : "Giuliani", "given" : "Francesca", "non-dropping-particle" : "", "parse-names" : false, "suffix" : "" }, { "dropping-particle" : "", "family" : "Barros", "given" : "Fernando", "non-dropping-particle" : "", "parse-names" : false, "suffix" : "" }, { "dropping-particle" : "", "family" : "Roggero", "given" : "Paola", "non-dropping-particle" : "", "parse-names" : false, "suffix" : "" }, { "dropping-particle" : "", "family" : "Coronado Zarco", "given" : "Irma Alejandra", "non-dropping-particle" : "", "parse-names" : false, "suffix" : "" }, { "dropping-particle" : "", "family" : "Rego", "given" : "Maria Albertina S", "non-dropping-particle" : "", "parse-names" : false, "suffix" : "" }, { "dropping-particle" : "", "family" : "Ochieng", "given" : "Roseline", "non-dropping-particle" : "", "parse-names" : false, "suffix" : "" }, { "dropping-particle" : "", "family" : "Gianni", "given" : "Maria Lorella", "non-dropping-particle" : "", "parse-names" : false, "suffix" : "" }, { "dropping-particle" : "", "family" : "Rao", "given" : "Suman", "non-dropping-particle" : "", "parse-names" : false, "suffix" : "" }, { "dropping-particle" : "", "family" : "Lambert", "given" : "Ann", "non-dropping-particle" : "", "parse-names" : false, "suffix" : "" }, { "dropping-particle" : "", "family" : "Ryumina", "given" : "Irina", "non-dropping-particle" : "", "parse-names" : false, "suffix" : "" }, { "dropping-particle" : "", "family" : "Britto", "given" : "Carl", "non-dropping-particle" : "", "parse-names" : false, "suffix" : "" }, { "dropping-particle" : "", "family" : "Chawla", "given" : "Deepak", "non-dropping-particle" : "", "parse-names" : false, "suffix" : "" }, { "dropping-particle" : "", "family" : "Cheikh Ismail", "given" : "Leila", "non-dropping-particle" : "", "parse-names" : false, "suffix" : "" }, { "dropping-particle" : "", "family" : "Ali", "given" : "Syed Rehan", "non-dropping-particle" : "", "parse-names" : false, "suffix" : "" }, { "dropping-particle" : "", "family" : "Hirst", "given" : "Jane", "non-dropping-particle" : "", "parse-names" : false, "suffix" : "" }, { "dropping-particle" : "", "family" : "Teji", "given" : "Jagjit Singh", "non-dropping-particle" : "", "parse-names" : false, "suffix" : "" }, { "dropping-particle" : "", "family" : "Abawi", "given" : "Karim", "non-dropping-particle" : "", "parse-names" : false, "suffix" : "" }, { "dropping-particle" : "", "family" : "Asibey", "given" : "Jacqueline", "non-dropping-particle" : "", "parse-names" : false, "suffix" : "" }, { "dropping-particle" : "", "family" : "Agyeman-Duah", "given" : "Josephine", "non-dropping-particle" : "", "parse-names" : false, "suffix" : "" }, { "dropping-particle" : "", "family" : "McCormick", "given" : "Kenny", "non-dropping-particle" : "", "parse-names" : false, "suffix" : "" }, { "dropping-particle" : "", "family" : "Bertino", "given" : "Enrico", "non-dropping-particle" : "", "parse-names" : false, "suffix" : "" }, { "dropping-particle" : "", "family" : "Papageorghiou", "given" : "Aris T", "non-dropping-particle" : "", "parse-names" : false, "suffix" : "" }, { "dropping-particle" : "", "family" : "Figueras-Aloy", "given" : "Josep", "non-dropping-particle" : "", "parse-names" : false, "suffix" : "" }, { "dropping-particle" : "", "family" : "Bhutta", "given" : "Zulfiqar", "non-dropping-particle" : "", "parse-names" : false, "suffix" : "" }, { "dropping-particle" : "", "family" : "Kennedy", "given" : "Stephen", "non-dropping-particle" : "", "parse-names" : false, "suffix" : "" } ], "container-title" : "Pediatrics", "id" : "ITEM-1", "issue" : "2", "issued" : { "date-parts" : [ [ "2018" ] ] }, "page" : "e20172467", "title" : "Monitoring the Postnatal Growth of Preterm Infants: A Paradigm Change.", "type" : "article-journal", "volume" : "141" }, "uris" : [ "http://www.mendeley.com/documents/?uuid=b21c826b-8dde-476b-9f5b-a4f971c2e422" ] } ], "mendeley" : { "formattedCitation" : "[9]", "plainTextFormattedCitation" : "[9]", "previouslyFormattedCitation" : "[8]" }, "properties" : {  }, "schema" : "https://github.com/citation-style-language/schema/raw/master/csl-citation.json" }</w:instrText>
      </w:r>
      <w:r w:rsidR="00847467">
        <w:rPr>
          <w:rFonts w:asciiTheme="majorHAnsi" w:hAnsiTheme="majorHAnsi" w:cs="Times New Roman"/>
          <w:sz w:val="24"/>
          <w:szCs w:val="24"/>
        </w:rPr>
        <w:fldChar w:fldCharType="separate"/>
      </w:r>
      <w:r w:rsidR="00B90AE8" w:rsidRPr="00B90AE8">
        <w:rPr>
          <w:rFonts w:asciiTheme="majorHAnsi" w:hAnsiTheme="majorHAnsi" w:cs="Times New Roman"/>
          <w:noProof/>
          <w:sz w:val="24"/>
          <w:szCs w:val="24"/>
        </w:rPr>
        <w:t>[9]</w:t>
      </w:r>
      <w:r w:rsidR="00847467">
        <w:rPr>
          <w:rFonts w:asciiTheme="majorHAnsi" w:hAnsiTheme="majorHAnsi" w:cs="Times New Roman"/>
          <w:sz w:val="24"/>
          <w:szCs w:val="24"/>
        </w:rPr>
        <w:fldChar w:fldCharType="end"/>
      </w:r>
      <w:r w:rsidR="009B543A">
        <w:rPr>
          <w:rFonts w:asciiTheme="majorHAnsi" w:hAnsiTheme="majorHAnsi" w:cs="Times New Roman"/>
          <w:sz w:val="24"/>
          <w:szCs w:val="24"/>
        </w:rPr>
        <w:t xml:space="preserve">, and use of the resulting </w:t>
      </w:r>
      <w:r w:rsidR="002D7AAC">
        <w:rPr>
          <w:rFonts w:asciiTheme="majorHAnsi" w:hAnsiTheme="majorHAnsi" w:cs="Times New Roman"/>
          <w:sz w:val="24"/>
          <w:szCs w:val="24"/>
        </w:rPr>
        <w:t>INTERGROWTH-21</w:t>
      </w:r>
      <w:r w:rsidR="002D7AAC" w:rsidRPr="001859F2">
        <w:rPr>
          <w:rFonts w:asciiTheme="majorHAnsi" w:hAnsiTheme="majorHAnsi" w:cs="Times New Roman"/>
          <w:sz w:val="24"/>
          <w:szCs w:val="24"/>
          <w:vertAlign w:val="superscript"/>
        </w:rPr>
        <w:t>st</w:t>
      </w:r>
      <w:r w:rsidR="002D7AAC">
        <w:rPr>
          <w:rFonts w:asciiTheme="majorHAnsi" w:hAnsiTheme="majorHAnsi" w:cs="Times New Roman"/>
          <w:sz w:val="24"/>
          <w:szCs w:val="24"/>
        </w:rPr>
        <w:t xml:space="preserve"> growth standards would subsequently reduce the diagnosis of extrauterine growth restriction</w:t>
      </w:r>
      <w:r w:rsidR="002D7AAC">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"10.1542/peds.2017-2467", "ISSN" : "1098-4275", "PMID" : "29301912", "abstract" : "There is no consensus regarding how the growth of preterm infants should be monitored or what constitutes their ideal pattern of growth, especially after term-corrected age. The concept that the growth of preterm infants should match that of healthy fetuses is not substantiated by data and, in practice, is seldom attained, particularly for very preterm infants. Hence, by hospital discharge, many preterm infants are classified as postnatal growth-restricted. In a recent systematic review, 61 longitudinal reference charts were identified, most with considerable limitations in the quality of gestational age estimation, anthropometric measures, feeding regimens, and how morbidities were described. We suggest that the correct comparator for assessing the growth of preterm infants, especially those who are moderately or late preterm, is a cohort of preterm newborns (not fetuses or term infants) with an uncomplicated intrauterine life and low neonatal and infant morbidity. Such growth monitoring should be comprehensive, as recommended for term infants, and should include assessments of postnatal length, head circumference, weight/length ratio, and, if possible, fat and fat-free mass. Preterm postnatal growth standards meeting these criteria are now available and may be used to assess preterm infants until 64 weeks' postmenstrual age (6 months' corrected age), the time at which they overlap, without the need for any adjustment, with the World Health Organization Child Growth Standards for term newborns. Despite remaining nutritional gaps, 90% of preterm newborns (ie, moderate to late preterm infants) can be monitored by using the International Fetal and Newborn Growth Consortium for the 21st Century Preterm Postnatal Growth Standards from birth until life at home.", "author" : [ { "dropping-particle" : "", "family" : "Villar", "given" : "Jose", "non-dropping-particle" : "", "parse-names" : false, "suffix" : "" }, { "dropping-particle" : "", "family" : "Giuliani", "given" : "Francesca", "non-dropping-particle" : "", "parse-names" : false, "suffix" : "" }, { "dropping-particle" : "", "family" : "Barros", "given" : "Fernando", "non-dropping-particle" : "", "parse-names" : false, "suffix" : "" }, { "dropping-particle" : "", "family" : "Roggero", "given" : "Paola", "non-dropping-particle" : "", "parse-names" : false, "suffix" : "" }, { "dropping-particle" : "", "family" : "Coronado Zarco", "given" : "Irma Alejandra", "non-dropping-particle" : "", "parse-names" : false, "suffix" : "" }, { "dropping-particle" : "", "family" : "Rego", "given" : "Maria Albertina S", "non-dropping-particle" : "", "parse-names" : false, "suffix" : "" }, { "dropping-particle" : "", "family" : "Ochieng", "given" : "Roseline", "non-dropping-particle" : "", "parse-names" : false, "suffix" : "" }, { "dropping-particle" : "", "family" : "Gianni", "given" : "Maria Lorella", "non-dropping-particle" : "", "parse-names" : false, "suffix" : "" }, { "dropping-particle" : "", "family" : "Rao", "given" : "Suman", "non-dropping-particle" : "", "parse-names" : false, "suffix" : "" }, { "dropping-particle" : "", "family" : "Lambert", "given" : "Ann", "non-dropping-particle" : "", "parse-names" : false, "suffix" : "" }, { "dropping-particle" : "", "family" : "Ryumina", "given" : "Irina", "non-dropping-particle" : "", "parse-names" : false, "suffix" : "" }, { "dropping-particle" : "", "family" : "Britto", "given" : "Carl", "non-dropping-particle" : "", "parse-names" : false, "suffix" : "" }, { "dropping-particle" : "", "family" : "Chawla", "given" : "Deepak", "non-dropping-particle" : "", "parse-names" : false, "suffix" : "" }, { "dropping-particle" : "", "family" : "Cheikh Ismail", "given" : "Leila", "non-dropping-particle" : "", "parse-names" : false, "suffix" : "" }, { "dropping-particle" : "", "family" : "Ali", "given" : "Syed Rehan", "non-dropping-particle" : "", "parse-names" : false, "suffix" : "" }, { "dropping-particle" : "", "family" : "Hirst", "given" : "Jane", "non-dropping-particle" : "", "parse-names" : false, "suffix" : "" }, { "dropping-particle" : "", "family" : "Teji", "given" : "Jagjit Singh", "non-dropping-particle" : "", "parse-names" : false, "suffix" : "" }, { "dropping-particle" : "", "family" : "Abawi", "given" : "Karim", "non-dropping-particle" : "", "parse-names" : false, "suffix" : "" }, { "dropping-particle" : "", "family" : "Asibey", "given" : "Jacqueline", "non-dropping-particle" : "", "parse-names" : false, "suffix" : "" }, { "dropping-particle" : "", "family" : "Agyeman-Duah", "given" : "Josephine", "non-dropping-particle" : "", "parse-names" : false, "suffix" : "" }, { "dropping-particle" : "", "family" : "McCormick", "given" : "Kenny", "non-dropping-particle" : "", "parse-names" : false, "suffix" : "" }, { "dropping-particle" : "", "family" : "Bertino", "given" : "Enrico", "non-dropping-particle" : "", "parse-names" : false, "suffix" : "" }, { "dropping-particle" : "", "family" : "Papageorghiou", "given" : "Aris T", "non-dropping-particle" : "", "parse-names" : false, "suffix" : "" }, { "dropping-particle" : "", "family" : "Figueras-Aloy", "given" : "Josep", "non-dropping-particle" : "", "parse-names" : false, "suffix" : "" }, { "dropping-particle" : "", "family" : "Bhutta", "given" : "Zulfiqar", "non-dropping-particle" : "", "parse-names" : false, "suffix" : "" }, { "dropping-particle" : "", "family" : "Kennedy", "given" : "Stephen", "non-dropping-particle" : "", "parse-names" : false, "suffix" : "" } ], "container-title" : "Pediatrics", "id" : "ITEM-1", "issue" : "2", "issued" : { "date-parts" : [ [ "2018" ] ] }, "page" : "e20172467", "title" : "Monitoring the Postnatal Growth of Preterm Infants: A Paradigm Change.", "type" : "article-journal", "volume" : "141" }, "uris" : [ "http://www.mendeley.com/documents/?uuid=b21c826b-8dde-476b-9f5b-a4f971c2e422" ] } ], "mendeley" : { "formattedCitation" : "[9]", "plainTextFormattedCitation" : "[9]", "previouslyFormattedCitation" : "[8]" }, "properties" : {  }, "schema" : "https://github.com/citation-style-language/schema/raw/master/csl-citation.json" }</w:instrText>
      </w:r>
      <w:r w:rsidR="002D7AAC">
        <w:rPr>
          <w:rFonts w:asciiTheme="majorHAnsi" w:hAnsiTheme="majorHAnsi" w:cs="Times New Roman"/>
          <w:sz w:val="24"/>
          <w:szCs w:val="24"/>
        </w:rPr>
        <w:fldChar w:fldCharType="separate"/>
      </w:r>
      <w:r w:rsidR="00B90AE8" w:rsidRPr="00B90AE8">
        <w:rPr>
          <w:rFonts w:asciiTheme="majorHAnsi" w:hAnsiTheme="majorHAnsi" w:cs="Times New Roman"/>
          <w:noProof/>
          <w:sz w:val="24"/>
          <w:szCs w:val="24"/>
        </w:rPr>
        <w:t>[9]</w:t>
      </w:r>
      <w:r w:rsidR="002D7AAC">
        <w:rPr>
          <w:rFonts w:asciiTheme="majorHAnsi" w:hAnsiTheme="majorHAnsi" w:cs="Times New Roman"/>
          <w:sz w:val="24"/>
          <w:szCs w:val="24"/>
        </w:rPr>
        <w:fldChar w:fldCharType="end"/>
      </w:r>
      <w:r w:rsidR="002D7AAC">
        <w:rPr>
          <w:rFonts w:asciiTheme="majorHAnsi" w:hAnsiTheme="majorHAnsi" w:cs="Times New Roman"/>
          <w:sz w:val="24"/>
          <w:szCs w:val="24"/>
        </w:rPr>
        <w:t>.</w:t>
      </w:r>
      <w:r w:rsidR="009B543A">
        <w:rPr>
          <w:rFonts w:asciiTheme="majorHAnsi" w:hAnsiTheme="majorHAnsi" w:cs="Times New Roman"/>
          <w:sz w:val="24"/>
          <w:szCs w:val="24"/>
        </w:rPr>
        <w:t xml:space="preserve"> However, </w:t>
      </w:r>
      <w:r w:rsidR="00CF2185">
        <w:rPr>
          <w:rFonts w:asciiTheme="majorHAnsi" w:hAnsiTheme="majorHAnsi" w:cs="Times New Roman"/>
          <w:sz w:val="24"/>
          <w:szCs w:val="24"/>
        </w:rPr>
        <w:t>whilst the INTERGROWTH-21</w:t>
      </w:r>
      <w:r w:rsidR="00CF2185" w:rsidRPr="001859F2">
        <w:rPr>
          <w:rFonts w:asciiTheme="majorHAnsi" w:hAnsiTheme="majorHAnsi" w:cs="Times New Roman"/>
          <w:sz w:val="24"/>
          <w:szCs w:val="24"/>
          <w:vertAlign w:val="superscript"/>
        </w:rPr>
        <w:t>st</w:t>
      </w:r>
      <w:r w:rsidR="00CF2185">
        <w:rPr>
          <w:rFonts w:asciiTheme="majorHAnsi" w:hAnsiTheme="majorHAnsi" w:cs="Times New Roman"/>
          <w:sz w:val="24"/>
          <w:szCs w:val="24"/>
        </w:rPr>
        <w:t xml:space="preserve"> infants received standardised nutritional care, </w:t>
      </w:r>
      <w:r w:rsidR="00D21EA8">
        <w:rPr>
          <w:rFonts w:asciiTheme="majorHAnsi" w:hAnsiTheme="majorHAnsi" w:cs="Times New Roman"/>
          <w:sz w:val="24"/>
          <w:szCs w:val="24"/>
        </w:rPr>
        <w:t xml:space="preserve">the extent to which this was optimal </w:t>
      </w:r>
      <w:r w:rsidR="00CF2185">
        <w:rPr>
          <w:rFonts w:asciiTheme="majorHAnsi" w:hAnsiTheme="majorHAnsi" w:cs="Times New Roman"/>
          <w:sz w:val="24"/>
          <w:szCs w:val="24"/>
        </w:rPr>
        <w:t xml:space="preserve">is not </w:t>
      </w:r>
      <w:r w:rsidR="00D21EA8">
        <w:rPr>
          <w:rFonts w:asciiTheme="majorHAnsi" w:hAnsiTheme="majorHAnsi" w:cs="Times New Roman"/>
          <w:sz w:val="24"/>
          <w:szCs w:val="24"/>
        </w:rPr>
        <w:t>known</w:t>
      </w:r>
      <w:r w:rsidR="00CF2185">
        <w:rPr>
          <w:rFonts w:asciiTheme="majorHAnsi" w:hAnsiTheme="majorHAnsi" w:cs="Times New Roman"/>
          <w:sz w:val="24"/>
          <w:szCs w:val="24"/>
        </w:rPr>
        <w:t xml:space="preserve">. Questions still remain regarding both what </w:t>
      </w:r>
      <w:r w:rsidR="00CF2185" w:rsidRPr="001859F2">
        <w:rPr>
          <w:rFonts w:asciiTheme="majorHAnsi" w:hAnsiTheme="majorHAnsi" w:cs="Times New Roman"/>
          <w:i/>
          <w:sz w:val="24"/>
          <w:szCs w:val="24"/>
        </w:rPr>
        <w:t>can</w:t>
      </w:r>
      <w:r w:rsidR="00CF2185">
        <w:rPr>
          <w:rFonts w:asciiTheme="majorHAnsi" w:hAnsiTheme="majorHAnsi" w:cs="Times New Roman"/>
          <w:sz w:val="24"/>
          <w:szCs w:val="24"/>
        </w:rPr>
        <w:t xml:space="preserve"> and </w:t>
      </w:r>
      <w:r w:rsidR="00CF2185" w:rsidRPr="001859F2">
        <w:rPr>
          <w:rFonts w:asciiTheme="majorHAnsi" w:hAnsiTheme="majorHAnsi" w:cs="Times New Roman"/>
          <w:i/>
          <w:sz w:val="24"/>
          <w:szCs w:val="24"/>
        </w:rPr>
        <w:t>should</w:t>
      </w:r>
      <w:r w:rsidR="00CF2185">
        <w:rPr>
          <w:rFonts w:asciiTheme="majorHAnsi" w:hAnsiTheme="majorHAnsi" w:cs="Times New Roman"/>
          <w:sz w:val="24"/>
          <w:szCs w:val="24"/>
        </w:rPr>
        <w:t xml:space="preserve"> be achieved in terms of the growth of preterm infants.</w:t>
      </w:r>
      <w:r w:rsidR="009B543A">
        <w:rPr>
          <w:rFonts w:asciiTheme="majorHAnsi" w:hAnsiTheme="majorHAnsi" w:cs="Times New Roman"/>
          <w:sz w:val="24"/>
          <w:szCs w:val="24"/>
        </w:rPr>
        <w:t xml:space="preserve"> </w:t>
      </w:r>
    </w:p>
    <w:p w:rsidR="00DA3E18" w:rsidRDefault="00241F79" w:rsidP="009E2DF4">
      <w:pPr>
        <w:spacing w:line="480" w:lineRule="auto"/>
        <w:rPr>
          <w:rFonts w:asciiTheme="majorHAnsi" w:hAnsiTheme="majorHAnsi" w:cs="Times New Roman"/>
          <w:sz w:val="24"/>
          <w:szCs w:val="24"/>
        </w:rPr>
      </w:pPr>
      <w:r w:rsidRPr="00763640">
        <w:rPr>
          <w:rFonts w:asciiTheme="majorHAnsi" w:hAnsiTheme="majorHAnsi" w:cs="Times New Roman"/>
          <w:sz w:val="24"/>
          <w:szCs w:val="24"/>
        </w:rPr>
        <w:t>The present study describes a different initial growth velocity in preterm infants</w:t>
      </w:r>
      <w:r w:rsidR="00046F10">
        <w:rPr>
          <w:rFonts w:asciiTheme="majorHAnsi" w:hAnsiTheme="majorHAnsi" w:cs="Times New Roman"/>
          <w:sz w:val="24"/>
          <w:szCs w:val="24"/>
        </w:rPr>
        <w:t xml:space="preserve">, </w:t>
      </w:r>
      <w:r w:rsidRPr="00763640">
        <w:rPr>
          <w:rFonts w:asciiTheme="majorHAnsi" w:hAnsiTheme="majorHAnsi" w:cs="Times New Roman"/>
          <w:sz w:val="24"/>
          <w:szCs w:val="24"/>
        </w:rPr>
        <w:t xml:space="preserve">specifically no weight drop in the first 1-2 weeks of life in the </w:t>
      </w:r>
      <w:r w:rsidR="00412693" w:rsidRPr="00763640">
        <w:rPr>
          <w:rFonts w:asciiTheme="majorHAnsi" w:hAnsiTheme="majorHAnsi" w:cs="Times New Roman"/>
          <w:sz w:val="24"/>
          <w:szCs w:val="24"/>
        </w:rPr>
        <w:t>29-31-week</w:t>
      </w:r>
      <w:r w:rsidRPr="00763640">
        <w:rPr>
          <w:rFonts w:asciiTheme="majorHAnsi" w:hAnsiTheme="majorHAnsi" w:cs="Times New Roman"/>
          <w:sz w:val="24"/>
          <w:szCs w:val="24"/>
        </w:rPr>
        <w:t xml:space="preserve"> cohort and a much reduced SDS drop in infants born &lt;29 weeks.</w:t>
      </w:r>
      <w:r w:rsidRPr="00241F79">
        <w:rPr>
          <w:rFonts w:asciiTheme="majorHAnsi" w:hAnsiTheme="majorHAnsi" w:cs="Times New Roman"/>
          <w:sz w:val="24"/>
          <w:szCs w:val="24"/>
        </w:rPr>
        <w:t xml:space="preserve"> </w:t>
      </w:r>
      <w:r w:rsidR="008B7E88" w:rsidRPr="009622E6">
        <w:rPr>
          <w:rFonts w:asciiTheme="majorHAnsi" w:hAnsiTheme="majorHAnsi" w:cs="Times New Roman"/>
          <w:sz w:val="24"/>
          <w:szCs w:val="24"/>
        </w:rPr>
        <w:t xml:space="preserve">The weight gain </w:t>
      </w:r>
      <w:r w:rsidR="008C342F">
        <w:rPr>
          <w:rFonts w:asciiTheme="majorHAnsi" w:hAnsiTheme="majorHAnsi" w:cs="Times New Roman"/>
          <w:sz w:val="24"/>
          <w:szCs w:val="24"/>
        </w:rPr>
        <w:t xml:space="preserve">and change in SDS </w:t>
      </w:r>
      <w:r w:rsidR="008B7E88" w:rsidRPr="009622E6">
        <w:rPr>
          <w:rFonts w:asciiTheme="majorHAnsi" w:hAnsiTheme="majorHAnsi" w:cs="Times New Roman"/>
          <w:sz w:val="24"/>
          <w:szCs w:val="24"/>
        </w:rPr>
        <w:t>depicted here demonstrate that early growth</w:t>
      </w:r>
      <w:r w:rsidR="00A374E8" w:rsidRPr="009622E6">
        <w:rPr>
          <w:rFonts w:asciiTheme="majorHAnsi" w:hAnsiTheme="majorHAnsi" w:cs="Times New Roman"/>
          <w:sz w:val="24"/>
          <w:szCs w:val="24"/>
        </w:rPr>
        <w:t xml:space="preserve"> failure is not inevitable in preterm infant</w:t>
      </w:r>
      <w:r w:rsidR="008B7E88" w:rsidRPr="009622E6">
        <w:rPr>
          <w:rFonts w:asciiTheme="majorHAnsi" w:hAnsiTheme="majorHAnsi" w:cs="Times New Roman"/>
          <w:sz w:val="24"/>
          <w:szCs w:val="24"/>
        </w:rPr>
        <w:t>s</w:t>
      </w:r>
      <w:r w:rsidR="00A374E8" w:rsidRPr="009622E6">
        <w:rPr>
          <w:rFonts w:asciiTheme="majorHAnsi" w:hAnsiTheme="majorHAnsi" w:cs="Times New Roman"/>
          <w:sz w:val="24"/>
          <w:szCs w:val="24"/>
        </w:rPr>
        <w:t>.</w:t>
      </w:r>
      <w:r w:rsidR="008B7E88" w:rsidRPr="009622E6">
        <w:rPr>
          <w:rFonts w:asciiTheme="majorHAnsi" w:hAnsiTheme="majorHAnsi" w:cs="Times New Roman"/>
          <w:sz w:val="24"/>
          <w:szCs w:val="24"/>
        </w:rPr>
        <w:t xml:space="preserve"> </w:t>
      </w:r>
    </w:p>
    <w:p w:rsidR="00A374E8" w:rsidRPr="009622E6" w:rsidRDefault="00DA3E18" w:rsidP="009E2DF4">
      <w:pPr>
        <w:spacing w:line="480" w:lineRule="auto"/>
        <w:rPr>
          <w:rFonts w:asciiTheme="majorHAnsi" w:hAnsiTheme="majorHAnsi" w:cs="Times New Roman"/>
          <w:sz w:val="24"/>
          <w:szCs w:val="24"/>
        </w:rPr>
      </w:pPr>
      <w:r>
        <w:rPr>
          <w:rFonts w:asciiTheme="majorHAnsi" w:hAnsiTheme="majorHAnsi" w:cs="Times New Roman"/>
          <w:sz w:val="24"/>
          <w:szCs w:val="24"/>
        </w:rPr>
        <w:t>The optimal growth pattern for preterm infants is not known</w:t>
      </w:r>
      <w:r w:rsidR="0078406E">
        <w:rPr>
          <w:rFonts w:asciiTheme="majorHAnsi" w:hAnsiTheme="majorHAnsi" w:cs="Times New Roman"/>
          <w:sz w:val="24"/>
          <w:szCs w:val="24"/>
        </w:rPr>
        <w:t>; w</w:t>
      </w:r>
      <w:r w:rsidR="00847ED2" w:rsidRPr="009622E6">
        <w:rPr>
          <w:rFonts w:asciiTheme="majorHAnsi" w:hAnsiTheme="majorHAnsi" w:cs="Times New Roman"/>
          <w:sz w:val="24"/>
          <w:szCs w:val="24"/>
        </w:rPr>
        <w:t>eight velocity</w:t>
      </w:r>
      <w:r w:rsidR="0078406E">
        <w:rPr>
          <w:rFonts w:asciiTheme="majorHAnsi" w:hAnsiTheme="majorHAnsi" w:cs="Times New Roman"/>
          <w:sz w:val="24"/>
          <w:szCs w:val="24"/>
        </w:rPr>
        <w:t xml:space="preserve">, </w:t>
      </w:r>
      <w:r w:rsidR="00847ED2" w:rsidRPr="009622E6">
        <w:rPr>
          <w:rFonts w:asciiTheme="majorHAnsi" w:hAnsiTheme="majorHAnsi" w:cs="Times New Roman"/>
          <w:sz w:val="24"/>
          <w:szCs w:val="24"/>
        </w:rPr>
        <w:t xml:space="preserve">body composition and </w:t>
      </w:r>
      <w:r w:rsidR="003931C4" w:rsidRPr="009622E6">
        <w:rPr>
          <w:rFonts w:asciiTheme="majorHAnsi" w:hAnsiTheme="majorHAnsi" w:cs="Times New Roman"/>
          <w:sz w:val="24"/>
          <w:szCs w:val="24"/>
        </w:rPr>
        <w:t xml:space="preserve">growth during </w:t>
      </w:r>
      <w:r w:rsidR="00EC1A2F" w:rsidRPr="009622E6">
        <w:rPr>
          <w:rFonts w:asciiTheme="majorHAnsi" w:hAnsiTheme="majorHAnsi" w:cs="Times New Roman"/>
          <w:sz w:val="24"/>
          <w:szCs w:val="24"/>
        </w:rPr>
        <w:t>childhood</w:t>
      </w:r>
      <w:r w:rsidR="0078406E">
        <w:rPr>
          <w:rFonts w:asciiTheme="majorHAnsi" w:hAnsiTheme="majorHAnsi" w:cs="Times New Roman"/>
          <w:sz w:val="24"/>
          <w:szCs w:val="24"/>
        </w:rPr>
        <w:t xml:space="preserve"> are all</w:t>
      </w:r>
      <w:r w:rsidR="00EC1A2F" w:rsidRPr="009622E6">
        <w:rPr>
          <w:rFonts w:asciiTheme="majorHAnsi" w:hAnsiTheme="majorHAnsi" w:cs="Times New Roman"/>
          <w:sz w:val="24"/>
          <w:szCs w:val="24"/>
        </w:rPr>
        <w:t xml:space="preserve"> </w:t>
      </w:r>
      <w:r w:rsidR="003931C4" w:rsidRPr="009622E6">
        <w:rPr>
          <w:rFonts w:asciiTheme="majorHAnsi" w:hAnsiTheme="majorHAnsi" w:cs="Times New Roman"/>
          <w:sz w:val="24"/>
          <w:szCs w:val="24"/>
        </w:rPr>
        <w:t>known</w:t>
      </w:r>
      <w:r w:rsidR="00847ED2" w:rsidRPr="009622E6">
        <w:rPr>
          <w:rFonts w:asciiTheme="majorHAnsi" w:hAnsiTheme="majorHAnsi" w:cs="Times New Roman"/>
          <w:sz w:val="24"/>
          <w:szCs w:val="24"/>
        </w:rPr>
        <w:t xml:space="preserve"> to impact on non-communicable disease</w:t>
      </w:r>
      <w:r w:rsidR="00D21EA8">
        <w:rPr>
          <w:rFonts w:asciiTheme="majorHAnsi" w:hAnsiTheme="majorHAnsi" w:cs="Times New Roman"/>
          <w:sz w:val="24"/>
          <w:szCs w:val="24"/>
        </w:rPr>
        <w:t xml:space="preserve"> risk</w:t>
      </w:r>
      <w:r w:rsidR="00847ED2" w:rsidRPr="009622E6">
        <w:rPr>
          <w:rFonts w:asciiTheme="majorHAnsi" w:hAnsiTheme="majorHAnsi" w:cs="Times New Roman"/>
          <w:sz w:val="24"/>
          <w:szCs w:val="24"/>
        </w:rPr>
        <w:t xml:space="preserve"> in later life</w:t>
      </w:r>
      <w:r w:rsidR="00D864BF"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"10.1080/08035320410022730", "ISBN" : "0803-5326 (Print)\\r0803-5326 (Linking)", "ISSN" : "08035326", "PMID" : "15702667", "abstract" : "Low birthweight is now known to be associated with increased rates of coronary heart disease and the related disorders stroke, hypertension and non-insulin-dependent diabetes. These associations have been extensively replicated in studies in different countries and are not the result of confounding variables. They extend across the normal range of birthweight and depend on lower birthweights in relation to the duration of gestation rather than the effects of premature birth. The associations are thought to be consequences of developmental plasticity, the phenomenon by which one genotype can give rise to a range of different physiological or morphological states in response to different environmental conditions during development. Recent observations have shown that impaired growth in infancy and rapid childhood weight gain exacerbate the effects of impaired prenatal growth. Coronary heart disease and the disorders related to it arise through a series of interactions between environmental influences and the pathways of development that preceded them. These diseases are the product of branching pathways of development in which the branchings are triggered by the environment before and after birth.", "author" : [ { "dropping-particle" : "", "family" : "Barker", "given" : "D. J.P.", "non-dropping-particle" : "", "parse-names" : false, "suffix" : "" } ], "container-title" : "Acta Paediatrica, International Journal of Paediatrics, Supplement", "id" : "ITEM-1", "issue" : "446", "issued" : { "date-parts" : [ [ "2004" ] ] }, "page" : "26-33", "title" : "The developmental origins of chronic adult disease", "type" : "article-journal", "volume" : "93" }, "uris" : [ "http://www.mendeley.com/documents/?uuid=a82997ec-853d-45f7-a1c1-8ec4d638af0e" ] }, { "id" : "ITEM-2", "itemData" : { "DOI" : "10.1017/S0029665107005691", "ISBN" : "0029-6651", "ISSN" : "0029-6651", "PMID" : "17637095", "abstract" : "There is now compelling evidence that growth patterns in early life are associated with risk of the metabolic syndrome in adulthood, although the relative importance of prenatal v. postnatal growth for such associations remains controversial. Body composition may play a key role in the 'programming' of such diseases, through itself being programmed by early growth, and perhaps also by being a mediator of the programming process. Early studies reporting positive associations between birth weight and adult BMI suggested a tendency for large babies to become obese adults. Such findings appeared contradictory to the many studies linking low birth weight with increased risk of the metabolic syndrome. Recent studies now indicate that birth weight is strongly predictive of later lean mass, and has a much weaker association with later fatness. Studies that link low birth weight with a more central adipose distribution in later life remain controversial, and require confirmation using more sophisticated methodologies. Findings for infant growth rate appear population-specific, with infant weight gain predicting subsequent lean mass in developing countries, but predicting subsequent fat mass and obesity in industrialised populations. Further studies are required on this issue, to ensure that appropriate public health policies are recommended for countries across the range of economic development. Although the links between early growth and later disease risk implicate early-life nutrition, either in utero or during infancy, few prospective studies have explored the influence of early diet on later body composition. Many studies have associated breast-feeding with a reduced prevalence of obesity categorised by BMI; however, the few studies directly evaluating childhood fatness provide little support for this hypothesis. Recent advances in the ability to measure body composition during the infant period offer a major opportunity to improve the understanding of the nutritional programming of body composition and its contribution, or lack thereof, to subsequent disease risk.", "author" : [ { "dropping-particle" : "", "family" : "Wells", "given" : "Jonathan C. K.", "non-dropping-particle" : "", "parse-names" : false, "suffix" : "" }, { "dropping-particle" : "", "family" : "Chomtho", "given" : "Sirinuch", "non-dropping-particle" : "", "parse-names" : false, "suffix" : "" }, { "dropping-particle" : "", "family" : "Fewtrell", "given" : "Mary S.", "non-dropping-particle" : "", "parse-names" : false, "suffix" : "" } ], "container-title" : "Proceedings of the Nutrition Society", "id" : "ITEM-2", "issue" : "03", "issued" : { "date-parts" : [ [ "2007" ] ] }, "page" : "423-434", "title" : "Programming of body composition by early growth and nutrition", "type" : "article-journal", "volume" : "66" }, "uris" : [ "http://www.mendeley.com/documents/?uuid=f399eece-ef1d-4cbc-ae2b-e880fb4838ff" ] }, { "id" : "ITEM-3", "itemData" : { "DOI" : "10.1111/j.1365-2796.2004.01361.x", "ISBN" : "0954-6820 (Print)\\n0954-6820 (Linking)", "ISSN" : "09546820", "PMID" : "15324369", "abstract" : "OBJECTIVES: To study the combined effects of a low birth weight and a pronounced weight increase up to early adulthood on the presence of cardiovascular risk factors constituting the metabolic syndrome in late middle age. DESIGN AND SETTING: A structured sample of 396 men, 58 years old from the general population. Birth weight and weight at 18 years were obtained from medical records and registers. MAIN OUTCOME MEASURES: Body mass index (BMI), waist : hip ratio (WHR), blood pressure, serum concentrations of insulin, triglycerides, HDL cholesterol and LDL particle size at age 58 years. RESULTS: The ratio between weight at age 18 years and birth weight correlated with a number of characteristics at age 58 years: BMI (r = 0.24, P &lt; 0.001), WHR (r = 0.24, P &lt; 0.001), diastolic blood pressure (r = 0.13, P &lt; 0.05), insulin (r = 0.14, P &lt; 0.01), triglycerides (r = 0.10, P &lt; 0.05), HDL cholesterol (r = -0.13, P &lt; 0.01) and LDL particle size (r = -0.17, P &lt; 0.05). The metabolic syndrome, according to current definitions, were more common at the age of 58 years in the third tertile of the weight at 18/birth ratio, than in the other tertiles (P = 0.008). CONCLUSIONS: The interaction between a low birth weight and an accelerated catch-up growth to early adulthood is associated with the occurrence of the metabolic syndrome in the late middle age. These findings are in accord with the concept that the effects of genes are conditioned by fetal growth, and that the effects of a small body size at birth are conditioned by growth during childhood and by environmental factors in childhood and adult life.", "author" : [ { "dropping-particle" : "", "family" : "Fagerberg", "given" : "B", "non-dropping-particle" : "", "parse-names" : false, "suffix" : "" }, { "dropping-particle" : "", "family" : "Bondjers", "given" : "L", "non-dropping-particle" : "", "parse-names" : false, "suffix" : "" }, { "dropping-particle" : "", "family" : "Nilsson", "given" : "P", "non-dropping-particle" : "", "parse-names" : false, "suffix" : "" } ], "container-title" : "Journal of Internal Medicine", "id" : "ITEM-3", "issue" : "3", "issued" : { "date-parts" : [ [ "2004" ] ] }, "page" : "254-259", "title" : "Low birth weight in combination with catch-up growth predicts the occurrence of the metabolic syndrome in men at late middle age: The Atherosclerosis and Insulin Resistance study", "type" : "article-journal", "volume" : "256" }, "uris" : [ "http://www.mendeley.com/documents/?uuid=5f5bb8fd-b1e0-452e-9017-3fe69592b9f6" ] } ], "mendeley" : { "formattedCitation" : "[21\u201323]", "plainTextFormattedCitation" : "[21\u201323]", "previouslyFormattedCitation" : "[21\u201323]" }, "properties" : {  }, "schema" : "https://github.com/citation-style-language/schema/raw/master/csl-citation.json" }</w:instrText>
      </w:r>
      <w:r w:rsidR="00D864BF" w:rsidRPr="009622E6">
        <w:rPr>
          <w:rFonts w:asciiTheme="majorHAnsi" w:hAnsiTheme="majorHAnsi" w:cs="Times New Roman"/>
          <w:sz w:val="24"/>
          <w:szCs w:val="24"/>
        </w:rPr>
        <w:fldChar w:fldCharType="separate"/>
      </w:r>
      <w:r w:rsidR="00C4193C" w:rsidRPr="00C4193C">
        <w:rPr>
          <w:rFonts w:asciiTheme="majorHAnsi" w:hAnsiTheme="majorHAnsi" w:cs="Times New Roman"/>
          <w:noProof/>
          <w:sz w:val="24"/>
          <w:szCs w:val="24"/>
        </w:rPr>
        <w:t>[21–23]</w:t>
      </w:r>
      <w:r w:rsidR="00D864BF" w:rsidRPr="009622E6">
        <w:rPr>
          <w:rFonts w:asciiTheme="majorHAnsi" w:hAnsiTheme="majorHAnsi" w:cs="Times New Roman"/>
          <w:sz w:val="24"/>
          <w:szCs w:val="24"/>
        </w:rPr>
        <w:fldChar w:fldCharType="end"/>
      </w:r>
      <w:r w:rsidR="00CD0825">
        <w:rPr>
          <w:rFonts w:asciiTheme="majorHAnsi" w:hAnsiTheme="majorHAnsi" w:cs="Times New Roman"/>
          <w:sz w:val="24"/>
          <w:szCs w:val="24"/>
        </w:rPr>
        <w:t>.</w:t>
      </w:r>
      <w:r w:rsidR="00325D93" w:rsidRPr="009622E6">
        <w:rPr>
          <w:rFonts w:asciiTheme="majorHAnsi" w:hAnsiTheme="majorHAnsi" w:cs="Times New Roman"/>
          <w:sz w:val="24"/>
          <w:szCs w:val="24"/>
        </w:rPr>
        <w:t xml:space="preserve"> </w:t>
      </w:r>
      <w:r w:rsidR="008266F7">
        <w:rPr>
          <w:rFonts w:asciiTheme="majorHAnsi" w:hAnsiTheme="majorHAnsi" w:cs="Times New Roman"/>
          <w:sz w:val="24"/>
          <w:szCs w:val="24"/>
        </w:rPr>
        <w:t>A</w:t>
      </w:r>
      <w:r w:rsidR="00325D93" w:rsidRPr="009622E6">
        <w:rPr>
          <w:rFonts w:asciiTheme="majorHAnsi" w:hAnsiTheme="majorHAnsi" w:cs="Times New Roman"/>
          <w:sz w:val="24"/>
          <w:szCs w:val="24"/>
        </w:rPr>
        <w:t>iming for</w:t>
      </w:r>
      <w:r w:rsidR="00262E4C" w:rsidRPr="009622E6">
        <w:rPr>
          <w:rFonts w:asciiTheme="majorHAnsi" w:hAnsiTheme="majorHAnsi" w:cs="Times New Roman"/>
          <w:sz w:val="24"/>
          <w:szCs w:val="24"/>
        </w:rPr>
        <w:t xml:space="preserve"> the steepest growth velocities</w:t>
      </w:r>
      <w:r w:rsidR="003931C4" w:rsidRPr="009622E6">
        <w:rPr>
          <w:rFonts w:asciiTheme="majorHAnsi" w:hAnsiTheme="majorHAnsi" w:cs="Times New Roman"/>
          <w:sz w:val="24"/>
          <w:szCs w:val="24"/>
        </w:rPr>
        <w:t xml:space="preserve"> in early life</w:t>
      </w:r>
      <w:r w:rsidR="00241F79">
        <w:rPr>
          <w:rFonts w:asciiTheme="majorHAnsi" w:hAnsiTheme="majorHAnsi" w:cs="Times New Roman"/>
          <w:sz w:val="24"/>
          <w:szCs w:val="24"/>
        </w:rPr>
        <w:t>, in particular catch</w:t>
      </w:r>
      <w:r w:rsidR="00A17313">
        <w:rPr>
          <w:rFonts w:asciiTheme="majorHAnsi" w:hAnsiTheme="majorHAnsi" w:cs="Times New Roman"/>
          <w:sz w:val="24"/>
          <w:szCs w:val="24"/>
        </w:rPr>
        <w:t>-</w:t>
      </w:r>
      <w:r w:rsidR="00241F79">
        <w:rPr>
          <w:rFonts w:asciiTheme="majorHAnsi" w:hAnsiTheme="majorHAnsi" w:cs="Times New Roman"/>
          <w:sz w:val="24"/>
          <w:szCs w:val="24"/>
        </w:rPr>
        <w:t>up growth,</w:t>
      </w:r>
      <w:r w:rsidR="00262E4C" w:rsidRPr="009622E6">
        <w:rPr>
          <w:rFonts w:asciiTheme="majorHAnsi" w:hAnsiTheme="majorHAnsi" w:cs="Times New Roman"/>
          <w:sz w:val="24"/>
          <w:szCs w:val="24"/>
        </w:rPr>
        <w:t xml:space="preserve"> </w:t>
      </w:r>
      <w:r w:rsidR="00325D93" w:rsidRPr="009622E6">
        <w:rPr>
          <w:rFonts w:asciiTheme="majorHAnsi" w:hAnsiTheme="majorHAnsi" w:cs="Times New Roman"/>
          <w:sz w:val="24"/>
          <w:szCs w:val="24"/>
        </w:rPr>
        <w:t>has</w:t>
      </w:r>
      <w:r w:rsidR="00262E4C" w:rsidRPr="009622E6">
        <w:rPr>
          <w:rFonts w:asciiTheme="majorHAnsi" w:hAnsiTheme="majorHAnsi" w:cs="Times New Roman"/>
          <w:sz w:val="24"/>
          <w:szCs w:val="24"/>
        </w:rPr>
        <w:t xml:space="preserve"> potential associated</w:t>
      </w:r>
      <w:r w:rsidR="00325D93" w:rsidRPr="009622E6">
        <w:rPr>
          <w:rFonts w:asciiTheme="majorHAnsi" w:hAnsiTheme="majorHAnsi" w:cs="Times New Roman"/>
          <w:sz w:val="24"/>
          <w:szCs w:val="24"/>
        </w:rPr>
        <w:t xml:space="preserve"> drawbacks</w:t>
      </w:r>
      <w:r w:rsidR="00412693">
        <w:rPr>
          <w:rFonts w:asciiTheme="majorHAnsi" w:hAnsiTheme="majorHAnsi" w:cs="Times New Roman"/>
          <w:sz w:val="24"/>
          <w:szCs w:val="24"/>
        </w:rPr>
        <w:t xml:space="preserve"> including </w:t>
      </w:r>
      <w:r w:rsidR="008161DF" w:rsidRPr="009622E6">
        <w:rPr>
          <w:rFonts w:asciiTheme="majorHAnsi" w:hAnsiTheme="majorHAnsi" w:cs="Times New Roman"/>
          <w:sz w:val="24"/>
          <w:szCs w:val="24"/>
        </w:rPr>
        <w:t>increased</w:t>
      </w:r>
      <w:r w:rsidR="00325D93" w:rsidRPr="009622E6">
        <w:rPr>
          <w:rFonts w:asciiTheme="majorHAnsi" w:hAnsiTheme="majorHAnsi" w:cs="Times New Roman"/>
          <w:sz w:val="24"/>
          <w:szCs w:val="24"/>
        </w:rPr>
        <w:t xml:space="preserve"> incidence of adverse cardiovascular and metabolic outcomes</w:t>
      </w:r>
      <w:r w:rsidR="00D864BF"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"10.1136/archdischild-2012-302263", "ISBN" : "0003-9888", "ISSN" : "0003-9888", "PMID" : "23109090", "abstract" : "OBJECTIVE: To determine risk factors for childhood overweight that can be identified during the first year of life to facilitate early identification and targeted intervention.\\n\\nDESIGN: Systematic review and meta-analysis.\\n\\nSEARCH STRATEGY: Electronic database search of MEDLINE, EMBASE, PubMed and CAB Abstracts.\\n\\nELIGIBILITY CRITERIA: Prospective observational studies following up children from birth for at least 2 years.\\n\\nRESULTS: Thirty prospective studies were identified. Significant and strong independent associations with childhood overweight were identified for maternal pre-pregnancy overweight, high infant birth weight and rapid weight gain during the first year of life. Meta-analysis comparing breastfed with non-breastfed infants found a 15% decrease (95% CI 0.74 to 0.99; I(2)=73.3%; n=10) in the odds of childhood overweight. For children of mothers smoking during pregnancy there was a 47% increase (95% CI 1.26 to 1.73; I(2)=47.5%; n=7) in the odds of childhood overweight. There was some evidence associating early introduction of solid foods and childhood overweight. There was conflicting evidence for duration of breastfeeding, socioeconomic status at birth, parity and maternal marital status at birth. No association with childhood overweight was found for maternal age or education at birth, maternal depression or infant ethnicity. There was inconclusive evidence for delivery type, gestational weight gain, maternal postpartum weight loss and 'fussy' infant temperament due to the limited number of studies.\\n\\nCONCLUSIONS: Several risk factors for both overweight and obesity in childhood are identifiable during infancy. Future research needs to focus on whether it is clinically feasible for healthcare professionals to identify infants at greatest risk.", "author" : [ { "dropping-particle" : "", "family" : "Weng", "given" : "Stephen Franklin", "non-dropping-particle" : "", "parse-names" : false, "suffix" : "" }, { "dropping-particle" : "", "family" : "Redsell", "given" : "Sarah A", "non-dropping-particle" : "", "parse-names" : false, "suffix" : "" }, { "dropping-particle" : "", "family" : "Swift", "given" : "Judy A", "non-dropping-particle" : "", "parse-names" : false, "suffix" : "" }, { "dropping-particle" : "", "family" : "Yang", "given" : "Min", "non-dropping-particle" : "", "parse-names" : false, "suffix" : "" }, { "dropping-particle" : "", "family" : "Glazebrook", "given" : "Cristine P", "non-dropping-particle" : "", "parse-names" : false, "suffix" : "" } ], "container-title" : "Archives of Disease in Childhood", "id" : "ITEM-1", "issue" : "12", "issued" : { "date-parts" : [ [ "2012" ] ] }, "page" : "1019-1026", "title" : "Systematic review and meta-analyses of risk factors for childhood overweight identifiable during infancy", "type" : "article-journal", "volume" : "97" }, "uris" : [ "http://www.mendeley.com/documents/?uuid=7ed66109-2c8f-4f3c-81fb-c0b0ed18ec7f" ] }, { "id" : "ITEM-2", "itemData" : { "DOI" : "10.1038/sj.ijo.802219", "ISBN" : "0307-0565", "ISSN" : "03070565", "PMID" : "12586996", "abstract" : "OBJECTIVE: To examine body size and fat measurements of babies born in rural India and compare them with white Caucasian babies born in an industrialised country. DESIGN: Community-based observational study in rural India, and comparison with data from an earlier study in the UK, measured using similar methods. SUBJECTS: A total of 631 term babies born in six rural villages, near the city of Pune, Maharashtra, India, and 338 term babies born in the Princess Anne Hospital, Southampton, UK. MEASUREMENTS: Maternal weight and height, and neonatal weight, length, head, mid-upper-arm and abdominal circumferences, subscapular and triceps skinfold thicknesses, and placental weight. RESULTS: The Indian mothers were younger, lighter, shorter and had a lower mean body mass index (BMI) (mean age, weight, height and BMI: 21.4 y, 44.6 kg, 1.52 m, and 18.2 kg/m(2)) than Southampton mothers (26.8 y, 63.6 kg, 1.63 m and 23.4 kg/m(2)). They gave birth to lighter babies (mean birthweight: 2.7 kg compared with 3.5 kg). Compared to Southampton babies, the Indian babies were small in all body measurements, the smallest being abdominal circumference (s.d. score: -2.38; 95% CI: -2.48 to -2.29) and mid-arm circumference (s.d. score: -1.82; 95% CI: -1.89 to -1.75), while the most preserved measurement was the subscapular skinfold thickness (s.d. score: -0.53; 95% CI: -0.61 to -0.46). Skinfolds were relatively preserved in the lightest babies (below the 10th percentile of birthweight) in both populations. CONCLUSIONS: Small Indian babies have small abdominal viscera and low muscle mass, but preserve body fat during their intrauterine development. This body composition may persist postnatally and predispose to an insulin-resistant state.", "author" : [ { "dropping-particle" : "", "family" : "Yajnik", "given" : "C S", "non-dropping-particle" : "", "parse-names" : false, "suffix" : "" }, { "dropping-particle" : "", "family" : "Fall", "given" : "C H D", "non-dropping-particle" : "", "parse-names" : false, "suffix" : "" }, { "dropping-particle" : "", "family" : "Coyaji", "given" : "K J", "non-dropping-particle" : "", "parse-names" : false, "suffix" : "" }, { "dropping-particle" : "", "family" : "Hirve", "given" : "S S", "non-dropping-particle" : "", "parse-names" : false, "suffix" : "" }, { "dropping-particle" : "", "family" : "Rao", "given" : "S", "non-dropping-particle" : "", "parse-names" : false, "suffix" : "" }, { "dropping-particle" : "", "family" : "Barker", "given" : "D J P", "non-dropping-particle" : "", "parse-names" : false, "suffix" : "" }, { "dropping-particle" : "", "family" : "Joglekar", "given" : "C", "non-dropping-particle" : "", "parse-names" : false, "suffix" : "" }, { "dropping-particle" : "", "family" : "Kellingray", "given" : "S", "non-dropping-particle" : "", "parse-names" : false, "suffix" : "" } ], "container-title" : "International Journal of Obesity", "id" : "ITEM-2", "issue" : "2", "issued" : { "date-parts" : [ [ "2003" ] ] }, "page" : "173-180", "title" : "Neonatal anthropometry: The thin-fat Indian baby. The Pune maternal nutrition study", "type" : "article-journal", "volume" : "27" }, "uris" : [ "http://www.mendeley.com/documents/?uuid=86cf4e5b-b986-42a5-8ea7-1e855ea42c29" ] }, { "id" : "ITEM-3", "itemData" : { "DOI" : "10.1111/j.1365-2796.2004.01361.x", "ISBN" : "0954-6820 (Print)\\n0954-6820 (Linking)", "ISSN" : "09546820", "PMID" : "15324369", "abstract" : "OBJECTIVES: To study the combined effects of a low birth weight and a pronounced weight increase up to early adulthood on the presence of cardiovascular risk factors constituting the metabolic syndrome in late middle age. DESIGN AND SETTING: A structured sample of 396 men, 58 years old from the general population. Birth weight and weight at 18 years were obtained from medical records and registers. MAIN OUTCOME MEASURES: Body mass index (BMI), waist : hip ratio (WHR), blood pressure, serum concentrations of insulin, triglycerides, HDL cholesterol and LDL particle size at age 58 years. RESULTS: The ratio between weight at age 18 years and birth weight correlated with a number of characteristics at age 58 years: BMI (r = 0.24, P &lt; 0.001), WHR (r = 0.24, P &lt; 0.001), diastolic blood pressure (r = 0.13, P &lt; 0.05), insulin (r = 0.14, P &lt; 0.01), triglycerides (r = 0.10, P &lt; 0.05), HDL cholesterol (r = -0.13, P &lt; 0.01) and LDL particle size (r = -0.17, P &lt; 0.05). The metabolic syndrome, according to current definitions, were more common at the age of 58 years in the third tertile of the weight at 18/birth ratio, than in the other tertiles (P = 0.008). CONCLUSIONS: The interaction between a low birth weight and an accelerated catch-up growth to early adulthood is associated with the occurrence of the metabolic syndrome in the late middle age. These findings are in accord with the concept that the effects of genes are conditioned by fetal growth, and that the effects of a small body size at birth are conditioned by growth during childhood and by environmental factors in childhood and adult life.", "author" : [ { "dropping-particle" : "", "family" : "Fagerberg", "given" : "B", "non-dropping-particle" : "", "parse-names" : false, "suffix" : "" }, { "dropping-particle" : "", "family" : "Bondjers", "given" : "L", "non-dropping-particle" : "", "parse-names" : false, "suffix" : "" }, { "dropping-particle" : "", "family" : "Nilsson", "given" : "P", "non-dropping-particle" : "", "parse-names" : false, "suffix" : "" } ], "container-title" : "Journal of Internal Medicine", "id" : "ITEM-3", "issue" : "3", "issued" : { "date-parts" : [ [ "2004" ] ] }, "page" : "254-259", "title" : "Low birth weight in combination with catch-up growth predicts the occurrence of the metabolic syndrome in men at late middle age: The Atherosclerosis and Insulin Resistance study", "type" : "article-journal", "volume" : "256" }, "uris" : [ "http://www.mendeley.com/documents/?uuid=5f5bb8fd-b1e0-452e-9017-3fe69592b9f6" ] } ], "mendeley" : { "formattedCitation" : "[23\u201325]", "plainTextFormattedCitation" : "[23\u201325]", "previouslyFormattedCitation" : "[23\u201325]" }, "properties" : {  }, "schema" : "https://github.com/citation-style-language/schema/raw/master/csl-citation.json" }</w:instrText>
      </w:r>
      <w:r w:rsidR="00D864BF" w:rsidRPr="009622E6">
        <w:rPr>
          <w:rFonts w:asciiTheme="majorHAnsi" w:hAnsiTheme="majorHAnsi" w:cs="Times New Roman"/>
          <w:sz w:val="24"/>
          <w:szCs w:val="24"/>
        </w:rPr>
        <w:fldChar w:fldCharType="separate"/>
      </w:r>
      <w:r w:rsidR="00C4193C" w:rsidRPr="00C4193C">
        <w:rPr>
          <w:rFonts w:asciiTheme="majorHAnsi" w:hAnsiTheme="majorHAnsi" w:cs="Times New Roman"/>
          <w:noProof/>
          <w:sz w:val="24"/>
          <w:szCs w:val="24"/>
        </w:rPr>
        <w:t>[23–25]</w:t>
      </w:r>
      <w:r w:rsidR="00D864BF" w:rsidRPr="009622E6">
        <w:rPr>
          <w:rFonts w:asciiTheme="majorHAnsi" w:hAnsiTheme="majorHAnsi" w:cs="Times New Roman"/>
          <w:sz w:val="24"/>
          <w:szCs w:val="24"/>
        </w:rPr>
        <w:fldChar w:fldCharType="end"/>
      </w:r>
      <w:r w:rsidR="00CD0825">
        <w:rPr>
          <w:rFonts w:asciiTheme="majorHAnsi" w:hAnsiTheme="majorHAnsi" w:cs="Times New Roman"/>
          <w:sz w:val="24"/>
          <w:szCs w:val="24"/>
        </w:rPr>
        <w:t>.</w:t>
      </w:r>
      <w:r w:rsidR="00077F93" w:rsidRPr="009622E6">
        <w:rPr>
          <w:rFonts w:asciiTheme="majorHAnsi" w:hAnsiTheme="majorHAnsi" w:cs="Times New Roman"/>
          <w:sz w:val="24"/>
          <w:szCs w:val="24"/>
        </w:rPr>
        <w:t xml:space="preserve"> </w:t>
      </w:r>
      <w:r w:rsidR="00D40179">
        <w:rPr>
          <w:rFonts w:asciiTheme="majorHAnsi" w:hAnsiTheme="majorHAnsi" w:cs="Times New Roman"/>
          <w:sz w:val="24"/>
          <w:szCs w:val="24"/>
        </w:rPr>
        <w:t>There is a paucity of data regarding early preterm infant growth patterns that are ideal for later metabolic outc</w:t>
      </w:r>
      <w:r w:rsidR="00AE6279">
        <w:rPr>
          <w:rFonts w:asciiTheme="majorHAnsi" w:hAnsiTheme="majorHAnsi" w:cs="Times New Roman"/>
          <w:sz w:val="24"/>
          <w:szCs w:val="24"/>
        </w:rPr>
        <w:t>omes</w:t>
      </w:r>
      <w:r w:rsidR="00D40179">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"10.1016/j.jpeds.2012.11.048", "ISBN" : "1097-6833 (Electronic)\\r0022-3476 (Linking)", "ISSN" : "00223476", "PMID" : "23445851", "abstract" : "Preterm birth continues to contribute disproportionately to neonatal morbidity and subsequent physical and neurodevelopmental disabilities. Epidemiologic studies have described additional long-term health consequences of preterm birth such as an increased risk of hypertension and insulin resistance in adult life. It is not known whether the influence of infant and childhood growth rates and early nutrition on long-term outcomes is the same or different among preterm infants and neonates with intrauterine growth restriction. Our goal is to review the effects of fetal growth, postnatal growth, and early nutrition on long-term cardiovascular and metabolic outcomes in preterm infants. Present evidence suggests that even brief periods of relative undernutrition during a sensitive period of development have significant adverse effects on later development. Our review suggests that growth between birth and expected term and 12-18 months post-term has no significant effect on later blood pressure and metabolic syndrome, whereas reduced growth during hospitalization significantly impacts later neurodevelopment. In contrast, growth during late infancy and childhood appears to be a major determinant of later metabolic and cardiovascular well being, which suggests that nutritional interventions during this period are worthy of more study. Our review also highlights the paucity of well-designed, controlled studies in preterm infants of the effects of nutrition during hospitalization and after discharge on development, the risk of developing hypertension, or insulin resistance.", "author" : [ { "dropping-particle" : "", "family" : "Lapillonne", "given" : "Alexandre", "non-dropping-particle" : "", "parse-names" : false, "suffix" : "" }, { "dropping-particle" : "", "family" : "Griffin", "given" : "Ian J.", "non-dropping-particle" : "", "parse-names" : false, "suffix" : "" } ], "container-title" : "Journal of Pediatrics", "id" : "ITEM-1", "issue" : "3 SUPPL.", "issued" : { "date-parts" : [ [ "2013", "3" ] ] }, "page" : "S7-S16", "title" : "Feeding preterm infants today for later metabolic and cardiovascular outcomes", "type" : "article-journal", "volume" : "162" }, "uris" : [ "http://www.mendeley.com/documents/?uuid=54119e7c-5894-31c1-8cec-576b0ab8c279" ] } ], "mendeley" : { "formattedCitation" : "[26]", "plainTextFormattedCitation" : "[26]", "previouslyFormattedCitation" : "[26]" }, "properties" : {  }, "schema" : "https://github.com/citation-style-language/schema/raw/master/csl-citation.json" }</w:instrText>
      </w:r>
      <w:r w:rsidR="00D40179">
        <w:rPr>
          <w:rFonts w:asciiTheme="majorHAnsi" w:hAnsiTheme="majorHAnsi" w:cs="Times New Roman"/>
          <w:sz w:val="24"/>
          <w:szCs w:val="24"/>
        </w:rPr>
        <w:fldChar w:fldCharType="separate"/>
      </w:r>
      <w:r w:rsidR="00D40179" w:rsidRPr="00D40179">
        <w:rPr>
          <w:rFonts w:asciiTheme="majorHAnsi" w:hAnsiTheme="majorHAnsi" w:cs="Times New Roman"/>
          <w:noProof/>
          <w:sz w:val="24"/>
          <w:szCs w:val="24"/>
        </w:rPr>
        <w:t>[26]</w:t>
      </w:r>
      <w:r w:rsidR="00D40179">
        <w:rPr>
          <w:rFonts w:asciiTheme="majorHAnsi" w:hAnsiTheme="majorHAnsi" w:cs="Times New Roman"/>
          <w:sz w:val="24"/>
          <w:szCs w:val="24"/>
        </w:rPr>
        <w:fldChar w:fldCharType="end"/>
      </w:r>
      <w:r w:rsidR="00D40179">
        <w:rPr>
          <w:rFonts w:asciiTheme="majorHAnsi" w:hAnsiTheme="majorHAnsi" w:cs="Times New Roman"/>
          <w:sz w:val="24"/>
          <w:szCs w:val="24"/>
        </w:rPr>
        <w:t>.</w:t>
      </w:r>
      <w:r w:rsidR="00AE6279">
        <w:rPr>
          <w:rFonts w:asciiTheme="majorHAnsi" w:hAnsiTheme="majorHAnsi" w:cs="Times New Roman"/>
          <w:sz w:val="24"/>
          <w:szCs w:val="24"/>
        </w:rPr>
        <w:t xml:space="preserve"> </w:t>
      </w:r>
      <w:r>
        <w:rPr>
          <w:rFonts w:asciiTheme="majorHAnsi" w:hAnsiTheme="majorHAnsi" w:cs="Times New Roman"/>
          <w:sz w:val="24"/>
          <w:szCs w:val="24"/>
        </w:rPr>
        <w:t>T</w:t>
      </w:r>
      <w:r w:rsidR="00A374E8" w:rsidRPr="009622E6">
        <w:rPr>
          <w:rFonts w:asciiTheme="majorHAnsi" w:hAnsiTheme="majorHAnsi" w:cs="Times New Roman"/>
          <w:sz w:val="24"/>
          <w:szCs w:val="24"/>
        </w:rPr>
        <w:t>he pattern of growth demonstrated in this study, with infants achieving appropriate growth along centile lines</w:t>
      </w:r>
      <w:r w:rsidR="00DE3CF1" w:rsidRPr="009622E6">
        <w:rPr>
          <w:rFonts w:asciiTheme="majorHAnsi" w:hAnsiTheme="majorHAnsi" w:cs="Times New Roman"/>
          <w:sz w:val="24"/>
          <w:szCs w:val="24"/>
        </w:rPr>
        <w:t>,</w:t>
      </w:r>
      <w:r w:rsidR="00A374E8" w:rsidRPr="009622E6">
        <w:rPr>
          <w:rFonts w:asciiTheme="majorHAnsi" w:hAnsiTheme="majorHAnsi" w:cs="Times New Roman"/>
          <w:sz w:val="24"/>
          <w:szCs w:val="24"/>
        </w:rPr>
        <w:t xml:space="preserve"> </w:t>
      </w:r>
      <w:r w:rsidR="00AE6279">
        <w:rPr>
          <w:rFonts w:asciiTheme="majorHAnsi" w:hAnsiTheme="majorHAnsi" w:cs="Times New Roman"/>
          <w:sz w:val="24"/>
          <w:szCs w:val="24"/>
        </w:rPr>
        <w:t>may be</w:t>
      </w:r>
      <w:r>
        <w:rPr>
          <w:rFonts w:asciiTheme="majorHAnsi" w:hAnsiTheme="majorHAnsi" w:cs="Times New Roman"/>
          <w:sz w:val="24"/>
          <w:szCs w:val="24"/>
        </w:rPr>
        <w:t xml:space="preserve"> </w:t>
      </w:r>
      <w:r w:rsidR="00E51465">
        <w:rPr>
          <w:rFonts w:asciiTheme="majorHAnsi" w:hAnsiTheme="majorHAnsi" w:cs="Times New Roman"/>
          <w:sz w:val="24"/>
          <w:szCs w:val="24"/>
        </w:rPr>
        <w:t>benefi</w:t>
      </w:r>
      <w:r w:rsidR="00A374E8" w:rsidRPr="009622E6">
        <w:rPr>
          <w:rFonts w:asciiTheme="majorHAnsi" w:hAnsiTheme="majorHAnsi" w:cs="Times New Roman"/>
          <w:sz w:val="24"/>
          <w:szCs w:val="24"/>
        </w:rPr>
        <w:t>cial</w:t>
      </w:r>
      <w:r w:rsidR="0078406E">
        <w:rPr>
          <w:rFonts w:asciiTheme="majorHAnsi" w:hAnsiTheme="majorHAnsi" w:cs="Times New Roman"/>
          <w:sz w:val="24"/>
          <w:szCs w:val="24"/>
        </w:rPr>
        <w:t xml:space="preserve"> as it</w:t>
      </w:r>
      <w:r w:rsidR="00D97AE9">
        <w:rPr>
          <w:rFonts w:asciiTheme="majorHAnsi" w:hAnsiTheme="majorHAnsi" w:cs="Times New Roman"/>
          <w:sz w:val="24"/>
          <w:szCs w:val="24"/>
        </w:rPr>
        <w:t xml:space="preserve"> avoid</w:t>
      </w:r>
      <w:r w:rsidR="0078406E">
        <w:rPr>
          <w:rFonts w:asciiTheme="majorHAnsi" w:hAnsiTheme="majorHAnsi" w:cs="Times New Roman"/>
          <w:sz w:val="24"/>
          <w:szCs w:val="24"/>
        </w:rPr>
        <w:t>s</w:t>
      </w:r>
      <w:r w:rsidR="00D97AE9">
        <w:rPr>
          <w:rFonts w:asciiTheme="majorHAnsi" w:hAnsiTheme="majorHAnsi" w:cs="Times New Roman"/>
          <w:sz w:val="24"/>
          <w:szCs w:val="24"/>
        </w:rPr>
        <w:t xml:space="preserve"> the need for catch-up growth</w:t>
      </w:r>
      <w:r w:rsidR="00D21EA8" w:rsidRPr="00D21EA8">
        <w:rPr>
          <w:rFonts w:asciiTheme="majorHAnsi" w:hAnsiTheme="majorHAnsi" w:cs="Times New Roman"/>
          <w:sz w:val="24"/>
          <w:szCs w:val="24"/>
        </w:rPr>
        <w:t xml:space="preserve"> </w:t>
      </w:r>
      <w:r w:rsidR="00D21EA8" w:rsidRPr="009622E6">
        <w:rPr>
          <w:rFonts w:asciiTheme="majorHAnsi" w:hAnsiTheme="majorHAnsi" w:cs="Times New Roman"/>
          <w:sz w:val="24"/>
          <w:szCs w:val="24"/>
        </w:rPr>
        <w:t xml:space="preserve">and </w:t>
      </w:r>
      <w:r w:rsidR="00560433">
        <w:rPr>
          <w:rFonts w:asciiTheme="majorHAnsi" w:hAnsiTheme="majorHAnsi" w:cs="Times New Roman"/>
          <w:sz w:val="24"/>
          <w:szCs w:val="24"/>
        </w:rPr>
        <w:t xml:space="preserve">so </w:t>
      </w:r>
      <w:r w:rsidR="00D21EA8">
        <w:rPr>
          <w:rFonts w:asciiTheme="majorHAnsi" w:hAnsiTheme="majorHAnsi" w:cs="Times New Roman"/>
          <w:sz w:val="24"/>
          <w:szCs w:val="24"/>
        </w:rPr>
        <w:t xml:space="preserve">could potentially </w:t>
      </w:r>
      <w:r w:rsidR="00D21EA8" w:rsidRPr="009622E6">
        <w:rPr>
          <w:rFonts w:asciiTheme="majorHAnsi" w:hAnsiTheme="majorHAnsi" w:cs="Times New Roman"/>
          <w:sz w:val="24"/>
          <w:szCs w:val="24"/>
        </w:rPr>
        <w:t xml:space="preserve">have a positive influence on the risk of non-communicable </w:t>
      </w:r>
      <w:r w:rsidR="00D21EA8" w:rsidRPr="009622E6">
        <w:rPr>
          <w:rFonts w:asciiTheme="majorHAnsi" w:hAnsiTheme="majorHAnsi" w:cs="Times New Roman"/>
          <w:sz w:val="24"/>
          <w:szCs w:val="24"/>
        </w:rPr>
        <w:lastRenderedPageBreak/>
        <w:t>diseases in later life</w:t>
      </w:r>
      <w:r w:rsidR="00A374E8" w:rsidRPr="009622E6">
        <w:rPr>
          <w:rFonts w:asciiTheme="majorHAnsi" w:hAnsiTheme="majorHAnsi" w:cs="Times New Roman"/>
          <w:sz w:val="24"/>
          <w:szCs w:val="24"/>
        </w:rPr>
        <w:t xml:space="preserve">. </w:t>
      </w:r>
      <w:r w:rsidR="00832C28" w:rsidRPr="009622E6">
        <w:rPr>
          <w:rFonts w:asciiTheme="majorHAnsi" w:hAnsiTheme="majorHAnsi" w:cs="Times New Roman"/>
          <w:sz w:val="24"/>
          <w:szCs w:val="24"/>
        </w:rPr>
        <w:t xml:space="preserve">Furthermore, improvements in </w:t>
      </w:r>
      <w:r w:rsidR="008B7E88" w:rsidRPr="009622E6">
        <w:rPr>
          <w:rFonts w:asciiTheme="majorHAnsi" w:hAnsiTheme="majorHAnsi" w:cs="Times New Roman"/>
          <w:sz w:val="24"/>
          <w:szCs w:val="24"/>
        </w:rPr>
        <w:t xml:space="preserve">growth </w:t>
      </w:r>
      <w:r w:rsidR="00832C28" w:rsidRPr="009622E6">
        <w:rPr>
          <w:rFonts w:asciiTheme="majorHAnsi" w:hAnsiTheme="majorHAnsi" w:cs="Times New Roman"/>
          <w:sz w:val="24"/>
          <w:szCs w:val="24"/>
        </w:rPr>
        <w:t>in the early neonatal period may improve other outcomes such as chronic lung disease</w:t>
      </w:r>
      <w:r w:rsidR="000432A4">
        <w:rPr>
          <w:rFonts w:asciiTheme="majorHAnsi" w:hAnsiTheme="majorHAnsi" w:cs="Times New Roman"/>
          <w:sz w:val="24"/>
          <w:szCs w:val="24"/>
        </w:rPr>
        <w:t>,</w:t>
      </w:r>
      <w:r w:rsidR="00611359" w:rsidRPr="009622E6">
        <w:rPr>
          <w:rFonts w:asciiTheme="majorHAnsi" w:hAnsiTheme="majorHAnsi" w:cs="Times New Roman"/>
          <w:sz w:val="24"/>
          <w:szCs w:val="24"/>
        </w:rPr>
        <w:t xml:space="preserve"> </w:t>
      </w:r>
      <w:r w:rsidR="008B7E88" w:rsidRPr="009622E6">
        <w:rPr>
          <w:rFonts w:asciiTheme="majorHAnsi" w:hAnsiTheme="majorHAnsi" w:cs="Times New Roman"/>
          <w:sz w:val="24"/>
          <w:szCs w:val="24"/>
        </w:rPr>
        <w:t>retinopathy of prematurity</w:t>
      </w:r>
      <w:r w:rsidR="000432A4">
        <w:rPr>
          <w:rFonts w:asciiTheme="majorHAnsi" w:hAnsiTheme="majorHAnsi" w:cs="Times New Roman"/>
          <w:sz w:val="24"/>
          <w:szCs w:val="24"/>
        </w:rPr>
        <w:t xml:space="preserve"> and neurodevelopment</w:t>
      </w:r>
      <w:r w:rsidR="004B72C7">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"10.1542/peds.2005-1368", "ISBN" : "1098-4275 (Electronic)\\n0031-4005 (Linking)", "ISSN" : "0031-4005", "PMID" : "16585322", "abstract" : "The objectives of this study were to assess whether (1) in-hospital growth velocity is predictive of neurodevelopmental and growth outcomes at 18 to 22 months' corrected age among extremely low birth weight (ELBW) infants and (2) in-hospital growth velocity contributes to these outcomes after controlling for confounding demographic and clinical variables.", "author" : [ { "dropping-particle" : "", "family" : "Ehrenkranz", "given" : "R. A.", "non-dropping-particle" : "", "parse-names" : false, "suffix" : "" } ], "container-title" : "Pediatrics", "id" : "ITEM-1", "issue" : "4", "issued" : { "date-parts" : [ [ "2006" ] ] }, "page" : "1253-1261", "title" : "Growth in the Neonatal Intensive Care Unit Influences Neurodevelopmental and Growth Outcomes of Extremely Low Birth Weight Infants", "type" : "article-journal", "volume" : "117" }, "uris" : [ "http://www.mendeley.com/documents/?uuid=1002d4cb-582e-4f4a-806d-09c1e97c4508" ] }, { "id" : "ITEM-2", "itemData" : { "author" : [ { "dropping-particle" : "", "family" : "Izquierdo", "given" : "M", "non-dropping-particle" : "", "parse-names" : false, "suffix" : "" }, { "dropping-particle" : "", "family" : "Minguez", "given" : "M", "non-dropping-particle" : "", "parse-names" : false, "suffix" : "" }, { "dropping-particle" : "", "family" : "Martinez Monseny", "given" : "A", "non-dropping-particle" : "", "parse-names" : false, "suffix" : "" } ], "container-title" : "Archives of Disease in Childhood", "id" : "ITEM-2", "issued" : { "date-parts" : [ [ "2014" ] ] }, "page" : "A210-A211", "title" : "Early Nutrition And Postnatal Growth And The Risk Of Retinopathy Of Prematurity (rop)in Very Preterm Infants (vpi)", "type" : "article-journal", "volume" : "99" }, "uris" : [ "http://www.mendeley.com/documents/?uuid=beb3c0a6-dc1a-4990-84e9-5347f8343538" ] }, { "id" : "ITEM-3", "itemData" : { "DOI" : "10.1111/apa.13344", "ISSN" : "08035253", "author" : [ { "dropping-particle" : "", "family" : "Chan", "given" : "Stephanie H.T.", "non-dropping-particle" : "", "parse-names" : false, "suffix" : "" }, { "dropping-particle" : "", "family" : "Johnson", "given" : "Mark J.", "non-dropping-particle" : "", "parse-names" : false, "suffix" : "" }, { "dropping-particle" : "", "family" : "Leaf", "given" : "Alison A.", "non-dropping-particle" : "", "parse-names" : false, "suffix" : "" }, { "dropping-particle" : "", "family" : "Vollmer", "given" : "Brigitte", "non-dropping-particle" : "", "parse-names" : false, "suffix" : "" } ], "container-title" : "Acta Paediatrica", "id" : "ITEM-3", "issue" : "6", "issued" : { "date-parts" : [ [ "2016" ] ] }, "page" : "587-599", "title" : "Nutrition and neurodevelopmental outcomes in preterm infants: a systematic review", "type" : "article-journal", "volume" : "105" }, "uris" : [ "http://www.mendeley.com/documents/?uuid=9dbfb438-25e0-4953-9505-54f42a21f035", "http://www.mendeley.com/documents/?uuid=bbdf829c-8499-460e-a5b3-803feda480f8" ] }, { "id" : "ITEM-4", "itemData" : { "DOI" : "10.1542/peds.2008-0211", "ISBN" : "1098-4275 (Electronic)\\r0031-4005 (Linking)", "ISSN" : "0031-4005", "PMID" : "19403500", "abstract" : "OBJECTIVE: We sought to evaluate the association between early protein and energy intake and neurodevelopment and growth of extremely low birth weight (&lt;1000 g) infants. STUDY DESIGN: Daily protein and energy intakes were collected by chart review for the first 4 weeks of life on 148 extremely low birth weight survivors. A total of 124 infants (84%) returned for evaluation at 18 months' corrected age. Bivariate analysis tested correlations between weekly protein or energy intakes and Bayley Mental Development Index, Psychomotor Development Index, or growth at 18 months. Separate regression models evaluated contributions of protein (grams per kilogram per day) and energy intake (kilojoules per kilogram per day) to the Mental Development Index, Psychomotor Development Index, and growth, while controlling for known confounders. RESULTS: After adjusting for confounding variables, week 1 energy and protein intakes were each independently associated with the Mental Development Index. During week 1, every 42 kJ (10 kcal)/kg per day were associated with a 4.6-point increase in the Mental Development Index and each gram per kilogram per day in protein intake with an 8.2-point increase in the Mental Development Index; higher protein intake was also associated with lower likelihood of length &lt;10th percentile. CONCLUSIONS: Increased first-week protein and energy intakes are associated with higher Mental Development Index scores and lower likelihood of length growth restrictions at 18 months in extremely low birth weight infants. Emphasis should be placed on providing more optimal protein and energy during this first week.", "author" : [ { "dropping-particle" : "", "family" : "Stephens", "given" : "B. E.", "non-dropping-particle" : "", "parse-names" : false, "suffix" : "" }, { "dropping-particle" : "V.", "family" : "Walden", "given" : "R.", "non-dropping-particle" : "", "parse-names" : false, "suffix" : "" }, { "dropping-particle" : "", "family" : "Gargus", "given" : "R. A.", "non-dropping-particle" : "", "parse-names" : false, "suffix" : "" }, { "dropping-particle" : "", "family" : "Tucker", "given" : "R.", "non-dropping-particle" : "", "parse-names" : false, "suffix" : "" }, { "dropping-particle" : "", "family" : "McKinley", "given" : "L.", "non-dropping-particle" : "", "parse-names" : false, "suffix" : "" }, { "dropping-particle" : "", "family" : "Mance", "given" : "M.", "non-dropping-particle" : "", "parse-names" : false, "suffix" : "" }, { "dropping-particle" : "", "family" : "Nye", "given" : "J.", "non-dropping-particle" : "", "parse-names" : false, "suffix" : "" }, { "dropping-particle" : "", "family" : "Vohr", "given" : "B. R.", "non-dropping-particle" : "", "parse-names" : false, "suffix" : "" } ], "container-title" : "Pediatrics", "id" : "ITEM-4", "issue" : "5", "issued" : { "date-parts" : [ [ "2009" ] ] }, "page" : "1337-1343", "title" : "First-Week Protein and Energy Intakes Are Associated With 18-Month Developmental Outcomes in Extremely Low Birth Weight Infants", "type" : "article-journal", "volume" : "123" }, "uris" : [ "http://www.mendeley.com/documents/?uuid=f39ece6b-fb7c-41c4-9788-51990b551a6f" ] } ], "mendeley" : { "formattedCitation" : "[27\u201330]", "plainTextFormattedCitation" : "[27\u201330]", "previouslyFormattedCitation" : "[27\u201330]" }, "properties" : {  }, "schema" : "https://github.com/citation-style-language/schema/raw/master/csl-citation.json" }</w:instrText>
      </w:r>
      <w:r w:rsidR="004B72C7">
        <w:rPr>
          <w:rFonts w:asciiTheme="majorHAnsi" w:hAnsiTheme="majorHAnsi" w:cs="Times New Roman"/>
          <w:sz w:val="24"/>
          <w:szCs w:val="24"/>
        </w:rPr>
        <w:fldChar w:fldCharType="separate"/>
      </w:r>
      <w:r w:rsidR="00D40179" w:rsidRPr="00D40179">
        <w:rPr>
          <w:rFonts w:asciiTheme="majorHAnsi" w:hAnsiTheme="majorHAnsi" w:cs="Times New Roman"/>
          <w:noProof/>
          <w:sz w:val="24"/>
          <w:szCs w:val="24"/>
        </w:rPr>
        <w:t>[27–30]</w:t>
      </w:r>
      <w:r w:rsidR="004B72C7">
        <w:rPr>
          <w:rFonts w:asciiTheme="majorHAnsi" w:hAnsiTheme="majorHAnsi" w:cs="Times New Roman"/>
          <w:sz w:val="24"/>
          <w:szCs w:val="24"/>
        </w:rPr>
        <w:fldChar w:fldCharType="end"/>
      </w:r>
      <w:r w:rsidR="00CD0825">
        <w:rPr>
          <w:rFonts w:asciiTheme="majorHAnsi" w:hAnsiTheme="majorHAnsi" w:cs="Times New Roman"/>
          <w:sz w:val="24"/>
          <w:szCs w:val="24"/>
        </w:rPr>
        <w:t>.</w:t>
      </w:r>
      <w:r w:rsidR="00832C28" w:rsidRPr="009622E6">
        <w:rPr>
          <w:rFonts w:asciiTheme="majorHAnsi" w:hAnsiTheme="majorHAnsi" w:cs="Times New Roman"/>
          <w:sz w:val="24"/>
          <w:szCs w:val="24"/>
        </w:rPr>
        <w:t xml:space="preserve"> </w:t>
      </w:r>
    </w:p>
    <w:p w:rsidR="0006686E" w:rsidRDefault="00D864BF" w:rsidP="009E2DF4">
      <w:pPr>
        <w:spacing w:line="480" w:lineRule="auto"/>
        <w:rPr>
          <w:rFonts w:asciiTheme="majorHAnsi" w:hAnsiTheme="majorHAnsi" w:cs="Times New Roman"/>
          <w:sz w:val="24"/>
          <w:szCs w:val="24"/>
        </w:rPr>
      </w:pPr>
      <w:r w:rsidRPr="00FE074C">
        <w:rPr>
          <w:rFonts w:asciiTheme="majorHAnsi" w:hAnsiTheme="majorHAnsi" w:cs="Times New Roman"/>
          <w:sz w:val="24"/>
          <w:szCs w:val="24"/>
        </w:rPr>
        <w:t xml:space="preserve">Further work is required to determine </w:t>
      </w:r>
      <w:r w:rsidR="00D21EA8">
        <w:rPr>
          <w:rFonts w:asciiTheme="majorHAnsi" w:hAnsiTheme="majorHAnsi" w:cs="Times New Roman"/>
          <w:sz w:val="24"/>
          <w:szCs w:val="24"/>
        </w:rPr>
        <w:t xml:space="preserve">the patterns of </w:t>
      </w:r>
      <w:r w:rsidR="00D21EA8" w:rsidRPr="00FE074C">
        <w:rPr>
          <w:rFonts w:asciiTheme="majorHAnsi" w:hAnsiTheme="majorHAnsi" w:cs="Times New Roman"/>
          <w:sz w:val="24"/>
          <w:szCs w:val="24"/>
        </w:rPr>
        <w:t xml:space="preserve">nutrient intake and growth </w:t>
      </w:r>
      <w:r w:rsidR="00D21EA8">
        <w:rPr>
          <w:rFonts w:asciiTheme="majorHAnsi" w:hAnsiTheme="majorHAnsi" w:cs="Times New Roman"/>
          <w:sz w:val="24"/>
          <w:szCs w:val="24"/>
        </w:rPr>
        <w:t>in preterm infants during</w:t>
      </w:r>
      <w:r w:rsidR="00D21EA8" w:rsidRPr="00FE074C">
        <w:rPr>
          <w:rFonts w:asciiTheme="majorHAnsi" w:hAnsiTheme="majorHAnsi" w:cs="Times New Roman"/>
          <w:sz w:val="24"/>
          <w:szCs w:val="24"/>
        </w:rPr>
        <w:t xml:space="preserve"> the neonatal period </w:t>
      </w:r>
      <w:r w:rsidR="00D21EA8">
        <w:rPr>
          <w:rFonts w:asciiTheme="majorHAnsi" w:hAnsiTheme="majorHAnsi" w:cs="Times New Roman"/>
          <w:sz w:val="24"/>
          <w:szCs w:val="24"/>
        </w:rPr>
        <w:t xml:space="preserve">required for optimal </w:t>
      </w:r>
      <w:r w:rsidRPr="00FE074C">
        <w:rPr>
          <w:rFonts w:asciiTheme="majorHAnsi" w:hAnsiTheme="majorHAnsi" w:cs="Times New Roman"/>
          <w:sz w:val="24"/>
          <w:szCs w:val="24"/>
        </w:rPr>
        <w:t>long-term neurodevelopmental outcome and risk of non-communicable disease in later life.</w:t>
      </w:r>
      <w:r w:rsidR="00832C28" w:rsidRPr="009622E6">
        <w:rPr>
          <w:rFonts w:asciiTheme="majorHAnsi" w:hAnsiTheme="majorHAnsi" w:cs="Times New Roman"/>
          <w:sz w:val="24"/>
          <w:szCs w:val="24"/>
        </w:rPr>
        <w:t xml:space="preserve"> </w:t>
      </w:r>
      <w:r w:rsidR="00B31BF6" w:rsidRPr="009622E6">
        <w:rPr>
          <w:rFonts w:asciiTheme="majorHAnsi" w:hAnsiTheme="majorHAnsi" w:cs="Times New Roman"/>
          <w:sz w:val="24"/>
          <w:szCs w:val="24"/>
        </w:rPr>
        <w:t>A</w:t>
      </w:r>
      <w:r w:rsidR="003931C4" w:rsidRPr="009622E6">
        <w:rPr>
          <w:rFonts w:asciiTheme="majorHAnsi" w:hAnsiTheme="majorHAnsi" w:cs="Times New Roman"/>
          <w:sz w:val="24"/>
          <w:szCs w:val="24"/>
        </w:rPr>
        <w:t xml:space="preserve">ccurate, </w:t>
      </w:r>
      <w:r w:rsidR="00A374E8" w:rsidRPr="009622E6">
        <w:rPr>
          <w:rFonts w:asciiTheme="majorHAnsi" w:hAnsiTheme="majorHAnsi" w:cs="Times New Roman"/>
          <w:sz w:val="24"/>
          <w:szCs w:val="24"/>
        </w:rPr>
        <w:t xml:space="preserve">practical </w:t>
      </w:r>
      <w:r w:rsidR="002B312D" w:rsidRPr="009622E6">
        <w:rPr>
          <w:rFonts w:asciiTheme="majorHAnsi" w:hAnsiTheme="majorHAnsi" w:cs="Times New Roman"/>
          <w:sz w:val="24"/>
          <w:szCs w:val="24"/>
        </w:rPr>
        <w:t>measures of body composition</w:t>
      </w:r>
      <w:r w:rsidR="00832C28" w:rsidRPr="009622E6">
        <w:rPr>
          <w:rFonts w:asciiTheme="majorHAnsi" w:hAnsiTheme="majorHAnsi" w:cs="Times New Roman"/>
          <w:sz w:val="24"/>
          <w:szCs w:val="24"/>
        </w:rPr>
        <w:t xml:space="preserve"> are also needed </w:t>
      </w:r>
      <w:r w:rsidR="00B31BF6" w:rsidRPr="009622E6">
        <w:rPr>
          <w:rFonts w:asciiTheme="majorHAnsi" w:hAnsiTheme="majorHAnsi" w:cs="Times New Roman"/>
          <w:sz w:val="24"/>
          <w:szCs w:val="24"/>
        </w:rPr>
        <w:t>to</w:t>
      </w:r>
      <w:r w:rsidR="00832C28" w:rsidRPr="009622E6">
        <w:rPr>
          <w:rFonts w:asciiTheme="majorHAnsi" w:hAnsiTheme="majorHAnsi" w:cs="Times New Roman"/>
          <w:sz w:val="24"/>
          <w:szCs w:val="24"/>
        </w:rPr>
        <w:t xml:space="preserve"> </w:t>
      </w:r>
      <w:r w:rsidR="00B31BF6" w:rsidRPr="009622E6">
        <w:rPr>
          <w:rFonts w:asciiTheme="majorHAnsi" w:hAnsiTheme="majorHAnsi" w:cs="Times New Roman"/>
          <w:sz w:val="24"/>
          <w:szCs w:val="24"/>
        </w:rPr>
        <w:t xml:space="preserve">help </w:t>
      </w:r>
      <w:r w:rsidR="00832C28" w:rsidRPr="009622E6">
        <w:rPr>
          <w:rFonts w:asciiTheme="majorHAnsi" w:hAnsiTheme="majorHAnsi" w:cs="Times New Roman"/>
          <w:sz w:val="24"/>
          <w:szCs w:val="24"/>
        </w:rPr>
        <w:t>underst</w:t>
      </w:r>
      <w:r w:rsidR="00E96E8F" w:rsidRPr="009622E6">
        <w:rPr>
          <w:rFonts w:asciiTheme="majorHAnsi" w:hAnsiTheme="majorHAnsi" w:cs="Times New Roman"/>
          <w:sz w:val="24"/>
          <w:szCs w:val="24"/>
        </w:rPr>
        <w:t xml:space="preserve">and the </w:t>
      </w:r>
      <w:r w:rsidR="0006686E">
        <w:rPr>
          <w:rFonts w:asciiTheme="majorHAnsi" w:hAnsiTheme="majorHAnsi" w:cs="Times New Roman"/>
          <w:sz w:val="24"/>
          <w:szCs w:val="24"/>
        </w:rPr>
        <w:t xml:space="preserve">accretion of </w:t>
      </w:r>
      <w:r w:rsidR="00E96E8F" w:rsidRPr="009622E6">
        <w:rPr>
          <w:rFonts w:asciiTheme="majorHAnsi" w:hAnsiTheme="majorHAnsi" w:cs="Times New Roman"/>
          <w:sz w:val="24"/>
          <w:szCs w:val="24"/>
        </w:rPr>
        <w:t>fat and fat-</w:t>
      </w:r>
      <w:r w:rsidR="00832C28" w:rsidRPr="009622E6">
        <w:rPr>
          <w:rFonts w:asciiTheme="majorHAnsi" w:hAnsiTheme="majorHAnsi" w:cs="Times New Roman"/>
          <w:sz w:val="24"/>
          <w:szCs w:val="24"/>
        </w:rPr>
        <w:t>free tissue in response to these patterns of nutrition and growth</w:t>
      </w:r>
      <w:r w:rsidR="002B312D" w:rsidRPr="009622E6">
        <w:rPr>
          <w:rFonts w:asciiTheme="majorHAnsi" w:hAnsiTheme="majorHAnsi" w:cs="Times New Roman"/>
          <w:sz w:val="24"/>
          <w:szCs w:val="24"/>
        </w:rPr>
        <w:t xml:space="preserve">. </w:t>
      </w:r>
      <w:r w:rsidR="00E96E8F" w:rsidRPr="009622E6">
        <w:rPr>
          <w:rFonts w:asciiTheme="majorHAnsi" w:hAnsiTheme="majorHAnsi" w:cs="Times New Roman"/>
          <w:sz w:val="24"/>
          <w:szCs w:val="24"/>
        </w:rPr>
        <w:t xml:space="preserve">Simple bedside measures of body composition (such as mid-upper arm circumference and mid-thigh circumference) may be of </w:t>
      </w:r>
      <w:r w:rsidR="00D1725F" w:rsidRPr="009622E6">
        <w:rPr>
          <w:rFonts w:asciiTheme="majorHAnsi" w:hAnsiTheme="majorHAnsi" w:cs="Times New Roman"/>
          <w:sz w:val="24"/>
          <w:szCs w:val="24"/>
        </w:rPr>
        <w:t>some utility</w:t>
      </w:r>
      <w:r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"10.1111/apa.13804", "ISSN" : "08035253", "author" : [ { "dropping-particle" : "", "family" : "Ashton", "given" : "James J.", "non-dropping-particle" : "", "parse-names" : false, "suffix" : "" }, { "dropping-particle" : "", "family" : "Johnson", "given" : "Mark J.", "non-dropping-particle" : "", "parse-names" : false, "suffix" : "" }, { "dropping-particle" : "", "family" : "Pond", "given" : "Jenny", "non-dropping-particle" : "", "parse-names" : false, "suffix" : "" }, { "dropping-particle" : "", "family" : "Crowley", "given" : "Philippa", "non-dropping-particle" : "", "parse-names" : false, "suffix" : "" }, { "dropping-particle" : "", "family" : "Dimitrov", "given" : "Borislav D.", "non-dropping-particle" : "", "parse-names" : false, "suffix" : "" }, { "dropping-particle" : "", "family" : "Pearson", "given" : "Freya", "non-dropping-particle" : "", "parse-names" : false, "suffix" : "" }, { "dropping-particle" : "", "family" : "Beattie", "given" : "R. Mark", "non-dropping-particle" : "", "parse-names" : false, "suffix" : "" } ], "container-title" : "Acta Paediatrica", "id" : "ITEM-1", "issue" : "6", "issued" : { "date-parts" : [ [ "2017" ] ] }, "page" : "889-896", "title" : "Assessing the growth of preterm infants using detailed anthropometry", "type" : "article-journal", "volume" : "106" }, "uris" : [ "http://www.mendeley.com/documents/?uuid=efc77aea-8f28-3c68-8faa-a92dae744e42" ] } ], "mendeley" : { "formattedCitation" : "[31]", "plainTextFormattedCitation" : "[31]", "previouslyFormattedCitation" : "[31]" }, "properties" : {  }, "schema" : "https://github.com/citation-style-language/schema/raw/master/csl-citation.json" }</w:instrText>
      </w:r>
      <w:r w:rsidRPr="009622E6">
        <w:rPr>
          <w:rFonts w:asciiTheme="majorHAnsi" w:hAnsiTheme="majorHAnsi" w:cs="Times New Roman"/>
          <w:sz w:val="24"/>
          <w:szCs w:val="24"/>
        </w:rPr>
        <w:fldChar w:fldCharType="separate"/>
      </w:r>
      <w:r w:rsidR="00D40179" w:rsidRPr="00D40179">
        <w:rPr>
          <w:rFonts w:asciiTheme="majorHAnsi" w:hAnsiTheme="majorHAnsi" w:cs="Times New Roman"/>
          <w:noProof/>
          <w:sz w:val="24"/>
          <w:szCs w:val="24"/>
        </w:rPr>
        <w:t>[31]</w:t>
      </w:r>
      <w:r w:rsidRPr="009622E6">
        <w:rPr>
          <w:rFonts w:asciiTheme="majorHAnsi" w:hAnsiTheme="majorHAnsi" w:cs="Times New Roman"/>
          <w:sz w:val="24"/>
          <w:szCs w:val="24"/>
        </w:rPr>
        <w:fldChar w:fldCharType="end"/>
      </w:r>
      <w:r w:rsidR="00CD0825">
        <w:rPr>
          <w:rFonts w:asciiTheme="majorHAnsi" w:hAnsiTheme="majorHAnsi" w:cs="Times New Roman"/>
          <w:sz w:val="24"/>
          <w:szCs w:val="24"/>
        </w:rPr>
        <w:t>.</w:t>
      </w:r>
    </w:p>
    <w:p w:rsidR="00BC52F4" w:rsidRPr="009622E6" w:rsidRDefault="00405957" w:rsidP="009E2DF4">
      <w:pPr>
        <w:spacing w:line="480" w:lineRule="auto"/>
        <w:rPr>
          <w:rFonts w:asciiTheme="majorHAnsi" w:hAnsiTheme="majorHAnsi" w:cs="Times New Roman"/>
          <w:sz w:val="24"/>
          <w:szCs w:val="24"/>
        </w:rPr>
      </w:pPr>
      <w:r w:rsidRPr="009622E6">
        <w:rPr>
          <w:rFonts w:asciiTheme="majorHAnsi" w:hAnsiTheme="majorHAnsi" w:cs="Times New Roman"/>
          <w:sz w:val="24"/>
          <w:szCs w:val="24"/>
        </w:rPr>
        <w:t xml:space="preserve">The depiction of preterm weight gain </w:t>
      </w:r>
      <w:r w:rsidR="00287326">
        <w:rPr>
          <w:rFonts w:asciiTheme="majorHAnsi" w:hAnsiTheme="majorHAnsi" w:cs="Times New Roman"/>
          <w:sz w:val="24"/>
          <w:szCs w:val="24"/>
        </w:rPr>
        <w:t>described here</w:t>
      </w:r>
      <w:r w:rsidRPr="009622E6">
        <w:rPr>
          <w:rFonts w:asciiTheme="majorHAnsi" w:hAnsiTheme="majorHAnsi" w:cs="Times New Roman"/>
          <w:sz w:val="24"/>
          <w:szCs w:val="24"/>
        </w:rPr>
        <w:t xml:space="preserve"> follows the introduction of a new nutritio</w:t>
      </w:r>
      <w:r w:rsidR="00F6320B" w:rsidRPr="009622E6">
        <w:rPr>
          <w:rFonts w:asciiTheme="majorHAnsi" w:hAnsiTheme="majorHAnsi" w:cs="Times New Roman"/>
          <w:sz w:val="24"/>
          <w:szCs w:val="24"/>
        </w:rPr>
        <w:t>n guideline</w:t>
      </w:r>
      <w:r w:rsidR="00E96E8F" w:rsidRPr="009622E6">
        <w:rPr>
          <w:rFonts w:asciiTheme="majorHAnsi" w:hAnsiTheme="majorHAnsi" w:cs="Times New Roman"/>
          <w:sz w:val="24"/>
          <w:szCs w:val="24"/>
        </w:rPr>
        <w:t xml:space="preserve"> and practices</w:t>
      </w:r>
      <w:r w:rsidR="00F6320B" w:rsidRPr="009622E6">
        <w:rPr>
          <w:rFonts w:asciiTheme="majorHAnsi" w:hAnsiTheme="majorHAnsi" w:cs="Times New Roman"/>
          <w:sz w:val="24"/>
          <w:szCs w:val="24"/>
        </w:rPr>
        <w:t xml:space="preserve"> introduced locally</w:t>
      </w:r>
      <w:r w:rsidR="00D864BF"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"doi:10.1136/bmjopen-2017-017727", "author" : [ { "dropping-particle" : "", "family" : "Johnson", "given" : "Mark J", "non-dropping-particle" : "", "parse-names" : false, "suffix" : "" }, { "dropping-particle" : "", "family" : "Leaf", "given" : "Alison A", "non-dropping-particle" : "", "parse-names" : false, "suffix" : "" }, { "dropping-particle" : "", "family" : "Pearson", "given" : "Freya", "non-dropping-particle" : "", "parse-names" : false, "suffix" : "" } ], "container-title" : "BMJ Open", "id" : "ITEM-1", "issued" : { "date-parts" : [ [ "2017" ] ] }, "title" : "Successfully implementing and embedding guidelines to improve the nutrition and growth of preterm infants in neonatal intensive care: a prospective interventional study", "type" : "article-journal" }, "uris" : [ "http://www.mendeley.com/documents/?uuid=8bd9289d-5b98-4d0d-8b19-6fc07f7778f0" ] } ], "mendeley" : { "formattedCitation" : "[18]", "plainTextFormattedCitation" : "[18]", "previouslyFormattedCitation" : "[18]" }, "properties" : {  }, "schema" : "https://github.com/citation-style-language/schema/raw/master/csl-citation.json" }</w:instrText>
      </w:r>
      <w:r w:rsidR="00D864BF" w:rsidRPr="009622E6">
        <w:rPr>
          <w:rFonts w:asciiTheme="majorHAnsi" w:hAnsiTheme="majorHAnsi" w:cs="Times New Roman"/>
          <w:sz w:val="24"/>
          <w:szCs w:val="24"/>
        </w:rPr>
        <w:fldChar w:fldCharType="separate"/>
      </w:r>
      <w:r w:rsidR="00C4193C" w:rsidRPr="00C4193C">
        <w:rPr>
          <w:rFonts w:asciiTheme="majorHAnsi" w:hAnsiTheme="majorHAnsi" w:cs="Times New Roman"/>
          <w:noProof/>
          <w:sz w:val="24"/>
          <w:szCs w:val="24"/>
        </w:rPr>
        <w:t>[18]</w:t>
      </w:r>
      <w:r w:rsidR="00D864BF" w:rsidRPr="009622E6">
        <w:rPr>
          <w:rFonts w:asciiTheme="majorHAnsi" w:hAnsiTheme="majorHAnsi" w:cs="Times New Roman"/>
          <w:sz w:val="24"/>
          <w:szCs w:val="24"/>
        </w:rPr>
        <w:fldChar w:fldCharType="end"/>
      </w:r>
      <w:r w:rsidR="00CD0825">
        <w:rPr>
          <w:rFonts w:asciiTheme="majorHAnsi" w:hAnsiTheme="majorHAnsi" w:cs="Times New Roman"/>
          <w:sz w:val="24"/>
          <w:szCs w:val="24"/>
        </w:rPr>
        <w:t>.</w:t>
      </w:r>
      <w:r w:rsidR="00220D4E" w:rsidRPr="009622E6">
        <w:rPr>
          <w:rFonts w:asciiTheme="majorHAnsi" w:hAnsiTheme="majorHAnsi" w:cs="Times New Roman"/>
          <w:sz w:val="24"/>
          <w:szCs w:val="24"/>
        </w:rPr>
        <w:t xml:space="preserve"> </w:t>
      </w:r>
      <w:r w:rsidR="002B312D" w:rsidRPr="009622E6">
        <w:rPr>
          <w:rFonts w:asciiTheme="majorHAnsi" w:hAnsiTheme="majorHAnsi" w:cs="Times New Roman"/>
          <w:sz w:val="24"/>
          <w:szCs w:val="24"/>
        </w:rPr>
        <w:t>Th</w:t>
      </w:r>
      <w:r w:rsidR="00E96E8F" w:rsidRPr="009622E6">
        <w:rPr>
          <w:rFonts w:asciiTheme="majorHAnsi" w:hAnsiTheme="majorHAnsi" w:cs="Times New Roman"/>
          <w:sz w:val="24"/>
          <w:szCs w:val="24"/>
        </w:rPr>
        <w:t>es</w:t>
      </w:r>
      <w:r w:rsidRPr="009622E6">
        <w:rPr>
          <w:rFonts w:asciiTheme="majorHAnsi" w:hAnsiTheme="majorHAnsi" w:cs="Times New Roman"/>
          <w:sz w:val="24"/>
          <w:szCs w:val="24"/>
        </w:rPr>
        <w:t>e emphasis</w:t>
      </w:r>
      <w:r w:rsidR="004D6281" w:rsidRPr="009622E6">
        <w:rPr>
          <w:rFonts w:asciiTheme="majorHAnsi" w:hAnsiTheme="majorHAnsi" w:cs="Times New Roman"/>
          <w:sz w:val="24"/>
          <w:szCs w:val="24"/>
        </w:rPr>
        <w:t>e</w:t>
      </w:r>
      <w:r w:rsidRPr="009622E6">
        <w:rPr>
          <w:rFonts w:asciiTheme="majorHAnsi" w:hAnsiTheme="majorHAnsi" w:cs="Times New Roman"/>
          <w:sz w:val="24"/>
          <w:szCs w:val="24"/>
        </w:rPr>
        <w:t xml:space="preserve"> early feeding and early commen</w:t>
      </w:r>
      <w:r w:rsidR="009516DE" w:rsidRPr="009622E6">
        <w:rPr>
          <w:rFonts w:asciiTheme="majorHAnsi" w:hAnsiTheme="majorHAnsi" w:cs="Times New Roman"/>
          <w:sz w:val="24"/>
          <w:szCs w:val="24"/>
        </w:rPr>
        <w:t xml:space="preserve">cement of parenteral nutrition. </w:t>
      </w:r>
      <w:r w:rsidR="00E96E8F" w:rsidRPr="009622E6">
        <w:rPr>
          <w:rFonts w:asciiTheme="majorHAnsi" w:hAnsiTheme="majorHAnsi" w:cs="Times New Roman"/>
          <w:sz w:val="24"/>
          <w:szCs w:val="24"/>
        </w:rPr>
        <w:t>In a previous study of infants cared for during the first 18 months following the introduction of these practice</w:t>
      </w:r>
      <w:r w:rsidR="00136260" w:rsidRPr="009622E6">
        <w:rPr>
          <w:rFonts w:asciiTheme="majorHAnsi" w:hAnsiTheme="majorHAnsi" w:cs="Times New Roman"/>
          <w:sz w:val="24"/>
          <w:szCs w:val="24"/>
        </w:rPr>
        <w:t>s</w:t>
      </w:r>
      <w:r w:rsidR="00A17313">
        <w:rPr>
          <w:rFonts w:asciiTheme="majorHAnsi" w:hAnsiTheme="majorHAnsi" w:cs="Times New Roman"/>
          <w:sz w:val="24"/>
          <w:szCs w:val="24"/>
        </w:rPr>
        <w:t>,</w:t>
      </w:r>
      <w:r w:rsidR="009873B6" w:rsidRPr="009622E6">
        <w:rPr>
          <w:rFonts w:asciiTheme="majorHAnsi" w:hAnsiTheme="majorHAnsi" w:cs="Times New Roman"/>
          <w:sz w:val="24"/>
          <w:szCs w:val="24"/>
        </w:rPr>
        <w:t xml:space="preserve"> infants received a</w:t>
      </w:r>
      <w:r w:rsidR="004B030D" w:rsidRPr="009622E6">
        <w:rPr>
          <w:rFonts w:asciiTheme="majorHAnsi" w:hAnsiTheme="majorHAnsi" w:cs="Times New Roman"/>
          <w:sz w:val="24"/>
          <w:szCs w:val="24"/>
        </w:rPr>
        <w:t xml:space="preserve"> mean daily intake of 120</w:t>
      </w:r>
      <w:r w:rsidR="00220D4E" w:rsidRPr="009622E6">
        <w:rPr>
          <w:rFonts w:asciiTheme="majorHAnsi" w:hAnsiTheme="majorHAnsi" w:cs="Times New Roman"/>
          <w:sz w:val="24"/>
          <w:szCs w:val="24"/>
        </w:rPr>
        <w:t>kcal/</w:t>
      </w:r>
      <w:r w:rsidR="00816999" w:rsidRPr="009622E6">
        <w:rPr>
          <w:rFonts w:asciiTheme="majorHAnsi" w:hAnsiTheme="majorHAnsi" w:cs="Times New Roman"/>
          <w:sz w:val="24"/>
          <w:szCs w:val="24"/>
        </w:rPr>
        <w:t>k</w:t>
      </w:r>
      <w:r w:rsidR="00220D4E" w:rsidRPr="009622E6">
        <w:rPr>
          <w:rFonts w:asciiTheme="majorHAnsi" w:hAnsiTheme="majorHAnsi" w:cs="Times New Roman"/>
          <w:sz w:val="24"/>
          <w:szCs w:val="24"/>
        </w:rPr>
        <w:t>g/day and 3.34</w:t>
      </w:r>
      <w:r w:rsidR="000F1937">
        <w:rPr>
          <w:rFonts w:asciiTheme="majorHAnsi" w:hAnsiTheme="majorHAnsi" w:cs="Times New Roman"/>
          <w:sz w:val="24"/>
          <w:szCs w:val="24"/>
        </w:rPr>
        <w:t>g</w:t>
      </w:r>
      <w:r w:rsidR="00220D4E" w:rsidRPr="009622E6">
        <w:rPr>
          <w:rFonts w:asciiTheme="majorHAnsi" w:hAnsiTheme="majorHAnsi" w:cs="Times New Roman"/>
          <w:sz w:val="24"/>
          <w:szCs w:val="24"/>
        </w:rPr>
        <w:t>/</w:t>
      </w:r>
      <w:r w:rsidR="006B7566" w:rsidRPr="009622E6">
        <w:rPr>
          <w:rFonts w:asciiTheme="majorHAnsi" w:hAnsiTheme="majorHAnsi" w:cs="Times New Roman"/>
          <w:sz w:val="24"/>
          <w:szCs w:val="24"/>
        </w:rPr>
        <w:t>protein/kg</w:t>
      </w:r>
      <w:r w:rsidR="00220D4E" w:rsidRPr="009622E6">
        <w:rPr>
          <w:rFonts w:asciiTheme="majorHAnsi" w:hAnsiTheme="majorHAnsi" w:cs="Times New Roman"/>
          <w:sz w:val="24"/>
          <w:szCs w:val="24"/>
        </w:rPr>
        <w:t>/day</w:t>
      </w:r>
      <w:r w:rsidR="00D864BF"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"doi:10.1136/bmjopen-2017-017727", "author" : [ { "dropping-particle" : "", "family" : "Johnson", "given" : "Mark J", "non-dropping-particle" : "", "parse-names" : false, "suffix" : "" }, { "dropping-particle" : "", "family" : "Leaf", "given" : "Alison A", "non-dropping-particle" : "", "parse-names" : false, "suffix" : "" }, { "dropping-particle" : "", "family" : "Pearson", "given" : "Freya", "non-dropping-particle" : "", "parse-names" : false, "suffix" : "" } ], "container-title" : "BMJ Open", "id" : "ITEM-1", "issued" : { "date-parts" : [ [ "2017" ] ] }, "title" : "Successfully implementing and embedding guidelines to improve the nutrition and growth of preterm infants in neonatal intensive care: a prospective interventional study", "type" : "article-journal" }, "uris" : [ "http://www.mendeley.com/documents/?uuid=8bd9289d-5b98-4d0d-8b19-6fc07f7778f0" ] } ], "mendeley" : { "formattedCitation" : "[18]", "plainTextFormattedCitation" : "[18]", "previouslyFormattedCitation" : "[18]" }, "properties" : {  }, "schema" : "https://github.com/citation-style-language/schema/raw/master/csl-citation.json" }</w:instrText>
      </w:r>
      <w:r w:rsidR="00D864BF" w:rsidRPr="009622E6">
        <w:rPr>
          <w:rFonts w:asciiTheme="majorHAnsi" w:hAnsiTheme="majorHAnsi" w:cs="Times New Roman"/>
          <w:sz w:val="24"/>
          <w:szCs w:val="24"/>
        </w:rPr>
        <w:fldChar w:fldCharType="separate"/>
      </w:r>
      <w:r w:rsidR="00C4193C" w:rsidRPr="00C4193C">
        <w:rPr>
          <w:rFonts w:asciiTheme="majorHAnsi" w:hAnsiTheme="majorHAnsi" w:cs="Times New Roman"/>
          <w:noProof/>
          <w:sz w:val="24"/>
          <w:szCs w:val="24"/>
        </w:rPr>
        <w:t>[18]</w:t>
      </w:r>
      <w:r w:rsidR="00D864BF" w:rsidRPr="009622E6">
        <w:rPr>
          <w:rFonts w:asciiTheme="majorHAnsi" w:hAnsiTheme="majorHAnsi" w:cs="Times New Roman"/>
          <w:sz w:val="24"/>
          <w:szCs w:val="24"/>
        </w:rPr>
        <w:fldChar w:fldCharType="end"/>
      </w:r>
      <w:r w:rsidR="00CD0825">
        <w:rPr>
          <w:rFonts w:asciiTheme="majorHAnsi" w:hAnsiTheme="majorHAnsi" w:cs="Times New Roman"/>
          <w:sz w:val="24"/>
          <w:szCs w:val="24"/>
        </w:rPr>
        <w:t>.</w:t>
      </w:r>
      <w:r w:rsidR="006B7566" w:rsidRPr="009622E6">
        <w:rPr>
          <w:rFonts w:asciiTheme="majorHAnsi" w:hAnsiTheme="majorHAnsi" w:cs="Times New Roman"/>
          <w:sz w:val="24"/>
          <w:szCs w:val="24"/>
        </w:rPr>
        <w:t xml:space="preserve"> Although reasonable</w:t>
      </w:r>
      <w:r w:rsidR="00E96E8F" w:rsidRPr="009622E6">
        <w:rPr>
          <w:rFonts w:asciiTheme="majorHAnsi" w:hAnsiTheme="majorHAnsi" w:cs="Times New Roman"/>
          <w:sz w:val="24"/>
          <w:szCs w:val="24"/>
        </w:rPr>
        <w:t xml:space="preserve">, it remains below </w:t>
      </w:r>
      <w:r w:rsidR="006B7566" w:rsidRPr="009622E6">
        <w:rPr>
          <w:rFonts w:asciiTheme="majorHAnsi" w:hAnsiTheme="majorHAnsi" w:cs="Times New Roman"/>
          <w:sz w:val="24"/>
          <w:szCs w:val="24"/>
        </w:rPr>
        <w:t>recommended</w:t>
      </w:r>
      <w:r w:rsidR="00E96E8F" w:rsidRPr="009622E6">
        <w:rPr>
          <w:rFonts w:asciiTheme="majorHAnsi" w:hAnsiTheme="majorHAnsi" w:cs="Times New Roman"/>
          <w:sz w:val="24"/>
          <w:szCs w:val="24"/>
        </w:rPr>
        <w:t xml:space="preserve"> intake</w:t>
      </w:r>
      <w:r w:rsidR="00A17313">
        <w:rPr>
          <w:rFonts w:asciiTheme="majorHAnsi" w:hAnsiTheme="majorHAnsi" w:cs="Times New Roman"/>
          <w:sz w:val="24"/>
          <w:szCs w:val="24"/>
        </w:rPr>
        <w:t>s</w:t>
      </w:r>
      <w:r w:rsidR="00E96E8F" w:rsidRPr="009622E6">
        <w:rPr>
          <w:rFonts w:asciiTheme="majorHAnsi" w:hAnsiTheme="majorHAnsi" w:cs="Times New Roman"/>
          <w:sz w:val="24"/>
          <w:szCs w:val="24"/>
        </w:rPr>
        <w:t xml:space="preserve"> for preterm </w:t>
      </w:r>
      <w:r w:rsidR="006B7566" w:rsidRPr="009622E6">
        <w:rPr>
          <w:rFonts w:asciiTheme="majorHAnsi" w:hAnsiTheme="majorHAnsi" w:cs="Times New Roman"/>
          <w:sz w:val="24"/>
          <w:szCs w:val="24"/>
        </w:rPr>
        <w:t>infants</w:t>
      </w:r>
      <w:r w:rsidR="000F1937">
        <w:rPr>
          <w:rFonts w:asciiTheme="majorHAnsi" w:hAnsiTheme="majorHAnsi" w:cs="Times New Roman"/>
          <w:sz w:val="24"/>
          <w:szCs w:val="24"/>
        </w:rPr>
        <w:t xml:space="preserve">, perhaps </w:t>
      </w:r>
      <w:r w:rsidR="00BC52F4" w:rsidRPr="009622E6">
        <w:rPr>
          <w:rFonts w:asciiTheme="majorHAnsi" w:hAnsiTheme="majorHAnsi" w:cs="Times New Roman"/>
          <w:sz w:val="24"/>
          <w:szCs w:val="24"/>
        </w:rPr>
        <w:t>explain</w:t>
      </w:r>
      <w:r w:rsidR="000F1937">
        <w:rPr>
          <w:rFonts w:asciiTheme="majorHAnsi" w:hAnsiTheme="majorHAnsi" w:cs="Times New Roman"/>
          <w:sz w:val="24"/>
          <w:szCs w:val="24"/>
        </w:rPr>
        <w:t>ing</w:t>
      </w:r>
      <w:r w:rsidR="00BC52F4" w:rsidRPr="009622E6">
        <w:rPr>
          <w:rFonts w:asciiTheme="majorHAnsi" w:hAnsiTheme="majorHAnsi" w:cs="Times New Roman"/>
          <w:sz w:val="24"/>
          <w:szCs w:val="24"/>
        </w:rPr>
        <w:t xml:space="preserve"> why the </w:t>
      </w:r>
      <w:r w:rsidR="000F1937">
        <w:rPr>
          <w:rFonts w:asciiTheme="majorHAnsi" w:hAnsiTheme="majorHAnsi" w:cs="Times New Roman"/>
          <w:sz w:val="24"/>
          <w:szCs w:val="24"/>
        </w:rPr>
        <w:t xml:space="preserve">head and length </w:t>
      </w:r>
      <w:r w:rsidR="00BC52F4" w:rsidRPr="009622E6">
        <w:rPr>
          <w:rFonts w:asciiTheme="majorHAnsi" w:hAnsiTheme="majorHAnsi" w:cs="Times New Roman"/>
          <w:sz w:val="24"/>
          <w:szCs w:val="24"/>
        </w:rPr>
        <w:t>growth seen in this study remained suboptimal.</w:t>
      </w:r>
      <w:r w:rsidR="00E96E8F" w:rsidRPr="009622E6">
        <w:rPr>
          <w:rFonts w:asciiTheme="majorHAnsi" w:hAnsiTheme="majorHAnsi" w:cs="Times New Roman"/>
          <w:sz w:val="24"/>
          <w:szCs w:val="24"/>
        </w:rPr>
        <w:t xml:space="preserve"> </w:t>
      </w:r>
      <w:proofErr w:type="spellStart"/>
      <w:r w:rsidR="00BC52F4" w:rsidRPr="009622E6">
        <w:rPr>
          <w:rFonts w:asciiTheme="majorHAnsi" w:hAnsiTheme="majorHAnsi" w:cs="Times New Roman"/>
          <w:sz w:val="24"/>
          <w:szCs w:val="24"/>
        </w:rPr>
        <w:t>Senterre</w:t>
      </w:r>
      <w:proofErr w:type="spellEnd"/>
      <w:r w:rsidR="00BC52F4" w:rsidRPr="009622E6">
        <w:rPr>
          <w:rFonts w:asciiTheme="majorHAnsi" w:hAnsiTheme="majorHAnsi" w:cs="Times New Roman"/>
          <w:sz w:val="24"/>
          <w:szCs w:val="24"/>
        </w:rPr>
        <w:t xml:space="preserve"> et al demonstrat</w:t>
      </w:r>
      <w:r w:rsidR="006D43DD" w:rsidRPr="009622E6">
        <w:rPr>
          <w:rFonts w:asciiTheme="majorHAnsi" w:hAnsiTheme="majorHAnsi" w:cs="Times New Roman"/>
          <w:sz w:val="24"/>
          <w:szCs w:val="24"/>
        </w:rPr>
        <w:t>ed</w:t>
      </w:r>
      <w:r w:rsidR="00BC52F4" w:rsidRPr="009622E6">
        <w:rPr>
          <w:rFonts w:asciiTheme="majorHAnsi" w:hAnsiTheme="majorHAnsi" w:cs="Times New Roman"/>
          <w:sz w:val="24"/>
          <w:szCs w:val="24"/>
        </w:rPr>
        <w:t xml:space="preserve"> a reduction in the negative weight </w:t>
      </w:r>
      <w:r w:rsidR="001762AF">
        <w:rPr>
          <w:rFonts w:asciiTheme="majorHAnsi" w:hAnsiTheme="majorHAnsi" w:cs="Times New Roman"/>
          <w:sz w:val="24"/>
          <w:szCs w:val="24"/>
        </w:rPr>
        <w:t>Δ</w:t>
      </w:r>
      <w:r w:rsidR="00BC52F4" w:rsidRPr="009622E6">
        <w:rPr>
          <w:rFonts w:asciiTheme="majorHAnsi" w:hAnsiTheme="majorHAnsi" w:cs="Times New Roman"/>
          <w:sz w:val="24"/>
          <w:szCs w:val="24"/>
        </w:rPr>
        <w:t xml:space="preserve">SDS in </w:t>
      </w:r>
      <w:r w:rsidR="00FA7AD5" w:rsidRPr="009622E6">
        <w:rPr>
          <w:rFonts w:asciiTheme="majorHAnsi" w:hAnsiTheme="majorHAnsi" w:cs="Times New Roman"/>
          <w:sz w:val="24"/>
          <w:szCs w:val="24"/>
        </w:rPr>
        <w:t>preterm infant</w:t>
      </w:r>
      <w:r w:rsidR="00BC52F4" w:rsidRPr="009622E6">
        <w:rPr>
          <w:rFonts w:asciiTheme="majorHAnsi" w:hAnsiTheme="majorHAnsi" w:cs="Times New Roman"/>
          <w:sz w:val="24"/>
          <w:szCs w:val="24"/>
        </w:rPr>
        <w:t>s who had not developed a cumulative nutritional deficit following improved nutritional practices</w:t>
      </w:r>
      <w:r w:rsidR="00D864BF" w:rsidRPr="009622E6">
        <w:rPr>
          <w:rFonts w:asciiTheme="majorHAnsi" w:hAnsiTheme="majorHAnsi" w:cs="Times New Roman"/>
          <w:sz w:val="24"/>
          <w:szCs w:val="24"/>
        </w:rPr>
        <w:fldChar w:fldCharType="begin" w:fldLock="1"/>
      </w:r>
      <w:r w:rsidR="00B90AE8">
        <w:rPr>
          <w:rFonts w:asciiTheme="majorHAnsi" w:hAnsiTheme="majorHAnsi" w:cs="Times New Roman"/>
          <w:sz w:val="24"/>
          <w:szCs w:val="24"/>
        </w:rPr>
        <w:instrText>ADDIN CSL_CITATION { "citationItems" : [ { "id" : "ITEM-1", "itemData" : { "DOI" : "10.1111/j.1651-2227.2011.02443.x", "ISBN" : "1651-2227", "ISSN" : "08035253", "PMID" : "21854447", "abstract" : "AIM: To evaluate the influence of gestational age (GA) on cumulative nutritional deficit and postnatal growth in extremely preterm (EPT) infants after optimizing nutritional protocol as recently recommended. METHODS: A prospective, nonrandomized, observational study in extremely preterm (EPT, &lt;28 weeks) and very preterm (VPT, 28-30 weeks) infants. RESULTS: Eighty-four infants were included (BW: 978 \u00b1 156 g, GA: 27.8 \u00b1 1.3 weeks). Cumulative nutritional deficit increased during first week of life to -290 \u00b1 84 and -285 \u00b1 117 kcal/kg and -4.2 \u00b1 3.1 and -4.8 \u00b1 3.9 g/kg of protein in EPT and VPT groups, respectively. After 6 weeks, only cumulative energy deficit in EPT group remained significant (p &lt; 0.05) even when 96% of theoretical energy intakes were provided. Weight z score decreased during first 3 days in average with initial weight loss, and then, the z score increased during the first 6 weeks of life in the majority (75%) of infants. Cumulative protein deficit during the first week of life was the major determinant of the postnatal growth during the first 6 weeks of life. CONCLUSION: Cumulative nutritional deficit may be drastically reduced in both EPT and VPT infants after optimizing nutritional policy during the first weeks of life, and the postnatal growth restriction could even be prevented.", "author" : [ { "dropping-particle" : "", "family" : "Senterre", "given" : "Thibault", "non-dropping-particle" : "", "parse-names" : false, "suffix" : "" }, { "dropping-particle" : "", "family" : "Rigo", "given" : "Jacques", "non-dropping-particle" : "", "parse-names" : false, "suffix" : "" } ], "container-title" : "Acta Paediatrica, International Journal of Paediatrics", "id" : "ITEM-1", "issued" : { "date-parts" : [ [ "2012" ] ] }, "note" : "Cumulative energy deficiency and protein energy deficiency may be reduced\u00a0 and subsequently lead to better Z scores", "title" : "Reduction in postnatal cumulative nutritional deficit and improvement of growth in extremely preterm infants", "type" : "article-journal" }, "uris" : [ "http://www.mendeley.com/documents/?uuid=fb6ac1ac-f4fc-359e-9ae9-f99cff6560cd" ] } ], "mendeley" : { "formattedCitation" : "[32]", "plainTextFormattedCitation" : "[32]", "previouslyFormattedCitation" : "[32]" }, "properties" : {  }, "schema" : "https://github.com/citation-style-language/schema/raw/master/csl-citation.json" }</w:instrText>
      </w:r>
      <w:r w:rsidR="00D864BF" w:rsidRPr="009622E6">
        <w:rPr>
          <w:rFonts w:asciiTheme="majorHAnsi" w:hAnsiTheme="majorHAnsi" w:cs="Times New Roman"/>
          <w:sz w:val="24"/>
          <w:szCs w:val="24"/>
        </w:rPr>
        <w:fldChar w:fldCharType="separate"/>
      </w:r>
      <w:r w:rsidR="00D40179" w:rsidRPr="00D40179">
        <w:rPr>
          <w:rFonts w:asciiTheme="majorHAnsi" w:hAnsiTheme="majorHAnsi" w:cs="Times New Roman"/>
          <w:noProof/>
          <w:sz w:val="24"/>
          <w:szCs w:val="24"/>
        </w:rPr>
        <w:t>[32]</w:t>
      </w:r>
      <w:r w:rsidR="00D864BF" w:rsidRPr="009622E6">
        <w:rPr>
          <w:rFonts w:asciiTheme="majorHAnsi" w:hAnsiTheme="majorHAnsi" w:cs="Times New Roman"/>
          <w:sz w:val="24"/>
          <w:szCs w:val="24"/>
        </w:rPr>
        <w:fldChar w:fldCharType="end"/>
      </w:r>
      <w:r w:rsidR="00CD0825">
        <w:rPr>
          <w:rFonts w:asciiTheme="majorHAnsi" w:hAnsiTheme="majorHAnsi" w:cs="Times New Roman"/>
          <w:sz w:val="24"/>
          <w:szCs w:val="24"/>
        </w:rPr>
        <w:t>.</w:t>
      </w:r>
      <w:r w:rsidR="00BC52F4" w:rsidRPr="009622E6">
        <w:rPr>
          <w:rFonts w:asciiTheme="majorHAnsi" w:hAnsiTheme="majorHAnsi" w:cs="Times New Roman"/>
          <w:sz w:val="24"/>
          <w:szCs w:val="24"/>
        </w:rPr>
        <w:t xml:space="preserve"> This </w:t>
      </w:r>
      <w:r w:rsidR="00FF5926">
        <w:rPr>
          <w:rFonts w:asciiTheme="majorHAnsi" w:hAnsiTheme="majorHAnsi" w:cs="Times New Roman"/>
          <w:sz w:val="24"/>
          <w:szCs w:val="24"/>
        </w:rPr>
        <w:t xml:space="preserve">supports </w:t>
      </w:r>
      <w:r w:rsidR="00BC52F4" w:rsidRPr="009622E6">
        <w:rPr>
          <w:rFonts w:asciiTheme="majorHAnsi" w:hAnsiTheme="majorHAnsi" w:cs="Times New Roman"/>
          <w:sz w:val="24"/>
          <w:szCs w:val="24"/>
        </w:rPr>
        <w:t>the position that with appropriate nutrition i</w:t>
      </w:r>
      <w:r w:rsidR="00E913BD">
        <w:rPr>
          <w:rFonts w:asciiTheme="majorHAnsi" w:hAnsiTheme="majorHAnsi" w:cs="Times New Roman"/>
          <w:sz w:val="24"/>
          <w:szCs w:val="24"/>
        </w:rPr>
        <w:t xml:space="preserve">t is possible to </w:t>
      </w:r>
      <w:r w:rsidR="00BC52F4" w:rsidRPr="009622E6">
        <w:rPr>
          <w:rFonts w:asciiTheme="majorHAnsi" w:hAnsiTheme="majorHAnsi" w:cs="Times New Roman"/>
          <w:sz w:val="24"/>
          <w:szCs w:val="24"/>
        </w:rPr>
        <w:t>attenuat</w:t>
      </w:r>
      <w:r w:rsidR="00E913BD">
        <w:rPr>
          <w:rFonts w:asciiTheme="majorHAnsi" w:hAnsiTheme="majorHAnsi" w:cs="Times New Roman"/>
          <w:sz w:val="24"/>
          <w:szCs w:val="24"/>
        </w:rPr>
        <w:t>e</w:t>
      </w:r>
      <w:r w:rsidR="00BC52F4" w:rsidRPr="009622E6">
        <w:rPr>
          <w:rFonts w:asciiTheme="majorHAnsi" w:hAnsiTheme="majorHAnsi" w:cs="Times New Roman"/>
          <w:sz w:val="24"/>
          <w:szCs w:val="24"/>
        </w:rPr>
        <w:t xml:space="preserve"> growth failure in early life. </w:t>
      </w:r>
    </w:p>
    <w:p w:rsidR="00E5223D" w:rsidRPr="009622E6" w:rsidRDefault="008859DD" w:rsidP="009E2DF4">
      <w:pPr>
        <w:spacing w:line="480" w:lineRule="auto"/>
        <w:rPr>
          <w:rFonts w:asciiTheme="majorHAnsi" w:hAnsiTheme="majorHAnsi" w:cs="Times New Roman"/>
          <w:sz w:val="24"/>
          <w:szCs w:val="24"/>
        </w:rPr>
      </w:pPr>
      <w:r w:rsidRPr="009622E6">
        <w:rPr>
          <w:rFonts w:asciiTheme="majorHAnsi" w:hAnsiTheme="majorHAnsi" w:cs="Times New Roman"/>
          <w:sz w:val="24"/>
          <w:szCs w:val="24"/>
        </w:rPr>
        <w:t>A limitation of our study is that it uses only data from a single centre, with a relatively small number of infants at</w:t>
      </w:r>
      <w:r w:rsidR="00FA7AD5" w:rsidRPr="009622E6">
        <w:rPr>
          <w:rFonts w:asciiTheme="majorHAnsi" w:hAnsiTheme="majorHAnsi" w:cs="Times New Roman"/>
          <w:sz w:val="24"/>
          <w:szCs w:val="24"/>
        </w:rPr>
        <w:t xml:space="preserve"> </w:t>
      </w:r>
      <w:r w:rsidRPr="009622E6">
        <w:rPr>
          <w:rFonts w:asciiTheme="majorHAnsi" w:hAnsiTheme="majorHAnsi" w:cs="Times New Roman"/>
          <w:sz w:val="24"/>
          <w:szCs w:val="24"/>
        </w:rPr>
        <w:t xml:space="preserve">higher </w:t>
      </w:r>
      <w:r w:rsidR="006F5D8F" w:rsidRPr="009622E6">
        <w:rPr>
          <w:rFonts w:asciiTheme="majorHAnsi" w:hAnsiTheme="majorHAnsi" w:cs="Times New Roman"/>
          <w:sz w:val="24"/>
          <w:szCs w:val="24"/>
        </w:rPr>
        <w:t>PMA</w:t>
      </w:r>
      <w:r w:rsidR="00FA7AD5" w:rsidRPr="009622E6">
        <w:rPr>
          <w:rFonts w:asciiTheme="majorHAnsi" w:hAnsiTheme="majorHAnsi" w:cs="Times New Roman"/>
          <w:sz w:val="24"/>
          <w:szCs w:val="24"/>
        </w:rPr>
        <w:t>s</w:t>
      </w:r>
      <w:r w:rsidR="0087627A" w:rsidRPr="009622E6">
        <w:rPr>
          <w:rFonts w:asciiTheme="majorHAnsi" w:hAnsiTheme="majorHAnsi" w:cs="Times New Roman"/>
          <w:sz w:val="24"/>
          <w:szCs w:val="24"/>
        </w:rPr>
        <w:t xml:space="preserve"> and </w:t>
      </w:r>
      <w:r w:rsidR="00DA3E18">
        <w:rPr>
          <w:rFonts w:asciiTheme="majorHAnsi" w:hAnsiTheme="majorHAnsi" w:cs="Times New Roman"/>
          <w:sz w:val="24"/>
          <w:szCs w:val="24"/>
        </w:rPr>
        <w:t xml:space="preserve">relatively small number of </w:t>
      </w:r>
      <w:r w:rsidR="0087627A" w:rsidRPr="009622E6">
        <w:rPr>
          <w:rFonts w:asciiTheme="majorHAnsi" w:hAnsiTheme="majorHAnsi" w:cs="Times New Roman"/>
          <w:sz w:val="24"/>
          <w:szCs w:val="24"/>
        </w:rPr>
        <w:t xml:space="preserve">extremely premature infants born between 23 and 24 weeks </w:t>
      </w:r>
      <w:r w:rsidR="008E594B" w:rsidRPr="009622E6">
        <w:rPr>
          <w:rFonts w:asciiTheme="majorHAnsi" w:hAnsiTheme="majorHAnsi" w:cs="Times New Roman"/>
          <w:sz w:val="24"/>
          <w:szCs w:val="24"/>
        </w:rPr>
        <w:t>GA</w:t>
      </w:r>
      <w:r w:rsidRPr="009622E6">
        <w:rPr>
          <w:rFonts w:asciiTheme="majorHAnsi" w:hAnsiTheme="majorHAnsi" w:cs="Times New Roman"/>
          <w:sz w:val="24"/>
          <w:szCs w:val="24"/>
        </w:rPr>
        <w:t xml:space="preserve">. This is reflected in some of the variability </w:t>
      </w:r>
      <w:r w:rsidR="007E773F" w:rsidRPr="009622E6">
        <w:rPr>
          <w:rFonts w:asciiTheme="majorHAnsi" w:hAnsiTheme="majorHAnsi" w:cs="Times New Roman"/>
          <w:sz w:val="24"/>
          <w:szCs w:val="24"/>
        </w:rPr>
        <w:lastRenderedPageBreak/>
        <w:t>between groups</w:t>
      </w:r>
      <w:r w:rsidR="00A4615B" w:rsidRPr="009622E6">
        <w:rPr>
          <w:rFonts w:asciiTheme="majorHAnsi" w:hAnsiTheme="majorHAnsi" w:cs="Times New Roman"/>
          <w:sz w:val="24"/>
          <w:szCs w:val="24"/>
        </w:rPr>
        <w:t xml:space="preserve"> and wide confidence intervals</w:t>
      </w:r>
      <w:r w:rsidR="004F66EC" w:rsidRPr="009622E6">
        <w:rPr>
          <w:rFonts w:asciiTheme="majorHAnsi" w:hAnsiTheme="majorHAnsi" w:cs="Times New Roman"/>
          <w:sz w:val="24"/>
          <w:szCs w:val="24"/>
        </w:rPr>
        <w:t>,</w:t>
      </w:r>
      <w:r w:rsidR="004F66EC">
        <w:rPr>
          <w:rFonts w:asciiTheme="majorHAnsi" w:hAnsiTheme="majorHAnsi" w:cs="Times New Roman"/>
          <w:sz w:val="24"/>
          <w:szCs w:val="24"/>
        </w:rPr>
        <w:t xml:space="preserve"> </w:t>
      </w:r>
      <w:r w:rsidR="007E773F" w:rsidRPr="009622E6">
        <w:rPr>
          <w:rFonts w:asciiTheme="majorHAnsi" w:hAnsiTheme="majorHAnsi" w:cs="Times New Roman"/>
          <w:sz w:val="24"/>
          <w:szCs w:val="24"/>
        </w:rPr>
        <w:t>with</w:t>
      </w:r>
      <w:r w:rsidRPr="009622E6">
        <w:rPr>
          <w:rFonts w:asciiTheme="majorHAnsi" w:hAnsiTheme="majorHAnsi" w:cs="Times New Roman"/>
          <w:sz w:val="24"/>
          <w:szCs w:val="24"/>
        </w:rPr>
        <w:t xml:space="preserve"> lines</w:t>
      </w:r>
      <w:r w:rsidR="007E773F" w:rsidRPr="009622E6">
        <w:rPr>
          <w:rFonts w:asciiTheme="majorHAnsi" w:hAnsiTheme="majorHAnsi" w:cs="Times New Roman"/>
          <w:sz w:val="24"/>
          <w:szCs w:val="24"/>
        </w:rPr>
        <w:t xml:space="preserve"> diverging </w:t>
      </w:r>
      <w:r w:rsidRPr="009622E6">
        <w:rPr>
          <w:rFonts w:asciiTheme="majorHAnsi" w:hAnsiTheme="majorHAnsi" w:cs="Times New Roman"/>
          <w:sz w:val="24"/>
          <w:szCs w:val="24"/>
        </w:rPr>
        <w:t xml:space="preserve">as </w:t>
      </w:r>
      <w:r w:rsidR="00816999" w:rsidRPr="009622E6">
        <w:rPr>
          <w:rFonts w:asciiTheme="majorHAnsi" w:hAnsiTheme="majorHAnsi" w:cs="Times New Roman"/>
          <w:sz w:val="24"/>
          <w:szCs w:val="24"/>
        </w:rPr>
        <w:t>infants’</w:t>
      </w:r>
      <w:r w:rsidRPr="009622E6">
        <w:rPr>
          <w:rFonts w:asciiTheme="majorHAnsi" w:hAnsiTheme="majorHAnsi" w:cs="Times New Roman"/>
          <w:sz w:val="24"/>
          <w:szCs w:val="24"/>
        </w:rPr>
        <w:t xml:space="preserve"> approach</w:t>
      </w:r>
      <w:r w:rsidR="007E773F" w:rsidRPr="009622E6">
        <w:rPr>
          <w:rFonts w:asciiTheme="majorHAnsi" w:hAnsiTheme="majorHAnsi" w:cs="Times New Roman"/>
          <w:sz w:val="24"/>
          <w:szCs w:val="24"/>
        </w:rPr>
        <w:t xml:space="preserve"> term equivalent age, </w:t>
      </w:r>
      <w:r w:rsidRPr="009622E6">
        <w:rPr>
          <w:rFonts w:asciiTheme="majorHAnsi" w:hAnsiTheme="majorHAnsi" w:cs="Times New Roman"/>
          <w:sz w:val="24"/>
          <w:szCs w:val="24"/>
        </w:rPr>
        <w:t>refl</w:t>
      </w:r>
      <w:r w:rsidR="008C342F">
        <w:rPr>
          <w:rFonts w:asciiTheme="majorHAnsi" w:hAnsiTheme="majorHAnsi" w:cs="Times New Roman"/>
          <w:sz w:val="24"/>
          <w:szCs w:val="24"/>
        </w:rPr>
        <w:t>ecting discharge and transfer of</w:t>
      </w:r>
      <w:r w:rsidRPr="009622E6">
        <w:rPr>
          <w:rFonts w:asciiTheme="majorHAnsi" w:hAnsiTheme="majorHAnsi" w:cs="Times New Roman"/>
          <w:sz w:val="24"/>
          <w:szCs w:val="24"/>
        </w:rPr>
        <w:t xml:space="preserve"> infants.</w:t>
      </w:r>
      <w:r w:rsidR="007E773F" w:rsidRPr="009622E6">
        <w:rPr>
          <w:rFonts w:asciiTheme="majorHAnsi" w:hAnsiTheme="majorHAnsi" w:cs="Times New Roman"/>
          <w:sz w:val="24"/>
          <w:szCs w:val="24"/>
        </w:rPr>
        <w:t xml:space="preserve"> </w:t>
      </w:r>
      <w:r w:rsidR="00EA597B">
        <w:rPr>
          <w:rFonts w:asciiTheme="majorHAnsi" w:hAnsiTheme="majorHAnsi" w:cs="Times New Roman"/>
          <w:sz w:val="24"/>
          <w:szCs w:val="24"/>
        </w:rPr>
        <w:t xml:space="preserve">The graphs displayed show plotted median lines </w:t>
      </w:r>
      <w:r w:rsidR="00F7133B">
        <w:rPr>
          <w:rFonts w:asciiTheme="majorHAnsi" w:hAnsiTheme="majorHAnsi" w:cs="Times New Roman"/>
          <w:sz w:val="24"/>
          <w:szCs w:val="24"/>
        </w:rPr>
        <w:t xml:space="preserve">involving repeated measures of infants </w:t>
      </w:r>
      <w:r w:rsidR="00EA597B">
        <w:rPr>
          <w:rFonts w:asciiTheme="majorHAnsi" w:hAnsiTheme="majorHAnsi" w:cs="Times New Roman"/>
          <w:sz w:val="24"/>
          <w:szCs w:val="24"/>
        </w:rPr>
        <w:t>on top of a growth chart constructed from cross sectional data</w:t>
      </w:r>
      <w:r w:rsidR="005B5CA6">
        <w:rPr>
          <w:rFonts w:asciiTheme="majorHAnsi" w:hAnsiTheme="majorHAnsi" w:cs="Times New Roman"/>
          <w:sz w:val="24"/>
          <w:szCs w:val="24"/>
        </w:rPr>
        <w:t xml:space="preserve">. </w:t>
      </w:r>
      <w:r w:rsidR="0078406E">
        <w:rPr>
          <w:rFonts w:asciiTheme="majorHAnsi" w:hAnsiTheme="majorHAnsi" w:cs="Times New Roman"/>
          <w:sz w:val="24"/>
          <w:szCs w:val="24"/>
        </w:rPr>
        <w:t>Although t</w:t>
      </w:r>
      <w:r w:rsidR="005B5CA6">
        <w:rPr>
          <w:rFonts w:asciiTheme="majorHAnsi" w:hAnsiTheme="majorHAnsi" w:cs="Times New Roman"/>
          <w:sz w:val="24"/>
          <w:szCs w:val="24"/>
        </w:rPr>
        <w:t>his represents a limitation in our data analysis</w:t>
      </w:r>
      <w:r w:rsidR="0078406E">
        <w:rPr>
          <w:rFonts w:asciiTheme="majorHAnsi" w:hAnsiTheme="majorHAnsi" w:cs="Times New Roman"/>
          <w:sz w:val="24"/>
          <w:szCs w:val="24"/>
        </w:rPr>
        <w:t xml:space="preserve">, it is </w:t>
      </w:r>
      <w:r w:rsidR="005B5CA6">
        <w:rPr>
          <w:rFonts w:asciiTheme="majorHAnsi" w:hAnsiTheme="majorHAnsi" w:cs="Times New Roman"/>
          <w:sz w:val="24"/>
          <w:szCs w:val="24"/>
        </w:rPr>
        <w:t xml:space="preserve">a useful </w:t>
      </w:r>
      <w:r w:rsidR="0006686E">
        <w:rPr>
          <w:rFonts w:asciiTheme="majorHAnsi" w:hAnsiTheme="majorHAnsi" w:cs="Times New Roman"/>
          <w:sz w:val="24"/>
          <w:szCs w:val="24"/>
        </w:rPr>
        <w:t xml:space="preserve">way of </w:t>
      </w:r>
      <w:r w:rsidR="005B5CA6">
        <w:rPr>
          <w:rFonts w:asciiTheme="majorHAnsi" w:hAnsiTheme="majorHAnsi" w:cs="Times New Roman"/>
          <w:sz w:val="24"/>
          <w:szCs w:val="24"/>
        </w:rPr>
        <w:t>visualising the data</w:t>
      </w:r>
      <w:r w:rsidR="00C7187C">
        <w:rPr>
          <w:rFonts w:asciiTheme="majorHAnsi" w:hAnsiTheme="majorHAnsi" w:cs="Times New Roman"/>
          <w:sz w:val="24"/>
          <w:szCs w:val="24"/>
        </w:rPr>
        <w:t xml:space="preserve">. </w:t>
      </w:r>
      <w:r w:rsidR="0078406E">
        <w:rPr>
          <w:rFonts w:asciiTheme="majorHAnsi" w:hAnsiTheme="majorHAnsi" w:cs="Times New Roman"/>
          <w:sz w:val="24"/>
          <w:szCs w:val="24"/>
        </w:rPr>
        <w:t>A</w:t>
      </w:r>
      <w:r w:rsidR="0078406E" w:rsidRPr="00F7133B">
        <w:rPr>
          <w:rFonts w:asciiTheme="majorHAnsi" w:hAnsiTheme="majorHAnsi" w:cs="Times New Roman"/>
          <w:sz w:val="24"/>
          <w:szCs w:val="24"/>
        </w:rPr>
        <w:t xml:space="preserve"> strength </w:t>
      </w:r>
      <w:r w:rsidR="0078406E">
        <w:rPr>
          <w:rFonts w:asciiTheme="majorHAnsi" w:hAnsiTheme="majorHAnsi" w:cs="Times New Roman"/>
          <w:sz w:val="24"/>
          <w:szCs w:val="24"/>
        </w:rPr>
        <w:t xml:space="preserve">of the study </w:t>
      </w:r>
      <w:r w:rsidR="0078406E" w:rsidRPr="00F7133B">
        <w:rPr>
          <w:rFonts w:asciiTheme="majorHAnsi" w:hAnsiTheme="majorHAnsi" w:cs="Times New Roman"/>
          <w:sz w:val="24"/>
          <w:szCs w:val="24"/>
        </w:rPr>
        <w:t xml:space="preserve">is that all of the infants were managed </w:t>
      </w:r>
      <w:r w:rsidR="0078406E">
        <w:rPr>
          <w:rFonts w:asciiTheme="majorHAnsi" w:hAnsiTheme="majorHAnsi" w:cs="Times New Roman"/>
          <w:sz w:val="24"/>
          <w:szCs w:val="24"/>
        </w:rPr>
        <w:t xml:space="preserve">and measured </w:t>
      </w:r>
      <w:r w:rsidR="0078406E" w:rsidRPr="00F7133B">
        <w:rPr>
          <w:rFonts w:asciiTheme="majorHAnsi" w:hAnsiTheme="majorHAnsi" w:cs="Times New Roman"/>
          <w:sz w:val="24"/>
          <w:szCs w:val="24"/>
        </w:rPr>
        <w:t>according to standard protocol</w:t>
      </w:r>
      <w:r w:rsidR="0078406E">
        <w:rPr>
          <w:rFonts w:asciiTheme="majorHAnsi" w:hAnsiTheme="majorHAnsi" w:cs="Times New Roman"/>
          <w:sz w:val="24"/>
          <w:szCs w:val="24"/>
        </w:rPr>
        <w:t>s.</w:t>
      </w:r>
      <w:r w:rsidR="0078406E" w:rsidRPr="009622E6">
        <w:rPr>
          <w:rFonts w:asciiTheme="majorHAnsi" w:hAnsiTheme="majorHAnsi" w:cs="Times New Roman"/>
          <w:sz w:val="24"/>
          <w:szCs w:val="24"/>
        </w:rPr>
        <w:t xml:space="preserve"> </w:t>
      </w:r>
      <w:r w:rsidR="007E773F" w:rsidRPr="009622E6">
        <w:rPr>
          <w:rFonts w:asciiTheme="majorHAnsi" w:hAnsiTheme="majorHAnsi" w:cs="Times New Roman"/>
          <w:sz w:val="24"/>
          <w:szCs w:val="24"/>
        </w:rPr>
        <w:t>A longer follow up period up to and beyond term equivalent age would allow the more accurate conclusions to be drawn from data co</w:t>
      </w:r>
      <w:r w:rsidR="00403FB7" w:rsidRPr="009622E6">
        <w:rPr>
          <w:rFonts w:asciiTheme="majorHAnsi" w:hAnsiTheme="majorHAnsi" w:cs="Times New Roman"/>
          <w:sz w:val="24"/>
          <w:szCs w:val="24"/>
        </w:rPr>
        <w:t xml:space="preserve">llected at later gestations. </w:t>
      </w:r>
      <w:r w:rsidRPr="009622E6">
        <w:rPr>
          <w:rFonts w:asciiTheme="majorHAnsi" w:hAnsiTheme="majorHAnsi" w:cs="Times New Roman"/>
          <w:sz w:val="24"/>
          <w:szCs w:val="24"/>
        </w:rPr>
        <w:t xml:space="preserve">In addition, repeating the present study </w:t>
      </w:r>
      <w:r w:rsidR="001C176B" w:rsidRPr="009622E6">
        <w:rPr>
          <w:rFonts w:asciiTheme="majorHAnsi" w:hAnsiTheme="majorHAnsi" w:cs="Times New Roman"/>
          <w:sz w:val="24"/>
          <w:szCs w:val="24"/>
        </w:rPr>
        <w:t xml:space="preserve">in a larger cohort </w:t>
      </w:r>
      <w:r w:rsidRPr="009622E6">
        <w:rPr>
          <w:rFonts w:asciiTheme="majorHAnsi" w:hAnsiTheme="majorHAnsi" w:cs="Times New Roman"/>
          <w:sz w:val="24"/>
          <w:szCs w:val="24"/>
        </w:rPr>
        <w:t xml:space="preserve">using </w:t>
      </w:r>
      <w:r w:rsidR="00D21EA8">
        <w:rPr>
          <w:rFonts w:asciiTheme="majorHAnsi" w:hAnsiTheme="majorHAnsi" w:cs="Times New Roman"/>
          <w:sz w:val="24"/>
          <w:szCs w:val="24"/>
        </w:rPr>
        <w:t xml:space="preserve">contemporaneous </w:t>
      </w:r>
      <w:r w:rsidRPr="009622E6">
        <w:rPr>
          <w:rFonts w:asciiTheme="majorHAnsi" w:hAnsiTheme="majorHAnsi" w:cs="Times New Roman"/>
          <w:sz w:val="24"/>
          <w:szCs w:val="24"/>
        </w:rPr>
        <w:t xml:space="preserve">multicentre or national data, </w:t>
      </w:r>
      <w:r w:rsidR="001C176B" w:rsidRPr="009622E6">
        <w:rPr>
          <w:rFonts w:asciiTheme="majorHAnsi" w:hAnsiTheme="majorHAnsi" w:cs="Times New Roman"/>
          <w:sz w:val="24"/>
          <w:szCs w:val="24"/>
        </w:rPr>
        <w:t xml:space="preserve">together with longer term outcomes, would be beneficial in understanding the impact of </w:t>
      </w:r>
      <w:r w:rsidRPr="009622E6">
        <w:rPr>
          <w:rFonts w:asciiTheme="majorHAnsi" w:hAnsiTheme="majorHAnsi" w:cs="Times New Roman"/>
          <w:sz w:val="24"/>
          <w:szCs w:val="24"/>
        </w:rPr>
        <w:t xml:space="preserve">improvements </w:t>
      </w:r>
      <w:r w:rsidR="001C176B" w:rsidRPr="009622E6">
        <w:rPr>
          <w:rFonts w:asciiTheme="majorHAnsi" w:hAnsiTheme="majorHAnsi" w:cs="Times New Roman"/>
          <w:sz w:val="24"/>
          <w:szCs w:val="24"/>
        </w:rPr>
        <w:t xml:space="preserve">in nutritional care </w:t>
      </w:r>
      <w:r w:rsidRPr="009622E6">
        <w:rPr>
          <w:rFonts w:asciiTheme="majorHAnsi" w:hAnsiTheme="majorHAnsi" w:cs="Times New Roman"/>
          <w:sz w:val="24"/>
          <w:szCs w:val="24"/>
        </w:rPr>
        <w:t>on a national level</w:t>
      </w:r>
      <w:r w:rsidR="001C176B" w:rsidRPr="009622E6">
        <w:rPr>
          <w:rFonts w:asciiTheme="majorHAnsi" w:hAnsiTheme="majorHAnsi" w:cs="Times New Roman"/>
          <w:sz w:val="24"/>
          <w:szCs w:val="24"/>
        </w:rPr>
        <w:t>, and inform future practice</w:t>
      </w:r>
      <w:r w:rsidRPr="009622E6">
        <w:rPr>
          <w:rFonts w:asciiTheme="majorHAnsi" w:hAnsiTheme="majorHAnsi" w:cs="Times New Roman"/>
          <w:sz w:val="24"/>
          <w:szCs w:val="24"/>
        </w:rPr>
        <w:t>.</w:t>
      </w:r>
    </w:p>
    <w:p w:rsidR="007E773F" w:rsidRPr="009622E6" w:rsidRDefault="007E773F" w:rsidP="009E2DF4">
      <w:pPr>
        <w:spacing w:line="480" w:lineRule="auto"/>
        <w:rPr>
          <w:rFonts w:asciiTheme="majorHAnsi" w:hAnsiTheme="majorHAnsi" w:cs="Times New Roman"/>
          <w:b/>
          <w:sz w:val="24"/>
          <w:szCs w:val="24"/>
        </w:rPr>
      </w:pPr>
      <w:r w:rsidRPr="009622E6">
        <w:rPr>
          <w:rFonts w:asciiTheme="majorHAnsi" w:hAnsiTheme="majorHAnsi" w:cs="Times New Roman"/>
          <w:b/>
          <w:sz w:val="24"/>
          <w:szCs w:val="24"/>
        </w:rPr>
        <w:t>Conclusion:</w:t>
      </w:r>
    </w:p>
    <w:p w:rsidR="007E773F" w:rsidRDefault="007E773F" w:rsidP="009E2DF4">
      <w:pPr>
        <w:spacing w:line="480" w:lineRule="auto"/>
        <w:rPr>
          <w:rFonts w:asciiTheme="majorHAnsi" w:hAnsiTheme="majorHAnsi" w:cs="Times New Roman"/>
          <w:sz w:val="24"/>
          <w:szCs w:val="24"/>
        </w:rPr>
      </w:pPr>
      <w:r w:rsidRPr="009622E6">
        <w:rPr>
          <w:rFonts w:asciiTheme="majorHAnsi" w:hAnsiTheme="majorHAnsi" w:cs="Times New Roman"/>
          <w:sz w:val="24"/>
          <w:szCs w:val="24"/>
        </w:rPr>
        <w:t xml:space="preserve">In this cohort </w:t>
      </w:r>
      <w:r w:rsidR="00050B73" w:rsidRPr="009622E6">
        <w:rPr>
          <w:rFonts w:asciiTheme="majorHAnsi" w:hAnsiTheme="majorHAnsi" w:cs="Times New Roman"/>
          <w:sz w:val="24"/>
          <w:szCs w:val="24"/>
        </w:rPr>
        <w:t>we have demonstrated</w:t>
      </w:r>
      <w:r w:rsidR="001C176B" w:rsidRPr="009622E6">
        <w:rPr>
          <w:rFonts w:asciiTheme="majorHAnsi" w:hAnsiTheme="majorHAnsi" w:cs="Times New Roman"/>
          <w:sz w:val="24"/>
          <w:szCs w:val="24"/>
        </w:rPr>
        <w:t xml:space="preserve"> that early postnatal growth failure in preterm infants is not inevitable. This challenges previously published longitudinal growth data pertaining to longitudinal weight gain in preterm infants. Our work suggest</w:t>
      </w:r>
      <w:r w:rsidR="00FA7AD5" w:rsidRPr="009622E6">
        <w:rPr>
          <w:rFonts w:asciiTheme="majorHAnsi" w:hAnsiTheme="majorHAnsi" w:cs="Times New Roman"/>
          <w:sz w:val="24"/>
          <w:szCs w:val="24"/>
        </w:rPr>
        <w:t>s</w:t>
      </w:r>
      <w:r w:rsidR="001C176B" w:rsidRPr="009622E6">
        <w:rPr>
          <w:rFonts w:asciiTheme="majorHAnsi" w:hAnsiTheme="majorHAnsi" w:cs="Times New Roman"/>
          <w:sz w:val="24"/>
          <w:szCs w:val="24"/>
        </w:rPr>
        <w:t xml:space="preserve"> that an emphasis on improved nutritional care based on current recommendations enables prete</w:t>
      </w:r>
      <w:r w:rsidR="00FE66D1">
        <w:rPr>
          <w:rFonts w:asciiTheme="majorHAnsi" w:hAnsiTheme="majorHAnsi" w:cs="Times New Roman"/>
          <w:sz w:val="24"/>
          <w:szCs w:val="24"/>
        </w:rPr>
        <w:t>rm infants to grow along</w:t>
      </w:r>
      <w:r w:rsidR="001C176B" w:rsidRPr="009622E6">
        <w:rPr>
          <w:rFonts w:asciiTheme="majorHAnsi" w:hAnsiTheme="majorHAnsi" w:cs="Times New Roman"/>
          <w:sz w:val="24"/>
          <w:szCs w:val="24"/>
        </w:rPr>
        <w:t xml:space="preserve"> centile lines from birth</w:t>
      </w:r>
      <w:r w:rsidR="00E913BD">
        <w:rPr>
          <w:rFonts w:asciiTheme="majorHAnsi" w:hAnsiTheme="majorHAnsi" w:cs="Times New Roman"/>
          <w:sz w:val="24"/>
          <w:szCs w:val="24"/>
        </w:rPr>
        <w:t>.</w:t>
      </w:r>
      <w:r w:rsidRPr="009622E6">
        <w:rPr>
          <w:rFonts w:asciiTheme="majorHAnsi" w:hAnsiTheme="majorHAnsi" w:cs="Times New Roman"/>
          <w:sz w:val="24"/>
          <w:szCs w:val="24"/>
        </w:rPr>
        <w:t xml:space="preserve"> Further work </w:t>
      </w:r>
      <w:r w:rsidR="004D6281" w:rsidRPr="009622E6">
        <w:rPr>
          <w:rFonts w:asciiTheme="majorHAnsi" w:hAnsiTheme="majorHAnsi" w:cs="Times New Roman"/>
          <w:sz w:val="24"/>
          <w:szCs w:val="24"/>
        </w:rPr>
        <w:t xml:space="preserve">in larger national cohorts </w:t>
      </w:r>
      <w:r w:rsidRPr="009622E6">
        <w:rPr>
          <w:rFonts w:asciiTheme="majorHAnsi" w:hAnsiTheme="majorHAnsi" w:cs="Times New Roman"/>
          <w:sz w:val="24"/>
          <w:szCs w:val="24"/>
        </w:rPr>
        <w:t xml:space="preserve">is required to establish </w:t>
      </w:r>
      <w:r w:rsidR="004D6281" w:rsidRPr="009622E6">
        <w:rPr>
          <w:rFonts w:asciiTheme="majorHAnsi" w:hAnsiTheme="majorHAnsi" w:cs="Times New Roman"/>
          <w:sz w:val="24"/>
          <w:szCs w:val="24"/>
        </w:rPr>
        <w:t xml:space="preserve">current </w:t>
      </w:r>
      <w:r w:rsidRPr="009622E6">
        <w:rPr>
          <w:rFonts w:asciiTheme="majorHAnsi" w:hAnsiTheme="majorHAnsi" w:cs="Times New Roman"/>
          <w:sz w:val="24"/>
          <w:szCs w:val="24"/>
        </w:rPr>
        <w:t xml:space="preserve">growth </w:t>
      </w:r>
      <w:r w:rsidR="0078406E">
        <w:rPr>
          <w:rFonts w:asciiTheme="majorHAnsi" w:hAnsiTheme="majorHAnsi" w:cs="Times New Roman"/>
          <w:sz w:val="24"/>
          <w:szCs w:val="24"/>
        </w:rPr>
        <w:t>patterns</w:t>
      </w:r>
      <w:r w:rsidR="0078406E" w:rsidRPr="009622E6">
        <w:rPr>
          <w:rFonts w:asciiTheme="majorHAnsi" w:hAnsiTheme="majorHAnsi" w:cs="Times New Roman"/>
          <w:sz w:val="24"/>
          <w:szCs w:val="24"/>
        </w:rPr>
        <w:t xml:space="preserve"> </w:t>
      </w:r>
      <w:r w:rsidRPr="009622E6">
        <w:rPr>
          <w:rFonts w:asciiTheme="majorHAnsi" w:hAnsiTheme="majorHAnsi" w:cs="Times New Roman"/>
          <w:sz w:val="24"/>
          <w:szCs w:val="24"/>
        </w:rPr>
        <w:t xml:space="preserve">for preterm </w:t>
      </w:r>
      <w:r w:rsidR="00324D78" w:rsidRPr="009622E6">
        <w:rPr>
          <w:rFonts w:asciiTheme="majorHAnsi" w:hAnsiTheme="majorHAnsi" w:cs="Times New Roman"/>
          <w:sz w:val="24"/>
          <w:szCs w:val="24"/>
        </w:rPr>
        <w:t>infants</w:t>
      </w:r>
      <w:r w:rsidRPr="009622E6">
        <w:rPr>
          <w:rFonts w:asciiTheme="majorHAnsi" w:hAnsiTheme="majorHAnsi" w:cs="Times New Roman"/>
          <w:sz w:val="24"/>
          <w:szCs w:val="24"/>
        </w:rPr>
        <w:t xml:space="preserve"> and </w:t>
      </w:r>
      <w:r w:rsidR="0095770A">
        <w:rPr>
          <w:rFonts w:asciiTheme="majorHAnsi" w:hAnsiTheme="majorHAnsi" w:cs="Times New Roman"/>
          <w:sz w:val="24"/>
          <w:szCs w:val="24"/>
        </w:rPr>
        <w:t>should</w:t>
      </w:r>
      <w:r w:rsidRPr="009622E6">
        <w:rPr>
          <w:rFonts w:asciiTheme="majorHAnsi" w:hAnsiTheme="majorHAnsi" w:cs="Times New Roman"/>
          <w:sz w:val="24"/>
          <w:szCs w:val="24"/>
        </w:rPr>
        <w:t xml:space="preserve"> be coupled with body composition analysis </w:t>
      </w:r>
      <w:r w:rsidR="00403FB7" w:rsidRPr="009622E6">
        <w:rPr>
          <w:rFonts w:asciiTheme="majorHAnsi" w:hAnsiTheme="majorHAnsi" w:cs="Times New Roman"/>
          <w:sz w:val="24"/>
          <w:szCs w:val="24"/>
        </w:rPr>
        <w:t>alongside</w:t>
      </w:r>
      <w:r w:rsidRPr="009622E6">
        <w:rPr>
          <w:rFonts w:asciiTheme="majorHAnsi" w:hAnsiTheme="majorHAnsi" w:cs="Times New Roman"/>
          <w:sz w:val="24"/>
          <w:szCs w:val="24"/>
        </w:rPr>
        <w:t xml:space="preserve"> conventional anthropometry.</w:t>
      </w:r>
      <w:r w:rsidR="0078406E">
        <w:rPr>
          <w:rFonts w:asciiTheme="majorHAnsi" w:hAnsiTheme="majorHAnsi" w:cs="Times New Roman"/>
          <w:sz w:val="24"/>
          <w:szCs w:val="24"/>
        </w:rPr>
        <w:t xml:space="preserve"> T</w:t>
      </w:r>
      <w:r w:rsidR="00403426" w:rsidRPr="009622E6">
        <w:rPr>
          <w:rFonts w:asciiTheme="majorHAnsi" w:hAnsiTheme="majorHAnsi" w:cs="Times New Roman"/>
          <w:sz w:val="24"/>
          <w:szCs w:val="24"/>
        </w:rPr>
        <w:t>he</w:t>
      </w:r>
      <w:r w:rsidR="007234CB" w:rsidRPr="009622E6">
        <w:rPr>
          <w:rFonts w:asciiTheme="majorHAnsi" w:hAnsiTheme="majorHAnsi" w:cs="Times New Roman"/>
          <w:sz w:val="24"/>
          <w:szCs w:val="24"/>
        </w:rPr>
        <w:t>re</w:t>
      </w:r>
      <w:r w:rsidR="00403426" w:rsidRPr="009622E6">
        <w:rPr>
          <w:rFonts w:asciiTheme="majorHAnsi" w:hAnsiTheme="majorHAnsi" w:cs="Times New Roman"/>
          <w:sz w:val="24"/>
          <w:szCs w:val="24"/>
        </w:rPr>
        <w:t xml:space="preserve"> is </w:t>
      </w:r>
      <w:r w:rsidR="0078406E">
        <w:rPr>
          <w:rFonts w:asciiTheme="majorHAnsi" w:hAnsiTheme="majorHAnsi" w:cs="Times New Roman"/>
          <w:sz w:val="24"/>
          <w:szCs w:val="24"/>
        </w:rPr>
        <w:t xml:space="preserve">also </w:t>
      </w:r>
      <w:r w:rsidR="00403426" w:rsidRPr="009622E6">
        <w:rPr>
          <w:rFonts w:asciiTheme="majorHAnsi" w:hAnsiTheme="majorHAnsi" w:cs="Times New Roman"/>
          <w:sz w:val="24"/>
          <w:szCs w:val="24"/>
        </w:rPr>
        <w:t>a need to understand the relationship between early postnatal growth and longer-term outcomes in this population.</w:t>
      </w:r>
    </w:p>
    <w:p w:rsidR="000703B7" w:rsidRDefault="000703B7" w:rsidP="009E2DF4">
      <w:pPr>
        <w:spacing w:line="480" w:lineRule="auto"/>
        <w:rPr>
          <w:rFonts w:asciiTheme="majorHAnsi" w:hAnsiTheme="majorHAnsi" w:cs="Times New Roman"/>
          <w:sz w:val="24"/>
          <w:szCs w:val="24"/>
        </w:rPr>
      </w:pPr>
    </w:p>
    <w:p w:rsidR="000703B7" w:rsidRDefault="000703B7" w:rsidP="009E2DF4">
      <w:pPr>
        <w:spacing w:line="480" w:lineRule="auto"/>
        <w:rPr>
          <w:rFonts w:asciiTheme="majorHAnsi" w:hAnsiTheme="majorHAnsi" w:cs="Times New Roman"/>
          <w:sz w:val="24"/>
          <w:szCs w:val="24"/>
        </w:rPr>
      </w:pPr>
    </w:p>
    <w:p w:rsidR="000703B7" w:rsidRDefault="000703B7" w:rsidP="009E2DF4">
      <w:pPr>
        <w:spacing w:line="480" w:lineRule="auto"/>
        <w:rPr>
          <w:rFonts w:asciiTheme="majorHAnsi" w:hAnsiTheme="majorHAnsi" w:cs="Times New Roman"/>
          <w:b/>
          <w:sz w:val="24"/>
          <w:szCs w:val="24"/>
        </w:rPr>
      </w:pPr>
      <w:r w:rsidRPr="000703B7">
        <w:rPr>
          <w:rFonts w:asciiTheme="majorHAnsi" w:hAnsiTheme="majorHAnsi" w:cs="Times New Roman"/>
          <w:b/>
          <w:sz w:val="24"/>
          <w:szCs w:val="24"/>
        </w:rPr>
        <w:lastRenderedPageBreak/>
        <w:t>Acknowledgements:</w:t>
      </w:r>
    </w:p>
    <w:p w:rsidR="000703B7" w:rsidRDefault="000703B7" w:rsidP="009E2DF4">
      <w:pPr>
        <w:spacing w:line="480" w:lineRule="auto"/>
        <w:rPr>
          <w:rFonts w:asciiTheme="majorHAnsi" w:hAnsiTheme="majorHAnsi" w:cs="Times New Roman"/>
          <w:sz w:val="24"/>
          <w:szCs w:val="24"/>
        </w:rPr>
      </w:pPr>
      <w:r>
        <w:rPr>
          <w:rFonts w:asciiTheme="majorHAnsi" w:hAnsiTheme="majorHAnsi" w:cs="Times New Roman"/>
          <w:sz w:val="24"/>
          <w:szCs w:val="24"/>
        </w:rPr>
        <w:t>We would like to acknowledge the support of all the staff on Southampton neonatal unit for their commitment</w:t>
      </w:r>
      <w:r w:rsidR="00943600">
        <w:rPr>
          <w:rFonts w:asciiTheme="majorHAnsi" w:hAnsiTheme="majorHAnsi" w:cs="Times New Roman"/>
          <w:sz w:val="24"/>
          <w:szCs w:val="24"/>
        </w:rPr>
        <w:t xml:space="preserve"> </w:t>
      </w:r>
      <w:r>
        <w:rPr>
          <w:rFonts w:asciiTheme="majorHAnsi" w:hAnsiTheme="majorHAnsi" w:cs="Times New Roman"/>
          <w:sz w:val="24"/>
          <w:szCs w:val="24"/>
        </w:rPr>
        <w:t xml:space="preserve">to the nutritional care </w:t>
      </w:r>
      <w:r w:rsidR="00943600">
        <w:rPr>
          <w:rFonts w:asciiTheme="majorHAnsi" w:hAnsiTheme="majorHAnsi" w:cs="Times New Roman"/>
          <w:sz w:val="24"/>
          <w:szCs w:val="24"/>
        </w:rPr>
        <w:t xml:space="preserve">of the infants on the neonatal unit. </w:t>
      </w:r>
    </w:p>
    <w:p w:rsidR="007247A1" w:rsidRDefault="007247A1" w:rsidP="009E2DF4">
      <w:pPr>
        <w:spacing w:line="480" w:lineRule="auto"/>
        <w:rPr>
          <w:rFonts w:asciiTheme="majorHAnsi" w:hAnsiTheme="majorHAnsi" w:cs="Times New Roman"/>
          <w:sz w:val="24"/>
          <w:szCs w:val="24"/>
        </w:rPr>
      </w:pPr>
    </w:p>
    <w:p w:rsidR="007247A1" w:rsidRPr="000703B7" w:rsidRDefault="007247A1" w:rsidP="009E2DF4">
      <w:pPr>
        <w:spacing w:line="480" w:lineRule="auto"/>
        <w:rPr>
          <w:rFonts w:asciiTheme="majorHAnsi" w:hAnsiTheme="majorHAnsi" w:cs="Times New Roman"/>
          <w:sz w:val="24"/>
          <w:szCs w:val="24"/>
        </w:rPr>
      </w:pPr>
      <w:r>
        <w:rPr>
          <w:rFonts w:asciiTheme="majorHAnsi" w:hAnsiTheme="majorHAnsi" w:cs="Times New Roman"/>
          <w:sz w:val="24"/>
          <w:szCs w:val="24"/>
        </w:rPr>
        <w:t>JJA is funded by an action medi</w:t>
      </w:r>
      <w:r w:rsidR="00CC231C">
        <w:rPr>
          <w:rFonts w:asciiTheme="majorHAnsi" w:hAnsiTheme="majorHAnsi" w:cs="Times New Roman"/>
          <w:sz w:val="24"/>
          <w:szCs w:val="24"/>
        </w:rPr>
        <w:t>c</w:t>
      </w:r>
      <w:r>
        <w:rPr>
          <w:rFonts w:asciiTheme="majorHAnsi" w:hAnsiTheme="majorHAnsi" w:cs="Times New Roman"/>
          <w:sz w:val="24"/>
          <w:szCs w:val="24"/>
        </w:rPr>
        <w:t xml:space="preserve">al research, </w:t>
      </w:r>
      <w:proofErr w:type="gramStart"/>
      <w:r>
        <w:rPr>
          <w:rFonts w:asciiTheme="majorHAnsi" w:hAnsiTheme="majorHAnsi" w:cs="Times New Roman"/>
          <w:sz w:val="24"/>
          <w:szCs w:val="24"/>
        </w:rPr>
        <w:t>research training</w:t>
      </w:r>
      <w:proofErr w:type="gramEnd"/>
      <w:r>
        <w:rPr>
          <w:rFonts w:asciiTheme="majorHAnsi" w:hAnsiTheme="majorHAnsi" w:cs="Times New Roman"/>
          <w:sz w:val="24"/>
          <w:szCs w:val="24"/>
        </w:rPr>
        <w:t xml:space="preserve"> fellowship. </w:t>
      </w:r>
    </w:p>
    <w:p w:rsidR="000703B7" w:rsidRPr="009622E6" w:rsidRDefault="000703B7" w:rsidP="009E2DF4">
      <w:pPr>
        <w:spacing w:line="480" w:lineRule="auto"/>
        <w:rPr>
          <w:rFonts w:asciiTheme="majorHAnsi" w:hAnsiTheme="majorHAnsi" w:cs="Times New Roman"/>
          <w:sz w:val="24"/>
          <w:szCs w:val="24"/>
        </w:rPr>
      </w:pPr>
    </w:p>
    <w:bookmarkEnd w:id="2"/>
    <w:p w:rsidR="00CD0825" w:rsidRDefault="00CD0825">
      <w:pPr>
        <w:rPr>
          <w:rFonts w:ascii="Times New Roman" w:hAnsi="Times New Roman" w:cs="Times New Roman"/>
          <w:sz w:val="24"/>
          <w:szCs w:val="24"/>
        </w:rPr>
      </w:pPr>
      <w:r>
        <w:rPr>
          <w:rFonts w:ascii="Times New Roman" w:hAnsi="Times New Roman" w:cs="Times New Roman"/>
          <w:sz w:val="24"/>
          <w:szCs w:val="24"/>
        </w:rPr>
        <w:br w:type="page"/>
      </w:r>
    </w:p>
    <w:p w:rsidR="00AC1849" w:rsidRDefault="00AC1849" w:rsidP="00D57BD1">
      <w:pPr>
        <w:spacing w:line="240" w:lineRule="auto"/>
        <w:rPr>
          <w:rFonts w:asciiTheme="majorHAnsi" w:hAnsiTheme="majorHAnsi" w:cs="Times New Roman"/>
          <w:b/>
          <w:sz w:val="24"/>
          <w:szCs w:val="24"/>
        </w:rPr>
      </w:pPr>
    </w:p>
    <w:p w:rsidR="00D57BD1" w:rsidRPr="00E16FBA" w:rsidRDefault="00D57BD1" w:rsidP="003A7146">
      <w:pPr>
        <w:spacing w:line="480" w:lineRule="auto"/>
        <w:rPr>
          <w:rFonts w:asciiTheme="majorHAnsi" w:hAnsiTheme="majorHAnsi" w:cs="Times New Roman"/>
          <w:b/>
          <w:sz w:val="24"/>
          <w:szCs w:val="24"/>
        </w:rPr>
      </w:pPr>
      <w:r>
        <w:rPr>
          <w:rFonts w:asciiTheme="majorHAnsi" w:hAnsiTheme="majorHAnsi" w:cs="Times New Roman"/>
          <w:b/>
          <w:sz w:val="24"/>
          <w:szCs w:val="24"/>
        </w:rPr>
        <w:t>What is already known on this topic</w:t>
      </w:r>
      <w:r w:rsidRPr="00E16FBA">
        <w:rPr>
          <w:rFonts w:asciiTheme="majorHAnsi" w:hAnsiTheme="majorHAnsi" w:cs="Times New Roman"/>
          <w:b/>
          <w:sz w:val="24"/>
          <w:szCs w:val="24"/>
        </w:rPr>
        <w:t>:</w:t>
      </w:r>
    </w:p>
    <w:p w:rsidR="00E913BD" w:rsidRDefault="00D57BD1" w:rsidP="003A7146">
      <w:pPr>
        <w:pStyle w:val="ListParagraph"/>
        <w:numPr>
          <w:ilvl w:val="0"/>
          <w:numId w:val="4"/>
        </w:numPr>
        <w:spacing w:line="480" w:lineRule="auto"/>
        <w:rPr>
          <w:rFonts w:asciiTheme="majorHAnsi" w:hAnsiTheme="majorHAnsi" w:cs="Times New Roman"/>
          <w:sz w:val="24"/>
          <w:szCs w:val="24"/>
        </w:rPr>
      </w:pPr>
      <w:r w:rsidRPr="00052035">
        <w:rPr>
          <w:rFonts w:asciiTheme="majorHAnsi" w:hAnsiTheme="majorHAnsi" w:cs="Times New Roman"/>
          <w:sz w:val="24"/>
          <w:szCs w:val="24"/>
        </w:rPr>
        <w:t>Post-natal weight loss is described in preterm infants with a reported to drop across</w:t>
      </w:r>
      <w:r w:rsidR="00387B52">
        <w:rPr>
          <w:rFonts w:asciiTheme="majorHAnsi" w:hAnsiTheme="majorHAnsi" w:cs="Times New Roman"/>
          <w:sz w:val="24"/>
          <w:szCs w:val="24"/>
        </w:rPr>
        <w:t xml:space="preserve"> marked</w:t>
      </w:r>
      <w:r w:rsidRPr="00052035">
        <w:rPr>
          <w:rFonts w:asciiTheme="majorHAnsi" w:hAnsiTheme="majorHAnsi" w:cs="Times New Roman"/>
          <w:sz w:val="24"/>
          <w:szCs w:val="24"/>
        </w:rPr>
        <w:t xml:space="preserve"> centile lines in early life </w:t>
      </w:r>
    </w:p>
    <w:p w:rsidR="00387B52" w:rsidRDefault="00052035" w:rsidP="003A7146">
      <w:pPr>
        <w:pStyle w:val="ListParagraph"/>
        <w:numPr>
          <w:ilvl w:val="0"/>
          <w:numId w:val="4"/>
        </w:numPr>
        <w:spacing w:line="480" w:lineRule="auto"/>
        <w:rPr>
          <w:rFonts w:asciiTheme="majorHAnsi" w:hAnsiTheme="majorHAnsi" w:cs="Times New Roman"/>
          <w:sz w:val="24"/>
          <w:szCs w:val="24"/>
        </w:rPr>
      </w:pPr>
      <w:r>
        <w:rPr>
          <w:rFonts w:asciiTheme="majorHAnsi" w:hAnsiTheme="majorHAnsi" w:cs="Times New Roman"/>
          <w:sz w:val="24"/>
          <w:szCs w:val="24"/>
        </w:rPr>
        <w:t>Current practice is to plot infants on growth charts based on cross sectional birth weight data</w:t>
      </w:r>
    </w:p>
    <w:p w:rsidR="00052035" w:rsidRPr="00387B52" w:rsidRDefault="00387B52" w:rsidP="003A7146">
      <w:pPr>
        <w:pStyle w:val="ListParagraph"/>
        <w:numPr>
          <w:ilvl w:val="0"/>
          <w:numId w:val="4"/>
        </w:numPr>
        <w:spacing w:line="480" w:lineRule="auto"/>
        <w:rPr>
          <w:rFonts w:asciiTheme="majorHAnsi" w:hAnsiTheme="majorHAnsi" w:cs="Times New Roman"/>
          <w:sz w:val="24"/>
          <w:szCs w:val="24"/>
        </w:rPr>
      </w:pPr>
      <w:r w:rsidRPr="00387B52">
        <w:rPr>
          <w:rFonts w:asciiTheme="majorHAnsi" w:hAnsiTheme="majorHAnsi" w:cs="Times New Roman"/>
          <w:sz w:val="24"/>
          <w:szCs w:val="24"/>
        </w:rPr>
        <w:t>The optimal pattern of growth in preterm infants to achieve and good long-term health outcomes is unclear</w:t>
      </w:r>
    </w:p>
    <w:p w:rsidR="00D57BD1" w:rsidRPr="00547894" w:rsidRDefault="00D57BD1" w:rsidP="003A7146">
      <w:pPr>
        <w:spacing w:line="480" w:lineRule="auto"/>
        <w:rPr>
          <w:rFonts w:asciiTheme="majorHAnsi" w:hAnsiTheme="majorHAnsi" w:cs="Times New Roman"/>
          <w:b/>
          <w:sz w:val="24"/>
          <w:szCs w:val="24"/>
        </w:rPr>
      </w:pPr>
      <w:r w:rsidRPr="00547894">
        <w:rPr>
          <w:rFonts w:asciiTheme="majorHAnsi" w:hAnsiTheme="majorHAnsi" w:cs="Times New Roman"/>
          <w:b/>
          <w:sz w:val="24"/>
          <w:szCs w:val="24"/>
        </w:rPr>
        <w:t>What This Study Adds:</w:t>
      </w:r>
    </w:p>
    <w:p w:rsidR="00052035" w:rsidRDefault="00D864BF" w:rsidP="003A7146">
      <w:pPr>
        <w:pStyle w:val="ListParagraph"/>
        <w:numPr>
          <w:ilvl w:val="0"/>
          <w:numId w:val="5"/>
        </w:numPr>
        <w:spacing w:line="480" w:lineRule="auto"/>
        <w:rPr>
          <w:rFonts w:asciiTheme="majorHAnsi" w:hAnsiTheme="majorHAnsi" w:cs="Times New Roman"/>
          <w:sz w:val="24"/>
          <w:szCs w:val="24"/>
        </w:rPr>
      </w:pPr>
      <w:r w:rsidRPr="00052035">
        <w:rPr>
          <w:rFonts w:asciiTheme="majorHAnsi" w:hAnsiTheme="majorHAnsi" w:cs="Times New Roman"/>
          <w:sz w:val="24"/>
          <w:szCs w:val="24"/>
        </w:rPr>
        <w:t>In a cohort of preterm infants’, post-natal weight loss was not seen, with most infants’ growth app</w:t>
      </w:r>
      <w:r w:rsidR="00387B52">
        <w:rPr>
          <w:rFonts w:asciiTheme="majorHAnsi" w:hAnsiTheme="majorHAnsi" w:cs="Times New Roman"/>
          <w:sz w:val="24"/>
          <w:szCs w:val="24"/>
        </w:rPr>
        <w:t>roximating their birth centile</w:t>
      </w:r>
    </w:p>
    <w:p w:rsidR="00387B52" w:rsidRPr="00387B52" w:rsidRDefault="00387B52" w:rsidP="003A7146">
      <w:pPr>
        <w:pStyle w:val="ListParagraph"/>
        <w:numPr>
          <w:ilvl w:val="0"/>
          <w:numId w:val="5"/>
        </w:numPr>
        <w:spacing w:line="480" w:lineRule="auto"/>
        <w:rPr>
          <w:rFonts w:asciiTheme="majorHAnsi" w:hAnsiTheme="majorHAnsi" w:cs="Times New Roman"/>
          <w:sz w:val="24"/>
          <w:szCs w:val="24"/>
        </w:rPr>
      </w:pPr>
      <w:r w:rsidRPr="00387B52">
        <w:rPr>
          <w:rFonts w:asciiTheme="majorHAnsi" w:hAnsiTheme="majorHAnsi" w:cs="Times New Roman"/>
          <w:sz w:val="24"/>
          <w:szCs w:val="24"/>
        </w:rPr>
        <w:t>The expectation that preterm infants should lose weight or cross down centile lines was not seen in this cohort</w:t>
      </w:r>
    </w:p>
    <w:p w:rsidR="00052035" w:rsidRDefault="00052035" w:rsidP="003A7146">
      <w:pPr>
        <w:pStyle w:val="ListParagraph"/>
        <w:numPr>
          <w:ilvl w:val="0"/>
          <w:numId w:val="5"/>
        </w:numPr>
        <w:spacing w:line="480" w:lineRule="auto"/>
        <w:rPr>
          <w:rFonts w:asciiTheme="majorHAnsi" w:hAnsiTheme="majorHAnsi" w:cs="Times New Roman"/>
          <w:sz w:val="24"/>
          <w:szCs w:val="24"/>
        </w:rPr>
      </w:pPr>
      <w:r>
        <w:rPr>
          <w:rFonts w:asciiTheme="majorHAnsi" w:hAnsiTheme="majorHAnsi" w:cs="Times New Roman"/>
          <w:sz w:val="24"/>
          <w:szCs w:val="24"/>
        </w:rPr>
        <w:t>Recent changes to nutritional practice allow infants to achieve weight gain closer to their intrauterine counterparts</w:t>
      </w:r>
    </w:p>
    <w:p w:rsidR="00BC5FD7" w:rsidRDefault="00BC5FD7">
      <w:pPr>
        <w:rPr>
          <w:rFonts w:ascii="Times New Roman" w:hAnsi="Times New Roman" w:cs="Times New Roman"/>
          <w:sz w:val="24"/>
          <w:szCs w:val="24"/>
        </w:rPr>
      </w:pPr>
      <w:r>
        <w:rPr>
          <w:rFonts w:ascii="Times New Roman" w:hAnsi="Times New Roman" w:cs="Times New Roman"/>
          <w:sz w:val="24"/>
          <w:szCs w:val="24"/>
        </w:rPr>
        <w:br w:type="page"/>
      </w:r>
    </w:p>
    <w:p w:rsidR="009C24D4" w:rsidRPr="00D466B8" w:rsidRDefault="009C24D4" w:rsidP="009E2DF4">
      <w:pPr>
        <w:spacing w:line="240" w:lineRule="auto"/>
        <w:rPr>
          <w:rFonts w:cs="Times New Roman"/>
          <w:b/>
          <w:sz w:val="24"/>
          <w:szCs w:val="24"/>
        </w:rPr>
      </w:pPr>
      <w:r w:rsidRPr="00D466B8">
        <w:rPr>
          <w:rFonts w:cs="Times New Roman"/>
          <w:b/>
          <w:sz w:val="24"/>
          <w:szCs w:val="24"/>
        </w:rPr>
        <w:lastRenderedPageBreak/>
        <w:t>References</w:t>
      </w:r>
    </w:p>
    <w:p w:rsidR="00B90AE8" w:rsidRPr="00B90AE8" w:rsidRDefault="00D864BF" w:rsidP="00B90AE8">
      <w:pPr>
        <w:widowControl w:val="0"/>
        <w:autoSpaceDE w:val="0"/>
        <w:autoSpaceDN w:val="0"/>
        <w:adjustRightInd w:val="0"/>
        <w:spacing w:line="240" w:lineRule="auto"/>
        <w:ind w:left="640" w:hanging="640"/>
        <w:rPr>
          <w:rFonts w:ascii="Calibri" w:hAnsi="Calibri" w:cs="Times New Roman"/>
          <w:noProof/>
          <w:sz w:val="24"/>
          <w:szCs w:val="24"/>
        </w:rPr>
      </w:pPr>
      <w:r w:rsidRPr="00F6411A">
        <w:rPr>
          <w:rFonts w:cs="Times New Roman"/>
          <w:sz w:val="24"/>
          <w:szCs w:val="24"/>
        </w:rPr>
        <w:fldChar w:fldCharType="begin" w:fldLock="1"/>
      </w:r>
      <w:r w:rsidR="003D514B" w:rsidRPr="00F6411A">
        <w:rPr>
          <w:rFonts w:cs="Times New Roman"/>
          <w:sz w:val="24"/>
          <w:szCs w:val="24"/>
        </w:rPr>
        <w:instrText xml:space="preserve">ADDIN Mendeley Bibliography CSL_BIBLIOGRAPHY </w:instrText>
      </w:r>
      <w:r w:rsidRPr="00F6411A">
        <w:rPr>
          <w:rFonts w:cs="Times New Roman"/>
          <w:sz w:val="24"/>
          <w:szCs w:val="24"/>
        </w:rPr>
        <w:fldChar w:fldCharType="separate"/>
      </w:r>
      <w:r w:rsidR="00B90AE8" w:rsidRPr="00B90AE8">
        <w:rPr>
          <w:rFonts w:ascii="Calibri" w:hAnsi="Calibri" w:cs="Times New Roman"/>
          <w:noProof/>
          <w:sz w:val="24"/>
          <w:szCs w:val="24"/>
        </w:rPr>
        <w:t xml:space="preserve">1 </w:t>
      </w:r>
      <w:r w:rsidR="00B90AE8" w:rsidRPr="00B90AE8">
        <w:rPr>
          <w:rFonts w:ascii="Calibri" w:hAnsi="Calibri" w:cs="Times New Roman"/>
          <w:noProof/>
          <w:sz w:val="24"/>
          <w:szCs w:val="24"/>
        </w:rPr>
        <w:tab/>
        <w:t xml:space="preserve">Johnson MJ, Wootton SA, Leaf AA, </w:t>
      </w:r>
      <w:r w:rsidR="00B90AE8" w:rsidRPr="00B90AE8">
        <w:rPr>
          <w:rFonts w:ascii="Calibri" w:hAnsi="Calibri" w:cs="Times New Roman"/>
          <w:i/>
          <w:iCs/>
          <w:noProof/>
          <w:sz w:val="24"/>
          <w:szCs w:val="24"/>
        </w:rPr>
        <w:t>et al.</w:t>
      </w:r>
      <w:r w:rsidR="00B90AE8" w:rsidRPr="00B90AE8">
        <w:rPr>
          <w:rFonts w:ascii="Calibri" w:hAnsi="Calibri" w:cs="Times New Roman"/>
          <w:noProof/>
          <w:sz w:val="24"/>
          <w:szCs w:val="24"/>
        </w:rPr>
        <w:t xml:space="preserve"> Preterm birth and body composition at term equivalent age: a systematic review and meta-analysis. </w:t>
      </w:r>
      <w:r w:rsidR="00B90AE8" w:rsidRPr="00B90AE8">
        <w:rPr>
          <w:rFonts w:ascii="Calibri" w:hAnsi="Calibri" w:cs="Times New Roman"/>
          <w:i/>
          <w:iCs/>
          <w:noProof/>
          <w:sz w:val="24"/>
          <w:szCs w:val="24"/>
        </w:rPr>
        <w:t>Pediatrics</w:t>
      </w:r>
      <w:r w:rsidR="00B90AE8" w:rsidRPr="00B90AE8">
        <w:rPr>
          <w:rFonts w:ascii="Calibri" w:hAnsi="Calibri" w:cs="Times New Roman"/>
          <w:noProof/>
          <w:sz w:val="24"/>
          <w:szCs w:val="24"/>
        </w:rPr>
        <w:t xml:space="preserve"> 2012;</w:t>
      </w:r>
      <w:r w:rsidR="00B90AE8" w:rsidRPr="00B90AE8">
        <w:rPr>
          <w:rFonts w:ascii="Calibri" w:hAnsi="Calibri" w:cs="Times New Roman"/>
          <w:b/>
          <w:bCs/>
          <w:noProof/>
          <w:sz w:val="24"/>
          <w:szCs w:val="24"/>
        </w:rPr>
        <w:t>130</w:t>
      </w:r>
      <w:r w:rsidR="00B90AE8" w:rsidRPr="00B90AE8">
        <w:rPr>
          <w:rFonts w:ascii="Calibri" w:hAnsi="Calibri" w:cs="Times New Roman"/>
          <w:noProof/>
          <w:sz w:val="24"/>
          <w:szCs w:val="24"/>
        </w:rPr>
        <w:t>:e640-9. doi:10.1542/peds.2011-3379</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2 </w:t>
      </w:r>
      <w:r w:rsidRPr="00B90AE8">
        <w:rPr>
          <w:rFonts w:ascii="Calibri" w:hAnsi="Calibri" w:cs="Times New Roman"/>
          <w:noProof/>
          <w:sz w:val="24"/>
          <w:szCs w:val="24"/>
        </w:rPr>
        <w:tab/>
        <w:t xml:space="preserve">Kleinman RE, American Acadamy of Pediatrics. Committee on Nutrition. </w:t>
      </w:r>
      <w:r w:rsidRPr="00B90AE8">
        <w:rPr>
          <w:rFonts w:ascii="Calibri" w:hAnsi="Calibri" w:cs="Times New Roman"/>
          <w:i/>
          <w:iCs/>
          <w:noProof/>
          <w:sz w:val="24"/>
          <w:szCs w:val="24"/>
        </w:rPr>
        <w:t>Pediatric nutrition handbook 6th edition</w:t>
      </w:r>
      <w:r w:rsidRPr="00B90AE8">
        <w:rPr>
          <w:rFonts w:ascii="Calibri" w:hAnsi="Calibri" w:cs="Times New Roman"/>
          <w:noProof/>
          <w:sz w:val="24"/>
          <w:szCs w:val="24"/>
        </w:rPr>
        <w:t xml:space="preserve">. 6th editio. Elk Grove Village 2009. </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3 </w:t>
      </w:r>
      <w:r w:rsidRPr="00B90AE8">
        <w:rPr>
          <w:rFonts w:ascii="Calibri" w:hAnsi="Calibri" w:cs="Times New Roman"/>
          <w:noProof/>
          <w:sz w:val="24"/>
          <w:szCs w:val="24"/>
        </w:rPr>
        <w:tab/>
        <w:t xml:space="preserve">Ehrenkranz RA. Estimated fetal weights versus birth weights: should the reference intrauterine growth curves based on birth weights be retired ? </w:t>
      </w:r>
      <w:r w:rsidRPr="00B90AE8">
        <w:rPr>
          <w:rFonts w:ascii="Calibri" w:hAnsi="Calibri" w:cs="Times New Roman"/>
          <w:i/>
          <w:iCs/>
          <w:noProof/>
          <w:sz w:val="24"/>
          <w:szCs w:val="24"/>
        </w:rPr>
        <w:t>Arch Dis Child - Fetal Neonatal Ed</w:t>
      </w:r>
      <w:r w:rsidRPr="00B90AE8">
        <w:rPr>
          <w:rFonts w:ascii="Calibri" w:hAnsi="Calibri" w:cs="Times New Roman"/>
          <w:noProof/>
          <w:sz w:val="24"/>
          <w:szCs w:val="24"/>
        </w:rPr>
        <w:t xml:space="preserve"> 2007;</w:t>
      </w:r>
      <w:r w:rsidRPr="00B90AE8">
        <w:rPr>
          <w:rFonts w:ascii="Calibri" w:hAnsi="Calibri" w:cs="Times New Roman"/>
          <w:b/>
          <w:bCs/>
          <w:noProof/>
          <w:sz w:val="24"/>
          <w:szCs w:val="24"/>
        </w:rPr>
        <w:t>92</w:t>
      </w:r>
      <w:r w:rsidRPr="00B90AE8">
        <w:rPr>
          <w:rFonts w:ascii="Calibri" w:hAnsi="Calibri" w:cs="Times New Roman"/>
          <w:noProof/>
          <w:sz w:val="24"/>
          <w:szCs w:val="24"/>
        </w:rPr>
        <w:t>:161–2. doi:10.1136/adc.2006.109439</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4 </w:t>
      </w:r>
      <w:r w:rsidRPr="00B90AE8">
        <w:rPr>
          <w:rFonts w:ascii="Calibri" w:hAnsi="Calibri" w:cs="Times New Roman"/>
          <w:noProof/>
          <w:sz w:val="24"/>
          <w:szCs w:val="24"/>
        </w:rPr>
        <w:tab/>
        <w:t xml:space="preserve">Olsen IE, Groveman SA, Lawson ML, </w:t>
      </w:r>
      <w:r w:rsidRPr="00B90AE8">
        <w:rPr>
          <w:rFonts w:ascii="Calibri" w:hAnsi="Calibri" w:cs="Times New Roman"/>
          <w:i/>
          <w:iCs/>
          <w:noProof/>
          <w:sz w:val="24"/>
          <w:szCs w:val="24"/>
        </w:rPr>
        <w:t>et al.</w:t>
      </w:r>
      <w:r w:rsidRPr="00B90AE8">
        <w:rPr>
          <w:rFonts w:ascii="Calibri" w:hAnsi="Calibri" w:cs="Times New Roman"/>
          <w:noProof/>
          <w:sz w:val="24"/>
          <w:szCs w:val="24"/>
        </w:rPr>
        <w:t xml:space="preserve"> New Intrauterine Growth Curves Based on United States Data. </w:t>
      </w:r>
      <w:r w:rsidRPr="00B90AE8">
        <w:rPr>
          <w:rFonts w:ascii="Calibri" w:hAnsi="Calibri" w:cs="Times New Roman"/>
          <w:i/>
          <w:iCs/>
          <w:noProof/>
          <w:sz w:val="24"/>
          <w:szCs w:val="24"/>
        </w:rPr>
        <w:t>Pediatrics</w:t>
      </w:r>
      <w:r w:rsidRPr="00B90AE8">
        <w:rPr>
          <w:rFonts w:ascii="Calibri" w:hAnsi="Calibri" w:cs="Times New Roman"/>
          <w:noProof/>
          <w:sz w:val="24"/>
          <w:szCs w:val="24"/>
        </w:rPr>
        <w:t xml:space="preserve"> 2010;</w:t>
      </w:r>
      <w:r w:rsidRPr="00B90AE8">
        <w:rPr>
          <w:rFonts w:ascii="Calibri" w:hAnsi="Calibri" w:cs="Times New Roman"/>
          <w:b/>
          <w:bCs/>
          <w:noProof/>
          <w:sz w:val="24"/>
          <w:szCs w:val="24"/>
        </w:rPr>
        <w:t>125</w:t>
      </w:r>
      <w:r w:rsidRPr="00B90AE8">
        <w:rPr>
          <w:rFonts w:ascii="Calibri" w:hAnsi="Calibri" w:cs="Times New Roman"/>
          <w:noProof/>
          <w:sz w:val="24"/>
          <w:szCs w:val="24"/>
        </w:rPr>
        <w:t>:e214–24. doi:10.1542/peds.2009-0913</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5 </w:t>
      </w:r>
      <w:r w:rsidRPr="00B90AE8">
        <w:rPr>
          <w:rFonts w:ascii="Calibri" w:hAnsi="Calibri" w:cs="Times New Roman"/>
          <w:noProof/>
          <w:sz w:val="24"/>
          <w:szCs w:val="24"/>
        </w:rPr>
        <w:tab/>
        <w:t xml:space="preserve">Cole TJ, Freeman J V., Preece MA. British 1990 growth reference centiles for weight, height, body mass index and head circumference fitted by maximum penalized likelihood. </w:t>
      </w:r>
      <w:r w:rsidRPr="00B90AE8">
        <w:rPr>
          <w:rFonts w:ascii="Calibri" w:hAnsi="Calibri" w:cs="Times New Roman"/>
          <w:i/>
          <w:iCs/>
          <w:noProof/>
          <w:sz w:val="24"/>
          <w:szCs w:val="24"/>
        </w:rPr>
        <w:t>Stat Med</w:t>
      </w:r>
      <w:r w:rsidRPr="00B90AE8">
        <w:rPr>
          <w:rFonts w:ascii="Calibri" w:hAnsi="Calibri" w:cs="Times New Roman"/>
          <w:noProof/>
          <w:sz w:val="24"/>
          <w:szCs w:val="24"/>
        </w:rPr>
        <w:t xml:space="preserve"> 1998;</w:t>
      </w:r>
      <w:r w:rsidRPr="00B90AE8">
        <w:rPr>
          <w:rFonts w:ascii="Calibri" w:hAnsi="Calibri" w:cs="Times New Roman"/>
          <w:b/>
          <w:bCs/>
          <w:noProof/>
          <w:sz w:val="24"/>
          <w:szCs w:val="24"/>
        </w:rPr>
        <w:t>17</w:t>
      </w:r>
      <w:r w:rsidRPr="00B90AE8">
        <w:rPr>
          <w:rFonts w:ascii="Calibri" w:hAnsi="Calibri" w:cs="Times New Roman"/>
          <w:noProof/>
          <w:sz w:val="24"/>
          <w:szCs w:val="24"/>
        </w:rPr>
        <w:t>:407–29. doi:10.1002/(SICI)1097-0258(19980228)17:4&lt;407::AID-SIM742&gt;3.0.CO;2-L</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6 </w:t>
      </w:r>
      <w:r w:rsidRPr="00B90AE8">
        <w:rPr>
          <w:rFonts w:ascii="Calibri" w:hAnsi="Calibri" w:cs="Times New Roman"/>
          <w:noProof/>
          <w:sz w:val="24"/>
          <w:szCs w:val="24"/>
        </w:rPr>
        <w:tab/>
        <w:t xml:space="preserve">Cole TJ, Wright CM, Williams AF, </w:t>
      </w:r>
      <w:r w:rsidRPr="00B90AE8">
        <w:rPr>
          <w:rFonts w:ascii="Calibri" w:hAnsi="Calibri" w:cs="Times New Roman"/>
          <w:i/>
          <w:iCs/>
          <w:noProof/>
          <w:sz w:val="24"/>
          <w:szCs w:val="24"/>
        </w:rPr>
        <w:t>et al.</w:t>
      </w:r>
      <w:r w:rsidRPr="00B90AE8">
        <w:rPr>
          <w:rFonts w:ascii="Calibri" w:hAnsi="Calibri" w:cs="Times New Roman"/>
          <w:noProof/>
          <w:sz w:val="24"/>
          <w:szCs w:val="24"/>
        </w:rPr>
        <w:t xml:space="preserve"> Designing the new UK – WHO growth charts to enhance assessment of growth around birth. </w:t>
      </w:r>
      <w:r w:rsidRPr="00B90AE8">
        <w:rPr>
          <w:rFonts w:ascii="Calibri" w:hAnsi="Calibri" w:cs="Times New Roman"/>
          <w:i/>
          <w:iCs/>
          <w:noProof/>
          <w:sz w:val="24"/>
          <w:szCs w:val="24"/>
        </w:rPr>
        <w:t>Arch Dis Child - Fetal Neonatal Ed</w:t>
      </w:r>
      <w:r w:rsidRPr="00B90AE8">
        <w:rPr>
          <w:rFonts w:ascii="Calibri" w:hAnsi="Calibri" w:cs="Times New Roman"/>
          <w:noProof/>
          <w:sz w:val="24"/>
          <w:szCs w:val="24"/>
        </w:rPr>
        <w:t xml:space="preserve"> 2012;</w:t>
      </w:r>
      <w:r w:rsidRPr="00B90AE8">
        <w:rPr>
          <w:rFonts w:ascii="Calibri" w:hAnsi="Calibri" w:cs="Times New Roman"/>
          <w:b/>
          <w:bCs/>
          <w:noProof/>
          <w:sz w:val="24"/>
          <w:szCs w:val="24"/>
        </w:rPr>
        <w:t>97</w:t>
      </w:r>
      <w:r w:rsidRPr="00B90AE8">
        <w:rPr>
          <w:rFonts w:ascii="Calibri" w:hAnsi="Calibri" w:cs="Times New Roman"/>
          <w:noProof/>
          <w:sz w:val="24"/>
          <w:szCs w:val="24"/>
        </w:rPr>
        <w:t>:F219–22. doi:10.1136/adc.2010.205864</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7 </w:t>
      </w:r>
      <w:r w:rsidRPr="00B90AE8">
        <w:rPr>
          <w:rFonts w:ascii="Calibri" w:hAnsi="Calibri" w:cs="Times New Roman"/>
          <w:noProof/>
          <w:sz w:val="24"/>
          <w:szCs w:val="24"/>
        </w:rPr>
        <w:tab/>
        <w:t xml:space="preserve">Norris T, Seaton SE, Manktelow BN, </w:t>
      </w:r>
      <w:r w:rsidRPr="00B90AE8">
        <w:rPr>
          <w:rFonts w:ascii="Calibri" w:hAnsi="Calibri" w:cs="Times New Roman"/>
          <w:i/>
          <w:iCs/>
          <w:noProof/>
          <w:sz w:val="24"/>
          <w:szCs w:val="24"/>
        </w:rPr>
        <w:t>et al.</w:t>
      </w:r>
      <w:r w:rsidRPr="00B90AE8">
        <w:rPr>
          <w:rFonts w:ascii="Calibri" w:hAnsi="Calibri" w:cs="Times New Roman"/>
          <w:noProof/>
          <w:sz w:val="24"/>
          <w:szCs w:val="24"/>
        </w:rPr>
        <w:t xml:space="preserve"> Updated birth weight centiles for England and Wales. </w:t>
      </w:r>
      <w:r w:rsidRPr="00B90AE8">
        <w:rPr>
          <w:rFonts w:ascii="Calibri" w:hAnsi="Calibri" w:cs="Times New Roman"/>
          <w:i/>
          <w:iCs/>
          <w:noProof/>
          <w:sz w:val="24"/>
          <w:szCs w:val="24"/>
        </w:rPr>
        <w:t>Arch Dis Child - Fetal Neonatal Ed</w:t>
      </w:r>
      <w:r w:rsidRPr="00B90AE8">
        <w:rPr>
          <w:rFonts w:ascii="Calibri" w:hAnsi="Calibri" w:cs="Times New Roman"/>
          <w:noProof/>
          <w:sz w:val="24"/>
          <w:szCs w:val="24"/>
        </w:rPr>
        <w:t xml:space="preserve"> 2017;:fetalneonatal-2017-313452. doi:10.1136/archdischild-2017-313452</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8 </w:t>
      </w:r>
      <w:r w:rsidRPr="00B90AE8">
        <w:rPr>
          <w:rFonts w:ascii="Calibri" w:hAnsi="Calibri" w:cs="Times New Roman"/>
          <w:noProof/>
          <w:sz w:val="24"/>
          <w:szCs w:val="24"/>
        </w:rPr>
        <w:tab/>
        <w:t xml:space="preserve">Agostoni C, Buonocore G, Carnielli VP, De Curtis M, Darmaun D, Decsi T, Domellöf M, Embleton ND, Fusch C, Genzel-Boroviczeny O, Goulet O, Kalhan SC, Kolacek S, Koletzko B, Lapillonne A, Mihatsch W, Moreno L, Neu J, Poindexter B, Puntis J, Putet G, Rigo J, ZEEC on N. Enteral nutrient supply for preterm infants: commentary from the European Society of Paediatric Gastroenterology, Hepatology and Nutrition Committee on Nutrition. </w:t>
      </w:r>
      <w:r w:rsidRPr="00B90AE8">
        <w:rPr>
          <w:rFonts w:ascii="Calibri" w:hAnsi="Calibri" w:cs="Times New Roman"/>
          <w:i/>
          <w:iCs/>
          <w:noProof/>
          <w:sz w:val="24"/>
          <w:szCs w:val="24"/>
        </w:rPr>
        <w:t>J Pediatr Gastroenterol Nutr</w:t>
      </w:r>
      <w:r w:rsidRPr="00B90AE8">
        <w:rPr>
          <w:rFonts w:ascii="Calibri" w:hAnsi="Calibri" w:cs="Times New Roman"/>
          <w:noProof/>
          <w:sz w:val="24"/>
          <w:szCs w:val="24"/>
        </w:rPr>
        <w:t xml:space="preserve"> 2010;</w:t>
      </w:r>
      <w:r w:rsidRPr="00B90AE8">
        <w:rPr>
          <w:rFonts w:ascii="Calibri" w:hAnsi="Calibri" w:cs="Times New Roman"/>
          <w:b/>
          <w:bCs/>
          <w:noProof/>
          <w:sz w:val="24"/>
          <w:szCs w:val="24"/>
        </w:rPr>
        <w:t>50</w:t>
      </w:r>
      <w:r w:rsidRPr="00B90AE8">
        <w:rPr>
          <w:rFonts w:ascii="Calibri" w:hAnsi="Calibri" w:cs="Times New Roman"/>
          <w:noProof/>
          <w:sz w:val="24"/>
          <w:szCs w:val="24"/>
        </w:rPr>
        <w:t>:85–91. doi:10.1097/MPG.0b013e3181adaee0.</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9 </w:t>
      </w:r>
      <w:r w:rsidRPr="00B90AE8">
        <w:rPr>
          <w:rFonts w:ascii="Calibri" w:hAnsi="Calibri" w:cs="Times New Roman"/>
          <w:noProof/>
          <w:sz w:val="24"/>
          <w:szCs w:val="24"/>
        </w:rPr>
        <w:tab/>
        <w:t xml:space="preserve">Villar J, Giuliani F, Barros F, </w:t>
      </w:r>
      <w:r w:rsidRPr="00B90AE8">
        <w:rPr>
          <w:rFonts w:ascii="Calibri" w:hAnsi="Calibri" w:cs="Times New Roman"/>
          <w:i/>
          <w:iCs/>
          <w:noProof/>
          <w:sz w:val="24"/>
          <w:szCs w:val="24"/>
        </w:rPr>
        <w:t>et al.</w:t>
      </w:r>
      <w:r w:rsidRPr="00B90AE8">
        <w:rPr>
          <w:rFonts w:ascii="Calibri" w:hAnsi="Calibri" w:cs="Times New Roman"/>
          <w:noProof/>
          <w:sz w:val="24"/>
          <w:szCs w:val="24"/>
        </w:rPr>
        <w:t xml:space="preserve"> Monitoring the Postnatal Growth of Preterm Infants: A Paradigm Change. </w:t>
      </w:r>
      <w:r w:rsidRPr="00B90AE8">
        <w:rPr>
          <w:rFonts w:ascii="Calibri" w:hAnsi="Calibri" w:cs="Times New Roman"/>
          <w:i/>
          <w:iCs/>
          <w:noProof/>
          <w:sz w:val="24"/>
          <w:szCs w:val="24"/>
        </w:rPr>
        <w:t>Pediatrics</w:t>
      </w:r>
      <w:r w:rsidRPr="00B90AE8">
        <w:rPr>
          <w:rFonts w:ascii="Calibri" w:hAnsi="Calibri" w:cs="Times New Roman"/>
          <w:noProof/>
          <w:sz w:val="24"/>
          <w:szCs w:val="24"/>
        </w:rPr>
        <w:t xml:space="preserve"> 2018;</w:t>
      </w:r>
      <w:r w:rsidRPr="00B90AE8">
        <w:rPr>
          <w:rFonts w:ascii="Calibri" w:hAnsi="Calibri" w:cs="Times New Roman"/>
          <w:b/>
          <w:bCs/>
          <w:noProof/>
          <w:sz w:val="24"/>
          <w:szCs w:val="24"/>
        </w:rPr>
        <w:t>141</w:t>
      </w:r>
      <w:r w:rsidRPr="00B90AE8">
        <w:rPr>
          <w:rFonts w:ascii="Calibri" w:hAnsi="Calibri" w:cs="Times New Roman"/>
          <w:noProof/>
          <w:sz w:val="24"/>
          <w:szCs w:val="24"/>
        </w:rPr>
        <w:t>:e20172467. doi:10.1542/peds.2017-2467</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10 </w:t>
      </w:r>
      <w:r w:rsidRPr="00B90AE8">
        <w:rPr>
          <w:rFonts w:ascii="Calibri" w:hAnsi="Calibri" w:cs="Times New Roman"/>
          <w:noProof/>
          <w:sz w:val="24"/>
          <w:szCs w:val="24"/>
        </w:rPr>
        <w:tab/>
        <w:t xml:space="preserve">Ehrenkranz RA, Younes N, Lemons JA, </w:t>
      </w:r>
      <w:r w:rsidRPr="00B90AE8">
        <w:rPr>
          <w:rFonts w:ascii="Calibri" w:hAnsi="Calibri" w:cs="Times New Roman"/>
          <w:i/>
          <w:iCs/>
          <w:noProof/>
          <w:sz w:val="24"/>
          <w:szCs w:val="24"/>
        </w:rPr>
        <w:t>et al.</w:t>
      </w:r>
      <w:r w:rsidRPr="00B90AE8">
        <w:rPr>
          <w:rFonts w:ascii="Calibri" w:hAnsi="Calibri" w:cs="Times New Roman"/>
          <w:noProof/>
          <w:sz w:val="24"/>
          <w:szCs w:val="24"/>
        </w:rPr>
        <w:t xml:space="preserve"> Longitudinal Growth of Hospitalized Very Low Birth Weight Infants. </w:t>
      </w:r>
      <w:r w:rsidRPr="00B90AE8">
        <w:rPr>
          <w:rFonts w:ascii="Calibri" w:hAnsi="Calibri" w:cs="Times New Roman"/>
          <w:i/>
          <w:iCs/>
          <w:noProof/>
          <w:sz w:val="24"/>
          <w:szCs w:val="24"/>
        </w:rPr>
        <w:t>Pediatrics</w:t>
      </w:r>
      <w:r w:rsidRPr="00B90AE8">
        <w:rPr>
          <w:rFonts w:ascii="Calibri" w:hAnsi="Calibri" w:cs="Times New Roman"/>
          <w:noProof/>
          <w:sz w:val="24"/>
          <w:szCs w:val="24"/>
        </w:rPr>
        <w:t xml:space="preserve"> 1999;</w:t>
      </w:r>
      <w:r w:rsidRPr="00B90AE8">
        <w:rPr>
          <w:rFonts w:ascii="Calibri" w:hAnsi="Calibri" w:cs="Times New Roman"/>
          <w:b/>
          <w:bCs/>
          <w:noProof/>
          <w:sz w:val="24"/>
          <w:szCs w:val="24"/>
        </w:rPr>
        <w:t>104</w:t>
      </w:r>
      <w:r w:rsidRPr="00B90AE8">
        <w:rPr>
          <w:rFonts w:ascii="Calibri" w:hAnsi="Calibri" w:cs="Times New Roman"/>
          <w:noProof/>
          <w:sz w:val="24"/>
          <w:szCs w:val="24"/>
        </w:rPr>
        <w:t>:280–9. doi:10.1542/peds.104.2.280</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11 </w:t>
      </w:r>
      <w:r w:rsidRPr="00B90AE8">
        <w:rPr>
          <w:rFonts w:ascii="Calibri" w:hAnsi="Calibri" w:cs="Times New Roman"/>
          <w:noProof/>
          <w:sz w:val="24"/>
          <w:szCs w:val="24"/>
        </w:rPr>
        <w:tab/>
        <w:t xml:space="preserve">Cole TJ, Statnikov Y, Santhakumaran S, </w:t>
      </w:r>
      <w:r w:rsidRPr="00B90AE8">
        <w:rPr>
          <w:rFonts w:ascii="Calibri" w:hAnsi="Calibri" w:cs="Times New Roman"/>
          <w:i/>
          <w:iCs/>
          <w:noProof/>
          <w:sz w:val="24"/>
          <w:szCs w:val="24"/>
        </w:rPr>
        <w:t>et al.</w:t>
      </w:r>
      <w:r w:rsidRPr="00B90AE8">
        <w:rPr>
          <w:rFonts w:ascii="Calibri" w:hAnsi="Calibri" w:cs="Times New Roman"/>
          <w:noProof/>
          <w:sz w:val="24"/>
          <w:szCs w:val="24"/>
        </w:rPr>
        <w:t xml:space="preserve"> Birth weight and longitudinal growth in infants born below 32 weeks’ gestation: a UK population study. </w:t>
      </w:r>
      <w:r w:rsidRPr="00B90AE8">
        <w:rPr>
          <w:rFonts w:ascii="Calibri" w:hAnsi="Calibri" w:cs="Times New Roman"/>
          <w:i/>
          <w:iCs/>
          <w:noProof/>
          <w:sz w:val="24"/>
          <w:szCs w:val="24"/>
        </w:rPr>
        <w:t>Arch Dis Child - Fetal Neonatal Ed</w:t>
      </w:r>
      <w:r w:rsidRPr="00B90AE8">
        <w:rPr>
          <w:rFonts w:ascii="Calibri" w:hAnsi="Calibri" w:cs="Times New Roman"/>
          <w:noProof/>
          <w:sz w:val="24"/>
          <w:szCs w:val="24"/>
        </w:rPr>
        <w:t xml:space="preserve"> 2014;</w:t>
      </w:r>
      <w:r w:rsidRPr="00B90AE8">
        <w:rPr>
          <w:rFonts w:ascii="Calibri" w:hAnsi="Calibri" w:cs="Times New Roman"/>
          <w:b/>
          <w:bCs/>
          <w:noProof/>
          <w:sz w:val="24"/>
          <w:szCs w:val="24"/>
        </w:rPr>
        <w:t>99</w:t>
      </w:r>
      <w:r w:rsidRPr="00B90AE8">
        <w:rPr>
          <w:rFonts w:ascii="Calibri" w:hAnsi="Calibri" w:cs="Times New Roman"/>
          <w:noProof/>
          <w:sz w:val="24"/>
          <w:szCs w:val="24"/>
        </w:rPr>
        <w:t>:F34–40. doi:10.1136/archdischild-2012-303536</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12 </w:t>
      </w:r>
      <w:r w:rsidRPr="00B90AE8">
        <w:rPr>
          <w:rFonts w:ascii="Calibri" w:hAnsi="Calibri" w:cs="Times New Roman"/>
          <w:noProof/>
          <w:sz w:val="24"/>
          <w:szCs w:val="24"/>
        </w:rPr>
        <w:tab/>
        <w:t xml:space="preserve">Horbar JD, Ehrenkranz RA, Badger GJ, </w:t>
      </w:r>
      <w:r w:rsidRPr="00B90AE8">
        <w:rPr>
          <w:rFonts w:ascii="Calibri" w:hAnsi="Calibri" w:cs="Times New Roman"/>
          <w:i/>
          <w:iCs/>
          <w:noProof/>
          <w:sz w:val="24"/>
          <w:szCs w:val="24"/>
        </w:rPr>
        <w:t>et al.</w:t>
      </w:r>
      <w:r w:rsidRPr="00B90AE8">
        <w:rPr>
          <w:rFonts w:ascii="Calibri" w:hAnsi="Calibri" w:cs="Times New Roman"/>
          <w:noProof/>
          <w:sz w:val="24"/>
          <w:szCs w:val="24"/>
        </w:rPr>
        <w:t xml:space="preserve"> Weight Growth Velocity and Postnatal Growth Failure in Infants 501 to 1500 Grams: 2000-2013. </w:t>
      </w:r>
      <w:r w:rsidRPr="00B90AE8">
        <w:rPr>
          <w:rFonts w:ascii="Calibri" w:hAnsi="Calibri" w:cs="Times New Roman"/>
          <w:i/>
          <w:iCs/>
          <w:noProof/>
          <w:sz w:val="24"/>
          <w:szCs w:val="24"/>
        </w:rPr>
        <w:t>Pediatrics</w:t>
      </w:r>
      <w:r w:rsidRPr="00B90AE8">
        <w:rPr>
          <w:rFonts w:ascii="Calibri" w:hAnsi="Calibri" w:cs="Times New Roman"/>
          <w:noProof/>
          <w:sz w:val="24"/>
          <w:szCs w:val="24"/>
        </w:rPr>
        <w:t xml:space="preserve"> 2015;</w:t>
      </w:r>
      <w:r w:rsidRPr="00B90AE8">
        <w:rPr>
          <w:rFonts w:ascii="Calibri" w:hAnsi="Calibri" w:cs="Times New Roman"/>
          <w:b/>
          <w:bCs/>
          <w:noProof/>
          <w:sz w:val="24"/>
          <w:szCs w:val="24"/>
        </w:rPr>
        <w:t>136</w:t>
      </w:r>
      <w:r w:rsidRPr="00B90AE8">
        <w:rPr>
          <w:rFonts w:ascii="Calibri" w:hAnsi="Calibri" w:cs="Times New Roman"/>
          <w:noProof/>
          <w:sz w:val="24"/>
          <w:szCs w:val="24"/>
        </w:rPr>
        <w:t>:e84–92. doi:10.1542/peds.2015-0129</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13 </w:t>
      </w:r>
      <w:r w:rsidRPr="00B90AE8">
        <w:rPr>
          <w:rFonts w:ascii="Calibri" w:hAnsi="Calibri" w:cs="Times New Roman"/>
          <w:noProof/>
          <w:sz w:val="24"/>
          <w:szCs w:val="24"/>
        </w:rPr>
        <w:tab/>
        <w:t xml:space="preserve">Stoltz Sjöström E, Öhlund I, Ahlsson F, </w:t>
      </w:r>
      <w:r w:rsidRPr="00B90AE8">
        <w:rPr>
          <w:rFonts w:ascii="Calibri" w:hAnsi="Calibri" w:cs="Times New Roman"/>
          <w:i/>
          <w:iCs/>
          <w:noProof/>
          <w:sz w:val="24"/>
          <w:szCs w:val="24"/>
        </w:rPr>
        <w:t>et al.</w:t>
      </w:r>
      <w:r w:rsidRPr="00B90AE8">
        <w:rPr>
          <w:rFonts w:ascii="Calibri" w:hAnsi="Calibri" w:cs="Times New Roman"/>
          <w:noProof/>
          <w:sz w:val="24"/>
          <w:szCs w:val="24"/>
        </w:rPr>
        <w:t xml:space="preserve"> Nutrient intakes independently affect growth in extremely preterm infants: results from a population-based study. </w:t>
      </w:r>
      <w:r w:rsidRPr="00B90AE8">
        <w:rPr>
          <w:rFonts w:ascii="Calibri" w:hAnsi="Calibri" w:cs="Times New Roman"/>
          <w:i/>
          <w:iCs/>
          <w:noProof/>
          <w:sz w:val="24"/>
          <w:szCs w:val="24"/>
        </w:rPr>
        <w:t xml:space="preserve">Acta </w:t>
      </w:r>
      <w:r w:rsidRPr="00B90AE8">
        <w:rPr>
          <w:rFonts w:ascii="Calibri" w:hAnsi="Calibri" w:cs="Times New Roman"/>
          <w:i/>
          <w:iCs/>
          <w:noProof/>
          <w:sz w:val="24"/>
          <w:szCs w:val="24"/>
        </w:rPr>
        <w:lastRenderedPageBreak/>
        <w:t>Paediatr</w:t>
      </w:r>
      <w:r w:rsidRPr="00B90AE8">
        <w:rPr>
          <w:rFonts w:ascii="Calibri" w:hAnsi="Calibri" w:cs="Times New Roman"/>
          <w:noProof/>
          <w:sz w:val="24"/>
          <w:szCs w:val="24"/>
        </w:rPr>
        <w:t xml:space="preserve"> 2013;:n/a-n/a. doi:10.1111/apa.12359</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14 </w:t>
      </w:r>
      <w:r w:rsidRPr="00B90AE8">
        <w:rPr>
          <w:rFonts w:ascii="Calibri" w:hAnsi="Calibri" w:cs="Times New Roman"/>
          <w:noProof/>
          <w:sz w:val="24"/>
          <w:szCs w:val="24"/>
        </w:rPr>
        <w:tab/>
        <w:t xml:space="preserve">Bracewell MA, Hennessy EM, Wolke D, </w:t>
      </w:r>
      <w:r w:rsidRPr="00B90AE8">
        <w:rPr>
          <w:rFonts w:ascii="Calibri" w:hAnsi="Calibri" w:cs="Times New Roman"/>
          <w:i/>
          <w:iCs/>
          <w:noProof/>
          <w:sz w:val="24"/>
          <w:szCs w:val="24"/>
        </w:rPr>
        <w:t>et al.</w:t>
      </w:r>
      <w:r w:rsidRPr="00B90AE8">
        <w:rPr>
          <w:rFonts w:ascii="Calibri" w:hAnsi="Calibri" w:cs="Times New Roman"/>
          <w:noProof/>
          <w:sz w:val="24"/>
          <w:szCs w:val="24"/>
        </w:rPr>
        <w:t xml:space="preserve"> The EPICure study: growth and blood pressure at 6 years of age following extremely preterm birth. </w:t>
      </w:r>
      <w:r w:rsidRPr="00B90AE8">
        <w:rPr>
          <w:rFonts w:ascii="Calibri" w:hAnsi="Calibri" w:cs="Times New Roman"/>
          <w:i/>
          <w:iCs/>
          <w:noProof/>
          <w:sz w:val="24"/>
          <w:szCs w:val="24"/>
        </w:rPr>
        <w:t>Arch Dis Child Fetal Neonatal Ed</w:t>
      </w:r>
      <w:r w:rsidRPr="00B90AE8">
        <w:rPr>
          <w:rFonts w:ascii="Calibri" w:hAnsi="Calibri" w:cs="Times New Roman"/>
          <w:noProof/>
          <w:sz w:val="24"/>
          <w:szCs w:val="24"/>
        </w:rPr>
        <w:t xml:space="preserve"> 2008;</w:t>
      </w:r>
      <w:r w:rsidRPr="00B90AE8">
        <w:rPr>
          <w:rFonts w:ascii="Calibri" w:hAnsi="Calibri" w:cs="Times New Roman"/>
          <w:b/>
          <w:bCs/>
          <w:noProof/>
          <w:sz w:val="24"/>
          <w:szCs w:val="24"/>
        </w:rPr>
        <w:t>93</w:t>
      </w:r>
      <w:r w:rsidRPr="00B90AE8">
        <w:rPr>
          <w:rFonts w:ascii="Calibri" w:hAnsi="Calibri" w:cs="Times New Roman"/>
          <w:noProof/>
          <w:sz w:val="24"/>
          <w:szCs w:val="24"/>
        </w:rPr>
        <w:t>:F108-14. doi:10.1136/adc.2007.118596</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15 </w:t>
      </w:r>
      <w:r w:rsidRPr="00B90AE8">
        <w:rPr>
          <w:rFonts w:ascii="Calibri" w:hAnsi="Calibri" w:cs="Times New Roman"/>
          <w:noProof/>
          <w:sz w:val="24"/>
          <w:szCs w:val="24"/>
        </w:rPr>
        <w:tab/>
        <w:t xml:space="preserve">Wood NS, Costeloe K, Gibson  a T, </w:t>
      </w:r>
      <w:r w:rsidRPr="00B90AE8">
        <w:rPr>
          <w:rFonts w:ascii="Calibri" w:hAnsi="Calibri" w:cs="Times New Roman"/>
          <w:i/>
          <w:iCs/>
          <w:noProof/>
          <w:sz w:val="24"/>
          <w:szCs w:val="24"/>
        </w:rPr>
        <w:t>et al.</w:t>
      </w:r>
      <w:r w:rsidRPr="00B90AE8">
        <w:rPr>
          <w:rFonts w:ascii="Calibri" w:hAnsi="Calibri" w:cs="Times New Roman"/>
          <w:noProof/>
          <w:sz w:val="24"/>
          <w:szCs w:val="24"/>
        </w:rPr>
        <w:t xml:space="preserve"> The EPICure study: growth and associated problems in children born at 25 weeks of gestational age or less. </w:t>
      </w:r>
      <w:r w:rsidRPr="00B90AE8">
        <w:rPr>
          <w:rFonts w:ascii="Calibri" w:hAnsi="Calibri" w:cs="Times New Roman"/>
          <w:i/>
          <w:iCs/>
          <w:noProof/>
          <w:sz w:val="24"/>
          <w:szCs w:val="24"/>
        </w:rPr>
        <w:t>Arch Dis Child Fetal Neonatal Ed</w:t>
      </w:r>
      <w:r w:rsidRPr="00B90AE8">
        <w:rPr>
          <w:rFonts w:ascii="Calibri" w:hAnsi="Calibri" w:cs="Times New Roman"/>
          <w:noProof/>
          <w:sz w:val="24"/>
          <w:szCs w:val="24"/>
        </w:rPr>
        <w:t xml:space="preserve"> 2003;</w:t>
      </w:r>
      <w:r w:rsidRPr="00B90AE8">
        <w:rPr>
          <w:rFonts w:ascii="Calibri" w:hAnsi="Calibri" w:cs="Times New Roman"/>
          <w:b/>
          <w:bCs/>
          <w:noProof/>
          <w:sz w:val="24"/>
          <w:szCs w:val="24"/>
        </w:rPr>
        <w:t>88</w:t>
      </w:r>
      <w:r w:rsidRPr="00B90AE8">
        <w:rPr>
          <w:rFonts w:ascii="Calibri" w:hAnsi="Calibri" w:cs="Times New Roman"/>
          <w:noProof/>
          <w:sz w:val="24"/>
          <w:szCs w:val="24"/>
        </w:rPr>
        <w:t>:F492–500. doi:10.1136/fn.88.6.F492</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16 </w:t>
      </w:r>
      <w:r w:rsidRPr="00B90AE8">
        <w:rPr>
          <w:rFonts w:ascii="Calibri" w:hAnsi="Calibri" w:cs="Times New Roman"/>
          <w:noProof/>
          <w:sz w:val="24"/>
          <w:szCs w:val="24"/>
        </w:rPr>
        <w:tab/>
        <w:t xml:space="preserve">Rochow N, Raja P, Liu K, </w:t>
      </w:r>
      <w:r w:rsidRPr="00B90AE8">
        <w:rPr>
          <w:rFonts w:ascii="Calibri" w:hAnsi="Calibri" w:cs="Times New Roman"/>
          <w:i/>
          <w:iCs/>
          <w:noProof/>
          <w:sz w:val="24"/>
          <w:szCs w:val="24"/>
        </w:rPr>
        <w:t>et al.</w:t>
      </w:r>
      <w:r w:rsidRPr="00B90AE8">
        <w:rPr>
          <w:rFonts w:ascii="Calibri" w:hAnsi="Calibri" w:cs="Times New Roman"/>
          <w:noProof/>
          <w:sz w:val="24"/>
          <w:szCs w:val="24"/>
        </w:rPr>
        <w:t xml:space="preserve"> Physiological adjustment to postnatal growth trajectories in healthy preterm infants. </w:t>
      </w:r>
      <w:r w:rsidRPr="00B90AE8">
        <w:rPr>
          <w:rFonts w:ascii="Calibri" w:hAnsi="Calibri" w:cs="Times New Roman"/>
          <w:i/>
          <w:iCs/>
          <w:noProof/>
          <w:sz w:val="24"/>
          <w:szCs w:val="24"/>
        </w:rPr>
        <w:t>Pediatr Res</w:t>
      </w:r>
      <w:r w:rsidRPr="00B90AE8">
        <w:rPr>
          <w:rFonts w:ascii="Calibri" w:hAnsi="Calibri" w:cs="Times New Roman"/>
          <w:noProof/>
          <w:sz w:val="24"/>
          <w:szCs w:val="24"/>
        </w:rPr>
        <w:t xml:space="preserve"> 2016;</w:t>
      </w:r>
      <w:r w:rsidRPr="00B90AE8">
        <w:rPr>
          <w:rFonts w:ascii="Calibri" w:hAnsi="Calibri" w:cs="Times New Roman"/>
          <w:b/>
          <w:bCs/>
          <w:noProof/>
          <w:sz w:val="24"/>
          <w:szCs w:val="24"/>
        </w:rPr>
        <w:t>79</w:t>
      </w:r>
      <w:r w:rsidRPr="00B90AE8">
        <w:rPr>
          <w:rFonts w:ascii="Calibri" w:hAnsi="Calibri" w:cs="Times New Roman"/>
          <w:noProof/>
          <w:sz w:val="24"/>
          <w:szCs w:val="24"/>
        </w:rPr>
        <w:t>:870–9. doi:10.1038/pr.2016.15</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17 </w:t>
      </w:r>
      <w:r w:rsidRPr="00B90AE8">
        <w:rPr>
          <w:rFonts w:ascii="Calibri" w:hAnsi="Calibri" w:cs="Times New Roman"/>
          <w:noProof/>
          <w:sz w:val="24"/>
          <w:szCs w:val="24"/>
        </w:rPr>
        <w:tab/>
        <w:t xml:space="preserve">Mactier H. The Provision of Parenteral Nutrition within Neonatal Services : A Framework for Practice. </w:t>
      </w:r>
      <w:r w:rsidRPr="00B90AE8">
        <w:rPr>
          <w:rFonts w:ascii="Calibri" w:hAnsi="Calibri" w:cs="Times New Roman"/>
          <w:i/>
          <w:iCs/>
          <w:noProof/>
          <w:sz w:val="24"/>
          <w:szCs w:val="24"/>
        </w:rPr>
        <w:t>Br Assoc Perinat Med</w:t>
      </w:r>
      <w:r w:rsidRPr="00B90AE8">
        <w:rPr>
          <w:rFonts w:ascii="Calibri" w:hAnsi="Calibri" w:cs="Times New Roman"/>
          <w:noProof/>
          <w:sz w:val="24"/>
          <w:szCs w:val="24"/>
        </w:rPr>
        <w:t xml:space="preserve"> 2016;:1–27.https://www.bapm.org/sites/default/files/files/Parenteral Nutrition April 2016.pdf</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18 </w:t>
      </w:r>
      <w:r w:rsidRPr="00B90AE8">
        <w:rPr>
          <w:rFonts w:ascii="Calibri" w:hAnsi="Calibri" w:cs="Times New Roman"/>
          <w:noProof/>
          <w:sz w:val="24"/>
          <w:szCs w:val="24"/>
        </w:rPr>
        <w:tab/>
        <w:t xml:space="preserve">Johnson MJ, Leaf AA, Pearson F. Successfully implementing and embedding guidelines to improve the nutrition and growth of preterm infants in neonatal intensive care: a prospective interventional study. </w:t>
      </w:r>
      <w:r w:rsidRPr="00B90AE8">
        <w:rPr>
          <w:rFonts w:ascii="Calibri" w:hAnsi="Calibri" w:cs="Times New Roman"/>
          <w:i/>
          <w:iCs/>
          <w:noProof/>
          <w:sz w:val="24"/>
          <w:szCs w:val="24"/>
        </w:rPr>
        <w:t>BMJ Open</w:t>
      </w:r>
      <w:r w:rsidRPr="00B90AE8">
        <w:rPr>
          <w:rFonts w:ascii="Calibri" w:hAnsi="Calibri" w:cs="Times New Roman"/>
          <w:noProof/>
          <w:sz w:val="24"/>
          <w:szCs w:val="24"/>
        </w:rPr>
        <w:t xml:space="preserve"> Published Online First: 2017. doi:doi:10.1136/bmjopen-2017-017727</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19 </w:t>
      </w:r>
      <w:r w:rsidRPr="00B90AE8">
        <w:rPr>
          <w:rFonts w:ascii="Calibri" w:hAnsi="Calibri" w:cs="Times New Roman"/>
          <w:noProof/>
          <w:sz w:val="24"/>
          <w:szCs w:val="24"/>
        </w:rPr>
        <w:tab/>
        <w:t xml:space="preserve">Koletzko B (Berthold), Poindexter B, Uauy R. </w:t>
      </w:r>
      <w:r w:rsidRPr="00B90AE8">
        <w:rPr>
          <w:rFonts w:ascii="Calibri" w:hAnsi="Calibri" w:cs="Times New Roman"/>
          <w:i/>
          <w:iCs/>
          <w:noProof/>
          <w:sz w:val="24"/>
          <w:szCs w:val="24"/>
        </w:rPr>
        <w:t>Nutritional care of preterm infants : scientific basis and practical guidelines</w:t>
      </w:r>
      <w:r w:rsidRPr="00B90AE8">
        <w:rPr>
          <w:rFonts w:ascii="Calibri" w:hAnsi="Calibri" w:cs="Times New Roman"/>
          <w:noProof/>
          <w:sz w:val="24"/>
          <w:szCs w:val="24"/>
        </w:rPr>
        <w:t xml:space="preserve">. </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20 </w:t>
      </w:r>
      <w:r w:rsidRPr="00B90AE8">
        <w:rPr>
          <w:rFonts w:ascii="Calibri" w:hAnsi="Calibri" w:cs="Times New Roman"/>
          <w:noProof/>
          <w:sz w:val="24"/>
          <w:szCs w:val="24"/>
        </w:rPr>
        <w:tab/>
        <w:t xml:space="preserve">Clevermed Ltd. BadgerNet Neonatal - EPR. </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21 </w:t>
      </w:r>
      <w:r w:rsidRPr="00B90AE8">
        <w:rPr>
          <w:rFonts w:ascii="Calibri" w:hAnsi="Calibri" w:cs="Times New Roman"/>
          <w:noProof/>
          <w:sz w:val="24"/>
          <w:szCs w:val="24"/>
        </w:rPr>
        <w:tab/>
        <w:t xml:space="preserve">Barker DJP. The developmental origins of chronic adult disease. </w:t>
      </w:r>
      <w:r w:rsidRPr="00B90AE8">
        <w:rPr>
          <w:rFonts w:ascii="Calibri" w:hAnsi="Calibri" w:cs="Times New Roman"/>
          <w:i/>
          <w:iCs/>
          <w:noProof/>
          <w:sz w:val="24"/>
          <w:szCs w:val="24"/>
        </w:rPr>
        <w:t>Acta Paediatr Int J Paediatr Suppl</w:t>
      </w:r>
      <w:r w:rsidRPr="00B90AE8">
        <w:rPr>
          <w:rFonts w:ascii="Calibri" w:hAnsi="Calibri" w:cs="Times New Roman"/>
          <w:noProof/>
          <w:sz w:val="24"/>
          <w:szCs w:val="24"/>
        </w:rPr>
        <w:t xml:space="preserve"> 2004;</w:t>
      </w:r>
      <w:r w:rsidRPr="00B90AE8">
        <w:rPr>
          <w:rFonts w:ascii="Calibri" w:hAnsi="Calibri" w:cs="Times New Roman"/>
          <w:b/>
          <w:bCs/>
          <w:noProof/>
          <w:sz w:val="24"/>
          <w:szCs w:val="24"/>
        </w:rPr>
        <w:t>93</w:t>
      </w:r>
      <w:r w:rsidRPr="00B90AE8">
        <w:rPr>
          <w:rFonts w:ascii="Calibri" w:hAnsi="Calibri" w:cs="Times New Roman"/>
          <w:noProof/>
          <w:sz w:val="24"/>
          <w:szCs w:val="24"/>
        </w:rPr>
        <w:t>:26–33. doi:10.1080/08035320410022730</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22 </w:t>
      </w:r>
      <w:r w:rsidRPr="00B90AE8">
        <w:rPr>
          <w:rFonts w:ascii="Calibri" w:hAnsi="Calibri" w:cs="Times New Roman"/>
          <w:noProof/>
          <w:sz w:val="24"/>
          <w:szCs w:val="24"/>
        </w:rPr>
        <w:tab/>
        <w:t xml:space="preserve">Wells JCK, Chomtho S, Fewtrell MS. Programming of body composition by early growth and nutrition. </w:t>
      </w:r>
      <w:r w:rsidRPr="00B90AE8">
        <w:rPr>
          <w:rFonts w:ascii="Calibri" w:hAnsi="Calibri" w:cs="Times New Roman"/>
          <w:i/>
          <w:iCs/>
          <w:noProof/>
          <w:sz w:val="24"/>
          <w:szCs w:val="24"/>
        </w:rPr>
        <w:t>Proc Nutr Soc</w:t>
      </w:r>
      <w:r w:rsidRPr="00B90AE8">
        <w:rPr>
          <w:rFonts w:ascii="Calibri" w:hAnsi="Calibri" w:cs="Times New Roman"/>
          <w:noProof/>
          <w:sz w:val="24"/>
          <w:szCs w:val="24"/>
        </w:rPr>
        <w:t xml:space="preserve"> 2007;</w:t>
      </w:r>
      <w:r w:rsidRPr="00B90AE8">
        <w:rPr>
          <w:rFonts w:ascii="Calibri" w:hAnsi="Calibri" w:cs="Times New Roman"/>
          <w:b/>
          <w:bCs/>
          <w:noProof/>
          <w:sz w:val="24"/>
          <w:szCs w:val="24"/>
        </w:rPr>
        <w:t>66</w:t>
      </w:r>
      <w:r w:rsidRPr="00B90AE8">
        <w:rPr>
          <w:rFonts w:ascii="Calibri" w:hAnsi="Calibri" w:cs="Times New Roman"/>
          <w:noProof/>
          <w:sz w:val="24"/>
          <w:szCs w:val="24"/>
        </w:rPr>
        <w:t>:423–34. doi:10.1017/S0029665107005691</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23 </w:t>
      </w:r>
      <w:r w:rsidRPr="00B90AE8">
        <w:rPr>
          <w:rFonts w:ascii="Calibri" w:hAnsi="Calibri" w:cs="Times New Roman"/>
          <w:noProof/>
          <w:sz w:val="24"/>
          <w:szCs w:val="24"/>
        </w:rPr>
        <w:tab/>
        <w:t xml:space="preserve">Fagerberg B, Bondjers L, Nilsson P. Low birth weight in combination with catch-up growth predicts the occurrence of the metabolic syndrome in men at late middle age: The Atherosclerosis and Insulin Resistance study. </w:t>
      </w:r>
      <w:r w:rsidRPr="00B90AE8">
        <w:rPr>
          <w:rFonts w:ascii="Calibri" w:hAnsi="Calibri" w:cs="Times New Roman"/>
          <w:i/>
          <w:iCs/>
          <w:noProof/>
          <w:sz w:val="24"/>
          <w:szCs w:val="24"/>
        </w:rPr>
        <w:t>J Intern Med</w:t>
      </w:r>
      <w:r w:rsidRPr="00B90AE8">
        <w:rPr>
          <w:rFonts w:ascii="Calibri" w:hAnsi="Calibri" w:cs="Times New Roman"/>
          <w:noProof/>
          <w:sz w:val="24"/>
          <w:szCs w:val="24"/>
        </w:rPr>
        <w:t xml:space="preserve"> 2004;</w:t>
      </w:r>
      <w:r w:rsidRPr="00B90AE8">
        <w:rPr>
          <w:rFonts w:ascii="Calibri" w:hAnsi="Calibri" w:cs="Times New Roman"/>
          <w:b/>
          <w:bCs/>
          <w:noProof/>
          <w:sz w:val="24"/>
          <w:szCs w:val="24"/>
        </w:rPr>
        <w:t>256</w:t>
      </w:r>
      <w:r w:rsidRPr="00B90AE8">
        <w:rPr>
          <w:rFonts w:ascii="Calibri" w:hAnsi="Calibri" w:cs="Times New Roman"/>
          <w:noProof/>
          <w:sz w:val="24"/>
          <w:szCs w:val="24"/>
        </w:rPr>
        <w:t>:254–9. doi:10.1111/j.1365-2796.2004.01361.x</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24 </w:t>
      </w:r>
      <w:r w:rsidRPr="00B90AE8">
        <w:rPr>
          <w:rFonts w:ascii="Calibri" w:hAnsi="Calibri" w:cs="Times New Roman"/>
          <w:noProof/>
          <w:sz w:val="24"/>
          <w:szCs w:val="24"/>
        </w:rPr>
        <w:tab/>
        <w:t xml:space="preserve">Weng SF, Redsell SA, Swift JA, </w:t>
      </w:r>
      <w:r w:rsidRPr="00B90AE8">
        <w:rPr>
          <w:rFonts w:ascii="Calibri" w:hAnsi="Calibri" w:cs="Times New Roman"/>
          <w:i/>
          <w:iCs/>
          <w:noProof/>
          <w:sz w:val="24"/>
          <w:szCs w:val="24"/>
        </w:rPr>
        <w:t>et al.</w:t>
      </w:r>
      <w:r w:rsidRPr="00B90AE8">
        <w:rPr>
          <w:rFonts w:ascii="Calibri" w:hAnsi="Calibri" w:cs="Times New Roman"/>
          <w:noProof/>
          <w:sz w:val="24"/>
          <w:szCs w:val="24"/>
        </w:rPr>
        <w:t xml:space="preserve"> Systematic review and meta-analyses of risk factors for childhood overweight identifiable during infancy. </w:t>
      </w:r>
      <w:r w:rsidRPr="00B90AE8">
        <w:rPr>
          <w:rFonts w:ascii="Calibri" w:hAnsi="Calibri" w:cs="Times New Roman"/>
          <w:i/>
          <w:iCs/>
          <w:noProof/>
          <w:sz w:val="24"/>
          <w:szCs w:val="24"/>
        </w:rPr>
        <w:t>Arch Dis Child</w:t>
      </w:r>
      <w:r w:rsidRPr="00B90AE8">
        <w:rPr>
          <w:rFonts w:ascii="Calibri" w:hAnsi="Calibri" w:cs="Times New Roman"/>
          <w:noProof/>
          <w:sz w:val="24"/>
          <w:szCs w:val="24"/>
        </w:rPr>
        <w:t xml:space="preserve"> 2012;</w:t>
      </w:r>
      <w:r w:rsidRPr="00B90AE8">
        <w:rPr>
          <w:rFonts w:ascii="Calibri" w:hAnsi="Calibri" w:cs="Times New Roman"/>
          <w:b/>
          <w:bCs/>
          <w:noProof/>
          <w:sz w:val="24"/>
          <w:szCs w:val="24"/>
        </w:rPr>
        <w:t>97</w:t>
      </w:r>
      <w:r w:rsidRPr="00B90AE8">
        <w:rPr>
          <w:rFonts w:ascii="Calibri" w:hAnsi="Calibri" w:cs="Times New Roman"/>
          <w:noProof/>
          <w:sz w:val="24"/>
          <w:szCs w:val="24"/>
        </w:rPr>
        <w:t>:1019–26. doi:10.1136/archdischild-2012-302263</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25 </w:t>
      </w:r>
      <w:r w:rsidRPr="00B90AE8">
        <w:rPr>
          <w:rFonts w:ascii="Calibri" w:hAnsi="Calibri" w:cs="Times New Roman"/>
          <w:noProof/>
          <w:sz w:val="24"/>
          <w:szCs w:val="24"/>
        </w:rPr>
        <w:tab/>
        <w:t xml:space="preserve">Yajnik CS, Fall CHD, Coyaji KJ, </w:t>
      </w:r>
      <w:r w:rsidRPr="00B90AE8">
        <w:rPr>
          <w:rFonts w:ascii="Calibri" w:hAnsi="Calibri" w:cs="Times New Roman"/>
          <w:i/>
          <w:iCs/>
          <w:noProof/>
          <w:sz w:val="24"/>
          <w:szCs w:val="24"/>
        </w:rPr>
        <w:t>et al.</w:t>
      </w:r>
      <w:r w:rsidRPr="00B90AE8">
        <w:rPr>
          <w:rFonts w:ascii="Calibri" w:hAnsi="Calibri" w:cs="Times New Roman"/>
          <w:noProof/>
          <w:sz w:val="24"/>
          <w:szCs w:val="24"/>
        </w:rPr>
        <w:t xml:space="preserve"> Neonatal anthropometry: The thin-fat Indian baby. The Pune maternal nutrition study. </w:t>
      </w:r>
      <w:r w:rsidRPr="00B90AE8">
        <w:rPr>
          <w:rFonts w:ascii="Calibri" w:hAnsi="Calibri" w:cs="Times New Roman"/>
          <w:i/>
          <w:iCs/>
          <w:noProof/>
          <w:sz w:val="24"/>
          <w:szCs w:val="24"/>
        </w:rPr>
        <w:t>Int J Obes</w:t>
      </w:r>
      <w:r w:rsidRPr="00B90AE8">
        <w:rPr>
          <w:rFonts w:ascii="Calibri" w:hAnsi="Calibri" w:cs="Times New Roman"/>
          <w:noProof/>
          <w:sz w:val="24"/>
          <w:szCs w:val="24"/>
        </w:rPr>
        <w:t xml:space="preserve"> 2003;</w:t>
      </w:r>
      <w:r w:rsidRPr="00B90AE8">
        <w:rPr>
          <w:rFonts w:ascii="Calibri" w:hAnsi="Calibri" w:cs="Times New Roman"/>
          <w:b/>
          <w:bCs/>
          <w:noProof/>
          <w:sz w:val="24"/>
          <w:szCs w:val="24"/>
        </w:rPr>
        <w:t>27</w:t>
      </w:r>
      <w:r w:rsidRPr="00B90AE8">
        <w:rPr>
          <w:rFonts w:ascii="Calibri" w:hAnsi="Calibri" w:cs="Times New Roman"/>
          <w:noProof/>
          <w:sz w:val="24"/>
          <w:szCs w:val="24"/>
        </w:rPr>
        <w:t>:173–80. doi:10.1038/sj.ijo.802219</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26 </w:t>
      </w:r>
      <w:r w:rsidRPr="00B90AE8">
        <w:rPr>
          <w:rFonts w:ascii="Calibri" w:hAnsi="Calibri" w:cs="Times New Roman"/>
          <w:noProof/>
          <w:sz w:val="24"/>
          <w:szCs w:val="24"/>
        </w:rPr>
        <w:tab/>
        <w:t xml:space="preserve">Lapillonne A, Griffin IJ. Feeding preterm infants today for later metabolic and cardiovascular outcomes. </w:t>
      </w:r>
      <w:r w:rsidRPr="00B90AE8">
        <w:rPr>
          <w:rFonts w:ascii="Calibri" w:hAnsi="Calibri" w:cs="Times New Roman"/>
          <w:i/>
          <w:iCs/>
          <w:noProof/>
          <w:sz w:val="24"/>
          <w:szCs w:val="24"/>
        </w:rPr>
        <w:t>J Pediatr</w:t>
      </w:r>
      <w:r w:rsidRPr="00B90AE8">
        <w:rPr>
          <w:rFonts w:ascii="Calibri" w:hAnsi="Calibri" w:cs="Times New Roman"/>
          <w:noProof/>
          <w:sz w:val="24"/>
          <w:szCs w:val="24"/>
        </w:rPr>
        <w:t xml:space="preserve"> 2013;</w:t>
      </w:r>
      <w:r w:rsidRPr="00B90AE8">
        <w:rPr>
          <w:rFonts w:ascii="Calibri" w:hAnsi="Calibri" w:cs="Times New Roman"/>
          <w:b/>
          <w:bCs/>
          <w:noProof/>
          <w:sz w:val="24"/>
          <w:szCs w:val="24"/>
        </w:rPr>
        <w:t>162</w:t>
      </w:r>
      <w:r w:rsidRPr="00B90AE8">
        <w:rPr>
          <w:rFonts w:ascii="Calibri" w:hAnsi="Calibri" w:cs="Times New Roman"/>
          <w:noProof/>
          <w:sz w:val="24"/>
          <w:szCs w:val="24"/>
        </w:rPr>
        <w:t>:S7–16. doi:10.1016/j.jpeds.2012.11.048</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27 </w:t>
      </w:r>
      <w:r w:rsidRPr="00B90AE8">
        <w:rPr>
          <w:rFonts w:ascii="Calibri" w:hAnsi="Calibri" w:cs="Times New Roman"/>
          <w:noProof/>
          <w:sz w:val="24"/>
          <w:szCs w:val="24"/>
        </w:rPr>
        <w:tab/>
        <w:t xml:space="preserve">Ehrenkranz RA. Growth in the Neonatal Intensive Care Unit Influences Neurodevelopmental and Growth Outcomes of Extremely Low Birth Weight Infants. </w:t>
      </w:r>
      <w:r w:rsidRPr="00B90AE8">
        <w:rPr>
          <w:rFonts w:ascii="Calibri" w:hAnsi="Calibri" w:cs="Times New Roman"/>
          <w:i/>
          <w:iCs/>
          <w:noProof/>
          <w:sz w:val="24"/>
          <w:szCs w:val="24"/>
        </w:rPr>
        <w:lastRenderedPageBreak/>
        <w:t>Pediatrics</w:t>
      </w:r>
      <w:r w:rsidRPr="00B90AE8">
        <w:rPr>
          <w:rFonts w:ascii="Calibri" w:hAnsi="Calibri" w:cs="Times New Roman"/>
          <w:noProof/>
          <w:sz w:val="24"/>
          <w:szCs w:val="24"/>
        </w:rPr>
        <w:t xml:space="preserve"> 2006;</w:t>
      </w:r>
      <w:r w:rsidRPr="00B90AE8">
        <w:rPr>
          <w:rFonts w:ascii="Calibri" w:hAnsi="Calibri" w:cs="Times New Roman"/>
          <w:b/>
          <w:bCs/>
          <w:noProof/>
          <w:sz w:val="24"/>
          <w:szCs w:val="24"/>
        </w:rPr>
        <w:t>117</w:t>
      </w:r>
      <w:r w:rsidRPr="00B90AE8">
        <w:rPr>
          <w:rFonts w:ascii="Calibri" w:hAnsi="Calibri" w:cs="Times New Roman"/>
          <w:noProof/>
          <w:sz w:val="24"/>
          <w:szCs w:val="24"/>
        </w:rPr>
        <w:t>:1253–61. doi:10.1542/peds.2005-1368</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28 </w:t>
      </w:r>
      <w:r w:rsidRPr="00B90AE8">
        <w:rPr>
          <w:rFonts w:ascii="Calibri" w:hAnsi="Calibri" w:cs="Times New Roman"/>
          <w:noProof/>
          <w:sz w:val="24"/>
          <w:szCs w:val="24"/>
        </w:rPr>
        <w:tab/>
        <w:t xml:space="preserve">Izquierdo M, Minguez M, Martinez Monseny A. Early Nutrition And Postnatal Growth And The Risk Of Retinopathy Of Prematurity (rop)in Very Preterm Infants (vpi). </w:t>
      </w:r>
      <w:r w:rsidRPr="00B90AE8">
        <w:rPr>
          <w:rFonts w:ascii="Calibri" w:hAnsi="Calibri" w:cs="Times New Roman"/>
          <w:i/>
          <w:iCs/>
          <w:noProof/>
          <w:sz w:val="24"/>
          <w:szCs w:val="24"/>
        </w:rPr>
        <w:t>Arch Dis Child</w:t>
      </w:r>
      <w:r w:rsidRPr="00B90AE8">
        <w:rPr>
          <w:rFonts w:ascii="Calibri" w:hAnsi="Calibri" w:cs="Times New Roman"/>
          <w:noProof/>
          <w:sz w:val="24"/>
          <w:szCs w:val="24"/>
        </w:rPr>
        <w:t xml:space="preserve"> 2014;</w:t>
      </w:r>
      <w:r w:rsidRPr="00B90AE8">
        <w:rPr>
          <w:rFonts w:ascii="Calibri" w:hAnsi="Calibri" w:cs="Times New Roman"/>
          <w:b/>
          <w:bCs/>
          <w:noProof/>
          <w:sz w:val="24"/>
          <w:szCs w:val="24"/>
        </w:rPr>
        <w:t>99</w:t>
      </w:r>
      <w:r w:rsidRPr="00B90AE8">
        <w:rPr>
          <w:rFonts w:ascii="Calibri" w:hAnsi="Calibri" w:cs="Times New Roman"/>
          <w:noProof/>
          <w:sz w:val="24"/>
          <w:szCs w:val="24"/>
        </w:rPr>
        <w:t>:A210–1.</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29 </w:t>
      </w:r>
      <w:r w:rsidRPr="00B90AE8">
        <w:rPr>
          <w:rFonts w:ascii="Calibri" w:hAnsi="Calibri" w:cs="Times New Roman"/>
          <w:noProof/>
          <w:sz w:val="24"/>
          <w:szCs w:val="24"/>
        </w:rPr>
        <w:tab/>
        <w:t xml:space="preserve">Chan SHT, Johnson MJ, Leaf AA, </w:t>
      </w:r>
      <w:r w:rsidRPr="00B90AE8">
        <w:rPr>
          <w:rFonts w:ascii="Calibri" w:hAnsi="Calibri" w:cs="Times New Roman"/>
          <w:i/>
          <w:iCs/>
          <w:noProof/>
          <w:sz w:val="24"/>
          <w:szCs w:val="24"/>
        </w:rPr>
        <w:t>et al.</w:t>
      </w:r>
      <w:r w:rsidRPr="00B90AE8">
        <w:rPr>
          <w:rFonts w:ascii="Calibri" w:hAnsi="Calibri" w:cs="Times New Roman"/>
          <w:noProof/>
          <w:sz w:val="24"/>
          <w:szCs w:val="24"/>
        </w:rPr>
        <w:t xml:space="preserve"> Nutrition and neurodevelopmental outcomes in preterm infants: a systematic review. </w:t>
      </w:r>
      <w:r w:rsidRPr="00B90AE8">
        <w:rPr>
          <w:rFonts w:ascii="Calibri" w:hAnsi="Calibri" w:cs="Times New Roman"/>
          <w:i/>
          <w:iCs/>
          <w:noProof/>
          <w:sz w:val="24"/>
          <w:szCs w:val="24"/>
        </w:rPr>
        <w:t>Acta Paediatr</w:t>
      </w:r>
      <w:r w:rsidRPr="00B90AE8">
        <w:rPr>
          <w:rFonts w:ascii="Calibri" w:hAnsi="Calibri" w:cs="Times New Roman"/>
          <w:noProof/>
          <w:sz w:val="24"/>
          <w:szCs w:val="24"/>
        </w:rPr>
        <w:t xml:space="preserve"> 2016;</w:t>
      </w:r>
      <w:r w:rsidRPr="00B90AE8">
        <w:rPr>
          <w:rFonts w:ascii="Calibri" w:hAnsi="Calibri" w:cs="Times New Roman"/>
          <w:b/>
          <w:bCs/>
          <w:noProof/>
          <w:sz w:val="24"/>
          <w:szCs w:val="24"/>
        </w:rPr>
        <w:t>105</w:t>
      </w:r>
      <w:r w:rsidRPr="00B90AE8">
        <w:rPr>
          <w:rFonts w:ascii="Calibri" w:hAnsi="Calibri" w:cs="Times New Roman"/>
          <w:noProof/>
          <w:sz w:val="24"/>
          <w:szCs w:val="24"/>
        </w:rPr>
        <w:t>:587–99. doi:10.1111/apa.13344</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30 </w:t>
      </w:r>
      <w:r w:rsidRPr="00B90AE8">
        <w:rPr>
          <w:rFonts w:ascii="Calibri" w:hAnsi="Calibri" w:cs="Times New Roman"/>
          <w:noProof/>
          <w:sz w:val="24"/>
          <w:szCs w:val="24"/>
        </w:rPr>
        <w:tab/>
        <w:t xml:space="preserve">Stephens BE, Walden R V., Gargus RA, </w:t>
      </w:r>
      <w:r w:rsidRPr="00B90AE8">
        <w:rPr>
          <w:rFonts w:ascii="Calibri" w:hAnsi="Calibri" w:cs="Times New Roman"/>
          <w:i/>
          <w:iCs/>
          <w:noProof/>
          <w:sz w:val="24"/>
          <w:szCs w:val="24"/>
        </w:rPr>
        <w:t>et al.</w:t>
      </w:r>
      <w:r w:rsidRPr="00B90AE8">
        <w:rPr>
          <w:rFonts w:ascii="Calibri" w:hAnsi="Calibri" w:cs="Times New Roman"/>
          <w:noProof/>
          <w:sz w:val="24"/>
          <w:szCs w:val="24"/>
        </w:rPr>
        <w:t xml:space="preserve"> First-Week Protein and Energy Intakes Are Associated With 18-Month Developmental Outcomes in Extremely Low Birth Weight Infants. </w:t>
      </w:r>
      <w:r w:rsidRPr="00B90AE8">
        <w:rPr>
          <w:rFonts w:ascii="Calibri" w:hAnsi="Calibri" w:cs="Times New Roman"/>
          <w:i/>
          <w:iCs/>
          <w:noProof/>
          <w:sz w:val="24"/>
          <w:szCs w:val="24"/>
        </w:rPr>
        <w:t>Pediatrics</w:t>
      </w:r>
      <w:r w:rsidRPr="00B90AE8">
        <w:rPr>
          <w:rFonts w:ascii="Calibri" w:hAnsi="Calibri" w:cs="Times New Roman"/>
          <w:noProof/>
          <w:sz w:val="24"/>
          <w:szCs w:val="24"/>
        </w:rPr>
        <w:t xml:space="preserve"> 2009;</w:t>
      </w:r>
      <w:r w:rsidRPr="00B90AE8">
        <w:rPr>
          <w:rFonts w:ascii="Calibri" w:hAnsi="Calibri" w:cs="Times New Roman"/>
          <w:b/>
          <w:bCs/>
          <w:noProof/>
          <w:sz w:val="24"/>
          <w:szCs w:val="24"/>
        </w:rPr>
        <w:t>123</w:t>
      </w:r>
      <w:r w:rsidRPr="00B90AE8">
        <w:rPr>
          <w:rFonts w:ascii="Calibri" w:hAnsi="Calibri" w:cs="Times New Roman"/>
          <w:noProof/>
          <w:sz w:val="24"/>
          <w:szCs w:val="24"/>
        </w:rPr>
        <w:t>:1337–43. doi:10.1542/peds.2008-0211</w:t>
      </w:r>
    </w:p>
    <w:p w:rsidR="00B90AE8" w:rsidRPr="00B90AE8" w:rsidRDefault="00B90AE8" w:rsidP="00B90AE8">
      <w:pPr>
        <w:widowControl w:val="0"/>
        <w:autoSpaceDE w:val="0"/>
        <w:autoSpaceDN w:val="0"/>
        <w:adjustRightInd w:val="0"/>
        <w:spacing w:line="240" w:lineRule="auto"/>
        <w:ind w:left="640" w:hanging="640"/>
        <w:rPr>
          <w:rFonts w:ascii="Calibri" w:hAnsi="Calibri" w:cs="Times New Roman"/>
          <w:noProof/>
          <w:sz w:val="24"/>
          <w:szCs w:val="24"/>
        </w:rPr>
      </w:pPr>
      <w:r w:rsidRPr="00B90AE8">
        <w:rPr>
          <w:rFonts w:ascii="Calibri" w:hAnsi="Calibri" w:cs="Times New Roman"/>
          <w:noProof/>
          <w:sz w:val="24"/>
          <w:szCs w:val="24"/>
        </w:rPr>
        <w:t xml:space="preserve">31 </w:t>
      </w:r>
      <w:r w:rsidRPr="00B90AE8">
        <w:rPr>
          <w:rFonts w:ascii="Calibri" w:hAnsi="Calibri" w:cs="Times New Roman"/>
          <w:noProof/>
          <w:sz w:val="24"/>
          <w:szCs w:val="24"/>
        </w:rPr>
        <w:tab/>
        <w:t xml:space="preserve">Ashton JJ, Johnson MJ, Pond J, </w:t>
      </w:r>
      <w:r w:rsidRPr="00B90AE8">
        <w:rPr>
          <w:rFonts w:ascii="Calibri" w:hAnsi="Calibri" w:cs="Times New Roman"/>
          <w:i/>
          <w:iCs/>
          <w:noProof/>
          <w:sz w:val="24"/>
          <w:szCs w:val="24"/>
        </w:rPr>
        <w:t>et al.</w:t>
      </w:r>
      <w:r w:rsidRPr="00B90AE8">
        <w:rPr>
          <w:rFonts w:ascii="Calibri" w:hAnsi="Calibri" w:cs="Times New Roman"/>
          <w:noProof/>
          <w:sz w:val="24"/>
          <w:szCs w:val="24"/>
        </w:rPr>
        <w:t xml:space="preserve"> Assessing the growth of preterm infants using detailed anthropometry. </w:t>
      </w:r>
      <w:r w:rsidRPr="00B90AE8">
        <w:rPr>
          <w:rFonts w:ascii="Calibri" w:hAnsi="Calibri" w:cs="Times New Roman"/>
          <w:i/>
          <w:iCs/>
          <w:noProof/>
          <w:sz w:val="24"/>
          <w:szCs w:val="24"/>
        </w:rPr>
        <w:t>Acta Paediatr</w:t>
      </w:r>
      <w:r w:rsidRPr="00B90AE8">
        <w:rPr>
          <w:rFonts w:ascii="Calibri" w:hAnsi="Calibri" w:cs="Times New Roman"/>
          <w:noProof/>
          <w:sz w:val="24"/>
          <w:szCs w:val="24"/>
        </w:rPr>
        <w:t xml:space="preserve"> 2017;</w:t>
      </w:r>
      <w:r w:rsidRPr="00B90AE8">
        <w:rPr>
          <w:rFonts w:ascii="Calibri" w:hAnsi="Calibri" w:cs="Times New Roman"/>
          <w:b/>
          <w:bCs/>
          <w:noProof/>
          <w:sz w:val="24"/>
          <w:szCs w:val="24"/>
        </w:rPr>
        <w:t>106</w:t>
      </w:r>
      <w:r w:rsidRPr="00B90AE8">
        <w:rPr>
          <w:rFonts w:ascii="Calibri" w:hAnsi="Calibri" w:cs="Times New Roman"/>
          <w:noProof/>
          <w:sz w:val="24"/>
          <w:szCs w:val="24"/>
        </w:rPr>
        <w:t>:889–96. doi:10.1111/apa.13804</w:t>
      </w:r>
    </w:p>
    <w:p w:rsidR="00B90AE8" w:rsidRPr="00B90AE8" w:rsidRDefault="00B90AE8" w:rsidP="00B90AE8">
      <w:pPr>
        <w:widowControl w:val="0"/>
        <w:autoSpaceDE w:val="0"/>
        <w:autoSpaceDN w:val="0"/>
        <w:adjustRightInd w:val="0"/>
        <w:spacing w:line="240" w:lineRule="auto"/>
        <w:ind w:left="640" w:hanging="640"/>
        <w:rPr>
          <w:rFonts w:ascii="Calibri" w:hAnsi="Calibri"/>
          <w:noProof/>
          <w:sz w:val="24"/>
        </w:rPr>
      </w:pPr>
      <w:r w:rsidRPr="00B90AE8">
        <w:rPr>
          <w:rFonts w:ascii="Calibri" w:hAnsi="Calibri" w:cs="Times New Roman"/>
          <w:noProof/>
          <w:sz w:val="24"/>
          <w:szCs w:val="24"/>
        </w:rPr>
        <w:t xml:space="preserve">32 </w:t>
      </w:r>
      <w:r w:rsidRPr="00B90AE8">
        <w:rPr>
          <w:rFonts w:ascii="Calibri" w:hAnsi="Calibri" w:cs="Times New Roman"/>
          <w:noProof/>
          <w:sz w:val="24"/>
          <w:szCs w:val="24"/>
        </w:rPr>
        <w:tab/>
        <w:t xml:space="preserve">Senterre T, Rigo J. Reduction in postnatal cumulative nutritional deficit and improvement of growth in extremely preterm infants. </w:t>
      </w:r>
      <w:r w:rsidRPr="00B90AE8">
        <w:rPr>
          <w:rFonts w:ascii="Calibri" w:hAnsi="Calibri" w:cs="Times New Roman"/>
          <w:i/>
          <w:iCs/>
          <w:noProof/>
          <w:sz w:val="24"/>
          <w:szCs w:val="24"/>
        </w:rPr>
        <w:t>Acta Paediatr Int J Paediatr</w:t>
      </w:r>
      <w:r w:rsidRPr="00B90AE8">
        <w:rPr>
          <w:rFonts w:ascii="Calibri" w:hAnsi="Calibri" w:cs="Times New Roman"/>
          <w:noProof/>
          <w:sz w:val="24"/>
          <w:szCs w:val="24"/>
        </w:rPr>
        <w:t xml:space="preserve"> Published Online First: 2012. doi:10.1111/j.1651-2227.2011.02443.x</w:t>
      </w:r>
    </w:p>
    <w:p w:rsidR="00305D75" w:rsidRDefault="00D864BF" w:rsidP="009E2DF4">
      <w:pPr>
        <w:spacing w:line="240" w:lineRule="auto"/>
        <w:rPr>
          <w:rFonts w:ascii="Times New Roman" w:hAnsi="Times New Roman" w:cs="Times New Roman"/>
          <w:sz w:val="24"/>
          <w:szCs w:val="24"/>
        </w:rPr>
      </w:pPr>
      <w:r w:rsidRPr="00F6411A">
        <w:rPr>
          <w:rFonts w:cs="Times New Roman"/>
          <w:sz w:val="24"/>
          <w:szCs w:val="24"/>
        </w:rPr>
        <w:fldChar w:fldCharType="end"/>
      </w:r>
    </w:p>
    <w:p w:rsidR="00305D75" w:rsidRPr="005A5FC3" w:rsidRDefault="00305D75" w:rsidP="005A5FC3">
      <w:pPr>
        <w:spacing w:line="480" w:lineRule="auto"/>
        <w:rPr>
          <w:rFonts w:ascii="Times New Roman" w:hAnsi="Times New Roman" w:cs="Times New Roman"/>
          <w:sz w:val="24"/>
          <w:szCs w:val="24"/>
        </w:rPr>
      </w:pPr>
    </w:p>
    <w:p w:rsidR="00EA5F35" w:rsidRPr="00705503" w:rsidRDefault="00EA5F35" w:rsidP="00AE2715"/>
    <w:sectPr w:rsidR="00EA5F35" w:rsidRPr="00705503" w:rsidSect="00586F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C3BE5"/>
    <w:multiLevelType w:val="hybridMultilevel"/>
    <w:tmpl w:val="E316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CA4A65"/>
    <w:multiLevelType w:val="hybridMultilevel"/>
    <w:tmpl w:val="71D68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5D3976"/>
    <w:multiLevelType w:val="hybridMultilevel"/>
    <w:tmpl w:val="E7A2D39A"/>
    <w:lvl w:ilvl="0" w:tplc="E174CE32">
      <w:numFmt w:val="bullet"/>
      <w:lvlText w:val="-"/>
      <w:lvlJc w:val="left"/>
      <w:pPr>
        <w:ind w:left="1080" w:hanging="360"/>
      </w:pPr>
      <w:rPr>
        <w:rFonts w:ascii="Calibri" w:eastAsiaTheme="minorHAnsi" w:hAnsi="Calibri" w:cstheme="minorBid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FE154E6"/>
    <w:multiLevelType w:val="hybridMultilevel"/>
    <w:tmpl w:val="A9C8E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362B6A"/>
    <w:multiLevelType w:val="hybridMultilevel"/>
    <w:tmpl w:val="9932BC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ayout" w:val="&lt;ENLayout&gt;&lt;Style&gt;Arch Disease Childhood&lt;/Style&gt;&lt;LeftDelim&gt;{&lt;/LeftDelim&gt;&lt;RightDelim&gt;}&lt;/RightDelim&gt;&lt;FontName&gt;Calibri&lt;/FontName&gt;&lt;FontSize&gt;11&lt;/FontSize&gt;&lt;ReflistTitle&gt;&lt;style face=&quot;bold&quot; size=&quot;10&quot;&gt;References&lt;/sty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F8532F"/>
    <w:rsid w:val="00000B0C"/>
    <w:rsid w:val="00001527"/>
    <w:rsid w:val="00002785"/>
    <w:rsid w:val="0000732C"/>
    <w:rsid w:val="00007BE7"/>
    <w:rsid w:val="0001381D"/>
    <w:rsid w:val="0002303E"/>
    <w:rsid w:val="00024026"/>
    <w:rsid w:val="00024A7D"/>
    <w:rsid w:val="00030704"/>
    <w:rsid w:val="000313B1"/>
    <w:rsid w:val="00037142"/>
    <w:rsid w:val="00040567"/>
    <w:rsid w:val="000432A4"/>
    <w:rsid w:val="000434B0"/>
    <w:rsid w:val="00044243"/>
    <w:rsid w:val="00046F10"/>
    <w:rsid w:val="00050B73"/>
    <w:rsid w:val="00052035"/>
    <w:rsid w:val="00056D2C"/>
    <w:rsid w:val="00057FFB"/>
    <w:rsid w:val="0006102B"/>
    <w:rsid w:val="00062C02"/>
    <w:rsid w:val="000653BA"/>
    <w:rsid w:val="0006548E"/>
    <w:rsid w:val="0006686E"/>
    <w:rsid w:val="00066CC5"/>
    <w:rsid w:val="00066EFE"/>
    <w:rsid w:val="000703B7"/>
    <w:rsid w:val="000731BE"/>
    <w:rsid w:val="00076790"/>
    <w:rsid w:val="00077AE6"/>
    <w:rsid w:val="00077F93"/>
    <w:rsid w:val="000857C2"/>
    <w:rsid w:val="00085E1A"/>
    <w:rsid w:val="000871F0"/>
    <w:rsid w:val="00090398"/>
    <w:rsid w:val="0009052A"/>
    <w:rsid w:val="00093380"/>
    <w:rsid w:val="00095110"/>
    <w:rsid w:val="000A4FA5"/>
    <w:rsid w:val="000B3010"/>
    <w:rsid w:val="000C061F"/>
    <w:rsid w:val="000C362D"/>
    <w:rsid w:val="000D236A"/>
    <w:rsid w:val="000D5A4D"/>
    <w:rsid w:val="000D7537"/>
    <w:rsid w:val="000E06C3"/>
    <w:rsid w:val="000E276C"/>
    <w:rsid w:val="000E33F4"/>
    <w:rsid w:val="000F09E6"/>
    <w:rsid w:val="000F1937"/>
    <w:rsid w:val="000F3E7E"/>
    <w:rsid w:val="000F7AE2"/>
    <w:rsid w:val="000F7DFC"/>
    <w:rsid w:val="0010581B"/>
    <w:rsid w:val="001068D5"/>
    <w:rsid w:val="00107979"/>
    <w:rsid w:val="00112628"/>
    <w:rsid w:val="00112D86"/>
    <w:rsid w:val="001222FC"/>
    <w:rsid w:val="00125E42"/>
    <w:rsid w:val="00127E66"/>
    <w:rsid w:val="00132FE1"/>
    <w:rsid w:val="00136260"/>
    <w:rsid w:val="001405CD"/>
    <w:rsid w:val="001524EE"/>
    <w:rsid w:val="00153725"/>
    <w:rsid w:val="0015556A"/>
    <w:rsid w:val="00155B24"/>
    <w:rsid w:val="00163489"/>
    <w:rsid w:val="00163936"/>
    <w:rsid w:val="00170D59"/>
    <w:rsid w:val="001762AF"/>
    <w:rsid w:val="00176645"/>
    <w:rsid w:val="00182EB3"/>
    <w:rsid w:val="00183B97"/>
    <w:rsid w:val="001859F2"/>
    <w:rsid w:val="0018662C"/>
    <w:rsid w:val="00187D4B"/>
    <w:rsid w:val="00187FB3"/>
    <w:rsid w:val="00192003"/>
    <w:rsid w:val="001A11F6"/>
    <w:rsid w:val="001A2998"/>
    <w:rsid w:val="001B413D"/>
    <w:rsid w:val="001B421F"/>
    <w:rsid w:val="001B59CD"/>
    <w:rsid w:val="001B6EC4"/>
    <w:rsid w:val="001C14CA"/>
    <w:rsid w:val="001C176B"/>
    <w:rsid w:val="001C6A74"/>
    <w:rsid w:val="001D09DF"/>
    <w:rsid w:val="001D55A9"/>
    <w:rsid w:val="001E339F"/>
    <w:rsid w:val="001E433A"/>
    <w:rsid w:val="001F03EE"/>
    <w:rsid w:val="001F1DFB"/>
    <w:rsid w:val="001F70D7"/>
    <w:rsid w:val="0020287D"/>
    <w:rsid w:val="00205308"/>
    <w:rsid w:val="002055D7"/>
    <w:rsid w:val="00212847"/>
    <w:rsid w:val="00213189"/>
    <w:rsid w:val="002138E9"/>
    <w:rsid w:val="00220D4E"/>
    <w:rsid w:val="00220D95"/>
    <w:rsid w:val="002219CB"/>
    <w:rsid w:val="00222A02"/>
    <w:rsid w:val="00224018"/>
    <w:rsid w:val="00224D09"/>
    <w:rsid w:val="00240653"/>
    <w:rsid w:val="00241F79"/>
    <w:rsid w:val="00245151"/>
    <w:rsid w:val="00251EAD"/>
    <w:rsid w:val="00255F36"/>
    <w:rsid w:val="00262E4C"/>
    <w:rsid w:val="00262FE4"/>
    <w:rsid w:val="00267FA4"/>
    <w:rsid w:val="00270822"/>
    <w:rsid w:val="002727AD"/>
    <w:rsid w:val="00273867"/>
    <w:rsid w:val="00282EA9"/>
    <w:rsid w:val="0028595B"/>
    <w:rsid w:val="00287326"/>
    <w:rsid w:val="00290FB7"/>
    <w:rsid w:val="00295C4E"/>
    <w:rsid w:val="00297222"/>
    <w:rsid w:val="002978FB"/>
    <w:rsid w:val="00297E03"/>
    <w:rsid w:val="002A1689"/>
    <w:rsid w:val="002A288F"/>
    <w:rsid w:val="002A41C3"/>
    <w:rsid w:val="002A4D61"/>
    <w:rsid w:val="002A7EB6"/>
    <w:rsid w:val="002A7F5E"/>
    <w:rsid w:val="002B21A4"/>
    <w:rsid w:val="002B312D"/>
    <w:rsid w:val="002B5BA3"/>
    <w:rsid w:val="002C0417"/>
    <w:rsid w:val="002D0D9D"/>
    <w:rsid w:val="002D6662"/>
    <w:rsid w:val="002D770B"/>
    <w:rsid w:val="002D7AAC"/>
    <w:rsid w:val="002E0E81"/>
    <w:rsid w:val="002E1857"/>
    <w:rsid w:val="002E1E8B"/>
    <w:rsid w:val="002E2B91"/>
    <w:rsid w:val="002E6743"/>
    <w:rsid w:val="002F32CB"/>
    <w:rsid w:val="002F5EB8"/>
    <w:rsid w:val="00300606"/>
    <w:rsid w:val="003019B3"/>
    <w:rsid w:val="00305D75"/>
    <w:rsid w:val="00307592"/>
    <w:rsid w:val="003211AC"/>
    <w:rsid w:val="00324D78"/>
    <w:rsid w:val="00325D93"/>
    <w:rsid w:val="003262F0"/>
    <w:rsid w:val="0033569E"/>
    <w:rsid w:val="003449A5"/>
    <w:rsid w:val="00350610"/>
    <w:rsid w:val="00367213"/>
    <w:rsid w:val="00372E9F"/>
    <w:rsid w:val="003748CE"/>
    <w:rsid w:val="003773FD"/>
    <w:rsid w:val="00377C1F"/>
    <w:rsid w:val="00381828"/>
    <w:rsid w:val="00382711"/>
    <w:rsid w:val="0038357D"/>
    <w:rsid w:val="003839AB"/>
    <w:rsid w:val="00387B52"/>
    <w:rsid w:val="003908CE"/>
    <w:rsid w:val="003909D4"/>
    <w:rsid w:val="003931C4"/>
    <w:rsid w:val="00396651"/>
    <w:rsid w:val="003A2108"/>
    <w:rsid w:val="003A7146"/>
    <w:rsid w:val="003B3CC4"/>
    <w:rsid w:val="003B451E"/>
    <w:rsid w:val="003B6610"/>
    <w:rsid w:val="003B76C5"/>
    <w:rsid w:val="003C3DA7"/>
    <w:rsid w:val="003D514B"/>
    <w:rsid w:val="003D5310"/>
    <w:rsid w:val="003D6F82"/>
    <w:rsid w:val="003E019A"/>
    <w:rsid w:val="003E3BB3"/>
    <w:rsid w:val="003F141C"/>
    <w:rsid w:val="003F5957"/>
    <w:rsid w:val="0040141D"/>
    <w:rsid w:val="00402E8F"/>
    <w:rsid w:val="00403426"/>
    <w:rsid w:val="00403FB7"/>
    <w:rsid w:val="00405957"/>
    <w:rsid w:val="00412693"/>
    <w:rsid w:val="00413825"/>
    <w:rsid w:val="0042133A"/>
    <w:rsid w:val="004304AA"/>
    <w:rsid w:val="00432B14"/>
    <w:rsid w:val="00436EA4"/>
    <w:rsid w:val="004379C9"/>
    <w:rsid w:val="004401E8"/>
    <w:rsid w:val="00445E40"/>
    <w:rsid w:val="004504B2"/>
    <w:rsid w:val="0045730E"/>
    <w:rsid w:val="00460C9F"/>
    <w:rsid w:val="0046233D"/>
    <w:rsid w:val="0048021F"/>
    <w:rsid w:val="0048130D"/>
    <w:rsid w:val="00482E29"/>
    <w:rsid w:val="0048548B"/>
    <w:rsid w:val="0048666C"/>
    <w:rsid w:val="004916FE"/>
    <w:rsid w:val="004A3668"/>
    <w:rsid w:val="004A3FF2"/>
    <w:rsid w:val="004A4EFE"/>
    <w:rsid w:val="004A6AA4"/>
    <w:rsid w:val="004B030D"/>
    <w:rsid w:val="004B2168"/>
    <w:rsid w:val="004B34BA"/>
    <w:rsid w:val="004B3B52"/>
    <w:rsid w:val="004B54D2"/>
    <w:rsid w:val="004B5FF1"/>
    <w:rsid w:val="004B6486"/>
    <w:rsid w:val="004B6E1D"/>
    <w:rsid w:val="004B72C7"/>
    <w:rsid w:val="004B73EB"/>
    <w:rsid w:val="004C0EDE"/>
    <w:rsid w:val="004C2AC2"/>
    <w:rsid w:val="004D3812"/>
    <w:rsid w:val="004D3A4B"/>
    <w:rsid w:val="004D47B2"/>
    <w:rsid w:val="004D504D"/>
    <w:rsid w:val="004D6281"/>
    <w:rsid w:val="004E41B5"/>
    <w:rsid w:val="004E5745"/>
    <w:rsid w:val="004E5A0A"/>
    <w:rsid w:val="004E664F"/>
    <w:rsid w:val="004E7AF6"/>
    <w:rsid w:val="004E7F41"/>
    <w:rsid w:val="004F4DD5"/>
    <w:rsid w:val="004F66EC"/>
    <w:rsid w:val="00500340"/>
    <w:rsid w:val="00500AE7"/>
    <w:rsid w:val="00503109"/>
    <w:rsid w:val="00505028"/>
    <w:rsid w:val="0050533E"/>
    <w:rsid w:val="00505414"/>
    <w:rsid w:val="00510D51"/>
    <w:rsid w:val="005207D1"/>
    <w:rsid w:val="00520BD2"/>
    <w:rsid w:val="0052761A"/>
    <w:rsid w:val="005364DD"/>
    <w:rsid w:val="00537C73"/>
    <w:rsid w:val="00541E87"/>
    <w:rsid w:val="005468BE"/>
    <w:rsid w:val="00547894"/>
    <w:rsid w:val="00547CE5"/>
    <w:rsid w:val="00553C45"/>
    <w:rsid w:val="00554DBF"/>
    <w:rsid w:val="00560433"/>
    <w:rsid w:val="00561A98"/>
    <w:rsid w:val="00565D45"/>
    <w:rsid w:val="00566EF5"/>
    <w:rsid w:val="005814CA"/>
    <w:rsid w:val="00586F59"/>
    <w:rsid w:val="00587223"/>
    <w:rsid w:val="00590E62"/>
    <w:rsid w:val="00594E50"/>
    <w:rsid w:val="005A0F24"/>
    <w:rsid w:val="005A5FC3"/>
    <w:rsid w:val="005B2C57"/>
    <w:rsid w:val="005B535F"/>
    <w:rsid w:val="005B5CA6"/>
    <w:rsid w:val="005C07E3"/>
    <w:rsid w:val="005C3346"/>
    <w:rsid w:val="005D5D42"/>
    <w:rsid w:val="005D63C8"/>
    <w:rsid w:val="005D6FDF"/>
    <w:rsid w:val="005E0575"/>
    <w:rsid w:val="005E12C5"/>
    <w:rsid w:val="005E19D6"/>
    <w:rsid w:val="005E4AA3"/>
    <w:rsid w:val="005F68A5"/>
    <w:rsid w:val="00602322"/>
    <w:rsid w:val="006023EE"/>
    <w:rsid w:val="00602EFC"/>
    <w:rsid w:val="00610297"/>
    <w:rsid w:val="00611359"/>
    <w:rsid w:val="00611439"/>
    <w:rsid w:val="006150DC"/>
    <w:rsid w:val="006171AA"/>
    <w:rsid w:val="006173B7"/>
    <w:rsid w:val="0064057B"/>
    <w:rsid w:val="00642C91"/>
    <w:rsid w:val="00643B41"/>
    <w:rsid w:val="0065156E"/>
    <w:rsid w:val="00657D12"/>
    <w:rsid w:val="00673EB0"/>
    <w:rsid w:val="00674D4A"/>
    <w:rsid w:val="006778CE"/>
    <w:rsid w:val="0068582C"/>
    <w:rsid w:val="006A3328"/>
    <w:rsid w:val="006A4791"/>
    <w:rsid w:val="006A5D15"/>
    <w:rsid w:val="006B0F3A"/>
    <w:rsid w:val="006B2041"/>
    <w:rsid w:val="006B387B"/>
    <w:rsid w:val="006B42A3"/>
    <w:rsid w:val="006B47EB"/>
    <w:rsid w:val="006B67F1"/>
    <w:rsid w:val="006B7566"/>
    <w:rsid w:val="006B79A3"/>
    <w:rsid w:val="006C5A1C"/>
    <w:rsid w:val="006C7948"/>
    <w:rsid w:val="006D0064"/>
    <w:rsid w:val="006D43DD"/>
    <w:rsid w:val="006D4936"/>
    <w:rsid w:val="006D66BA"/>
    <w:rsid w:val="006D6FD4"/>
    <w:rsid w:val="006E6A8C"/>
    <w:rsid w:val="006E7191"/>
    <w:rsid w:val="006E7F75"/>
    <w:rsid w:val="006F52F1"/>
    <w:rsid w:val="006F5D8F"/>
    <w:rsid w:val="007046BD"/>
    <w:rsid w:val="00705503"/>
    <w:rsid w:val="007127C5"/>
    <w:rsid w:val="0071513D"/>
    <w:rsid w:val="00715C74"/>
    <w:rsid w:val="007169DB"/>
    <w:rsid w:val="00717B2B"/>
    <w:rsid w:val="007234CB"/>
    <w:rsid w:val="007240D7"/>
    <w:rsid w:val="0072441E"/>
    <w:rsid w:val="007247A1"/>
    <w:rsid w:val="007257C1"/>
    <w:rsid w:val="00727CC9"/>
    <w:rsid w:val="00730C16"/>
    <w:rsid w:val="00732153"/>
    <w:rsid w:val="0073371D"/>
    <w:rsid w:val="00733966"/>
    <w:rsid w:val="00735A85"/>
    <w:rsid w:val="007375AB"/>
    <w:rsid w:val="007375AD"/>
    <w:rsid w:val="00747EC7"/>
    <w:rsid w:val="00753BDA"/>
    <w:rsid w:val="00753C5F"/>
    <w:rsid w:val="0075738E"/>
    <w:rsid w:val="00760005"/>
    <w:rsid w:val="0076006F"/>
    <w:rsid w:val="007622F2"/>
    <w:rsid w:val="00765AFF"/>
    <w:rsid w:val="0077002A"/>
    <w:rsid w:val="00777874"/>
    <w:rsid w:val="007819E5"/>
    <w:rsid w:val="0078406E"/>
    <w:rsid w:val="00786679"/>
    <w:rsid w:val="0078794B"/>
    <w:rsid w:val="00794040"/>
    <w:rsid w:val="007A04D2"/>
    <w:rsid w:val="007A7881"/>
    <w:rsid w:val="007B7CBC"/>
    <w:rsid w:val="007C7659"/>
    <w:rsid w:val="007D0332"/>
    <w:rsid w:val="007D272F"/>
    <w:rsid w:val="007D2B04"/>
    <w:rsid w:val="007D6C4A"/>
    <w:rsid w:val="007E0A93"/>
    <w:rsid w:val="007E1355"/>
    <w:rsid w:val="007E6292"/>
    <w:rsid w:val="007E773F"/>
    <w:rsid w:val="007E795E"/>
    <w:rsid w:val="007F1C9C"/>
    <w:rsid w:val="007F29D5"/>
    <w:rsid w:val="007F2BD9"/>
    <w:rsid w:val="00801140"/>
    <w:rsid w:val="008078E0"/>
    <w:rsid w:val="00814629"/>
    <w:rsid w:val="00815553"/>
    <w:rsid w:val="008161DF"/>
    <w:rsid w:val="00816973"/>
    <w:rsid w:val="00816999"/>
    <w:rsid w:val="00824F74"/>
    <w:rsid w:val="008266F7"/>
    <w:rsid w:val="008277BC"/>
    <w:rsid w:val="00832C28"/>
    <w:rsid w:val="008338F5"/>
    <w:rsid w:val="00835048"/>
    <w:rsid w:val="0083797D"/>
    <w:rsid w:val="008416AA"/>
    <w:rsid w:val="00844682"/>
    <w:rsid w:val="00847467"/>
    <w:rsid w:val="00847ED2"/>
    <w:rsid w:val="00855F91"/>
    <w:rsid w:val="00857F4B"/>
    <w:rsid w:val="00860067"/>
    <w:rsid w:val="0086644E"/>
    <w:rsid w:val="0087627A"/>
    <w:rsid w:val="008859DD"/>
    <w:rsid w:val="00890859"/>
    <w:rsid w:val="00890ECB"/>
    <w:rsid w:val="0089263E"/>
    <w:rsid w:val="00894A48"/>
    <w:rsid w:val="00897625"/>
    <w:rsid w:val="008A0783"/>
    <w:rsid w:val="008A7920"/>
    <w:rsid w:val="008B7E88"/>
    <w:rsid w:val="008C0A7C"/>
    <w:rsid w:val="008C1CAC"/>
    <w:rsid w:val="008C342F"/>
    <w:rsid w:val="008C4458"/>
    <w:rsid w:val="008C6503"/>
    <w:rsid w:val="008C655E"/>
    <w:rsid w:val="008C7CA9"/>
    <w:rsid w:val="008D7A4C"/>
    <w:rsid w:val="008E3C3B"/>
    <w:rsid w:val="008E594B"/>
    <w:rsid w:val="008E5F44"/>
    <w:rsid w:val="008E71B6"/>
    <w:rsid w:val="00916C81"/>
    <w:rsid w:val="009358F0"/>
    <w:rsid w:val="00943600"/>
    <w:rsid w:val="00947C86"/>
    <w:rsid w:val="0095049C"/>
    <w:rsid w:val="009516DE"/>
    <w:rsid w:val="0095752E"/>
    <w:rsid w:val="0095770A"/>
    <w:rsid w:val="009622E6"/>
    <w:rsid w:val="009714EE"/>
    <w:rsid w:val="00982280"/>
    <w:rsid w:val="00983A77"/>
    <w:rsid w:val="00984104"/>
    <w:rsid w:val="00984292"/>
    <w:rsid w:val="0098451F"/>
    <w:rsid w:val="00986C8E"/>
    <w:rsid w:val="009873B6"/>
    <w:rsid w:val="00990B48"/>
    <w:rsid w:val="00994548"/>
    <w:rsid w:val="009962F9"/>
    <w:rsid w:val="009964E5"/>
    <w:rsid w:val="009967B4"/>
    <w:rsid w:val="00996BD6"/>
    <w:rsid w:val="009A0525"/>
    <w:rsid w:val="009A1DE1"/>
    <w:rsid w:val="009A48B1"/>
    <w:rsid w:val="009A62E4"/>
    <w:rsid w:val="009A7AEE"/>
    <w:rsid w:val="009B335A"/>
    <w:rsid w:val="009B5173"/>
    <w:rsid w:val="009B543A"/>
    <w:rsid w:val="009C24D4"/>
    <w:rsid w:val="009D074C"/>
    <w:rsid w:val="009D0FF3"/>
    <w:rsid w:val="009D5D26"/>
    <w:rsid w:val="009D615A"/>
    <w:rsid w:val="009D6F38"/>
    <w:rsid w:val="009E2DF4"/>
    <w:rsid w:val="009E34E0"/>
    <w:rsid w:val="009E7850"/>
    <w:rsid w:val="009F16CE"/>
    <w:rsid w:val="009F2D88"/>
    <w:rsid w:val="00A013D6"/>
    <w:rsid w:val="00A03C49"/>
    <w:rsid w:val="00A04254"/>
    <w:rsid w:val="00A0517E"/>
    <w:rsid w:val="00A05CFF"/>
    <w:rsid w:val="00A11796"/>
    <w:rsid w:val="00A127ED"/>
    <w:rsid w:val="00A135EE"/>
    <w:rsid w:val="00A16FDF"/>
    <w:rsid w:val="00A17313"/>
    <w:rsid w:val="00A24429"/>
    <w:rsid w:val="00A2451F"/>
    <w:rsid w:val="00A266A5"/>
    <w:rsid w:val="00A32EE3"/>
    <w:rsid w:val="00A33F65"/>
    <w:rsid w:val="00A3619C"/>
    <w:rsid w:val="00A374E8"/>
    <w:rsid w:val="00A3755A"/>
    <w:rsid w:val="00A422BF"/>
    <w:rsid w:val="00A4615B"/>
    <w:rsid w:val="00A46D68"/>
    <w:rsid w:val="00A47861"/>
    <w:rsid w:val="00A47D2E"/>
    <w:rsid w:val="00A47F06"/>
    <w:rsid w:val="00A51F81"/>
    <w:rsid w:val="00A5448C"/>
    <w:rsid w:val="00A60E76"/>
    <w:rsid w:val="00A63741"/>
    <w:rsid w:val="00A702B2"/>
    <w:rsid w:val="00A708DB"/>
    <w:rsid w:val="00A8063F"/>
    <w:rsid w:val="00A93F2F"/>
    <w:rsid w:val="00A96C68"/>
    <w:rsid w:val="00AA033E"/>
    <w:rsid w:val="00AA1DDB"/>
    <w:rsid w:val="00AA508F"/>
    <w:rsid w:val="00AA6D5E"/>
    <w:rsid w:val="00AC0041"/>
    <w:rsid w:val="00AC1849"/>
    <w:rsid w:val="00AC1B2C"/>
    <w:rsid w:val="00AC6564"/>
    <w:rsid w:val="00AD3A94"/>
    <w:rsid w:val="00AE18EC"/>
    <w:rsid w:val="00AE25EA"/>
    <w:rsid w:val="00AE2715"/>
    <w:rsid w:val="00AE436F"/>
    <w:rsid w:val="00AE6279"/>
    <w:rsid w:val="00AF18BE"/>
    <w:rsid w:val="00B03DB1"/>
    <w:rsid w:val="00B31BF6"/>
    <w:rsid w:val="00B35297"/>
    <w:rsid w:val="00B37D7B"/>
    <w:rsid w:val="00B40611"/>
    <w:rsid w:val="00B44D49"/>
    <w:rsid w:val="00B470F1"/>
    <w:rsid w:val="00B47FC3"/>
    <w:rsid w:val="00B51CA4"/>
    <w:rsid w:val="00B521FA"/>
    <w:rsid w:val="00B55BC6"/>
    <w:rsid w:val="00B57142"/>
    <w:rsid w:val="00B574D9"/>
    <w:rsid w:val="00B71F87"/>
    <w:rsid w:val="00B77621"/>
    <w:rsid w:val="00B83000"/>
    <w:rsid w:val="00B85549"/>
    <w:rsid w:val="00B90AE8"/>
    <w:rsid w:val="00BA1D7B"/>
    <w:rsid w:val="00BC2E13"/>
    <w:rsid w:val="00BC52F4"/>
    <w:rsid w:val="00BC58AB"/>
    <w:rsid w:val="00BC5FD7"/>
    <w:rsid w:val="00BC6214"/>
    <w:rsid w:val="00BD7478"/>
    <w:rsid w:val="00BF0C55"/>
    <w:rsid w:val="00BF0D7A"/>
    <w:rsid w:val="00BF17D2"/>
    <w:rsid w:val="00BF1823"/>
    <w:rsid w:val="00BF21AC"/>
    <w:rsid w:val="00C01334"/>
    <w:rsid w:val="00C03503"/>
    <w:rsid w:val="00C055B8"/>
    <w:rsid w:val="00C061F8"/>
    <w:rsid w:val="00C13635"/>
    <w:rsid w:val="00C137E4"/>
    <w:rsid w:val="00C1478F"/>
    <w:rsid w:val="00C2154B"/>
    <w:rsid w:val="00C21FA3"/>
    <w:rsid w:val="00C31D03"/>
    <w:rsid w:val="00C33C9E"/>
    <w:rsid w:val="00C33E84"/>
    <w:rsid w:val="00C342A2"/>
    <w:rsid w:val="00C34E4C"/>
    <w:rsid w:val="00C408AC"/>
    <w:rsid w:val="00C4180E"/>
    <w:rsid w:val="00C4193C"/>
    <w:rsid w:val="00C430B2"/>
    <w:rsid w:val="00C4394A"/>
    <w:rsid w:val="00C45BCC"/>
    <w:rsid w:val="00C47D5F"/>
    <w:rsid w:val="00C51282"/>
    <w:rsid w:val="00C51E7C"/>
    <w:rsid w:val="00C64F91"/>
    <w:rsid w:val="00C6628D"/>
    <w:rsid w:val="00C7187C"/>
    <w:rsid w:val="00C73621"/>
    <w:rsid w:val="00C821F8"/>
    <w:rsid w:val="00C9021C"/>
    <w:rsid w:val="00CA65E1"/>
    <w:rsid w:val="00CA6E69"/>
    <w:rsid w:val="00CB3B03"/>
    <w:rsid w:val="00CB64CC"/>
    <w:rsid w:val="00CC231C"/>
    <w:rsid w:val="00CC31BF"/>
    <w:rsid w:val="00CC4DAC"/>
    <w:rsid w:val="00CC5D97"/>
    <w:rsid w:val="00CD0825"/>
    <w:rsid w:val="00CE430A"/>
    <w:rsid w:val="00CE66C0"/>
    <w:rsid w:val="00CF121F"/>
    <w:rsid w:val="00CF128C"/>
    <w:rsid w:val="00CF2185"/>
    <w:rsid w:val="00CF6D30"/>
    <w:rsid w:val="00CF799E"/>
    <w:rsid w:val="00D00B25"/>
    <w:rsid w:val="00D053D1"/>
    <w:rsid w:val="00D07C39"/>
    <w:rsid w:val="00D10FCA"/>
    <w:rsid w:val="00D1384E"/>
    <w:rsid w:val="00D15578"/>
    <w:rsid w:val="00D15AD8"/>
    <w:rsid w:val="00D15DE3"/>
    <w:rsid w:val="00D1616A"/>
    <w:rsid w:val="00D16D8A"/>
    <w:rsid w:val="00D1725F"/>
    <w:rsid w:val="00D174E9"/>
    <w:rsid w:val="00D178FE"/>
    <w:rsid w:val="00D21EA8"/>
    <w:rsid w:val="00D2394C"/>
    <w:rsid w:val="00D27035"/>
    <w:rsid w:val="00D27BBE"/>
    <w:rsid w:val="00D30058"/>
    <w:rsid w:val="00D33AEE"/>
    <w:rsid w:val="00D34E4A"/>
    <w:rsid w:val="00D37A11"/>
    <w:rsid w:val="00D40179"/>
    <w:rsid w:val="00D405AF"/>
    <w:rsid w:val="00D42238"/>
    <w:rsid w:val="00D45471"/>
    <w:rsid w:val="00D466B8"/>
    <w:rsid w:val="00D46DD2"/>
    <w:rsid w:val="00D5040C"/>
    <w:rsid w:val="00D57BD1"/>
    <w:rsid w:val="00D633F9"/>
    <w:rsid w:val="00D637A1"/>
    <w:rsid w:val="00D6755D"/>
    <w:rsid w:val="00D70C34"/>
    <w:rsid w:val="00D7216D"/>
    <w:rsid w:val="00D74A31"/>
    <w:rsid w:val="00D82BB1"/>
    <w:rsid w:val="00D85092"/>
    <w:rsid w:val="00D85975"/>
    <w:rsid w:val="00D864BF"/>
    <w:rsid w:val="00D94140"/>
    <w:rsid w:val="00D96D79"/>
    <w:rsid w:val="00D97AE9"/>
    <w:rsid w:val="00DA3E18"/>
    <w:rsid w:val="00DA5843"/>
    <w:rsid w:val="00DA5FB7"/>
    <w:rsid w:val="00DB12B7"/>
    <w:rsid w:val="00DB2D89"/>
    <w:rsid w:val="00DB53D3"/>
    <w:rsid w:val="00DB7892"/>
    <w:rsid w:val="00DC1D76"/>
    <w:rsid w:val="00DD496B"/>
    <w:rsid w:val="00DD5441"/>
    <w:rsid w:val="00DD62D5"/>
    <w:rsid w:val="00DE22C6"/>
    <w:rsid w:val="00DE3CF1"/>
    <w:rsid w:val="00DE5305"/>
    <w:rsid w:val="00DF2592"/>
    <w:rsid w:val="00DF2EA3"/>
    <w:rsid w:val="00E00168"/>
    <w:rsid w:val="00E05E89"/>
    <w:rsid w:val="00E16FBA"/>
    <w:rsid w:val="00E175F3"/>
    <w:rsid w:val="00E216FC"/>
    <w:rsid w:val="00E25367"/>
    <w:rsid w:val="00E25DFB"/>
    <w:rsid w:val="00E26042"/>
    <w:rsid w:val="00E33808"/>
    <w:rsid w:val="00E33AFD"/>
    <w:rsid w:val="00E40B9E"/>
    <w:rsid w:val="00E418AA"/>
    <w:rsid w:val="00E51465"/>
    <w:rsid w:val="00E5223D"/>
    <w:rsid w:val="00E5286A"/>
    <w:rsid w:val="00E52C39"/>
    <w:rsid w:val="00E57F4E"/>
    <w:rsid w:val="00E61517"/>
    <w:rsid w:val="00E61F47"/>
    <w:rsid w:val="00E629E0"/>
    <w:rsid w:val="00E64EB0"/>
    <w:rsid w:val="00E7122B"/>
    <w:rsid w:val="00E7252D"/>
    <w:rsid w:val="00E76C9A"/>
    <w:rsid w:val="00E77210"/>
    <w:rsid w:val="00E84593"/>
    <w:rsid w:val="00E913BD"/>
    <w:rsid w:val="00E9387C"/>
    <w:rsid w:val="00E96E8F"/>
    <w:rsid w:val="00EA4B60"/>
    <w:rsid w:val="00EA597B"/>
    <w:rsid w:val="00EA5F35"/>
    <w:rsid w:val="00EA711E"/>
    <w:rsid w:val="00EB34E4"/>
    <w:rsid w:val="00EB553D"/>
    <w:rsid w:val="00EB5ACA"/>
    <w:rsid w:val="00EC1A2F"/>
    <w:rsid w:val="00EC3CDD"/>
    <w:rsid w:val="00ED4795"/>
    <w:rsid w:val="00ED4D22"/>
    <w:rsid w:val="00ED6377"/>
    <w:rsid w:val="00EE621F"/>
    <w:rsid w:val="00EE6280"/>
    <w:rsid w:val="00EF30DF"/>
    <w:rsid w:val="00EF3E70"/>
    <w:rsid w:val="00EF42C6"/>
    <w:rsid w:val="00F07E23"/>
    <w:rsid w:val="00F158F5"/>
    <w:rsid w:val="00F256AB"/>
    <w:rsid w:val="00F27BB6"/>
    <w:rsid w:val="00F348F4"/>
    <w:rsid w:val="00F3650F"/>
    <w:rsid w:val="00F36E8B"/>
    <w:rsid w:val="00F41442"/>
    <w:rsid w:val="00F42201"/>
    <w:rsid w:val="00F43DCE"/>
    <w:rsid w:val="00F4464C"/>
    <w:rsid w:val="00F5163E"/>
    <w:rsid w:val="00F55294"/>
    <w:rsid w:val="00F60E99"/>
    <w:rsid w:val="00F6250D"/>
    <w:rsid w:val="00F626D1"/>
    <w:rsid w:val="00F6320B"/>
    <w:rsid w:val="00F6352C"/>
    <w:rsid w:val="00F6411A"/>
    <w:rsid w:val="00F64E15"/>
    <w:rsid w:val="00F66E8D"/>
    <w:rsid w:val="00F70E76"/>
    <w:rsid w:val="00F7133B"/>
    <w:rsid w:val="00F83241"/>
    <w:rsid w:val="00F8532F"/>
    <w:rsid w:val="00F9290A"/>
    <w:rsid w:val="00F92FAB"/>
    <w:rsid w:val="00F941D6"/>
    <w:rsid w:val="00F9633A"/>
    <w:rsid w:val="00FA3D66"/>
    <w:rsid w:val="00FA41A7"/>
    <w:rsid w:val="00FA775E"/>
    <w:rsid w:val="00FA7AD5"/>
    <w:rsid w:val="00FA7DEA"/>
    <w:rsid w:val="00FB2A51"/>
    <w:rsid w:val="00FC0C1E"/>
    <w:rsid w:val="00FC4A63"/>
    <w:rsid w:val="00FC7DCC"/>
    <w:rsid w:val="00FD4584"/>
    <w:rsid w:val="00FE074C"/>
    <w:rsid w:val="00FE46F8"/>
    <w:rsid w:val="00FE66D1"/>
    <w:rsid w:val="00FF0A28"/>
    <w:rsid w:val="00FF1198"/>
    <w:rsid w:val="00FF29CC"/>
    <w:rsid w:val="00FF32E8"/>
    <w:rsid w:val="00FF4AD9"/>
    <w:rsid w:val="00FF5926"/>
    <w:rsid w:val="14BB74FC"/>
    <w:rsid w:val="45B8D886"/>
    <w:rsid w:val="4CEB4C30"/>
    <w:rsid w:val="7F8C70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842E902-77E5-41A8-A5E9-67E020D6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4CA"/>
  </w:style>
  <w:style w:type="paragraph" w:styleId="Heading1">
    <w:name w:val="heading 1"/>
    <w:basedOn w:val="Normal"/>
    <w:next w:val="Normal"/>
    <w:link w:val="Heading1Char"/>
    <w:uiPriority w:val="9"/>
    <w:qFormat/>
    <w:rsid w:val="00587223"/>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4E0"/>
    <w:pPr>
      <w:ind w:left="720"/>
      <w:contextualSpacing/>
    </w:pPr>
  </w:style>
  <w:style w:type="character" w:customStyle="1" w:styleId="Heading1Char">
    <w:name w:val="Heading 1 Char"/>
    <w:basedOn w:val="DefaultParagraphFont"/>
    <w:link w:val="Heading1"/>
    <w:uiPriority w:val="9"/>
    <w:rsid w:val="00587223"/>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587223"/>
  </w:style>
  <w:style w:type="paragraph" w:styleId="BalloonText">
    <w:name w:val="Balloon Text"/>
    <w:basedOn w:val="Normal"/>
    <w:link w:val="BalloonTextChar"/>
    <w:uiPriority w:val="99"/>
    <w:semiHidden/>
    <w:unhideWhenUsed/>
    <w:rsid w:val="004B3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B52"/>
    <w:rPr>
      <w:rFonts w:ascii="Tahoma" w:hAnsi="Tahoma" w:cs="Tahoma"/>
      <w:sz w:val="16"/>
      <w:szCs w:val="16"/>
    </w:rPr>
  </w:style>
  <w:style w:type="table" w:styleId="MediumList2-Accent1">
    <w:name w:val="Medium List 2 Accent 1"/>
    <w:basedOn w:val="TableNormal"/>
    <w:uiPriority w:val="66"/>
    <w:rsid w:val="004B73EB"/>
    <w:pPr>
      <w:spacing w:after="0" w:line="240" w:lineRule="auto"/>
    </w:pPr>
    <w:rPr>
      <w:rFonts w:asciiTheme="majorHAnsi" w:eastAsiaTheme="majorEastAsia" w:hAnsiTheme="majorHAnsi" w:cstheme="majorBidi"/>
      <w:color w:val="000000" w:themeColor="text1"/>
      <w:lang w:val="en-US" w:bidi="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39"/>
    <w:rsid w:val="004B7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B73E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6B47E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institution">
    <w:name w:val="institution"/>
    <w:basedOn w:val="DefaultParagraphFont"/>
    <w:rsid w:val="004D504D"/>
  </w:style>
  <w:style w:type="character" w:customStyle="1" w:styleId="apple-converted-space">
    <w:name w:val="apple-converted-space"/>
    <w:basedOn w:val="DefaultParagraphFont"/>
    <w:rsid w:val="004D504D"/>
  </w:style>
  <w:style w:type="character" w:customStyle="1" w:styleId="addr-line">
    <w:name w:val="addr-line"/>
    <w:basedOn w:val="DefaultParagraphFont"/>
    <w:rsid w:val="004D504D"/>
  </w:style>
  <w:style w:type="table" w:customStyle="1" w:styleId="PlainTable31">
    <w:name w:val="Plain Table 31"/>
    <w:basedOn w:val="TableNormal"/>
    <w:uiPriority w:val="43"/>
    <w:rsid w:val="001F1DF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1F1D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1F1D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rsid w:val="009841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9D07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076790"/>
    <w:rPr>
      <w:sz w:val="16"/>
      <w:szCs w:val="16"/>
    </w:rPr>
  </w:style>
  <w:style w:type="paragraph" w:styleId="CommentText">
    <w:name w:val="annotation text"/>
    <w:basedOn w:val="Normal"/>
    <w:link w:val="CommentTextChar"/>
    <w:uiPriority w:val="99"/>
    <w:semiHidden/>
    <w:unhideWhenUsed/>
    <w:rsid w:val="00076790"/>
    <w:pPr>
      <w:spacing w:line="240" w:lineRule="auto"/>
    </w:pPr>
    <w:rPr>
      <w:sz w:val="20"/>
      <w:szCs w:val="20"/>
    </w:rPr>
  </w:style>
  <w:style w:type="character" w:customStyle="1" w:styleId="CommentTextChar">
    <w:name w:val="Comment Text Char"/>
    <w:basedOn w:val="DefaultParagraphFont"/>
    <w:link w:val="CommentText"/>
    <w:uiPriority w:val="99"/>
    <w:semiHidden/>
    <w:rsid w:val="00076790"/>
    <w:rPr>
      <w:sz w:val="20"/>
      <w:szCs w:val="20"/>
    </w:rPr>
  </w:style>
  <w:style w:type="paragraph" w:styleId="CommentSubject">
    <w:name w:val="annotation subject"/>
    <w:basedOn w:val="CommentText"/>
    <w:next w:val="CommentText"/>
    <w:link w:val="CommentSubjectChar"/>
    <w:uiPriority w:val="99"/>
    <w:semiHidden/>
    <w:unhideWhenUsed/>
    <w:rsid w:val="00076790"/>
    <w:rPr>
      <w:b/>
      <w:bCs/>
    </w:rPr>
  </w:style>
  <w:style w:type="character" w:customStyle="1" w:styleId="CommentSubjectChar">
    <w:name w:val="Comment Subject Char"/>
    <w:basedOn w:val="CommentTextChar"/>
    <w:link w:val="CommentSubject"/>
    <w:uiPriority w:val="99"/>
    <w:semiHidden/>
    <w:rsid w:val="00076790"/>
    <w:rPr>
      <w:b/>
      <w:bCs/>
      <w:sz w:val="20"/>
      <w:szCs w:val="20"/>
    </w:rPr>
  </w:style>
  <w:style w:type="table" w:customStyle="1" w:styleId="PlainTable22">
    <w:name w:val="Plain Table 22"/>
    <w:basedOn w:val="TableNormal"/>
    <w:uiPriority w:val="42"/>
    <w:rsid w:val="00673EB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8E71B6"/>
    <w:pPr>
      <w:spacing w:after="0" w:line="240" w:lineRule="auto"/>
    </w:pPr>
  </w:style>
  <w:style w:type="character" w:styleId="Hyperlink">
    <w:name w:val="Hyperlink"/>
    <w:basedOn w:val="DefaultParagraphFont"/>
    <w:uiPriority w:val="99"/>
    <w:unhideWhenUsed/>
    <w:rsid w:val="000B3010"/>
    <w:rPr>
      <w:color w:val="0563C1" w:themeColor="hyperlink"/>
      <w:u w:val="single"/>
    </w:rPr>
  </w:style>
  <w:style w:type="table" w:customStyle="1" w:styleId="TableGrid1">
    <w:name w:val="Table Grid1"/>
    <w:basedOn w:val="TableNormal"/>
    <w:next w:val="TableGrid"/>
    <w:uiPriority w:val="39"/>
    <w:rsid w:val="00090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72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15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280">
      <w:bodyDiv w:val="1"/>
      <w:marLeft w:val="0"/>
      <w:marRight w:val="0"/>
      <w:marTop w:val="0"/>
      <w:marBottom w:val="0"/>
      <w:divBdr>
        <w:top w:val="none" w:sz="0" w:space="0" w:color="auto"/>
        <w:left w:val="none" w:sz="0" w:space="0" w:color="auto"/>
        <w:bottom w:val="none" w:sz="0" w:space="0" w:color="auto"/>
        <w:right w:val="none" w:sz="0" w:space="0" w:color="auto"/>
      </w:divBdr>
    </w:div>
    <w:div w:id="23554944">
      <w:bodyDiv w:val="1"/>
      <w:marLeft w:val="0"/>
      <w:marRight w:val="0"/>
      <w:marTop w:val="0"/>
      <w:marBottom w:val="0"/>
      <w:divBdr>
        <w:top w:val="none" w:sz="0" w:space="0" w:color="auto"/>
        <w:left w:val="none" w:sz="0" w:space="0" w:color="auto"/>
        <w:bottom w:val="none" w:sz="0" w:space="0" w:color="auto"/>
        <w:right w:val="none" w:sz="0" w:space="0" w:color="auto"/>
      </w:divBdr>
    </w:div>
    <w:div w:id="24916317">
      <w:bodyDiv w:val="1"/>
      <w:marLeft w:val="0"/>
      <w:marRight w:val="0"/>
      <w:marTop w:val="0"/>
      <w:marBottom w:val="0"/>
      <w:divBdr>
        <w:top w:val="none" w:sz="0" w:space="0" w:color="auto"/>
        <w:left w:val="none" w:sz="0" w:space="0" w:color="auto"/>
        <w:bottom w:val="none" w:sz="0" w:space="0" w:color="auto"/>
        <w:right w:val="none" w:sz="0" w:space="0" w:color="auto"/>
      </w:divBdr>
    </w:div>
    <w:div w:id="42994111">
      <w:bodyDiv w:val="1"/>
      <w:marLeft w:val="0"/>
      <w:marRight w:val="0"/>
      <w:marTop w:val="0"/>
      <w:marBottom w:val="0"/>
      <w:divBdr>
        <w:top w:val="none" w:sz="0" w:space="0" w:color="auto"/>
        <w:left w:val="none" w:sz="0" w:space="0" w:color="auto"/>
        <w:bottom w:val="none" w:sz="0" w:space="0" w:color="auto"/>
        <w:right w:val="none" w:sz="0" w:space="0" w:color="auto"/>
      </w:divBdr>
    </w:div>
    <w:div w:id="43916276">
      <w:bodyDiv w:val="1"/>
      <w:marLeft w:val="0"/>
      <w:marRight w:val="0"/>
      <w:marTop w:val="0"/>
      <w:marBottom w:val="0"/>
      <w:divBdr>
        <w:top w:val="none" w:sz="0" w:space="0" w:color="auto"/>
        <w:left w:val="none" w:sz="0" w:space="0" w:color="auto"/>
        <w:bottom w:val="none" w:sz="0" w:space="0" w:color="auto"/>
        <w:right w:val="none" w:sz="0" w:space="0" w:color="auto"/>
      </w:divBdr>
    </w:div>
    <w:div w:id="62333514">
      <w:bodyDiv w:val="1"/>
      <w:marLeft w:val="0"/>
      <w:marRight w:val="0"/>
      <w:marTop w:val="0"/>
      <w:marBottom w:val="0"/>
      <w:divBdr>
        <w:top w:val="none" w:sz="0" w:space="0" w:color="auto"/>
        <w:left w:val="none" w:sz="0" w:space="0" w:color="auto"/>
        <w:bottom w:val="none" w:sz="0" w:space="0" w:color="auto"/>
        <w:right w:val="none" w:sz="0" w:space="0" w:color="auto"/>
      </w:divBdr>
    </w:div>
    <w:div w:id="62458219">
      <w:bodyDiv w:val="1"/>
      <w:marLeft w:val="0"/>
      <w:marRight w:val="0"/>
      <w:marTop w:val="0"/>
      <w:marBottom w:val="0"/>
      <w:divBdr>
        <w:top w:val="none" w:sz="0" w:space="0" w:color="auto"/>
        <w:left w:val="none" w:sz="0" w:space="0" w:color="auto"/>
        <w:bottom w:val="none" w:sz="0" w:space="0" w:color="auto"/>
        <w:right w:val="none" w:sz="0" w:space="0" w:color="auto"/>
      </w:divBdr>
    </w:div>
    <w:div w:id="66850437">
      <w:bodyDiv w:val="1"/>
      <w:marLeft w:val="0"/>
      <w:marRight w:val="0"/>
      <w:marTop w:val="0"/>
      <w:marBottom w:val="0"/>
      <w:divBdr>
        <w:top w:val="none" w:sz="0" w:space="0" w:color="auto"/>
        <w:left w:val="none" w:sz="0" w:space="0" w:color="auto"/>
        <w:bottom w:val="none" w:sz="0" w:space="0" w:color="auto"/>
        <w:right w:val="none" w:sz="0" w:space="0" w:color="auto"/>
      </w:divBdr>
    </w:div>
    <w:div w:id="85425791">
      <w:bodyDiv w:val="1"/>
      <w:marLeft w:val="0"/>
      <w:marRight w:val="0"/>
      <w:marTop w:val="0"/>
      <w:marBottom w:val="0"/>
      <w:divBdr>
        <w:top w:val="none" w:sz="0" w:space="0" w:color="auto"/>
        <w:left w:val="none" w:sz="0" w:space="0" w:color="auto"/>
        <w:bottom w:val="none" w:sz="0" w:space="0" w:color="auto"/>
        <w:right w:val="none" w:sz="0" w:space="0" w:color="auto"/>
      </w:divBdr>
    </w:div>
    <w:div w:id="96602156">
      <w:bodyDiv w:val="1"/>
      <w:marLeft w:val="0"/>
      <w:marRight w:val="0"/>
      <w:marTop w:val="0"/>
      <w:marBottom w:val="0"/>
      <w:divBdr>
        <w:top w:val="none" w:sz="0" w:space="0" w:color="auto"/>
        <w:left w:val="none" w:sz="0" w:space="0" w:color="auto"/>
        <w:bottom w:val="none" w:sz="0" w:space="0" w:color="auto"/>
        <w:right w:val="none" w:sz="0" w:space="0" w:color="auto"/>
      </w:divBdr>
    </w:div>
    <w:div w:id="116916964">
      <w:bodyDiv w:val="1"/>
      <w:marLeft w:val="0"/>
      <w:marRight w:val="0"/>
      <w:marTop w:val="0"/>
      <w:marBottom w:val="0"/>
      <w:divBdr>
        <w:top w:val="none" w:sz="0" w:space="0" w:color="auto"/>
        <w:left w:val="none" w:sz="0" w:space="0" w:color="auto"/>
        <w:bottom w:val="none" w:sz="0" w:space="0" w:color="auto"/>
        <w:right w:val="none" w:sz="0" w:space="0" w:color="auto"/>
      </w:divBdr>
    </w:div>
    <w:div w:id="119343753">
      <w:bodyDiv w:val="1"/>
      <w:marLeft w:val="0"/>
      <w:marRight w:val="0"/>
      <w:marTop w:val="0"/>
      <w:marBottom w:val="0"/>
      <w:divBdr>
        <w:top w:val="none" w:sz="0" w:space="0" w:color="auto"/>
        <w:left w:val="none" w:sz="0" w:space="0" w:color="auto"/>
        <w:bottom w:val="none" w:sz="0" w:space="0" w:color="auto"/>
        <w:right w:val="none" w:sz="0" w:space="0" w:color="auto"/>
      </w:divBdr>
    </w:div>
    <w:div w:id="127358867">
      <w:bodyDiv w:val="1"/>
      <w:marLeft w:val="0"/>
      <w:marRight w:val="0"/>
      <w:marTop w:val="0"/>
      <w:marBottom w:val="0"/>
      <w:divBdr>
        <w:top w:val="none" w:sz="0" w:space="0" w:color="auto"/>
        <w:left w:val="none" w:sz="0" w:space="0" w:color="auto"/>
        <w:bottom w:val="none" w:sz="0" w:space="0" w:color="auto"/>
        <w:right w:val="none" w:sz="0" w:space="0" w:color="auto"/>
      </w:divBdr>
    </w:div>
    <w:div w:id="136999871">
      <w:bodyDiv w:val="1"/>
      <w:marLeft w:val="0"/>
      <w:marRight w:val="0"/>
      <w:marTop w:val="0"/>
      <w:marBottom w:val="0"/>
      <w:divBdr>
        <w:top w:val="none" w:sz="0" w:space="0" w:color="auto"/>
        <w:left w:val="none" w:sz="0" w:space="0" w:color="auto"/>
        <w:bottom w:val="none" w:sz="0" w:space="0" w:color="auto"/>
        <w:right w:val="none" w:sz="0" w:space="0" w:color="auto"/>
      </w:divBdr>
    </w:div>
    <w:div w:id="142431487">
      <w:bodyDiv w:val="1"/>
      <w:marLeft w:val="0"/>
      <w:marRight w:val="0"/>
      <w:marTop w:val="0"/>
      <w:marBottom w:val="0"/>
      <w:divBdr>
        <w:top w:val="none" w:sz="0" w:space="0" w:color="auto"/>
        <w:left w:val="none" w:sz="0" w:space="0" w:color="auto"/>
        <w:bottom w:val="none" w:sz="0" w:space="0" w:color="auto"/>
        <w:right w:val="none" w:sz="0" w:space="0" w:color="auto"/>
      </w:divBdr>
    </w:div>
    <w:div w:id="150827003">
      <w:bodyDiv w:val="1"/>
      <w:marLeft w:val="0"/>
      <w:marRight w:val="0"/>
      <w:marTop w:val="0"/>
      <w:marBottom w:val="0"/>
      <w:divBdr>
        <w:top w:val="none" w:sz="0" w:space="0" w:color="auto"/>
        <w:left w:val="none" w:sz="0" w:space="0" w:color="auto"/>
        <w:bottom w:val="none" w:sz="0" w:space="0" w:color="auto"/>
        <w:right w:val="none" w:sz="0" w:space="0" w:color="auto"/>
      </w:divBdr>
    </w:div>
    <w:div w:id="167411276">
      <w:bodyDiv w:val="1"/>
      <w:marLeft w:val="0"/>
      <w:marRight w:val="0"/>
      <w:marTop w:val="0"/>
      <w:marBottom w:val="0"/>
      <w:divBdr>
        <w:top w:val="none" w:sz="0" w:space="0" w:color="auto"/>
        <w:left w:val="none" w:sz="0" w:space="0" w:color="auto"/>
        <w:bottom w:val="none" w:sz="0" w:space="0" w:color="auto"/>
        <w:right w:val="none" w:sz="0" w:space="0" w:color="auto"/>
      </w:divBdr>
    </w:div>
    <w:div w:id="181864776">
      <w:bodyDiv w:val="1"/>
      <w:marLeft w:val="0"/>
      <w:marRight w:val="0"/>
      <w:marTop w:val="0"/>
      <w:marBottom w:val="0"/>
      <w:divBdr>
        <w:top w:val="none" w:sz="0" w:space="0" w:color="auto"/>
        <w:left w:val="none" w:sz="0" w:space="0" w:color="auto"/>
        <w:bottom w:val="none" w:sz="0" w:space="0" w:color="auto"/>
        <w:right w:val="none" w:sz="0" w:space="0" w:color="auto"/>
      </w:divBdr>
    </w:div>
    <w:div w:id="188300783">
      <w:bodyDiv w:val="1"/>
      <w:marLeft w:val="0"/>
      <w:marRight w:val="0"/>
      <w:marTop w:val="0"/>
      <w:marBottom w:val="0"/>
      <w:divBdr>
        <w:top w:val="none" w:sz="0" w:space="0" w:color="auto"/>
        <w:left w:val="none" w:sz="0" w:space="0" w:color="auto"/>
        <w:bottom w:val="none" w:sz="0" w:space="0" w:color="auto"/>
        <w:right w:val="none" w:sz="0" w:space="0" w:color="auto"/>
      </w:divBdr>
    </w:div>
    <w:div w:id="217516863">
      <w:bodyDiv w:val="1"/>
      <w:marLeft w:val="0"/>
      <w:marRight w:val="0"/>
      <w:marTop w:val="0"/>
      <w:marBottom w:val="0"/>
      <w:divBdr>
        <w:top w:val="none" w:sz="0" w:space="0" w:color="auto"/>
        <w:left w:val="none" w:sz="0" w:space="0" w:color="auto"/>
        <w:bottom w:val="none" w:sz="0" w:space="0" w:color="auto"/>
        <w:right w:val="none" w:sz="0" w:space="0" w:color="auto"/>
      </w:divBdr>
    </w:div>
    <w:div w:id="220873868">
      <w:bodyDiv w:val="1"/>
      <w:marLeft w:val="0"/>
      <w:marRight w:val="0"/>
      <w:marTop w:val="0"/>
      <w:marBottom w:val="0"/>
      <w:divBdr>
        <w:top w:val="none" w:sz="0" w:space="0" w:color="auto"/>
        <w:left w:val="none" w:sz="0" w:space="0" w:color="auto"/>
        <w:bottom w:val="none" w:sz="0" w:space="0" w:color="auto"/>
        <w:right w:val="none" w:sz="0" w:space="0" w:color="auto"/>
      </w:divBdr>
    </w:div>
    <w:div w:id="221527804">
      <w:bodyDiv w:val="1"/>
      <w:marLeft w:val="0"/>
      <w:marRight w:val="0"/>
      <w:marTop w:val="0"/>
      <w:marBottom w:val="0"/>
      <w:divBdr>
        <w:top w:val="none" w:sz="0" w:space="0" w:color="auto"/>
        <w:left w:val="none" w:sz="0" w:space="0" w:color="auto"/>
        <w:bottom w:val="none" w:sz="0" w:space="0" w:color="auto"/>
        <w:right w:val="none" w:sz="0" w:space="0" w:color="auto"/>
      </w:divBdr>
    </w:div>
    <w:div w:id="244807298">
      <w:bodyDiv w:val="1"/>
      <w:marLeft w:val="0"/>
      <w:marRight w:val="0"/>
      <w:marTop w:val="0"/>
      <w:marBottom w:val="0"/>
      <w:divBdr>
        <w:top w:val="none" w:sz="0" w:space="0" w:color="auto"/>
        <w:left w:val="none" w:sz="0" w:space="0" w:color="auto"/>
        <w:bottom w:val="none" w:sz="0" w:space="0" w:color="auto"/>
        <w:right w:val="none" w:sz="0" w:space="0" w:color="auto"/>
      </w:divBdr>
    </w:div>
    <w:div w:id="269821998">
      <w:bodyDiv w:val="1"/>
      <w:marLeft w:val="0"/>
      <w:marRight w:val="0"/>
      <w:marTop w:val="0"/>
      <w:marBottom w:val="0"/>
      <w:divBdr>
        <w:top w:val="none" w:sz="0" w:space="0" w:color="auto"/>
        <w:left w:val="none" w:sz="0" w:space="0" w:color="auto"/>
        <w:bottom w:val="none" w:sz="0" w:space="0" w:color="auto"/>
        <w:right w:val="none" w:sz="0" w:space="0" w:color="auto"/>
      </w:divBdr>
    </w:div>
    <w:div w:id="270019576">
      <w:bodyDiv w:val="1"/>
      <w:marLeft w:val="0"/>
      <w:marRight w:val="0"/>
      <w:marTop w:val="0"/>
      <w:marBottom w:val="0"/>
      <w:divBdr>
        <w:top w:val="none" w:sz="0" w:space="0" w:color="auto"/>
        <w:left w:val="none" w:sz="0" w:space="0" w:color="auto"/>
        <w:bottom w:val="none" w:sz="0" w:space="0" w:color="auto"/>
        <w:right w:val="none" w:sz="0" w:space="0" w:color="auto"/>
      </w:divBdr>
    </w:div>
    <w:div w:id="272589519">
      <w:bodyDiv w:val="1"/>
      <w:marLeft w:val="0"/>
      <w:marRight w:val="0"/>
      <w:marTop w:val="0"/>
      <w:marBottom w:val="0"/>
      <w:divBdr>
        <w:top w:val="none" w:sz="0" w:space="0" w:color="auto"/>
        <w:left w:val="none" w:sz="0" w:space="0" w:color="auto"/>
        <w:bottom w:val="none" w:sz="0" w:space="0" w:color="auto"/>
        <w:right w:val="none" w:sz="0" w:space="0" w:color="auto"/>
      </w:divBdr>
    </w:div>
    <w:div w:id="285045268">
      <w:bodyDiv w:val="1"/>
      <w:marLeft w:val="0"/>
      <w:marRight w:val="0"/>
      <w:marTop w:val="0"/>
      <w:marBottom w:val="0"/>
      <w:divBdr>
        <w:top w:val="none" w:sz="0" w:space="0" w:color="auto"/>
        <w:left w:val="none" w:sz="0" w:space="0" w:color="auto"/>
        <w:bottom w:val="none" w:sz="0" w:space="0" w:color="auto"/>
        <w:right w:val="none" w:sz="0" w:space="0" w:color="auto"/>
      </w:divBdr>
    </w:div>
    <w:div w:id="297927282">
      <w:bodyDiv w:val="1"/>
      <w:marLeft w:val="0"/>
      <w:marRight w:val="0"/>
      <w:marTop w:val="0"/>
      <w:marBottom w:val="0"/>
      <w:divBdr>
        <w:top w:val="none" w:sz="0" w:space="0" w:color="auto"/>
        <w:left w:val="none" w:sz="0" w:space="0" w:color="auto"/>
        <w:bottom w:val="none" w:sz="0" w:space="0" w:color="auto"/>
        <w:right w:val="none" w:sz="0" w:space="0" w:color="auto"/>
      </w:divBdr>
    </w:div>
    <w:div w:id="309596362">
      <w:bodyDiv w:val="1"/>
      <w:marLeft w:val="0"/>
      <w:marRight w:val="0"/>
      <w:marTop w:val="0"/>
      <w:marBottom w:val="0"/>
      <w:divBdr>
        <w:top w:val="none" w:sz="0" w:space="0" w:color="auto"/>
        <w:left w:val="none" w:sz="0" w:space="0" w:color="auto"/>
        <w:bottom w:val="none" w:sz="0" w:space="0" w:color="auto"/>
        <w:right w:val="none" w:sz="0" w:space="0" w:color="auto"/>
      </w:divBdr>
    </w:div>
    <w:div w:id="379745826">
      <w:bodyDiv w:val="1"/>
      <w:marLeft w:val="0"/>
      <w:marRight w:val="0"/>
      <w:marTop w:val="0"/>
      <w:marBottom w:val="0"/>
      <w:divBdr>
        <w:top w:val="none" w:sz="0" w:space="0" w:color="auto"/>
        <w:left w:val="none" w:sz="0" w:space="0" w:color="auto"/>
        <w:bottom w:val="none" w:sz="0" w:space="0" w:color="auto"/>
        <w:right w:val="none" w:sz="0" w:space="0" w:color="auto"/>
      </w:divBdr>
    </w:div>
    <w:div w:id="387922106">
      <w:bodyDiv w:val="1"/>
      <w:marLeft w:val="0"/>
      <w:marRight w:val="0"/>
      <w:marTop w:val="0"/>
      <w:marBottom w:val="0"/>
      <w:divBdr>
        <w:top w:val="none" w:sz="0" w:space="0" w:color="auto"/>
        <w:left w:val="none" w:sz="0" w:space="0" w:color="auto"/>
        <w:bottom w:val="none" w:sz="0" w:space="0" w:color="auto"/>
        <w:right w:val="none" w:sz="0" w:space="0" w:color="auto"/>
      </w:divBdr>
    </w:div>
    <w:div w:id="405421915">
      <w:bodyDiv w:val="1"/>
      <w:marLeft w:val="0"/>
      <w:marRight w:val="0"/>
      <w:marTop w:val="0"/>
      <w:marBottom w:val="0"/>
      <w:divBdr>
        <w:top w:val="none" w:sz="0" w:space="0" w:color="auto"/>
        <w:left w:val="none" w:sz="0" w:space="0" w:color="auto"/>
        <w:bottom w:val="none" w:sz="0" w:space="0" w:color="auto"/>
        <w:right w:val="none" w:sz="0" w:space="0" w:color="auto"/>
      </w:divBdr>
    </w:div>
    <w:div w:id="416364827">
      <w:bodyDiv w:val="1"/>
      <w:marLeft w:val="0"/>
      <w:marRight w:val="0"/>
      <w:marTop w:val="0"/>
      <w:marBottom w:val="0"/>
      <w:divBdr>
        <w:top w:val="none" w:sz="0" w:space="0" w:color="auto"/>
        <w:left w:val="none" w:sz="0" w:space="0" w:color="auto"/>
        <w:bottom w:val="none" w:sz="0" w:space="0" w:color="auto"/>
        <w:right w:val="none" w:sz="0" w:space="0" w:color="auto"/>
      </w:divBdr>
    </w:div>
    <w:div w:id="452674496">
      <w:bodyDiv w:val="1"/>
      <w:marLeft w:val="0"/>
      <w:marRight w:val="0"/>
      <w:marTop w:val="0"/>
      <w:marBottom w:val="0"/>
      <w:divBdr>
        <w:top w:val="none" w:sz="0" w:space="0" w:color="auto"/>
        <w:left w:val="none" w:sz="0" w:space="0" w:color="auto"/>
        <w:bottom w:val="none" w:sz="0" w:space="0" w:color="auto"/>
        <w:right w:val="none" w:sz="0" w:space="0" w:color="auto"/>
      </w:divBdr>
    </w:div>
    <w:div w:id="498663731">
      <w:bodyDiv w:val="1"/>
      <w:marLeft w:val="0"/>
      <w:marRight w:val="0"/>
      <w:marTop w:val="0"/>
      <w:marBottom w:val="0"/>
      <w:divBdr>
        <w:top w:val="none" w:sz="0" w:space="0" w:color="auto"/>
        <w:left w:val="none" w:sz="0" w:space="0" w:color="auto"/>
        <w:bottom w:val="none" w:sz="0" w:space="0" w:color="auto"/>
        <w:right w:val="none" w:sz="0" w:space="0" w:color="auto"/>
      </w:divBdr>
    </w:div>
    <w:div w:id="511143474">
      <w:bodyDiv w:val="1"/>
      <w:marLeft w:val="0"/>
      <w:marRight w:val="0"/>
      <w:marTop w:val="0"/>
      <w:marBottom w:val="0"/>
      <w:divBdr>
        <w:top w:val="none" w:sz="0" w:space="0" w:color="auto"/>
        <w:left w:val="none" w:sz="0" w:space="0" w:color="auto"/>
        <w:bottom w:val="none" w:sz="0" w:space="0" w:color="auto"/>
        <w:right w:val="none" w:sz="0" w:space="0" w:color="auto"/>
      </w:divBdr>
    </w:div>
    <w:div w:id="520556365">
      <w:bodyDiv w:val="1"/>
      <w:marLeft w:val="0"/>
      <w:marRight w:val="0"/>
      <w:marTop w:val="0"/>
      <w:marBottom w:val="0"/>
      <w:divBdr>
        <w:top w:val="none" w:sz="0" w:space="0" w:color="auto"/>
        <w:left w:val="none" w:sz="0" w:space="0" w:color="auto"/>
        <w:bottom w:val="none" w:sz="0" w:space="0" w:color="auto"/>
        <w:right w:val="none" w:sz="0" w:space="0" w:color="auto"/>
      </w:divBdr>
    </w:div>
    <w:div w:id="528643013">
      <w:bodyDiv w:val="1"/>
      <w:marLeft w:val="0"/>
      <w:marRight w:val="0"/>
      <w:marTop w:val="0"/>
      <w:marBottom w:val="0"/>
      <w:divBdr>
        <w:top w:val="none" w:sz="0" w:space="0" w:color="auto"/>
        <w:left w:val="none" w:sz="0" w:space="0" w:color="auto"/>
        <w:bottom w:val="none" w:sz="0" w:space="0" w:color="auto"/>
        <w:right w:val="none" w:sz="0" w:space="0" w:color="auto"/>
      </w:divBdr>
    </w:div>
    <w:div w:id="549921955">
      <w:bodyDiv w:val="1"/>
      <w:marLeft w:val="0"/>
      <w:marRight w:val="0"/>
      <w:marTop w:val="0"/>
      <w:marBottom w:val="0"/>
      <w:divBdr>
        <w:top w:val="none" w:sz="0" w:space="0" w:color="auto"/>
        <w:left w:val="none" w:sz="0" w:space="0" w:color="auto"/>
        <w:bottom w:val="none" w:sz="0" w:space="0" w:color="auto"/>
        <w:right w:val="none" w:sz="0" w:space="0" w:color="auto"/>
      </w:divBdr>
    </w:div>
    <w:div w:id="550119406">
      <w:bodyDiv w:val="1"/>
      <w:marLeft w:val="0"/>
      <w:marRight w:val="0"/>
      <w:marTop w:val="0"/>
      <w:marBottom w:val="0"/>
      <w:divBdr>
        <w:top w:val="none" w:sz="0" w:space="0" w:color="auto"/>
        <w:left w:val="none" w:sz="0" w:space="0" w:color="auto"/>
        <w:bottom w:val="none" w:sz="0" w:space="0" w:color="auto"/>
        <w:right w:val="none" w:sz="0" w:space="0" w:color="auto"/>
      </w:divBdr>
    </w:div>
    <w:div w:id="553347703">
      <w:bodyDiv w:val="1"/>
      <w:marLeft w:val="0"/>
      <w:marRight w:val="0"/>
      <w:marTop w:val="0"/>
      <w:marBottom w:val="0"/>
      <w:divBdr>
        <w:top w:val="none" w:sz="0" w:space="0" w:color="auto"/>
        <w:left w:val="none" w:sz="0" w:space="0" w:color="auto"/>
        <w:bottom w:val="none" w:sz="0" w:space="0" w:color="auto"/>
        <w:right w:val="none" w:sz="0" w:space="0" w:color="auto"/>
      </w:divBdr>
    </w:div>
    <w:div w:id="569509561">
      <w:bodyDiv w:val="1"/>
      <w:marLeft w:val="0"/>
      <w:marRight w:val="0"/>
      <w:marTop w:val="0"/>
      <w:marBottom w:val="0"/>
      <w:divBdr>
        <w:top w:val="none" w:sz="0" w:space="0" w:color="auto"/>
        <w:left w:val="none" w:sz="0" w:space="0" w:color="auto"/>
        <w:bottom w:val="none" w:sz="0" w:space="0" w:color="auto"/>
        <w:right w:val="none" w:sz="0" w:space="0" w:color="auto"/>
      </w:divBdr>
    </w:div>
    <w:div w:id="573247542">
      <w:bodyDiv w:val="1"/>
      <w:marLeft w:val="0"/>
      <w:marRight w:val="0"/>
      <w:marTop w:val="0"/>
      <w:marBottom w:val="0"/>
      <w:divBdr>
        <w:top w:val="none" w:sz="0" w:space="0" w:color="auto"/>
        <w:left w:val="none" w:sz="0" w:space="0" w:color="auto"/>
        <w:bottom w:val="none" w:sz="0" w:space="0" w:color="auto"/>
        <w:right w:val="none" w:sz="0" w:space="0" w:color="auto"/>
      </w:divBdr>
    </w:div>
    <w:div w:id="582491763">
      <w:bodyDiv w:val="1"/>
      <w:marLeft w:val="0"/>
      <w:marRight w:val="0"/>
      <w:marTop w:val="0"/>
      <w:marBottom w:val="0"/>
      <w:divBdr>
        <w:top w:val="none" w:sz="0" w:space="0" w:color="auto"/>
        <w:left w:val="none" w:sz="0" w:space="0" w:color="auto"/>
        <w:bottom w:val="none" w:sz="0" w:space="0" w:color="auto"/>
        <w:right w:val="none" w:sz="0" w:space="0" w:color="auto"/>
      </w:divBdr>
    </w:div>
    <w:div w:id="589460836">
      <w:bodyDiv w:val="1"/>
      <w:marLeft w:val="0"/>
      <w:marRight w:val="0"/>
      <w:marTop w:val="0"/>
      <w:marBottom w:val="0"/>
      <w:divBdr>
        <w:top w:val="none" w:sz="0" w:space="0" w:color="auto"/>
        <w:left w:val="none" w:sz="0" w:space="0" w:color="auto"/>
        <w:bottom w:val="none" w:sz="0" w:space="0" w:color="auto"/>
        <w:right w:val="none" w:sz="0" w:space="0" w:color="auto"/>
      </w:divBdr>
    </w:div>
    <w:div w:id="614100162">
      <w:bodyDiv w:val="1"/>
      <w:marLeft w:val="0"/>
      <w:marRight w:val="0"/>
      <w:marTop w:val="0"/>
      <w:marBottom w:val="0"/>
      <w:divBdr>
        <w:top w:val="none" w:sz="0" w:space="0" w:color="auto"/>
        <w:left w:val="none" w:sz="0" w:space="0" w:color="auto"/>
        <w:bottom w:val="none" w:sz="0" w:space="0" w:color="auto"/>
        <w:right w:val="none" w:sz="0" w:space="0" w:color="auto"/>
      </w:divBdr>
    </w:div>
    <w:div w:id="634795921">
      <w:bodyDiv w:val="1"/>
      <w:marLeft w:val="0"/>
      <w:marRight w:val="0"/>
      <w:marTop w:val="0"/>
      <w:marBottom w:val="0"/>
      <w:divBdr>
        <w:top w:val="none" w:sz="0" w:space="0" w:color="auto"/>
        <w:left w:val="none" w:sz="0" w:space="0" w:color="auto"/>
        <w:bottom w:val="none" w:sz="0" w:space="0" w:color="auto"/>
        <w:right w:val="none" w:sz="0" w:space="0" w:color="auto"/>
      </w:divBdr>
    </w:div>
    <w:div w:id="644159690">
      <w:bodyDiv w:val="1"/>
      <w:marLeft w:val="0"/>
      <w:marRight w:val="0"/>
      <w:marTop w:val="0"/>
      <w:marBottom w:val="0"/>
      <w:divBdr>
        <w:top w:val="none" w:sz="0" w:space="0" w:color="auto"/>
        <w:left w:val="none" w:sz="0" w:space="0" w:color="auto"/>
        <w:bottom w:val="none" w:sz="0" w:space="0" w:color="auto"/>
        <w:right w:val="none" w:sz="0" w:space="0" w:color="auto"/>
      </w:divBdr>
    </w:div>
    <w:div w:id="648561525">
      <w:bodyDiv w:val="1"/>
      <w:marLeft w:val="0"/>
      <w:marRight w:val="0"/>
      <w:marTop w:val="0"/>
      <w:marBottom w:val="0"/>
      <w:divBdr>
        <w:top w:val="none" w:sz="0" w:space="0" w:color="auto"/>
        <w:left w:val="none" w:sz="0" w:space="0" w:color="auto"/>
        <w:bottom w:val="none" w:sz="0" w:space="0" w:color="auto"/>
        <w:right w:val="none" w:sz="0" w:space="0" w:color="auto"/>
      </w:divBdr>
    </w:div>
    <w:div w:id="648634938">
      <w:bodyDiv w:val="1"/>
      <w:marLeft w:val="0"/>
      <w:marRight w:val="0"/>
      <w:marTop w:val="0"/>
      <w:marBottom w:val="0"/>
      <w:divBdr>
        <w:top w:val="none" w:sz="0" w:space="0" w:color="auto"/>
        <w:left w:val="none" w:sz="0" w:space="0" w:color="auto"/>
        <w:bottom w:val="none" w:sz="0" w:space="0" w:color="auto"/>
        <w:right w:val="none" w:sz="0" w:space="0" w:color="auto"/>
      </w:divBdr>
    </w:div>
    <w:div w:id="650594237">
      <w:bodyDiv w:val="1"/>
      <w:marLeft w:val="0"/>
      <w:marRight w:val="0"/>
      <w:marTop w:val="0"/>
      <w:marBottom w:val="0"/>
      <w:divBdr>
        <w:top w:val="none" w:sz="0" w:space="0" w:color="auto"/>
        <w:left w:val="none" w:sz="0" w:space="0" w:color="auto"/>
        <w:bottom w:val="none" w:sz="0" w:space="0" w:color="auto"/>
        <w:right w:val="none" w:sz="0" w:space="0" w:color="auto"/>
      </w:divBdr>
    </w:div>
    <w:div w:id="681664949">
      <w:bodyDiv w:val="1"/>
      <w:marLeft w:val="0"/>
      <w:marRight w:val="0"/>
      <w:marTop w:val="0"/>
      <w:marBottom w:val="0"/>
      <w:divBdr>
        <w:top w:val="none" w:sz="0" w:space="0" w:color="auto"/>
        <w:left w:val="none" w:sz="0" w:space="0" w:color="auto"/>
        <w:bottom w:val="none" w:sz="0" w:space="0" w:color="auto"/>
        <w:right w:val="none" w:sz="0" w:space="0" w:color="auto"/>
      </w:divBdr>
    </w:div>
    <w:div w:id="714700366">
      <w:bodyDiv w:val="1"/>
      <w:marLeft w:val="0"/>
      <w:marRight w:val="0"/>
      <w:marTop w:val="0"/>
      <w:marBottom w:val="0"/>
      <w:divBdr>
        <w:top w:val="none" w:sz="0" w:space="0" w:color="auto"/>
        <w:left w:val="none" w:sz="0" w:space="0" w:color="auto"/>
        <w:bottom w:val="none" w:sz="0" w:space="0" w:color="auto"/>
        <w:right w:val="none" w:sz="0" w:space="0" w:color="auto"/>
      </w:divBdr>
    </w:div>
    <w:div w:id="717895415">
      <w:bodyDiv w:val="1"/>
      <w:marLeft w:val="0"/>
      <w:marRight w:val="0"/>
      <w:marTop w:val="0"/>
      <w:marBottom w:val="0"/>
      <w:divBdr>
        <w:top w:val="none" w:sz="0" w:space="0" w:color="auto"/>
        <w:left w:val="none" w:sz="0" w:space="0" w:color="auto"/>
        <w:bottom w:val="none" w:sz="0" w:space="0" w:color="auto"/>
        <w:right w:val="none" w:sz="0" w:space="0" w:color="auto"/>
      </w:divBdr>
    </w:div>
    <w:div w:id="718169339">
      <w:bodyDiv w:val="1"/>
      <w:marLeft w:val="0"/>
      <w:marRight w:val="0"/>
      <w:marTop w:val="0"/>
      <w:marBottom w:val="0"/>
      <w:divBdr>
        <w:top w:val="none" w:sz="0" w:space="0" w:color="auto"/>
        <w:left w:val="none" w:sz="0" w:space="0" w:color="auto"/>
        <w:bottom w:val="none" w:sz="0" w:space="0" w:color="auto"/>
        <w:right w:val="none" w:sz="0" w:space="0" w:color="auto"/>
      </w:divBdr>
    </w:div>
    <w:div w:id="720907282">
      <w:bodyDiv w:val="1"/>
      <w:marLeft w:val="0"/>
      <w:marRight w:val="0"/>
      <w:marTop w:val="0"/>
      <w:marBottom w:val="0"/>
      <w:divBdr>
        <w:top w:val="none" w:sz="0" w:space="0" w:color="auto"/>
        <w:left w:val="none" w:sz="0" w:space="0" w:color="auto"/>
        <w:bottom w:val="none" w:sz="0" w:space="0" w:color="auto"/>
        <w:right w:val="none" w:sz="0" w:space="0" w:color="auto"/>
      </w:divBdr>
    </w:div>
    <w:div w:id="723725082">
      <w:bodyDiv w:val="1"/>
      <w:marLeft w:val="0"/>
      <w:marRight w:val="0"/>
      <w:marTop w:val="0"/>
      <w:marBottom w:val="0"/>
      <w:divBdr>
        <w:top w:val="none" w:sz="0" w:space="0" w:color="auto"/>
        <w:left w:val="none" w:sz="0" w:space="0" w:color="auto"/>
        <w:bottom w:val="none" w:sz="0" w:space="0" w:color="auto"/>
        <w:right w:val="none" w:sz="0" w:space="0" w:color="auto"/>
      </w:divBdr>
    </w:div>
    <w:div w:id="733699323">
      <w:bodyDiv w:val="1"/>
      <w:marLeft w:val="0"/>
      <w:marRight w:val="0"/>
      <w:marTop w:val="0"/>
      <w:marBottom w:val="0"/>
      <w:divBdr>
        <w:top w:val="none" w:sz="0" w:space="0" w:color="auto"/>
        <w:left w:val="none" w:sz="0" w:space="0" w:color="auto"/>
        <w:bottom w:val="none" w:sz="0" w:space="0" w:color="auto"/>
        <w:right w:val="none" w:sz="0" w:space="0" w:color="auto"/>
      </w:divBdr>
    </w:div>
    <w:div w:id="743112791">
      <w:bodyDiv w:val="1"/>
      <w:marLeft w:val="0"/>
      <w:marRight w:val="0"/>
      <w:marTop w:val="0"/>
      <w:marBottom w:val="0"/>
      <w:divBdr>
        <w:top w:val="none" w:sz="0" w:space="0" w:color="auto"/>
        <w:left w:val="none" w:sz="0" w:space="0" w:color="auto"/>
        <w:bottom w:val="none" w:sz="0" w:space="0" w:color="auto"/>
        <w:right w:val="none" w:sz="0" w:space="0" w:color="auto"/>
      </w:divBdr>
    </w:div>
    <w:div w:id="748120085">
      <w:bodyDiv w:val="1"/>
      <w:marLeft w:val="0"/>
      <w:marRight w:val="0"/>
      <w:marTop w:val="0"/>
      <w:marBottom w:val="0"/>
      <w:divBdr>
        <w:top w:val="none" w:sz="0" w:space="0" w:color="auto"/>
        <w:left w:val="none" w:sz="0" w:space="0" w:color="auto"/>
        <w:bottom w:val="none" w:sz="0" w:space="0" w:color="auto"/>
        <w:right w:val="none" w:sz="0" w:space="0" w:color="auto"/>
      </w:divBdr>
    </w:div>
    <w:div w:id="748162127">
      <w:bodyDiv w:val="1"/>
      <w:marLeft w:val="0"/>
      <w:marRight w:val="0"/>
      <w:marTop w:val="0"/>
      <w:marBottom w:val="0"/>
      <w:divBdr>
        <w:top w:val="none" w:sz="0" w:space="0" w:color="auto"/>
        <w:left w:val="none" w:sz="0" w:space="0" w:color="auto"/>
        <w:bottom w:val="none" w:sz="0" w:space="0" w:color="auto"/>
        <w:right w:val="none" w:sz="0" w:space="0" w:color="auto"/>
      </w:divBdr>
    </w:div>
    <w:div w:id="751197012">
      <w:bodyDiv w:val="1"/>
      <w:marLeft w:val="0"/>
      <w:marRight w:val="0"/>
      <w:marTop w:val="0"/>
      <w:marBottom w:val="0"/>
      <w:divBdr>
        <w:top w:val="none" w:sz="0" w:space="0" w:color="auto"/>
        <w:left w:val="none" w:sz="0" w:space="0" w:color="auto"/>
        <w:bottom w:val="none" w:sz="0" w:space="0" w:color="auto"/>
        <w:right w:val="none" w:sz="0" w:space="0" w:color="auto"/>
      </w:divBdr>
    </w:div>
    <w:div w:id="759641469">
      <w:bodyDiv w:val="1"/>
      <w:marLeft w:val="0"/>
      <w:marRight w:val="0"/>
      <w:marTop w:val="0"/>
      <w:marBottom w:val="0"/>
      <w:divBdr>
        <w:top w:val="none" w:sz="0" w:space="0" w:color="auto"/>
        <w:left w:val="none" w:sz="0" w:space="0" w:color="auto"/>
        <w:bottom w:val="none" w:sz="0" w:space="0" w:color="auto"/>
        <w:right w:val="none" w:sz="0" w:space="0" w:color="auto"/>
      </w:divBdr>
    </w:div>
    <w:div w:id="797993383">
      <w:bodyDiv w:val="1"/>
      <w:marLeft w:val="0"/>
      <w:marRight w:val="0"/>
      <w:marTop w:val="0"/>
      <w:marBottom w:val="0"/>
      <w:divBdr>
        <w:top w:val="none" w:sz="0" w:space="0" w:color="auto"/>
        <w:left w:val="none" w:sz="0" w:space="0" w:color="auto"/>
        <w:bottom w:val="none" w:sz="0" w:space="0" w:color="auto"/>
        <w:right w:val="none" w:sz="0" w:space="0" w:color="auto"/>
      </w:divBdr>
    </w:div>
    <w:div w:id="801507704">
      <w:bodyDiv w:val="1"/>
      <w:marLeft w:val="0"/>
      <w:marRight w:val="0"/>
      <w:marTop w:val="0"/>
      <w:marBottom w:val="0"/>
      <w:divBdr>
        <w:top w:val="none" w:sz="0" w:space="0" w:color="auto"/>
        <w:left w:val="none" w:sz="0" w:space="0" w:color="auto"/>
        <w:bottom w:val="none" w:sz="0" w:space="0" w:color="auto"/>
        <w:right w:val="none" w:sz="0" w:space="0" w:color="auto"/>
      </w:divBdr>
    </w:div>
    <w:div w:id="803542993">
      <w:bodyDiv w:val="1"/>
      <w:marLeft w:val="0"/>
      <w:marRight w:val="0"/>
      <w:marTop w:val="0"/>
      <w:marBottom w:val="0"/>
      <w:divBdr>
        <w:top w:val="none" w:sz="0" w:space="0" w:color="auto"/>
        <w:left w:val="none" w:sz="0" w:space="0" w:color="auto"/>
        <w:bottom w:val="none" w:sz="0" w:space="0" w:color="auto"/>
        <w:right w:val="none" w:sz="0" w:space="0" w:color="auto"/>
      </w:divBdr>
    </w:div>
    <w:div w:id="809977973">
      <w:bodyDiv w:val="1"/>
      <w:marLeft w:val="0"/>
      <w:marRight w:val="0"/>
      <w:marTop w:val="0"/>
      <w:marBottom w:val="0"/>
      <w:divBdr>
        <w:top w:val="none" w:sz="0" w:space="0" w:color="auto"/>
        <w:left w:val="none" w:sz="0" w:space="0" w:color="auto"/>
        <w:bottom w:val="none" w:sz="0" w:space="0" w:color="auto"/>
        <w:right w:val="none" w:sz="0" w:space="0" w:color="auto"/>
      </w:divBdr>
    </w:div>
    <w:div w:id="812791160">
      <w:bodyDiv w:val="1"/>
      <w:marLeft w:val="0"/>
      <w:marRight w:val="0"/>
      <w:marTop w:val="0"/>
      <w:marBottom w:val="0"/>
      <w:divBdr>
        <w:top w:val="none" w:sz="0" w:space="0" w:color="auto"/>
        <w:left w:val="none" w:sz="0" w:space="0" w:color="auto"/>
        <w:bottom w:val="none" w:sz="0" w:space="0" w:color="auto"/>
        <w:right w:val="none" w:sz="0" w:space="0" w:color="auto"/>
      </w:divBdr>
    </w:div>
    <w:div w:id="890963506">
      <w:bodyDiv w:val="1"/>
      <w:marLeft w:val="0"/>
      <w:marRight w:val="0"/>
      <w:marTop w:val="0"/>
      <w:marBottom w:val="0"/>
      <w:divBdr>
        <w:top w:val="none" w:sz="0" w:space="0" w:color="auto"/>
        <w:left w:val="none" w:sz="0" w:space="0" w:color="auto"/>
        <w:bottom w:val="none" w:sz="0" w:space="0" w:color="auto"/>
        <w:right w:val="none" w:sz="0" w:space="0" w:color="auto"/>
      </w:divBdr>
    </w:div>
    <w:div w:id="909925877">
      <w:bodyDiv w:val="1"/>
      <w:marLeft w:val="0"/>
      <w:marRight w:val="0"/>
      <w:marTop w:val="0"/>
      <w:marBottom w:val="0"/>
      <w:divBdr>
        <w:top w:val="none" w:sz="0" w:space="0" w:color="auto"/>
        <w:left w:val="none" w:sz="0" w:space="0" w:color="auto"/>
        <w:bottom w:val="none" w:sz="0" w:space="0" w:color="auto"/>
        <w:right w:val="none" w:sz="0" w:space="0" w:color="auto"/>
      </w:divBdr>
    </w:div>
    <w:div w:id="941688665">
      <w:bodyDiv w:val="1"/>
      <w:marLeft w:val="0"/>
      <w:marRight w:val="0"/>
      <w:marTop w:val="0"/>
      <w:marBottom w:val="0"/>
      <w:divBdr>
        <w:top w:val="none" w:sz="0" w:space="0" w:color="auto"/>
        <w:left w:val="none" w:sz="0" w:space="0" w:color="auto"/>
        <w:bottom w:val="none" w:sz="0" w:space="0" w:color="auto"/>
        <w:right w:val="none" w:sz="0" w:space="0" w:color="auto"/>
      </w:divBdr>
    </w:div>
    <w:div w:id="948243728">
      <w:bodyDiv w:val="1"/>
      <w:marLeft w:val="0"/>
      <w:marRight w:val="0"/>
      <w:marTop w:val="0"/>
      <w:marBottom w:val="0"/>
      <w:divBdr>
        <w:top w:val="none" w:sz="0" w:space="0" w:color="auto"/>
        <w:left w:val="none" w:sz="0" w:space="0" w:color="auto"/>
        <w:bottom w:val="none" w:sz="0" w:space="0" w:color="auto"/>
        <w:right w:val="none" w:sz="0" w:space="0" w:color="auto"/>
      </w:divBdr>
    </w:div>
    <w:div w:id="961230606">
      <w:bodyDiv w:val="1"/>
      <w:marLeft w:val="0"/>
      <w:marRight w:val="0"/>
      <w:marTop w:val="0"/>
      <w:marBottom w:val="0"/>
      <w:divBdr>
        <w:top w:val="none" w:sz="0" w:space="0" w:color="auto"/>
        <w:left w:val="none" w:sz="0" w:space="0" w:color="auto"/>
        <w:bottom w:val="none" w:sz="0" w:space="0" w:color="auto"/>
        <w:right w:val="none" w:sz="0" w:space="0" w:color="auto"/>
      </w:divBdr>
    </w:div>
    <w:div w:id="981276408">
      <w:bodyDiv w:val="1"/>
      <w:marLeft w:val="0"/>
      <w:marRight w:val="0"/>
      <w:marTop w:val="0"/>
      <w:marBottom w:val="0"/>
      <w:divBdr>
        <w:top w:val="none" w:sz="0" w:space="0" w:color="auto"/>
        <w:left w:val="none" w:sz="0" w:space="0" w:color="auto"/>
        <w:bottom w:val="none" w:sz="0" w:space="0" w:color="auto"/>
        <w:right w:val="none" w:sz="0" w:space="0" w:color="auto"/>
      </w:divBdr>
    </w:div>
    <w:div w:id="998576971">
      <w:bodyDiv w:val="1"/>
      <w:marLeft w:val="0"/>
      <w:marRight w:val="0"/>
      <w:marTop w:val="0"/>
      <w:marBottom w:val="0"/>
      <w:divBdr>
        <w:top w:val="none" w:sz="0" w:space="0" w:color="auto"/>
        <w:left w:val="none" w:sz="0" w:space="0" w:color="auto"/>
        <w:bottom w:val="none" w:sz="0" w:space="0" w:color="auto"/>
        <w:right w:val="none" w:sz="0" w:space="0" w:color="auto"/>
      </w:divBdr>
    </w:div>
    <w:div w:id="1010639166">
      <w:bodyDiv w:val="1"/>
      <w:marLeft w:val="0"/>
      <w:marRight w:val="0"/>
      <w:marTop w:val="0"/>
      <w:marBottom w:val="0"/>
      <w:divBdr>
        <w:top w:val="none" w:sz="0" w:space="0" w:color="auto"/>
        <w:left w:val="none" w:sz="0" w:space="0" w:color="auto"/>
        <w:bottom w:val="none" w:sz="0" w:space="0" w:color="auto"/>
        <w:right w:val="none" w:sz="0" w:space="0" w:color="auto"/>
      </w:divBdr>
    </w:div>
    <w:div w:id="1012756040">
      <w:bodyDiv w:val="1"/>
      <w:marLeft w:val="0"/>
      <w:marRight w:val="0"/>
      <w:marTop w:val="0"/>
      <w:marBottom w:val="0"/>
      <w:divBdr>
        <w:top w:val="none" w:sz="0" w:space="0" w:color="auto"/>
        <w:left w:val="none" w:sz="0" w:space="0" w:color="auto"/>
        <w:bottom w:val="none" w:sz="0" w:space="0" w:color="auto"/>
        <w:right w:val="none" w:sz="0" w:space="0" w:color="auto"/>
      </w:divBdr>
    </w:div>
    <w:div w:id="1024132110">
      <w:bodyDiv w:val="1"/>
      <w:marLeft w:val="0"/>
      <w:marRight w:val="0"/>
      <w:marTop w:val="0"/>
      <w:marBottom w:val="0"/>
      <w:divBdr>
        <w:top w:val="none" w:sz="0" w:space="0" w:color="auto"/>
        <w:left w:val="none" w:sz="0" w:space="0" w:color="auto"/>
        <w:bottom w:val="none" w:sz="0" w:space="0" w:color="auto"/>
        <w:right w:val="none" w:sz="0" w:space="0" w:color="auto"/>
      </w:divBdr>
    </w:div>
    <w:div w:id="1026753267">
      <w:bodyDiv w:val="1"/>
      <w:marLeft w:val="0"/>
      <w:marRight w:val="0"/>
      <w:marTop w:val="0"/>
      <w:marBottom w:val="0"/>
      <w:divBdr>
        <w:top w:val="none" w:sz="0" w:space="0" w:color="auto"/>
        <w:left w:val="none" w:sz="0" w:space="0" w:color="auto"/>
        <w:bottom w:val="none" w:sz="0" w:space="0" w:color="auto"/>
        <w:right w:val="none" w:sz="0" w:space="0" w:color="auto"/>
      </w:divBdr>
    </w:div>
    <w:div w:id="1035035960">
      <w:bodyDiv w:val="1"/>
      <w:marLeft w:val="0"/>
      <w:marRight w:val="0"/>
      <w:marTop w:val="0"/>
      <w:marBottom w:val="0"/>
      <w:divBdr>
        <w:top w:val="none" w:sz="0" w:space="0" w:color="auto"/>
        <w:left w:val="none" w:sz="0" w:space="0" w:color="auto"/>
        <w:bottom w:val="none" w:sz="0" w:space="0" w:color="auto"/>
        <w:right w:val="none" w:sz="0" w:space="0" w:color="auto"/>
      </w:divBdr>
    </w:div>
    <w:div w:id="1051341836">
      <w:bodyDiv w:val="1"/>
      <w:marLeft w:val="0"/>
      <w:marRight w:val="0"/>
      <w:marTop w:val="0"/>
      <w:marBottom w:val="0"/>
      <w:divBdr>
        <w:top w:val="none" w:sz="0" w:space="0" w:color="auto"/>
        <w:left w:val="none" w:sz="0" w:space="0" w:color="auto"/>
        <w:bottom w:val="none" w:sz="0" w:space="0" w:color="auto"/>
        <w:right w:val="none" w:sz="0" w:space="0" w:color="auto"/>
      </w:divBdr>
    </w:div>
    <w:div w:id="1054309708">
      <w:bodyDiv w:val="1"/>
      <w:marLeft w:val="0"/>
      <w:marRight w:val="0"/>
      <w:marTop w:val="0"/>
      <w:marBottom w:val="0"/>
      <w:divBdr>
        <w:top w:val="none" w:sz="0" w:space="0" w:color="auto"/>
        <w:left w:val="none" w:sz="0" w:space="0" w:color="auto"/>
        <w:bottom w:val="none" w:sz="0" w:space="0" w:color="auto"/>
        <w:right w:val="none" w:sz="0" w:space="0" w:color="auto"/>
      </w:divBdr>
    </w:div>
    <w:div w:id="1092818969">
      <w:bodyDiv w:val="1"/>
      <w:marLeft w:val="0"/>
      <w:marRight w:val="0"/>
      <w:marTop w:val="0"/>
      <w:marBottom w:val="0"/>
      <w:divBdr>
        <w:top w:val="none" w:sz="0" w:space="0" w:color="auto"/>
        <w:left w:val="none" w:sz="0" w:space="0" w:color="auto"/>
        <w:bottom w:val="none" w:sz="0" w:space="0" w:color="auto"/>
        <w:right w:val="none" w:sz="0" w:space="0" w:color="auto"/>
      </w:divBdr>
    </w:div>
    <w:div w:id="1100031147">
      <w:bodyDiv w:val="1"/>
      <w:marLeft w:val="0"/>
      <w:marRight w:val="0"/>
      <w:marTop w:val="0"/>
      <w:marBottom w:val="0"/>
      <w:divBdr>
        <w:top w:val="none" w:sz="0" w:space="0" w:color="auto"/>
        <w:left w:val="none" w:sz="0" w:space="0" w:color="auto"/>
        <w:bottom w:val="none" w:sz="0" w:space="0" w:color="auto"/>
        <w:right w:val="none" w:sz="0" w:space="0" w:color="auto"/>
      </w:divBdr>
    </w:div>
    <w:div w:id="1106313989">
      <w:bodyDiv w:val="1"/>
      <w:marLeft w:val="0"/>
      <w:marRight w:val="0"/>
      <w:marTop w:val="0"/>
      <w:marBottom w:val="0"/>
      <w:divBdr>
        <w:top w:val="none" w:sz="0" w:space="0" w:color="auto"/>
        <w:left w:val="none" w:sz="0" w:space="0" w:color="auto"/>
        <w:bottom w:val="none" w:sz="0" w:space="0" w:color="auto"/>
        <w:right w:val="none" w:sz="0" w:space="0" w:color="auto"/>
      </w:divBdr>
    </w:div>
    <w:div w:id="1138181288">
      <w:bodyDiv w:val="1"/>
      <w:marLeft w:val="0"/>
      <w:marRight w:val="0"/>
      <w:marTop w:val="0"/>
      <w:marBottom w:val="0"/>
      <w:divBdr>
        <w:top w:val="none" w:sz="0" w:space="0" w:color="auto"/>
        <w:left w:val="none" w:sz="0" w:space="0" w:color="auto"/>
        <w:bottom w:val="none" w:sz="0" w:space="0" w:color="auto"/>
        <w:right w:val="none" w:sz="0" w:space="0" w:color="auto"/>
      </w:divBdr>
    </w:div>
    <w:div w:id="1139956351">
      <w:bodyDiv w:val="1"/>
      <w:marLeft w:val="0"/>
      <w:marRight w:val="0"/>
      <w:marTop w:val="0"/>
      <w:marBottom w:val="0"/>
      <w:divBdr>
        <w:top w:val="none" w:sz="0" w:space="0" w:color="auto"/>
        <w:left w:val="none" w:sz="0" w:space="0" w:color="auto"/>
        <w:bottom w:val="none" w:sz="0" w:space="0" w:color="auto"/>
        <w:right w:val="none" w:sz="0" w:space="0" w:color="auto"/>
      </w:divBdr>
    </w:div>
    <w:div w:id="1165514734">
      <w:bodyDiv w:val="1"/>
      <w:marLeft w:val="0"/>
      <w:marRight w:val="0"/>
      <w:marTop w:val="0"/>
      <w:marBottom w:val="0"/>
      <w:divBdr>
        <w:top w:val="none" w:sz="0" w:space="0" w:color="auto"/>
        <w:left w:val="none" w:sz="0" w:space="0" w:color="auto"/>
        <w:bottom w:val="none" w:sz="0" w:space="0" w:color="auto"/>
        <w:right w:val="none" w:sz="0" w:space="0" w:color="auto"/>
      </w:divBdr>
    </w:div>
    <w:div w:id="1178811885">
      <w:bodyDiv w:val="1"/>
      <w:marLeft w:val="0"/>
      <w:marRight w:val="0"/>
      <w:marTop w:val="0"/>
      <w:marBottom w:val="0"/>
      <w:divBdr>
        <w:top w:val="none" w:sz="0" w:space="0" w:color="auto"/>
        <w:left w:val="none" w:sz="0" w:space="0" w:color="auto"/>
        <w:bottom w:val="none" w:sz="0" w:space="0" w:color="auto"/>
        <w:right w:val="none" w:sz="0" w:space="0" w:color="auto"/>
      </w:divBdr>
    </w:div>
    <w:div w:id="1183856155">
      <w:bodyDiv w:val="1"/>
      <w:marLeft w:val="0"/>
      <w:marRight w:val="0"/>
      <w:marTop w:val="0"/>
      <w:marBottom w:val="0"/>
      <w:divBdr>
        <w:top w:val="none" w:sz="0" w:space="0" w:color="auto"/>
        <w:left w:val="none" w:sz="0" w:space="0" w:color="auto"/>
        <w:bottom w:val="none" w:sz="0" w:space="0" w:color="auto"/>
        <w:right w:val="none" w:sz="0" w:space="0" w:color="auto"/>
      </w:divBdr>
    </w:div>
    <w:div w:id="1185286649">
      <w:bodyDiv w:val="1"/>
      <w:marLeft w:val="0"/>
      <w:marRight w:val="0"/>
      <w:marTop w:val="0"/>
      <w:marBottom w:val="0"/>
      <w:divBdr>
        <w:top w:val="none" w:sz="0" w:space="0" w:color="auto"/>
        <w:left w:val="none" w:sz="0" w:space="0" w:color="auto"/>
        <w:bottom w:val="none" w:sz="0" w:space="0" w:color="auto"/>
        <w:right w:val="none" w:sz="0" w:space="0" w:color="auto"/>
      </w:divBdr>
    </w:div>
    <w:div w:id="1217425095">
      <w:bodyDiv w:val="1"/>
      <w:marLeft w:val="0"/>
      <w:marRight w:val="0"/>
      <w:marTop w:val="0"/>
      <w:marBottom w:val="0"/>
      <w:divBdr>
        <w:top w:val="none" w:sz="0" w:space="0" w:color="auto"/>
        <w:left w:val="none" w:sz="0" w:space="0" w:color="auto"/>
        <w:bottom w:val="none" w:sz="0" w:space="0" w:color="auto"/>
        <w:right w:val="none" w:sz="0" w:space="0" w:color="auto"/>
      </w:divBdr>
    </w:div>
    <w:div w:id="1223633754">
      <w:bodyDiv w:val="1"/>
      <w:marLeft w:val="0"/>
      <w:marRight w:val="0"/>
      <w:marTop w:val="0"/>
      <w:marBottom w:val="0"/>
      <w:divBdr>
        <w:top w:val="none" w:sz="0" w:space="0" w:color="auto"/>
        <w:left w:val="none" w:sz="0" w:space="0" w:color="auto"/>
        <w:bottom w:val="none" w:sz="0" w:space="0" w:color="auto"/>
        <w:right w:val="none" w:sz="0" w:space="0" w:color="auto"/>
      </w:divBdr>
    </w:div>
    <w:div w:id="1227300532">
      <w:bodyDiv w:val="1"/>
      <w:marLeft w:val="0"/>
      <w:marRight w:val="0"/>
      <w:marTop w:val="0"/>
      <w:marBottom w:val="0"/>
      <w:divBdr>
        <w:top w:val="none" w:sz="0" w:space="0" w:color="auto"/>
        <w:left w:val="none" w:sz="0" w:space="0" w:color="auto"/>
        <w:bottom w:val="none" w:sz="0" w:space="0" w:color="auto"/>
        <w:right w:val="none" w:sz="0" w:space="0" w:color="auto"/>
      </w:divBdr>
    </w:div>
    <w:div w:id="1244992770">
      <w:bodyDiv w:val="1"/>
      <w:marLeft w:val="0"/>
      <w:marRight w:val="0"/>
      <w:marTop w:val="0"/>
      <w:marBottom w:val="0"/>
      <w:divBdr>
        <w:top w:val="none" w:sz="0" w:space="0" w:color="auto"/>
        <w:left w:val="none" w:sz="0" w:space="0" w:color="auto"/>
        <w:bottom w:val="none" w:sz="0" w:space="0" w:color="auto"/>
        <w:right w:val="none" w:sz="0" w:space="0" w:color="auto"/>
      </w:divBdr>
    </w:div>
    <w:div w:id="1257710080">
      <w:bodyDiv w:val="1"/>
      <w:marLeft w:val="0"/>
      <w:marRight w:val="0"/>
      <w:marTop w:val="0"/>
      <w:marBottom w:val="0"/>
      <w:divBdr>
        <w:top w:val="none" w:sz="0" w:space="0" w:color="auto"/>
        <w:left w:val="none" w:sz="0" w:space="0" w:color="auto"/>
        <w:bottom w:val="none" w:sz="0" w:space="0" w:color="auto"/>
        <w:right w:val="none" w:sz="0" w:space="0" w:color="auto"/>
      </w:divBdr>
    </w:div>
    <w:div w:id="1274359573">
      <w:bodyDiv w:val="1"/>
      <w:marLeft w:val="0"/>
      <w:marRight w:val="0"/>
      <w:marTop w:val="0"/>
      <w:marBottom w:val="0"/>
      <w:divBdr>
        <w:top w:val="none" w:sz="0" w:space="0" w:color="auto"/>
        <w:left w:val="none" w:sz="0" w:space="0" w:color="auto"/>
        <w:bottom w:val="none" w:sz="0" w:space="0" w:color="auto"/>
        <w:right w:val="none" w:sz="0" w:space="0" w:color="auto"/>
      </w:divBdr>
    </w:div>
    <w:div w:id="1282152846">
      <w:bodyDiv w:val="1"/>
      <w:marLeft w:val="0"/>
      <w:marRight w:val="0"/>
      <w:marTop w:val="0"/>
      <w:marBottom w:val="0"/>
      <w:divBdr>
        <w:top w:val="none" w:sz="0" w:space="0" w:color="auto"/>
        <w:left w:val="none" w:sz="0" w:space="0" w:color="auto"/>
        <w:bottom w:val="none" w:sz="0" w:space="0" w:color="auto"/>
        <w:right w:val="none" w:sz="0" w:space="0" w:color="auto"/>
      </w:divBdr>
    </w:div>
    <w:div w:id="1289363324">
      <w:bodyDiv w:val="1"/>
      <w:marLeft w:val="0"/>
      <w:marRight w:val="0"/>
      <w:marTop w:val="0"/>
      <w:marBottom w:val="0"/>
      <w:divBdr>
        <w:top w:val="none" w:sz="0" w:space="0" w:color="auto"/>
        <w:left w:val="none" w:sz="0" w:space="0" w:color="auto"/>
        <w:bottom w:val="none" w:sz="0" w:space="0" w:color="auto"/>
        <w:right w:val="none" w:sz="0" w:space="0" w:color="auto"/>
      </w:divBdr>
    </w:div>
    <w:div w:id="1294482010">
      <w:bodyDiv w:val="1"/>
      <w:marLeft w:val="0"/>
      <w:marRight w:val="0"/>
      <w:marTop w:val="0"/>
      <w:marBottom w:val="0"/>
      <w:divBdr>
        <w:top w:val="none" w:sz="0" w:space="0" w:color="auto"/>
        <w:left w:val="none" w:sz="0" w:space="0" w:color="auto"/>
        <w:bottom w:val="none" w:sz="0" w:space="0" w:color="auto"/>
        <w:right w:val="none" w:sz="0" w:space="0" w:color="auto"/>
      </w:divBdr>
    </w:div>
    <w:div w:id="1315374326">
      <w:bodyDiv w:val="1"/>
      <w:marLeft w:val="0"/>
      <w:marRight w:val="0"/>
      <w:marTop w:val="0"/>
      <w:marBottom w:val="0"/>
      <w:divBdr>
        <w:top w:val="none" w:sz="0" w:space="0" w:color="auto"/>
        <w:left w:val="none" w:sz="0" w:space="0" w:color="auto"/>
        <w:bottom w:val="none" w:sz="0" w:space="0" w:color="auto"/>
        <w:right w:val="none" w:sz="0" w:space="0" w:color="auto"/>
      </w:divBdr>
    </w:div>
    <w:div w:id="1316421997">
      <w:bodyDiv w:val="1"/>
      <w:marLeft w:val="0"/>
      <w:marRight w:val="0"/>
      <w:marTop w:val="0"/>
      <w:marBottom w:val="0"/>
      <w:divBdr>
        <w:top w:val="none" w:sz="0" w:space="0" w:color="auto"/>
        <w:left w:val="none" w:sz="0" w:space="0" w:color="auto"/>
        <w:bottom w:val="none" w:sz="0" w:space="0" w:color="auto"/>
        <w:right w:val="none" w:sz="0" w:space="0" w:color="auto"/>
      </w:divBdr>
    </w:div>
    <w:div w:id="1335956866">
      <w:bodyDiv w:val="1"/>
      <w:marLeft w:val="0"/>
      <w:marRight w:val="0"/>
      <w:marTop w:val="0"/>
      <w:marBottom w:val="0"/>
      <w:divBdr>
        <w:top w:val="none" w:sz="0" w:space="0" w:color="auto"/>
        <w:left w:val="none" w:sz="0" w:space="0" w:color="auto"/>
        <w:bottom w:val="none" w:sz="0" w:space="0" w:color="auto"/>
        <w:right w:val="none" w:sz="0" w:space="0" w:color="auto"/>
      </w:divBdr>
    </w:div>
    <w:div w:id="1389651068">
      <w:bodyDiv w:val="1"/>
      <w:marLeft w:val="0"/>
      <w:marRight w:val="0"/>
      <w:marTop w:val="0"/>
      <w:marBottom w:val="0"/>
      <w:divBdr>
        <w:top w:val="none" w:sz="0" w:space="0" w:color="auto"/>
        <w:left w:val="none" w:sz="0" w:space="0" w:color="auto"/>
        <w:bottom w:val="none" w:sz="0" w:space="0" w:color="auto"/>
        <w:right w:val="none" w:sz="0" w:space="0" w:color="auto"/>
      </w:divBdr>
    </w:div>
    <w:div w:id="1390810912">
      <w:bodyDiv w:val="1"/>
      <w:marLeft w:val="0"/>
      <w:marRight w:val="0"/>
      <w:marTop w:val="0"/>
      <w:marBottom w:val="0"/>
      <w:divBdr>
        <w:top w:val="none" w:sz="0" w:space="0" w:color="auto"/>
        <w:left w:val="none" w:sz="0" w:space="0" w:color="auto"/>
        <w:bottom w:val="none" w:sz="0" w:space="0" w:color="auto"/>
        <w:right w:val="none" w:sz="0" w:space="0" w:color="auto"/>
      </w:divBdr>
    </w:div>
    <w:div w:id="1399934460">
      <w:bodyDiv w:val="1"/>
      <w:marLeft w:val="0"/>
      <w:marRight w:val="0"/>
      <w:marTop w:val="0"/>
      <w:marBottom w:val="0"/>
      <w:divBdr>
        <w:top w:val="none" w:sz="0" w:space="0" w:color="auto"/>
        <w:left w:val="none" w:sz="0" w:space="0" w:color="auto"/>
        <w:bottom w:val="none" w:sz="0" w:space="0" w:color="auto"/>
        <w:right w:val="none" w:sz="0" w:space="0" w:color="auto"/>
      </w:divBdr>
    </w:div>
    <w:div w:id="1401438985">
      <w:bodyDiv w:val="1"/>
      <w:marLeft w:val="0"/>
      <w:marRight w:val="0"/>
      <w:marTop w:val="0"/>
      <w:marBottom w:val="0"/>
      <w:divBdr>
        <w:top w:val="none" w:sz="0" w:space="0" w:color="auto"/>
        <w:left w:val="none" w:sz="0" w:space="0" w:color="auto"/>
        <w:bottom w:val="none" w:sz="0" w:space="0" w:color="auto"/>
        <w:right w:val="none" w:sz="0" w:space="0" w:color="auto"/>
      </w:divBdr>
    </w:div>
    <w:div w:id="1421172928">
      <w:bodyDiv w:val="1"/>
      <w:marLeft w:val="0"/>
      <w:marRight w:val="0"/>
      <w:marTop w:val="0"/>
      <w:marBottom w:val="0"/>
      <w:divBdr>
        <w:top w:val="none" w:sz="0" w:space="0" w:color="auto"/>
        <w:left w:val="none" w:sz="0" w:space="0" w:color="auto"/>
        <w:bottom w:val="none" w:sz="0" w:space="0" w:color="auto"/>
        <w:right w:val="none" w:sz="0" w:space="0" w:color="auto"/>
      </w:divBdr>
    </w:div>
    <w:div w:id="1446467077">
      <w:bodyDiv w:val="1"/>
      <w:marLeft w:val="0"/>
      <w:marRight w:val="0"/>
      <w:marTop w:val="0"/>
      <w:marBottom w:val="0"/>
      <w:divBdr>
        <w:top w:val="none" w:sz="0" w:space="0" w:color="auto"/>
        <w:left w:val="none" w:sz="0" w:space="0" w:color="auto"/>
        <w:bottom w:val="none" w:sz="0" w:space="0" w:color="auto"/>
        <w:right w:val="none" w:sz="0" w:space="0" w:color="auto"/>
      </w:divBdr>
    </w:div>
    <w:div w:id="1456757946">
      <w:bodyDiv w:val="1"/>
      <w:marLeft w:val="0"/>
      <w:marRight w:val="0"/>
      <w:marTop w:val="0"/>
      <w:marBottom w:val="0"/>
      <w:divBdr>
        <w:top w:val="none" w:sz="0" w:space="0" w:color="auto"/>
        <w:left w:val="none" w:sz="0" w:space="0" w:color="auto"/>
        <w:bottom w:val="none" w:sz="0" w:space="0" w:color="auto"/>
        <w:right w:val="none" w:sz="0" w:space="0" w:color="auto"/>
      </w:divBdr>
    </w:div>
    <w:div w:id="1464273935">
      <w:bodyDiv w:val="1"/>
      <w:marLeft w:val="0"/>
      <w:marRight w:val="0"/>
      <w:marTop w:val="0"/>
      <w:marBottom w:val="0"/>
      <w:divBdr>
        <w:top w:val="none" w:sz="0" w:space="0" w:color="auto"/>
        <w:left w:val="none" w:sz="0" w:space="0" w:color="auto"/>
        <w:bottom w:val="none" w:sz="0" w:space="0" w:color="auto"/>
        <w:right w:val="none" w:sz="0" w:space="0" w:color="auto"/>
      </w:divBdr>
    </w:div>
    <w:div w:id="1471557528">
      <w:bodyDiv w:val="1"/>
      <w:marLeft w:val="0"/>
      <w:marRight w:val="0"/>
      <w:marTop w:val="0"/>
      <w:marBottom w:val="0"/>
      <w:divBdr>
        <w:top w:val="none" w:sz="0" w:space="0" w:color="auto"/>
        <w:left w:val="none" w:sz="0" w:space="0" w:color="auto"/>
        <w:bottom w:val="none" w:sz="0" w:space="0" w:color="auto"/>
        <w:right w:val="none" w:sz="0" w:space="0" w:color="auto"/>
      </w:divBdr>
    </w:div>
    <w:div w:id="1479149975">
      <w:bodyDiv w:val="1"/>
      <w:marLeft w:val="0"/>
      <w:marRight w:val="0"/>
      <w:marTop w:val="0"/>
      <w:marBottom w:val="0"/>
      <w:divBdr>
        <w:top w:val="none" w:sz="0" w:space="0" w:color="auto"/>
        <w:left w:val="none" w:sz="0" w:space="0" w:color="auto"/>
        <w:bottom w:val="none" w:sz="0" w:space="0" w:color="auto"/>
        <w:right w:val="none" w:sz="0" w:space="0" w:color="auto"/>
      </w:divBdr>
    </w:div>
    <w:div w:id="1489788715">
      <w:bodyDiv w:val="1"/>
      <w:marLeft w:val="0"/>
      <w:marRight w:val="0"/>
      <w:marTop w:val="0"/>
      <w:marBottom w:val="0"/>
      <w:divBdr>
        <w:top w:val="none" w:sz="0" w:space="0" w:color="auto"/>
        <w:left w:val="none" w:sz="0" w:space="0" w:color="auto"/>
        <w:bottom w:val="none" w:sz="0" w:space="0" w:color="auto"/>
        <w:right w:val="none" w:sz="0" w:space="0" w:color="auto"/>
      </w:divBdr>
    </w:div>
    <w:div w:id="1498225969">
      <w:bodyDiv w:val="1"/>
      <w:marLeft w:val="0"/>
      <w:marRight w:val="0"/>
      <w:marTop w:val="0"/>
      <w:marBottom w:val="0"/>
      <w:divBdr>
        <w:top w:val="none" w:sz="0" w:space="0" w:color="auto"/>
        <w:left w:val="none" w:sz="0" w:space="0" w:color="auto"/>
        <w:bottom w:val="none" w:sz="0" w:space="0" w:color="auto"/>
        <w:right w:val="none" w:sz="0" w:space="0" w:color="auto"/>
      </w:divBdr>
    </w:div>
    <w:div w:id="1505709466">
      <w:bodyDiv w:val="1"/>
      <w:marLeft w:val="0"/>
      <w:marRight w:val="0"/>
      <w:marTop w:val="0"/>
      <w:marBottom w:val="0"/>
      <w:divBdr>
        <w:top w:val="none" w:sz="0" w:space="0" w:color="auto"/>
        <w:left w:val="none" w:sz="0" w:space="0" w:color="auto"/>
        <w:bottom w:val="none" w:sz="0" w:space="0" w:color="auto"/>
        <w:right w:val="none" w:sz="0" w:space="0" w:color="auto"/>
      </w:divBdr>
    </w:div>
    <w:div w:id="1508785237">
      <w:bodyDiv w:val="1"/>
      <w:marLeft w:val="0"/>
      <w:marRight w:val="0"/>
      <w:marTop w:val="0"/>
      <w:marBottom w:val="0"/>
      <w:divBdr>
        <w:top w:val="none" w:sz="0" w:space="0" w:color="auto"/>
        <w:left w:val="none" w:sz="0" w:space="0" w:color="auto"/>
        <w:bottom w:val="none" w:sz="0" w:space="0" w:color="auto"/>
        <w:right w:val="none" w:sz="0" w:space="0" w:color="auto"/>
      </w:divBdr>
    </w:div>
    <w:div w:id="1513564841">
      <w:bodyDiv w:val="1"/>
      <w:marLeft w:val="0"/>
      <w:marRight w:val="0"/>
      <w:marTop w:val="0"/>
      <w:marBottom w:val="0"/>
      <w:divBdr>
        <w:top w:val="none" w:sz="0" w:space="0" w:color="auto"/>
        <w:left w:val="none" w:sz="0" w:space="0" w:color="auto"/>
        <w:bottom w:val="none" w:sz="0" w:space="0" w:color="auto"/>
        <w:right w:val="none" w:sz="0" w:space="0" w:color="auto"/>
      </w:divBdr>
    </w:div>
    <w:div w:id="1538657706">
      <w:bodyDiv w:val="1"/>
      <w:marLeft w:val="0"/>
      <w:marRight w:val="0"/>
      <w:marTop w:val="0"/>
      <w:marBottom w:val="0"/>
      <w:divBdr>
        <w:top w:val="none" w:sz="0" w:space="0" w:color="auto"/>
        <w:left w:val="none" w:sz="0" w:space="0" w:color="auto"/>
        <w:bottom w:val="none" w:sz="0" w:space="0" w:color="auto"/>
        <w:right w:val="none" w:sz="0" w:space="0" w:color="auto"/>
      </w:divBdr>
    </w:div>
    <w:div w:id="1561549673">
      <w:bodyDiv w:val="1"/>
      <w:marLeft w:val="0"/>
      <w:marRight w:val="0"/>
      <w:marTop w:val="0"/>
      <w:marBottom w:val="0"/>
      <w:divBdr>
        <w:top w:val="none" w:sz="0" w:space="0" w:color="auto"/>
        <w:left w:val="none" w:sz="0" w:space="0" w:color="auto"/>
        <w:bottom w:val="none" w:sz="0" w:space="0" w:color="auto"/>
        <w:right w:val="none" w:sz="0" w:space="0" w:color="auto"/>
      </w:divBdr>
    </w:div>
    <w:div w:id="1561818602">
      <w:bodyDiv w:val="1"/>
      <w:marLeft w:val="0"/>
      <w:marRight w:val="0"/>
      <w:marTop w:val="0"/>
      <w:marBottom w:val="0"/>
      <w:divBdr>
        <w:top w:val="none" w:sz="0" w:space="0" w:color="auto"/>
        <w:left w:val="none" w:sz="0" w:space="0" w:color="auto"/>
        <w:bottom w:val="none" w:sz="0" w:space="0" w:color="auto"/>
        <w:right w:val="none" w:sz="0" w:space="0" w:color="auto"/>
      </w:divBdr>
    </w:div>
    <w:div w:id="1573808459">
      <w:bodyDiv w:val="1"/>
      <w:marLeft w:val="0"/>
      <w:marRight w:val="0"/>
      <w:marTop w:val="0"/>
      <w:marBottom w:val="0"/>
      <w:divBdr>
        <w:top w:val="none" w:sz="0" w:space="0" w:color="auto"/>
        <w:left w:val="none" w:sz="0" w:space="0" w:color="auto"/>
        <w:bottom w:val="none" w:sz="0" w:space="0" w:color="auto"/>
        <w:right w:val="none" w:sz="0" w:space="0" w:color="auto"/>
      </w:divBdr>
    </w:div>
    <w:div w:id="1576938009">
      <w:bodyDiv w:val="1"/>
      <w:marLeft w:val="0"/>
      <w:marRight w:val="0"/>
      <w:marTop w:val="0"/>
      <w:marBottom w:val="0"/>
      <w:divBdr>
        <w:top w:val="none" w:sz="0" w:space="0" w:color="auto"/>
        <w:left w:val="none" w:sz="0" w:space="0" w:color="auto"/>
        <w:bottom w:val="none" w:sz="0" w:space="0" w:color="auto"/>
        <w:right w:val="none" w:sz="0" w:space="0" w:color="auto"/>
      </w:divBdr>
    </w:div>
    <w:div w:id="1578517408">
      <w:bodyDiv w:val="1"/>
      <w:marLeft w:val="0"/>
      <w:marRight w:val="0"/>
      <w:marTop w:val="0"/>
      <w:marBottom w:val="0"/>
      <w:divBdr>
        <w:top w:val="none" w:sz="0" w:space="0" w:color="auto"/>
        <w:left w:val="none" w:sz="0" w:space="0" w:color="auto"/>
        <w:bottom w:val="none" w:sz="0" w:space="0" w:color="auto"/>
        <w:right w:val="none" w:sz="0" w:space="0" w:color="auto"/>
      </w:divBdr>
    </w:div>
    <w:div w:id="1581984319">
      <w:bodyDiv w:val="1"/>
      <w:marLeft w:val="0"/>
      <w:marRight w:val="0"/>
      <w:marTop w:val="0"/>
      <w:marBottom w:val="0"/>
      <w:divBdr>
        <w:top w:val="none" w:sz="0" w:space="0" w:color="auto"/>
        <w:left w:val="none" w:sz="0" w:space="0" w:color="auto"/>
        <w:bottom w:val="none" w:sz="0" w:space="0" w:color="auto"/>
        <w:right w:val="none" w:sz="0" w:space="0" w:color="auto"/>
      </w:divBdr>
    </w:div>
    <w:div w:id="1602567468">
      <w:bodyDiv w:val="1"/>
      <w:marLeft w:val="0"/>
      <w:marRight w:val="0"/>
      <w:marTop w:val="0"/>
      <w:marBottom w:val="0"/>
      <w:divBdr>
        <w:top w:val="none" w:sz="0" w:space="0" w:color="auto"/>
        <w:left w:val="none" w:sz="0" w:space="0" w:color="auto"/>
        <w:bottom w:val="none" w:sz="0" w:space="0" w:color="auto"/>
        <w:right w:val="none" w:sz="0" w:space="0" w:color="auto"/>
      </w:divBdr>
    </w:div>
    <w:div w:id="1620718067">
      <w:bodyDiv w:val="1"/>
      <w:marLeft w:val="0"/>
      <w:marRight w:val="0"/>
      <w:marTop w:val="0"/>
      <w:marBottom w:val="0"/>
      <w:divBdr>
        <w:top w:val="none" w:sz="0" w:space="0" w:color="auto"/>
        <w:left w:val="none" w:sz="0" w:space="0" w:color="auto"/>
        <w:bottom w:val="none" w:sz="0" w:space="0" w:color="auto"/>
        <w:right w:val="none" w:sz="0" w:space="0" w:color="auto"/>
      </w:divBdr>
    </w:div>
    <w:div w:id="1627589155">
      <w:bodyDiv w:val="1"/>
      <w:marLeft w:val="0"/>
      <w:marRight w:val="0"/>
      <w:marTop w:val="0"/>
      <w:marBottom w:val="0"/>
      <w:divBdr>
        <w:top w:val="none" w:sz="0" w:space="0" w:color="auto"/>
        <w:left w:val="none" w:sz="0" w:space="0" w:color="auto"/>
        <w:bottom w:val="none" w:sz="0" w:space="0" w:color="auto"/>
        <w:right w:val="none" w:sz="0" w:space="0" w:color="auto"/>
      </w:divBdr>
    </w:div>
    <w:div w:id="1637642798">
      <w:bodyDiv w:val="1"/>
      <w:marLeft w:val="0"/>
      <w:marRight w:val="0"/>
      <w:marTop w:val="0"/>
      <w:marBottom w:val="0"/>
      <w:divBdr>
        <w:top w:val="none" w:sz="0" w:space="0" w:color="auto"/>
        <w:left w:val="none" w:sz="0" w:space="0" w:color="auto"/>
        <w:bottom w:val="none" w:sz="0" w:space="0" w:color="auto"/>
        <w:right w:val="none" w:sz="0" w:space="0" w:color="auto"/>
      </w:divBdr>
    </w:div>
    <w:div w:id="1640257591">
      <w:bodyDiv w:val="1"/>
      <w:marLeft w:val="0"/>
      <w:marRight w:val="0"/>
      <w:marTop w:val="0"/>
      <w:marBottom w:val="0"/>
      <w:divBdr>
        <w:top w:val="none" w:sz="0" w:space="0" w:color="auto"/>
        <w:left w:val="none" w:sz="0" w:space="0" w:color="auto"/>
        <w:bottom w:val="none" w:sz="0" w:space="0" w:color="auto"/>
        <w:right w:val="none" w:sz="0" w:space="0" w:color="auto"/>
      </w:divBdr>
    </w:div>
    <w:div w:id="1646810766">
      <w:bodyDiv w:val="1"/>
      <w:marLeft w:val="0"/>
      <w:marRight w:val="0"/>
      <w:marTop w:val="0"/>
      <w:marBottom w:val="0"/>
      <w:divBdr>
        <w:top w:val="none" w:sz="0" w:space="0" w:color="auto"/>
        <w:left w:val="none" w:sz="0" w:space="0" w:color="auto"/>
        <w:bottom w:val="none" w:sz="0" w:space="0" w:color="auto"/>
        <w:right w:val="none" w:sz="0" w:space="0" w:color="auto"/>
      </w:divBdr>
    </w:div>
    <w:div w:id="1659259707">
      <w:bodyDiv w:val="1"/>
      <w:marLeft w:val="0"/>
      <w:marRight w:val="0"/>
      <w:marTop w:val="0"/>
      <w:marBottom w:val="0"/>
      <w:divBdr>
        <w:top w:val="none" w:sz="0" w:space="0" w:color="auto"/>
        <w:left w:val="none" w:sz="0" w:space="0" w:color="auto"/>
        <w:bottom w:val="none" w:sz="0" w:space="0" w:color="auto"/>
        <w:right w:val="none" w:sz="0" w:space="0" w:color="auto"/>
      </w:divBdr>
    </w:div>
    <w:div w:id="1662344518">
      <w:bodyDiv w:val="1"/>
      <w:marLeft w:val="0"/>
      <w:marRight w:val="0"/>
      <w:marTop w:val="0"/>
      <w:marBottom w:val="0"/>
      <w:divBdr>
        <w:top w:val="none" w:sz="0" w:space="0" w:color="auto"/>
        <w:left w:val="none" w:sz="0" w:space="0" w:color="auto"/>
        <w:bottom w:val="none" w:sz="0" w:space="0" w:color="auto"/>
        <w:right w:val="none" w:sz="0" w:space="0" w:color="auto"/>
      </w:divBdr>
    </w:div>
    <w:div w:id="1678187030">
      <w:bodyDiv w:val="1"/>
      <w:marLeft w:val="0"/>
      <w:marRight w:val="0"/>
      <w:marTop w:val="0"/>
      <w:marBottom w:val="0"/>
      <w:divBdr>
        <w:top w:val="none" w:sz="0" w:space="0" w:color="auto"/>
        <w:left w:val="none" w:sz="0" w:space="0" w:color="auto"/>
        <w:bottom w:val="none" w:sz="0" w:space="0" w:color="auto"/>
        <w:right w:val="none" w:sz="0" w:space="0" w:color="auto"/>
      </w:divBdr>
    </w:div>
    <w:div w:id="1696881526">
      <w:bodyDiv w:val="1"/>
      <w:marLeft w:val="0"/>
      <w:marRight w:val="0"/>
      <w:marTop w:val="0"/>
      <w:marBottom w:val="0"/>
      <w:divBdr>
        <w:top w:val="none" w:sz="0" w:space="0" w:color="auto"/>
        <w:left w:val="none" w:sz="0" w:space="0" w:color="auto"/>
        <w:bottom w:val="none" w:sz="0" w:space="0" w:color="auto"/>
        <w:right w:val="none" w:sz="0" w:space="0" w:color="auto"/>
      </w:divBdr>
    </w:div>
    <w:div w:id="1707102099">
      <w:bodyDiv w:val="1"/>
      <w:marLeft w:val="0"/>
      <w:marRight w:val="0"/>
      <w:marTop w:val="0"/>
      <w:marBottom w:val="0"/>
      <w:divBdr>
        <w:top w:val="none" w:sz="0" w:space="0" w:color="auto"/>
        <w:left w:val="none" w:sz="0" w:space="0" w:color="auto"/>
        <w:bottom w:val="none" w:sz="0" w:space="0" w:color="auto"/>
        <w:right w:val="none" w:sz="0" w:space="0" w:color="auto"/>
      </w:divBdr>
    </w:div>
    <w:div w:id="1709333113">
      <w:bodyDiv w:val="1"/>
      <w:marLeft w:val="0"/>
      <w:marRight w:val="0"/>
      <w:marTop w:val="0"/>
      <w:marBottom w:val="0"/>
      <w:divBdr>
        <w:top w:val="none" w:sz="0" w:space="0" w:color="auto"/>
        <w:left w:val="none" w:sz="0" w:space="0" w:color="auto"/>
        <w:bottom w:val="none" w:sz="0" w:space="0" w:color="auto"/>
        <w:right w:val="none" w:sz="0" w:space="0" w:color="auto"/>
      </w:divBdr>
    </w:div>
    <w:div w:id="1774395519">
      <w:bodyDiv w:val="1"/>
      <w:marLeft w:val="0"/>
      <w:marRight w:val="0"/>
      <w:marTop w:val="0"/>
      <w:marBottom w:val="0"/>
      <w:divBdr>
        <w:top w:val="none" w:sz="0" w:space="0" w:color="auto"/>
        <w:left w:val="none" w:sz="0" w:space="0" w:color="auto"/>
        <w:bottom w:val="none" w:sz="0" w:space="0" w:color="auto"/>
        <w:right w:val="none" w:sz="0" w:space="0" w:color="auto"/>
      </w:divBdr>
    </w:div>
    <w:div w:id="1776947507">
      <w:bodyDiv w:val="1"/>
      <w:marLeft w:val="0"/>
      <w:marRight w:val="0"/>
      <w:marTop w:val="0"/>
      <w:marBottom w:val="0"/>
      <w:divBdr>
        <w:top w:val="none" w:sz="0" w:space="0" w:color="auto"/>
        <w:left w:val="none" w:sz="0" w:space="0" w:color="auto"/>
        <w:bottom w:val="none" w:sz="0" w:space="0" w:color="auto"/>
        <w:right w:val="none" w:sz="0" w:space="0" w:color="auto"/>
      </w:divBdr>
    </w:div>
    <w:div w:id="1779251016">
      <w:bodyDiv w:val="1"/>
      <w:marLeft w:val="0"/>
      <w:marRight w:val="0"/>
      <w:marTop w:val="0"/>
      <w:marBottom w:val="0"/>
      <w:divBdr>
        <w:top w:val="none" w:sz="0" w:space="0" w:color="auto"/>
        <w:left w:val="none" w:sz="0" w:space="0" w:color="auto"/>
        <w:bottom w:val="none" w:sz="0" w:space="0" w:color="auto"/>
        <w:right w:val="none" w:sz="0" w:space="0" w:color="auto"/>
      </w:divBdr>
    </w:div>
    <w:div w:id="1804613627">
      <w:bodyDiv w:val="1"/>
      <w:marLeft w:val="0"/>
      <w:marRight w:val="0"/>
      <w:marTop w:val="0"/>
      <w:marBottom w:val="0"/>
      <w:divBdr>
        <w:top w:val="none" w:sz="0" w:space="0" w:color="auto"/>
        <w:left w:val="none" w:sz="0" w:space="0" w:color="auto"/>
        <w:bottom w:val="none" w:sz="0" w:space="0" w:color="auto"/>
        <w:right w:val="none" w:sz="0" w:space="0" w:color="auto"/>
      </w:divBdr>
    </w:div>
    <w:div w:id="1813868174">
      <w:bodyDiv w:val="1"/>
      <w:marLeft w:val="0"/>
      <w:marRight w:val="0"/>
      <w:marTop w:val="0"/>
      <w:marBottom w:val="0"/>
      <w:divBdr>
        <w:top w:val="none" w:sz="0" w:space="0" w:color="auto"/>
        <w:left w:val="none" w:sz="0" w:space="0" w:color="auto"/>
        <w:bottom w:val="none" w:sz="0" w:space="0" w:color="auto"/>
        <w:right w:val="none" w:sz="0" w:space="0" w:color="auto"/>
      </w:divBdr>
    </w:div>
    <w:div w:id="1814105008">
      <w:bodyDiv w:val="1"/>
      <w:marLeft w:val="0"/>
      <w:marRight w:val="0"/>
      <w:marTop w:val="0"/>
      <w:marBottom w:val="0"/>
      <w:divBdr>
        <w:top w:val="none" w:sz="0" w:space="0" w:color="auto"/>
        <w:left w:val="none" w:sz="0" w:space="0" w:color="auto"/>
        <w:bottom w:val="none" w:sz="0" w:space="0" w:color="auto"/>
        <w:right w:val="none" w:sz="0" w:space="0" w:color="auto"/>
      </w:divBdr>
    </w:div>
    <w:div w:id="1837457369">
      <w:bodyDiv w:val="1"/>
      <w:marLeft w:val="0"/>
      <w:marRight w:val="0"/>
      <w:marTop w:val="0"/>
      <w:marBottom w:val="0"/>
      <w:divBdr>
        <w:top w:val="none" w:sz="0" w:space="0" w:color="auto"/>
        <w:left w:val="none" w:sz="0" w:space="0" w:color="auto"/>
        <w:bottom w:val="none" w:sz="0" w:space="0" w:color="auto"/>
        <w:right w:val="none" w:sz="0" w:space="0" w:color="auto"/>
      </w:divBdr>
    </w:div>
    <w:div w:id="1854685539">
      <w:bodyDiv w:val="1"/>
      <w:marLeft w:val="0"/>
      <w:marRight w:val="0"/>
      <w:marTop w:val="0"/>
      <w:marBottom w:val="0"/>
      <w:divBdr>
        <w:top w:val="none" w:sz="0" w:space="0" w:color="auto"/>
        <w:left w:val="none" w:sz="0" w:space="0" w:color="auto"/>
        <w:bottom w:val="none" w:sz="0" w:space="0" w:color="auto"/>
        <w:right w:val="none" w:sz="0" w:space="0" w:color="auto"/>
      </w:divBdr>
    </w:div>
    <w:div w:id="1926114104">
      <w:bodyDiv w:val="1"/>
      <w:marLeft w:val="0"/>
      <w:marRight w:val="0"/>
      <w:marTop w:val="0"/>
      <w:marBottom w:val="0"/>
      <w:divBdr>
        <w:top w:val="none" w:sz="0" w:space="0" w:color="auto"/>
        <w:left w:val="none" w:sz="0" w:space="0" w:color="auto"/>
        <w:bottom w:val="none" w:sz="0" w:space="0" w:color="auto"/>
        <w:right w:val="none" w:sz="0" w:space="0" w:color="auto"/>
      </w:divBdr>
    </w:div>
    <w:div w:id="1951933450">
      <w:bodyDiv w:val="1"/>
      <w:marLeft w:val="0"/>
      <w:marRight w:val="0"/>
      <w:marTop w:val="0"/>
      <w:marBottom w:val="0"/>
      <w:divBdr>
        <w:top w:val="none" w:sz="0" w:space="0" w:color="auto"/>
        <w:left w:val="none" w:sz="0" w:space="0" w:color="auto"/>
        <w:bottom w:val="none" w:sz="0" w:space="0" w:color="auto"/>
        <w:right w:val="none" w:sz="0" w:space="0" w:color="auto"/>
      </w:divBdr>
    </w:div>
    <w:div w:id="1963030820">
      <w:bodyDiv w:val="1"/>
      <w:marLeft w:val="0"/>
      <w:marRight w:val="0"/>
      <w:marTop w:val="0"/>
      <w:marBottom w:val="0"/>
      <w:divBdr>
        <w:top w:val="none" w:sz="0" w:space="0" w:color="auto"/>
        <w:left w:val="none" w:sz="0" w:space="0" w:color="auto"/>
        <w:bottom w:val="none" w:sz="0" w:space="0" w:color="auto"/>
        <w:right w:val="none" w:sz="0" w:space="0" w:color="auto"/>
      </w:divBdr>
    </w:div>
    <w:div w:id="1994992567">
      <w:bodyDiv w:val="1"/>
      <w:marLeft w:val="0"/>
      <w:marRight w:val="0"/>
      <w:marTop w:val="0"/>
      <w:marBottom w:val="0"/>
      <w:divBdr>
        <w:top w:val="none" w:sz="0" w:space="0" w:color="auto"/>
        <w:left w:val="none" w:sz="0" w:space="0" w:color="auto"/>
        <w:bottom w:val="none" w:sz="0" w:space="0" w:color="auto"/>
        <w:right w:val="none" w:sz="0" w:space="0" w:color="auto"/>
      </w:divBdr>
    </w:div>
    <w:div w:id="1995209460">
      <w:bodyDiv w:val="1"/>
      <w:marLeft w:val="0"/>
      <w:marRight w:val="0"/>
      <w:marTop w:val="0"/>
      <w:marBottom w:val="0"/>
      <w:divBdr>
        <w:top w:val="none" w:sz="0" w:space="0" w:color="auto"/>
        <w:left w:val="none" w:sz="0" w:space="0" w:color="auto"/>
        <w:bottom w:val="none" w:sz="0" w:space="0" w:color="auto"/>
        <w:right w:val="none" w:sz="0" w:space="0" w:color="auto"/>
      </w:divBdr>
    </w:div>
    <w:div w:id="2001300217">
      <w:bodyDiv w:val="1"/>
      <w:marLeft w:val="0"/>
      <w:marRight w:val="0"/>
      <w:marTop w:val="0"/>
      <w:marBottom w:val="0"/>
      <w:divBdr>
        <w:top w:val="none" w:sz="0" w:space="0" w:color="auto"/>
        <w:left w:val="none" w:sz="0" w:space="0" w:color="auto"/>
        <w:bottom w:val="none" w:sz="0" w:space="0" w:color="auto"/>
        <w:right w:val="none" w:sz="0" w:space="0" w:color="auto"/>
      </w:divBdr>
    </w:div>
    <w:div w:id="2004118049">
      <w:bodyDiv w:val="1"/>
      <w:marLeft w:val="0"/>
      <w:marRight w:val="0"/>
      <w:marTop w:val="0"/>
      <w:marBottom w:val="0"/>
      <w:divBdr>
        <w:top w:val="none" w:sz="0" w:space="0" w:color="auto"/>
        <w:left w:val="none" w:sz="0" w:space="0" w:color="auto"/>
        <w:bottom w:val="none" w:sz="0" w:space="0" w:color="auto"/>
        <w:right w:val="none" w:sz="0" w:space="0" w:color="auto"/>
      </w:divBdr>
    </w:div>
    <w:div w:id="2007321030">
      <w:bodyDiv w:val="1"/>
      <w:marLeft w:val="0"/>
      <w:marRight w:val="0"/>
      <w:marTop w:val="0"/>
      <w:marBottom w:val="0"/>
      <w:divBdr>
        <w:top w:val="none" w:sz="0" w:space="0" w:color="auto"/>
        <w:left w:val="none" w:sz="0" w:space="0" w:color="auto"/>
        <w:bottom w:val="none" w:sz="0" w:space="0" w:color="auto"/>
        <w:right w:val="none" w:sz="0" w:space="0" w:color="auto"/>
      </w:divBdr>
    </w:div>
    <w:div w:id="2008096301">
      <w:bodyDiv w:val="1"/>
      <w:marLeft w:val="0"/>
      <w:marRight w:val="0"/>
      <w:marTop w:val="0"/>
      <w:marBottom w:val="0"/>
      <w:divBdr>
        <w:top w:val="none" w:sz="0" w:space="0" w:color="auto"/>
        <w:left w:val="none" w:sz="0" w:space="0" w:color="auto"/>
        <w:bottom w:val="none" w:sz="0" w:space="0" w:color="auto"/>
        <w:right w:val="none" w:sz="0" w:space="0" w:color="auto"/>
      </w:divBdr>
    </w:div>
    <w:div w:id="2024745771">
      <w:bodyDiv w:val="1"/>
      <w:marLeft w:val="0"/>
      <w:marRight w:val="0"/>
      <w:marTop w:val="0"/>
      <w:marBottom w:val="0"/>
      <w:divBdr>
        <w:top w:val="none" w:sz="0" w:space="0" w:color="auto"/>
        <w:left w:val="none" w:sz="0" w:space="0" w:color="auto"/>
        <w:bottom w:val="none" w:sz="0" w:space="0" w:color="auto"/>
        <w:right w:val="none" w:sz="0" w:space="0" w:color="auto"/>
      </w:divBdr>
    </w:div>
    <w:div w:id="2028361187">
      <w:bodyDiv w:val="1"/>
      <w:marLeft w:val="0"/>
      <w:marRight w:val="0"/>
      <w:marTop w:val="0"/>
      <w:marBottom w:val="0"/>
      <w:divBdr>
        <w:top w:val="none" w:sz="0" w:space="0" w:color="auto"/>
        <w:left w:val="none" w:sz="0" w:space="0" w:color="auto"/>
        <w:bottom w:val="none" w:sz="0" w:space="0" w:color="auto"/>
        <w:right w:val="none" w:sz="0" w:space="0" w:color="auto"/>
      </w:divBdr>
    </w:div>
    <w:div w:id="2029453599">
      <w:bodyDiv w:val="1"/>
      <w:marLeft w:val="0"/>
      <w:marRight w:val="0"/>
      <w:marTop w:val="0"/>
      <w:marBottom w:val="0"/>
      <w:divBdr>
        <w:top w:val="none" w:sz="0" w:space="0" w:color="auto"/>
        <w:left w:val="none" w:sz="0" w:space="0" w:color="auto"/>
        <w:bottom w:val="none" w:sz="0" w:space="0" w:color="auto"/>
        <w:right w:val="none" w:sz="0" w:space="0" w:color="auto"/>
      </w:divBdr>
    </w:div>
    <w:div w:id="2036879565">
      <w:bodyDiv w:val="1"/>
      <w:marLeft w:val="0"/>
      <w:marRight w:val="0"/>
      <w:marTop w:val="0"/>
      <w:marBottom w:val="0"/>
      <w:divBdr>
        <w:top w:val="none" w:sz="0" w:space="0" w:color="auto"/>
        <w:left w:val="none" w:sz="0" w:space="0" w:color="auto"/>
        <w:bottom w:val="none" w:sz="0" w:space="0" w:color="auto"/>
        <w:right w:val="none" w:sz="0" w:space="0" w:color="auto"/>
      </w:divBdr>
    </w:div>
    <w:div w:id="2054109381">
      <w:bodyDiv w:val="1"/>
      <w:marLeft w:val="0"/>
      <w:marRight w:val="0"/>
      <w:marTop w:val="0"/>
      <w:marBottom w:val="0"/>
      <w:divBdr>
        <w:top w:val="none" w:sz="0" w:space="0" w:color="auto"/>
        <w:left w:val="none" w:sz="0" w:space="0" w:color="auto"/>
        <w:bottom w:val="none" w:sz="0" w:space="0" w:color="auto"/>
        <w:right w:val="none" w:sz="0" w:space="0" w:color="auto"/>
      </w:divBdr>
    </w:div>
    <w:div w:id="2060470369">
      <w:bodyDiv w:val="1"/>
      <w:marLeft w:val="0"/>
      <w:marRight w:val="0"/>
      <w:marTop w:val="0"/>
      <w:marBottom w:val="0"/>
      <w:divBdr>
        <w:top w:val="none" w:sz="0" w:space="0" w:color="auto"/>
        <w:left w:val="none" w:sz="0" w:space="0" w:color="auto"/>
        <w:bottom w:val="none" w:sz="0" w:space="0" w:color="auto"/>
        <w:right w:val="none" w:sz="0" w:space="0" w:color="auto"/>
      </w:divBdr>
    </w:div>
    <w:div w:id="2071686118">
      <w:bodyDiv w:val="1"/>
      <w:marLeft w:val="0"/>
      <w:marRight w:val="0"/>
      <w:marTop w:val="0"/>
      <w:marBottom w:val="0"/>
      <w:divBdr>
        <w:top w:val="none" w:sz="0" w:space="0" w:color="auto"/>
        <w:left w:val="none" w:sz="0" w:space="0" w:color="auto"/>
        <w:bottom w:val="none" w:sz="0" w:space="0" w:color="auto"/>
        <w:right w:val="none" w:sz="0" w:space="0" w:color="auto"/>
      </w:divBdr>
    </w:div>
    <w:div w:id="2108771391">
      <w:bodyDiv w:val="1"/>
      <w:marLeft w:val="0"/>
      <w:marRight w:val="0"/>
      <w:marTop w:val="0"/>
      <w:marBottom w:val="0"/>
      <w:divBdr>
        <w:top w:val="none" w:sz="0" w:space="0" w:color="auto"/>
        <w:left w:val="none" w:sz="0" w:space="0" w:color="auto"/>
        <w:bottom w:val="none" w:sz="0" w:space="0" w:color="auto"/>
        <w:right w:val="none" w:sz="0" w:space="0" w:color="auto"/>
      </w:divBdr>
    </w:div>
    <w:div w:id="213505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x.doi.org/10.1136/bmjopen-2017-0177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Johnson@soton.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Col98</b:Tag>
    <b:SourceType>JournalArticle</b:SourceType>
    <b:Guid>{1400481E-3436-4296-954E-99BA21D16AB4}</b:Guid>
    <b:Title>. British 1990 growth reference centiles for weight, height, body mass index and head circumference ﬁtted by maximum penalized likelihood</b:Title>
    <b:Year>1998</b:Year>
    <b:Author>
      <b:Author>
        <b:NameList>
          <b:Person>
            <b:Last>Cole TJ</b:Last>
            <b:First>Freeman</b:First>
            <b:Middle>JV, Preece MA</b:Middle>
          </b:Person>
        </b:NameList>
      </b:Author>
    </b:Author>
    <b:JournalName> Stat Med</b:JournalName>
    <b:Pages>;17:407–29.</b:Pages>
    <b:RefOrder>1</b:RefOrder>
  </b:Source>
  <b:Source>
    <b:Tag>Col14</b:Tag>
    <b:SourceType>JournalArticle</b:SourceType>
    <b:Guid>{1B3F3D7E-298C-4F4C-B10B-AFC4A5C3DBEE}</b:Guid>
    <b:Author>
      <b:Author>
        <b:NameList>
          <b:Person>
            <b:Last>Cole TJ</b:Last>
            <b:First>Statnikov</b:First>
            <b:Middle>Y, Santhakumaran S, et al</b:Middle>
          </b:Person>
        </b:NameList>
      </b:Author>
    </b:Author>
    <b:Title>Birth weight and longitudinal growth in infants born below 32 weeks’ gestation: a UK population study</b:Title>
    <b:JournalName>Archives of Disease in Childhood - Fetal and Neonatal Edition</b:JournalName>
    <b:Year>2014</b:Year>
    <b:Pages>99:F34-F40.</b:Pages>
    <b:RefOrder>2</b:RefOrder>
  </b:Source>
  <b:Source>
    <b:Tag>Johep</b:Tag>
    <b:SourceType>JournalArticle</b:SourceType>
    <b:Guid>{DF2467AE-0A1B-4CBC-ACCD-0211E82D44BE}</b:Guid>
    <b:Author>
      <b:Author>
        <b:NameList>
          <b:Person>
            <b:Last>Johnson MJ1</b:Last>
            <b:First>Wootton</b:First>
            <b:Middle>SA, Leaf AA, Jackson AA.</b:Middle>
          </b:Person>
        </b:NameList>
      </b:Author>
    </b:Author>
    <b:Title>Preterm birth and body composition at term equivalent age: a systematic review and meta-analysis.</b:Title>
    <b:JournalName>Paediatrics</b:JournalName>
    <b:Year>2012 Sep</b:Year>
    <b:Pages>130(3):e640-9</b:Pages>
    <b:RefOrder>6</b:RefOrder>
  </b:Source>
  <b:Source>
    <b:Tag>Pan</b:Tag>
    <b:SourceType>InternetSite</b:SourceType>
    <b:Guid>{7DEBCCAA-2F4F-41D1-A461-ACD380C202BC}</b:Guid>
    <b:Author>
      <b:Author>
        <b:NameList>
          <b:Person>
            <b:Last>Pan H</b:Last>
            <b:First>Cole</b:First>
            <b:Middle>TJ</b:Middle>
          </b:Person>
        </b:NameList>
      </b:Author>
    </b:Author>
    <b:Title>LMSchartmaker, a program to construct growth references using the LMS metho. Version 2.54.</b:Title>
    <b:URL>http://www.healthforallchildren.co.uk/; 2011.</b:URL>
    <b:RefOrder>9</b:RefOrder>
  </b:Source>
  <b:Source>
    <b:Tag>NWo88</b:Tag>
    <b:SourceType>JournalArticle</b:SourceType>
    <b:Guid>{21509DEB-6AB0-43C9-B399-4EE33D0411E0}</b:Guid>
    <b:Author>
      <b:Author>
        <b:NameList>
          <b:Person>
            <b:Last>N Wood</b:Last>
            <b:First>K</b:First>
            <b:Middle>Costeloe, A Gibson, E Hennessy, N Marlow,A Wilkinson</b:Middle>
          </b:Person>
        </b:NameList>
      </b:Author>
    </b:Author>
    <b:Title>The EPICure study: growth and associated problems in children born at 25 weeks of gestational age or less</b:Title>
    <b:JournalName>Arch Dis Child Fetal Neonatal Ed 2003; 88</b:JournalName>
    <b:Year>2003; 88</b:Year>
    <b:Pages>F492-500</b:Pages>
    <b:RefOrder>10</b:RefOrder>
  </b:Source>
  <b:Source>
    <b:Tag>Bar04</b:Tag>
    <b:SourceType>JournalArticle</b:SourceType>
    <b:Guid>{86D70F09-8ECB-40B9-AB86-2C78B8CA2076}</b:Guid>
    <b:Author>
      <b:Author>
        <b:NameList>
          <b:Person>
            <b:Last>DJ</b:Last>
            <b:First>Barker</b:First>
          </b:Person>
        </b:NameList>
      </b:Author>
    </b:Author>
    <b:Title>The developmental origins of chronic adult disease</b:Title>
    <b:JournalName>Acta Paediatrica Supplement</b:JournalName>
    <b:Year>2004</b:Year>
    <b:Pages>Dec;93(446);26-33</b:Pages>
    <b:RefOrder>11</b:RefOrder>
  </b:Source>
  <b:Source>
    <b:Tag>Wel07</b:Tag>
    <b:SourceType>JournalArticle</b:SourceType>
    <b:Guid>{C6F794FF-FF56-4AA0-AFDE-72D8F71844A9}</b:Guid>
    <b:Author>
      <b:Author>
        <b:NameList>
          <b:Person>
            <b:Last>Wells JC</b:Last>
            <b:First>Chomtho</b:First>
            <b:Middle>S, Fewtrell MS</b:Middle>
          </b:Person>
        </b:NameList>
      </b:Author>
    </b:Author>
    <b:Title>Programming of body composition by early growth and nutrition</b:Title>
    <b:JournalName>Proc Nutr Soc</b:JournalName>
    <b:Year>2007</b:Year>
    <b:Pages>Aug;66(3):423-34</b:Pages>
    <b:RefOrder>12</b:RefOrder>
  </b:Source>
  <b:Source>
    <b:Tag>Wen12</b:Tag>
    <b:SourceType>JournalArticle</b:SourceType>
    <b:Guid>{102FE56C-2201-4600-90DE-2CEA025634F6}</b:Guid>
    <b:Author>
      <b:Author>
        <b:NameList>
          <b:Person>
            <b:Last>Weng SF</b:Last>
            <b:First>Redsell</b:First>
            <b:Middle>SA, Swift JA, et al</b:Middle>
          </b:Person>
        </b:NameList>
      </b:Author>
    </b:Author>
    <b:Title>Systematic review and meta-analyses of risk factors for childhood overweight identifiable during infancy</b:Title>
    <b:JournalName>Archies of Disease in Childhood</b:JournalName>
    <b:Year>2012</b:Year>
    <b:Pages>;97:1019-1026</b:Pages>
    <b:RefOrder>13</b:RefOrder>
  </b:Source>
  <b:Source>
    <b:Tag>Uth32</b:Tag>
    <b:SourceType>JournalArticle</b:SourceType>
    <b:Guid>{F0610C45-CC2F-4B49-A27D-E60E3BD76220}</b:Guid>
    <b:Title>Nutritional Evaluation and Optimisation in Neonates (NEON) trial of amino acid regimen and intravenous lipid composition in preterm parenteral nutrition: a randomised double-blind controlled trial</b:Title>
    <b:Year>2016:3(2)</b:Year>
    <b:Author>
      <b:Author>
        <b:NameList>
          <b:Person>
            <b:Last>Uthaya S</b:Last>
            <b:First>Liu</b:First>
            <b:Middle>X, Babalis D, Dore C, Warwick J, Bell J, et al</b:Middle>
          </b:Person>
        </b:NameList>
      </b:Author>
    </b:Author>
    <b:JournalName>Efficacy Mech Eval</b:JournalName>
    <b:RefOrder>7</b:RefOrder>
  </b:Source>
  <b:Source>
    <b:Tag>Ron09</b:Tag>
    <b:SourceType>Book</b:SourceType>
    <b:Guid>{0CF75219-647C-4549-92E8-BD92383972E7}</b:Guid>
    <b:Title>Pediatric nutrition handbook 6th edk</b:Title>
    <b:Year>2009</b:Year>
    <b:Author>
      <b:Author>
        <b:NameList>
          <b:Person>
            <b:Last>Ronald E Klleinman</b:Last>
            <b:First>American</b:First>
            <b:Middle>Academy of Pediatrics. Committee on Nutrition.</b:Middle>
          </b:Person>
        </b:NameList>
      </b:Author>
    </b:Author>
    <b:RefOrder>16</b:RefOrder>
  </b:Source>
  <b:Source>
    <b:Tag>Ron091</b:Tag>
    <b:SourceType>Book</b:SourceType>
    <b:Guid>{AFF9C802-F425-43F2-BB8B-04402AB633DB}</b:Guid>
    <b:Author>
      <b:Author>
        <b:NameList>
          <b:Person>
            <b:Last>Kleinman</b:Last>
            <b:First>Ronald</b:First>
            <b:Middle>E</b:Middle>
          </b:Person>
          <b:Person>
            <b:Last>Nutrition.</b:Last>
            <b:First>American</b:First>
            <b:Middle>Academy of Pediatrics. Committee on</b:Middle>
          </b:Person>
        </b:NameList>
      </b:Author>
    </b:Author>
    <b:Title>Pediatric nutrition handbook 6th ed</b:Title>
    <b:Year>2009</b:Year>
    <b:Publisher>Elk Grove Village : American Academy of Pediatrics</b:Publisher>
    <b:RefOrder>3</b:RefOrder>
  </b:Source>
  <b:Source>
    <b:Tag>Ago50</b:Tag>
    <b:SourceType>JournalArticle</b:SourceType>
    <b:Guid>{AF05AB89-E93E-49EF-B1C7-7A8D37D6DBA8}</b:Guid>
    <b:Title> Enteral nutrient supply for preterm infants:commentary from the European Society of Paediatric Gastroenterology Hepatology and Nutrition Committee on Nutrition</b:Title>
    <b:Year>2010;50</b:Year>
    <b:Author>
      <b:Author>
        <b:NameList>
          <b:Person>
            <b:Last>Agostoni C</b:Last>
            <b:First>Buonocore</b:First>
            <b:Middle>G, Carnielli VP, De Curtis M, Darmaun</b:Middle>
          </b:Person>
        </b:NameList>
      </b:Author>
    </b:Author>
    <b:JournalName>J Paediatr Gastroenterol Nutr.</b:JournalName>
    <b:Pages>85-91</b:Pages>
    <b:RefOrder>4</b:RefOrder>
  </b:Source>
  <b:Source>
    <b:Tag>Sto11</b:Tag>
    <b:SourceType>JournalArticle</b:SourceType>
    <b:Guid>{9EB66AA1-76F1-480C-8144-528AC7C80FB6}</b:Guid>
    <b:Author>
      <b:Author>
        <b:NameList>
          <b:Person>
            <b:Last>Stoltz Sjöström E</b:Last>
            <b:First>Ohlund</b:First>
            <b:Middle>I, Ahlsson F, et al.</b:Middle>
          </b:Person>
        </b:NameList>
      </b:Author>
    </b:Author>
    <b:Title>Nutrient intakes independently affect growth in extremely preterm infants: results from a population-based study. </b:Title>
    <b:JournalName>Acta Paediatr. </b:JournalName>
    <b:Year>2013:102(11)</b:Year>
    <b:Pages>1067-1074</b:Pages>
    <b:RefOrder>8</b:RefOrder>
  </b:Source>
  <b:Source>
    <b:Tag>Ash17</b:Tag>
    <b:SourceType>JournalArticle</b:SourceType>
    <b:Guid>{64EBE5C5-2124-47C0-B0C8-FC4CEBE0762B}</b:Guid>
    <b:Author>
      <b:Author>
        <b:NameList>
          <b:Person>
            <b:Last>Ashton J</b:Last>
            <b:First>Johnson</b:First>
            <b:Middle>M, Pond J, Crowley P, Dimitrov B, Pearson F, Beattie R</b:Middle>
          </b:Person>
        </b:NameList>
      </b:Author>
    </b:Author>
    <b:Title>Assessing the growth of preterm infants using detailed anthropometry</b:Title>
    <b:JournalName>Acta Paediatrica</b:JournalName>
    <b:Year>2017</b:Year>
    <b:Pages>889-896</b:Pages>
    <b:RefOrder>15</b:RefOrder>
  </b:Source>
  <b:Source>
    <b:Tag>Ric42</b:Tag>
    <b:SourceType>JournalArticle</b:SourceType>
    <b:Guid>{ADA7C512-29B0-4401-9930-0008838B6894}</b:Guid>
    <b:Author>
      <b:Author>
        <b:NameList>
          <b:Person>
            <b:Last>Richard A. Ehrenkranz</b:Last>
            <b:First>Naji</b:First>
            <b:Middle>Younes, James A. Lemons, Avroy A. Fanaroff, Edward F. Donovan, Linda L. Wright, Vasilis Katsikiotis, Jon E. Tyson, William Oh, Seetha Shankaran, Charles R. Bauer, Sheldon B. Korones, Barbara J. Stoll, David K. Stevenson, Lu-Ann</b:Middle>
          </b:Person>
        </b:NameList>
      </b:Author>
    </b:Author>
    <b:Title>Longitudinal Growth of Hospitalized Very Low Birth Weight Infants</b:Title>
    <b:JournalName>Pediatrics</b:JournalName>
    <b:Year>1999, 104 (2)</b:Year>
    <b:Pages>280-289</b:Pages>
    <b:RefOrder>5</b:RefOrder>
  </b:Source>
  <b:Source>
    <b:Tag>Roc16</b:Tag>
    <b:SourceType>JournalArticle</b:SourceType>
    <b:Guid>{65AD6E28-351D-4001-B5B9-D2B2AE708C7A}</b:Guid>
    <b:Author>
      <b:Author>
        <b:NameList>
          <b:Person>
            <b:Last>C</b:Last>
            <b:First>Rochow</b:First>
            <b:Middle>N Raja P Liu K Fenton T Landau-Crangle E Göttler S Jahn A Lee S Seigel S Campbell D Heckmann M Pöschl J Fusch</b:Middle>
          </b:Person>
        </b:NameList>
      </b:Author>
    </b:Author>
    <b:Title>Physiological adjustment to postnatal growth trajectories in healthy preterm infants</b:Title>
    <b:JournalName>Pediatric Research</b:JournalName>
    <b:Year>2016</b:Year>
    <b:Pages>870-879</b:Pages>
    <b:RefOrder>14</b:RefOrder>
  </b:Source>
</b:Sources>
</file>

<file path=customXml/itemProps1.xml><?xml version="1.0" encoding="utf-8"?>
<ds:datastoreItem xmlns:ds="http://schemas.openxmlformats.org/officeDocument/2006/customXml" ds:itemID="{368BE80A-E9D9-4B03-BB39-9FA13B8E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30133</Words>
  <Characters>171763</Characters>
  <Application>Microsoft Office Word</Application>
  <DocSecurity>0</DocSecurity>
  <Lines>1431</Lines>
  <Paragraphs>402</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201494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E.</dc:creator>
  <cp:lastModifiedBy>Ashton J.</cp:lastModifiedBy>
  <cp:revision>2</cp:revision>
  <cp:lastPrinted>2018-03-16T13:26:00Z</cp:lastPrinted>
  <dcterms:created xsi:type="dcterms:W3CDTF">2018-09-19T13:00:00Z</dcterms:created>
  <dcterms:modified xsi:type="dcterms:W3CDTF">2018-09-19T13:00:00Z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http://www.zotero.org/styles/bmj</vt:lpwstr>
  </property>
  <property fmtid="{D5CDD505-2E9C-101B-9397-08002B2CF9AE}" pid="9" name="Mendeley Recent Style Name 3_1">
    <vt:lpwstr>BMJ</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c0a8cbfa-d5f6-3a96-b945-8c7e490b5b23</vt:lpwstr>
  </property>
  <property fmtid="{D5CDD505-2E9C-101B-9397-08002B2CF9AE}" pid="24" name="Mendeley Citation Style_1">
    <vt:lpwstr>http://www.zotero.org/styles/bmj</vt:lpwstr>
  </property>
</Properties>
</file>