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3006F" w14:textId="77777777" w:rsidR="00D926EB" w:rsidRPr="00F03722" w:rsidRDefault="00D926EB" w:rsidP="00A97B39">
      <w:pPr>
        <w:spacing w:after="0" w:line="480" w:lineRule="auto"/>
        <w:jc w:val="both"/>
        <w:rPr>
          <w:rFonts w:cs="Times New Roman"/>
          <w:b/>
          <w:bCs/>
        </w:rPr>
      </w:pPr>
      <w:r>
        <w:rPr>
          <w:rFonts w:cs="Times New Roman"/>
          <w:b/>
          <w:bCs/>
        </w:rPr>
        <w:t>C</w:t>
      </w:r>
      <w:r w:rsidRPr="00F03722">
        <w:rPr>
          <w:rFonts w:cs="Times New Roman"/>
          <w:b/>
          <w:bCs/>
        </w:rPr>
        <w:t xml:space="preserve">omorbidities </w:t>
      </w:r>
      <w:r>
        <w:rPr>
          <w:rFonts w:cs="Times New Roman"/>
          <w:b/>
          <w:bCs/>
        </w:rPr>
        <w:t>are associated with</w:t>
      </w:r>
      <w:r w:rsidRPr="00F03722">
        <w:rPr>
          <w:rFonts w:cs="Times New Roman"/>
          <w:b/>
          <w:bCs/>
        </w:rPr>
        <w:t xml:space="preserve"> poorer quality of life</w:t>
      </w:r>
      <w:r>
        <w:rPr>
          <w:rFonts w:cs="Times New Roman"/>
          <w:b/>
          <w:bCs/>
        </w:rPr>
        <w:t>,</w:t>
      </w:r>
      <w:r w:rsidRPr="00F03722">
        <w:rPr>
          <w:rFonts w:cs="Times New Roman"/>
          <w:b/>
          <w:bCs/>
        </w:rPr>
        <w:t xml:space="preserve"> functioning </w:t>
      </w:r>
      <w:r>
        <w:rPr>
          <w:rFonts w:cs="Times New Roman"/>
          <w:b/>
          <w:bCs/>
        </w:rPr>
        <w:t>and worse</w:t>
      </w:r>
      <w:r w:rsidRPr="00F03722">
        <w:rPr>
          <w:rFonts w:cs="Times New Roman"/>
          <w:b/>
          <w:bCs/>
        </w:rPr>
        <w:t xml:space="preserve"> symptoms in the 5 years following colorectal cancer surgery: Results from the ColoREctal Wellbeing (CREW) cohort study</w:t>
      </w:r>
    </w:p>
    <w:p w14:paraId="3B84A42D" w14:textId="77777777" w:rsidR="00D926EB" w:rsidRPr="00F03722" w:rsidRDefault="00D926EB" w:rsidP="00A97B39">
      <w:pPr>
        <w:spacing w:after="0" w:line="480" w:lineRule="auto"/>
        <w:jc w:val="both"/>
        <w:rPr>
          <w:rFonts w:cs="Times New Roman"/>
          <w:b/>
          <w:bCs/>
        </w:rPr>
      </w:pPr>
    </w:p>
    <w:p w14:paraId="6A9B23F1" w14:textId="77777777" w:rsidR="00D926EB" w:rsidRPr="00F03722" w:rsidRDefault="00D926EB" w:rsidP="00A97B39">
      <w:pPr>
        <w:spacing w:after="0" w:line="480" w:lineRule="auto"/>
        <w:jc w:val="both"/>
        <w:rPr>
          <w:color w:val="1F497D"/>
        </w:rPr>
      </w:pPr>
      <w:r w:rsidRPr="00F03722">
        <w:rPr>
          <w:rFonts w:cs="Times New Roman"/>
          <w:b/>
          <w:bCs/>
          <w:u w:val="single"/>
        </w:rPr>
        <w:t>Running title</w:t>
      </w:r>
      <w:r w:rsidRPr="00F03722">
        <w:rPr>
          <w:rFonts w:cs="Times New Roman"/>
          <w:b/>
          <w:bCs/>
        </w:rPr>
        <w:t xml:space="preserve">: </w:t>
      </w:r>
      <w:r w:rsidRPr="00F03722">
        <w:rPr>
          <w:b/>
          <w:bCs/>
        </w:rPr>
        <w:t xml:space="preserve">Comorbidities influence wellbeing 5 years after colorectal cancer  </w:t>
      </w:r>
    </w:p>
    <w:p w14:paraId="5CBECD55" w14:textId="77777777" w:rsidR="00D926EB" w:rsidRPr="00F03722" w:rsidRDefault="00D926EB" w:rsidP="00A97B39">
      <w:pPr>
        <w:spacing w:after="0" w:line="480" w:lineRule="auto"/>
        <w:jc w:val="both"/>
        <w:rPr>
          <w:rFonts w:cs="Times New Roman"/>
          <w:b/>
          <w:bCs/>
        </w:rPr>
      </w:pPr>
    </w:p>
    <w:p w14:paraId="1ED82E97" w14:textId="77777777" w:rsidR="00D926EB" w:rsidRPr="00F03722" w:rsidRDefault="00D926EB" w:rsidP="00A97B39">
      <w:pPr>
        <w:spacing w:after="0" w:line="480" w:lineRule="auto"/>
        <w:jc w:val="both"/>
        <w:rPr>
          <w:rFonts w:cs="Times New Roman"/>
          <w:b/>
        </w:rPr>
      </w:pPr>
      <w:r w:rsidRPr="00F03722">
        <w:rPr>
          <w:rFonts w:cs="Times New Roman"/>
        </w:rPr>
        <w:t>Amanda Cummings</w:t>
      </w:r>
      <w:r w:rsidRPr="00F03722">
        <w:rPr>
          <w:rFonts w:cs="Times New Roman"/>
          <w:vertAlign w:val="superscript"/>
        </w:rPr>
        <w:t>1</w:t>
      </w:r>
      <w:r w:rsidRPr="00F03722">
        <w:rPr>
          <w:rFonts w:cs="Times New Roman"/>
        </w:rPr>
        <w:t>, Chloe Grimmett</w:t>
      </w:r>
      <w:r w:rsidRPr="00F03722">
        <w:rPr>
          <w:rFonts w:cs="Times New Roman"/>
          <w:vertAlign w:val="superscript"/>
        </w:rPr>
        <w:t>1</w:t>
      </w:r>
      <w:r w:rsidRPr="00F03722">
        <w:rPr>
          <w:rFonts w:cs="Times New Roman"/>
        </w:rPr>
        <w:t>, Lynn Calman</w:t>
      </w:r>
      <w:r w:rsidRPr="00F03722">
        <w:rPr>
          <w:rFonts w:cs="Times New Roman"/>
          <w:vertAlign w:val="superscript"/>
        </w:rPr>
        <w:t>1</w:t>
      </w:r>
      <w:r w:rsidRPr="00F03722">
        <w:rPr>
          <w:rFonts w:cs="Times New Roman"/>
        </w:rPr>
        <w:t>, Mubarak Patel</w:t>
      </w:r>
      <w:r w:rsidRPr="00F03722">
        <w:rPr>
          <w:rFonts w:cs="Times New Roman"/>
          <w:vertAlign w:val="superscript"/>
        </w:rPr>
        <w:t>1</w:t>
      </w:r>
      <w:r w:rsidRPr="00F03722">
        <w:rPr>
          <w:rFonts w:cs="Times New Roman"/>
        </w:rPr>
        <w:t xml:space="preserve">, </w:t>
      </w:r>
      <w:r w:rsidRPr="0043621E">
        <w:rPr>
          <w:rFonts w:cs="Times New Roman"/>
        </w:rPr>
        <w:t xml:space="preserve">Natalia </w:t>
      </w:r>
      <w:r w:rsidR="0043621E" w:rsidRPr="0043621E">
        <w:rPr>
          <w:lang w:eastAsia="en-US"/>
        </w:rPr>
        <w:t xml:space="preserve">Vadimovna </w:t>
      </w:r>
      <w:r>
        <w:rPr>
          <w:rFonts w:cs="Times New Roman"/>
        </w:rPr>
        <w:t>Permyakova</w:t>
      </w:r>
      <w:r w:rsidRPr="00F03722">
        <w:rPr>
          <w:rFonts w:cs="Times New Roman"/>
          <w:vertAlign w:val="superscript"/>
        </w:rPr>
        <w:t>1</w:t>
      </w:r>
      <w:r>
        <w:rPr>
          <w:rFonts w:cs="Times New Roman"/>
          <w:vertAlign w:val="superscript"/>
        </w:rPr>
        <w:t>,2</w:t>
      </w:r>
      <w:r>
        <w:rPr>
          <w:rFonts w:cs="Times New Roman"/>
        </w:rPr>
        <w:t xml:space="preserve">, </w:t>
      </w:r>
      <w:r w:rsidRPr="00F03722">
        <w:rPr>
          <w:rFonts w:cs="Times New Roman"/>
        </w:rPr>
        <w:t>Jane Winter</w:t>
      </w:r>
      <w:r>
        <w:rPr>
          <w:rFonts w:cs="Times New Roman"/>
          <w:vertAlign w:val="superscript"/>
        </w:rPr>
        <w:t>1,3</w:t>
      </w:r>
      <w:r w:rsidRPr="00F03722">
        <w:rPr>
          <w:rFonts w:cs="Times New Roman"/>
        </w:rPr>
        <w:t>, Jessica Corner</w:t>
      </w:r>
      <w:r>
        <w:rPr>
          <w:rFonts w:cs="Times New Roman"/>
          <w:vertAlign w:val="superscript"/>
        </w:rPr>
        <w:t>4</w:t>
      </w:r>
      <w:r w:rsidRPr="00F03722">
        <w:rPr>
          <w:rFonts w:cs="Times New Roman"/>
        </w:rPr>
        <w:t>, Amy Din</w:t>
      </w:r>
      <w:r w:rsidRPr="00F03722">
        <w:rPr>
          <w:rFonts w:cs="Times New Roman"/>
          <w:vertAlign w:val="superscript"/>
        </w:rPr>
        <w:t>1</w:t>
      </w:r>
      <w:r w:rsidRPr="00F03722">
        <w:rPr>
          <w:rFonts w:cs="Times New Roman"/>
        </w:rPr>
        <w:t>, Deborah Fenlon</w:t>
      </w:r>
      <w:r>
        <w:rPr>
          <w:rFonts w:cs="Times New Roman"/>
          <w:vertAlign w:val="superscript"/>
        </w:rPr>
        <w:t>5</w:t>
      </w:r>
      <w:r w:rsidRPr="00F03722">
        <w:rPr>
          <w:rFonts w:cs="Times New Roman"/>
        </w:rPr>
        <w:t>, Alison Richardson</w:t>
      </w:r>
      <w:r>
        <w:rPr>
          <w:rFonts w:cs="Times New Roman"/>
          <w:vertAlign w:val="superscript"/>
        </w:rPr>
        <w:t>3</w:t>
      </w:r>
      <w:r w:rsidRPr="00F03722">
        <w:rPr>
          <w:rFonts w:cs="Times New Roman"/>
          <w:vertAlign w:val="superscript"/>
        </w:rPr>
        <w:t>,</w:t>
      </w:r>
      <w:r>
        <w:rPr>
          <w:rFonts w:cs="Times New Roman"/>
          <w:vertAlign w:val="superscript"/>
        </w:rPr>
        <w:t>6</w:t>
      </w:r>
      <w:r w:rsidRPr="00F03722">
        <w:rPr>
          <w:rFonts w:cs="Times New Roman"/>
        </w:rPr>
        <w:t>, Peter W Smith</w:t>
      </w:r>
      <w:r>
        <w:rPr>
          <w:rFonts w:cs="Times New Roman"/>
          <w:vertAlign w:val="superscript"/>
        </w:rPr>
        <w:t>2</w:t>
      </w:r>
      <w:r w:rsidRPr="00F03722">
        <w:rPr>
          <w:rFonts w:cs="Times New Roman"/>
        </w:rPr>
        <w:t>, Members of CREW Study Advisory Committee*, Claire Foster</w:t>
      </w:r>
      <w:r w:rsidRPr="00F03722">
        <w:rPr>
          <w:rFonts w:cs="Times New Roman"/>
          <w:vertAlign w:val="superscript"/>
        </w:rPr>
        <w:t xml:space="preserve">1  </w:t>
      </w:r>
    </w:p>
    <w:p w14:paraId="6680223B" w14:textId="77777777" w:rsidR="00D926EB" w:rsidRPr="00F03722" w:rsidRDefault="00D926EB" w:rsidP="00A97B39">
      <w:pPr>
        <w:spacing w:line="480" w:lineRule="auto"/>
        <w:jc w:val="both"/>
        <w:rPr>
          <w:rFonts w:cs="Times New Roman"/>
          <w:b/>
        </w:rPr>
      </w:pPr>
    </w:p>
    <w:p w14:paraId="5CAE274B" w14:textId="77777777" w:rsidR="00D926EB" w:rsidRDefault="00D926EB" w:rsidP="00A97B39">
      <w:pPr>
        <w:spacing w:line="480" w:lineRule="auto"/>
        <w:jc w:val="both"/>
        <w:rPr>
          <w:rFonts w:cs="Times New Roman"/>
        </w:rPr>
      </w:pPr>
      <w:r w:rsidRPr="00F03722">
        <w:rPr>
          <w:rFonts w:cs="Times New Roman"/>
        </w:rPr>
        <w:t>1 Macmillan Survivorship Research Group, Faculty of Health Sciences, University of Southampton, Southampton, UK</w:t>
      </w:r>
    </w:p>
    <w:p w14:paraId="20265DBC" w14:textId="77777777" w:rsidR="00D926EB" w:rsidRPr="00F03722" w:rsidRDefault="00D926EB" w:rsidP="00A97B39">
      <w:pPr>
        <w:spacing w:line="480" w:lineRule="auto"/>
        <w:jc w:val="both"/>
        <w:rPr>
          <w:rFonts w:cs="Times New Roman"/>
        </w:rPr>
      </w:pPr>
      <w:r>
        <w:rPr>
          <w:rFonts w:cs="Times New Roman"/>
        </w:rPr>
        <w:t xml:space="preserve">2 </w:t>
      </w:r>
      <w:r w:rsidRPr="00F03722">
        <w:rPr>
          <w:rFonts w:cs="Times New Roman"/>
        </w:rPr>
        <w:t>Social Statistics and Demography, Social Sciences, University of Southampton, Southampton, UK</w:t>
      </w:r>
    </w:p>
    <w:p w14:paraId="7AE6C7F1" w14:textId="77777777" w:rsidR="00D926EB" w:rsidRPr="00F03722" w:rsidRDefault="00D926EB" w:rsidP="00A97B39">
      <w:pPr>
        <w:spacing w:line="480" w:lineRule="auto"/>
        <w:jc w:val="both"/>
        <w:rPr>
          <w:rFonts w:cs="Times New Roman"/>
        </w:rPr>
      </w:pPr>
      <w:r>
        <w:rPr>
          <w:rFonts w:eastAsia="Times New Roman" w:cs="Times New Roman"/>
          <w:lang w:eastAsia="en-GB"/>
        </w:rPr>
        <w:t>3</w:t>
      </w:r>
      <w:r w:rsidRPr="00F03722">
        <w:rPr>
          <w:rFonts w:eastAsia="Times New Roman" w:cs="Times New Roman"/>
          <w:lang w:eastAsia="en-GB"/>
        </w:rPr>
        <w:t xml:space="preserve"> </w:t>
      </w:r>
      <w:r w:rsidRPr="00F03722">
        <w:rPr>
          <w:rFonts w:cs="Times New Roman"/>
        </w:rPr>
        <w:t>University Hospital Southampton NHS Foundation Trust, Southampton, UK</w:t>
      </w:r>
    </w:p>
    <w:p w14:paraId="02914FCE" w14:textId="77777777" w:rsidR="00D926EB" w:rsidRPr="00F03722" w:rsidRDefault="00D926EB" w:rsidP="00A97B39">
      <w:pPr>
        <w:spacing w:line="480" w:lineRule="auto"/>
        <w:jc w:val="both"/>
        <w:rPr>
          <w:rFonts w:cs="Times New Roman"/>
        </w:rPr>
      </w:pPr>
      <w:r>
        <w:rPr>
          <w:rFonts w:cs="Times New Roman"/>
        </w:rPr>
        <w:t>4</w:t>
      </w:r>
      <w:r w:rsidRPr="00F03722">
        <w:rPr>
          <w:rFonts w:cs="Times New Roman"/>
        </w:rPr>
        <w:t xml:space="preserve"> Executive Office, University of Nottingham, Nottingham, UK</w:t>
      </w:r>
    </w:p>
    <w:p w14:paraId="1BAF5101" w14:textId="77777777" w:rsidR="00D926EB" w:rsidRPr="00F03722" w:rsidRDefault="00D926EB" w:rsidP="00A97B39">
      <w:pPr>
        <w:spacing w:line="480" w:lineRule="auto"/>
        <w:jc w:val="both"/>
        <w:rPr>
          <w:rFonts w:cs="Times New Roman"/>
        </w:rPr>
      </w:pPr>
      <w:r>
        <w:rPr>
          <w:rFonts w:cs="Times New Roman"/>
        </w:rPr>
        <w:t>5</w:t>
      </w:r>
      <w:r w:rsidRPr="00F03722">
        <w:rPr>
          <w:rFonts w:cs="Times New Roman"/>
        </w:rPr>
        <w:t xml:space="preserve"> College of Health and Human Sciences, Swansea University, Swansea, UK</w:t>
      </w:r>
    </w:p>
    <w:p w14:paraId="2FC34B90" w14:textId="77777777" w:rsidR="00D926EB" w:rsidRPr="00F03722" w:rsidRDefault="00D926EB" w:rsidP="00A97B39">
      <w:pPr>
        <w:spacing w:line="480" w:lineRule="auto"/>
        <w:jc w:val="both"/>
        <w:rPr>
          <w:rFonts w:cs="Times New Roman"/>
        </w:rPr>
      </w:pPr>
      <w:r>
        <w:rPr>
          <w:rFonts w:cs="Times New Roman"/>
        </w:rPr>
        <w:t>6</w:t>
      </w:r>
      <w:r w:rsidRPr="00F03722">
        <w:rPr>
          <w:rFonts w:cs="Times New Roman"/>
        </w:rPr>
        <w:t xml:space="preserve"> Faculty of Health Sciences, University of Southampton, Southampton, UK</w:t>
      </w:r>
    </w:p>
    <w:p w14:paraId="7236A6A1" w14:textId="77777777" w:rsidR="00D926EB" w:rsidRDefault="00D926EB" w:rsidP="00A97B39">
      <w:pPr>
        <w:spacing w:after="0" w:line="480" w:lineRule="auto"/>
        <w:jc w:val="both"/>
        <w:rPr>
          <w:rFonts w:cs="Times New Roman"/>
        </w:rPr>
      </w:pPr>
    </w:p>
    <w:p w14:paraId="34BDB398" w14:textId="77777777" w:rsidR="00D926EB" w:rsidRPr="00F03722" w:rsidRDefault="00D926EB" w:rsidP="00A97B39">
      <w:pPr>
        <w:spacing w:after="0" w:line="480" w:lineRule="auto"/>
        <w:jc w:val="both"/>
        <w:rPr>
          <w:rFonts w:cs="Times New Roman"/>
        </w:rPr>
      </w:pPr>
    </w:p>
    <w:p w14:paraId="6C9F9553" w14:textId="77777777" w:rsidR="00D926EB" w:rsidRPr="00F03722" w:rsidRDefault="00D926EB" w:rsidP="00A97B39">
      <w:pPr>
        <w:autoSpaceDE w:val="0"/>
        <w:autoSpaceDN w:val="0"/>
        <w:adjustRightInd w:val="0"/>
        <w:spacing w:after="0" w:line="480" w:lineRule="auto"/>
        <w:jc w:val="both"/>
        <w:rPr>
          <w:rFonts w:cs="Times New Roman"/>
          <w:bCs/>
        </w:rPr>
      </w:pPr>
    </w:p>
    <w:p w14:paraId="41307974" w14:textId="77777777" w:rsidR="00D926EB" w:rsidRDefault="00D926EB" w:rsidP="00A97B39">
      <w:pPr>
        <w:autoSpaceDE w:val="0"/>
        <w:autoSpaceDN w:val="0"/>
        <w:adjustRightInd w:val="0"/>
        <w:spacing w:after="0" w:line="480" w:lineRule="auto"/>
        <w:jc w:val="both"/>
        <w:rPr>
          <w:rFonts w:cs="Times New Roman"/>
          <w:bCs/>
        </w:rPr>
      </w:pPr>
      <w:r w:rsidRPr="00F03722">
        <w:rPr>
          <w:rFonts w:cs="Times New Roman"/>
          <w:bCs/>
        </w:rPr>
        <w:t>* Members listed in Acknowledgements</w:t>
      </w:r>
    </w:p>
    <w:p w14:paraId="7BB02AFB" w14:textId="5D5346DB" w:rsidR="00D926EB" w:rsidRDefault="00D926EB" w:rsidP="00A97B39">
      <w:pPr>
        <w:autoSpaceDE w:val="0"/>
        <w:autoSpaceDN w:val="0"/>
        <w:adjustRightInd w:val="0"/>
        <w:spacing w:after="0" w:line="480" w:lineRule="auto"/>
        <w:jc w:val="both"/>
        <w:rPr>
          <w:rFonts w:cs="Times New Roman"/>
          <w:bCs/>
        </w:rPr>
      </w:pPr>
    </w:p>
    <w:p w14:paraId="5ED2381E" w14:textId="66B57ED8" w:rsidR="00A011F6" w:rsidRDefault="00A011F6" w:rsidP="00A97B39">
      <w:pPr>
        <w:autoSpaceDE w:val="0"/>
        <w:autoSpaceDN w:val="0"/>
        <w:adjustRightInd w:val="0"/>
        <w:spacing w:after="0" w:line="480" w:lineRule="auto"/>
        <w:jc w:val="both"/>
        <w:rPr>
          <w:rFonts w:cs="Times New Roman"/>
          <w:bCs/>
        </w:rPr>
      </w:pPr>
    </w:p>
    <w:p w14:paraId="5BD00FC4" w14:textId="77777777" w:rsidR="00A011F6" w:rsidRDefault="00A011F6" w:rsidP="00A97B39">
      <w:pPr>
        <w:autoSpaceDE w:val="0"/>
        <w:autoSpaceDN w:val="0"/>
        <w:adjustRightInd w:val="0"/>
        <w:spacing w:after="0" w:line="480" w:lineRule="auto"/>
        <w:jc w:val="both"/>
        <w:rPr>
          <w:rFonts w:cs="Times New Roman"/>
          <w:bCs/>
        </w:rPr>
      </w:pPr>
    </w:p>
    <w:p w14:paraId="306DE934" w14:textId="77777777" w:rsidR="00D926EB" w:rsidRPr="00F03722" w:rsidRDefault="00D926EB" w:rsidP="00A97B39">
      <w:pPr>
        <w:spacing w:line="480" w:lineRule="auto"/>
        <w:jc w:val="both"/>
        <w:rPr>
          <w:rFonts w:cs="Times New Roman"/>
          <w:bCs/>
        </w:rPr>
      </w:pPr>
      <w:r w:rsidRPr="00F03722">
        <w:rPr>
          <w:rFonts w:cs="Times New Roman"/>
          <w:b/>
        </w:rPr>
        <w:lastRenderedPageBreak/>
        <w:t>ABSTRACT</w:t>
      </w:r>
    </w:p>
    <w:p w14:paraId="039839D9" w14:textId="77777777" w:rsidR="00D926EB" w:rsidRPr="00F03722" w:rsidRDefault="00D926EB" w:rsidP="00A97B39">
      <w:pPr>
        <w:tabs>
          <w:tab w:val="left" w:pos="2030"/>
        </w:tabs>
        <w:spacing w:line="480" w:lineRule="auto"/>
        <w:jc w:val="both"/>
        <w:rPr>
          <w:rFonts w:cs="Times New Roman"/>
          <w:i/>
          <w:iCs/>
        </w:rPr>
      </w:pPr>
      <w:r w:rsidRPr="00F03722">
        <w:rPr>
          <w:rFonts w:cs="Times New Roman"/>
          <w:i/>
          <w:iCs/>
        </w:rPr>
        <w:t>Objective</w:t>
      </w:r>
      <w:r w:rsidRPr="00F03722">
        <w:rPr>
          <w:rFonts w:cs="Times New Roman"/>
          <w:i/>
          <w:iCs/>
        </w:rPr>
        <w:tab/>
      </w:r>
    </w:p>
    <w:p w14:paraId="01EFF807" w14:textId="77777777" w:rsidR="00D926EB" w:rsidRPr="00F03722" w:rsidRDefault="00D926EB" w:rsidP="00A97B39">
      <w:pPr>
        <w:spacing w:line="480" w:lineRule="auto"/>
        <w:jc w:val="both"/>
        <w:rPr>
          <w:rFonts w:cs="Times New Roman"/>
        </w:rPr>
      </w:pPr>
      <w:r>
        <w:rPr>
          <w:rFonts w:cs="Times New Roman"/>
        </w:rPr>
        <w:t>M</w:t>
      </w:r>
      <w:r w:rsidRPr="00F03722">
        <w:rPr>
          <w:rFonts w:cs="Times New Roman"/>
        </w:rPr>
        <w:t xml:space="preserve">ore people are living with the consequences of cancer and comorbidity.  We describe frequencies of comorbidities in a colorectal cancer cohort and associations with health and wellbeing outcomes up to five years following surgery. </w:t>
      </w:r>
    </w:p>
    <w:p w14:paraId="6E0ACEE0" w14:textId="77777777" w:rsidR="00D926EB" w:rsidRPr="00F03722" w:rsidRDefault="00D926EB" w:rsidP="00A97B39">
      <w:pPr>
        <w:spacing w:line="480" w:lineRule="auto"/>
        <w:jc w:val="both"/>
        <w:rPr>
          <w:rFonts w:cs="Times New Roman"/>
          <w:i/>
          <w:iCs/>
        </w:rPr>
      </w:pPr>
      <w:r w:rsidRPr="00F03722">
        <w:rPr>
          <w:rFonts w:cs="Times New Roman"/>
          <w:i/>
          <w:iCs/>
        </w:rPr>
        <w:t>Methods</w:t>
      </w:r>
    </w:p>
    <w:p w14:paraId="2FAF5945" w14:textId="77777777" w:rsidR="00D926EB" w:rsidRPr="00F03722" w:rsidRDefault="00D926EB" w:rsidP="00A97B39">
      <w:pPr>
        <w:spacing w:line="480" w:lineRule="auto"/>
        <w:jc w:val="both"/>
        <w:rPr>
          <w:rFonts w:cs="Times New Roman"/>
        </w:rPr>
      </w:pPr>
      <w:r>
        <w:rPr>
          <w:rFonts w:cs="Times New Roman"/>
        </w:rPr>
        <w:t>Prospective c</w:t>
      </w:r>
      <w:r w:rsidRPr="00F03722">
        <w:rPr>
          <w:rFonts w:cs="Times New Roman"/>
        </w:rPr>
        <w:t xml:space="preserve">ohort study of 872 colorectal cancer patients recruited 2010-2012 from 29 UK centres, awaiting curative intent surgery. Questionnaires administered at baseline (pre-surgery), 3, 9, 15, 24 months, and annually up to 5 years. Comorbidities (and whether they limit activities) were self-reported by participants from 3 months. The EORTC QLQ-C30 and QLQ-CR29 assessed global health/quality of life (QoL), symptoms and functioning. Longitudinal analyses investigated associations between comorbidities and health and wellbeing outcomes. </w:t>
      </w:r>
    </w:p>
    <w:p w14:paraId="75007A37" w14:textId="77777777" w:rsidR="00D926EB" w:rsidRPr="00F03722" w:rsidRDefault="00D926EB" w:rsidP="00A97B39">
      <w:pPr>
        <w:spacing w:line="480" w:lineRule="auto"/>
        <w:jc w:val="both"/>
        <w:rPr>
          <w:rFonts w:cs="Times New Roman"/>
          <w:i/>
          <w:iCs/>
        </w:rPr>
      </w:pPr>
      <w:r w:rsidRPr="00F03722">
        <w:rPr>
          <w:rFonts w:cs="Times New Roman"/>
          <w:i/>
          <w:iCs/>
        </w:rPr>
        <w:t>Results</w:t>
      </w:r>
    </w:p>
    <w:p w14:paraId="2E5D7B21" w14:textId="77777777" w:rsidR="00D926EB" w:rsidRDefault="00D926EB" w:rsidP="00A97B39">
      <w:pPr>
        <w:spacing w:line="480" w:lineRule="auto"/>
        <w:jc w:val="both"/>
        <w:rPr>
          <w:rFonts w:cs="Times New Roman"/>
          <w:i/>
          <w:iCs/>
        </w:rPr>
      </w:pPr>
      <w:r w:rsidRPr="00F03722">
        <w:rPr>
          <w:rFonts w:cs="Times New Roman"/>
        </w:rPr>
        <w:t xml:space="preserve">At baseline, the mean age of participants was 68 years, with 60% male and 65% colon cancer.  32% had one and 40% had </w:t>
      </w:r>
      <w:r w:rsidRPr="00F03722">
        <w:rPr>
          <w:rFonts w:cs="Times New Roman"/>
          <w:u w:val="single"/>
        </w:rPr>
        <w:t>&gt;</w:t>
      </w:r>
      <w:r w:rsidRPr="00F03722">
        <w:rPr>
          <w:rFonts w:cs="Times New Roman"/>
        </w:rPr>
        <w:t xml:space="preserve">2 comorbidities. The most common comorbidities were high blood pressure (43%), arthritis/rheumatism (32%) and anxiety/depression (18%).  Of those with comorbidities, 37% reported at least one that limited their daily activities.  </w:t>
      </w:r>
      <w:r>
        <w:rPr>
          <w:rFonts w:cs="Times New Roman"/>
        </w:rPr>
        <w:t>Reporting any limiting c</w:t>
      </w:r>
      <w:r w:rsidRPr="00F03722">
        <w:rPr>
          <w:rFonts w:cs="Times New Roman"/>
        </w:rPr>
        <w:t>omorbidities w</w:t>
      </w:r>
      <w:r>
        <w:rPr>
          <w:rFonts w:cs="Times New Roman"/>
        </w:rPr>
        <w:t xml:space="preserve">as </w:t>
      </w:r>
      <w:r w:rsidRPr="00F03722">
        <w:rPr>
          <w:rFonts w:cs="Times New Roman"/>
        </w:rPr>
        <w:t>associated with poorer global health/QoL</w:t>
      </w:r>
      <w:r>
        <w:rPr>
          <w:rFonts w:cs="Times New Roman"/>
        </w:rPr>
        <w:t xml:space="preserve">, </w:t>
      </w:r>
      <w:r w:rsidRPr="00F03722">
        <w:rPr>
          <w:rFonts w:cs="Times New Roman"/>
        </w:rPr>
        <w:t>worse symptoms</w:t>
      </w:r>
      <w:r>
        <w:rPr>
          <w:rFonts w:cs="Times New Roman"/>
        </w:rPr>
        <w:t xml:space="preserve"> and poorer functioning </w:t>
      </w:r>
      <w:r w:rsidRPr="00F03722">
        <w:rPr>
          <w:rFonts w:cs="Times New Roman"/>
        </w:rPr>
        <w:t>on all domains over 5 years’ follow-up.</w:t>
      </w:r>
      <w:r w:rsidR="00A97B39">
        <w:rPr>
          <w:rFonts w:cs="Times New Roman"/>
        </w:rPr>
        <w:t xml:space="preserve">  </w:t>
      </w:r>
      <w:r>
        <w:rPr>
          <w:rFonts w:cs="Times New Roman"/>
        </w:rPr>
        <w:t>Controlling for the most common individual comorbidities, depression/</w:t>
      </w:r>
      <w:r w:rsidRPr="0015292D">
        <w:rPr>
          <w:rFonts w:cs="Times New Roman"/>
        </w:rPr>
        <w:t>anxiety</w:t>
      </w:r>
      <w:r w:rsidRPr="00DC56EE">
        <w:rPr>
          <w:rFonts w:cs="Times New Roman"/>
          <w:iCs/>
        </w:rPr>
        <w:t xml:space="preserve"> had the greatest </w:t>
      </w:r>
      <w:r w:rsidRPr="00DC56EE">
        <w:rPr>
          <w:iCs/>
        </w:rPr>
        <w:t>deleterious effect on outcomes</w:t>
      </w:r>
      <w:r>
        <w:rPr>
          <w:i/>
          <w:iCs/>
        </w:rPr>
        <w:t>.</w:t>
      </w:r>
      <w:r w:rsidRPr="00327AAB">
        <w:rPr>
          <w:rFonts w:cs="Times New Roman"/>
          <w:i/>
          <w:iCs/>
        </w:rPr>
        <w:t xml:space="preserve"> </w:t>
      </w:r>
    </w:p>
    <w:p w14:paraId="5349713C" w14:textId="77777777" w:rsidR="00D926EB" w:rsidRPr="00F03722" w:rsidRDefault="00D926EB" w:rsidP="00A97B39">
      <w:pPr>
        <w:spacing w:line="480" w:lineRule="auto"/>
        <w:jc w:val="both"/>
        <w:rPr>
          <w:rFonts w:cs="Times New Roman"/>
          <w:i/>
          <w:iCs/>
        </w:rPr>
      </w:pPr>
      <w:r w:rsidRPr="00F03722">
        <w:rPr>
          <w:rFonts w:cs="Times New Roman"/>
          <w:i/>
          <w:iCs/>
        </w:rPr>
        <w:t>Conclusions</w:t>
      </w:r>
    </w:p>
    <w:p w14:paraId="41D623CB" w14:textId="2FF00DAB" w:rsidR="00780066" w:rsidRDefault="00D926EB" w:rsidP="00A97B39">
      <w:pPr>
        <w:spacing w:line="480" w:lineRule="auto"/>
        <w:rPr>
          <w:rFonts w:cs="Times New Roman"/>
        </w:rPr>
      </w:pPr>
      <w:r w:rsidRPr="00FA182C">
        <w:rPr>
          <w:rFonts w:cs="Times New Roman"/>
          <w:bCs/>
        </w:rPr>
        <w:t xml:space="preserve">Clinical assessment should prioritise patient-reported comorbidities and whether these </w:t>
      </w:r>
      <w:r>
        <w:rPr>
          <w:rFonts w:cs="Times New Roman"/>
          <w:bCs/>
        </w:rPr>
        <w:t xml:space="preserve">comorbidities </w:t>
      </w:r>
      <w:r w:rsidRPr="00FA182C">
        <w:rPr>
          <w:rFonts w:cs="Times New Roman"/>
          <w:bCs/>
        </w:rPr>
        <w:t>limit daily activities, as important determinants of recovery of QoL, symptoms and functioning following colorectal cancer.</w:t>
      </w:r>
      <w:r>
        <w:rPr>
          <w:rFonts w:cs="Times New Roman"/>
          <w:b/>
        </w:rPr>
        <w:t xml:space="preserve"> </w:t>
      </w:r>
      <w:r w:rsidRPr="00FA182C">
        <w:rPr>
          <w:rFonts w:cs="Times New Roman"/>
        </w:rPr>
        <w:t xml:space="preserve"> </w:t>
      </w:r>
      <w:r>
        <w:rPr>
          <w:rFonts w:cs="Times New Roman"/>
        </w:rPr>
        <w:t>Targeted</w:t>
      </w:r>
      <w:r w:rsidRPr="00F03722">
        <w:rPr>
          <w:rFonts w:cs="Times New Roman"/>
        </w:rPr>
        <w:t xml:space="preserve"> interventions and support services, including </w:t>
      </w:r>
      <w:r w:rsidRPr="00F03722">
        <w:rPr>
          <w:rFonts w:cs="Times New Roman"/>
        </w:rPr>
        <w:lastRenderedPageBreak/>
        <w:t xml:space="preserve">multi-professional management and tailored assessment and follow-up, may aid </w:t>
      </w:r>
      <w:r>
        <w:rPr>
          <w:rFonts w:cs="Times New Roman"/>
        </w:rPr>
        <w:t>recovery of health and wellbeing recovery in these individuals.</w:t>
      </w:r>
    </w:p>
    <w:p w14:paraId="274918BD" w14:textId="77777777" w:rsidR="00780066" w:rsidRDefault="00780066" w:rsidP="00A97B39">
      <w:pPr>
        <w:spacing w:line="480" w:lineRule="auto"/>
        <w:rPr>
          <w:rFonts w:cs="Times New Roman"/>
        </w:rPr>
      </w:pPr>
    </w:p>
    <w:p w14:paraId="6C0802D6" w14:textId="16489C32" w:rsidR="00780066" w:rsidRDefault="00780066" w:rsidP="00780066">
      <w:pPr>
        <w:spacing w:after="0" w:line="240" w:lineRule="auto"/>
        <w:rPr>
          <w:rFonts w:cs="Times New Roman"/>
        </w:rPr>
      </w:pPr>
      <w:r>
        <w:rPr>
          <w:rFonts w:cs="Times New Roman"/>
        </w:rPr>
        <w:t xml:space="preserve">Key words: Cancer, Oncology, Colorectal cancer, Comorbidities, Health and wellbeing, Longitudinal, Quality of life, Survivorship  </w:t>
      </w:r>
    </w:p>
    <w:p w14:paraId="7A9CE188" w14:textId="4FE3D476" w:rsidR="00780066" w:rsidRDefault="00780066" w:rsidP="00780066">
      <w:pPr>
        <w:spacing w:after="0" w:line="240" w:lineRule="auto"/>
        <w:rPr>
          <w:rFonts w:cs="Times New Roman"/>
        </w:rPr>
      </w:pPr>
    </w:p>
    <w:p w14:paraId="725AA2A8" w14:textId="77777777" w:rsidR="00780066" w:rsidRDefault="00780066" w:rsidP="00780066">
      <w:pPr>
        <w:spacing w:after="0" w:line="240" w:lineRule="auto"/>
        <w:rPr>
          <w:rFonts w:cs="Times New Roman"/>
        </w:rPr>
      </w:pPr>
      <w:bookmarkStart w:id="0" w:name="_GoBack"/>
      <w:bookmarkEnd w:id="0"/>
    </w:p>
    <w:p w14:paraId="1F2B8F53" w14:textId="1CF799A5" w:rsidR="00D926EB" w:rsidRDefault="00D926EB" w:rsidP="00A97B39">
      <w:pPr>
        <w:spacing w:line="480" w:lineRule="auto"/>
        <w:rPr>
          <w:rFonts w:cs="Times New Roman"/>
          <w:b/>
        </w:rPr>
      </w:pPr>
    </w:p>
    <w:p w14:paraId="652627C9" w14:textId="77777777" w:rsidR="00D926EB" w:rsidRPr="00F03722" w:rsidRDefault="00D926EB" w:rsidP="00A97B39">
      <w:pPr>
        <w:spacing w:line="480" w:lineRule="auto"/>
        <w:rPr>
          <w:rFonts w:cs="Times New Roman"/>
          <w:b/>
        </w:rPr>
      </w:pPr>
      <w:r w:rsidRPr="00F03722">
        <w:rPr>
          <w:rFonts w:cs="Times New Roman"/>
          <w:b/>
        </w:rPr>
        <w:t>BACKGROUND</w:t>
      </w:r>
    </w:p>
    <w:p w14:paraId="03D1328C" w14:textId="77777777" w:rsidR="00D926EB" w:rsidRPr="00F03722" w:rsidRDefault="00D926EB" w:rsidP="00A97B39">
      <w:pPr>
        <w:spacing w:line="480" w:lineRule="auto"/>
        <w:jc w:val="both"/>
        <w:rPr>
          <w:rFonts w:cs="Times New Roman"/>
        </w:rPr>
      </w:pPr>
      <w:r w:rsidRPr="00F03722">
        <w:rPr>
          <w:rFonts w:cs="Times New Roman"/>
        </w:rPr>
        <w:t>Colorectal cancer (CRC) is one of the most common cancers worldwide, with an estimated incidence of over 1.3 million</w:t>
      </w:r>
      <w:r>
        <w:rPr>
          <w:rFonts w:cs="Times New Roman"/>
        </w:rPr>
        <w:t xml:space="preserve"> and this is increasing</w:t>
      </w:r>
      <w:r w:rsidRPr="00124DAE">
        <w:rPr>
          <w:rFonts w:cs="Times New Roman"/>
          <w:noProof/>
          <w:vertAlign w:val="superscript"/>
        </w:rPr>
        <w:t>1</w:t>
      </w:r>
      <w:r w:rsidRPr="00F03722">
        <w:rPr>
          <w:rFonts w:cs="Times New Roman"/>
        </w:rPr>
        <w:t>.  Five-year survival rates in the UK stand at 57% and 65% in the US</w:t>
      </w:r>
      <w:r w:rsidRPr="00124DAE">
        <w:rPr>
          <w:rFonts w:cs="Times New Roman"/>
          <w:noProof/>
          <w:vertAlign w:val="superscript"/>
        </w:rPr>
        <w:t>2,3</w:t>
      </w:r>
      <w:r w:rsidRPr="00F03722">
        <w:rPr>
          <w:rFonts w:cs="Times New Roman"/>
        </w:rPr>
        <w:t xml:space="preserve">.  CRC is more likely in older adults, with </w:t>
      </w:r>
      <w:r>
        <w:rPr>
          <w:rFonts w:cs="Times New Roman"/>
        </w:rPr>
        <w:t xml:space="preserve">60% of survivors aged </w:t>
      </w:r>
      <w:r w:rsidRPr="00F03722">
        <w:rPr>
          <w:rFonts w:cs="Times New Roman"/>
        </w:rPr>
        <w:t>over 65 years</w:t>
      </w:r>
      <w:r w:rsidRPr="00B000EE">
        <w:rPr>
          <w:rFonts w:cs="Times New Roman"/>
          <w:noProof/>
          <w:vertAlign w:val="superscript"/>
        </w:rPr>
        <w:t>4</w:t>
      </w:r>
      <w:r>
        <w:rPr>
          <w:rFonts w:cs="Times New Roman"/>
        </w:rPr>
        <w:t>.</w:t>
      </w:r>
      <w:r w:rsidRPr="00F03722">
        <w:rPr>
          <w:rFonts w:cs="Times New Roman"/>
        </w:rPr>
        <w:t xml:space="preserve">  </w:t>
      </w:r>
    </w:p>
    <w:p w14:paraId="0B8CE740" w14:textId="77777777" w:rsidR="00D926EB" w:rsidRPr="00F03722" w:rsidRDefault="00D926EB" w:rsidP="00A97B39">
      <w:pPr>
        <w:spacing w:line="480" w:lineRule="auto"/>
        <w:jc w:val="both"/>
        <w:rPr>
          <w:rFonts w:cs="Times New Roman"/>
        </w:rPr>
      </w:pPr>
      <w:r w:rsidRPr="00F03722">
        <w:rPr>
          <w:rFonts w:cs="Times New Roman"/>
        </w:rPr>
        <w:t>Comorbidity is defined as the presence of distinct medical condition(s) in addition to the particular index disease, in this case CRC</w:t>
      </w:r>
      <w:r w:rsidRPr="00B000EE">
        <w:rPr>
          <w:rFonts w:cs="Times New Roman"/>
          <w:noProof/>
          <w:vertAlign w:val="superscript"/>
        </w:rPr>
        <w:t>5</w:t>
      </w:r>
      <w:r w:rsidRPr="00F03722">
        <w:rPr>
          <w:rFonts w:cs="Times New Roman"/>
        </w:rPr>
        <w:t>.  Multiple comorbidity is progressively more common with age, thus older CRC survivors generally present with high levels of comorbidity</w:t>
      </w:r>
      <w:r w:rsidRPr="00B000EE">
        <w:rPr>
          <w:rFonts w:cs="Times New Roman"/>
          <w:noProof/>
          <w:vertAlign w:val="superscript"/>
        </w:rPr>
        <w:t>6</w:t>
      </w:r>
      <w:r w:rsidRPr="00F03722">
        <w:rPr>
          <w:rFonts w:cs="Times New Roman"/>
        </w:rPr>
        <w:t xml:space="preserve">.  </w:t>
      </w:r>
      <w:r w:rsidRPr="00F03722">
        <w:rPr>
          <w:rFonts w:cs="Times New Roman"/>
          <w:lang w:val="en"/>
        </w:rPr>
        <w:t>CRC survivors also have higher rates of comorbid disease compared with the general population</w:t>
      </w:r>
      <w:r w:rsidRPr="00B000EE">
        <w:rPr>
          <w:rFonts w:cs="Times New Roman"/>
          <w:noProof/>
          <w:vertAlign w:val="superscript"/>
          <w:lang w:val="en"/>
        </w:rPr>
        <w:t>7</w:t>
      </w:r>
      <w:r w:rsidRPr="00F03722">
        <w:rPr>
          <w:rFonts w:cs="Times New Roman"/>
        </w:rPr>
        <w:t xml:space="preserve">, with around 40-50% of CRC patients reported to have </w:t>
      </w:r>
      <w:r w:rsidRPr="00F03722">
        <w:rPr>
          <w:rFonts w:cs="Times New Roman"/>
          <w:u w:val="single"/>
        </w:rPr>
        <w:t>&gt;</w:t>
      </w:r>
      <w:r w:rsidRPr="00F03722">
        <w:rPr>
          <w:rFonts w:cs="Times New Roman"/>
        </w:rPr>
        <w:t>2 comorbidities</w:t>
      </w:r>
      <w:r w:rsidRPr="00B000EE">
        <w:rPr>
          <w:rFonts w:cs="Times New Roman"/>
          <w:noProof/>
          <w:vertAlign w:val="superscript"/>
        </w:rPr>
        <w:t>8,9</w:t>
      </w:r>
      <w:r w:rsidRPr="00F03722">
        <w:rPr>
          <w:rFonts w:cs="Times New Roman"/>
          <w:bCs/>
        </w:rPr>
        <w:t xml:space="preserve">.  </w:t>
      </w:r>
    </w:p>
    <w:p w14:paraId="3790332E" w14:textId="77777777" w:rsidR="00D926EB" w:rsidRPr="00F03722" w:rsidRDefault="00D926EB" w:rsidP="00A97B39">
      <w:pPr>
        <w:spacing w:line="480" w:lineRule="auto"/>
        <w:jc w:val="both"/>
        <w:rPr>
          <w:rFonts w:cs="Times New Roman"/>
        </w:rPr>
      </w:pPr>
      <w:r w:rsidRPr="00F03722">
        <w:rPr>
          <w:rFonts w:cs="Times New Roman"/>
        </w:rPr>
        <w:t>Living with comorbidity after CRC diagnosis is now the norm rather than the exception. Therefore, investigation into how comorbidities affect CRC survivors’ health and wellbeing has become increasingly important.  Cancer survivors often report poorer health and wellbeing compared to healthy populations, and independently, long-ter</w:t>
      </w:r>
      <w:r>
        <w:rPr>
          <w:rFonts w:cs="Times New Roman"/>
        </w:rPr>
        <w:t>m chronic conditions</w:t>
      </w:r>
      <w:r w:rsidRPr="00F03722">
        <w:rPr>
          <w:rFonts w:cs="Times New Roman"/>
        </w:rPr>
        <w:t xml:space="preserve"> negatively influence Qo</w:t>
      </w:r>
      <w:r>
        <w:rPr>
          <w:rFonts w:cs="Times New Roman"/>
        </w:rPr>
        <w:t>L</w:t>
      </w:r>
      <w:r w:rsidRPr="00B52BB6">
        <w:rPr>
          <w:rFonts w:cs="Times New Roman"/>
          <w:noProof/>
          <w:vertAlign w:val="superscript"/>
        </w:rPr>
        <w:t>10,11</w:t>
      </w:r>
      <w:r w:rsidRPr="00F03722">
        <w:rPr>
          <w:rFonts w:cs="Times New Roman"/>
        </w:rPr>
        <w:t xml:space="preserve">.  </w:t>
      </w:r>
    </w:p>
    <w:p w14:paraId="320836A4" w14:textId="77777777" w:rsidR="00D926EB" w:rsidRPr="00F03722" w:rsidRDefault="00D926EB" w:rsidP="00A97B39">
      <w:pPr>
        <w:spacing w:line="480" w:lineRule="auto"/>
        <w:jc w:val="both"/>
        <w:rPr>
          <w:rFonts w:cs="Times New Roman"/>
        </w:rPr>
      </w:pPr>
      <w:r w:rsidRPr="00C240C8">
        <w:rPr>
          <w:rFonts w:cs="Times New Roman"/>
        </w:rPr>
        <w:t>Whilst t</w:t>
      </w:r>
      <w:r w:rsidRPr="00C240C8">
        <w:rPr>
          <w:rFonts w:cs="Times New Roman"/>
          <w:bCs/>
        </w:rPr>
        <w:t>here is a growing body of literature exploring the effect of comorbidities in people recovering from CRC, there is significant variability in study sample sizes</w:t>
      </w:r>
      <w:r w:rsidRPr="00B52BB6">
        <w:rPr>
          <w:rFonts w:cs="Times New Roman"/>
          <w:bCs/>
          <w:noProof/>
          <w:vertAlign w:val="superscript"/>
        </w:rPr>
        <w:t>12,13</w:t>
      </w:r>
      <w:r w:rsidRPr="00C240C8">
        <w:rPr>
          <w:rFonts w:cs="Times New Roman"/>
          <w:bCs/>
        </w:rPr>
        <w:t>, participant characteristics</w:t>
      </w:r>
      <w:r w:rsidRPr="00B52BB6">
        <w:rPr>
          <w:rFonts w:cs="Times New Roman"/>
          <w:bCs/>
          <w:noProof/>
          <w:vertAlign w:val="superscript"/>
        </w:rPr>
        <w:t>14,15</w:t>
      </w:r>
      <w:r w:rsidRPr="00C240C8">
        <w:rPr>
          <w:rFonts w:cs="Times New Roman"/>
          <w:bCs/>
        </w:rPr>
        <w:t>, time points of assessment</w:t>
      </w:r>
      <w:r w:rsidRPr="00B52BB6">
        <w:rPr>
          <w:rFonts w:cs="Times New Roman"/>
          <w:bCs/>
          <w:noProof/>
          <w:vertAlign w:val="superscript"/>
        </w:rPr>
        <w:t>9,12</w:t>
      </w:r>
      <w:r w:rsidRPr="00C240C8">
        <w:rPr>
          <w:rFonts w:cs="Times New Roman"/>
          <w:bCs/>
        </w:rPr>
        <w:t xml:space="preserve">, and it </w:t>
      </w:r>
      <w:r w:rsidRPr="00AD4091">
        <w:rPr>
          <w:rFonts w:cs="Times New Roman"/>
          <w:bCs/>
        </w:rPr>
        <w:t>is not always possible to identify CRC specific data in cohort studies that include multiple tumour groups</w:t>
      </w:r>
      <w:r w:rsidRPr="00B52BB6">
        <w:rPr>
          <w:rFonts w:cs="Times New Roman"/>
          <w:bCs/>
          <w:noProof/>
          <w:vertAlign w:val="superscript"/>
        </w:rPr>
        <w:t>16</w:t>
      </w:r>
      <w:r w:rsidRPr="00AD4091">
        <w:rPr>
          <w:rFonts w:cs="Times New Roman"/>
          <w:bCs/>
        </w:rPr>
        <w:t xml:space="preserve">.  In addition, </w:t>
      </w:r>
      <w:r>
        <w:rPr>
          <w:rFonts w:cs="Times New Roman"/>
          <w:bCs/>
        </w:rPr>
        <w:t xml:space="preserve">investigations of </w:t>
      </w:r>
      <w:r w:rsidRPr="00AD4091">
        <w:rPr>
          <w:rFonts w:cs="Times New Roman"/>
          <w:bCs/>
        </w:rPr>
        <w:t xml:space="preserve">the </w:t>
      </w:r>
      <w:r w:rsidRPr="00AD4091">
        <w:rPr>
          <w:rFonts w:cs="Times New Roman"/>
        </w:rPr>
        <w:t xml:space="preserve">impact of comorbidities on </w:t>
      </w:r>
      <w:r w:rsidRPr="00AD4091">
        <w:rPr>
          <w:rFonts w:cs="Times New Roman"/>
        </w:rPr>
        <w:lastRenderedPageBreak/>
        <w:t>QoL, sym</w:t>
      </w:r>
      <w:r w:rsidRPr="00AD4091">
        <w:rPr>
          <w:rFonts w:cs="Times New Roman"/>
          <w:bCs/>
        </w:rPr>
        <w:t>ptoms and functioning following a CRC diagnosis is limited by cross-sectional design</w:t>
      </w:r>
      <w:r w:rsidRPr="00B52BB6">
        <w:rPr>
          <w:rFonts w:cs="Times New Roman"/>
          <w:bCs/>
          <w:noProof/>
          <w:vertAlign w:val="superscript"/>
        </w:rPr>
        <w:t>9,17</w:t>
      </w:r>
      <w:r w:rsidRPr="00AD4091">
        <w:rPr>
          <w:rFonts w:cs="Times New Roman"/>
          <w:bCs/>
        </w:rPr>
        <w:t>, a narrow range of outcomes</w:t>
      </w:r>
      <w:r w:rsidRPr="00B52BB6">
        <w:rPr>
          <w:rFonts w:cs="Times New Roman"/>
          <w:bCs/>
          <w:noProof/>
          <w:vertAlign w:val="superscript"/>
        </w:rPr>
        <w:t>17,18</w:t>
      </w:r>
      <w:r w:rsidRPr="00AD4091">
        <w:rPr>
          <w:rFonts w:cs="Times New Roman"/>
          <w:bCs/>
        </w:rPr>
        <w:t xml:space="preserve"> and methods used to determine comorbidity status</w:t>
      </w:r>
      <w:r w:rsidRPr="00B52BB6">
        <w:rPr>
          <w:rFonts w:cs="Times New Roman"/>
          <w:bCs/>
          <w:noProof/>
          <w:vertAlign w:val="superscript"/>
        </w:rPr>
        <w:t>17,19</w:t>
      </w:r>
      <w:r w:rsidRPr="00AD4091">
        <w:rPr>
          <w:rFonts w:cs="Times New Roman"/>
          <w:bCs/>
        </w:rPr>
        <w:t>.</w:t>
      </w:r>
    </w:p>
    <w:p w14:paraId="0024FDA2" w14:textId="77777777" w:rsidR="00D926EB" w:rsidRPr="00F03722" w:rsidRDefault="00D926EB" w:rsidP="00A97B39">
      <w:pPr>
        <w:spacing w:line="480" w:lineRule="auto"/>
        <w:jc w:val="both"/>
        <w:rPr>
          <w:rFonts w:cs="Times New Roman"/>
        </w:rPr>
      </w:pPr>
      <w:r w:rsidRPr="00F03722">
        <w:rPr>
          <w:rFonts w:cs="Times New Roman"/>
        </w:rPr>
        <w:t xml:space="preserve">Most studies </w:t>
      </w:r>
      <w:r>
        <w:rPr>
          <w:rFonts w:cs="Times New Roman"/>
        </w:rPr>
        <w:t>focus on</w:t>
      </w:r>
      <w:r w:rsidRPr="00F03722">
        <w:rPr>
          <w:rFonts w:cs="Times New Roman"/>
        </w:rPr>
        <w:t xml:space="preserve"> </w:t>
      </w:r>
      <w:r w:rsidRPr="00AD4091">
        <w:rPr>
          <w:rFonts w:cs="Times New Roman"/>
          <w:i/>
        </w:rPr>
        <w:t>number</w:t>
      </w:r>
      <w:r w:rsidRPr="00AD4091">
        <w:rPr>
          <w:rFonts w:cs="Times New Roman"/>
        </w:rPr>
        <w:t xml:space="preserve"> of comorbidities</w:t>
      </w:r>
      <w:r w:rsidRPr="00B52BB6">
        <w:rPr>
          <w:rFonts w:cs="Times New Roman"/>
          <w:noProof/>
          <w:vertAlign w:val="superscript"/>
        </w:rPr>
        <w:t>9,20</w:t>
      </w:r>
      <w:r w:rsidRPr="00AD4091">
        <w:rPr>
          <w:rFonts w:cs="Times New Roman"/>
        </w:rPr>
        <w:t>,</w:t>
      </w:r>
      <w:r>
        <w:rPr>
          <w:rFonts w:cs="Times New Roman"/>
        </w:rPr>
        <w:t xml:space="preserve"> </w:t>
      </w:r>
      <w:r w:rsidRPr="00F03722">
        <w:rPr>
          <w:rFonts w:cs="Times New Roman"/>
        </w:rPr>
        <w:t xml:space="preserve">or comorbidity </w:t>
      </w:r>
      <w:r w:rsidRPr="00F03722">
        <w:rPr>
          <w:rFonts w:cs="Times New Roman"/>
          <w:i/>
        </w:rPr>
        <w:t>severity</w:t>
      </w:r>
      <w:r w:rsidRPr="00F03722">
        <w:rPr>
          <w:rFonts w:cs="Times New Roman"/>
        </w:rPr>
        <w:t xml:space="preserve"> using weighted scales, where severity is based on the pre-defined mortality risk of individual conditions, such as the Charlson Comorbidity Index (CCI)</w:t>
      </w:r>
      <w:r w:rsidRPr="00B52BB6">
        <w:rPr>
          <w:rFonts w:cs="Times New Roman"/>
          <w:noProof/>
          <w:vertAlign w:val="superscript"/>
        </w:rPr>
        <w:t>13,19,21</w:t>
      </w:r>
      <w:r w:rsidRPr="00F03722">
        <w:rPr>
          <w:rFonts w:cs="Times New Roman"/>
        </w:rPr>
        <w:t xml:space="preserve"> or similar indices</w:t>
      </w:r>
      <w:r w:rsidRPr="00B52BB6">
        <w:rPr>
          <w:rFonts w:cs="Times New Roman"/>
          <w:noProof/>
          <w:vertAlign w:val="superscript"/>
        </w:rPr>
        <w:t>22</w:t>
      </w:r>
      <w:r w:rsidRPr="00F03722">
        <w:rPr>
          <w:rFonts w:cs="Times New Roman"/>
        </w:rPr>
        <w:t xml:space="preserve">.   </w:t>
      </w:r>
      <w:r w:rsidRPr="00F03722">
        <w:rPr>
          <w:rFonts w:cs="Times New Roman"/>
          <w:bCs/>
        </w:rPr>
        <w:t xml:space="preserve">Few studies describe patient-reported severity, such as limitations on </w:t>
      </w:r>
      <w:r w:rsidRPr="0077449E">
        <w:rPr>
          <w:rFonts w:cs="Times New Roman"/>
          <w:bCs/>
        </w:rPr>
        <w:t xml:space="preserve">activities caused by comorbidities.  Those that do </w:t>
      </w:r>
      <w:r w:rsidRPr="0077449E">
        <w:rPr>
          <w:rFonts w:cs="Times New Roman"/>
        </w:rPr>
        <w:t xml:space="preserve">are either cross-sectional, </w:t>
      </w:r>
      <w:r w:rsidRPr="0077449E">
        <w:rPr>
          <w:rFonts w:cs="Times New Roman"/>
          <w:bCs/>
        </w:rPr>
        <w:t xml:space="preserve">limited to self-reported depression, do not exclusively </w:t>
      </w:r>
      <w:r w:rsidRPr="0077449E">
        <w:rPr>
          <w:rFonts w:cs="Times New Roman"/>
        </w:rPr>
        <w:t xml:space="preserve">examine the impact of comorbidity limitation on wellbeing, </w:t>
      </w:r>
      <w:r w:rsidRPr="0077449E">
        <w:rPr>
          <w:rFonts w:cs="Times New Roman"/>
          <w:bCs/>
        </w:rPr>
        <w:t>or present data from mixed tumour groups</w:t>
      </w:r>
      <w:r w:rsidRPr="00B52BB6">
        <w:rPr>
          <w:rFonts w:cs="Times New Roman"/>
          <w:bCs/>
          <w:noProof/>
          <w:vertAlign w:val="superscript"/>
        </w:rPr>
        <w:t>12,19,23</w:t>
      </w:r>
      <w:r w:rsidRPr="0077449E">
        <w:rPr>
          <w:rFonts w:cs="Times New Roman"/>
          <w:bCs/>
        </w:rPr>
        <w:t>.</w:t>
      </w:r>
      <w:r w:rsidRPr="00F03722">
        <w:rPr>
          <w:rFonts w:cs="Times New Roman"/>
          <w:b/>
          <w:bCs/>
        </w:rPr>
        <w:t xml:space="preserve">  </w:t>
      </w:r>
    </w:p>
    <w:p w14:paraId="2622F157" w14:textId="77777777" w:rsidR="00D926EB" w:rsidRPr="00F03722" w:rsidRDefault="00D926EB" w:rsidP="00A97B39">
      <w:pPr>
        <w:spacing w:line="480" w:lineRule="auto"/>
        <w:jc w:val="both"/>
        <w:rPr>
          <w:rFonts w:cs="Times New Roman"/>
        </w:rPr>
      </w:pPr>
      <w:r w:rsidRPr="00F03722">
        <w:rPr>
          <w:rFonts w:cs="Times New Roman"/>
        </w:rPr>
        <w:t xml:space="preserve">Few studies have described associations between comorbidities, and health </w:t>
      </w:r>
      <w:r w:rsidRPr="00F03722">
        <w:rPr>
          <w:rFonts w:cs="Times New Roman"/>
          <w:iCs/>
        </w:rPr>
        <w:t>and wellbeing over time.  Associations with pain, fatigue and mental wellbeing up to 1 year following a CRC diagnosis, a</w:t>
      </w:r>
      <w:r w:rsidRPr="00F03722">
        <w:rPr>
          <w:rFonts w:cs="Times New Roman"/>
        </w:rPr>
        <w:t>nd fatigue and QoL over time in longer term survivors have been described, yet only in relation to the number of comorbidities</w:t>
      </w:r>
      <w:r w:rsidRPr="00B52BB6">
        <w:rPr>
          <w:rFonts w:cs="Times New Roman"/>
          <w:noProof/>
          <w:vertAlign w:val="superscript"/>
        </w:rPr>
        <w:t>18,24</w:t>
      </w:r>
      <w:r w:rsidRPr="00F03722">
        <w:rPr>
          <w:rFonts w:cs="Times New Roman"/>
        </w:rPr>
        <w:t xml:space="preserve">.  The role of individual comorbid conditions is largely overlooked in studies.  </w:t>
      </w:r>
    </w:p>
    <w:p w14:paraId="25916702" w14:textId="77777777" w:rsidR="00D926EB" w:rsidRPr="00594803" w:rsidRDefault="00D926EB" w:rsidP="00A97B39">
      <w:pPr>
        <w:autoSpaceDE w:val="0"/>
        <w:autoSpaceDN w:val="0"/>
        <w:adjustRightInd w:val="0"/>
        <w:spacing w:after="0" w:line="480" w:lineRule="auto"/>
        <w:rPr>
          <w:rFonts w:cs="Times New Roman"/>
        </w:rPr>
      </w:pPr>
      <w:r w:rsidRPr="00F03722">
        <w:rPr>
          <w:rFonts w:cs="Times New Roman"/>
        </w:rPr>
        <w:t>Only one longitudinal study has mapped comorb</w:t>
      </w:r>
      <w:r>
        <w:rPr>
          <w:rFonts w:cs="Times New Roman"/>
        </w:rPr>
        <w:t>idity prevalence up to one year;</w:t>
      </w:r>
      <w:r w:rsidRPr="00F03722">
        <w:rPr>
          <w:rFonts w:cs="Times New Roman"/>
        </w:rPr>
        <w:t xml:space="preserve"> however</w:t>
      </w:r>
      <w:r>
        <w:rPr>
          <w:rFonts w:cs="Times New Roman"/>
        </w:rPr>
        <w:t>,</w:t>
      </w:r>
      <w:r w:rsidRPr="00F03722">
        <w:rPr>
          <w:rFonts w:cs="Times New Roman"/>
        </w:rPr>
        <w:t xml:space="preserve"> this study was non-population based and limited to CRC survivors &gt;65 years</w:t>
      </w:r>
      <w:r w:rsidRPr="00B52BB6">
        <w:rPr>
          <w:rFonts w:cs="Times New Roman"/>
          <w:noProof/>
          <w:vertAlign w:val="superscript"/>
        </w:rPr>
        <w:t>14</w:t>
      </w:r>
      <w:r w:rsidRPr="00F03722">
        <w:rPr>
          <w:rFonts w:cs="Times New Roman"/>
        </w:rPr>
        <w:t xml:space="preserve">.  Similarly, no studies describe the </w:t>
      </w:r>
      <w:r w:rsidRPr="00F03722">
        <w:rPr>
          <w:rFonts w:eastAsia="SimSun" w:cs="Times New Roman"/>
        </w:rPr>
        <w:t>demographic, clinical and treatment characteristics of CRC survivors with comorbidities</w:t>
      </w:r>
      <w:r w:rsidRPr="00F03722">
        <w:rPr>
          <w:rFonts w:cs="Times New Roman"/>
        </w:rPr>
        <w:t>.</w:t>
      </w:r>
      <w:r>
        <w:rPr>
          <w:rFonts w:cs="Times New Roman"/>
        </w:rPr>
        <w:t xml:space="preserve">  Using </w:t>
      </w:r>
      <w:r w:rsidRPr="001F23C8">
        <w:rPr>
          <w:rFonts w:cs="Times New Roman"/>
        </w:rPr>
        <w:t xml:space="preserve">results from the </w:t>
      </w:r>
      <w:r w:rsidRPr="001F23C8">
        <w:rPr>
          <w:rFonts w:cs="Times New Roman"/>
          <w:bCs/>
        </w:rPr>
        <w:t>ColoREctal Wellbeing study (CREW)</w:t>
      </w:r>
      <w:r w:rsidRPr="001F23C8">
        <w:rPr>
          <w:rFonts w:cs="Times New Roman"/>
          <w:bCs/>
          <w:noProof/>
          <w:vertAlign w:val="superscript"/>
        </w:rPr>
        <w:t>25</w:t>
      </w:r>
      <w:r>
        <w:rPr>
          <w:rFonts w:cs="Times New Roman"/>
          <w:bCs/>
        </w:rPr>
        <w:t>;</w:t>
      </w:r>
      <w:r w:rsidRPr="001F23C8">
        <w:rPr>
          <w:rFonts w:cs="Times New Roman"/>
          <w:bCs/>
        </w:rPr>
        <w:t xml:space="preserve"> a longitudinal cohort study </w:t>
      </w:r>
      <w:r w:rsidRPr="00594803">
        <w:rPr>
          <w:rFonts w:eastAsiaTheme="minorHAnsi" w:cs="AdvTTa9c1b374"/>
          <w:lang w:eastAsia="en-US"/>
        </w:rPr>
        <w:t xml:space="preserve">investigating recovery of health and wellbeing </w:t>
      </w:r>
      <w:r>
        <w:rPr>
          <w:rFonts w:eastAsiaTheme="minorHAnsi" w:cs="AdvTTa9c1b374"/>
          <w:lang w:eastAsia="en-US"/>
        </w:rPr>
        <w:t xml:space="preserve">in the 5 years </w:t>
      </w:r>
      <w:r w:rsidRPr="00594803">
        <w:rPr>
          <w:rFonts w:eastAsiaTheme="minorHAnsi" w:cs="AdvTTa9c1b374"/>
          <w:lang w:eastAsia="en-US"/>
        </w:rPr>
        <w:t>following colorectal cancer</w:t>
      </w:r>
      <w:r>
        <w:rPr>
          <w:rFonts w:eastAsiaTheme="minorHAnsi" w:cs="AdvTTa9c1b374"/>
          <w:lang w:eastAsia="en-US"/>
        </w:rPr>
        <w:t>, this paper aims to determine:</w:t>
      </w:r>
      <w:r w:rsidRPr="00594803">
        <w:rPr>
          <w:rFonts w:eastAsiaTheme="minorHAnsi" w:cs="AdvTTa9c1b374"/>
          <w:lang w:eastAsia="en-US"/>
        </w:rPr>
        <w:t xml:space="preserve"> </w:t>
      </w:r>
    </w:p>
    <w:p w14:paraId="562975C4" w14:textId="77777777" w:rsidR="00D926EB" w:rsidRPr="009431E6" w:rsidRDefault="00D926EB" w:rsidP="00A97B39">
      <w:pPr>
        <w:pStyle w:val="ListParagraph"/>
        <w:numPr>
          <w:ilvl w:val="0"/>
          <w:numId w:val="2"/>
        </w:numPr>
        <w:spacing w:line="480" w:lineRule="auto"/>
        <w:jc w:val="both"/>
        <w:rPr>
          <w:rFonts w:cs="Times New Roman"/>
        </w:rPr>
      </w:pPr>
      <w:r>
        <w:rPr>
          <w:rFonts w:cs="Times New Roman"/>
        </w:rPr>
        <w:t>Th</w:t>
      </w:r>
      <w:r w:rsidRPr="001B33B4">
        <w:rPr>
          <w:rFonts w:cs="Times New Roman"/>
        </w:rPr>
        <w:t xml:space="preserve">e frequency of comorbidities, </w:t>
      </w:r>
      <w:r w:rsidRPr="009431E6">
        <w:rPr>
          <w:rFonts w:cs="Times New Roman"/>
        </w:rPr>
        <w:t xml:space="preserve">their limiting effects on daily activities, and </w:t>
      </w:r>
      <w:r>
        <w:rPr>
          <w:rFonts w:cs="Times New Roman"/>
        </w:rPr>
        <w:t xml:space="preserve">the frequency of </w:t>
      </w:r>
      <w:r w:rsidRPr="009431E6">
        <w:rPr>
          <w:rFonts w:cs="Times New Roman"/>
        </w:rPr>
        <w:t xml:space="preserve">individual </w:t>
      </w:r>
      <w:r>
        <w:rPr>
          <w:rFonts w:cs="Times New Roman"/>
        </w:rPr>
        <w:t xml:space="preserve">comorbid </w:t>
      </w:r>
      <w:r w:rsidRPr="009431E6">
        <w:rPr>
          <w:rFonts w:cs="Times New Roman"/>
        </w:rPr>
        <w:t>conditions among CRC survivors</w:t>
      </w:r>
      <w:r>
        <w:rPr>
          <w:rFonts w:cs="Times New Roman"/>
        </w:rPr>
        <w:t>.</w:t>
      </w:r>
    </w:p>
    <w:p w14:paraId="0F97C955" w14:textId="77777777" w:rsidR="00D926EB" w:rsidRDefault="00D926EB" w:rsidP="00A97B39">
      <w:pPr>
        <w:pStyle w:val="ListParagraph"/>
        <w:numPr>
          <w:ilvl w:val="0"/>
          <w:numId w:val="2"/>
        </w:numPr>
        <w:spacing w:line="480" w:lineRule="auto"/>
        <w:jc w:val="both"/>
        <w:rPr>
          <w:rFonts w:cs="Times New Roman"/>
        </w:rPr>
      </w:pPr>
      <w:r>
        <w:rPr>
          <w:rFonts w:cs="Times New Roman"/>
        </w:rPr>
        <w:t xml:space="preserve">The association between comorbidities, and recovery of </w:t>
      </w:r>
      <w:r w:rsidRPr="001F23C8">
        <w:rPr>
          <w:rFonts w:cs="Times New Roman"/>
        </w:rPr>
        <w:t>QoL, symptom and functioning outcomes</w:t>
      </w:r>
      <w:r>
        <w:rPr>
          <w:rFonts w:cs="Times New Roman"/>
          <w:lang w:eastAsia="en-US"/>
        </w:rPr>
        <w:t>.</w:t>
      </w:r>
    </w:p>
    <w:p w14:paraId="4D136F49" w14:textId="77777777" w:rsidR="00D926EB" w:rsidRPr="00594803" w:rsidRDefault="00D926EB" w:rsidP="00A97B39">
      <w:pPr>
        <w:pStyle w:val="ListParagraph"/>
        <w:numPr>
          <w:ilvl w:val="0"/>
          <w:numId w:val="2"/>
        </w:numPr>
        <w:spacing w:line="480" w:lineRule="auto"/>
        <w:jc w:val="both"/>
        <w:rPr>
          <w:rFonts w:cs="Times New Roman"/>
        </w:rPr>
      </w:pPr>
      <w:r>
        <w:rPr>
          <w:rFonts w:cs="Times New Roman"/>
        </w:rPr>
        <w:t>The</w:t>
      </w:r>
      <w:r w:rsidRPr="00594803">
        <w:rPr>
          <w:rFonts w:cs="Times New Roman"/>
        </w:rPr>
        <w:t xml:space="preserve"> demographic and clinical factors </w:t>
      </w:r>
      <w:r>
        <w:rPr>
          <w:rFonts w:cs="Times New Roman"/>
        </w:rPr>
        <w:t xml:space="preserve">that </w:t>
      </w:r>
      <w:r w:rsidRPr="00594803">
        <w:rPr>
          <w:rFonts w:cs="Times New Roman"/>
        </w:rPr>
        <w:t xml:space="preserve">characterise </w:t>
      </w:r>
      <w:r>
        <w:rPr>
          <w:rFonts w:cs="Times New Roman"/>
        </w:rPr>
        <w:t xml:space="preserve">comorbid </w:t>
      </w:r>
      <w:r w:rsidRPr="00594803">
        <w:rPr>
          <w:rFonts w:cs="Times New Roman"/>
        </w:rPr>
        <w:t>CRC survivors</w:t>
      </w:r>
      <w:r>
        <w:rPr>
          <w:rFonts w:cs="Times New Roman"/>
        </w:rPr>
        <w:t>.</w:t>
      </w:r>
    </w:p>
    <w:p w14:paraId="7DA12034" w14:textId="77777777" w:rsidR="00D926EB" w:rsidRDefault="00D926EB" w:rsidP="00A97B39">
      <w:pPr>
        <w:pStyle w:val="ListParagraph"/>
        <w:spacing w:line="480" w:lineRule="auto"/>
        <w:jc w:val="both"/>
        <w:rPr>
          <w:rFonts w:cs="Times New Roman"/>
        </w:rPr>
      </w:pPr>
    </w:p>
    <w:p w14:paraId="295D5F2E" w14:textId="77777777" w:rsidR="00D926EB" w:rsidRPr="00F03722" w:rsidRDefault="00D926EB" w:rsidP="00A97B39">
      <w:pPr>
        <w:spacing w:line="480" w:lineRule="auto"/>
        <w:jc w:val="both"/>
        <w:rPr>
          <w:rFonts w:cs="Times New Roman"/>
          <w:b/>
        </w:rPr>
      </w:pPr>
    </w:p>
    <w:p w14:paraId="7E193DF3" w14:textId="77777777" w:rsidR="00D926EB" w:rsidRPr="00F03722" w:rsidRDefault="00D926EB" w:rsidP="00A97B39">
      <w:pPr>
        <w:spacing w:line="480" w:lineRule="auto"/>
        <w:jc w:val="both"/>
        <w:rPr>
          <w:rFonts w:cs="Times New Roman"/>
          <w:b/>
        </w:rPr>
      </w:pPr>
      <w:r w:rsidRPr="00F03722">
        <w:rPr>
          <w:rFonts w:cs="Times New Roman"/>
          <w:b/>
        </w:rPr>
        <w:t>METHODS</w:t>
      </w:r>
    </w:p>
    <w:p w14:paraId="296A961B" w14:textId="77777777" w:rsidR="00D926EB" w:rsidRPr="00F03722" w:rsidRDefault="00D926EB" w:rsidP="00A97B39">
      <w:pPr>
        <w:spacing w:line="480" w:lineRule="auto"/>
        <w:jc w:val="both"/>
        <w:rPr>
          <w:rFonts w:cs="Times New Roman"/>
          <w:u w:val="single"/>
        </w:rPr>
      </w:pPr>
      <w:r w:rsidRPr="00F03722">
        <w:rPr>
          <w:rFonts w:cs="Times New Roman"/>
          <w:u w:val="single"/>
        </w:rPr>
        <w:t xml:space="preserve">Design </w:t>
      </w:r>
    </w:p>
    <w:p w14:paraId="790D42FA" w14:textId="3BB2301F" w:rsidR="00D926EB" w:rsidRPr="00F03722" w:rsidRDefault="00D926EB" w:rsidP="00A97B39">
      <w:pPr>
        <w:spacing w:line="480" w:lineRule="auto"/>
        <w:jc w:val="both"/>
        <w:rPr>
          <w:rFonts w:cs="Times New Roman"/>
        </w:rPr>
      </w:pPr>
      <w:r w:rsidRPr="00F03722">
        <w:rPr>
          <w:rFonts w:cs="Times New Roman"/>
        </w:rPr>
        <w:t>CREW is a prospective longitudinal cohort study of patients with non-metastatic CRC undergoing curative intent surgery.  Further details are described elsewhere</w:t>
      </w:r>
      <w:r w:rsidRPr="00B52BB6">
        <w:rPr>
          <w:rFonts w:cs="Times New Roman"/>
          <w:noProof/>
          <w:vertAlign w:val="superscript"/>
        </w:rPr>
        <w:t>25</w:t>
      </w:r>
      <w:r w:rsidRPr="00F03722">
        <w:rPr>
          <w:rFonts w:cs="Times New Roman"/>
        </w:rPr>
        <w:t xml:space="preserve">. </w:t>
      </w:r>
    </w:p>
    <w:p w14:paraId="0CCF615E" w14:textId="77777777" w:rsidR="00D926EB" w:rsidRPr="00F03722" w:rsidRDefault="00D926EB" w:rsidP="00A97B39">
      <w:pPr>
        <w:spacing w:line="480" w:lineRule="auto"/>
        <w:jc w:val="both"/>
        <w:rPr>
          <w:rFonts w:cs="Times New Roman"/>
          <w:u w:val="single"/>
        </w:rPr>
      </w:pPr>
      <w:r w:rsidRPr="00F03722">
        <w:rPr>
          <w:rFonts w:cs="Times New Roman"/>
          <w:u w:val="single"/>
        </w:rPr>
        <w:t>Participants</w:t>
      </w:r>
    </w:p>
    <w:p w14:paraId="0AD70009" w14:textId="31C8C69F" w:rsidR="00D926EB" w:rsidRPr="00F03722" w:rsidRDefault="00D926EB" w:rsidP="00A97B39">
      <w:pPr>
        <w:spacing w:line="480" w:lineRule="auto"/>
        <w:jc w:val="both"/>
        <w:rPr>
          <w:rFonts w:cs="Times New Roman"/>
        </w:rPr>
      </w:pPr>
      <w:r>
        <w:rPr>
          <w:rFonts w:cs="Times New Roman"/>
        </w:rPr>
        <w:t>Eligible p</w:t>
      </w:r>
      <w:r w:rsidRPr="00F03722">
        <w:rPr>
          <w:rFonts w:cs="Times New Roman"/>
        </w:rPr>
        <w:t xml:space="preserve">atients had a diagnosis of Dukes’ stage A-C colorectal cancer, were being treated with curative intent surgery, aged </w:t>
      </w:r>
      <w:r w:rsidRPr="00F03722">
        <w:rPr>
          <w:rFonts w:cs="Times New Roman"/>
          <w:u w:val="single"/>
        </w:rPr>
        <w:t>&gt;</w:t>
      </w:r>
      <w:r w:rsidRPr="00F03722">
        <w:rPr>
          <w:rFonts w:cs="Times New Roman"/>
        </w:rPr>
        <w:t xml:space="preserve">18 years and </w:t>
      </w:r>
      <w:r>
        <w:rPr>
          <w:rFonts w:cs="Times New Roman"/>
        </w:rPr>
        <w:t>able</w:t>
      </w:r>
      <w:r w:rsidRPr="00F03722">
        <w:rPr>
          <w:rFonts w:cs="Times New Roman"/>
        </w:rPr>
        <w:t xml:space="preserve"> to complete questionnaires.  </w:t>
      </w:r>
      <w:r w:rsidRPr="00091AF4">
        <w:rPr>
          <w:rFonts w:cs="Times New Roman"/>
        </w:rPr>
        <w:t xml:space="preserve">Having a prior </w:t>
      </w:r>
      <w:r w:rsidR="001122BF" w:rsidRPr="00091AF4">
        <w:rPr>
          <w:rFonts w:cs="Times New Roman"/>
        </w:rPr>
        <w:t xml:space="preserve">cancer </w:t>
      </w:r>
      <w:r w:rsidRPr="00091AF4">
        <w:rPr>
          <w:rFonts w:cs="Times New Roman"/>
        </w:rPr>
        <w:t>diagnosis was an exclusion criterion.</w:t>
      </w:r>
      <w:r w:rsidRPr="00F03722">
        <w:rPr>
          <w:rFonts w:cs="Times New Roman"/>
        </w:rPr>
        <w:t xml:space="preserve">  </w:t>
      </w:r>
    </w:p>
    <w:p w14:paraId="7529052D" w14:textId="77777777" w:rsidR="00D926EB" w:rsidRPr="00F03722" w:rsidRDefault="00D926EB" w:rsidP="00A97B39">
      <w:pPr>
        <w:spacing w:line="480" w:lineRule="auto"/>
        <w:jc w:val="both"/>
        <w:rPr>
          <w:rFonts w:cs="Times New Roman"/>
        </w:rPr>
      </w:pPr>
      <w:r w:rsidRPr="00F03722">
        <w:rPr>
          <w:rFonts w:cs="Times New Roman"/>
          <w:u w:val="single"/>
        </w:rPr>
        <w:t>Procedure</w:t>
      </w:r>
    </w:p>
    <w:p w14:paraId="41B87A1F" w14:textId="77777777" w:rsidR="00D926EB" w:rsidRPr="00F03722" w:rsidRDefault="00D926EB" w:rsidP="00A97B39">
      <w:pPr>
        <w:spacing w:line="480" w:lineRule="auto"/>
        <w:jc w:val="both"/>
        <w:rPr>
          <w:rFonts w:cs="Times New Roman"/>
        </w:rPr>
      </w:pPr>
      <w:r w:rsidRPr="00F03722">
        <w:rPr>
          <w:rFonts w:cs="Times New Roman"/>
        </w:rPr>
        <w:t xml:space="preserve">Participants were recruited from 29 </w:t>
      </w:r>
      <w:r>
        <w:rPr>
          <w:rFonts w:cs="Times New Roman"/>
        </w:rPr>
        <w:t xml:space="preserve">UK </w:t>
      </w:r>
      <w:r w:rsidRPr="00F03722">
        <w:rPr>
          <w:rFonts w:cs="Times New Roman"/>
        </w:rPr>
        <w:t xml:space="preserve">hospitals between November 2010 and March 2012.  Self-report questionnaires were completed </w:t>
      </w:r>
      <w:r>
        <w:rPr>
          <w:rFonts w:cs="Times New Roman"/>
        </w:rPr>
        <w:t>before</w:t>
      </w:r>
      <w:r w:rsidRPr="00F03722">
        <w:rPr>
          <w:rFonts w:cs="Times New Roman"/>
        </w:rPr>
        <w:t xml:space="preserve"> surgery (baseline) and mailed questionnaires</w:t>
      </w:r>
      <w:r>
        <w:rPr>
          <w:rFonts w:cs="Times New Roman"/>
        </w:rPr>
        <w:t xml:space="preserve"> were sent</w:t>
      </w:r>
      <w:r w:rsidRPr="00F03722">
        <w:rPr>
          <w:rFonts w:cs="Times New Roman"/>
        </w:rPr>
        <w:t xml:space="preserve"> at regular intervals: 3, 9, 15, 24 months, and annually up to 5 years.   Clinical and treatment characteristics were identified </w:t>
      </w:r>
      <w:r>
        <w:rPr>
          <w:rFonts w:cs="Times New Roman"/>
        </w:rPr>
        <w:t>from</w:t>
      </w:r>
      <w:r w:rsidRPr="00F03722">
        <w:rPr>
          <w:rFonts w:cs="Times New Roman"/>
        </w:rPr>
        <w:t xml:space="preserve"> NHS medical data.  Ethical approval was granted by the UK NHS Health Research Authority NRES Committee South Central - Oxford B (REC ref: 10/H0605/31).</w:t>
      </w:r>
    </w:p>
    <w:p w14:paraId="5D31CAF5" w14:textId="77777777" w:rsidR="00D926EB" w:rsidRPr="00F03722" w:rsidRDefault="00D926EB" w:rsidP="00A97B39">
      <w:pPr>
        <w:spacing w:line="480" w:lineRule="auto"/>
        <w:jc w:val="both"/>
        <w:rPr>
          <w:rFonts w:cs="Times New Roman"/>
          <w:u w:val="single"/>
        </w:rPr>
      </w:pPr>
      <w:r w:rsidRPr="00F03722">
        <w:rPr>
          <w:rFonts w:cs="Times New Roman"/>
          <w:u w:val="single"/>
        </w:rPr>
        <w:t xml:space="preserve">Measures </w:t>
      </w:r>
    </w:p>
    <w:p w14:paraId="5A43EEB8" w14:textId="77777777" w:rsidR="00D926EB" w:rsidRPr="00F03722" w:rsidRDefault="00D926EB" w:rsidP="00A97B39">
      <w:pPr>
        <w:spacing w:line="480" w:lineRule="auto"/>
        <w:jc w:val="both"/>
        <w:rPr>
          <w:rFonts w:cs="Times New Roman"/>
        </w:rPr>
      </w:pPr>
      <w:r w:rsidRPr="00F03722">
        <w:rPr>
          <w:rFonts w:cs="Times New Roman"/>
        </w:rPr>
        <w:t>Full details of the measures used in CREW have been published</w:t>
      </w:r>
      <w:r w:rsidRPr="00B52BB6">
        <w:rPr>
          <w:rFonts w:cs="Times New Roman"/>
          <w:noProof/>
          <w:vertAlign w:val="superscript"/>
        </w:rPr>
        <w:t>25</w:t>
      </w:r>
      <w:r w:rsidRPr="00F03722">
        <w:rPr>
          <w:rFonts w:cs="Times New Roman"/>
        </w:rPr>
        <w:t xml:space="preserve">.  </w:t>
      </w:r>
      <w:r>
        <w:rPr>
          <w:rFonts w:cs="Times New Roman"/>
        </w:rPr>
        <w:t>M</w:t>
      </w:r>
      <w:r w:rsidRPr="00F03722">
        <w:rPr>
          <w:rFonts w:cs="Times New Roman"/>
        </w:rPr>
        <w:t>easures that pertain to the findings presented in this paper are summarised below.</w:t>
      </w:r>
    </w:p>
    <w:p w14:paraId="7B2A0140" w14:textId="77777777" w:rsidR="00D926EB" w:rsidRPr="00F03722" w:rsidRDefault="00D926EB" w:rsidP="00A97B39">
      <w:pPr>
        <w:spacing w:line="480" w:lineRule="auto"/>
        <w:jc w:val="both"/>
        <w:rPr>
          <w:rFonts w:cs="Times New Roman"/>
          <w:i/>
          <w:iCs/>
        </w:rPr>
      </w:pPr>
      <w:r w:rsidRPr="00F03722">
        <w:rPr>
          <w:rFonts w:cs="Times New Roman"/>
          <w:i/>
          <w:iCs/>
        </w:rPr>
        <w:t>Socio-demographic, Clinical and Treatment Data</w:t>
      </w:r>
    </w:p>
    <w:p w14:paraId="157EF07C" w14:textId="77777777" w:rsidR="00D926EB" w:rsidRPr="00F03722" w:rsidRDefault="00D926EB" w:rsidP="00A97B39">
      <w:pPr>
        <w:spacing w:line="480" w:lineRule="auto"/>
        <w:jc w:val="both"/>
        <w:rPr>
          <w:rFonts w:cs="Times New Roman"/>
        </w:rPr>
      </w:pPr>
      <w:r w:rsidRPr="00F03722">
        <w:rPr>
          <w:rFonts w:cs="Times New Roman"/>
        </w:rPr>
        <w:t xml:space="preserve">Clinical and treatment data were obtained (with consent) from medical notes: tumour site, Dukes’ stage, nodal involvement, how CRC was detected, family history of CRC, presence of a stoma, neo-adjuvant and adjuvant treatment. Neighbourhood deprivation was derived from postcodes using the </w:t>
      </w:r>
      <w:r w:rsidRPr="00F03722">
        <w:rPr>
          <w:rFonts w:cs="Times New Roman"/>
        </w:rPr>
        <w:lastRenderedPageBreak/>
        <w:t>Index of Multiple Deprivation</w:t>
      </w:r>
      <w:r w:rsidRPr="00B52BB6">
        <w:rPr>
          <w:rFonts w:cs="Times New Roman"/>
          <w:noProof/>
          <w:vertAlign w:val="superscript"/>
        </w:rPr>
        <w:t>26</w:t>
      </w:r>
      <w:r w:rsidRPr="00F03722">
        <w:rPr>
          <w:rFonts w:cs="Times New Roman"/>
        </w:rPr>
        <w:t>.  Domestic and employment status were assessed by participant</w:t>
      </w:r>
      <w:r>
        <w:rPr>
          <w:rFonts w:cs="Times New Roman"/>
        </w:rPr>
        <w:t xml:space="preserve"> self-report in questionnaires</w:t>
      </w:r>
      <w:r w:rsidRPr="00F03722">
        <w:rPr>
          <w:rFonts w:cs="Times New Roman"/>
        </w:rPr>
        <w:t xml:space="preserve">. </w:t>
      </w:r>
    </w:p>
    <w:p w14:paraId="41DC7ED1" w14:textId="77777777" w:rsidR="00D926EB" w:rsidRPr="00F03722" w:rsidRDefault="00D926EB" w:rsidP="00A97B39">
      <w:pPr>
        <w:spacing w:line="480" w:lineRule="auto"/>
        <w:jc w:val="both"/>
        <w:rPr>
          <w:rFonts w:cs="Times New Roman"/>
          <w:i/>
          <w:iCs/>
        </w:rPr>
      </w:pPr>
      <w:r w:rsidRPr="00F03722">
        <w:rPr>
          <w:rFonts w:cs="Times New Roman"/>
          <w:i/>
          <w:iCs/>
        </w:rPr>
        <w:t>Comorbidity Data</w:t>
      </w:r>
    </w:p>
    <w:p w14:paraId="42F9F37D" w14:textId="77777777" w:rsidR="00D926EB" w:rsidRDefault="00D926EB" w:rsidP="00A97B39">
      <w:pPr>
        <w:spacing w:line="480" w:lineRule="auto"/>
        <w:jc w:val="both"/>
        <w:rPr>
          <w:rFonts w:cs="Times New Roman"/>
        </w:rPr>
      </w:pPr>
      <w:r>
        <w:rPr>
          <w:rFonts w:cs="Times New Roman"/>
        </w:rPr>
        <w:t xml:space="preserve">Patient self-reported </w:t>
      </w:r>
      <w:r w:rsidRPr="00F03722">
        <w:rPr>
          <w:rFonts w:cs="Times New Roman"/>
        </w:rPr>
        <w:t>comorbidity status remains an accurate method for health research</w:t>
      </w:r>
      <w:r>
        <w:rPr>
          <w:rFonts w:cs="Times New Roman"/>
        </w:rPr>
        <w:t xml:space="preserve"> against clinical record review</w:t>
      </w:r>
      <w:r w:rsidRPr="00B52BB6">
        <w:rPr>
          <w:rFonts w:cs="Times New Roman"/>
          <w:noProof/>
          <w:vertAlign w:val="superscript"/>
        </w:rPr>
        <w:t>27</w:t>
      </w:r>
      <w:r w:rsidRPr="00F03722">
        <w:rPr>
          <w:rFonts w:cs="Times New Roman"/>
        </w:rPr>
        <w:t>.  Self-reported comorbidity data were collected at 3, 15, 24, 36, 48 and 60 months.  The list relating to 12 individual conditions or d</w:t>
      </w:r>
      <w:r w:rsidRPr="00091AF4">
        <w:rPr>
          <w:rFonts w:cs="Times New Roman"/>
        </w:rPr>
        <w:t xml:space="preserve">isease groups was </w:t>
      </w:r>
      <w:r w:rsidR="001122BF" w:rsidRPr="00091AF4">
        <w:rPr>
          <w:rFonts w:eastAsia="Times New Roman"/>
        </w:rPr>
        <w:t xml:space="preserve">a study specific measure (not formally validated) </w:t>
      </w:r>
      <w:r w:rsidRPr="00091AF4">
        <w:rPr>
          <w:rFonts w:cs="Times New Roman"/>
        </w:rPr>
        <w:t>informed by Ramsey et al</w:t>
      </w:r>
      <w:r w:rsidRPr="00091AF4">
        <w:rPr>
          <w:rFonts w:cs="Times New Roman"/>
          <w:noProof/>
          <w:vertAlign w:val="superscript"/>
        </w:rPr>
        <w:t>12</w:t>
      </w:r>
      <w:r w:rsidRPr="00091AF4">
        <w:rPr>
          <w:rFonts w:cs="Times New Roman"/>
        </w:rPr>
        <w:t>, with</w:t>
      </w:r>
      <w:r w:rsidRPr="00F03722">
        <w:rPr>
          <w:rFonts w:cs="Times New Roman"/>
        </w:rPr>
        <w:t xml:space="preserve"> format informed by the </w:t>
      </w:r>
      <w:r w:rsidRPr="00F03722">
        <w:rPr>
          <w:rFonts w:cs="Times New Roman"/>
          <w:lang w:val="en"/>
        </w:rPr>
        <w:t>Self-Administered Comorbidity Questionnaire</w:t>
      </w:r>
      <w:r w:rsidRPr="00B52BB6">
        <w:rPr>
          <w:rFonts w:cs="Times New Roman"/>
          <w:noProof/>
          <w:vertAlign w:val="superscript"/>
          <w:lang w:val="en"/>
        </w:rPr>
        <w:t>28</w:t>
      </w:r>
      <w:r w:rsidRPr="00F03722">
        <w:rPr>
          <w:rFonts w:cs="Times New Roman"/>
        </w:rPr>
        <w:t>.  The list (</w:t>
      </w:r>
      <w:r>
        <w:rPr>
          <w:rFonts w:cs="Times New Roman"/>
        </w:rPr>
        <w:t>Figure</w:t>
      </w:r>
      <w:r w:rsidRPr="00F03722">
        <w:rPr>
          <w:rFonts w:cs="Times New Roman"/>
        </w:rPr>
        <w:t xml:space="preserve"> 1) asks whether a doctor has ever told the participant they have the condition, whether the condition limits typical daily activities and the severity of such impact (ranked from 1-7 on Likert scale).  At 24 months, an additional question asked whether each condition had been diagnosed before or after CRC diagnosis.</w:t>
      </w:r>
    </w:p>
    <w:p w14:paraId="09FEDAE7" w14:textId="77777777" w:rsidR="00D926EB" w:rsidRPr="00754937" w:rsidRDefault="00D926EB" w:rsidP="00A97B39">
      <w:pPr>
        <w:spacing w:line="480" w:lineRule="auto"/>
        <w:jc w:val="both"/>
        <w:rPr>
          <w:rFonts w:cs="Times New Roman"/>
          <w:b/>
          <w:bCs/>
        </w:rPr>
      </w:pPr>
      <w:r w:rsidRPr="00DC0BB4">
        <w:rPr>
          <w:rFonts w:cs="Times New Roman"/>
          <w:b/>
          <w:bCs/>
        </w:rPr>
        <w:t>**Insert Figure 1**</w:t>
      </w:r>
    </w:p>
    <w:p w14:paraId="11209741" w14:textId="77777777" w:rsidR="00D926EB" w:rsidRPr="00F03722" w:rsidRDefault="00D926EB" w:rsidP="00A97B39">
      <w:pPr>
        <w:spacing w:line="480" w:lineRule="auto"/>
        <w:jc w:val="both"/>
        <w:rPr>
          <w:rFonts w:cs="Times New Roman"/>
          <w:i/>
          <w:iCs/>
        </w:rPr>
      </w:pPr>
      <w:r w:rsidRPr="00F03722">
        <w:rPr>
          <w:rFonts w:cs="Times New Roman"/>
          <w:i/>
          <w:iCs/>
        </w:rPr>
        <w:t>QoL, Symptoms and Functioning</w:t>
      </w:r>
    </w:p>
    <w:p w14:paraId="2A574918" w14:textId="77777777" w:rsidR="00D926EB" w:rsidRPr="00F03722" w:rsidRDefault="00D926EB" w:rsidP="00A97B39">
      <w:pPr>
        <w:spacing w:line="480" w:lineRule="auto"/>
        <w:jc w:val="both"/>
        <w:rPr>
          <w:rFonts w:cs="Times New Roman"/>
        </w:rPr>
      </w:pPr>
      <w:r w:rsidRPr="00F03722">
        <w:rPr>
          <w:rFonts w:cs="Times New Roman"/>
        </w:rPr>
        <w:t>QoL, symptoms and functioning were assessed using the validated European Organisation for Research and Treatment of Cancer QoL (EORTC QLQ) core (C30) questionnaire</w:t>
      </w:r>
      <w:r w:rsidRPr="00B52BB6">
        <w:rPr>
          <w:rFonts w:cs="Times New Roman"/>
          <w:noProof/>
          <w:vertAlign w:val="superscript"/>
        </w:rPr>
        <w:t>29</w:t>
      </w:r>
      <w:r w:rsidRPr="00F03722">
        <w:rPr>
          <w:rFonts w:cs="Times New Roman"/>
        </w:rPr>
        <w:t xml:space="preserve"> and the CRC component (CR29)</w:t>
      </w:r>
      <w:r w:rsidRPr="00B52BB6">
        <w:rPr>
          <w:rFonts w:cs="Times New Roman"/>
          <w:noProof/>
          <w:vertAlign w:val="superscript"/>
        </w:rPr>
        <w:t>30</w:t>
      </w:r>
      <w:r>
        <w:rPr>
          <w:rFonts w:cs="Times New Roman"/>
        </w:rPr>
        <w:t xml:space="preserve">, from 3 months onwards.  </w:t>
      </w:r>
    </w:p>
    <w:p w14:paraId="719BE533" w14:textId="77777777" w:rsidR="00D926EB" w:rsidRPr="00F03722" w:rsidRDefault="00D926EB" w:rsidP="00A97B39">
      <w:pPr>
        <w:spacing w:line="480" w:lineRule="auto"/>
        <w:jc w:val="both"/>
        <w:rPr>
          <w:rFonts w:cs="Times New Roman"/>
        </w:rPr>
      </w:pPr>
      <w:r w:rsidRPr="00F03722">
        <w:rPr>
          <w:rFonts w:cs="Times New Roman"/>
        </w:rPr>
        <w:t>Global health status/QoL scale of the QLQ-C30 was used to represent overall QoL (comprises 2 items).  Analyses of symptoms focussed on those most frequently reported in CRC</w:t>
      </w:r>
      <w:r w:rsidRPr="00B52BB6">
        <w:rPr>
          <w:rFonts w:cs="Times New Roman"/>
          <w:noProof/>
          <w:vertAlign w:val="superscript"/>
        </w:rPr>
        <w:t>9,13,31</w:t>
      </w:r>
      <w:r w:rsidRPr="00F03722">
        <w:rPr>
          <w:rFonts w:cs="Times New Roman"/>
        </w:rPr>
        <w:t>: pain, fatigue</w:t>
      </w:r>
      <w:r>
        <w:rPr>
          <w:rFonts w:cs="Times New Roman"/>
        </w:rPr>
        <w:t xml:space="preserve"> (from QLQ-C30)</w:t>
      </w:r>
      <w:r w:rsidRPr="00F03722">
        <w:rPr>
          <w:rFonts w:cs="Times New Roman"/>
        </w:rPr>
        <w:t>, urinary and bowel</w:t>
      </w:r>
      <w:r>
        <w:rPr>
          <w:rFonts w:cs="Times New Roman"/>
        </w:rPr>
        <w:t xml:space="preserve"> symptoms (from QLQ-CR29)</w:t>
      </w:r>
      <w:r w:rsidRPr="00F03722">
        <w:rPr>
          <w:rFonts w:cs="Times New Roman"/>
        </w:rPr>
        <w:t xml:space="preserve">. </w:t>
      </w:r>
      <w:r>
        <w:rPr>
          <w:rFonts w:cs="Times New Roman"/>
        </w:rPr>
        <w:t>P</w:t>
      </w:r>
      <w:r w:rsidRPr="00F03722">
        <w:rPr>
          <w:rFonts w:cs="Times New Roman"/>
        </w:rPr>
        <w:t>hysical, role, cognitive, emotional and social functioning was assessed using QLQ-C30</w:t>
      </w:r>
      <w:r>
        <w:rPr>
          <w:rFonts w:cs="Times New Roman"/>
        </w:rPr>
        <w:t xml:space="preserve"> </w:t>
      </w:r>
      <w:r w:rsidRPr="00F03722">
        <w:rPr>
          <w:rFonts w:cs="Times New Roman"/>
        </w:rPr>
        <w:t>subscales.</w:t>
      </w:r>
    </w:p>
    <w:p w14:paraId="04B4BA4F" w14:textId="77777777" w:rsidR="00D926EB" w:rsidRPr="00F03722" w:rsidRDefault="00D926EB" w:rsidP="00A97B39">
      <w:pPr>
        <w:tabs>
          <w:tab w:val="left" w:pos="2408"/>
        </w:tabs>
        <w:spacing w:line="480" w:lineRule="auto"/>
        <w:jc w:val="both"/>
        <w:rPr>
          <w:rFonts w:cs="Times New Roman"/>
          <w:u w:val="single"/>
        </w:rPr>
      </w:pPr>
      <w:r w:rsidRPr="00F03722">
        <w:rPr>
          <w:rFonts w:cs="Times New Roman"/>
          <w:u w:val="single"/>
        </w:rPr>
        <w:t>Statistical Analysis</w:t>
      </w:r>
    </w:p>
    <w:p w14:paraId="245C2804" w14:textId="77777777" w:rsidR="00D926EB" w:rsidRDefault="00D926EB" w:rsidP="00A97B39">
      <w:pPr>
        <w:tabs>
          <w:tab w:val="left" w:pos="2408"/>
        </w:tabs>
        <w:spacing w:line="480" w:lineRule="auto"/>
        <w:jc w:val="both"/>
        <w:rPr>
          <w:rFonts w:cs="Times New Roman"/>
        </w:rPr>
      </w:pPr>
      <w:r w:rsidRPr="00F03722">
        <w:rPr>
          <w:rFonts w:cs="Times New Roman"/>
        </w:rPr>
        <w:t>Subscale scores from the EORTC questionnaires were calculated according to published guidelines</w:t>
      </w:r>
      <w:r w:rsidRPr="00B52BB6">
        <w:rPr>
          <w:rFonts w:cs="Times New Roman"/>
          <w:noProof/>
          <w:vertAlign w:val="superscript"/>
        </w:rPr>
        <w:t>29</w:t>
      </w:r>
      <w:r w:rsidRPr="00F03722">
        <w:rPr>
          <w:rFonts w:cs="Times New Roman"/>
        </w:rPr>
        <w:t>.  To avoid problems with multiple testing of a large number of individual symptoms, summary scores representing urinary symptoms and bowel symptoms were calculated by taking the mean of QLQ-</w:t>
      </w:r>
      <w:r w:rsidRPr="00F03722">
        <w:rPr>
          <w:rFonts w:cs="Times New Roman"/>
        </w:rPr>
        <w:lastRenderedPageBreak/>
        <w:t>CR29 subscales: (a) urinary frequency, urinary incontinence and dysuria for urinary symptoms, and (b) blood and mucus in stool, stool frequency, abdominal pain, pain in buttocks/anal area/rectum, bloating, flatulence and faecal incontinence for bowel symptoms.</w:t>
      </w:r>
    </w:p>
    <w:p w14:paraId="7E77E795" w14:textId="77777777" w:rsidR="00D926EB" w:rsidRDefault="00D926EB" w:rsidP="00A97B39">
      <w:pPr>
        <w:tabs>
          <w:tab w:val="left" w:pos="2408"/>
        </w:tabs>
        <w:spacing w:line="480" w:lineRule="auto"/>
        <w:jc w:val="both"/>
        <w:rPr>
          <w:rFonts w:cs="Times New Roman"/>
        </w:rPr>
      </w:pPr>
    </w:p>
    <w:p w14:paraId="58FC3FEE" w14:textId="77777777" w:rsidR="00D926EB" w:rsidRDefault="00D926EB" w:rsidP="00A97B39">
      <w:pPr>
        <w:tabs>
          <w:tab w:val="left" w:pos="2408"/>
        </w:tabs>
        <w:spacing w:line="480" w:lineRule="auto"/>
        <w:jc w:val="both"/>
        <w:rPr>
          <w:rFonts w:cs="Times New Roman"/>
        </w:rPr>
      </w:pPr>
      <w:r w:rsidRPr="00F03722">
        <w:rPr>
          <w:rFonts w:cs="Times New Roman"/>
        </w:rPr>
        <w:t xml:space="preserve">Due to initial analyses indicating the stability in prevalence </w:t>
      </w:r>
      <w:r>
        <w:rPr>
          <w:rFonts w:cs="Times New Roman"/>
        </w:rPr>
        <w:t xml:space="preserve">and chronicity of comorbidities </w:t>
      </w:r>
      <w:r w:rsidRPr="00F03722">
        <w:rPr>
          <w:rFonts w:cs="Times New Roman"/>
        </w:rPr>
        <w:t xml:space="preserve">over follow-up, statistical analyses </w:t>
      </w:r>
      <w:r>
        <w:rPr>
          <w:rFonts w:cs="Times New Roman"/>
        </w:rPr>
        <w:t>used</w:t>
      </w:r>
      <w:r w:rsidRPr="00F03722">
        <w:rPr>
          <w:rFonts w:cs="Times New Roman"/>
        </w:rPr>
        <w:t xml:space="preserve"> 3 month comorbidity data.</w:t>
      </w:r>
    </w:p>
    <w:p w14:paraId="602D7097" w14:textId="77777777" w:rsidR="00D926EB" w:rsidRPr="00BD1770" w:rsidRDefault="00D926EB" w:rsidP="00A97B39">
      <w:pPr>
        <w:tabs>
          <w:tab w:val="left" w:pos="2408"/>
        </w:tabs>
        <w:spacing w:line="480" w:lineRule="auto"/>
        <w:jc w:val="both"/>
        <w:rPr>
          <w:rFonts w:cs="Times New Roman"/>
        </w:rPr>
      </w:pPr>
      <w:r>
        <w:rPr>
          <w:rFonts w:cs="Times New Roman"/>
        </w:rPr>
        <w:t>In the first part of the analyses, a</w:t>
      </w:r>
      <w:r w:rsidRPr="00F03722">
        <w:rPr>
          <w:rFonts w:cs="Times New Roman"/>
        </w:rPr>
        <w:t xml:space="preserve">ssociations between the number of comorbidities reported at 3 months and baseline socio-demographic, clinical and treatment factors, were assessed using the chi-square test or chi-square test for trend, where appropriate. The Index of Multiple Deprivation was </w:t>
      </w:r>
      <w:r w:rsidRPr="00BD1770">
        <w:rPr>
          <w:rFonts w:cs="Times New Roman"/>
        </w:rPr>
        <w:t>categorised into quintiles</w:t>
      </w:r>
      <w:r w:rsidRPr="00BD1770">
        <w:rPr>
          <w:rFonts w:cs="Times New Roman"/>
          <w:noProof/>
          <w:vertAlign w:val="superscript"/>
        </w:rPr>
        <w:t>26</w:t>
      </w:r>
      <w:r w:rsidRPr="00091AF4">
        <w:rPr>
          <w:rFonts w:cs="Times New Roman"/>
        </w:rPr>
        <w:t>.</w:t>
      </w:r>
      <w:r w:rsidR="00C1539A">
        <w:rPr>
          <w:rFonts w:cs="Times New Roman"/>
        </w:rPr>
        <w:t xml:space="preserve">  </w:t>
      </w:r>
      <w:r w:rsidR="00C1539A" w:rsidRPr="00091AF4">
        <w:rPr>
          <w:rFonts w:cs="Times New Roman"/>
        </w:rPr>
        <w:t>Performance status was not captured.</w:t>
      </w:r>
    </w:p>
    <w:p w14:paraId="4A45369C" w14:textId="77777777" w:rsidR="00D926EB" w:rsidRDefault="00D926EB" w:rsidP="00A97B39">
      <w:pPr>
        <w:pStyle w:val="NormalWeb"/>
        <w:spacing w:after="160" w:line="480" w:lineRule="auto"/>
        <w:jc w:val="both"/>
        <w:rPr>
          <w:rFonts w:asciiTheme="minorHAnsi" w:hAnsiTheme="minorHAnsi" w:cstheme="minorHAnsi"/>
          <w:sz w:val="22"/>
          <w:szCs w:val="22"/>
        </w:rPr>
      </w:pPr>
      <w:r w:rsidRPr="00BD1770">
        <w:rPr>
          <w:rFonts w:asciiTheme="minorHAnsi" w:hAnsiTheme="minorHAnsi"/>
          <w:sz w:val="22"/>
          <w:szCs w:val="22"/>
        </w:rPr>
        <w:t xml:space="preserve">For the second part, longitudinal analyses were conducted using generalised estimating equations, based on all available completed questionnaires up to 60 months. </w:t>
      </w:r>
      <w:r>
        <w:rPr>
          <w:rFonts w:asciiTheme="minorHAnsi" w:hAnsiTheme="minorHAnsi"/>
          <w:sz w:val="22"/>
          <w:szCs w:val="22"/>
        </w:rPr>
        <w:t xml:space="preserve"> </w:t>
      </w:r>
      <w:r w:rsidRPr="00BD1770">
        <w:rPr>
          <w:rFonts w:asciiTheme="minorHAnsi" w:hAnsiTheme="minorHAnsi"/>
          <w:sz w:val="22"/>
          <w:szCs w:val="22"/>
        </w:rPr>
        <w:t>Analyses</w:t>
      </w:r>
      <w:r>
        <w:rPr>
          <w:rFonts w:asciiTheme="minorHAnsi" w:hAnsiTheme="minorHAnsi"/>
          <w:sz w:val="22"/>
          <w:szCs w:val="22"/>
        </w:rPr>
        <w:t xml:space="preserve"> assessed </w:t>
      </w:r>
      <w:r w:rsidRPr="00F03722">
        <w:rPr>
          <w:rFonts w:asciiTheme="minorHAnsi" w:hAnsiTheme="minorHAnsi"/>
          <w:sz w:val="22"/>
          <w:szCs w:val="22"/>
        </w:rPr>
        <w:t>the association</w:t>
      </w:r>
      <w:r>
        <w:rPr>
          <w:rFonts w:asciiTheme="minorHAnsi" w:hAnsiTheme="minorHAnsi"/>
          <w:sz w:val="22"/>
          <w:szCs w:val="22"/>
        </w:rPr>
        <w:t>s</w:t>
      </w:r>
      <w:r w:rsidRPr="00F03722">
        <w:rPr>
          <w:rFonts w:asciiTheme="minorHAnsi" w:hAnsiTheme="minorHAnsi"/>
          <w:sz w:val="22"/>
          <w:szCs w:val="22"/>
        </w:rPr>
        <w:t xml:space="preserve"> between </w:t>
      </w:r>
      <w:r>
        <w:rPr>
          <w:rFonts w:asciiTheme="minorHAnsi" w:hAnsiTheme="minorHAnsi"/>
          <w:sz w:val="22"/>
          <w:szCs w:val="22"/>
        </w:rPr>
        <w:t xml:space="preserve">EORTC subscale scores as dependent variables and </w:t>
      </w:r>
      <w:r w:rsidRPr="00F03722">
        <w:rPr>
          <w:rFonts w:asciiTheme="minorHAnsi" w:hAnsiTheme="minorHAnsi"/>
          <w:sz w:val="22"/>
          <w:szCs w:val="22"/>
        </w:rPr>
        <w:t>comorbidities reported at 3 months</w:t>
      </w:r>
      <w:r>
        <w:rPr>
          <w:rFonts w:asciiTheme="minorHAnsi" w:hAnsiTheme="minorHAnsi"/>
          <w:sz w:val="22"/>
          <w:szCs w:val="22"/>
        </w:rPr>
        <w:t xml:space="preserve"> (five most prevalent </w:t>
      </w:r>
      <w:r>
        <w:rPr>
          <w:rFonts w:asciiTheme="minorHAnsi" w:hAnsiTheme="minorHAnsi" w:cstheme="minorHAnsi"/>
          <w:sz w:val="22"/>
          <w:szCs w:val="22"/>
        </w:rPr>
        <w:t>comorbid conditions,</w:t>
      </w:r>
      <w:r w:rsidRPr="00D85134">
        <w:rPr>
          <w:rFonts w:asciiTheme="minorHAnsi" w:hAnsiTheme="minorHAnsi" w:cstheme="minorHAnsi"/>
          <w:sz w:val="22"/>
          <w:szCs w:val="22"/>
        </w:rPr>
        <w:t xml:space="preserve"> </w:t>
      </w:r>
      <w:r>
        <w:rPr>
          <w:rFonts w:asciiTheme="minorHAnsi" w:hAnsiTheme="minorHAnsi" w:cstheme="minorHAnsi"/>
          <w:sz w:val="22"/>
          <w:szCs w:val="22"/>
        </w:rPr>
        <w:t xml:space="preserve">and the </w:t>
      </w:r>
      <w:r w:rsidRPr="00D85134">
        <w:rPr>
          <w:rFonts w:asciiTheme="minorHAnsi" w:hAnsiTheme="minorHAnsi" w:cstheme="minorHAnsi"/>
          <w:sz w:val="22"/>
          <w:szCs w:val="22"/>
        </w:rPr>
        <w:t>c</w:t>
      </w:r>
      <w:r>
        <w:rPr>
          <w:rFonts w:asciiTheme="minorHAnsi" w:hAnsiTheme="minorHAnsi" w:cstheme="minorHAnsi"/>
          <w:sz w:val="22"/>
          <w:szCs w:val="22"/>
        </w:rPr>
        <w:t>omorbidity status itself categorised as none,</w:t>
      </w:r>
      <w:r w:rsidRPr="00D85134">
        <w:rPr>
          <w:rFonts w:asciiTheme="minorHAnsi" w:hAnsiTheme="minorHAnsi" w:cstheme="minorHAnsi"/>
          <w:sz w:val="22"/>
          <w:szCs w:val="22"/>
        </w:rPr>
        <w:t xml:space="preserve"> non-limiting</w:t>
      </w:r>
      <w:r>
        <w:rPr>
          <w:rFonts w:asciiTheme="minorHAnsi" w:hAnsiTheme="minorHAnsi" w:cstheme="minorHAnsi"/>
          <w:sz w:val="22"/>
          <w:szCs w:val="22"/>
        </w:rPr>
        <w:t xml:space="preserve"> or </w:t>
      </w:r>
      <w:r w:rsidRPr="00D85134">
        <w:rPr>
          <w:rFonts w:asciiTheme="minorHAnsi" w:hAnsiTheme="minorHAnsi" w:cstheme="minorHAnsi"/>
          <w:sz w:val="22"/>
          <w:szCs w:val="22"/>
        </w:rPr>
        <w:t>limiting</w:t>
      </w:r>
      <w:r>
        <w:rPr>
          <w:rFonts w:asciiTheme="minorHAnsi" w:hAnsiTheme="minorHAnsi" w:cstheme="minorHAnsi"/>
          <w:sz w:val="22"/>
          <w:szCs w:val="22"/>
        </w:rPr>
        <w:t>)</w:t>
      </w:r>
      <w:r w:rsidRPr="00CA1DF2">
        <w:rPr>
          <w:rFonts w:asciiTheme="minorHAnsi" w:hAnsiTheme="minorHAnsi" w:cstheme="minorHAnsi"/>
          <w:sz w:val="22"/>
          <w:szCs w:val="22"/>
        </w:rPr>
        <w:t xml:space="preserve"> </w:t>
      </w:r>
      <w:r>
        <w:rPr>
          <w:rFonts w:asciiTheme="minorHAnsi" w:hAnsiTheme="minorHAnsi"/>
          <w:sz w:val="22"/>
          <w:szCs w:val="22"/>
        </w:rPr>
        <w:t xml:space="preserve">as independent variables </w:t>
      </w:r>
      <w:r w:rsidRPr="00CA1DF2">
        <w:rPr>
          <w:rFonts w:asciiTheme="minorHAnsi" w:hAnsiTheme="minorHAnsi" w:cstheme="minorHAnsi"/>
          <w:sz w:val="22"/>
          <w:szCs w:val="22"/>
        </w:rPr>
        <w:t>at the 5% significance level</w:t>
      </w:r>
      <w:r>
        <w:rPr>
          <w:rFonts w:asciiTheme="minorHAnsi" w:hAnsiTheme="minorHAnsi" w:cstheme="minorHAnsi"/>
          <w:sz w:val="22"/>
          <w:szCs w:val="22"/>
        </w:rPr>
        <w:t xml:space="preserve">. </w:t>
      </w:r>
      <w:r>
        <w:rPr>
          <w:rFonts w:asciiTheme="minorHAnsi" w:hAnsiTheme="minorHAnsi"/>
          <w:sz w:val="22"/>
          <w:szCs w:val="22"/>
        </w:rPr>
        <w:t>S</w:t>
      </w:r>
      <w:r w:rsidRPr="00F03722">
        <w:rPr>
          <w:rFonts w:asciiTheme="minorHAnsi" w:hAnsiTheme="minorHAnsi"/>
          <w:sz w:val="22"/>
          <w:szCs w:val="22"/>
        </w:rPr>
        <w:t xml:space="preserve">eparate models </w:t>
      </w:r>
      <w:r>
        <w:rPr>
          <w:rFonts w:asciiTheme="minorHAnsi" w:hAnsiTheme="minorHAnsi"/>
          <w:sz w:val="22"/>
          <w:szCs w:val="22"/>
        </w:rPr>
        <w:t xml:space="preserve">were </w:t>
      </w:r>
      <w:r w:rsidRPr="00F03722">
        <w:rPr>
          <w:rFonts w:asciiTheme="minorHAnsi" w:hAnsiTheme="minorHAnsi"/>
          <w:sz w:val="22"/>
          <w:szCs w:val="22"/>
        </w:rPr>
        <w:t xml:space="preserve">fitted for each </w:t>
      </w:r>
      <w:r>
        <w:rPr>
          <w:rFonts w:asciiTheme="minorHAnsi" w:hAnsiTheme="minorHAnsi"/>
          <w:sz w:val="22"/>
          <w:szCs w:val="22"/>
        </w:rPr>
        <w:t xml:space="preserve">EORTC </w:t>
      </w:r>
      <w:r w:rsidRPr="00F03722">
        <w:rPr>
          <w:rFonts w:asciiTheme="minorHAnsi" w:hAnsiTheme="minorHAnsi"/>
          <w:sz w:val="22"/>
          <w:szCs w:val="22"/>
        </w:rPr>
        <w:t>subscale</w:t>
      </w:r>
      <w:r>
        <w:rPr>
          <w:rFonts w:asciiTheme="minorHAnsi" w:hAnsiTheme="minorHAnsi"/>
          <w:sz w:val="22"/>
          <w:szCs w:val="22"/>
        </w:rPr>
        <w:t xml:space="preserve"> of global health status/QoL, symptoms and functioning. </w:t>
      </w:r>
    </w:p>
    <w:p w14:paraId="5C4CCBC6" w14:textId="77777777" w:rsidR="00D926EB" w:rsidRDefault="00D926EB" w:rsidP="00A97B39">
      <w:pPr>
        <w:pStyle w:val="NormalWeb"/>
        <w:spacing w:after="160" w:line="480" w:lineRule="auto"/>
        <w:jc w:val="both"/>
        <w:rPr>
          <w:rFonts w:asciiTheme="minorHAnsi" w:hAnsiTheme="minorHAnsi"/>
          <w:sz w:val="22"/>
          <w:szCs w:val="22"/>
        </w:rPr>
      </w:pPr>
      <w:r>
        <w:rPr>
          <w:rFonts w:asciiTheme="minorHAnsi" w:hAnsiTheme="minorHAnsi" w:cstheme="minorHAnsi"/>
          <w:sz w:val="22"/>
          <w:szCs w:val="22"/>
        </w:rPr>
        <w:t>T</w:t>
      </w:r>
      <w:r w:rsidRPr="00CA1DF2">
        <w:rPr>
          <w:rFonts w:asciiTheme="minorHAnsi" w:hAnsiTheme="minorHAnsi" w:cstheme="minorHAnsi"/>
          <w:sz w:val="22"/>
          <w:szCs w:val="22"/>
        </w:rPr>
        <w:t>he first set of multivariable</w:t>
      </w:r>
      <w:r w:rsidRPr="00CA1DF2">
        <w:rPr>
          <w:rFonts w:asciiTheme="minorHAnsi" w:hAnsiTheme="minorHAnsi"/>
          <w:sz w:val="22"/>
          <w:szCs w:val="22"/>
        </w:rPr>
        <w:t xml:space="preserve"> </w:t>
      </w:r>
      <w:r>
        <w:rPr>
          <w:rFonts w:asciiTheme="minorHAnsi" w:hAnsiTheme="minorHAnsi"/>
          <w:sz w:val="22"/>
          <w:szCs w:val="22"/>
        </w:rPr>
        <w:t>r</w:t>
      </w:r>
      <w:r w:rsidRPr="00F03722">
        <w:rPr>
          <w:rFonts w:asciiTheme="minorHAnsi" w:hAnsiTheme="minorHAnsi"/>
          <w:sz w:val="22"/>
          <w:szCs w:val="22"/>
        </w:rPr>
        <w:t xml:space="preserve">egression models included </w:t>
      </w:r>
      <w:r>
        <w:rPr>
          <w:rFonts w:asciiTheme="minorHAnsi" w:hAnsiTheme="minorHAnsi"/>
          <w:sz w:val="22"/>
          <w:szCs w:val="22"/>
        </w:rPr>
        <w:t xml:space="preserve">independent variables separately in each model and were adjusted for </w:t>
      </w:r>
      <w:r w:rsidRPr="00F03722">
        <w:rPr>
          <w:rFonts w:asciiTheme="minorHAnsi" w:hAnsiTheme="minorHAnsi"/>
          <w:sz w:val="22"/>
          <w:szCs w:val="22"/>
        </w:rPr>
        <w:t xml:space="preserve">time </w:t>
      </w:r>
      <w:r>
        <w:rPr>
          <w:rFonts w:asciiTheme="minorHAnsi" w:hAnsiTheme="minorHAnsi"/>
          <w:sz w:val="22"/>
          <w:szCs w:val="22"/>
        </w:rPr>
        <w:t>since</w:t>
      </w:r>
      <w:r w:rsidRPr="00F03722">
        <w:rPr>
          <w:rFonts w:asciiTheme="minorHAnsi" w:hAnsiTheme="minorHAnsi"/>
          <w:sz w:val="22"/>
          <w:szCs w:val="22"/>
        </w:rPr>
        <w:t xml:space="preserve"> surgery</w:t>
      </w:r>
      <w:r>
        <w:rPr>
          <w:rFonts w:asciiTheme="minorHAnsi" w:hAnsiTheme="minorHAnsi"/>
          <w:sz w:val="22"/>
          <w:szCs w:val="22"/>
        </w:rPr>
        <w:t xml:space="preserve"> and those demographic, clinical or treatment factors significantly associated with total numbers of comorbidities in the first analyses.  </w:t>
      </w:r>
    </w:p>
    <w:p w14:paraId="09324140" w14:textId="77777777" w:rsidR="00D926EB" w:rsidRDefault="00D926EB" w:rsidP="00A97B39">
      <w:pPr>
        <w:pStyle w:val="NormalWeb"/>
        <w:spacing w:after="160" w:line="480" w:lineRule="auto"/>
        <w:jc w:val="both"/>
        <w:rPr>
          <w:rFonts w:asciiTheme="minorHAnsi" w:hAnsiTheme="minorHAnsi"/>
          <w:color w:val="000000"/>
          <w:sz w:val="22"/>
          <w:szCs w:val="22"/>
        </w:rPr>
      </w:pPr>
      <w:r>
        <w:rPr>
          <w:rFonts w:asciiTheme="minorHAnsi" w:hAnsiTheme="minorHAnsi"/>
          <w:sz w:val="22"/>
          <w:szCs w:val="22"/>
        </w:rPr>
        <w:t xml:space="preserve">The second set of multivariable regression models focused on examining multiple effects of the significant comorbidity predictors. </w:t>
      </w:r>
      <w:r w:rsidRPr="00F03722">
        <w:rPr>
          <w:rFonts w:asciiTheme="minorHAnsi" w:hAnsiTheme="minorHAnsi"/>
          <w:color w:val="000000"/>
          <w:sz w:val="22"/>
          <w:szCs w:val="22"/>
        </w:rPr>
        <w:t xml:space="preserve"> </w:t>
      </w:r>
      <w:r>
        <w:rPr>
          <w:rFonts w:asciiTheme="minorHAnsi" w:hAnsiTheme="minorHAnsi"/>
          <w:color w:val="000000"/>
          <w:sz w:val="22"/>
          <w:szCs w:val="22"/>
        </w:rPr>
        <w:t>Independent (</w:t>
      </w:r>
      <w:r w:rsidRPr="00F03722">
        <w:rPr>
          <w:rFonts w:asciiTheme="minorHAnsi" w:hAnsiTheme="minorHAnsi"/>
          <w:color w:val="000000"/>
          <w:sz w:val="22"/>
          <w:szCs w:val="22"/>
        </w:rPr>
        <w:t>comorbidity</w:t>
      </w:r>
      <w:r>
        <w:rPr>
          <w:rFonts w:asciiTheme="minorHAnsi" w:hAnsiTheme="minorHAnsi"/>
          <w:color w:val="000000"/>
          <w:sz w:val="22"/>
          <w:szCs w:val="22"/>
        </w:rPr>
        <w:t xml:space="preserve">) variables </w:t>
      </w:r>
      <w:r w:rsidRPr="00F03722">
        <w:rPr>
          <w:rFonts w:asciiTheme="minorHAnsi" w:hAnsiTheme="minorHAnsi"/>
          <w:color w:val="000000"/>
          <w:sz w:val="22"/>
          <w:szCs w:val="22"/>
        </w:rPr>
        <w:t xml:space="preserve">statistically significant in </w:t>
      </w:r>
      <w:r>
        <w:rPr>
          <w:rFonts w:asciiTheme="minorHAnsi" w:hAnsiTheme="minorHAnsi"/>
          <w:color w:val="000000"/>
          <w:sz w:val="22"/>
          <w:szCs w:val="22"/>
        </w:rPr>
        <w:t xml:space="preserve">the first set of regression </w:t>
      </w:r>
      <w:r w:rsidRPr="00F03722">
        <w:rPr>
          <w:rFonts w:asciiTheme="minorHAnsi" w:hAnsiTheme="minorHAnsi"/>
          <w:color w:val="000000"/>
          <w:sz w:val="22"/>
          <w:szCs w:val="22"/>
        </w:rPr>
        <w:t>models we</w:t>
      </w:r>
      <w:r>
        <w:rPr>
          <w:rFonts w:asciiTheme="minorHAnsi" w:hAnsiTheme="minorHAnsi"/>
          <w:color w:val="000000"/>
          <w:sz w:val="22"/>
          <w:szCs w:val="22"/>
        </w:rPr>
        <w:t>re put together in the second set</w:t>
      </w:r>
      <w:r w:rsidRPr="00F03722">
        <w:rPr>
          <w:rFonts w:asciiTheme="minorHAnsi" w:hAnsiTheme="minorHAnsi"/>
          <w:color w:val="000000"/>
          <w:sz w:val="22"/>
          <w:szCs w:val="22"/>
        </w:rPr>
        <w:t xml:space="preserve">, </w:t>
      </w:r>
      <w:r>
        <w:rPr>
          <w:rFonts w:asciiTheme="minorHAnsi" w:hAnsiTheme="minorHAnsi"/>
          <w:color w:val="000000"/>
          <w:sz w:val="22"/>
          <w:szCs w:val="22"/>
        </w:rPr>
        <w:t xml:space="preserve">again </w:t>
      </w:r>
      <w:r w:rsidRPr="00F03722">
        <w:rPr>
          <w:rFonts w:asciiTheme="minorHAnsi" w:hAnsiTheme="minorHAnsi"/>
          <w:color w:val="000000"/>
          <w:sz w:val="22"/>
          <w:szCs w:val="22"/>
        </w:rPr>
        <w:t>adjusting for time si</w:t>
      </w:r>
      <w:r>
        <w:rPr>
          <w:rFonts w:asciiTheme="minorHAnsi" w:hAnsiTheme="minorHAnsi"/>
          <w:color w:val="000000"/>
          <w:sz w:val="22"/>
          <w:szCs w:val="22"/>
        </w:rPr>
        <w:t xml:space="preserve">nce surgery and </w:t>
      </w:r>
      <w:r>
        <w:rPr>
          <w:rFonts w:asciiTheme="minorHAnsi" w:hAnsiTheme="minorHAnsi"/>
          <w:sz w:val="22"/>
          <w:szCs w:val="22"/>
        </w:rPr>
        <w:t>demographic/clinical/treatment factors identified as significant in initial analyses</w:t>
      </w:r>
      <w:r>
        <w:rPr>
          <w:rFonts w:asciiTheme="minorHAnsi" w:hAnsiTheme="minorHAnsi"/>
          <w:color w:val="000000"/>
          <w:sz w:val="22"/>
          <w:szCs w:val="22"/>
        </w:rPr>
        <w:t xml:space="preserve">.  </w:t>
      </w:r>
    </w:p>
    <w:p w14:paraId="67FDF150" w14:textId="77777777" w:rsidR="00D926EB" w:rsidRPr="00F03722" w:rsidRDefault="00D926EB" w:rsidP="00A97B39">
      <w:pPr>
        <w:pStyle w:val="NormalWeb"/>
        <w:spacing w:after="160" w:line="480" w:lineRule="auto"/>
        <w:jc w:val="both"/>
        <w:rPr>
          <w:rFonts w:asciiTheme="minorHAnsi" w:hAnsiTheme="minorHAnsi"/>
          <w:sz w:val="22"/>
          <w:szCs w:val="22"/>
        </w:rPr>
      </w:pPr>
      <w:r w:rsidRPr="00F03722">
        <w:rPr>
          <w:rFonts w:asciiTheme="minorHAnsi" w:hAnsiTheme="minorHAnsi"/>
          <w:sz w:val="22"/>
          <w:szCs w:val="22"/>
        </w:rPr>
        <w:lastRenderedPageBreak/>
        <w:t>Participants with missing questionnaires were included in analyses for time-points for which they provided data; there was no imputation of missing questionnaires</w:t>
      </w:r>
      <w:r>
        <w:rPr>
          <w:rFonts w:asciiTheme="minorHAnsi" w:hAnsiTheme="minorHAnsi"/>
          <w:sz w:val="22"/>
          <w:szCs w:val="22"/>
        </w:rPr>
        <w:t xml:space="preserve">, or </w:t>
      </w:r>
      <w:r w:rsidRPr="00F03722">
        <w:rPr>
          <w:rFonts w:asciiTheme="minorHAnsi" w:hAnsiTheme="minorHAnsi"/>
          <w:iCs/>
          <w:sz w:val="22"/>
          <w:szCs w:val="22"/>
        </w:rPr>
        <w:t xml:space="preserve">socio-demographic, clinical, treatment or comorbidity </w:t>
      </w:r>
      <w:r w:rsidRPr="00F03722">
        <w:rPr>
          <w:rFonts w:asciiTheme="minorHAnsi" w:hAnsiTheme="minorHAnsi"/>
          <w:color w:val="000000"/>
          <w:sz w:val="22"/>
          <w:szCs w:val="22"/>
        </w:rPr>
        <w:t xml:space="preserve">data.  Missing data on the EORTC measures were dealt </w:t>
      </w:r>
      <w:r>
        <w:rPr>
          <w:rFonts w:asciiTheme="minorHAnsi" w:hAnsiTheme="minorHAnsi"/>
          <w:color w:val="000000"/>
          <w:sz w:val="22"/>
          <w:szCs w:val="22"/>
        </w:rPr>
        <w:t>with using published guidelines</w:t>
      </w:r>
      <w:r w:rsidRPr="00B52BB6">
        <w:rPr>
          <w:rFonts w:asciiTheme="minorHAnsi" w:hAnsiTheme="minorHAnsi"/>
          <w:noProof/>
          <w:color w:val="000000"/>
          <w:sz w:val="22"/>
          <w:szCs w:val="22"/>
          <w:vertAlign w:val="superscript"/>
        </w:rPr>
        <w:t>29</w:t>
      </w:r>
      <w:r w:rsidRPr="00F03722">
        <w:rPr>
          <w:rFonts w:asciiTheme="minorHAnsi" w:hAnsiTheme="minorHAnsi"/>
          <w:color w:val="000000"/>
          <w:sz w:val="22"/>
          <w:szCs w:val="22"/>
        </w:rPr>
        <w:t xml:space="preserve"> </w:t>
      </w:r>
      <w:r w:rsidRPr="00B52BB6">
        <w:rPr>
          <w:rFonts w:asciiTheme="minorHAnsi" w:hAnsiTheme="minorHAnsi"/>
          <w:noProof/>
          <w:color w:val="000000"/>
          <w:sz w:val="22"/>
          <w:szCs w:val="22"/>
          <w:vertAlign w:val="superscript"/>
        </w:rPr>
        <w:t>30</w:t>
      </w:r>
      <w:r w:rsidRPr="00F03722">
        <w:rPr>
          <w:rFonts w:asciiTheme="minorHAnsi" w:hAnsiTheme="minorHAnsi"/>
          <w:color w:val="000000"/>
          <w:sz w:val="22"/>
          <w:szCs w:val="22"/>
        </w:rPr>
        <w:t xml:space="preserve">. </w:t>
      </w:r>
    </w:p>
    <w:p w14:paraId="141F8BB1" w14:textId="77777777" w:rsidR="00D926EB" w:rsidRPr="00F03722" w:rsidRDefault="00D926EB" w:rsidP="00A97B39">
      <w:pPr>
        <w:pStyle w:val="NormalWeb"/>
        <w:spacing w:after="160" w:line="480" w:lineRule="auto"/>
        <w:jc w:val="both"/>
        <w:rPr>
          <w:rFonts w:asciiTheme="minorHAnsi" w:hAnsiTheme="minorHAnsi"/>
          <w:sz w:val="22"/>
          <w:szCs w:val="22"/>
        </w:rPr>
      </w:pPr>
      <w:r w:rsidRPr="00F03722">
        <w:rPr>
          <w:rFonts w:asciiTheme="minorHAnsi" w:hAnsiTheme="minorHAnsi"/>
          <w:sz w:val="22"/>
          <w:szCs w:val="22"/>
        </w:rPr>
        <w:t>Longitudinal analyses involving individual comorbidities encompassed the five most prevalent individual conditions</w:t>
      </w:r>
      <w:r>
        <w:rPr>
          <w:rFonts w:asciiTheme="minorHAnsi" w:hAnsiTheme="minorHAnsi"/>
          <w:sz w:val="22"/>
          <w:szCs w:val="22"/>
        </w:rPr>
        <w:t xml:space="preserve"> (</w:t>
      </w:r>
      <w:r w:rsidRPr="00F03722">
        <w:rPr>
          <w:rFonts w:asciiTheme="minorHAnsi" w:hAnsiTheme="minorHAnsi"/>
          <w:sz w:val="22"/>
          <w:szCs w:val="22"/>
        </w:rPr>
        <w:t>small numbers restricted detailed analysis</w:t>
      </w:r>
      <w:r>
        <w:rPr>
          <w:rFonts w:asciiTheme="minorHAnsi" w:hAnsiTheme="minorHAnsi"/>
          <w:sz w:val="22"/>
          <w:szCs w:val="22"/>
        </w:rPr>
        <w:t xml:space="preserve"> </w:t>
      </w:r>
      <w:r w:rsidRPr="00F03722">
        <w:rPr>
          <w:rFonts w:asciiTheme="minorHAnsi" w:hAnsiTheme="minorHAnsi"/>
          <w:sz w:val="22"/>
          <w:szCs w:val="22"/>
        </w:rPr>
        <w:t>for less prevalent comorbidities</w:t>
      </w:r>
      <w:r>
        <w:rPr>
          <w:rFonts w:asciiTheme="minorHAnsi" w:hAnsiTheme="minorHAnsi"/>
          <w:sz w:val="22"/>
          <w:szCs w:val="22"/>
        </w:rPr>
        <w:t xml:space="preserve"> and any associations of </w:t>
      </w:r>
      <w:r w:rsidRPr="00F03722">
        <w:rPr>
          <w:rFonts w:asciiTheme="minorHAnsi" w:hAnsiTheme="minorHAnsi"/>
          <w:sz w:val="22"/>
          <w:szCs w:val="22"/>
        </w:rPr>
        <w:t>individual conditions that limit</w:t>
      </w:r>
      <w:r>
        <w:rPr>
          <w:rFonts w:asciiTheme="minorHAnsi" w:hAnsiTheme="minorHAnsi"/>
          <w:sz w:val="22"/>
          <w:szCs w:val="22"/>
        </w:rPr>
        <w:t>ed</w:t>
      </w:r>
      <w:r w:rsidRPr="00F03722">
        <w:rPr>
          <w:rFonts w:asciiTheme="minorHAnsi" w:hAnsiTheme="minorHAnsi"/>
          <w:sz w:val="22"/>
          <w:szCs w:val="22"/>
        </w:rPr>
        <w:t xml:space="preserve"> daily activities</w:t>
      </w:r>
      <w:r>
        <w:rPr>
          <w:rFonts w:asciiTheme="minorHAnsi" w:hAnsiTheme="minorHAnsi"/>
          <w:sz w:val="22"/>
          <w:szCs w:val="22"/>
        </w:rPr>
        <w:t>)</w:t>
      </w:r>
      <w:r w:rsidRPr="00F03722">
        <w:rPr>
          <w:rFonts w:asciiTheme="minorHAnsi" w:hAnsiTheme="minorHAnsi"/>
          <w:sz w:val="22"/>
          <w:szCs w:val="22"/>
        </w:rPr>
        <w:t xml:space="preserve">. </w:t>
      </w:r>
    </w:p>
    <w:p w14:paraId="193EC1EC" w14:textId="77777777" w:rsidR="00D926EB" w:rsidRPr="00F03722" w:rsidRDefault="00D926EB" w:rsidP="00A97B39">
      <w:pPr>
        <w:pStyle w:val="NormalWeb"/>
        <w:spacing w:after="160" w:line="480" w:lineRule="auto"/>
        <w:jc w:val="both"/>
        <w:rPr>
          <w:rFonts w:asciiTheme="minorHAnsi" w:hAnsiTheme="minorHAnsi"/>
          <w:sz w:val="22"/>
          <w:szCs w:val="22"/>
        </w:rPr>
      </w:pPr>
      <w:r w:rsidRPr="00F03722">
        <w:rPr>
          <w:rFonts w:asciiTheme="minorHAnsi" w:hAnsiTheme="minorHAnsi"/>
          <w:sz w:val="22"/>
          <w:szCs w:val="22"/>
        </w:rPr>
        <w:t>In line with published guidance, clinically meaningful differences were determined by a &gt;10 point difference in EORTC subscale scores</w:t>
      </w:r>
      <w:r w:rsidRPr="005D4A0E">
        <w:rPr>
          <w:rFonts w:asciiTheme="minorHAnsi" w:hAnsiTheme="minorHAnsi"/>
          <w:noProof/>
          <w:sz w:val="22"/>
          <w:szCs w:val="22"/>
          <w:vertAlign w:val="superscript"/>
        </w:rPr>
        <w:t>32</w:t>
      </w:r>
      <w:r w:rsidRPr="00F03722">
        <w:rPr>
          <w:rFonts w:asciiTheme="minorHAnsi" w:hAnsiTheme="minorHAnsi"/>
          <w:sz w:val="22"/>
          <w:szCs w:val="22"/>
        </w:rPr>
        <w:t>.</w:t>
      </w:r>
    </w:p>
    <w:p w14:paraId="17A22C31" w14:textId="77777777" w:rsidR="00D926EB" w:rsidRPr="00F03722" w:rsidRDefault="00D926EB" w:rsidP="00A97B39">
      <w:pPr>
        <w:tabs>
          <w:tab w:val="left" w:pos="2408"/>
        </w:tabs>
        <w:spacing w:line="480" w:lineRule="auto"/>
        <w:jc w:val="both"/>
        <w:rPr>
          <w:rFonts w:cs="Times New Roman"/>
          <w:b/>
        </w:rPr>
      </w:pPr>
      <w:r w:rsidRPr="00F03722">
        <w:rPr>
          <w:rFonts w:cs="Times New Roman"/>
          <w:b/>
        </w:rPr>
        <w:t>RESULTS</w:t>
      </w:r>
    </w:p>
    <w:p w14:paraId="438602C8" w14:textId="77777777" w:rsidR="00D926EB" w:rsidRPr="00F03722" w:rsidRDefault="00D926EB" w:rsidP="00A97B39">
      <w:pPr>
        <w:spacing w:line="480" w:lineRule="auto"/>
        <w:jc w:val="both"/>
        <w:rPr>
          <w:rFonts w:cs="Times New Roman"/>
          <w:u w:val="single"/>
        </w:rPr>
      </w:pPr>
      <w:r w:rsidRPr="00F03722">
        <w:rPr>
          <w:rFonts w:cs="Times New Roman"/>
          <w:u w:val="single"/>
        </w:rPr>
        <w:t xml:space="preserve">Participants </w:t>
      </w:r>
    </w:p>
    <w:p w14:paraId="0725883A" w14:textId="77777777" w:rsidR="00D926EB" w:rsidRPr="00F03722" w:rsidRDefault="00D926EB" w:rsidP="00A97B39">
      <w:pPr>
        <w:spacing w:line="480" w:lineRule="auto"/>
        <w:jc w:val="both"/>
        <w:rPr>
          <w:rFonts w:cs="Times New Roman"/>
          <w:u w:val="single"/>
        </w:rPr>
      </w:pPr>
      <w:r w:rsidRPr="00F03722">
        <w:rPr>
          <w:rFonts w:cs="Times New Roman"/>
        </w:rPr>
        <w:t xml:space="preserve">1,350 eligible individuals were identified.  Of those eligible, 78% (n=1,055) agreed to participate; of whom 86% (n=909) gave full consent to participate and 14% (n=146) gave permission for only clinical data to be collected.  37 were found to be ineligible following surgery.  </w:t>
      </w:r>
      <w:r w:rsidRPr="007E1951">
        <w:rPr>
          <w:rFonts w:cs="Times New Roman"/>
        </w:rPr>
        <w:t xml:space="preserve">Excluding 11 individuals who withdrew or died between consent and baseline, 861 participants consented to follow-up. </w:t>
      </w:r>
      <w:r w:rsidRPr="007E1951">
        <w:rPr>
          <w:rFonts w:cs="Arial"/>
          <w:lang w:val="en"/>
        </w:rPr>
        <w:t>This sample is representative of eligible patients treated during the recruitment period</w:t>
      </w:r>
      <w:r>
        <w:rPr>
          <w:rFonts w:cs="Arial"/>
          <w:color w:val="333333"/>
          <w:lang w:val="en"/>
        </w:rPr>
        <w:t xml:space="preserve">.  </w:t>
      </w:r>
      <w:r w:rsidRPr="00F03722">
        <w:rPr>
          <w:rFonts w:cs="Times New Roman"/>
          <w:bCs/>
          <w:lang w:val="en-US"/>
        </w:rPr>
        <w:t xml:space="preserve">Response rates were 88% at baseline and 69% at 60 months.  Comorbidity data were available for 99% of </w:t>
      </w:r>
      <w:r>
        <w:rPr>
          <w:rFonts w:cs="Times New Roman"/>
          <w:bCs/>
          <w:lang w:val="en-US"/>
        </w:rPr>
        <w:t>those responding</w:t>
      </w:r>
      <w:r w:rsidRPr="00F03722">
        <w:rPr>
          <w:rFonts w:cs="Times New Roman"/>
          <w:bCs/>
          <w:lang w:val="en-US"/>
        </w:rPr>
        <w:t xml:space="preserve"> (n=659) at 3 months and 87% (n=324) at 60 months.</w:t>
      </w:r>
    </w:p>
    <w:p w14:paraId="45E7DD2E" w14:textId="77777777" w:rsidR="00D926EB" w:rsidRPr="00F03722" w:rsidRDefault="00D926EB" w:rsidP="00A97B39">
      <w:pPr>
        <w:spacing w:line="480" w:lineRule="auto"/>
        <w:jc w:val="both"/>
        <w:rPr>
          <w:rFonts w:cs="Times New Roman"/>
        </w:rPr>
      </w:pPr>
      <w:r w:rsidRPr="00F03722">
        <w:rPr>
          <w:rFonts w:cs="Times New Roman"/>
          <w:iCs/>
        </w:rPr>
        <w:t xml:space="preserve">Mean age at baseline was 68 years (range 27 to 95 years). The majority were of white ethnic origin and 60% were male.  Most participants were retired (60%), and over 60% were married or living with a partner.  Most participants had colon cancer (65%), 35% rectal tumours.  </w:t>
      </w:r>
      <w:r>
        <w:rPr>
          <w:rFonts w:cs="Times New Roman"/>
          <w:iCs/>
        </w:rPr>
        <w:t xml:space="preserve">Over 53% had </w:t>
      </w:r>
      <w:r w:rsidRPr="00F03722">
        <w:rPr>
          <w:rFonts w:cs="Times New Roman"/>
          <w:iCs/>
        </w:rPr>
        <w:t>Dukes’ stage</w:t>
      </w:r>
      <w:r>
        <w:rPr>
          <w:rFonts w:cs="Times New Roman"/>
          <w:iCs/>
        </w:rPr>
        <w:t xml:space="preserve"> B, 20% had stage C1, and 12-14% had stage A or C2 (1% was</w:t>
      </w:r>
      <w:r w:rsidRPr="00F03722">
        <w:rPr>
          <w:rFonts w:cs="Times New Roman"/>
          <w:iCs/>
        </w:rPr>
        <w:t xml:space="preserve"> undetermined</w:t>
      </w:r>
      <w:r>
        <w:rPr>
          <w:rFonts w:cs="Times New Roman"/>
          <w:iCs/>
        </w:rPr>
        <w:t>)</w:t>
      </w:r>
      <w:r w:rsidRPr="00F03722">
        <w:rPr>
          <w:rFonts w:cs="Times New Roman"/>
          <w:iCs/>
        </w:rPr>
        <w:t xml:space="preserve">  18% received neo-adjuvant treatment and 46% adjuvant chemotherapy or radiotherapy</w:t>
      </w:r>
      <w:r w:rsidRPr="00F03722">
        <w:rPr>
          <w:rFonts w:cs="Times New Roman"/>
        </w:rPr>
        <w:t>.</w:t>
      </w:r>
    </w:p>
    <w:p w14:paraId="6B1D0BD2" w14:textId="77777777" w:rsidR="00D926EB" w:rsidRPr="00F03722" w:rsidRDefault="00D926EB" w:rsidP="00A97B39">
      <w:pPr>
        <w:spacing w:after="0" w:line="480" w:lineRule="auto"/>
        <w:jc w:val="both"/>
        <w:rPr>
          <w:rFonts w:cs="Times New Roman"/>
          <w:u w:val="single"/>
        </w:rPr>
      </w:pPr>
      <w:r w:rsidRPr="00F03722">
        <w:rPr>
          <w:rFonts w:cs="Times New Roman"/>
          <w:u w:val="single"/>
        </w:rPr>
        <w:t>Frequency and Impact of Comorbidities</w:t>
      </w:r>
    </w:p>
    <w:p w14:paraId="545B5686" w14:textId="77777777" w:rsidR="00D926EB" w:rsidRPr="00F03722" w:rsidRDefault="00D926EB" w:rsidP="00A97B39">
      <w:pPr>
        <w:spacing w:line="480" w:lineRule="auto"/>
        <w:jc w:val="both"/>
        <w:rPr>
          <w:rFonts w:cs="Times New Roman"/>
        </w:rPr>
      </w:pPr>
      <w:r w:rsidRPr="00F03722">
        <w:rPr>
          <w:rFonts w:cs="Times New Roman"/>
        </w:rPr>
        <w:lastRenderedPageBreak/>
        <w:t xml:space="preserve">At 3 months, 28% reported no comorbidities, 32% reported one, 23% two and 17% three or more.   Of the 72% (n=476) with comorbidities, the median number was two.  Of those with comorbidities, 37% reported at least one that limited their daily activities, with 13% reporting two or more limiting comorbidities (Table 1).  The </w:t>
      </w:r>
      <w:r>
        <w:rPr>
          <w:rFonts w:cs="Times New Roman"/>
        </w:rPr>
        <w:t>proportion of limiting</w:t>
      </w:r>
      <w:r w:rsidRPr="00F03722">
        <w:rPr>
          <w:rFonts w:cs="Times New Roman"/>
        </w:rPr>
        <w:t xml:space="preserve"> comorbidities remained consistent over time.  Most participants (62% at 3 months) reported that their comorbidities limited daily activities “moderately”, which remained fairly</w:t>
      </w:r>
      <w:r>
        <w:rPr>
          <w:rFonts w:cs="Times New Roman"/>
        </w:rPr>
        <w:t xml:space="preserve"> consistent over follow-up (Appendix 1</w:t>
      </w:r>
      <w:r w:rsidRPr="00F03722">
        <w:rPr>
          <w:rFonts w:cs="Times New Roman"/>
        </w:rPr>
        <w:t xml:space="preserve">). </w:t>
      </w:r>
    </w:p>
    <w:p w14:paraId="4F13276C" w14:textId="77777777" w:rsidR="00D926EB" w:rsidRPr="00F03722" w:rsidRDefault="00D926EB" w:rsidP="00A97B39">
      <w:pPr>
        <w:spacing w:line="480" w:lineRule="auto"/>
        <w:jc w:val="both"/>
        <w:rPr>
          <w:rFonts w:cs="Times New Roman"/>
        </w:rPr>
      </w:pPr>
      <w:r w:rsidRPr="00F03722">
        <w:rPr>
          <w:rFonts w:cs="Times New Roman"/>
          <w:u w:val="single"/>
        </w:rPr>
        <w:t>Individual Comorbidities</w:t>
      </w:r>
      <w:r w:rsidRPr="00F03722">
        <w:rPr>
          <w:rFonts w:cs="Times New Roman"/>
        </w:rPr>
        <w:t xml:space="preserve"> </w:t>
      </w:r>
    </w:p>
    <w:p w14:paraId="2CDC44C9" w14:textId="77777777" w:rsidR="00D926EB" w:rsidRPr="00F03722" w:rsidRDefault="00D926EB" w:rsidP="00A97B39">
      <w:pPr>
        <w:spacing w:line="480" w:lineRule="auto"/>
        <w:jc w:val="both"/>
        <w:rPr>
          <w:rFonts w:cs="Times New Roman"/>
        </w:rPr>
      </w:pPr>
      <w:r w:rsidRPr="00F03722">
        <w:rPr>
          <w:rFonts w:cs="Times New Roman"/>
        </w:rPr>
        <w:t xml:space="preserve">The most common individual comorbidities reported at 3 months were high blood pressure (43%), arthritis/rheumatism (arthritis) (32%), depression/anxiety (18%), diabetes/high blood sugar (diabetes) (16%) and asthma/chronic lung disease (lung disease) (16%).  </w:t>
      </w:r>
      <w:r w:rsidRPr="000B17AE">
        <w:rPr>
          <w:rFonts w:cs="Times New Roman"/>
        </w:rPr>
        <w:t>Th</w:t>
      </w:r>
      <w:r>
        <w:rPr>
          <w:rFonts w:cs="Times New Roman"/>
        </w:rPr>
        <w:t>ere was less than a 7</w:t>
      </w:r>
      <w:r w:rsidRPr="000B17AE">
        <w:rPr>
          <w:rFonts w:cs="Times New Roman"/>
        </w:rPr>
        <w:t>% change in the prevalence of all conditions over follow-up (Appendix</w:t>
      </w:r>
      <w:r>
        <w:rPr>
          <w:rFonts w:cs="Times New Roman"/>
        </w:rPr>
        <w:t xml:space="preserve"> 2</w:t>
      </w:r>
      <w:r w:rsidRPr="000B17AE">
        <w:rPr>
          <w:rFonts w:cs="Times New Roman"/>
        </w:rPr>
        <w:t>).</w:t>
      </w:r>
      <w:r w:rsidRPr="00F03722">
        <w:rPr>
          <w:rFonts w:cs="Times New Roman"/>
        </w:rPr>
        <w:t xml:space="preserve">  </w:t>
      </w:r>
    </w:p>
    <w:p w14:paraId="194791BD" w14:textId="12EF143B" w:rsidR="00D926EB" w:rsidRPr="00F03722" w:rsidRDefault="00D926EB" w:rsidP="00A97B39">
      <w:pPr>
        <w:spacing w:line="480" w:lineRule="auto"/>
        <w:jc w:val="both"/>
        <w:rPr>
          <w:rFonts w:cs="Times New Roman"/>
        </w:rPr>
      </w:pPr>
      <w:r>
        <w:rPr>
          <w:rFonts w:cstheme="majorBidi"/>
        </w:rPr>
        <w:t>R</w:t>
      </w:r>
      <w:r w:rsidRPr="00F03722">
        <w:rPr>
          <w:rFonts w:cstheme="majorBidi"/>
        </w:rPr>
        <w:t xml:space="preserve">esults suggest that the majority of comorbid conditions were diagnosed prior to CRC diagnosis </w:t>
      </w:r>
      <w:r w:rsidRPr="00091AF4">
        <w:rPr>
          <w:rFonts w:cstheme="majorBidi"/>
        </w:rPr>
        <w:t>(</w:t>
      </w:r>
      <w:r w:rsidR="00AF54F2" w:rsidRPr="00091AF4">
        <w:rPr>
          <w:rFonts w:cstheme="majorBidi"/>
        </w:rPr>
        <w:t xml:space="preserve">participants responded to this question at </w:t>
      </w:r>
      <w:r w:rsidRPr="00091AF4">
        <w:rPr>
          <w:rFonts w:cstheme="majorBidi"/>
        </w:rPr>
        <w:t>24</w:t>
      </w:r>
      <w:r w:rsidRPr="00F03722">
        <w:rPr>
          <w:rFonts w:cstheme="majorBidi"/>
        </w:rPr>
        <w:t xml:space="preserve"> months).  The exceptions to this were stroke/brain haemorrhage and liver disease/cirrhosis, of which 50% and 80% (respectively) were diagnosed following CRC diagnosis.  Of note is the relatively high percentage (46%) of comorbid depression/anxiety diagnosed post CRC diagnosis, although numbers were small for analysis.  All other conditions (apart</w:t>
      </w:r>
      <w:r w:rsidRPr="00F03722">
        <w:rPr>
          <w:rFonts w:cs="Times New Roman"/>
        </w:rPr>
        <w:t xml:space="preserve"> from inflammatory bowel disease) were diagnosed before CRC diagnosis in &gt;78% of individuals.</w:t>
      </w:r>
    </w:p>
    <w:p w14:paraId="69AEB468" w14:textId="77777777" w:rsidR="00D926EB" w:rsidRPr="00F03722" w:rsidRDefault="00D926EB" w:rsidP="00A97B39">
      <w:pPr>
        <w:spacing w:line="480" w:lineRule="auto"/>
        <w:jc w:val="both"/>
        <w:rPr>
          <w:rFonts w:cs="Times New Roman"/>
        </w:rPr>
      </w:pPr>
      <w:r w:rsidRPr="00F03722">
        <w:rPr>
          <w:rFonts w:cs="Times New Roman"/>
        </w:rPr>
        <w:t xml:space="preserve">Arthritis and heart failure were reported to be the most limiting conditions. Of participants reporting these conditions, &gt;50% stated it limited their daily activities. Stroke/brain haemorrhage, myocardial infarction and angina were reported as limiting by </w:t>
      </w:r>
      <w:r w:rsidRPr="00F03722">
        <w:rPr>
          <w:rFonts w:cs="Times New Roman"/>
          <w:u w:val="single"/>
        </w:rPr>
        <w:t>&gt;</w:t>
      </w:r>
      <w:r w:rsidRPr="00F03722">
        <w:rPr>
          <w:rFonts w:cs="Times New Roman"/>
        </w:rPr>
        <w:t xml:space="preserve">40% of respondents with each condition, and &gt;35% of participants with depression/anxiety and lung disease reported them as limiting.  High blood pressure was the most prevalent, but least limiting condition.  Of participants with diabetes, 14% reported the condition </w:t>
      </w:r>
      <w:r>
        <w:rPr>
          <w:rFonts w:cs="Times New Roman"/>
        </w:rPr>
        <w:t>as limiting (Appendix 2</w:t>
      </w:r>
      <w:r w:rsidRPr="00F03722">
        <w:rPr>
          <w:rFonts w:cs="Times New Roman"/>
        </w:rPr>
        <w:t xml:space="preserve">).  </w:t>
      </w:r>
    </w:p>
    <w:p w14:paraId="6E4BF530" w14:textId="77777777" w:rsidR="00D926EB" w:rsidRPr="00F03722" w:rsidRDefault="00D926EB" w:rsidP="00A97B39">
      <w:pPr>
        <w:spacing w:line="480" w:lineRule="auto"/>
        <w:jc w:val="both"/>
        <w:rPr>
          <w:rFonts w:cs="Times New Roman"/>
          <w:u w:val="single"/>
        </w:rPr>
      </w:pPr>
      <w:r w:rsidRPr="00F03722">
        <w:rPr>
          <w:rFonts w:cs="Times New Roman"/>
          <w:u w:val="single"/>
        </w:rPr>
        <w:lastRenderedPageBreak/>
        <w:t xml:space="preserve">Demographic and Clinical Characteristics </w:t>
      </w:r>
    </w:p>
    <w:p w14:paraId="730A127E" w14:textId="77777777" w:rsidR="00D926EB" w:rsidRPr="00743CF0" w:rsidRDefault="00D926EB" w:rsidP="00A97B39">
      <w:pPr>
        <w:spacing w:line="480" w:lineRule="auto"/>
        <w:jc w:val="both"/>
      </w:pPr>
      <w:r w:rsidRPr="00F03722">
        <w:rPr>
          <w:rFonts w:cs="Times New Roman"/>
        </w:rPr>
        <w:t>Socio-demographic, clinical and treatment characteristics of CRC patients, and their associations with total number of comorbidi</w:t>
      </w:r>
      <w:r>
        <w:rPr>
          <w:rFonts w:cs="Times New Roman"/>
        </w:rPr>
        <w:t>ties are presented in Appendix 3</w:t>
      </w:r>
      <w:r w:rsidRPr="00F03722">
        <w:rPr>
          <w:rFonts w:cs="Times New Roman"/>
        </w:rPr>
        <w:t xml:space="preserve">.  Ethnicity is not presented as numbers </w:t>
      </w:r>
      <w:r>
        <w:rPr>
          <w:rFonts w:cs="Times New Roman"/>
        </w:rPr>
        <w:t xml:space="preserve">in minority groups </w:t>
      </w:r>
      <w:r w:rsidRPr="00F03722">
        <w:rPr>
          <w:rFonts w:cs="Times New Roman"/>
        </w:rPr>
        <w:t xml:space="preserve">were too small for analysis.  Comorbidities were significantly more common in </w:t>
      </w:r>
      <w:r>
        <w:rPr>
          <w:rFonts w:cs="Times New Roman"/>
        </w:rPr>
        <w:t xml:space="preserve">older, retired or unemployed </w:t>
      </w:r>
      <w:r w:rsidRPr="00F03722">
        <w:rPr>
          <w:rFonts w:cs="Times New Roman"/>
        </w:rPr>
        <w:t xml:space="preserve">respondents.  No significant associations were found between total number of comorbidities and any other socio-demographic, clinical or treatment factors, nor for number of comorbidities that limited daily activities.   </w:t>
      </w:r>
    </w:p>
    <w:p w14:paraId="647466E1" w14:textId="77777777" w:rsidR="00D926EB" w:rsidRDefault="00D926EB" w:rsidP="00A97B39">
      <w:pPr>
        <w:spacing w:line="480" w:lineRule="auto"/>
        <w:jc w:val="both"/>
        <w:rPr>
          <w:rFonts w:cs="Times New Roman"/>
          <w:u w:val="single"/>
        </w:rPr>
      </w:pPr>
      <w:r w:rsidRPr="00F03722">
        <w:rPr>
          <w:rFonts w:cs="Times New Roman"/>
          <w:u w:val="single"/>
        </w:rPr>
        <w:t>Comorbidities and QoL, Symptom and Functioning Outcomes</w:t>
      </w:r>
    </w:p>
    <w:p w14:paraId="609BB05C" w14:textId="77777777" w:rsidR="00D926EB" w:rsidRDefault="00D926EB" w:rsidP="00A97B39">
      <w:pPr>
        <w:spacing w:line="480" w:lineRule="auto"/>
        <w:jc w:val="both"/>
        <w:rPr>
          <w:rFonts w:cs="Times New Roman"/>
          <w:b/>
        </w:rPr>
      </w:pPr>
      <w:r>
        <w:t>D</w:t>
      </w:r>
      <w:r w:rsidRPr="00F03722">
        <w:t xml:space="preserve">ue to high correlation </w:t>
      </w:r>
      <w:r>
        <w:t xml:space="preserve">between age and employment status, only </w:t>
      </w:r>
      <w:r w:rsidRPr="00F03722">
        <w:t>age</w:t>
      </w:r>
      <w:r>
        <w:t xml:space="preserve"> at baseline was included in the multivariable regression analyses.</w:t>
      </w:r>
      <w:r>
        <w:rPr>
          <w:rFonts w:cs="Times New Roman"/>
          <w:b/>
        </w:rPr>
        <w:t xml:space="preserve"> </w:t>
      </w:r>
    </w:p>
    <w:p w14:paraId="4FC9A578" w14:textId="77777777" w:rsidR="00D926EB" w:rsidRDefault="00D926EB" w:rsidP="00A97B39">
      <w:pPr>
        <w:spacing w:line="480" w:lineRule="auto"/>
        <w:jc w:val="both"/>
        <w:rPr>
          <w:rFonts w:cs="Times New Roman"/>
        </w:rPr>
      </w:pPr>
      <w:r>
        <w:rPr>
          <w:rFonts w:cs="Times New Roman"/>
        </w:rPr>
        <w:t>T</w:t>
      </w:r>
      <w:r w:rsidRPr="00F03722">
        <w:rPr>
          <w:rFonts w:cs="Times New Roman"/>
        </w:rPr>
        <w:t>he</w:t>
      </w:r>
      <w:r>
        <w:rPr>
          <w:rFonts w:cs="Times New Roman"/>
        </w:rPr>
        <w:t xml:space="preserve"> first set of</w:t>
      </w:r>
      <w:r w:rsidRPr="00F03722">
        <w:rPr>
          <w:rFonts w:cs="Times New Roman"/>
        </w:rPr>
        <w:t xml:space="preserve"> </w:t>
      </w:r>
      <w:r>
        <w:rPr>
          <w:rFonts w:cs="Times New Roman"/>
        </w:rPr>
        <w:t>longitudinal multivariable</w:t>
      </w:r>
      <w:r w:rsidRPr="00F03722">
        <w:rPr>
          <w:rFonts w:cs="Times New Roman"/>
        </w:rPr>
        <w:t xml:space="preserve"> regression </w:t>
      </w:r>
      <w:r>
        <w:rPr>
          <w:rFonts w:cs="Times New Roman"/>
        </w:rPr>
        <w:t>models</w:t>
      </w:r>
      <w:r w:rsidRPr="00F03722">
        <w:rPr>
          <w:rFonts w:cs="Times New Roman"/>
        </w:rPr>
        <w:t xml:space="preserve"> adjust</w:t>
      </w:r>
      <w:r>
        <w:rPr>
          <w:rFonts w:cs="Times New Roman"/>
        </w:rPr>
        <w:t>ed</w:t>
      </w:r>
      <w:r w:rsidRPr="00F03722">
        <w:rPr>
          <w:rFonts w:cs="Times New Roman"/>
        </w:rPr>
        <w:t xml:space="preserve"> </w:t>
      </w:r>
      <w:r>
        <w:rPr>
          <w:rFonts w:cs="Times New Roman"/>
        </w:rPr>
        <w:t>for age and time since surgery (</w:t>
      </w:r>
      <w:r w:rsidRPr="00F03722">
        <w:rPr>
          <w:rFonts w:cs="Times New Roman"/>
        </w:rPr>
        <w:t>from baseline to 60 months</w:t>
      </w:r>
      <w:r>
        <w:rPr>
          <w:rFonts w:cs="Times New Roman"/>
        </w:rPr>
        <w:t>), illustrates that</w:t>
      </w:r>
      <w:r w:rsidRPr="00F03722">
        <w:rPr>
          <w:rFonts w:cs="Times New Roman"/>
        </w:rPr>
        <w:t xml:space="preserve"> the presence of </w:t>
      </w:r>
      <w:r>
        <w:rPr>
          <w:rFonts w:cs="Times New Roman"/>
        </w:rPr>
        <w:t xml:space="preserve">any </w:t>
      </w:r>
      <w:r w:rsidRPr="00F03722">
        <w:rPr>
          <w:rFonts w:cs="Times New Roman"/>
        </w:rPr>
        <w:t>limiting comorbidities w</w:t>
      </w:r>
      <w:r>
        <w:rPr>
          <w:rFonts w:cs="Times New Roman"/>
        </w:rPr>
        <w:t>as</w:t>
      </w:r>
      <w:r w:rsidRPr="00F03722">
        <w:rPr>
          <w:rFonts w:cs="Times New Roman"/>
        </w:rPr>
        <w:t xml:space="preserve"> </w:t>
      </w:r>
      <w:r>
        <w:rPr>
          <w:rFonts w:cs="Times New Roman"/>
        </w:rPr>
        <w:t xml:space="preserve">significantly </w:t>
      </w:r>
      <w:r w:rsidRPr="00F03722">
        <w:rPr>
          <w:rFonts w:cs="Times New Roman"/>
        </w:rPr>
        <w:t>associated with poorer global health</w:t>
      </w:r>
      <w:r>
        <w:rPr>
          <w:rFonts w:cs="Times New Roman"/>
        </w:rPr>
        <w:t xml:space="preserve"> status</w:t>
      </w:r>
      <w:r w:rsidRPr="00F03722">
        <w:rPr>
          <w:rFonts w:cs="Times New Roman"/>
        </w:rPr>
        <w:t>/QoL</w:t>
      </w:r>
      <w:r>
        <w:rPr>
          <w:rFonts w:cs="Times New Roman"/>
        </w:rPr>
        <w:t>, symptom and functioning outcomes across all domains (p&lt;0.001), including: increased fatigue, pain, urinary and bowel symptoms, and reduced physical, role, emotional, cognitive and social functioning</w:t>
      </w:r>
      <w:r w:rsidRPr="00F03722">
        <w:rPr>
          <w:rFonts w:cs="Times New Roman"/>
        </w:rPr>
        <w:t xml:space="preserve"> </w:t>
      </w:r>
      <w:r>
        <w:rPr>
          <w:rFonts w:cs="Times New Roman"/>
        </w:rPr>
        <w:t>(Appendix 4</w:t>
      </w:r>
      <w:r w:rsidRPr="00F03722">
        <w:rPr>
          <w:rFonts w:cs="Times New Roman"/>
        </w:rPr>
        <w:t>)</w:t>
      </w:r>
      <w:r>
        <w:rPr>
          <w:rFonts w:cs="Times New Roman"/>
        </w:rPr>
        <w:t>.  Findings illustrated clinically meaningful differences associated with the presence of limiting comorbidities across all outcomes (except for urinary and bowel symptoms).  In contrast, the presence of non-limiting comorbidities was only significantly associated with increased pain and worse physical functioning (p&lt;0.05)</w:t>
      </w:r>
      <w:r w:rsidRPr="00F03722">
        <w:rPr>
          <w:rFonts w:cs="Times New Roman"/>
        </w:rPr>
        <w:t>.</w:t>
      </w:r>
      <w:r>
        <w:rPr>
          <w:rFonts w:cs="Times New Roman"/>
        </w:rPr>
        <w:t xml:space="preserve"> </w:t>
      </w:r>
      <w:r w:rsidRPr="00F03722">
        <w:rPr>
          <w:rFonts w:cs="Times New Roman"/>
        </w:rPr>
        <w:t xml:space="preserve"> </w:t>
      </w:r>
      <w:r>
        <w:rPr>
          <w:rFonts w:cs="Times New Roman"/>
        </w:rPr>
        <w:t xml:space="preserve">  </w:t>
      </w:r>
    </w:p>
    <w:p w14:paraId="05DDC397" w14:textId="77777777" w:rsidR="00D926EB" w:rsidRDefault="00D926EB" w:rsidP="00A97B39">
      <w:pPr>
        <w:spacing w:line="480" w:lineRule="auto"/>
        <w:jc w:val="both"/>
        <w:rPr>
          <w:rFonts w:cs="Times New Roman"/>
        </w:rPr>
      </w:pPr>
      <w:r w:rsidRPr="00F03722">
        <w:rPr>
          <w:rFonts w:cs="Times New Roman"/>
        </w:rPr>
        <w:t>Of the five most prevalent individual comorbid conditions reported at 3 months,</w:t>
      </w:r>
      <w:r>
        <w:rPr>
          <w:rFonts w:cs="Times New Roman"/>
        </w:rPr>
        <w:t xml:space="preserve"> arthritis</w:t>
      </w:r>
      <w:r w:rsidRPr="00327A9F">
        <w:rPr>
          <w:rFonts w:cs="Times New Roman"/>
        </w:rPr>
        <w:t xml:space="preserve"> </w:t>
      </w:r>
      <w:r>
        <w:rPr>
          <w:rFonts w:cs="Times New Roman"/>
        </w:rPr>
        <w:t>and d</w:t>
      </w:r>
      <w:r w:rsidRPr="00327A9F">
        <w:rPr>
          <w:rFonts w:cs="Times New Roman"/>
        </w:rPr>
        <w:t xml:space="preserve">epression/anxiety </w:t>
      </w:r>
      <w:r>
        <w:rPr>
          <w:rFonts w:cs="Times New Roman"/>
        </w:rPr>
        <w:t xml:space="preserve">were significantly </w:t>
      </w:r>
      <w:r w:rsidRPr="00F03722">
        <w:rPr>
          <w:rFonts w:cs="Times New Roman"/>
        </w:rPr>
        <w:t xml:space="preserve">associated with poorer </w:t>
      </w:r>
      <w:r>
        <w:rPr>
          <w:rFonts w:cs="Times New Roman"/>
        </w:rPr>
        <w:t xml:space="preserve">global health status/QoL, symptom and functioning outcomes across all domains (p&lt;0.001).  Depression/anxiety appeared to have the greatest association with poorer outcomes, with clinically meaningful differences across all outcomes (except for urinary and bowel symptoms).  Lung disease was also significantly associated with poorer </w:t>
      </w:r>
      <w:r>
        <w:rPr>
          <w:rFonts w:cs="Times New Roman"/>
        </w:rPr>
        <w:lastRenderedPageBreak/>
        <w:t xml:space="preserve">outcomes, with the exception of urinary symptoms. Diabetes and high blood pressure were significantly associated with increased pain and poorer physical functioning, with diabetes also associated with worse urinary symptoms (Appendix 4).  </w:t>
      </w:r>
    </w:p>
    <w:p w14:paraId="27A526EA" w14:textId="77777777" w:rsidR="00D926EB" w:rsidRPr="009F059C" w:rsidRDefault="00D926EB" w:rsidP="00A97B39">
      <w:pPr>
        <w:spacing w:line="480" w:lineRule="auto"/>
        <w:jc w:val="both"/>
        <w:rPr>
          <w:rFonts w:cs="Times New Roman"/>
          <w:highlight w:val="yellow"/>
        </w:rPr>
      </w:pPr>
      <w:r w:rsidRPr="000E0A67">
        <w:rPr>
          <w:rFonts w:cs="Times New Roman"/>
        </w:rPr>
        <w:t xml:space="preserve">Once adjusted for all significant comorbidity predictors, final multivariable regression models confirmed that the presence of any limiting comorbidities remained a statistically strong and significant predictor of all health and wellbeing outcomes (p&lt;0.001), with the exception of emotional functioning (Table 2).  </w:t>
      </w:r>
      <w:r w:rsidRPr="00742788">
        <w:rPr>
          <w:rFonts w:cs="Times New Roman"/>
        </w:rPr>
        <w:t xml:space="preserve">The biggest and clinically significant differences were observed for pain, fatigue, physical, role, social and cognitive functioning. </w:t>
      </w:r>
    </w:p>
    <w:p w14:paraId="05D2952F" w14:textId="77777777" w:rsidR="00D926EB" w:rsidRPr="002B706A" w:rsidRDefault="00D926EB" w:rsidP="00A97B39">
      <w:pPr>
        <w:spacing w:line="480" w:lineRule="auto"/>
        <w:jc w:val="both"/>
        <w:rPr>
          <w:rFonts w:cs="Times New Roman"/>
        </w:rPr>
      </w:pPr>
      <w:r w:rsidRPr="00C64683">
        <w:rPr>
          <w:rFonts w:cs="Times New Roman"/>
        </w:rPr>
        <w:t>The presence of depression/anxiety remained a statistically significant and strong predictor of poorer outcomes across all domains, with the exception of urinary symptoms.  Clinically meaningful differences were observed for global health status/QoL, fatigue, emotional and social functioning. Arthritis, diabetes and high blood pressure did not remain significantly associated with any outcomes. Lung disease remained statistically significant only in association with poorer global health status/QoL and physical functioning (p&lt;0.05).</w:t>
      </w:r>
      <w:r w:rsidRPr="00F03722">
        <w:rPr>
          <w:rFonts w:cs="Times New Roman"/>
        </w:rPr>
        <w:t xml:space="preserve">  </w:t>
      </w:r>
    </w:p>
    <w:p w14:paraId="7AB1EC0F" w14:textId="77777777" w:rsidR="00D926EB" w:rsidRDefault="00D926EB" w:rsidP="00A97B39">
      <w:pPr>
        <w:spacing w:line="480" w:lineRule="auto"/>
        <w:jc w:val="both"/>
        <w:rPr>
          <w:rFonts w:cs="Times New Roman"/>
        </w:rPr>
      </w:pPr>
      <w:r w:rsidRPr="00C64683">
        <w:rPr>
          <w:rFonts w:cs="Times New Roman"/>
        </w:rPr>
        <w:t>For participants reporting both limiting comorbidities and depression/anxiety, differences in outcome scores were approximately doubled for domains including fatigue, pain, physical, role and social functioning, with highly clinically significant differences in outcome scores of &gt;20.</w:t>
      </w:r>
      <w:r>
        <w:rPr>
          <w:rFonts w:cs="Times New Roman"/>
        </w:rPr>
        <w:t xml:space="preserve">  </w:t>
      </w:r>
    </w:p>
    <w:p w14:paraId="16BA004D" w14:textId="77777777" w:rsidR="00D926EB" w:rsidRPr="00F03722" w:rsidRDefault="00D926EB" w:rsidP="00A97B39">
      <w:pPr>
        <w:spacing w:line="480" w:lineRule="auto"/>
        <w:jc w:val="both"/>
        <w:rPr>
          <w:rFonts w:cs="Times New Roman"/>
          <w:b/>
        </w:rPr>
      </w:pPr>
    </w:p>
    <w:p w14:paraId="78AA3F65" w14:textId="77777777" w:rsidR="00D926EB" w:rsidRPr="00F03722" w:rsidRDefault="00D926EB" w:rsidP="00A97B39">
      <w:pPr>
        <w:spacing w:line="480" w:lineRule="auto"/>
        <w:jc w:val="both"/>
        <w:rPr>
          <w:rFonts w:cs="Times New Roman"/>
        </w:rPr>
      </w:pPr>
      <w:r w:rsidRPr="00F03722">
        <w:rPr>
          <w:rFonts w:cs="Times New Roman"/>
          <w:b/>
        </w:rPr>
        <w:t>DISCUSSION</w:t>
      </w:r>
      <w:r w:rsidRPr="00F03722">
        <w:rPr>
          <w:rFonts w:cs="Times New Roman"/>
        </w:rPr>
        <w:t xml:space="preserve"> </w:t>
      </w:r>
      <w:r>
        <w:rPr>
          <w:rFonts w:cs="Times New Roman"/>
        </w:rPr>
        <w:t xml:space="preserve"> </w:t>
      </w:r>
    </w:p>
    <w:p w14:paraId="364EF316" w14:textId="77777777" w:rsidR="00D926EB" w:rsidRPr="00F03722" w:rsidRDefault="00D926EB" w:rsidP="00A97B39">
      <w:pPr>
        <w:spacing w:line="480" w:lineRule="auto"/>
        <w:jc w:val="both"/>
        <w:rPr>
          <w:rFonts w:cs="Times New Roman"/>
        </w:rPr>
      </w:pPr>
      <w:r>
        <w:rPr>
          <w:rFonts w:cs="Times New Roman"/>
        </w:rPr>
        <w:t xml:space="preserve">This is the </w:t>
      </w:r>
      <w:r w:rsidRPr="00F03722">
        <w:rPr>
          <w:rFonts w:eastAsia="SimSun" w:cs="Times New Roman"/>
        </w:rPr>
        <w:t xml:space="preserve">first </w:t>
      </w:r>
      <w:r>
        <w:rPr>
          <w:rFonts w:eastAsia="SimSun" w:cs="Times New Roman"/>
        </w:rPr>
        <w:t>paper</w:t>
      </w:r>
      <w:r w:rsidRPr="00F03722">
        <w:rPr>
          <w:rFonts w:eastAsia="SimSun" w:cs="Times New Roman"/>
        </w:rPr>
        <w:t xml:space="preserve"> to describe the </w:t>
      </w:r>
      <w:r w:rsidRPr="00F03722">
        <w:rPr>
          <w:rFonts w:cs="Times New Roman"/>
        </w:rPr>
        <w:t>stability of comorbidity prevalence, individual comorbidities and patient-reported limitations of comorbidities, and demonstrat</w:t>
      </w:r>
      <w:r>
        <w:rPr>
          <w:rFonts w:cs="Times New Roman"/>
        </w:rPr>
        <w:t>e</w:t>
      </w:r>
      <w:r w:rsidRPr="00F03722">
        <w:rPr>
          <w:rFonts w:cs="Times New Roman"/>
        </w:rPr>
        <w:t xml:space="preserve"> their significant associations with poorer QoL, symptoms and functioning up to 5 years following CRC diagnosis.  We demonstrate that it is not the presence of comorbidities per se, but the limitations on daily activities imposed by comorbidities, which has the greatest impact on health and wellbeing. </w:t>
      </w:r>
    </w:p>
    <w:p w14:paraId="0DD07454" w14:textId="77777777" w:rsidR="00D926EB" w:rsidRPr="00F03722" w:rsidRDefault="00D926EB" w:rsidP="00A97B39">
      <w:pPr>
        <w:spacing w:line="480" w:lineRule="auto"/>
        <w:jc w:val="both"/>
        <w:rPr>
          <w:rFonts w:cs="Times New Roman"/>
          <w:bCs/>
          <w:i/>
          <w:iCs/>
          <w:lang w:val="en"/>
        </w:rPr>
      </w:pPr>
      <w:r w:rsidRPr="00F03722">
        <w:rPr>
          <w:rFonts w:cs="Times New Roman"/>
          <w:bCs/>
          <w:i/>
          <w:iCs/>
          <w:lang w:val="en"/>
        </w:rPr>
        <w:lastRenderedPageBreak/>
        <w:t>Frequency and prevalence of comorbidity</w:t>
      </w:r>
    </w:p>
    <w:p w14:paraId="110B6C1F" w14:textId="77777777" w:rsidR="00D926EB" w:rsidRPr="00097428" w:rsidRDefault="00D926EB" w:rsidP="00A97B39">
      <w:pPr>
        <w:spacing w:line="480" w:lineRule="auto"/>
        <w:jc w:val="both"/>
        <w:rPr>
          <w:rFonts w:cs="Times New Roman"/>
          <w:bCs/>
        </w:rPr>
      </w:pPr>
      <w:r w:rsidRPr="00F03722">
        <w:rPr>
          <w:rFonts w:cs="Times New Roman"/>
          <w:bCs/>
        </w:rPr>
        <w:t xml:space="preserve">Our results </w:t>
      </w:r>
      <w:r w:rsidRPr="00F03722">
        <w:rPr>
          <w:rFonts w:cs="Times New Roman"/>
        </w:rPr>
        <w:t>demonstrate that 27% of CRC survivors (37% of those with comorbidities), report at least one comorbidity that limits their daily activities.  Ramsey et al, the only other study to investigate self-reported comorbidity limitation, found similar findings, with 32% reporting currently limiting comorbidities, although their findings relate to longer-term (&gt; 5 years) CRC survivors</w:t>
      </w:r>
      <w:r w:rsidRPr="00B52BB6">
        <w:rPr>
          <w:rFonts w:cs="Times New Roman"/>
          <w:noProof/>
          <w:vertAlign w:val="superscript"/>
        </w:rPr>
        <w:t>12</w:t>
      </w:r>
      <w:r w:rsidRPr="00F03722">
        <w:rPr>
          <w:rFonts w:cs="Times New Roman"/>
        </w:rPr>
        <w:t xml:space="preserve">.  Our results also add </w:t>
      </w:r>
      <w:r w:rsidRPr="00D84796">
        <w:rPr>
          <w:rFonts w:cs="Times New Roman"/>
        </w:rPr>
        <w:t>to growing evidence that 70-80% of CRC survivors are living with at least one comorbidity</w:t>
      </w:r>
      <w:r w:rsidRPr="00B52BB6">
        <w:rPr>
          <w:rFonts w:cs="Times New Roman"/>
          <w:noProof/>
          <w:vertAlign w:val="superscript"/>
        </w:rPr>
        <w:t>9,12,18</w:t>
      </w:r>
      <w:r w:rsidRPr="00D84796">
        <w:rPr>
          <w:rFonts w:cs="Times New Roman"/>
          <w:bCs/>
        </w:rPr>
        <w:t>.</w:t>
      </w:r>
      <w:r>
        <w:rPr>
          <w:rFonts w:cs="Times New Roman"/>
          <w:bCs/>
        </w:rPr>
        <w:t xml:space="preserve">                                                            </w:t>
      </w:r>
    </w:p>
    <w:p w14:paraId="7E3F9E2D" w14:textId="77777777" w:rsidR="00D926EB" w:rsidRPr="00F03722" w:rsidRDefault="00D926EB" w:rsidP="00A97B39">
      <w:pPr>
        <w:spacing w:line="480" w:lineRule="auto"/>
        <w:jc w:val="both"/>
        <w:rPr>
          <w:rFonts w:cs="Times New Roman"/>
        </w:rPr>
      </w:pPr>
      <w:r w:rsidRPr="002462F4">
        <w:rPr>
          <w:rFonts w:cs="Times New Roman"/>
          <w:lang w:val="en"/>
        </w:rPr>
        <w:t>Anxiety and depression are increasingly recognised as common following CRC</w:t>
      </w:r>
      <w:r w:rsidRPr="00B52BB6">
        <w:rPr>
          <w:rFonts w:cs="Times New Roman"/>
          <w:noProof/>
          <w:vertAlign w:val="superscript"/>
          <w:lang w:val="en"/>
        </w:rPr>
        <w:t>17</w:t>
      </w:r>
      <w:r w:rsidRPr="002462F4">
        <w:rPr>
          <w:rFonts w:cs="Times New Roman"/>
          <w:lang w:val="en"/>
        </w:rPr>
        <w:t>,</w:t>
      </w:r>
      <w:r w:rsidRPr="00F03722">
        <w:rPr>
          <w:rFonts w:cs="Times New Roman"/>
          <w:lang w:val="en"/>
        </w:rPr>
        <w:t xml:space="preserve"> yet </w:t>
      </w:r>
      <w:r w:rsidRPr="00F03722">
        <w:rPr>
          <w:rFonts w:cs="Times New Roman"/>
        </w:rPr>
        <w:t>CREW adds to only a handful of studies to include them in its assessment of comorbidity</w:t>
      </w:r>
      <w:r w:rsidRPr="00B52BB6">
        <w:rPr>
          <w:rFonts w:cs="Times New Roman"/>
          <w:noProof/>
          <w:vertAlign w:val="superscript"/>
        </w:rPr>
        <w:t>8,18</w:t>
      </w:r>
      <w:r w:rsidRPr="00F03722">
        <w:rPr>
          <w:rFonts w:cs="Times New Roman"/>
          <w:bCs/>
        </w:rPr>
        <w:t>.  Approximately half of individuals stated their depression</w:t>
      </w:r>
      <w:r>
        <w:rPr>
          <w:rFonts w:cs="Times New Roman"/>
          <w:bCs/>
        </w:rPr>
        <w:t>/anxiety</w:t>
      </w:r>
      <w:r w:rsidRPr="00F03722">
        <w:rPr>
          <w:rFonts w:cs="Times New Roman"/>
          <w:bCs/>
        </w:rPr>
        <w:t xml:space="preserve"> was not pre-existing, but was diagnosed after CRC.  Despite low response rates for this question (50%), h</w:t>
      </w:r>
      <w:r w:rsidRPr="00F03722">
        <w:rPr>
          <w:rFonts w:cs="Times New Roman"/>
        </w:rPr>
        <w:t>igh rates of depression post-cancer diagnosis, particularly in CRC, ha</w:t>
      </w:r>
      <w:r>
        <w:rPr>
          <w:rFonts w:cs="Times New Roman"/>
        </w:rPr>
        <w:t>ve</w:t>
      </w:r>
      <w:r w:rsidRPr="00F03722">
        <w:rPr>
          <w:rFonts w:cs="Times New Roman"/>
        </w:rPr>
        <w:t xml:space="preserve"> been demonstrated elsewhere</w:t>
      </w:r>
      <w:r w:rsidRPr="005D4A0E">
        <w:rPr>
          <w:rFonts w:cs="Times New Roman"/>
          <w:noProof/>
          <w:vertAlign w:val="superscript"/>
        </w:rPr>
        <w:t>33</w:t>
      </w:r>
      <w:r w:rsidRPr="00F03722">
        <w:rPr>
          <w:rFonts w:cs="Times New Roman"/>
        </w:rPr>
        <w:t>.  The stability in prevalence of depression</w:t>
      </w:r>
      <w:r>
        <w:rPr>
          <w:rFonts w:cs="Times New Roman"/>
        </w:rPr>
        <w:t>/anxiety</w:t>
      </w:r>
      <w:r w:rsidRPr="00F03722">
        <w:rPr>
          <w:rFonts w:cs="Times New Roman"/>
        </w:rPr>
        <w:t xml:space="preserve"> in the 5 year follow-up reported here, suggests that often, diagnoses may occur within 3 months of a CRC diagnosis.  Our findings highlight the importance of screening for mental wellbeing and offering appropriate support.  This is emphasised by research detailing how significantly fewer CRC survivors actively seek help for psychological problems than for physical concerns</w:t>
      </w:r>
      <w:r w:rsidRPr="005D4A0E">
        <w:rPr>
          <w:rFonts w:cs="Times New Roman"/>
          <w:noProof/>
          <w:vertAlign w:val="superscript"/>
        </w:rPr>
        <w:t>34</w:t>
      </w:r>
      <w:r w:rsidRPr="00F03722">
        <w:rPr>
          <w:rFonts w:cs="Times New Roman"/>
        </w:rPr>
        <w:t xml:space="preserve">. </w:t>
      </w:r>
    </w:p>
    <w:p w14:paraId="69A41809" w14:textId="77777777" w:rsidR="00D926EB" w:rsidRPr="00F03722" w:rsidRDefault="00D926EB" w:rsidP="00A97B39">
      <w:pPr>
        <w:spacing w:line="480" w:lineRule="auto"/>
        <w:jc w:val="both"/>
        <w:rPr>
          <w:rFonts w:cs="Times New Roman"/>
        </w:rPr>
      </w:pPr>
      <w:r w:rsidRPr="00F03722">
        <w:rPr>
          <w:rFonts w:cs="Times New Roman"/>
        </w:rPr>
        <w:t>The frequency of hypertension, arthritis, diabetes and lung disease are comparable to other studies</w:t>
      </w:r>
      <w:r w:rsidRPr="00B52BB6">
        <w:rPr>
          <w:rFonts w:cs="Times New Roman"/>
          <w:noProof/>
          <w:vertAlign w:val="superscript"/>
        </w:rPr>
        <w:t>7,18</w:t>
      </w:r>
      <w:r w:rsidRPr="00F03722">
        <w:rPr>
          <w:rFonts w:cs="Times New Roman"/>
        </w:rPr>
        <w:t xml:space="preserve">, </w:t>
      </w:r>
      <w:r w:rsidRPr="00F03722">
        <w:rPr>
          <w:rFonts w:cs="Times New Roman"/>
          <w:bCs/>
        </w:rPr>
        <w:t>and reflect their prevalence in the general population</w:t>
      </w:r>
      <w:r w:rsidRPr="005D4A0E">
        <w:rPr>
          <w:rFonts w:cs="Times New Roman"/>
          <w:bCs/>
          <w:noProof/>
          <w:vertAlign w:val="superscript"/>
        </w:rPr>
        <w:t>35</w:t>
      </w:r>
      <w:r w:rsidRPr="00F03722">
        <w:rPr>
          <w:rFonts w:cs="Times New Roman"/>
          <w:lang w:val="en"/>
        </w:rPr>
        <w:t xml:space="preserve">.  Results demonstrating a </w:t>
      </w:r>
      <w:r w:rsidRPr="00F03722">
        <w:rPr>
          <w:rFonts w:cs="Times New Roman"/>
          <w:u w:val="single"/>
          <w:lang w:val="en"/>
        </w:rPr>
        <w:t>&lt;</w:t>
      </w:r>
      <w:r w:rsidRPr="00F03722">
        <w:rPr>
          <w:rFonts w:cs="Times New Roman"/>
          <w:lang w:val="en"/>
        </w:rPr>
        <w:t xml:space="preserve">10% prevalence of angina, myocardial infarction and heart failure in the CREW cohort, </w:t>
      </w:r>
      <w:r w:rsidRPr="00F03722">
        <w:rPr>
          <w:rFonts w:cs="Times New Roman"/>
        </w:rPr>
        <w:t>are at odds with higher prevalence in other CRC studies, and in the general population</w:t>
      </w:r>
      <w:r w:rsidRPr="005D4A0E">
        <w:rPr>
          <w:rFonts w:cs="Times New Roman"/>
          <w:noProof/>
          <w:vertAlign w:val="superscript"/>
        </w:rPr>
        <w:t>8,34</w:t>
      </w:r>
      <w:r w:rsidRPr="00F03722">
        <w:rPr>
          <w:rFonts w:cs="Times New Roman"/>
        </w:rPr>
        <w:t xml:space="preserve">.  </w:t>
      </w:r>
      <w:r w:rsidRPr="00F03722">
        <w:rPr>
          <w:rFonts w:cs="Times New Roman"/>
          <w:lang w:val="en"/>
        </w:rPr>
        <w:t xml:space="preserve">This </w:t>
      </w:r>
      <w:r>
        <w:rPr>
          <w:rFonts w:cs="Times New Roman"/>
        </w:rPr>
        <w:t>likely</w:t>
      </w:r>
      <w:r w:rsidRPr="00F03722">
        <w:rPr>
          <w:rFonts w:cs="Times New Roman"/>
          <w:lang w:val="en"/>
        </w:rPr>
        <w:t xml:space="preserve"> </w:t>
      </w:r>
      <w:r w:rsidRPr="00F03722">
        <w:rPr>
          <w:rFonts w:cs="Times New Roman"/>
          <w:bCs/>
        </w:rPr>
        <w:t>reflect</w:t>
      </w:r>
      <w:r>
        <w:rPr>
          <w:rFonts w:cs="Times New Roman"/>
          <w:bCs/>
        </w:rPr>
        <w:t>s</w:t>
      </w:r>
      <w:r w:rsidRPr="00F03722">
        <w:rPr>
          <w:rFonts w:cs="Times New Roman"/>
          <w:bCs/>
        </w:rPr>
        <w:t xml:space="preserve"> differences in the criteria for assessing conditions, for example as collective ‘heart disease’ or here, as separate conditions.</w:t>
      </w:r>
      <w:r w:rsidRPr="00F03722">
        <w:rPr>
          <w:rFonts w:cs="Times New Roman"/>
        </w:rPr>
        <w:t xml:space="preserve">  </w:t>
      </w:r>
    </w:p>
    <w:p w14:paraId="573AFC7E" w14:textId="77777777" w:rsidR="00D926EB" w:rsidRPr="00F03722" w:rsidRDefault="00D926EB" w:rsidP="00A97B39">
      <w:pPr>
        <w:spacing w:line="480" w:lineRule="auto"/>
        <w:jc w:val="both"/>
        <w:rPr>
          <w:rFonts w:cs="Times New Roman"/>
          <w:i/>
          <w:iCs/>
        </w:rPr>
      </w:pPr>
      <w:r w:rsidRPr="00F03722">
        <w:rPr>
          <w:rFonts w:cs="Times New Roman"/>
          <w:i/>
          <w:iCs/>
        </w:rPr>
        <w:t>Association of comorbidities with QoL, functioning and symptom outcomes</w:t>
      </w:r>
    </w:p>
    <w:p w14:paraId="0CF544D8" w14:textId="77777777" w:rsidR="00D926EB" w:rsidRPr="00F03722" w:rsidRDefault="00D926EB" w:rsidP="00A97B39">
      <w:pPr>
        <w:spacing w:line="480" w:lineRule="auto"/>
        <w:jc w:val="both"/>
        <w:rPr>
          <w:rFonts w:cs="Times New Roman"/>
        </w:rPr>
      </w:pPr>
      <w:r w:rsidRPr="00F03722">
        <w:rPr>
          <w:rFonts w:cs="Times New Roman"/>
          <w:bCs/>
        </w:rPr>
        <w:t xml:space="preserve">Our data confirm the importance of understanding whether comorbidities are disrupting daily activities, as these can have a greater, negative impact on health and wellbeing during recovery from CRC.  </w:t>
      </w:r>
      <w:r>
        <w:rPr>
          <w:rFonts w:cs="Times New Roman"/>
          <w:bCs/>
        </w:rPr>
        <w:t xml:space="preserve">Even after accounting for all significant comorbidity predictors, patient-reported limitations of </w:t>
      </w:r>
      <w:r>
        <w:rPr>
          <w:rFonts w:cs="Times New Roman"/>
          <w:bCs/>
        </w:rPr>
        <w:lastRenderedPageBreak/>
        <w:t xml:space="preserve">comorbidities prevailed as a </w:t>
      </w:r>
      <w:r>
        <w:rPr>
          <w:rFonts w:cs="Times New Roman"/>
        </w:rPr>
        <w:t>strong and significant predictor</w:t>
      </w:r>
      <w:r w:rsidRPr="00F03722">
        <w:rPr>
          <w:rFonts w:cs="Times New Roman"/>
        </w:rPr>
        <w:t xml:space="preserve"> across all </w:t>
      </w:r>
      <w:r w:rsidRPr="00F03722">
        <w:rPr>
          <w:rFonts w:cs="Times New Roman"/>
          <w:bCs/>
        </w:rPr>
        <w:t xml:space="preserve">QoL, functioning and symptom </w:t>
      </w:r>
      <w:r>
        <w:rPr>
          <w:rFonts w:cs="Times New Roman"/>
        </w:rPr>
        <w:t>outcomes.  The only exception to this was emotional functioning, where the presence of depression/anxiety held prominent significance</w:t>
      </w:r>
      <w:r w:rsidRPr="00F03722">
        <w:rPr>
          <w:rFonts w:cs="Times New Roman"/>
        </w:rPr>
        <w:t>.</w:t>
      </w:r>
      <w:r>
        <w:rPr>
          <w:rFonts w:cs="Times New Roman"/>
        </w:rPr>
        <w:t xml:space="preserve">  </w:t>
      </w:r>
      <w:r w:rsidRPr="00F03722">
        <w:rPr>
          <w:rFonts w:cs="Times New Roman"/>
        </w:rPr>
        <w:t>Astrup et al also described associations between limitations of comorbidities and reduced QoL and greater symptom experience, although their study was not limited to CRC</w:t>
      </w:r>
      <w:r w:rsidRPr="00B52BB6">
        <w:rPr>
          <w:rFonts w:cs="Times New Roman"/>
          <w:noProof/>
          <w:vertAlign w:val="superscript"/>
        </w:rPr>
        <w:t>23</w:t>
      </w:r>
      <w:r w:rsidRPr="00F03722">
        <w:rPr>
          <w:rFonts w:cs="Times New Roman"/>
          <w:bCs/>
        </w:rPr>
        <w:t>.</w:t>
      </w:r>
      <w:r w:rsidRPr="00F03722">
        <w:rPr>
          <w:rFonts w:cs="Times New Roman"/>
          <w:b/>
          <w:bCs/>
        </w:rPr>
        <w:t xml:space="preserve">  </w:t>
      </w:r>
      <w:r w:rsidRPr="00F03722">
        <w:rPr>
          <w:rFonts w:cs="Times New Roman"/>
        </w:rPr>
        <w:t>The only other study to describe similar associations with QoL in CRC patients, combined patient reported and pre-defined severity scores, meaning that results do not solely reflect patient reports of limitation</w:t>
      </w:r>
      <w:r w:rsidRPr="00B52BB6">
        <w:rPr>
          <w:rFonts w:cs="Times New Roman"/>
          <w:noProof/>
          <w:vertAlign w:val="superscript"/>
        </w:rPr>
        <w:t>12</w:t>
      </w:r>
      <w:r w:rsidRPr="00F03722">
        <w:rPr>
          <w:rFonts w:cs="Times New Roman"/>
        </w:rPr>
        <w:t xml:space="preserve">.  </w:t>
      </w:r>
      <w:r>
        <w:rPr>
          <w:rFonts w:cs="Times New Roman"/>
        </w:rPr>
        <w:t>S</w:t>
      </w:r>
      <w:r w:rsidRPr="00F03722">
        <w:rPr>
          <w:rFonts w:cs="Times New Roman"/>
        </w:rPr>
        <w:t xml:space="preserve">tudies </w:t>
      </w:r>
      <w:r>
        <w:rPr>
          <w:rFonts w:cs="Times New Roman"/>
        </w:rPr>
        <w:t>using</w:t>
      </w:r>
      <w:r w:rsidRPr="00F03722">
        <w:rPr>
          <w:rFonts w:cs="Times New Roman"/>
        </w:rPr>
        <w:t xml:space="preserve"> clinically derived assessments </w:t>
      </w:r>
      <w:r w:rsidRPr="00F03722">
        <w:rPr>
          <w:rFonts w:cs="Times New Roman"/>
          <w:lang w:val="en"/>
        </w:rPr>
        <w:t xml:space="preserve">(pre-defined weighted scales) </w:t>
      </w:r>
      <w:r w:rsidRPr="00F03722">
        <w:rPr>
          <w:rFonts w:cs="Times New Roman"/>
        </w:rPr>
        <w:t>of comorbidity severity, have been inconsistent in demonstrating a link between greater severity and poorer QoL</w:t>
      </w:r>
      <w:r w:rsidRPr="00B52BB6">
        <w:rPr>
          <w:rFonts w:cs="Times New Roman"/>
          <w:noProof/>
          <w:vertAlign w:val="superscript"/>
        </w:rPr>
        <w:t>19,22</w:t>
      </w:r>
      <w:r w:rsidRPr="00F03722">
        <w:rPr>
          <w:rFonts w:cs="Times New Roman"/>
        </w:rPr>
        <w:t>.  Weighted severity scores were designed to predict survival outcomes and therefore do not capture the complexity and impact of living with comorbidities</w:t>
      </w:r>
      <w:r w:rsidRPr="00B52BB6">
        <w:rPr>
          <w:rFonts w:cs="Times New Roman"/>
          <w:noProof/>
          <w:vertAlign w:val="superscript"/>
        </w:rPr>
        <w:t>21</w:t>
      </w:r>
      <w:r w:rsidRPr="00F03722">
        <w:rPr>
          <w:rFonts w:cs="Times New Roman"/>
          <w:bCs/>
          <w:noProof/>
        </w:rPr>
        <w:t>.</w:t>
      </w:r>
      <w:r w:rsidRPr="00F03722">
        <w:rPr>
          <w:rFonts w:cs="Times New Roman"/>
        </w:rPr>
        <w:t xml:space="preserve">  Research demonstrating associations between performance status of cancer patients and QoL outcomes, supports limitation of daily activities as an important influencer of health and wellbeing</w:t>
      </w:r>
      <w:r w:rsidRPr="00B52BB6">
        <w:rPr>
          <w:rFonts w:cs="Times New Roman"/>
          <w:noProof/>
          <w:vertAlign w:val="superscript"/>
        </w:rPr>
        <w:t>16</w:t>
      </w:r>
      <w:r w:rsidRPr="00F03722">
        <w:rPr>
          <w:rFonts w:cs="Times New Roman"/>
        </w:rPr>
        <w:t>.  Our findings demonstrate that self-reported limitations of comorbidities have a</w:t>
      </w:r>
      <w:r>
        <w:rPr>
          <w:rFonts w:cs="Times New Roman"/>
        </w:rPr>
        <w:t xml:space="preserve">n important and </w:t>
      </w:r>
      <w:r w:rsidRPr="00F03722">
        <w:rPr>
          <w:rFonts w:cs="Times New Roman"/>
        </w:rPr>
        <w:t>much</w:t>
      </w:r>
      <w:r>
        <w:rPr>
          <w:rFonts w:cs="Times New Roman"/>
        </w:rPr>
        <w:t xml:space="preserve"> greater</w:t>
      </w:r>
      <w:r w:rsidRPr="00F03722">
        <w:rPr>
          <w:rFonts w:cs="Times New Roman"/>
        </w:rPr>
        <w:t xml:space="preserve"> influence on health and wellbeing outcomes, compared to comorbidity presence alone.  Whilst the presence and clinically defined severity of comorbidities are important, future assessment should include appraisal of how much they disrupt people’s lives.   </w:t>
      </w:r>
    </w:p>
    <w:p w14:paraId="385EC87E" w14:textId="77777777" w:rsidR="00D926EB" w:rsidRPr="00F03722" w:rsidRDefault="00D926EB" w:rsidP="00A97B39">
      <w:pPr>
        <w:spacing w:line="480" w:lineRule="auto"/>
        <w:jc w:val="both"/>
        <w:rPr>
          <w:rFonts w:cs="Times New Roman"/>
        </w:rPr>
      </w:pPr>
      <w:r>
        <w:rPr>
          <w:rFonts w:cs="Times New Roman"/>
        </w:rPr>
        <w:t>Perhaps unsurprisingly, t</w:t>
      </w:r>
      <w:r>
        <w:t xml:space="preserve">he strongest effects of having a limiting comorbidity were seen with pain, physical and role functioning outcomes.  </w:t>
      </w:r>
      <w:r w:rsidRPr="00F03722">
        <w:rPr>
          <w:rFonts w:cs="Times New Roman"/>
          <w:bCs/>
        </w:rPr>
        <w:t>I</w:t>
      </w:r>
      <w:r w:rsidRPr="00F03722">
        <w:rPr>
          <w:rFonts w:cs="Times New Roman"/>
        </w:rPr>
        <w:t>dentified associations with pain are supported</w:t>
      </w:r>
      <w:r>
        <w:rPr>
          <w:rFonts w:cs="Times New Roman"/>
        </w:rPr>
        <w:t xml:space="preserve"> elsewhere</w:t>
      </w:r>
      <w:r w:rsidRPr="00D66245">
        <w:rPr>
          <w:rFonts w:cs="Times New Roman"/>
          <w:noProof/>
          <w:vertAlign w:val="superscript"/>
        </w:rPr>
        <w:t>36,37</w:t>
      </w:r>
      <w:r>
        <w:rPr>
          <w:rFonts w:cs="Times New Roman"/>
        </w:rPr>
        <w:t xml:space="preserve">. </w:t>
      </w:r>
      <w:r>
        <w:t xml:space="preserve">  However, </w:t>
      </w:r>
      <w:r>
        <w:rPr>
          <w:rFonts w:cs="Times New Roman"/>
        </w:rPr>
        <w:t>w</w:t>
      </w:r>
      <w:r w:rsidRPr="00F03722">
        <w:rPr>
          <w:rFonts w:cs="Times New Roman"/>
        </w:rPr>
        <w:t xml:space="preserve">e describe for the first time the persistent association between </w:t>
      </w:r>
      <w:r>
        <w:rPr>
          <w:rFonts w:cs="Times New Roman"/>
        </w:rPr>
        <w:t xml:space="preserve">limiting </w:t>
      </w:r>
      <w:r w:rsidRPr="00F03722">
        <w:rPr>
          <w:rFonts w:cs="Times New Roman"/>
        </w:rPr>
        <w:t xml:space="preserve">comorbidities and symptom outcomes up to 5 years post CRC, in particular the </w:t>
      </w:r>
      <w:r w:rsidRPr="00F03722">
        <w:rPr>
          <w:rFonts w:cs="Times New Roman"/>
          <w:bCs/>
        </w:rPr>
        <w:t>association between comorbidities and poorer urinary and bowel symptoms.  Similar associations have been described in rectal cancer</w:t>
      </w:r>
      <w:r w:rsidRPr="00D66245">
        <w:rPr>
          <w:rFonts w:cs="Times New Roman"/>
          <w:bCs/>
          <w:noProof/>
          <w:vertAlign w:val="superscript"/>
        </w:rPr>
        <w:t>38</w:t>
      </w:r>
      <w:r>
        <w:rPr>
          <w:rFonts w:cs="Times New Roman"/>
          <w:bCs/>
        </w:rPr>
        <w:t>,</w:t>
      </w:r>
      <w:r w:rsidRPr="00F03722">
        <w:rPr>
          <w:rFonts w:cs="Times New Roman"/>
          <w:bCs/>
        </w:rPr>
        <w:t xml:space="preserve"> </w:t>
      </w:r>
      <w:r w:rsidRPr="00F03722">
        <w:rPr>
          <w:rFonts w:cs="Times New Roman"/>
        </w:rPr>
        <w:t xml:space="preserve">but this is a new finding in </w:t>
      </w:r>
      <w:r>
        <w:rPr>
          <w:rFonts w:cs="Times New Roman"/>
        </w:rPr>
        <w:t>CRC</w:t>
      </w:r>
      <w:r w:rsidRPr="00F03722">
        <w:rPr>
          <w:rFonts w:cs="Times New Roman"/>
        </w:rPr>
        <w:t>.</w:t>
      </w:r>
      <w:r>
        <w:rPr>
          <w:rFonts w:cs="Times New Roman"/>
        </w:rPr>
        <w:t xml:space="preserve">  </w:t>
      </w:r>
      <w:r>
        <w:rPr>
          <w:rFonts w:cs="Times New Roman"/>
          <w:bCs/>
        </w:rPr>
        <w:t>These</w:t>
      </w:r>
      <w:r w:rsidRPr="00F03722">
        <w:rPr>
          <w:rFonts w:cs="Times New Roman"/>
          <w:bCs/>
        </w:rPr>
        <w:t xml:space="preserve"> </w:t>
      </w:r>
      <w:r w:rsidRPr="00F03722">
        <w:rPr>
          <w:rFonts w:cs="Times New Roman"/>
        </w:rPr>
        <w:t>findings hold significance, as multiple studies report urinary and bowel symptoms as predominant, persistent and bur</w:t>
      </w:r>
      <w:r>
        <w:rPr>
          <w:rFonts w:cs="Times New Roman"/>
        </w:rPr>
        <w:t>densome following CRC treatment</w:t>
      </w:r>
      <w:r w:rsidRPr="00B52BB6">
        <w:rPr>
          <w:rFonts w:cs="Times New Roman"/>
          <w:noProof/>
          <w:vertAlign w:val="superscript"/>
        </w:rPr>
        <w:t>9,31</w:t>
      </w:r>
      <w:r w:rsidRPr="00F03722">
        <w:rPr>
          <w:rFonts w:cs="Times New Roman"/>
        </w:rPr>
        <w:t xml:space="preserve">. </w:t>
      </w:r>
    </w:p>
    <w:p w14:paraId="273E6231" w14:textId="77777777" w:rsidR="00D926EB" w:rsidRDefault="00D926EB" w:rsidP="00A97B39">
      <w:pPr>
        <w:autoSpaceDE w:val="0"/>
        <w:autoSpaceDN w:val="0"/>
        <w:adjustRightInd w:val="0"/>
        <w:spacing w:line="480" w:lineRule="auto"/>
        <w:jc w:val="both"/>
        <w:rPr>
          <w:rFonts w:cs="Times New Roman"/>
        </w:rPr>
      </w:pPr>
      <w:r w:rsidRPr="00F03722">
        <w:rPr>
          <w:rFonts w:cs="Times New Roman"/>
          <w:bCs/>
        </w:rPr>
        <w:t>Previous cross-sectional studies have demonstrated links between</w:t>
      </w:r>
      <w:r w:rsidRPr="00F03722">
        <w:rPr>
          <w:rFonts w:cs="Times New Roman"/>
        </w:rPr>
        <w:t xml:space="preserve"> depression/anxiety </w:t>
      </w:r>
      <w:r w:rsidRPr="00F03722">
        <w:rPr>
          <w:rFonts w:cs="Times New Roman"/>
          <w:bCs/>
        </w:rPr>
        <w:t xml:space="preserve">and poorer QoL, fatigue, pain, </w:t>
      </w:r>
      <w:r w:rsidRPr="00F03722">
        <w:rPr>
          <w:rFonts w:cs="Times New Roman"/>
        </w:rPr>
        <w:t>physical and emotional functioning in CRC survivors</w:t>
      </w:r>
      <w:r w:rsidRPr="00B52BB6">
        <w:rPr>
          <w:rFonts w:cs="Times New Roman"/>
          <w:noProof/>
          <w:vertAlign w:val="superscript"/>
        </w:rPr>
        <w:t>17,19</w:t>
      </w:r>
      <w:r w:rsidRPr="00F03722">
        <w:rPr>
          <w:rFonts w:cs="Times New Roman"/>
          <w:bCs/>
        </w:rPr>
        <w:t>.</w:t>
      </w:r>
      <w:r>
        <w:rPr>
          <w:rFonts w:cs="Times New Roman"/>
          <w:bCs/>
        </w:rPr>
        <w:t xml:space="preserve">  </w:t>
      </w:r>
      <w:r w:rsidRPr="00F03722">
        <w:rPr>
          <w:rFonts w:cs="Times New Roman"/>
        </w:rPr>
        <w:t xml:space="preserve">Our findings support and </w:t>
      </w:r>
      <w:r w:rsidRPr="00F03722">
        <w:rPr>
          <w:rFonts w:cs="Times New Roman"/>
        </w:rPr>
        <w:lastRenderedPageBreak/>
        <w:t>expand on this previous literature by demonstrating</w:t>
      </w:r>
      <w:r>
        <w:rPr>
          <w:rFonts w:cs="Times New Roman"/>
        </w:rPr>
        <w:t xml:space="preserve"> that </w:t>
      </w:r>
      <w:r w:rsidRPr="00F03722">
        <w:rPr>
          <w:rFonts w:cs="Times New Roman"/>
        </w:rPr>
        <w:t xml:space="preserve">depression/anxiety </w:t>
      </w:r>
      <w:r>
        <w:rPr>
          <w:rFonts w:cs="Times New Roman"/>
        </w:rPr>
        <w:t>is the most significant individual predictor of poorer</w:t>
      </w:r>
      <w:r w:rsidRPr="00F03722">
        <w:rPr>
          <w:rFonts w:cs="Times New Roman"/>
        </w:rPr>
        <w:t xml:space="preserve"> health and wellbeing outcomes</w:t>
      </w:r>
      <w:r>
        <w:rPr>
          <w:rFonts w:cs="Times New Roman"/>
        </w:rPr>
        <w:t xml:space="preserve"> (with the exception of urinary symptoms) </w:t>
      </w:r>
      <w:r w:rsidRPr="00F03722">
        <w:rPr>
          <w:rFonts w:cs="Times New Roman"/>
        </w:rPr>
        <w:t>in CRC survivors for up to 5 years</w:t>
      </w:r>
      <w:r>
        <w:rPr>
          <w:rFonts w:cs="Times New Roman"/>
        </w:rPr>
        <w:t xml:space="preserve">, even after </w:t>
      </w:r>
      <w:r w:rsidRPr="00F03722">
        <w:rPr>
          <w:rFonts w:cs="Times New Roman"/>
        </w:rPr>
        <w:t xml:space="preserve">adjusting for the presence of </w:t>
      </w:r>
      <w:r>
        <w:rPr>
          <w:rFonts w:cs="Times New Roman"/>
        </w:rPr>
        <w:t xml:space="preserve">any limiting comorbidities and other </w:t>
      </w:r>
      <w:r w:rsidRPr="00F03722">
        <w:rPr>
          <w:rFonts w:cs="Times New Roman"/>
        </w:rPr>
        <w:t xml:space="preserve">individual </w:t>
      </w:r>
      <w:r>
        <w:rPr>
          <w:rFonts w:cs="Times New Roman"/>
        </w:rPr>
        <w:t>conditions</w:t>
      </w:r>
      <w:r w:rsidRPr="00F03722">
        <w:rPr>
          <w:rFonts w:cs="Times New Roman"/>
        </w:rPr>
        <w:t>.</w:t>
      </w:r>
      <w:r w:rsidRPr="00F03722">
        <w:rPr>
          <w:rFonts w:cs="Times New Roman"/>
          <w:bCs/>
        </w:rPr>
        <w:t xml:space="preserve">  </w:t>
      </w:r>
      <w:r>
        <w:rPr>
          <w:rFonts w:cs="Times New Roman"/>
        </w:rPr>
        <w:t xml:space="preserve">Moreover, our findings suggest a double health and well-being burden of having both depression/anxiety and any limiting comorbidities.  </w:t>
      </w:r>
    </w:p>
    <w:p w14:paraId="1F49B22B" w14:textId="77777777" w:rsidR="00D926EB" w:rsidRDefault="00D926EB" w:rsidP="0078075C">
      <w:pPr>
        <w:autoSpaceDE w:val="0"/>
        <w:autoSpaceDN w:val="0"/>
        <w:adjustRightInd w:val="0"/>
        <w:spacing w:line="480" w:lineRule="auto"/>
        <w:jc w:val="both"/>
        <w:rPr>
          <w:rFonts w:cs="Times New Roman"/>
          <w:lang w:val="en"/>
        </w:rPr>
      </w:pPr>
      <w:r>
        <w:rPr>
          <w:rFonts w:cs="Times New Roman"/>
          <w:bCs/>
        </w:rPr>
        <w:t xml:space="preserve">Interestingly, significant associations of arthritis, as the most limiting comorbidity, disappeared for all outcomes after the inclusion of </w:t>
      </w:r>
      <w:r w:rsidR="0078075C">
        <w:rPr>
          <w:rFonts w:cs="Times New Roman"/>
          <w:bCs/>
        </w:rPr>
        <w:t xml:space="preserve">the </w:t>
      </w:r>
      <w:r>
        <w:rPr>
          <w:rFonts w:cs="Times New Roman"/>
          <w:bCs/>
        </w:rPr>
        <w:t xml:space="preserve">presence of any limiting comorbidities in the final models, which likely accounted for the health </w:t>
      </w:r>
      <w:r w:rsidRPr="00F8516C">
        <w:rPr>
          <w:rFonts w:cs="Times New Roman"/>
          <w:bCs/>
        </w:rPr>
        <w:t>importance</w:t>
      </w:r>
      <w:r>
        <w:rPr>
          <w:rFonts w:cs="Times New Roman"/>
          <w:bCs/>
        </w:rPr>
        <w:t xml:space="preserve"> of arthritis.  This finding suggests that arthritis, by its limiting nature, is associated with prolonged and poor health and wellbeing outcomes, supporting its associations with greater pain and </w:t>
      </w:r>
      <w:r w:rsidRPr="00F03722">
        <w:rPr>
          <w:rFonts w:cs="Times New Roman"/>
        </w:rPr>
        <w:t xml:space="preserve">poorer </w:t>
      </w:r>
      <w:r w:rsidR="0078075C">
        <w:rPr>
          <w:rFonts w:cs="Times New Roman"/>
        </w:rPr>
        <w:t>physica</w:t>
      </w:r>
      <w:r w:rsidRPr="00F03722">
        <w:rPr>
          <w:rFonts w:cs="Times New Roman"/>
        </w:rPr>
        <w:t>l functioning</w:t>
      </w:r>
      <w:r>
        <w:rPr>
          <w:rFonts w:cs="Times New Roman"/>
        </w:rPr>
        <w:t xml:space="preserve"> seen elsewhere</w:t>
      </w:r>
      <w:r w:rsidRPr="00B000EE">
        <w:rPr>
          <w:rFonts w:cs="Times New Roman"/>
          <w:noProof/>
          <w:vertAlign w:val="superscript"/>
        </w:rPr>
        <w:t>8</w:t>
      </w:r>
      <w:r w:rsidRPr="00F03722">
        <w:rPr>
          <w:rFonts w:cs="Times New Roman"/>
          <w:lang w:val="en"/>
        </w:rPr>
        <w:t xml:space="preserve">. </w:t>
      </w:r>
    </w:p>
    <w:p w14:paraId="6944D038" w14:textId="77777777" w:rsidR="00D926EB" w:rsidRPr="0078075C" w:rsidRDefault="00D926EB" w:rsidP="00A97B39">
      <w:pPr>
        <w:autoSpaceDE w:val="0"/>
        <w:autoSpaceDN w:val="0"/>
        <w:adjustRightInd w:val="0"/>
        <w:spacing w:line="480" w:lineRule="auto"/>
        <w:jc w:val="both"/>
        <w:rPr>
          <w:rFonts w:cs="Times New Roman"/>
          <w:lang w:val="en"/>
        </w:rPr>
      </w:pPr>
    </w:p>
    <w:p w14:paraId="0FF4E1D1" w14:textId="77777777" w:rsidR="00D926EB" w:rsidRPr="00F03722" w:rsidRDefault="00D926EB" w:rsidP="00A97B39">
      <w:pPr>
        <w:spacing w:line="480" w:lineRule="auto"/>
        <w:jc w:val="both"/>
        <w:rPr>
          <w:rFonts w:cs="Times New Roman"/>
          <w:u w:val="single"/>
        </w:rPr>
      </w:pPr>
      <w:r w:rsidRPr="00F03722">
        <w:rPr>
          <w:rFonts w:cs="Times New Roman"/>
          <w:u w:val="single"/>
        </w:rPr>
        <w:t xml:space="preserve">Study Limitations </w:t>
      </w:r>
    </w:p>
    <w:p w14:paraId="4087D0DD" w14:textId="77777777" w:rsidR="00D926EB" w:rsidRPr="00F03722" w:rsidRDefault="00D926EB" w:rsidP="00A97B39">
      <w:pPr>
        <w:pStyle w:val="PlainText"/>
        <w:spacing w:after="160" w:line="480" w:lineRule="auto"/>
        <w:jc w:val="both"/>
        <w:rPr>
          <w:rFonts w:asciiTheme="minorHAnsi" w:hAnsiTheme="minorHAnsi" w:cs="Times New Roman"/>
          <w:szCs w:val="22"/>
        </w:rPr>
      </w:pPr>
      <w:r w:rsidRPr="00F03722">
        <w:rPr>
          <w:rFonts w:asciiTheme="minorHAnsi" w:hAnsiTheme="minorHAnsi" w:cs="Times New Roman"/>
          <w:bCs/>
          <w:szCs w:val="22"/>
        </w:rPr>
        <w:t xml:space="preserve">Previous cancer studies have </w:t>
      </w:r>
      <w:r w:rsidRPr="00F03722">
        <w:rPr>
          <w:rFonts w:asciiTheme="minorHAnsi" w:hAnsiTheme="minorHAnsi" w:cs="Times New Roman"/>
          <w:szCs w:val="22"/>
        </w:rPr>
        <w:t>demonstrated that participants are less likely to have severe comorbidities than non-responders</w:t>
      </w:r>
      <w:r w:rsidRPr="00B52BB6">
        <w:rPr>
          <w:rFonts w:asciiTheme="minorHAnsi" w:hAnsiTheme="minorHAnsi" w:cs="Times New Roman"/>
          <w:noProof/>
          <w:szCs w:val="22"/>
          <w:vertAlign w:val="superscript"/>
        </w:rPr>
        <w:t>22</w:t>
      </w:r>
      <w:r w:rsidRPr="00F03722">
        <w:rPr>
          <w:rFonts w:asciiTheme="minorHAnsi" w:hAnsiTheme="minorHAnsi" w:cs="Times New Roman"/>
          <w:szCs w:val="22"/>
        </w:rPr>
        <w:t xml:space="preserve">.  This should be taken into consideration when interpreting results, as it is possible that our findings may under-represent the true extent and impact of comorbidities.  Assessment of </w:t>
      </w:r>
      <w:r>
        <w:rPr>
          <w:rFonts w:asciiTheme="minorHAnsi" w:hAnsiTheme="minorHAnsi" w:cs="Times New Roman"/>
          <w:szCs w:val="22"/>
        </w:rPr>
        <w:t xml:space="preserve">EORTC </w:t>
      </w:r>
      <w:r>
        <w:rPr>
          <w:rFonts w:cs="Times New Roman"/>
        </w:rPr>
        <w:t xml:space="preserve">QLQ-C30, QLQ-CR29 and </w:t>
      </w:r>
      <w:r w:rsidRPr="00F03722">
        <w:rPr>
          <w:rFonts w:asciiTheme="minorHAnsi" w:hAnsiTheme="minorHAnsi" w:cs="Times New Roman"/>
          <w:szCs w:val="22"/>
        </w:rPr>
        <w:t xml:space="preserve">comorbidities </w:t>
      </w:r>
      <w:r w:rsidRPr="00F03722">
        <w:rPr>
          <w:rFonts w:asciiTheme="minorHAnsi" w:hAnsiTheme="minorHAnsi" w:cstheme="majorBidi"/>
          <w:szCs w:val="22"/>
        </w:rPr>
        <w:t>was not included withi</w:t>
      </w:r>
      <w:r>
        <w:rPr>
          <w:rFonts w:asciiTheme="minorHAnsi" w:hAnsiTheme="minorHAnsi" w:cstheme="majorBidi"/>
          <w:szCs w:val="22"/>
        </w:rPr>
        <w:t>n questionnaires until 3 months</w:t>
      </w:r>
      <w:r w:rsidRPr="00F03722">
        <w:rPr>
          <w:rFonts w:asciiTheme="minorHAnsi" w:hAnsiTheme="minorHAnsi" w:cstheme="majorBidi"/>
          <w:szCs w:val="22"/>
        </w:rPr>
        <w:t xml:space="preserve"> due to burden of data collection close to diagnosis.  </w:t>
      </w:r>
      <w:r>
        <w:rPr>
          <w:rFonts w:asciiTheme="minorHAnsi" w:hAnsiTheme="minorHAnsi" w:cstheme="majorBidi"/>
          <w:szCs w:val="22"/>
        </w:rPr>
        <w:t>P</w:t>
      </w:r>
      <w:r w:rsidRPr="00F03722">
        <w:rPr>
          <w:rFonts w:asciiTheme="minorHAnsi" w:hAnsiTheme="minorHAnsi" w:cstheme="majorBidi"/>
          <w:szCs w:val="22"/>
        </w:rPr>
        <w:t xml:space="preserve">articipants were asked whether comorbidities were diagnosed prior to their CRC diagnosis at 24 months, </w:t>
      </w:r>
      <w:r>
        <w:rPr>
          <w:rFonts w:asciiTheme="minorHAnsi" w:hAnsiTheme="minorHAnsi" w:cstheme="majorBidi"/>
          <w:szCs w:val="22"/>
        </w:rPr>
        <w:t xml:space="preserve">as such, </w:t>
      </w:r>
      <w:r w:rsidRPr="00F03722">
        <w:rPr>
          <w:rFonts w:asciiTheme="minorHAnsi" w:hAnsiTheme="minorHAnsi" w:cstheme="majorBidi"/>
          <w:szCs w:val="22"/>
        </w:rPr>
        <w:t xml:space="preserve">responses are liable </w:t>
      </w:r>
      <w:r w:rsidRPr="00091AF4">
        <w:rPr>
          <w:rFonts w:asciiTheme="minorHAnsi" w:hAnsiTheme="minorHAnsi" w:cstheme="majorBidi"/>
          <w:szCs w:val="22"/>
        </w:rPr>
        <w:t xml:space="preserve">to recall bias.  </w:t>
      </w:r>
      <w:r w:rsidRPr="00091AF4">
        <w:rPr>
          <w:rFonts w:asciiTheme="minorHAnsi" w:hAnsiTheme="minorHAnsi" w:cs="Times New Roman"/>
          <w:szCs w:val="22"/>
        </w:rPr>
        <w:t xml:space="preserve">The list of comorbidities available for self-report was limited to </w:t>
      </w:r>
      <w:r w:rsidRPr="00091AF4">
        <w:rPr>
          <w:rFonts w:cs="Times New Roman"/>
        </w:rPr>
        <w:t>12 individual conditions or disease groups</w:t>
      </w:r>
      <w:r w:rsidRPr="00091AF4">
        <w:rPr>
          <w:rFonts w:asciiTheme="minorHAnsi" w:hAnsiTheme="minorHAnsi" w:cs="Times New Roman"/>
          <w:szCs w:val="22"/>
        </w:rPr>
        <w:t xml:space="preserve"> and did not encompass all potential comorbid conditions</w:t>
      </w:r>
      <w:r w:rsidR="002535EE" w:rsidRPr="00091AF4">
        <w:rPr>
          <w:rFonts w:asciiTheme="minorHAnsi" w:hAnsiTheme="minorHAnsi" w:cs="Times New Roman"/>
          <w:szCs w:val="22"/>
        </w:rPr>
        <w:t xml:space="preserve"> (for example, obesity)</w:t>
      </w:r>
      <w:r w:rsidRPr="00091AF4">
        <w:rPr>
          <w:rFonts w:asciiTheme="minorHAnsi" w:hAnsiTheme="minorHAnsi" w:cs="Times New Roman"/>
          <w:szCs w:val="22"/>
        </w:rPr>
        <w:t>.  A prior diagnosis</w:t>
      </w:r>
      <w:r w:rsidRPr="00F03722">
        <w:rPr>
          <w:rFonts w:asciiTheme="minorHAnsi" w:hAnsiTheme="minorHAnsi" w:cs="Times New Roman"/>
          <w:szCs w:val="22"/>
        </w:rPr>
        <w:t xml:space="preserve"> of cancer was an exclusion criterion, meaning that previous cancer diagnoses could not be included in comorbidity assessment.</w:t>
      </w:r>
      <w:r>
        <w:rPr>
          <w:rFonts w:asciiTheme="minorHAnsi" w:hAnsiTheme="minorHAnsi" w:cs="Times New Roman"/>
          <w:szCs w:val="22"/>
        </w:rPr>
        <w:t xml:space="preserve">  </w:t>
      </w:r>
      <w:r w:rsidRPr="00F03722">
        <w:rPr>
          <w:rFonts w:asciiTheme="minorHAnsi" w:hAnsiTheme="minorHAnsi" w:cs="Times New Roman"/>
          <w:szCs w:val="22"/>
        </w:rPr>
        <w:t>Falling response rates over follow-up mean that apparent trends in comorbidities over time need to be interpreted with caution.  Any apparent decline in absolute numbers of individuals reporting comorbidities could be due to more unwell individuals withdrawing from the study.</w:t>
      </w:r>
    </w:p>
    <w:p w14:paraId="35648222" w14:textId="77777777" w:rsidR="00D926EB" w:rsidRDefault="00D926EB" w:rsidP="00A97B39">
      <w:pPr>
        <w:spacing w:line="480" w:lineRule="auto"/>
        <w:jc w:val="both"/>
        <w:rPr>
          <w:rFonts w:cs="Times New Roman"/>
          <w:bCs/>
          <w:u w:val="single"/>
        </w:rPr>
      </w:pPr>
      <w:r w:rsidRPr="00F03722">
        <w:rPr>
          <w:rFonts w:cs="Times New Roman"/>
          <w:bCs/>
          <w:u w:val="single"/>
        </w:rPr>
        <w:lastRenderedPageBreak/>
        <w:t>Conclusions and Clinical Implications</w:t>
      </w:r>
    </w:p>
    <w:p w14:paraId="6BE10FA4" w14:textId="77777777" w:rsidR="00D926EB" w:rsidRPr="00F03722" w:rsidRDefault="00D926EB" w:rsidP="00A97B39">
      <w:pPr>
        <w:spacing w:line="480" w:lineRule="auto"/>
        <w:jc w:val="both"/>
        <w:rPr>
          <w:rFonts w:cs="Times New Roman"/>
          <w:iCs/>
        </w:rPr>
      </w:pPr>
      <w:r w:rsidRPr="00F03722">
        <w:rPr>
          <w:rFonts w:cs="Times New Roman"/>
        </w:rPr>
        <w:t xml:space="preserve">Our findings highlight the importance of identifying patient-reported presence and limitations of comorbidities, as important health and wellbeing predictors both during and beyond CRC treatment.  The stability in prevalence and severity of comorbidity, suggests that CRC patients at risk of poorer outcomes up to 5 years following a diagnosis, can be identified early, and appropriate support put in place.  As such, key consideration should be given to </w:t>
      </w:r>
      <w:r>
        <w:rPr>
          <w:rFonts w:cs="Times New Roman"/>
        </w:rPr>
        <w:t xml:space="preserve">optimising comorbidity management before CRC treatment and </w:t>
      </w:r>
      <w:r w:rsidRPr="00F03722">
        <w:rPr>
          <w:rFonts w:cs="Times New Roman"/>
        </w:rPr>
        <w:t xml:space="preserve">clinical follow-up that incorporates comorbidity assessment, is individualised, and takes place as soon as possible following a CRC diagnosis.  </w:t>
      </w:r>
    </w:p>
    <w:p w14:paraId="3421F6BF" w14:textId="77777777" w:rsidR="00D926EB" w:rsidRDefault="00D926EB" w:rsidP="00A97B39">
      <w:pPr>
        <w:spacing w:line="480" w:lineRule="auto"/>
        <w:jc w:val="both"/>
        <w:rPr>
          <w:rFonts w:cs="Times New Roman"/>
        </w:rPr>
      </w:pPr>
      <w:r>
        <w:rPr>
          <w:rFonts w:cs="Times New Roman"/>
        </w:rPr>
        <w:t>The International Society of Geriatric Oncology (SIOG) recommends geriatrician involvement in the management of cancer patients with comorbidities, and treatment decisions that consider comorbidities</w:t>
      </w:r>
      <w:r w:rsidRPr="00D66245">
        <w:rPr>
          <w:rFonts w:cs="Times New Roman"/>
          <w:noProof/>
          <w:vertAlign w:val="superscript"/>
        </w:rPr>
        <w:t>39</w:t>
      </w:r>
      <w:r>
        <w:rPr>
          <w:rFonts w:cs="Times New Roman"/>
        </w:rPr>
        <w:t xml:space="preserve">.  </w:t>
      </w:r>
      <w:r w:rsidRPr="00F03722">
        <w:rPr>
          <w:rFonts w:cs="Times New Roman"/>
        </w:rPr>
        <w:t>We propose that targeted interventions and support services, including multi-professional management and tailored assessment and follow-up, may aid recovery of health and wellbeing.</w:t>
      </w:r>
      <w:r>
        <w:rPr>
          <w:rFonts w:cs="Times New Roman"/>
        </w:rPr>
        <w:t xml:space="preserve">  </w:t>
      </w:r>
    </w:p>
    <w:p w14:paraId="1603D415" w14:textId="77777777" w:rsidR="00D926EB" w:rsidRPr="00F03722" w:rsidRDefault="00D926EB" w:rsidP="00A97B39">
      <w:pPr>
        <w:spacing w:line="480" w:lineRule="auto"/>
        <w:jc w:val="both"/>
        <w:rPr>
          <w:rFonts w:eastAsia="Times New Roman" w:cs="Times New Roman"/>
        </w:rPr>
      </w:pPr>
    </w:p>
    <w:p w14:paraId="2BEBE32D" w14:textId="77777777" w:rsidR="00D926EB" w:rsidRPr="00F03722" w:rsidRDefault="00D926EB" w:rsidP="00A97B39">
      <w:pPr>
        <w:spacing w:line="480" w:lineRule="auto"/>
        <w:jc w:val="both"/>
        <w:rPr>
          <w:rFonts w:cs="Times New Roman"/>
          <w:lang w:val="en"/>
        </w:rPr>
      </w:pPr>
      <w:r w:rsidRPr="00F03722">
        <w:rPr>
          <w:rFonts w:cs="Times New Roman"/>
          <w:lang w:val="en"/>
        </w:rPr>
        <w:t xml:space="preserve">CREW highlights the importance of including conditions such as musculoskeletal and mood disorders, and patient-reported limitations, in future clinical and research assessments of comorbidity.  The inclusion of self-reported </w:t>
      </w:r>
      <w:r w:rsidRPr="00F03722">
        <w:rPr>
          <w:rFonts w:cs="Times New Roman"/>
        </w:rPr>
        <w:t xml:space="preserve">health status in the </w:t>
      </w:r>
      <w:r w:rsidRPr="00F03722">
        <w:rPr>
          <w:rFonts w:cs="Times New Roman"/>
          <w:lang w:val="en"/>
        </w:rPr>
        <w:t>assessment of comorbid CRC patients, is a recommendation echoed by NICE multimorbidity guidance</w:t>
      </w:r>
      <w:r w:rsidRPr="00D66245">
        <w:rPr>
          <w:rFonts w:cs="Times New Roman"/>
          <w:noProof/>
          <w:vertAlign w:val="superscript"/>
        </w:rPr>
        <w:t>40</w:t>
      </w:r>
      <w:r w:rsidRPr="00F03722">
        <w:rPr>
          <w:rFonts w:cs="Times New Roman"/>
        </w:rPr>
        <w:t xml:space="preserve"> and could help to identify CRC patients at risk of reduced health and wellbeing.</w:t>
      </w:r>
    </w:p>
    <w:p w14:paraId="1376FC02" w14:textId="77777777" w:rsidR="00D926EB" w:rsidRPr="00F03722" w:rsidRDefault="00D926EB">
      <w:pPr>
        <w:rPr>
          <w:rFonts w:cs="Times New Roman"/>
        </w:rPr>
      </w:pPr>
      <w:r w:rsidRPr="00F03722">
        <w:rPr>
          <w:rFonts w:cs="Times New Roman"/>
        </w:rPr>
        <w:br w:type="page"/>
      </w:r>
    </w:p>
    <w:p w14:paraId="56AE9737" w14:textId="77777777" w:rsidR="00D926EB" w:rsidRPr="00F03722" w:rsidRDefault="00D926EB" w:rsidP="00A97B39">
      <w:pPr>
        <w:autoSpaceDE w:val="0"/>
        <w:autoSpaceDN w:val="0"/>
        <w:adjustRightInd w:val="0"/>
        <w:spacing w:after="0" w:line="480" w:lineRule="auto"/>
        <w:jc w:val="both"/>
        <w:rPr>
          <w:rFonts w:cs="Times New Roman"/>
        </w:rPr>
      </w:pPr>
      <w:r w:rsidRPr="00F03722">
        <w:rPr>
          <w:rFonts w:cs="Times New Roman"/>
          <w:b/>
          <w:bCs/>
        </w:rPr>
        <w:lastRenderedPageBreak/>
        <w:t xml:space="preserve">Acknowledgements: </w:t>
      </w:r>
      <w:r w:rsidRPr="00F03722">
        <w:rPr>
          <w:rFonts w:cs="Times New Roman"/>
        </w:rPr>
        <w:t>We thank all CREW study participants and recruiting Trusts; Carol Hill, Kerry Coleman, Bjoern Schukowsky, Christine May (</w:t>
      </w:r>
      <w:r>
        <w:rPr>
          <w:rFonts w:cs="Times New Roman"/>
        </w:rPr>
        <w:t>study support);</w:t>
      </w:r>
      <w:r w:rsidRPr="00F03722">
        <w:rPr>
          <w:rFonts w:cs="Times New Roman"/>
        </w:rPr>
        <w:t xml:space="preserve"> Matthew Breckons, Cassandra Powers, Alex Recio-Saucedo, Bina Nausheen, Ikumi Okamoto, Kim-Chivers Seymour, Joanne Haviland</w:t>
      </w:r>
      <w:r>
        <w:rPr>
          <w:rFonts w:cs="Times New Roman"/>
        </w:rPr>
        <w:t xml:space="preserve">, Natalia </w:t>
      </w:r>
      <w:r>
        <w:rPr>
          <w:lang w:val="en-US" w:eastAsia="en-GB"/>
        </w:rPr>
        <w:t>Permyakova</w:t>
      </w:r>
      <w:r w:rsidRPr="00F03722">
        <w:rPr>
          <w:rFonts w:cs="Times New Roman"/>
        </w:rPr>
        <w:t xml:space="preserve"> (researchers); Jo Clough, Alison Farmer (research partners). Members of the Study Advisory Committee: Jo Armes, Janis Baird, Andrew Bateman, Nick Beck, Graham Moon, Claire Hulme, Karen Poole, Susan Restorick-Banks, Paul Roderick, Claire Taylor, Jocelyn Walters, Fran Williams, Lynn Batehup, Jessica Corner and Deborah Fenlon.</w:t>
      </w:r>
    </w:p>
    <w:p w14:paraId="02EC058E" w14:textId="77777777" w:rsidR="00D926EB" w:rsidRPr="00F03722" w:rsidRDefault="00D926EB" w:rsidP="00A97B39">
      <w:pPr>
        <w:autoSpaceDE w:val="0"/>
        <w:autoSpaceDN w:val="0"/>
        <w:adjustRightInd w:val="0"/>
        <w:spacing w:after="0" w:line="480" w:lineRule="auto"/>
        <w:jc w:val="both"/>
        <w:rPr>
          <w:rFonts w:cs="Times New Roman"/>
        </w:rPr>
      </w:pPr>
    </w:p>
    <w:p w14:paraId="339DD3A1" w14:textId="77777777" w:rsidR="00D926EB" w:rsidRPr="00F03722" w:rsidRDefault="00D926EB" w:rsidP="00A97B39">
      <w:pPr>
        <w:spacing w:line="480" w:lineRule="auto"/>
        <w:jc w:val="both"/>
        <w:rPr>
          <w:rFonts w:cs="Times New Roman"/>
        </w:rPr>
      </w:pPr>
      <w:r w:rsidRPr="00F03722">
        <w:rPr>
          <w:rFonts w:cs="Times New Roman"/>
          <w:b/>
        </w:rPr>
        <w:t xml:space="preserve">Funding: </w:t>
      </w:r>
      <w:r w:rsidRPr="00F03722">
        <w:rPr>
          <w:rFonts w:cs="Times New Roman"/>
        </w:rPr>
        <w:t>CREW is funded by Macmillan Cancer Support; grant number 3546834.</w:t>
      </w:r>
    </w:p>
    <w:p w14:paraId="48CCA66D" w14:textId="77777777" w:rsidR="00D926EB" w:rsidRPr="00F03722" w:rsidRDefault="00D926EB" w:rsidP="00A97B39">
      <w:pPr>
        <w:spacing w:line="480" w:lineRule="auto"/>
        <w:jc w:val="both"/>
        <w:rPr>
          <w:rFonts w:cs="Times New Roman"/>
          <w:b/>
          <w:bCs/>
          <w:iCs/>
        </w:rPr>
      </w:pPr>
    </w:p>
    <w:p w14:paraId="6E197365" w14:textId="77777777" w:rsidR="00D926EB" w:rsidRPr="00F03722" w:rsidRDefault="00D926EB" w:rsidP="00A97B39">
      <w:pPr>
        <w:spacing w:line="480" w:lineRule="auto"/>
        <w:jc w:val="both"/>
        <w:rPr>
          <w:rFonts w:cs="Times New Roman"/>
          <w:bCs/>
          <w:iCs/>
        </w:rPr>
      </w:pPr>
      <w:r w:rsidRPr="00F03722">
        <w:rPr>
          <w:rFonts w:cs="Times New Roman"/>
          <w:b/>
          <w:bCs/>
          <w:iCs/>
        </w:rPr>
        <w:t>Conflict of interest:</w:t>
      </w:r>
      <w:r w:rsidRPr="00F03722">
        <w:rPr>
          <w:rFonts w:cs="Times New Roman"/>
          <w:bCs/>
          <w:iCs/>
        </w:rPr>
        <w:t xml:space="preserve"> </w:t>
      </w:r>
      <w:r>
        <w:rPr>
          <w:rFonts w:cs="Times New Roman"/>
          <w:bCs/>
          <w:iCs/>
        </w:rPr>
        <w:t xml:space="preserve">Professor Deborah Fenlon </w:t>
      </w:r>
      <w:r w:rsidRPr="00F03722">
        <w:t>has received an honorarium for teaching from Roche</w:t>
      </w:r>
      <w:r w:rsidRPr="00F03722">
        <w:rPr>
          <w:rFonts w:cs="Times New Roman"/>
          <w:bCs/>
          <w:iCs/>
        </w:rPr>
        <w:t xml:space="preserve">. </w:t>
      </w:r>
    </w:p>
    <w:p w14:paraId="616CD4B0" w14:textId="77777777" w:rsidR="00D926EB" w:rsidRPr="00F03722" w:rsidRDefault="00D926EB" w:rsidP="00A97B39">
      <w:pPr>
        <w:rPr>
          <w:rFonts w:cs="Times New Roman"/>
        </w:rPr>
      </w:pPr>
    </w:p>
    <w:p w14:paraId="27284C77" w14:textId="77777777" w:rsidR="00D926EB" w:rsidRPr="00F03722" w:rsidRDefault="00D926EB" w:rsidP="00A97B39">
      <w:pPr>
        <w:spacing w:after="0" w:line="480" w:lineRule="auto"/>
        <w:jc w:val="both"/>
        <w:rPr>
          <w:rFonts w:cs="Times New Roman"/>
          <w:bCs/>
          <w:iCs/>
        </w:rPr>
      </w:pPr>
      <w:r w:rsidRPr="00F03722">
        <w:rPr>
          <w:rFonts w:cs="Times New Roman"/>
          <w:b/>
          <w:bCs/>
          <w:iCs/>
        </w:rPr>
        <w:t>Ethical approval:</w:t>
      </w:r>
      <w:r w:rsidRPr="00F03722">
        <w:rPr>
          <w:rFonts w:cs="Times New Roman"/>
          <w:bCs/>
          <w:iCs/>
        </w:rPr>
        <w:t xml:space="preserve"> 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500A339E" w14:textId="77777777" w:rsidR="00D926EB" w:rsidRPr="00F03722" w:rsidRDefault="00D926EB" w:rsidP="00A97B39">
      <w:pPr>
        <w:spacing w:after="0" w:line="480" w:lineRule="auto"/>
        <w:jc w:val="both"/>
        <w:rPr>
          <w:rFonts w:cs="Times New Roman"/>
          <w:bCs/>
          <w:iCs/>
        </w:rPr>
      </w:pPr>
    </w:p>
    <w:p w14:paraId="326B0BB1" w14:textId="77777777" w:rsidR="00D926EB" w:rsidRPr="00F03722" w:rsidRDefault="00D926EB" w:rsidP="00A97B39">
      <w:pPr>
        <w:rPr>
          <w:rFonts w:cs="Times New Roman"/>
        </w:rPr>
      </w:pPr>
      <w:r w:rsidRPr="00F03722">
        <w:rPr>
          <w:rFonts w:cs="Times New Roman"/>
        </w:rPr>
        <w:br w:type="page"/>
      </w:r>
    </w:p>
    <w:p w14:paraId="4FAC503A" w14:textId="77777777" w:rsidR="0053751E" w:rsidRPr="00F03722" w:rsidRDefault="00D926EB" w:rsidP="0053751E">
      <w:pPr>
        <w:rPr>
          <w:b/>
        </w:rPr>
      </w:pPr>
      <w:r w:rsidRPr="00F03722">
        <w:rPr>
          <w:b/>
        </w:rPr>
        <w:lastRenderedPageBreak/>
        <w:t>REFERENCES</w:t>
      </w:r>
      <w:r w:rsidRPr="00F03722">
        <w:rPr>
          <w:b/>
        </w:rPr>
        <w:tab/>
      </w:r>
    </w:p>
    <w:p w14:paraId="208EB37D" w14:textId="77777777" w:rsidR="0053751E" w:rsidRPr="00D66245" w:rsidRDefault="0053751E" w:rsidP="0053751E">
      <w:pPr>
        <w:pStyle w:val="EndNoteBibliography"/>
        <w:spacing w:after="0"/>
        <w:ind w:left="720" w:hanging="720"/>
      </w:pPr>
      <w:r w:rsidRPr="00D66245">
        <w:t xml:space="preserve">1. GLOBOCAN. </w:t>
      </w:r>
      <w:r w:rsidRPr="00D66245">
        <w:rPr>
          <w:i/>
        </w:rPr>
        <w:t>Estimated Cancer Incidence, Mortality and Prevalence Worldwide in 2012</w:t>
      </w:r>
      <w:r w:rsidRPr="00D66245">
        <w:t xml:space="preserve">. </w:t>
      </w:r>
      <w:r w:rsidRPr="00D926EB">
        <w:t>http://globocan.iarc.fr/Pages/fact_sheets_cancer.aspx</w:t>
      </w:r>
      <w:r w:rsidRPr="00D66245">
        <w:t>.</w:t>
      </w:r>
    </w:p>
    <w:p w14:paraId="1D8883E6" w14:textId="77777777" w:rsidR="0053751E" w:rsidRPr="00D66245" w:rsidRDefault="0053751E" w:rsidP="0053751E">
      <w:pPr>
        <w:pStyle w:val="EndNoteBibliography"/>
        <w:ind w:left="720" w:hanging="720"/>
      </w:pPr>
      <w:r w:rsidRPr="00D66245">
        <w:t xml:space="preserve">2. NCI. National Cancer Institute. Cancer Stat Facts: Colon and Rectum Cancer </w:t>
      </w:r>
    </w:p>
    <w:p w14:paraId="1938DEF5" w14:textId="77777777" w:rsidR="0053751E" w:rsidRPr="00D66245" w:rsidRDefault="0053751E" w:rsidP="0053751E">
      <w:pPr>
        <w:pStyle w:val="EndNoteBibliography"/>
        <w:spacing w:after="0"/>
        <w:ind w:left="720" w:hanging="720"/>
      </w:pPr>
      <w:r w:rsidRPr="00D66245">
        <w:t>2016.</w:t>
      </w:r>
    </w:p>
    <w:p w14:paraId="35CE0CA9" w14:textId="77777777" w:rsidR="0053751E" w:rsidRPr="00D66245" w:rsidRDefault="0053751E" w:rsidP="0053751E">
      <w:pPr>
        <w:pStyle w:val="EndNoteBibliography"/>
        <w:spacing w:after="0"/>
        <w:ind w:left="720" w:hanging="720"/>
      </w:pPr>
      <w:r w:rsidRPr="00D66245">
        <w:t xml:space="preserve">3. ONS. Office for National Statistics. Cancer survival in England: Patients diagnosed between 2010 and 2014 and followed up to 2015. Available from: </w:t>
      </w:r>
      <w:r w:rsidRPr="00D926EB">
        <w:t>https://www.ons.gov.uk/peoplepopulationandcommunity/healthandsocialcare/conditionsanddiseases/bulletins/cancersurvivalinenglandadultsdiagnosed/2010and2014andfollowedupto2015</w:t>
      </w:r>
      <w:r w:rsidRPr="00D66245">
        <w:t>, 2016.</w:t>
      </w:r>
    </w:p>
    <w:p w14:paraId="3CC876F4" w14:textId="77777777" w:rsidR="0053751E" w:rsidRPr="00D66245" w:rsidRDefault="0053751E" w:rsidP="0053751E">
      <w:pPr>
        <w:pStyle w:val="EndNoteBibliography"/>
        <w:spacing w:after="0"/>
        <w:ind w:left="720" w:hanging="720"/>
      </w:pPr>
      <w:r w:rsidRPr="00D66245">
        <w:t xml:space="preserve">4. Parry C, Kent EE, Mariotto AB, Alfano CM, Rowland JH. Cancer survivors: a booming population. </w:t>
      </w:r>
      <w:r w:rsidRPr="00D66245">
        <w:rPr>
          <w:i/>
        </w:rPr>
        <w:t>Cancer Epidemiol Biomarkers Prev</w:t>
      </w:r>
      <w:r w:rsidRPr="00D66245">
        <w:t xml:space="preserve"> 2011;20(10):1996-2005.</w:t>
      </w:r>
    </w:p>
    <w:p w14:paraId="71883406" w14:textId="77777777" w:rsidR="0053751E" w:rsidRPr="00D66245" w:rsidRDefault="0053751E" w:rsidP="0053751E">
      <w:pPr>
        <w:pStyle w:val="EndNoteBibliography"/>
        <w:spacing w:after="0"/>
        <w:ind w:left="720" w:hanging="720"/>
      </w:pPr>
      <w:r w:rsidRPr="00D66245">
        <w:t xml:space="preserve">5. Feinstein AR. The Pre-Therapeutic Classification of Co-Morbidity in Chronic Disease. </w:t>
      </w:r>
      <w:r w:rsidRPr="00D66245">
        <w:rPr>
          <w:i/>
        </w:rPr>
        <w:t>J Chronic Dis</w:t>
      </w:r>
      <w:r w:rsidRPr="00D66245">
        <w:t xml:space="preserve"> 1970;23(7):455-68.</w:t>
      </w:r>
    </w:p>
    <w:p w14:paraId="1140ABAA" w14:textId="77777777" w:rsidR="0053751E" w:rsidRPr="00D66245" w:rsidRDefault="0053751E" w:rsidP="0053751E">
      <w:pPr>
        <w:pStyle w:val="EndNoteBibliography"/>
        <w:spacing w:after="0"/>
        <w:ind w:left="720" w:hanging="720"/>
      </w:pPr>
      <w:r w:rsidRPr="00D66245">
        <w:t xml:space="preserve">6. Janssen-Heijnen ML, Houterman S, Lemmens VE, Louwman MW, Coebergh JWW. Age and co-morbidity in cancer patients: a population-based approach </w:t>
      </w:r>
      <w:r w:rsidRPr="00D66245">
        <w:rPr>
          <w:i/>
        </w:rPr>
        <w:t>Biological Basis of Geriatric Oncology</w:t>
      </w:r>
      <w:r w:rsidRPr="00D66245">
        <w:t>: Springer; 2005 p89-107.</w:t>
      </w:r>
    </w:p>
    <w:p w14:paraId="7906585E" w14:textId="77777777" w:rsidR="0053751E" w:rsidRPr="00D66245" w:rsidRDefault="0053751E" w:rsidP="0053751E">
      <w:pPr>
        <w:pStyle w:val="EndNoteBibliography"/>
        <w:spacing w:after="0"/>
        <w:ind w:left="720" w:hanging="720"/>
      </w:pPr>
      <w:r w:rsidRPr="00D66245">
        <w:t xml:space="preserve">7. Edwards BK, Noone AM, Mariotto AB, Simard EP, Boscoe FP, Henley SJ, et al. Annual Report to the Nation on the status of cancer, 1975-2010, featuring prevalence of comorbidity and impact on survival among persons with lung, colorectal, breast, or prostate cancer. </w:t>
      </w:r>
      <w:r w:rsidRPr="00D66245">
        <w:rPr>
          <w:i/>
        </w:rPr>
        <w:t>Cancer</w:t>
      </w:r>
      <w:r w:rsidRPr="00D66245">
        <w:t xml:space="preserve"> 2014;120(9):1290-314.</w:t>
      </w:r>
    </w:p>
    <w:p w14:paraId="03791686" w14:textId="77777777" w:rsidR="0053751E" w:rsidRPr="00D66245" w:rsidRDefault="0053751E" w:rsidP="0053751E">
      <w:pPr>
        <w:pStyle w:val="EndNoteBibliography"/>
        <w:spacing w:after="0"/>
        <w:ind w:left="720" w:hanging="720"/>
      </w:pPr>
      <w:r w:rsidRPr="00D66245">
        <w:t xml:space="preserve">8. Vissers PA, Thong MS, Pouwer F, Zanders MM, Coebergh JW, van de Poll-Franse LV. The impact of comorbidity on Health-Related Quality of Life among cancer survivors: analyses of data from the PROFILES registry. </w:t>
      </w:r>
      <w:r w:rsidRPr="00D66245">
        <w:rPr>
          <w:i/>
        </w:rPr>
        <w:t>J Cancer Surviv</w:t>
      </w:r>
      <w:r w:rsidRPr="00D66245">
        <w:t xml:space="preserve"> 2013;7(4):602-13.</w:t>
      </w:r>
    </w:p>
    <w:p w14:paraId="5761B645" w14:textId="77777777" w:rsidR="0053751E" w:rsidRPr="00D66245" w:rsidRDefault="0053751E" w:rsidP="0053751E">
      <w:pPr>
        <w:pStyle w:val="EndNoteBibliography"/>
        <w:spacing w:after="0"/>
        <w:ind w:left="720" w:hanging="720"/>
      </w:pPr>
      <w:r w:rsidRPr="00D66245">
        <w:t xml:space="preserve">9. Downing A, Morris EJ, Richards M, Corner J, Wright P, Sebag-Montefiore D, et al. Health-related quality of life after colorectal cancer in England: a patient-reported outcomes study of individuals 12 to 36 months after diagnosis. </w:t>
      </w:r>
      <w:r w:rsidRPr="00D66245">
        <w:rPr>
          <w:i/>
        </w:rPr>
        <w:t>J Clin Oncol</w:t>
      </w:r>
      <w:r w:rsidRPr="00D66245">
        <w:t xml:space="preserve"> 2015;33(6):616-24.</w:t>
      </w:r>
    </w:p>
    <w:p w14:paraId="5A9A599E" w14:textId="77777777" w:rsidR="0053751E" w:rsidRPr="00D66245" w:rsidRDefault="0053751E" w:rsidP="0053751E">
      <w:pPr>
        <w:pStyle w:val="EndNoteBibliography"/>
        <w:spacing w:after="0"/>
        <w:ind w:left="720" w:hanging="720"/>
      </w:pPr>
      <w:r w:rsidRPr="00D66245">
        <w:t xml:space="preserve">10. Michelson H, Bolund C, Brandberg Y. Multiple chronic health problems are negatively associated with health related quality of life (HRQoL) irrespective of age. </w:t>
      </w:r>
      <w:r w:rsidRPr="00D66245">
        <w:rPr>
          <w:i/>
        </w:rPr>
        <w:t>Qual Life Res</w:t>
      </w:r>
      <w:r w:rsidRPr="00D66245">
        <w:t xml:space="preserve"> 2000;9(10):1093-104.</w:t>
      </w:r>
    </w:p>
    <w:p w14:paraId="6E6CF975" w14:textId="77777777" w:rsidR="0053751E" w:rsidRPr="00D66245" w:rsidRDefault="0053751E" w:rsidP="0053751E">
      <w:pPr>
        <w:pStyle w:val="EndNoteBibliography"/>
        <w:spacing w:after="0"/>
        <w:ind w:left="720" w:hanging="720"/>
      </w:pPr>
      <w:r w:rsidRPr="00D66245">
        <w:t xml:space="preserve">11. Elliott J, Fallows A, Staetsky L, Smith PW, Foster CL, Maher EJ, et al. The health and well-being of cancer survivors in the UK: findings from a population-based survey. </w:t>
      </w:r>
      <w:r w:rsidRPr="00D66245">
        <w:rPr>
          <w:i/>
        </w:rPr>
        <w:t>Br J Cancer</w:t>
      </w:r>
      <w:r w:rsidRPr="00D66245">
        <w:t xml:space="preserve"> 2011;105 Suppl 1:S11-20.</w:t>
      </w:r>
    </w:p>
    <w:p w14:paraId="65AAEF65" w14:textId="77777777" w:rsidR="0053751E" w:rsidRPr="00D66245" w:rsidRDefault="0053751E" w:rsidP="0053751E">
      <w:pPr>
        <w:pStyle w:val="EndNoteBibliography"/>
        <w:spacing w:after="0"/>
        <w:ind w:left="720" w:hanging="720"/>
      </w:pPr>
      <w:r w:rsidRPr="00D66245">
        <w:t xml:space="preserve">12. Ramsey SD, Berry K, Moinpour C, Giedzinska A, Andersen MR. Quality of life in long term survivors of colorectal cancer. </w:t>
      </w:r>
      <w:r w:rsidRPr="00D66245">
        <w:rPr>
          <w:i/>
        </w:rPr>
        <w:t>Am J Gastroenterol</w:t>
      </w:r>
      <w:r w:rsidRPr="00D66245">
        <w:t xml:space="preserve"> 2002;97(5):1228-34.</w:t>
      </w:r>
    </w:p>
    <w:p w14:paraId="69AED320" w14:textId="77777777" w:rsidR="0053751E" w:rsidRPr="00D66245" w:rsidRDefault="0053751E" w:rsidP="0053751E">
      <w:pPr>
        <w:pStyle w:val="EndNoteBibliography"/>
        <w:spacing w:after="0"/>
        <w:ind w:left="720" w:hanging="720"/>
      </w:pPr>
      <w:r w:rsidRPr="00D66245">
        <w:t xml:space="preserve">13. Naik AD, Uy N, Anaya DA, Moye J. The effects of age, education, and treatment on physical, sexual and body concern symptoms among multimorbid, colorectal cancer survivors. </w:t>
      </w:r>
      <w:r w:rsidRPr="00D66245">
        <w:rPr>
          <w:i/>
        </w:rPr>
        <w:t>J Geriatr Oncol</w:t>
      </w:r>
      <w:r w:rsidRPr="00D66245">
        <w:t xml:space="preserve"> 2015;6(4):299-306.</w:t>
      </w:r>
    </w:p>
    <w:p w14:paraId="72E65FDE" w14:textId="77777777" w:rsidR="0053751E" w:rsidRPr="00D66245" w:rsidRDefault="0053751E" w:rsidP="0053751E">
      <w:pPr>
        <w:pStyle w:val="EndNoteBibliography"/>
        <w:spacing w:after="0"/>
        <w:ind w:left="720" w:hanging="720"/>
      </w:pPr>
      <w:r w:rsidRPr="00D66245">
        <w:t xml:space="preserve">14. Kurtz ME, Kurtz JC, Stommel M, Given CW, Given B. Predictors of depressive symptomatology of geriatric patients with colorectal cancer: a longitudinal view. </w:t>
      </w:r>
      <w:r w:rsidRPr="00D66245">
        <w:rPr>
          <w:i/>
        </w:rPr>
        <w:t>Support Care Cancer</w:t>
      </w:r>
      <w:r w:rsidRPr="00D66245">
        <w:t xml:space="preserve"> 2002;10(6):494-501.</w:t>
      </w:r>
    </w:p>
    <w:p w14:paraId="0AF8C169" w14:textId="77777777" w:rsidR="0053751E" w:rsidRPr="00D66245" w:rsidRDefault="0053751E" w:rsidP="0053751E">
      <w:pPr>
        <w:pStyle w:val="EndNoteBibliography"/>
        <w:spacing w:after="0"/>
        <w:ind w:left="720" w:hanging="720"/>
      </w:pPr>
      <w:r w:rsidRPr="00D66245">
        <w:t xml:space="preserve">15. Trentham-Dietz A, Remington PL, Moinpour CM, Hampton JM, Sapp AL, Newcomb PA. Health-related quality of life in female long-term colorectal cancer survivors. </w:t>
      </w:r>
      <w:r w:rsidRPr="00D66245">
        <w:rPr>
          <w:i/>
        </w:rPr>
        <w:t>Oncologist</w:t>
      </w:r>
      <w:r w:rsidRPr="00D66245">
        <w:t xml:space="preserve"> 2003;8(4):342-9.</w:t>
      </w:r>
    </w:p>
    <w:p w14:paraId="04209311" w14:textId="77777777" w:rsidR="0053751E" w:rsidRPr="00D66245" w:rsidRDefault="0053751E" w:rsidP="0053751E">
      <w:pPr>
        <w:pStyle w:val="EndNoteBibliography"/>
        <w:spacing w:after="0"/>
        <w:ind w:left="720" w:hanging="720"/>
      </w:pPr>
      <w:r w:rsidRPr="00D66245">
        <w:t xml:space="preserve">16. Elliott BA, Renier CM, Haller IV, Elliott TE. Health-related quality of life (HRQoL) in patients with cancer and other concurrent illnesses. </w:t>
      </w:r>
      <w:r w:rsidRPr="00D66245">
        <w:rPr>
          <w:i/>
        </w:rPr>
        <w:t>Qual Life Res</w:t>
      </w:r>
      <w:r w:rsidRPr="00D66245">
        <w:t xml:space="preserve"> 2004;13(2):457-62.</w:t>
      </w:r>
    </w:p>
    <w:p w14:paraId="70B6B64F" w14:textId="77777777" w:rsidR="0053751E" w:rsidRPr="00D66245" w:rsidRDefault="0053751E" w:rsidP="0053751E">
      <w:pPr>
        <w:pStyle w:val="EndNoteBibliography"/>
        <w:spacing w:after="0"/>
        <w:ind w:left="720" w:hanging="720"/>
      </w:pPr>
      <w:r w:rsidRPr="00D66245">
        <w:t xml:space="preserve">17. Gray NM, Hall SJ, Browne S, Macleod U, Mitchell E, Lee AJ, et al. Modifiable and fixed factors predicting quality of life in people with colorectal cancer. </w:t>
      </w:r>
      <w:r w:rsidRPr="00D66245">
        <w:rPr>
          <w:i/>
        </w:rPr>
        <w:t>Br J Cancer</w:t>
      </w:r>
      <w:r w:rsidRPr="00D66245">
        <w:t xml:space="preserve"> 2011;104(11):1697-703.</w:t>
      </w:r>
    </w:p>
    <w:p w14:paraId="2C7CEB50" w14:textId="77777777" w:rsidR="0053751E" w:rsidRPr="00D66245" w:rsidRDefault="0053751E" w:rsidP="0053751E">
      <w:pPr>
        <w:pStyle w:val="EndNoteBibliography"/>
        <w:spacing w:after="0"/>
        <w:ind w:left="720" w:hanging="720"/>
      </w:pPr>
      <w:r w:rsidRPr="00D66245">
        <w:lastRenderedPageBreak/>
        <w:t xml:space="preserve">18. Husson O, Mols F, van de Poll-Franse LV, Thong MS. The course of fatigue and its correlates in colorectal cancer survivors: a prospective cohort study of the PROFILES registry. </w:t>
      </w:r>
      <w:r w:rsidRPr="00D66245">
        <w:rPr>
          <w:i/>
        </w:rPr>
        <w:t>Support Care Cancer</w:t>
      </w:r>
      <w:r w:rsidRPr="00D66245">
        <w:t xml:space="preserve"> 2015;23(11):3361-71.</w:t>
      </w:r>
    </w:p>
    <w:p w14:paraId="4F5C2438" w14:textId="77777777" w:rsidR="0053751E" w:rsidRPr="00D66245" w:rsidRDefault="0053751E" w:rsidP="0053751E">
      <w:pPr>
        <w:pStyle w:val="EndNoteBibliography"/>
        <w:spacing w:after="0"/>
        <w:ind w:left="720" w:hanging="720"/>
      </w:pPr>
      <w:r w:rsidRPr="00D66245">
        <w:t xml:space="preserve">19. Hornbrook MC, Wendel CS, Coons SJ, Grant M, Herrinton LJ, Mohler MJ, et al. Complications among colorectal cancer survivors: SF-6D preference-weighted quality of life scores. </w:t>
      </w:r>
      <w:r w:rsidRPr="00D66245">
        <w:rPr>
          <w:i/>
        </w:rPr>
        <w:t>Med Care</w:t>
      </w:r>
      <w:r w:rsidRPr="00D66245">
        <w:t xml:space="preserve"> 2011;49(3):321-6.</w:t>
      </w:r>
    </w:p>
    <w:p w14:paraId="1CE64F1D" w14:textId="77777777" w:rsidR="0053751E" w:rsidRPr="00E04987" w:rsidRDefault="0053751E" w:rsidP="0053751E">
      <w:pPr>
        <w:pStyle w:val="EndNoteBibliography"/>
        <w:spacing w:after="0"/>
        <w:ind w:left="720" w:hanging="720"/>
        <w:rPr>
          <w:lang w:val="it-IT"/>
        </w:rPr>
      </w:pPr>
      <w:r w:rsidRPr="00D66245">
        <w:t xml:space="preserve">20. Thong MS, Mols F, Wang XS, Lemmens VE, Smilde TJ, van de Poll-Franse LV. Quantifying fatigue in (long-term) colorectal cancer survivors: a study from the population-based patient reported outcomes following initial treatment and long term evaluation of survivorship registry. </w:t>
      </w:r>
      <w:r w:rsidRPr="00E04987">
        <w:rPr>
          <w:i/>
          <w:lang w:val="it-IT"/>
        </w:rPr>
        <w:t>Eur J Cancer</w:t>
      </w:r>
      <w:r w:rsidRPr="00E04987">
        <w:rPr>
          <w:lang w:val="it-IT"/>
        </w:rPr>
        <w:t xml:space="preserve"> 2013;49(8):1957-66.</w:t>
      </w:r>
    </w:p>
    <w:p w14:paraId="4A75CC0C" w14:textId="77777777" w:rsidR="0053751E" w:rsidRPr="00D66245" w:rsidRDefault="0053751E" w:rsidP="0053751E">
      <w:pPr>
        <w:pStyle w:val="EndNoteBibliography"/>
        <w:spacing w:after="0"/>
        <w:ind w:left="720" w:hanging="720"/>
      </w:pPr>
      <w:r w:rsidRPr="00E04987">
        <w:rPr>
          <w:lang w:val="it-IT"/>
        </w:rPr>
        <w:t xml:space="preserve">21. Charlson ME, Pompei P, Ales KL, MacKenzie CR. </w:t>
      </w:r>
      <w:r w:rsidRPr="00D66245">
        <w:t xml:space="preserve">A new method of classifying prognostic comorbidity in longitudinal studies: development and validation. </w:t>
      </w:r>
      <w:r w:rsidRPr="00D66245">
        <w:rPr>
          <w:i/>
        </w:rPr>
        <w:t>J Chronic Dis</w:t>
      </w:r>
      <w:r w:rsidRPr="00D66245">
        <w:t xml:space="preserve"> 1987;40(5):373-83.</w:t>
      </w:r>
    </w:p>
    <w:p w14:paraId="2421D143" w14:textId="77777777" w:rsidR="0053751E" w:rsidRPr="00D66245" w:rsidRDefault="0053751E" w:rsidP="0053751E">
      <w:pPr>
        <w:pStyle w:val="EndNoteBibliography"/>
        <w:spacing w:after="0"/>
        <w:ind w:left="720" w:hanging="720"/>
      </w:pPr>
      <w:r w:rsidRPr="00D66245">
        <w:t xml:space="preserve">22. Deshields TL, Potter P, Olsen S, Liu J. The persistence of symptom burden: symptom experience and quality of life of cancer patients across one year. </w:t>
      </w:r>
      <w:r w:rsidRPr="00D66245">
        <w:rPr>
          <w:i/>
        </w:rPr>
        <w:t>Support Care Cancer</w:t>
      </w:r>
      <w:r w:rsidRPr="00D66245">
        <w:t xml:space="preserve"> 2014;22(4):1089-96.</w:t>
      </w:r>
    </w:p>
    <w:p w14:paraId="4065B634" w14:textId="77777777" w:rsidR="0053751E" w:rsidRPr="00D66245" w:rsidRDefault="0053751E" w:rsidP="0053751E">
      <w:pPr>
        <w:pStyle w:val="EndNoteBibliography"/>
        <w:spacing w:after="0"/>
        <w:ind w:left="720" w:hanging="720"/>
      </w:pPr>
      <w:r w:rsidRPr="00D66245">
        <w:t xml:space="preserve">23. Astrup GL, Hofso K, Bjordal K, Guren MG, Vistad I, Cooper B, et al. Patient factors and quality of life outcomes differ among four subgroups of oncology patients based on symptom occurrence. </w:t>
      </w:r>
      <w:r w:rsidRPr="00D66245">
        <w:rPr>
          <w:i/>
        </w:rPr>
        <w:t>Acta Oncol</w:t>
      </w:r>
      <w:r w:rsidRPr="00D66245">
        <w:t xml:space="preserve"> 2017;56(3):462-70.</w:t>
      </w:r>
    </w:p>
    <w:p w14:paraId="190BD1F1" w14:textId="77777777" w:rsidR="0053751E" w:rsidRPr="00D66245" w:rsidRDefault="0053751E" w:rsidP="0053751E">
      <w:pPr>
        <w:pStyle w:val="EndNoteBibliography"/>
        <w:spacing w:after="0"/>
        <w:ind w:left="720" w:hanging="720"/>
      </w:pPr>
      <w:r w:rsidRPr="00D66245">
        <w:t xml:space="preserve">24. Vissers PA, Thong MS, Pouwer F, Creemers GJ, Slooter GD, van de Poll-Franse LV. Prospectively measured lifestyle factors and BMI explain differences in health-related quality of life between colorectal cancer patients with and without comorbid diabetes. </w:t>
      </w:r>
      <w:r w:rsidRPr="00D66245">
        <w:rPr>
          <w:i/>
        </w:rPr>
        <w:t>Support Care Cancer</w:t>
      </w:r>
      <w:r w:rsidRPr="00D66245">
        <w:t xml:space="preserve"> 2016;24(6):2591-601.</w:t>
      </w:r>
    </w:p>
    <w:p w14:paraId="7581D759" w14:textId="77777777" w:rsidR="0053751E" w:rsidRPr="00D66245" w:rsidRDefault="0053751E" w:rsidP="0053751E">
      <w:pPr>
        <w:pStyle w:val="EndNoteBibliography"/>
        <w:spacing w:after="0"/>
        <w:ind w:left="720" w:hanging="720"/>
      </w:pPr>
      <w:r w:rsidRPr="00D66245">
        <w:t xml:space="preserve">25. Fenlon D, Richardson A, Addington-Hall J, Smith P, Corner J, Winter J, et al. A cohort study of the recovery of health and wellbeing following colorectal cancer (CREW study): protocol paper. </w:t>
      </w:r>
      <w:r w:rsidRPr="00D66245">
        <w:rPr>
          <w:i/>
        </w:rPr>
        <w:t>BMC Health Serv Res</w:t>
      </w:r>
      <w:r w:rsidRPr="00D66245">
        <w:t xml:space="preserve"> 2012;12:90.</w:t>
      </w:r>
    </w:p>
    <w:p w14:paraId="112F7881" w14:textId="77777777" w:rsidR="0053751E" w:rsidRPr="00D66245" w:rsidRDefault="0053751E" w:rsidP="0053751E">
      <w:pPr>
        <w:pStyle w:val="EndNoteBibliography"/>
        <w:spacing w:after="0"/>
        <w:ind w:left="720" w:hanging="720"/>
      </w:pPr>
      <w:r w:rsidRPr="00D66245">
        <w:t xml:space="preserve">26. DCLG. Department for Communities and Local Government. The English Index of Multiple Deprivation (IMD) 2015 – Guidance. Available from: </w:t>
      </w:r>
      <w:r w:rsidRPr="00D926EB">
        <w:t>https://www.gov.uk/government/uploads/system/uploads/attachment_data/file/464430/English_Index_of_Multiple_Deprivation_2015_-_Guidance.pdf</w:t>
      </w:r>
      <w:r w:rsidRPr="00D66245">
        <w:t>. 2015.</w:t>
      </w:r>
    </w:p>
    <w:p w14:paraId="652EBA6A" w14:textId="77777777" w:rsidR="0053751E" w:rsidRPr="00D66245" w:rsidRDefault="0053751E" w:rsidP="0053751E">
      <w:pPr>
        <w:pStyle w:val="EndNoteBibliography"/>
        <w:spacing w:after="0"/>
        <w:ind w:left="720" w:hanging="720"/>
      </w:pPr>
      <w:r w:rsidRPr="00D66245">
        <w:t xml:space="preserve">27. De-loyde KJ, Harrison JD, Durcinoska I, Shepherd HL, Solomon MJ, Young JM. Which information source is best? Concordance between patient report, clinician report and medical records of patient co-morbidity and adjuvant therapy health information. </w:t>
      </w:r>
      <w:r w:rsidRPr="00D66245">
        <w:rPr>
          <w:i/>
        </w:rPr>
        <w:t>J Eval Clin Pract</w:t>
      </w:r>
      <w:r w:rsidRPr="00D66245">
        <w:t xml:space="preserve"> 2015;21(2):339-46.</w:t>
      </w:r>
    </w:p>
    <w:p w14:paraId="4CB24E45" w14:textId="77777777" w:rsidR="0053751E" w:rsidRPr="00D66245" w:rsidRDefault="0053751E" w:rsidP="0053751E">
      <w:pPr>
        <w:pStyle w:val="EndNoteBibliography"/>
        <w:spacing w:after="0"/>
        <w:ind w:left="720" w:hanging="720"/>
      </w:pPr>
      <w:r w:rsidRPr="00D66245">
        <w:t xml:space="preserve">28. Sangha O, Stucki G, Liang MH, Fossel AH, Katz JN. The Self-Administered Comorbidity Questionnaire: a new method to assess comorbidity for clinical and health services research. </w:t>
      </w:r>
      <w:r w:rsidRPr="00D66245">
        <w:rPr>
          <w:i/>
        </w:rPr>
        <w:t>Arthritis Rheum</w:t>
      </w:r>
      <w:r w:rsidRPr="00D66245">
        <w:t xml:space="preserve"> 2003;49(2):156-63.</w:t>
      </w:r>
    </w:p>
    <w:p w14:paraId="6F719E21" w14:textId="77777777" w:rsidR="0053751E" w:rsidRPr="00D66245" w:rsidRDefault="0053751E" w:rsidP="0053751E">
      <w:pPr>
        <w:pStyle w:val="EndNoteBibliography"/>
        <w:spacing w:after="0"/>
        <w:ind w:left="720" w:hanging="720"/>
      </w:pPr>
      <w:r w:rsidRPr="00D66245">
        <w:t xml:space="preserve">29. Aaronson NK, Ahmedzai S, Bergman B, Bullinger M, Cull A, Duez NJ, et al. The European-Organization-for-Research-and-Treatment-of-Cancer Qlq-C30 - a Quality-of-Life Instrument for Use in International Clinical-Trials in Oncology. </w:t>
      </w:r>
      <w:r w:rsidRPr="00D66245">
        <w:rPr>
          <w:i/>
        </w:rPr>
        <w:t>Journal of the National Cancer Institute</w:t>
      </w:r>
      <w:r w:rsidRPr="00D66245">
        <w:t xml:space="preserve"> 1993;85(5):365-76.</w:t>
      </w:r>
    </w:p>
    <w:p w14:paraId="74CC5BDC" w14:textId="77777777" w:rsidR="0053751E" w:rsidRPr="00D66245" w:rsidRDefault="0053751E" w:rsidP="0053751E">
      <w:pPr>
        <w:pStyle w:val="EndNoteBibliography"/>
        <w:spacing w:after="0"/>
        <w:ind w:left="720" w:hanging="720"/>
      </w:pPr>
      <w:r w:rsidRPr="00D66245">
        <w:t xml:space="preserve">30. Whistance RN, Conroy T, Chie W, Costantini A, Sezer O, Koller M, et al. Clinical and psychometric validation of the EORTC QLQ-CR29 questionnaire module to assess health-related quality of life in patients with colorectal cancer. </w:t>
      </w:r>
      <w:r w:rsidRPr="00D66245">
        <w:rPr>
          <w:i/>
        </w:rPr>
        <w:t>Eur J Cancer</w:t>
      </w:r>
      <w:r w:rsidRPr="00D66245">
        <w:t xml:space="preserve"> 2009;45(17):3017-26.</w:t>
      </w:r>
    </w:p>
    <w:p w14:paraId="5EECFB22" w14:textId="77777777" w:rsidR="0053751E" w:rsidRPr="00D66245" w:rsidRDefault="0053751E" w:rsidP="0053751E">
      <w:pPr>
        <w:pStyle w:val="EndNoteBibliography"/>
        <w:spacing w:after="0"/>
        <w:ind w:left="720" w:hanging="720"/>
      </w:pPr>
      <w:r w:rsidRPr="00D66245">
        <w:t xml:space="preserve">31. Bailey CE, Tran Cao HS, Hu CY, Chang GJ, Feig BW, Rodriguez-Bigas MA, et al. Functional deficits and symptoms of long-term survivors of colorectal cancer treated by multimodality therapy differ by age at diagnosis. </w:t>
      </w:r>
      <w:r w:rsidRPr="00D66245">
        <w:rPr>
          <w:i/>
        </w:rPr>
        <w:t>J Gastrointest Surg</w:t>
      </w:r>
      <w:r w:rsidRPr="00D66245">
        <w:t xml:space="preserve"> 2015;19(1):180-8; discussio 88.</w:t>
      </w:r>
    </w:p>
    <w:p w14:paraId="446B3D10" w14:textId="77777777" w:rsidR="0053751E" w:rsidRPr="00D66245" w:rsidRDefault="0053751E" w:rsidP="0053751E">
      <w:pPr>
        <w:pStyle w:val="EndNoteBibliography"/>
        <w:spacing w:after="0"/>
        <w:ind w:left="720" w:hanging="720"/>
      </w:pPr>
      <w:r w:rsidRPr="00D66245">
        <w:t xml:space="preserve">32. Snyder CF, Blackford AL, Sussman J, Bainbridge D, Howell D, Seow HY, et al. Identifying changes in scores on the EORTC-QLQ-C30 representing a change in patients' supportive care needs. </w:t>
      </w:r>
      <w:r w:rsidRPr="00D66245">
        <w:rPr>
          <w:i/>
        </w:rPr>
        <w:t>Qual Life Res</w:t>
      </w:r>
      <w:r w:rsidRPr="00D66245">
        <w:t xml:space="preserve"> 2015;24(5):1207-16.</w:t>
      </w:r>
    </w:p>
    <w:p w14:paraId="6112765D" w14:textId="77777777" w:rsidR="0053751E" w:rsidRPr="00D66245" w:rsidRDefault="0053751E" w:rsidP="0053751E">
      <w:pPr>
        <w:pStyle w:val="EndNoteBibliography"/>
        <w:spacing w:after="0"/>
        <w:ind w:left="720" w:hanging="720"/>
      </w:pPr>
      <w:r w:rsidRPr="00D66245">
        <w:lastRenderedPageBreak/>
        <w:t xml:space="preserve">33. Leach CR, Bellizzi KM, Hurria A, Reeve BB. Is it my cancer or am i just getting older?: Impact of cancer on age-related health conditions of older cancer survivors. </w:t>
      </w:r>
      <w:r w:rsidRPr="00D66245">
        <w:rPr>
          <w:i/>
        </w:rPr>
        <w:t>Cancer</w:t>
      </w:r>
      <w:r w:rsidRPr="00D66245">
        <w:t xml:space="preserve"> 2016;122(12):1946-53.</w:t>
      </w:r>
    </w:p>
    <w:p w14:paraId="1C53A8AD" w14:textId="77777777" w:rsidR="0053751E" w:rsidRPr="00D66245" w:rsidRDefault="0053751E" w:rsidP="0053751E">
      <w:pPr>
        <w:pStyle w:val="EndNoteBibliography"/>
        <w:spacing w:after="0"/>
        <w:ind w:left="720" w:hanging="720"/>
      </w:pPr>
      <w:r w:rsidRPr="00D66245">
        <w:t xml:space="preserve">34. Wieldraaijer T, Duineveld LA, van Asselt KM, van Geloven AA, Bemelman WA, van Weert HC, et al. Follow-up of colon cancer patients; causes of distress and need for supportive care: Results from the ICARE Cohort Study. </w:t>
      </w:r>
      <w:r w:rsidRPr="00D66245">
        <w:rPr>
          <w:i/>
        </w:rPr>
        <w:t>Eur J Surg Oncol</w:t>
      </w:r>
      <w:r w:rsidRPr="00D66245">
        <w:t xml:space="preserve"> 2017;43(1):118-25.</w:t>
      </w:r>
    </w:p>
    <w:p w14:paraId="507AB4FC" w14:textId="77777777" w:rsidR="0053751E" w:rsidRPr="00D66245" w:rsidRDefault="0053751E" w:rsidP="0053751E">
      <w:pPr>
        <w:pStyle w:val="EndNoteBibliography"/>
        <w:spacing w:after="0"/>
        <w:ind w:left="720" w:hanging="720"/>
      </w:pPr>
      <w:r w:rsidRPr="00D66245">
        <w:t xml:space="preserve">35. Alonso J, Ferrer M, Gandek B, Ware JE, Jr., Aaronson NK, Mosconi P, et al. Health-related quality of life associated with chronic conditions in eight countries: results from the International Quality of Life Assessment (IQOLA) Project. </w:t>
      </w:r>
      <w:r w:rsidRPr="00D66245">
        <w:rPr>
          <w:i/>
        </w:rPr>
        <w:t>Qual Life Res</w:t>
      </w:r>
      <w:r w:rsidRPr="00D66245">
        <w:t xml:space="preserve"> 2004;13(2):283-98.</w:t>
      </w:r>
    </w:p>
    <w:p w14:paraId="0E7E13F9" w14:textId="77777777" w:rsidR="0053751E" w:rsidRPr="00D66245" w:rsidRDefault="0053751E" w:rsidP="0053751E">
      <w:pPr>
        <w:pStyle w:val="EndNoteBibliography"/>
        <w:spacing w:after="0"/>
        <w:ind w:left="720" w:hanging="720"/>
      </w:pPr>
      <w:r w:rsidRPr="00D66245">
        <w:t xml:space="preserve">36. Walling AM, Weeks JC, Kahn KL, Tisnado D, Keating NL, Dy SM, et al. Symptom prevalence in lung and colorectal cancer patients. </w:t>
      </w:r>
      <w:r w:rsidRPr="00D66245">
        <w:rPr>
          <w:i/>
        </w:rPr>
        <w:t>J Pain Symptom Manage</w:t>
      </w:r>
      <w:r w:rsidRPr="00D66245">
        <w:t xml:space="preserve"> 2015;49(2):192-202.</w:t>
      </w:r>
    </w:p>
    <w:p w14:paraId="15D0E491" w14:textId="77777777" w:rsidR="0053751E" w:rsidRPr="00D66245" w:rsidRDefault="0053751E" w:rsidP="0053751E">
      <w:pPr>
        <w:pStyle w:val="EndNoteBibliography"/>
        <w:spacing w:after="0"/>
        <w:ind w:left="720" w:hanging="720"/>
      </w:pPr>
      <w:r w:rsidRPr="00D66245">
        <w:t xml:space="preserve">37. Given CW, Given B, Azzouz F, Kozachik S, Stommel M. Predictors of pain and fatigue in the year following diagnosis among elderly cancer patients. </w:t>
      </w:r>
      <w:r w:rsidRPr="00D66245">
        <w:rPr>
          <w:i/>
        </w:rPr>
        <w:t>Journal Of Pain And Symptom Management</w:t>
      </w:r>
      <w:r w:rsidRPr="00D66245">
        <w:t xml:space="preserve"> 2001;21(6):456-66.</w:t>
      </w:r>
    </w:p>
    <w:p w14:paraId="09DD4F7E" w14:textId="77777777" w:rsidR="0053751E" w:rsidRPr="00D66245" w:rsidRDefault="0053751E" w:rsidP="0053751E">
      <w:pPr>
        <w:pStyle w:val="EndNoteBibliography"/>
        <w:spacing w:after="0"/>
        <w:ind w:left="720" w:hanging="720"/>
      </w:pPr>
      <w:r w:rsidRPr="00D66245">
        <w:t xml:space="preserve">38. Mols F, Lemmens V, Bosscha K, van den Broek W, Thong MS. Living with the physical and mental consequences of an ostomy: a study among 1-10-year rectal cancer survivors from the population-based PROFILES registry. </w:t>
      </w:r>
      <w:r w:rsidRPr="00D66245">
        <w:rPr>
          <w:i/>
        </w:rPr>
        <w:t>Psychooncology</w:t>
      </w:r>
      <w:r w:rsidRPr="00D66245">
        <w:t xml:space="preserve"> 2014;23(9):998-1004.</w:t>
      </w:r>
    </w:p>
    <w:p w14:paraId="0A3F4CD3" w14:textId="77777777" w:rsidR="0053751E" w:rsidRPr="00D66245" w:rsidRDefault="0053751E" w:rsidP="0053751E">
      <w:pPr>
        <w:pStyle w:val="EndNoteBibliography"/>
        <w:spacing w:after="0"/>
        <w:ind w:left="720" w:hanging="720"/>
      </w:pPr>
      <w:r w:rsidRPr="00A97B39">
        <w:t xml:space="preserve">39. Papamichael D, Audisio R, Horiot J-C, Glimelius B, Sastre J, Mitry E, et al. </w:t>
      </w:r>
      <w:r w:rsidRPr="00D66245">
        <w:t xml:space="preserve">Treatment of the elderly colorectal cancer patient: SIOG expert recommendations. </w:t>
      </w:r>
      <w:r w:rsidRPr="00D66245">
        <w:rPr>
          <w:i/>
        </w:rPr>
        <w:t>Annals of oncology</w:t>
      </w:r>
      <w:r w:rsidRPr="00D66245">
        <w:t xml:space="preserve"> 2008;20(1):5-16.</w:t>
      </w:r>
    </w:p>
    <w:p w14:paraId="3972E909" w14:textId="77777777" w:rsidR="0053751E" w:rsidRPr="00D66245" w:rsidRDefault="0053751E" w:rsidP="0053751E">
      <w:pPr>
        <w:pStyle w:val="EndNoteBibliography"/>
        <w:ind w:left="720" w:hanging="720"/>
      </w:pPr>
      <w:r w:rsidRPr="00D66245">
        <w:t xml:space="preserve">40. NICE. Multimorbidity: clinical assessment and management: NICE guideline short version  DRAFT for consultation (March 2016) </w:t>
      </w:r>
      <w:r w:rsidRPr="00D926EB">
        <w:t>https://www.nice.org.uk/guidance/GID-CGWAVE0704/documents/short-version-of-draft-guideline</w:t>
      </w:r>
      <w:r w:rsidRPr="00D66245">
        <w:t>. 2016.</w:t>
      </w:r>
    </w:p>
    <w:p w14:paraId="0862C275" w14:textId="77777777" w:rsidR="00D926EB" w:rsidRPr="00C76B48" w:rsidRDefault="00D926EB" w:rsidP="00A97B39">
      <w:pPr>
        <w:spacing w:line="480" w:lineRule="auto"/>
        <w:rPr>
          <w:i/>
        </w:rPr>
      </w:pPr>
    </w:p>
    <w:p w14:paraId="4FCAC138" w14:textId="77777777" w:rsidR="00D926EB" w:rsidRPr="00F03722" w:rsidRDefault="00D926EB" w:rsidP="00A97B39">
      <w:pPr>
        <w:spacing w:line="480" w:lineRule="auto"/>
      </w:pPr>
    </w:p>
    <w:p w14:paraId="30635C75" w14:textId="77777777" w:rsidR="00D926EB" w:rsidRPr="00F03722" w:rsidRDefault="00D926EB">
      <w:r w:rsidRPr="00F03722">
        <w:br w:type="page"/>
      </w:r>
    </w:p>
    <w:p w14:paraId="6EDEC98C" w14:textId="77777777" w:rsidR="00D926EB" w:rsidRPr="00F03722" w:rsidRDefault="00D926EB" w:rsidP="00A97B39">
      <w:pPr>
        <w:spacing w:after="0" w:line="480" w:lineRule="auto"/>
        <w:rPr>
          <w:rFonts w:ascii="Calibri" w:hAnsi="Calibri" w:cs="Times New Roman"/>
          <w:iCs/>
        </w:rPr>
      </w:pPr>
      <w:r w:rsidRPr="00F03722">
        <w:rPr>
          <w:rFonts w:ascii="Calibri" w:hAnsi="Calibri" w:cs="Times New Roman"/>
          <w:i/>
          <w:iCs/>
        </w:rPr>
        <w:lastRenderedPageBreak/>
        <w:t>Table 1.</w:t>
      </w:r>
      <w:r w:rsidRPr="00F03722">
        <w:rPr>
          <w:rFonts w:ascii="Calibri" w:hAnsi="Calibri" w:cs="Times New Roman"/>
          <w:iCs/>
        </w:rPr>
        <w:t xml:space="preserve">  Number of comorbidities and number </w:t>
      </w:r>
      <w:r>
        <w:rPr>
          <w:rFonts w:ascii="Calibri" w:hAnsi="Calibri" w:cs="Times New Roman"/>
          <w:iCs/>
        </w:rPr>
        <w:t>of limiting comorbidities</w:t>
      </w:r>
      <w:r w:rsidRPr="00F03722">
        <w:rPr>
          <w:rFonts w:ascii="Calibri" w:hAnsi="Calibri" w:cs="Times New Roman"/>
          <w:iCs/>
        </w:rPr>
        <w:t xml:space="preserve"> for the CREW cohort (reported at 3 months following primary </w:t>
      </w:r>
      <w:r>
        <w:rPr>
          <w:rFonts w:ascii="Calibri" w:hAnsi="Calibri" w:cs="Times New Roman"/>
          <w:iCs/>
        </w:rPr>
        <w:t xml:space="preserve">CRC </w:t>
      </w:r>
      <w:r w:rsidRPr="00F03722">
        <w:rPr>
          <w:rFonts w:ascii="Calibri" w:hAnsi="Calibri" w:cs="Times New Roman"/>
          <w:iCs/>
        </w:rPr>
        <w:t>surgery)</w:t>
      </w:r>
    </w:p>
    <w:tbl>
      <w:tblPr>
        <w:tblStyle w:val="TableGrid"/>
        <w:tblW w:w="5000" w:type="pct"/>
        <w:jc w:val="center"/>
        <w:tblLook w:val="04A0" w:firstRow="1" w:lastRow="0" w:firstColumn="1" w:lastColumn="0" w:noHBand="0" w:noVBand="1"/>
      </w:tblPr>
      <w:tblGrid>
        <w:gridCol w:w="2679"/>
        <w:gridCol w:w="1207"/>
        <w:gridCol w:w="3735"/>
        <w:gridCol w:w="1375"/>
      </w:tblGrid>
      <w:tr w:rsidR="00D926EB" w:rsidRPr="00F03722" w14:paraId="3CF91ED2" w14:textId="77777777" w:rsidTr="00A97B39">
        <w:trPr>
          <w:jc w:val="center"/>
        </w:trPr>
        <w:tc>
          <w:tcPr>
            <w:tcW w:w="1489" w:type="pct"/>
            <w:tcBorders>
              <w:top w:val="single" w:sz="12" w:space="0" w:color="auto"/>
              <w:left w:val="single" w:sz="12" w:space="0" w:color="auto"/>
              <w:bottom w:val="single" w:sz="4" w:space="0" w:color="auto"/>
              <w:right w:val="single" w:sz="4" w:space="0" w:color="auto"/>
            </w:tcBorders>
            <w:shd w:val="clear" w:color="auto" w:fill="F2F2F2" w:themeFill="background1" w:themeFillShade="F2"/>
            <w:hideMark/>
          </w:tcPr>
          <w:p w14:paraId="73E6DFEA" w14:textId="77777777" w:rsidR="00D926EB" w:rsidRPr="00F03722" w:rsidRDefault="00D926EB" w:rsidP="00A97B39">
            <w:pPr>
              <w:jc w:val="center"/>
              <w:rPr>
                <w:rFonts w:ascii="Times New Roman" w:hAnsi="Times New Roman" w:cs="Times New Roman"/>
                <w:b/>
                <w:bCs/>
                <w:sz w:val="20"/>
                <w:szCs w:val="20"/>
              </w:rPr>
            </w:pPr>
            <w:r w:rsidRPr="00F03722">
              <w:rPr>
                <w:rFonts w:ascii="Times New Roman" w:hAnsi="Times New Roman" w:cs="Times New Roman"/>
                <w:b/>
                <w:bCs/>
                <w:sz w:val="20"/>
                <w:szCs w:val="20"/>
              </w:rPr>
              <w:t>Number of comorbidities</w:t>
            </w:r>
          </w:p>
        </w:tc>
        <w:tc>
          <w:tcPr>
            <w:tcW w:w="671" w:type="pct"/>
            <w:tcBorders>
              <w:top w:val="single" w:sz="12" w:space="0" w:color="auto"/>
              <w:left w:val="single" w:sz="4" w:space="0" w:color="auto"/>
              <w:bottom w:val="single" w:sz="4" w:space="0" w:color="auto"/>
              <w:right w:val="single" w:sz="12" w:space="0" w:color="auto"/>
            </w:tcBorders>
            <w:shd w:val="clear" w:color="auto" w:fill="F2F2F2" w:themeFill="background1" w:themeFillShade="F2"/>
            <w:hideMark/>
          </w:tcPr>
          <w:p w14:paraId="7B290F1D" w14:textId="77777777" w:rsidR="00D926EB" w:rsidRPr="00F03722" w:rsidRDefault="00D926EB" w:rsidP="00A97B39">
            <w:pPr>
              <w:jc w:val="center"/>
              <w:rPr>
                <w:rFonts w:ascii="Times New Roman" w:hAnsi="Times New Roman" w:cs="Times New Roman"/>
                <w:b/>
                <w:bCs/>
                <w:sz w:val="20"/>
                <w:szCs w:val="20"/>
              </w:rPr>
            </w:pPr>
            <w:r w:rsidRPr="00F03722">
              <w:rPr>
                <w:rFonts w:ascii="Times New Roman" w:hAnsi="Times New Roman" w:cs="Times New Roman"/>
                <w:b/>
                <w:bCs/>
                <w:sz w:val="20"/>
                <w:szCs w:val="20"/>
              </w:rPr>
              <w:t>3 months</w:t>
            </w:r>
          </w:p>
          <w:p w14:paraId="7135B628" w14:textId="77777777" w:rsidR="00D926EB" w:rsidRPr="00F03722" w:rsidRDefault="00D926EB" w:rsidP="00A97B39">
            <w:pPr>
              <w:jc w:val="center"/>
              <w:rPr>
                <w:rFonts w:ascii="Times New Roman" w:hAnsi="Times New Roman" w:cs="Times New Roman"/>
                <w:b/>
                <w:bCs/>
                <w:sz w:val="20"/>
                <w:szCs w:val="20"/>
              </w:rPr>
            </w:pPr>
            <w:r>
              <w:rPr>
                <w:rFonts w:ascii="Times New Roman" w:hAnsi="Times New Roman" w:cs="Times New Roman"/>
                <w:b/>
                <w:bCs/>
                <w:sz w:val="20"/>
                <w:szCs w:val="20"/>
              </w:rPr>
              <w:t>n=659</w:t>
            </w:r>
          </w:p>
        </w:tc>
        <w:tc>
          <w:tcPr>
            <w:tcW w:w="2076" w:type="pct"/>
            <w:tcBorders>
              <w:top w:val="single" w:sz="12" w:space="0" w:color="auto"/>
              <w:left w:val="single" w:sz="12" w:space="0" w:color="auto"/>
              <w:bottom w:val="single" w:sz="4" w:space="0" w:color="auto"/>
              <w:right w:val="single" w:sz="4" w:space="0" w:color="auto"/>
            </w:tcBorders>
            <w:shd w:val="clear" w:color="auto" w:fill="F2F2F2" w:themeFill="background1" w:themeFillShade="F2"/>
            <w:hideMark/>
          </w:tcPr>
          <w:p w14:paraId="349A08A7" w14:textId="77777777" w:rsidR="00D926EB" w:rsidRPr="00F03722" w:rsidRDefault="00D926EB" w:rsidP="00A97B39">
            <w:pPr>
              <w:jc w:val="center"/>
              <w:rPr>
                <w:rFonts w:ascii="Times New Roman" w:hAnsi="Times New Roman" w:cs="Times New Roman"/>
                <w:b/>
                <w:bCs/>
                <w:sz w:val="20"/>
                <w:szCs w:val="20"/>
              </w:rPr>
            </w:pPr>
            <w:r w:rsidRPr="00F03722">
              <w:rPr>
                <w:rFonts w:ascii="Times New Roman" w:hAnsi="Times New Roman" w:cs="Times New Roman"/>
                <w:b/>
                <w:bCs/>
                <w:sz w:val="20"/>
                <w:szCs w:val="20"/>
              </w:rPr>
              <w:t xml:space="preserve">Number of </w:t>
            </w:r>
            <w:r>
              <w:rPr>
                <w:rFonts w:ascii="Times New Roman" w:hAnsi="Times New Roman" w:cs="Times New Roman"/>
                <w:b/>
                <w:bCs/>
                <w:sz w:val="20"/>
                <w:szCs w:val="20"/>
              </w:rPr>
              <w:t xml:space="preserve">limiting </w:t>
            </w:r>
            <w:r w:rsidRPr="00F03722">
              <w:rPr>
                <w:rFonts w:ascii="Times New Roman" w:hAnsi="Times New Roman" w:cs="Times New Roman"/>
                <w:b/>
                <w:bCs/>
                <w:sz w:val="20"/>
                <w:szCs w:val="20"/>
              </w:rPr>
              <w:t xml:space="preserve">comorbidities </w:t>
            </w:r>
          </w:p>
        </w:tc>
        <w:tc>
          <w:tcPr>
            <w:tcW w:w="764" w:type="pct"/>
            <w:tcBorders>
              <w:top w:val="single" w:sz="12" w:space="0" w:color="auto"/>
              <w:left w:val="single" w:sz="4" w:space="0" w:color="auto"/>
              <w:bottom w:val="single" w:sz="4" w:space="0" w:color="auto"/>
              <w:right w:val="single" w:sz="12" w:space="0" w:color="auto"/>
            </w:tcBorders>
            <w:shd w:val="clear" w:color="auto" w:fill="F2F2F2" w:themeFill="background1" w:themeFillShade="F2"/>
            <w:hideMark/>
          </w:tcPr>
          <w:p w14:paraId="144ACCB5" w14:textId="77777777" w:rsidR="00D926EB" w:rsidRPr="00F03722" w:rsidRDefault="00D926EB" w:rsidP="00A97B39">
            <w:pPr>
              <w:jc w:val="center"/>
              <w:rPr>
                <w:rFonts w:ascii="Times New Roman" w:hAnsi="Times New Roman" w:cs="Times New Roman"/>
                <w:b/>
                <w:bCs/>
                <w:sz w:val="20"/>
                <w:szCs w:val="20"/>
              </w:rPr>
            </w:pPr>
            <w:r w:rsidRPr="00F03722">
              <w:rPr>
                <w:rFonts w:ascii="Times New Roman" w:hAnsi="Times New Roman" w:cs="Times New Roman"/>
                <w:b/>
                <w:bCs/>
                <w:sz w:val="20"/>
                <w:szCs w:val="20"/>
              </w:rPr>
              <w:t>3 months</w:t>
            </w:r>
          </w:p>
          <w:p w14:paraId="149BEDA9" w14:textId="77777777" w:rsidR="00D926EB" w:rsidRPr="00F03722" w:rsidRDefault="00D926EB" w:rsidP="00A97B39">
            <w:pPr>
              <w:jc w:val="center"/>
              <w:rPr>
                <w:rFonts w:ascii="Times New Roman" w:hAnsi="Times New Roman" w:cs="Times New Roman"/>
                <w:b/>
                <w:bCs/>
                <w:sz w:val="20"/>
                <w:szCs w:val="20"/>
              </w:rPr>
            </w:pPr>
            <w:r>
              <w:rPr>
                <w:rFonts w:ascii="Times New Roman" w:hAnsi="Times New Roman" w:cs="Times New Roman"/>
                <w:b/>
                <w:bCs/>
                <w:sz w:val="20"/>
                <w:szCs w:val="20"/>
              </w:rPr>
              <w:t>n=476</w:t>
            </w:r>
          </w:p>
        </w:tc>
      </w:tr>
      <w:tr w:rsidR="00D926EB" w:rsidRPr="00F03722" w14:paraId="166091C4" w14:textId="77777777" w:rsidTr="00A97B39">
        <w:trPr>
          <w:jc w:val="center"/>
        </w:trPr>
        <w:tc>
          <w:tcPr>
            <w:tcW w:w="1489" w:type="pct"/>
            <w:tcBorders>
              <w:top w:val="single" w:sz="4" w:space="0" w:color="auto"/>
              <w:left w:val="single" w:sz="12" w:space="0" w:color="auto"/>
              <w:bottom w:val="single" w:sz="4" w:space="0" w:color="auto"/>
              <w:right w:val="single" w:sz="4" w:space="0" w:color="auto"/>
            </w:tcBorders>
            <w:hideMark/>
          </w:tcPr>
          <w:p w14:paraId="3C20417F"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0</w:t>
            </w:r>
          </w:p>
        </w:tc>
        <w:tc>
          <w:tcPr>
            <w:tcW w:w="671" w:type="pct"/>
            <w:tcBorders>
              <w:top w:val="single" w:sz="4" w:space="0" w:color="auto"/>
              <w:left w:val="single" w:sz="4" w:space="0" w:color="auto"/>
              <w:bottom w:val="single" w:sz="4" w:space="0" w:color="auto"/>
              <w:right w:val="single" w:sz="12" w:space="0" w:color="auto"/>
            </w:tcBorders>
            <w:hideMark/>
          </w:tcPr>
          <w:p w14:paraId="3C7D6B7F"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183 (27.7%)</w:t>
            </w:r>
          </w:p>
        </w:tc>
        <w:tc>
          <w:tcPr>
            <w:tcW w:w="2076" w:type="pct"/>
            <w:tcBorders>
              <w:top w:val="single" w:sz="4" w:space="0" w:color="auto"/>
              <w:left w:val="single" w:sz="12" w:space="0" w:color="auto"/>
              <w:bottom w:val="single" w:sz="4" w:space="0" w:color="auto"/>
              <w:right w:val="single" w:sz="4" w:space="0" w:color="auto"/>
            </w:tcBorders>
            <w:hideMark/>
          </w:tcPr>
          <w:p w14:paraId="3291B01E"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0</w:t>
            </w:r>
          </w:p>
        </w:tc>
        <w:tc>
          <w:tcPr>
            <w:tcW w:w="764" w:type="pct"/>
            <w:tcBorders>
              <w:top w:val="single" w:sz="4" w:space="0" w:color="auto"/>
              <w:left w:val="single" w:sz="4" w:space="0" w:color="auto"/>
              <w:bottom w:val="single" w:sz="4" w:space="0" w:color="auto"/>
              <w:right w:val="single" w:sz="12" w:space="0" w:color="auto"/>
            </w:tcBorders>
            <w:hideMark/>
          </w:tcPr>
          <w:p w14:paraId="1A1E4598"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249 (52.3%)</w:t>
            </w:r>
          </w:p>
        </w:tc>
      </w:tr>
      <w:tr w:rsidR="00D926EB" w:rsidRPr="00F03722" w14:paraId="08AB2C38" w14:textId="77777777" w:rsidTr="00A97B39">
        <w:trPr>
          <w:jc w:val="center"/>
        </w:trPr>
        <w:tc>
          <w:tcPr>
            <w:tcW w:w="1489" w:type="pct"/>
            <w:tcBorders>
              <w:top w:val="single" w:sz="4" w:space="0" w:color="auto"/>
              <w:left w:val="single" w:sz="12" w:space="0" w:color="auto"/>
              <w:bottom w:val="single" w:sz="4" w:space="0" w:color="auto"/>
              <w:right w:val="single" w:sz="4" w:space="0" w:color="auto"/>
            </w:tcBorders>
            <w:hideMark/>
          </w:tcPr>
          <w:p w14:paraId="11C4D2DD"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1</w:t>
            </w:r>
          </w:p>
        </w:tc>
        <w:tc>
          <w:tcPr>
            <w:tcW w:w="671" w:type="pct"/>
            <w:tcBorders>
              <w:top w:val="single" w:sz="4" w:space="0" w:color="auto"/>
              <w:left w:val="single" w:sz="4" w:space="0" w:color="auto"/>
              <w:bottom w:val="single" w:sz="4" w:space="0" w:color="auto"/>
              <w:right w:val="single" w:sz="12" w:space="0" w:color="auto"/>
            </w:tcBorders>
            <w:hideMark/>
          </w:tcPr>
          <w:p w14:paraId="46DA26C6"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211 (32.0%)</w:t>
            </w:r>
          </w:p>
        </w:tc>
        <w:tc>
          <w:tcPr>
            <w:tcW w:w="2076" w:type="pct"/>
            <w:tcBorders>
              <w:top w:val="single" w:sz="4" w:space="0" w:color="auto"/>
              <w:left w:val="single" w:sz="12" w:space="0" w:color="auto"/>
              <w:bottom w:val="single" w:sz="4" w:space="0" w:color="auto"/>
              <w:right w:val="single" w:sz="4" w:space="0" w:color="auto"/>
            </w:tcBorders>
            <w:hideMark/>
          </w:tcPr>
          <w:p w14:paraId="3A0E6680"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1</w:t>
            </w:r>
          </w:p>
        </w:tc>
        <w:tc>
          <w:tcPr>
            <w:tcW w:w="764" w:type="pct"/>
            <w:tcBorders>
              <w:top w:val="single" w:sz="4" w:space="0" w:color="auto"/>
              <w:left w:val="single" w:sz="4" w:space="0" w:color="auto"/>
              <w:bottom w:val="single" w:sz="4" w:space="0" w:color="auto"/>
              <w:right w:val="single" w:sz="12" w:space="0" w:color="auto"/>
            </w:tcBorders>
            <w:hideMark/>
          </w:tcPr>
          <w:p w14:paraId="557F1DE8"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115 (24.2%)</w:t>
            </w:r>
          </w:p>
        </w:tc>
      </w:tr>
      <w:tr w:rsidR="00D926EB" w:rsidRPr="00F03722" w14:paraId="45C5B657" w14:textId="77777777" w:rsidTr="00A97B39">
        <w:trPr>
          <w:trHeight w:val="525"/>
          <w:jc w:val="center"/>
        </w:trPr>
        <w:tc>
          <w:tcPr>
            <w:tcW w:w="1489" w:type="pct"/>
            <w:tcBorders>
              <w:top w:val="single" w:sz="4" w:space="0" w:color="auto"/>
              <w:left w:val="single" w:sz="12" w:space="0" w:color="auto"/>
              <w:bottom w:val="single" w:sz="4" w:space="0" w:color="auto"/>
              <w:right w:val="single" w:sz="4" w:space="0" w:color="auto"/>
            </w:tcBorders>
            <w:hideMark/>
          </w:tcPr>
          <w:p w14:paraId="29CC1924"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2</w:t>
            </w:r>
          </w:p>
        </w:tc>
        <w:tc>
          <w:tcPr>
            <w:tcW w:w="671" w:type="pct"/>
            <w:tcBorders>
              <w:top w:val="single" w:sz="4" w:space="0" w:color="auto"/>
              <w:left w:val="single" w:sz="4" w:space="0" w:color="auto"/>
              <w:bottom w:val="single" w:sz="4" w:space="0" w:color="auto"/>
              <w:right w:val="single" w:sz="12" w:space="0" w:color="auto"/>
            </w:tcBorders>
            <w:hideMark/>
          </w:tcPr>
          <w:p w14:paraId="15ED47C8"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150 (22.8%)</w:t>
            </w:r>
          </w:p>
        </w:tc>
        <w:tc>
          <w:tcPr>
            <w:tcW w:w="2076" w:type="pct"/>
            <w:tcBorders>
              <w:top w:val="single" w:sz="4" w:space="0" w:color="auto"/>
              <w:left w:val="single" w:sz="12" w:space="0" w:color="auto"/>
              <w:bottom w:val="single" w:sz="4" w:space="0" w:color="auto"/>
              <w:right w:val="single" w:sz="4" w:space="0" w:color="auto"/>
            </w:tcBorders>
            <w:hideMark/>
          </w:tcPr>
          <w:p w14:paraId="4AE784FE" w14:textId="77777777" w:rsidR="00D926EB" w:rsidRPr="00F03722" w:rsidRDefault="00D926EB" w:rsidP="00A97B39">
            <w:pPr>
              <w:jc w:val="center"/>
              <w:rPr>
                <w:rFonts w:ascii="Times New Roman" w:hAnsi="Times New Roman" w:cs="Times New Roman"/>
                <w:sz w:val="20"/>
                <w:szCs w:val="20"/>
                <w:u w:val="single"/>
              </w:rPr>
            </w:pPr>
            <w:r w:rsidRPr="00F03722">
              <w:rPr>
                <w:rFonts w:ascii="Times New Roman" w:hAnsi="Times New Roman" w:cs="Times New Roman"/>
                <w:sz w:val="20"/>
                <w:szCs w:val="20"/>
                <w:u w:val="single"/>
              </w:rPr>
              <w:t>&gt;</w:t>
            </w:r>
            <w:r w:rsidRPr="00F03722">
              <w:rPr>
                <w:rFonts w:ascii="Times New Roman" w:hAnsi="Times New Roman" w:cs="Times New Roman"/>
                <w:sz w:val="20"/>
                <w:szCs w:val="20"/>
              </w:rPr>
              <w:t>2</w:t>
            </w:r>
          </w:p>
        </w:tc>
        <w:tc>
          <w:tcPr>
            <w:tcW w:w="764" w:type="pct"/>
            <w:tcBorders>
              <w:top w:val="single" w:sz="4" w:space="0" w:color="auto"/>
              <w:left w:val="single" w:sz="4" w:space="0" w:color="auto"/>
              <w:bottom w:val="single" w:sz="4" w:space="0" w:color="auto"/>
              <w:right w:val="single" w:sz="12" w:space="0" w:color="auto"/>
            </w:tcBorders>
            <w:hideMark/>
          </w:tcPr>
          <w:p w14:paraId="2EE5ED19"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62 (13.0%)</w:t>
            </w:r>
          </w:p>
        </w:tc>
      </w:tr>
      <w:tr w:rsidR="00D926EB" w:rsidRPr="00F03722" w14:paraId="2E0467F8" w14:textId="77777777" w:rsidTr="00A97B39">
        <w:trPr>
          <w:jc w:val="center"/>
        </w:trPr>
        <w:tc>
          <w:tcPr>
            <w:tcW w:w="1489" w:type="pct"/>
            <w:tcBorders>
              <w:top w:val="single" w:sz="4" w:space="0" w:color="auto"/>
              <w:left w:val="single" w:sz="12" w:space="0" w:color="auto"/>
              <w:bottom w:val="single" w:sz="4" w:space="0" w:color="auto"/>
              <w:right w:val="single" w:sz="4" w:space="0" w:color="auto"/>
            </w:tcBorders>
            <w:hideMark/>
          </w:tcPr>
          <w:p w14:paraId="4CF114C7"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u w:val="single"/>
              </w:rPr>
              <w:t>&gt;</w:t>
            </w:r>
            <w:r w:rsidRPr="00F03722">
              <w:rPr>
                <w:rFonts w:ascii="Times New Roman" w:hAnsi="Times New Roman" w:cs="Times New Roman"/>
                <w:sz w:val="20"/>
                <w:szCs w:val="20"/>
              </w:rPr>
              <w:t>3</w:t>
            </w:r>
          </w:p>
        </w:tc>
        <w:tc>
          <w:tcPr>
            <w:tcW w:w="671" w:type="pct"/>
            <w:tcBorders>
              <w:top w:val="single" w:sz="4" w:space="0" w:color="auto"/>
              <w:left w:val="single" w:sz="4" w:space="0" w:color="auto"/>
              <w:bottom w:val="single" w:sz="4" w:space="0" w:color="auto"/>
              <w:right w:val="single" w:sz="12" w:space="0" w:color="auto"/>
            </w:tcBorders>
            <w:hideMark/>
          </w:tcPr>
          <w:p w14:paraId="57B6E2B8"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115 (17.4%)</w:t>
            </w:r>
          </w:p>
        </w:tc>
        <w:tc>
          <w:tcPr>
            <w:tcW w:w="2076" w:type="pct"/>
            <w:tcBorders>
              <w:top w:val="single" w:sz="4" w:space="0" w:color="auto"/>
              <w:left w:val="single" w:sz="12" w:space="0" w:color="auto"/>
              <w:bottom w:val="single" w:sz="4" w:space="0" w:color="auto"/>
              <w:right w:val="single" w:sz="4" w:space="0" w:color="auto"/>
            </w:tcBorders>
            <w:hideMark/>
          </w:tcPr>
          <w:p w14:paraId="1E24912D" w14:textId="77777777" w:rsidR="00D926EB" w:rsidRPr="00F03722" w:rsidRDefault="00D926EB" w:rsidP="00A97B39">
            <w:pPr>
              <w:jc w:val="center"/>
              <w:rPr>
                <w:rFonts w:ascii="Times New Roman" w:hAnsi="Times New Roman" w:cs="Times New Roman"/>
                <w:i/>
                <w:sz w:val="20"/>
                <w:szCs w:val="20"/>
              </w:rPr>
            </w:pPr>
            <w:r w:rsidRPr="00F03722">
              <w:rPr>
                <w:rFonts w:ascii="Times New Roman" w:hAnsi="Times New Roman" w:cs="Times New Roman"/>
                <w:i/>
                <w:sz w:val="20"/>
                <w:szCs w:val="20"/>
              </w:rPr>
              <w:t>Missing data</w:t>
            </w:r>
          </w:p>
        </w:tc>
        <w:tc>
          <w:tcPr>
            <w:tcW w:w="764" w:type="pct"/>
            <w:tcBorders>
              <w:top w:val="single" w:sz="4" w:space="0" w:color="auto"/>
              <w:left w:val="single" w:sz="4" w:space="0" w:color="auto"/>
              <w:bottom w:val="single" w:sz="4" w:space="0" w:color="auto"/>
              <w:right w:val="single" w:sz="12" w:space="0" w:color="auto"/>
            </w:tcBorders>
            <w:hideMark/>
          </w:tcPr>
          <w:p w14:paraId="7BE22723"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50 (10.5%)</w:t>
            </w:r>
          </w:p>
        </w:tc>
      </w:tr>
      <w:tr w:rsidR="00D926EB" w:rsidRPr="00F03722" w14:paraId="0A32A35E" w14:textId="77777777" w:rsidTr="00A97B39">
        <w:trPr>
          <w:jc w:val="center"/>
        </w:trPr>
        <w:tc>
          <w:tcPr>
            <w:tcW w:w="1489" w:type="pct"/>
            <w:tcBorders>
              <w:top w:val="single" w:sz="4" w:space="0" w:color="auto"/>
              <w:left w:val="single" w:sz="12" w:space="0" w:color="auto"/>
              <w:bottom w:val="single" w:sz="12" w:space="0" w:color="auto"/>
              <w:right w:val="single" w:sz="4" w:space="0" w:color="auto"/>
            </w:tcBorders>
            <w:hideMark/>
          </w:tcPr>
          <w:p w14:paraId="7A15717A" w14:textId="77777777" w:rsidR="00D926EB" w:rsidRPr="00F03722" w:rsidRDefault="00D926EB" w:rsidP="00A97B39">
            <w:pPr>
              <w:jc w:val="center"/>
              <w:rPr>
                <w:rFonts w:ascii="Times New Roman" w:hAnsi="Times New Roman" w:cs="Times New Roman"/>
                <w:sz w:val="20"/>
                <w:szCs w:val="20"/>
              </w:rPr>
            </w:pPr>
            <w:r>
              <w:rPr>
                <w:rFonts w:ascii="Times New Roman" w:hAnsi="Times New Roman" w:cs="Times New Roman"/>
                <w:sz w:val="20"/>
                <w:szCs w:val="20"/>
              </w:rPr>
              <w:t>Presence of any comorbidities</w:t>
            </w:r>
          </w:p>
        </w:tc>
        <w:tc>
          <w:tcPr>
            <w:tcW w:w="671" w:type="pct"/>
            <w:tcBorders>
              <w:top w:val="single" w:sz="4" w:space="0" w:color="auto"/>
              <w:left w:val="single" w:sz="4" w:space="0" w:color="auto"/>
              <w:bottom w:val="single" w:sz="12" w:space="0" w:color="auto"/>
              <w:right w:val="single" w:sz="12" w:space="0" w:color="auto"/>
            </w:tcBorders>
            <w:hideMark/>
          </w:tcPr>
          <w:p w14:paraId="23AF541A"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476 (72.2%)</w:t>
            </w:r>
          </w:p>
        </w:tc>
        <w:tc>
          <w:tcPr>
            <w:tcW w:w="2076" w:type="pct"/>
            <w:tcBorders>
              <w:top w:val="single" w:sz="4" w:space="0" w:color="auto"/>
              <w:left w:val="single" w:sz="12" w:space="0" w:color="auto"/>
              <w:bottom w:val="single" w:sz="12" w:space="0" w:color="auto"/>
              <w:right w:val="single" w:sz="4" w:space="0" w:color="auto"/>
            </w:tcBorders>
            <w:hideMark/>
          </w:tcPr>
          <w:p w14:paraId="183A29D0" w14:textId="77777777" w:rsidR="00D926EB" w:rsidRPr="00F03722" w:rsidRDefault="00D926EB" w:rsidP="00A97B39">
            <w:pPr>
              <w:jc w:val="center"/>
              <w:rPr>
                <w:rFonts w:ascii="Times New Roman" w:hAnsi="Times New Roman" w:cs="Times New Roman"/>
                <w:sz w:val="20"/>
                <w:szCs w:val="20"/>
              </w:rPr>
            </w:pPr>
            <w:r>
              <w:rPr>
                <w:rFonts w:ascii="Times New Roman" w:hAnsi="Times New Roman" w:cs="Times New Roman"/>
                <w:sz w:val="20"/>
                <w:szCs w:val="20"/>
              </w:rPr>
              <w:t>Presence of any limiting comorbidities</w:t>
            </w:r>
          </w:p>
        </w:tc>
        <w:tc>
          <w:tcPr>
            <w:tcW w:w="764" w:type="pct"/>
            <w:tcBorders>
              <w:top w:val="single" w:sz="4" w:space="0" w:color="auto"/>
              <w:left w:val="single" w:sz="4" w:space="0" w:color="auto"/>
              <w:bottom w:val="single" w:sz="12" w:space="0" w:color="auto"/>
              <w:right w:val="single" w:sz="12" w:space="0" w:color="auto"/>
            </w:tcBorders>
            <w:hideMark/>
          </w:tcPr>
          <w:p w14:paraId="0A62C52A" w14:textId="77777777" w:rsidR="00D926EB" w:rsidRPr="00F03722" w:rsidRDefault="00D926EB" w:rsidP="00A97B39">
            <w:pPr>
              <w:jc w:val="center"/>
              <w:rPr>
                <w:rFonts w:ascii="Times New Roman" w:hAnsi="Times New Roman" w:cs="Times New Roman"/>
                <w:sz w:val="20"/>
                <w:szCs w:val="20"/>
              </w:rPr>
            </w:pPr>
            <w:r w:rsidRPr="00F03722">
              <w:rPr>
                <w:rFonts w:ascii="Times New Roman" w:hAnsi="Times New Roman" w:cs="Times New Roman"/>
                <w:sz w:val="20"/>
                <w:szCs w:val="20"/>
              </w:rPr>
              <w:t>177 (37.2%)</w:t>
            </w:r>
          </w:p>
        </w:tc>
      </w:tr>
    </w:tbl>
    <w:p w14:paraId="53B20F16" w14:textId="77777777" w:rsidR="00D926EB" w:rsidRPr="00F03722" w:rsidRDefault="00D926EB" w:rsidP="00A97B39"/>
    <w:p w14:paraId="70F992D6" w14:textId="77777777" w:rsidR="00D926EB" w:rsidRDefault="00D926EB" w:rsidP="00A97B39">
      <w:pPr>
        <w:rPr>
          <w:rFonts w:ascii="Calibri" w:hAnsi="Calibri" w:cs="Times New Roman"/>
          <w:b/>
        </w:rPr>
        <w:sectPr w:rsidR="00D926EB" w:rsidSect="00A97B39">
          <w:footerReference w:type="default" r:id="rId7"/>
          <w:pgSz w:w="11906" w:h="16838"/>
          <w:pgMar w:top="1440" w:right="1440" w:bottom="1440" w:left="1440" w:header="708" w:footer="708" w:gutter="0"/>
          <w:cols w:space="708"/>
          <w:docGrid w:linePitch="360"/>
        </w:sectPr>
      </w:pPr>
      <w:r w:rsidRPr="00F03722">
        <w:rPr>
          <w:rFonts w:ascii="Calibri" w:hAnsi="Calibri" w:cs="Times New Roman"/>
          <w:b/>
        </w:rPr>
        <w:br w:type="page"/>
      </w:r>
    </w:p>
    <w:p w14:paraId="3182FF66" w14:textId="77777777" w:rsidR="00D926EB" w:rsidRDefault="00D926EB" w:rsidP="00A97B39">
      <w:pPr>
        <w:rPr>
          <w:rFonts w:ascii="Calibri" w:hAnsi="Calibri" w:cs="Times New Roman"/>
        </w:rPr>
      </w:pPr>
      <w:r w:rsidRPr="00FF4A26">
        <w:rPr>
          <w:rFonts w:ascii="Calibri" w:hAnsi="Calibri" w:cs="Times New Roman"/>
          <w:i/>
        </w:rPr>
        <w:lastRenderedPageBreak/>
        <w:t>Table 2</w:t>
      </w:r>
      <w:r w:rsidRPr="00FF4A26">
        <w:rPr>
          <w:rFonts w:ascii="Calibri" w:hAnsi="Calibri" w:cs="Times New Roman"/>
        </w:rPr>
        <w:t xml:space="preserve">. </w:t>
      </w:r>
      <w:r w:rsidRPr="00A14E7D">
        <w:rPr>
          <w:rFonts w:ascii="Calibri" w:hAnsi="Calibri" w:cs="Times New Roman"/>
        </w:rPr>
        <w:t>Mean differences in EORTC subscale scores over follow-up between 3 and 60 months following surgery, estimated from multivariable regression models adjusted for age at baseline, time since surgery, comorbidity status and five most prevalent conditions</w:t>
      </w:r>
    </w:p>
    <w:tbl>
      <w:tblPr>
        <w:tblW w:w="14906" w:type="dxa"/>
        <w:tblInd w:w="-289" w:type="dxa"/>
        <w:tblLook w:val="04A0" w:firstRow="1" w:lastRow="0" w:firstColumn="1" w:lastColumn="0" w:noHBand="0" w:noVBand="1"/>
      </w:tblPr>
      <w:tblGrid>
        <w:gridCol w:w="3114"/>
        <w:gridCol w:w="1000"/>
        <w:gridCol w:w="1000"/>
        <w:gridCol w:w="1000"/>
        <w:gridCol w:w="1246"/>
        <w:gridCol w:w="1246"/>
        <w:gridCol w:w="1260"/>
        <w:gridCol w:w="1260"/>
        <w:gridCol w:w="1260"/>
        <w:gridCol w:w="1260"/>
        <w:gridCol w:w="1260"/>
      </w:tblGrid>
      <w:tr w:rsidR="00D926EB" w:rsidRPr="0078075C" w14:paraId="10014DDB" w14:textId="77777777" w:rsidTr="00A97B39">
        <w:trPr>
          <w:trHeight w:val="312"/>
        </w:trPr>
        <w:tc>
          <w:tcPr>
            <w:tcW w:w="311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98CB603"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Independent Variables</w:t>
            </w:r>
          </w:p>
        </w:tc>
        <w:tc>
          <w:tcPr>
            <w:tcW w:w="11792" w:type="dxa"/>
            <w:gridSpan w:val="10"/>
            <w:tcBorders>
              <w:top w:val="single" w:sz="4" w:space="0" w:color="auto"/>
              <w:left w:val="nil"/>
              <w:bottom w:val="single" w:sz="4" w:space="0" w:color="auto"/>
              <w:right w:val="single" w:sz="4" w:space="0" w:color="auto"/>
            </w:tcBorders>
            <w:shd w:val="clear" w:color="000000" w:fill="F2F2F2"/>
            <w:vAlign w:val="center"/>
            <w:hideMark/>
          </w:tcPr>
          <w:p w14:paraId="762F4F47" w14:textId="77777777" w:rsidR="00D926EB" w:rsidRPr="00FA182C" w:rsidRDefault="00D926EB" w:rsidP="00A97B39">
            <w:pPr>
              <w:spacing w:after="0" w:line="240" w:lineRule="auto"/>
              <w:jc w:val="center"/>
              <w:rPr>
                <w:rFonts w:ascii="Times New Roman" w:eastAsia="Times New Roman" w:hAnsi="Times New Roman" w:cs="Times New Roman"/>
                <w:b/>
                <w:bCs/>
                <w:color w:val="000000"/>
                <w:sz w:val="20"/>
                <w:szCs w:val="20"/>
                <w:lang w:val="fr-FR" w:eastAsia="en-GB"/>
              </w:rPr>
            </w:pPr>
            <w:r w:rsidRPr="00FA182C">
              <w:rPr>
                <w:rFonts w:ascii="Times New Roman" w:eastAsia="Times New Roman" w:hAnsi="Times New Roman" w:cs="Times New Roman"/>
                <w:b/>
                <w:bCs/>
                <w:color w:val="000000"/>
                <w:sz w:val="20"/>
                <w:szCs w:val="20"/>
                <w:lang w:val="fr-FR" w:eastAsia="en-GB"/>
              </w:rPr>
              <w:t xml:space="preserve">Dependent Variables: EORTC subscale scores </w:t>
            </w:r>
            <w:r w:rsidRPr="00FA182C">
              <w:rPr>
                <w:rFonts w:ascii="Times New Roman" w:eastAsia="Times New Roman" w:hAnsi="Times New Roman" w:cs="Times New Roman"/>
                <w:color w:val="000000"/>
                <w:sz w:val="20"/>
                <w:szCs w:val="20"/>
                <w:vertAlign w:val="superscript"/>
                <w:lang w:val="fr-FR" w:eastAsia="en-GB"/>
              </w:rPr>
              <w:t>1</w:t>
            </w:r>
          </w:p>
        </w:tc>
      </w:tr>
      <w:tr w:rsidR="00D926EB" w:rsidRPr="00A14E7D" w14:paraId="662457B3" w14:textId="77777777" w:rsidTr="00A97B39">
        <w:trPr>
          <w:trHeight w:val="1020"/>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D14962A" w14:textId="77777777" w:rsidR="00D926EB" w:rsidRPr="00FA182C" w:rsidRDefault="00D926EB" w:rsidP="00A97B39">
            <w:pPr>
              <w:spacing w:after="0" w:line="240" w:lineRule="auto"/>
              <w:rPr>
                <w:rFonts w:ascii="Times New Roman" w:eastAsia="Times New Roman" w:hAnsi="Times New Roman" w:cs="Times New Roman"/>
                <w:b/>
                <w:bCs/>
                <w:color w:val="000000"/>
                <w:sz w:val="20"/>
                <w:szCs w:val="20"/>
                <w:lang w:val="fr-FR" w:eastAsia="en-GB"/>
              </w:rPr>
            </w:pPr>
          </w:p>
        </w:tc>
        <w:tc>
          <w:tcPr>
            <w:tcW w:w="1000" w:type="dxa"/>
            <w:tcBorders>
              <w:top w:val="nil"/>
              <w:left w:val="nil"/>
              <w:bottom w:val="single" w:sz="4" w:space="0" w:color="auto"/>
              <w:right w:val="single" w:sz="4" w:space="0" w:color="auto"/>
            </w:tcBorders>
            <w:shd w:val="clear" w:color="000000" w:fill="F2F2F2"/>
            <w:vAlign w:val="center"/>
            <w:hideMark/>
          </w:tcPr>
          <w:p w14:paraId="39D1874D"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Global health status / QoL</w:t>
            </w:r>
            <w:r w:rsidRPr="0057369C">
              <w:rPr>
                <w:rFonts w:ascii="Times New Roman" w:eastAsia="Times New Roman" w:hAnsi="Times New Roman" w:cs="Times New Roman"/>
                <w:b/>
                <w:bCs/>
                <w:color w:val="000000"/>
                <w:sz w:val="20"/>
                <w:szCs w:val="20"/>
                <w:vertAlign w:val="superscript"/>
                <w:lang w:eastAsia="en-GB"/>
              </w:rPr>
              <w:t>2</w:t>
            </w:r>
          </w:p>
        </w:tc>
        <w:tc>
          <w:tcPr>
            <w:tcW w:w="1000" w:type="dxa"/>
            <w:tcBorders>
              <w:top w:val="nil"/>
              <w:left w:val="nil"/>
              <w:bottom w:val="single" w:sz="4" w:space="0" w:color="auto"/>
              <w:right w:val="single" w:sz="4" w:space="0" w:color="auto"/>
            </w:tcBorders>
            <w:shd w:val="clear" w:color="000000" w:fill="F2F2F2"/>
            <w:vAlign w:val="center"/>
            <w:hideMark/>
          </w:tcPr>
          <w:p w14:paraId="364057BC"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Fatigue</w:t>
            </w:r>
            <w:r w:rsidRPr="0057369C">
              <w:rPr>
                <w:rFonts w:ascii="Times New Roman" w:eastAsia="Times New Roman" w:hAnsi="Times New Roman" w:cs="Times New Roman"/>
                <w:b/>
                <w:bCs/>
                <w:color w:val="000000"/>
                <w:sz w:val="20"/>
                <w:szCs w:val="20"/>
                <w:vertAlign w:val="superscript"/>
                <w:lang w:eastAsia="en-GB"/>
              </w:rPr>
              <w:t>3</w:t>
            </w:r>
          </w:p>
        </w:tc>
        <w:tc>
          <w:tcPr>
            <w:tcW w:w="1000" w:type="dxa"/>
            <w:tcBorders>
              <w:top w:val="nil"/>
              <w:left w:val="nil"/>
              <w:bottom w:val="single" w:sz="4" w:space="0" w:color="auto"/>
              <w:right w:val="single" w:sz="4" w:space="0" w:color="auto"/>
            </w:tcBorders>
            <w:shd w:val="clear" w:color="000000" w:fill="F2F2F2"/>
            <w:vAlign w:val="center"/>
            <w:hideMark/>
          </w:tcPr>
          <w:p w14:paraId="5D729B11"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Pain</w:t>
            </w:r>
            <w:r w:rsidRPr="0057369C">
              <w:rPr>
                <w:rFonts w:ascii="Times New Roman" w:eastAsia="Times New Roman" w:hAnsi="Times New Roman" w:cs="Times New Roman"/>
                <w:b/>
                <w:bCs/>
                <w:color w:val="000000"/>
                <w:sz w:val="20"/>
                <w:szCs w:val="20"/>
                <w:vertAlign w:val="superscript"/>
                <w:lang w:eastAsia="en-GB"/>
              </w:rPr>
              <w:t>3</w:t>
            </w:r>
          </w:p>
        </w:tc>
        <w:tc>
          <w:tcPr>
            <w:tcW w:w="1246" w:type="dxa"/>
            <w:tcBorders>
              <w:top w:val="nil"/>
              <w:left w:val="nil"/>
              <w:bottom w:val="single" w:sz="4" w:space="0" w:color="auto"/>
              <w:right w:val="single" w:sz="4" w:space="0" w:color="auto"/>
            </w:tcBorders>
            <w:shd w:val="clear" w:color="000000" w:fill="F2F2F2"/>
            <w:vAlign w:val="center"/>
            <w:hideMark/>
          </w:tcPr>
          <w:p w14:paraId="10B3B7DE"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Urinary symptoms</w:t>
            </w:r>
            <w:r w:rsidRPr="0057369C">
              <w:rPr>
                <w:rFonts w:ascii="Times New Roman" w:eastAsia="Times New Roman" w:hAnsi="Times New Roman" w:cs="Times New Roman"/>
                <w:b/>
                <w:bCs/>
                <w:color w:val="000000"/>
                <w:sz w:val="20"/>
                <w:szCs w:val="20"/>
                <w:vertAlign w:val="superscript"/>
                <w:lang w:eastAsia="en-GB"/>
              </w:rPr>
              <w:t>3,4</w:t>
            </w:r>
          </w:p>
        </w:tc>
        <w:tc>
          <w:tcPr>
            <w:tcW w:w="1246" w:type="dxa"/>
            <w:tcBorders>
              <w:top w:val="nil"/>
              <w:left w:val="nil"/>
              <w:bottom w:val="single" w:sz="4" w:space="0" w:color="auto"/>
              <w:right w:val="single" w:sz="4" w:space="0" w:color="auto"/>
            </w:tcBorders>
            <w:shd w:val="clear" w:color="000000" w:fill="F2F2F2"/>
            <w:vAlign w:val="center"/>
            <w:hideMark/>
          </w:tcPr>
          <w:p w14:paraId="59A16736"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Bowel symptoms</w:t>
            </w:r>
            <w:r w:rsidRPr="0057369C">
              <w:rPr>
                <w:rFonts w:ascii="Times New Roman" w:eastAsia="Times New Roman" w:hAnsi="Times New Roman" w:cs="Times New Roman"/>
                <w:b/>
                <w:bCs/>
                <w:color w:val="000000"/>
                <w:sz w:val="20"/>
                <w:szCs w:val="20"/>
                <w:vertAlign w:val="superscript"/>
                <w:lang w:eastAsia="en-GB"/>
              </w:rPr>
              <w:t>3,5</w:t>
            </w:r>
          </w:p>
        </w:tc>
        <w:tc>
          <w:tcPr>
            <w:tcW w:w="1260" w:type="dxa"/>
            <w:tcBorders>
              <w:top w:val="nil"/>
              <w:left w:val="nil"/>
              <w:bottom w:val="single" w:sz="4" w:space="0" w:color="auto"/>
              <w:right w:val="single" w:sz="4" w:space="0" w:color="auto"/>
            </w:tcBorders>
            <w:shd w:val="clear" w:color="000000" w:fill="F2F2F2"/>
            <w:vAlign w:val="center"/>
            <w:hideMark/>
          </w:tcPr>
          <w:p w14:paraId="200158DD"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Physical functioning</w:t>
            </w:r>
            <w:r w:rsidRPr="0057369C">
              <w:rPr>
                <w:rFonts w:ascii="Times New Roman" w:eastAsia="Times New Roman" w:hAnsi="Times New Roman" w:cs="Times New Roman"/>
                <w:b/>
                <w:bCs/>
                <w:color w:val="000000"/>
                <w:sz w:val="20"/>
                <w:szCs w:val="20"/>
                <w:vertAlign w:val="superscript"/>
                <w:lang w:eastAsia="en-GB"/>
              </w:rPr>
              <w:t>2</w:t>
            </w:r>
          </w:p>
        </w:tc>
        <w:tc>
          <w:tcPr>
            <w:tcW w:w="1260" w:type="dxa"/>
            <w:tcBorders>
              <w:top w:val="nil"/>
              <w:left w:val="nil"/>
              <w:bottom w:val="single" w:sz="4" w:space="0" w:color="auto"/>
              <w:right w:val="single" w:sz="4" w:space="0" w:color="auto"/>
            </w:tcBorders>
            <w:shd w:val="clear" w:color="000000" w:fill="F2F2F2"/>
            <w:vAlign w:val="center"/>
            <w:hideMark/>
          </w:tcPr>
          <w:p w14:paraId="6EBACC62"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Role functioning</w:t>
            </w:r>
            <w:r w:rsidRPr="0057369C">
              <w:rPr>
                <w:rFonts w:ascii="Times New Roman" w:eastAsia="Times New Roman" w:hAnsi="Times New Roman" w:cs="Times New Roman"/>
                <w:b/>
                <w:bCs/>
                <w:color w:val="000000"/>
                <w:sz w:val="20"/>
                <w:szCs w:val="20"/>
                <w:vertAlign w:val="superscript"/>
                <w:lang w:eastAsia="en-GB"/>
              </w:rPr>
              <w:t>2</w:t>
            </w:r>
          </w:p>
        </w:tc>
        <w:tc>
          <w:tcPr>
            <w:tcW w:w="1260" w:type="dxa"/>
            <w:tcBorders>
              <w:top w:val="nil"/>
              <w:left w:val="nil"/>
              <w:bottom w:val="single" w:sz="4" w:space="0" w:color="auto"/>
              <w:right w:val="single" w:sz="4" w:space="0" w:color="auto"/>
            </w:tcBorders>
            <w:shd w:val="clear" w:color="000000" w:fill="F2F2F2"/>
            <w:vAlign w:val="center"/>
            <w:hideMark/>
          </w:tcPr>
          <w:p w14:paraId="0F3FAAFD"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Emotional functioning</w:t>
            </w:r>
            <w:r w:rsidRPr="0057369C">
              <w:rPr>
                <w:rFonts w:ascii="Times New Roman" w:eastAsia="Times New Roman" w:hAnsi="Times New Roman" w:cs="Times New Roman"/>
                <w:b/>
                <w:bCs/>
                <w:color w:val="000000"/>
                <w:sz w:val="20"/>
                <w:szCs w:val="20"/>
                <w:vertAlign w:val="superscript"/>
                <w:lang w:eastAsia="en-GB"/>
              </w:rPr>
              <w:t>2</w:t>
            </w:r>
          </w:p>
        </w:tc>
        <w:tc>
          <w:tcPr>
            <w:tcW w:w="1260" w:type="dxa"/>
            <w:tcBorders>
              <w:top w:val="nil"/>
              <w:left w:val="nil"/>
              <w:bottom w:val="single" w:sz="4" w:space="0" w:color="auto"/>
              <w:right w:val="single" w:sz="4" w:space="0" w:color="auto"/>
            </w:tcBorders>
            <w:shd w:val="clear" w:color="000000" w:fill="F2F2F2"/>
            <w:vAlign w:val="center"/>
            <w:hideMark/>
          </w:tcPr>
          <w:p w14:paraId="188F683B"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Cognitive functioning</w:t>
            </w:r>
            <w:r w:rsidRPr="0057369C">
              <w:rPr>
                <w:rFonts w:ascii="Times New Roman" w:eastAsia="Times New Roman" w:hAnsi="Times New Roman" w:cs="Times New Roman"/>
                <w:b/>
                <w:bCs/>
                <w:color w:val="000000"/>
                <w:sz w:val="20"/>
                <w:szCs w:val="20"/>
                <w:vertAlign w:val="superscript"/>
                <w:lang w:eastAsia="en-GB"/>
              </w:rPr>
              <w:t>2</w:t>
            </w:r>
          </w:p>
        </w:tc>
        <w:tc>
          <w:tcPr>
            <w:tcW w:w="1260" w:type="dxa"/>
            <w:tcBorders>
              <w:top w:val="nil"/>
              <w:left w:val="nil"/>
              <w:bottom w:val="single" w:sz="4" w:space="0" w:color="auto"/>
              <w:right w:val="single" w:sz="4" w:space="0" w:color="auto"/>
            </w:tcBorders>
            <w:shd w:val="clear" w:color="000000" w:fill="F2F2F2"/>
            <w:vAlign w:val="center"/>
            <w:hideMark/>
          </w:tcPr>
          <w:p w14:paraId="509E5B60"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Social functioning</w:t>
            </w:r>
            <w:r w:rsidRPr="0057369C">
              <w:rPr>
                <w:rFonts w:ascii="Times New Roman" w:eastAsia="Times New Roman" w:hAnsi="Times New Roman" w:cs="Times New Roman"/>
                <w:b/>
                <w:bCs/>
                <w:color w:val="000000"/>
                <w:sz w:val="20"/>
                <w:szCs w:val="20"/>
                <w:vertAlign w:val="superscript"/>
                <w:lang w:eastAsia="en-GB"/>
              </w:rPr>
              <w:t>2</w:t>
            </w:r>
          </w:p>
        </w:tc>
      </w:tr>
      <w:tr w:rsidR="00D926EB" w:rsidRPr="00A14E7D" w14:paraId="2F03FD14" w14:textId="77777777" w:rsidTr="00A97B39">
        <w:trPr>
          <w:trHeight w:val="285"/>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B456876"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p>
        </w:tc>
        <w:tc>
          <w:tcPr>
            <w:tcW w:w="1000" w:type="dxa"/>
            <w:tcBorders>
              <w:top w:val="nil"/>
              <w:left w:val="nil"/>
              <w:bottom w:val="single" w:sz="4" w:space="0" w:color="auto"/>
              <w:right w:val="single" w:sz="4" w:space="0" w:color="auto"/>
            </w:tcBorders>
            <w:shd w:val="clear" w:color="000000" w:fill="F2F2F2"/>
            <w:vAlign w:val="center"/>
            <w:hideMark/>
          </w:tcPr>
          <w:p w14:paraId="50C54910"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1</w:t>
            </w:r>
          </w:p>
        </w:tc>
        <w:tc>
          <w:tcPr>
            <w:tcW w:w="1000" w:type="dxa"/>
            <w:tcBorders>
              <w:top w:val="nil"/>
              <w:left w:val="nil"/>
              <w:bottom w:val="single" w:sz="4" w:space="0" w:color="auto"/>
              <w:right w:val="single" w:sz="4" w:space="0" w:color="auto"/>
            </w:tcBorders>
            <w:shd w:val="clear" w:color="000000" w:fill="F2F2F2"/>
            <w:vAlign w:val="center"/>
            <w:hideMark/>
          </w:tcPr>
          <w:p w14:paraId="3B90CE9E"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2</w:t>
            </w:r>
          </w:p>
        </w:tc>
        <w:tc>
          <w:tcPr>
            <w:tcW w:w="1000" w:type="dxa"/>
            <w:tcBorders>
              <w:top w:val="nil"/>
              <w:left w:val="nil"/>
              <w:bottom w:val="single" w:sz="4" w:space="0" w:color="auto"/>
              <w:right w:val="single" w:sz="4" w:space="0" w:color="auto"/>
            </w:tcBorders>
            <w:shd w:val="clear" w:color="000000" w:fill="F2F2F2"/>
            <w:vAlign w:val="center"/>
            <w:hideMark/>
          </w:tcPr>
          <w:p w14:paraId="3D535B24"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3</w:t>
            </w:r>
          </w:p>
        </w:tc>
        <w:tc>
          <w:tcPr>
            <w:tcW w:w="1246" w:type="dxa"/>
            <w:tcBorders>
              <w:top w:val="nil"/>
              <w:left w:val="nil"/>
              <w:bottom w:val="single" w:sz="4" w:space="0" w:color="auto"/>
              <w:right w:val="single" w:sz="4" w:space="0" w:color="auto"/>
            </w:tcBorders>
            <w:shd w:val="clear" w:color="000000" w:fill="F2F2F2"/>
            <w:vAlign w:val="center"/>
            <w:hideMark/>
          </w:tcPr>
          <w:p w14:paraId="41DC4274"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4</w:t>
            </w:r>
          </w:p>
        </w:tc>
        <w:tc>
          <w:tcPr>
            <w:tcW w:w="1246" w:type="dxa"/>
            <w:tcBorders>
              <w:top w:val="nil"/>
              <w:left w:val="nil"/>
              <w:bottom w:val="single" w:sz="4" w:space="0" w:color="auto"/>
              <w:right w:val="single" w:sz="4" w:space="0" w:color="auto"/>
            </w:tcBorders>
            <w:shd w:val="clear" w:color="000000" w:fill="F2F2F2"/>
            <w:vAlign w:val="center"/>
            <w:hideMark/>
          </w:tcPr>
          <w:p w14:paraId="39EE35D5"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5</w:t>
            </w:r>
          </w:p>
        </w:tc>
        <w:tc>
          <w:tcPr>
            <w:tcW w:w="1260" w:type="dxa"/>
            <w:tcBorders>
              <w:top w:val="nil"/>
              <w:left w:val="nil"/>
              <w:bottom w:val="single" w:sz="4" w:space="0" w:color="auto"/>
              <w:right w:val="single" w:sz="4" w:space="0" w:color="auto"/>
            </w:tcBorders>
            <w:shd w:val="clear" w:color="000000" w:fill="F2F2F2"/>
            <w:vAlign w:val="center"/>
            <w:hideMark/>
          </w:tcPr>
          <w:p w14:paraId="0293F01E"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6</w:t>
            </w:r>
          </w:p>
        </w:tc>
        <w:tc>
          <w:tcPr>
            <w:tcW w:w="1260" w:type="dxa"/>
            <w:tcBorders>
              <w:top w:val="nil"/>
              <w:left w:val="nil"/>
              <w:bottom w:val="single" w:sz="4" w:space="0" w:color="auto"/>
              <w:right w:val="single" w:sz="4" w:space="0" w:color="auto"/>
            </w:tcBorders>
            <w:shd w:val="clear" w:color="000000" w:fill="F2F2F2"/>
            <w:vAlign w:val="center"/>
            <w:hideMark/>
          </w:tcPr>
          <w:p w14:paraId="006F6A2C"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7</w:t>
            </w:r>
          </w:p>
        </w:tc>
        <w:tc>
          <w:tcPr>
            <w:tcW w:w="1260" w:type="dxa"/>
            <w:tcBorders>
              <w:top w:val="nil"/>
              <w:left w:val="nil"/>
              <w:bottom w:val="single" w:sz="4" w:space="0" w:color="auto"/>
              <w:right w:val="single" w:sz="4" w:space="0" w:color="auto"/>
            </w:tcBorders>
            <w:shd w:val="clear" w:color="000000" w:fill="F2F2F2"/>
            <w:vAlign w:val="center"/>
            <w:hideMark/>
          </w:tcPr>
          <w:p w14:paraId="4D48C119"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8</w:t>
            </w:r>
          </w:p>
        </w:tc>
        <w:tc>
          <w:tcPr>
            <w:tcW w:w="1260" w:type="dxa"/>
            <w:tcBorders>
              <w:top w:val="nil"/>
              <w:left w:val="nil"/>
              <w:bottom w:val="single" w:sz="4" w:space="0" w:color="auto"/>
              <w:right w:val="single" w:sz="4" w:space="0" w:color="auto"/>
            </w:tcBorders>
            <w:shd w:val="clear" w:color="000000" w:fill="F2F2F2"/>
            <w:vAlign w:val="center"/>
            <w:hideMark/>
          </w:tcPr>
          <w:p w14:paraId="7B24C5DF"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9</w:t>
            </w:r>
          </w:p>
        </w:tc>
        <w:tc>
          <w:tcPr>
            <w:tcW w:w="1260" w:type="dxa"/>
            <w:tcBorders>
              <w:top w:val="nil"/>
              <w:left w:val="nil"/>
              <w:bottom w:val="single" w:sz="4" w:space="0" w:color="auto"/>
              <w:right w:val="single" w:sz="4" w:space="0" w:color="auto"/>
            </w:tcBorders>
            <w:shd w:val="clear" w:color="000000" w:fill="F2F2F2"/>
            <w:vAlign w:val="center"/>
            <w:hideMark/>
          </w:tcPr>
          <w:p w14:paraId="4CC7FB64" w14:textId="77777777" w:rsidR="00D926EB" w:rsidRPr="0057369C" w:rsidRDefault="00D926EB" w:rsidP="00A97B39">
            <w:pPr>
              <w:spacing w:after="0" w:line="240" w:lineRule="auto"/>
              <w:jc w:val="center"/>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Model 10</w:t>
            </w:r>
          </w:p>
        </w:tc>
      </w:tr>
      <w:tr w:rsidR="00D926EB" w:rsidRPr="00A14E7D" w14:paraId="041CF26B"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4710A243"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1) Comorbidity status</w:t>
            </w:r>
            <w:r w:rsidRPr="0057369C">
              <w:rPr>
                <w:rFonts w:ascii="Times New Roman" w:eastAsia="Times New Roman" w:hAnsi="Times New Roman" w:cs="Times New Roman"/>
                <w:b/>
                <w:bCs/>
                <w:i/>
                <w:iCs/>
                <w:color w:val="000000"/>
                <w:sz w:val="20"/>
                <w:szCs w:val="20"/>
                <w:lang w:eastAsia="en-GB"/>
              </w:rPr>
              <w:t>:</w:t>
            </w:r>
          </w:p>
        </w:tc>
        <w:tc>
          <w:tcPr>
            <w:tcW w:w="1000" w:type="dxa"/>
            <w:tcBorders>
              <w:top w:val="nil"/>
              <w:left w:val="nil"/>
              <w:bottom w:val="single" w:sz="4" w:space="0" w:color="auto"/>
              <w:right w:val="single" w:sz="4" w:space="0" w:color="auto"/>
            </w:tcBorders>
            <w:shd w:val="clear" w:color="auto" w:fill="auto"/>
            <w:vAlign w:val="center"/>
            <w:hideMark/>
          </w:tcPr>
          <w:p w14:paraId="642DAE71"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478A178B"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17B5F7F4"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3AF617EB"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0E0068C4"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40BFEB3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1DB05A4E"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11851F5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3B0FADD0"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638BC54C"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r>
      <w:tr w:rsidR="00D926EB" w:rsidRPr="00A14E7D" w14:paraId="3EAFD84B"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658CA55F"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None (ref)</w:t>
            </w:r>
          </w:p>
        </w:tc>
        <w:tc>
          <w:tcPr>
            <w:tcW w:w="1000" w:type="dxa"/>
            <w:tcBorders>
              <w:top w:val="nil"/>
              <w:left w:val="nil"/>
              <w:bottom w:val="single" w:sz="4" w:space="0" w:color="auto"/>
              <w:right w:val="single" w:sz="4" w:space="0" w:color="auto"/>
            </w:tcBorders>
            <w:shd w:val="clear" w:color="auto" w:fill="auto"/>
            <w:vAlign w:val="center"/>
            <w:hideMark/>
          </w:tcPr>
          <w:p w14:paraId="5FB117AF"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000" w:type="dxa"/>
            <w:tcBorders>
              <w:top w:val="nil"/>
              <w:left w:val="nil"/>
              <w:bottom w:val="single" w:sz="4" w:space="0" w:color="auto"/>
              <w:right w:val="single" w:sz="4" w:space="0" w:color="auto"/>
            </w:tcBorders>
            <w:shd w:val="clear" w:color="auto" w:fill="auto"/>
            <w:vAlign w:val="center"/>
            <w:hideMark/>
          </w:tcPr>
          <w:p w14:paraId="27E67D2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000" w:type="dxa"/>
            <w:tcBorders>
              <w:top w:val="nil"/>
              <w:left w:val="nil"/>
              <w:bottom w:val="single" w:sz="4" w:space="0" w:color="auto"/>
              <w:right w:val="single" w:sz="4" w:space="0" w:color="auto"/>
            </w:tcBorders>
            <w:shd w:val="clear" w:color="auto" w:fill="auto"/>
            <w:vAlign w:val="center"/>
            <w:hideMark/>
          </w:tcPr>
          <w:p w14:paraId="505CF0B4"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auto" w:fill="auto"/>
            <w:vAlign w:val="center"/>
            <w:hideMark/>
          </w:tcPr>
          <w:p w14:paraId="188AFC90"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auto" w:fill="auto"/>
            <w:vAlign w:val="center"/>
            <w:hideMark/>
          </w:tcPr>
          <w:p w14:paraId="2707EB9E"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75E6D4E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338381B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5713CF19"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2DFCE3D3"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59BCE526"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r>
      <w:tr w:rsidR="00D926EB" w:rsidRPr="00A14E7D" w14:paraId="0E278D48"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7B0987E4"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Yes, non-limiting comorbidities</w:t>
            </w:r>
          </w:p>
        </w:tc>
        <w:tc>
          <w:tcPr>
            <w:tcW w:w="1000" w:type="dxa"/>
            <w:tcBorders>
              <w:top w:val="nil"/>
              <w:left w:val="nil"/>
              <w:bottom w:val="single" w:sz="4" w:space="0" w:color="auto"/>
              <w:right w:val="single" w:sz="4" w:space="0" w:color="auto"/>
            </w:tcBorders>
            <w:shd w:val="clear" w:color="auto" w:fill="auto"/>
            <w:vAlign w:val="center"/>
            <w:hideMark/>
          </w:tcPr>
          <w:p w14:paraId="37AF1D1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0.4</w:t>
            </w:r>
          </w:p>
        </w:tc>
        <w:tc>
          <w:tcPr>
            <w:tcW w:w="1000" w:type="dxa"/>
            <w:tcBorders>
              <w:top w:val="nil"/>
              <w:left w:val="nil"/>
              <w:bottom w:val="single" w:sz="4" w:space="0" w:color="auto"/>
              <w:right w:val="single" w:sz="4" w:space="0" w:color="auto"/>
            </w:tcBorders>
            <w:shd w:val="clear" w:color="auto" w:fill="auto"/>
            <w:vAlign w:val="center"/>
            <w:hideMark/>
          </w:tcPr>
          <w:p w14:paraId="53FB6DC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0.4</w:t>
            </w:r>
          </w:p>
        </w:tc>
        <w:tc>
          <w:tcPr>
            <w:tcW w:w="1000" w:type="dxa"/>
            <w:tcBorders>
              <w:top w:val="nil"/>
              <w:left w:val="nil"/>
              <w:bottom w:val="single" w:sz="4" w:space="0" w:color="auto"/>
              <w:right w:val="single" w:sz="4" w:space="0" w:color="auto"/>
            </w:tcBorders>
            <w:shd w:val="clear" w:color="auto" w:fill="auto"/>
            <w:vAlign w:val="center"/>
            <w:hideMark/>
          </w:tcPr>
          <w:p w14:paraId="6FAFE34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2.8</w:t>
            </w:r>
          </w:p>
        </w:tc>
        <w:tc>
          <w:tcPr>
            <w:tcW w:w="1246" w:type="dxa"/>
            <w:tcBorders>
              <w:top w:val="nil"/>
              <w:left w:val="nil"/>
              <w:bottom w:val="single" w:sz="4" w:space="0" w:color="auto"/>
              <w:right w:val="single" w:sz="4" w:space="0" w:color="auto"/>
            </w:tcBorders>
            <w:shd w:val="clear" w:color="auto" w:fill="auto"/>
            <w:vAlign w:val="center"/>
            <w:hideMark/>
          </w:tcPr>
          <w:p w14:paraId="49B00A0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0.6</w:t>
            </w:r>
          </w:p>
        </w:tc>
        <w:tc>
          <w:tcPr>
            <w:tcW w:w="1246" w:type="dxa"/>
            <w:tcBorders>
              <w:top w:val="nil"/>
              <w:left w:val="nil"/>
              <w:bottom w:val="single" w:sz="4" w:space="0" w:color="auto"/>
              <w:right w:val="single" w:sz="4" w:space="0" w:color="auto"/>
            </w:tcBorders>
            <w:shd w:val="clear" w:color="auto" w:fill="auto"/>
            <w:vAlign w:val="center"/>
            <w:hideMark/>
          </w:tcPr>
          <w:p w14:paraId="017D1DD7"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1.4</w:t>
            </w:r>
          </w:p>
        </w:tc>
        <w:tc>
          <w:tcPr>
            <w:tcW w:w="1260" w:type="dxa"/>
            <w:tcBorders>
              <w:top w:val="nil"/>
              <w:left w:val="nil"/>
              <w:bottom w:val="single" w:sz="4" w:space="0" w:color="auto"/>
              <w:right w:val="single" w:sz="4" w:space="0" w:color="auto"/>
            </w:tcBorders>
            <w:shd w:val="clear" w:color="auto" w:fill="auto"/>
            <w:vAlign w:val="center"/>
            <w:hideMark/>
          </w:tcPr>
          <w:p w14:paraId="37EE612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-1.7</w:t>
            </w:r>
          </w:p>
        </w:tc>
        <w:tc>
          <w:tcPr>
            <w:tcW w:w="1260" w:type="dxa"/>
            <w:tcBorders>
              <w:top w:val="nil"/>
              <w:left w:val="nil"/>
              <w:bottom w:val="single" w:sz="4" w:space="0" w:color="auto"/>
              <w:right w:val="single" w:sz="4" w:space="0" w:color="auto"/>
            </w:tcBorders>
            <w:shd w:val="clear" w:color="auto" w:fill="auto"/>
            <w:vAlign w:val="center"/>
            <w:hideMark/>
          </w:tcPr>
          <w:p w14:paraId="4F12CB4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0.2</w:t>
            </w:r>
          </w:p>
        </w:tc>
        <w:tc>
          <w:tcPr>
            <w:tcW w:w="1260" w:type="dxa"/>
            <w:tcBorders>
              <w:top w:val="nil"/>
              <w:left w:val="nil"/>
              <w:bottom w:val="single" w:sz="4" w:space="0" w:color="auto"/>
              <w:right w:val="single" w:sz="4" w:space="0" w:color="auto"/>
            </w:tcBorders>
            <w:shd w:val="clear" w:color="auto" w:fill="auto"/>
            <w:vAlign w:val="center"/>
            <w:hideMark/>
          </w:tcPr>
          <w:p w14:paraId="1F0E00A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1.3</w:t>
            </w:r>
          </w:p>
        </w:tc>
        <w:tc>
          <w:tcPr>
            <w:tcW w:w="1260" w:type="dxa"/>
            <w:tcBorders>
              <w:top w:val="nil"/>
              <w:left w:val="nil"/>
              <w:bottom w:val="single" w:sz="4" w:space="0" w:color="auto"/>
              <w:right w:val="single" w:sz="4" w:space="0" w:color="auto"/>
            </w:tcBorders>
            <w:shd w:val="clear" w:color="auto" w:fill="auto"/>
            <w:vAlign w:val="center"/>
            <w:hideMark/>
          </w:tcPr>
          <w:p w14:paraId="773B923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-0.7</w:t>
            </w:r>
          </w:p>
        </w:tc>
        <w:tc>
          <w:tcPr>
            <w:tcW w:w="1260" w:type="dxa"/>
            <w:tcBorders>
              <w:top w:val="nil"/>
              <w:left w:val="nil"/>
              <w:bottom w:val="single" w:sz="4" w:space="0" w:color="auto"/>
              <w:right w:val="single" w:sz="4" w:space="0" w:color="auto"/>
            </w:tcBorders>
            <w:shd w:val="clear" w:color="auto" w:fill="auto"/>
            <w:vAlign w:val="center"/>
            <w:hideMark/>
          </w:tcPr>
          <w:p w14:paraId="4364D40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0.6</w:t>
            </w:r>
          </w:p>
        </w:tc>
      </w:tr>
      <w:tr w:rsidR="00D926EB" w:rsidRPr="00A14E7D" w14:paraId="106BD208"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1E63AA1F"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Yes, limiting comorbidities</w:t>
            </w:r>
          </w:p>
        </w:tc>
        <w:tc>
          <w:tcPr>
            <w:tcW w:w="1000" w:type="dxa"/>
            <w:tcBorders>
              <w:top w:val="nil"/>
              <w:left w:val="nil"/>
              <w:bottom w:val="single" w:sz="4" w:space="0" w:color="auto"/>
              <w:right w:val="single" w:sz="4" w:space="0" w:color="auto"/>
            </w:tcBorders>
            <w:shd w:val="clear" w:color="auto" w:fill="auto"/>
            <w:vAlign w:val="center"/>
            <w:hideMark/>
          </w:tcPr>
          <w:p w14:paraId="70822C1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-8.3***</w:t>
            </w:r>
          </w:p>
        </w:tc>
        <w:tc>
          <w:tcPr>
            <w:tcW w:w="1000" w:type="dxa"/>
            <w:tcBorders>
              <w:top w:val="nil"/>
              <w:left w:val="nil"/>
              <w:bottom w:val="single" w:sz="4" w:space="0" w:color="auto"/>
              <w:right w:val="single" w:sz="4" w:space="0" w:color="auto"/>
            </w:tcBorders>
            <w:shd w:val="clear" w:color="auto" w:fill="auto"/>
            <w:vAlign w:val="center"/>
            <w:hideMark/>
          </w:tcPr>
          <w:p w14:paraId="4CE3785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13.6***</w:t>
            </w:r>
          </w:p>
        </w:tc>
        <w:tc>
          <w:tcPr>
            <w:tcW w:w="1000" w:type="dxa"/>
            <w:tcBorders>
              <w:top w:val="nil"/>
              <w:left w:val="nil"/>
              <w:bottom w:val="single" w:sz="4" w:space="0" w:color="auto"/>
              <w:right w:val="single" w:sz="4" w:space="0" w:color="auto"/>
            </w:tcBorders>
            <w:shd w:val="clear" w:color="auto" w:fill="auto"/>
            <w:vAlign w:val="center"/>
            <w:hideMark/>
          </w:tcPr>
          <w:p w14:paraId="4D8C0B0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19.1***</w:t>
            </w:r>
          </w:p>
        </w:tc>
        <w:tc>
          <w:tcPr>
            <w:tcW w:w="1246" w:type="dxa"/>
            <w:tcBorders>
              <w:top w:val="nil"/>
              <w:left w:val="nil"/>
              <w:bottom w:val="single" w:sz="4" w:space="0" w:color="auto"/>
              <w:right w:val="single" w:sz="4" w:space="0" w:color="auto"/>
            </w:tcBorders>
            <w:shd w:val="clear" w:color="auto" w:fill="auto"/>
            <w:vAlign w:val="center"/>
            <w:hideMark/>
          </w:tcPr>
          <w:p w14:paraId="1090D81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6.3***</w:t>
            </w:r>
          </w:p>
        </w:tc>
        <w:tc>
          <w:tcPr>
            <w:tcW w:w="1246" w:type="dxa"/>
            <w:tcBorders>
              <w:top w:val="nil"/>
              <w:left w:val="nil"/>
              <w:bottom w:val="single" w:sz="4" w:space="0" w:color="auto"/>
              <w:right w:val="single" w:sz="4" w:space="0" w:color="auto"/>
            </w:tcBorders>
            <w:shd w:val="clear" w:color="auto" w:fill="auto"/>
            <w:vAlign w:val="center"/>
            <w:hideMark/>
          </w:tcPr>
          <w:p w14:paraId="1FBE2F6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6.4***</w:t>
            </w:r>
          </w:p>
        </w:tc>
        <w:tc>
          <w:tcPr>
            <w:tcW w:w="1260" w:type="dxa"/>
            <w:tcBorders>
              <w:top w:val="nil"/>
              <w:left w:val="nil"/>
              <w:bottom w:val="single" w:sz="4" w:space="0" w:color="auto"/>
              <w:right w:val="single" w:sz="4" w:space="0" w:color="auto"/>
            </w:tcBorders>
            <w:shd w:val="clear" w:color="auto" w:fill="auto"/>
            <w:vAlign w:val="center"/>
            <w:hideMark/>
          </w:tcPr>
          <w:p w14:paraId="5E2CC4A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-16.3***</w:t>
            </w:r>
          </w:p>
        </w:tc>
        <w:tc>
          <w:tcPr>
            <w:tcW w:w="1260" w:type="dxa"/>
            <w:tcBorders>
              <w:top w:val="nil"/>
              <w:left w:val="nil"/>
              <w:bottom w:val="single" w:sz="4" w:space="0" w:color="auto"/>
              <w:right w:val="single" w:sz="4" w:space="0" w:color="auto"/>
            </w:tcBorders>
            <w:shd w:val="clear" w:color="auto" w:fill="auto"/>
            <w:vAlign w:val="center"/>
            <w:hideMark/>
          </w:tcPr>
          <w:p w14:paraId="7682074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-15.0***</w:t>
            </w:r>
          </w:p>
        </w:tc>
        <w:tc>
          <w:tcPr>
            <w:tcW w:w="1260" w:type="dxa"/>
            <w:tcBorders>
              <w:top w:val="nil"/>
              <w:left w:val="nil"/>
              <w:bottom w:val="single" w:sz="4" w:space="0" w:color="auto"/>
              <w:right w:val="single" w:sz="4" w:space="0" w:color="auto"/>
            </w:tcBorders>
            <w:shd w:val="clear" w:color="auto" w:fill="auto"/>
            <w:vAlign w:val="center"/>
            <w:hideMark/>
          </w:tcPr>
          <w:p w14:paraId="755DEDE1"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-5.1</w:t>
            </w:r>
          </w:p>
        </w:tc>
        <w:tc>
          <w:tcPr>
            <w:tcW w:w="1260" w:type="dxa"/>
            <w:tcBorders>
              <w:top w:val="nil"/>
              <w:left w:val="nil"/>
              <w:bottom w:val="single" w:sz="4" w:space="0" w:color="auto"/>
              <w:right w:val="single" w:sz="4" w:space="0" w:color="auto"/>
            </w:tcBorders>
            <w:shd w:val="clear" w:color="auto" w:fill="auto"/>
            <w:vAlign w:val="center"/>
            <w:hideMark/>
          </w:tcPr>
          <w:p w14:paraId="2F7BCED8"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-10.2***</w:t>
            </w:r>
          </w:p>
        </w:tc>
        <w:tc>
          <w:tcPr>
            <w:tcW w:w="1260" w:type="dxa"/>
            <w:tcBorders>
              <w:top w:val="nil"/>
              <w:left w:val="nil"/>
              <w:bottom w:val="single" w:sz="4" w:space="0" w:color="auto"/>
              <w:right w:val="single" w:sz="4" w:space="0" w:color="auto"/>
            </w:tcBorders>
            <w:shd w:val="clear" w:color="auto" w:fill="auto"/>
            <w:vAlign w:val="center"/>
            <w:hideMark/>
          </w:tcPr>
          <w:p w14:paraId="3BBB02E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-11.3***</w:t>
            </w:r>
          </w:p>
        </w:tc>
      </w:tr>
      <w:tr w:rsidR="00D926EB" w:rsidRPr="00A14E7D" w14:paraId="7105ECE9"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13653C86"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2) High blood pressure</w:t>
            </w:r>
          </w:p>
        </w:tc>
        <w:tc>
          <w:tcPr>
            <w:tcW w:w="1000" w:type="dxa"/>
            <w:tcBorders>
              <w:top w:val="nil"/>
              <w:left w:val="nil"/>
              <w:bottom w:val="single" w:sz="4" w:space="0" w:color="auto"/>
              <w:right w:val="single" w:sz="4" w:space="0" w:color="auto"/>
            </w:tcBorders>
            <w:shd w:val="clear" w:color="auto" w:fill="auto"/>
            <w:vAlign w:val="center"/>
            <w:hideMark/>
          </w:tcPr>
          <w:p w14:paraId="2DCF9C53"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10ACE61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54047E5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4B70867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36E40E93"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660FFAD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0E16D0F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1C5C4D4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1C0E898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74BF7C0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r>
      <w:tr w:rsidR="00D926EB" w:rsidRPr="00A14E7D" w14:paraId="1B8A4580"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0B5E94DE"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No (ref)</w:t>
            </w:r>
          </w:p>
        </w:tc>
        <w:tc>
          <w:tcPr>
            <w:tcW w:w="1000" w:type="dxa"/>
            <w:tcBorders>
              <w:top w:val="nil"/>
              <w:left w:val="nil"/>
              <w:bottom w:val="single" w:sz="4" w:space="0" w:color="auto"/>
              <w:right w:val="single" w:sz="4" w:space="0" w:color="auto"/>
            </w:tcBorders>
            <w:shd w:val="clear" w:color="000000" w:fill="808080"/>
            <w:vAlign w:val="center"/>
            <w:hideMark/>
          </w:tcPr>
          <w:p w14:paraId="4681C39E"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000000" w:fill="808080"/>
            <w:vAlign w:val="center"/>
            <w:hideMark/>
          </w:tcPr>
          <w:p w14:paraId="7B3A5C5C"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08F63F12"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000000" w:fill="808080"/>
            <w:vAlign w:val="center"/>
            <w:hideMark/>
          </w:tcPr>
          <w:p w14:paraId="69DE3C93"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000000" w:fill="808080"/>
            <w:vAlign w:val="center"/>
            <w:hideMark/>
          </w:tcPr>
          <w:p w14:paraId="0DC6C599"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1D972B2B"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000000" w:fill="808080"/>
            <w:vAlign w:val="center"/>
            <w:hideMark/>
          </w:tcPr>
          <w:p w14:paraId="4B5FC70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3462DFB6"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502D1B3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6D7ACFFE"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r>
      <w:tr w:rsidR="00D926EB" w:rsidRPr="00A14E7D" w14:paraId="13C61AA7"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22990DA7"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Yes</w:t>
            </w:r>
          </w:p>
        </w:tc>
        <w:tc>
          <w:tcPr>
            <w:tcW w:w="1000" w:type="dxa"/>
            <w:tcBorders>
              <w:top w:val="nil"/>
              <w:left w:val="nil"/>
              <w:bottom w:val="single" w:sz="4" w:space="0" w:color="auto"/>
              <w:right w:val="single" w:sz="4" w:space="0" w:color="auto"/>
            </w:tcBorders>
            <w:shd w:val="clear" w:color="000000" w:fill="808080"/>
            <w:vAlign w:val="center"/>
            <w:hideMark/>
          </w:tcPr>
          <w:p w14:paraId="64AD8473"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000000" w:fill="808080"/>
            <w:vAlign w:val="center"/>
            <w:hideMark/>
          </w:tcPr>
          <w:p w14:paraId="6FBF263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132AD2A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-1.0</w:t>
            </w:r>
          </w:p>
        </w:tc>
        <w:tc>
          <w:tcPr>
            <w:tcW w:w="1246" w:type="dxa"/>
            <w:tcBorders>
              <w:top w:val="nil"/>
              <w:left w:val="nil"/>
              <w:bottom w:val="single" w:sz="4" w:space="0" w:color="auto"/>
              <w:right w:val="single" w:sz="4" w:space="0" w:color="auto"/>
            </w:tcBorders>
            <w:shd w:val="clear" w:color="000000" w:fill="808080"/>
            <w:vAlign w:val="center"/>
            <w:hideMark/>
          </w:tcPr>
          <w:p w14:paraId="6CE0C229"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000000" w:fill="808080"/>
            <w:vAlign w:val="center"/>
            <w:hideMark/>
          </w:tcPr>
          <w:p w14:paraId="0585892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6EEB19C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0.01</w:t>
            </w:r>
          </w:p>
        </w:tc>
        <w:tc>
          <w:tcPr>
            <w:tcW w:w="1260" w:type="dxa"/>
            <w:tcBorders>
              <w:top w:val="nil"/>
              <w:left w:val="nil"/>
              <w:bottom w:val="single" w:sz="4" w:space="0" w:color="auto"/>
              <w:right w:val="single" w:sz="4" w:space="0" w:color="auto"/>
            </w:tcBorders>
            <w:shd w:val="clear" w:color="000000" w:fill="808080"/>
            <w:vAlign w:val="center"/>
            <w:hideMark/>
          </w:tcPr>
          <w:p w14:paraId="4C497A48"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39E4E79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1D96222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23A88A1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r>
      <w:tr w:rsidR="00D926EB" w:rsidRPr="00A14E7D" w14:paraId="76015151"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31F93609"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3) Arthritis/rheumatism</w:t>
            </w:r>
          </w:p>
        </w:tc>
        <w:tc>
          <w:tcPr>
            <w:tcW w:w="1000" w:type="dxa"/>
            <w:tcBorders>
              <w:top w:val="nil"/>
              <w:left w:val="nil"/>
              <w:bottom w:val="single" w:sz="4" w:space="0" w:color="auto"/>
              <w:right w:val="single" w:sz="4" w:space="0" w:color="auto"/>
            </w:tcBorders>
            <w:shd w:val="clear" w:color="auto" w:fill="auto"/>
            <w:vAlign w:val="center"/>
            <w:hideMark/>
          </w:tcPr>
          <w:p w14:paraId="409AC80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0CF9207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4C605B1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2793489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58557EE8"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62F27C3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0B95614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7CC23D01"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42AB497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402F69F9"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r>
      <w:tr w:rsidR="00D926EB" w:rsidRPr="00A14E7D" w14:paraId="70D9B33C"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2B9984CA"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No (ref)</w:t>
            </w:r>
          </w:p>
        </w:tc>
        <w:tc>
          <w:tcPr>
            <w:tcW w:w="1000" w:type="dxa"/>
            <w:tcBorders>
              <w:top w:val="nil"/>
              <w:left w:val="nil"/>
              <w:bottom w:val="single" w:sz="4" w:space="0" w:color="auto"/>
              <w:right w:val="single" w:sz="4" w:space="0" w:color="auto"/>
            </w:tcBorders>
            <w:shd w:val="clear" w:color="auto" w:fill="auto"/>
            <w:vAlign w:val="center"/>
            <w:hideMark/>
          </w:tcPr>
          <w:p w14:paraId="3B8816AB"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000" w:type="dxa"/>
            <w:tcBorders>
              <w:top w:val="nil"/>
              <w:left w:val="nil"/>
              <w:bottom w:val="single" w:sz="4" w:space="0" w:color="auto"/>
              <w:right w:val="single" w:sz="4" w:space="0" w:color="auto"/>
            </w:tcBorders>
            <w:shd w:val="clear" w:color="auto" w:fill="auto"/>
            <w:vAlign w:val="center"/>
            <w:hideMark/>
          </w:tcPr>
          <w:p w14:paraId="6EDA7D6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000" w:type="dxa"/>
            <w:tcBorders>
              <w:top w:val="nil"/>
              <w:left w:val="nil"/>
              <w:bottom w:val="single" w:sz="4" w:space="0" w:color="auto"/>
              <w:right w:val="single" w:sz="4" w:space="0" w:color="auto"/>
            </w:tcBorders>
            <w:shd w:val="clear" w:color="auto" w:fill="auto"/>
            <w:vAlign w:val="center"/>
            <w:hideMark/>
          </w:tcPr>
          <w:p w14:paraId="4F0AC099"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auto" w:fill="auto"/>
            <w:vAlign w:val="center"/>
            <w:hideMark/>
          </w:tcPr>
          <w:p w14:paraId="6A8B8D1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auto" w:fill="auto"/>
            <w:vAlign w:val="center"/>
            <w:hideMark/>
          </w:tcPr>
          <w:p w14:paraId="06B1821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62D80C5C"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155F101F"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7AFA41E9"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6DBF80E0"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66C00DAE"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r>
      <w:tr w:rsidR="00D926EB" w:rsidRPr="00A14E7D" w14:paraId="173749B5"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6ABDFBA2"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Yes</w:t>
            </w:r>
          </w:p>
        </w:tc>
        <w:tc>
          <w:tcPr>
            <w:tcW w:w="1000" w:type="dxa"/>
            <w:tcBorders>
              <w:top w:val="nil"/>
              <w:left w:val="nil"/>
              <w:bottom w:val="single" w:sz="4" w:space="0" w:color="auto"/>
              <w:right w:val="single" w:sz="4" w:space="0" w:color="auto"/>
            </w:tcBorders>
            <w:shd w:val="clear" w:color="auto" w:fill="auto"/>
            <w:vAlign w:val="center"/>
            <w:hideMark/>
          </w:tcPr>
          <w:p w14:paraId="156B52F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-3.2</w:t>
            </w:r>
          </w:p>
        </w:tc>
        <w:tc>
          <w:tcPr>
            <w:tcW w:w="1000" w:type="dxa"/>
            <w:tcBorders>
              <w:top w:val="nil"/>
              <w:left w:val="nil"/>
              <w:bottom w:val="single" w:sz="4" w:space="0" w:color="auto"/>
              <w:right w:val="single" w:sz="4" w:space="0" w:color="auto"/>
            </w:tcBorders>
            <w:shd w:val="clear" w:color="auto" w:fill="auto"/>
            <w:vAlign w:val="center"/>
            <w:hideMark/>
          </w:tcPr>
          <w:p w14:paraId="515B8548"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3.3</w:t>
            </w:r>
          </w:p>
        </w:tc>
        <w:tc>
          <w:tcPr>
            <w:tcW w:w="1000" w:type="dxa"/>
            <w:tcBorders>
              <w:top w:val="nil"/>
              <w:left w:val="nil"/>
              <w:bottom w:val="single" w:sz="4" w:space="0" w:color="auto"/>
              <w:right w:val="single" w:sz="4" w:space="0" w:color="auto"/>
            </w:tcBorders>
            <w:shd w:val="clear" w:color="auto" w:fill="auto"/>
            <w:vAlign w:val="center"/>
            <w:hideMark/>
          </w:tcPr>
          <w:p w14:paraId="3F14FF09"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4.8</w:t>
            </w:r>
          </w:p>
        </w:tc>
        <w:tc>
          <w:tcPr>
            <w:tcW w:w="1246" w:type="dxa"/>
            <w:tcBorders>
              <w:top w:val="nil"/>
              <w:left w:val="nil"/>
              <w:bottom w:val="single" w:sz="4" w:space="0" w:color="auto"/>
              <w:right w:val="single" w:sz="4" w:space="0" w:color="auto"/>
            </w:tcBorders>
            <w:shd w:val="clear" w:color="auto" w:fill="auto"/>
            <w:vAlign w:val="center"/>
            <w:hideMark/>
          </w:tcPr>
          <w:p w14:paraId="2388DAF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0.9</w:t>
            </w:r>
          </w:p>
        </w:tc>
        <w:tc>
          <w:tcPr>
            <w:tcW w:w="1246" w:type="dxa"/>
            <w:tcBorders>
              <w:top w:val="nil"/>
              <w:left w:val="nil"/>
              <w:bottom w:val="single" w:sz="4" w:space="0" w:color="auto"/>
              <w:right w:val="single" w:sz="4" w:space="0" w:color="auto"/>
            </w:tcBorders>
            <w:shd w:val="clear" w:color="auto" w:fill="auto"/>
            <w:vAlign w:val="center"/>
            <w:hideMark/>
          </w:tcPr>
          <w:p w14:paraId="54459970"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0.9</w:t>
            </w:r>
          </w:p>
        </w:tc>
        <w:tc>
          <w:tcPr>
            <w:tcW w:w="1260" w:type="dxa"/>
            <w:tcBorders>
              <w:top w:val="nil"/>
              <w:left w:val="nil"/>
              <w:bottom w:val="single" w:sz="4" w:space="0" w:color="auto"/>
              <w:right w:val="single" w:sz="4" w:space="0" w:color="auto"/>
            </w:tcBorders>
            <w:shd w:val="clear" w:color="auto" w:fill="auto"/>
            <w:vAlign w:val="center"/>
            <w:hideMark/>
          </w:tcPr>
          <w:p w14:paraId="0D1C37C1"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-0.9</w:t>
            </w:r>
          </w:p>
        </w:tc>
        <w:tc>
          <w:tcPr>
            <w:tcW w:w="1260" w:type="dxa"/>
            <w:tcBorders>
              <w:top w:val="nil"/>
              <w:left w:val="nil"/>
              <w:bottom w:val="single" w:sz="4" w:space="0" w:color="auto"/>
              <w:right w:val="single" w:sz="4" w:space="0" w:color="auto"/>
            </w:tcBorders>
            <w:shd w:val="clear" w:color="auto" w:fill="auto"/>
            <w:vAlign w:val="center"/>
            <w:hideMark/>
          </w:tcPr>
          <w:p w14:paraId="0E93A75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-3.2</w:t>
            </w:r>
          </w:p>
        </w:tc>
        <w:tc>
          <w:tcPr>
            <w:tcW w:w="1260" w:type="dxa"/>
            <w:tcBorders>
              <w:top w:val="nil"/>
              <w:left w:val="nil"/>
              <w:bottom w:val="single" w:sz="4" w:space="0" w:color="auto"/>
              <w:right w:val="single" w:sz="4" w:space="0" w:color="auto"/>
            </w:tcBorders>
            <w:shd w:val="clear" w:color="auto" w:fill="auto"/>
            <w:vAlign w:val="center"/>
            <w:hideMark/>
          </w:tcPr>
          <w:p w14:paraId="51870E8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-0.9</w:t>
            </w:r>
          </w:p>
        </w:tc>
        <w:tc>
          <w:tcPr>
            <w:tcW w:w="1260" w:type="dxa"/>
            <w:tcBorders>
              <w:top w:val="nil"/>
              <w:left w:val="nil"/>
              <w:bottom w:val="single" w:sz="4" w:space="0" w:color="auto"/>
              <w:right w:val="single" w:sz="4" w:space="0" w:color="auto"/>
            </w:tcBorders>
            <w:shd w:val="clear" w:color="auto" w:fill="auto"/>
            <w:vAlign w:val="center"/>
            <w:hideMark/>
          </w:tcPr>
          <w:p w14:paraId="4545B9D8"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0.5</w:t>
            </w:r>
          </w:p>
        </w:tc>
        <w:tc>
          <w:tcPr>
            <w:tcW w:w="1260" w:type="dxa"/>
            <w:tcBorders>
              <w:top w:val="nil"/>
              <w:left w:val="nil"/>
              <w:bottom w:val="single" w:sz="4" w:space="0" w:color="auto"/>
              <w:right w:val="single" w:sz="4" w:space="0" w:color="auto"/>
            </w:tcBorders>
            <w:shd w:val="clear" w:color="auto" w:fill="auto"/>
            <w:vAlign w:val="center"/>
            <w:hideMark/>
          </w:tcPr>
          <w:p w14:paraId="1EF77B0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-3.6</w:t>
            </w:r>
          </w:p>
        </w:tc>
      </w:tr>
      <w:tr w:rsidR="00D926EB" w:rsidRPr="00A14E7D" w14:paraId="4BA9E06B"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3F1364E5"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4) Depression/anxiety</w:t>
            </w:r>
          </w:p>
        </w:tc>
        <w:tc>
          <w:tcPr>
            <w:tcW w:w="1000" w:type="dxa"/>
            <w:tcBorders>
              <w:top w:val="nil"/>
              <w:left w:val="nil"/>
              <w:bottom w:val="single" w:sz="4" w:space="0" w:color="auto"/>
              <w:right w:val="single" w:sz="4" w:space="0" w:color="auto"/>
            </w:tcBorders>
            <w:shd w:val="clear" w:color="auto" w:fill="auto"/>
            <w:vAlign w:val="center"/>
            <w:hideMark/>
          </w:tcPr>
          <w:p w14:paraId="66126B3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6BA949B8"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587DFF0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74AD414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35AF02B0"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1606DA01"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1FE6177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591E94B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053CB0B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0454FE3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r>
      <w:tr w:rsidR="00D926EB" w:rsidRPr="00A14E7D" w14:paraId="5F5CCE92"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4F13518C"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No (ref)</w:t>
            </w:r>
          </w:p>
        </w:tc>
        <w:tc>
          <w:tcPr>
            <w:tcW w:w="1000" w:type="dxa"/>
            <w:tcBorders>
              <w:top w:val="nil"/>
              <w:left w:val="nil"/>
              <w:bottom w:val="single" w:sz="4" w:space="0" w:color="auto"/>
              <w:right w:val="single" w:sz="4" w:space="0" w:color="auto"/>
            </w:tcBorders>
            <w:shd w:val="clear" w:color="auto" w:fill="auto"/>
            <w:vAlign w:val="center"/>
            <w:hideMark/>
          </w:tcPr>
          <w:p w14:paraId="332C382F"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000" w:type="dxa"/>
            <w:tcBorders>
              <w:top w:val="nil"/>
              <w:left w:val="nil"/>
              <w:bottom w:val="single" w:sz="4" w:space="0" w:color="auto"/>
              <w:right w:val="single" w:sz="4" w:space="0" w:color="auto"/>
            </w:tcBorders>
            <w:shd w:val="clear" w:color="auto" w:fill="auto"/>
            <w:vAlign w:val="center"/>
            <w:hideMark/>
          </w:tcPr>
          <w:p w14:paraId="42743220"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000" w:type="dxa"/>
            <w:tcBorders>
              <w:top w:val="nil"/>
              <w:left w:val="nil"/>
              <w:bottom w:val="single" w:sz="4" w:space="0" w:color="auto"/>
              <w:right w:val="single" w:sz="4" w:space="0" w:color="auto"/>
            </w:tcBorders>
            <w:shd w:val="clear" w:color="auto" w:fill="auto"/>
            <w:vAlign w:val="center"/>
            <w:hideMark/>
          </w:tcPr>
          <w:p w14:paraId="7EB3C14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auto" w:fill="auto"/>
            <w:vAlign w:val="center"/>
            <w:hideMark/>
          </w:tcPr>
          <w:p w14:paraId="510B9258"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auto" w:fill="auto"/>
            <w:vAlign w:val="center"/>
            <w:hideMark/>
          </w:tcPr>
          <w:p w14:paraId="43FA1F0C"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6D85EA78"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4580F900"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7FDD5521"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6917D4E9"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524FEDA6"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r>
      <w:tr w:rsidR="00D926EB" w:rsidRPr="00A14E7D" w14:paraId="706343DE"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066DAC02"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Yes</w:t>
            </w:r>
          </w:p>
        </w:tc>
        <w:tc>
          <w:tcPr>
            <w:tcW w:w="1000" w:type="dxa"/>
            <w:tcBorders>
              <w:top w:val="nil"/>
              <w:left w:val="nil"/>
              <w:bottom w:val="single" w:sz="4" w:space="0" w:color="auto"/>
              <w:right w:val="single" w:sz="4" w:space="0" w:color="auto"/>
            </w:tcBorders>
            <w:shd w:val="clear" w:color="auto" w:fill="auto"/>
            <w:vAlign w:val="center"/>
            <w:hideMark/>
          </w:tcPr>
          <w:p w14:paraId="386C6A98"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-10.0***</w:t>
            </w:r>
          </w:p>
        </w:tc>
        <w:tc>
          <w:tcPr>
            <w:tcW w:w="1000" w:type="dxa"/>
            <w:tcBorders>
              <w:top w:val="nil"/>
              <w:left w:val="nil"/>
              <w:bottom w:val="single" w:sz="4" w:space="0" w:color="auto"/>
              <w:right w:val="single" w:sz="4" w:space="0" w:color="auto"/>
            </w:tcBorders>
            <w:shd w:val="clear" w:color="auto" w:fill="auto"/>
            <w:vAlign w:val="center"/>
            <w:hideMark/>
          </w:tcPr>
          <w:p w14:paraId="324226F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12.6***</w:t>
            </w:r>
          </w:p>
        </w:tc>
        <w:tc>
          <w:tcPr>
            <w:tcW w:w="1000" w:type="dxa"/>
            <w:tcBorders>
              <w:top w:val="nil"/>
              <w:left w:val="nil"/>
              <w:bottom w:val="single" w:sz="4" w:space="0" w:color="auto"/>
              <w:right w:val="single" w:sz="4" w:space="0" w:color="auto"/>
            </w:tcBorders>
            <w:shd w:val="clear" w:color="auto" w:fill="auto"/>
            <w:vAlign w:val="center"/>
            <w:hideMark/>
          </w:tcPr>
          <w:p w14:paraId="2EDD416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6.7*</w:t>
            </w:r>
          </w:p>
        </w:tc>
        <w:tc>
          <w:tcPr>
            <w:tcW w:w="1246" w:type="dxa"/>
            <w:tcBorders>
              <w:top w:val="nil"/>
              <w:left w:val="nil"/>
              <w:bottom w:val="single" w:sz="4" w:space="0" w:color="auto"/>
              <w:right w:val="single" w:sz="4" w:space="0" w:color="auto"/>
            </w:tcBorders>
            <w:shd w:val="clear" w:color="auto" w:fill="auto"/>
            <w:vAlign w:val="center"/>
            <w:hideMark/>
          </w:tcPr>
          <w:p w14:paraId="7922A8F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3.2</w:t>
            </w:r>
          </w:p>
        </w:tc>
        <w:tc>
          <w:tcPr>
            <w:tcW w:w="1246" w:type="dxa"/>
            <w:tcBorders>
              <w:top w:val="nil"/>
              <w:left w:val="nil"/>
              <w:bottom w:val="single" w:sz="4" w:space="0" w:color="auto"/>
              <w:right w:val="single" w:sz="4" w:space="0" w:color="auto"/>
            </w:tcBorders>
            <w:shd w:val="clear" w:color="auto" w:fill="auto"/>
            <w:vAlign w:val="center"/>
            <w:hideMark/>
          </w:tcPr>
          <w:p w14:paraId="41B8ED70"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4.2*</w:t>
            </w:r>
          </w:p>
        </w:tc>
        <w:tc>
          <w:tcPr>
            <w:tcW w:w="1260" w:type="dxa"/>
            <w:tcBorders>
              <w:top w:val="nil"/>
              <w:left w:val="nil"/>
              <w:bottom w:val="single" w:sz="4" w:space="0" w:color="auto"/>
              <w:right w:val="single" w:sz="4" w:space="0" w:color="auto"/>
            </w:tcBorders>
            <w:shd w:val="clear" w:color="auto" w:fill="auto"/>
            <w:vAlign w:val="center"/>
            <w:hideMark/>
          </w:tcPr>
          <w:p w14:paraId="6E79B621"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-8.7**</w:t>
            </w:r>
          </w:p>
        </w:tc>
        <w:tc>
          <w:tcPr>
            <w:tcW w:w="1260" w:type="dxa"/>
            <w:tcBorders>
              <w:top w:val="nil"/>
              <w:left w:val="nil"/>
              <w:bottom w:val="single" w:sz="4" w:space="0" w:color="auto"/>
              <w:right w:val="single" w:sz="4" w:space="0" w:color="auto"/>
            </w:tcBorders>
            <w:shd w:val="clear" w:color="auto" w:fill="auto"/>
            <w:vAlign w:val="center"/>
            <w:hideMark/>
          </w:tcPr>
          <w:p w14:paraId="4E4D0507"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-9.1**</w:t>
            </w:r>
          </w:p>
        </w:tc>
        <w:tc>
          <w:tcPr>
            <w:tcW w:w="1260" w:type="dxa"/>
            <w:tcBorders>
              <w:top w:val="nil"/>
              <w:left w:val="nil"/>
              <w:bottom w:val="single" w:sz="4" w:space="0" w:color="auto"/>
              <w:right w:val="single" w:sz="4" w:space="0" w:color="auto"/>
            </w:tcBorders>
            <w:shd w:val="clear" w:color="auto" w:fill="auto"/>
            <w:vAlign w:val="center"/>
            <w:hideMark/>
          </w:tcPr>
          <w:p w14:paraId="7BC6ACE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-18.8***</w:t>
            </w:r>
          </w:p>
        </w:tc>
        <w:tc>
          <w:tcPr>
            <w:tcW w:w="1260" w:type="dxa"/>
            <w:tcBorders>
              <w:top w:val="nil"/>
              <w:left w:val="nil"/>
              <w:bottom w:val="single" w:sz="4" w:space="0" w:color="auto"/>
              <w:right w:val="single" w:sz="4" w:space="0" w:color="auto"/>
            </w:tcBorders>
            <w:shd w:val="clear" w:color="auto" w:fill="auto"/>
            <w:vAlign w:val="center"/>
            <w:hideMark/>
          </w:tcPr>
          <w:p w14:paraId="0FE38E62"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-9.6**</w:t>
            </w:r>
          </w:p>
        </w:tc>
        <w:tc>
          <w:tcPr>
            <w:tcW w:w="1260" w:type="dxa"/>
            <w:tcBorders>
              <w:top w:val="nil"/>
              <w:left w:val="nil"/>
              <w:bottom w:val="single" w:sz="4" w:space="0" w:color="auto"/>
              <w:right w:val="single" w:sz="4" w:space="0" w:color="auto"/>
            </w:tcBorders>
            <w:shd w:val="clear" w:color="auto" w:fill="auto"/>
            <w:vAlign w:val="center"/>
            <w:hideMark/>
          </w:tcPr>
          <w:p w14:paraId="27D9FA47"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-10.4***</w:t>
            </w:r>
          </w:p>
        </w:tc>
      </w:tr>
      <w:tr w:rsidR="00D926EB" w:rsidRPr="00A14E7D" w14:paraId="0144F436"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2B2F7FD4"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5) Diabetes/high blood sugar</w:t>
            </w:r>
          </w:p>
        </w:tc>
        <w:tc>
          <w:tcPr>
            <w:tcW w:w="1000" w:type="dxa"/>
            <w:tcBorders>
              <w:top w:val="nil"/>
              <w:left w:val="nil"/>
              <w:bottom w:val="single" w:sz="4" w:space="0" w:color="auto"/>
              <w:right w:val="single" w:sz="4" w:space="0" w:color="auto"/>
            </w:tcBorders>
            <w:shd w:val="clear" w:color="auto" w:fill="auto"/>
            <w:vAlign w:val="center"/>
            <w:hideMark/>
          </w:tcPr>
          <w:p w14:paraId="5847BC4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531009C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2954D4EA"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3678EDE0"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584A6E2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3A71E9A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3F1E5B3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0A9DAD11"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5E050A1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0261E96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r>
      <w:tr w:rsidR="00D926EB" w:rsidRPr="00A14E7D" w14:paraId="43149E05"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4D596787"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No (ref)</w:t>
            </w:r>
          </w:p>
        </w:tc>
        <w:tc>
          <w:tcPr>
            <w:tcW w:w="1000" w:type="dxa"/>
            <w:tcBorders>
              <w:top w:val="nil"/>
              <w:left w:val="nil"/>
              <w:bottom w:val="single" w:sz="4" w:space="0" w:color="auto"/>
              <w:right w:val="single" w:sz="4" w:space="0" w:color="auto"/>
            </w:tcBorders>
            <w:shd w:val="clear" w:color="000000" w:fill="808080"/>
            <w:vAlign w:val="center"/>
            <w:hideMark/>
          </w:tcPr>
          <w:p w14:paraId="79E58172"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000000" w:fill="808080"/>
            <w:vAlign w:val="center"/>
            <w:hideMark/>
          </w:tcPr>
          <w:p w14:paraId="74A3F696"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5137C237"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auto" w:fill="auto"/>
            <w:vAlign w:val="center"/>
            <w:hideMark/>
          </w:tcPr>
          <w:p w14:paraId="63229D3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nil"/>
              <w:left w:val="nil"/>
              <w:bottom w:val="single" w:sz="4" w:space="0" w:color="auto"/>
              <w:right w:val="single" w:sz="4" w:space="0" w:color="auto"/>
            </w:tcBorders>
            <w:shd w:val="clear" w:color="000000" w:fill="808080"/>
            <w:vAlign w:val="center"/>
            <w:hideMark/>
          </w:tcPr>
          <w:p w14:paraId="41F5E34E"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111DF424"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000000" w:fill="808080"/>
            <w:vAlign w:val="center"/>
            <w:hideMark/>
          </w:tcPr>
          <w:p w14:paraId="452BC386"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3AF8B93B"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72E6E632"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1F19FD3C"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r>
      <w:tr w:rsidR="00D926EB" w:rsidRPr="00A14E7D" w14:paraId="3B69651D"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08FEFAA4"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Yes</w:t>
            </w:r>
          </w:p>
        </w:tc>
        <w:tc>
          <w:tcPr>
            <w:tcW w:w="1000" w:type="dxa"/>
            <w:tcBorders>
              <w:top w:val="nil"/>
              <w:left w:val="nil"/>
              <w:bottom w:val="single" w:sz="4" w:space="0" w:color="auto"/>
              <w:right w:val="single" w:sz="4" w:space="0" w:color="auto"/>
            </w:tcBorders>
            <w:shd w:val="clear" w:color="000000" w:fill="808080"/>
            <w:vAlign w:val="center"/>
            <w:hideMark/>
          </w:tcPr>
          <w:p w14:paraId="38E20A5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000000" w:fill="808080"/>
            <w:vAlign w:val="center"/>
            <w:hideMark/>
          </w:tcPr>
          <w:p w14:paraId="52B4991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75627C4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1.6</w:t>
            </w:r>
          </w:p>
        </w:tc>
        <w:tc>
          <w:tcPr>
            <w:tcW w:w="1246" w:type="dxa"/>
            <w:tcBorders>
              <w:top w:val="nil"/>
              <w:left w:val="nil"/>
              <w:bottom w:val="single" w:sz="4" w:space="0" w:color="auto"/>
              <w:right w:val="single" w:sz="4" w:space="0" w:color="auto"/>
            </w:tcBorders>
            <w:shd w:val="clear" w:color="auto" w:fill="auto"/>
            <w:vAlign w:val="center"/>
            <w:hideMark/>
          </w:tcPr>
          <w:p w14:paraId="5E474121"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2.7</w:t>
            </w:r>
          </w:p>
        </w:tc>
        <w:tc>
          <w:tcPr>
            <w:tcW w:w="1246" w:type="dxa"/>
            <w:tcBorders>
              <w:top w:val="nil"/>
              <w:left w:val="nil"/>
              <w:bottom w:val="single" w:sz="4" w:space="0" w:color="auto"/>
              <w:right w:val="single" w:sz="4" w:space="0" w:color="auto"/>
            </w:tcBorders>
            <w:shd w:val="clear" w:color="000000" w:fill="808080"/>
            <w:vAlign w:val="center"/>
            <w:hideMark/>
          </w:tcPr>
          <w:p w14:paraId="6E9A80C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384C354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-2.2</w:t>
            </w:r>
          </w:p>
        </w:tc>
        <w:tc>
          <w:tcPr>
            <w:tcW w:w="1260" w:type="dxa"/>
            <w:tcBorders>
              <w:top w:val="nil"/>
              <w:left w:val="nil"/>
              <w:bottom w:val="single" w:sz="4" w:space="0" w:color="auto"/>
              <w:right w:val="single" w:sz="4" w:space="0" w:color="auto"/>
            </w:tcBorders>
            <w:shd w:val="clear" w:color="000000" w:fill="808080"/>
            <w:vAlign w:val="center"/>
            <w:hideMark/>
          </w:tcPr>
          <w:p w14:paraId="5EA5BC7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173CE85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16AB39A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808080"/>
            <w:vAlign w:val="center"/>
            <w:hideMark/>
          </w:tcPr>
          <w:p w14:paraId="41CEF3B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r>
      <w:tr w:rsidR="00D926EB" w:rsidRPr="00A14E7D" w14:paraId="58ADA23B"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5558E000" w14:textId="30BF83D4"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6) Asthma/chro</w:t>
            </w:r>
            <w:r w:rsidR="00096AAE">
              <w:rPr>
                <w:rFonts w:ascii="Times New Roman" w:eastAsia="Times New Roman" w:hAnsi="Times New Roman" w:cs="Times New Roman"/>
                <w:b/>
                <w:bCs/>
                <w:color w:val="000000"/>
                <w:sz w:val="20"/>
                <w:szCs w:val="20"/>
                <w:lang w:eastAsia="en-GB"/>
              </w:rPr>
              <w:t>n</w:t>
            </w:r>
            <w:r w:rsidRPr="0057369C">
              <w:rPr>
                <w:rFonts w:ascii="Times New Roman" w:eastAsia="Times New Roman" w:hAnsi="Times New Roman" w:cs="Times New Roman"/>
                <w:b/>
                <w:bCs/>
                <w:color w:val="000000"/>
                <w:sz w:val="20"/>
                <w:szCs w:val="20"/>
                <w:lang w:eastAsia="en-GB"/>
              </w:rPr>
              <w:t>ic lung disease</w:t>
            </w:r>
          </w:p>
        </w:tc>
        <w:tc>
          <w:tcPr>
            <w:tcW w:w="1000" w:type="dxa"/>
            <w:tcBorders>
              <w:top w:val="nil"/>
              <w:left w:val="nil"/>
              <w:bottom w:val="single" w:sz="4" w:space="0" w:color="auto"/>
              <w:right w:val="single" w:sz="4" w:space="0" w:color="auto"/>
            </w:tcBorders>
            <w:shd w:val="clear" w:color="auto" w:fill="auto"/>
            <w:vAlign w:val="center"/>
            <w:hideMark/>
          </w:tcPr>
          <w:p w14:paraId="4D96515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1ABC562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auto" w:fill="auto"/>
            <w:vAlign w:val="center"/>
            <w:hideMark/>
          </w:tcPr>
          <w:p w14:paraId="4642935A"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nil"/>
              <w:right w:val="nil"/>
            </w:tcBorders>
            <w:shd w:val="clear" w:color="auto" w:fill="auto"/>
            <w:noWrap/>
            <w:vAlign w:val="bottom"/>
            <w:hideMark/>
          </w:tcPr>
          <w:p w14:paraId="031BB479"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p>
        </w:tc>
        <w:tc>
          <w:tcPr>
            <w:tcW w:w="1246" w:type="dxa"/>
            <w:tcBorders>
              <w:top w:val="nil"/>
              <w:left w:val="single" w:sz="4" w:space="0" w:color="auto"/>
              <w:bottom w:val="single" w:sz="4" w:space="0" w:color="auto"/>
              <w:right w:val="single" w:sz="4" w:space="0" w:color="auto"/>
            </w:tcBorders>
            <w:shd w:val="clear" w:color="auto" w:fill="auto"/>
            <w:vAlign w:val="center"/>
            <w:hideMark/>
          </w:tcPr>
          <w:p w14:paraId="58E73217"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387975AC"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26A425B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0248D733"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3F746597"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14:paraId="6F6A362F"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r>
      <w:tr w:rsidR="00D926EB" w:rsidRPr="00A14E7D" w14:paraId="76ED1C85"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1835A6B3"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No (ref)</w:t>
            </w:r>
          </w:p>
        </w:tc>
        <w:tc>
          <w:tcPr>
            <w:tcW w:w="1000" w:type="dxa"/>
            <w:tcBorders>
              <w:top w:val="nil"/>
              <w:left w:val="nil"/>
              <w:bottom w:val="single" w:sz="4" w:space="0" w:color="auto"/>
              <w:right w:val="single" w:sz="4" w:space="0" w:color="auto"/>
            </w:tcBorders>
            <w:shd w:val="clear" w:color="auto" w:fill="auto"/>
            <w:vAlign w:val="center"/>
            <w:hideMark/>
          </w:tcPr>
          <w:p w14:paraId="5D48DEC4"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000" w:type="dxa"/>
            <w:tcBorders>
              <w:top w:val="nil"/>
              <w:left w:val="nil"/>
              <w:bottom w:val="single" w:sz="4" w:space="0" w:color="auto"/>
              <w:right w:val="single" w:sz="4" w:space="0" w:color="auto"/>
            </w:tcBorders>
            <w:shd w:val="clear" w:color="auto" w:fill="auto"/>
            <w:vAlign w:val="center"/>
            <w:hideMark/>
          </w:tcPr>
          <w:p w14:paraId="4F96F8D1"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000" w:type="dxa"/>
            <w:tcBorders>
              <w:top w:val="nil"/>
              <w:left w:val="nil"/>
              <w:bottom w:val="single" w:sz="4" w:space="0" w:color="auto"/>
              <w:right w:val="single" w:sz="4" w:space="0" w:color="auto"/>
            </w:tcBorders>
            <w:shd w:val="clear" w:color="auto" w:fill="auto"/>
            <w:vAlign w:val="center"/>
            <w:hideMark/>
          </w:tcPr>
          <w:p w14:paraId="6DD44E2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46" w:type="dxa"/>
            <w:tcBorders>
              <w:top w:val="single" w:sz="4" w:space="0" w:color="auto"/>
              <w:left w:val="nil"/>
              <w:bottom w:val="single" w:sz="4" w:space="0" w:color="auto"/>
              <w:right w:val="single" w:sz="4" w:space="0" w:color="auto"/>
            </w:tcBorders>
            <w:shd w:val="clear" w:color="000000" w:fill="808080"/>
            <w:vAlign w:val="center"/>
            <w:hideMark/>
          </w:tcPr>
          <w:p w14:paraId="04C815E7"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0AFCF4A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25421A7C"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73FED7E4"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12AD45A9"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1C561361"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2D321F72"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w:t>
            </w:r>
          </w:p>
        </w:tc>
      </w:tr>
      <w:tr w:rsidR="00D926EB" w:rsidRPr="00A14E7D" w14:paraId="54207E14"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016C1ECB"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 Yes</w:t>
            </w:r>
          </w:p>
        </w:tc>
        <w:tc>
          <w:tcPr>
            <w:tcW w:w="1000" w:type="dxa"/>
            <w:tcBorders>
              <w:top w:val="nil"/>
              <w:left w:val="nil"/>
              <w:bottom w:val="single" w:sz="4" w:space="0" w:color="auto"/>
              <w:right w:val="single" w:sz="4" w:space="0" w:color="auto"/>
            </w:tcBorders>
            <w:shd w:val="clear" w:color="auto" w:fill="auto"/>
            <w:vAlign w:val="center"/>
            <w:hideMark/>
          </w:tcPr>
          <w:p w14:paraId="2BE60A9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-5.2*</w:t>
            </w:r>
          </w:p>
        </w:tc>
        <w:tc>
          <w:tcPr>
            <w:tcW w:w="1000" w:type="dxa"/>
            <w:tcBorders>
              <w:top w:val="nil"/>
              <w:left w:val="nil"/>
              <w:bottom w:val="single" w:sz="4" w:space="0" w:color="auto"/>
              <w:right w:val="single" w:sz="4" w:space="0" w:color="auto"/>
            </w:tcBorders>
            <w:shd w:val="clear" w:color="auto" w:fill="auto"/>
            <w:vAlign w:val="center"/>
            <w:hideMark/>
          </w:tcPr>
          <w:p w14:paraId="33322412"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3.0</w:t>
            </w:r>
          </w:p>
        </w:tc>
        <w:tc>
          <w:tcPr>
            <w:tcW w:w="1000" w:type="dxa"/>
            <w:tcBorders>
              <w:top w:val="nil"/>
              <w:left w:val="nil"/>
              <w:bottom w:val="single" w:sz="4" w:space="0" w:color="auto"/>
              <w:right w:val="single" w:sz="4" w:space="0" w:color="auto"/>
            </w:tcBorders>
            <w:shd w:val="clear" w:color="auto" w:fill="auto"/>
            <w:vAlign w:val="center"/>
            <w:hideMark/>
          </w:tcPr>
          <w:p w14:paraId="259E8F42"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-0.3</w:t>
            </w:r>
          </w:p>
        </w:tc>
        <w:tc>
          <w:tcPr>
            <w:tcW w:w="1246" w:type="dxa"/>
            <w:tcBorders>
              <w:top w:val="nil"/>
              <w:left w:val="nil"/>
              <w:bottom w:val="single" w:sz="4" w:space="0" w:color="auto"/>
              <w:right w:val="single" w:sz="4" w:space="0" w:color="auto"/>
            </w:tcBorders>
            <w:shd w:val="clear" w:color="000000" w:fill="808080"/>
            <w:vAlign w:val="center"/>
            <w:hideMark/>
          </w:tcPr>
          <w:p w14:paraId="4EEAA87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auto" w:fill="auto"/>
            <w:vAlign w:val="center"/>
            <w:hideMark/>
          </w:tcPr>
          <w:p w14:paraId="1B4D920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-0.3</w:t>
            </w:r>
          </w:p>
        </w:tc>
        <w:tc>
          <w:tcPr>
            <w:tcW w:w="1260" w:type="dxa"/>
            <w:tcBorders>
              <w:top w:val="nil"/>
              <w:left w:val="nil"/>
              <w:bottom w:val="single" w:sz="4" w:space="0" w:color="auto"/>
              <w:right w:val="single" w:sz="4" w:space="0" w:color="auto"/>
            </w:tcBorders>
            <w:shd w:val="clear" w:color="auto" w:fill="auto"/>
            <w:vAlign w:val="center"/>
            <w:hideMark/>
          </w:tcPr>
          <w:p w14:paraId="09E78F34"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-5.0*</w:t>
            </w:r>
          </w:p>
        </w:tc>
        <w:tc>
          <w:tcPr>
            <w:tcW w:w="1260" w:type="dxa"/>
            <w:tcBorders>
              <w:top w:val="nil"/>
              <w:left w:val="nil"/>
              <w:bottom w:val="single" w:sz="4" w:space="0" w:color="auto"/>
              <w:right w:val="single" w:sz="4" w:space="0" w:color="auto"/>
            </w:tcBorders>
            <w:shd w:val="clear" w:color="auto" w:fill="auto"/>
            <w:vAlign w:val="center"/>
            <w:hideMark/>
          </w:tcPr>
          <w:p w14:paraId="136D7903"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-4.5</w:t>
            </w:r>
          </w:p>
        </w:tc>
        <w:tc>
          <w:tcPr>
            <w:tcW w:w="1260" w:type="dxa"/>
            <w:tcBorders>
              <w:top w:val="nil"/>
              <w:left w:val="nil"/>
              <w:bottom w:val="single" w:sz="4" w:space="0" w:color="auto"/>
              <w:right w:val="single" w:sz="4" w:space="0" w:color="auto"/>
            </w:tcBorders>
            <w:shd w:val="clear" w:color="auto" w:fill="auto"/>
            <w:vAlign w:val="center"/>
            <w:hideMark/>
          </w:tcPr>
          <w:p w14:paraId="69C827A0"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-1.8</w:t>
            </w:r>
          </w:p>
        </w:tc>
        <w:tc>
          <w:tcPr>
            <w:tcW w:w="1260" w:type="dxa"/>
            <w:tcBorders>
              <w:top w:val="nil"/>
              <w:left w:val="nil"/>
              <w:bottom w:val="single" w:sz="4" w:space="0" w:color="auto"/>
              <w:right w:val="single" w:sz="4" w:space="0" w:color="auto"/>
            </w:tcBorders>
            <w:shd w:val="clear" w:color="auto" w:fill="auto"/>
            <w:vAlign w:val="center"/>
            <w:hideMark/>
          </w:tcPr>
          <w:p w14:paraId="3EA52687"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-1.8</w:t>
            </w:r>
          </w:p>
        </w:tc>
        <w:tc>
          <w:tcPr>
            <w:tcW w:w="1260" w:type="dxa"/>
            <w:tcBorders>
              <w:top w:val="nil"/>
              <w:left w:val="nil"/>
              <w:bottom w:val="single" w:sz="4" w:space="0" w:color="auto"/>
              <w:right w:val="single" w:sz="4" w:space="0" w:color="auto"/>
            </w:tcBorders>
            <w:shd w:val="clear" w:color="auto" w:fill="auto"/>
            <w:vAlign w:val="center"/>
            <w:hideMark/>
          </w:tcPr>
          <w:p w14:paraId="60C3D71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0.2</w:t>
            </w:r>
          </w:p>
        </w:tc>
      </w:tr>
      <w:tr w:rsidR="00D926EB" w:rsidRPr="00A14E7D" w14:paraId="27311D17" w14:textId="77777777" w:rsidTr="00A97B39">
        <w:trPr>
          <w:trHeight w:val="58"/>
        </w:trPr>
        <w:tc>
          <w:tcPr>
            <w:tcW w:w="3114" w:type="dxa"/>
            <w:tcBorders>
              <w:top w:val="nil"/>
              <w:left w:val="single" w:sz="4" w:space="0" w:color="auto"/>
              <w:bottom w:val="single" w:sz="4" w:space="0" w:color="auto"/>
              <w:right w:val="single" w:sz="4" w:space="0" w:color="auto"/>
            </w:tcBorders>
            <w:shd w:val="clear" w:color="000000" w:fill="000000"/>
            <w:vAlign w:val="center"/>
            <w:hideMark/>
          </w:tcPr>
          <w:p w14:paraId="7D91997B" w14:textId="77777777" w:rsidR="00D926EB" w:rsidRPr="0057369C" w:rsidRDefault="00D926EB" w:rsidP="00A97B39">
            <w:pPr>
              <w:spacing w:after="0" w:line="240" w:lineRule="auto"/>
              <w:rPr>
                <w:rFonts w:ascii="Times New Roman" w:eastAsia="Times New Roman" w:hAnsi="Times New Roman" w:cs="Times New Roman"/>
                <w:b/>
                <w:bCs/>
                <w:i/>
                <w:iCs/>
                <w:color w:val="000000"/>
                <w:sz w:val="20"/>
                <w:szCs w:val="20"/>
                <w:lang w:eastAsia="en-GB"/>
              </w:rPr>
            </w:pPr>
            <w:r w:rsidRPr="0057369C">
              <w:rPr>
                <w:rFonts w:ascii="Times New Roman" w:eastAsia="Times New Roman" w:hAnsi="Times New Roman" w:cs="Times New Roman"/>
                <w:b/>
                <w:bCs/>
                <w:i/>
                <w:iCs/>
                <w:color w:val="000000"/>
                <w:sz w:val="20"/>
                <w:szCs w:val="20"/>
                <w:lang w:eastAsia="en-GB"/>
              </w:rPr>
              <w:t> </w:t>
            </w:r>
          </w:p>
        </w:tc>
        <w:tc>
          <w:tcPr>
            <w:tcW w:w="1000" w:type="dxa"/>
            <w:tcBorders>
              <w:top w:val="nil"/>
              <w:left w:val="nil"/>
              <w:bottom w:val="single" w:sz="4" w:space="0" w:color="auto"/>
              <w:right w:val="single" w:sz="4" w:space="0" w:color="auto"/>
            </w:tcBorders>
            <w:shd w:val="clear" w:color="000000" w:fill="000000"/>
            <w:vAlign w:val="center"/>
            <w:hideMark/>
          </w:tcPr>
          <w:p w14:paraId="55BA0A2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000000" w:fill="000000"/>
            <w:vAlign w:val="center"/>
            <w:hideMark/>
          </w:tcPr>
          <w:p w14:paraId="5D256259"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000" w:type="dxa"/>
            <w:tcBorders>
              <w:top w:val="nil"/>
              <w:left w:val="nil"/>
              <w:bottom w:val="single" w:sz="4" w:space="0" w:color="auto"/>
              <w:right w:val="single" w:sz="4" w:space="0" w:color="auto"/>
            </w:tcBorders>
            <w:shd w:val="clear" w:color="000000" w:fill="000000"/>
            <w:vAlign w:val="center"/>
            <w:hideMark/>
          </w:tcPr>
          <w:p w14:paraId="7E3ACFCA"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000000" w:fill="000000"/>
            <w:vAlign w:val="center"/>
            <w:hideMark/>
          </w:tcPr>
          <w:p w14:paraId="314261F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46" w:type="dxa"/>
            <w:tcBorders>
              <w:top w:val="nil"/>
              <w:left w:val="nil"/>
              <w:bottom w:val="single" w:sz="4" w:space="0" w:color="auto"/>
              <w:right w:val="single" w:sz="4" w:space="0" w:color="auto"/>
            </w:tcBorders>
            <w:shd w:val="clear" w:color="000000" w:fill="000000"/>
            <w:vAlign w:val="center"/>
            <w:hideMark/>
          </w:tcPr>
          <w:p w14:paraId="5AB4CB4B"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000000"/>
            <w:vAlign w:val="center"/>
            <w:hideMark/>
          </w:tcPr>
          <w:p w14:paraId="64E7ED89"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000000"/>
            <w:vAlign w:val="center"/>
            <w:hideMark/>
          </w:tcPr>
          <w:p w14:paraId="30909330"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000000"/>
            <w:vAlign w:val="center"/>
            <w:hideMark/>
          </w:tcPr>
          <w:p w14:paraId="356B59ED"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000000"/>
            <w:vAlign w:val="center"/>
            <w:hideMark/>
          </w:tcPr>
          <w:p w14:paraId="7265A97E"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c>
          <w:tcPr>
            <w:tcW w:w="1260" w:type="dxa"/>
            <w:tcBorders>
              <w:top w:val="nil"/>
              <w:left w:val="nil"/>
              <w:bottom w:val="single" w:sz="4" w:space="0" w:color="auto"/>
              <w:right w:val="single" w:sz="4" w:space="0" w:color="auto"/>
            </w:tcBorders>
            <w:shd w:val="clear" w:color="000000" w:fill="000000"/>
            <w:vAlign w:val="center"/>
            <w:hideMark/>
          </w:tcPr>
          <w:p w14:paraId="41244328"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lang w:eastAsia="en-GB"/>
              </w:rPr>
              <w:t> </w:t>
            </w:r>
          </w:p>
        </w:tc>
      </w:tr>
      <w:tr w:rsidR="00D926EB" w:rsidRPr="00A14E7D" w14:paraId="3DAB8FB8"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2235C0BE"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7) age at baseline</w:t>
            </w:r>
          </w:p>
        </w:tc>
        <w:tc>
          <w:tcPr>
            <w:tcW w:w="1000" w:type="dxa"/>
            <w:tcBorders>
              <w:top w:val="nil"/>
              <w:left w:val="nil"/>
              <w:bottom w:val="single" w:sz="4" w:space="0" w:color="auto"/>
              <w:right w:val="single" w:sz="4" w:space="0" w:color="auto"/>
            </w:tcBorders>
            <w:shd w:val="clear" w:color="auto" w:fill="auto"/>
            <w:noWrap/>
            <w:vAlign w:val="bottom"/>
            <w:hideMark/>
          </w:tcPr>
          <w:p w14:paraId="032FF42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000" w:type="dxa"/>
            <w:tcBorders>
              <w:top w:val="nil"/>
              <w:left w:val="nil"/>
              <w:bottom w:val="single" w:sz="4" w:space="0" w:color="auto"/>
              <w:right w:val="single" w:sz="4" w:space="0" w:color="auto"/>
            </w:tcBorders>
            <w:shd w:val="clear" w:color="auto" w:fill="auto"/>
            <w:noWrap/>
            <w:vAlign w:val="bottom"/>
            <w:hideMark/>
          </w:tcPr>
          <w:p w14:paraId="61B5EEFB"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0.01</w:t>
            </w:r>
          </w:p>
        </w:tc>
        <w:tc>
          <w:tcPr>
            <w:tcW w:w="1000" w:type="dxa"/>
            <w:tcBorders>
              <w:top w:val="nil"/>
              <w:left w:val="nil"/>
              <w:bottom w:val="single" w:sz="4" w:space="0" w:color="auto"/>
              <w:right w:val="single" w:sz="4" w:space="0" w:color="auto"/>
            </w:tcBorders>
            <w:shd w:val="clear" w:color="auto" w:fill="auto"/>
            <w:noWrap/>
            <w:vAlign w:val="bottom"/>
            <w:hideMark/>
          </w:tcPr>
          <w:p w14:paraId="1B9DEE3A"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-0.2</w:t>
            </w:r>
          </w:p>
        </w:tc>
        <w:tc>
          <w:tcPr>
            <w:tcW w:w="1246" w:type="dxa"/>
            <w:tcBorders>
              <w:top w:val="nil"/>
              <w:left w:val="nil"/>
              <w:bottom w:val="single" w:sz="4" w:space="0" w:color="auto"/>
              <w:right w:val="single" w:sz="4" w:space="0" w:color="auto"/>
            </w:tcBorders>
            <w:shd w:val="clear" w:color="auto" w:fill="auto"/>
            <w:noWrap/>
            <w:vAlign w:val="bottom"/>
            <w:hideMark/>
          </w:tcPr>
          <w:p w14:paraId="14C8E5CA"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246" w:type="dxa"/>
            <w:tcBorders>
              <w:top w:val="nil"/>
              <w:left w:val="nil"/>
              <w:bottom w:val="single" w:sz="4" w:space="0" w:color="auto"/>
              <w:right w:val="single" w:sz="4" w:space="0" w:color="auto"/>
            </w:tcBorders>
            <w:shd w:val="clear" w:color="auto" w:fill="auto"/>
            <w:noWrap/>
            <w:vAlign w:val="bottom"/>
            <w:hideMark/>
          </w:tcPr>
          <w:p w14:paraId="7A242B21"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-0.3***</w:t>
            </w:r>
          </w:p>
        </w:tc>
        <w:tc>
          <w:tcPr>
            <w:tcW w:w="1260" w:type="dxa"/>
            <w:tcBorders>
              <w:top w:val="nil"/>
              <w:left w:val="nil"/>
              <w:bottom w:val="single" w:sz="4" w:space="0" w:color="auto"/>
              <w:right w:val="single" w:sz="4" w:space="0" w:color="auto"/>
            </w:tcBorders>
            <w:shd w:val="clear" w:color="auto" w:fill="auto"/>
            <w:noWrap/>
            <w:vAlign w:val="bottom"/>
            <w:hideMark/>
          </w:tcPr>
          <w:p w14:paraId="58978C6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-0.4***</w:t>
            </w:r>
          </w:p>
        </w:tc>
        <w:tc>
          <w:tcPr>
            <w:tcW w:w="1260" w:type="dxa"/>
            <w:tcBorders>
              <w:top w:val="nil"/>
              <w:left w:val="nil"/>
              <w:bottom w:val="single" w:sz="4" w:space="0" w:color="auto"/>
              <w:right w:val="single" w:sz="4" w:space="0" w:color="auto"/>
            </w:tcBorders>
            <w:shd w:val="clear" w:color="auto" w:fill="auto"/>
            <w:noWrap/>
            <w:vAlign w:val="bottom"/>
            <w:hideMark/>
          </w:tcPr>
          <w:p w14:paraId="48F1DED3"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260" w:type="dxa"/>
            <w:tcBorders>
              <w:top w:val="nil"/>
              <w:left w:val="nil"/>
              <w:bottom w:val="single" w:sz="4" w:space="0" w:color="auto"/>
              <w:right w:val="single" w:sz="4" w:space="0" w:color="auto"/>
            </w:tcBorders>
            <w:shd w:val="clear" w:color="auto" w:fill="auto"/>
            <w:noWrap/>
            <w:vAlign w:val="bottom"/>
            <w:hideMark/>
          </w:tcPr>
          <w:p w14:paraId="01FE2038"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0.2*</w:t>
            </w:r>
          </w:p>
        </w:tc>
        <w:tc>
          <w:tcPr>
            <w:tcW w:w="1260" w:type="dxa"/>
            <w:tcBorders>
              <w:top w:val="nil"/>
              <w:left w:val="nil"/>
              <w:bottom w:val="single" w:sz="4" w:space="0" w:color="auto"/>
              <w:right w:val="single" w:sz="4" w:space="0" w:color="auto"/>
            </w:tcBorders>
            <w:shd w:val="clear" w:color="auto" w:fill="auto"/>
            <w:noWrap/>
            <w:vAlign w:val="bottom"/>
            <w:hideMark/>
          </w:tcPr>
          <w:p w14:paraId="0D26B679"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260" w:type="dxa"/>
            <w:tcBorders>
              <w:top w:val="nil"/>
              <w:left w:val="nil"/>
              <w:bottom w:val="single" w:sz="4" w:space="0" w:color="auto"/>
              <w:right w:val="single" w:sz="4" w:space="0" w:color="auto"/>
            </w:tcBorders>
            <w:shd w:val="clear" w:color="auto" w:fill="auto"/>
            <w:noWrap/>
            <w:vAlign w:val="bottom"/>
            <w:hideMark/>
          </w:tcPr>
          <w:p w14:paraId="2133074B"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r>
      <w:tr w:rsidR="00D926EB" w:rsidRPr="00A14E7D" w14:paraId="177954B8" w14:textId="77777777" w:rsidTr="00A97B39">
        <w:trPr>
          <w:trHeight w:val="285"/>
        </w:trPr>
        <w:tc>
          <w:tcPr>
            <w:tcW w:w="3114" w:type="dxa"/>
            <w:tcBorders>
              <w:top w:val="nil"/>
              <w:left w:val="single" w:sz="4" w:space="0" w:color="auto"/>
              <w:bottom w:val="single" w:sz="4" w:space="0" w:color="auto"/>
              <w:right w:val="single" w:sz="4" w:space="0" w:color="auto"/>
            </w:tcBorders>
            <w:shd w:val="clear" w:color="000000" w:fill="F2F2F2"/>
            <w:vAlign w:val="center"/>
            <w:hideMark/>
          </w:tcPr>
          <w:p w14:paraId="79B55B5F" w14:textId="77777777" w:rsidR="00D926EB" w:rsidRPr="0057369C" w:rsidRDefault="00D926EB" w:rsidP="00A97B39">
            <w:pPr>
              <w:spacing w:after="0" w:line="240" w:lineRule="auto"/>
              <w:rPr>
                <w:rFonts w:ascii="Times New Roman" w:eastAsia="Times New Roman" w:hAnsi="Times New Roman" w:cs="Times New Roman"/>
                <w:b/>
                <w:bCs/>
                <w:color w:val="000000"/>
                <w:sz w:val="20"/>
                <w:szCs w:val="20"/>
                <w:lang w:eastAsia="en-GB"/>
              </w:rPr>
            </w:pPr>
            <w:r w:rsidRPr="0057369C">
              <w:rPr>
                <w:rFonts w:ascii="Times New Roman" w:eastAsia="Times New Roman" w:hAnsi="Times New Roman" w:cs="Times New Roman"/>
                <w:b/>
                <w:bCs/>
                <w:color w:val="000000"/>
                <w:sz w:val="20"/>
                <w:szCs w:val="20"/>
                <w:lang w:eastAsia="en-GB"/>
              </w:rPr>
              <w:t>8) time since surgery</w:t>
            </w:r>
          </w:p>
        </w:tc>
        <w:tc>
          <w:tcPr>
            <w:tcW w:w="1000" w:type="dxa"/>
            <w:tcBorders>
              <w:top w:val="nil"/>
              <w:left w:val="nil"/>
              <w:bottom w:val="single" w:sz="4" w:space="0" w:color="auto"/>
              <w:right w:val="single" w:sz="4" w:space="0" w:color="auto"/>
            </w:tcBorders>
            <w:shd w:val="clear" w:color="auto" w:fill="auto"/>
            <w:noWrap/>
            <w:vAlign w:val="bottom"/>
            <w:hideMark/>
          </w:tcPr>
          <w:p w14:paraId="3D7F45A5"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000" w:type="dxa"/>
            <w:tcBorders>
              <w:top w:val="nil"/>
              <w:left w:val="nil"/>
              <w:bottom w:val="single" w:sz="4" w:space="0" w:color="auto"/>
              <w:right w:val="single" w:sz="4" w:space="0" w:color="auto"/>
            </w:tcBorders>
            <w:shd w:val="clear" w:color="auto" w:fill="auto"/>
            <w:noWrap/>
            <w:vAlign w:val="bottom"/>
            <w:hideMark/>
          </w:tcPr>
          <w:p w14:paraId="569FA7C7"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-0.2***</w:t>
            </w:r>
          </w:p>
        </w:tc>
        <w:tc>
          <w:tcPr>
            <w:tcW w:w="1000" w:type="dxa"/>
            <w:tcBorders>
              <w:top w:val="nil"/>
              <w:left w:val="nil"/>
              <w:bottom w:val="single" w:sz="4" w:space="0" w:color="auto"/>
              <w:right w:val="single" w:sz="4" w:space="0" w:color="auto"/>
            </w:tcBorders>
            <w:shd w:val="clear" w:color="auto" w:fill="auto"/>
            <w:noWrap/>
            <w:vAlign w:val="bottom"/>
            <w:hideMark/>
          </w:tcPr>
          <w:p w14:paraId="45F45928"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246" w:type="dxa"/>
            <w:tcBorders>
              <w:top w:val="single" w:sz="4" w:space="0" w:color="auto"/>
              <w:left w:val="nil"/>
              <w:bottom w:val="single" w:sz="4" w:space="0" w:color="auto"/>
              <w:right w:val="nil"/>
            </w:tcBorders>
            <w:shd w:val="clear" w:color="auto" w:fill="auto"/>
            <w:noWrap/>
            <w:vAlign w:val="bottom"/>
            <w:hideMark/>
          </w:tcPr>
          <w:p w14:paraId="4A0D2188"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0.02</w:t>
            </w:r>
          </w:p>
        </w:tc>
        <w:tc>
          <w:tcPr>
            <w:tcW w:w="1246" w:type="dxa"/>
            <w:tcBorders>
              <w:top w:val="nil"/>
              <w:left w:val="single" w:sz="4" w:space="0" w:color="auto"/>
              <w:bottom w:val="single" w:sz="4" w:space="0" w:color="auto"/>
              <w:right w:val="single" w:sz="4" w:space="0" w:color="auto"/>
            </w:tcBorders>
            <w:shd w:val="clear" w:color="auto" w:fill="auto"/>
            <w:noWrap/>
            <w:vAlign w:val="bottom"/>
            <w:hideMark/>
          </w:tcPr>
          <w:p w14:paraId="74CC3B9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260" w:type="dxa"/>
            <w:tcBorders>
              <w:top w:val="nil"/>
              <w:left w:val="nil"/>
              <w:bottom w:val="single" w:sz="4" w:space="0" w:color="auto"/>
              <w:right w:val="single" w:sz="4" w:space="0" w:color="auto"/>
            </w:tcBorders>
            <w:shd w:val="clear" w:color="auto" w:fill="auto"/>
            <w:noWrap/>
            <w:vAlign w:val="bottom"/>
            <w:hideMark/>
          </w:tcPr>
          <w:p w14:paraId="5A17F4BD"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260" w:type="dxa"/>
            <w:tcBorders>
              <w:top w:val="nil"/>
              <w:left w:val="nil"/>
              <w:bottom w:val="single" w:sz="4" w:space="0" w:color="auto"/>
              <w:right w:val="single" w:sz="4" w:space="0" w:color="auto"/>
            </w:tcBorders>
            <w:shd w:val="clear" w:color="auto" w:fill="auto"/>
            <w:noWrap/>
            <w:vAlign w:val="bottom"/>
            <w:hideMark/>
          </w:tcPr>
          <w:p w14:paraId="6414D67E"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0.2***</w:t>
            </w:r>
          </w:p>
        </w:tc>
        <w:tc>
          <w:tcPr>
            <w:tcW w:w="1260" w:type="dxa"/>
            <w:tcBorders>
              <w:top w:val="nil"/>
              <w:left w:val="nil"/>
              <w:bottom w:val="single" w:sz="4" w:space="0" w:color="auto"/>
              <w:right w:val="single" w:sz="4" w:space="0" w:color="auto"/>
            </w:tcBorders>
            <w:shd w:val="clear" w:color="auto" w:fill="auto"/>
            <w:noWrap/>
            <w:vAlign w:val="bottom"/>
            <w:hideMark/>
          </w:tcPr>
          <w:p w14:paraId="0E7585D4"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0.1***</w:t>
            </w:r>
          </w:p>
        </w:tc>
        <w:tc>
          <w:tcPr>
            <w:tcW w:w="1260" w:type="dxa"/>
            <w:tcBorders>
              <w:top w:val="nil"/>
              <w:left w:val="nil"/>
              <w:bottom w:val="single" w:sz="4" w:space="0" w:color="auto"/>
              <w:right w:val="single" w:sz="4" w:space="0" w:color="auto"/>
            </w:tcBorders>
            <w:shd w:val="clear" w:color="auto" w:fill="auto"/>
            <w:noWrap/>
            <w:vAlign w:val="bottom"/>
            <w:hideMark/>
          </w:tcPr>
          <w:p w14:paraId="4D9BD8A0"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0.2***</w:t>
            </w:r>
          </w:p>
        </w:tc>
        <w:tc>
          <w:tcPr>
            <w:tcW w:w="1260" w:type="dxa"/>
            <w:tcBorders>
              <w:top w:val="nil"/>
              <w:left w:val="nil"/>
              <w:bottom w:val="single" w:sz="4" w:space="0" w:color="auto"/>
              <w:right w:val="single" w:sz="4" w:space="0" w:color="auto"/>
            </w:tcBorders>
            <w:shd w:val="clear" w:color="auto" w:fill="auto"/>
            <w:noWrap/>
            <w:vAlign w:val="bottom"/>
            <w:hideMark/>
          </w:tcPr>
          <w:p w14:paraId="6ED25E52"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color w:val="000000"/>
                <w:sz w:val="20"/>
                <w:szCs w:val="20"/>
                <w:lang w:eastAsia="en-GB"/>
              </w:rPr>
              <w:t>0.3***</w:t>
            </w:r>
          </w:p>
        </w:tc>
      </w:tr>
    </w:tbl>
    <w:p w14:paraId="24B3E419" w14:textId="77777777" w:rsidR="00D926EB" w:rsidRPr="00FF4A26" w:rsidRDefault="00D926EB" w:rsidP="00A97B39">
      <w:pPr>
        <w:rPr>
          <w:rFonts w:ascii="Times New Roman" w:hAnsi="Times New Roman" w:cs="Times New Roman"/>
          <w:sz w:val="20"/>
          <w:szCs w:val="20"/>
        </w:rPr>
      </w:pPr>
    </w:p>
    <w:p w14:paraId="244250FA" w14:textId="77777777" w:rsidR="00D926EB" w:rsidRPr="0057369C" w:rsidRDefault="00D926EB" w:rsidP="00A97B39">
      <w:pPr>
        <w:spacing w:after="0" w:line="240" w:lineRule="auto"/>
        <w:rPr>
          <w:rFonts w:ascii="Times New Roman" w:eastAsia="Times New Roman" w:hAnsi="Times New Roman" w:cs="Times New Roman"/>
          <w:color w:val="000000"/>
          <w:sz w:val="20"/>
          <w:szCs w:val="20"/>
          <w:lang w:eastAsia="en-GB"/>
        </w:rPr>
      </w:pPr>
      <w:r w:rsidRPr="0057369C">
        <w:rPr>
          <w:rFonts w:ascii="Times New Roman" w:eastAsia="Times New Roman" w:hAnsi="Times New Roman" w:cs="Times New Roman"/>
          <w:i/>
          <w:color w:val="000000"/>
          <w:sz w:val="20"/>
          <w:szCs w:val="20"/>
          <w:lang w:eastAsia="en-GB"/>
        </w:rPr>
        <w:t>Notes:</w:t>
      </w:r>
      <w:r>
        <w:rPr>
          <w:rFonts w:ascii="Times New Roman" w:eastAsia="Times New Roman" w:hAnsi="Times New Roman" w:cs="Times New Roman"/>
          <w:i/>
          <w:color w:val="000000"/>
          <w:sz w:val="20"/>
          <w:szCs w:val="20"/>
          <w:lang w:eastAsia="en-GB"/>
        </w:rPr>
        <w:t xml:space="preserve"> </w:t>
      </w:r>
      <w:r w:rsidRPr="0057369C">
        <w:rPr>
          <w:rFonts w:ascii="Times New Roman" w:eastAsia="Times New Roman" w:hAnsi="Times New Roman" w:cs="Times New Roman"/>
          <w:color w:val="000000"/>
          <w:sz w:val="20"/>
          <w:szCs w:val="20"/>
          <w:lang w:eastAsia="en-GB"/>
        </w:rPr>
        <w:t>*** p&lt;0.001; ** p&lt;0.01; * p&lt;0.05</w:t>
      </w:r>
      <w:r>
        <w:rPr>
          <w:rFonts w:ascii="Times New Roman" w:eastAsia="Times New Roman" w:hAnsi="Times New Roman" w:cs="Times New Roman"/>
          <w:color w:val="000000"/>
          <w:sz w:val="20"/>
          <w:szCs w:val="20"/>
          <w:lang w:eastAsia="en-GB"/>
        </w:rPr>
        <w:t xml:space="preserve">; </w:t>
      </w:r>
      <w:r w:rsidRPr="0057369C">
        <w:rPr>
          <w:rFonts w:ascii="Times New Roman" w:eastAsia="Times New Roman" w:hAnsi="Times New Roman" w:cs="Times New Roman"/>
          <w:color w:val="000000"/>
          <w:sz w:val="20"/>
          <w:szCs w:val="20"/>
          <w:lang w:eastAsia="en-GB"/>
        </w:rPr>
        <w:t>Grey areas indicate that the referred independent variable was not included in the final multivariable model of the referred outcome, because it was statistically insignificant in the original model adjusted only for age and time since surgery (</w:t>
      </w:r>
      <w:r w:rsidRPr="002A19C6">
        <w:rPr>
          <w:rFonts w:ascii="Times New Roman" w:eastAsia="Times New Roman" w:hAnsi="Times New Roman" w:cs="Times New Roman"/>
          <w:color w:val="000000"/>
          <w:sz w:val="20"/>
          <w:szCs w:val="20"/>
          <w:lang w:eastAsia="en-GB"/>
        </w:rPr>
        <w:t>see Appendix</w:t>
      </w:r>
      <w:r>
        <w:rPr>
          <w:rFonts w:ascii="Times New Roman" w:eastAsia="Times New Roman" w:hAnsi="Times New Roman" w:cs="Times New Roman"/>
          <w:color w:val="000000"/>
          <w:sz w:val="20"/>
          <w:szCs w:val="20"/>
          <w:lang w:eastAsia="en-GB"/>
        </w:rPr>
        <w:t xml:space="preserve"> 4</w:t>
      </w:r>
      <w:r w:rsidRPr="0057369C">
        <w:rPr>
          <w:rFonts w:ascii="Times New Roman" w:eastAsia="Times New Roman" w:hAnsi="Times New Roman" w:cs="Times New Roman"/>
          <w:color w:val="000000"/>
          <w:sz w:val="20"/>
          <w:szCs w:val="20"/>
          <w:lang w:eastAsia="en-GB"/>
        </w:rPr>
        <w:t>).</w:t>
      </w:r>
    </w:p>
    <w:tbl>
      <w:tblPr>
        <w:tblW w:w="15026" w:type="dxa"/>
        <w:tblInd w:w="-142" w:type="dxa"/>
        <w:tblLook w:val="04A0" w:firstRow="1" w:lastRow="0" w:firstColumn="1" w:lastColumn="0" w:noHBand="0" w:noVBand="1"/>
      </w:tblPr>
      <w:tblGrid>
        <w:gridCol w:w="15026"/>
      </w:tblGrid>
      <w:tr w:rsidR="00D926EB" w:rsidRPr="00A14E7D" w14:paraId="0BE204F5" w14:textId="77777777" w:rsidTr="00A97B39">
        <w:trPr>
          <w:trHeight w:val="312"/>
        </w:trPr>
        <w:tc>
          <w:tcPr>
            <w:tcW w:w="15026" w:type="dxa"/>
            <w:tcBorders>
              <w:top w:val="nil"/>
              <w:left w:val="nil"/>
              <w:bottom w:val="nil"/>
              <w:right w:val="nil"/>
            </w:tcBorders>
            <w:shd w:val="clear" w:color="auto" w:fill="auto"/>
            <w:noWrap/>
            <w:vAlign w:val="center"/>
            <w:hideMark/>
          </w:tcPr>
          <w:p w14:paraId="1F293BA6"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vertAlign w:val="superscript"/>
                <w:lang w:eastAsia="en-GB"/>
              </w:rPr>
              <w:t>1</w:t>
            </w:r>
            <w:r w:rsidRPr="00A14E7D">
              <w:rPr>
                <w:rFonts w:ascii="Times New Roman" w:eastAsia="Times New Roman" w:hAnsi="Times New Roman" w:cs="Times New Roman"/>
                <w:color w:val="000000"/>
                <w:sz w:val="20"/>
                <w:szCs w:val="20"/>
                <w:lang w:eastAsia="en-GB"/>
              </w:rPr>
              <w:t xml:space="preserve"> EORTC subscale from QLQ-C30 or CR-29</w:t>
            </w:r>
          </w:p>
        </w:tc>
      </w:tr>
      <w:tr w:rsidR="00D926EB" w:rsidRPr="00A14E7D" w14:paraId="7F8862BB" w14:textId="77777777" w:rsidTr="00A97B39">
        <w:trPr>
          <w:trHeight w:val="312"/>
        </w:trPr>
        <w:tc>
          <w:tcPr>
            <w:tcW w:w="15026" w:type="dxa"/>
            <w:tcBorders>
              <w:top w:val="nil"/>
              <w:left w:val="nil"/>
              <w:bottom w:val="nil"/>
              <w:right w:val="nil"/>
            </w:tcBorders>
            <w:shd w:val="clear" w:color="auto" w:fill="auto"/>
            <w:noWrap/>
            <w:vAlign w:val="center"/>
            <w:hideMark/>
          </w:tcPr>
          <w:p w14:paraId="78E4E093"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vertAlign w:val="superscript"/>
                <w:lang w:eastAsia="en-GB"/>
              </w:rPr>
              <w:t>2</w:t>
            </w:r>
            <w:r w:rsidRPr="00A14E7D">
              <w:rPr>
                <w:rFonts w:ascii="Times New Roman" w:eastAsia="Times New Roman" w:hAnsi="Times New Roman" w:cs="Times New Roman"/>
                <w:color w:val="000000"/>
                <w:sz w:val="20"/>
                <w:szCs w:val="20"/>
                <w:lang w:eastAsia="en-GB"/>
              </w:rPr>
              <w:t xml:space="preserve"> </w:t>
            </w:r>
            <w:r w:rsidRPr="00A14E7D">
              <w:rPr>
                <w:rFonts w:ascii="Times New Roman" w:eastAsia="Times New Roman" w:hAnsi="Times New Roman" w:cs="Times New Roman"/>
                <w:i/>
                <w:iCs/>
                <w:color w:val="000000"/>
                <w:sz w:val="20"/>
                <w:szCs w:val="20"/>
                <w:lang w:eastAsia="en-GB"/>
              </w:rPr>
              <w:t>Higher</w:t>
            </w:r>
            <w:r w:rsidRPr="00A14E7D">
              <w:rPr>
                <w:rFonts w:ascii="Times New Roman" w:eastAsia="Times New Roman" w:hAnsi="Times New Roman" w:cs="Times New Roman"/>
                <w:color w:val="000000"/>
                <w:sz w:val="20"/>
                <w:szCs w:val="20"/>
                <w:lang w:eastAsia="en-GB"/>
              </w:rPr>
              <w:t xml:space="preserve"> scores for global health status/QoL and functioning subscales indicate </w:t>
            </w:r>
            <w:r w:rsidRPr="00A14E7D">
              <w:rPr>
                <w:rFonts w:ascii="Times New Roman" w:eastAsia="Times New Roman" w:hAnsi="Times New Roman" w:cs="Times New Roman"/>
                <w:i/>
                <w:iCs/>
                <w:color w:val="000000"/>
                <w:sz w:val="20"/>
                <w:szCs w:val="20"/>
                <w:lang w:eastAsia="en-GB"/>
              </w:rPr>
              <w:t>better</w:t>
            </w:r>
            <w:r w:rsidRPr="00A14E7D">
              <w:rPr>
                <w:rFonts w:ascii="Times New Roman" w:eastAsia="Times New Roman" w:hAnsi="Times New Roman" w:cs="Times New Roman"/>
                <w:color w:val="000000"/>
                <w:sz w:val="20"/>
                <w:szCs w:val="20"/>
                <w:lang w:eastAsia="en-GB"/>
              </w:rPr>
              <w:t xml:space="preserve"> health/QoL and functioning</w:t>
            </w:r>
          </w:p>
        </w:tc>
      </w:tr>
      <w:tr w:rsidR="00D926EB" w:rsidRPr="00A14E7D" w14:paraId="00353180" w14:textId="77777777" w:rsidTr="00A97B39">
        <w:trPr>
          <w:trHeight w:val="312"/>
        </w:trPr>
        <w:tc>
          <w:tcPr>
            <w:tcW w:w="15026" w:type="dxa"/>
            <w:tcBorders>
              <w:top w:val="nil"/>
              <w:left w:val="nil"/>
              <w:bottom w:val="nil"/>
              <w:right w:val="nil"/>
            </w:tcBorders>
            <w:shd w:val="clear" w:color="auto" w:fill="auto"/>
            <w:noWrap/>
            <w:vAlign w:val="center"/>
            <w:hideMark/>
          </w:tcPr>
          <w:p w14:paraId="2E409F8A"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vertAlign w:val="superscript"/>
                <w:lang w:eastAsia="en-GB"/>
              </w:rPr>
              <w:t>3</w:t>
            </w:r>
            <w:r w:rsidRPr="00A14E7D">
              <w:rPr>
                <w:rFonts w:ascii="Times New Roman" w:eastAsia="Times New Roman" w:hAnsi="Times New Roman" w:cs="Times New Roman"/>
                <w:color w:val="000000"/>
                <w:sz w:val="20"/>
                <w:szCs w:val="20"/>
                <w:lang w:eastAsia="en-GB"/>
              </w:rPr>
              <w:t xml:space="preserve"> </w:t>
            </w:r>
            <w:r w:rsidRPr="00A14E7D">
              <w:rPr>
                <w:rFonts w:ascii="Times New Roman" w:eastAsia="Times New Roman" w:hAnsi="Times New Roman" w:cs="Times New Roman"/>
                <w:i/>
                <w:iCs/>
                <w:color w:val="000000"/>
                <w:sz w:val="20"/>
                <w:szCs w:val="20"/>
                <w:lang w:eastAsia="en-GB"/>
              </w:rPr>
              <w:t>Higher</w:t>
            </w:r>
            <w:r w:rsidRPr="00A14E7D">
              <w:rPr>
                <w:rFonts w:ascii="Times New Roman" w:eastAsia="Times New Roman" w:hAnsi="Times New Roman" w:cs="Times New Roman"/>
                <w:color w:val="000000"/>
                <w:sz w:val="20"/>
                <w:szCs w:val="20"/>
                <w:lang w:eastAsia="en-GB"/>
              </w:rPr>
              <w:t xml:space="preserve"> scores for symptom subscales indicate </w:t>
            </w:r>
            <w:r w:rsidRPr="00A14E7D">
              <w:rPr>
                <w:rFonts w:ascii="Times New Roman" w:eastAsia="Times New Roman" w:hAnsi="Times New Roman" w:cs="Times New Roman"/>
                <w:i/>
                <w:iCs/>
                <w:color w:val="000000"/>
                <w:sz w:val="20"/>
                <w:szCs w:val="20"/>
                <w:lang w:eastAsia="en-GB"/>
              </w:rPr>
              <w:t>worse</w:t>
            </w:r>
            <w:r w:rsidRPr="00A14E7D">
              <w:rPr>
                <w:rFonts w:ascii="Times New Roman" w:eastAsia="Times New Roman" w:hAnsi="Times New Roman" w:cs="Times New Roman"/>
                <w:color w:val="000000"/>
                <w:sz w:val="20"/>
                <w:szCs w:val="20"/>
                <w:lang w:eastAsia="en-GB"/>
              </w:rPr>
              <w:t xml:space="preserve"> symptoms</w:t>
            </w:r>
          </w:p>
        </w:tc>
      </w:tr>
      <w:tr w:rsidR="00D926EB" w:rsidRPr="00A14E7D" w14:paraId="2F489C8E" w14:textId="77777777" w:rsidTr="00A97B39">
        <w:trPr>
          <w:trHeight w:val="312"/>
        </w:trPr>
        <w:tc>
          <w:tcPr>
            <w:tcW w:w="15026" w:type="dxa"/>
            <w:tcBorders>
              <w:top w:val="nil"/>
              <w:left w:val="nil"/>
              <w:bottom w:val="nil"/>
              <w:right w:val="nil"/>
            </w:tcBorders>
            <w:shd w:val="clear" w:color="auto" w:fill="auto"/>
            <w:noWrap/>
            <w:vAlign w:val="center"/>
            <w:hideMark/>
          </w:tcPr>
          <w:p w14:paraId="13B8B01A"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vertAlign w:val="superscript"/>
                <w:lang w:eastAsia="en-GB"/>
              </w:rPr>
              <w:t>4</w:t>
            </w:r>
            <w:r w:rsidRPr="00A14E7D">
              <w:rPr>
                <w:rFonts w:ascii="Times New Roman" w:eastAsia="Times New Roman" w:hAnsi="Times New Roman" w:cs="Times New Roman"/>
                <w:color w:val="000000"/>
                <w:sz w:val="20"/>
                <w:szCs w:val="20"/>
                <w:lang w:eastAsia="en-GB"/>
              </w:rPr>
              <w:t xml:space="preserve"> Urinary symptoms include urinary frequency, urinary incontinence and dysuria</w:t>
            </w:r>
          </w:p>
        </w:tc>
      </w:tr>
      <w:tr w:rsidR="00D926EB" w:rsidRPr="00A14E7D" w14:paraId="2529D8BF" w14:textId="77777777" w:rsidTr="00A97B39">
        <w:trPr>
          <w:trHeight w:val="312"/>
        </w:trPr>
        <w:tc>
          <w:tcPr>
            <w:tcW w:w="15026" w:type="dxa"/>
            <w:tcBorders>
              <w:top w:val="nil"/>
              <w:left w:val="nil"/>
              <w:bottom w:val="nil"/>
              <w:right w:val="nil"/>
            </w:tcBorders>
            <w:shd w:val="clear" w:color="auto" w:fill="auto"/>
            <w:noWrap/>
            <w:vAlign w:val="center"/>
            <w:hideMark/>
          </w:tcPr>
          <w:p w14:paraId="0FAAC3E5" w14:textId="77777777" w:rsidR="00D926EB" w:rsidRPr="00A14E7D" w:rsidRDefault="00D926EB" w:rsidP="00A97B39">
            <w:pPr>
              <w:spacing w:after="0" w:line="240" w:lineRule="auto"/>
              <w:rPr>
                <w:rFonts w:ascii="Times New Roman" w:eastAsia="Times New Roman" w:hAnsi="Times New Roman" w:cs="Times New Roman"/>
                <w:color w:val="000000"/>
                <w:sz w:val="20"/>
                <w:szCs w:val="20"/>
                <w:lang w:eastAsia="en-GB"/>
              </w:rPr>
            </w:pPr>
            <w:r w:rsidRPr="00A14E7D">
              <w:rPr>
                <w:rFonts w:ascii="Times New Roman" w:eastAsia="Times New Roman" w:hAnsi="Times New Roman" w:cs="Times New Roman"/>
                <w:color w:val="000000"/>
                <w:sz w:val="20"/>
                <w:szCs w:val="20"/>
                <w:vertAlign w:val="superscript"/>
                <w:lang w:eastAsia="en-GB"/>
              </w:rPr>
              <w:t>5</w:t>
            </w:r>
            <w:r w:rsidRPr="00A14E7D">
              <w:rPr>
                <w:rFonts w:ascii="Times New Roman" w:eastAsia="Times New Roman" w:hAnsi="Times New Roman" w:cs="Times New Roman"/>
                <w:color w:val="000000"/>
                <w:sz w:val="20"/>
                <w:szCs w:val="20"/>
                <w:lang w:eastAsia="en-GB"/>
              </w:rPr>
              <w:t xml:space="preserve"> Bowel symptoms include blood and mucus in stool, stool frequency, abdominal pain, pain in buttocks/anal area/rectum, bloating, flatulence and faecal incontinence</w:t>
            </w:r>
          </w:p>
        </w:tc>
      </w:tr>
    </w:tbl>
    <w:p w14:paraId="516CE5D6" w14:textId="77777777" w:rsidR="00D926EB" w:rsidRPr="00F03722" w:rsidRDefault="00D926EB">
      <w:pPr>
        <w:rPr>
          <w:rFonts w:ascii="Calibri" w:hAnsi="Calibri" w:cs="Times New Roman"/>
          <w:b/>
        </w:rPr>
      </w:pPr>
    </w:p>
    <w:p w14:paraId="59BA2366" w14:textId="77777777" w:rsidR="00D926EB" w:rsidRDefault="00D926EB" w:rsidP="00A97B39">
      <w:pPr>
        <w:spacing w:line="480" w:lineRule="auto"/>
        <w:jc w:val="both"/>
        <w:rPr>
          <w:rFonts w:ascii="Calibri" w:hAnsi="Calibri" w:cs="Times New Roman"/>
          <w:b/>
        </w:rPr>
      </w:pPr>
    </w:p>
    <w:p w14:paraId="54ECE608" w14:textId="77777777" w:rsidR="00D926EB" w:rsidRDefault="00D926EB" w:rsidP="00A97B39">
      <w:pPr>
        <w:spacing w:line="480" w:lineRule="auto"/>
        <w:jc w:val="both"/>
        <w:rPr>
          <w:rFonts w:ascii="Calibri" w:hAnsi="Calibri" w:cs="Times New Roman"/>
          <w:b/>
        </w:rPr>
      </w:pPr>
    </w:p>
    <w:p w14:paraId="1F41A2EA" w14:textId="77777777" w:rsidR="00D926EB" w:rsidRDefault="00D926EB" w:rsidP="00A97B39">
      <w:pPr>
        <w:spacing w:line="480" w:lineRule="auto"/>
        <w:jc w:val="both"/>
        <w:rPr>
          <w:rFonts w:ascii="Calibri" w:hAnsi="Calibri" w:cs="Times New Roman"/>
          <w:b/>
        </w:rPr>
      </w:pPr>
    </w:p>
    <w:p w14:paraId="3413B4F7" w14:textId="77777777" w:rsidR="00D926EB" w:rsidRDefault="00D926EB" w:rsidP="00A97B39">
      <w:pPr>
        <w:spacing w:line="480" w:lineRule="auto"/>
        <w:jc w:val="both"/>
        <w:rPr>
          <w:rFonts w:ascii="Calibri" w:hAnsi="Calibri" w:cs="Times New Roman"/>
          <w:b/>
        </w:rPr>
        <w:sectPr w:rsidR="00D926EB" w:rsidSect="00A97B39">
          <w:pgSz w:w="16838" w:h="11906" w:orient="landscape"/>
          <w:pgMar w:top="1440" w:right="1440" w:bottom="1440" w:left="1191" w:header="709" w:footer="709" w:gutter="0"/>
          <w:cols w:space="708"/>
          <w:docGrid w:linePitch="360"/>
        </w:sectPr>
      </w:pPr>
    </w:p>
    <w:p w14:paraId="731225EB" w14:textId="77777777" w:rsidR="00D926EB" w:rsidRDefault="00D926EB" w:rsidP="00A97B39">
      <w:pPr>
        <w:spacing w:line="480" w:lineRule="auto"/>
        <w:jc w:val="both"/>
        <w:rPr>
          <w:rFonts w:ascii="Calibri" w:hAnsi="Calibri" w:cs="Times New Roman"/>
          <w:b/>
        </w:rPr>
      </w:pPr>
      <w:r>
        <w:rPr>
          <w:rFonts w:ascii="Calibri" w:hAnsi="Calibri" w:cs="Times New Roman"/>
          <w:b/>
        </w:rPr>
        <w:lastRenderedPageBreak/>
        <w:t>Figure title/</w:t>
      </w:r>
      <w:r w:rsidRPr="00F03722">
        <w:rPr>
          <w:rFonts w:ascii="Calibri" w:hAnsi="Calibri" w:cs="Times New Roman"/>
          <w:b/>
        </w:rPr>
        <w:t>legend</w:t>
      </w:r>
      <w:r>
        <w:rPr>
          <w:rFonts w:ascii="Calibri" w:hAnsi="Calibri" w:cs="Times New Roman"/>
          <w:b/>
        </w:rPr>
        <w:t>s</w:t>
      </w:r>
      <w:r w:rsidRPr="00F03722">
        <w:rPr>
          <w:rFonts w:ascii="Calibri" w:hAnsi="Calibri" w:cs="Times New Roman"/>
          <w:b/>
        </w:rPr>
        <w:t xml:space="preserve"> </w:t>
      </w:r>
    </w:p>
    <w:p w14:paraId="1A459F6F" w14:textId="77777777" w:rsidR="00D926EB" w:rsidRDefault="00D926EB" w:rsidP="00A97B39">
      <w:pPr>
        <w:spacing w:after="0" w:line="480" w:lineRule="auto"/>
        <w:rPr>
          <w:rFonts w:ascii="Calibri" w:hAnsi="Calibri" w:cs="Times New Roman"/>
        </w:rPr>
      </w:pPr>
      <w:r>
        <w:rPr>
          <w:rFonts w:ascii="Calibri" w:hAnsi="Calibri" w:cs="Times New Roman"/>
          <w:i/>
          <w:iCs/>
        </w:rPr>
        <w:t>Figure</w:t>
      </w:r>
      <w:r w:rsidRPr="005B2BB1">
        <w:rPr>
          <w:rFonts w:ascii="Calibri" w:hAnsi="Calibri" w:cs="Times New Roman"/>
          <w:i/>
          <w:iCs/>
        </w:rPr>
        <w:t xml:space="preserve"> 1. </w:t>
      </w:r>
      <w:r w:rsidRPr="005B2BB1">
        <w:rPr>
          <w:rFonts w:ascii="Calibri" w:hAnsi="Calibri" w:cs="Times New Roman"/>
          <w:iCs/>
        </w:rPr>
        <w:t>Self-report</w:t>
      </w:r>
      <w:r w:rsidRPr="005B2BB1">
        <w:rPr>
          <w:rFonts w:ascii="Calibri" w:hAnsi="Calibri" w:cs="Times New Roman"/>
          <w:i/>
          <w:iCs/>
        </w:rPr>
        <w:t xml:space="preserve"> </w:t>
      </w:r>
      <w:r w:rsidRPr="005B2BB1">
        <w:rPr>
          <w:rFonts w:ascii="Calibri" w:hAnsi="Calibri" w:cs="Times New Roman"/>
        </w:rPr>
        <w:t xml:space="preserve">comorbidities section of CREW questionnaires </w:t>
      </w:r>
    </w:p>
    <w:p w14:paraId="7C0230EC" w14:textId="77777777" w:rsidR="007D5F7E" w:rsidRDefault="007D5F7E" w:rsidP="0053751E"/>
    <w:sectPr w:rsidR="007D5F7E" w:rsidSect="00A97B39">
      <w:pgSz w:w="11906" w:h="16838"/>
      <w:pgMar w:top="1440"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B230C" w14:textId="77777777" w:rsidR="00C1539A" w:rsidRDefault="00C1539A">
      <w:pPr>
        <w:spacing w:after="0" w:line="240" w:lineRule="auto"/>
      </w:pPr>
      <w:r>
        <w:separator/>
      </w:r>
    </w:p>
  </w:endnote>
  <w:endnote w:type="continuationSeparator" w:id="0">
    <w:p w14:paraId="12B769AD" w14:textId="77777777" w:rsidR="00C1539A" w:rsidRDefault="00C1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Ta9c1b374">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607591"/>
      <w:docPartObj>
        <w:docPartGallery w:val="Page Numbers (Bottom of Page)"/>
        <w:docPartUnique/>
      </w:docPartObj>
    </w:sdtPr>
    <w:sdtEndPr>
      <w:rPr>
        <w:noProof/>
      </w:rPr>
    </w:sdtEndPr>
    <w:sdtContent>
      <w:p w14:paraId="295E852D" w14:textId="4E140F59" w:rsidR="00C1539A" w:rsidRDefault="00C1539A">
        <w:pPr>
          <w:pStyle w:val="Footer"/>
          <w:jc w:val="center"/>
        </w:pPr>
        <w:r>
          <w:fldChar w:fldCharType="begin"/>
        </w:r>
        <w:r>
          <w:instrText xml:space="preserve"> PAGE   \* MERGEFORMAT </w:instrText>
        </w:r>
        <w:r>
          <w:fldChar w:fldCharType="separate"/>
        </w:r>
        <w:r w:rsidR="00780066">
          <w:rPr>
            <w:noProof/>
          </w:rPr>
          <w:t>3</w:t>
        </w:r>
        <w:r>
          <w:rPr>
            <w:noProof/>
          </w:rPr>
          <w:fldChar w:fldCharType="end"/>
        </w:r>
      </w:p>
    </w:sdtContent>
  </w:sdt>
  <w:p w14:paraId="2A27C573" w14:textId="77777777" w:rsidR="00C1539A" w:rsidRDefault="00C15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E7A87" w14:textId="77777777" w:rsidR="00C1539A" w:rsidRDefault="00C1539A">
      <w:pPr>
        <w:spacing w:after="0" w:line="240" w:lineRule="auto"/>
      </w:pPr>
      <w:r>
        <w:separator/>
      </w:r>
    </w:p>
  </w:footnote>
  <w:footnote w:type="continuationSeparator" w:id="0">
    <w:p w14:paraId="107C6EFA" w14:textId="77777777" w:rsidR="00C1539A" w:rsidRDefault="00C15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110A5"/>
    <w:multiLevelType w:val="hybridMultilevel"/>
    <w:tmpl w:val="7318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D59A5"/>
    <w:multiLevelType w:val="hybridMultilevel"/>
    <w:tmpl w:val="905C8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717F0"/>
    <w:multiLevelType w:val="hybridMultilevel"/>
    <w:tmpl w:val="1D1A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A6256"/>
    <w:multiLevelType w:val="hybridMultilevel"/>
    <w:tmpl w:val="B5E245D2"/>
    <w:lvl w:ilvl="0" w:tplc="DA40885E">
      <w:start w:val="1"/>
      <w:numFmt w:val="decimal"/>
      <w:lvlText w:val="%1)"/>
      <w:lvlJc w:val="left"/>
      <w:pPr>
        <w:ind w:left="720" w:hanging="360"/>
      </w:pPr>
      <w:rPr>
        <w:rFonts w:asciiTheme="minorHAnsi" w:eastAsiaTheme="minorEastAsia"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926EB"/>
    <w:rsid w:val="00091AF4"/>
    <w:rsid w:val="00096AAE"/>
    <w:rsid w:val="001122BF"/>
    <w:rsid w:val="002535EE"/>
    <w:rsid w:val="0043621E"/>
    <w:rsid w:val="0053751E"/>
    <w:rsid w:val="005867AE"/>
    <w:rsid w:val="00780066"/>
    <w:rsid w:val="0078075C"/>
    <w:rsid w:val="007D5F7E"/>
    <w:rsid w:val="00941FEC"/>
    <w:rsid w:val="00A011F6"/>
    <w:rsid w:val="00A97B39"/>
    <w:rsid w:val="00AF54F2"/>
    <w:rsid w:val="00C1539A"/>
    <w:rsid w:val="00D926EB"/>
    <w:rsid w:val="00E61132"/>
    <w:rsid w:val="00F01D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B3DF"/>
  <w15:chartTrackingRefBased/>
  <w15:docId w15:val="{37AF929F-D2A7-460B-8FC3-2E743E2C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6EB"/>
    <w:rPr>
      <w:color w:val="0563C1" w:themeColor="hyperlink"/>
      <w:u w:val="single"/>
    </w:rPr>
  </w:style>
  <w:style w:type="character" w:styleId="CommentReference">
    <w:name w:val="annotation reference"/>
    <w:basedOn w:val="DefaultParagraphFont"/>
    <w:uiPriority w:val="99"/>
    <w:semiHidden/>
    <w:unhideWhenUsed/>
    <w:rsid w:val="00D926EB"/>
    <w:rPr>
      <w:sz w:val="16"/>
      <w:szCs w:val="16"/>
    </w:rPr>
  </w:style>
  <w:style w:type="paragraph" w:styleId="CommentText">
    <w:name w:val="annotation text"/>
    <w:basedOn w:val="Normal"/>
    <w:link w:val="CommentTextChar"/>
    <w:uiPriority w:val="99"/>
    <w:unhideWhenUsed/>
    <w:rsid w:val="00D926EB"/>
    <w:pPr>
      <w:spacing w:line="240" w:lineRule="auto"/>
    </w:pPr>
    <w:rPr>
      <w:sz w:val="20"/>
      <w:szCs w:val="20"/>
    </w:rPr>
  </w:style>
  <w:style w:type="character" w:customStyle="1" w:styleId="CommentTextChar">
    <w:name w:val="Comment Text Char"/>
    <w:basedOn w:val="DefaultParagraphFont"/>
    <w:link w:val="CommentText"/>
    <w:uiPriority w:val="99"/>
    <w:rsid w:val="00D926EB"/>
    <w:rPr>
      <w:sz w:val="20"/>
      <w:szCs w:val="20"/>
    </w:rPr>
  </w:style>
  <w:style w:type="paragraph" w:styleId="NoSpacing">
    <w:name w:val="No Spacing"/>
    <w:uiPriority w:val="1"/>
    <w:qFormat/>
    <w:rsid w:val="00D926EB"/>
    <w:pPr>
      <w:spacing w:after="0" w:line="240" w:lineRule="auto"/>
    </w:pPr>
  </w:style>
  <w:style w:type="paragraph" w:styleId="BalloonText">
    <w:name w:val="Balloon Text"/>
    <w:basedOn w:val="Normal"/>
    <w:link w:val="BalloonTextChar"/>
    <w:uiPriority w:val="99"/>
    <w:semiHidden/>
    <w:unhideWhenUsed/>
    <w:rsid w:val="00D92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EB"/>
    <w:rPr>
      <w:rFonts w:ascii="Segoe UI" w:hAnsi="Segoe UI" w:cs="Segoe UI"/>
      <w:sz w:val="18"/>
      <w:szCs w:val="18"/>
    </w:rPr>
  </w:style>
  <w:style w:type="paragraph" w:customStyle="1" w:styleId="EndNoteBibliographyTitle">
    <w:name w:val="EndNote Bibliography Title"/>
    <w:basedOn w:val="Normal"/>
    <w:link w:val="EndNoteBibliographyTitleChar"/>
    <w:rsid w:val="00D926E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926EB"/>
    <w:rPr>
      <w:rFonts w:ascii="Calibri" w:hAnsi="Calibri" w:cs="Calibri"/>
      <w:noProof/>
    </w:rPr>
  </w:style>
  <w:style w:type="paragraph" w:customStyle="1" w:styleId="EndNoteBibliography">
    <w:name w:val="EndNote Bibliography"/>
    <w:basedOn w:val="Normal"/>
    <w:link w:val="EndNoteBibliographyChar"/>
    <w:rsid w:val="00D926E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926EB"/>
    <w:rPr>
      <w:rFonts w:ascii="Calibri" w:hAnsi="Calibri" w:cs="Calibri"/>
      <w:noProof/>
    </w:rPr>
  </w:style>
  <w:style w:type="paragraph" w:styleId="NormalWeb">
    <w:name w:val="Normal (Web)"/>
    <w:basedOn w:val="Normal"/>
    <w:uiPriority w:val="99"/>
    <w:unhideWhenUsed/>
    <w:rsid w:val="00D926EB"/>
    <w:pPr>
      <w:spacing w:after="0" w:line="240" w:lineRule="auto"/>
    </w:pPr>
    <w:rPr>
      <w:rFonts w:ascii="Times New Roman" w:eastAsiaTheme="minorHAnsi" w:hAnsi="Times New Roman" w:cs="Times New Roman"/>
      <w:sz w:val="24"/>
      <w:szCs w:val="24"/>
      <w:lang w:eastAsia="en-GB"/>
    </w:rPr>
  </w:style>
  <w:style w:type="paragraph" w:styleId="PlainText">
    <w:name w:val="Plain Text"/>
    <w:basedOn w:val="Normal"/>
    <w:link w:val="PlainTextChar"/>
    <w:uiPriority w:val="99"/>
    <w:unhideWhenUsed/>
    <w:rsid w:val="00D926E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926EB"/>
    <w:rPr>
      <w:rFonts w:ascii="Calibri" w:hAnsi="Calibri"/>
      <w:szCs w:val="21"/>
    </w:rPr>
  </w:style>
  <w:style w:type="paragraph" w:styleId="CommentSubject">
    <w:name w:val="annotation subject"/>
    <w:basedOn w:val="CommentText"/>
    <w:next w:val="CommentText"/>
    <w:link w:val="CommentSubjectChar"/>
    <w:uiPriority w:val="99"/>
    <w:semiHidden/>
    <w:unhideWhenUsed/>
    <w:rsid w:val="00D926EB"/>
    <w:rPr>
      <w:b/>
      <w:bCs/>
    </w:rPr>
  </w:style>
  <w:style w:type="character" w:customStyle="1" w:styleId="CommentSubjectChar">
    <w:name w:val="Comment Subject Char"/>
    <w:basedOn w:val="CommentTextChar"/>
    <w:link w:val="CommentSubject"/>
    <w:uiPriority w:val="99"/>
    <w:semiHidden/>
    <w:rsid w:val="00D926EB"/>
    <w:rPr>
      <w:b/>
      <w:bCs/>
      <w:sz w:val="20"/>
      <w:szCs w:val="20"/>
    </w:rPr>
  </w:style>
  <w:style w:type="paragraph" w:styleId="Header">
    <w:name w:val="header"/>
    <w:basedOn w:val="Normal"/>
    <w:link w:val="HeaderChar"/>
    <w:uiPriority w:val="99"/>
    <w:unhideWhenUsed/>
    <w:rsid w:val="00D92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6EB"/>
  </w:style>
  <w:style w:type="paragraph" w:styleId="Footer">
    <w:name w:val="footer"/>
    <w:basedOn w:val="Normal"/>
    <w:link w:val="FooterChar"/>
    <w:uiPriority w:val="99"/>
    <w:unhideWhenUsed/>
    <w:rsid w:val="00D92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6EB"/>
  </w:style>
  <w:style w:type="table" w:styleId="TableGrid">
    <w:name w:val="Table Grid"/>
    <w:basedOn w:val="TableNormal"/>
    <w:uiPriority w:val="39"/>
    <w:rsid w:val="00D9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4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6203</Words>
  <Characters>35359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A.</dc:creator>
  <cp:keywords/>
  <dc:description/>
  <cp:lastModifiedBy>Cummings A.</cp:lastModifiedBy>
  <cp:revision>3</cp:revision>
  <dcterms:created xsi:type="dcterms:W3CDTF">2018-07-18T09:21:00Z</dcterms:created>
  <dcterms:modified xsi:type="dcterms:W3CDTF">2018-07-20T08:48:00Z</dcterms:modified>
</cp:coreProperties>
</file>