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7F3C6" w14:textId="77777777" w:rsidR="00906259" w:rsidRPr="00324869" w:rsidRDefault="00324869" w:rsidP="00324869">
      <w:pPr>
        <w:spacing w:line="480" w:lineRule="auto"/>
        <w:rPr>
          <w:b/>
          <w:sz w:val="24"/>
        </w:rPr>
      </w:pPr>
      <w:bookmarkStart w:id="0" w:name="_GoBack"/>
      <w:bookmarkEnd w:id="0"/>
      <w:r w:rsidRPr="00324869">
        <w:rPr>
          <w:b/>
          <w:sz w:val="24"/>
        </w:rPr>
        <w:t>Paedia</w:t>
      </w:r>
      <w:r w:rsidR="00362D08">
        <w:rPr>
          <w:b/>
          <w:sz w:val="24"/>
        </w:rPr>
        <w:t>tric inflammatory bowel disease</w:t>
      </w:r>
      <w:r w:rsidRPr="00324869">
        <w:rPr>
          <w:b/>
          <w:sz w:val="24"/>
        </w:rPr>
        <w:t>- brief update on current practice</w:t>
      </w:r>
    </w:p>
    <w:p w14:paraId="257FEFE9" w14:textId="77777777" w:rsidR="00324869" w:rsidRDefault="00324869" w:rsidP="00324869">
      <w:pPr>
        <w:spacing w:line="480" w:lineRule="auto"/>
      </w:pPr>
      <w:r>
        <w:t>James J Ashton</w:t>
      </w:r>
      <w:r w:rsidR="00F03D4C">
        <w:t xml:space="preserve"> MRCPCH</w:t>
      </w:r>
      <w:r>
        <w:rPr>
          <w:vertAlign w:val="superscript"/>
        </w:rPr>
        <w:t>1</w:t>
      </w:r>
      <w:proofErr w:type="gramStart"/>
      <w:r>
        <w:rPr>
          <w:vertAlign w:val="superscript"/>
        </w:rPr>
        <w:t>,2</w:t>
      </w:r>
      <w:proofErr w:type="gramEnd"/>
      <w:r>
        <w:t>, Akshay Batra</w:t>
      </w:r>
      <w:r w:rsidR="00F03D4C">
        <w:t xml:space="preserve"> MD</w:t>
      </w:r>
      <w:r>
        <w:rPr>
          <w:vertAlign w:val="superscript"/>
        </w:rPr>
        <w:t>1</w:t>
      </w:r>
      <w:r>
        <w:t>, R Mark Beattie</w:t>
      </w:r>
      <w:r w:rsidR="00F03D4C">
        <w:t xml:space="preserve"> FRCPCH</w:t>
      </w:r>
      <w:r>
        <w:rPr>
          <w:vertAlign w:val="superscript"/>
        </w:rPr>
        <w:t>1</w:t>
      </w:r>
      <w:r>
        <w:t xml:space="preserve"> </w:t>
      </w:r>
    </w:p>
    <w:p w14:paraId="38239696" w14:textId="77777777" w:rsidR="00324869" w:rsidRDefault="00324869" w:rsidP="00324869">
      <w:pPr>
        <w:pStyle w:val="ListParagraph"/>
        <w:numPr>
          <w:ilvl w:val="0"/>
          <w:numId w:val="2"/>
        </w:numPr>
        <w:spacing w:line="480" w:lineRule="auto"/>
      </w:pPr>
      <w:r>
        <w:t>Department of Paediatric Gastroenterology, Southampton Children’s Hospital, University Hospitals, Southampton</w:t>
      </w:r>
    </w:p>
    <w:p w14:paraId="4854C345" w14:textId="77777777" w:rsidR="00324869" w:rsidRDefault="00324869" w:rsidP="00324869">
      <w:pPr>
        <w:pStyle w:val="ListParagraph"/>
        <w:numPr>
          <w:ilvl w:val="0"/>
          <w:numId w:val="2"/>
        </w:numPr>
        <w:spacing w:line="480" w:lineRule="auto"/>
      </w:pPr>
      <w:r>
        <w:t>Human Genetics and Genomic Medicine, Faculty of Medicine, University of Southampton, Southampton</w:t>
      </w:r>
    </w:p>
    <w:p w14:paraId="40D84E97" w14:textId="77777777" w:rsidR="00324869" w:rsidRDefault="00324869" w:rsidP="00324869">
      <w:pPr>
        <w:spacing w:line="480" w:lineRule="auto"/>
      </w:pPr>
      <w:r>
        <w:t>Correspondence to-</w:t>
      </w:r>
    </w:p>
    <w:p w14:paraId="454BC681" w14:textId="77777777" w:rsidR="00324869" w:rsidRDefault="00324869" w:rsidP="00324869">
      <w:pPr>
        <w:spacing w:line="480" w:lineRule="auto"/>
      </w:pPr>
      <w:r>
        <w:t xml:space="preserve">Professor R Mark Beattie </w:t>
      </w:r>
    </w:p>
    <w:p w14:paraId="070B1FEE" w14:textId="77777777" w:rsidR="00324869" w:rsidRDefault="00324869" w:rsidP="00324869">
      <w:pPr>
        <w:spacing w:line="480" w:lineRule="auto"/>
      </w:pPr>
      <w:r>
        <w:t xml:space="preserve">Department of Paediatric Gastroenterology, </w:t>
      </w:r>
    </w:p>
    <w:p w14:paraId="50D49180" w14:textId="77777777" w:rsidR="00324869" w:rsidRDefault="00324869" w:rsidP="00324869">
      <w:pPr>
        <w:spacing w:line="480" w:lineRule="auto"/>
      </w:pPr>
      <w:r>
        <w:t xml:space="preserve">Southampton Children’s Hospital, </w:t>
      </w:r>
    </w:p>
    <w:p w14:paraId="05DEC381" w14:textId="77777777" w:rsidR="00324869" w:rsidRDefault="00324869" w:rsidP="00324869">
      <w:pPr>
        <w:spacing w:line="480" w:lineRule="auto"/>
      </w:pPr>
      <w:r>
        <w:t>University Hospitals Southampton</w:t>
      </w:r>
    </w:p>
    <w:p w14:paraId="4DFEE3D6" w14:textId="77777777" w:rsidR="00324869" w:rsidRDefault="00324869" w:rsidP="00324869">
      <w:pPr>
        <w:spacing w:line="480" w:lineRule="auto"/>
      </w:pPr>
      <w:proofErr w:type="spellStart"/>
      <w:r>
        <w:t>Tremona</w:t>
      </w:r>
      <w:proofErr w:type="spellEnd"/>
      <w:r>
        <w:t xml:space="preserve"> Road</w:t>
      </w:r>
    </w:p>
    <w:p w14:paraId="46775685" w14:textId="77777777" w:rsidR="00324869" w:rsidRDefault="00324869" w:rsidP="00324869">
      <w:pPr>
        <w:spacing w:line="480" w:lineRule="auto"/>
      </w:pPr>
      <w:r>
        <w:t>Southampton</w:t>
      </w:r>
    </w:p>
    <w:p w14:paraId="6B3EF49F" w14:textId="77777777" w:rsidR="00324869" w:rsidRDefault="00324869" w:rsidP="00324869">
      <w:pPr>
        <w:spacing w:line="480" w:lineRule="auto"/>
      </w:pPr>
      <w:r>
        <w:t>SO16 6YD</w:t>
      </w:r>
    </w:p>
    <w:p w14:paraId="693B5C77" w14:textId="77777777" w:rsidR="00324869" w:rsidRDefault="00324869" w:rsidP="00324869">
      <w:pPr>
        <w:spacing w:line="480" w:lineRule="auto"/>
      </w:pPr>
      <w:r>
        <w:t>UK</w:t>
      </w:r>
    </w:p>
    <w:p w14:paraId="25571FDE" w14:textId="77777777" w:rsidR="00F03D4C" w:rsidRDefault="003A5A29" w:rsidP="00324869">
      <w:pPr>
        <w:spacing w:line="480" w:lineRule="auto"/>
      </w:pPr>
      <w:hyperlink r:id="rId6" w:history="1">
        <w:r w:rsidR="00F03D4C" w:rsidRPr="0065092A">
          <w:rPr>
            <w:rStyle w:val="Hyperlink"/>
          </w:rPr>
          <w:t>j.ashton@soton.ac.uk</w:t>
        </w:r>
      </w:hyperlink>
      <w:r w:rsidR="00F03D4C">
        <w:t xml:space="preserve"> </w:t>
      </w:r>
    </w:p>
    <w:p w14:paraId="1A6E4AF0" w14:textId="77777777" w:rsidR="00324869" w:rsidRDefault="003A5A29" w:rsidP="00324869">
      <w:pPr>
        <w:spacing w:line="480" w:lineRule="auto"/>
      </w:pPr>
      <w:hyperlink r:id="rId7" w:history="1">
        <w:r w:rsidR="00324869" w:rsidRPr="00EF4F98">
          <w:rPr>
            <w:rStyle w:val="Hyperlink"/>
          </w:rPr>
          <w:t>Mark.beattie@uhs.nhs.uk</w:t>
        </w:r>
      </w:hyperlink>
      <w:r w:rsidR="00324869">
        <w:t xml:space="preserve"> </w:t>
      </w:r>
    </w:p>
    <w:p w14:paraId="143D9103" w14:textId="77777777" w:rsidR="00F03D4C" w:rsidRDefault="003A5A29" w:rsidP="00324869">
      <w:pPr>
        <w:spacing w:line="480" w:lineRule="auto"/>
      </w:pPr>
      <w:hyperlink r:id="rId8" w:history="1">
        <w:r w:rsidR="00F03D4C" w:rsidRPr="0065092A">
          <w:rPr>
            <w:rStyle w:val="Hyperlink"/>
          </w:rPr>
          <w:t>Akshay.batra@uhs.nhs.uk</w:t>
        </w:r>
      </w:hyperlink>
      <w:r w:rsidR="00F03D4C">
        <w:t xml:space="preserve"> </w:t>
      </w:r>
    </w:p>
    <w:p w14:paraId="090221C4" w14:textId="77777777" w:rsidR="00C30585" w:rsidRDefault="00C30585" w:rsidP="00324869">
      <w:pPr>
        <w:spacing w:line="480" w:lineRule="auto"/>
      </w:pPr>
    </w:p>
    <w:p w14:paraId="18F0DFEE" w14:textId="3968EABD" w:rsidR="00324869" w:rsidRDefault="00C30585" w:rsidP="00324869">
      <w:pPr>
        <w:spacing w:line="480" w:lineRule="auto"/>
      </w:pPr>
      <w:r>
        <w:t>Abstract word count 138</w:t>
      </w:r>
    </w:p>
    <w:p w14:paraId="38DBFA74" w14:textId="7B9D3DF5" w:rsidR="00C30585" w:rsidRDefault="00C30585" w:rsidP="00324869">
      <w:pPr>
        <w:spacing w:line="480" w:lineRule="auto"/>
      </w:pPr>
      <w:r>
        <w:t>Word count 4446</w:t>
      </w:r>
    </w:p>
    <w:p w14:paraId="78ADF6AE" w14:textId="77777777" w:rsidR="00F03D4C" w:rsidRDefault="00F03D4C" w:rsidP="00873919">
      <w:pPr>
        <w:spacing w:line="480" w:lineRule="auto"/>
        <w:rPr>
          <w:b/>
          <w:i/>
        </w:rPr>
      </w:pPr>
      <w:r>
        <w:rPr>
          <w:b/>
          <w:i/>
        </w:rPr>
        <w:t>Abstract</w:t>
      </w:r>
    </w:p>
    <w:p w14:paraId="44DD570A" w14:textId="419AE0D6" w:rsidR="00F03D4C" w:rsidRPr="00C21151" w:rsidRDefault="00C21151" w:rsidP="00C21151">
      <w:pPr>
        <w:spacing w:line="480" w:lineRule="auto"/>
      </w:pPr>
      <w:r>
        <w:t>Paediatric inflammatory bowel disease</w:t>
      </w:r>
      <w:r w:rsidR="004B73B8">
        <w:t xml:space="preserve"> (PIBD), consisting of </w:t>
      </w:r>
      <w:r>
        <w:t>Crohn’s disease, ulcerative colitis and inflammatory bowel disease</w:t>
      </w:r>
      <w:r w:rsidR="004B73B8">
        <w:t xml:space="preserve"> unclassified,</w:t>
      </w:r>
      <w:r w:rsidR="00C4641C">
        <w:t xml:space="preserve"> </w:t>
      </w:r>
      <w:r w:rsidR="004B73B8">
        <w:t xml:space="preserve">is a chronic inflammatory condition </w:t>
      </w:r>
      <w:r w:rsidR="00F541E0">
        <w:t>associated with significant morbidity</w:t>
      </w:r>
      <w:r w:rsidR="004B73B8">
        <w:t>. The incidence of PIBD is increasing</w:t>
      </w:r>
      <w:r w:rsidR="00F541E0">
        <w:t xml:space="preserve"> and </w:t>
      </w:r>
      <w:r w:rsidR="004B73B8">
        <w:t xml:space="preserve">disease phenotype remains more severe than adult onset disease. Diagnosis of PIBD is often slow and requires referral to </w:t>
      </w:r>
      <w:r w:rsidR="00F541E0">
        <w:t xml:space="preserve">specialist </w:t>
      </w:r>
      <w:r w:rsidR="007E5695">
        <w:t>services;</w:t>
      </w:r>
      <w:r w:rsidR="004B73B8">
        <w:t xml:space="preserve"> </w:t>
      </w:r>
      <w:r w:rsidR="007E5695">
        <w:t>however,</w:t>
      </w:r>
      <w:r w:rsidR="004B73B8">
        <w:t xml:space="preserve"> the emergence of faecal calprotectin as a tool for prioritising further investigation, alongside improved use of treatments (including anti-TNF monoclonal antibody therapy) is changing diagnosis and management. Whilst significant challenges remain in the </w:t>
      </w:r>
      <w:r w:rsidR="007E5695">
        <w:t>longer-term</w:t>
      </w:r>
      <w:r w:rsidR="004B73B8">
        <w:t xml:space="preserve"> treatment of PIBD, including growth, nutrition and management of refractory disease there remains a strong research focus on understanding underlying disease pathogenesis and a move towards personalised medicine. This review describes investigations, diagnosis and management of PIBD and presents the most up to date evidence on </w:t>
      </w:r>
      <w:r w:rsidR="00F541E0">
        <w:t>nutritional and medical management</w:t>
      </w:r>
      <w:r w:rsidR="004B73B8">
        <w:t xml:space="preserve">.  </w:t>
      </w:r>
    </w:p>
    <w:p w14:paraId="7A60EEC6" w14:textId="77777777" w:rsidR="00F03D4C" w:rsidRDefault="00F03D4C" w:rsidP="00873919">
      <w:pPr>
        <w:spacing w:line="480" w:lineRule="auto"/>
        <w:rPr>
          <w:b/>
          <w:i/>
        </w:rPr>
      </w:pPr>
      <w:r>
        <w:rPr>
          <w:b/>
          <w:i/>
        </w:rPr>
        <w:t xml:space="preserve">Key Words </w:t>
      </w:r>
    </w:p>
    <w:p w14:paraId="73B52174" w14:textId="77777777" w:rsidR="00F03D4C" w:rsidRPr="006E50F2" w:rsidRDefault="006E50F2" w:rsidP="00873919">
      <w:pPr>
        <w:spacing w:line="480" w:lineRule="auto"/>
      </w:pPr>
      <w:r>
        <w:lastRenderedPageBreak/>
        <w:t xml:space="preserve">Paediatric; inflammatory bowel disease; Crohn’s disease; ulcerative colitis </w:t>
      </w:r>
    </w:p>
    <w:p w14:paraId="06D16557" w14:textId="77777777" w:rsidR="00F03D4C" w:rsidRDefault="00F03D4C" w:rsidP="00873919">
      <w:pPr>
        <w:spacing w:line="480" w:lineRule="auto"/>
        <w:rPr>
          <w:b/>
          <w:i/>
        </w:rPr>
      </w:pPr>
      <w:r>
        <w:rPr>
          <w:b/>
          <w:i/>
        </w:rPr>
        <w:t xml:space="preserve">Clinical Practice points </w:t>
      </w:r>
    </w:p>
    <w:p w14:paraId="2A297A5F" w14:textId="77777777" w:rsidR="00F03D4C" w:rsidRDefault="006E50F2" w:rsidP="006E50F2">
      <w:pPr>
        <w:pStyle w:val="ListParagraph"/>
        <w:numPr>
          <w:ilvl w:val="0"/>
          <w:numId w:val="19"/>
        </w:numPr>
        <w:spacing w:line="480" w:lineRule="auto"/>
      </w:pPr>
      <w:r>
        <w:t>Paediatric inflammatory bowel disease can present at any age &gt;1 year but is most common at between 13-15 years of age</w:t>
      </w:r>
    </w:p>
    <w:p w14:paraId="14485818" w14:textId="5A79C411" w:rsidR="006E50F2" w:rsidRDefault="00F541E0" w:rsidP="006E50F2">
      <w:pPr>
        <w:pStyle w:val="ListParagraph"/>
        <w:numPr>
          <w:ilvl w:val="0"/>
          <w:numId w:val="19"/>
        </w:numPr>
        <w:spacing w:line="480" w:lineRule="auto"/>
      </w:pPr>
      <w:r>
        <w:t xml:space="preserve">Classical </w:t>
      </w:r>
      <w:r w:rsidR="006E50F2">
        <w:t xml:space="preserve">symptoms (including diarrhoea, blood in stools, </w:t>
      </w:r>
      <w:r w:rsidR="007E5695">
        <w:t xml:space="preserve">weight loss, lethargy etc.) may be </w:t>
      </w:r>
      <w:r>
        <w:t>absent</w:t>
      </w:r>
      <w:r w:rsidR="006E50F2">
        <w:t xml:space="preserve"> and further investigation in patients with chronic</w:t>
      </w:r>
      <w:r>
        <w:t xml:space="preserve"> </w:t>
      </w:r>
      <w:r w:rsidR="006E50F2">
        <w:t>symptoms or a family history of IBD is important (consider faecal calprotectin)</w:t>
      </w:r>
    </w:p>
    <w:p w14:paraId="3668526F" w14:textId="77777777" w:rsidR="006E50F2" w:rsidRPr="006E50F2" w:rsidRDefault="006E50F2" w:rsidP="006E50F2">
      <w:pPr>
        <w:pStyle w:val="ListParagraph"/>
        <w:numPr>
          <w:ilvl w:val="0"/>
          <w:numId w:val="19"/>
        </w:numPr>
        <w:spacing w:line="480" w:lineRule="auto"/>
      </w:pPr>
      <w:r>
        <w:t xml:space="preserve">Treatments are improving (anti-TNF and new classes of monoclonal antibodies), with personalised medicine a goal for future management, however PIBD patients often have significant morbidity and a multi-disciplinary approach looking after medical management, nutrition, psychological aspects of disease and the entire family is vital. </w:t>
      </w:r>
    </w:p>
    <w:p w14:paraId="5B2F2B43" w14:textId="77777777" w:rsidR="00873919" w:rsidRPr="00873919" w:rsidRDefault="00873919" w:rsidP="00873919">
      <w:pPr>
        <w:spacing w:line="480" w:lineRule="auto"/>
        <w:rPr>
          <w:b/>
          <w:i/>
        </w:rPr>
      </w:pPr>
      <w:r w:rsidRPr="00873919">
        <w:rPr>
          <w:b/>
          <w:i/>
        </w:rPr>
        <w:t xml:space="preserve">Background </w:t>
      </w:r>
    </w:p>
    <w:p w14:paraId="3B9B995C" w14:textId="0C63AB8D" w:rsidR="00873919" w:rsidRDefault="00873919" w:rsidP="00873919">
      <w:pPr>
        <w:spacing w:line="480" w:lineRule="auto"/>
      </w:pPr>
      <w:r>
        <w:t>Paediatric inflammatory bowel disease (PIBD) is a chronic, relapsing and remitting condition characterised by intestinal inflammation leading to abdominal pain, diarrhoea, bloody stools and a range of other intestinal and extra-intes</w:t>
      </w:r>
      <w:r w:rsidR="00EB69BF">
        <w:t>tinal symptoms and complication</w:t>
      </w:r>
      <w:r>
        <w:t xml:space="preserve">. PIBD is comprised of Crohn’s disease (CD), ulcerative colitis (UC) and inflammatory bowel disease unclassified (IBDU) and is defined as IBD presenting </w:t>
      </w:r>
      <w:r w:rsidR="00F541E0">
        <w:t xml:space="preserve">during </w:t>
      </w:r>
      <w:r w:rsidR="00BE4A74">
        <w:t>childhood (</w:t>
      </w:r>
      <w:r w:rsidR="007173E1">
        <w:t xml:space="preserve">before </w:t>
      </w:r>
      <w:r w:rsidR="00BE4A74">
        <w:t>16 or 18 years depending on country)</w:t>
      </w:r>
      <w:r>
        <w:t xml:space="preserve">. </w:t>
      </w:r>
    </w:p>
    <w:p w14:paraId="5B57271A" w14:textId="6216386E" w:rsidR="00873919" w:rsidRDefault="00873919" w:rsidP="00873919">
      <w:pPr>
        <w:spacing w:line="480" w:lineRule="auto"/>
      </w:pPr>
      <w:r>
        <w:lastRenderedPageBreak/>
        <w:t>A</w:t>
      </w:r>
      <w:r w:rsidR="00645471">
        <w:t>round 25</w:t>
      </w:r>
      <w:r w:rsidR="00681BEC">
        <w:t>%</w:t>
      </w:r>
      <w:r>
        <w:t xml:space="preserve"> of IBD cases will present </w:t>
      </w:r>
      <w:r w:rsidR="00F541E0">
        <w:t>before age 18 years</w:t>
      </w:r>
      <w:r>
        <w:t>, offering a distinct set of issues, management challenges and complications when compared to adult</w:t>
      </w:r>
      <w:r w:rsidR="00FF1DB8">
        <w:t>-</w:t>
      </w:r>
      <w:r>
        <w:t>onset disease. Characteristic of paediatric</w:t>
      </w:r>
      <w:r w:rsidR="00940C89">
        <w:t>-onset</w:t>
      </w:r>
      <w:r>
        <w:t xml:space="preserve"> disease is the relatively severe </w:t>
      </w:r>
      <w:r w:rsidR="00940C89">
        <w:t>presenting</w:t>
      </w:r>
      <w:r>
        <w:t xml:space="preserve"> phenotype, </w:t>
      </w:r>
      <w:r w:rsidR="00F541E0">
        <w:t xml:space="preserve">the </w:t>
      </w:r>
      <w:r>
        <w:t>challenges of growth (</w:t>
      </w:r>
      <w:r w:rsidR="00940C89">
        <w:t>including</w:t>
      </w:r>
      <w:r>
        <w:t xml:space="preserve"> nutrition) an</w:t>
      </w:r>
      <w:r w:rsidR="00FF1DB8">
        <w:t xml:space="preserve">d, often, </w:t>
      </w:r>
      <w:r w:rsidR="00940C89">
        <w:t xml:space="preserve">the </w:t>
      </w:r>
      <w:r w:rsidR="00FF1DB8">
        <w:t xml:space="preserve">rapid </w:t>
      </w:r>
      <w:r w:rsidR="00940C89">
        <w:t>progression of disease requiring careful immunosuppression to avoid comp</w:t>
      </w:r>
      <w:r w:rsidR="00EB69BF">
        <w:t>lications and maintain remission.</w:t>
      </w:r>
    </w:p>
    <w:p w14:paraId="3983F1A1" w14:textId="271EF5C6" w:rsidR="00940C89" w:rsidRDefault="00BE4A74" w:rsidP="00B050D3">
      <w:pPr>
        <w:spacing w:line="480" w:lineRule="auto"/>
      </w:pPr>
      <w:r>
        <w:t>Significant progress has</w:t>
      </w:r>
      <w:r w:rsidR="00B050D3">
        <w:t xml:space="preserve"> been made in</w:t>
      </w:r>
      <w:r w:rsidR="006B6BA4">
        <w:t xml:space="preserve"> the</w:t>
      </w:r>
      <w:r w:rsidR="00B050D3">
        <w:t xml:space="preserve"> diagnosis and </w:t>
      </w:r>
      <w:r w:rsidR="007E5695">
        <w:t>management over</w:t>
      </w:r>
      <w:r>
        <w:t xml:space="preserve"> the last 25 years. D</w:t>
      </w:r>
      <w:r w:rsidR="00B050D3">
        <w:t xml:space="preserve">espite the challenges to patients, families and healthcare </w:t>
      </w:r>
      <w:proofErr w:type="gramStart"/>
      <w:r w:rsidR="00B050D3">
        <w:t>professionals</w:t>
      </w:r>
      <w:proofErr w:type="gramEnd"/>
      <w:r w:rsidR="00B050D3">
        <w:t xml:space="preserve"> </w:t>
      </w:r>
      <w:r>
        <w:t xml:space="preserve">disease </w:t>
      </w:r>
      <w:r w:rsidR="00B050D3">
        <w:t>outcomes have improved</w:t>
      </w:r>
      <w:r w:rsidR="00F541E0">
        <w:t>. T</w:t>
      </w:r>
      <w:r w:rsidR="00B050D3">
        <w:t xml:space="preserve">here is a strong emphasis evidence-based medicine and research is providing scientific and clinical progress. </w:t>
      </w:r>
      <w:r>
        <w:t>Despite this</w:t>
      </w:r>
      <w:r w:rsidR="00B050D3">
        <w:t xml:space="preserve"> there is much that remains poorly understood, including the exact disease pathogenesis, predictors of disease progression/response to medication and how best to manage patients with the current medications/surgeries available to us. This review provides a brief update on PIBD including </w:t>
      </w:r>
      <w:r w:rsidR="00F541E0">
        <w:t xml:space="preserve">clinical features, </w:t>
      </w:r>
      <w:r w:rsidR="00B050D3">
        <w:t>investigations, management and complications</w:t>
      </w:r>
      <w:r w:rsidR="00F541E0">
        <w:t xml:space="preserve"> including discussion of </w:t>
      </w:r>
      <w:r w:rsidR="00871846">
        <w:t xml:space="preserve">disease epidemiology, the multi-disciplinary approach and future treatments for children with IBD.  </w:t>
      </w:r>
    </w:p>
    <w:p w14:paraId="15D97785" w14:textId="77777777" w:rsidR="00873919" w:rsidRDefault="00873919" w:rsidP="00873919">
      <w:pPr>
        <w:spacing w:line="480" w:lineRule="auto"/>
        <w:rPr>
          <w:b/>
          <w:i/>
        </w:rPr>
      </w:pPr>
      <w:r w:rsidRPr="00871846">
        <w:rPr>
          <w:b/>
          <w:i/>
        </w:rPr>
        <w:t>Disease incidence, prevalence, age of onset</w:t>
      </w:r>
    </w:p>
    <w:p w14:paraId="52CAEE79" w14:textId="39CCCF12" w:rsidR="00B955E3" w:rsidRDefault="00B955E3" w:rsidP="00873919">
      <w:pPr>
        <w:spacing w:line="480" w:lineRule="auto"/>
      </w:pPr>
      <w:r>
        <w:t>The incidence of PIBD is increasing</w:t>
      </w:r>
      <w:r w:rsidR="00F541E0">
        <w:t>. O</w:t>
      </w:r>
      <w:r>
        <w:t xml:space="preserve">ver the last 20 years multiple studies from around the world have detailed the rise in the numbers of children being diagnosed. The main driver behind this increase appears to be higher numbers of CD cases, although UC has also increased during this period. </w:t>
      </w:r>
      <w:r w:rsidR="00EF0FEC">
        <w:t xml:space="preserve">Since 1999 the incidence of PIBD </w:t>
      </w:r>
      <w:r w:rsidR="00F541E0">
        <w:t>has</w:t>
      </w:r>
      <w:r w:rsidR="00EF0FEC">
        <w:t xml:space="preserve"> increase</w:t>
      </w:r>
      <w:r w:rsidR="006D6B50">
        <w:t>d</w:t>
      </w:r>
      <w:r w:rsidR="00EF0FEC">
        <w:t xml:space="preserve"> by approximately 50% within the United Kingdom, </w:t>
      </w:r>
      <w:r w:rsidR="00EF0FEC">
        <w:lastRenderedPageBreak/>
        <w:t xml:space="preserve">with the incidence now </w:t>
      </w:r>
      <w:r w:rsidR="00EF0FEC" w:rsidRPr="00EF0FEC">
        <w:t>standing at 9.37/100,000/year</w:t>
      </w:r>
      <w:r w:rsidR="00D93BF5">
        <w:t xml:space="preserve">, similar to that seen in Canada </w:t>
      </w:r>
      <w:r w:rsidR="007E5695">
        <w:t>(</w:t>
      </w:r>
      <w:r w:rsidR="00D93BF5">
        <w:t>9.68/100,000/year</w:t>
      </w:r>
      <w:r w:rsidR="007E5695">
        <w:t>)</w:t>
      </w:r>
      <w:r w:rsidR="00BE4A74">
        <w:t xml:space="preserve">, which has historically had </w:t>
      </w:r>
      <w:r w:rsidR="007E5695">
        <w:t xml:space="preserve">amongst </w:t>
      </w:r>
      <w:r w:rsidR="00BE4A74">
        <w:t>the highest IBD incidence worldwide</w:t>
      </w:r>
      <w:r w:rsidR="00EF0FEC" w:rsidRPr="00EF0FEC">
        <w:t xml:space="preserve">. </w:t>
      </w:r>
      <w:r w:rsidR="00D93BF5">
        <w:t>When considering the highest worldwide incidence of IBD in children a study from Finland in 2017 has</w:t>
      </w:r>
      <w:r w:rsidR="00EF0FEC">
        <w:t xml:space="preserve"> </w:t>
      </w:r>
      <w:r w:rsidR="00F541E0">
        <w:t xml:space="preserve">reported </w:t>
      </w:r>
      <w:r w:rsidR="00D93BF5">
        <w:t xml:space="preserve">incidence </w:t>
      </w:r>
      <w:r w:rsidR="00EF0FEC">
        <w:t>at up to 23/100,000/year</w:t>
      </w:r>
      <w:r w:rsidR="00D93BF5">
        <w:t>.</w:t>
      </w:r>
    </w:p>
    <w:p w14:paraId="4E2B8AE6" w14:textId="27D6A0BD" w:rsidR="007E100D" w:rsidRPr="00B955E3" w:rsidRDefault="00D93BF5" w:rsidP="00873919">
      <w:pPr>
        <w:spacing w:line="480" w:lineRule="auto"/>
      </w:pPr>
      <w:r>
        <w:t>The m</w:t>
      </w:r>
      <w:r w:rsidR="007E100D">
        <w:t xml:space="preserve">edian age of </w:t>
      </w:r>
      <w:r>
        <w:t xml:space="preserve">disease </w:t>
      </w:r>
      <w:r w:rsidR="007E100D">
        <w:t>ons</w:t>
      </w:r>
      <w:r>
        <w:t>et is between 12-14 years</w:t>
      </w:r>
      <w:r w:rsidR="007E100D">
        <w:t>, but some children will present much earlier. Very-early onset disease (&lt;6 years) is rare and is a trigger for further inve</w:t>
      </w:r>
      <w:r w:rsidR="007E5695">
        <w:t>stigation for a monogenic cause.</w:t>
      </w:r>
      <w:r w:rsidR="007E100D">
        <w:t xml:space="preserve"> Early-onset (6-10 years) </w:t>
      </w:r>
      <w:r>
        <w:t xml:space="preserve">and paediatric </w:t>
      </w:r>
      <w:r w:rsidR="00F541E0">
        <w:t xml:space="preserve">onset </w:t>
      </w:r>
      <w:r>
        <w:t xml:space="preserve">(10-17 years) IBD </w:t>
      </w:r>
      <w:r w:rsidR="00F541E0">
        <w:t>are</w:t>
      </w:r>
      <w:r w:rsidR="007E100D">
        <w:t xml:space="preserve"> less likely to represent single gene defects but presents </w:t>
      </w:r>
      <w:r w:rsidR="00F541E0">
        <w:t xml:space="preserve">their </w:t>
      </w:r>
      <w:r w:rsidR="007E100D">
        <w:t xml:space="preserve">own distinct challenges in diagnosis and management, particularly related to puberty and growth. </w:t>
      </w:r>
    </w:p>
    <w:p w14:paraId="777C6574" w14:textId="77777777" w:rsidR="00174009" w:rsidRDefault="00873919" w:rsidP="00873919">
      <w:pPr>
        <w:spacing w:line="480" w:lineRule="auto"/>
        <w:rPr>
          <w:b/>
        </w:rPr>
      </w:pPr>
      <w:r w:rsidRPr="00174009">
        <w:rPr>
          <w:b/>
        </w:rPr>
        <w:t>Clinical features</w:t>
      </w:r>
      <w:r w:rsidR="0086733F">
        <w:rPr>
          <w:b/>
        </w:rPr>
        <w:t xml:space="preserve"> and diagnosis</w:t>
      </w:r>
    </w:p>
    <w:p w14:paraId="7A4D136A" w14:textId="77777777" w:rsidR="000D7678" w:rsidRDefault="00DA7BAB" w:rsidP="00873919">
      <w:pPr>
        <w:spacing w:line="480" w:lineRule="auto"/>
      </w:pPr>
      <w:r>
        <w:t xml:space="preserve">Data from the last 20 years has consistently reported </w:t>
      </w:r>
      <w:r w:rsidRPr="00DA7BAB">
        <w:t>abdominal pain</w:t>
      </w:r>
      <w:r w:rsidR="0086733F">
        <w:t xml:space="preserve"> (&gt;85%)</w:t>
      </w:r>
      <w:r w:rsidRPr="00DA7BAB">
        <w:t>, diarrhoea</w:t>
      </w:r>
      <w:r w:rsidR="0086733F">
        <w:t xml:space="preserve"> (&gt;75%)</w:t>
      </w:r>
      <w:r w:rsidRPr="00DA7BAB">
        <w:t xml:space="preserve"> </w:t>
      </w:r>
      <w:r w:rsidR="0086733F" w:rsidRPr="00DA7BAB">
        <w:t>and weight loss</w:t>
      </w:r>
      <w:r w:rsidR="0086733F">
        <w:t xml:space="preserve"> (&gt;55%)</w:t>
      </w:r>
      <w:r w:rsidR="0086733F" w:rsidRPr="00DA7BAB">
        <w:t xml:space="preserve"> </w:t>
      </w:r>
      <w:r w:rsidRPr="00DA7BAB">
        <w:t>to be the most common presenting features of CD, whilst abdominal pain</w:t>
      </w:r>
      <w:r w:rsidR="0086733F">
        <w:t xml:space="preserve"> (&gt;85%)</w:t>
      </w:r>
      <w:r w:rsidRPr="00DA7BAB">
        <w:t>, bleeding per rectum</w:t>
      </w:r>
      <w:r w:rsidR="0086733F">
        <w:t xml:space="preserve"> (&gt;90%)</w:t>
      </w:r>
      <w:r w:rsidRPr="00DA7BAB">
        <w:t xml:space="preserve"> and diarrhoea</w:t>
      </w:r>
      <w:r w:rsidR="0086733F">
        <w:t xml:space="preserve"> (&gt;90%)</w:t>
      </w:r>
      <w:r w:rsidRPr="00DA7BAB">
        <w:t xml:space="preserve"> were the most common in UC. </w:t>
      </w:r>
      <w:r>
        <w:t>The paediatric</w:t>
      </w:r>
      <w:r w:rsidRPr="00DA7BAB">
        <w:t xml:space="preserve"> </w:t>
      </w:r>
      <w:r w:rsidR="0086733F">
        <w:t xml:space="preserve">IBD </w:t>
      </w:r>
      <w:r w:rsidRPr="00DA7BAB">
        <w:t xml:space="preserve">phenotype </w:t>
      </w:r>
      <w:r>
        <w:t>is</w:t>
      </w:r>
      <w:r w:rsidRPr="00DA7BAB">
        <w:t xml:space="preserve"> characterised by extensive intestinal </w:t>
      </w:r>
      <w:r>
        <w:t xml:space="preserve">(endoscopic and histological) </w:t>
      </w:r>
      <w:r w:rsidRPr="00DA7BAB">
        <w:t xml:space="preserve">disease alongside rapid </w:t>
      </w:r>
      <w:r>
        <w:t xml:space="preserve">disease </w:t>
      </w:r>
      <w:r w:rsidRPr="00DA7BAB">
        <w:t>progression</w:t>
      </w:r>
      <w:r>
        <w:t xml:space="preserve">. </w:t>
      </w:r>
      <w:r w:rsidR="0086733F">
        <w:t>The absence of all features should not preclude further investigation and patients may present with all, some or none of the common symptoms</w:t>
      </w:r>
      <w:r w:rsidR="00766B37">
        <w:t xml:space="preserve"> (table 1)</w:t>
      </w:r>
      <w:r w:rsidR="0086733F">
        <w:t>. Family history of IBD is a common feature</w:t>
      </w:r>
      <w:r w:rsidR="000D7678">
        <w:t xml:space="preserve"> in child</w:t>
      </w:r>
      <w:r w:rsidR="000D7678">
        <w:lastRenderedPageBreak/>
        <w:t>hood (15-25%)</w:t>
      </w:r>
      <w:r w:rsidR="0086733F">
        <w:t xml:space="preserve"> and should trigger a lower threshold for referral and investigation. </w:t>
      </w:r>
      <w:r w:rsidR="000D7678">
        <w:t xml:space="preserve">Diagnosis of another gastrointestinal disease such as coeliac disease or functional abdominal pain does </w:t>
      </w:r>
      <w:r w:rsidR="00EB69BF">
        <w:t>not preclude a diagnosis of IBD</w:t>
      </w:r>
      <w:r w:rsidR="000D7678">
        <w:t xml:space="preserve">. </w:t>
      </w:r>
    </w:p>
    <w:p w14:paraId="79EEC882" w14:textId="77777777" w:rsidR="00DA7BAB" w:rsidRDefault="00DA7BAB" w:rsidP="00873919">
      <w:pPr>
        <w:spacing w:line="480" w:lineRule="auto"/>
      </w:pPr>
      <w:r>
        <w:t>It is important to consider other presentations of IBD in children</w:t>
      </w:r>
      <w:r w:rsidR="00766B37">
        <w:t xml:space="preserve"> including</w:t>
      </w:r>
      <w:r>
        <w:t xml:space="preserve"> </w:t>
      </w:r>
      <w:proofErr w:type="spellStart"/>
      <w:r>
        <w:t>extraintestinal</w:t>
      </w:r>
      <w:proofErr w:type="spellEnd"/>
      <w:r>
        <w:t xml:space="preserve"> manifestations (including arthritis/</w:t>
      </w:r>
      <w:proofErr w:type="spellStart"/>
      <w:r>
        <w:t>arthopathy</w:t>
      </w:r>
      <w:proofErr w:type="spellEnd"/>
      <w:r>
        <w:t xml:space="preserve">, extra-intestinal Crohn’s- </w:t>
      </w:r>
      <w:r w:rsidR="0086733F">
        <w:t>genital</w:t>
      </w:r>
      <w:r>
        <w:t xml:space="preserve">/isolated orofacial, dermatological- erythema </w:t>
      </w:r>
      <w:proofErr w:type="spellStart"/>
      <w:r>
        <w:t>nodosum</w:t>
      </w:r>
      <w:proofErr w:type="spellEnd"/>
      <w:r>
        <w:t xml:space="preserve">/pyoderma </w:t>
      </w:r>
      <w:proofErr w:type="spellStart"/>
      <w:r>
        <w:t>gangrenosum</w:t>
      </w:r>
      <w:proofErr w:type="spellEnd"/>
      <w:r>
        <w:t xml:space="preserve"> and eye disease- u</w:t>
      </w:r>
      <w:r w:rsidR="00766B37">
        <w:t>veitis),</w:t>
      </w:r>
      <w:r w:rsidR="00260CAB">
        <w:t xml:space="preserve"> </w:t>
      </w:r>
      <w:r>
        <w:t>growth failure</w:t>
      </w:r>
      <w:r w:rsidR="00260CAB">
        <w:t xml:space="preserve"> (up to 20% of Crohn’s disease cases) and </w:t>
      </w:r>
      <w:r>
        <w:t>isolated perianal disease in Crohn’s.</w:t>
      </w:r>
    </w:p>
    <w:p w14:paraId="588F1EEF" w14:textId="77777777" w:rsidR="00873919" w:rsidRDefault="0086733F" w:rsidP="00873919">
      <w:pPr>
        <w:spacing w:line="480" w:lineRule="auto"/>
      </w:pPr>
      <w:r>
        <w:t xml:space="preserve">The </w:t>
      </w:r>
      <w:r w:rsidR="00873919">
        <w:t>Porto</w:t>
      </w:r>
      <w:r w:rsidR="000D7678">
        <w:t xml:space="preserve"> criteria,</w:t>
      </w:r>
      <w:r>
        <w:t xml:space="preserve"> and subsequently the modified Porto criteria</w:t>
      </w:r>
      <w:r w:rsidR="000D7678">
        <w:t>,</w:t>
      </w:r>
      <w:r>
        <w:t xml:space="preserve"> have been the diagnostic standard for PIBD since 2005. These publications detail the conditions that must be met for diagnosis to be made, including specific histological features. </w:t>
      </w:r>
    </w:p>
    <w:p w14:paraId="05A28C79" w14:textId="77777777" w:rsidR="00873919" w:rsidRPr="00174009" w:rsidRDefault="00873919" w:rsidP="00873919">
      <w:pPr>
        <w:spacing w:line="480" w:lineRule="auto"/>
        <w:rPr>
          <w:b/>
        </w:rPr>
      </w:pPr>
      <w:r w:rsidRPr="00174009">
        <w:rPr>
          <w:b/>
        </w:rPr>
        <w:t xml:space="preserve">Disease pathogenesis </w:t>
      </w:r>
    </w:p>
    <w:p w14:paraId="47F3A2AC" w14:textId="77777777" w:rsidR="000D7678" w:rsidRDefault="000D7678" w:rsidP="000D7678">
      <w:pPr>
        <w:spacing w:line="480" w:lineRule="auto"/>
      </w:pPr>
      <w:r>
        <w:t>The exact disease pathogenesis in PIBD is unclear. Compared to adult-onset disease t</w:t>
      </w:r>
      <w:r w:rsidRPr="009B077A">
        <w:t>he</w:t>
      </w:r>
      <w:r>
        <w:t>re is a larger genetic component and studies have implicated over 200 genes to date, with other rare (individual) va</w:t>
      </w:r>
      <w:r w:rsidR="00EB69BF">
        <w:t>riation also playing a key role</w:t>
      </w:r>
      <w:r>
        <w:fldChar w:fldCharType="begin">
          <w:fldData xml:space="preserve">PEVuZE5vdGU+PENpdGU+PEF1dGhvcj5GcmFua2U8L0F1dGhvcj48WWVhcj4yMDEwPC9ZZWFyPjxJ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</w:fldData>
        </w:fldChar>
      </w:r>
      <w:r w:rsidRPr="000D7678">
        <w:instrText xml:space="preserve"> ADDIN EN.CITE </w:instrText>
      </w:r>
      <w:r w:rsidRPr="000D7678">
        <w:fldChar w:fldCharType="begin">
          <w:fldData xml:space="preserve">PEVuZE5vdGU+PENpdGU+PEF1dGhvcj5GcmFua2U8L0F1dGhvcj48WWVhcj4yMDEwPC9ZZWFyPjxJ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</w:fldData>
        </w:fldChar>
      </w:r>
      <w:r w:rsidRPr="000D7678">
        <w:instrText xml:space="preserve"> ADDIN EN.CITE.DATA </w:instrText>
      </w:r>
      <w:r w:rsidRPr="000D7678">
        <w:fldChar w:fldCharType="end"/>
      </w:r>
      <w:r>
        <w:fldChar w:fldCharType="end"/>
      </w:r>
      <w:r>
        <w:t xml:space="preserve">. </w:t>
      </w:r>
      <w:r w:rsidR="00574861">
        <w:t>Gene</w:t>
      </w:r>
      <w:r w:rsidR="00574A5F">
        <w:t>s</w:t>
      </w:r>
      <w:r w:rsidR="00574861">
        <w:t xml:space="preserve"> implicated in IBD pathogenesis are related to</w:t>
      </w:r>
      <w:r>
        <w:t xml:space="preserve"> innate or adaptive immunity (</w:t>
      </w:r>
      <w:r w:rsidR="00574861">
        <w:t xml:space="preserve">including </w:t>
      </w:r>
      <w:r>
        <w:t>cell recruitment, regulation and immune tolerance, bacterial recognition and response); epithelial barrier function (</w:t>
      </w:r>
      <w:r w:rsidR="00574861">
        <w:t xml:space="preserve">such as </w:t>
      </w:r>
      <w:r>
        <w:t>tight junctions); intracellular downstream signalling; cellular death (apoptotic, autophagy) and antigen presentation (including dendritic cell activ</w:t>
      </w:r>
      <w:r w:rsidR="00EB69BF">
        <w:t>ation</w:t>
      </w:r>
      <w:r>
        <w:t xml:space="preserve">. </w:t>
      </w:r>
      <w:r w:rsidR="00272A59">
        <w:t xml:space="preserve">The best known IBD risk </w:t>
      </w:r>
      <w:r w:rsidR="00272A59">
        <w:lastRenderedPageBreak/>
        <w:t>genes are</w:t>
      </w:r>
      <w:r>
        <w:t xml:space="preserve"> </w:t>
      </w:r>
      <w:r w:rsidRPr="00A22C98">
        <w:rPr>
          <w:i/>
        </w:rPr>
        <w:t>NOD2</w:t>
      </w:r>
      <w:r>
        <w:t xml:space="preserve"> and </w:t>
      </w:r>
      <w:r w:rsidRPr="00A22C98">
        <w:rPr>
          <w:i/>
        </w:rPr>
        <w:t>IL10</w:t>
      </w:r>
      <w:r>
        <w:t xml:space="preserve"> (</w:t>
      </w:r>
      <w:r w:rsidR="007A4108">
        <w:t>plus</w:t>
      </w:r>
      <w:r>
        <w:t xml:space="preserve"> </w:t>
      </w:r>
      <w:r w:rsidRPr="00A22C98">
        <w:rPr>
          <w:i/>
        </w:rPr>
        <w:t>IL10</w:t>
      </w:r>
      <w:r>
        <w:t xml:space="preserve"> receptors). </w:t>
      </w:r>
      <w:r w:rsidR="007A4108">
        <w:t>Epigenetic modification of genes has a probable role in disease pathogenesis in some cases, and provide a way for the environment to interact with the genome</w:t>
      </w:r>
      <w:r>
        <w:t xml:space="preserve">. </w:t>
      </w:r>
      <w:r w:rsidR="007A4108">
        <w:t>Additionally</w:t>
      </w:r>
      <w:r>
        <w:t xml:space="preserve"> non-coding regulatory </w:t>
      </w:r>
      <w:r w:rsidR="007A4108">
        <w:t xml:space="preserve">genomic </w:t>
      </w:r>
      <w:r>
        <w:t xml:space="preserve">regions </w:t>
      </w:r>
      <w:r w:rsidR="007A4108">
        <w:t>are likely to contain areas of interest not yet discovered</w:t>
      </w:r>
      <w:r>
        <w:t xml:space="preserve">. </w:t>
      </w:r>
    </w:p>
    <w:p w14:paraId="68B47A79" w14:textId="77777777" w:rsidR="00587E71" w:rsidRDefault="001C2AD9" w:rsidP="000D7678">
      <w:pPr>
        <w:spacing w:line="480" w:lineRule="auto"/>
      </w:pPr>
      <w:r>
        <w:t xml:space="preserve">The role of the microbiome is of great interest, </w:t>
      </w:r>
      <w:r w:rsidR="00E27F30">
        <w:t>and studies have reported</w:t>
      </w:r>
      <w:r>
        <w:t xml:space="preserve"> an altered gut flora (</w:t>
      </w:r>
      <w:proofErr w:type="spellStart"/>
      <w:r>
        <w:t>dysbiosis</w:t>
      </w:r>
      <w:proofErr w:type="spellEnd"/>
      <w:r>
        <w:t>) at diagnosis in IBD (compared to controls)</w:t>
      </w:r>
      <w:r w:rsidR="000D7678">
        <w:fldChar w:fldCharType="begin">
          <w:fldData xml:space="preserve">PEVuZE5vdGU+PENpdGU+PEF1dGhvcj5HZXZlcnM8L0F1dGhvcj48WWVhcj4yMDE0PC9ZZWFyPjxJ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</w:fldData>
        </w:fldChar>
      </w:r>
      <w:r w:rsidR="000D7678" w:rsidRPr="001C2AD9">
        <w:instrText xml:space="preserve"> ADDIN EN.CITE </w:instrText>
      </w:r>
      <w:r w:rsidR="000D7678" w:rsidRPr="001C2AD9">
        <w:fldChar w:fldCharType="begin">
          <w:fldData xml:space="preserve">PEVuZE5vdGU+PENpdGU+PEF1dGhvcj5HZXZlcnM8L0F1dGhvcj48WWVhcj4yMDE0PC9ZZWFyPjxJ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</w:fldData>
        </w:fldChar>
      </w:r>
      <w:r w:rsidR="000D7678" w:rsidRPr="001C2AD9">
        <w:instrText xml:space="preserve"> ADDIN EN.CITE.DATA </w:instrText>
      </w:r>
      <w:r w:rsidR="000D7678" w:rsidRPr="001C2AD9">
        <w:fldChar w:fldCharType="end"/>
      </w:r>
      <w:r w:rsidR="000D7678">
        <w:fldChar w:fldCharType="end"/>
      </w:r>
      <w:r w:rsidR="000D7678" w:rsidRPr="009B077A">
        <w:t xml:space="preserve">. </w:t>
      </w:r>
      <w:r>
        <w:t>It seems to be unlikely that single bacterial species are responsible for disease, rather the entire community, including the functional role of the microbiome, play a more important role in</w:t>
      </w:r>
      <w:r w:rsidR="00EB69BF">
        <w:t xml:space="preserve"> disease pathogenesis</w:t>
      </w:r>
      <w:r>
        <w:t xml:space="preserve">. The direction of causality for the </w:t>
      </w:r>
      <w:proofErr w:type="spellStart"/>
      <w:r>
        <w:t>dysbiosis</w:t>
      </w:r>
      <w:proofErr w:type="spellEnd"/>
      <w:r>
        <w:t xml:space="preserve"> in IBD has not yet been established and further work is required on the </w:t>
      </w:r>
      <w:r w:rsidR="000D7678">
        <w:t xml:space="preserve">interaction of the host </w:t>
      </w:r>
      <w:r>
        <w:t>(</w:t>
      </w:r>
      <w:r w:rsidR="000D7678">
        <w:t>genetic-susceptibility</w:t>
      </w:r>
      <w:r>
        <w:t>)</w:t>
      </w:r>
      <w:r w:rsidR="000D7678">
        <w:t xml:space="preserve"> with</w:t>
      </w:r>
      <w:r w:rsidR="000D7678" w:rsidRPr="009B077A">
        <w:t xml:space="preserve"> environmental factors (such as the intestinal microbiome</w:t>
      </w:r>
      <w:r w:rsidR="000D7678">
        <w:t xml:space="preserve"> and nutrition</w:t>
      </w:r>
      <w:r>
        <w:t xml:space="preserve">). </w:t>
      </w:r>
    </w:p>
    <w:p w14:paraId="6ECB5390" w14:textId="77777777" w:rsidR="000D7678" w:rsidRDefault="00587E71" w:rsidP="000D7678">
      <w:pPr>
        <w:spacing w:line="480" w:lineRule="auto"/>
      </w:pPr>
      <w:r>
        <w:t>The role of nutrition, including diet and overall nutritional status (at diagnosis and during recovery), may play a key role in shaping the intestinal microbiome seen in disease and gene-nutrition interaction has recently been discussed as having a role in cancer pathogenesis, with a potential role in IBD. T</w:t>
      </w:r>
      <w:r w:rsidR="000D7678" w:rsidRPr="009B077A">
        <w:t xml:space="preserve">he interaction between genes, the immune system and the microbial environment is important in the development and </w:t>
      </w:r>
      <w:r>
        <w:t>relapse of</w:t>
      </w:r>
      <w:r w:rsidR="000D7678" w:rsidRPr="009B077A">
        <w:t xml:space="preserve"> inflammation seen in </w:t>
      </w:r>
      <w:r>
        <w:t>IBD</w:t>
      </w:r>
      <w:r w:rsidR="000D7678">
        <w:t xml:space="preserve">. </w:t>
      </w:r>
    </w:p>
    <w:p w14:paraId="0951B2D4" w14:textId="6FE12D07" w:rsidR="000D7678" w:rsidRPr="002A7479" w:rsidRDefault="000D7678" w:rsidP="000D7678">
      <w:pPr>
        <w:spacing w:line="480" w:lineRule="auto"/>
        <w:rPr>
          <w:u w:val="single"/>
        </w:rPr>
      </w:pPr>
      <w:r w:rsidRPr="002A7479">
        <w:rPr>
          <w:u w:val="single"/>
        </w:rPr>
        <w:t xml:space="preserve">Monogenic </w:t>
      </w:r>
      <w:r w:rsidR="00574A5F">
        <w:rPr>
          <w:u w:val="single"/>
        </w:rPr>
        <w:t>IBD</w:t>
      </w:r>
      <w:r w:rsidRPr="002A7479">
        <w:rPr>
          <w:u w:val="single"/>
        </w:rPr>
        <w:t xml:space="preserve"> </w:t>
      </w:r>
    </w:p>
    <w:p w14:paraId="1E4617B4" w14:textId="2B2E6372" w:rsidR="000D7678" w:rsidRDefault="00587E71" w:rsidP="000D7678">
      <w:pPr>
        <w:spacing w:line="480" w:lineRule="auto"/>
      </w:pPr>
      <w:r>
        <w:t xml:space="preserve">A rare subset of around 50 single-gene conditions may present as IBD, most often in very early childhood. These monogenic conditions should be considered in </w:t>
      </w:r>
      <w:r>
        <w:lastRenderedPageBreak/>
        <w:t>those presenting with atypical features (such as frequent infections, &lt; age of 5 years, skin manifestations etc.) and patients refractory to conventional treatment (</w:t>
      </w:r>
      <w:r w:rsidR="00E27F30">
        <w:t>even when older). T</w:t>
      </w:r>
      <w:r>
        <w:t xml:space="preserve">hese patients should be considered for further investigation including genetic testing with next-generation sequencing panels. Identification of these </w:t>
      </w:r>
      <w:r w:rsidR="00574A5F">
        <w:t>high-risk</w:t>
      </w:r>
      <w:r w:rsidR="000D7678">
        <w:t xml:space="preserve"> patients </w:t>
      </w:r>
      <w:r>
        <w:t>is important as many require</w:t>
      </w:r>
      <w:r w:rsidR="000D7678">
        <w:t xml:space="preserve"> need specific surveillance (for malignancy, infection etc.) and </w:t>
      </w:r>
      <w:r>
        <w:t xml:space="preserve">some may </w:t>
      </w:r>
      <w:r w:rsidR="000D7678">
        <w:t>require specific treatments (such as bone marrow transplant</w:t>
      </w:r>
      <w:r>
        <w:t>).</w:t>
      </w:r>
      <w:r w:rsidR="000D7678">
        <w:t xml:space="preserve"> </w:t>
      </w:r>
    </w:p>
    <w:p w14:paraId="02082013" w14:textId="77777777" w:rsidR="00873919" w:rsidRDefault="00873919" w:rsidP="00873919">
      <w:pPr>
        <w:spacing w:line="480" w:lineRule="auto"/>
        <w:rPr>
          <w:b/>
        </w:rPr>
      </w:pPr>
      <w:r w:rsidRPr="00174009">
        <w:rPr>
          <w:b/>
        </w:rPr>
        <w:t>Investigations</w:t>
      </w:r>
    </w:p>
    <w:p w14:paraId="0CC3178D" w14:textId="77777777" w:rsidR="00260CAB" w:rsidRDefault="00032783" w:rsidP="00260CAB">
      <w:pPr>
        <w:spacing w:line="480" w:lineRule="auto"/>
      </w:pPr>
      <w:r>
        <w:t>For general practitioners and general paediatricians, the vast majority of children presenting with diarrhoea or abdominal pain will not have IBD</w:t>
      </w:r>
      <w:r w:rsidR="00766B37">
        <w:t xml:space="preserve"> (figure 1)</w:t>
      </w:r>
      <w:r>
        <w:t xml:space="preserve">. </w:t>
      </w:r>
      <w:r w:rsidR="00DB6239">
        <w:t xml:space="preserve">There is often a significant diagnostic delay for children with IBD, and improving diagnostic speed is important. </w:t>
      </w:r>
      <w:r>
        <w:t>Initial screening for</w:t>
      </w:r>
      <w:r w:rsidR="00260CAB">
        <w:t xml:space="preserve"> children </w:t>
      </w:r>
      <w:r>
        <w:t>clinically suspected to have</w:t>
      </w:r>
      <w:r w:rsidR="00260CAB">
        <w:t xml:space="preserve"> </w:t>
      </w:r>
      <w:r>
        <w:t xml:space="preserve">IBD should include the following </w:t>
      </w:r>
      <w:r w:rsidR="00260CAB">
        <w:t xml:space="preserve">investigations </w:t>
      </w:r>
      <w:r w:rsidR="00766B37">
        <w:t>(table 2)</w:t>
      </w:r>
      <w:r w:rsidR="00260CAB">
        <w:t xml:space="preserve">. </w:t>
      </w:r>
    </w:p>
    <w:p w14:paraId="336B3ADE" w14:textId="77777777" w:rsidR="00260CAB" w:rsidRDefault="00260CAB" w:rsidP="00260CAB">
      <w:pPr>
        <w:pStyle w:val="ListParagraph"/>
        <w:numPr>
          <w:ilvl w:val="0"/>
          <w:numId w:val="7"/>
        </w:numPr>
        <w:spacing w:line="480" w:lineRule="auto"/>
      </w:pPr>
      <w:r>
        <w:t>Inflammatory markers (C-reactive protein, Erythrocyte sedimentation rate)</w:t>
      </w:r>
    </w:p>
    <w:p w14:paraId="33BE1B6D" w14:textId="77777777" w:rsidR="00260CAB" w:rsidRDefault="00260CAB" w:rsidP="00260CAB">
      <w:pPr>
        <w:pStyle w:val="ListParagraph"/>
        <w:numPr>
          <w:ilvl w:val="0"/>
          <w:numId w:val="7"/>
        </w:numPr>
        <w:spacing w:line="480" w:lineRule="auto"/>
      </w:pPr>
      <w:r>
        <w:t>Full blood count</w:t>
      </w:r>
    </w:p>
    <w:p w14:paraId="1F2EE573" w14:textId="77777777" w:rsidR="00260CAB" w:rsidRDefault="00260CAB" w:rsidP="00260CAB">
      <w:pPr>
        <w:pStyle w:val="ListParagraph"/>
        <w:numPr>
          <w:ilvl w:val="0"/>
          <w:numId w:val="7"/>
        </w:numPr>
        <w:spacing w:line="480" w:lineRule="auto"/>
      </w:pPr>
      <w:r>
        <w:t xml:space="preserve">Renal function, Liver function (including albumin, transaminases) </w:t>
      </w:r>
    </w:p>
    <w:p w14:paraId="65253B7D" w14:textId="77777777" w:rsidR="00260CAB" w:rsidRDefault="00260CAB" w:rsidP="00260CAB">
      <w:pPr>
        <w:pStyle w:val="ListParagraph"/>
        <w:numPr>
          <w:ilvl w:val="0"/>
          <w:numId w:val="7"/>
        </w:numPr>
        <w:spacing w:line="480" w:lineRule="auto"/>
      </w:pPr>
      <w:r>
        <w:t xml:space="preserve">Faecal calprotectin </w:t>
      </w:r>
    </w:p>
    <w:p w14:paraId="60681046" w14:textId="77777777" w:rsidR="00260CAB" w:rsidRDefault="00260CAB" w:rsidP="00260CAB">
      <w:pPr>
        <w:pStyle w:val="ListParagraph"/>
        <w:numPr>
          <w:ilvl w:val="0"/>
          <w:numId w:val="7"/>
        </w:numPr>
        <w:spacing w:line="480" w:lineRule="auto"/>
      </w:pPr>
      <w:r>
        <w:t xml:space="preserve">Stool microscopy and culture </w:t>
      </w:r>
      <w:r w:rsidR="007E2E80">
        <w:t>or Stool pathogen PCR</w:t>
      </w:r>
      <w:r w:rsidR="00E27F30">
        <w:t>. C diff toxin</w:t>
      </w:r>
    </w:p>
    <w:p w14:paraId="13453821" w14:textId="77777777" w:rsidR="00260CAB" w:rsidRDefault="00260CAB" w:rsidP="00260CAB">
      <w:pPr>
        <w:spacing w:line="480" w:lineRule="auto"/>
      </w:pPr>
      <w:r>
        <w:lastRenderedPageBreak/>
        <w:t xml:space="preserve">An abdominal ultrasound </w:t>
      </w:r>
      <w:r w:rsidR="00470623">
        <w:t>may</w:t>
      </w:r>
      <w:r>
        <w:t xml:space="preserve"> be considered</w:t>
      </w:r>
      <w:r w:rsidR="00470623">
        <w:t>, a</w:t>
      </w:r>
      <w:r>
        <w:t xml:space="preserve"> normal ultrasound does not exclude </w:t>
      </w:r>
      <w:r w:rsidR="00470623">
        <w:t>IBD</w:t>
      </w:r>
      <w:r w:rsidR="00032783">
        <w:t xml:space="preserve"> and radiology should only be used in areas with suitable expertise to perform and interpret the results</w:t>
      </w:r>
      <w:r>
        <w:t xml:space="preserve">. </w:t>
      </w:r>
    </w:p>
    <w:p w14:paraId="618716A3" w14:textId="77777777" w:rsidR="00260CAB" w:rsidRPr="006C698B" w:rsidRDefault="00470623" w:rsidP="00260CAB">
      <w:pPr>
        <w:spacing w:line="480" w:lineRule="auto"/>
      </w:pPr>
      <w:r>
        <w:t xml:space="preserve">Faecal calprotectin has an emerging role for screening and decision making for progression to diagnostic endoscopy. </w:t>
      </w:r>
      <w:r w:rsidR="00260CAB">
        <w:t xml:space="preserve"> </w:t>
      </w:r>
      <w:r w:rsidR="00F97FA6">
        <w:t>The</w:t>
      </w:r>
      <w:r w:rsidR="00260CAB">
        <w:t xml:space="preserve"> diagnostic accuracy of faecal calprotectin in older children, as assessed by systematic review and meta-analysis, is</w:t>
      </w:r>
      <w:r w:rsidR="00F97FA6">
        <w:t xml:space="preserve"> highly</w:t>
      </w:r>
      <w:r w:rsidR="00260CAB">
        <w:t xml:space="preserve"> sensitive (0.978)</w:t>
      </w:r>
      <w:r w:rsidR="00F97FA6">
        <w:t xml:space="preserve"> but not specific (0.682)</w:t>
      </w:r>
      <w:r w:rsidR="00260CAB">
        <w:t xml:space="preserve">. </w:t>
      </w:r>
      <w:r w:rsidR="00BE4A74">
        <w:t xml:space="preserve">This enables the </w:t>
      </w:r>
      <w:r w:rsidR="00BE4A74" w:rsidRPr="00BE4A74">
        <w:t xml:space="preserve">high negative predictive value of a normal faecal calprotectin (levels &lt;50 micrograms/gm) </w:t>
      </w:r>
      <w:r w:rsidR="00BE4A74">
        <w:t>to</w:t>
      </w:r>
      <w:r w:rsidR="00BE4A74" w:rsidRPr="00BE4A74">
        <w:t xml:space="preserve"> be utili</w:t>
      </w:r>
      <w:r w:rsidR="00BE4A74">
        <w:t>s</w:t>
      </w:r>
      <w:r w:rsidR="00BE4A74" w:rsidRPr="00BE4A74">
        <w:t>ed in risk stratification and screening of children with suspected IBD</w:t>
      </w:r>
      <w:r w:rsidR="00BE4A74">
        <w:t>, excluding the need for endoscopy in almost all cases.</w:t>
      </w:r>
      <w:r w:rsidR="00BE4A74" w:rsidRPr="00BE4A74">
        <w:t xml:space="preserve"> </w:t>
      </w:r>
      <w:r w:rsidR="00F97FA6">
        <w:t xml:space="preserve">A normal faecal calprotectin does not </w:t>
      </w:r>
      <w:r w:rsidR="007334C9">
        <w:t xml:space="preserve">completely </w:t>
      </w:r>
      <w:r w:rsidR="00F97FA6">
        <w:t xml:space="preserve">exclude IBD but </w:t>
      </w:r>
      <w:r w:rsidR="007334C9">
        <w:t xml:space="preserve">in the context of normal bloods </w:t>
      </w:r>
      <w:r w:rsidR="00F97FA6">
        <w:t xml:space="preserve">is </w:t>
      </w:r>
      <w:r w:rsidR="007334C9">
        <w:t>very</w:t>
      </w:r>
      <w:r w:rsidR="00F97FA6">
        <w:t xml:space="preserve"> reassuring</w:t>
      </w:r>
      <w:r w:rsidR="00260CAB">
        <w:t xml:space="preserve">. </w:t>
      </w:r>
      <w:r w:rsidR="00F97FA6">
        <w:t>The role of f</w:t>
      </w:r>
      <w:r w:rsidR="00260CAB">
        <w:t xml:space="preserve">aecal calprotectin </w:t>
      </w:r>
      <w:r w:rsidR="00F97FA6">
        <w:t>in younger patients</w:t>
      </w:r>
      <w:r w:rsidR="00BE4A74">
        <w:t xml:space="preserve"> (&lt;5 years of age)</w:t>
      </w:r>
      <w:r w:rsidR="00F97FA6">
        <w:t xml:space="preserve"> is less certain and may be raised in normal children. Faecal calprotectin is also emerging </w:t>
      </w:r>
      <w:r w:rsidR="00260CAB">
        <w:t xml:space="preserve">(in conjunction with clinical and serological markers) </w:t>
      </w:r>
      <w:r w:rsidR="00F97FA6">
        <w:t>as a tests for</w:t>
      </w:r>
      <w:r w:rsidR="00260CAB">
        <w:t xml:space="preserve"> monitor</w:t>
      </w:r>
      <w:r w:rsidR="00F97FA6">
        <w:t>ing</w:t>
      </w:r>
      <w:r w:rsidR="00260CAB">
        <w:t xml:space="preserve"> disease activity. </w:t>
      </w:r>
    </w:p>
    <w:p w14:paraId="167C6474" w14:textId="77777777" w:rsidR="00260CAB" w:rsidRPr="00256CB2" w:rsidRDefault="00260CAB" w:rsidP="00260CAB">
      <w:pPr>
        <w:spacing w:line="480" w:lineRule="auto"/>
        <w:rPr>
          <w:b/>
          <w:u w:val="single"/>
        </w:rPr>
      </w:pPr>
      <w:r w:rsidRPr="00256CB2">
        <w:rPr>
          <w:b/>
          <w:u w:val="single"/>
        </w:rPr>
        <w:t xml:space="preserve">Diagnostic testing </w:t>
      </w:r>
    </w:p>
    <w:p w14:paraId="3D266592" w14:textId="69B6C000" w:rsidR="00260CAB" w:rsidRDefault="007E2E80" w:rsidP="00260CAB">
      <w:pPr>
        <w:spacing w:line="480" w:lineRule="auto"/>
      </w:pPr>
      <w:r>
        <w:t>P</w:t>
      </w:r>
      <w:r w:rsidR="00260CAB">
        <w:t xml:space="preserve">IBD </w:t>
      </w:r>
      <w:r>
        <w:t>diagnosis (based on the Porto criteria) requires</w:t>
      </w:r>
      <w:r w:rsidR="00260CAB">
        <w:t xml:space="preserve"> all patients </w:t>
      </w:r>
      <w:r>
        <w:t>to</w:t>
      </w:r>
      <w:r w:rsidR="00260CAB">
        <w:t xml:space="preserve"> undergo upper and lower gastrointestinal endoscopy with histological examination (</w:t>
      </w:r>
      <w:r>
        <w:t xml:space="preserve">to include </w:t>
      </w:r>
      <w:r w:rsidR="00260CAB">
        <w:t>oesophagus, stomach, duodenum, terminal ile</w:t>
      </w:r>
      <w:r>
        <w:t>um, colonic series and rectum)</w:t>
      </w:r>
      <w:r w:rsidR="00260CAB">
        <w:t xml:space="preserve">. </w:t>
      </w:r>
      <w:r>
        <w:t>This should be under the care and guidance of a</w:t>
      </w:r>
      <w:r w:rsidR="00260CAB">
        <w:t xml:space="preserve"> specialist paediatric gastroenterologist</w:t>
      </w:r>
      <w:r w:rsidR="00766B37">
        <w:t xml:space="preserve"> (figure 1)</w:t>
      </w:r>
      <w:r w:rsidR="00260CAB">
        <w:t>.</w:t>
      </w:r>
      <w:r>
        <w:t xml:space="preserve"> </w:t>
      </w:r>
      <w:r w:rsidR="00FF4CE2">
        <w:t>According to ECCO/ESPGHAN recommendations s</w:t>
      </w:r>
      <w:r w:rsidR="00260CAB">
        <w:t xml:space="preserve">mall </w:t>
      </w:r>
      <w:r w:rsidR="00260CAB">
        <w:lastRenderedPageBreak/>
        <w:t>bowel imaging (MRI, contrast study or ultrasound) is recommended in all suspected cases but may be deferred in ulcerative colitis depending on the clinical presentation</w:t>
      </w:r>
      <w:r w:rsidR="00574A5F">
        <w:t xml:space="preserve">. </w:t>
      </w:r>
      <w:r w:rsidR="00FF4CE2">
        <w:t>CT imaging is very rarely indicated</w:t>
      </w:r>
      <w:r w:rsidR="00574A5F">
        <w:t xml:space="preserve"> as part of the diagnostic work up.</w:t>
      </w:r>
    </w:p>
    <w:p w14:paraId="05136B0F" w14:textId="04B1EE9E" w:rsidR="00260CAB" w:rsidRDefault="00D723CC" w:rsidP="00260CAB">
      <w:pPr>
        <w:spacing w:line="480" w:lineRule="auto"/>
      </w:pPr>
      <w:r>
        <w:t xml:space="preserve">The diagnosis of IBD must be confirmed histologically by a paediatric </w:t>
      </w:r>
      <w:proofErr w:type="spellStart"/>
      <w:r>
        <w:t>histopathologist</w:t>
      </w:r>
      <w:proofErr w:type="spellEnd"/>
      <w:r>
        <w:t xml:space="preserve">, in discussion with the clinical team. Features of disease include </w:t>
      </w:r>
      <w:r w:rsidR="00260CAB">
        <w:t>presence of inflammatory changes in the mucosa (acute or chronic gastritis/</w:t>
      </w:r>
      <w:proofErr w:type="spellStart"/>
      <w:r w:rsidR="00260CAB">
        <w:t>duodenitis</w:t>
      </w:r>
      <w:proofErr w:type="spellEnd"/>
      <w:r w:rsidR="00260CAB">
        <w:t xml:space="preserve">/oesophagitis, </w:t>
      </w:r>
      <w:proofErr w:type="spellStart"/>
      <w:r w:rsidR="00260CAB">
        <w:t>cryptitis</w:t>
      </w:r>
      <w:proofErr w:type="spellEnd"/>
      <w:r w:rsidR="00260CAB">
        <w:t>, crypt abscesses, and granulomas</w:t>
      </w:r>
      <w:r w:rsidR="00D8411B">
        <w:t>- in Crohn’s disease only</w:t>
      </w:r>
      <w:r w:rsidR="00260CAB">
        <w:t xml:space="preserve">), architectural abnormalities (crypt distortion, crypt branching, and crypt atrophy), and epithelial abnormalities such as mucin depletion and metaplasia, alongside surface irregularities (epithelial active/regenerative changes). </w:t>
      </w:r>
      <w:r>
        <w:t>Differentiation of Crohn’s disease and ulcerative colit</w:t>
      </w:r>
      <w:r w:rsidR="00B8572C">
        <w:t>is may sometimes be</w:t>
      </w:r>
      <w:r w:rsidR="00D8411B">
        <w:t xml:space="preserve"> difficult and may require further imaging</w:t>
      </w:r>
      <w:r w:rsidR="00574A5F">
        <w:t>. A</w:t>
      </w:r>
      <w:r w:rsidR="00D8411B">
        <w:t xml:space="preserve"> diagnosis of inflammatory bowel disease unclassified</w:t>
      </w:r>
      <w:r w:rsidR="006F0019">
        <w:t xml:space="preserve"> (IBDU)</w:t>
      </w:r>
      <w:r w:rsidR="00574A5F">
        <w:t>, inflammatory bowel disease without specific features of Crohn’s disease or ulcerative colitis</w:t>
      </w:r>
      <w:r w:rsidR="007E5695">
        <w:t>,</w:t>
      </w:r>
      <w:r w:rsidR="00D8411B">
        <w:t xml:space="preserve"> should be made based on published guidance</w:t>
      </w:r>
      <w:r w:rsidR="00260CAB">
        <w:t xml:space="preserve">. </w:t>
      </w:r>
    </w:p>
    <w:p w14:paraId="54FEC9D5" w14:textId="77777777" w:rsidR="00260CAB" w:rsidRDefault="00D8411B" w:rsidP="00260CAB">
      <w:pPr>
        <w:spacing w:line="480" w:lineRule="auto"/>
      </w:pPr>
      <w:r>
        <w:t>Grouping of disease by site of</w:t>
      </w:r>
      <w:r w:rsidR="00260CAB">
        <w:t xml:space="preserve"> </w:t>
      </w:r>
      <w:r>
        <w:t xml:space="preserve">inflammation is through the Paris classification and is based </w:t>
      </w:r>
      <w:r w:rsidR="00260CAB">
        <w:t xml:space="preserve">on endoscopic </w:t>
      </w:r>
      <w:r>
        <w:t>and radiological disease extent</w:t>
      </w:r>
      <w:r w:rsidR="00260CAB">
        <w:t xml:space="preserve">. </w:t>
      </w:r>
      <w:r>
        <w:t xml:space="preserve">Due to more extensive histological disease (compared to endoscopic) modification of the classification to incorporate this has been discussed by several groups. </w:t>
      </w:r>
      <w:r w:rsidR="006F0019">
        <w:t xml:space="preserve">There is an emerging role for capsule endoscopy in paediatric IBD for assessment of small bowel disease and IBDU. </w:t>
      </w:r>
    </w:p>
    <w:p w14:paraId="4D91D0BC" w14:textId="77777777" w:rsidR="00260CAB" w:rsidRDefault="006F0019" w:rsidP="00260CAB">
      <w:pPr>
        <w:spacing w:line="480" w:lineRule="auto"/>
      </w:pPr>
      <w:r>
        <w:lastRenderedPageBreak/>
        <w:t>Further specialist testing, including a</w:t>
      </w:r>
      <w:r w:rsidR="00260CAB">
        <w:t xml:space="preserve">dditional serology </w:t>
      </w:r>
      <w:r>
        <w:t>may</w:t>
      </w:r>
      <w:r w:rsidR="00260CAB">
        <w:t xml:space="preserve"> be considered </w:t>
      </w:r>
      <w:r w:rsidR="00C72CB1">
        <w:t xml:space="preserve">but tests </w:t>
      </w:r>
      <w:r>
        <w:t>are often</w:t>
      </w:r>
      <w:r w:rsidR="00260CAB">
        <w:t xml:space="preserve"> not helpful in </w:t>
      </w:r>
      <w:r>
        <w:t>differentiation of disease subtype</w:t>
      </w:r>
      <w:r w:rsidR="00260CAB">
        <w:t xml:space="preserve">. Anti-Saccharomyces cerevisiae antibodies (ASCA) are common in </w:t>
      </w:r>
      <w:r>
        <w:t>Crohn’s disease (50-70%, p</w:t>
      </w:r>
      <w:r w:rsidR="00260CAB" w:rsidRPr="00631D7E">
        <w:t xml:space="preserve">erinuclear </w:t>
      </w:r>
      <w:r w:rsidR="00260CAB">
        <w:t>a</w:t>
      </w:r>
      <w:r w:rsidR="00260CAB" w:rsidRPr="00631D7E">
        <w:t>nti-</w:t>
      </w:r>
      <w:r w:rsidR="00260CAB">
        <w:t>n</w:t>
      </w:r>
      <w:r w:rsidR="00260CAB" w:rsidRPr="00631D7E">
        <w:t xml:space="preserve">eutrophil </w:t>
      </w:r>
      <w:r w:rsidR="00260CAB">
        <w:t>c</w:t>
      </w:r>
      <w:r w:rsidR="00260CAB" w:rsidRPr="00631D7E">
        <w:t xml:space="preserve">ytoplasmic </w:t>
      </w:r>
      <w:r w:rsidR="00260CAB">
        <w:t>a</w:t>
      </w:r>
      <w:r w:rsidR="00260CAB" w:rsidRPr="00631D7E">
        <w:t>ntibodies</w:t>
      </w:r>
      <w:r w:rsidR="00260CAB">
        <w:t xml:space="preserve"> (</w:t>
      </w:r>
      <w:proofErr w:type="spellStart"/>
      <w:r w:rsidR="00260CAB">
        <w:t>pANCA</w:t>
      </w:r>
      <w:proofErr w:type="spellEnd"/>
      <w:r w:rsidR="00260CAB">
        <w:t>) are more c</w:t>
      </w:r>
      <w:r w:rsidR="00C72CB1">
        <w:t>ommon in ulcerative colitis (</w:t>
      </w:r>
      <w:r w:rsidR="00260CAB">
        <w:t xml:space="preserve">70%) but may exist in up to </w:t>
      </w:r>
      <w:r w:rsidR="00C72CB1">
        <w:t xml:space="preserve">half </w:t>
      </w:r>
      <w:r w:rsidR="00260CAB">
        <w:t>of Crohn’s disease patients.</w:t>
      </w:r>
      <w:r>
        <w:t xml:space="preserve"> Genetic panels (including next-generation sequencing)</w:t>
      </w:r>
      <w:r w:rsidR="00C72CB1">
        <w:t xml:space="preserve">, </w:t>
      </w:r>
      <w:r>
        <w:t>centred on the 52 g</w:t>
      </w:r>
      <w:r w:rsidR="00C72CB1">
        <w:t>enes described in monogenic IBD</w:t>
      </w:r>
      <w:r>
        <w:t xml:space="preserve"> should be considered for patients presenting with infantile (&lt;2 years) or very early-onset disease (&lt;6 years), or for those with atypical features. </w:t>
      </w:r>
    </w:p>
    <w:p w14:paraId="6E01ACC3" w14:textId="77777777" w:rsidR="00A10FB7" w:rsidRPr="00A10FB7" w:rsidRDefault="00A10FB7" w:rsidP="00A10FB7">
      <w:pPr>
        <w:spacing w:line="480" w:lineRule="auto"/>
        <w:rPr>
          <w:b/>
          <w:u w:val="single"/>
        </w:rPr>
      </w:pPr>
      <w:r>
        <w:rPr>
          <w:b/>
          <w:u w:val="single"/>
        </w:rPr>
        <w:t>D</w:t>
      </w:r>
      <w:r w:rsidRPr="00A10FB7">
        <w:rPr>
          <w:b/>
          <w:u w:val="single"/>
        </w:rPr>
        <w:t xml:space="preserve">ifferential diagnoses </w:t>
      </w:r>
    </w:p>
    <w:p w14:paraId="514DA754" w14:textId="391BC604" w:rsidR="00C60356" w:rsidRDefault="00A10FB7" w:rsidP="00A10FB7">
      <w:pPr>
        <w:spacing w:line="480" w:lineRule="auto"/>
      </w:pPr>
      <w:r>
        <w:t>Children presenting with features of IBD such as abdominal pain, diarrhoea</w:t>
      </w:r>
      <w:r w:rsidRPr="00A10FB7">
        <w:t xml:space="preserve"> </w:t>
      </w:r>
      <w:r>
        <w:t xml:space="preserve">and blood in stools may not </w:t>
      </w:r>
      <w:r w:rsidR="00574A5F">
        <w:t>have</w:t>
      </w:r>
      <w:r>
        <w:t xml:space="preserve"> IBD. Many common conditions seen in the general paediatric clinic such as functional gastrointestinal disorders</w:t>
      </w:r>
      <w:r w:rsidR="00F75A0D">
        <w:t xml:space="preserve"> (abdominal pain, abdominal migraine </w:t>
      </w:r>
      <w:proofErr w:type="spellStart"/>
      <w:r w:rsidR="00F75A0D">
        <w:t>etc</w:t>
      </w:r>
      <w:proofErr w:type="spellEnd"/>
      <w:r w:rsidR="00F75A0D">
        <w:t>)</w:t>
      </w:r>
      <w:r>
        <w:t xml:space="preserve">, </w:t>
      </w:r>
      <w:r w:rsidR="00F75A0D">
        <w:t xml:space="preserve">toddler’s diarrhoea, </w:t>
      </w:r>
      <w:r>
        <w:t xml:space="preserve">constipation </w:t>
      </w:r>
      <w:r w:rsidR="00F75A0D">
        <w:t xml:space="preserve">and </w:t>
      </w:r>
      <w:r>
        <w:t>coeliac disease</w:t>
      </w:r>
      <w:r w:rsidR="00F75A0D">
        <w:t xml:space="preserve"> may be confused with IBD</w:t>
      </w:r>
      <w:r>
        <w:t xml:space="preserve">. </w:t>
      </w:r>
      <w:r w:rsidR="00C60356">
        <w:t xml:space="preserve">Conversely it is important that the differential diagnosis of IBD is not excluded due to young age, atypical symptoms or co-existing pathology (such as </w:t>
      </w:r>
      <w:proofErr w:type="spellStart"/>
      <w:r w:rsidR="00C60356">
        <w:t>neurodisability</w:t>
      </w:r>
      <w:proofErr w:type="spellEnd"/>
      <w:r w:rsidR="00C60356">
        <w:t xml:space="preserve">, coeliac disease etc.). </w:t>
      </w:r>
    </w:p>
    <w:p w14:paraId="2B193056" w14:textId="77777777" w:rsidR="00574A5F" w:rsidRDefault="00C60356" w:rsidP="00A10FB7">
      <w:pPr>
        <w:spacing w:line="480" w:lineRule="auto"/>
      </w:pPr>
      <w:r>
        <w:t>Excluding gastroenteritis</w:t>
      </w:r>
      <w:r w:rsidR="00A10FB7">
        <w:t xml:space="preserve"> as a cause for acute or chronic symptoms </w:t>
      </w:r>
      <w:r>
        <w:t xml:space="preserve">is very important </w:t>
      </w:r>
      <w:r w:rsidR="00A10FB7">
        <w:t>as this is often easily treatable</w:t>
      </w:r>
      <w:r w:rsidR="00574A5F">
        <w:t xml:space="preserve"> or in most cases requires no specific treatment</w:t>
      </w:r>
      <w:r w:rsidR="00A10FB7">
        <w:t xml:space="preserve">. </w:t>
      </w:r>
    </w:p>
    <w:p w14:paraId="00601F86" w14:textId="77777777" w:rsidR="00A10FB7" w:rsidRPr="00533E8B" w:rsidRDefault="00C60356" w:rsidP="00A10FB7">
      <w:pPr>
        <w:spacing w:line="480" w:lineRule="auto"/>
      </w:pPr>
      <w:r>
        <w:lastRenderedPageBreak/>
        <w:t>There should be a</w:t>
      </w:r>
      <w:r w:rsidR="00A10FB7">
        <w:t xml:space="preserve"> low threshold for basic investigations</w:t>
      </w:r>
      <w:r>
        <w:t xml:space="preserve"> (bloods, faecal calprotectin)</w:t>
      </w:r>
      <w:r w:rsidR="00A10FB7">
        <w:t xml:space="preserve"> in children who have chronic gut symptoms</w:t>
      </w:r>
      <w:r>
        <w:t>, but it is important to remember that red flag symptoms should not be ignored and urgent referral to tertiary care should not be delayed</w:t>
      </w:r>
      <w:r w:rsidR="00A10FB7">
        <w:t xml:space="preserve">. </w:t>
      </w:r>
    </w:p>
    <w:p w14:paraId="02A607B6" w14:textId="77777777" w:rsidR="00E844C3" w:rsidRPr="00256CB2" w:rsidRDefault="00E844C3" w:rsidP="00E844C3">
      <w:pPr>
        <w:spacing w:line="480" w:lineRule="auto"/>
        <w:rPr>
          <w:b/>
          <w:u w:val="single"/>
        </w:rPr>
      </w:pPr>
      <w:r>
        <w:rPr>
          <w:b/>
          <w:u w:val="single"/>
        </w:rPr>
        <w:t>Management</w:t>
      </w:r>
      <w:r w:rsidRPr="00256CB2">
        <w:rPr>
          <w:b/>
          <w:u w:val="single"/>
        </w:rPr>
        <w:t xml:space="preserve"> strategies </w:t>
      </w:r>
    </w:p>
    <w:p w14:paraId="36829528" w14:textId="77777777" w:rsidR="00E844C3" w:rsidRDefault="00E844C3" w:rsidP="00E844C3">
      <w:pPr>
        <w:spacing w:line="480" w:lineRule="auto"/>
        <w:rPr>
          <w:i/>
          <w:u w:val="single"/>
        </w:rPr>
      </w:pPr>
      <w:r>
        <w:rPr>
          <w:i/>
          <w:u w:val="single"/>
        </w:rPr>
        <w:t>Principles of treatment</w:t>
      </w:r>
    </w:p>
    <w:p w14:paraId="4AA0DEAF" w14:textId="52A63649" w:rsidR="00E844C3" w:rsidRDefault="00E22E9F" w:rsidP="00E844C3">
      <w:pPr>
        <w:spacing w:line="480" w:lineRule="auto"/>
      </w:pPr>
      <w:r>
        <w:t xml:space="preserve">The disease runs a chronic relapsing course. </w:t>
      </w:r>
      <w:r w:rsidR="00E844C3">
        <w:t xml:space="preserve">Safe and quick induction of remission, optimisation </w:t>
      </w:r>
      <w:r>
        <w:t xml:space="preserve">of nutrition </w:t>
      </w:r>
      <w:r w:rsidR="00E844C3">
        <w:t xml:space="preserve">and </w:t>
      </w:r>
      <w:r w:rsidR="007E5695">
        <w:t>maintenance</w:t>
      </w:r>
      <w:r>
        <w:t xml:space="preserve"> of </w:t>
      </w:r>
      <w:r w:rsidR="00E844C3">
        <w:t xml:space="preserve">remission </w:t>
      </w:r>
      <w:r>
        <w:t>are priorities</w:t>
      </w:r>
      <w:r w:rsidR="00E844C3">
        <w:t xml:space="preserve">. </w:t>
      </w:r>
    </w:p>
    <w:p w14:paraId="188BBE36" w14:textId="77777777" w:rsidR="00E844C3" w:rsidRPr="00E418AA" w:rsidRDefault="00E844C3" w:rsidP="00E844C3">
      <w:pPr>
        <w:spacing w:line="480" w:lineRule="auto"/>
        <w:rPr>
          <w:i/>
        </w:rPr>
      </w:pPr>
      <w:r w:rsidRPr="00E418AA">
        <w:rPr>
          <w:i/>
        </w:rPr>
        <w:t xml:space="preserve">Multi-disciplinary care </w:t>
      </w:r>
    </w:p>
    <w:p w14:paraId="440CE0E7" w14:textId="77777777" w:rsidR="00E844C3" w:rsidRPr="00D31DC1" w:rsidRDefault="00DB6239" w:rsidP="00E844C3">
      <w:pPr>
        <w:spacing w:line="480" w:lineRule="auto"/>
      </w:pPr>
      <w:r>
        <w:t>Specialist nurses, dietitians</w:t>
      </w:r>
      <w:r w:rsidR="00E844C3">
        <w:t xml:space="preserve">, </w:t>
      </w:r>
      <w:r>
        <w:t>school teachers</w:t>
      </w:r>
      <w:r w:rsidR="00E844C3">
        <w:t xml:space="preserve"> and psychological services </w:t>
      </w:r>
      <w:r>
        <w:t xml:space="preserve">should all be involved in the care of </w:t>
      </w:r>
      <w:r w:rsidR="002F7F1E">
        <w:t>children with IBD. Impacting on</w:t>
      </w:r>
      <w:r w:rsidR="00E844C3">
        <w:t xml:space="preserve"> long-term management </w:t>
      </w:r>
      <w:r w:rsidR="002F7F1E">
        <w:t>through early intervention and involvement of professionals is important (m</w:t>
      </w:r>
      <w:r w:rsidR="00E844C3">
        <w:t>aintaining good relationships, compliance with medication, family engagement and nutritional optimisation</w:t>
      </w:r>
      <w:r w:rsidR="002F7F1E">
        <w:t>)</w:t>
      </w:r>
      <w:r w:rsidR="00E844C3">
        <w:t xml:space="preserve">. </w:t>
      </w:r>
    </w:p>
    <w:p w14:paraId="3D1CDC1A" w14:textId="77777777" w:rsidR="00E844C3" w:rsidRPr="00E418AA" w:rsidRDefault="00E844C3" w:rsidP="00E844C3">
      <w:pPr>
        <w:spacing w:line="480" w:lineRule="auto"/>
        <w:rPr>
          <w:i/>
        </w:rPr>
      </w:pPr>
      <w:r>
        <w:rPr>
          <w:i/>
        </w:rPr>
        <w:t xml:space="preserve">Nutrition and </w:t>
      </w:r>
      <w:r w:rsidRPr="00E418AA">
        <w:rPr>
          <w:i/>
        </w:rPr>
        <w:t xml:space="preserve">Growth </w:t>
      </w:r>
    </w:p>
    <w:p w14:paraId="1734B7A6" w14:textId="4B5F6920" w:rsidR="00C60356" w:rsidRDefault="00C60356" w:rsidP="00C60356">
      <w:pPr>
        <w:spacing w:line="480" w:lineRule="auto"/>
      </w:pPr>
      <w:r>
        <w:t xml:space="preserve">Nutritional care of patients with both newly diagnosed and established IBD is very important. Patients often present with poor nutritional status, and this may </w:t>
      </w:r>
      <w:r w:rsidR="00D25711">
        <w:t xml:space="preserve">be </w:t>
      </w:r>
      <w:r>
        <w:t>related to poor nutrition absorption and</w:t>
      </w:r>
      <w:r w:rsidR="00D25711">
        <w:t>/or</w:t>
      </w:r>
      <w:r>
        <w:t xml:space="preserve"> poor intake (often related to symptom exacerbation)</w:t>
      </w:r>
      <w:r w:rsidR="00D25711">
        <w:t xml:space="preserve">, </w:t>
      </w:r>
      <w:r>
        <w:t>often seen in both Crohn’s disease and</w:t>
      </w:r>
      <w:r w:rsidR="00D25711">
        <w:t>/or</w:t>
      </w:r>
      <w:r>
        <w:t xml:space="preserve"> ulcerative co</w:t>
      </w:r>
      <w:r>
        <w:lastRenderedPageBreak/>
        <w:t>litis. Personalised management of diet and macro/micronutrient supplementation is important to avoid patients nutritionally impaired</w:t>
      </w:r>
      <w:r w:rsidR="00E22E9F">
        <w:t xml:space="preserve"> or overweight which may impact on the efficacy of medical treatment</w:t>
      </w:r>
      <w:r>
        <w:t>. Nutritional care should be considered in the acute phase, during recovery and subsequently in catch-up growth. Some Crohn’s disease patients will require ongoing maintenance nutritional supplementatio</w:t>
      </w:r>
      <w:r w:rsidR="007E5695">
        <w:t>n to maintain growth, although</w:t>
      </w:r>
      <w:r>
        <w:t xml:space="preserve"> </w:t>
      </w:r>
      <w:r w:rsidR="002D089B">
        <w:t xml:space="preserve">the </w:t>
      </w:r>
      <w:r>
        <w:t xml:space="preserve">role </w:t>
      </w:r>
      <w:r w:rsidR="002D089B">
        <w:t xml:space="preserve">of nutritional supplements in the prevention of </w:t>
      </w:r>
      <w:r>
        <w:t xml:space="preserve">relapse </w:t>
      </w:r>
      <w:r w:rsidR="002D089B">
        <w:t>is controversial</w:t>
      </w:r>
      <w:r>
        <w:t xml:space="preserve">. </w:t>
      </w:r>
    </w:p>
    <w:p w14:paraId="5C762BDA" w14:textId="77777777" w:rsidR="00C60356" w:rsidRPr="00736515" w:rsidRDefault="00C60356" w:rsidP="00C60356">
      <w:pPr>
        <w:spacing w:line="480" w:lineRule="auto"/>
      </w:pPr>
      <w:r>
        <w:t>During induction therapy (see below for EEN) there should be careful consideration and assessment of nutritional status by a</w:t>
      </w:r>
      <w:r w:rsidRPr="00A16DE8">
        <w:rPr>
          <w:rFonts w:cs="Times New Roman"/>
          <w:lang w:val="en-US"/>
        </w:rPr>
        <w:t xml:space="preserve"> dietitian with an interest in IBD. This assessment should include:</w:t>
      </w:r>
    </w:p>
    <w:p w14:paraId="3C7D2E26" w14:textId="77777777" w:rsidR="00C60356" w:rsidRPr="00A16DE8" w:rsidRDefault="00C60356" w:rsidP="00C60356">
      <w:pPr>
        <w:pStyle w:val="ListParagraph"/>
        <w:widowControl w:val="0"/>
        <w:numPr>
          <w:ilvl w:val="0"/>
          <w:numId w:val="10"/>
        </w:numPr>
        <w:autoSpaceDE w:val="0"/>
        <w:autoSpaceDN w:val="0"/>
        <w:adjustRightInd w:val="0"/>
        <w:spacing w:line="480" w:lineRule="auto"/>
        <w:rPr>
          <w:rFonts w:cs="Times New Roman"/>
          <w:lang w:val="en-US"/>
        </w:rPr>
      </w:pPr>
      <w:r w:rsidRPr="00A16DE8">
        <w:rPr>
          <w:rFonts w:cs="Times New Roman"/>
          <w:lang w:val="en-US"/>
        </w:rPr>
        <w:t xml:space="preserve">Anthropometric measures </w:t>
      </w:r>
      <w:r>
        <w:rPr>
          <w:rFonts w:cs="Times New Roman"/>
          <w:lang w:val="en-US"/>
        </w:rPr>
        <w:t>(weight, height, BMI etc.)</w:t>
      </w:r>
    </w:p>
    <w:p w14:paraId="29604D7C" w14:textId="4B2614C2" w:rsidR="00C60356" w:rsidRDefault="00C60356" w:rsidP="00C60356">
      <w:pPr>
        <w:pStyle w:val="ListParagraph"/>
        <w:widowControl w:val="0"/>
        <w:numPr>
          <w:ilvl w:val="0"/>
          <w:numId w:val="10"/>
        </w:numPr>
        <w:autoSpaceDE w:val="0"/>
        <w:autoSpaceDN w:val="0"/>
        <w:adjustRightInd w:val="0"/>
        <w:spacing w:line="480" w:lineRule="auto"/>
        <w:rPr>
          <w:rFonts w:cs="Times New Roman"/>
          <w:lang w:val="en-US"/>
        </w:rPr>
      </w:pPr>
      <w:r>
        <w:rPr>
          <w:rFonts w:cs="Times New Roman"/>
          <w:lang w:val="en-US"/>
        </w:rPr>
        <w:t xml:space="preserve">Bloods </w:t>
      </w:r>
      <w:r w:rsidR="007E5695">
        <w:rPr>
          <w:rFonts w:cs="Times New Roman"/>
          <w:lang w:val="en-US"/>
        </w:rPr>
        <w:t xml:space="preserve">for </w:t>
      </w:r>
      <w:r w:rsidR="002D089B">
        <w:rPr>
          <w:rFonts w:cs="Times New Roman"/>
          <w:lang w:val="en-US"/>
        </w:rPr>
        <w:t>nutritional status</w:t>
      </w:r>
    </w:p>
    <w:p w14:paraId="6E89542D" w14:textId="77777777" w:rsidR="00C60356" w:rsidRDefault="00C60356" w:rsidP="00C60356">
      <w:pPr>
        <w:pStyle w:val="ListParagraph"/>
        <w:widowControl w:val="0"/>
        <w:numPr>
          <w:ilvl w:val="0"/>
          <w:numId w:val="10"/>
        </w:numPr>
        <w:autoSpaceDE w:val="0"/>
        <w:autoSpaceDN w:val="0"/>
        <w:adjustRightInd w:val="0"/>
        <w:spacing w:line="480" w:lineRule="auto"/>
        <w:rPr>
          <w:rFonts w:cs="Times New Roman"/>
          <w:lang w:val="en-US"/>
        </w:rPr>
      </w:pPr>
      <w:r w:rsidRPr="00736515">
        <w:rPr>
          <w:rFonts w:cs="Times New Roman"/>
          <w:lang w:val="en-US"/>
        </w:rPr>
        <w:t>Assessment of refeeding risk</w:t>
      </w:r>
    </w:p>
    <w:p w14:paraId="256F4327" w14:textId="77777777" w:rsidR="00C60356" w:rsidRDefault="00C60356" w:rsidP="00C60356">
      <w:pPr>
        <w:pStyle w:val="ListParagraph"/>
        <w:widowControl w:val="0"/>
        <w:numPr>
          <w:ilvl w:val="0"/>
          <w:numId w:val="10"/>
        </w:numPr>
        <w:autoSpaceDE w:val="0"/>
        <w:autoSpaceDN w:val="0"/>
        <w:adjustRightInd w:val="0"/>
        <w:spacing w:line="480" w:lineRule="auto"/>
        <w:rPr>
          <w:rFonts w:cs="Times New Roman"/>
          <w:lang w:val="en-US"/>
        </w:rPr>
      </w:pPr>
      <w:r w:rsidRPr="00736515">
        <w:rPr>
          <w:rFonts w:cs="Times New Roman"/>
          <w:lang w:val="en-US"/>
        </w:rPr>
        <w:t xml:space="preserve">Calculation of protein and energy requirements </w:t>
      </w:r>
    </w:p>
    <w:p w14:paraId="386FEBF0" w14:textId="77777777" w:rsidR="00C60356" w:rsidRPr="00736515" w:rsidRDefault="00C60356" w:rsidP="00C60356">
      <w:pPr>
        <w:pStyle w:val="ListParagraph"/>
        <w:widowControl w:val="0"/>
        <w:numPr>
          <w:ilvl w:val="0"/>
          <w:numId w:val="10"/>
        </w:numPr>
        <w:autoSpaceDE w:val="0"/>
        <w:autoSpaceDN w:val="0"/>
        <w:adjustRightInd w:val="0"/>
        <w:spacing w:line="480" w:lineRule="auto"/>
        <w:rPr>
          <w:rFonts w:cs="Times New Roman"/>
          <w:lang w:val="en-US"/>
        </w:rPr>
      </w:pPr>
      <w:r>
        <w:t xml:space="preserve">Consideration of supplementation for </w:t>
      </w:r>
      <w:r w:rsidRPr="00BB0BFC">
        <w:t>children who are underweight for height in order to optimise the response to treatment, wellbeing and growth.</w:t>
      </w:r>
    </w:p>
    <w:p w14:paraId="38BB1594" w14:textId="0EF72348" w:rsidR="00C60356" w:rsidRPr="00E1513E" w:rsidRDefault="00C60356" w:rsidP="00C60356">
      <w:pPr>
        <w:widowControl w:val="0"/>
        <w:autoSpaceDE w:val="0"/>
        <w:autoSpaceDN w:val="0"/>
        <w:adjustRightInd w:val="0"/>
        <w:spacing w:line="480" w:lineRule="auto"/>
        <w:rPr>
          <w:rFonts w:cs="Times New Roman"/>
        </w:rPr>
      </w:pPr>
      <w:r>
        <w:rPr>
          <w:rFonts w:cs="Times New Roman"/>
          <w:lang w:val="en-US"/>
        </w:rPr>
        <w:t>A repeat</w:t>
      </w:r>
      <w:r w:rsidRPr="006030AB">
        <w:rPr>
          <w:rFonts w:cs="Times New Roman"/>
          <w:lang w:val="en-US"/>
        </w:rPr>
        <w:t xml:space="preserve"> full nutritional </w:t>
      </w:r>
      <w:r w:rsidRPr="00E1513E">
        <w:rPr>
          <w:rFonts w:cs="Times New Roman"/>
        </w:rPr>
        <w:t>assessment</w:t>
      </w:r>
      <w:r w:rsidRPr="006030AB">
        <w:rPr>
          <w:rFonts w:cs="Times New Roman"/>
          <w:lang w:val="en-US"/>
        </w:rPr>
        <w:t xml:space="preserve"> should be undertaken again at the end of </w:t>
      </w:r>
      <w:r>
        <w:rPr>
          <w:rFonts w:cs="Times New Roman"/>
          <w:lang w:val="en-US"/>
        </w:rPr>
        <w:t>the induction</w:t>
      </w:r>
      <w:r w:rsidRPr="006030AB">
        <w:rPr>
          <w:rFonts w:cs="Times New Roman"/>
          <w:lang w:val="en-US"/>
        </w:rPr>
        <w:t xml:space="preserve"> </w:t>
      </w:r>
      <w:r>
        <w:rPr>
          <w:rFonts w:cs="Times New Roman"/>
          <w:lang w:val="en-US"/>
        </w:rPr>
        <w:t xml:space="preserve">period, with reassessment at clinic appointment </w:t>
      </w:r>
      <w:r w:rsidRPr="006030AB">
        <w:rPr>
          <w:rFonts w:cs="Times New Roman"/>
          <w:lang w:val="en-US"/>
        </w:rPr>
        <w:t xml:space="preserve">to </w:t>
      </w:r>
      <w:r>
        <w:rPr>
          <w:rFonts w:cs="Times New Roman"/>
          <w:lang w:val="en-US"/>
        </w:rPr>
        <w:t xml:space="preserve">assess the need for ongoing nutritional support. Ensuring </w:t>
      </w:r>
      <w:r w:rsidRPr="00E1513E">
        <w:rPr>
          <w:rFonts w:cs="Times New Roman"/>
        </w:rPr>
        <w:t>paediatric</w:t>
      </w:r>
      <w:r>
        <w:rPr>
          <w:rFonts w:cs="Times New Roman"/>
          <w:lang w:val="en-US"/>
        </w:rPr>
        <w:t xml:space="preserve"> IBD patients grow well and successfully go through puberty is an important </w:t>
      </w:r>
      <w:r w:rsidR="002D089B">
        <w:rPr>
          <w:rFonts w:cs="Times New Roman"/>
          <w:lang w:val="en-US"/>
        </w:rPr>
        <w:t xml:space="preserve">priority </w:t>
      </w:r>
      <w:r>
        <w:rPr>
          <w:rFonts w:cs="Times New Roman"/>
          <w:lang w:val="en-US"/>
        </w:rPr>
        <w:t xml:space="preserve">of management and should </w:t>
      </w:r>
      <w:r>
        <w:rPr>
          <w:rFonts w:cs="Times New Roman"/>
          <w:lang w:val="en-US"/>
        </w:rPr>
        <w:lastRenderedPageBreak/>
        <w:t xml:space="preserve">be guided by good disease control, dietetic input and good nutrition. </w:t>
      </w:r>
    </w:p>
    <w:p w14:paraId="7C379BDD" w14:textId="77777777" w:rsidR="00C60356" w:rsidRPr="00BB0BFC" w:rsidRDefault="00C60356" w:rsidP="00C60356">
      <w:pPr>
        <w:spacing w:line="480" w:lineRule="auto"/>
      </w:pPr>
      <w:r>
        <w:t xml:space="preserve">The impact of over-nutrition should not be ignored and personalised nutritional advice is required to avoid patients becoming overweight or obese. </w:t>
      </w:r>
    </w:p>
    <w:p w14:paraId="7C6369F6" w14:textId="77777777" w:rsidR="00E844C3" w:rsidRDefault="002F7F1E" w:rsidP="00E844C3">
      <w:pPr>
        <w:spacing w:line="480" w:lineRule="auto"/>
        <w:rPr>
          <w:i/>
        </w:rPr>
      </w:pPr>
      <w:r>
        <w:rPr>
          <w:i/>
        </w:rPr>
        <w:t xml:space="preserve">Transition </w:t>
      </w:r>
    </w:p>
    <w:p w14:paraId="0CE50C2A" w14:textId="4228507F" w:rsidR="00E844C3" w:rsidRPr="000A55B2" w:rsidRDefault="002F7F1E" w:rsidP="00E844C3">
      <w:pPr>
        <w:spacing w:line="480" w:lineRule="auto"/>
      </w:pPr>
      <w:r>
        <w:t xml:space="preserve">IBD is a lifelong condition requiring early planning for transition to adult care, general and bespoke services (such as the ready, steady, go program), alongside use of charity materials can be employed to help young people leave paediatric care. Use of specific transition clinics with adult and paediatric gastroenterologists in both </w:t>
      </w:r>
      <w:r w:rsidR="002D089B">
        <w:t xml:space="preserve">specialist </w:t>
      </w:r>
      <w:r>
        <w:t xml:space="preserve">centres and district hospitals </w:t>
      </w:r>
      <w:r w:rsidR="002D089B">
        <w:t>should be in place to help facilitate transition</w:t>
      </w:r>
      <w:r>
        <w:t xml:space="preserve">. </w:t>
      </w:r>
    </w:p>
    <w:p w14:paraId="4A105C3B" w14:textId="77777777" w:rsidR="00E844C3" w:rsidRDefault="00E844C3" w:rsidP="00E844C3">
      <w:pPr>
        <w:spacing w:line="480" w:lineRule="auto"/>
        <w:rPr>
          <w:u w:val="single"/>
        </w:rPr>
      </w:pPr>
      <w:r>
        <w:rPr>
          <w:u w:val="single"/>
        </w:rPr>
        <w:t xml:space="preserve">Specific treatments </w:t>
      </w:r>
      <w:r w:rsidR="00766B37">
        <w:rPr>
          <w:u w:val="single"/>
        </w:rPr>
        <w:t>(table 3)</w:t>
      </w:r>
    </w:p>
    <w:p w14:paraId="70AF2D61" w14:textId="719FAA00" w:rsidR="00E844C3" w:rsidRPr="00C374FC" w:rsidRDefault="008A4723" w:rsidP="00E844C3">
      <w:pPr>
        <w:spacing w:line="480" w:lineRule="auto"/>
      </w:pPr>
      <w:r>
        <w:t>The treatment of</w:t>
      </w:r>
      <w:r w:rsidR="00E844C3">
        <w:t xml:space="preserve"> paediatric IBD</w:t>
      </w:r>
      <w:r>
        <w:t xml:space="preserve"> is discussed in multiple national and international guidelines.</w:t>
      </w:r>
      <w:r w:rsidR="00E844C3" w:rsidRPr="00C374FC">
        <w:t xml:space="preserve"> </w:t>
      </w:r>
      <w:r w:rsidR="00E844C3">
        <w:t xml:space="preserve">All </w:t>
      </w:r>
      <w:r w:rsidR="002D089B">
        <w:t xml:space="preserve">treatments </w:t>
      </w:r>
      <w:r w:rsidR="00E844C3">
        <w:t xml:space="preserve">have potential </w:t>
      </w:r>
      <w:r>
        <w:t>side</w:t>
      </w:r>
      <w:r w:rsidR="00E844C3">
        <w:t xml:space="preserve"> effects</w:t>
      </w:r>
      <w:r>
        <w:t xml:space="preserve"> (except perhaps exclusive enteral nutrition)</w:t>
      </w:r>
      <w:r w:rsidR="00E844C3">
        <w:t xml:space="preserve"> and require a</w:t>
      </w:r>
      <w:r>
        <w:t>ssessment of the</w:t>
      </w:r>
      <w:r w:rsidR="00E844C3">
        <w:t xml:space="preserve"> risk</w:t>
      </w:r>
      <w:r>
        <w:t>s</w:t>
      </w:r>
      <w:r w:rsidR="00E844C3">
        <w:t xml:space="preserve"> </w:t>
      </w:r>
      <w:r>
        <w:t xml:space="preserve">alongside </w:t>
      </w:r>
      <w:r w:rsidR="00E844C3">
        <w:t xml:space="preserve">discussion with </w:t>
      </w:r>
      <w:r>
        <w:t xml:space="preserve">the child/young person and </w:t>
      </w:r>
      <w:r w:rsidR="00E844C3">
        <w:t>fam</w:t>
      </w:r>
      <w:r>
        <w:t>ily</w:t>
      </w:r>
      <w:r w:rsidR="00E844C3">
        <w:t xml:space="preserve"> prior to use.</w:t>
      </w:r>
    </w:p>
    <w:p w14:paraId="0B6CDC4D" w14:textId="77777777" w:rsidR="00E844C3" w:rsidRPr="000362E4" w:rsidRDefault="00E844C3" w:rsidP="00E844C3">
      <w:pPr>
        <w:spacing w:line="480" w:lineRule="auto"/>
        <w:rPr>
          <w:i/>
          <w:u w:val="single"/>
        </w:rPr>
      </w:pPr>
      <w:r w:rsidRPr="000362E4">
        <w:rPr>
          <w:i/>
          <w:u w:val="single"/>
        </w:rPr>
        <w:t>Induction of remission</w:t>
      </w:r>
    </w:p>
    <w:p w14:paraId="6A4C2566" w14:textId="77777777" w:rsidR="00E844C3" w:rsidRPr="000362E4" w:rsidRDefault="000362E4" w:rsidP="00E844C3">
      <w:pPr>
        <w:spacing w:line="480" w:lineRule="auto"/>
      </w:pPr>
      <w:r w:rsidRPr="000362E4">
        <w:t>Inducing remission (at diagnosis or at relapse) requires a treatment choice based on disease severity, location, additional features (perianal disease etc.) and discussion with the child and family</w:t>
      </w:r>
      <w:r w:rsidR="00E844C3" w:rsidRPr="000362E4">
        <w:t xml:space="preserve">. ECCO/ESPGHAN guidelines on treatment of </w:t>
      </w:r>
      <w:r w:rsidRPr="000362E4">
        <w:t>IBD (</w:t>
      </w:r>
      <w:r w:rsidR="00E844C3" w:rsidRPr="000362E4">
        <w:t>Crohn’s disease and ulcerative colitis</w:t>
      </w:r>
      <w:r w:rsidRPr="000362E4">
        <w:t>)</w:t>
      </w:r>
      <w:r w:rsidR="00E844C3" w:rsidRPr="000362E4">
        <w:t xml:space="preserve"> have </w:t>
      </w:r>
      <w:r w:rsidRPr="000362E4">
        <w:t xml:space="preserve">been published within </w:t>
      </w:r>
      <w:r w:rsidRPr="000362E4">
        <w:lastRenderedPageBreak/>
        <w:t xml:space="preserve">the last 6 years and provide a </w:t>
      </w:r>
      <w:r w:rsidR="00E844C3" w:rsidRPr="000362E4">
        <w:t>framework</w:t>
      </w:r>
      <w:r w:rsidRPr="000362E4">
        <w:t xml:space="preserve"> and some exact guidance</w:t>
      </w:r>
      <w:r w:rsidR="00E844C3" w:rsidRPr="000362E4">
        <w:t xml:space="preserve"> for </w:t>
      </w:r>
      <w:r w:rsidRPr="000362E4">
        <w:t>managing disease</w:t>
      </w:r>
      <w:r w:rsidR="00E844C3" w:rsidRPr="000362E4">
        <w:t xml:space="preserve">. </w:t>
      </w:r>
    </w:p>
    <w:p w14:paraId="0643B970" w14:textId="77777777" w:rsidR="00E844C3" w:rsidRPr="00582A0E" w:rsidRDefault="00E844C3" w:rsidP="00E844C3">
      <w:pPr>
        <w:spacing w:line="480" w:lineRule="auto"/>
        <w:rPr>
          <w:i/>
        </w:rPr>
      </w:pPr>
      <w:r w:rsidRPr="00582A0E">
        <w:rPr>
          <w:i/>
        </w:rPr>
        <w:t>Exclusive enteral nutrition (EEN)</w:t>
      </w:r>
    </w:p>
    <w:p w14:paraId="6F2DA912" w14:textId="32C99BC4" w:rsidR="00582A0E" w:rsidRPr="00582A0E" w:rsidRDefault="00E844C3" w:rsidP="00E844C3">
      <w:pPr>
        <w:spacing w:line="480" w:lineRule="auto"/>
      </w:pPr>
      <w:r w:rsidRPr="00582A0E">
        <w:t xml:space="preserve">EEN </w:t>
      </w:r>
      <w:r w:rsidR="00582A0E" w:rsidRPr="00582A0E">
        <w:t xml:space="preserve">can be divided into </w:t>
      </w:r>
      <w:r w:rsidRPr="00582A0E">
        <w:t xml:space="preserve">polymeric feeds </w:t>
      </w:r>
      <w:r w:rsidR="00582A0E" w:rsidRPr="00582A0E">
        <w:t>(</w:t>
      </w:r>
      <w:r w:rsidRPr="00582A0E">
        <w:t xml:space="preserve">such as </w:t>
      </w:r>
      <w:proofErr w:type="spellStart"/>
      <w:r w:rsidRPr="00582A0E">
        <w:t>Modulen</w:t>
      </w:r>
      <w:proofErr w:type="spellEnd"/>
      <w:r w:rsidR="00967775">
        <w:t xml:space="preserve"> IBD </w:t>
      </w:r>
      <w:r w:rsidR="00967775" w:rsidRPr="00967775">
        <w:rPr>
          <w:spacing w:val="-2"/>
          <w:sz w:val="28"/>
          <w:szCs w:val="28"/>
          <w:vertAlign w:val="superscript"/>
        </w:rPr>
        <w:t>®</w:t>
      </w:r>
      <w:r w:rsidRPr="00582A0E">
        <w:t>, Nestle</w:t>
      </w:r>
      <w:r w:rsidR="00582A0E" w:rsidRPr="00582A0E">
        <w:t>)</w:t>
      </w:r>
      <w:r w:rsidRPr="00582A0E">
        <w:t xml:space="preserve"> or elemental feeds </w:t>
      </w:r>
      <w:r w:rsidR="00582A0E" w:rsidRPr="00582A0E">
        <w:t>(</w:t>
      </w:r>
      <w:r w:rsidRPr="00582A0E">
        <w:t>such as E028</w:t>
      </w:r>
      <w:r w:rsidR="00967775" w:rsidRPr="00967775">
        <w:rPr>
          <w:spacing w:val="-2"/>
          <w:sz w:val="28"/>
          <w:szCs w:val="28"/>
          <w:vertAlign w:val="superscript"/>
        </w:rPr>
        <w:t>®</w:t>
      </w:r>
      <w:r w:rsidRPr="00582A0E">
        <w:t xml:space="preserve">, </w:t>
      </w:r>
      <w:proofErr w:type="spellStart"/>
      <w:r w:rsidRPr="00582A0E">
        <w:t>Nutricia</w:t>
      </w:r>
      <w:proofErr w:type="spellEnd"/>
      <w:r w:rsidRPr="00582A0E">
        <w:t>)</w:t>
      </w:r>
      <w:r w:rsidR="00582A0E">
        <w:t xml:space="preserve"> and is taken in the form of a liquid drink for 6-8 weeks with complete </w:t>
      </w:r>
      <w:r w:rsidR="00CE7385">
        <w:t>exclusion</w:t>
      </w:r>
      <w:r w:rsidR="00582A0E">
        <w:t xml:space="preserve"> of all other foods and drinks (typically apart from water, some flavourings and some sugar free sweets)</w:t>
      </w:r>
      <w:r w:rsidR="00582A0E" w:rsidRPr="00582A0E">
        <w:t>. EEN</w:t>
      </w:r>
      <w:r w:rsidRPr="00582A0E">
        <w:t xml:space="preserve"> is </w:t>
      </w:r>
      <w:r w:rsidR="00582A0E" w:rsidRPr="00582A0E">
        <w:t>the</w:t>
      </w:r>
      <w:r w:rsidRPr="00582A0E">
        <w:t xml:space="preserve"> first line treatment in </w:t>
      </w:r>
      <w:r w:rsidR="00582A0E" w:rsidRPr="00582A0E">
        <w:t xml:space="preserve">non-complicated </w:t>
      </w:r>
      <w:r w:rsidRPr="00582A0E">
        <w:t>paediatric Crohn’s disease</w:t>
      </w:r>
      <w:r w:rsidR="00CE7385">
        <w:t>, having a response rate of up to 80%</w:t>
      </w:r>
      <w:proofErr w:type="gramStart"/>
      <w:r w:rsidR="00CE7385">
        <w:t>,</w:t>
      </w:r>
      <w:r w:rsidR="002D089B">
        <w:t>with</w:t>
      </w:r>
      <w:proofErr w:type="gramEnd"/>
      <w:r w:rsidR="002D089B">
        <w:t xml:space="preserve"> appropriate case selection. </w:t>
      </w:r>
      <w:r w:rsidR="002D089B" w:rsidRPr="00582A0E">
        <w:t>There</w:t>
      </w:r>
      <w:r w:rsidR="00582A0E" w:rsidRPr="00582A0E">
        <w:t xml:space="preserve"> is </w:t>
      </w:r>
      <w:r w:rsidRPr="00582A0E">
        <w:t xml:space="preserve">no role for EEN in </w:t>
      </w:r>
      <w:r w:rsidR="00582A0E" w:rsidRPr="00582A0E">
        <w:t xml:space="preserve">treatment of </w:t>
      </w:r>
      <w:r w:rsidRPr="00582A0E">
        <w:t xml:space="preserve">ulcerative </w:t>
      </w:r>
      <w:proofErr w:type="gramStart"/>
      <w:r w:rsidRPr="00582A0E">
        <w:t xml:space="preserve">colitis </w:t>
      </w:r>
      <w:proofErr w:type="gramEnd"/>
      <w:r w:rsidRPr="00582A0E">
        <w:fldChar w:fldCharType="begin">
          <w:fldData xml:space="preserve">PEVuZE5vdGU+PENpdGU+PEF1dGhvcj5UdXJuZXI8L0F1dGhvcj48WWVhcj4yMDEyPC9ZZWFyPjxJ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</w:fldData>
        </w:fldChar>
      </w:r>
      <w:r w:rsidRPr="00582A0E">
        <w:instrText xml:space="preserve"> ADDIN EN.CITE </w:instrText>
      </w:r>
      <w:r w:rsidRPr="00582A0E">
        <w:fldChar w:fldCharType="begin">
          <w:fldData xml:space="preserve">PEVuZE5vdGU+PENpdGU+PEF1dGhvcj5UdXJuZXI8L0F1dGhvcj48WWVhcj4yMDEyPC9ZZWFyPjxJ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</w:fldData>
        </w:fldChar>
      </w:r>
      <w:r w:rsidRPr="00582A0E">
        <w:instrText xml:space="preserve"> ADDIN EN.CITE.DATA </w:instrText>
      </w:r>
      <w:r w:rsidRPr="00582A0E">
        <w:fldChar w:fldCharType="end"/>
      </w:r>
      <w:r w:rsidRPr="00582A0E">
        <w:fldChar w:fldCharType="end"/>
      </w:r>
      <w:r w:rsidRPr="00582A0E">
        <w:t xml:space="preserve">. </w:t>
      </w:r>
      <w:r w:rsidR="00582A0E" w:rsidRPr="00582A0E">
        <w:t xml:space="preserve">There is currently no role for partial enteral nutrition as an induction agent for Crohn’s disease, although </w:t>
      </w:r>
      <w:r w:rsidR="002D089B">
        <w:t>there is</w:t>
      </w:r>
      <w:r w:rsidR="00582A0E" w:rsidRPr="00582A0E">
        <w:t xml:space="preserve"> ongoing </w:t>
      </w:r>
      <w:r w:rsidR="007E5695">
        <w:t xml:space="preserve">research </w:t>
      </w:r>
      <w:r w:rsidR="007E5695" w:rsidRPr="00582A0E">
        <w:t>on</w:t>
      </w:r>
      <w:r w:rsidR="00582A0E" w:rsidRPr="00582A0E">
        <w:t xml:space="preserve"> </w:t>
      </w:r>
      <w:r w:rsidR="002D089B">
        <w:t xml:space="preserve">the role of </w:t>
      </w:r>
      <w:r w:rsidR="00582A0E" w:rsidRPr="00582A0E">
        <w:t xml:space="preserve">exclusion diets </w:t>
      </w:r>
      <w:r w:rsidR="002D089B">
        <w:t>in disease management.</w:t>
      </w:r>
    </w:p>
    <w:p w14:paraId="45BBF7E6" w14:textId="77777777" w:rsidR="002D089B" w:rsidRDefault="00582A0E" w:rsidP="00967775">
      <w:pPr>
        <w:spacing w:line="480" w:lineRule="auto"/>
      </w:pPr>
      <w:r w:rsidRPr="00CE7385">
        <w:t>N</w:t>
      </w:r>
      <w:r w:rsidR="00E844C3" w:rsidRPr="00CE7385">
        <w:t xml:space="preserve">o response </w:t>
      </w:r>
      <w:r w:rsidRPr="00CE7385">
        <w:t xml:space="preserve">to EEN </w:t>
      </w:r>
      <w:r w:rsidR="00E844C3" w:rsidRPr="00CE7385">
        <w:t xml:space="preserve">within 2 weeks </w:t>
      </w:r>
      <w:r w:rsidRPr="00CE7385">
        <w:t xml:space="preserve">should trigger a switch to </w:t>
      </w:r>
      <w:r w:rsidR="00E844C3" w:rsidRPr="00CE7385">
        <w:t xml:space="preserve">an alternative therapy. </w:t>
      </w:r>
    </w:p>
    <w:p w14:paraId="5721FCCF" w14:textId="16A10D32" w:rsidR="00E844C3" w:rsidRPr="00CE7385" w:rsidRDefault="00582A0E" w:rsidP="00967775">
      <w:pPr>
        <w:spacing w:line="480" w:lineRule="auto"/>
      </w:pPr>
      <w:r w:rsidRPr="00CE7385">
        <w:t xml:space="preserve">There is significant evidence of efficacy from multiple studies in paediatric Crohn’s disease, summarised in a recent review and meta-analysis. </w:t>
      </w:r>
      <w:r w:rsidR="00FF5D26" w:rsidRPr="00CE7385">
        <w:t>Additionally</w:t>
      </w:r>
      <w:r w:rsidRPr="00CE7385">
        <w:t xml:space="preserve"> </w:t>
      </w:r>
      <w:r w:rsidR="00E844C3" w:rsidRPr="00CE7385">
        <w:t xml:space="preserve">EEN </w:t>
      </w:r>
      <w:r w:rsidR="00FF5D26" w:rsidRPr="00CE7385">
        <w:t>has</w:t>
      </w:r>
      <w:r w:rsidRPr="00CE7385">
        <w:t xml:space="preserve"> the</w:t>
      </w:r>
      <w:r w:rsidR="00E844C3" w:rsidRPr="00CE7385">
        <w:t xml:space="preserve"> benefit of providing </w:t>
      </w:r>
      <w:r w:rsidR="00FF5D26" w:rsidRPr="00CE7385">
        <w:t>a complete nutrition feed to potentially malnourished children</w:t>
      </w:r>
      <w:r w:rsidR="00E844C3" w:rsidRPr="00CE7385">
        <w:t xml:space="preserve"> with Crohn’s disease</w:t>
      </w:r>
      <w:r w:rsidR="00FF5D26" w:rsidRPr="00CE7385">
        <w:t>.</w:t>
      </w:r>
      <w:r w:rsidR="00E844C3" w:rsidRPr="00CE7385">
        <w:t xml:space="preserve">  </w:t>
      </w:r>
      <w:r w:rsidR="00967775">
        <w:t xml:space="preserve">Motivation (patient, family, and healthcare professionals) is key and ongoing support is needed to maintain compliance. Food reintroduction after a period of enteral nutrition is staged and begins with low-residue foods, new food groups being added every few days over a </w:t>
      </w:r>
      <w:r w:rsidR="00967775">
        <w:lastRenderedPageBreak/>
        <w:t>period of 2–3 weeks. Enteral nutrition is weaned slowly during this period in order to ensure nutritional requirements are met.</w:t>
      </w:r>
    </w:p>
    <w:p w14:paraId="4DEC6B43" w14:textId="77777777" w:rsidR="00E844C3" w:rsidRPr="00CE7385" w:rsidRDefault="00E844C3" w:rsidP="00E844C3">
      <w:pPr>
        <w:spacing w:line="480" w:lineRule="auto"/>
        <w:rPr>
          <w:i/>
        </w:rPr>
      </w:pPr>
      <w:r w:rsidRPr="00CE7385">
        <w:rPr>
          <w:i/>
        </w:rPr>
        <w:t xml:space="preserve">Corticosteroids </w:t>
      </w:r>
    </w:p>
    <w:p w14:paraId="01DBCFEC" w14:textId="77777777" w:rsidR="002D089B" w:rsidRDefault="00CE7385" w:rsidP="00E844C3">
      <w:pPr>
        <w:spacing w:line="480" w:lineRule="auto"/>
      </w:pPr>
      <w:r w:rsidRPr="00CE7385">
        <w:t>In</w:t>
      </w:r>
      <w:r w:rsidR="00E844C3" w:rsidRPr="00CE7385">
        <w:t xml:space="preserve"> moderate/severe Crohn’s disease </w:t>
      </w:r>
      <w:r w:rsidRPr="00CE7385">
        <w:t>the</w:t>
      </w:r>
      <w:r w:rsidR="00E844C3" w:rsidRPr="00CE7385">
        <w:t xml:space="preserve"> second line agent</w:t>
      </w:r>
      <w:r w:rsidRPr="00CE7385">
        <w:t xml:space="preserve"> is oral steroids (consider intravenous steroids in severe pan-enteric or severe perianal disease)</w:t>
      </w:r>
      <w:r w:rsidR="00E844C3" w:rsidRPr="00CE7385">
        <w:t>.</w:t>
      </w:r>
      <w:r w:rsidRPr="00CE7385">
        <w:t xml:space="preserve"> </w:t>
      </w:r>
      <w:r w:rsidR="00E844C3" w:rsidRPr="00CE7385">
        <w:t xml:space="preserve"> </w:t>
      </w:r>
    </w:p>
    <w:p w14:paraId="68C43765" w14:textId="77777777" w:rsidR="002D089B" w:rsidRDefault="002D089B" w:rsidP="00E844C3">
      <w:pPr>
        <w:spacing w:line="480" w:lineRule="auto"/>
      </w:pPr>
    </w:p>
    <w:p w14:paraId="4A8E1368" w14:textId="3B83E326" w:rsidR="00FF4CE2" w:rsidRDefault="00CE7385" w:rsidP="00E844C3">
      <w:pPr>
        <w:spacing w:line="480" w:lineRule="auto"/>
      </w:pPr>
      <w:r w:rsidRPr="00CE7385">
        <w:t>O</w:t>
      </w:r>
      <w:r w:rsidR="00E844C3" w:rsidRPr="00CE7385">
        <w:t xml:space="preserve">ral steroids are recommended </w:t>
      </w:r>
      <w:r w:rsidRPr="00CE7385">
        <w:t>for induction of remission in ulcerative colitis</w:t>
      </w:r>
      <w:r w:rsidR="00E844C3" w:rsidRPr="00CE7385">
        <w:t xml:space="preserve"> </w:t>
      </w:r>
      <w:r w:rsidRPr="00CE7385">
        <w:t xml:space="preserve">presenting with </w:t>
      </w:r>
      <w:r w:rsidR="00E844C3" w:rsidRPr="00CE7385">
        <w:t>moderate/severe disease</w:t>
      </w:r>
      <w:r w:rsidRPr="00CE7385">
        <w:t xml:space="preserve"> (again consider intravenous steroids in severe disease)</w:t>
      </w:r>
      <w:r w:rsidR="00E844C3" w:rsidRPr="00CE7385">
        <w:t>, they have up to a 90% response rate</w:t>
      </w:r>
      <w:r w:rsidRPr="00CE7385">
        <w:t xml:space="preserve"> and may be prescribed in combination with a 5-amino salicylic acid</w:t>
      </w:r>
      <w:r w:rsidR="00DB5FC5">
        <w:t xml:space="preserve"> (5-ASA)</w:t>
      </w:r>
      <w:r w:rsidRPr="00CE7385">
        <w:t xml:space="preserve"> preparation (</w:t>
      </w:r>
      <w:proofErr w:type="spellStart"/>
      <w:r w:rsidRPr="00CE7385">
        <w:t>mesalazine</w:t>
      </w:r>
      <w:proofErr w:type="spellEnd"/>
      <w:r w:rsidRPr="00CE7385">
        <w:t xml:space="preserve">, </w:t>
      </w:r>
      <w:proofErr w:type="spellStart"/>
      <w:r w:rsidRPr="00CE7385">
        <w:t>asacol</w:t>
      </w:r>
      <w:proofErr w:type="spellEnd"/>
      <w:r w:rsidR="00DB5FC5">
        <w:t xml:space="preserve">, </w:t>
      </w:r>
      <w:proofErr w:type="spellStart"/>
      <w:r w:rsidR="00DB5FC5" w:rsidRPr="00DB5FC5">
        <w:t>sulphasalazine</w:t>
      </w:r>
      <w:proofErr w:type="spellEnd"/>
      <w:r w:rsidRPr="00CE7385">
        <w:t xml:space="preserve"> etc.) to induce remission</w:t>
      </w:r>
      <w:r w:rsidR="00A85316">
        <w:t xml:space="preserve">. </w:t>
      </w:r>
      <w:r w:rsidR="00FF4CE2">
        <w:t xml:space="preserve">5-ASA preparations are best avoided early in severe disease as can make symptoms (diarrhoea) worse. </w:t>
      </w:r>
      <w:r w:rsidR="00A85316">
        <w:t>T</w:t>
      </w:r>
      <w:r w:rsidR="00854D0E" w:rsidRPr="00854D0E">
        <w:t xml:space="preserve">he </w:t>
      </w:r>
      <w:r w:rsidR="00E844C3" w:rsidRPr="00854D0E">
        <w:t>dose of prednisolone should be 1mg/kg, up to 40mg, once daily for 2-4 weeks with the dose we</w:t>
      </w:r>
      <w:r w:rsidR="00A85316">
        <w:t>aned over the next 10-12 weeks</w:t>
      </w:r>
      <w:r w:rsidR="00E844C3" w:rsidRPr="00854D0E">
        <w:t xml:space="preserve">. </w:t>
      </w:r>
      <w:r w:rsidR="00854D0E" w:rsidRPr="00854D0E">
        <w:t xml:space="preserve">Steroids should not be used for maintenance therapy and steroid dependence </w:t>
      </w:r>
      <w:r w:rsidR="00FF4CE2">
        <w:t xml:space="preserve">(disease requiring multiple steroid courses to maintain remission or unable to wean off steroids) </w:t>
      </w:r>
      <w:r w:rsidR="00854D0E" w:rsidRPr="00854D0E">
        <w:t xml:space="preserve">should trigger escalation of maintenance therapy. </w:t>
      </w:r>
      <w:r w:rsidR="00FF4CE2">
        <w:t xml:space="preserve">Some disease will be refractory to steroid therapy and this should lead to escalation of immunosuppression with monoclonal therapy. </w:t>
      </w:r>
    </w:p>
    <w:p w14:paraId="478B54F9" w14:textId="77777777" w:rsidR="00FF4CE2" w:rsidRPr="00FF4CE2" w:rsidRDefault="00FF4CE2" w:rsidP="00FF4CE2">
      <w:pPr>
        <w:spacing w:line="480" w:lineRule="auto"/>
      </w:pPr>
      <w:r>
        <w:lastRenderedPageBreak/>
        <w:t>Oral b</w:t>
      </w:r>
      <w:r w:rsidRPr="00FF4CE2">
        <w:t xml:space="preserve">udesonide (which has a high first-pass metabolism and therefore less toxicity) has been used with good effect in </w:t>
      </w:r>
      <w:proofErr w:type="spellStart"/>
      <w:r w:rsidRPr="00FF4CE2">
        <w:t>ileocaecal</w:t>
      </w:r>
      <w:proofErr w:type="spellEnd"/>
      <w:r w:rsidRPr="00FF4CE2">
        <w:t xml:space="preserve"> (right-sided) disease</w:t>
      </w:r>
      <w:r>
        <w:t xml:space="preserve"> and may avoid some of the side effects of prednisolone</w:t>
      </w:r>
      <w:r w:rsidRPr="00FF4CE2">
        <w:t>.</w:t>
      </w:r>
    </w:p>
    <w:p w14:paraId="4747A647" w14:textId="77777777" w:rsidR="00E844C3" w:rsidRDefault="00FF4CE2" w:rsidP="00E844C3">
      <w:pPr>
        <w:spacing w:line="480" w:lineRule="auto"/>
      </w:pPr>
      <w:r>
        <w:t xml:space="preserve">Monitoring of patients with multiple steroid courses is important. </w:t>
      </w:r>
      <w:r w:rsidR="00967775">
        <w:t xml:space="preserve">DEXA scanning of bone mineral density is useful although needs to be interpreted in the context of height, weight, and pubertal status. </w:t>
      </w:r>
      <w:r w:rsidR="00967775" w:rsidRPr="00854D0E">
        <w:t xml:space="preserve"> </w:t>
      </w:r>
      <w:r w:rsidR="00967775">
        <w:t xml:space="preserve">Calcium and vitamin D supplements should be given to children at risk of deficiency, particularly during the adolescent growth spurt. </w:t>
      </w:r>
    </w:p>
    <w:p w14:paraId="22C2D91F" w14:textId="77777777" w:rsidR="00E844C3" w:rsidRPr="00DB5FC5" w:rsidRDefault="00DB5FC5" w:rsidP="00E844C3">
      <w:pPr>
        <w:spacing w:line="480" w:lineRule="auto"/>
        <w:rPr>
          <w:i/>
        </w:rPr>
      </w:pPr>
      <w:r w:rsidRPr="00DB5FC5">
        <w:rPr>
          <w:i/>
        </w:rPr>
        <w:t>Other induction agents</w:t>
      </w:r>
      <w:r w:rsidR="00E844C3" w:rsidRPr="00DB5FC5">
        <w:rPr>
          <w:i/>
        </w:rPr>
        <w:t xml:space="preserve"> </w:t>
      </w:r>
    </w:p>
    <w:p w14:paraId="2810403F" w14:textId="350B7C8D" w:rsidR="00E844C3" w:rsidRPr="00DB5FC5" w:rsidRDefault="00E844C3" w:rsidP="00E844C3">
      <w:pPr>
        <w:spacing w:line="480" w:lineRule="auto"/>
      </w:pPr>
      <w:r w:rsidRPr="00DB5FC5">
        <w:t xml:space="preserve">5-ASA preparations </w:t>
      </w:r>
      <w:r w:rsidR="00DB5FC5" w:rsidRPr="00DB5FC5">
        <w:t xml:space="preserve">can be used as </w:t>
      </w:r>
      <w:r w:rsidRPr="00DB5FC5">
        <w:t>first line induction therapy for mild/moderate ulcerative colitis</w:t>
      </w:r>
      <w:r w:rsidR="00DB5FC5" w:rsidRPr="00DB5FC5">
        <w:t xml:space="preserve"> only (not in Crohn’s disease</w:t>
      </w:r>
      <w:r w:rsidR="002D089B">
        <w:t>). M</w:t>
      </w:r>
      <w:r w:rsidRPr="00DB5FC5">
        <w:t>ost children w</w:t>
      </w:r>
      <w:r w:rsidR="00DB5FC5" w:rsidRPr="00DB5FC5">
        <w:t xml:space="preserve">ill require an oral preparation and it is not typical for a topical agent to be used in children </w:t>
      </w:r>
      <w:r w:rsidR="002D089B">
        <w:t xml:space="preserve">at disease onset because of tolerance and disease extent </w:t>
      </w:r>
      <w:r w:rsidR="007E5695">
        <w:t>although</w:t>
      </w:r>
      <w:r w:rsidR="002D089B">
        <w:t xml:space="preserve"> local therapy is effective and well tolerated in a proportion of children and young people with ongoing disease. </w:t>
      </w:r>
      <w:r w:rsidRPr="00DB5FC5">
        <w:t xml:space="preserve">Antibiotics are recommended in the treatment of perianal fistulating </w:t>
      </w:r>
      <w:r w:rsidR="00DB5FC5" w:rsidRPr="00DB5FC5">
        <w:t xml:space="preserve">Crohn’s </w:t>
      </w:r>
      <w:r w:rsidRPr="00DB5FC5">
        <w:t xml:space="preserve">disease as an additional therapy. </w:t>
      </w:r>
    </w:p>
    <w:p w14:paraId="127D7D64" w14:textId="77777777" w:rsidR="00E844C3" w:rsidRPr="00DB5FC5" w:rsidRDefault="00DD19E3" w:rsidP="00E844C3">
      <w:pPr>
        <w:spacing w:line="480" w:lineRule="auto"/>
        <w:rPr>
          <w:i/>
        </w:rPr>
      </w:pPr>
      <w:r w:rsidRPr="00DB5FC5">
        <w:rPr>
          <w:i/>
        </w:rPr>
        <w:t xml:space="preserve">Induction in refractory </w:t>
      </w:r>
      <w:r>
        <w:rPr>
          <w:i/>
        </w:rPr>
        <w:t>d</w:t>
      </w:r>
      <w:r w:rsidRPr="00DB5FC5">
        <w:rPr>
          <w:i/>
        </w:rPr>
        <w:t>isease</w:t>
      </w:r>
      <w:r>
        <w:rPr>
          <w:i/>
        </w:rPr>
        <w:t>-</w:t>
      </w:r>
      <w:r w:rsidRPr="00DB5FC5">
        <w:rPr>
          <w:i/>
        </w:rPr>
        <w:t xml:space="preserve"> </w:t>
      </w:r>
      <w:r>
        <w:rPr>
          <w:i/>
        </w:rPr>
        <w:t>Anti-TNF therapy</w:t>
      </w:r>
    </w:p>
    <w:p w14:paraId="73402A42" w14:textId="0BA8DB8F" w:rsidR="00E844C3" w:rsidRPr="008A4723" w:rsidRDefault="00DD19E3" w:rsidP="00E844C3">
      <w:pPr>
        <w:spacing w:line="480" w:lineRule="auto"/>
        <w:rPr>
          <w:color w:val="FF0000"/>
        </w:rPr>
      </w:pPr>
      <w:r>
        <w:t>In some cases early escalation to a</w:t>
      </w:r>
      <w:r w:rsidR="00E844C3" w:rsidRPr="00DB5FC5">
        <w:t>nti-TNF monoclonal therapy (infliximab, adalimumab)</w:t>
      </w:r>
      <w:r>
        <w:t xml:space="preserve"> will be required. These include disease not responding to steroid induction, penetrating/fistulating disease and severe perianal disease. A</w:t>
      </w:r>
      <w:r w:rsidRPr="00DD19E3">
        <w:t>nti-TNF</w:t>
      </w:r>
      <w:r w:rsidR="00E844C3" w:rsidRPr="00DD19E3">
        <w:t xml:space="preserve"> </w:t>
      </w:r>
      <w:r>
        <w:t>medications</w:t>
      </w:r>
      <w:r w:rsidR="002D089B">
        <w:t xml:space="preserve"> </w:t>
      </w:r>
      <w:r>
        <w:t>effectively induce remission</w:t>
      </w:r>
      <w:r w:rsidR="00E844C3" w:rsidRPr="00DB5FC5">
        <w:t xml:space="preserve"> </w:t>
      </w:r>
      <w:r w:rsidR="00DB5FC5">
        <w:t>in Crohn’s disease</w:t>
      </w:r>
      <w:r w:rsidR="00DB5FC5" w:rsidRPr="00DB5FC5">
        <w:t xml:space="preserve"> (up </w:t>
      </w:r>
      <w:r w:rsidR="00DB5FC5">
        <w:t xml:space="preserve">to </w:t>
      </w:r>
      <w:r w:rsidR="00DB5FC5" w:rsidRPr="00DB5FC5">
        <w:t xml:space="preserve">88% response </w:t>
      </w:r>
      <w:r w:rsidR="00DB5FC5" w:rsidRPr="00DB5FC5">
        <w:lastRenderedPageBreak/>
        <w:t xml:space="preserve">rate) and </w:t>
      </w:r>
      <w:r w:rsidR="00E844C3" w:rsidRPr="00DB5FC5">
        <w:t>in ulcerative colitis (</w:t>
      </w:r>
      <w:r w:rsidR="00DB5FC5">
        <w:t>up to</w:t>
      </w:r>
      <w:r w:rsidR="00E844C3" w:rsidRPr="00DB5FC5">
        <w:t xml:space="preserve"> 73% response</w:t>
      </w:r>
      <w:r w:rsidR="00DB5FC5">
        <w:t xml:space="preserve"> rate) </w:t>
      </w:r>
      <w:r w:rsidR="00DB5FC5" w:rsidRPr="00DB5FC5">
        <w:t xml:space="preserve">resistant to initial </w:t>
      </w:r>
      <w:r w:rsidR="00DB5FC5" w:rsidRPr="00650EA1">
        <w:t>therapy</w:t>
      </w:r>
      <w:r w:rsidR="00E844C3" w:rsidRPr="00650EA1">
        <w:t xml:space="preserve">. </w:t>
      </w:r>
      <w:r w:rsidR="00650EA1" w:rsidRPr="00650EA1">
        <w:t xml:space="preserve">In some centres there is </w:t>
      </w:r>
      <w:r w:rsidR="002D089B">
        <w:t>a</w:t>
      </w:r>
      <w:r w:rsidR="00650EA1" w:rsidRPr="00650EA1">
        <w:t xml:space="preserve"> ‘top-down’ therapy approach</w:t>
      </w:r>
      <w:r>
        <w:t xml:space="preserve"> for all patients regardless of disease severity</w:t>
      </w:r>
      <w:r w:rsidR="00650EA1" w:rsidRPr="00650EA1">
        <w:t xml:space="preserve">, which began in </w:t>
      </w:r>
      <w:r w:rsidR="00E844C3" w:rsidRPr="00650EA1">
        <w:t>adult IB</w:t>
      </w:r>
      <w:r w:rsidR="00650EA1" w:rsidRPr="00650EA1">
        <w:t>D. This is</w:t>
      </w:r>
      <w:r w:rsidR="00E844C3" w:rsidRPr="00650EA1">
        <w:t xml:space="preserve"> not yet commonly </w:t>
      </w:r>
      <w:r w:rsidR="00650EA1" w:rsidRPr="00650EA1">
        <w:t>used in paediatric-onset disease and th</w:t>
      </w:r>
      <w:r w:rsidR="00E844C3" w:rsidRPr="00650EA1">
        <w:t xml:space="preserve">e long term </w:t>
      </w:r>
      <w:r w:rsidR="002D089B" w:rsidRPr="00650EA1">
        <w:t>impact</w:t>
      </w:r>
      <w:r w:rsidR="002D089B">
        <w:t xml:space="preserve"> </w:t>
      </w:r>
      <w:r w:rsidR="00650EA1" w:rsidRPr="00650EA1">
        <w:t>(good and bad)</w:t>
      </w:r>
      <w:r w:rsidR="00E844C3" w:rsidRPr="00650EA1">
        <w:t xml:space="preserve"> of the ‘top-down’ approach is not </w:t>
      </w:r>
      <w:r w:rsidR="00650EA1" w:rsidRPr="00650EA1">
        <w:t xml:space="preserve">yet </w:t>
      </w:r>
      <w:r w:rsidR="00E844C3" w:rsidRPr="00650EA1">
        <w:t>known</w:t>
      </w:r>
      <w:r w:rsidR="002D089B">
        <w:t>. This</w:t>
      </w:r>
      <w:r w:rsidR="00650EA1" w:rsidRPr="00650EA1">
        <w:t xml:space="preserve"> is not recommended in the UK other than in </w:t>
      </w:r>
      <w:r>
        <w:t>the cases outlined above</w:t>
      </w:r>
      <w:r w:rsidR="00E844C3" w:rsidRPr="00650EA1">
        <w:t xml:space="preserve">. </w:t>
      </w:r>
    </w:p>
    <w:p w14:paraId="7FA22A5F" w14:textId="77777777" w:rsidR="00E844C3" w:rsidRPr="00650EA1" w:rsidRDefault="00E844C3" w:rsidP="00E844C3">
      <w:pPr>
        <w:spacing w:line="480" w:lineRule="auto"/>
        <w:rPr>
          <w:i/>
          <w:u w:val="single"/>
        </w:rPr>
      </w:pPr>
      <w:r w:rsidRPr="00650EA1">
        <w:rPr>
          <w:i/>
          <w:u w:val="single"/>
        </w:rPr>
        <w:t>Maintenance therapy</w:t>
      </w:r>
    </w:p>
    <w:p w14:paraId="0B407D38" w14:textId="67FBC6E7" w:rsidR="00E844C3" w:rsidRPr="00BB0BFC" w:rsidRDefault="00BB0BFC" w:rsidP="00E844C3">
      <w:pPr>
        <w:spacing w:line="480" w:lineRule="auto"/>
      </w:pPr>
      <w:r w:rsidRPr="00BB0BFC">
        <w:t>The aim of maintenance therapy is to prevent relapse of active disease (maintain remission), safely and effectively, with the ultimate goal to achieve mucosal healing</w:t>
      </w:r>
      <w:r>
        <w:t xml:space="preserve"> (or in Crohn’s disease, transmural healing)</w:t>
      </w:r>
      <w:r w:rsidRPr="00BB0BFC">
        <w:t xml:space="preserve"> of the </w:t>
      </w:r>
      <w:r w:rsidR="002D089B">
        <w:t>inflamed gut</w:t>
      </w:r>
      <w:r w:rsidRPr="00BB0BFC">
        <w:t xml:space="preserve">. </w:t>
      </w:r>
    </w:p>
    <w:p w14:paraId="441086D0" w14:textId="77777777" w:rsidR="00E844C3" w:rsidRPr="00BB0BFC" w:rsidRDefault="00E844C3" w:rsidP="00E844C3">
      <w:pPr>
        <w:spacing w:line="480" w:lineRule="auto"/>
        <w:rPr>
          <w:i/>
        </w:rPr>
      </w:pPr>
      <w:r w:rsidRPr="00BB0BFC">
        <w:rPr>
          <w:i/>
        </w:rPr>
        <w:t xml:space="preserve">5-ASA </w:t>
      </w:r>
    </w:p>
    <w:p w14:paraId="4910BF9D" w14:textId="4889A2A8" w:rsidR="00E844C3" w:rsidRPr="00BB0BFC" w:rsidRDefault="00E844C3" w:rsidP="00E844C3">
      <w:pPr>
        <w:spacing w:line="480" w:lineRule="auto"/>
      </w:pPr>
      <w:r w:rsidRPr="00BB0BFC">
        <w:t>Maintenance therapy with 5-ASA is effective in mild/moderate paediatric ulcerative colitis and should be continued long term fo</w:t>
      </w:r>
      <w:r w:rsidR="00BB0BFC">
        <w:t>r the cancer protective effect</w:t>
      </w:r>
      <w:r w:rsidRPr="00BB0BFC">
        <w:t xml:space="preserve">.  In Crohn’s disease there is very little evidence to suggest that they are useful </w:t>
      </w:r>
      <w:r w:rsidR="00C35A8C">
        <w:t>in anything but mild colitis (rare in paediatric disease</w:t>
      </w:r>
      <w:r w:rsidR="00DF7638">
        <w:t>).</w:t>
      </w:r>
    </w:p>
    <w:p w14:paraId="2293D303" w14:textId="77777777" w:rsidR="00E844C3" w:rsidRPr="00C35A8C" w:rsidRDefault="00E844C3" w:rsidP="00E844C3">
      <w:pPr>
        <w:spacing w:line="480" w:lineRule="auto"/>
        <w:rPr>
          <w:i/>
        </w:rPr>
      </w:pPr>
      <w:r w:rsidRPr="00C35A8C">
        <w:rPr>
          <w:i/>
        </w:rPr>
        <w:t xml:space="preserve">Thiopurines </w:t>
      </w:r>
    </w:p>
    <w:p w14:paraId="1C12DFED" w14:textId="65DABDD8" w:rsidR="00E844C3" w:rsidRDefault="00C35A8C" w:rsidP="00E844C3">
      <w:pPr>
        <w:spacing w:line="480" w:lineRule="auto"/>
      </w:pPr>
      <w:r>
        <w:t>Thiopurines (a</w:t>
      </w:r>
      <w:r w:rsidR="00E844C3" w:rsidRPr="00C35A8C">
        <w:t>zathioprine and 6-mercaptopurine</w:t>
      </w:r>
      <w:r>
        <w:t>)</w:t>
      </w:r>
      <w:r w:rsidR="00E844C3" w:rsidRPr="00C35A8C">
        <w:t xml:space="preserve"> are </w:t>
      </w:r>
      <w:r w:rsidR="00E83D4A">
        <w:t>used</w:t>
      </w:r>
      <w:r w:rsidR="00E844C3" w:rsidRPr="00C35A8C">
        <w:t xml:space="preserve"> for maintaining remission in both Crohn’s disease and ulcerative colitis</w:t>
      </w:r>
      <w:r>
        <w:t xml:space="preserve"> with </w:t>
      </w:r>
      <w:r w:rsidR="00DF7638">
        <w:t xml:space="preserve">sustained </w:t>
      </w:r>
      <w:r>
        <w:t xml:space="preserve">remission rates of </w:t>
      </w:r>
      <w:r w:rsidR="00DF7638">
        <w:t xml:space="preserve">up to </w:t>
      </w:r>
      <w:r>
        <w:t>60-90%.</w:t>
      </w:r>
      <w:r>
        <w:rPr>
          <w:color w:val="FF0000"/>
        </w:rPr>
        <w:t xml:space="preserve"> </w:t>
      </w:r>
      <w:r w:rsidRPr="00C35A8C">
        <w:t xml:space="preserve">Thiopurines can/should be combined with other agents (such as 5-ASA and </w:t>
      </w:r>
      <w:proofErr w:type="spellStart"/>
      <w:r w:rsidRPr="00C35A8C">
        <w:t>monoclonals</w:t>
      </w:r>
      <w:proofErr w:type="spellEnd"/>
      <w:r w:rsidRPr="00C35A8C">
        <w:t xml:space="preserve">) to </w:t>
      </w:r>
      <w:r w:rsidR="00DF7638">
        <w:t>maintain</w:t>
      </w:r>
      <w:r w:rsidR="00DF7638" w:rsidRPr="00C35A8C">
        <w:t xml:space="preserve"> </w:t>
      </w:r>
      <w:r w:rsidRPr="00C35A8C">
        <w:t xml:space="preserve">remission (and prevent loss of response in </w:t>
      </w:r>
      <w:proofErr w:type="spellStart"/>
      <w:r w:rsidRPr="00C35A8C">
        <w:t>monoclonals</w:t>
      </w:r>
      <w:proofErr w:type="spellEnd"/>
      <w:r w:rsidRPr="00C35A8C">
        <w:t>).</w:t>
      </w:r>
      <w:r>
        <w:t xml:space="preserve"> </w:t>
      </w:r>
      <w:r w:rsidR="00E844C3" w:rsidRPr="00C35A8C">
        <w:t xml:space="preserve">The typical dose is 2-2.5mg/kg </w:t>
      </w:r>
      <w:r>
        <w:t xml:space="preserve">for </w:t>
      </w:r>
      <w:r w:rsidR="00E844C3" w:rsidRPr="00C35A8C">
        <w:t>azathioprine and 1-</w:t>
      </w:r>
      <w:r w:rsidR="00E844C3" w:rsidRPr="00C35A8C">
        <w:lastRenderedPageBreak/>
        <w:t xml:space="preserve">1.5mg/kg </w:t>
      </w:r>
      <w:r>
        <w:t>for</w:t>
      </w:r>
      <w:r w:rsidR="00E844C3" w:rsidRPr="00C35A8C">
        <w:t xml:space="preserve"> 6-mercaptopurine</w:t>
      </w:r>
      <w:r w:rsidRPr="00C35A8C">
        <w:t>, but this can be increased based on drug metabolite blood levels and response</w:t>
      </w:r>
      <w:r w:rsidR="00E844C3" w:rsidRPr="00C35A8C">
        <w:t xml:space="preserve">. </w:t>
      </w:r>
      <w:r w:rsidRPr="00C35A8C">
        <w:t>R</w:t>
      </w:r>
      <w:r w:rsidR="00E844C3" w:rsidRPr="00C35A8C">
        <w:t>egular monitoring of full blood count and liver function is necessary</w:t>
      </w:r>
      <w:r w:rsidRPr="00C35A8C">
        <w:t xml:space="preserve"> (more frequent during initial use) and it </w:t>
      </w:r>
      <w:r w:rsidR="00E844C3" w:rsidRPr="00C35A8C">
        <w:t xml:space="preserve">may take 8-14 weeks </w:t>
      </w:r>
      <w:r w:rsidRPr="00C35A8C">
        <w:t xml:space="preserve">for </w:t>
      </w:r>
      <w:r w:rsidR="00DF7638">
        <w:t>the drugs to work.</w:t>
      </w:r>
    </w:p>
    <w:p w14:paraId="1B2545AA" w14:textId="77777777" w:rsidR="00D8780C" w:rsidRPr="008A4723" w:rsidRDefault="00D8780C" w:rsidP="00D8780C">
      <w:pPr>
        <w:spacing w:line="480" w:lineRule="auto"/>
        <w:rPr>
          <w:color w:val="FF0000"/>
        </w:rPr>
      </w:pPr>
      <w:r>
        <w:t xml:space="preserve">There is some concern over the safety of thiopurine use, with some studies describing an increased long term malignancy risk (lymphoproliferative disorders, specifically </w:t>
      </w:r>
      <w:proofErr w:type="spellStart"/>
      <w:r>
        <w:t>hepatosplenic</w:t>
      </w:r>
      <w:proofErr w:type="spellEnd"/>
      <w:r>
        <w:t xml:space="preserve"> T-</w:t>
      </w:r>
      <w:r w:rsidRPr="00D8780C">
        <w:t>cell lymphoma</w:t>
      </w:r>
      <w:r>
        <w:t>), and some concerns over EBV infection in naïve patients. It is important to remember that the absolute risk of l</w:t>
      </w:r>
      <w:r w:rsidRPr="00D8780C">
        <w:t xml:space="preserve">ymphoproliferative </w:t>
      </w:r>
      <w:r>
        <w:t>disorders remains small whilst the risk of malignancy with uncontrolled inflammation in IBD is increased.</w:t>
      </w:r>
    </w:p>
    <w:p w14:paraId="7FEE57EE" w14:textId="77777777" w:rsidR="00E844C3" w:rsidRPr="0046749C" w:rsidRDefault="00E844C3" w:rsidP="00E844C3">
      <w:pPr>
        <w:spacing w:line="480" w:lineRule="auto"/>
        <w:rPr>
          <w:i/>
        </w:rPr>
      </w:pPr>
      <w:r w:rsidRPr="0046749C">
        <w:rPr>
          <w:i/>
        </w:rPr>
        <w:t xml:space="preserve">Anti-TNF </w:t>
      </w:r>
      <w:r w:rsidR="0046749C">
        <w:rPr>
          <w:i/>
        </w:rPr>
        <w:t>(</w:t>
      </w:r>
      <w:r w:rsidRPr="0046749C">
        <w:rPr>
          <w:i/>
        </w:rPr>
        <w:t>monoclonal</w:t>
      </w:r>
      <w:r w:rsidR="0046749C">
        <w:rPr>
          <w:i/>
        </w:rPr>
        <w:t xml:space="preserve"> antibody)</w:t>
      </w:r>
      <w:r w:rsidRPr="0046749C">
        <w:rPr>
          <w:i/>
        </w:rPr>
        <w:t xml:space="preserve"> therapy</w:t>
      </w:r>
    </w:p>
    <w:p w14:paraId="75B0491B" w14:textId="77777777" w:rsidR="009C5B2A" w:rsidRDefault="009C5B2A" w:rsidP="00E844C3">
      <w:pPr>
        <w:spacing w:line="480" w:lineRule="auto"/>
        <w:rPr>
          <w:color w:val="FF0000"/>
        </w:rPr>
      </w:pPr>
      <w:r w:rsidRPr="009C5B2A">
        <w:t>Use of monoclonal therapy in paediatric IBD</w:t>
      </w:r>
      <w:r w:rsidR="006F372A">
        <w:t xml:space="preserve"> (initially Crohn’s and then ulcerative colitis)</w:t>
      </w:r>
      <w:r w:rsidRPr="009C5B2A">
        <w:t xml:space="preserve">, especially in previously </w:t>
      </w:r>
      <w:r w:rsidR="00E83D4A">
        <w:t xml:space="preserve">steroid </w:t>
      </w:r>
      <w:r w:rsidRPr="009C5B2A">
        <w:t>refractory disease has revolutionised care, providing steroid-sparing and highly</w:t>
      </w:r>
      <w:r w:rsidR="00E844C3" w:rsidRPr="009C5B2A">
        <w:t xml:space="preserve"> effective therapy </w:t>
      </w:r>
      <w:r>
        <w:t xml:space="preserve">for the last 10-15 years </w:t>
      </w:r>
      <w:r w:rsidRPr="009C5B2A">
        <w:t>leading to</w:t>
      </w:r>
      <w:r w:rsidR="00E844C3" w:rsidRPr="009C5B2A">
        <w:t xml:space="preserve"> prolonged remission, </w:t>
      </w:r>
      <w:r w:rsidRPr="009C5B2A">
        <w:t>improved</w:t>
      </w:r>
      <w:r w:rsidR="00E844C3" w:rsidRPr="009C5B2A">
        <w:t xml:space="preserve"> growth and mucosal healing. </w:t>
      </w:r>
      <w:r>
        <w:t>A</w:t>
      </w:r>
      <w:r w:rsidR="00E844C3" w:rsidRPr="009C5B2A">
        <w:t xml:space="preserve">nti-TNF therapy is recommended in chronic luminal </w:t>
      </w:r>
      <w:r w:rsidRPr="009C5B2A">
        <w:t xml:space="preserve">Crohn’s disease </w:t>
      </w:r>
      <w:r>
        <w:t>not responding to</w:t>
      </w:r>
      <w:r w:rsidR="00E844C3" w:rsidRPr="009C5B2A">
        <w:t xml:space="preserve"> immunomodulatory therapy </w:t>
      </w:r>
      <w:r>
        <w:t>(thiopurine etc.)</w:t>
      </w:r>
      <w:r w:rsidR="00E844C3" w:rsidRPr="009C5B2A">
        <w:t xml:space="preserve">. </w:t>
      </w:r>
      <w:r>
        <w:t>Response rates for infliximab are typically good, with even previously refractory Crohn’s disease patients having up to 60% remission rates, although there is some loss of effect overtime (with some patients producing anti-TNF antibodies resulting in lower levels of active drug).</w:t>
      </w:r>
    </w:p>
    <w:p w14:paraId="06F1968F" w14:textId="77777777" w:rsidR="00E844C3" w:rsidRPr="009C5B2A" w:rsidRDefault="009C5B2A" w:rsidP="00E844C3">
      <w:pPr>
        <w:spacing w:line="480" w:lineRule="auto"/>
      </w:pPr>
      <w:r w:rsidRPr="009C5B2A">
        <w:lastRenderedPageBreak/>
        <w:t>A</w:t>
      </w:r>
      <w:r w:rsidR="00E844C3" w:rsidRPr="009C5B2A">
        <w:t xml:space="preserve">nti-TNF therapy is recommended for </w:t>
      </w:r>
      <w:r w:rsidRPr="009C5B2A">
        <w:t>steroid-dependant ulcerative colitis</w:t>
      </w:r>
      <w:r w:rsidR="00E844C3" w:rsidRPr="009C5B2A">
        <w:t xml:space="preserve"> </w:t>
      </w:r>
      <w:r w:rsidRPr="009C5B2A">
        <w:t xml:space="preserve">or disease </w:t>
      </w:r>
      <w:r w:rsidR="00E844C3" w:rsidRPr="009C5B2A">
        <w:t xml:space="preserve">refractory to immunomodulation. </w:t>
      </w:r>
      <w:r w:rsidRPr="009C5B2A">
        <w:t>Remission rates are slightly less than in Crohn’s disease (</w:t>
      </w:r>
      <w:r w:rsidR="00E844C3" w:rsidRPr="009C5B2A">
        <w:t>38-64%</w:t>
      </w:r>
      <w:r w:rsidRPr="009C5B2A">
        <w:t>)</w:t>
      </w:r>
      <w:r w:rsidR="00E844C3" w:rsidRPr="009C5B2A">
        <w:t xml:space="preserve"> </w:t>
      </w:r>
      <w:r w:rsidRPr="009C5B2A">
        <w:t xml:space="preserve">and </w:t>
      </w:r>
      <w:r w:rsidR="00E844C3" w:rsidRPr="009C5B2A">
        <w:t xml:space="preserve">long-term use is associated with antibody formation and loss of efficacy. </w:t>
      </w:r>
    </w:p>
    <w:p w14:paraId="7D29A843" w14:textId="77777777" w:rsidR="00E844C3" w:rsidRDefault="006F372A" w:rsidP="006F372A">
      <w:pPr>
        <w:spacing w:line="480" w:lineRule="auto"/>
      </w:pPr>
      <w:r w:rsidRPr="006F372A">
        <w:t>The</w:t>
      </w:r>
      <w:r w:rsidR="00E844C3" w:rsidRPr="006F372A">
        <w:t xml:space="preserve"> dose of infliximab (</w:t>
      </w:r>
      <w:r>
        <w:t xml:space="preserve">given as an </w:t>
      </w:r>
      <w:r w:rsidR="00E844C3" w:rsidRPr="006F372A">
        <w:t>intravenous infusion) is 5mg/kg at 0, 2 and 6 weeks, followed by a maintenance dose every 8 weeks. Dosage can increase to 10mg/kg and dosing interval reduced to 4 weeks if required</w:t>
      </w:r>
      <w:r w:rsidR="00DD19E3">
        <w:t xml:space="preserve"> (guided by trough levels and presence or absence of antibodies to the medication)</w:t>
      </w:r>
      <w:r w:rsidR="00E844C3" w:rsidRPr="006F372A">
        <w:t>. Adalimumab (</w:t>
      </w:r>
      <w:r w:rsidRPr="006F372A">
        <w:t xml:space="preserve">given as a </w:t>
      </w:r>
      <w:r w:rsidR="00E844C3" w:rsidRPr="006F372A">
        <w:t xml:space="preserve">subcutaneous injection) induction therapy is 2.4 mg/kg (maximum 160 mg) at week 0, 1.2 mg/kg (maximum 80 mg) at week 2, followed by 0.6 mg/kg (maximum of 40 mg) every 2 weeks. Dosing can be increased to weekly if required. </w:t>
      </w:r>
    </w:p>
    <w:p w14:paraId="42291B02" w14:textId="77777777" w:rsidR="00DD19E3" w:rsidRDefault="00DD19E3" w:rsidP="006F372A">
      <w:pPr>
        <w:spacing w:line="480" w:lineRule="auto"/>
      </w:pPr>
      <w:r>
        <w:t xml:space="preserve">In paediatrics, the recommendation is to use </w:t>
      </w:r>
      <w:proofErr w:type="spellStart"/>
      <w:r>
        <w:t>monoclonals</w:t>
      </w:r>
      <w:proofErr w:type="spellEnd"/>
      <w:r>
        <w:t xml:space="preserve"> as a combination therapy with an immunomodulator (thiopurine) rather than monotherapy. This reduces loss of response (decrease in immunogenicity and antibody production) and aids with long-term, stable, remission.</w:t>
      </w:r>
    </w:p>
    <w:p w14:paraId="3DFE018E" w14:textId="77777777" w:rsidR="006F372A" w:rsidRPr="008A4723" w:rsidRDefault="006F372A" w:rsidP="006F372A">
      <w:pPr>
        <w:spacing w:line="480" w:lineRule="auto"/>
        <w:rPr>
          <w:color w:val="FF0000"/>
        </w:rPr>
      </w:pPr>
      <w:r>
        <w:t>As with thiopurine use there is some concern that long-term anti-TNF therapy increases the risk of malignancy, specifically lymphoproliferative disorders. Whilst some recent data appears to contradict this any absolute risk is very small and must been seen in context.</w:t>
      </w:r>
    </w:p>
    <w:p w14:paraId="548E78A8" w14:textId="77777777" w:rsidR="00DD19E3" w:rsidRDefault="00DD19E3" w:rsidP="00E844C3">
      <w:pPr>
        <w:spacing w:line="480" w:lineRule="auto"/>
        <w:rPr>
          <w:i/>
        </w:rPr>
      </w:pPr>
      <w:r>
        <w:rPr>
          <w:i/>
        </w:rPr>
        <w:t>Methotrexate</w:t>
      </w:r>
    </w:p>
    <w:p w14:paraId="78B79739" w14:textId="675CE548" w:rsidR="00DD19E3" w:rsidRPr="00DD19E3" w:rsidRDefault="00DD19E3" w:rsidP="00DD19E3">
      <w:pPr>
        <w:spacing w:line="480" w:lineRule="auto"/>
      </w:pPr>
      <w:r>
        <w:lastRenderedPageBreak/>
        <w:t>Methotrexate is a useful treatment alternative and</w:t>
      </w:r>
      <w:r w:rsidRPr="00DD19E3">
        <w:t xml:space="preserve"> can be given orally or </w:t>
      </w:r>
      <w:r>
        <w:t xml:space="preserve">via </w:t>
      </w:r>
      <w:r w:rsidRPr="00DD19E3">
        <w:t>subcut</w:t>
      </w:r>
      <w:r>
        <w:t>aneous injection at 15mg/m</w:t>
      </w:r>
      <w:r>
        <w:rPr>
          <w:vertAlign w:val="superscript"/>
        </w:rPr>
        <w:t>2</w:t>
      </w:r>
      <w:r>
        <w:t>.</w:t>
      </w:r>
      <w:r w:rsidRPr="00DD19E3">
        <w:t xml:space="preserve"> </w:t>
      </w:r>
      <w:r>
        <w:t xml:space="preserve"> It</w:t>
      </w:r>
      <w:r w:rsidRPr="00DD19E3">
        <w:t xml:space="preserve"> is used in children who are intolerant to or fail to respond to thiopurine derivatives. Oral administration of folate is </w:t>
      </w:r>
      <w:r w:rsidR="00DF7638">
        <w:t>essential</w:t>
      </w:r>
      <w:r>
        <w:t xml:space="preserve">. </w:t>
      </w:r>
      <w:r w:rsidR="00DF7638">
        <w:t xml:space="preserve">There are multiple </w:t>
      </w:r>
      <w:r w:rsidRPr="00DD19E3">
        <w:t xml:space="preserve">retrospective </w:t>
      </w:r>
      <w:r w:rsidR="00DF7638">
        <w:t xml:space="preserve">paediatric </w:t>
      </w:r>
      <w:r w:rsidRPr="00DD19E3">
        <w:t>cohort studies suggest</w:t>
      </w:r>
      <w:r w:rsidR="007E5695">
        <w:t>ing</w:t>
      </w:r>
      <w:r w:rsidRPr="00DD19E3">
        <w:t xml:space="preserve"> that MTX is effective in 50 to 80% of children who had failed to respond or had</w:t>
      </w:r>
      <w:r>
        <w:t xml:space="preserve"> been intolerant to a thiopurine. </w:t>
      </w:r>
    </w:p>
    <w:p w14:paraId="36316FE0" w14:textId="77777777" w:rsidR="00E844C3" w:rsidRPr="006F372A" w:rsidRDefault="00E844C3" w:rsidP="00E844C3">
      <w:pPr>
        <w:spacing w:line="480" w:lineRule="auto"/>
        <w:rPr>
          <w:i/>
        </w:rPr>
      </w:pPr>
      <w:r w:rsidRPr="006F372A">
        <w:rPr>
          <w:i/>
        </w:rPr>
        <w:t xml:space="preserve">Other treatment options </w:t>
      </w:r>
    </w:p>
    <w:p w14:paraId="219DBC1E" w14:textId="77777777" w:rsidR="00E844C3" w:rsidRDefault="00E844C3" w:rsidP="00E844C3">
      <w:pPr>
        <w:spacing w:line="480" w:lineRule="auto"/>
      </w:pPr>
      <w:r w:rsidRPr="006F372A">
        <w:t xml:space="preserve">In refractory disease several other agents such as </w:t>
      </w:r>
      <w:r w:rsidR="006F372A" w:rsidRPr="006F372A">
        <w:t xml:space="preserve">tacrolimus and thalidomide </w:t>
      </w:r>
      <w:r w:rsidR="00DD19E3">
        <w:t>may</w:t>
      </w:r>
      <w:r w:rsidRPr="006F372A">
        <w:t xml:space="preserve"> be </w:t>
      </w:r>
      <w:r w:rsidR="006F372A" w:rsidRPr="006F372A">
        <w:t xml:space="preserve">considered. </w:t>
      </w:r>
      <w:r w:rsidRPr="006F372A">
        <w:t xml:space="preserve"> </w:t>
      </w:r>
      <w:r w:rsidR="006F372A" w:rsidRPr="006F372A">
        <w:t xml:space="preserve">There is little safety data in paediatric patients for many </w:t>
      </w:r>
      <w:r w:rsidR="006F372A">
        <w:t xml:space="preserve">additional immunomodulators and risk/benefit must been discussed with the child and </w:t>
      </w:r>
      <w:proofErr w:type="gramStart"/>
      <w:r w:rsidR="006F372A">
        <w:t>family.</w:t>
      </w:r>
      <w:proofErr w:type="gramEnd"/>
      <w:r w:rsidR="006F372A">
        <w:t xml:space="preserve"> </w:t>
      </w:r>
    </w:p>
    <w:p w14:paraId="3B469946" w14:textId="77777777" w:rsidR="00FF4CE2" w:rsidRPr="00FF4CE2" w:rsidRDefault="00FF4CE2" w:rsidP="00FF4CE2">
      <w:pPr>
        <w:spacing w:line="480" w:lineRule="auto"/>
        <w:rPr>
          <w:i/>
        </w:rPr>
      </w:pPr>
      <w:r w:rsidRPr="00FF4CE2">
        <w:rPr>
          <w:i/>
        </w:rPr>
        <w:t xml:space="preserve">Further management points </w:t>
      </w:r>
    </w:p>
    <w:p w14:paraId="1E72EC1F" w14:textId="77777777" w:rsidR="00FF4CE2" w:rsidRDefault="00FF4CE2" w:rsidP="00FF4CE2">
      <w:pPr>
        <w:spacing w:line="480" w:lineRule="auto"/>
      </w:pPr>
      <w:r>
        <w:t xml:space="preserve">At diagnosis (and if appropriate during follow-up) additional testing centred on future medication use and nutritional screening should be considered. </w:t>
      </w:r>
    </w:p>
    <w:p w14:paraId="39D924FF" w14:textId="77777777" w:rsidR="00FF4CE2" w:rsidRDefault="00FF4CE2" w:rsidP="00FF4CE2">
      <w:pPr>
        <w:pStyle w:val="ListParagraph"/>
        <w:numPr>
          <w:ilvl w:val="0"/>
          <w:numId w:val="9"/>
        </w:numPr>
        <w:spacing w:line="480" w:lineRule="auto"/>
      </w:pPr>
      <w:r>
        <w:t xml:space="preserve">Azathioprine- </w:t>
      </w:r>
      <w:proofErr w:type="spellStart"/>
      <w:r w:rsidRPr="00F37DCB">
        <w:t>Thiopurine</w:t>
      </w:r>
      <w:proofErr w:type="spellEnd"/>
      <w:r w:rsidRPr="00F37DCB">
        <w:t xml:space="preserve"> methyltransferase</w:t>
      </w:r>
      <w:r>
        <w:t xml:space="preserve"> (TPMT) enzyme activity or genotype</w:t>
      </w:r>
    </w:p>
    <w:p w14:paraId="5A6D2C44" w14:textId="77777777" w:rsidR="00FF4CE2" w:rsidRDefault="00FF4CE2" w:rsidP="00FF4CE2">
      <w:pPr>
        <w:pStyle w:val="ListParagraph"/>
        <w:numPr>
          <w:ilvl w:val="0"/>
          <w:numId w:val="9"/>
        </w:numPr>
        <w:spacing w:line="480" w:lineRule="auto"/>
      </w:pPr>
      <w:r>
        <w:t xml:space="preserve">Anti-TNF </w:t>
      </w:r>
      <w:proofErr w:type="spellStart"/>
      <w:r>
        <w:t>monoclonals</w:t>
      </w:r>
      <w:proofErr w:type="spellEnd"/>
      <w:r>
        <w:t xml:space="preserve">- </w:t>
      </w:r>
      <w:proofErr w:type="spellStart"/>
      <w:r>
        <w:t>Quantiferon</w:t>
      </w:r>
      <w:proofErr w:type="spellEnd"/>
      <w:r>
        <w:t xml:space="preserve"> to assess for exposure to/latent </w:t>
      </w:r>
      <w:r w:rsidRPr="008E2BB5">
        <w:t xml:space="preserve">tuberculosis, hepatitis B serology in at risk patients and establishment of varicella status </w:t>
      </w:r>
      <w:r>
        <w:t>is important to guide management (including consideration of additional vaccinations)</w:t>
      </w:r>
    </w:p>
    <w:p w14:paraId="2948208B" w14:textId="77777777" w:rsidR="00FF4CE2" w:rsidRPr="00C72CB1" w:rsidRDefault="00FF4CE2" w:rsidP="00FF4CE2">
      <w:pPr>
        <w:pStyle w:val="ListParagraph"/>
        <w:numPr>
          <w:ilvl w:val="0"/>
          <w:numId w:val="9"/>
        </w:numPr>
        <w:spacing w:line="480" w:lineRule="auto"/>
      </w:pPr>
      <w:r>
        <w:lastRenderedPageBreak/>
        <w:t xml:space="preserve">Epstein-Barr virus (EBV) serology- small risk of </w:t>
      </w:r>
      <w:r w:rsidRPr="00C72CB1">
        <w:t>lymphoproliferative</w:t>
      </w:r>
      <w:r>
        <w:t xml:space="preserve"> disease in naïve patients with some treatments</w:t>
      </w:r>
    </w:p>
    <w:p w14:paraId="4F15474B" w14:textId="77777777" w:rsidR="00FF4CE2" w:rsidRDefault="00FF4CE2" w:rsidP="00FF4CE2">
      <w:pPr>
        <w:pStyle w:val="ListParagraph"/>
        <w:numPr>
          <w:ilvl w:val="0"/>
          <w:numId w:val="9"/>
        </w:numPr>
        <w:spacing w:line="480" w:lineRule="auto"/>
      </w:pPr>
      <w:r>
        <w:t xml:space="preserve">Nutritional status- Bloods including iron indices, calcium, vitamin D, phosphate and magnesium should be considered in all patients, with replacement where indicated.. </w:t>
      </w:r>
      <w:r w:rsidRPr="00F37DCB">
        <w:t>Anthropometric measures e.g. weight, height, BMI and body composition measures (skinfold thickness or mid upper arm circumference).</w:t>
      </w:r>
    </w:p>
    <w:p w14:paraId="7E5CD711" w14:textId="77777777" w:rsidR="00E844C3" w:rsidRPr="00954E19" w:rsidRDefault="00E844C3" w:rsidP="00E844C3">
      <w:pPr>
        <w:spacing w:line="480" w:lineRule="auto"/>
        <w:rPr>
          <w:i/>
          <w:u w:val="single"/>
        </w:rPr>
      </w:pPr>
      <w:r w:rsidRPr="00954E19">
        <w:rPr>
          <w:i/>
          <w:u w:val="single"/>
        </w:rPr>
        <w:t xml:space="preserve">Surgery </w:t>
      </w:r>
    </w:p>
    <w:p w14:paraId="4AB3AAAD" w14:textId="467C3C40" w:rsidR="00E844C3" w:rsidRPr="008A4723" w:rsidRDefault="00954E19" w:rsidP="00E844C3">
      <w:pPr>
        <w:spacing w:line="480" w:lineRule="auto"/>
        <w:rPr>
          <w:color w:val="FF0000"/>
        </w:rPr>
      </w:pPr>
      <w:r w:rsidRPr="00954E19">
        <w:t xml:space="preserve">The role of surgery in IBD appears to be decreasing </w:t>
      </w:r>
      <w:r w:rsidR="007E5695">
        <w:t>(or is at leas</w:t>
      </w:r>
      <w:r w:rsidR="00DF7638">
        <w:t>t delayed</w:t>
      </w:r>
      <w:r w:rsidR="007E5695">
        <w:t>),</w:t>
      </w:r>
      <w:r w:rsidR="00DF7638">
        <w:t xml:space="preserve"> </w:t>
      </w:r>
      <w:r w:rsidRPr="00954E19">
        <w:t>however</w:t>
      </w:r>
      <w:r w:rsidR="007E5695">
        <w:t>,</w:t>
      </w:r>
      <w:r w:rsidR="00E844C3" w:rsidRPr="00954E19">
        <w:t xml:space="preserve"> acute complications, </w:t>
      </w:r>
      <w:r w:rsidRPr="00954E19">
        <w:t xml:space="preserve">(perianal) </w:t>
      </w:r>
      <w:r w:rsidR="00E844C3" w:rsidRPr="00954E19">
        <w:t>fistula</w:t>
      </w:r>
      <w:r w:rsidRPr="00954E19">
        <w:t>e</w:t>
      </w:r>
      <w:r w:rsidR="00E844C3" w:rsidRPr="00954E19">
        <w:t xml:space="preserve">, strictures and disease refractory to medical therapy </w:t>
      </w:r>
      <w:r w:rsidRPr="00954E19">
        <w:t>continue to require expert surgical intervention</w:t>
      </w:r>
      <w:r w:rsidR="00E844C3" w:rsidRPr="00954E19">
        <w:t xml:space="preserve">. </w:t>
      </w:r>
      <w:r w:rsidRPr="00954E19">
        <w:t xml:space="preserve">Historical data appears to indicate that around 10% of ulcerative colitis patients will require colectomy during childhood, although with increasing monoclonal use this </w:t>
      </w:r>
      <w:r w:rsidR="00DF7638">
        <w:t>may</w:t>
      </w:r>
      <w:r w:rsidRPr="00954E19">
        <w:t xml:space="preserve"> </w:t>
      </w:r>
      <w:r w:rsidR="007E5695">
        <w:t xml:space="preserve">also </w:t>
      </w:r>
      <w:r w:rsidRPr="00954E19">
        <w:t xml:space="preserve">decrease. </w:t>
      </w:r>
      <w:r w:rsidR="004B5130">
        <w:t xml:space="preserve">In Crohn’s disease surgery will be required for around 25% of patients during childhood, although this is likely to be </w:t>
      </w:r>
      <w:r w:rsidR="00DF7638">
        <w:t xml:space="preserve">reduce </w:t>
      </w:r>
      <w:r w:rsidR="004B5130">
        <w:t>given increased options for medical management. In Crohn’s disease the most common procedures are hemicolectomy, perianal procedures (</w:t>
      </w:r>
      <w:proofErr w:type="spellStart"/>
      <w:proofErr w:type="gramStart"/>
      <w:r w:rsidR="004B5130">
        <w:t>seton</w:t>
      </w:r>
      <w:proofErr w:type="spellEnd"/>
      <w:proofErr w:type="gramEnd"/>
      <w:r w:rsidR="004B5130">
        <w:t xml:space="preserve"> placement etc.), stoma formation and small bowel resections. </w:t>
      </w:r>
      <w:r w:rsidRPr="004B5130">
        <w:t>Complications are common</w:t>
      </w:r>
      <w:r w:rsidR="004B5130">
        <w:t xml:space="preserve"> (20-40%)</w:t>
      </w:r>
      <w:r w:rsidRPr="004B5130">
        <w:t xml:space="preserve"> in IBD surgery and are reduced by </w:t>
      </w:r>
      <w:r w:rsidR="00DF7638">
        <w:t xml:space="preserve">planned </w:t>
      </w:r>
      <w:r w:rsidRPr="004B5130">
        <w:t>elective</w:t>
      </w:r>
      <w:r w:rsidR="007E5695">
        <w:t>,</w:t>
      </w:r>
      <w:r w:rsidRPr="004B5130">
        <w:t xml:space="preserve"> </w:t>
      </w:r>
      <w:r w:rsidR="00DF7638">
        <w:t xml:space="preserve">rather than emergency </w:t>
      </w:r>
      <w:r w:rsidRPr="004B5130">
        <w:t>surgery</w:t>
      </w:r>
      <w:r w:rsidR="00DF7638">
        <w:t xml:space="preserve"> and </w:t>
      </w:r>
      <w:r w:rsidRPr="004B5130">
        <w:t>optimising</w:t>
      </w:r>
      <w:r w:rsidR="004B5130" w:rsidRPr="004B5130">
        <w:t xml:space="preserve"> nutrition and medical management prior to surgical intervention</w:t>
      </w:r>
      <w:r w:rsidR="00DF7638">
        <w:t xml:space="preserve">. Outcomes </w:t>
      </w:r>
      <w:r w:rsidR="004B5130">
        <w:t xml:space="preserve">are variable but quality of life is often improved following </w:t>
      </w:r>
      <w:r w:rsidR="00DF7638">
        <w:t>surgery enabling a period of sustained remission and catch up growth if there is a deficit</w:t>
      </w:r>
      <w:r w:rsidR="004B5130" w:rsidRPr="004B5130">
        <w:t xml:space="preserve">. </w:t>
      </w:r>
    </w:p>
    <w:p w14:paraId="69A7804B" w14:textId="77777777" w:rsidR="00873919" w:rsidRDefault="00E1513E" w:rsidP="00873919">
      <w:pPr>
        <w:spacing w:line="480" w:lineRule="auto"/>
        <w:rPr>
          <w:b/>
          <w:u w:val="single"/>
        </w:rPr>
      </w:pPr>
      <w:r w:rsidRPr="00E1513E">
        <w:rPr>
          <w:b/>
          <w:u w:val="single"/>
        </w:rPr>
        <w:lastRenderedPageBreak/>
        <w:t xml:space="preserve">Clinical nurse specialists </w:t>
      </w:r>
      <w:r w:rsidR="00273AFA">
        <w:rPr>
          <w:b/>
          <w:u w:val="single"/>
        </w:rPr>
        <w:t xml:space="preserve">(CNS) </w:t>
      </w:r>
      <w:r w:rsidRPr="00E1513E">
        <w:rPr>
          <w:b/>
          <w:u w:val="single"/>
        </w:rPr>
        <w:t xml:space="preserve">and the multi-disciplinary team </w:t>
      </w:r>
      <w:r w:rsidR="002746CA">
        <w:rPr>
          <w:b/>
          <w:u w:val="single"/>
        </w:rPr>
        <w:t>(MDT)</w:t>
      </w:r>
    </w:p>
    <w:p w14:paraId="59F1A818" w14:textId="77777777" w:rsidR="002746CA" w:rsidRPr="002746CA" w:rsidRDefault="002746CA" w:rsidP="00873919">
      <w:pPr>
        <w:spacing w:line="480" w:lineRule="auto"/>
      </w:pPr>
      <w:r>
        <w:t xml:space="preserve">National and international recommendations for management of paediatric IBD discuss the key role </w:t>
      </w:r>
      <w:r w:rsidR="00273AFA">
        <w:t xml:space="preserve">that CNS and the wider MDT (including dietitians, psychologists, teachers, paediatric surgeons etc.) should play in the holistic management of disease. Access to </w:t>
      </w:r>
      <w:r w:rsidR="00460FD1">
        <w:t xml:space="preserve">advice and a link to clinicians, through IBD nurse specialists, should provide an important element to management. </w:t>
      </w:r>
      <w:r w:rsidR="00273AFA">
        <w:t xml:space="preserve">The psychological impact of IBD should not be underestimated, especially in teenagers, with low mood and anxiety a common feature. There with the need to maintain good school attendance, medication compliance and relationships with healthcare professionals in order to produce the best outcomes for patients, engagement with families and young people through charities (such as </w:t>
      </w:r>
      <w:proofErr w:type="spellStart"/>
      <w:r w:rsidR="00273AFA">
        <w:t>CiCRA</w:t>
      </w:r>
      <w:proofErr w:type="spellEnd"/>
      <w:r w:rsidR="00273AFA">
        <w:t xml:space="preserve">, Crohn’s and Colitis UK) and local support groups is vital. </w:t>
      </w:r>
    </w:p>
    <w:p w14:paraId="26CA7B4F" w14:textId="77777777" w:rsidR="00873919" w:rsidRDefault="004044DD" w:rsidP="00873919">
      <w:pPr>
        <w:spacing w:line="480" w:lineRule="auto"/>
        <w:rPr>
          <w:b/>
          <w:u w:val="single"/>
        </w:rPr>
      </w:pPr>
      <w:r>
        <w:rPr>
          <w:b/>
          <w:u w:val="single"/>
        </w:rPr>
        <w:t>New and f</w:t>
      </w:r>
      <w:r w:rsidR="00873919" w:rsidRPr="00E1513E">
        <w:rPr>
          <w:b/>
          <w:u w:val="single"/>
        </w:rPr>
        <w:t xml:space="preserve">uture treatments </w:t>
      </w:r>
    </w:p>
    <w:p w14:paraId="40E95054" w14:textId="77777777" w:rsidR="00F17955" w:rsidRDefault="004044DD" w:rsidP="00F17955">
      <w:pPr>
        <w:spacing w:line="480" w:lineRule="auto"/>
      </w:pPr>
      <w:r>
        <w:t>Use of new therapy in paediatrics lags behind adults, due to safety concerns and drug trial evidence. Newer m</w:t>
      </w:r>
      <w:r w:rsidR="00F17955">
        <w:t xml:space="preserve">onoclonal therapies such as </w:t>
      </w:r>
      <w:proofErr w:type="spellStart"/>
      <w:r w:rsidR="00F17955">
        <w:t>vedolizumab</w:t>
      </w:r>
      <w:proofErr w:type="spellEnd"/>
      <w:r w:rsidR="00F17955">
        <w:t xml:space="preserve"> (</w:t>
      </w:r>
      <w:proofErr w:type="gramStart"/>
      <w:r w:rsidR="00F17955" w:rsidRPr="00850692">
        <w:t>an</w:t>
      </w:r>
      <w:proofErr w:type="gramEnd"/>
      <w:r w:rsidR="00F17955" w:rsidRPr="00850692">
        <w:t xml:space="preserve"> α4β7 integrin antibody</w:t>
      </w:r>
      <w:r w:rsidR="00F17955">
        <w:t xml:space="preserve">, blocking </w:t>
      </w:r>
      <w:r>
        <w:t>immune cell</w:t>
      </w:r>
      <w:r w:rsidR="00F17955">
        <w:t xml:space="preserve"> </w:t>
      </w:r>
      <w:r>
        <w:t xml:space="preserve">migration into </w:t>
      </w:r>
      <w:r w:rsidR="00F17955">
        <w:t xml:space="preserve">the intestine) </w:t>
      </w:r>
      <w:r>
        <w:t>has now</w:t>
      </w:r>
      <w:r w:rsidR="00F17955">
        <w:t xml:space="preserve"> shown efficacy</w:t>
      </w:r>
      <w:r>
        <w:t xml:space="preserve"> (40-100% efficacy)</w:t>
      </w:r>
      <w:r w:rsidR="00F17955">
        <w:t xml:space="preserve"> in </w:t>
      </w:r>
      <w:r>
        <w:t>children for both ulcerative colitis and Crohn’s disease</w:t>
      </w:r>
      <w:r w:rsidR="00F17955">
        <w:t xml:space="preserve">. </w:t>
      </w:r>
      <w:proofErr w:type="spellStart"/>
      <w:r w:rsidRPr="004044DD">
        <w:t>Ustekinumab</w:t>
      </w:r>
      <w:proofErr w:type="spellEnd"/>
      <w:r>
        <w:t xml:space="preserve"> (anti-IL12/IL23) has previously been used in </w:t>
      </w:r>
      <w:r w:rsidR="00ED1191">
        <w:t xml:space="preserve">children with </w:t>
      </w:r>
      <w:r>
        <w:t>psoriasis but has started to demonstrate some utility in adult-onset Crohn’s disease. These medications are not yet routinely used in children but safety data is beginning to emerge and use is likely to increase over the next 5 years.</w:t>
      </w:r>
    </w:p>
    <w:p w14:paraId="51BB7D0F" w14:textId="77777777" w:rsidR="00F17955" w:rsidRDefault="004044DD" w:rsidP="00F17955">
      <w:pPr>
        <w:spacing w:line="480" w:lineRule="auto"/>
      </w:pPr>
      <w:r>
        <w:lastRenderedPageBreak/>
        <w:t>A newer potential class of medications, ‘s</w:t>
      </w:r>
      <w:r w:rsidR="00F17955">
        <w:t>mall-molecule drugs</w:t>
      </w:r>
      <w:r>
        <w:t>’</w:t>
      </w:r>
      <w:r w:rsidR="00F17955">
        <w:t xml:space="preserve"> </w:t>
      </w:r>
      <w:r>
        <w:t>have been under development and have</w:t>
      </w:r>
      <w:r w:rsidR="00F17955">
        <w:t xml:space="preserve"> targets such as JAK (</w:t>
      </w:r>
      <w:proofErr w:type="spellStart"/>
      <w:r w:rsidR="00F17955">
        <w:t>Tofacitinib</w:t>
      </w:r>
      <w:proofErr w:type="spellEnd"/>
      <w:r w:rsidR="00F17955">
        <w:t>), S1P (</w:t>
      </w:r>
      <w:proofErr w:type="spellStart"/>
      <w:r w:rsidR="00F17955">
        <w:t>Ozanimod</w:t>
      </w:r>
      <w:proofErr w:type="spellEnd"/>
      <w:r w:rsidR="00F17955">
        <w:t xml:space="preserve">) and anti-inflammatory </w:t>
      </w:r>
      <w:r>
        <w:t>pathways</w:t>
      </w:r>
      <w:r w:rsidR="00F17955">
        <w:t xml:space="preserve"> (</w:t>
      </w:r>
      <w:proofErr w:type="spellStart"/>
      <w:r w:rsidR="00F17955">
        <w:t>Mongersen</w:t>
      </w:r>
      <w:proofErr w:type="spellEnd"/>
      <w:r w:rsidR="00F17955">
        <w:t xml:space="preserve">, </w:t>
      </w:r>
      <w:proofErr w:type="spellStart"/>
      <w:r w:rsidR="00F17955">
        <w:t>Laquinimod</w:t>
      </w:r>
      <w:proofErr w:type="spellEnd"/>
      <w:r w:rsidR="00F17955">
        <w:t>)</w:t>
      </w:r>
      <w:r>
        <w:t>, these would potentially</w:t>
      </w:r>
      <w:r w:rsidR="00F17955">
        <w:t xml:space="preserve"> </w:t>
      </w:r>
      <w:r>
        <w:t>provide additional</w:t>
      </w:r>
      <w:r w:rsidR="00F17955">
        <w:t xml:space="preserve"> oral therapeutic options </w:t>
      </w:r>
      <w:r>
        <w:t>for future treatment of</w:t>
      </w:r>
      <w:r w:rsidR="00F17955">
        <w:t xml:space="preserve"> IBD. </w:t>
      </w:r>
    </w:p>
    <w:p w14:paraId="20B97A6C" w14:textId="77777777" w:rsidR="00873919" w:rsidRPr="00E1513E" w:rsidRDefault="00873919" w:rsidP="00873919">
      <w:pPr>
        <w:spacing w:line="480" w:lineRule="auto"/>
        <w:rPr>
          <w:b/>
          <w:u w:val="single"/>
        </w:rPr>
      </w:pPr>
      <w:r w:rsidRPr="00E1513E">
        <w:rPr>
          <w:b/>
          <w:u w:val="single"/>
        </w:rPr>
        <w:t xml:space="preserve">Current priorities </w:t>
      </w:r>
      <w:r w:rsidR="00F17955">
        <w:rPr>
          <w:b/>
          <w:u w:val="single"/>
        </w:rPr>
        <w:t>and research</w:t>
      </w:r>
    </w:p>
    <w:p w14:paraId="069A5023" w14:textId="77777777" w:rsidR="00F17955" w:rsidRPr="00E1513E" w:rsidRDefault="00F17955" w:rsidP="00F17955">
      <w:pPr>
        <w:spacing w:line="480" w:lineRule="auto"/>
        <w:rPr>
          <w:b/>
          <w:u w:val="single"/>
        </w:rPr>
      </w:pPr>
      <w:r>
        <w:t xml:space="preserve">Increased disease incidence results in an increase in disease prevalence. The impact on services is clear, with these children being a large group of complex, chronic patients requiring personalised therapy and MDT management. Children diagnosed with PIBD will be spending an average of 4 years in paediatric services prior to transition, with early onset disease spending much longer in paediatric care. A current priority is continuing to provide the high standard of holistic care to patients despite the increase in patient numbers. </w:t>
      </w:r>
    </w:p>
    <w:p w14:paraId="69010C74" w14:textId="77777777" w:rsidR="00F17955" w:rsidRPr="00104249" w:rsidRDefault="00F17955" w:rsidP="00F17955">
      <w:pPr>
        <w:spacing w:line="480" w:lineRule="auto"/>
      </w:pPr>
      <w:r>
        <w:t>Research into the causes of IBD in children has increased over the last 10 years, focusing on the use of next-generation sequencing for genetic, transcriptomic and microbiome aspects of disease path</w:t>
      </w:r>
      <w:r w:rsidR="009506EE">
        <w:t>ogenesis</w:t>
      </w:r>
      <w:r>
        <w:t xml:space="preserve">. Increased understanding of disease aetiology through big data has moved the understanding of disease classification and pathogenesis further forward, although there is still work to be done. </w:t>
      </w:r>
      <w:r w:rsidR="004044DD">
        <w:t>P</w:t>
      </w:r>
      <w:r>
        <w:t>ersonalised therapy</w:t>
      </w:r>
      <w:r w:rsidR="009506EE">
        <w:t>, through mul</w:t>
      </w:r>
      <w:r w:rsidR="004044DD">
        <w:t>t</w:t>
      </w:r>
      <w:r w:rsidR="009506EE">
        <w:t>i</w:t>
      </w:r>
      <w:r w:rsidR="004044DD">
        <w:t>-</w:t>
      </w:r>
      <w:proofErr w:type="spellStart"/>
      <w:r w:rsidR="004044DD">
        <w:t>omic</w:t>
      </w:r>
      <w:proofErr w:type="spellEnd"/>
      <w:r w:rsidR="004044DD">
        <w:t xml:space="preserve"> and clinical data, is moving closer to reality, the us</w:t>
      </w:r>
      <w:r>
        <w:t>e of machine learning (computational analysis allowing i</w:t>
      </w:r>
      <w:r w:rsidR="004044DD">
        <w:t xml:space="preserve">nclusion of multiple data types) </w:t>
      </w:r>
      <w:r>
        <w:t>to assist with classification and to guide treatment is not yet routine but may yield the most clinically useful progress</w:t>
      </w:r>
      <w:r w:rsidR="004044DD">
        <w:t xml:space="preserve"> in the next 5-10 years</w:t>
      </w:r>
      <w:r>
        <w:t>.</w:t>
      </w:r>
    </w:p>
    <w:p w14:paraId="6847B1C1" w14:textId="77777777" w:rsidR="00873919" w:rsidRPr="0065692E" w:rsidRDefault="0065692E" w:rsidP="00873919">
      <w:pPr>
        <w:spacing w:line="480" w:lineRule="auto"/>
        <w:rPr>
          <w:b/>
          <w:u w:val="single"/>
        </w:rPr>
      </w:pPr>
      <w:r w:rsidRPr="0065692E">
        <w:rPr>
          <w:b/>
          <w:u w:val="single"/>
        </w:rPr>
        <w:lastRenderedPageBreak/>
        <w:t>Conclusions</w:t>
      </w:r>
    </w:p>
    <w:p w14:paraId="217B1D5F" w14:textId="77777777" w:rsidR="0065692E" w:rsidRDefault="0065692E" w:rsidP="0065692E">
      <w:pPr>
        <w:spacing w:line="480" w:lineRule="auto"/>
      </w:pPr>
      <w:r>
        <w:t>Incidence of paediatric-onset IBD is increasing resulting in more children presenting to general practitioners and general paediatricians, and more children under paediatric gastroenterology services. Early referral to tertiary care must be centred on correct interpretation of symptoms, prioritisation of investigations and understanding of results. Rapid diagnosis, alongside prompt, effective treatment (including utilising newer and current therapies) and MDT management is vital to provide good outcomes for this increasing group of patients.</w:t>
      </w:r>
    </w:p>
    <w:p w14:paraId="0B227A57" w14:textId="77777777" w:rsidR="00AF151B" w:rsidRDefault="00AF151B" w:rsidP="00873919">
      <w:pPr>
        <w:spacing w:line="480" w:lineRule="auto"/>
      </w:pPr>
    </w:p>
    <w:p w14:paraId="44BC1141" w14:textId="77777777" w:rsidR="00AF151B" w:rsidRDefault="00AF151B" w:rsidP="00873919">
      <w:pPr>
        <w:spacing w:line="480" w:lineRule="auto"/>
      </w:pPr>
    </w:p>
    <w:p w14:paraId="7DEEC68C" w14:textId="77777777" w:rsidR="00AF151B" w:rsidRDefault="00AF151B" w:rsidP="00873919">
      <w:pPr>
        <w:spacing w:line="480" w:lineRule="auto"/>
      </w:pPr>
    </w:p>
    <w:p w14:paraId="4C43E431" w14:textId="77777777" w:rsidR="00AF151B" w:rsidRDefault="00AF151B" w:rsidP="00873919">
      <w:pPr>
        <w:spacing w:line="480" w:lineRule="auto"/>
      </w:pPr>
    </w:p>
    <w:p w14:paraId="6396050A" w14:textId="77777777" w:rsidR="009506EE" w:rsidRDefault="009506EE" w:rsidP="00873919">
      <w:pPr>
        <w:spacing w:line="480" w:lineRule="auto"/>
      </w:pPr>
    </w:p>
    <w:p w14:paraId="0D4C374A" w14:textId="77777777" w:rsidR="009506EE" w:rsidRDefault="009506EE" w:rsidP="00873919">
      <w:pPr>
        <w:spacing w:line="480" w:lineRule="auto"/>
      </w:pPr>
    </w:p>
    <w:p w14:paraId="0FD335D6" w14:textId="77777777" w:rsidR="00873919" w:rsidRPr="0006078C" w:rsidRDefault="00873919" w:rsidP="00873919">
      <w:pPr>
        <w:spacing w:line="480" w:lineRule="auto"/>
        <w:rPr>
          <w:b/>
          <w:u w:val="single"/>
        </w:rPr>
      </w:pPr>
      <w:r w:rsidRPr="0006078C">
        <w:rPr>
          <w:b/>
          <w:u w:val="single"/>
        </w:rPr>
        <w:t>Tables</w:t>
      </w:r>
      <w:r w:rsidR="0006078C" w:rsidRPr="0006078C">
        <w:rPr>
          <w:b/>
          <w:u w:val="single"/>
        </w:rPr>
        <w:t xml:space="preserve"> and Figures</w:t>
      </w:r>
    </w:p>
    <w:p w14:paraId="34C51C3F" w14:textId="77777777" w:rsidR="00873919" w:rsidRDefault="0006078C" w:rsidP="00873919">
      <w:pPr>
        <w:spacing w:line="480" w:lineRule="auto"/>
      </w:pPr>
      <w:r>
        <w:t xml:space="preserve">Table 1- </w:t>
      </w:r>
      <w:r w:rsidR="00873919">
        <w:t>Clinical features</w:t>
      </w:r>
      <w:r>
        <w:t xml:space="preserve"> and red flags</w:t>
      </w:r>
    </w:p>
    <w:p w14:paraId="08D97DFF" w14:textId="77777777" w:rsidR="00873919" w:rsidRDefault="0006078C" w:rsidP="00873919">
      <w:pPr>
        <w:spacing w:line="480" w:lineRule="auto"/>
      </w:pPr>
      <w:r>
        <w:t xml:space="preserve">Table 2- </w:t>
      </w:r>
      <w:r w:rsidR="00873919">
        <w:t>Investigations</w:t>
      </w:r>
    </w:p>
    <w:p w14:paraId="1AC362B3" w14:textId="77777777" w:rsidR="00873919" w:rsidRDefault="0006078C" w:rsidP="00873919">
      <w:pPr>
        <w:spacing w:line="480" w:lineRule="auto"/>
      </w:pPr>
      <w:r>
        <w:t xml:space="preserve">Table 3- </w:t>
      </w:r>
      <w:r w:rsidR="00873919">
        <w:t>Treatments</w:t>
      </w:r>
    </w:p>
    <w:p w14:paraId="54AE364E" w14:textId="77777777" w:rsidR="00873919" w:rsidRDefault="0006078C" w:rsidP="00873919">
      <w:pPr>
        <w:spacing w:line="480" w:lineRule="auto"/>
      </w:pPr>
      <w:r>
        <w:t xml:space="preserve">Figure 1- </w:t>
      </w:r>
      <w:r w:rsidR="00873919">
        <w:t xml:space="preserve">Referral flow chart </w:t>
      </w:r>
    </w:p>
    <w:p w14:paraId="3A6640E7" w14:textId="77777777" w:rsidR="0006078C" w:rsidRDefault="0006078C" w:rsidP="00873919">
      <w:pPr>
        <w:spacing w:line="480" w:lineRule="auto"/>
      </w:pPr>
    </w:p>
    <w:p w14:paraId="7D28247D" w14:textId="75DFEF46" w:rsidR="006B6BA4" w:rsidRPr="007E5695" w:rsidRDefault="00DF7638" w:rsidP="00873919">
      <w:pPr>
        <w:spacing w:line="480" w:lineRule="auto"/>
        <w:rPr>
          <w:b/>
          <w:u w:val="single"/>
        </w:rPr>
      </w:pPr>
      <w:r w:rsidRPr="007E5695">
        <w:rPr>
          <w:b/>
          <w:u w:val="single"/>
        </w:rPr>
        <w:t xml:space="preserve">Patient Support groups </w:t>
      </w:r>
    </w:p>
    <w:p w14:paraId="080CD66F" w14:textId="4BAB2D2E" w:rsidR="006B6BA4" w:rsidRDefault="007E5695" w:rsidP="00873919">
      <w:pPr>
        <w:spacing w:line="480" w:lineRule="auto"/>
      </w:pPr>
      <w:r>
        <w:t xml:space="preserve">Children with Crohn’s and </w:t>
      </w:r>
      <w:r w:rsidRPr="007E5695">
        <w:rPr>
          <w:rFonts w:ascii="Calibri" w:hAnsi="Calibri" w:cs="Calibri"/>
        </w:rPr>
        <w:t>Colitis (</w:t>
      </w:r>
      <w:r w:rsidRPr="007E5695">
        <w:rPr>
          <w:rFonts w:ascii="Calibri" w:hAnsi="Calibri" w:cs="Calibri"/>
          <w:shd w:val="clear" w:color="auto" w:fill="FFFFFF"/>
        </w:rPr>
        <w:t>Crohn’s in Childhood Research Association)</w:t>
      </w:r>
      <w:r w:rsidRPr="007E5695">
        <w:rPr>
          <w:rFonts w:ascii="Arial" w:hAnsi="Arial" w:cs="Arial"/>
          <w:sz w:val="20"/>
          <w:szCs w:val="20"/>
          <w:shd w:val="clear" w:color="auto" w:fill="FFFFFF"/>
        </w:rPr>
        <w:t xml:space="preserve"> </w:t>
      </w:r>
      <w:hyperlink r:id="rId9" w:history="1">
        <w:r w:rsidRPr="009814D6">
          <w:rPr>
            <w:rStyle w:val="Hyperlink"/>
          </w:rPr>
          <w:t>http://www.cicra.org/</w:t>
        </w:r>
      </w:hyperlink>
    </w:p>
    <w:p w14:paraId="2C2CCBF7" w14:textId="320EB316" w:rsidR="007E5695" w:rsidRDefault="007E5695" w:rsidP="00873919">
      <w:pPr>
        <w:spacing w:line="480" w:lineRule="auto"/>
      </w:pPr>
      <w:r>
        <w:t xml:space="preserve">Crohn’s and Colitis UK </w:t>
      </w:r>
      <w:hyperlink r:id="rId10" w:history="1">
        <w:r w:rsidRPr="009814D6">
          <w:rPr>
            <w:rStyle w:val="Hyperlink"/>
          </w:rPr>
          <w:t>https://www.crohnsandcolitis.org.uk/</w:t>
        </w:r>
      </w:hyperlink>
    </w:p>
    <w:p w14:paraId="221F8814" w14:textId="39FED95D" w:rsidR="007E5695" w:rsidRDefault="007E5695" w:rsidP="00873919">
      <w:pPr>
        <w:spacing w:line="480" w:lineRule="auto"/>
      </w:pPr>
    </w:p>
    <w:p w14:paraId="0D708038" w14:textId="77777777" w:rsidR="002C3EB3" w:rsidRPr="009C7A77" w:rsidRDefault="002C3EB3" w:rsidP="002C3EB3">
      <w:pPr>
        <w:spacing w:line="480" w:lineRule="auto"/>
        <w:rPr>
          <w:u w:val="single"/>
        </w:rPr>
      </w:pPr>
      <w:r w:rsidRPr="009C7A77">
        <w:rPr>
          <w:u w:val="single"/>
        </w:rPr>
        <w:t>Funding</w:t>
      </w:r>
    </w:p>
    <w:p w14:paraId="2FF39ECA" w14:textId="77777777" w:rsidR="002C3EB3" w:rsidRDefault="002C3EB3" w:rsidP="002C3EB3">
      <w:pPr>
        <w:spacing w:line="480" w:lineRule="auto"/>
      </w:pPr>
      <w:r>
        <w:t>JJA is funded by an Action Medical Research, research training fellowship</w:t>
      </w:r>
    </w:p>
    <w:p w14:paraId="00E5A991" w14:textId="77777777" w:rsidR="00295CE7" w:rsidRDefault="00295CE7" w:rsidP="00873919">
      <w:pPr>
        <w:spacing w:line="480" w:lineRule="auto"/>
      </w:pPr>
    </w:p>
    <w:p w14:paraId="53410558" w14:textId="0076DB43" w:rsidR="007E5695" w:rsidRDefault="007E5695" w:rsidP="00873919">
      <w:pPr>
        <w:spacing w:line="480" w:lineRule="auto"/>
      </w:pPr>
    </w:p>
    <w:p w14:paraId="6AC64818" w14:textId="53C8A7BF" w:rsidR="007E5695" w:rsidRDefault="007E5695" w:rsidP="00873919">
      <w:pPr>
        <w:spacing w:line="480" w:lineRule="auto"/>
      </w:pPr>
    </w:p>
    <w:p w14:paraId="53D82679" w14:textId="2648D2DD" w:rsidR="007E5695" w:rsidRDefault="007E5695" w:rsidP="00873919">
      <w:pPr>
        <w:spacing w:line="480" w:lineRule="auto"/>
      </w:pPr>
    </w:p>
    <w:p w14:paraId="52CE3922" w14:textId="4C72A6D1" w:rsidR="007E5695" w:rsidRDefault="007E5695" w:rsidP="00873919">
      <w:pPr>
        <w:spacing w:line="480" w:lineRule="auto"/>
      </w:pPr>
    </w:p>
    <w:p w14:paraId="6576751E" w14:textId="0C77EDE6" w:rsidR="007E5695" w:rsidRDefault="007E5695" w:rsidP="00873919">
      <w:pPr>
        <w:spacing w:line="480" w:lineRule="auto"/>
      </w:pPr>
    </w:p>
    <w:p w14:paraId="6FEE368A" w14:textId="20AF4FDC" w:rsidR="007E5695" w:rsidRDefault="007E5695" w:rsidP="00873919">
      <w:pPr>
        <w:spacing w:line="480" w:lineRule="auto"/>
      </w:pPr>
    </w:p>
    <w:p w14:paraId="00976AFD" w14:textId="4BF02B00" w:rsidR="007E5695" w:rsidRDefault="007E5695" w:rsidP="00873919">
      <w:pPr>
        <w:spacing w:line="480" w:lineRule="auto"/>
      </w:pPr>
    </w:p>
    <w:p w14:paraId="6F8B2016" w14:textId="77777777" w:rsidR="000D7678" w:rsidRDefault="009506EE" w:rsidP="00324869">
      <w:pPr>
        <w:spacing w:line="480" w:lineRule="auto"/>
        <w:rPr>
          <w:b/>
        </w:rPr>
      </w:pPr>
      <w:r>
        <w:rPr>
          <w:b/>
        </w:rPr>
        <w:t>Further reading</w:t>
      </w:r>
    </w:p>
    <w:p w14:paraId="475ADBEF" w14:textId="77777777" w:rsidR="00CC3A9E" w:rsidRPr="008A0331" w:rsidRDefault="00CC3A9E" w:rsidP="00CC3A9E">
      <w:pPr>
        <w:pStyle w:val="ListParagraph"/>
        <w:numPr>
          <w:ilvl w:val="0"/>
          <w:numId w:val="18"/>
        </w:numPr>
        <w:spacing w:line="480" w:lineRule="auto"/>
      </w:pPr>
      <w:r w:rsidRPr="008A0331">
        <w:lastRenderedPageBreak/>
        <w:t xml:space="preserve">Turner D, Levine A, Escher JC, et al. Management of </w:t>
      </w:r>
      <w:proofErr w:type="spellStart"/>
      <w:r w:rsidRPr="008A0331">
        <w:t>pediatric</w:t>
      </w:r>
      <w:proofErr w:type="spellEnd"/>
      <w:r w:rsidRPr="008A0331">
        <w:t xml:space="preserve"> ulcerative colitis: joint ECCO and ESPGHAN evidence-based consensus guidelines. J </w:t>
      </w:r>
      <w:proofErr w:type="spellStart"/>
      <w:r w:rsidRPr="008A0331">
        <w:t>Pediatr</w:t>
      </w:r>
      <w:proofErr w:type="spellEnd"/>
      <w:r w:rsidRPr="008A0331">
        <w:t xml:space="preserve"> </w:t>
      </w:r>
      <w:proofErr w:type="spellStart"/>
      <w:r w:rsidRPr="008A0331">
        <w:t>Gastroenterol</w:t>
      </w:r>
      <w:proofErr w:type="spellEnd"/>
      <w:r w:rsidRPr="008A0331">
        <w:t xml:space="preserve"> </w:t>
      </w:r>
      <w:proofErr w:type="spellStart"/>
      <w:r w:rsidRPr="008A0331">
        <w:t>Nutr</w:t>
      </w:r>
      <w:proofErr w:type="spellEnd"/>
      <w:r w:rsidRPr="008A0331">
        <w:t xml:space="preserve"> 2012</w:t>
      </w:r>
      <w:proofErr w:type="gramStart"/>
      <w:r w:rsidRPr="008A0331">
        <w:t>;55:340</w:t>
      </w:r>
      <w:proofErr w:type="gramEnd"/>
      <w:r w:rsidRPr="008A0331">
        <w:t>–61. doi:10.1097/MPG.0b013e3182662233</w:t>
      </w:r>
    </w:p>
    <w:p w14:paraId="03B4480E" w14:textId="77777777" w:rsidR="00CC3A9E" w:rsidRPr="008A0331" w:rsidRDefault="00CC3A9E" w:rsidP="00CC3A9E">
      <w:pPr>
        <w:pStyle w:val="ListParagraph"/>
        <w:numPr>
          <w:ilvl w:val="0"/>
          <w:numId w:val="18"/>
        </w:numPr>
        <w:spacing w:line="480" w:lineRule="auto"/>
      </w:pPr>
      <w:proofErr w:type="spellStart"/>
      <w:r w:rsidRPr="008A0331">
        <w:t>Ruemmele</w:t>
      </w:r>
      <w:proofErr w:type="spellEnd"/>
      <w:r w:rsidRPr="008A0331">
        <w:t xml:space="preserve"> FM, </w:t>
      </w:r>
      <w:proofErr w:type="spellStart"/>
      <w:r w:rsidRPr="008A0331">
        <w:t>Veres</w:t>
      </w:r>
      <w:proofErr w:type="spellEnd"/>
      <w:r w:rsidRPr="008A0331">
        <w:t xml:space="preserve"> G, </w:t>
      </w:r>
      <w:proofErr w:type="spellStart"/>
      <w:r w:rsidRPr="008A0331">
        <w:t>Kolho</w:t>
      </w:r>
      <w:proofErr w:type="spellEnd"/>
      <w:r w:rsidRPr="008A0331">
        <w:t xml:space="preserve"> KL, et al. Consensus guidelines of ECCO/ESPGHAN on the medical management of </w:t>
      </w:r>
      <w:proofErr w:type="spellStart"/>
      <w:r w:rsidRPr="008A0331">
        <w:t>pediatric</w:t>
      </w:r>
      <w:proofErr w:type="spellEnd"/>
      <w:r w:rsidRPr="008A0331">
        <w:t xml:space="preserve"> Crohn’s disease. J </w:t>
      </w:r>
      <w:proofErr w:type="spellStart"/>
      <w:r w:rsidRPr="008A0331">
        <w:t>Crohns</w:t>
      </w:r>
      <w:proofErr w:type="spellEnd"/>
      <w:r w:rsidRPr="008A0331">
        <w:t xml:space="preserve"> Colitis 2014</w:t>
      </w:r>
      <w:proofErr w:type="gramStart"/>
      <w:r w:rsidRPr="008A0331">
        <w:t>;8:1179</w:t>
      </w:r>
      <w:proofErr w:type="gramEnd"/>
      <w:r w:rsidRPr="008A0331">
        <w:t>–207. doi:10.1016/j.crohns.2014.04.005</w:t>
      </w:r>
    </w:p>
    <w:p w14:paraId="363CE79A" w14:textId="77777777" w:rsidR="00CC3A9E" w:rsidRPr="008A0331" w:rsidRDefault="00CC3A9E" w:rsidP="00CC3A9E">
      <w:pPr>
        <w:pStyle w:val="ListParagraph"/>
        <w:numPr>
          <w:ilvl w:val="0"/>
          <w:numId w:val="18"/>
        </w:numPr>
        <w:spacing w:line="480" w:lineRule="auto"/>
      </w:pPr>
      <w:r w:rsidRPr="008A0331">
        <w:t xml:space="preserve">Levine A, </w:t>
      </w:r>
      <w:proofErr w:type="spellStart"/>
      <w:r w:rsidRPr="008A0331">
        <w:t>Koletzko</w:t>
      </w:r>
      <w:proofErr w:type="spellEnd"/>
      <w:r w:rsidRPr="008A0331">
        <w:t xml:space="preserve"> S, Turner D, et al. ESPGHAN revised </w:t>
      </w:r>
      <w:proofErr w:type="spellStart"/>
      <w:proofErr w:type="gramStart"/>
      <w:r w:rsidRPr="008A0331">
        <w:t>porto</w:t>
      </w:r>
      <w:proofErr w:type="spellEnd"/>
      <w:proofErr w:type="gramEnd"/>
      <w:r w:rsidRPr="008A0331">
        <w:t xml:space="preserve"> criteria for the diagnosis of inflammatory bowel disease in children and adolescents. J </w:t>
      </w:r>
      <w:proofErr w:type="spellStart"/>
      <w:r w:rsidRPr="008A0331">
        <w:t>Pediatr</w:t>
      </w:r>
      <w:proofErr w:type="spellEnd"/>
      <w:r w:rsidRPr="008A0331">
        <w:t xml:space="preserve"> </w:t>
      </w:r>
      <w:proofErr w:type="spellStart"/>
      <w:r w:rsidRPr="008A0331">
        <w:t>Gastroenterol</w:t>
      </w:r>
      <w:proofErr w:type="spellEnd"/>
      <w:r w:rsidRPr="008A0331">
        <w:t xml:space="preserve"> </w:t>
      </w:r>
      <w:proofErr w:type="spellStart"/>
      <w:r w:rsidRPr="008A0331">
        <w:t>Nutr</w:t>
      </w:r>
      <w:proofErr w:type="spellEnd"/>
      <w:r w:rsidRPr="008A0331">
        <w:t xml:space="preserve"> 2014</w:t>
      </w:r>
      <w:proofErr w:type="gramStart"/>
      <w:r w:rsidRPr="008A0331">
        <w:t>;58</w:t>
      </w:r>
      <w:proofErr w:type="gramEnd"/>
      <w:r w:rsidRPr="008A0331">
        <w:t>. doi:10.1097/MPG.0000000000000239</w:t>
      </w:r>
    </w:p>
    <w:p w14:paraId="598DC05B" w14:textId="77777777" w:rsidR="00CC3A9E" w:rsidRPr="008A0331" w:rsidRDefault="00CC3A9E" w:rsidP="00CC3A9E">
      <w:pPr>
        <w:pStyle w:val="ListParagraph"/>
        <w:numPr>
          <w:ilvl w:val="0"/>
          <w:numId w:val="18"/>
        </w:numPr>
        <w:spacing w:line="480" w:lineRule="auto"/>
      </w:pPr>
      <w:r w:rsidRPr="008A0331">
        <w:t xml:space="preserve">Rosen MJ, </w:t>
      </w:r>
      <w:proofErr w:type="spellStart"/>
      <w:r w:rsidRPr="008A0331">
        <w:t>Dhawan</w:t>
      </w:r>
      <w:proofErr w:type="spellEnd"/>
      <w:r w:rsidRPr="008A0331">
        <w:t xml:space="preserve"> A, Saeed SA. Inflammatory Bowel Disease in Children and Adolescents. JAMA </w:t>
      </w:r>
      <w:proofErr w:type="spellStart"/>
      <w:r w:rsidRPr="008A0331">
        <w:t>Pediatr</w:t>
      </w:r>
      <w:proofErr w:type="spellEnd"/>
      <w:r w:rsidRPr="008A0331">
        <w:t xml:space="preserve"> 2015</w:t>
      </w:r>
      <w:proofErr w:type="gramStart"/>
      <w:r w:rsidRPr="008A0331">
        <w:t>;169:1053</w:t>
      </w:r>
      <w:proofErr w:type="gramEnd"/>
      <w:r w:rsidRPr="008A0331">
        <w:t>–60. doi:10.1001/jamapediatrics.2015.1982</w:t>
      </w:r>
    </w:p>
    <w:p w14:paraId="2E1952DA" w14:textId="77777777" w:rsidR="00CC3A9E" w:rsidRPr="008A0331" w:rsidRDefault="00CC3A9E" w:rsidP="00CC3A9E">
      <w:pPr>
        <w:pStyle w:val="ListParagraph"/>
        <w:numPr>
          <w:ilvl w:val="0"/>
          <w:numId w:val="18"/>
        </w:numPr>
        <w:spacing w:line="480" w:lineRule="auto"/>
      </w:pPr>
      <w:r w:rsidRPr="003A5A29">
        <w:rPr>
          <w:lang w:val="it-IT"/>
        </w:rPr>
        <w:t xml:space="preserve">Aloi M, Nuti F, Stronati L, et al. </w:t>
      </w:r>
      <w:r w:rsidRPr="008A0331">
        <w:t xml:space="preserve">Advances in the medical management of paediatric IBD. Nat Rev </w:t>
      </w:r>
      <w:proofErr w:type="spellStart"/>
      <w:r w:rsidRPr="008A0331">
        <w:t>Gastroenterol</w:t>
      </w:r>
      <w:proofErr w:type="spellEnd"/>
      <w:r w:rsidRPr="008A0331">
        <w:t xml:space="preserve"> </w:t>
      </w:r>
      <w:proofErr w:type="spellStart"/>
      <w:r w:rsidRPr="008A0331">
        <w:t>Hepatol</w:t>
      </w:r>
      <w:proofErr w:type="spellEnd"/>
      <w:r w:rsidRPr="008A0331">
        <w:t xml:space="preserve"> 2014</w:t>
      </w:r>
      <w:proofErr w:type="gramStart"/>
      <w:r w:rsidRPr="008A0331">
        <w:t>;11:99</w:t>
      </w:r>
      <w:proofErr w:type="gramEnd"/>
      <w:r w:rsidRPr="008A0331">
        <w:t>–108. doi:10.1038/nrgastro.2013.158</w:t>
      </w:r>
    </w:p>
    <w:p w14:paraId="1C8C4F56" w14:textId="77777777" w:rsidR="00CC3A9E" w:rsidRPr="008A0331" w:rsidRDefault="00CC3A9E" w:rsidP="00CC3A9E">
      <w:pPr>
        <w:pStyle w:val="ListParagraph"/>
        <w:numPr>
          <w:ilvl w:val="0"/>
          <w:numId w:val="18"/>
        </w:numPr>
        <w:spacing w:line="480" w:lineRule="auto"/>
      </w:pPr>
      <w:r w:rsidRPr="008A0331">
        <w:t>Oliveira SB, Monteiro IM. Diagnosis and management of inflammatory bowel disease in children. BMJ 2017</w:t>
      </w:r>
      <w:proofErr w:type="gramStart"/>
      <w:r w:rsidRPr="008A0331">
        <w:t>;357:j2083</w:t>
      </w:r>
      <w:proofErr w:type="gramEnd"/>
      <w:r w:rsidRPr="008A0331">
        <w:t>. doi:10.1136/BMJ.J2083</w:t>
      </w:r>
    </w:p>
    <w:p w14:paraId="4DCC5D6C" w14:textId="77777777" w:rsidR="00CC3A9E" w:rsidRPr="008A0331" w:rsidRDefault="00CC3A9E" w:rsidP="00CC3A9E">
      <w:pPr>
        <w:pStyle w:val="ListParagraph"/>
        <w:numPr>
          <w:ilvl w:val="0"/>
          <w:numId w:val="18"/>
        </w:numPr>
        <w:spacing w:line="480" w:lineRule="auto"/>
      </w:pPr>
      <w:r w:rsidRPr="008A0331">
        <w:lastRenderedPageBreak/>
        <w:t xml:space="preserve">Ashton JJ, Ennis S, Beattie RM. Early-onset paediatric inflammatory bowel disease. Lancet Child </w:t>
      </w:r>
      <w:proofErr w:type="spellStart"/>
      <w:r w:rsidRPr="008A0331">
        <w:t>Adolesc</w:t>
      </w:r>
      <w:proofErr w:type="spellEnd"/>
      <w:r w:rsidRPr="008A0331">
        <w:t xml:space="preserve"> Heal 2017</w:t>
      </w:r>
      <w:proofErr w:type="gramStart"/>
      <w:r w:rsidRPr="008A0331">
        <w:t>;1:147</w:t>
      </w:r>
      <w:proofErr w:type="gramEnd"/>
      <w:r w:rsidRPr="008A0331">
        <w:t>–58. doi:10.1016/S2352-4642(17)30017-2</w:t>
      </w:r>
    </w:p>
    <w:p w14:paraId="3428E781" w14:textId="77777777" w:rsidR="00CC3A9E" w:rsidRPr="008A0331" w:rsidRDefault="00CC3A9E" w:rsidP="00CC3A9E">
      <w:pPr>
        <w:pStyle w:val="ListParagraph"/>
        <w:numPr>
          <w:ilvl w:val="0"/>
          <w:numId w:val="18"/>
        </w:numPr>
        <w:spacing w:line="480" w:lineRule="auto"/>
      </w:pPr>
      <w:r w:rsidRPr="003A5A29">
        <w:rPr>
          <w:lang w:val="de-DE"/>
        </w:rPr>
        <w:t xml:space="preserve">Uhlig HH, Schwerd T, Koletzko S, et al. </w:t>
      </w:r>
      <w:r w:rsidRPr="008A0331">
        <w:t>The diagnostic approach to monogenic very early onset inflammatory bowel disease. Gastroenterology 2014</w:t>
      </w:r>
      <w:proofErr w:type="gramStart"/>
      <w:r w:rsidRPr="008A0331">
        <w:t>;147:990</w:t>
      </w:r>
      <w:proofErr w:type="gramEnd"/>
      <w:r w:rsidRPr="008A0331">
        <w:t>–1007.e3. doi:10.1053/j.gastro.2014.07.023</w:t>
      </w:r>
    </w:p>
    <w:p w14:paraId="20460F97" w14:textId="77777777" w:rsidR="00CC3A9E" w:rsidRPr="008A0331" w:rsidRDefault="00CC3A9E" w:rsidP="00CC3A9E">
      <w:pPr>
        <w:pStyle w:val="ListParagraph"/>
        <w:numPr>
          <w:ilvl w:val="0"/>
          <w:numId w:val="18"/>
        </w:numPr>
        <w:spacing w:line="480" w:lineRule="auto"/>
      </w:pPr>
      <w:r w:rsidRPr="008A0331">
        <w:t xml:space="preserve">Ashton JJ, Gavin J, Beattie RM. Exclusive enteral nutrition in Crohn’s disease: Evidence and practicalities. </w:t>
      </w:r>
      <w:proofErr w:type="spellStart"/>
      <w:r w:rsidRPr="008A0331">
        <w:t>Clin</w:t>
      </w:r>
      <w:proofErr w:type="spellEnd"/>
      <w:r w:rsidRPr="008A0331">
        <w:t xml:space="preserve"> </w:t>
      </w:r>
      <w:proofErr w:type="spellStart"/>
      <w:r w:rsidRPr="008A0331">
        <w:t>Nutr</w:t>
      </w:r>
      <w:proofErr w:type="spellEnd"/>
      <w:r w:rsidRPr="008A0331">
        <w:t xml:space="preserve"> Published Online First: 1 February 2018. doi:10.1016/j.clnu.2018.01.020</w:t>
      </w:r>
    </w:p>
    <w:p w14:paraId="3AD0D186" w14:textId="77777777" w:rsidR="009506EE" w:rsidRPr="008A0331" w:rsidRDefault="009506EE" w:rsidP="009506EE">
      <w:pPr>
        <w:pStyle w:val="ListParagraph"/>
        <w:numPr>
          <w:ilvl w:val="0"/>
          <w:numId w:val="18"/>
        </w:numPr>
        <w:spacing w:line="480" w:lineRule="auto"/>
      </w:pPr>
      <w:r w:rsidRPr="008A0331">
        <w:t xml:space="preserve">Ashton JJ, Coelho T, Ennis S, et al. Presenting Phenotype of Paediatric Inflammatory Bowel Disease (PIBD) in Wessex, Southern England 2010-13. </w:t>
      </w:r>
      <w:proofErr w:type="spellStart"/>
      <w:r w:rsidRPr="008A0331">
        <w:t>Acta</w:t>
      </w:r>
      <w:proofErr w:type="spellEnd"/>
      <w:r w:rsidRPr="008A0331">
        <w:t xml:space="preserve"> </w:t>
      </w:r>
      <w:proofErr w:type="spellStart"/>
      <w:r w:rsidRPr="008A0331">
        <w:t>Paediatr</w:t>
      </w:r>
      <w:proofErr w:type="spellEnd"/>
      <w:r w:rsidRPr="008A0331">
        <w:t xml:space="preserve"> Published Online First: 2015. doi:10.1111/apa.13017</w:t>
      </w:r>
    </w:p>
    <w:p w14:paraId="7802C7F6" w14:textId="77777777" w:rsidR="00CC3A9E" w:rsidRPr="008A0331" w:rsidRDefault="00CC3A9E" w:rsidP="00CC3A9E">
      <w:pPr>
        <w:pStyle w:val="ListParagraph"/>
        <w:numPr>
          <w:ilvl w:val="0"/>
          <w:numId w:val="18"/>
        </w:numPr>
        <w:spacing w:line="480" w:lineRule="auto"/>
      </w:pPr>
      <w:r w:rsidRPr="003A5A29">
        <w:rPr>
          <w:lang w:val="fr-FR"/>
        </w:rPr>
        <w:t xml:space="preserve">Ashton JJ, Wiskin AE, Ennis S, et al. </w:t>
      </w:r>
      <w:r w:rsidRPr="008A0331">
        <w:t>Rising incidence of paediatric inflammatory bowel disease (PIBD) in Wessex, Southern England. Arch Dis Child 2014</w:t>
      </w:r>
      <w:proofErr w:type="gramStart"/>
      <w:r w:rsidRPr="008A0331">
        <w:t>;99:659</w:t>
      </w:r>
      <w:proofErr w:type="gramEnd"/>
      <w:r w:rsidRPr="008A0331">
        <w:t>–64. doi:10.1136/archdischild-2013-305419</w:t>
      </w:r>
    </w:p>
    <w:p w14:paraId="1DBE10BF" w14:textId="77777777" w:rsidR="00CC3A9E" w:rsidRPr="008A0331" w:rsidRDefault="00CC3A9E" w:rsidP="00CC3A9E">
      <w:pPr>
        <w:pStyle w:val="ListParagraph"/>
        <w:numPr>
          <w:ilvl w:val="0"/>
          <w:numId w:val="18"/>
        </w:numPr>
        <w:spacing w:line="480" w:lineRule="auto"/>
      </w:pPr>
      <w:proofErr w:type="spellStart"/>
      <w:r w:rsidRPr="008A0331">
        <w:t>Saha</w:t>
      </w:r>
      <w:proofErr w:type="spellEnd"/>
      <w:r w:rsidRPr="008A0331">
        <w:t xml:space="preserve"> A, </w:t>
      </w:r>
      <w:proofErr w:type="spellStart"/>
      <w:r w:rsidRPr="008A0331">
        <w:t>Tighe</w:t>
      </w:r>
      <w:proofErr w:type="spellEnd"/>
      <w:r w:rsidRPr="008A0331">
        <w:t xml:space="preserve"> MP, Batra A. How to use faecal calprotectin in management of paediatric inflammatory bowel disease. Arch Dis Child </w:t>
      </w:r>
      <w:proofErr w:type="spellStart"/>
      <w:r w:rsidRPr="008A0331">
        <w:t>Educ</w:t>
      </w:r>
      <w:proofErr w:type="spellEnd"/>
      <w:r w:rsidRPr="008A0331">
        <w:t xml:space="preserve"> </w:t>
      </w:r>
      <w:proofErr w:type="spellStart"/>
      <w:r w:rsidRPr="008A0331">
        <w:t>Pr</w:t>
      </w:r>
      <w:proofErr w:type="spellEnd"/>
      <w:r w:rsidRPr="008A0331">
        <w:t xml:space="preserve"> Ed 2016</w:t>
      </w:r>
      <w:proofErr w:type="gramStart"/>
      <w:r w:rsidRPr="008A0331">
        <w:t>;101:124</w:t>
      </w:r>
      <w:proofErr w:type="gramEnd"/>
      <w:r w:rsidRPr="008A0331">
        <w:t>–8. doi:10.1136/archdischild-2014-307941</w:t>
      </w:r>
    </w:p>
    <w:p w14:paraId="1F9523EA" w14:textId="77777777" w:rsidR="00CC3A9E" w:rsidRPr="008A0331" w:rsidRDefault="009506EE" w:rsidP="00CC3A9E">
      <w:pPr>
        <w:pStyle w:val="ListParagraph"/>
        <w:numPr>
          <w:ilvl w:val="0"/>
          <w:numId w:val="18"/>
        </w:numPr>
        <w:spacing w:line="480" w:lineRule="auto"/>
      </w:pPr>
      <w:r w:rsidRPr="003A5A29">
        <w:rPr>
          <w:lang w:val="fr-FR"/>
        </w:rPr>
        <w:t xml:space="preserve">Khor B, Gardet A, Xavier RJ, et al. </w:t>
      </w:r>
      <w:r w:rsidRPr="008A0331">
        <w:t>Genetics and pathogenesis of inflammatory bowel disease. Nature 2011</w:t>
      </w:r>
      <w:proofErr w:type="gramStart"/>
      <w:r w:rsidRPr="008A0331">
        <w:t>;474:307</w:t>
      </w:r>
      <w:proofErr w:type="gramEnd"/>
      <w:r w:rsidRPr="008A0331">
        <w:t>–17. doi:10.1038/nature10209</w:t>
      </w:r>
    </w:p>
    <w:p w14:paraId="378F8826" w14:textId="77777777" w:rsidR="00CC3A9E" w:rsidRPr="008A0331" w:rsidRDefault="009506EE" w:rsidP="00CC3A9E">
      <w:pPr>
        <w:pStyle w:val="ListParagraph"/>
        <w:numPr>
          <w:ilvl w:val="0"/>
          <w:numId w:val="18"/>
        </w:numPr>
        <w:spacing w:line="480" w:lineRule="auto"/>
      </w:pPr>
      <w:proofErr w:type="spellStart"/>
      <w:r w:rsidRPr="008A0331">
        <w:lastRenderedPageBreak/>
        <w:t>Gevers</w:t>
      </w:r>
      <w:proofErr w:type="spellEnd"/>
      <w:r w:rsidRPr="008A0331">
        <w:t xml:space="preserve"> D, </w:t>
      </w:r>
      <w:proofErr w:type="spellStart"/>
      <w:r w:rsidRPr="008A0331">
        <w:t>Kugathasan</w:t>
      </w:r>
      <w:proofErr w:type="spellEnd"/>
      <w:r w:rsidRPr="008A0331">
        <w:t xml:space="preserve"> S, Denson LA, et al. The treatment-naive microbiome in new-onset Crohn’s disease. Cell Host Microbe 2014</w:t>
      </w:r>
      <w:proofErr w:type="gramStart"/>
      <w:r w:rsidRPr="008A0331">
        <w:t>;15:382</w:t>
      </w:r>
      <w:proofErr w:type="gramEnd"/>
      <w:r w:rsidRPr="008A0331">
        <w:t>–92. doi:10.1016/j.chom.2014.02.005</w:t>
      </w:r>
    </w:p>
    <w:p w14:paraId="1866DFDE" w14:textId="77777777" w:rsidR="00CC3A9E" w:rsidRPr="008A0331" w:rsidRDefault="009506EE" w:rsidP="00CC3A9E">
      <w:pPr>
        <w:pStyle w:val="ListParagraph"/>
        <w:numPr>
          <w:ilvl w:val="0"/>
          <w:numId w:val="18"/>
        </w:numPr>
        <w:spacing w:line="480" w:lineRule="auto"/>
      </w:pPr>
      <w:r w:rsidRPr="003A5A29">
        <w:rPr>
          <w:lang w:val="fr-FR"/>
        </w:rPr>
        <w:t xml:space="preserve">Levine A, Anne G, James M, et al. </w:t>
      </w:r>
      <w:proofErr w:type="spellStart"/>
      <w:r w:rsidRPr="008A0331">
        <w:t>Pediatric</w:t>
      </w:r>
      <w:proofErr w:type="spellEnd"/>
      <w:r w:rsidRPr="008A0331">
        <w:t xml:space="preserve"> modification of the Montreal classification for inflammatory bowel disease: The Paris classification. </w:t>
      </w:r>
      <w:proofErr w:type="spellStart"/>
      <w:r w:rsidRPr="008A0331">
        <w:t>Inflamm</w:t>
      </w:r>
      <w:proofErr w:type="spellEnd"/>
      <w:r w:rsidRPr="008A0331">
        <w:t xml:space="preserve"> Bowel Dis 2011</w:t>
      </w:r>
      <w:proofErr w:type="gramStart"/>
      <w:r w:rsidRPr="008A0331">
        <w:t>;17:1314</w:t>
      </w:r>
      <w:proofErr w:type="gramEnd"/>
      <w:r w:rsidRPr="008A0331">
        <w:t>–21. doi:10.1002/ibd.21493</w:t>
      </w:r>
    </w:p>
    <w:p w14:paraId="3DA6F4C1" w14:textId="77777777" w:rsidR="009506EE" w:rsidRPr="000D7678" w:rsidRDefault="009506EE" w:rsidP="00324869">
      <w:pPr>
        <w:spacing w:line="480" w:lineRule="auto"/>
        <w:rPr>
          <w:b/>
        </w:rPr>
      </w:pPr>
    </w:p>
    <w:sectPr w:rsidR="009506EE" w:rsidRPr="000D7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099"/>
    <w:multiLevelType w:val="hybridMultilevel"/>
    <w:tmpl w:val="C1E6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67A30"/>
    <w:multiLevelType w:val="hybridMultilevel"/>
    <w:tmpl w:val="95D81862"/>
    <w:lvl w:ilvl="0" w:tplc="ACE07E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4710F"/>
    <w:multiLevelType w:val="hybridMultilevel"/>
    <w:tmpl w:val="445E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96C30"/>
    <w:multiLevelType w:val="hybridMultilevel"/>
    <w:tmpl w:val="6116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55703"/>
    <w:multiLevelType w:val="hybridMultilevel"/>
    <w:tmpl w:val="ED80DAB8"/>
    <w:numStyleLink w:val="ImportedStyle2"/>
  </w:abstractNum>
  <w:abstractNum w:abstractNumId="5" w15:restartNumberingAfterBreak="0">
    <w:nsid w:val="11477F35"/>
    <w:multiLevelType w:val="hybridMultilevel"/>
    <w:tmpl w:val="D9F8B7EA"/>
    <w:lvl w:ilvl="0" w:tplc="B0C8540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44C05"/>
    <w:multiLevelType w:val="hybridMultilevel"/>
    <w:tmpl w:val="5B20657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22276FA6"/>
    <w:multiLevelType w:val="hybridMultilevel"/>
    <w:tmpl w:val="189C5A8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8" w15:restartNumberingAfterBreak="0">
    <w:nsid w:val="24766BA3"/>
    <w:multiLevelType w:val="hybridMultilevel"/>
    <w:tmpl w:val="7E202B14"/>
    <w:lvl w:ilvl="0" w:tplc="B0C8540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258D6"/>
    <w:multiLevelType w:val="hybridMultilevel"/>
    <w:tmpl w:val="A1BA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F3ED7"/>
    <w:multiLevelType w:val="hybridMultilevel"/>
    <w:tmpl w:val="080C01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FE06C1"/>
    <w:multiLevelType w:val="hybridMultilevel"/>
    <w:tmpl w:val="80EA1CD8"/>
    <w:lvl w:ilvl="0" w:tplc="B0C8540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00778"/>
    <w:multiLevelType w:val="hybridMultilevel"/>
    <w:tmpl w:val="62C0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40E00"/>
    <w:multiLevelType w:val="hybridMultilevel"/>
    <w:tmpl w:val="6EB81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25B45"/>
    <w:multiLevelType w:val="hybridMultilevel"/>
    <w:tmpl w:val="46D82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B3F99"/>
    <w:multiLevelType w:val="hybridMultilevel"/>
    <w:tmpl w:val="2D12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E6B5F"/>
    <w:multiLevelType w:val="hybridMultilevel"/>
    <w:tmpl w:val="C2E2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153C1F"/>
    <w:multiLevelType w:val="hybridMultilevel"/>
    <w:tmpl w:val="5E5C6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D75479"/>
    <w:multiLevelType w:val="hybridMultilevel"/>
    <w:tmpl w:val="ED80DAB8"/>
    <w:styleLink w:val="ImportedStyle2"/>
    <w:lvl w:ilvl="0" w:tplc="8314F5A0">
      <w:start w:val="1"/>
      <w:numFmt w:val="bullet"/>
      <w:lvlText w:val="•"/>
      <w:lvlJc w:val="left"/>
      <w:pPr>
        <w:ind w:left="142" w:hanging="142"/>
      </w:pPr>
      <w:rPr>
        <w:rFonts w:ascii="Symbol" w:eastAsia="Symbol" w:hAnsi="Symbol" w:cs="Symbol"/>
        <w:b w:val="0"/>
        <w:bCs w:val="0"/>
        <w:i w:val="0"/>
        <w:iCs w:val="0"/>
        <w:caps w:val="0"/>
        <w:smallCaps w:val="0"/>
        <w:strike w:val="0"/>
        <w:dstrike w:val="0"/>
        <w:color w:val="0000FF"/>
        <w:spacing w:val="0"/>
        <w:w w:val="100"/>
        <w:kern w:val="0"/>
        <w:position w:val="0"/>
        <w:highlight w:val="none"/>
        <w:vertAlign w:val="baseline"/>
      </w:rPr>
    </w:lvl>
    <w:lvl w:ilvl="1" w:tplc="8E8E62DC">
      <w:start w:val="1"/>
      <w:numFmt w:val="bullet"/>
      <w:lvlText w:val="o"/>
      <w:lvlJc w:val="left"/>
      <w:pPr>
        <w:ind w:left="1222" w:hanging="360"/>
      </w:pPr>
      <w:rPr>
        <w:rFonts w:ascii="Arial Unicode MS" w:eastAsia="Arial Unicode MS" w:hAnsi="Arial Unicode MS" w:cs="Arial Unicode MS"/>
        <w:b w:val="0"/>
        <w:bCs w:val="0"/>
        <w:i w:val="0"/>
        <w:iCs w:val="0"/>
        <w:caps w:val="0"/>
        <w:smallCaps w:val="0"/>
        <w:strike w:val="0"/>
        <w:dstrike w:val="0"/>
        <w:color w:val="0000FF"/>
        <w:spacing w:val="0"/>
        <w:w w:val="100"/>
        <w:kern w:val="0"/>
        <w:position w:val="0"/>
        <w:highlight w:val="none"/>
        <w:vertAlign w:val="baseline"/>
      </w:rPr>
    </w:lvl>
    <w:lvl w:ilvl="2" w:tplc="256A9EBC">
      <w:start w:val="1"/>
      <w:numFmt w:val="bullet"/>
      <w:lvlText w:val="▪"/>
      <w:lvlJc w:val="left"/>
      <w:pPr>
        <w:ind w:left="1942" w:hanging="360"/>
      </w:pPr>
      <w:rPr>
        <w:rFonts w:ascii="Arial Unicode MS" w:eastAsia="Arial Unicode MS" w:hAnsi="Arial Unicode MS" w:cs="Arial Unicode MS"/>
        <w:b w:val="0"/>
        <w:bCs w:val="0"/>
        <w:i w:val="0"/>
        <w:iCs w:val="0"/>
        <w:caps w:val="0"/>
        <w:smallCaps w:val="0"/>
        <w:strike w:val="0"/>
        <w:dstrike w:val="0"/>
        <w:color w:val="0000FF"/>
        <w:spacing w:val="0"/>
        <w:w w:val="100"/>
        <w:kern w:val="0"/>
        <w:position w:val="0"/>
        <w:highlight w:val="none"/>
        <w:vertAlign w:val="baseline"/>
      </w:rPr>
    </w:lvl>
    <w:lvl w:ilvl="3" w:tplc="2594E250">
      <w:start w:val="1"/>
      <w:numFmt w:val="bullet"/>
      <w:lvlText w:val="•"/>
      <w:lvlJc w:val="left"/>
      <w:pPr>
        <w:ind w:left="2662" w:hanging="360"/>
      </w:pPr>
      <w:rPr>
        <w:rFonts w:ascii="Symbol" w:eastAsia="Symbol" w:hAnsi="Symbol" w:cs="Symbol"/>
        <w:b w:val="0"/>
        <w:bCs w:val="0"/>
        <w:i w:val="0"/>
        <w:iCs w:val="0"/>
        <w:caps w:val="0"/>
        <w:smallCaps w:val="0"/>
        <w:strike w:val="0"/>
        <w:dstrike w:val="0"/>
        <w:color w:val="0000FF"/>
        <w:spacing w:val="0"/>
        <w:w w:val="100"/>
        <w:kern w:val="0"/>
        <w:position w:val="0"/>
        <w:highlight w:val="none"/>
        <w:vertAlign w:val="baseline"/>
      </w:rPr>
    </w:lvl>
    <w:lvl w:ilvl="4" w:tplc="D2942E42">
      <w:start w:val="1"/>
      <w:numFmt w:val="bullet"/>
      <w:lvlText w:val="o"/>
      <w:lvlJc w:val="left"/>
      <w:pPr>
        <w:ind w:left="3382" w:hanging="360"/>
      </w:pPr>
      <w:rPr>
        <w:rFonts w:ascii="Arial Unicode MS" w:eastAsia="Arial Unicode MS" w:hAnsi="Arial Unicode MS" w:cs="Arial Unicode MS"/>
        <w:b w:val="0"/>
        <w:bCs w:val="0"/>
        <w:i w:val="0"/>
        <w:iCs w:val="0"/>
        <w:caps w:val="0"/>
        <w:smallCaps w:val="0"/>
        <w:strike w:val="0"/>
        <w:dstrike w:val="0"/>
        <w:color w:val="0000FF"/>
        <w:spacing w:val="0"/>
        <w:w w:val="100"/>
        <w:kern w:val="0"/>
        <w:position w:val="0"/>
        <w:highlight w:val="none"/>
        <w:vertAlign w:val="baseline"/>
      </w:rPr>
    </w:lvl>
    <w:lvl w:ilvl="5" w:tplc="1EF4EC86">
      <w:start w:val="1"/>
      <w:numFmt w:val="bullet"/>
      <w:lvlText w:val="▪"/>
      <w:lvlJc w:val="left"/>
      <w:pPr>
        <w:ind w:left="4102" w:hanging="360"/>
      </w:pPr>
      <w:rPr>
        <w:rFonts w:ascii="Arial Unicode MS" w:eastAsia="Arial Unicode MS" w:hAnsi="Arial Unicode MS" w:cs="Arial Unicode MS"/>
        <w:b w:val="0"/>
        <w:bCs w:val="0"/>
        <w:i w:val="0"/>
        <w:iCs w:val="0"/>
        <w:caps w:val="0"/>
        <w:smallCaps w:val="0"/>
        <w:strike w:val="0"/>
        <w:dstrike w:val="0"/>
        <w:color w:val="0000FF"/>
        <w:spacing w:val="0"/>
        <w:w w:val="100"/>
        <w:kern w:val="0"/>
        <w:position w:val="0"/>
        <w:highlight w:val="none"/>
        <w:vertAlign w:val="baseline"/>
      </w:rPr>
    </w:lvl>
    <w:lvl w:ilvl="6" w:tplc="5F54B6CE">
      <w:start w:val="1"/>
      <w:numFmt w:val="bullet"/>
      <w:lvlText w:val="•"/>
      <w:lvlJc w:val="left"/>
      <w:pPr>
        <w:ind w:left="4822" w:hanging="360"/>
      </w:pPr>
      <w:rPr>
        <w:rFonts w:ascii="Symbol" w:eastAsia="Symbol" w:hAnsi="Symbol" w:cs="Symbol"/>
        <w:b w:val="0"/>
        <w:bCs w:val="0"/>
        <w:i w:val="0"/>
        <w:iCs w:val="0"/>
        <w:caps w:val="0"/>
        <w:smallCaps w:val="0"/>
        <w:strike w:val="0"/>
        <w:dstrike w:val="0"/>
        <w:color w:val="0000FF"/>
        <w:spacing w:val="0"/>
        <w:w w:val="100"/>
        <w:kern w:val="0"/>
        <w:position w:val="0"/>
        <w:highlight w:val="none"/>
        <w:vertAlign w:val="baseline"/>
      </w:rPr>
    </w:lvl>
    <w:lvl w:ilvl="7" w:tplc="91BA1206">
      <w:start w:val="1"/>
      <w:numFmt w:val="bullet"/>
      <w:lvlText w:val="o"/>
      <w:lvlJc w:val="left"/>
      <w:pPr>
        <w:ind w:left="5542" w:hanging="360"/>
      </w:pPr>
      <w:rPr>
        <w:rFonts w:ascii="Arial Unicode MS" w:eastAsia="Arial Unicode MS" w:hAnsi="Arial Unicode MS" w:cs="Arial Unicode MS"/>
        <w:b w:val="0"/>
        <w:bCs w:val="0"/>
        <w:i w:val="0"/>
        <w:iCs w:val="0"/>
        <w:caps w:val="0"/>
        <w:smallCaps w:val="0"/>
        <w:strike w:val="0"/>
        <w:dstrike w:val="0"/>
        <w:color w:val="0000FF"/>
        <w:spacing w:val="0"/>
        <w:w w:val="100"/>
        <w:kern w:val="0"/>
        <w:position w:val="0"/>
        <w:highlight w:val="none"/>
        <w:vertAlign w:val="baseline"/>
      </w:rPr>
    </w:lvl>
    <w:lvl w:ilvl="8" w:tplc="C8EC93FC">
      <w:start w:val="1"/>
      <w:numFmt w:val="bullet"/>
      <w:lvlText w:val="▪"/>
      <w:lvlJc w:val="left"/>
      <w:pPr>
        <w:ind w:left="6262" w:hanging="360"/>
      </w:pPr>
      <w:rPr>
        <w:rFonts w:ascii="Arial Unicode MS" w:eastAsia="Arial Unicode MS" w:hAnsi="Arial Unicode MS" w:cs="Arial Unicode MS"/>
        <w:b w:val="0"/>
        <w:bCs w:val="0"/>
        <w:i w:val="0"/>
        <w:iCs w:val="0"/>
        <w:caps w:val="0"/>
        <w:smallCaps w:val="0"/>
        <w:strike w:val="0"/>
        <w:dstrike w:val="0"/>
        <w:color w:val="0000FF"/>
        <w:spacing w:val="0"/>
        <w:w w:val="100"/>
        <w:kern w:val="0"/>
        <w:position w:val="0"/>
        <w:highlight w:val="none"/>
        <w:vertAlign w:val="baseline"/>
      </w:rPr>
    </w:lvl>
  </w:abstractNum>
  <w:num w:numId="1">
    <w:abstractNumId w:val="3"/>
  </w:num>
  <w:num w:numId="2">
    <w:abstractNumId w:val="6"/>
  </w:num>
  <w:num w:numId="3">
    <w:abstractNumId w:val="13"/>
  </w:num>
  <w:num w:numId="4">
    <w:abstractNumId w:val="17"/>
  </w:num>
  <w:num w:numId="5">
    <w:abstractNumId w:val="7"/>
  </w:num>
  <w:num w:numId="6">
    <w:abstractNumId w:val="10"/>
  </w:num>
  <w:num w:numId="7">
    <w:abstractNumId w:val="12"/>
  </w:num>
  <w:num w:numId="8">
    <w:abstractNumId w:val="2"/>
  </w:num>
  <w:num w:numId="9">
    <w:abstractNumId w:val="15"/>
  </w:num>
  <w:num w:numId="10">
    <w:abstractNumId w:val="16"/>
  </w:num>
  <w:num w:numId="11">
    <w:abstractNumId w:val="9"/>
  </w:num>
  <w:num w:numId="12">
    <w:abstractNumId w:val="18"/>
  </w:num>
  <w:num w:numId="13">
    <w:abstractNumId w:val="4"/>
    <w:lvlOverride w:ilvl="0">
      <w:lvl w:ilvl="0" w:tplc="9F2CFCFA">
        <w:start w:val="1"/>
        <w:numFmt w:val="bullet"/>
        <w:lvlText w:val="•"/>
        <w:lvlJc w:val="left"/>
        <w:pPr>
          <w:tabs>
            <w:tab w:val="left" w:pos="360"/>
          </w:tabs>
          <w:ind w:left="142" w:hanging="142"/>
        </w:pPr>
        <w:rPr>
          <w:rFonts w:ascii="Symbol" w:eastAsia="Symbol" w:hAnsi="Symbol" w:cs="Symbo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1">
      <w:lvl w:ilvl="1" w:tplc="89F60BD4">
        <w:start w:val="1"/>
        <w:numFmt w:val="bullet"/>
        <w:lvlText w:val="o"/>
        <w:lvlJc w:val="left"/>
        <w:pPr>
          <w:tabs>
            <w:tab w:val="left" w:pos="142"/>
            <w:tab w:val="left" w:pos="360"/>
          </w:tabs>
          <w:ind w:left="1222"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2">
      <w:lvl w:ilvl="2" w:tplc="30766416">
        <w:start w:val="1"/>
        <w:numFmt w:val="bullet"/>
        <w:lvlText w:val="▪"/>
        <w:lvlJc w:val="left"/>
        <w:pPr>
          <w:tabs>
            <w:tab w:val="left" w:pos="142"/>
            <w:tab w:val="left" w:pos="360"/>
          </w:tabs>
          <w:ind w:left="1942"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3">
      <w:lvl w:ilvl="3" w:tplc="3F8662BA">
        <w:start w:val="1"/>
        <w:numFmt w:val="bullet"/>
        <w:lvlText w:val="•"/>
        <w:lvlJc w:val="left"/>
        <w:pPr>
          <w:tabs>
            <w:tab w:val="left" w:pos="142"/>
            <w:tab w:val="left" w:pos="360"/>
          </w:tabs>
          <w:ind w:left="2662" w:hanging="360"/>
        </w:pPr>
        <w:rPr>
          <w:rFonts w:ascii="Symbol" w:eastAsia="Symbol" w:hAnsi="Symbol" w:cs="Symbo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4">
      <w:lvl w:ilvl="4" w:tplc="FB9C527E">
        <w:start w:val="1"/>
        <w:numFmt w:val="bullet"/>
        <w:lvlText w:val="o"/>
        <w:lvlJc w:val="left"/>
        <w:pPr>
          <w:tabs>
            <w:tab w:val="left" w:pos="142"/>
            <w:tab w:val="left" w:pos="360"/>
          </w:tabs>
          <w:ind w:left="3382"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5">
      <w:lvl w:ilvl="5" w:tplc="006682E6">
        <w:start w:val="1"/>
        <w:numFmt w:val="bullet"/>
        <w:lvlText w:val="▪"/>
        <w:lvlJc w:val="left"/>
        <w:pPr>
          <w:tabs>
            <w:tab w:val="left" w:pos="142"/>
            <w:tab w:val="left" w:pos="360"/>
          </w:tabs>
          <w:ind w:left="4102"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6">
      <w:lvl w:ilvl="6" w:tplc="4C885752">
        <w:start w:val="1"/>
        <w:numFmt w:val="bullet"/>
        <w:lvlText w:val="•"/>
        <w:lvlJc w:val="left"/>
        <w:pPr>
          <w:tabs>
            <w:tab w:val="left" w:pos="142"/>
            <w:tab w:val="left" w:pos="360"/>
          </w:tabs>
          <w:ind w:left="4822" w:hanging="360"/>
        </w:pPr>
        <w:rPr>
          <w:rFonts w:ascii="Symbol" w:eastAsia="Symbol" w:hAnsi="Symbol" w:cs="Symbo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7">
      <w:lvl w:ilvl="7" w:tplc="592C6626">
        <w:start w:val="1"/>
        <w:numFmt w:val="bullet"/>
        <w:lvlText w:val="o"/>
        <w:lvlJc w:val="left"/>
        <w:pPr>
          <w:tabs>
            <w:tab w:val="left" w:pos="142"/>
            <w:tab w:val="left" w:pos="360"/>
          </w:tabs>
          <w:ind w:left="5542"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8">
      <w:lvl w:ilvl="8" w:tplc="5376540A">
        <w:start w:val="1"/>
        <w:numFmt w:val="bullet"/>
        <w:lvlText w:val="▪"/>
        <w:lvlJc w:val="left"/>
        <w:pPr>
          <w:tabs>
            <w:tab w:val="left" w:pos="142"/>
            <w:tab w:val="left" w:pos="360"/>
          </w:tabs>
          <w:ind w:left="6262"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num>
  <w:num w:numId="14">
    <w:abstractNumId w:val="0"/>
  </w:num>
  <w:num w:numId="15">
    <w:abstractNumId w:val="8"/>
  </w:num>
  <w:num w:numId="16">
    <w:abstractNumId w:val="11"/>
  </w:num>
  <w:num w:numId="17">
    <w:abstractNumId w:val="14"/>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869"/>
    <w:rsid w:val="00032783"/>
    <w:rsid w:val="000362E4"/>
    <w:rsid w:val="0006078C"/>
    <w:rsid w:val="000D7678"/>
    <w:rsid w:val="00174009"/>
    <w:rsid w:val="001C2AD9"/>
    <w:rsid w:val="001D46AB"/>
    <w:rsid w:val="00222699"/>
    <w:rsid w:val="002471E1"/>
    <w:rsid w:val="00260CAB"/>
    <w:rsid w:val="00272A59"/>
    <w:rsid w:val="00273AFA"/>
    <w:rsid w:val="002746CA"/>
    <w:rsid w:val="00295CE7"/>
    <w:rsid w:val="002A3A4D"/>
    <w:rsid w:val="002C3EB3"/>
    <w:rsid w:val="002D089B"/>
    <w:rsid w:val="002F7F1E"/>
    <w:rsid w:val="00324869"/>
    <w:rsid w:val="00362D08"/>
    <w:rsid w:val="00365310"/>
    <w:rsid w:val="003A5A29"/>
    <w:rsid w:val="003E4703"/>
    <w:rsid w:val="004044DD"/>
    <w:rsid w:val="00460FD1"/>
    <w:rsid w:val="0046749C"/>
    <w:rsid w:val="00470623"/>
    <w:rsid w:val="004B5130"/>
    <w:rsid w:val="004B73B8"/>
    <w:rsid w:val="0054430D"/>
    <w:rsid w:val="00574861"/>
    <w:rsid w:val="00574A5F"/>
    <w:rsid w:val="00582A0E"/>
    <w:rsid w:val="00587E71"/>
    <w:rsid w:val="00590F48"/>
    <w:rsid w:val="00645471"/>
    <w:rsid w:val="00650EA1"/>
    <w:rsid w:val="0065692E"/>
    <w:rsid w:val="006654FE"/>
    <w:rsid w:val="00681BEC"/>
    <w:rsid w:val="006B6BA4"/>
    <w:rsid w:val="006D6B50"/>
    <w:rsid w:val="006E50F2"/>
    <w:rsid w:val="006F0019"/>
    <w:rsid w:val="006F372A"/>
    <w:rsid w:val="00704F5B"/>
    <w:rsid w:val="007173E1"/>
    <w:rsid w:val="007334C9"/>
    <w:rsid w:val="00736515"/>
    <w:rsid w:val="00766B37"/>
    <w:rsid w:val="007A4108"/>
    <w:rsid w:val="007E100D"/>
    <w:rsid w:val="007E2E80"/>
    <w:rsid w:val="007E5695"/>
    <w:rsid w:val="00854D0E"/>
    <w:rsid w:val="0086733F"/>
    <w:rsid w:val="00871846"/>
    <w:rsid w:val="00873919"/>
    <w:rsid w:val="008A0331"/>
    <w:rsid w:val="008A4723"/>
    <w:rsid w:val="008E2BB5"/>
    <w:rsid w:val="00906259"/>
    <w:rsid w:val="00940C89"/>
    <w:rsid w:val="009426B3"/>
    <w:rsid w:val="009506EE"/>
    <w:rsid w:val="00954E19"/>
    <w:rsid w:val="00967775"/>
    <w:rsid w:val="009A0861"/>
    <w:rsid w:val="009C5B2A"/>
    <w:rsid w:val="009F0285"/>
    <w:rsid w:val="00A052B3"/>
    <w:rsid w:val="00A10FB7"/>
    <w:rsid w:val="00A85316"/>
    <w:rsid w:val="00AF151B"/>
    <w:rsid w:val="00B050D3"/>
    <w:rsid w:val="00B53889"/>
    <w:rsid w:val="00B8572C"/>
    <w:rsid w:val="00B955E3"/>
    <w:rsid w:val="00B96788"/>
    <w:rsid w:val="00BB0BFC"/>
    <w:rsid w:val="00BE4A74"/>
    <w:rsid w:val="00C21151"/>
    <w:rsid w:val="00C30585"/>
    <w:rsid w:val="00C35A8C"/>
    <w:rsid w:val="00C4641C"/>
    <w:rsid w:val="00C54573"/>
    <w:rsid w:val="00C60356"/>
    <w:rsid w:val="00C72CB1"/>
    <w:rsid w:val="00CB5142"/>
    <w:rsid w:val="00CC3A9E"/>
    <w:rsid w:val="00CE7385"/>
    <w:rsid w:val="00D25711"/>
    <w:rsid w:val="00D723CC"/>
    <w:rsid w:val="00D8411B"/>
    <w:rsid w:val="00D8780C"/>
    <w:rsid w:val="00D93BF5"/>
    <w:rsid w:val="00DA7BAB"/>
    <w:rsid w:val="00DB5FC5"/>
    <w:rsid w:val="00DB6239"/>
    <w:rsid w:val="00DD19E3"/>
    <w:rsid w:val="00DF7638"/>
    <w:rsid w:val="00E1513E"/>
    <w:rsid w:val="00E22E9F"/>
    <w:rsid w:val="00E27F30"/>
    <w:rsid w:val="00E83D4A"/>
    <w:rsid w:val="00E844C3"/>
    <w:rsid w:val="00EB69BF"/>
    <w:rsid w:val="00ED1191"/>
    <w:rsid w:val="00EF0FEC"/>
    <w:rsid w:val="00F03D4C"/>
    <w:rsid w:val="00F17955"/>
    <w:rsid w:val="00F37DCB"/>
    <w:rsid w:val="00F541E0"/>
    <w:rsid w:val="00F75A0D"/>
    <w:rsid w:val="00F97FA6"/>
    <w:rsid w:val="00FC5960"/>
    <w:rsid w:val="00FF1DB8"/>
    <w:rsid w:val="00FF4CE2"/>
    <w:rsid w:val="00FF5D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7C13D"/>
  <w15:docId w15:val="{DC81254A-80BE-4B33-993A-BF57198A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869"/>
    <w:pPr>
      <w:ind w:left="720"/>
      <w:contextualSpacing/>
    </w:pPr>
  </w:style>
  <w:style w:type="character" w:styleId="Hyperlink">
    <w:name w:val="Hyperlink"/>
    <w:basedOn w:val="DefaultParagraphFont"/>
    <w:uiPriority w:val="99"/>
    <w:unhideWhenUsed/>
    <w:rsid w:val="00324869"/>
    <w:rPr>
      <w:color w:val="0563C1" w:themeColor="hyperlink"/>
      <w:u w:val="single"/>
    </w:rPr>
  </w:style>
  <w:style w:type="character" w:styleId="CommentReference">
    <w:name w:val="annotation reference"/>
    <w:basedOn w:val="DefaultParagraphFont"/>
    <w:uiPriority w:val="99"/>
    <w:semiHidden/>
    <w:unhideWhenUsed/>
    <w:rsid w:val="006D6B50"/>
    <w:rPr>
      <w:sz w:val="16"/>
      <w:szCs w:val="16"/>
    </w:rPr>
  </w:style>
  <w:style w:type="paragraph" w:styleId="CommentText">
    <w:name w:val="annotation text"/>
    <w:basedOn w:val="Normal"/>
    <w:link w:val="CommentTextChar"/>
    <w:uiPriority w:val="99"/>
    <w:semiHidden/>
    <w:unhideWhenUsed/>
    <w:rsid w:val="006D6B50"/>
    <w:pPr>
      <w:spacing w:line="240" w:lineRule="auto"/>
    </w:pPr>
    <w:rPr>
      <w:sz w:val="20"/>
      <w:szCs w:val="20"/>
    </w:rPr>
  </w:style>
  <w:style w:type="character" w:customStyle="1" w:styleId="CommentTextChar">
    <w:name w:val="Comment Text Char"/>
    <w:basedOn w:val="DefaultParagraphFont"/>
    <w:link w:val="CommentText"/>
    <w:uiPriority w:val="99"/>
    <w:semiHidden/>
    <w:rsid w:val="006D6B50"/>
    <w:rPr>
      <w:sz w:val="20"/>
      <w:szCs w:val="20"/>
    </w:rPr>
  </w:style>
  <w:style w:type="paragraph" w:styleId="CommentSubject">
    <w:name w:val="annotation subject"/>
    <w:basedOn w:val="CommentText"/>
    <w:next w:val="CommentText"/>
    <w:link w:val="CommentSubjectChar"/>
    <w:uiPriority w:val="99"/>
    <w:semiHidden/>
    <w:unhideWhenUsed/>
    <w:rsid w:val="006D6B50"/>
    <w:rPr>
      <w:b/>
      <w:bCs/>
    </w:rPr>
  </w:style>
  <w:style w:type="character" w:customStyle="1" w:styleId="CommentSubjectChar">
    <w:name w:val="Comment Subject Char"/>
    <w:basedOn w:val="CommentTextChar"/>
    <w:link w:val="CommentSubject"/>
    <w:uiPriority w:val="99"/>
    <w:semiHidden/>
    <w:rsid w:val="006D6B50"/>
    <w:rPr>
      <w:b/>
      <w:bCs/>
      <w:sz w:val="20"/>
      <w:szCs w:val="20"/>
    </w:rPr>
  </w:style>
  <w:style w:type="paragraph" w:styleId="BalloonText">
    <w:name w:val="Balloon Text"/>
    <w:basedOn w:val="Normal"/>
    <w:link w:val="BalloonTextChar"/>
    <w:uiPriority w:val="99"/>
    <w:semiHidden/>
    <w:unhideWhenUsed/>
    <w:rsid w:val="006D6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B50"/>
    <w:rPr>
      <w:rFonts w:ascii="Tahoma" w:hAnsi="Tahoma" w:cs="Tahoma"/>
      <w:sz w:val="16"/>
      <w:szCs w:val="16"/>
    </w:rPr>
  </w:style>
  <w:style w:type="paragraph" w:customStyle="1" w:styleId="BodyA">
    <w:name w:val="Body A"/>
    <w:rsid w:val="0096777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u w:color="000000"/>
      <w:lang w:val="en-US" w:eastAsia="en-GB"/>
    </w:rPr>
  </w:style>
  <w:style w:type="paragraph" w:customStyle="1" w:styleId="bulletlistA">
    <w:name w:val="bullet list A"/>
    <w:rsid w:val="00967775"/>
    <w:pPr>
      <w:pBdr>
        <w:top w:val="nil"/>
        <w:left w:val="nil"/>
        <w:bottom w:val="nil"/>
        <w:right w:val="nil"/>
        <w:between w:val="nil"/>
        <w:bar w:val="nil"/>
      </w:pBdr>
      <w:tabs>
        <w:tab w:val="left" w:pos="142"/>
      </w:tabs>
      <w:spacing w:after="0" w:line="170" w:lineRule="exact"/>
    </w:pPr>
    <w:rPr>
      <w:rFonts w:ascii="Times New Roman" w:eastAsia="Arial Unicode MS" w:hAnsi="Times New Roman" w:cs="Arial Unicode MS"/>
      <w:color w:val="000000"/>
      <w:sz w:val="16"/>
      <w:szCs w:val="16"/>
      <w:u w:color="000000"/>
      <w:bdr w:val="nil"/>
      <w:lang w:val="en-US" w:eastAsia="en-GB"/>
    </w:rPr>
  </w:style>
  <w:style w:type="numbering" w:customStyle="1" w:styleId="ImportedStyle2">
    <w:name w:val="Imported Style 2"/>
    <w:rsid w:val="0096777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442612">
      <w:bodyDiv w:val="1"/>
      <w:marLeft w:val="0"/>
      <w:marRight w:val="0"/>
      <w:marTop w:val="0"/>
      <w:marBottom w:val="0"/>
      <w:divBdr>
        <w:top w:val="none" w:sz="0" w:space="0" w:color="auto"/>
        <w:left w:val="none" w:sz="0" w:space="0" w:color="auto"/>
        <w:bottom w:val="none" w:sz="0" w:space="0" w:color="auto"/>
        <w:right w:val="none" w:sz="0" w:space="0" w:color="auto"/>
      </w:divBdr>
    </w:div>
    <w:div w:id="15265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hay.batra@uhs.nhs.uk" TargetMode="External"/><Relationship Id="rId3" Type="http://schemas.openxmlformats.org/officeDocument/2006/relationships/styles" Target="styles.xml"/><Relationship Id="rId7" Type="http://schemas.openxmlformats.org/officeDocument/2006/relationships/hyperlink" Target="mailto:Mark.beattie@uhs.nhs.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shton@soton.ac.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rohnsandcolitis.org.uk/" TargetMode="External"/><Relationship Id="rId4" Type="http://schemas.openxmlformats.org/officeDocument/2006/relationships/settings" Target="settings.xml"/><Relationship Id="rId9" Type="http://schemas.openxmlformats.org/officeDocument/2006/relationships/hyperlink" Target="http://www.cic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6AA9-B77E-4447-927A-DEA28986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5515</Words>
  <Characters>31437</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dc:creator>
  <cp:keywords/>
  <dc:description/>
  <cp:lastModifiedBy>Wallis C.M.</cp:lastModifiedBy>
  <cp:revision>2</cp:revision>
  <cp:lastPrinted>2018-09-17T13:28:00Z</cp:lastPrinted>
  <dcterms:created xsi:type="dcterms:W3CDTF">2018-09-17T13:28:00Z</dcterms:created>
  <dcterms:modified xsi:type="dcterms:W3CDTF">2018-09-17T13:28:00Z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dbbddcf1-2576-3385-99ee-f75c9988e972</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http://www.zotero.org/styles/bmj</vt:lpwstr>
  </property>
  <property fmtid="{D5CDD505-2E9C-101B-9397-08002B2CF9AE}" pid="7" name="Mendeley Recent Style Name 1_1">
    <vt:lpwstr>BMJ</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http://www.zotero.org/styles/european-journal-of-paediatric-neurology</vt:lpwstr>
  </property>
  <property fmtid="{D5CDD505-2E9C-101B-9397-08002B2CF9AE}" pid="13" name="Mendeley Recent Style Name 4_1">
    <vt:lpwstr>European Journal of Paediatric Neurology</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http://www.zotero.org/styles/bmj</vt:lpwstr>
  </property>
</Properties>
</file>