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20F158" w14:textId="247737D7" w:rsidR="00CA3569" w:rsidRPr="00515DC8" w:rsidRDefault="00CA3569" w:rsidP="00404D06">
      <w:pPr>
        <w:spacing w:line="276" w:lineRule="auto"/>
        <w:jc w:val="both"/>
        <w:outlineLvl w:val="0"/>
        <w:rPr>
          <w:b/>
          <w:sz w:val="28"/>
          <w:szCs w:val="28"/>
          <w:lang w:val="en-GB"/>
        </w:rPr>
      </w:pPr>
      <w:bookmarkStart w:id="0" w:name="_GoBack"/>
      <w:r w:rsidRPr="00515DC8">
        <w:rPr>
          <w:b/>
          <w:sz w:val="28"/>
          <w:szCs w:val="28"/>
          <w:lang w:val="en-GB"/>
        </w:rPr>
        <w:t xml:space="preserve">Making </w:t>
      </w:r>
      <w:r w:rsidR="00155F75" w:rsidRPr="00515DC8">
        <w:rPr>
          <w:b/>
          <w:sz w:val="28"/>
          <w:szCs w:val="28"/>
          <w:lang w:val="en-GB"/>
        </w:rPr>
        <w:t>s</w:t>
      </w:r>
      <w:r w:rsidRPr="00515DC8">
        <w:rPr>
          <w:b/>
          <w:sz w:val="28"/>
          <w:szCs w:val="28"/>
          <w:lang w:val="en-GB"/>
        </w:rPr>
        <w:t xml:space="preserve">ense of </w:t>
      </w:r>
      <w:bookmarkStart w:id="1" w:name="_Hlk510438746"/>
      <w:r w:rsidR="00155F75" w:rsidRPr="00515DC8">
        <w:rPr>
          <w:b/>
          <w:sz w:val="28"/>
          <w:szCs w:val="28"/>
          <w:lang w:val="en-GB"/>
        </w:rPr>
        <w:t>l</w:t>
      </w:r>
      <w:r w:rsidRPr="00515DC8">
        <w:rPr>
          <w:b/>
          <w:sz w:val="28"/>
          <w:szCs w:val="28"/>
          <w:lang w:val="en-GB"/>
        </w:rPr>
        <w:t xml:space="preserve">earning </w:t>
      </w:r>
      <w:r w:rsidR="00155F75" w:rsidRPr="00515DC8">
        <w:rPr>
          <w:b/>
          <w:sz w:val="28"/>
          <w:szCs w:val="28"/>
          <w:lang w:val="en-GB"/>
        </w:rPr>
        <w:t>g</w:t>
      </w:r>
      <w:r w:rsidRPr="00515DC8">
        <w:rPr>
          <w:b/>
          <w:sz w:val="28"/>
          <w:szCs w:val="28"/>
          <w:lang w:val="en-GB"/>
        </w:rPr>
        <w:t xml:space="preserve">ain in </w:t>
      </w:r>
      <w:r w:rsidR="00155F75" w:rsidRPr="00515DC8">
        <w:rPr>
          <w:b/>
          <w:sz w:val="28"/>
          <w:szCs w:val="28"/>
          <w:lang w:val="en-GB"/>
        </w:rPr>
        <w:t>h</w:t>
      </w:r>
      <w:r w:rsidRPr="00515DC8">
        <w:rPr>
          <w:b/>
          <w:sz w:val="28"/>
          <w:szCs w:val="28"/>
          <w:lang w:val="en-GB"/>
        </w:rPr>
        <w:t xml:space="preserve">igher </w:t>
      </w:r>
      <w:r w:rsidR="00155F75" w:rsidRPr="00515DC8">
        <w:rPr>
          <w:b/>
          <w:sz w:val="28"/>
          <w:szCs w:val="28"/>
          <w:lang w:val="en-GB"/>
        </w:rPr>
        <w:t>e</w:t>
      </w:r>
      <w:r w:rsidRPr="00515DC8">
        <w:rPr>
          <w:b/>
          <w:sz w:val="28"/>
          <w:szCs w:val="28"/>
          <w:lang w:val="en-GB"/>
        </w:rPr>
        <w:t>ducation</w:t>
      </w:r>
      <w:bookmarkEnd w:id="1"/>
    </w:p>
    <w:bookmarkEnd w:id="0"/>
    <w:p w14:paraId="4BD79562" w14:textId="77777777" w:rsidR="00CA3569" w:rsidRPr="00515DC8" w:rsidRDefault="00CA3569" w:rsidP="008C1C4F">
      <w:pPr>
        <w:spacing w:line="276" w:lineRule="auto"/>
        <w:jc w:val="both"/>
        <w:rPr>
          <w:b/>
          <w:sz w:val="28"/>
          <w:szCs w:val="28"/>
          <w:lang w:val="en-GB"/>
        </w:rPr>
      </w:pPr>
    </w:p>
    <w:p w14:paraId="288AB754" w14:textId="7217CA5E" w:rsidR="00413BAD" w:rsidRPr="00515DC8" w:rsidRDefault="003E5E22" w:rsidP="00404D06">
      <w:pPr>
        <w:spacing w:line="276" w:lineRule="auto"/>
        <w:jc w:val="both"/>
        <w:outlineLvl w:val="0"/>
        <w:rPr>
          <w:b/>
          <w:lang w:val="en-GB"/>
        </w:rPr>
      </w:pPr>
      <w:r w:rsidRPr="00515DC8">
        <w:rPr>
          <w:lang w:val="en-GB"/>
        </w:rPr>
        <w:t>Evans, C.,</w:t>
      </w:r>
      <w:r w:rsidRPr="00515DC8">
        <w:rPr>
          <w:vertAlign w:val="superscript"/>
          <w:lang w:val="en-GB"/>
        </w:rPr>
        <w:t>a</w:t>
      </w:r>
      <w:r w:rsidRPr="00515DC8">
        <w:rPr>
          <w:lang w:val="en-GB"/>
        </w:rPr>
        <w:t xml:space="preserve"> Kandiko</w:t>
      </w:r>
      <w:r w:rsidR="00171533" w:rsidRPr="00515DC8">
        <w:rPr>
          <w:lang w:val="en-GB"/>
        </w:rPr>
        <w:t xml:space="preserve"> </w:t>
      </w:r>
      <w:r w:rsidRPr="00515DC8">
        <w:rPr>
          <w:lang w:val="en-GB"/>
        </w:rPr>
        <w:t>Howson, C.,</w:t>
      </w:r>
      <w:r w:rsidRPr="00515DC8">
        <w:rPr>
          <w:vertAlign w:val="superscript"/>
          <w:lang w:val="en-GB"/>
        </w:rPr>
        <w:t>b</w:t>
      </w:r>
      <w:r w:rsidRPr="00515DC8">
        <w:rPr>
          <w:lang w:val="en-GB"/>
        </w:rPr>
        <w:t xml:space="preserve"> </w:t>
      </w:r>
      <w:r w:rsidR="00695878" w:rsidRPr="00515DC8">
        <w:rPr>
          <w:lang w:val="en-GB"/>
        </w:rPr>
        <w:t xml:space="preserve">&amp; </w:t>
      </w:r>
      <w:r w:rsidR="002B2AF1" w:rsidRPr="00515DC8">
        <w:rPr>
          <w:lang w:val="en-GB"/>
        </w:rPr>
        <w:t xml:space="preserve"> </w:t>
      </w:r>
      <w:r w:rsidRPr="00515DC8">
        <w:rPr>
          <w:lang w:val="en-GB"/>
        </w:rPr>
        <w:t>Forsythe, A.</w:t>
      </w:r>
      <w:r w:rsidRPr="00515DC8">
        <w:rPr>
          <w:vertAlign w:val="superscript"/>
          <w:lang w:val="en-GB"/>
        </w:rPr>
        <w:t>c</w:t>
      </w:r>
    </w:p>
    <w:p w14:paraId="020068B2" w14:textId="43F1DBE4" w:rsidR="00986CF7" w:rsidRPr="00515DC8" w:rsidRDefault="00050204" w:rsidP="008C1C4F">
      <w:pPr>
        <w:pStyle w:val="Affiliation"/>
        <w:spacing w:line="276" w:lineRule="auto"/>
        <w:jc w:val="both"/>
      </w:pPr>
      <w:r w:rsidRPr="00515DC8">
        <w:rPr>
          <w:vertAlign w:val="superscript"/>
        </w:rPr>
        <w:t>a</w:t>
      </w:r>
      <w:r w:rsidRPr="00515DC8">
        <w:t xml:space="preserve"> Southampton</w:t>
      </w:r>
      <w:r w:rsidR="003E5E22" w:rsidRPr="00515DC8">
        <w:t xml:space="preserve"> Education School, University of Southampton, UK; </w:t>
      </w:r>
      <w:r w:rsidR="003E5E22" w:rsidRPr="00515DC8">
        <w:rPr>
          <w:vertAlign w:val="superscript"/>
        </w:rPr>
        <w:t>b</w:t>
      </w:r>
      <w:r>
        <w:rPr>
          <w:vertAlign w:val="superscript"/>
        </w:rPr>
        <w:t xml:space="preserve"> </w:t>
      </w:r>
      <w:r w:rsidR="00AB6A32" w:rsidRPr="00515DC8">
        <w:t>King</w:t>
      </w:r>
      <w:r w:rsidR="003E5E22" w:rsidRPr="00515DC8">
        <w:t xml:space="preserve">’s College London, University of London, London, UK; </w:t>
      </w:r>
      <w:r w:rsidR="003E5E22" w:rsidRPr="00515DC8">
        <w:rPr>
          <w:vertAlign w:val="superscript"/>
        </w:rPr>
        <w:t>c</w:t>
      </w:r>
      <w:r>
        <w:rPr>
          <w:vertAlign w:val="superscript"/>
        </w:rPr>
        <w:t xml:space="preserve"> </w:t>
      </w:r>
      <w:r w:rsidR="003E5E22" w:rsidRPr="00515DC8">
        <w:t xml:space="preserve">School of Psychology, University of Liverpool, UK </w:t>
      </w:r>
    </w:p>
    <w:p w14:paraId="7473BAC1" w14:textId="77777777" w:rsidR="00413BAD" w:rsidRPr="00515DC8" w:rsidRDefault="00413BAD" w:rsidP="00404D06">
      <w:pPr>
        <w:pStyle w:val="Correspondencedetails"/>
        <w:spacing w:line="276" w:lineRule="auto"/>
        <w:jc w:val="both"/>
        <w:outlineLvl w:val="0"/>
      </w:pPr>
      <w:r w:rsidRPr="00515DC8">
        <w:t>Provide full correspondence details here including e-mail for the *corresponding author</w:t>
      </w:r>
    </w:p>
    <w:p w14:paraId="110D6B78" w14:textId="1603DE05" w:rsidR="003E5E22" w:rsidRPr="00515DC8" w:rsidRDefault="00696A17" w:rsidP="008C1C4F">
      <w:pPr>
        <w:pStyle w:val="Correspondencedetails"/>
        <w:spacing w:before="0" w:line="276" w:lineRule="auto"/>
        <w:jc w:val="both"/>
      </w:pPr>
      <w:hyperlink r:id="rId8" w:history="1">
        <w:r w:rsidR="003E5E22" w:rsidRPr="00515DC8">
          <w:rPr>
            <w:rStyle w:val="Hyperlink"/>
          </w:rPr>
          <w:t>c.a.evans@soton.ac.uk</w:t>
        </w:r>
      </w:hyperlink>
    </w:p>
    <w:p w14:paraId="4AE092F1" w14:textId="37ADD95F" w:rsidR="003E5E22" w:rsidRPr="00515DC8" w:rsidRDefault="003E5E22" w:rsidP="008C1C4F">
      <w:pPr>
        <w:pStyle w:val="Correspondencedetails"/>
        <w:spacing w:before="0" w:line="276" w:lineRule="auto"/>
        <w:jc w:val="both"/>
      </w:pPr>
      <w:r w:rsidRPr="00515DC8">
        <w:t>Southampton Education School</w:t>
      </w:r>
    </w:p>
    <w:p w14:paraId="2D6931F2" w14:textId="6EE164C6" w:rsidR="003E5E22" w:rsidRPr="00515DC8" w:rsidRDefault="003E5E22" w:rsidP="008C1C4F">
      <w:pPr>
        <w:pStyle w:val="Correspondencedetails"/>
        <w:spacing w:before="0" w:line="276" w:lineRule="auto"/>
        <w:jc w:val="both"/>
      </w:pPr>
      <w:r w:rsidRPr="00515DC8">
        <w:t>University Road</w:t>
      </w:r>
    </w:p>
    <w:p w14:paraId="2378DDCA" w14:textId="5DA16FA8" w:rsidR="003E5E22" w:rsidRPr="00515DC8" w:rsidRDefault="003E5E22" w:rsidP="008C1C4F">
      <w:pPr>
        <w:pStyle w:val="Correspondencedetails"/>
        <w:spacing w:before="0" w:line="276" w:lineRule="auto"/>
        <w:jc w:val="both"/>
      </w:pPr>
      <w:r w:rsidRPr="00515DC8">
        <w:t>Southampton</w:t>
      </w:r>
    </w:p>
    <w:p w14:paraId="57E3EA54" w14:textId="15456364" w:rsidR="003E5E22" w:rsidRPr="00515DC8" w:rsidRDefault="003E5E22" w:rsidP="008C1C4F">
      <w:pPr>
        <w:pStyle w:val="Correspondencedetails"/>
        <w:spacing w:before="0" w:line="276" w:lineRule="auto"/>
        <w:jc w:val="both"/>
      </w:pPr>
      <w:r w:rsidRPr="00515DC8">
        <w:t>SO17 1BJ</w:t>
      </w:r>
    </w:p>
    <w:p w14:paraId="31196BD0" w14:textId="77777777" w:rsidR="00155F75" w:rsidRPr="00515DC8" w:rsidRDefault="00413BAD" w:rsidP="00404D06">
      <w:pPr>
        <w:spacing w:line="276" w:lineRule="auto"/>
        <w:jc w:val="both"/>
        <w:outlineLvl w:val="0"/>
        <w:rPr>
          <w:b/>
          <w:sz w:val="28"/>
          <w:szCs w:val="28"/>
          <w:lang w:val="en-GB"/>
        </w:rPr>
      </w:pPr>
      <w:r w:rsidRPr="00515DC8">
        <w:rPr>
          <w:lang w:val="en-GB"/>
        </w:rPr>
        <w:br w:type="page"/>
      </w:r>
      <w:r w:rsidR="00155F75" w:rsidRPr="00515DC8">
        <w:rPr>
          <w:b/>
          <w:sz w:val="28"/>
          <w:szCs w:val="28"/>
          <w:lang w:val="en-GB"/>
        </w:rPr>
        <w:lastRenderedPageBreak/>
        <w:t>Making sense of learning gain in higher education</w:t>
      </w:r>
    </w:p>
    <w:p w14:paraId="57B024F4" w14:textId="33647CED" w:rsidR="00CA3569" w:rsidRPr="00515DC8" w:rsidRDefault="00CA3569" w:rsidP="008C1C4F">
      <w:pPr>
        <w:spacing w:line="276" w:lineRule="auto"/>
        <w:jc w:val="both"/>
        <w:rPr>
          <w:b/>
          <w:sz w:val="28"/>
          <w:szCs w:val="28"/>
          <w:lang w:val="en-GB"/>
        </w:rPr>
      </w:pPr>
    </w:p>
    <w:p w14:paraId="1B869423" w14:textId="4C7BDAC8" w:rsidR="00413BAD" w:rsidRPr="00515DC8" w:rsidRDefault="00413BAD" w:rsidP="008C1C4F">
      <w:pPr>
        <w:spacing w:line="276" w:lineRule="auto"/>
        <w:jc w:val="both"/>
        <w:rPr>
          <w:b/>
          <w:sz w:val="28"/>
          <w:szCs w:val="28"/>
          <w:lang w:val="en-GB"/>
        </w:rPr>
      </w:pPr>
    </w:p>
    <w:p w14:paraId="03E275A8" w14:textId="3754D4FE" w:rsidR="00251426" w:rsidRPr="00515DC8" w:rsidRDefault="00251426" w:rsidP="008C1C4F">
      <w:pPr>
        <w:spacing w:line="276" w:lineRule="auto"/>
        <w:jc w:val="both"/>
        <w:rPr>
          <w:b/>
          <w:sz w:val="20"/>
          <w:szCs w:val="20"/>
          <w:lang w:val="en-GB"/>
        </w:rPr>
      </w:pPr>
    </w:p>
    <w:p w14:paraId="302A193C" w14:textId="45FF828D" w:rsidR="00346113" w:rsidRPr="00EF2E94" w:rsidRDefault="00346113" w:rsidP="00E838A5">
      <w:pPr>
        <w:spacing w:line="480" w:lineRule="auto"/>
        <w:ind w:left="567" w:right="545"/>
        <w:jc w:val="both"/>
        <w:rPr>
          <w:sz w:val="22"/>
          <w:szCs w:val="22"/>
          <w:lang w:val="en-GB"/>
        </w:rPr>
      </w:pPr>
      <w:r w:rsidRPr="00EF2E94">
        <w:rPr>
          <w:sz w:val="22"/>
          <w:szCs w:val="22"/>
          <w:lang w:val="en-GB"/>
        </w:rPr>
        <w:t>Internationally, the political appetite for educational measurement capable of capturing a metric of value for money and effectiveness has momentum.  Whil</w:t>
      </w:r>
      <w:r w:rsidR="00163B69" w:rsidRPr="00EF2E94">
        <w:rPr>
          <w:sz w:val="22"/>
          <w:szCs w:val="22"/>
          <w:lang w:val="en-GB"/>
        </w:rPr>
        <w:t>e</w:t>
      </w:r>
      <w:r w:rsidRPr="00EF2E94">
        <w:rPr>
          <w:sz w:val="22"/>
          <w:szCs w:val="22"/>
          <w:lang w:val="en-GB"/>
        </w:rPr>
        <w:t xml:space="preserve"> most would agree with the need to assess costs relevant to quality to help support better governmental policy decisions about public spending, poorly understood </w:t>
      </w:r>
      <w:r w:rsidR="00FC21EF" w:rsidRPr="00EF2E94">
        <w:rPr>
          <w:sz w:val="22"/>
          <w:szCs w:val="22"/>
          <w:lang w:val="en-GB"/>
        </w:rPr>
        <w:t xml:space="preserve">measurement </w:t>
      </w:r>
      <w:r w:rsidRPr="00EF2E94">
        <w:rPr>
          <w:sz w:val="22"/>
          <w:szCs w:val="22"/>
          <w:lang w:val="en-GB"/>
        </w:rPr>
        <w:t>come</w:t>
      </w:r>
      <w:r w:rsidR="00171533" w:rsidRPr="00EF2E94">
        <w:rPr>
          <w:sz w:val="22"/>
          <w:szCs w:val="22"/>
          <w:lang w:val="en-GB"/>
        </w:rPr>
        <w:t>s</w:t>
      </w:r>
      <w:r w:rsidRPr="00EF2E94">
        <w:rPr>
          <w:sz w:val="22"/>
          <w:szCs w:val="22"/>
          <w:lang w:val="en-GB"/>
        </w:rPr>
        <w:t xml:space="preserve"> with unintended consequences.  This article provides a comprehensive overview of the development of measures of learning gain in higher education, exploring political contexts, methodological challenges, and the multiple purposes and </w:t>
      </w:r>
      <w:r w:rsidRPr="00EF2E94">
        <w:rPr>
          <w:sz w:val="22"/>
          <w:szCs w:val="22"/>
          <w:shd w:val="clear" w:color="auto" w:fill="FFFFFF" w:themeFill="background1"/>
          <w:lang w:val="en-GB"/>
        </w:rPr>
        <w:t xml:space="preserve">potential of learning gain metrics for quality assurance, </w:t>
      </w:r>
      <w:r w:rsidR="00483C77" w:rsidRPr="00EF2E94">
        <w:rPr>
          <w:sz w:val="22"/>
          <w:szCs w:val="22"/>
          <w:shd w:val="clear" w:color="auto" w:fill="FFFFFF" w:themeFill="background1"/>
          <w:lang w:val="en-GB"/>
        </w:rPr>
        <w:t>accountability</w:t>
      </w:r>
      <w:r w:rsidR="00D67457">
        <w:rPr>
          <w:sz w:val="22"/>
          <w:szCs w:val="22"/>
          <w:shd w:val="clear" w:color="auto" w:fill="FFFFFF" w:themeFill="background1"/>
          <w:lang w:val="en-GB"/>
        </w:rPr>
        <w:t xml:space="preserve"> </w:t>
      </w:r>
      <w:r w:rsidRPr="00EF2E94">
        <w:rPr>
          <w:sz w:val="22"/>
          <w:szCs w:val="22"/>
          <w:shd w:val="clear" w:color="auto" w:fill="FFFFFF" w:themeFill="background1"/>
          <w:lang w:val="en-GB"/>
        </w:rPr>
        <w:t>and</w:t>
      </w:r>
      <w:r w:rsidR="001D0A2D" w:rsidRPr="00EF2E94">
        <w:rPr>
          <w:sz w:val="22"/>
          <w:szCs w:val="22"/>
          <w:shd w:val="clear" w:color="auto" w:fill="FFFFFF" w:themeFill="background1"/>
          <w:lang w:val="en-GB"/>
        </w:rPr>
        <w:t xml:space="preserve"> enhancemen</w:t>
      </w:r>
      <w:r w:rsidR="003E5E22" w:rsidRPr="00EF2E94">
        <w:rPr>
          <w:sz w:val="22"/>
          <w:szCs w:val="22"/>
          <w:shd w:val="clear" w:color="auto" w:fill="FFFFFF" w:themeFill="background1"/>
          <w:lang w:val="en-GB"/>
        </w:rPr>
        <w:t xml:space="preserve">t, and </w:t>
      </w:r>
      <w:r w:rsidRPr="00EF2E94">
        <w:rPr>
          <w:sz w:val="22"/>
          <w:szCs w:val="22"/>
          <w:shd w:val="clear" w:color="auto" w:fill="FFFFFF" w:themeFill="background1"/>
          <w:lang w:val="en-GB"/>
        </w:rPr>
        <w:t xml:space="preserve">most importantly, we argue, the enhancement of learning and teaching. </w:t>
      </w:r>
      <w:r w:rsidR="0039166F" w:rsidRPr="00EF2E94">
        <w:rPr>
          <w:sz w:val="22"/>
          <w:szCs w:val="22"/>
          <w:shd w:val="clear" w:color="auto" w:fill="FFFFFF" w:themeFill="background1"/>
          <w:lang w:val="en-GB"/>
        </w:rPr>
        <w:t xml:space="preserve">Learning gain approaches should be integral to curriculum design and delivery and not extraneous to it. </w:t>
      </w:r>
      <w:r w:rsidR="002D32AB" w:rsidRPr="00EF2E94">
        <w:rPr>
          <w:sz w:val="22"/>
          <w:szCs w:val="22"/>
          <w:shd w:val="clear" w:color="auto" w:fill="FFFFFF" w:themeFill="background1"/>
          <w:lang w:val="en-GB"/>
        </w:rPr>
        <w:t>Enhancing shared understandings of concepts, measures</w:t>
      </w:r>
      <w:r w:rsidR="00D67457">
        <w:rPr>
          <w:sz w:val="22"/>
          <w:szCs w:val="22"/>
          <w:shd w:val="clear" w:color="auto" w:fill="FFFFFF" w:themeFill="background1"/>
          <w:lang w:val="en-GB"/>
        </w:rPr>
        <w:t>,</w:t>
      </w:r>
      <w:r w:rsidR="002D32AB" w:rsidRPr="00EF2E94">
        <w:rPr>
          <w:sz w:val="22"/>
          <w:szCs w:val="22"/>
          <w:shd w:val="clear" w:color="auto" w:fill="FFFFFF" w:themeFill="background1"/>
          <w:lang w:val="en-GB"/>
        </w:rPr>
        <w:t xml:space="preserve"> and instruments, transparency in reporting, investment in developing pedagogical research literacy, </w:t>
      </w:r>
      <w:r w:rsidR="0039166F" w:rsidRPr="00EF2E94">
        <w:rPr>
          <w:sz w:val="22"/>
          <w:szCs w:val="22"/>
          <w:shd w:val="clear" w:color="auto" w:fill="FFFFFF" w:themeFill="background1"/>
          <w:lang w:val="en-GB"/>
        </w:rPr>
        <w:t>including</w:t>
      </w:r>
      <w:r w:rsidR="002D32AB" w:rsidRPr="00EF2E94">
        <w:rPr>
          <w:sz w:val="22"/>
          <w:szCs w:val="22"/>
          <w:shd w:val="clear" w:color="auto" w:fill="FFFFFF" w:themeFill="background1"/>
          <w:lang w:val="en-GB"/>
        </w:rPr>
        <w:t xml:space="preserve"> effective use of data</w:t>
      </w:r>
      <w:r w:rsidR="00171533" w:rsidRPr="00EF2E94">
        <w:rPr>
          <w:sz w:val="22"/>
          <w:szCs w:val="22"/>
          <w:shd w:val="clear" w:color="auto" w:fill="FFFFFF" w:themeFill="background1"/>
          <w:lang w:val="en-GB"/>
        </w:rPr>
        <w:t>,</w:t>
      </w:r>
      <w:r w:rsidR="0039166F" w:rsidRPr="00EF2E94">
        <w:rPr>
          <w:sz w:val="22"/>
          <w:szCs w:val="22"/>
          <w:shd w:val="clear" w:color="auto" w:fill="FFFFFF" w:themeFill="background1"/>
          <w:lang w:val="en-GB"/>
        </w:rPr>
        <w:t xml:space="preserve"> are</w:t>
      </w:r>
      <w:r w:rsidR="002D32AB" w:rsidRPr="00EF2E94">
        <w:rPr>
          <w:sz w:val="22"/>
          <w:szCs w:val="22"/>
          <w:shd w:val="clear" w:color="auto" w:fill="FFFFFF" w:themeFill="background1"/>
          <w:lang w:val="en-GB"/>
        </w:rPr>
        <w:t xml:space="preserve"> essen</w:t>
      </w:r>
      <w:r w:rsidR="0039166F" w:rsidRPr="00EF2E94">
        <w:rPr>
          <w:sz w:val="22"/>
          <w:szCs w:val="22"/>
          <w:shd w:val="clear" w:color="auto" w:fill="FFFFFF" w:themeFill="background1"/>
          <w:lang w:val="en-GB"/>
        </w:rPr>
        <w:t xml:space="preserve">tial </w:t>
      </w:r>
      <w:r w:rsidR="002D32AB" w:rsidRPr="00EF2E94">
        <w:rPr>
          <w:sz w:val="22"/>
          <w:szCs w:val="22"/>
          <w:shd w:val="clear" w:color="auto" w:fill="FFFFFF" w:themeFill="background1"/>
          <w:lang w:val="en-GB"/>
        </w:rPr>
        <w:t>in the pursuit of meaningful approaches to measuring learning gain within higher education.</w:t>
      </w:r>
      <w:r w:rsidR="002D32AB" w:rsidRPr="00EF2E94">
        <w:rPr>
          <w:sz w:val="22"/>
          <w:szCs w:val="22"/>
          <w:lang w:val="en-GB"/>
        </w:rPr>
        <w:t xml:space="preserve"> </w:t>
      </w:r>
    </w:p>
    <w:p w14:paraId="001134DB" w14:textId="6EA8E316" w:rsidR="00413BAD" w:rsidRPr="00515DC8" w:rsidRDefault="00413BAD" w:rsidP="00E838A5">
      <w:pPr>
        <w:pStyle w:val="Keywords"/>
        <w:spacing w:line="480" w:lineRule="auto"/>
        <w:ind w:left="567"/>
        <w:jc w:val="both"/>
      </w:pPr>
      <w:r w:rsidRPr="00515DC8">
        <w:t xml:space="preserve">Keywords: </w:t>
      </w:r>
      <w:r w:rsidR="00986CF7" w:rsidRPr="00515DC8">
        <w:t xml:space="preserve">learning gain; higher education; </w:t>
      </w:r>
      <w:r w:rsidR="00D875B2" w:rsidRPr="00515DC8">
        <w:t>post-secondary; pedagogy; research methodology</w:t>
      </w:r>
    </w:p>
    <w:p w14:paraId="7442DE6B" w14:textId="77777777" w:rsidR="00A845D7" w:rsidRPr="00515DC8" w:rsidRDefault="00A845D7" w:rsidP="008C1C4F">
      <w:pPr>
        <w:pStyle w:val="Paragraph"/>
        <w:spacing w:line="276" w:lineRule="auto"/>
      </w:pPr>
    </w:p>
    <w:p w14:paraId="2B3E8D7E" w14:textId="77777777" w:rsidR="002D32AB" w:rsidRPr="00515DC8" w:rsidRDefault="002D32AB" w:rsidP="008C1C4F">
      <w:pPr>
        <w:pStyle w:val="Newparagraph"/>
        <w:spacing w:line="276" w:lineRule="auto"/>
      </w:pPr>
    </w:p>
    <w:p w14:paraId="6201FDE7" w14:textId="77777777" w:rsidR="00FC21EF" w:rsidRPr="00515DC8" w:rsidRDefault="00FC21EF" w:rsidP="008C1C4F">
      <w:pPr>
        <w:pStyle w:val="Newparagraph"/>
        <w:spacing w:line="276" w:lineRule="auto"/>
      </w:pPr>
    </w:p>
    <w:p w14:paraId="0176827B" w14:textId="77777777" w:rsidR="00FC21EF" w:rsidRPr="00515DC8" w:rsidRDefault="00FC21EF" w:rsidP="008C1C4F">
      <w:pPr>
        <w:pStyle w:val="Newparagraph"/>
        <w:spacing w:line="276" w:lineRule="auto"/>
      </w:pPr>
    </w:p>
    <w:p w14:paraId="3A7849F4" w14:textId="77777777" w:rsidR="00FC21EF" w:rsidRPr="00515DC8" w:rsidRDefault="00FC21EF" w:rsidP="008C1C4F">
      <w:pPr>
        <w:pStyle w:val="Newparagraph"/>
        <w:spacing w:line="276" w:lineRule="auto"/>
      </w:pPr>
    </w:p>
    <w:p w14:paraId="33B9E1FF" w14:textId="77777777" w:rsidR="00FC21EF" w:rsidRPr="00515DC8" w:rsidRDefault="00FC21EF" w:rsidP="008C1C4F">
      <w:pPr>
        <w:pStyle w:val="Newparagraph"/>
        <w:spacing w:line="276" w:lineRule="auto"/>
      </w:pPr>
    </w:p>
    <w:p w14:paraId="7D1FB618" w14:textId="77777777" w:rsidR="00FC21EF" w:rsidRPr="00515DC8" w:rsidRDefault="00FC21EF" w:rsidP="008C1C4F">
      <w:pPr>
        <w:pStyle w:val="Newparagraph"/>
        <w:spacing w:line="276" w:lineRule="auto"/>
      </w:pPr>
    </w:p>
    <w:p w14:paraId="4499BB58" w14:textId="77777777" w:rsidR="00FC21EF" w:rsidRPr="00515DC8" w:rsidRDefault="00FC21EF" w:rsidP="008C1C4F">
      <w:pPr>
        <w:pStyle w:val="Newparagraph"/>
        <w:spacing w:line="276" w:lineRule="auto"/>
      </w:pPr>
    </w:p>
    <w:p w14:paraId="2EE58F76" w14:textId="77777777" w:rsidR="00FC21EF" w:rsidRPr="00515DC8" w:rsidRDefault="00FC21EF" w:rsidP="008C1C4F">
      <w:pPr>
        <w:pStyle w:val="Newparagraph"/>
        <w:spacing w:line="276" w:lineRule="auto"/>
      </w:pPr>
    </w:p>
    <w:p w14:paraId="37BD7DF4" w14:textId="77777777" w:rsidR="00FC21EF" w:rsidRPr="00515DC8" w:rsidRDefault="00FC21EF" w:rsidP="008C1C4F">
      <w:pPr>
        <w:pStyle w:val="Newparagraph"/>
        <w:spacing w:line="276" w:lineRule="auto"/>
      </w:pPr>
    </w:p>
    <w:p w14:paraId="0E9C0CF9" w14:textId="77777777" w:rsidR="006F7797" w:rsidRPr="00515DC8" w:rsidRDefault="006F7797" w:rsidP="008C1C4F">
      <w:pPr>
        <w:spacing w:line="276" w:lineRule="auto"/>
        <w:jc w:val="both"/>
        <w:rPr>
          <w:b/>
          <w:sz w:val="28"/>
          <w:szCs w:val="28"/>
          <w:lang w:val="en-GB"/>
        </w:rPr>
      </w:pPr>
    </w:p>
    <w:p w14:paraId="3E44F5A9" w14:textId="77777777" w:rsidR="00EF2E94" w:rsidRDefault="00EF2E94" w:rsidP="00404D06">
      <w:pPr>
        <w:spacing w:line="276" w:lineRule="auto"/>
        <w:jc w:val="both"/>
        <w:outlineLvl w:val="0"/>
        <w:rPr>
          <w:b/>
          <w:sz w:val="28"/>
          <w:szCs w:val="28"/>
          <w:lang w:val="en-GB"/>
        </w:rPr>
      </w:pPr>
    </w:p>
    <w:p w14:paraId="76911B0D" w14:textId="77777777" w:rsidR="00EF2E94" w:rsidRDefault="00EF2E94" w:rsidP="00404D06">
      <w:pPr>
        <w:spacing w:line="276" w:lineRule="auto"/>
        <w:jc w:val="both"/>
        <w:outlineLvl w:val="0"/>
        <w:rPr>
          <w:b/>
          <w:sz w:val="28"/>
          <w:szCs w:val="28"/>
          <w:lang w:val="en-GB"/>
        </w:rPr>
      </w:pPr>
    </w:p>
    <w:p w14:paraId="3749CAA1" w14:textId="14DE2EBD" w:rsidR="00155F75" w:rsidRPr="00515DC8" w:rsidRDefault="00155F75" w:rsidP="00404D06">
      <w:pPr>
        <w:spacing w:line="276" w:lineRule="auto"/>
        <w:jc w:val="both"/>
        <w:outlineLvl w:val="0"/>
        <w:rPr>
          <w:b/>
          <w:sz w:val="28"/>
          <w:szCs w:val="28"/>
          <w:lang w:val="en-GB"/>
        </w:rPr>
      </w:pPr>
      <w:r w:rsidRPr="00515DC8">
        <w:rPr>
          <w:b/>
          <w:sz w:val="28"/>
          <w:szCs w:val="28"/>
          <w:lang w:val="en-GB"/>
        </w:rPr>
        <w:t>Making sense of learning gain in higher education</w:t>
      </w:r>
    </w:p>
    <w:p w14:paraId="7B95DC8B" w14:textId="77777777" w:rsidR="00FC21EF" w:rsidRPr="00515DC8" w:rsidRDefault="00FC21EF" w:rsidP="008C1C4F">
      <w:pPr>
        <w:pStyle w:val="Newparagraph"/>
        <w:spacing w:line="276" w:lineRule="auto"/>
      </w:pPr>
    </w:p>
    <w:p w14:paraId="18A7436C" w14:textId="77777777" w:rsidR="0007366C" w:rsidRPr="00515DC8" w:rsidRDefault="00CC7647" w:rsidP="00404D06">
      <w:pPr>
        <w:pStyle w:val="Tabletitle"/>
        <w:spacing w:line="276" w:lineRule="auto"/>
        <w:jc w:val="both"/>
        <w:outlineLvl w:val="0"/>
        <w:rPr>
          <w:b/>
        </w:rPr>
      </w:pPr>
      <w:r w:rsidRPr="00515DC8">
        <w:rPr>
          <w:b/>
        </w:rPr>
        <w:t>Introduction</w:t>
      </w:r>
    </w:p>
    <w:p w14:paraId="63D248B2" w14:textId="77777777" w:rsidR="003355D1" w:rsidRPr="00515DC8" w:rsidRDefault="003355D1" w:rsidP="008C1C4F">
      <w:pPr>
        <w:spacing w:line="276" w:lineRule="auto"/>
        <w:rPr>
          <w:b/>
          <w:lang w:val="en-GB"/>
        </w:rPr>
      </w:pPr>
    </w:p>
    <w:p w14:paraId="153BB2ED" w14:textId="744ABD8F" w:rsidR="009479BB" w:rsidRPr="00515DC8" w:rsidRDefault="00E62D44" w:rsidP="001B74D8">
      <w:pPr>
        <w:spacing w:line="480" w:lineRule="auto"/>
        <w:rPr>
          <w:lang w:val="en-GB"/>
        </w:rPr>
      </w:pPr>
      <w:r w:rsidRPr="00515DC8">
        <w:rPr>
          <w:lang w:val="en-GB"/>
        </w:rPr>
        <w:t xml:space="preserve">The drive for </w:t>
      </w:r>
      <w:bookmarkStart w:id="2" w:name="_Hlk510434972"/>
      <w:r w:rsidRPr="00515DC8">
        <w:rPr>
          <w:lang w:val="en-GB"/>
        </w:rPr>
        <w:t>transparency, accountability</w:t>
      </w:r>
      <w:r w:rsidR="0085394C" w:rsidRPr="00515DC8">
        <w:rPr>
          <w:lang w:val="en-GB"/>
        </w:rPr>
        <w:t>, equi</w:t>
      </w:r>
      <w:r w:rsidR="009479BB" w:rsidRPr="00515DC8">
        <w:rPr>
          <w:lang w:val="en-GB"/>
        </w:rPr>
        <w:t xml:space="preserve">ty, </w:t>
      </w:r>
      <w:r w:rsidRPr="00515DC8">
        <w:rPr>
          <w:lang w:val="en-GB"/>
        </w:rPr>
        <w:t xml:space="preserve">and value for money </w:t>
      </w:r>
      <w:bookmarkEnd w:id="2"/>
      <w:r w:rsidRPr="00515DC8">
        <w:rPr>
          <w:lang w:val="en-GB"/>
        </w:rPr>
        <w:t>in higher educat</w:t>
      </w:r>
      <w:r w:rsidR="00CA3569" w:rsidRPr="00515DC8">
        <w:rPr>
          <w:lang w:val="en-GB"/>
        </w:rPr>
        <w:t>ion</w:t>
      </w:r>
      <w:r w:rsidR="009479BB" w:rsidRPr="00515DC8">
        <w:rPr>
          <w:lang w:val="en-GB"/>
        </w:rPr>
        <w:t xml:space="preserve"> (HE)</w:t>
      </w:r>
      <w:r w:rsidR="00CA3569" w:rsidRPr="00515DC8">
        <w:rPr>
          <w:lang w:val="en-GB"/>
        </w:rPr>
        <w:t xml:space="preserve"> </w:t>
      </w:r>
      <w:r w:rsidR="00D01B58" w:rsidRPr="00515DC8">
        <w:rPr>
          <w:lang w:val="en-GB"/>
        </w:rPr>
        <w:t xml:space="preserve">is now an international priority </w:t>
      </w:r>
      <w:r w:rsidR="00CA3569" w:rsidRPr="00515DC8">
        <w:rPr>
          <w:lang w:val="en-GB"/>
        </w:rPr>
        <w:t>(Caspersen,</w:t>
      </w:r>
      <w:r w:rsidR="008655C0" w:rsidRPr="00515DC8">
        <w:rPr>
          <w:lang w:val="en-GB"/>
        </w:rPr>
        <w:t xml:space="preserve"> Smeby, &amp; Aamodt, 2017; </w:t>
      </w:r>
      <w:r w:rsidR="001B5ED2" w:rsidRPr="00515DC8">
        <w:rPr>
          <w:lang w:val="en-GB"/>
        </w:rPr>
        <w:t>Mountford-Zimdars, Sabri, Moore, Sanders, Jones, &amp; Higham</w:t>
      </w:r>
      <w:r w:rsidR="00177B7C" w:rsidRPr="00515DC8">
        <w:rPr>
          <w:lang w:val="en-GB"/>
        </w:rPr>
        <w:t xml:space="preserve">, </w:t>
      </w:r>
      <w:r w:rsidR="008655C0" w:rsidRPr="00515DC8">
        <w:rPr>
          <w:lang w:val="en-GB"/>
        </w:rPr>
        <w:t>2015; Seifert</w:t>
      </w:r>
      <w:r w:rsidR="009A1F29" w:rsidRPr="00515DC8">
        <w:rPr>
          <w:lang w:val="en-GB"/>
        </w:rPr>
        <w:t>, Gillig, Hanson &amp; Pascarella</w:t>
      </w:r>
      <w:r w:rsidR="008655C0" w:rsidRPr="00515DC8">
        <w:rPr>
          <w:lang w:val="en-GB"/>
        </w:rPr>
        <w:t>, 2014)</w:t>
      </w:r>
      <w:r w:rsidR="009479BB" w:rsidRPr="00515DC8">
        <w:rPr>
          <w:lang w:val="en-GB"/>
        </w:rPr>
        <w:t xml:space="preserve">. </w:t>
      </w:r>
      <w:r w:rsidR="00F414B5" w:rsidRPr="00515DC8">
        <w:t xml:space="preserve"> There</w:t>
      </w:r>
      <w:r w:rsidR="00D01B58" w:rsidRPr="00515DC8">
        <w:rPr>
          <w:lang w:val="en-GB"/>
        </w:rPr>
        <w:t xml:space="preserve"> have been several in</w:t>
      </w:r>
      <w:r w:rsidRPr="00515DC8">
        <w:rPr>
          <w:lang w:val="en-GB"/>
        </w:rPr>
        <w:t xml:space="preserve">itiatives exploring the development of metrics </w:t>
      </w:r>
      <w:r w:rsidR="00D01B58" w:rsidRPr="00515DC8">
        <w:rPr>
          <w:lang w:val="en-GB"/>
        </w:rPr>
        <w:t xml:space="preserve">that are thought to </w:t>
      </w:r>
      <w:r w:rsidRPr="00515DC8">
        <w:rPr>
          <w:lang w:val="en-GB"/>
        </w:rPr>
        <w:t>provide context for evaluating higher education systems, institutions</w:t>
      </w:r>
      <w:r w:rsidR="009479BB" w:rsidRPr="00515DC8">
        <w:rPr>
          <w:lang w:val="en-GB"/>
        </w:rPr>
        <w:t>,</w:t>
      </w:r>
      <w:r w:rsidRPr="00515DC8">
        <w:rPr>
          <w:lang w:val="en-GB"/>
        </w:rPr>
        <w:t xml:space="preserve"> and individual students.</w:t>
      </w:r>
      <w:r w:rsidR="001107C8" w:rsidRPr="00515DC8">
        <w:rPr>
          <w:lang w:val="en-GB"/>
        </w:rPr>
        <w:t xml:space="preserve"> </w:t>
      </w:r>
      <w:r w:rsidR="00461287" w:rsidRPr="00515DC8">
        <w:rPr>
          <w:lang w:val="en-GB"/>
        </w:rPr>
        <w:t>The need for better indicators to demonstrate excellence in teaching has been the main driver behind</w:t>
      </w:r>
      <w:r w:rsidR="009479BB" w:rsidRPr="00515DC8">
        <w:rPr>
          <w:lang w:val="en-GB"/>
        </w:rPr>
        <w:t xml:space="preserve"> many</w:t>
      </w:r>
      <w:r w:rsidR="00461287" w:rsidRPr="00515DC8">
        <w:rPr>
          <w:lang w:val="en-GB"/>
        </w:rPr>
        <w:t xml:space="preserve"> learning gain developments</w:t>
      </w:r>
      <w:r w:rsidR="009479BB" w:rsidRPr="00515DC8">
        <w:rPr>
          <w:lang w:val="en-GB"/>
        </w:rPr>
        <w:t>, and especially so</w:t>
      </w:r>
      <w:r w:rsidR="00461287" w:rsidRPr="00515DC8">
        <w:rPr>
          <w:lang w:val="en-GB"/>
        </w:rPr>
        <w:t xml:space="preserve"> in England</w:t>
      </w:r>
      <w:r w:rsidR="009479BB" w:rsidRPr="00515DC8">
        <w:rPr>
          <w:lang w:val="en-GB"/>
        </w:rPr>
        <w:t>,</w:t>
      </w:r>
      <w:r w:rsidR="00461287" w:rsidRPr="00515DC8">
        <w:rPr>
          <w:lang w:val="en-GB"/>
        </w:rPr>
        <w:t xml:space="preserve"> where</w:t>
      </w:r>
      <w:r w:rsidR="00CC7647" w:rsidRPr="00515DC8">
        <w:rPr>
          <w:lang w:val="en-GB"/>
        </w:rPr>
        <w:t xml:space="preserve"> t</w:t>
      </w:r>
      <w:r w:rsidR="00E7667A" w:rsidRPr="00515DC8">
        <w:rPr>
          <w:lang w:val="en-GB"/>
        </w:rPr>
        <w:t>he government de</w:t>
      </w:r>
      <w:r w:rsidR="00792774" w:rsidRPr="00515DC8">
        <w:rPr>
          <w:lang w:val="en-GB"/>
        </w:rPr>
        <w:t>clared measuring learning gain ‘high priority work’</w:t>
      </w:r>
      <w:r w:rsidR="00CC7647" w:rsidRPr="00515DC8">
        <w:rPr>
          <w:lang w:val="en-GB"/>
        </w:rPr>
        <w:t xml:space="preserve"> (Johnson, 2017)</w:t>
      </w:r>
      <w:r w:rsidR="00E7667A" w:rsidRPr="00515DC8">
        <w:rPr>
          <w:lang w:val="en-GB"/>
        </w:rPr>
        <w:t>, with support and funding for improving indicators</w:t>
      </w:r>
      <w:r w:rsidR="00CC7647" w:rsidRPr="00515DC8">
        <w:rPr>
          <w:lang w:val="en-GB"/>
        </w:rPr>
        <w:t xml:space="preserve"> (</w:t>
      </w:r>
      <w:r w:rsidR="00483C77" w:rsidRPr="00515DC8">
        <w:rPr>
          <w:lang w:val="en-GB"/>
        </w:rPr>
        <w:t>Higher Education Funding Council f</w:t>
      </w:r>
      <w:r w:rsidR="00AB6A32" w:rsidRPr="00515DC8">
        <w:rPr>
          <w:lang w:val="en-GB"/>
        </w:rPr>
        <w:t>or England/Office for Students (</w:t>
      </w:r>
      <w:r w:rsidR="00CC7647" w:rsidRPr="00515DC8">
        <w:rPr>
          <w:lang w:val="en-GB"/>
        </w:rPr>
        <w:t>HEFCE</w:t>
      </w:r>
      <w:r w:rsidR="00AA1AFC" w:rsidRPr="00515DC8">
        <w:rPr>
          <w:lang w:val="en-GB"/>
        </w:rPr>
        <w:t>/OfS</w:t>
      </w:r>
      <w:r w:rsidR="00483C77" w:rsidRPr="00515DC8">
        <w:rPr>
          <w:lang w:val="en-GB"/>
        </w:rPr>
        <w:t>,</w:t>
      </w:r>
      <w:r w:rsidR="00CC7647" w:rsidRPr="00515DC8">
        <w:rPr>
          <w:lang w:val="en-GB"/>
        </w:rPr>
        <w:t xml:space="preserve"> 2014, 2015</w:t>
      </w:r>
      <w:r w:rsidR="00AE6B73" w:rsidRPr="00515DC8">
        <w:rPr>
          <w:rStyle w:val="FootnoteReference"/>
          <w:lang w:val="en-GB"/>
        </w:rPr>
        <w:footnoteReference w:id="1"/>
      </w:r>
      <w:r w:rsidR="00CC7647" w:rsidRPr="00515DC8">
        <w:rPr>
          <w:lang w:val="en-GB"/>
        </w:rPr>
        <w:t xml:space="preserve">). </w:t>
      </w:r>
    </w:p>
    <w:p w14:paraId="2E4BF4E8" w14:textId="77777777" w:rsidR="009479BB" w:rsidRPr="00515DC8" w:rsidRDefault="009479BB" w:rsidP="001B74D8">
      <w:pPr>
        <w:spacing w:line="480" w:lineRule="auto"/>
        <w:rPr>
          <w:lang w:val="en-GB"/>
        </w:rPr>
      </w:pPr>
    </w:p>
    <w:p w14:paraId="32FF34B6" w14:textId="1B4789B2" w:rsidR="0007366C" w:rsidRPr="00515DC8" w:rsidRDefault="00DC2F1B" w:rsidP="001B74D8">
      <w:pPr>
        <w:spacing w:line="480" w:lineRule="auto"/>
        <w:rPr>
          <w:lang w:val="en-GB"/>
        </w:rPr>
      </w:pPr>
      <w:r w:rsidRPr="00515DC8">
        <w:rPr>
          <w:lang w:val="en-GB"/>
        </w:rPr>
        <w:t xml:space="preserve">Measuring learning gain is </w:t>
      </w:r>
      <w:r w:rsidR="00763D8C" w:rsidRPr="00515DC8">
        <w:rPr>
          <w:lang w:val="en-GB"/>
        </w:rPr>
        <w:t>considered</w:t>
      </w:r>
      <w:r w:rsidRPr="00515DC8">
        <w:rPr>
          <w:lang w:val="en-GB"/>
        </w:rPr>
        <w:t xml:space="preserve"> a policy panacea, a </w:t>
      </w:r>
      <w:r w:rsidR="003B5865" w:rsidRPr="00515DC8">
        <w:rPr>
          <w:lang w:val="en-GB"/>
        </w:rPr>
        <w:t>‘holy grail’</w:t>
      </w:r>
      <w:r w:rsidR="00CC7647" w:rsidRPr="00515DC8">
        <w:rPr>
          <w:lang w:val="en-GB"/>
        </w:rPr>
        <w:t xml:space="preserve"> (Will</w:t>
      </w:r>
      <w:r w:rsidR="00425958">
        <w:rPr>
          <w:lang w:val="en-GB"/>
        </w:rPr>
        <w:t>et</w:t>
      </w:r>
      <w:r w:rsidR="00CC7647" w:rsidRPr="00515DC8">
        <w:rPr>
          <w:lang w:val="en-GB"/>
        </w:rPr>
        <w:t>ts, 2017)</w:t>
      </w:r>
      <w:r w:rsidR="00763D8C" w:rsidRPr="00515DC8">
        <w:rPr>
          <w:lang w:val="en-GB"/>
        </w:rPr>
        <w:t xml:space="preserve"> and</w:t>
      </w:r>
      <w:r w:rsidR="00CC7647" w:rsidRPr="00515DC8">
        <w:rPr>
          <w:lang w:val="en-GB"/>
        </w:rPr>
        <w:t xml:space="preserve"> a concept</w:t>
      </w:r>
      <w:r w:rsidR="00792774" w:rsidRPr="00515DC8">
        <w:rPr>
          <w:lang w:val="en-GB"/>
        </w:rPr>
        <w:t xml:space="preserve"> to ‘</w:t>
      </w:r>
      <w:r w:rsidR="00CC7647" w:rsidRPr="00515DC8">
        <w:rPr>
          <w:lang w:val="en-GB"/>
        </w:rPr>
        <w:t>crack</w:t>
      </w:r>
      <w:r w:rsidR="00792774" w:rsidRPr="00515DC8">
        <w:rPr>
          <w:lang w:val="en-GB"/>
        </w:rPr>
        <w:t>’</w:t>
      </w:r>
      <w:r w:rsidR="00CC7647" w:rsidRPr="00515DC8">
        <w:rPr>
          <w:lang w:val="en-GB"/>
        </w:rPr>
        <w:t xml:space="preserve"> (Havergal, 2017)</w:t>
      </w:r>
      <w:r w:rsidR="009479BB" w:rsidRPr="00515DC8">
        <w:rPr>
          <w:lang w:val="en-GB"/>
        </w:rPr>
        <w:t xml:space="preserve">, </w:t>
      </w:r>
      <w:r w:rsidR="0085394C" w:rsidRPr="00515DC8">
        <w:rPr>
          <w:lang w:val="en-GB"/>
        </w:rPr>
        <w:t xml:space="preserve">but </w:t>
      </w:r>
      <w:r w:rsidR="00D01B58" w:rsidRPr="00515DC8">
        <w:rPr>
          <w:lang w:val="en-GB"/>
        </w:rPr>
        <w:t>measurement is</w:t>
      </w:r>
      <w:r w:rsidR="009479BB" w:rsidRPr="00515DC8">
        <w:rPr>
          <w:lang w:val="en-GB"/>
        </w:rPr>
        <w:t xml:space="preserve"> </w:t>
      </w:r>
      <w:r w:rsidR="00CC7647" w:rsidRPr="00515DC8">
        <w:rPr>
          <w:lang w:val="en-GB"/>
        </w:rPr>
        <w:t xml:space="preserve">contentious </w:t>
      </w:r>
      <w:r w:rsidR="00763D8C" w:rsidRPr="00515DC8">
        <w:rPr>
          <w:lang w:val="en-GB"/>
        </w:rPr>
        <w:t xml:space="preserve">due to </w:t>
      </w:r>
      <w:r w:rsidR="00D01B58" w:rsidRPr="00515DC8">
        <w:rPr>
          <w:lang w:val="en-GB"/>
        </w:rPr>
        <w:t xml:space="preserve">the implied consequences of the outcomes through </w:t>
      </w:r>
      <w:r w:rsidR="00763D8C" w:rsidRPr="00515DC8">
        <w:rPr>
          <w:lang w:val="en-GB"/>
        </w:rPr>
        <w:t>wider accountability regimes</w:t>
      </w:r>
      <w:r w:rsidR="00CC7647" w:rsidRPr="00515DC8">
        <w:rPr>
          <w:lang w:val="en-GB"/>
        </w:rPr>
        <w:t xml:space="preserve"> </w:t>
      </w:r>
      <w:r w:rsidR="00D01B58" w:rsidRPr="00515DC8">
        <w:rPr>
          <w:lang w:val="en-GB"/>
        </w:rPr>
        <w:t>such as</w:t>
      </w:r>
      <w:r w:rsidR="00CC7647" w:rsidRPr="00515DC8">
        <w:rPr>
          <w:lang w:val="en-GB"/>
        </w:rPr>
        <w:t xml:space="preserve"> </w:t>
      </w:r>
      <w:r w:rsidR="00834426" w:rsidRPr="00515DC8">
        <w:rPr>
          <w:lang w:val="en-GB"/>
        </w:rPr>
        <w:t>t</w:t>
      </w:r>
      <w:r w:rsidR="00CC7647" w:rsidRPr="00515DC8">
        <w:rPr>
          <w:lang w:val="en-GB"/>
        </w:rPr>
        <w:t xml:space="preserve">he </w:t>
      </w:r>
      <w:r w:rsidR="0085394C" w:rsidRPr="00515DC8">
        <w:rPr>
          <w:lang w:val="en-GB"/>
        </w:rPr>
        <w:t xml:space="preserve">UK </w:t>
      </w:r>
      <w:r w:rsidR="00763D8C" w:rsidRPr="00515DC8">
        <w:rPr>
          <w:lang w:val="en-GB"/>
        </w:rPr>
        <w:t>Teaching Excellence and St</w:t>
      </w:r>
      <w:r w:rsidR="00CC7647" w:rsidRPr="00515DC8">
        <w:rPr>
          <w:lang w:val="en-GB"/>
        </w:rPr>
        <w:t>udent Outcomes Framework (TEF</w:t>
      </w:r>
      <w:r w:rsidR="009A1F29" w:rsidRPr="00515DC8">
        <w:rPr>
          <w:lang w:val="en-GB"/>
        </w:rPr>
        <w:t xml:space="preserve">, </w:t>
      </w:r>
      <w:r w:rsidR="00834426" w:rsidRPr="00515DC8">
        <w:rPr>
          <w:lang w:val="en-GB"/>
        </w:rPr>
        <w:t>Department for Education [</w:t>
      </w:r>
      <w:r w:rsidR="001D1DE0" w:rsidRPr="00515DC8">
        <w:rPr>
          <w:lang w:val="en-GB"/>
        </w:rPr>
        <w:t>DfE</w:t>
      </w:r>
      <w:r w:rsidR="00834426" w:rsidRPr="00515DC8">
        <w:rPr>
          <w:lang w:val="en-GB"/>
        </w:rPr>
        <w:t>]</w:t>
      </w:r>
      <w:r w:rsidR="001D1DE0" w:rsidRPr="00515DC8">
        <w:rPr>
          <w:lang w:val="en-GB"/>
        </w:rPr>
        <w:t>, 2017</w:t>
      </w:r>
      <w:r w:rsidR="00624219" w:rsidRPr="00515DC8">
        <w:rPr>
          <w:lang w:val="en-GB"/>
        </w:rPr>
        <w:t>)</w:t>
      </w:r>
      <w:r w:rsidR="00CC7647" w:rsidRPr="00515DC8">
        <w:rPr>
          <w:lang w:val="en-GB"/>
        </w:rPr>
        <w:t>.</w:t>
      </w:r>
      <w:r w:rsidR="00792774" w:rsidRPr="00515DC8">
        <w:rPr>
          <w:lang w:val="en-GB"/>
        </w:rPr>
        <w:t xml:space="preserve"> </w:t>
      </w:r>
      <w:r w:rsidR="00D01B58" w:rsidRPr="00515DC8">
        <w:rPr>
          <w:lang w:val="en-GB"/>
        </w:rPr>
        <w:t xml:space="preserve"> </w:t>
      </w:r>
      <w:r w:rsidR="00792774" w:rsidRPr="00515DC8">
        <w:rPr>
          <w:lang w:val="en-GB"/>
        </w:rPr>
        <w:t xml:space="preserve">Perverse incentives for </w:t>
      </w:r>
      <w:r w:rsidR="00695878" w:rsidRPr="00515DC8">
        <w:rPr>
          <w:lang w:val="en-GB"/>
        </w:rPr>
        <w:t>h</w:t>
      </w:r>
      <w:r w:rsidR="009479BB" w:rsidRPr="00515DC8">
        <w:rPr>
          <w:lang w:val="en-GB"/>
        </w:rPr>
        <w:t xml:space="preserve">igher </w:t>
      </w:r>
      <w:r w:rsidR="00695878" w:rsidRPr="00515DC8">
        <w:rPr>
          <w:lang w:val="en-GB"/>
        </w:rPr>
        <w:t>e</w:t>
      </w:r>
      <w:r w:rsidR="00D01B58" w:rsidRPr="00515DC8">
        <w:rPr>
          <w:lang w:val="en-GB"/>
        </w:rPr>
        <w:t xml:space="preserve">ducation </w:t>
      </w:r>
      <w:r w:rsidR="00695878" w:rsidRPr="00515DC8">
        <w:rPr>
          <w:lang w:val="en-GB"/>
        </w:rPr>
        <w:t>i</w:t>
      </w:r>
      <w:r w:rsidR="009479BB" w:rsidRPr="00515DC8">
        <w:rPr>
          <w:lang w:val="en-GB"/>
        </w:rPr>
        <w:t>nstitutions (</w:t>
      </w:r>
      <w:r w:rsidR="00792774" w:rsidRPr="00515DC8">
        <w:rPr>
          <w:lang w:val="en-GB"/>
        </w:rPr>
        <w:t>HEIs</w:t>
      </w:r>
      <w:r w:rsidR="009479BB" w:rsidRPr="00515DC8">
        <w:rPr>
          <w:lang w:val="en-GB"/>
        </w:rPr>
        <w:t>)</w:t>
      </w:r>
      <w:r w:rsidR="00792774" w:rsidRPr="00515DC8">
        <w:rPr>
          <w:lang w:val="en-GB"/>
        </w:rPr>
        <w:t xml:space="preserve"> are growing in scale and </w:t>
      </w:r>
      <w:r w:rsidR="009479BB" w:rsidRPr="00515DC8">
        <w:rPr>
          <w:lang w:val="en-GB"/>
        </w:rPr>
        <w:t xml:space="preserve">impact as </w:t>
      </w:r>
      <w:r w:rsidR="00A845D7" w:rsidRPr="00515DC8">
        <w:rPr>
          <w:lang w:val="en-GB"/>
        </w:rPr>
        <w:t>u</w:t>
      </w:r>
      <w:r w:rsidR="00D01B58" w:rsidRPr="00515DC8">
        <w:rPr>
          <w:lang w:val="en-GB"/>
        </w:rPr>
        <w:t xml:space="preserve">niversities </w:t>
      </w:r>
      <w:r w:rsidR="009479BB" w:rsidRPr="00515DC8">
        <w:rPr>
          <w:lang w:val="en-GB"/>
        </w:rPr>
        <w:t>jostle for improved</w:t>
      </w:r>
      <w:r w:rsidR="00792774" w:rsidRPr="00515DC8">
        <w:rPr>
          <w:lang w:val="en-GB"/>
        </w:rPr>
        <w:t xml:space="preserve"> positions in league tables leading to claims of </w:t>
      </w:r>
      <w:r w:rsidR="009479BB" w:rsidRPr="00515DC8">
        <w:rPr>
          <w:lang w:val="en-GB"/>
        </w:rPr>
        <w:t>‘</w:t>
      </w:r>
      <w:r w:rsidR="00792774" w:rsidRPr="00515DC8">
        <w:rPr>
          <w:lang w:val="en-GB"/>
        </w:rPr>
        <w:t>gaming the system</w:t>
      </w:r>
      <w:r w:rsidR="009479BB" w:rsidRPr="00515DC8">
        <w:rPr>
          <w:lang w:val="en-GB"/>
        </w:rPr>
        <w:t xml:space="preserve">’ through the redistribution </w:t>
      </w:r>
      <w:r w:rsidR="00D01B58" w:rsidRPr="00515DC8">
        <w:rPr>
          <w:lang w:val="en-GB"/>
        </w:rPr>
        <w:t>of resources</w:t>
      </w:r>
      <w:r w:rsidR="00792774" w:rsidRPr="00515DC8">
        <w:rPr>
          <w:lang w:val="en-GB"/>
        </w:rPr>
        <w:t xml:space="preserve"> </w:t>
      </w:r>
      <w:r w:rsidR="009479BB" w:rsidRPr="00515DC8">
        <w:rPr>
          <w:lang w:val="en-GB"/>
        </w:rPr>
        <w:t>and/or investment</w:t>
      </w:r>
      <w:r w:rsidR="00792774" w:rsidRPr="00515DC8">
        <w:rPr>
          <w:lang w:val="en-GB"/>
        </w:rPr>
        <w:t xml:space="preserve"> in areas that ranking metric</w:t>
      </w:r>
      <w:r w:rsidR="009479BB" w:rsidRPr="00515DC8">
        <w:rPr>
          <w:lang w:val="en-GB"/>
        </w:rPr>
        <w:t>s emphasize (Edwards &amp; Roy, 2017</w:t>
      </w:r>
      <w:r w:rsidR="00792774" w:rsidRPr="00515DC8">
        <w:rPr>
          <w:lang w:val="en-GB"/>
        </w:rPr>
        <w:t>).</w:t>
      </w:r>
      <w:r w:rsidR="00D01B58" w:rsidRPr="00515DC8">
        <w:rPr>
          <w:lang w:val="en-GB"/>
        </w:rPr>
        <w:t xml:space="preserve"> </w:t>
      </w:r>
      <w:r w:rsidR="003355D1" w:rsidRPr="00515DC8">
        <w:rPr>
          <w:lang w:val="en-GB"/>
        </w:rPr>
        <w:t xml:space="preserve"> Gaming </w:t>
      </w:r>
      <w:r w:rsidR="00D01B58" w:rsidRPr="00515DC8">
        <w:rPr>
          <w:lang w:val="en-GB"/>
        </w:rPr>
        <w:t>serves</w:t>
      </w:r>
      <w:r w:rsidR="003355D1" w:rsidRPr="00515DC8">
        <w:rPr>
          <w:lang w:val="en-GB"/>
        </w:rPr>
        <w:t xml:space="preserve"> to distort the </w:t>
      </w:r>
      <w:r w:rsidR="00A845D7" w:rsidRPr="00515DC8">
        <w:rPr>
          <w:lang w:val="en-GB"/>
        </w:rPr>
        <w:t>higher e</w:t>
      </w:r>
      <w:r w:rsidR="00D01B58" w:rsidRPr="00515DC8">
        <w:rPr>
          <w:lang w:val="en-GB"/>
        </w:rPr>
        <w:t>ducation (HE)</w:t>
      </w:r>
      <w:r w:rsidR="003355D1" w:rsidRPr="00515DC8">
        <w:rPr>
          <w:lang w:val="en-GB"/>
        </w:rPr>
        <w:t xml:space="preserve"> landscape</w:t>
      </w:r>
      <w:r w:rsidR="00D01B58" w:rsidRPr="00515DC8">
        <w:rPr>
          <w:lang w:val="en-GB"/>
        </w:rPr>
        <w:t xml:space="preserve">, encouraging </w:t>
      </w:r>
      <w:r w:rsidR="00087466" w:rsidRPr="00515DC8">
        <w:rPr>
          <w:lang w:val="en-GB"/>
        </w:rPr>
        <w:t xml:space="preserve">a focus on </w:t>
      </w:r>
      <w:r w:rsidR="00D01B58" w:rsidRPr="00515DC8">
        <w:rPr>
          <w:lang w:val="en-GB"/>
        </w:rPr>
        <w:t>outcome measures which are often superficial, transitory</w:t>
      </w:r>
      <w:r w:rsidR="00695878" w:rsidRPr="00515DC8">
        <w:rPr>
          <w:lang w:val="en-GB"/>
        </w:rPr>
        <w:t>,</w:t>
      </w:r>
      <w:r w:rsidR="00D01B58" w:rsidRPr="00515DC8">
        <w:rPr>
          <w:lang w:val="en-GB"/>
        </w:rPr>
        <w:t xml:space="preserve"> and based </w:t>
      </w:r>
      <w:r w:rsidR="00A845D7" w:rsidRPr="00515DC8">
        <w:rPr>
          <w:lang w:val="en-GB"/>
        </w:rPr>
        <w:t xml:space="preserve">on </w:t>
      </w:r>
      <w:r w:rsidR="00291D32" w:rsidRPr="00515DC8">
        <w:rPr>
          <w:lang w:val="en-GB"/>
        </w:rPr>
        <w:t xml:space="preserve">the </w:t>
      </w:r>
      <w:r w:rsidR="00D01B58" w:rsidRPr="00515DC8">
        <w:rPr>
          <w:lang w:val="en-GB"/>
        </w:rPr>
        <w:t>subjective experience o</w:t>
      </w:r>
      <w:r w:rsidR="00A845D7" w:rsidRPr="00515DC8">
        <w:rPr>
          <w:lang w:val="en-GB"/>
        </w:rPr>
        <w:t xml:space="preserve">f </w:t>
      </w:r>
      <w:r w:rsidR="00D01B58" w:rsidRPr="00515DC8">
        <w:rPr>
          <w:lang w:val="en-GB"/>
        </w:rPr>
        <w:t xml:space="preserve">impactful teaching </w:t>
      </w:r>
      <w:r w:rsidR="00A845D7" w:rsidRPr="00515DC8">
        <w:rPr>
          <w:lang w:val="en-GB"/>
        </w:rPr>
        <w:t xml:space="preserve">rather than on </w:t>
      </w:r>
      <w:r w:rsidR="00D01B58" w:rsidRPr="00515DC8">
        <w:rPr>
          <w:lang w:val="en-GB"/>
        </w:rPr>
        <w:t>meaningful learning</w:t>
      </w:r>
      <w:r w:rsidR="00E42E66" w:rsidRPr="00515DC8">
        <w:rPr>
          <w:lang w:val="en-GB"/>
        </w:rPr>
        <w:t xml:space="preserve"> </w:t>
      </w:r>
      <w:r w:rsidR="00CC7647" w:rsidRPr="00515DC8">
        <w:rPr>
          <w:lang w:val="en-GB"/>
        </w:rPr>
        <w:t>(</w:t>
      </w:r>
      <w:r w:rsidR="00624219" w:rsidRPr="00515DC8">
        <w:rPr>
          <w:lang w:val="en-GB"/>
        </w:rPr>
        <w:t xml:space="preserve">Dudas, 2015; </w:t>
      </w:r>
      <w:r w:rsidR="00EE27F3" w:rsidRPr="00515DC8">
        <w:rPr>
          <w:rFonts w:eastAsia="Times New Roman"/>
          <w:kern w:val="36"/>
          <w:lang w:val="en-GB" w:eastAsia="en-GB"/>
        </w:rPr>
        <w:t xml:space="preserve">McGrath et al., </w:t>
      </w:r>
      <w:r w:rsidR="00624219" w:rsidRPr="00515DC8">
        <w:rPr>
          <w:lang w:val="en-GB"/>
        </w:rPr>
        <w:t>2015</w:t>
      </w:r>
      <w:r w:rsidR="00CC7647" w:rsidRPr="00515DC8">
        <w:rPr>
          <w:lang w:val="en-GB"/>
        </w:rPr>
        <w:t>)</w:t>
      </w:r>
      <w:r w:rsidR="00D559C7" w:rsidRPr="00515DC8">
        <w:rPr>
          <w:lang w:val="en-GB"/>
        </w:rPr>
        <w:t xml:space="preserve">. </w:t>
      </w:r>
      <w:r w:rsidR="009479BB" w:rsidRPr="00515DC8">
        <w:rPr>
          <w:lang w:val="en-GB"/>
        </w:rPr>
        <w:t xml:space="preserve"> </w:t>
      </w:r>
      <w:r w:rsidR="00E42E66" w:rsidRPr="00515DC8">
        <w:rPr>
          <w:lang w:val="en-GB"/>
        </w:rPr>
        <w:t>Despite these risks</w:t>
      </w:r>
      <w:r w:rsidR="009479BB" w:rsidRPr="00515DC8">
        <w:rPr>
          <w:lang w:val="en-GB"/>
        </w:rPr>
        <w:t>, there</w:t>
      </w:r>
      <w:r w:rsidR="00E42E66" w:rsidRPr="00515DC8">
        <w:rPr>
          <w:lang w:val="en-GB"/>
        </w:rPr>
        <w:t xml:space="preserve"> remains a global</w:t>
      </w:r>
      <w:r w:rsidR="00D559C7" w:rsidRPr="00515DC8">
        <w:rPr>
          <w:lang w:val="en-GB"/>
        </w:rPr>
        <w:t xml:space="preserve"> appetite from government ministries and the media for a universal tool to measure learning outcomes at the institutional level </w:t>
      </w:r>
      <w:r w:rsidR="009479BB" w:rsidRPr="00515DC8">
        <w:rPr>
          <w:lang w:val="en-GB"/>
        </w:rPr>
        <w:t xml:space="preserve">to </w:t>
      </w:r>
      <w:r w:rsidR="00E42E66" w:rsidRPr="00515DC8">
        <w:rPr>
          <w:lang w:val="en-GB"/>
        </w:rPr>
        <w:t>permit</w:t>
      </w:r>
      <w:r w:rsidR="00D559C7" w:rsidRPr="00515DC8">
        <w:rPr>
          <w:lang w:val="en-GB"/>
        </w:rPr>
        <w:t xml:space="preserve"> comparison</w:t>
      </w:r>
      <w:r w:rsidR="00E42E66" w:rsidRPr="00515DC8">
        <w:rPr>
          <w:lang w:val="en-GB"/>
        </w:rPr>
        <w:t>s</w:t>
      </w:r>
      <w:r w:rsidR="00D559C7" w:rsidRPr="00515DC8">
        <w:rPr>
          <w:lang w:val="en-GB"/>
        </w:rPr>
        <w:t xml:space="preserve"> across HEIs</w:t>
      </w:r>
      <w:r w:rsidR="00E42E66" w:rsidRPr="00515DC8">
        <w:rPr>
          <w:lang w:val="en-GB"/>
        </w:rPr>
        <w:t xml:space="preserve"> in the UK and internationally</w:t>
      </w:r>
      <w:r w:rsidR="00D559C7" w:rsidRPr="00515DC8">
        <w:rPr>
          <w:lang w:val="en-GB"/>
        </w:rPr>
        <w:t xml:space="preserve"> </w:t>
      </w:r>
      <w:r w:rsidR="009479BB" w:rsidRPr="00515DC8">
        <w:rPr>
          <w:lang w:val="en-GB"/>
        </w:rPr>
        <w:t xml:space="preserve">(Caspersen et al., 2017). </w:t>
      </w:r>
      <w:r w:rsidR="00E42E66" w:rsidRPr="00515DC8">
        <w:rPr>
          <w:lang w:val="en-GB"/>
        </w:rPr>
        <w:t xml:space="preserve"> W</w:t>
      </w:r>
      <w:r w:rsidR="00291D32" w:rsidRPr="00515DC8">
        <w:rPr>
          <w:lang w:val="en-GB"/>
        </w:rPr>
        <w:t>hether meaningful learning</w:t>
      </w:r>
      <w:r w:rsidR="00D559C7" w:rsidRPr="00515DC8">
        <w:rPr>
          <w:lang w:val="en-GB"/>
        </w:rPr>
        <w:t xml:space="preserve"> and</w:t>
      </w:r>
      <w:r w:rsidR="009479BB" w:rsidRPr="00515DC8">
        <w:rPr>
          <w:lang w:val="en-GB"/>
        </w:rPr>
        <w:t xml:space="preserve">, by association, </w:t>
      </w:r>
      <w:r w:rsidR="00D559C7" w:rsidRPr="00515DC8">
        <w:rPr>
          <w:lang w:val="en-GB"/>
        </w:rPr>
        <w:t>the quality of teaching</w:t>
      </w:r>
      <w:r w:rsidR="009479BB" w:rsidRPr="00515DC8">
        <w:rPr>
          <w:lang w:val="en-GB"/>
        </w:rPr>
        <w:t>,</w:t>
      </w:r>
      <w:r w:rsidR="00D559C7" w:rsidRPr="00515DC8">
        <w:rPr>
          <w:lang w:val="en-GB"/>
        </w:rPr>
        <w:t xml:space="preserve"> can be measure</w:t>
      </w:r>
      <w:r w:rsidR="009479BB" w:rsidRPr="00515DC8">
        <w:rPr>
          <w:lang w:val="en-GB"/>
        </w:rPr>
        <w:t xml:space="preserve">d in this way is questionable. </w:t>
      </w:r>
      <w:r w:rsidR="00E42E66" w:rsidRPr="00515DC8">
        <w:rPr>
          <w:lang w:val="en-GB"/>
        </w:rPr>
        <w:t xml:space="preserve"> </w:t>
      </w:r>
      <w:r w:rsidR="00624219" w:rsidRPr="00515DC8">
        <w:rPr>
          <w:lang w:val="en-GB"/>
        </w:rPr>
        <w:t>In attributing gains to students’ experiences of higher educatio</w:t>
      </w:r>
      <w:r w:rsidR="009479BB" w:rsidRPr="00515DC8">
        <w:rPr>
          <w:lang w:val="en-GB"/>
        </w:rPr>
        <w:t>n</w:t>
      </w:r>
      <w:r w:rsidR="00A91790" w:rsidRPr="00515DC8">
        <w:rPr>
          <w:lang w:val="en-GB"/>
        </w:rPr>
        <w:t>,</w:t>
      </w:r>
      <w:r w:rsidR="009479BB" w:rsidRPr="00515DC8">
        <w:rPr>
          <w:lang w:val="en-GB"/>
        </w:rPr>
        <w:t xml:space="preserve"> caution is</w:t>
      </w:r>
      <w:r w:rsidR="00624219" w:rsidRPr="00515DC8">
        <w:rPr>
          <w:lang w:val="en-GB"/>
        </w:rPr>
        <w:t xml:space="preserve"> needed in that </w:t>
      </w:r>
      <w:r w:rsidR="009479BB" w:rsidRPr="00515DC8">
        <w:rPr>
          <w:lang w:val="en-GB"/>
        </w:rPr>
        <w:t xml:space="preserve">HEIs </w:t>
      </w:r>
      <w:r w:rsidR="00CC7647" w:rsidRPr="00515DC8">
        <w:rPr>
          <w:lang w:val="en-GB"/>
        </w:rPr>
        <w:t xml:space="preserve">are not the only drivers of learning gain </w:t>
      </w:r>
      <w:r w:rsidR="00834426" w:rsidRPr="00515DC8">
        <w:rPr>
          <w:lang w:val="en-GB"/>
        </w:rPr>
        <w:t>for</w:t>
      </w:r>
      <w:r w:rsidR="00CC7647" w:rsidRPr="00515DC8">
        <w:rPr>
          <w:lang w:val="en-GB"/>
        </w:rPr>
        <w:t xml:space="preserve"> student</w:t>
      </w:r>
      <w:r w:rsidR="003E5E22" w:rsidRPr="00515DC8">
        <w:rPr>
          <w:lang w:val="en-GB"/>
        </w:rPr>
        <w:t>s</w:t>
      </w:r>
      <w:r w:rsidR="009479BB" w:rsidRPr="00515DC8">
        <w:rPr>
          <w:lang w:val="en-GB"/>
        </w:rPr>
        <w:t>, and indeed</w:t>
      </w:r>
      <w:r w:rsidR="000F6D89" w:rsidRPr="00515DC8">
        <w:rPr>
          <w:lang w:val="en-GB"/>
        </w:rPr>
        <w:t>,</w:t>
      </w:r>
      <w:r w:rsidR="009479BB" w:rsidRPr="00515DC8">
        <w:rPr>
          <w:lang w:val="en-GB"/>
        </w:rPr>
        <w:t xml:space="preserve"> what students want from</w:t>
      </w:r>
      <w:r w:rsidR="00E42E66" w:rsidRPr="00515DC8">
        <w:rPr>
          <w:lang w:val="en-GB"/>
        </w:rPr>
        <w:t xml:space="preserve"> HE</w:t>
      </w:r>
      <w:r w:rsidR="00D67457">
        <w:rPr>
          <w:lang w:val="en-GB"/>
        </w:rPr>
        <w:t>,</w:t>
      </w:r>
      <w:r w:rsidR="009479BB" w:rsidRPr="00515DC8">
        <w:rPr>
          <w:lang w:val="en-GB"/>
        </w:rPr>
        <w:t xml:space="preserve"> and are prepared to </w:t>
      </w:r>
      <w:r w:rsidR="00E42E66" w:rsidRPr="00515DC8">
        <w:rPr>
          <w:lang w:val="en-GB"/>
        </w:rPr>
        <w:t>invest their efforts in</w:t>
      </w:r>
      <w:r w:rsidR="00A91790" w:rsidRPr="00515DC8">
        <w:rPr>
          <w:lang w:val="en-GB"/>
        </w:rPr>
        <w:t>,</w:t>
      </w:r>
      <w:r w:rsidR="009479BB" w:rsidRPr="00515DC8">
        <w:rPr>
          <w:lang w:val="en-GB"/>
        </w:rPr>
        <w:t xml:space="preserve"> are complex issues. </w:t>
      </w:r>
    </w:p>
    <w:p w14:paraId="28F54FC9" w14:textId="77777777" w:rsidR="00EE27F3" w:rsidRPr="00515DC8" w:rsidRDefault="00EE27F3" w:rsidP="001B74D8">
      <w:pPr>
        <w:spacing w:line="480" w:lineRule="auto"/>
        <w:rPr>
          <w:lang w:val="en-GB"/>
        </w:rPr>
      </w:pPr>
    </w:p>
    <w:p w14:paraId="6602A9E9" w14:textId="13FD90D3" w:rsidR="00353F15" w:rsidRPr="00515DC8" w:rsidRDefault="00763D8C" w:rsidP="001B74D8">
      <w:pPr>
        <w:spacing w:line="480" w:lineRule="auto"/>
        <w:rPr>
          <w:lang w:val="en-GB"/>
        </w:rPr>
      </w:pPr>
      <w:r w:rsidRPr="00515DC8">
        <w:rPr>
          <w:lang w:val="en-GB"/>
        </w:rPr>
        <w:t xml:space="preserve">This </w:t>
      </w:r>
      <w:r w:rsidR="007A39F9" w:rsidRPr="00515DC8">
        <w:rPr>
          <w:lang w:val="en-GB"/>
        </w:rPr>
        <w:t>a</w:t>
      </w:r>
      <w:r w:rsidR="00353F15" w:rsidRPr="00515DC8">
        <w:rPr>
          <w:lang w:val="en-GB"/>
        </w:rPr>
        <w:t xml:space="preserve">rticle provides </w:t>
      </w:r>
      <w:bookmarkStart w:id="3" w:name="_Hlk510435022"/>
      <w:r w:rsidR="00353F15" w:rsidRPr="00515DC8">
        <w:rPr>
          <w:lang w:val="en-GB"/>
        </w:rPr>
        <w:t>a comprehensive</w:t>
      </w:r>
      <w:r w:rsidR="007A39F9" w:rsidRPr="00515DC8">
        <w:rPr>
          <w:lang w:val="en-GB"/>
        </w:rPr>
        <w:t xml:space="preserve"> overview of</w:t>
      </w:r>
      <w:r w:rsidRPr="00515DC8">
        <w:rPr>
          <w:lang w:val="en-GB"/>
        </w:rPr>
        <w:t xml:space="preserve"> the development of measures of learning gain</w:t>
      </w:r>
      <w:r w:rsidR="00624219" w:rsidRPr="00515DC8">
        <w:rPr>
          <w:lang w:val="en-GB"/>
        </w:rPr>
        <w:t xml:space="preserve"> in </w:t>
      </w:r>
      <w:r w:rsidR="00320A80" w:rsidRPr="00515DC8">
        <w:rPr>
          <w:lang w:val="en-GB"/>
        </w:rPr>
        <w:t>HE</w:t>
      </w:r>
      <w:r w:rsidRPr="00515DC8">
        <w:rPr>
          <w:lang w:val="en-GB"/>
        </w:rPr>
        <w:t xml:space="preserve">, exploring </w:t>
      </w:r>
      <w:r w:rsidR="00436340" w:rsidRPr="00515DC8">
        <w:rPr>
          <w:lang w:val="en-GB"/>
        </w:rPr>
        <w:t xml:space="preserve">the complex interplay of </w:t>
      </w:r>
      <w:r w:rsidRPr="00515DC8">
        <w:rPr>
          <w:lang w:val="en-GB"/>
        </w:rPr>
        <w:t xml:space="preserve">political contexts, methodological challenges, and the multiple purposes and potential of learning gain metrics for </w:t>
      </w:r>
      <w:r w:rsidR="007A39F9" w:rsidRPr="00515DC8">
        <w:rPr>
          <w:lang w:val="en-GB"/>
        </w:rPr>
        <w:t xml:space="preserve">quality assurance, </w:t>
      </w:r>
      <w:r w:rsidR="00834426" w:rsidRPr="00515DC8">
        <w:rPr>
          <w:lang w:val="en-GB"/>
        </w:rPr>
        <w:t>accountability</w:t>
      </w:r>
      <w:r w:rsidR="00AB066E" w:rsidRPr="00515DC8">
        <w:rPr>
          <w:lang w:val="en-GB"/>
        </w:rPr>
        <w:t>,</w:t>
      </w:r>
      <w:r w:rsidR="00834426" w:rsidRPr="00515DC8">
        <w:rPr>
          <w:lang w:val="en-GB"/>
        </w:rPr>
        <w:t xml:space="preserve"> </w:t>
      </w:r>
      <w:r w:rsidR="007A39F9" w:rsidRPr="00515DC8">
        <w:rPr>
          <w:lang w:val="en-GB"/>
        </w:rPr>
        <w:t>and</w:t>
      </w:r>
      <w:bookmarkEnd w:id="3"/>
      <w:r w:rsidR="001801F4" w:rsidRPr="00515DC8">
        <w:rPr>
          <w:lang w:val="en-GB"/>
        </w:rPr>
        <w:t xml:space="preserve"> </w:t>
      </w:r>
      <w:r w:rsidR="003E5E22" w:rsidRPr="00515DC8">
        <w:rPr>
          <w:lang w:val="en-GB"/>
        </w:rPr>
        <w:t xml:space="preserve">the </w:t>
      </w:r>
      <w:r w:rsidR="001801F4" w:rsidRPr="00515DC8">
        <w:rPr>
          <w:lang w:val="en-GB"/>
        </w:rPr>
        <w:t>enhancement</w:t>
      </w:r>
      <w:r w:rsidR="003E5E22" w:rsidRPr="00515DC8">
        <w:rPr>
          <w:lang w:val="en-GB"/>
        </w:rPr>
        <w:t xml:space="preserve"> of learning and teaching</w:t>
      </w:r>
      <w:r w:rsidR="004641AF">
        <w:rPr>
          <w:lang w:val="en-GB"/>
        </w:rPr>
        <w:t xml:space="preserve">. </w:t>
      </w:r>
      <w:r w:rsidR="00624219" w:rsidRPr="00515DC8">
        <w:rPr>
          <w:lang w:val="en-GB"/>
        </w:rPr>
        <w:t xml:space="preserve">Key imperatives in moving forward with learning gain initiatives </w:t>
      </w:r>
      <w:r w:rsidR="0033337A" w:rsidRPr="00515DC8">
        <w:rPr>
          <w:lang w:val="en-GB"/>
        </w:rPr>
        <w:t>are</w:t>
      </w:r>
      <w:r w:rsidR="00624219" w:rsidRPr="00515DC8">
        <w:rPr>
          <w:lang w:val="en-GB"/>
        </w:rPr>
        <w:t xml:space="preserve"> highlighted drawing on </w:t>
      </w:r>
      <w:r w:rsidR="00353F15" w:rsidRPr="00515DC8">
        <w:rPr>
          <w:lang w:val="en-GB"/>
        </w:rPr>
        <w:t xml:space="preserve">international </w:t>
      </w:r>
      <w:r w:rsidR="00624219" w:rsidRPr="00515DC8">
        <w:rPr>
          <w:lang w:val="en-GB"/>
        </w:rPr>
        <w:t>research evidence, and findings from specific initiatives to include HEFCE</w:t>
      </w:r>
      <w:r w:rsidR="00AE6B73" w:rsidRPr="00515DC8">
        <w:rPr>
          <w:lang w:val="en-GB"/>
        </w:rPr>
        <w:t>/OfS</w:t>
      </w:r>
      <w:r w:rsidR="00624219" w:rsidRPr="00515DC8">
        <w:rPr>
          <w:lang w:val="en-GB"/>
        </w:rPr>
        <w:t>-funded</w:t>
      </w:r>
      <w:r w:rsidR="00353F15" w:rsidRPr="00515DC8">
        <w:rPr>
          <w:lang w:val="en-GB"/>
        </w:rPr>
        <w:t xml:space="preserve"> (2015-2018)</w:t>
      </w:r>
      <w:r w:rsidR="00624219" w:rsidRPr="00515DC8">
        <w:rPr>
          <w:lang w:val="en-GB"/>
        </w:rPr>
        <w:t xml:space="preserve"> </w:t>
      </w:r>
      <w:r w:rsidR="00454F2E" w:rsidRPr="00515DC8">
        <w:rPr>
          <w:lang w:val="en-GB"/>
        </w:rPr>
        <w:t xml:space="preserve">pilot </w:t>
      </w:r>
      <w:r w:rsidR="00624219" w:rsidRPr="00515DC8">
        <w:rPr>
          <w:lang w:val="en-GB"/>
        </w:rPr>
        <w:t>learning gain projects in England</w:t>
      </w:r>
      <w:r w:rsidR="00353F15" w:rsidRPr="00515DC8">
        <w:rPr>
          <w:lang w:val="en-GB"/>
        </w:rPr>
        <w:t xml:space="preserve"> involving over 70 HEIs</w:t>
      </w:r>
      <w:r w:rsidR="009479BB" w:rsidRPr="00515DC8">
        <w:rPr>
          <w:lang w:val="en-GB"/>
        </w:rPr>
        <w:t xml:space="preserve">, </w:t>
      </w:r>
      <w:r w:rsidR="001D1DE0" w:rsidRPr="00515DC8">
        <w:rPr>
          <w:lang w:val="en-GB"/>
        </w:rPr>
        <w:t>selected examples of which are</w:t>
      </w:r>
      <w:r w:rsidR="009479BB" w:rsidRPr="00515DC8">
        <w:rPr>
          <w:lang w:val="en-GB"/>
        </w:rPr>
        <w:t xml:space="preserve"> featured in the </w:t>
      </w:r>
      <w:r w:rsidR="009479BB" w:rsidRPr="00515DC8">
        <w:rPr>
          <w:i/>
          <w:lang w:val="en-GB"/>
        </w:rPr>
        <w:t xml:space="preserve">Higher Education Pedagogies </w:t>
      </w:r>
      <w:r w:rsidR="001D1DE0" w:rsidRPr="00515DC8">
        <w:rPr>
          <w:i/>
          <w:lang w:val="en-GB"/>
        </w:rPr>
        <w:t xml:space="preserve">Learning Gain </w:t>
      </w:r>
      <w:r w:rsidR="009479BB" w:rsidRPr="00515DC8">
        <w:rPr>
          <w:i/>
          <w:lang w:val="en-GB"/>
        </w:rPr>
        <w:t>Special Issue 2018</w:t>
      </w:r>
      <w:r w:rsidR="001D1DE0" w:rsidRPr="00515DC8">
        <w:rPr>
          <w:i/>
          <w:lang w:val="en-GB"/>
        </w:rPr>
        <w:t xml:space="preserve"> </w:t>
      </w:r>
      <w:r w:rsidR="001D1DE0" w:rsidRPr="00515DC8">
        <w:rPr>
          <w:lang w:val="en-GB"/>
        </w:rPr>
        <w:t>(identified in italics throughout this article)</w:t>
      </w:r>
      <w:r w:rsidR="00624219" w:rsidRPr="00515DC8">
        <w:rPr>
          <w:lang w:val="en-GB"/>
        </w:rPr>
        <w:t xml:space="preserve">.  </w:t>
      </w:r>
    </w:p>
    <w:p w14:paraId="62776883" w14:textId="77777777" w:rsidR="002B0270" w:rsidRPr="00515DC8" w:rsidRDefault="002B0270" w:rsidP="001B74D8">
      <w:pPr>
        <w:spacing w:line="480" w:lineRule="auto"/>
        <w:rPr>
          <w:lang w:val="en-GB"/>
        </w:rPr>
      </w:pPr>
    </w:p>
    <w:p w14:paraId="4BA1AB67" w14:textId="27A7B53B" w:rsidR="003E5E22" w:rsidRPr="00515DC8" w:rsidRDefault="002B0270" w:rsidP="001B74D8">
      <w:pPr>
        <w:spacing w:line="480" w:lineRule="auto"/>
        <w:rPr>
          <w:lang w:val="en-GB"/>
        </w:rPr>
      </w:pPr>
      <w:r w:rsidRPr="00515DC8">
        <w:rPr>
          <w:lang w:val="en-GB"/>
        </w:rPr>
        <w:t>Our goal is to provide researchers with an overview of best practice with the purpose of fostering rigorous research which is both relevant to learning gain and ethical in nature. Importa</w:t>
      </w:r>
      <w:r w:rsidR="00AB066E" w:rsidRPr="00515DC8">
        <w:rPr>
          <w:lang w:val="en-GB"/>
        </w:rPr>
        <w:t>nt decisions are taken based on</w:t>
      </w:r>
      <w:r w:rsidRPr="00515DC8">
        <w:rPr>
          <w:lang w:val="en-GB"/>
        </w:rPr>
        <w:t xml:space="preserve"> research findings</w:t>
      </w:r>
      <w:r w:rsidR="00FE172E" w:rsidRPr="00515DC8">
        <w:rPr>
          <w:lang w:val="en-GB"/>
        </w:rPr>
        <w:t>:</w:t>
      </w:r>
      <w:r w:rsidRPr="00515DC8">
        <w:rPr>
          <w:lang w:val="en-GB"/>
        </w:rPr>
        <w:t xml:space="preserve"> results influence government policy decisions, the targeting of scarce resources, educational strategy, technological advances</w:t>
      </w:r>
      <w:r w:rsidR="00AB066E" w:rsidRPr="00515DC8">
        <w:rPr>
          <w:lang w:val="en-GB"/>
        </w:rPr>
        <w:t>,</w:t>
      </w:r>
      <w:r w:rsidRPr="00515DC8">
        <w:rPr>
          <w:lang w:val="en-GB"/>
        </w:rPr>
        <w:t xml:space="preserve"> and decisions about practice.  Understanding how research has been conducted and what was discovered supports better evidence-based decision making.  Transparency over the strengths and weaknesses of studies and how rigorously they have been conducted, enables the selection of the best available evidence, </w:t>
      </w:r>
      <w:r w:rsidR="00291D32" w:rsidRPr="00515DC8">
        <w:rPr>
          <w:lang w:val="en-GB"/>
        </w:rPr>
        <w:t>improving the inferences policy</w:t>
      </w:r>
      <w:r w:rsidRPr="00515DC8">
        <w:rPr>
          <w:lang w:val="en-GB"/>
        </w:rPr>
        <w:t>makers can derive from findings</w:t>
      </w:r>
      <w:r w:rsidR="00AB6A32" w:rsidRPr="00515DC8">
        <w:rPr>
          <w:lang w:val="en-GB"/>
        </w:rPr>
        <w:t>,</w:t>
      </w:r>
      <w:r w:rsidRPr="00515DC8">
        <w:rPr>
          <w:lang w:val="en-GB"/>
        </w:rPr>
        <w:t xml:space="preserve"> and thus improving accountability in decision making.  Such clarity gives data relevance in the future</w:t>
      </w:r>
      <w:r w:rsidR="00E838A5" w:rsidRPr="00515DC8">
        <w:rPr>
          <w:lang w:val="en-GB"/>
        </w:rPr>
        <w:t>,</w:t>
      </w:r>
      <w:r w:rsidRPr="00515DC8">
        <w:rPr>
          <w:lang w:val="en-GB"/>
        </w:rPr>
        <w:t xml:space="preserve"> supporting the next researcher to synthesise large bodies of research through methods such as meta-analysis (Dawson &amp; Dawson, 2016).  </w:t>
      </w:r>
    </w:p>
    <w:p w14:paraId="48462998" w14:textId="77777777" w:rsidR="002B0270" w:rsidRPr="00515DC8" w:rsidRDefault="002B0270" w:rsidP="001B74D8">
      <w:pPr>
        <w:spacing w:line="480" w:lineRule="auto"/>
        <w:rPr>
          <w:lang w:val="en-GB"/>
        </w:rPr>
      </w:pPr>
    </w:p>
    <w:p w14:paraId="3A92C6DD" w14:textId="1890F4DE" w:rsidR="003E5E22" w:rsidRPr="00515DC8" w:rsidRDefault="00AB066E" w:rsidP="001B74D8">
      <w:pPr>
        <w:spacing w:line="480" w:lineRule="auto"/>
        <w:rPr>
          <w:sz w:val="28"/>
          <w:szCs w:val="28"/>
          <w:lang w:val="en-GB"/>
        </w:rPr>
      </w:pPr>
      <w:r w:rsidRPr="00515DC8">
        <w:rPr>
          <w:lang w:val="en-GB"/>
        </w:rPr>
        <w:t xml:space="preserve">To attend to the brief outlined above, this </w:t>
      </w:r>
      <w:r w:rsidR="003E5E22" w:rsidRPr="00515DC8">
        <w:rPr>
          <w:lang w:val="en-GB"/>
        </w:rPr>
        <w:t>article is organised in</w:t>
      </w:r>
      <w:r w:rsidR="00291D32" w:rsidRPr="00515DC8">
        <w:rPr>
          <w:lang w:val="en-GB"/>
        </w:rPr>
        <w:t>to</w:t>
      </w:r>
      <w:r w:rsidR="003E5E22" w:rsidRPr="00515DC8">
        <w:rPr>
          <w:lang w:val="en-GB"/>
        </w:rPr>
        <w:t xml:space="preserve"> three parts. In part </w:t>
      </w:r>
      <w:r w:rsidR="00772F0A" w:rsidRPr="00515DC8">
        <w:rPr>
          <w:lang w:val="en-GB"/>
        </w:rPr>
        <w:t>one</w:t>
      </w:r>
      <w:r w:rsidR="003E5E22" w:rsidRPr="00515DC8">
        <w:rPr>
          <w:lang w:val="en-GB"/>
        </w:rPr>
        <w:t xml:space="preserve">, we </w:t>
      </w:r>
      <w:r w:rsidRPr="00515DC8">
        <w:rPr>
          <w:lang w:val="en-GB"/>
        </w:rPr>
        <w:t xml:space="preserve">provide an overview of the development of learning gain, </w:t>
      </w:r>
      <w:r w:rsidR="003E5E22" w:rsidRPr="00515DC8">
        <w:rPr>
          <w:lang w:val="en-GB"/>
        </w:rPr>
        <w:t>consider</w:t>
      </w:r>
      <w:r w:rsidRPr="00515DC8">
        <w:rPr>
          <w:lang w:val="en-GB"/>
        </w:rPr>
        <w:t>ing</w:t>
      </w:r>
      <w:r w:rsidR="003E5E22" w:rsidRPr="00515DC8">
        <w:rPr>
          <w:lang w:val="en-GB"/>
        </w:rPr>
        <w:t xml:space="preserve"> a range of conceptualisations, and approaches to th</w:t>
      </w:r>
      <w:r w:rsidRPr="00515DC8">
        <w:rPr>
          <w:lang w:val="en-GB"/>
        </w:rPr>
        <w:t>e measurement of it</w:t>
      </w:r>
      <w:r w:rsidR="00AB6A32" w:rsidRPr="00515DC8">
        <w:rPr>
          <w:lang w:val="en-GB"/>
        </w:rPr>
        <w:t>,</w:t>
      </w:r>
      <w:r w:rsidR="003E5E22" w:rsidRPr="00515DC8">
        <w:rPr>
          <w:lang w:val="en-GB"/>
        </w:rPr>
        <w:t xml:space="preserve"> and provide a background to the political and historical context in which the development of learning gain measures is taking place in UK HE and elsewhere.</w:t>
      </w:r>
      <w:r w:rsidR="00E2278A" w:rsidRPr="00515DC8">
        <w:rPr>
          <w:lang w:val="en-GB"/>
        </w:rPr>
        <w:t xml:space="preserve"> </w:t>
      </w:r>
      <w:r w:rsidR="003E5E22" w:rsidRPr="00515DC8">
        <w:rPr>
          <w:lang w:val="en-GB"/>
        </w:rPr>
        <w:t xml:space="preserve"> In part </w:t>
      </w:r>
      <w:r w:rsidR="00772F0A" w:rsidRPr="00515DC8">
        <w:rPr>
          <w:lang w:val="en-GB"/>
        </w:rPr>
        <w:t>two</w:t>
      </w:r>
      <w:r w:rsidR="003E5E22" w:rsidRPr="00515DC8">
        <w:rPr>
          <w:lang w:val="en-GB"/>
        </w:rPr>
        <w:t xml:space="preserve"> we offer a critique of the methods used to investigate measures of learning gain and suggest principles by which future research into the area can be conducted to ensure due rigour. We conclude in part </w:t>
      </w:r>
      <w:r w:rsidR="00772F0A" w:rsidRPr="00515DC8">
        <w:rPr>
          <w:lang w:val="en-GB"/>
        </w:rPr>
        <w:t>three</w:t>
      </w:r>
      <w:r w:rsidR="003E5E22" w:rsidRPr="00515DC8">
        <w:rPr>
          <w:lang w:val="en-GB"/>
        </w:rPr>
        <w:t xml:space="preserve"> with a consideration of the pedagogical imperative of learning gain measurement</w:t>
      </w:r>
      <w:r w:rsidR="00D67457">
        <w:rPr>
          <w:lang w:val="en-GB"/>
        </w:rPr>
        <w:t>,</w:t>
      </w:r>
      <w:r w:rsidR="003E5E22" w:rsidRPr="00515DC8">
        <w:rPr>
          <w:lang w:val="en-GB"/>
        </w:rPr>
        <w:t xml:space="preserve"> and argue for the integration of learning gain approaches into the curriculum</w:t>
      </w:r>
      <w:r w:rsidR="003E5E22" w:rsidRPr="00515DC8">
        <w:rPr>
          <w:sz w:val="28"/>
          <w:szCs w:val="28"/>
          <w:lang w:val="en-GB"/>
        </w:rPr>
        <w:t xml:space="preserve">.  </w:t>
      </w:r>
    </w:p>
    <w:p w14:paraId="3F55B023" w14:textId="77777777" w:rsidR="003E5E22" w:rsidRPr="00515DC8" w:rsidRDefault="003E5E22" w:rsidP="001B74D8">
      <w:pPr>
        <w:spacing w:line="480" w:lineRule="auto"/>
        <w:rPr>
          <w:lang w:val="en-GB"/>
        </w:rPr>
      </w:pPr>
    </w:p>
    <w:p w14:paraId="2FA99142" w14:textId="62F40A12" w:rsidR="00AB066E" w:rsidRPr="00515DC8" w:rsidRDefault="00AB066E" w:rsidP="00404D06">
      <w:pPr>
        <w:spacing w:line="480" w:lineRule="auto"/>
        <w:outlineLvl w:val="0"/>
        <w:rPr>
          <w:b/>
          <w:lang w:val="en-GB"/>
        </w:rPr>
      </w:pPr>
      <w:r w:rsidRPr="00515DC8">
        <w:rPr>
          <w:b/>
          <w:lang w:val="en-GB"/>
        </w:rPr>
        <w:t xml:space="preserve">Part </w:t>
      </w:r>
      <w:r w:rsidR="00D71ADD" w:rsidRPr="00515DC8">
        <w:rPr>
          <w:b/>
          <w:lang w:val="en-GB"/>
        </w:rPr>
        <w:t>one</w:t>
      </w:r>
      <w:r w:rsidRPr="00515DC8">
        <w:rPr>
          <w:b/>
          <w:lang w:val="en-GB"/>
        </w:rPr>
        <w:t>: Learning gain developments</w:t>
      </w:r>
    </w:p>
    <w:p w14:paraId="32981ABD" w14:textId="17366859" w:rsidR="0007366C" w:rsidRPr="00515DC8" w:rsidRDefault="001D1DE0" w:rsidP="00404D06">
      <w:pPr>
        <w:spacing w:line="480" w:lineRule="auto"/>
        <w:outlineLvl w:val="0"/>
        <w:rPr>
          <w:i/>
          <w:lang w:val="en-GB"/>
        </w:rPr>
      </w:pPr>
      <w:r w:rsidRPr="00515DC8">
        <w:rPr>
          <w:b/>
          <w:i/>
          <w:lang w:val="en-GB"/>
        </w:rPr>
        <w:t xml:space="preserve">What is learning gain? </w:t>
      </w:r>
    </w:p>
    <w:p w14:paraId="55530C73" w14:textId="530B57D3" w:rsidR="003E5E22" w:rsidRPr="00515DC8" w:rsidRDefault="00F707FE" w:rsidP="001B74D8">
      <w:pPr>
        <w:spacing w:line="480" w:lineRule="auto"/>
        <w:rPr>
          <w:lang w:val="en-GB"/>
        </w:rPr>
      </w:pPr>
      <w:r w:rsidRPr="00515DC8">
        <w:rPr>
          <w:lang w:val="en-GB"/>
        </w:rPr>
        <w:t>Across different countries, discussions about learning outcomes, learning competencies, graduate attributes</w:t>
      </w:r>
      <w:r w:rsidR="00D41532" w:rsidRPr="00515DC8">
        <w:rPr>
          <w:lang w:val="en-GB"/>
        </w:rPr>
        <w:t>,</w:t>
      </w:r>
      <w:r w:rsidRPr="00515DC8">
        <w:rPr>
          <w:lang w:val="en-GB"/>
        </w:rPr>
        <w:t xml:space="preserve"> and employability are </w:t>
      </w:r>
      <w:r w:rsidR="00C53900" w:rsidRPr="00515DC8">
        <w:rPr>
          <w:lang w:val="en-GB"/>
        </w:rPr>
        <w:t>often</w:t>
      </w:r>
      <w:r w:rsidRPr="00515DC8">
        <w:rPr>
          <w:lang w:val="en-GB"/>
        </w:rPr>
        <w:t xml:space="preserve"> </w:t>
      </w:r>
      <w:r w:rsidR="0099094E" w:rsidRPr="00515DC8">
        <w:rPr>
          <w:lang w:val="en-GB"/>
        </w:rPr>
        <w:t xml:space="preserve">considered to be </w:t>
      </w:r>
      <w:r w:rsidRPr="00515DC8">
        <w:rPr>
          <w:lang w:val="en-GB"/>
        </w:rPr>
        <w:t xml:space="preserve">synonymous with learning gain. </w:t>
      </w:r>
      <w:r w:rsidR="0099094E" w:rsidRPr="00515DC8">
        <w:rPr>
          <w:lang w:val="en-GB"/>
        </w:rPr>
        <w:t xml:space="preserve"> </w:t>
      </w:r>
      <w:r w:rsidR="00AB09D8" w:rsidRPr="00515DC8">
        <w:rPr>
          <w:lang w:val="en-GB"/>
        </w:rPr>
        <w:t>D</w:t>
      </w:r>
      <w:r w:rsidR="0007366C" w:rsidRPr="00515DC8">
        <w:rPr>
          <w:lang w:val="en-GB"/>
        </w:rPr>
        <w:t>ebate</w:t>
      </w:r>
      <w:r w:rsidR="00AB09D8" w:rsidRPr="00515DC8">
        <w:rPr>
          <w:lang w:val="en-GB"/>
        </w:rPr>
        <w:t>s</w:t>
      </w:r>
      <w:r w:rsidR="0007366C" w:rsidRPr="00515DC8">
        <w:rPr>
          <w:lang w:val="en-GB"/>
        </w:rPr>
        <w:t xml:space="preserve"> about </w:t>
      </w:r>
      <w:r w:rsidR="00AB09D8" w:rsidRPr="00515DC8">
        <w:rPr>
          <w:lang w:val="en-GB"/>
        </w:rPr>
        <w:t xml:space="preserve">measuring </w:t>
      </w:r>
      <w:r w:rsidR="0007366C" w:rsidRPr="00515DC8">
        <w:rPr>
          <w:lang w:val="en-GB"/>
        </w:rPr>
        <w:t xml:space="preserve">learning gain </w:t>
      </w:r>
      <w:r w:rsidR="00AB09D8" w:rsidRPr="00515DC8">
        <w:rPr>
          <w:lang w:val="en-GB"/>
        </w:rPr>
        <w:t>are fuelled by</w:t>
      </w:r>
      <w:r w:rsidR="0007366C" w:rsidRPr="00515DC8">
        <w:rPr>
          <w:lang w:val="en-GB"/>
        </w:rPr>
        <w:t xml:space="preserve"> the </w:t>
      </w:r>
      <w:bookmarkStart w:id="4" w:name="_Hlk510435074"/>
      <w:r w:rsidR="0007366C" w:rsidRPr="00515DC8">
        <w:rPr>
          <w:lang w:val="en-GB"/>
        </w:rPr>
        <w:t xml:space="preserve">lack of </w:t>
      </w:r>
      <w:r w:rsidR="00AB09D8" w:rsidRPr="00515DC8">
        <w:rPr>
          <w:lang w:val="en-GB"/>
        </w:rPr>
        <w:t>consensus of what</w:t>
      </w:r>
      <w:r w:rsidR="00AB6A32" w:rsidRPr="00515DC8">
        <w:rPr>
          <w:lang w:val="en-GB"/>
        </w:rPr>
        <w:t xml:space="preserve"> </w:t>
      </w:r>
      <w:r w:rsidR="00AB09D8" w:rsidRPr="00515DC8">
        <w:rPr>
          <w:lang w:val="en-GB"/>
        </w:rPr>
        <w:t>learning gain</w:t>
      </w:r>
      <w:r w:rsidR="00AB6A32" w:rsidRPr="00515DC8">
        <w:rPr>
          <w:lang w:val="en-GB"/>
        </w:rPr>
        <w:t xml:space="preserve"> is</w:t>
      </w:r>
      <w:r w:rsidR="00834426" w:rsidRPr="00515DC8">
        <w:rPr>
          <w:lang w:val="en-GB"/>
        </w:rPr>
        <w:t>,</w:t>
      </w:r>
      <w:r w:rsidRPr="00515DC8">
        <w:rPr>
          <w:lang w:val="en-GB"/>
        </w:rPr>
        <w:t xml:space="preserve"> the varied purposes of learning gain measures, </w:t>
      </w:r>
      <w:r w:rsidR="00834426" w:rsidRPr="00515DC8">
        <w:rPr>
          <w:lang w:val="en-GB"/>
        </w:rPr>
        <w:t xml:space="preserve">and </w:t>
      </w:r>
      <w:r w:rsidRPr="00515DC8">
        <w:rPr>
          <w:lang w:val="en-GB"/>
        </w:rPr>
        <w:t xml:space="preserve">the intended </w:t>
      </w:r>
      <w:r w:rsidR="00DC5533" w:rsidRPr="00515DC8">
        <w:rPr>
          <w:lang w:val="en-GB"/>
        </w:rPr>
        <w:t>stakeholders</w:t>
      </w:r>
      <w:r w:rsidR="00D67457">
        <w:rPr>
          <w:lang w:val="en-GB"/>
        </w:rPr>
        <w:t>: -w</w:t>
      </w:r>
      <w:r w:rsidR="00834426" w:rsidRPr="00515DC8">
        <w:rPr>
          <w:lang w:val="en-GB"/>
        </w:rPr>
        <w:t>ho</w:t>
      </w:r>
      <w:r w:rsidR="00D67457">
        <w:rPr>
          <w:lang w:val="en-GB"/>
        </w:rPr>
        <w:t xml:space="preserve"> it is for, w</w:t>
      </w:r>
      <w:r w:rsidRPr="00515DC8">
        <w:rPr>
          <w:lang w:val="en-GB"/>
        </w:rPr>
        <w:t>hat is measured</w:t>
      </w:r>
      <w:r w:rsidR="00AB6A32" w:rsidRPr="00515DC8">
        <w:rPr>
          <w:lang w:val="en-GB"/>
        </w:rPr>
        <w:t>,</w:t>
      </w:r>
      <w:r w:rsidRPr="00515DC8">
        <w:rPr>
          <w:lang w:val="en-GB"/>
        </w:rPr>
        <w:t xml:space="preserve"> and how</w:t>
      </w:r>
      <w:r w:rsidR="00834426" w:rsidRPr="00515DC8">
        <w:rPr>
          <w:lang w:val="en-GB"/>
        </w:rPr>
        <w:t xml:space="preserve"> can it be done</w:t>
      </w:r>
      <w:r w:rsidRPr="00515DC8">
        <w:rPr>
          <w:lang w:val="en-GB"/>
        </w:rPr>
        <w:t xml:space="preserve">. </w:t>
      </w:r>
      <w:r w:rsidR="003E5E22" w:rsidRPr="00515DC8">
        <w:rPr>
          <w:lang w:val="en-GB"/>
        </w:rPr>
        <w:t xml:space="preserve">This is confounded by the different terms used to describe learning gain that can mean the same and/or different things. Varied emphases in learning gain definitions revolve around </w:t>
      </w:r>
      <w:r w:rsidR="00E2278A" w:rsidRPr="00515DC8">
        <w:rPr>
          <w:lang w:val="en-GB"/>
        </w:rPr>
        <w:t>several</w:t>
      </w:r>
      <w:r w:rsidR="003E5E22" w:rsidRPr="00515DC8">
        <w:rPr>
          <w:lang w:val="en-GB"/>
        </w:rPr>
        <w:t xml:space="preserve"> key dimensions, and combinations</w:t>
      </w:r>
      <w:r w:rsidR="00DC5533" w:rsidRPr="00515DC8">
        <w:rPr>
          <w:lang w:val="en-GB"/>
        </w:rPr>
        <w:t xml:space="preserve"> thereof,</w:t>
      </w:r>
      <w:r w:rsidR="003E5E22" w:rsidRPr="00515DC8">
        <w:rPr>
          <w:lang w:val="en-GB"/>
        </w:rPr>
        <w:t xml:space="preserve"> such as distance travelled, value-added, specific and overall attainment. </w:t>
      </w:r>
    </w:p>
    <w:p w14:paraId="32FE0BB0" w14:textId="77777777" w:rsidR="003E5E22" w:rsidRPr="00515DC8" w:rsidRDefault="003E5E22" w:rsidP="001B74D8">
      <w:pPr>
        <w:spacing w:line="480" w:lineRule="auto"/>
        <w:rPr>
          <w:lang w:val="en-GB"/>
        </w:rPr>
      </w:pPr>
    </w:p>
    <w:bookmarkEnd w:id="4"/>
    <w:p w14:paraId="270DB495" w14:textId="622E0FA2" w:rsidR="00AB066E" w:rsidRDefault="00F31727" w:rsidP="001B74D8">
      <w:pPr>
        <w:spacing w:line="480" w:lineRule="auto"/>
        <w:rPr>
          <w:lang w:val="en-GB"/>
        </w:rPr>
      </w:pPr>
      <w:r w:rsidRPr="00515DC8">
        <w:rPr>
          <w:lang w:val="en-GB"/>
        </w:rPr>
        <w:t>T</w:t>
      </w:r>
      <w:r w:rsidR="00834426" w:rsidRPr="00515DC8">
        <w:rPr>
          <w:lang w:val="en-GB"/>
        </w:rPr>
        <w:t xml:space="preserve">his article explores the theoretical tensions and practical challenges </w:t>
      </w:r>
      <w:r w:rsidR="00A845D7" w:rsidRPr="00515DC8">
        <w:rPr>
          <w:lang w:val="en-GB"/>
        </w:rPr>
        <w:t>of these</w:t>
      </w:r>
      <w:r w:rsidRPr="00515DC8">
        <w:rPr>
          <w:lang w:val="en-GB"/>
        </w:rPr>
        <w:t xml:space="preserve"> dimensions, </w:t>
      </w:r>
      <w:r w:rsidR="00DC5533" w:rsidRPr="00515DC8">
        <w:rPr>
          <w:lang w:val="en-GB"/>
        </w:rPr>
        <w:t>captured in Figure 1. These include</w:t>
      </w:r>
      <w:r w:rsidR="00436340" w:rsidRPr="00515DC8">
        <w:rPr>
          <w:lang w:val="en-GB"/>
        </w:rPr>
        <w:t xml:space="preserve"> consideration of </w:t>
      </w:r>
      <w:r w:rsidR="00436340" w:rsidRPr="00515DC8">
        <w:rPr>
          <w:i/>
          <w:lang w:val="en-GB"/>
        </w:rPr>
        <w:t>what</w:t>
      </w:r>
      <w:r w:rsidR="00436340" w:rsidRPr="00515DC8">
        <w:rPr>
          <w:lang w:val="en-GB"/>
        </w:rPr>
        <w:t xml:space="preserve"> to measure, and whether this is based on </w:t>
      </w:r>
      <w:r w:rsidRPr="00515DC8">
        <w:rPr>
          <w:lang w:val="en-GB"/>
        </w:rPr>
        <w:t xml:space="preserve">a </w:t>
      </w:r>
      <w:r w:rsidR="00A845D7" w:rsidRPr="00515DC8">
        <w:rPr>
          <w:lang w:val="en-GB"/>
        </w:rPr>
        <w:t xml:space="preserve">holistic view of learning </w:t>
      </w:r>
      <w:r w:rsidRPr="00515DC8">
        <w:rPr>
          <w:i/>
          <w:lang w:val="en-GB"/>
        </w:rPr>
        <w:t>versus</w:t>
      </w:r>
      <w:r w:rsidRPr="00515DC8">
        <w:rPr>
          <w:lang w:val="en-GB"/>
        </w:rPr>
        <w:t xml:space="preserve"> </w:t>
      </w:r>
      <w:r w:rsidR="00DC5533" w:rsidRPr="00515DC8">
        <w:rPr>
          <w:lang w:val="en-GB"/>
        </w:rPr>
        <w:t xml:space="preserve">one </w:t>
      </w:r>
      <w:r w:rsidR="00A845D7" w:rsidRPr="00515DC8">
        <w:rPr>
          <w:lang w:val="en-GB"/>
        </w:rPr>
        <w:t>focused on  specific competencies</w:t>
      </w:r>
      <w:r w:rsidR="003F65E6" w:rsidRPr="00515DC8">
        <w:rPr>
          <w:lang w:val="en-GB"/>
        </w:rPr>
        <w:t>,</w:t>
      </w:r>
      <w:r w:rsidR="00A845D7" w:rsidRPr="00515DC8">
        <w:rPr>
          <w:lang w:val="en-GB"/>
        </w:rPr>
        <w:t xml:space="preserve"> </w:t>
      </w:r>
      <w:r w:rsidR="00436340" w:rsidRPr="00515DC8">
        <w:rPr>
          <w:lang w:val="en-GB"/>
        </w:rPr>
        <w:t xml:space="preserve">generalised gain </w:t>
      </w:r>
      <w:r w:rsidR="00436340" w:rsidRPr="00515DC8">
        <w:rPr>
          <w:i/>
          <w:lang w:val="en-GB"/>
        </w:rPr>
        <w:t>versus</w:t>
      </w:r>
      <w:r w:rsidR="003F65E6" w:rsidRPr="00515DC8">
        <w:rPr>
          <w:lang w:val="en-GB"/>
        </w:rPr>
        <w:t xml:space="preserve"> attainment in specific tasks,</w:t>
      </w:r>
      <w:r w:rsidR="00436340" w:rsidRPr="00515DC8">
        <w:rPr>
          <w:lang w:val="en-GB"/>
        </w:rPr>
        <w:t xml:space="preserve"> acquisition of knowledge and understanding </w:t>
      </w:r>
      <w:r w:rsidR="00436340" w:rsidRPr="00515DC8">
        <w:rPr>
          <w:i/>
          <w:lang w:val="en-GB"/>
        </w:rPr>
        <w:t>versus</w:t>
      </w:r>
      <w:r w:rsidR="003F65E6" w:rsidRPr="00515DC8">
        <w:rPr>
          <w:lang w:val="en-GB"/>
        </w:rPr>
        <w:t xml:space="preserve"> application of the same,</w:t>
      </w:r>
      <w:r w:rsidR="00436340" w:rsidRPr="00515DC8">
        <w:rPr>
          <w:lang w:val="en-GB"/>
        </w:rPr>
        <w:t xml:space="preserve"> </w:t>
      </w:r>
      <w:r w:rsidR="00A845D7" w:rsidRPr="00515DC8">
        <w:rPr>
          <w:lang w:val="en-GB"/>
        </w:rPr>
        <w:t xml:space="preserve">academic </w:t>
      </w:r>
      <w:r w:rsidRPr="00515DC8">
        <w:rPr>
          <w:i/>
          <w:lang w:val="en-GB"/>
        </w:rPr>
        <w:t>versus</w:t>
      </w:r>
      <w:r w:rsidRPr="00515DC8">
        <w:rPr>
          <w:lang w:val="en-GB"/>
        </w:rPr>
        <w:t xml:space="preserve"> </w:t>
      </w:r>
      <w:r w:rsidR="00A845D7" w:rsidRPr="00515DC8">
        <w:rPr>
          <w:lang w:val="en-GB"/>
        </w:rPr>
        <w:t>broader social skills including preparation for employment;</w:t>
      </w:r>
      <w:r w:rsidR="00A845D7" w:rsidRPr="00515DC8">
        <w:rPr>
          <w:i/>
          <w:lang w:val="en-GB"/>
        </w:rPr>
        <w:t xml:space="preserve"> </w:t>
      </w:r>
      <w:r w:rsidR="003F65E6" w:rsidRPr="00515DC8">
        <w:rPr>
          <w:i/>
          <w:lang w:val="en-GB"/>
        </w:rPr>
        <w:t>how</w:t>
      </w:r>
      <w:r w:rsidR="003F65E6" w:rsidRPr="00515DC8">
        <w:rPr>
          <w:lang w:val="en-GB"/>
        </w:rPr>
        <w:t xml:space="preserve"> to measure learning gain: methods and instruments, </w:t>
      </w:r>
      <w:r w:rsidR="00A845D7" w:rsidRPr="00515DC8">
        <w:rPr>
          <w:lang w:val="en-GB"/>
        </w:rPr>
        <w:t xml:space="preserve">measurement between points in time as opposed to predictive </w:t>
      </w:r>
      <w:r w:rsidR="00DC5533" w:rsidRPr="00515DC8">
        <w:rPr>
          <w:lang w:val="en-GB"/>
        </w:rPr>
        <w:t xml:space="preserve">measures </w:t>
      </w:r>
      <w:r w:rsidR="00A845D7" w:rsidRPr="00515DC8">
        <w:rPr>
          <w:lang w:val="en-GB"/>
        </w:rPr>
        <w:t>relative to learning starting points</w:t>
      </w:r>
      <w:r w:rsidRPr="00515DC8">
        <w:rPr>
          <w:lang w:val="en-GB"/>
        </w:rPr>
        <w:t>;</w:t>
      </w:r>
      <w:r w:rsidR="00A845D7" w:rsidRPr="00515DC8">
        <w:rPr>
          <w:lang w:val="en-GB"/>
        </w:rPr>
        <w:t xml:space="preserve"> the role of individual differences</w:t>
      </w:r>
      <w:r w:rsidRPr="00515DC8">
        <w:rPr>
          <w:lang w:val="en-GB"/>
        </w:rPr>
        <w:t xml:space="preserve"> and </w:t>
      </w:r>
      <w:r w:rsidR="00AB066E" w:rsidRPr="00515DC8">
        <w:rPr>
          <w:lang w:val="en-GB"/>
        </w:rPr>
        <w:t>contextual variables</w:t>
      </w:r>
      <w:r w:rsidR="00A845D7" w:rsidRPr="00515DC8">
        <w:rPr>
          <w:lang w:val="en-GB"/>
        </w:rPr>
        <w:t xml:space="preserve">; process </w:t>
      </w:r>
      <w:r w:rsidRPr="00515DC8">
        <w:rPr>
          <w:i/>
          <w:lang w:val="en-GB"/>
        </w:rPr>
        <w:t>versus</w:t>
      </w:r>
      <w:r w:rsidRPr="00515DC8">
        <w:rPr>
          <w:lang w:val="en-GB"/>
        </w:rPr>
        <w:t xml:space="preserve"> </w:t>
      </w:r>
      <w:r w:rsidR="00A845D7" w:rsidRPr="00515DC8">
        <w:rPr>
          <w:lang w:val="en-GB"/>
        </w:rPr>
        <w:t>outcome measures; objective observations</w:t>
      </w:r>
      <w:r w:rsidR="00CC3D00" w:rsidRPr="00515DC8">
        <w:rPr>
          <w:lang w:val="en-GB"/>
        </w:rPr>
        <w:t xml:space="preserve"> </w:t>
      </w:r>
      <w:r w:rsidRPr="00515DC8">
        <w:rPr>
          <w:lang w:val="en-GB"/>
        </w:rPr>
        <w:t>and</w:t>
      </w:r>
      <w:r w:rsidR="00A845D7" w:rsidRPr="00515DC8">
        <w:rPr>
          <w:lang w:val="en-GB"/>
        </w:rPr>
        <w:t xml:space="preserve"> performance </w:t>
      </w:r>
      <w:r w:rsidRPr="00515DC8">
        <w:rPr>
          <w:i/>
          <w:lang w:val="en-GB"/>
        </w:rPr>
        <w:t>versus</w:t>
      </w:r>
      <w:r w:rsidRPr="00515DC8">
        <w:rPr>
          <w:lang w:val="en-GB"/>
        </w:rPr>
        <w:t xml:space="preserve"> </w:t>
      </w:r>
      <w:r w:rsidR="00A845D7" w:rsidRPr="00515DC8">
        <w:rPr>
          <w:lang w:val="en-GB"/>
        </w:rPr>
        <w:t>student</w:t>
      </w:r>
      <w:r w:rsidRPr="00515DC8">
        <w:rPr>
          <w:lang w:val="en-GB"/>
        </w:rPr>
        <w:t xml:space="preserve"> and </w:t>
      </w:r>
      <w:r w:rsidR="00AB066E" w:rsidRPr="00515DC8">
        <w:rPr>
          <w:lang w:val="en-GB"/>
        </w:rPr>
        <w:t>lecturer perceptions</w:t>
      </w:r>
      <w:r w:rsidR="003F65E6" w:rsidRPr="00515DC8">
        <w:rPr>
          <w:lang w:val="en-GB"/>
        </w:rPr>
        <w:t>; and the motivational and broader contextual factors that will influence the approaches adopted, including the purposes to which findings will be put, for whose benefit, and the broader political, social, ethical</w:t>
      </w:r>
      <w:r w:rsidR="004641AF">
        <w:rPr>
          <w:lang w:val="en-GB"/>
        </w:rPr>
        <w:t>,</w:t>
      </w:r>
      <w:r w:rsidR="003F65E6" w:rsidRPr="00515DC8">
        <w:rPr>
          <w:lang w:val="en-GB"/>
        </w:rPr>
        <w:t xml:space="preserve"> and disciplinary context in which the measurements are to be made. </w:t>
      </w:r>
    </w:p>
    <w:p w14:paraId="64007C42" w14:textId="77777777" w:rsidR="004641AF" w:rsidRPr="00515DC8" w:rsidRDefault="004641AF" w:rsidP="001B74D8">
      <w:pPr>
        <w:spacing w:line="480" w:lineRule="auto"/>
        <w:rPr>
          <w:lang w:val="en-GB"/>
        </w:rPr>
      </w:pPr>
    </w:p>
    <w:p w14:paraId="53D581A2" w14:textId="77777777" w:rsidR="00AB066E" w:rsidRPr="00515DC8" w:rsidRDefault="00AB066E" w:rsidP="00404D06">
      <w:pPr>
        <w:spacing w:line="480" w:lineRule="auto"/>
        <w:outlineLvl w:val="0"/>
        <w:rPr>
          <w:lang w:val="en-GB"/>
        </w:rPr>
      </w:pPr>
      <w:r w:rsidRPr="00515DC8">
        <w:rPr>
          <w:highlight w:val="yellow"/>
          <w:lang w:val="en-GB"/>
        </w:rPr>
        <w:t>ADD FIGURE 1 HERE</w:t>
      </w:r>
    </w:p>
    <w:p w14:paraId="104691EA" w14:textId="75352732" w:rsidR="00D56AB2" w:rsidRPr="00515DC8" w:rsidRDefault="00AB066E" w:rsidP="001B74D8">
      <w:pPr>
        <w:spacing w:line="480" w:lineRule="auto"/>
        <w:rPr>
          <w:lang w:val="en-GB"/>
        </w:rPr>
      </w:pPr>
      <w:r w:rsidRPr="00515DC8">
        <w:rPr>
          <w:lang w:val="en-GB"/>
        </w:rPr>
        <w:t>L</w:t>
      </w:r>
      <w:r w:rsidR="00F707FE" w:rsidRPr="00515DC8">
        <w:rPr>
          <w:lang w:val="en-GB"/>
        </w:rPr>
        <w:t>earning gain</w:t>
      </w:r>
      <w:r w:rsidRPr="00515DC8">
        <w:rPr>
          <w:lang w:val="en-GB"/>
        </w:rPr>
        <w:t xml:space="preserve"> has been described</w:t>
      </w:r>
      <w:r w:rsidR="00F707FE" w:rsidRPr="00515DC8">
        <w:rPr>
          <w:lang w:val="en-GB"/>
        </w:rPr>
        <w:t xml:space="preserve"> as </w:t>
      </w:r>
      <w:r w:rsidR="0039166F" w:rsidRPr="00515DC8">
        <w:rPr>
          <w:lang w:val="en-GB"/>
        </w:rPr>
        <w:t>‘</w:t>
      </w:r>
      <w:r w:rsidR="00C67C00" w:rsidRPr="00515DC8">
        <w:rPr>
          <w:lang w:val="en-GB"/>
        </w:rPr>
        <w:t>the distance travelled</w:t>
      </w:r>
      <w:r w:rsidR="0039166F" w:rsidRPr="00515DC8">
        <w:rPr>
          <w:lang w:val="en-GB"/>
        </w:rPr>
        <w:t>’</w:t>
      </w:r>
      <w:r w:rsidR="00C67C00" w:rsidRPr="00515DC8">
        <w:rPr>
          <w:lang w:val="en-GB"/>
        </w:rPr>
        <w:t xml:space="preserve"> or </w:t>
      </w:r>
      <w:r w:rsidR="0039166F" w:rsidRPr="00515DC8">
        <w:rPr>
          <w:lang w:val="en-GB"/>
        </w:rPr>
        <w:t>‘</w:t>
      </w:r>
      <w:r w:rsidR="00C67C00" w:rsidRPr="00515DC8">
        <w:rPr>
          <w:lang w:val="en-GB"/>
        </w:rPr>
        <w:t xml:space="preserve">the difference between the skills, competencies, content knowledge and personal development demonstrated by </w:t>
      </w:r>
      <w:r w:rsidR="0039166F" w:rsidRPr="00515DC8">
        <w:rPr>
          <w:lang w:val="en-GB"/>
        </w:rPr>
        <w:t xml:space="preserve">students at two points in time’ </w:t>
      </w:r>
      <w:r w:rsidR="00C67C00" w:rsidRPr="00515DC8">
        <w:rPr>
          <w:lang w:val="en-GB"/>
        </w:rPr>
        <w:t>(</w:t>
      </w:r>
      <w:r w:rsidR="001D1DE0" w:rsidRPr="00515DC8">
        <w:rPr>
          <w:lang w:val="en-GB"/>
        </w:rPr>
        <w:t xml:space="preserve">McGrath et al., </w:t>
      </w:r>
      <w:r w:rsidR="00C53900" w:rsidRPr="00515DC8">
        <w:rPr>
          <w:lang w:val="en-GB"/>
        </w:rPr>
        <w:t>2015,</w:t>
      </w:r>
      <w:r w:rsidR="00C67C00" w:rsidRPr="00515DC8">
        <w:rPr>
          <w:lang w:val="en-GB"/>
        </w:rPr>
        <w:t xml:space="preserve"> </w:t>
      </w:r>
      <w:r w:rsidR="001B5ED2" w:rsidRPr="00515DC8">
        <w:rPr>
          <w:lang w:val="en-GB"/>
        </w:rPr>
        <w:t xml:space="preserve">p. </w:t>
      </w:r>
      <w:r w:rsidR="00C67C00" w:rsidRPr="00515DC8">
        <w:rPr>
          <w:lang w:val="en-GB"/>
        </w:rPr>
        <w:t>xi)</w:t>
      </w:r>
      <w:r w:rsidR="008F20FA" w:rsidRPr="00515DC8">
        <w:rPr>
          <w:lang w:val="en-GB"/>
        </w:rPr>
        <w:t xml:space="preserve">. </w:t>
      </w:r>
      <w:r w:rsidR="00C53900" w:rsidRPr="00515DC8">
        <w:rPr>
          <w:lang w:val="en-GB"/>
        </w:rPr>
        <w:t>HEFCE</w:t>
      </w:r>
      <w:r w:rsidR="00AA1AFC" w:rsidRPr="00515DC8">
        <w:rPr>
          <w:lang w:val="en-GB"/>
        </w:rPr>
        <w:t>/OfS</w:t>
      </w:r>
      <w:r w:rsidR="00C53900" w:rsidRPr="00515DC8">
        <w:rPr>
          <w:lang w:val="en-GB"/>
        </w:rPr>
        <w:t xml:space="preserve"> </w:t>
      </w:r>
      <w:r w:rsidR="00725B93" w:rsidRPr="00515DC8">
        <w:rPr>
          <w:lang w:val="en-GB"/>
        </w:rPr>
        <w:t>offer</w:t>
      </w:r>
      <w:r w:rsidR="00C53900" w:rsidRPr="00515DC8">
        <w:rPr>
          <w:lang w:val="en-GB"/>
        </w:rPr>
        <w:t xml:space="preserve"> a </w:t>
      </w:r>
      <w:r w:rsidR="00D56AB2" w:rsidRPr="00515DC8">
        <w:rPr>
          <w:lang w:val="en-GB"/>
        </w:rPr>
        <w:t>more holistic</w:t>
      </w:r>
      <w:r w:rsidR="00C67C00" w:rsidRPr="00515DC8">
        <w:rPr>
          <w:lang w:val="en-GB"/>
        </w:rPr>
        <w:t xml:space="preserve"> definition of learning gain</w:t>
      </w:r>
      <w:r w:rsidR="00D56AB2" w:rsidRPr="00515DC8">
        <w:rPr>
          <w:lang w:val="en-GB"/>
        </w:rPr>
        <w:t xml:space="preserve"> as</w:t>
      </w:r>
      <w:r w:rsidR="00C67C00" w:rsidRPr="00515DC8">
        <w:rPr>
          <w:lang w:val="en-GB"/>
        </w:rPr>
        <w:t xml:space="preserve"> </w:t>
      </w:r>
      <w:r w:rsidR="00D41532" w:rsidRPr="00515DC8">
        <w:rPr>
          <w:lang w:val="en-GB"/>
        </w:rPr>
        <w:t>‘</w:t>
      </w:r>
      <w:r w:rsidR="00C67C00" w:rsidRPr="00515DC8">
        <w:rPr>
          <w:lang w:val="en-GB"/>
        </w:rPr>
        <w:t>an attempt to measure the improvement in knowledge, skills, work-readiness and personal development made by students during their time sp</w:t>
      </w:r>
      <w:r w:rsidR="00D56AB2" w:rsidRPr="00515DC8">
        <w:rPr>
          <w:lang w:val="en-GB"/>
        </w:rPr>
        <w:t>ent in higher education</w:t>
      </w:r>
      <w:r w:rsidR="00D41532" w:rsidRPr="00515DC8">
        <w:rPr>
          <w:lang w:val="en-GB"/>
        </w:rPr>
        <w:t>’</w:t>
      </w:r>
      <w:r w:rsidR="00772F0A" w:rsidRPr="00515DC8">
        <w:rPr>
          <w:lang w:val="en-GB"/>
        </w:rPr>
        <w:t xml:space="preserve"> </w:t>
      </w:r>
      <w:r w:rsidR="00C53900" w:rsidRPr="00515DC8">
        <w:rPr>
          <w:lang w:val="en-GB"/>
        </w:rPr>
        <w:t>(HEFCE</w:t>
      </w:r>
      <w:r w:rsidR="00AA1AFC" w:rsidRPr="00515DC8">
        <w:rPr>
          <w:lang w:val="en-GB"/>
        </w:rPr>
        <w:t>/OfS</w:t>
      </w:r>
      <w:r w:rsidR="00C53900" w:rsidRPr="00515DC8">
        <w:rPr>
          <w:lang w:val="en-GB"/>
        </w:rPr>
        <w:t>, 2015-</w:t>
      </w:r>
      <w:r w:rsidR="00C53900" w:rsidRPr="00515DC8">
        <w:rPr>
          <w:shd w:val="clear" w:color="auto" w:fill="FFFFFF" w:themeFill="background1"/>
          <w:lang w:val="en-GB"/>
        </w:rPr>
        <w:t>2017</w:t>
      </w:r>
      <w:r w:rsidR="00AB6A32" w:rsidRPr="00515DC8">
        <w:rPr>
          <w:shd w:val="clear" w:color="auto" w:fill="FFFFFF" w:themeFill="background1"/>
          <w:vertAlign w:val="superscript"/>
          <w:lang w:val="en-GB"/>
        </w:rPr>
        <w:t>1</w:t>
      </w:r>
      <w:r w:rsidR="00C53900" w:rsidRPr="00515DC8">
        <w:rPr>
          <w:shd w:val="clear" w:color="auto" w:fill="FFFFFF" w:themeFill="background1"/>
          <w:lang w:val="en-GB"/>
        </w:rPr>
        <w:t>)</w:t>
      </w:r>
      <w:r w:rsidR="008646D2" w:rsidRPr="00515DC8">
        <w:rPr>
          <w:shd w:val="clear" w:color="auto" w:fill="FFFFFF" w:themeFill="background1"/>
          <w:lang w:val="en-GB"/>
        </w:rPr>
        <w:t>; this latter definition overcomes the potential issues associa</w:t>
      </w:r>
      <w:r w:rsidR="00291D32" w:rsidRPr="00515DC8">
        <w:rPr>
          <w:shd w:val="clear" w:color="auto" w:fill="FFFFFF" w:themeFill="background1"/>
          <w:lang w:val="en-GB"/>
        </w:rPr>
        <w:t>ted with the limitations of two-</w:t>
      </w:r>
      <w:r w:rsidR="008646D2" w:rsidRPr="00515DC8">
        <w:rPr>
          <w:shd w:val="clear" w:color="auto" w:fill="FFFFFF" w:themeFill="background1"/>
          <w:lang w:val="en-GB"/>
        </w:rPr>
        <w:t>point measurements</w:t>
      </w:r>
      <w:r w:rsidR="00904517" w:rsidRPr="00515DC8">
        <w:rPr>
          <w:shd w:val="clear" w:color="auto" w:fill="FFFFFF" w:themeFill="background1"/>
          <w:lang w:val="en-GB"/>
        </w:rPr>
        <w:t xml:space="preserve"> designs</w:t>
      </w:r>
      <w:r w:rsidR="00904517" w:rsidRPr="00515DC8">
        <w:rPr>
          <w:lang w:val="en-GB"/>
        </w:rPr>
        <w:t xml:space="preserve">, specifically response shift bias.  </w:t>
      </w:r>
      <w:r w:rsidR="00C53900" w:rsidRPr="00515DC8">
        <w:rPr>
          <w:lang w:val="en-GB"/>
        </w:rPr>
        <w:t xml:space="preserve">Many learning gain measures incorporate value-added, defined by </w:t>
      </w:r>
      <w:r w:rsidR="00EF2937" w:rsidRPr="00515DC8">
        <w:rPr>
          <w:rFonts w:eastAsia="Times New Roman"/>
          <w:kern w:val="36"/>
          <w:lang w:val="en-GB" w:eastAsia="en-GB"/>
        </w:rPr>
        <w:t xml:space="preserve">McGrath et al. </w:t>
      </w:r>
      <w:r w:rsidR="00C53900" w:rsidRPr="00515DC8">
        <w:rPr>
          <w:lang w:val="en-GB"/>
        </w:rPr>
        <w:t xml:space="preserve">as ‘the comparison between performance predicted </w:t>
      </w:r>
      <w:r w:rsidR="00835FA2" w:rsidRPr="00515DC8">
        <w:rPr>
          <w:lang w:val="en-GB"/>
        </w:rPr>
        <w:t>at the outset of studies</w:t>
      </w:r>
      <w:r w:rsidR="00C53900" w:rsidRPr="00515DC8">
        <w:rPr>
          <w:lang w:val="en-GB"/>
        </w:rPr>
        <w:t xml:space="preserve">, and actual performance achieved’ </w:t>
      </w:r>
      <w:r w:rsidR="00937D0C" w:rsidRPr="00515DC8">
        <w:rPr>
          <w:lang w:val="en-GB"/>
        </w:rPr>
        <w:t>(2015, p. xi)</w:t>
      </w:r>
      <w:r w:rsidR="00DC5533" w:rsidRPr="00515DC8">
        <w:rPr>
          <w:lang w:val="en-GB"/>
        </w:rPr>
        <w:t>,</w:t>
      </w:r>
      <w:r w:rsidR="00937D0C" w:rsidRPr="00515DC8">
        <w:rPr>
          <w:lang w:val="en-GB"/>
        </w:rPr>
        <w:t xml:space="preserve"> </w:t>
      </w:r>
      <w:r w:rsidR="00C53900" w:rsidRPr="00515DC8">
        <w:rPr>
          <w:lang w:val="en-GB"/>
        </w:rPr>
        <w:t>although there are also considerable variations in how value-added is measured in higher education (see</w:t>
      </w:r>
      <w:r w:rsidR="004337A7" w:rsidRPr="00515DC8">
        <w:rPr>
          <w:lang w:val="en-GB"/>
        </w:rPr>
        <w:t xml:space="preserve"> </w:t>
      </w:r>
      <w:r w:rsidR="00C53900" w:rsidRPr="00515DC8">
        <w:rPr>
          <w:lang w:val="en-GB"/>
        </w:rPr>
        <w:t xml:space="preserve">Kim &amp; Lalancette, 2013 for </w:t>
      </w:r>
      <w:r w:rsidR="004337A7" w:rsidRPr="00515DC8">
        <w:rPr>
          <w:lang w:val="en-GB"/>
        </w:rPr>
        <w:t>review</w:t>
      </w:r>
      <w:r w:rsidR="00C53900" w:rsidRPr="00515DC8">
        <w:rPr>
          <w:lang w:val="en-GB"/>
        </w:rPr>
        <w:t xml:space="preserve">).  </w:t>
      </w:r>
      <w:r w:rsidR="00725B93" w:rsidRPr="00515DC8">
        <w:rPr>
          <w:lang w:val="en-GB"/>
        </w:rPr>
        <w:t>In the US, learning gain is frequently discussed in terms of meaningful learning outcomes (</w:t>
      </w:r>
      <w:r w:rsidR="0003224C" w:rsidRPr="00515DC8">
        <w:rPr>
          <w:lang w:val="en-GB"/>
        </w:rPr>
        <w:t>U.S. Department of Education</w:t>
      </w:r>
      <w:r w:rsidR="00725B93" w:rsidRPr="00515DC8">
        <w:rPr>
          <w:lang w:val="en-GB"/>
        </w:rPr>
        <w:t>,</w:t>
      </w:r>
      <w:r w:rsidR="0003224C" w:rsidRPr="00515DC8">
        <w:rPr>
          <w:lang w:val="en-GB"/>
        </w:rPr>
        <w:t xml:space="preserve"> 2006)</w:t>
      </w:r>
      <w:r w:rsidR="00725B93" w:rsidRPr="00515DC8">
        <w:rPr>
          <w:lang w:val="en-GB"/>
        </w:rPr>
        <w:t xml:space="preserve"> </w:t>
      </w:r>
      <w:r w:rsidR="00E2278A" w:rsidRPr="00515DC8">
        <w:rPr>
          <w:lang w:val="en-GB"/>
        </w:rPr>
        <w:t>and</w:t>
      </w:r>
      <w:r w:rsidR="00725B93" w:rsidRPr="00515DC8">
        <w:rPr>
          <w:lang w:val="en-GB"/>
        </w:rPr>
        <w:t xml:space="preserve"> learning transfer, the latter being defined as the ‘extent to which knowledge, skills and abilities learned in work-related training are genera</w:t>
      </w:r>
      <w:r w:rsidR="001D1DE0" w:rsidRPr="00515DC8">
        <w:rPr>
          <w:lang w:val="en-GB"/>
        </w:rPr>
        <w:t>lised and maintained on the job</w:t>
      </w:r>
      <w:r w:rsidR="00725B93" w:rsidRPr="00515DC8">
        <w:rPr>
          <w:lang w:val="en-GB"/>
        </w:rPr>
        <w:t>’ (Bates</w:t>
      </w:r>
      <w:r w:rsidR="001D1DE0" w:rsidRPr="00515DC8">
        <w:rPr>
          <w:lang w:val="en-GB"/>
        </w:rPr>
        <w:t>,</w:t>
      </w:r>
      <w:r w:rsidR="00725B93" w:rsidRPr="00515DC8">
        <w:rPr>
          <w:lang w:val="en-GB"/>
        </w:rPr>
        <w:t xml:space="preserve"> Holton III &amp; Hatala, 2012</w:t>
      </w:r>
      <w:r w:rsidR="00835FA2" w:rsidRPr="00515DC8">
        <w:rPr>
          <w:lang w:val="en-GB"/>
        </w:rPr>
        <w:t>, p. 549</w:t>
      </w:r>
      <w:r w:rsidR="00725B93" w:rsidRPr="00515DC8">
        <w:rPr>
          <w:lang w:val="en-GB"/>
        </w:rPr>
        <w:t xml:space="preserve">). </w:t>
      </w:r>
      <w:r w:rsidR="00835FA2" w:rsidRPr="00515DC8">
        <w:rPr>
          <w:lang w:val="en-GB"/>
        </w:rPr>
        <w:t xml:space="preserve">Transfer can be interpreted as the extent to which an individual can apply and adapt knowledge </w:t>
      </w:r>
      <w:r w:rsidR="00291D32" w:rsidRPr="00515DC8">
        <w:rPr>
          <w:lang w:val="en-GB"/>
        </w:rPr>
        <w:t>to</w:t>
      </w:r>
      <w:r w:rsidR="00835FA2" w:rsidRPr="00515DC8">
        <w:rPr>
          <w:lang w:val="en-GB"/>
        </w:rPr>
        <w:t xml:space="preserve"> a new context</w:t>
      </w:r>
      <w:r w:rsidR="00D67457">
        <w:rPr>
          <w:lang w:val="en-GB"/>
        </w:rPr>
        <w:t>,</w:t>
      </w:r>
      <w:r w:rsidR="00835FA2" w:rsidRPr="00515DC8">
        <w:rPr>
          <w:lang w:val="en-GB"/>
        </w:rPr>
        <w:t xml:space="preserve"> and it also can measure the effectiveness of training in facilitating that learning. </w:t>
      </w:r>
    </w:p>
    <w:p w14:paraId="7E587BE5" w14:textId="77777777" w:rsidR="00C53900" w:rsidRPr="00515DC8" w:rsidRDefault="00C53900" w:rsidP="001B74D8">
      <w:pPr>
        <w:spacing w:line="480" w:lineRule="auto"/>
        <w:rPr>
          <w:lang w:val="en-GB"/>
        </w:rPr>
      </w:pPr>
    </w:p>
    <w:p w14:paraId="239601BF" w14:textId="39D56B1C" w:rsidR="00F61278" w:rsidRPr="00515DC8" w:rsidRDefault="00EF2937" w:rsidP="001B74D8">
      <w:pPr>
        <w:spacing w:line="480" w:lineRule="auto"/>
        <w:rPr>
          <w:lang w:val="en-GB"/>
        </w:rPr>
      </w:pPr>
      <w:r w:rsidRPr="00515DC8">
        <w:rPr>
          <w:lang w:val="en-GB"/>
        </w:rPr>
        <w:t>Combining</w:t>
      </w:r>
      <w:r w:rsidR="00F61278" w:rsidRPr="00515DC8">
        <w:rPr>
          <w:lang w:val="en-GB"/>
        </w:rPr>
        <w:t xml:space="preserve"> useful approaches from across the </w:t>
      </w:r>
      <w:r w:rsidR="00065B3A" w:rsidRPr="00515DC8">
        <w:rPr>
          <w:lang w:val="en-GB"/>
        </w:rPr>
        <w:t>literature</w:t>
      </w:r>
      <w:r w:rsidR="00F61278" w:rsidRPr="00515DC8">
        <w:rPr>
          <w:lang w:val="en-GB"/>
        </w:rPr>
        <w:t xml:space="preserve"> </w:t>
      </w:r>
      <w:r w:rsidR="004337A7" w:rsidRPr="00515DC8">
        <w:rPr>
          <w:lang w:val="en-GB"/>
        </w:rPr>
        <w:t>suggests</w:t>
      </w:r>
      <w:r w:rsidR="00F61278" w:rsidRPr="00515DC8">
        <w:rPr>
          <w:lang w:val="en-GB"/>
        </w:rPr>
        <w:t xml:space="preserve"> learning gain </w:t>
      </w:r>
      <w:r w:rsidR="004337A7" w:rsidRPr="00515DC8">
        <w:rPr>
          <w:lang w:val="en-GB"/>
        </w:rPr>
        <w:t xml:space="preserve">can be operationalised </w:t>
      </w:r>
      <w:r w:rsidR="00F61278" w:rsidRPr="00515DC8">
        <w:rPr>
          <w:lang w:val="en-GB"/>
        </w:rPr>
        <w:t>as a change in knowledge, skills, work-readiness</w:t>
      </w:r>
      <w:r w:rsidR="00D67457">
        <w:rPr>
          <w:lang w:val="en-GB"/>
        </w:rPr>
        <w:t>,</w:t>
      </w:r>
      <w:r w:rsidR="00F61278" w:rsidRPr="00515DC8">
        <w:rPr>
          <w:lang w:val="en-GB"/>
        </w:rPr>
        <w:t xml:space="preserve"> and personal development</w:t>
      </w:r>
      <w:r w:rsidRPr="00515DC8">
        <w:rPr>
          <w:lang w:val="en-GB"/>
        </w:rPr>
        <w:t xml:space="preserve"> to include beliefs and values</w:t>
      </w:r>
      <w:r w:rsidR="00F61278" w:rsidRPr="00515DC8">
        <w:rPr>
          <w:lang w:val="en-GB"/>
        </w:rPr>
        <w:t xml:space="preserve">, </w:t>
      </w:r>
      <w:r w:rsidR="00D67457">
        <w:rPr>
          <w:lang w:val="en-GB"/>
        </w:rPr>
        <w:t>and</w:t>
      </w:r>
      <w:r w:rsidR="00F61278" w:rsidRPr="00515DC8">
        <w:rPr>
          <w:lang w:val="en-GB"/>
        </w:rPr>
        <w:t xml:space="preserve"> enhancement of specific practices and outcomes in defined disciplinary and inst</w:t>
      </w:r>
      <w:r w:rsidRPr="00515DC8">
        <w:rPr>
          <w:lang w:val="en-GB"/>
        </w:rPr>
        <w:t>itutional contexts (HEF</w:t>
      </w:r>
      <w:r w:rsidR="00AA1AFC" w:rsidRPr="00515DC8">
        <w:rPr>
          <w:lang w:val="en-GB"/>
        </w:rPr>
        <w:t>CE</w:t>
      </w:r>
      <w:r w:rsidR="00C67EE4" w:rsidRPr="00515DC8">
        <w:rPr>
          <w:lang w:val="en-GB"/>
        </w:rPr>
        <w:t>, 2017a</w:t>
      </w:r>
      <w:r w:rsidR="00AA1AFC" w:rsidRPr="00515DC8">
        <w:rPr>
          <w:lang w:val="en-GB"/>
        </w:rPr>
        <w:t>/</w:t>
      </w:r>
      <w:r w:rsidR="00937D0C" w:rsidRPr="00515DC8">
        <w:rPr>
          <w:lang w:val="en-GB"/>
        </w:rPr>
        <w:t>OfS</w:t>
      </w:r>
      <w:r w:rsidR="00C67EE4" w:rsidRPr="00515DC8">
        <w:rPr>
          <w:lang w:val="en-GB"/>
        </w:rPr>
        <w:t>, 2018a</w:t>
      </w:r>
      <w:r w:rsidRPr="00515DC8">
        <w:rPr>
          <w:lang w:val="en-GB"/>
        </w:rPr>
        <w:t xml:space="preserve">). </w:t>
      </w:r>
      <w:r w:rsidR="004337A7" w:rsidRPr="00515DC8">
        <w:rPr>
          <w:lang w:val="en-GB"/>
        </w:rPr>
        <w:t xml:space="preserve"> </w:t>
      </w:r>
      <w:r w:rsidR="00D56AB2" w:rsidRPr="00515DC8">
        <w:rPr>
          <w:lang w:val="en-GB"/>
        </w:rPr>
        <w:t xml:space="preserve">Beyond defining what learning gain is, philosophical and political debates continue about why learning gain should be measured, </w:t>
      </w:r>
      <w:r w:rsidR="00D67457">
        <w:rPr>
          <w:lang w:val="en-GB"/>
        </w:rPr>
        <w:t>as well as</w:t>
      </w:r>
      <w:r w:rsidR="00D56AB2" w:rsidRPr="00515DC8">
        <w:rPr>
          <w:lang w:val="en-GB"/>
        </w:rPr>
        <w:t xml:space="preserve"> methodological debates about how, or whether, it is possible.</w:t>
      </w:r>
    </w:p>
    <w:p w14:paraId="0A36BF15" w14:textId="77777777" w:rsidR="00223764" w:rsidRPr="00515DC8" w:rsidRDefault="00223764" w:rsidP="001B74D8">
      <w:pPr>
        <w:spacing w:line="480" w:lineRule="auto"/>
        <w:rPr>
          <w:lang w:val="en-GB"/>
        </w:rPr>
      </w:pPr>
    </w:p>
    <w:p w14:paraId="714D331C" w14:textId="56304DA1" w:rsidR="00194417" w:rsidRPr="00515DC8" w:rsidRDefault="00AB066E" w:rsidP="00404D06">
      <w:pPr>
        <w:spacing w:line="480" w:lineRule="auto"/>
        <w:outlineLvl w:val="0"/>
        <w:rPr>
          <w:b/>
          <w:i/>
          <w:lang w:val="en-GB"/>
        </w:rPr>
      </w:pPr>
      <w:bookmarkStart w:id="5" w:name="_Hlk510435093"/>
      <w:r w:rsidRPr="00515DC8">
        <w:rPr>
          <w:b/>
          <w:i/>
          <w:lang w:val="en-GB"/>
        </w:rPr>
        <w:t>Learning gain and the UK context</w:t>
      </w:r>
    </w:p>
    <w:bookmarkEnd w:id="5"/>
    <w:p w14:paraId="7CCC1810" w14:textId="4B7AD5BB" w:rsidR="0039166F" w:rsidRPr="00515DC8" w:rsidRDefault="00EE533D" w:rsidP="001B74D8">
      <w:pPr>
        <w:spacing w:line="480" w:lineRule="auto"/>
        <w:rPr>
          <w:lang w:val="en-GB"/>
        </w:rPr>
      </w:pPr>
      <w:r w:rsidRPr="00515DC8">
        <w:rPr>
          <w:lang w:val="en-GB"/>
        </w:rPr>
        <w:t>Learning gain s</w:t>
      </w:r>
      <w:r w:rsidR="00D3633E" w:rsidRPr="00515DC8">
        <w:rPr>
          <w:lang w:val="en-GB"/>
        </w:rPr>
        <w:t xml:space="preserve">takeholders </w:t>
      </w:r>
      <w:r w:rsidRPr="00515DC8">
        <w:rPr>
          <w:lang w:val="en-GB"/>
        </w:rPr>
        <w:t>include</w:t>
      </w:r>
      <w:r w:rsidR="00D3633E" w:rsidRPr="00515DC8">
        <w:rPr>
          <w:lang w:val="en-GB"/>
        </w:rPr>
        <w:t xml:space="preserve"> students, academic</w:t>
      </w:r>
      <w:r w:rsidRPr="00515DC8">
        <w:rPr>
          <w:lang w:val="en-GB"/>
        </w:rPr>
        <w:t>s,</w:t>
      </w:r>
      <w:r w:rsidR="00EF2937" w:rsidRPr="00515DC8">
        <w:rPr>
          <w:lang w:val="en-GB"/>
        </w:rPr>
        <w:t xml:space="preserve"> professional services</w:t>
      </w:r>
      <w:r w:rsidR="00D3633E" w:rsidRPr="00515DC8">
        <w:rPr>
          <w:lang w:val="en-GB"/>
        </w:rPr>
        <w:t xml:space="preserve"> staff, senior managers, the government</w:t>
      </w:r>
      <w:r w:rsidR="001801F4" w:rsidRPr="00515DC8">
        <w:rPr>
          <w:lang w:val="en-GB"/>
        </w:rPr>
        <w:t>,</w:t>
      </w:r>
      <w:r w:rsidR="00D3633E" w:rsidRPr="00515DC8">
        <w:rPr>
          <w:lang w:val="en-GB"/>
        </w:rPr>
        <w:t xml:space="preserve"> </w:t>
      </w:r>
      <w:r w:rsidR="00937D0C" w:rsidRPr="00515DC8">
        <w:rPr>
          <w:lang w:val="en-GB"/>
        </w:rPr>
        <w:t>parents</w:t>
      </w:r>
      <w:r w:rsidR="00FF5EF4" w:rsidRPr="00515DC8">
        <w:rPr>
          <w:lang w:val="en-GB"/>
        </w:rPr>
        <w:t>,</w:t>
      </w:r>
      <w:r w:rsidR="00937D0C" w:rsidRPr="00515DC8">
        <w:rPr>
          <w:lang w:val="en-GB"/>
        </w:rPr>
        <w:t xml:space="preserve"> </w:t>
      </w:r>
      <w:r w:rsidR="00DC5533" w:rsidRPr="00515DC8">
        <w:rPr>
          <w:lang w:val="en-GB"/>
        </w:rPr>
        <w:t>employers</w:t>
      </w:r>
      <w:r w:rsidR="00D67457">
        <w:rPr>
          <w:lang w:val="en-GB"/>
        </w:rPr>
        <w:t>,</w:t>
      </w:r>
      <w:r w:rsidR="00DC5533" w:rsidRPr="00515DC8">
        <w:rPr>
          <w:lang w:val="en-GB"/>
        </w:rPr>
        <w:t xml:space="preserve"> </w:t>
      </w:r>
      <w:r w:rsidR="00D3633E" w:rsidRPr="00515DC8">
        <w:rPr>
          <w:lang w:val="en-GB"/>
        </w:rPr>
        <w:t xml:space="preserve">and the wider public. </w:t>
      </w:r>
      <w:r w:rsidR="00814CAE" w:rsidRPr="00515DC8">
        <w:rPr>
          <w:lang w:val="en-GB"/>
        </w:rPr>
        <w:t>Internationally, c</w:t>
      </w:r>
      <w:r w:rsidR="006B3C15" w:rsidRPr="00515DC8">
        <w:rPr>
          <w:lang w:val="en-GB"/>
        </w:rPr>
        <w:t xml:space="preserve">hanges to </w:t>
      </w:r>
      <w:r w:rsidR="00FF444B" w:rsidRPr="00515DC8">
        <w:rPr>
          <w:lang w:val="en-GB"/>
        </w:rPr>
        <w:t>HE</w:t>
      </w:r>
      <w:r w:rsidR="006B3C15" w:rsidRPr="00515DC8">
        <w:rPr>
          <w:lang w:val="en-GB"/>
        </w:rPr>
        <w:t xml:space="preserve"> funding system</w:t>
      </w:r>
      <w:r w:rsidR="00814CAE" w:rsidRPr="00515DC8">
        <w:rPr>
          <w:lang w:val="en-GB"/>
        </w:rPr>
        <w:t>s</w:t>
      </w:r>
      <w:r w:rsidR="006B3C15" w:rsidRPr="00515DC8">
        <w:rPr>
          <w:lang w:val="en-GB"/>
        </w:rPr>
        <w:t xml:space="preserve"> have raised interest</w:t>
      </w:r>
      <w:r w:rsidR="00EF2937" w:rsidRPr="00515DC8">
        <w:rPr>
          <w:lang w:val="en-GB"/>
        </w:rPr>
        <w:t xml:space="preserve"> in</w:t>
      </w:r>
      <w:r w:rsidR="006B3C15" w:rsidRPr="00515DC8">
        <w:rPr>
          <w:lang w:val="en-GB"/>
        </w:rPr>
        <w:t xml:space="preserve"> what students </w:t>
      </w:r>
      <w:r w:rsidR="00814CAE" w:rsidRPr="00515DC8">
        <w:rPr>
          <w:lang w:val="en-GB"/>
        </w:rPr>
        <w:t xml:space="preserve">do during their time in </w:t>
      </w:r>
      <w:r w:rsidR="00FF444B" w:rsidRPr="00515DC8">
        <w:rPr>
          <w:lang w:val="en-GB"/>
        </w:rPr>
        <w:t>HE</w:t>
      </w:r>
      <w:r w:rsidR="00814CAE" w:rsidRPr="00515DC8">
        <w:rPr>
          <w:lang w:val="en-GB"/>
        </w:rPr>
        <w:t xml:space="preserve"> and what they, and other stakeholders, gain from it. </w:t>
      </w:r>
      <w:r w:rsidR="004337A7" w:rsidRPr="00515DC8">
        <w:rPr>
          <w:lang w:val="en-GB"/>
        </w:rPr>
        <w:t xml:space="preserve"> </w:t>
      </w:r>
      <w:r w:rsidR="002B24D5" w:rsidRPr="00515DC8">
        <w:rPr>
          <w:lang w:val="en-GB"/>
        </w:rPr>
        <w:t>Given the additional costs associated with diversification of HE, increasing student numbers and the consequent development of new funding system</w:t>
      </w:r>
      <w:r w:rsidR="001774CD" w:rsidRPr="00515DC8">
        <w:rPr>
          <w:lang w:val="en-GB"/>
        </w:rPr>
        <w:t>s</w:t>
      </w:r>
      <w:r w:rsidR="002B24D5" w:rsidRPr="00515DC8">
        <w:rPr>
          <w:lang w:val="en-GB"/>
        </w:rPr>
        <w:t>, p</w:t>
      </w:r>
      <w:r w:rsidR="00DE71D7" w:rsidRPr="00515DC8">
        <w:rPr>
          <w:lang w:val="en-GB"/>
        </w:rPr>
        <w:t>olicy-makers</w:t>
      </w:r>
      <w:r w:rsidR="001774CD" w:rsidRPr="00515DC8">
        <w:rPr>
          <w:lang w:val="en-GB"/>
        </w:rPr>
        <w:t xml:space="preserve"> in the UK (and elsewhere)</w:t>
      </w:r>
      <w:r w:rsidR="00DE71D7" w:rsidRPr="00515DC8">
        <w:rPr>
          <w:lang w:val="en-GB"/>
        </w:rPr>
        <w:t xml:space="preserve"> have identified the</w:t>
      </w:r>
      <w:r w:rsidR="00544258" w:rsidRPr="00515DC8">
        <w:rPr>
          <w:lang w:val="en-GB"/>
        </w:rPr>
        <w:t xml:space="preserve"> potential of student data for quality assurance, quality enhancement and accountability</w:t>
      </w:r>
      <w:r w:rsidR="002B24D5" w:rsidRPr="00515DC8">
        <w:rPr>
          <w:lang w:val="en-GB"/>
        </w:rPr>
        <w:t>.</w:t>
      </w:r>
      <w:r w:rsidR="00544258" w:rsidRPr="00515DC8">
        <w:rPr>
          <w:lang w:val="en-GB"/>
        </w:rPr>
        <w:t xml:space="preserve"> Th</w:t>
      </w:r>
      <w:r w:rsidR="002B24D5" w:rsidRPr="00515DC8">
        <w:rPr>
          <w:lang w:val="en-GB"/>
        </w:rPr>
        <w:t>ese shifts in focus</w:t>
      </w:r>
      <w:r w:rsidR="00544258" w:rsidRPr="00515DC8">
        <w:rPr>
          <w:lang w:val="en-GB"/>
        </w:rPr>
        <w:t xml:space="preserve">, alongside </w:t>
      </w:r>
      <w:r w:rsidR="002B24D5" w:rsidRPr="00515DC8">
        <w:rPr>
          <w:lang w:val="en-GB"/>
        </w:rPr>
        <w:t xml:space="preserve">measurement trends </w:t>
      </w:r>
      <w:r w:rsidR="00544258" w:rsidRPr="00515DC8">
        <w:rPr>
          <w:lang w:val="en-GB"/>
        </w:rPr>
        <w:t xml:space="preserve">in the </w:t>
      </w:r>
      <w:r w:rsidR="004B08EF" w:rsidRPr="00515DC8">
        <w:rPr>
          <w:lang w:val="en-GB"/>
        </w:rPr>
        <w:t>United States (</w:t>
      </w:r>
      <w:r w:rsidR="00544258" w:rsidRPr="00515DC8">
        <w:rPr>
          <w:lang w:val="en-GB"/>
        </w:rPr>
        <w:t>US</w:t>
      </w:r>
      <w:r w:rsidR="004B08EF" w:rsidRPr="00515DC8">
        <w:rPr>
          <w:lang w:val="en-GB"/>
        </w:rPr>
        <w:t>)</w:t>
      </w:r>
      <w:r w:rsidR="00291D32" w:rsidRPr="00515DC8">
        <w:rPr>
          <w:lang w:val="en-GB"/>
        </w:rPr>
        <w:t>,</w:t>
      </w:r>
      <w:r w:rsidR="00544258" w:rsidRPr="00515DC8">
        <w:rPr>
          <w:lang w:val="en-GB"/>
        </w:rPr>
        <w:t xml:space="preserve"> </w:t>
      </w:r>
      <w:r w:rsidR="002B24D5" w:rsidRPr="00515DC8">
        <w:rPr>
          <w:lang w:val="en-GB"/>
        </w:rPr>
        <w:t xml:space="preserve">examining </w:t>
      </w:r>
      <w:r w:rsidR="00544258" w:rsidRPr="00515DC8">
        <w:rPr>
          <w:lang w:val="en-GB"/>
        </w:rPr>
        <w:t xml:space="preserve">what students were gaining, or </w:t>
      </w:r>
      <w:r w:rsidR="002B24D5" w:rsidRPr="00515DC8">
        <w:rPr>
          <w:lang w:val="en-GB"/>
        </w:rPr>
        <w:t>otherwise</w:t>
      </w:r>
      <w:r w:rsidR="00544258" w:rsidRPr="00515DC8">
        <w:rPr>
          <w:lang w:val="en-GB"/>
        </w:rPr>
        <w:t xml:space="preserve"> from their time in higher education</w:t>
      </w:r>
      <w:r w:rsidR="00DE71D7" w:rsidRPr="00515DC8">
        <w:rPr>
          <w:lang w:val="en-GB"/>
        </w:rPr>
        <w:t xml:space="preserve"> (</w:t>
      </w:r>
      <w:r w:rsidR="00DE71D7" w:rsidRPr="00515DC8">
        <w:rPr>
          <w:rFonts w:eastAsia="Times New Roman"/>
          <w:bCs/>
          <w:kern w:val="36"/>
          <w:lang w:val="en-GB" w:eastAsia="en-GB"/>
        </w:rPr>
        <w:t xml:space="preserve">Arum &amp; Roksa, </w:t>
      </w:r>
      <w:r w:rsidR="003B3933" w:rsidRPr="00515DC8">
        <w:rPr>
          <w:rFonts w:eastAsia="Times New Roman"/>
          <w:bCs/>
          <w:kern w:val="36"/>
          <w:lang w:val="en-GB" w:eastAsia="en-GB"/>
        </w:rPr>
        <w:t>2011</w:t>
      </w:r>
      <w:r w:rsidR="00DE71D7" w:rsidRPr="00515DC8">
        <w:rPr>
          <w:rFonts w:eastAsia="Times New Roman"/>
          <w:bCs/>
          <w:kern w:val="36"/>
          <w:lang w:val="en-GB" w:eastAsia="en-GB"/>
        </w:rPr>
        <w:t>)</w:t>
      </w:r>
      <w:r w:rsidR="00DE71D7" w:rsidRPr="00515DC8">
        <w:rPr>
          <w:rStyle w:val="EndnoteReference"/>
          <w:lang w:val="en-GB"/>
        </w:rPr>
        <w:t xml:space="preserve"> </w:t>
      </w:r>
      <w:r w:rsidR="00544258" w:rsidRPr="00515DC8">
        <w:rPr>
          <w:lang w:val="en-GB"/>
        </w:rPr>
        <w:t>led to a joint venture between the</w:t>
      </w:r>
      <w:r w:rsidR="001774CD" w:rsidRPr="00515DC8">
        <w:rPr>
          <w:lang w:val="en-GB"/>
        </w:rPr>
        <w:t xml:space="preserve"> UK</w:t>
      </w:r>
      <w:r w:rsidR="00544258" w:rsidRPr="00515DC8">
        <w:rPr>
          <w:lang w:val="en-GB"/>
        </w:rPr>
        <w:t xml:space="preserve"> Higher Education Academy</w:t>
      </w:r>
      <w:r w:rsidR="00FF444B" w:rsidRPr="00515DC8">
        <w:rPr>
          <w:lang w:val="en-GB"/>
        </w:rPr>
        <w:t xml:space="preserve"> (HEA</w:t>
      </w:r>
      <w:r w:rsidR="00FF5EF4" w:rsidRPr="00515DC8">
        <w:rPr>
          <w:lang w:val="en-GB"/>
        </w:rPr>
        <w:t>);</w:t>
      </w:r>
      <w:r w:rsidR="001F1F3E" w:rsidRPr="00515DC8">
        <w:rPr>
          <w:lang w:val="en-GB"/>
        </w:rPr>
        <w:t xml:space="preserve"> now known as Advance HE</w:t>
      </w:r>
      <w:r w:rsidR="00B17476" w:rsidRPr="00515DC8">
        <w:rPr>
          <w:lang w:val="en-GB"/>
        </w:rPr>
        <w:t xml:space="preserve"> having merged with the Equality Challenge Unit and Leadership Foundation for HE</w:t>
      </w:r>
      <w:r w:rsidR="00544258" w:rsidRPr="00515DC8">
        <w:rPr>
          <w:lang w:val="en-GB"/>
        </w:rPr>
        <w:t>, the government department overseeing higher education</w:t>
      </w:r>
      <w:r w:rsidR="00F16642" w:rsidRPr="00515DC8">
        <w:rPr>
          <w:lang w:val="en-GB"/>
        </w:rPr>
        <w:t xml:space="preserve">, </w:t>
      </w:r>
      <w:r w:rsidR="00544258" w:rsidRPr="00515DC8">
        <w:rPr>
          <w:lang w:val="en-GB"/>
        </w:rPr>
        <w:t xml:space="preserve">the then-Department for Business, Innovation and Skills </w:t>
      </w:r>
      <w:r w:rsidR="00DC5533" w:rsidRPr="00515DC8">
        <w:rPr>
          <w:lang w:val="en-GB"/>
        </w:rPr>
        <w:t>(</w:t>
      </w:r>
      <w:r w:rsidR="00544258" w:rsidRPr="00515DC8">
        <w:rPr>
          <w:lang w:val="en-GB"/>
        </w:rPr>
        <w:t>BIS</w:t>
      </w:r>
      <w:r w:rsidR="00DC5533" w:rsidRPr="00515DC8">
        <w:rPr>
          <w:lang w:val="en-GB"/>
        </w:rPr>
        <w:t>)</w:t>
      </w:r>
      <w:r w:rsidR="00544258" w:rsidRPr="00515DC8">
        <w:rPr>
          <w:lang w:val="en-GB"/>
        </w:rPr>
        <w:t>, and the</w:t>
      </w:r>
      <w:r w:rsidR="00AE6B73" w:rsidRPr="00515DC8">
        <w:rPr>
          <w:lang w:val="en-GB"/>
        </w:rPr>
        <w:t xml:space="preserve"> then</w:t>
      </w:r>
      <w:r w:rsidR="00544258" w:rsidRPr="00515DC8">
        <w:rPr>
          <w:lang w:val="en-GB"/>
        </w:rPr>
        <w:t xml:space="preserve"> Higher Education Funding Council for England</w:t>
      </w:r>
      <w:r w:rsidR="00FF444B" w:rsidRPr="00515DC8">
        <w:rPr>
          <w:lang w:val="en-GB"/>
        </w:rPr>
        <w:t xml:space="preserve"> (HEFCE)</w:t>
      </w:r>
      <w:r w:rsidR="00AE6B73" w:rsidRPr="00515DC8">
        <w:rPr>
          <w:lang w:val="en-GB"/>
        </w:rPr>
        <w:t>; now known as Office for Students (OfS)</w:t>
      </w:r>
      <w:r w:rsidR="00F16642" w:rsidRPr="00515DC8">
        <w:rPr>
          <w:lang w:val="en-GB"/>
        </w:rPr>
        <w:t xml:space="preserve">.  This initiative </w:t>
      </w:r>
      <w:r w:rsidR="00DE71D7" w:rsidRPr="00515DC8">
        <w:rPr>
          <w:lang w:val="en-GB"/>
        </w:rPr>
        <w:t xml:space="preserve">commissioned </w:t>
      </w:r>
      <w:r w:rsidR="00F16642" w:rsidRPr="00515DC8">
        <w:rPr>
          <w:lang w:val="en-GB"/>
        </w:rPr>
        <w:t xml:space="preserve">the initial </w:t>
      </w:r>
      <w:r w:rsidR="00544258" w:rsidRPr="00515DC8">
        <w:rPr>
          <w:lang w:val="en-GB"/>
        </w:rPr>
        <w:t xml:space="preserve">scoping study </w:t>
      </w:r>
      <w:r w:rsidR="00EC1F28" w:rsidRPr="00515DC8">
        <w:rPr>
          <w:lang w:val="en-GB"/>
        </w:rPr>
        <w:t xml:space="preserve">of learning gain </w:t>
      </w:r>
      <w:r w:rsidR="00544258" w:rsidRPr="00515DC8">
        <w:rPr>
          <w:lang w:val="en-GB"/>
        </w:rPr>
        <w:t>b</w:t>
      </w:r>
      <w:r w:rsidR="00DE71D7" w:rsidRPr="00515DC8">
        <w:rPr>
          <w:lang w:val="en-GB"/>
        </w:rPr>
        <w:t>y Rand Europe (</w:t>
      </w:r>
      <w:r w:rsidR="00FF444B" w:rsidRPr="00515DC8">
        <w:rPr>
          <w:lang w:val="en-GB"/>
        </w:rPr>
        <w:t xml:space="preserve">McGrath et al., </w:t>
      </w:r>
      <w:r w:rsidR="00DE71D7" w:rsidRPr="00515DC8">
        <w:rPr>
          <w:lang w:val="en-GB"/>
        </w:rPr>
        <w:t>2015)</w:t>
      </w:r>
      <w:r w:rsidR="00F16642" w:rsidRPr="00515DC8">
        <w:rPr>
          <w:lang w:val="en-GB"/>
        </w:rPr>
        <w:t xml:space="preserve"> and</w:t>
      </w:r>
      <w:r w:rsidR="00DE71D7" w:rsidRPr="00515DC8">
        <w:rPr>
          <w:lang w:val="en-GB"/>
        </w:rPr>
        <w:t xml:space="preserve"> </w:t>
      </w:r>
      <w:r w:rsidR="00544258" w:rsidRPr="00515DC8">
        <w:rPr>
          <w:lang w:val="en-GB"/>
        </w:rPr>
        <w:t>led to a suite of 13 funded longitudinal pilot project</w:t>
      </w:r>
      <w:r w:rsidR="00DC5533" w:rsidRPr="00515DC8">
        <w:rPr>
          <w:lang w:val="en-GB"/>
        </w:rPr>
        <w:t>s</w:t>
      </w:r>
      <w:r w:rsidR="00DE71D7" w:rsidRPr="00515DC8">
        <w:rPr>
          <w:lang w:val="en-GB"/>
        </w:rPr>
        <w:t xml:space="preserve"> (</w:t>
      </w:r>
      <w:r w:rsidR="00EC1F28" w:rsidRPr="00515DC8">
        <w:rPr>
          <w:lang w:val="en-GB"/>
        </w:rPr>
        <w:t>involving over</w:t>
      </w:r>
      <w:r w:rsidR="00DE71D7" w:rsidRPr="00515DC8">
        <w:rPr>
          <w:lang w:val="en-GB"/>
        </w:rPr>
        <w:t xml:space="preserve"> 70 HEIs) and a National Mixed Methodology Learning Gain Project</w:t>
      </w:r>
      <w:r w:rsidR="00544258" w:rsidRPr="00515DC8">
        <w:rPr>
          <w:lang w:val="en-GB"/>
        </w:rPr>
        <w:t xml:space="preserve"> </w:t>
      </w:r>
      <w:r w:rsidR="00DE71D7" w:rsidRPr="00515DC8">
        <w:rPr>
          <w:lang w:val="en-GB"/>
        </w:rPr>
        <w:t>(</w:t>
      </w:r>
      <w:r w:rsidR="00EC1F28" w:rsidRPr="00515DC8">
        <w:rPr>
          <w:lang w:val="en-GB"/>
        </w:rPr>
        <w:t>with</w:t>
      </w:r>
      <w:r w:rsidR="00DE71D7" w:rsidRPr="00515DC8">
        <w:rPr>
          <w:lang w:val="en-GB"/>
        </w:rPr>
        <w:t xml:space="preserve"> 10</w:t>
      </w:r>
      <w:r w:rsidR="00F54EF3" w:rsidRPr="00515DC8">
        <w:rPr>
          <w:lang w:val="en-GB"/>
        </w:rPr>
        <w:t xml:space="preserve"> </w:t>
      </w:r>
      <w:r w:rsidR="00DE71D7" w:rsidRPr="00515DC8">
        <w:rPr>
          <w:lang w:val="en-GB"/>
        </w:rPr>
        <w:t xml:space="preserve">HEIs) </w:t>
      </w:r>
      <w:r w:rsidR="00544258" w:rsidRPr="00515DC8">
        <w:rPr>
          <w:lang w:val="en-GB"/>
        </w:rPr>
        <w:t>exploring met</w:t>
      </w:r>
      <w:r w:rsidR="00291D32" w:rsidRPr="00515DC8">
        <w:rPr>
          <w:lang w:val="en-GB"/>
        </w:rPr>
        <w:t>hods of measuring learning gain</w:t>
      </w:r>
      <w:r w:rsidR="00544258" w:rsidRPr="00515DC8">
        <w:rPr>
          <w:lang w:val="en-GB"/>
        </w:rPr>
        <w:t xml:space="preserve"> and informing recommendations for scalability of different approache</w:t>
      </w:r>
      <w:r w:rsidR="00D41532" w:rsidRPr="00515DC8">
        <w:rPr>
          <w:lang w:val="en-GB"/>
        </w:rPr>
        <w:t xml:space="preserve">s within </w:t>
      </w:r>
      <w:r w:rsidR="00DC5533" w:rsidRPr="00515DC8">
        <w:rPr>
          <w:lang w:val="en-GB"/>
        </w:rPr>
        <w:t>England</w:t>
      </w:r>
      <w:r w:rsidR="00DE71D7" w:rsidRPr="00515DC8">
        <w:rPr>
          <w:lang w:val="en-GB"/>
        </w:rPr>
        <w:t xml:space="preserve">. </w:t>
      </w:r>
      <w:r w:rsidR="0039166F" w:rsidRPr="00515DC8">
        <w:rPr>
          <w:lang w:val="en-GB"/>
        </w:rPr>
        <w:t xml:space="preserve"> </w:t>
      </w:r>
    </w:p>
    <w:p w14:paraId="48536D22" w14:textId="77777777" w:rsidR="0039166F" w:rsidRPr="00515DC8" w:rsidRDefault="0039166F" w:rsidP="001B74D8">
      <w:pPr>
        <w:spacing w:line="480" w:lineRule="auto"/>
        <w:rPr>
          <w:lang w:val="en-GB"/>
        </w:rPr>
      </w:pPr>
    </w:p>
    <w:p w14:paraId="7EFC0A57" w14:textId="55CF54F6" w:rsidR="00A85A6F" w:rsidRPr="00515DC8" w:rsidRDefault="00F16642" w:rsidP="001B74D8">
      <w:pPr>
        <w:spacing w:line="480" w:lineRule="auto"/>
        <w:rPr>
          <w:b/>
          <w:i/>
          <w:lang w:val="en-GB"/>
        </w:rPr>
      </w:pPr>
      <w:r w:rsidRPr="00515DC8">
        <w:rPr>
          <w:lang w:val="en-GB"/>
        </w:rPr>
        <w:t>In parallel,</w:t>
      </w:r>
      <w:r w:rsidR="00F54EF3" w:rsidRPr="00515DC8">
        <w:rPr>
          <w:lang w:val="en-GB"/>
        </w:rPr>
        <w:t xml:space="preserve"> </w:t>
      </w:r>
      <w:r w:rsidR="00544258" w:rsidRPr="00515DC8">
        <w:rPr>
          <w:lang w:val="en-GB"/>
        </w:rPr>
        <w:t>the</w:t>
      </w:r>
      <w:r w:rsidR="00F54EF3" w:rsidRPr="00515DC8">
        <w:rPr>
          <w:lang w:val="en-GB"/>
        </w:rPr>
        <w:t xml:space="preserve"> UK</w:t>
      </w:r>
      <w:r w:rsidR="00DE71D7" w:rsidRPr="00515DC8">
        <w:rPr>
          <w:lang w:val="en-GB"/>
        </w:rPr>
        <w:t xml:space="preserve"> </w:t>
      </w:r>
      <w:r w:rsidR="00544258" w:rsidRPr="00515DC8">
        <w:rPr>
          <w:lang w:val="en-GB"/>
        </w:rPr>
        <w:t xml:space="preserve">government began development of </w:t>
      </w:r>
      <w:r w:rsidR="00EC1F28" w:rsidRPr="00515DC8">
        <w:rPr>
          <w:lang w:val="en-GB"/>
        </w:rPr>
        <w:t xml:space="preserve">a </w:t>
      </w:r>
      <w:r w:rsidR="00544258" w:rsidRPr="00515DC8">
        <w:rPr>
          <w:lang w:val="en-GB"/>
        </w:rPr>
        <w:t>Teaching Excellence</w:t>
      </w:r>
      <w:r w:rsidR="00DE71D7" w:rsidRPr="00515DC8">
        <w:rPr>
          <w:lang w:val="en-GB"/>
        </w:rPr>
        <w:t xml:space="preserve"> and Student Outcomes</w:t>
      </w:r>
      <w:r w:rsidR="00544258" w:rsidRPr="00515DC8">
        <w:rPr>
          <w:lang w:val="en-GB"/>
        </w:rPr>
        <w:t xml:space="preserve"> Framework (TEF), which ‘aims to recognise and reward excellence in teaching, learning and outcomes, and to help inform prospective student choice’</w:t>
      </w:r>
      <w:r w:rsidR="00EC1F28" w:rsidRPr="00515DC8">
        <w:rPr>
          <w:lang w:val="en-GB"/>
        </w:rPr>
        <w:t xml:space="preserve"> (2015)</w:t>
      </w:r>
      <w:r w:rsidR="00544258" w:rsidRPr="00515DC8">
        <w:rPr>
          <w:lang w:val="en-GB"/>
        </w:rPr>
        <w:t xml:space="preserve">. The TEF has been piloted with noted limitations of existing metrics as proxy measures of the assessment criteria. </w:t>
      </w:r>
      <w:r w:rsidRPr="00515DC8">
        <w:rPr>
          <w:lang w:val="en-GB"/>
        </w:rPr>
        <w:t xml:space="preserve"> </w:t>
      </w:r>
      <w:r w:rsidR="00544258" w:rsidRPr="00515DC8">
        <w:rPr>
          <w:lang w:val="en-GB"/>
        </w:rPr>
        <w:t xml:space="preserve">Some of the measures </w:t>
      </w:r>
      <w:r w:rsidR="00EC1F28" w:rsidRPr="00515DC8">
        <w:rPr>
          <w:lang w:val="en-GB"/>
        </w:rPr>
        <w:t xml:space="preserve">used in the </w:t>
      </w:r>
      <w:r w:rsidR="00DC5533" w:rsidRPr="00515DC8">
        <w:rPr>
          <w:lang w:val="en-GB"/>
        </w:rPr>
        <w:t xml:space="preserve">initial </w:t>
      </w:r>
      <w:r w:rsidR="00EC1F28" w:rsidRPr="00515DC8">
        <w:rPr>
          <w:lang w:val="en-GB"/>
        </w:rPr>
        <w:t xml:space="preserve">iterations </w:t>
      </w:r>
      <w:r w:rsidR="00544258" w:rsidRPr="00515DC8">
        <w:rPr>
          <w:lang w:val="en-GB"/>
        </w:rPr>
        <w:t>are</w:t>
      </w:r>
      <w:r w:rsidR="001D1DE0" w:rsidRPr="00515DC8">
        <w:rPr>
          <w:lang w:val="en-GB"/>
        </w:rPr>
        <w:t xml:space="preserve"> student</w:t>
      </w:r>
      <w:r w:rsidR="00544258" w:rsidRPr="00515DC8">
        <w:rPr>
          <w:lang w:val="en-GB"/>
        </w:rPr>
        <w:t xml:space="preserve"> satisfaction, retention and completion, employment</w:t>
      </w:r>
      <w:r w:rsidR="002F5A2B" w:rsidRPr="00515DC8">
        <w:rPr>
          <w:lang w:val="en-GB"/>
        </w:rPr>
        <w:t>,</w:t>
      </w:r>
      <w:r w:rsidR="00544258" w:rsidRPr="00515DC8">
        <w:rPr>
          <w:lang w:val="en-GB"/>
        </w:rPr>
        <w:t xml:space="preserve"> and salary data. These are not necessarily measures of</w:t>
      </w:r>
      <w:r w:rsidR="00291D32" w:rsidRPr="00515DC8">
        <w:rPr>
          <w:lang w:val="en-GB"/>
        </w:rPr>
        <w:t xml:space="preserve"> high-</w:t>
      </w:r>
      <w:r w:rsidR="00B421B2" w:rsidRPr="00515DC8">
        <w:rPr>
          <w:lang w:val="en-GB"/>
        </w:rPr>
        <w:t xml:space="preserve">quality </w:t>
      </w:r>
      <w:r w:rsidR="00544258" w:rsidRPr="00515DC8">
        <w:rPr>
          <w:lang w:val="en-GB"/>
        </w:rPr>
        <w:t>student learning</w:t>
      </w:r>
      <w:r w:rsidR="00B421B2" w:rsidRPr="00515DC8">
        <w:rPr>
          <w:lang w:val="en-GB"/>
        </w:rPr>
        <w:t xml:space="preserve">. </w:t>
      </w:r>
      <w:r w:rsidR="00544258" w:rsidRPr="00515DC8">
        <w:rPr>
          <w:lang w:val="en-GB"/>
        </w:rPr>
        <w:t xml:space="preserve">Several </w:t>
      </w:r>
      <w:r w:rsidRPr="00515DC8">
        <w:rPr>
          <w:lang w:val="en-GB"/>
        </w:rPr>
        <w:t xml:space="preserve">measures </w:t>
      </w:r>
      <w:r w:rsidR="00544258" w:rsidRPr="00515DC8">
        <w:rPr>
          <w:lang w:val="en-GB"/>
        </w:rPr>
        <w:t xml:space="preserve">are </w:t>
      </w:r>
      <w:r w:rsidR="00EC1F28" w:rsidRPr="00515DC8">
        <w:rPr>
          <w:lang w:val="en-GB"/>
        </w:rPr>
        <w:t xml:space="preserve">highly </w:t>
      </w:r>
      <w:r w:rsidR="00544258" w:rsidRPr="00515DC8">
        <w:rPr>
          <w:lang w:val="en-GB"/>
        </w:rPr>
        <w:t>depend</w:t>
      </w:r>
      <w:r w:rsidR="00F54EF3" w:rsidRPr="00515DC8">
        <w:rPr>
          <w:lang w:val="en-GB"/>
        </w:rPr>
        <w:t>ent on student characteristics</w:t>
      </w:r>
      <w:r w:rsidR="00B421B2" w:rsidRPr="00515DC8">
        <w:rPr>
          <w:lang w:val="en-GB"/>
        </w:rPr>
        <w:t xml:space="preserve"> such as socio-economic status</w:t>
      </w:r>
      <w:r w:rsidR="00AE6B73" w:rsidRPr="00515DC8">
        <w:rPr>
          <w:lang w:val="en-GB"/>
        </w:rPr>
        <w:t>. The intention is to ‘</w:t>
      </w:r>
      <w:r w:rsidR="00F54EF3" w:rsidRPr="00515DC8">
        <w:rPr>
          <w:lang w:val="en-GB"/>
        </w:rPr>
        <w:t>incorporate new common metrics on engagement with study (including teaching intensity) and learning gain, on</w:t>
      </w:r>
      <w:r w:rsidR="00AE6B73" w:rsidRPr="00515DC8">
        <w:rPr>
          <w:lang w:val="en-GB"/>
        </w:rPr>
        <w:t>ce they are sufficiently robust’</w:t>
      </w:r>
      <w:r w:rsidR="00F54EF3" w:rsidRPr="00515DC8">
        <w:rPr>
          <w:lang w:val="en-GB"/>
        </w:rPr>
        <w:t xml:space="preserve"> (BIS, 2015</w:t>
      </w:r>
      <w:r w:rsidR="001F1F3E" w:rsidRPr="00515DC8">
        <w:rPr>
          <w:lang w:val="en-GB"/>
        </w:rPr>
        <w:t>, p. 25</w:t>
      </w:r>
      <w:r w:rsidR="00F54EF3" w:rsidRPr="00515DC8">
        <w:rPr>
          <w:lang w:val="en-GB"/>
        </w:rPr>
        <w:t xml:space="preserve">). </w:t>
      </w:r>
      <w:r w:rsidR="00E2278A" w:rsidRPr="00515DC8">
        <w:rPr>
          <w:lang w:val="en-GB"/>
        </w:rPr>
        <w:t xml:space="preserve"> </w:t>
      </w:r>
      <w:r w:rsidR="00A85A6F" w:rsidRPr="00515DC8">
        <w:rPr>
          <w:lang w:val="en-GB"/>
        </w:rPr>
        <w:t>The potential inclusion of learning gain measures in a national accountability system has raised interest and concerns about the HEFCE</w:t>
      </w:r>
      <w:r w:rsidR="00AA1AFC" w:rsidRPr="00515DC8">
        <w:rPr>
          <w:lang w:val="en-GB"/>
        </w:rPr>
        <w:t>/OfS</w:t>
      </w:r>
      <w:r w:rsidR="00A85A6F" w:rsidRPr="00515DC8">
        <w:rPr>
          <w:lang w:val="en-GB"/>
        </w:rPr>
        <w:t xml:space="preserve"> pilot projects. </w:t>
      </w:r>
      <w:r w:rsidR="00FF444B" w:rsidRPr="00515DC8">
        <w:rPr>
          <w:lang w:val="en-GB"/>
        </w:rPr>
        <w:t xml:space="preserve">This broader accountability agenda is part of a range of international efforts exploring outcomes of higher education, which </w:t>
      </w:r>
      <w:r w:rsidR="008F00FD" w:rsidRPr="00515DC8">
        <w:rPr>
          <w:lang w:val="en-GB"/>
        </w:rPr>
        <w:t>raise questions</w:t>
      </w:r>
      <w:r w:rsidR="00FF444B" w:rsidRPr="00515DC8">
        <w:rPr>
          <w:lang w:val="en-GB"/>
        </w:rPr>
        <w:t xml:space="preserve"> about why learning gain is being measured, what to measure, and what is possible to measure.</w:t>
      </w:r>
      <w:r w:rsidR="00E2278A" w:rsidRPr="00515DC8">
        <w:rPr>
          <w:lang w:val="en-GB"/>
        </w:rPr>
        <w:t xml:space="preserve"> </w:t>
      </w:r>
      <w:r w:rsidR="00FF444B" w:rsidRPr="00515DC8">
        <w:rPr>
          <w:lang w:val="en-GB"/>
        </w:rPr>
        <w:t xml:space="preserve"> </w:t>
      </w:r>
      <w:r w:rsidR="00DE71D7" w:rsidRPr="00515DC8">
        <w:rPr>
          <w:lang w:val="en-GB"/>
        </w:rPr>
        <w:t>M</w:t>
      </w:r>
      <w:r w:rsidR="00544258" w:rsidRPr="00515DC8">
        <w:rPr>
          <w:lang w:val="en-GB"/>
        </w:rPr>
        <w:t>easures of learning gain could provide more robust metrics to assess areas of teaching and learning quality.</w:t>
      </w:r>
      <w:r w:rsidR="00F54EF3" w:rsidRPr="00515DC8">
        <w:rPr>
          <w:lang w:val="en-GB"/>
        </w:rPr>
        <w:t xml:space="preserve"> </w:t>
      </w:r>
      <w:r w:rsidR="009A1F29" w:rsidRPr="00515DC8">
        <w:rPr>
          <w:lang w:val="en-GB"/>
        </w:rPr>
        <w:t xml:space="preserve">They have the potential to contribute to a virtuous cycle, by holding institutions accountable while activities undertaken to raise outcomes could lead to improvements in teaching and learning and the student experience. </w:t>
      </w:r>
      <w:r w:rsidR="00F54EF3" w:rsidRPr="00515DC8">
        <w:rPr>
          <w:lang w:val="en-GB"/>
        </w:rPr>
        <w:t>There are arguments that it is too difficult to measure the complexity of student learning</w:t>
      </w:r>
      <w:r w:rsidR="00513C2E" w:rsidRPr="00515DC8">
        <w:rPr>
          <w:lang w:val="en-GB"/>
        </w:rPr>
        <w:t>;</w:t>
      </w:r>
      <w:r w:rsidR="00F54EF3" w:rsidRPr="00515DC8">
        <w:rPr>
          <w:lang w:val="en-GB"/>
        </w:rPr>
        <w:t xml:space="preserve"> although it may be challenging, the </w:t>
      </w:r>
      <w:r w:rsidR="00513C2E" w:rsidRPr="00515DC8">
        <w:rPr>
          <w:lang w:val="en-GB"/>
        </w:rPr>
        <w:t xml:space="preserve">HEFCE/OfS </w:t>
      </w:r>
      <w:r w:rsidR="00F54EF3" w:rsidRPr="00515DC8">
        <w:rPr>
          <w:lang w:val="en-GB"/>
        </w:rPr>
        <w:t>learning gain pilot projects</w:t>
      </w:r>
      <w:r w:rsidR="00513C2E" w:rsidRPr="00515DC8">
        <w:rPr>
          <w:lang w:val="en-GB"/>
        </w:rPr>
        <w:t xml:space="preserve"> </w:t>
      </w:r>
      <w:r w:rsidR="00F54042" w:rsidRPr="00515DC8">
        <w:rPr>
          <w:lang w:val="en-GB"/>
        </w:rPr>
        <w:t>may nevertheless</w:t>
      </w:r>
      <w:r w:rsidR="00FF444B" w:rsidRPr="00515DC8">
        <w:rPr>
          <w:lang w:val="en-GB"/>
        </w:rPr>
        <w:t xml:space="preserve"> </w:t>
      </w:r>
      <w:r w:rsidR="00513C2E" w:rsidRPr="00515DC8">
        <w:rPr>
          <w:lang w:val="en-GB"/>
        </w:rPr>
        <w:t xml:space="preserve">find better ways of </w:t>
      </w:r>
      <w:r w:rsidR="00FF444B" w:rsidRPr="00515DC8">
        <w:rPr>
          <w:lang w:val="en-GB"/>
        </w:rPr>
        <w:t>capturing</w:t>
      </w:r>
      <w:r w:rsidR="00F54EF3" w:rsidRPr="00515DC8">
        <w:rPr>
          <w:lang w:val="en-GB"/>
        </w:rPr>
        <w:t xml:space="preserve"> student learning outcomes than existing measures. </w:t>
      </w:r>
    </w:p>
    <w:p w14:paraId="2B957201" w14:textId="77777777" w:rsidR="00AB066E" w:rsidRPr="00515DC8" w:rsidRDefault="00AB066E" w:rsidP="001B74D8">
      <w:pPr>
        <w:spacing w:line="480" w:lineRule="auto"/>
        <w:rPr>
          <w:b/>
          <w:i/>
          <w:lang w:val="en-GB"/>
        </w:rPr>
      </w:pPr>
    </w:p>
    <w:p w14:paraId="46097160" w14:textId="36D52FBF" w:rsidR="00F54EF3" w:rsidRPr="00515DC8" w:rsidRDefault="00AB066E" w:rsidP="00404D06">
      <w:pPr>
        <w:spacing w:line="480" w:lineRule="auto"/>
        <w:outlineLvl w:val="0"/>
        <w:rPr>
          <w:b/>
          <w:i/>
          <w:lang w:val="en-GB"/>
        </w:rPr>
      </w:pPr>
      <w:r w:rsidRPr="00515DC8">
        <w:rPr>
          <w:b/>
          <w:i/>
          <w:lang w:val="en-GB"/>
        </w:rPr>
        <w:t>Approaches to learning gain: the international context</w:t>
      </w:r>
    </w:p>
    <w:p w14:paraId="1F13C858" w14:textId="0DFB4626" w:rsidR="008F00FD" w:rsidRPr="00515DC8" w:rsidRDefault="00F54EF3" w:rsidP="001B74D8">
      <w:pPr>
        <w:spacing w:line="480" w:lineRule="auto"/>
        <w:rPr>
          <w:rStyle w:val="st"/>
          <w:lang w:val="en-GB"/>
        </w:rPr>
      </w:pPr>
      <w:r w:rsidRPr="00515DC8">
        <w:rPr>
          <w:lang w:val="en-GB"/>
        </w:rPr>
        <w:t>Interest in l</w:t>
      </w:r>
      <w:r w:rsidR="00544258" w:rsidRPr="00515DC8">
        <w:rPr>
          <w:lang w:val="en-GB"/>
        </w:rPr>
        <w:t>earning gain is not new.</w:t>
      </w:r>
      <w:r w:rsidR="00E2278A" w:rsidRPr="00515DC8">
        <w:rPr>
          <w:lang w:val="en-GB"/>
        </w:rPr>
        <w:t xml:space="preserve"> </w:t>
      </w:r>
      <w:r w:rsidR="00544258" w:rsidRPr="00515DC8">
        <w:rPr>
          <w:lang w:val="en-GB"/>
        </w:rPr>
        <w:t xml:space="preserve"> </w:t>
      </w:r>
      <w:r w:rsidR="00AE6B73" w:rsidRPr="00515DC8">
        <w:rPr>
          <w:rStyle w:val="st"/>
          <w:lang w:val="en-GB"/>
        </w:rPr>
        <w:t>In the US</w:t>
      </w:r>
      <w:r w:rsidR="00182A76" w:rsidRPr="00515DC8">
        <w:rPr>
          <w:rStyle w:val="st"/>
          <w:lang w:val="en-GB"/>
        </w:rPr>
        <w:t xml:space="preserve">, </w:t>
      </w:r>
      <w:r w:rsidR="00CC3D00" w:rsidRPr="00515DC8">
        <w:rPr>
          <w:rStyle w:val="st"/>
          <w:lang w:val="en-GB"/>
        </w:rPr>
        <w:t xml:space="preserve">much emphasis has been placed on the measurement of </w:t>
      </w:r>
      <w:bookmarkStart w:id="6" w:name="_Hlk510435211"/>
      <w:r w:rsidR="00CC3D00" w:rsidRPr="00515DC8">
        <w:rPr>
          <w:rStyle w:val="st"/>
          <w:lang w:val="en-GB"/>
        </w:rPr>
        <w:t xml:space="preserve">higher level thinking skills </w:t>
      </w:r>
      <w:bookmarkEnd w:id="6"/>
      <w:r w:rsidR="00CC3D00" w:rsidRPr="00515DC8">
        <w:rPr>
          <w:rStyle w:val="st"/>
          <w:lang w:val="en-GB"/>
        </w:rPr>
        <w:t xml:space="preserve">such as </w:t>
      </w:r>
      <w:r w:rsidR="00CC3D00" w:rsidRPr="00515DC8">
        <w:rPr>
          <w:rFonts w:eastAsia="Times New Roman"/>
          <w:lang w:val="en-GB"/>
        </w:rPr>
        <w:t xml:space="preserve">the measurement of </w:t>
      </w:r>
      <w:r w:rsidR="00CC3D00" w:rsidRPr="00515DC8">
        <w:rPr>
          <w:rStyle w:val="st"/>
          <w:lang w:val="en-GB"/>
        </w:rPr>
        <w:t xml:space="preserve">generic critical thinking skills </w:t>
      </w:r>
      <w:r w:rsidR="00CC3D00" w:rsidRPr="00515DC8">
        <w:rPr>
          <w:lang w:val="en-GB"/>
        </w:rPr>
        <w:t>via the</w:t>
      </w:r>
      <w:r w:rsidR="00CC3D00" w:rsidRPr="00515DC8">
        <w:rPr>
          <w:rStyle w:val="st"/>
          <w:lang w:val="en-GB"/>
        </w:rPr>
        <w:t xml:space="preserve"> Collegiate Learning Assessment Plus (</w:t>
      </w:r>
      <w:r w:rsidR="00CC3D00" w:rsidRPr="00515DC8">
        <w:rPr>
          <w:rStyle w:val="Emphasis"/>
          <w:i w:val="0"/>
          <w:lang w:val="en-GB"/>
        </w:rPr>
        <w:t>CLA</w:t>
      </w:r>
      <w:r w:rsidR="00CC3D00" w:rsidRPr="00515DC8">
        <w:rPr>
          <w:rStyle w:val="st"/>
          <w:i/>
          <w:lang w:val="en-GB"/>
        </w:rPr>
        <w:t>+)</w:t>
      </w:r>
      <w:r w:rsidR="00CC3D00" w:rsidRPr="00515DC8">
        <w:rPr>
          <w:rStyle w:val="st"/>
          <w:lang w:val="en-GB"/>
        </w:rPr>
        <w:t xml:space="preserve"> test developed by the Council for Aid to Education (CAE). </w:t>
      </w:r>
      <w:r w:rsidR="008F00FD" w:rsidRPr="00515DC8">
        <w:rPr>
          <w:rStyle w:val="st"/>
          <w:lang w:val="en-GB"/>
        </w:rPr>
        <w:t xml:space="preserve">The CLA+ test of critical thinking skills tests outcomes of the general education approach in the US which differs from subject-specific degrees in England.  The approach uses open-ended assessments which are focused on deep approaches to learning. </w:t>
      </w:r>
      <w:r w:rsidR="00FA5208" w:rsidRPr="00515DC8">
        <w:rPr>
          <w:rStyle w:val="st"/>
          <w:lang w:val="en-GB"/>
        </w:rPr>
        <w:t xml:space="preserve">The relevance and applicability to contexts outside of the US and especially in relation to the UK context </w:t>
      </w:r>
      <w:r w:rsidR="00291D32" w:rsidRPr="00515DC8">
        <w:rPr>
          <w:rStyle w:val="st"/>
          <w:lang w:val="en-GB"/>
        </w:rPr>
        <w:t>have</w:t>
      </w:r>
      <w:r w:rsidR="00FA5208" w:rsidRPr="00515DC8">
        <w:rPr>
          <w:rStyle w:val="st"/>
          <w:lang w:val="en-GB"/>
        </w:rPr>
        <w:t xml:space="preserve"> been highlighted in some of the HEFCE/OfS projects</w:t>
      </w:r>
      <w:r w:rsidR="00CE0BEB" w:rsidRPr="00515DC8">
        <w:rPr>
          <w:rStyle w:val="st"/>
          <w:lang w:val="en-GB"/>
        </w:rPr>
        <w:t xml:space="preserve"> </w:t>
      </w:r>
      <w:r w:rsidR="00FA5208" w:rsidRPr="00515DC8">
        <w:rPr>
          <w:rStyle w:val="st"/>
          <w:lang w:val="en-GB"/>
        </w:rPr>
        <w:t xml:space="preserve">(Kandiko Howson, 2018). </w:t>
      </w:r>
    </w:p>
    <w:p w14:paraId="0804FC72" w14:textId="77777777" w:rsidR="008F00FD" w:rsidRPr="00515DC8" w:rsidRDefault="008F00FD" w:rsidP="001B74D8">
      <w:pPr>
        <w:spacing w:line="480" w:lineRule="auto"/>
        <w:rPr>
          <w:rStyle w:val="st"/>
          <w:lang w:val="en-GB"/>
        </w:rPr>
      </w:pPr>
    </w:p>
    <w:p w14:paraId="4081607C" w14:textId="6D094A73" w:rsidR="00DF5DCD" w:rsidRPr="00515DC8" w:rsidRDefault="00AB6A32" w:rsidP="001B74D8">
      <w:pPr>
        <w:spacing w:line="480" w:lineRule="auto"/>
        <w:rPr>
          <w:rStyle w:val="st"/>
          <w:lang w:val="en-GB"/>
        </w:rPr>
      </w:pPr>
      <w:r w:rsidRPr="00515DC8">
        <w:rPr>
          <w:rStyle w:val="st"/>
          <w:lang w:val="en-GB"/>
        </w:rPr>
        <w:t>A</w:t>
      </w:r>
      <w:r w:rsidR="00832AB3" w:rsidRPr="00515DC8">
        <w:rPr>
          <w:rStyle w:val="st"/>
          <w:lang w:val="en-GB"/>
        </w:rPr>
        <w:t xml:space="preserve"> prominent</w:t>
      </w:r>
      <w:r w:rsidRPr="00515DC8">
        <w:rPr>
          <w:rStyle w:val="st"/>
          <w:lang w:val="en-GB"/>
        </w:rPr>
        <w:t xml:space="preserve"> US example of standardising assessment is that of the </w:t>
      </w:r>
      <w:bookmarkStart w:id="7" w:name="_Hlk501138736"/>
      <w:r w:rsidRPr="00515DC8">
        <w:rPr>
          <w:rStyle w:val="st"/>
          <w:lang w:val="en-GB"/>
        </w:rPr>
        <w:t>Association of American Colleges and Universities’</w:t>
      </w:r>
      <w:r w:rsidRPr="00515DC8">
        <w:rPr>
          <w:rFonts w:eastAsia="Times New Roman"/>
          <w:lang w:val="en-GB"/>
        </w:rPr>
        <w:t xml:space="preserve"> (AAC&amp;U) </w:t>
      </w:r>
      <w:r w:rsidRPr="00515DC8">
        <w:rPr>
          <w:rStyle w:val="st"/>
          <w:lang w:val="en-GB"/>
        </w:rPr>
        <w:t>Valid Assessment of Learning in Undergraduate Education</w:t>
      </w:r>
      <w:r w:rsidRPr="00515DC8">
        <w:rPr>
          <w:rFonts w:eastAsia="Times New Roman"/>
          <w:lang w:val="en-GB"/>
        </w:rPr>
        <w:t xml:space="preserve"> (VALUE)</w:t>
      </w:r>
      <w:bookmarkEnd w:id="7"/>
      <w:r w:rsidRPr="00515DC8">
        <w:rPr>
          <w:rFonts w:eastAsia="Times New Roman"/>
          <w:lang w:val="en-GB"/>
        </w:rPr>
        <w:t xml:space="preserve"> project. </w:t>
      </w:r>
      <w:r w:rsidR="00CC3D00" w:rsidRPr="00515DC8">
        <w:rPr>
          <w:rStyle w:val="st"/>
          <w:lang w:val="en-GB"/>
        </w:rPr>
        <w:t>In the VALUE project</w:t>
      </w:r>
      <w:r w:rsidR="001F30FA" w:rsidRPr="00515DC8">
        <w:rPr>
          <w:rStyle w:val="st"/>
          <w:lang w:val="en-GB"/>
        </w:rPr>
        <w:t>,</w:t>
      </w:r>
      <w:r w:rsidR="00CC3D00" w:rsidRPr="00515DC8">
        <w:rPr>
          <w:rStyle w:val="st"/>
          <w:lang w:val="en-GB"/>
        </w:rPr>
        <w:t xml:space="preserve"> rubrics are used</w:t>
      </w:r>
      <w:r w:rsidR="00CC3D00" w:rsidRPr="00515DC8">
        <w:rPr>
          <w:rFonts w:eastAsia="Times New Roman"/>
          <w:lang w:val="en-GB"/>
        </w:rPr>
        <w:t xml:space="preserve"> to externally assess students’ in-course assignments against nationally standardised learning outcomes (Rhodes, 2009</w:t>
      </w:r>
      <w:r w:rsidR="00E219AF" w:rsidRPr="00515DC8">
        <w:rPr>
          <w:rFonts w:eastAsia="Times New Roman"/>
          <w:lang w:val="en-GB"/>
        </w:rPr>
        <w:t xml:space="preserve">; </w:t>
      </w:r>
      <w:r w:rsidR="00E219AF" w:rsidRPr="00515DC8">
        <w:rPr>
          <w:rFonts w:eastAsia="Times New Roman"/>
          <w:color w:val="333333"/>
          <w:lang w:val="en-GB" w:eastAsia="en-GB"/>
        </w:rPr>
        <w:t>McConnell, &amp; Rhodes, 2017</w:t>
      </w:r>
      <w:r w:rsidR="00CC3D00" w:rsidRPr="00515DC8">
        <w:rPr>
          <w:rFonts w:eastAsia="Times New Roman"/>
          <w:lang w:val="en-GB"/>
        </w:rPr>
        <w:t xml:space="preserve">). </w:t>
      </w:r>
      <w:r w:rsidR="00CC3D00" w:rsidRPr="00515DC8">
        <w:rPr>
          <w:rStyle w:val="st"/>
          <w:lang w:val="en-GB"/>
        </w:rPr>
        <w:t xml:space="preserve"> Samples of students’ work are scored using value rubrics for 16 domains of intellectual and practical skills, personal and social responsibility dimensions and integrative and applied learning. </w:t>
      </w:r>
      <w:r w:rsidR="00F2289E" w:rsidRPr="00515DC8">
        <w:rPr>
          <w:rStyle w:val="st"/>
        </w:rPr>
        <w:t>Several</w:t>
      </w:r>
      <w:r w:rsidR="00CC3D00" w:rsidRPr="00515DC8">
        <w:rPr>
          <w:rStyle w:val="st"/>
          <w:lang w:val="en-GB"/>
        </w:rPr>
        <w:t xml:space="preserve"> principles underpin the rubrics including deep approaches to learning and student innovation and creativity. The approach has</w:t>
      </w:r>
      <w:r w:rsidR="00CC3D00" w:rsidRPr="00515DC8">
        <w:rPr>
          <w:rFonts w:eastAsia="Times New Roman"/>
          <w:lang w:val="en-GB"/>
        </w:rPr>
        <w:t xml:space="preserve"> </w:t>
      </w:r>
      <w:r w:rsidR="00182A76" w:rsidRPr="00515DC8">
        <w:rPr>
          <w:rFonts w:eastAsia="Times New Roman"/>
          <w:lang w:val="en-GB"/>
        </w:rPr>
        <w:t xml:space="preserve">extensive institutional buy-in but </w:t>
      </w:r>
      <w:r w:rsidR="00C77503" w:rsidRPr="00515DC8">
        <w:rPr>
          <w:rFonts w:eastAsia="Times New Roman"/>
          <w:lang w:val="en-GB"/>
        </w:rPr>
        <w:t xml:space="preserve">it </w:t>
      </w:r>
      <w:r w:rsidR="00182A76" w:rsidRPr="00515DC8">
        <w:rPr>
          <w:rFonts w:eastAsia="Times New Roman"/>
          <w:lang w:val="en-GB"/>
        </w:rPr>
        <w:t>is resource and time-intensive</w:t>
      </w:r>
      <w:r w:rsidR="00CC3D00" w:rsidRPr="00515DC8">
        <w:rPr>
          <w:rFonts w:eastAsia="Times New Roman"/>
          <w:lang w:val="en-GB"/>
        </w:rPr>
        <w:t xml:space="preserve">. Also focused on outcomes, </w:t>
      </w:r>
      <w:r w:rsidR="00CC3D00" w:rsidRPr="00515DC8">
        <w:rPr>
          <w:lang w:val="en-GB"/>
        </w:rPr>
        <w:t>the Wabash National Study</w:t>
      </w:r>
      <w:r w:rsidR="00E219AF" w:rsidRPr="00515DC8">
        <w:rPr>
          <w:lang w:val="en-GB"/>
        </w:rPr>
        <w:t xml:space="preserve"> </w:t>
      </w:r>
      <w:r w:rsidR="00CC3D00" w:rsidRPr="00515DC8">
        <w:rPr>
          <w:lang w:val="en-GB"/>
        </w:rPr>
        <w:t>(2006-2012) led by the Center of Inquiry</w:t>
      </w:r>
      <w:r w:rsidR="00B17476" w:rsidRPr="00515DC8">
        <w:rPr>
          <w:lang w:val="en-GB"/>
        </w:rPr>
        <w:t xml:space="preserve"> (2016)</w:t>
      </w:r>
      <w:r w:rsidR="00CC3D00" w:rsidRPr="00515DC8">
        <w:rPr>
          <w:lang w:val="en-GB"/>
        </w:rPr>
        <w:t xml:space="preserve"> involving 49 institutions</w:t>
      </w:r>
      <w:r w:rsidR="004B08EF" w:rsidRPr="00515DC8">
        <w:rPr>
          <w:lang w:val="en-GB"/>
        </w:rPr>
        <w:t>,</w:t>
      </w:r>
      <w:r w:rsidR="00CC3D00" w:rsidRPr="00515DC8">
        <w:rPr>
          <w:lang w:val="en-GB"/>
        </w:rPr>
        <w:t xml:space="preserve"> sought to explore practices and structures supporting liberal arts education and different methods of assessing liberal arts focusing on 12 outcome</w:t>
      </w:r>
      <w:r w:rsidR="004B08EF" w:rsidRPr="00515DC8">
        <w:rPr>
          <w:lang w:val="en-GB"/>
        </w:rPr>
        <w:t xml:space="preserve"> measures</w:t>
      </w:r>
      <w:r w:rsidR="00CC3D00" w:rsidRPr="00515DC8">
        <w:rPr>
          <w:lang w:val="en-GB"/>
        </w:rPr>
        <w:t xml:space="preserve"> (e.g., critical thinking; moral reasoning</w:t>
      </w:r>
      <w:r w:rsidR="004B08EF" w:rsidRPr="00515DC8">
        <w:rPr>
          <w:lang w:val="en-GB"/>
        </w:rPr>
        <w:t>;</w:t>
      </w:r>
      <w:r w:rsidR="00CC3D00" w:rsidRPr="00515DC8">
        <w:rPr>
          <w:lang w:val="en-GB"/>
        </w:rPr>
        <w:t xml:space="preserve"> openness to engaging new ideas and diverse people); the importance of using data collected to benefit student learning is emphasized as one of the key outcomes </w:t>
      </w:r>
      <w:r w:rsidR="00291D32" w:rsidRPr="00515DC8">
        <w:rPr>
          <w:lang w:val="en-GB"/>
        </w:rPr>
        <w:t>of</w:t>
      </w:r>
      <w:r w:rsidR="00CC3D00" w:rsidRPr="00515DC8">
        <w:rPr>
          <w:lang w:val="en-GB"/>
        </w:rPr>
        <w:t xml:space="preserve"> the project (Blaich &amp; Wise</w:t>
      </w:r>
      <w:r w:rsidR="001F30FA" w:rsidRPr="00515DC8">
        <w:rPr>
          <w:lang w:val="en-GB"/>
        </w:rPr>
        <w:t>, 2011</w:t>
      </w:r>
      <w:r w:rsidR="00CC3D00" w:rsidRPr="00515DC8">
        <w:rPr>
          <w:lang w:val="en-GB"/>
        </w:rPr>
        <w:t xml:space="preserve">). </w:t>
      </w:r>
    </w:p>
    <w:p w14:paraId="46361E21" w14:textId="77777777" w:rsidR="00AB066E" w:rsidRPr="00515DC8" w:rsidRDefault="00AB066E" w:rsidP="001B74D8">
      <w:pPr>
        <w:spacing w:line="480" w:lineRule="auto"/>
        <w:rPr>
          <w:rStyle w:val="st"/>
          <w:lang w:val="en-GB"/>
        </w:rPr>
      </w:pPr>
    </w:p>
    <w:p w14:paraId="252EC3E3" w14:textId="6F45A219" w:rsidR="00AB066E" w:rsidRPr="00515DC8" w:rsidRDefault="00AB066E" w:rsidP="001B74D8">
      <w:pPr>
        <w:spacing w:line="480" w:lineRule="auto"/>
        <w:rPr>
          <w:lang w:val="en-GB"/>
        </w:rPr>
      </w:pPr>
      <w:r w:rsidRPr="00515DC8">
        <w:rPr>
          <w:rStyle w:val="st"/>
          <w:lang w:val="en-GB"/>
        </w:rPr>
        <w:t>Another approach focusing on student learning outcomes is the</w:t>
      </w:r>
      <w:bookmarkStart w:id="8" w:name="_Hlk501138767"/>
      <w:r w:rsidRPr="00515DC8">
        <w:rPr>
          <w:rStyle w:val="st"/>
          <w:lang w:val="en-GB"/>
        </w:rPr>
        <w:t xml:space="preserve"> </w:t>
      </w:r>
      <w:r w:rsidRPr="00515DC8">
        <w:rPr>
          <w:lang w:val="en-GB"/>
        </w:rPr>
        <w:t>Voluntary System of Accountability (VSA)</w:t>
      </w:r>
      <w:bookmarkEnd w:id="8"/>
      <w:r w:rsidRPr="00515DC8">
        <w:rPr>
          <w:lang w:val="en-GB"/>
        </w:rPr>
        <w:t xml:space="preserve"> – a </w:t>
      </w:r>
      <w:r w:rsidRPr="00515DC8">
        <w:rPr>
          <w:rStyle w:val="st"/>
          <w:lang w:val="en-GB"/>
        </w:rPr>
        <w:t xml:space="preserve">holistic accountability </w:t>
      </w:r>
      <w:r w:rsidR="00F2289E" w:rsidRPr="00515DC8">
        <w:rPr>
          <w:rStyle w:val="st"/>
        </w:rPr>
        <w:t>framework,</w:t>
      </w:r>
      <w:r w:rsidR="00F2289E" w:rsidRPr="00515DC8">
        <w:t xml:space="preserve"> which</w:t>
      </w:r>
      <w:r w:rsidRPr="00515DC8">
        <w:rPr>
          <w:lang w:val="en-GB"/>
        </w:rPr>
        <w:t xml:space="preserve"> ‘was created to provide greater accountability through accessible, transparent, and comparable information, and more recently, has been developed to support professional development opportunities to advance institutional data capacity.’</w:t>
      </w:r>
      <w:r w:rsidR="00B17476" w:rsidRPr="00515DC8">
        <w:rPr>
          <w:lang w:val="en-GB"/>
        </w:rPr>
        <w:t xml:space="preserve"> (VSA, n.d.). </w:t>
      </w:r>
      <w:r w:rsidRPr="00515DC8">
        <w:rPr>
          <w:lang w:val="en-GB"/>
        </w:rPr>
        <w:t xml:space="preserve">The VSA was introduced in 2007 by the US </w:t>
      </w:r>
      <w:bookmarkStart w:id="9" w:name="_Hlk501138779"/>
      <w:r w:rsidRPr="00515DC8">
        <w:rPr>
          <w:lang w:val="en-GB"/>
        </w:rPr>
        <w:t>Association of Public and Land-grant Universities (APLU) and the American Association of State Colleges and Universities (AASCU)</w:t>
      </w:r>
      <w:bookmarkEnd w:id="9"/>
      <w:r w:rsidRPr="00515DC8">
        <w:rPr>
          <w:lang w:val="en-GB"/>
        </w:rPr>
        <w:t xml:space="preserve"> based on the premise of offering straightforward, flexible, comparable information on the undergraduate experience, including student progress and learning outcomes. It provides a model for how multiple measures of student learning can be incorporated into a customisable portal. The 2017 VSA Vision focuses more directly on providing support to participating institutions to increase data, tools, and ability to develop and deliver exceptional evidence-based communications for a variety of stakeholders. An increasing emphasis on promoting acc</w:t>
      </w:r>
      <w:r w:rsidR="00291D32" w:rsidRPr="00515DC8">
        <w:rPr>
          <w:lang w:val="en-GB"/>
        </w:rPr>
        <w:t xml:space="preserve">ess to HE and equity within it </w:t>
      </w:r>
      <w:r w:rsidRPr="00515DC8">
        <w:rPr>
          <w:lang w:val="en-GB"/>
        </w:rPr>
        <w:t xml:space="preserve">has seen the </w:t>
      </w:r>
      <w:r w:rsidRPr="00515DC8">
        <w:rPr>
          <w:color w:val="000000" w:themeColor="text1"/>
          <w:lang w:val="en-GB"/>
        </w:rPr>
        <w:t xml:space="preserve">launch of the </w:t>
      </w:r>
      <w:hyperlink r:id="rId9" w:tgtFrame="_blank" w:history="1">
        <w:r w:rsidRPr="00515DC8">
          <w:rPr>
            <w:rFonts w:eastAsia="Times New Roman"/>
            <w:bCs/>
            <w:color w:val="000000" w:themeColor="text1"/>
            <w:lang w:val="en-GB" w:eastAsia="en-GB"/>
          </w:rPr>
          <w:t>Center for Public University Transformation</w:t>
        </w:r>
      </w:hyperlink>
      <w:r w:rsidRPr="00515DC8">
        <w:rPr>
          <w:rFonts w:eastAsia="Times New Roman"/>
          <w:color w:val="000000" w:themeColor="text1"/>
          <w:lang w:val="en-GB" w:eastAsia="en-GB"/>
        </w:rPr>
        <w:t xml:space="preserve"> (CPUT) by the </w:t>
      </w:r>
      <w:r w:rsidRPr="00515DC8">
        <w:rPr>
          <w:rFonts w:eastAsia="Times New Roman"/>
          <w:color w:val="333333"/>
          <w:lang w:val="en-GB" w:eastAsia="en-GB"/>
        </w:rPr>
        <w:t>APLU involving 100 public research universities in the US with the aim of developing, refining, and scaling innovative practices that also endeavour to close the achievement gap</w:t>
      </w:r>
      <w:r w:rsidRPr="00515DC8">
        <w:rPr>
          <w:lang w:val="en-GB"/>
        </w:rPr>
        <w:t xml:space="preserve">. </w:t>
      </w:r>
    </w:p>
    <w:p w14:paraId="52D9BC44" w14:textId="77777777" w:rsidR="00B37A2B" w:rsidRPr="00515DC8" w:rsidRDefault="00B37A2B" w:rsidP="001B74D8">
      <w:pPr>
        <w:spacing w:line="480" w:lineRule="auto"/>
        <w:rPr>
          <w:lang w:val="en-GB"/>
        </w:rPr>
      </w:pPr>
    </w:p>
    <w:p w14:paraId="24B11697" w14:textId="4266487E" w:rsidR="00B37A2B" w:rsidRPr="00515DC8" w:rsidRDefault="00B37A2B" w:rsidP="001B74D8">
      <w:pPr>
        <w:spacing w:line="480" w:lineRule="auto"/>
        <w:rPr>
          <w:rFonts w:eastAsia="Times New Roman"/>
          <w:lang w:val="en-GB"/>
        </w:rPr>
      </w:pPr>
      <w:r w:rsidRPr="00515DC8">
        <w:rPr>
          <w:lang w:val="en-GB"/>
        </w:rPr>
        <w:t xml:space="preserve">Building on the work in the US and related efforts across Australia and Europe, in 2012 the </w:t>
      </w:r>
      <w:bookmarkStart w:id="10" w:name="_Hlk501138703"/>
      <w:r w:rsidRPr="00515DC8">
        <w:rPr>
          <w:rStyle w:val="st"/>
          <w:lang w:val="en-GB"/>
        </w:rPr>
        <w:t>Organisation for Economic Co-operation and Development</w:t>
      </w:r>
      <w:r w:rsidRPr="00515DC8">
        <w:rPr>
          <w:lang w:val="en-GB"/>
        </w:rPr>
        <w:t xml:space="preserve"> (OECD) </w:t>
      </w:r>
      <w:bookmarkEnd w:id="10"/>
      <w:r w:rsidRPr="00515DC8">
        <w:rPr>
          <w:lang w:val="en-GB"/>
        </w:rPr>
        <w:t xml:space="preserve">undertook a feasibility study </w:t>
      </w:r>
      <w:r w:rsidR="008F00FD" w:rsidRPr="00515DC8">
        <w:rPr>
          <w:lang w:val="en-GB"/>
        </w:rPr>
        <w:t xml:space="preserve">through </w:t>
      </w:r>
      <w:r w:rsidRPr="00515DC8">
        <w:rPr>
          <w:lang w:val="en-GB"/>
        </w:rPr>
        <w:t xml:space="preserve">the </w:t>
      </w:r>
      <w:bookmarkStart w:id="11" w:name="_Hlk501138713"/>
      <w:r w:rsidRPr="00515DC8">
        <w:rPr>
          <w:lang w:val="en-GB"/>
        </w:rPr>
        <w:t xml:space="preserve">Assessment of Learning Outcomes in Higher Education </w:t>
      </w:r>
      <w:r w:rsidR="008F00FD" w:rsidRPr="00515DC8">
        <w:rPr>
          <w:lang w:val="en-GB"/>
        </w:rPr>
        <w:t xml:space="preserve">project </w:t>
      </w:r>
      <w:r w:rsidRPr="00515DC8">
        <w:rPr>
          <w:lang w:val="en-GB"/>
        </w:rPr>
        <w:t>(AHELO)</w:t>
      </w:r>
      <w:bookmarkEnd w:id="11"/>
      <w:r w:rsidRPr="00515DC8">
        <w:rPr>
          <w:lang w:val="en-GB"/>
        </w:rPr>
        <w:t xml:space="preserve"> across multiple countries and subjects of study (Tremblay, Lalancette, &amp; Roseveare, 2012). They faced challenges around what to measure, with i</w:t>
      </w:r>
      <w:r w:rsidRPr="00515DC8">
        <w:rPr>
          <w:rFonts w:eastAsia="Times New Roman"/>
          <w:lang w:val="en-GB"/>
        </w:rPr>
        <w:t>nternational, cultural</w:t>
      </w:r>
      <w:r w:rsidR="00D67457">
        <w:rPr>
          <w:rFonts w:eastAsia="Times New Roman"/>
          <w:lang w:val="en-GB"/>
        </w:rPr>
        <w:t>,</w:t>
      </w:r>
      <w:r w:rsidRPr="00515DC8">
        <w:rPr>
          <w:rFonts w:eastAsia="Times New Roman"/>
          <w:lang w:val="en-GB"/>
        </w:rPr>
        <w:t xml:space="preserve"> and subject-level differences emerging. </w:t>
      </w:r>
      <w:r w:rsidR="00291D32" w:rsidRPr="00515DC8">
        <w:rPr>
          <w:rFonts w:eastAsia="Times New Roman"/>
          <w:lang w:val="en-GB"/>
        </w:rPr>
        <w:t xml:space="preserve"> </w:t>
      </w:r>
      <w:r w:rsidRPr="00515DC8">
        <w:rPr>
          <w:rFonts w:eastAsia="Times New Roman"/>
          <w:lang w:val="en-GB"/>
        </w:rPr>
        <w:t xml:space="preserve">Due to concerns about data quality and use, and </w:t>
      </w:r>
      <w:r w:rsidR="008F00FD" w:rsidRPr="00515DC8">
        <w:rPr>
          <w:rFonts w:eastAsia="Times New Roman"/>
          <w:lang w:val="en-GB"/>
        </w:rPr>
        <w:t xml:space="preserve">lack of </w:t>
      </w:r>
      <w:r w:rsidR="00AC7CC9">
        <w:rPr>
          <w:rFonts w:eastAsia="Times New Roman"/>
          <w:lang w:val="en-GB"/>
        </w:rPr>
        <w:t>buy-</w:t>
      </w:r>
      <w:r w:rsidRPr="00515DC8">
        <w:rPr>
          <w:rFonts w:eastAsia="Times New Roman"/>
          <w:lang w:val="en-GB"/>
        </w:rPr>
        <w:t>in from national governments</w:t>
      </w:r>
      <w:r w:rsidR="00291D32" w:rsidRPr="00515DC8">
        <w:rPr>
          <w:rFonts w:eastAsia="Times New Roman"/>
          <w:lang w:val="en-GB"/>
        </w:rPr>
        <w:t xml:space="preserve"> </w:t>
      </w:r>
      <w:r w:rsidRPr="00515DC8">
        <w:rPr>
          <w:rFonts w:eastAsia="Times New Roman"/>
          <w:lang w:val="en-GB"/>
        </w:rPr>
        <w:t>the project was not continued (</w:t>
      </w:r>
      <w:r w:rsidR="00B17476" w:rsidRPr="00515DC8">
        <w:rPr>
          <w:rFonts w:eastAsia="Times New Roman"/>
          <w:lang w:val="en-GB"/>
        </w:rPr>
        <w:t xml:space="preserve">Morgan, 2015; </w:t>
      </w:r>
      <w:r w:rsidRPr="00515DC8">
        <w:rPr>
          <w:rFonts w:eastAsia="Times New Roman"/>
          <w:lang w:val="en-GB"/>
        </w:rPr>
        <w:t>OECD, 2013a</w:t>
      </w:r>
      <w:r w:rsidR="008F00FD" w:rsidRPr="00515DC8">
        <w:rPr>
          <w:rFonts w:eastAsia="Times New Roman"/>
          <w:lang w:val="en-GB"/>
        </w:rPr>
        <w:t>,</w:t>
      </w:r>
      <w:r w:rsidR="00291D32" w:rsidRPr="00515DC8">
        <w:rPr>
          <w:rFonts w:eastAsia="Times New Roman"/>
          <w:lang w:val="en-GB"/>
        </w:rPr>
        <w:t xml:space="preserve"> </w:t>
      </w:r>
      <w:r w:rsidR="008F00FD" w:rsidRPr="00515DC8">
        <w:rPr>
          <w:rFonts w:eastAsia="Times New Roman"/>
          <w:lang w:val="en-GB"/>
        </w:rPr>
        <w:t>b)</w:t>
      </w:r>
      <w:r w:rsidRPr="00515DC8">
        <w:rPr>
          <w:rFonts w:eastAsia="Times New Roman"/>
          <w:lang w:val="en-GB"/>
        </w:rPr>
        <w:t xml:space="preserve">. </w:t>
      </w:r>
    </w:p>
    <w:p w14:paraId="38BC582E" w14:textId="77777777" w:rsidR="00B37A2B" w:rsidRPr="00515DC8" w:rsidRDefault="00B37A2B" w:rsidP="001B74D8">
      <w:pPr>
        <w:spacing w:line="480" w:lineRule="auto"/>
        <w:rPr>
          <w:rFonts w:eastAsia="Times New Roman"/>
          <w:lang w:val="en-GB"/>
        </w:rPr>
      </w:pPr>
    </w:p>
    <w:p w14:paraId="2C8FA578" w14:textId="0E623257" w:rsidR="00B37A2B" w:rsidRPr="00515DC8" w:rsidRDefault="00B37A2B" w:rsidP="001B74D8">
      <w:pPr>
        <w:spacing w:line="480" w:lineRule="auto"/>
        <w:rPr>
          <w:lang w:val="en-GB"/>
        </w:rPr>
      </w:pPr>
      <w:r w:rsidRPr="00515DC8">
        <w:rPr>
          <w:rFonts w:eastAsia="Times New Roman"/>
          <w:lang w:val="en-GB"/>
        </w:rPr>
        <w:t xml:space="preserve">Emphasis on the development of adequate measurements of achieved learning outcomes is reinforced in the Bologna Process in Europe and the European Qualifications Framework (EQF). The European Commission supports the </w:t>
      </w:r>
      <w:bookmarkStart w:id="12" w:name="_Hlk501138803"/>
      <w:r w:rsidRPr="00515DC8">
        <w:rPr>
          <w:rFonts w:eastAsia="Times New Roman"/>
          <w:lang w:val="en-GB"/>
        </w:rPr>
        <w:t>Measuring and Comparing Achievements of Learning Outcomes in Higher Education in Europe (CALOHEE)</w:t>
      </w:r>
      <w:bookmarkEnd w:id="12"/>
      <w:r w:rsidR="00291D32" w:rsidRPr="00515DC8">
        <w:rPr>
          <w:rFonts w:eastAsia="Times New Roman"/>
          <w:lang w:val="en-GB"/>
        </w:rPr>
        <w:t xml:space="preserve"> project as part of the Tuning </w:t>
      </w:r>
      <w:r w:rsidRPr="00515DC8">
        <w:rPr>
          <w:rFonts w:eastAsia="Times New Roman"/>
          <w:lang w:val="en-GB"/>
        </w:rPr>
        <w:t>Framework</w:t>
      </w:r>
      <w:r w:rsidR="00B17476" w:rsidRPr="00515DC8">
        <w:rPr>
          <w:rFonts w:eastAsia="Times New Roman"/>
          <w:lang w:val="en-GB"/>
        </w:rPr>
        <w:t xml:space="preserve"> (Calohee, 2018)</w:t>
      </w:r>
      <w:r w:rsidRPr="00515DC8">
        <w:rPr>
          <w:lang w:val="en-GB"/>
        </w:rPr>
        <w:t xml:space="preserve">. </w:t>
      </w:r>
      <w:r w:rsidRPr="00515DC8">
        <w:rPr>
          <w:rFonts w:eastAsia="Times New Roman"/>
          <w:lang w:val="en-GB"/>
        </w:rPr>
        <w:t xml:space="preserve"> This work focuses on aligning frameworks for course design rather than student outcomes. There are also national research projects in Germany</w:t>
      </w:r>
      <w:r w:rsidR="00B17476" w:rsidRPr="00515DC8">
        <w:rPr>
          <w:rFonts w:eastAsia="Times New Roman"/>
          <w:lang w:val="en-GB"/>
        </w:rPr>
        <w:t xml:space="preserve"> (Blomeke et al., 2013)</w:t>
      </w:r>
      <w:r w:rsidRPr="00515DC8">
        <w:rPr>
          <w:rFonts w:eastAsia="Times New Roman"/>
          <w:lang w:val="en-GB"/>
        </w:rPr>
        <w:t>, Brazil</w:t>
      </w:r>
      <w:r w:rsidR="002A42B7" w:rsidRPr="00515DC8">
        <w:rPr>
          <w:rFonts w:eastAsia="Times New Roman"/>
          <w:lang w:val="en-GB"/>
        </w:rPr>
        <w:t xml:space="preserve"> (</w:t>
      </w:r>
      <w:r w:rsidR="002A42B7" w:rsidRPr="00515DC8">
        <w:rPr>
          <w:lang w:val="en-GB"/>
        </w:rPr>
        <w:t xml:space="preserve">Meguizo &amp; Wainer, </w:t>
      </w:r>
      <w:r w:rsidR="002A42B7" w:rsidRPr="00515DC8">
        <w:rPr>
          <w:rFonts w:eastAsia="Times New Roman"/>
          <w:lang w:val="en-GB"/>
        </w:rPr>
        <w:t>2016)</w:t>
      </w:r>
      <w:r w:rsidR="00C77503" w:rsidRPr="00515DC8">
        <w:rPr>
          <w:rFonts w:eastAsia="Times New Roman"/>
          <w:lang w:val="en-GB"/>
        </w:rPr>
        <w:t>,</w:t>
      </w:r>
      <w:r w:rsidR="002A42B7" w:rsidRPr="00515DC8">
        <w:rPr>
          <w:rFonts w:eastAsia="Times New Roman"/>
          <w:lang w:val="en-GB"/>
        </w:rPr>
        <w:t xml:space="preserve"> </w:t>
      </w:r>
      <w:r w:rsidRPr="00515DC8">
        <w:rPr>
          <w:rFonts w:eastAsia="Times New Roman"/>
          <w:lang w:val="en-GB"/>
        </w:rPr>
        <w:t>Italy</w:t>
      </w:r>
      <w:r w:rsidR="002A42B7" w:rsidRPr="00515DC8">
        <w:rPr>
          <w:rFonts w:eastAsia="Times New Roman"/>
          <w:lang w:val="en-GB"/>
        </w:rPr>
        <w:t xml:space="preserve"> (</w:t>
      </w:r>
      <w:r w:rsidR="002A42B7" w:rsidRPr="00515DC8">
        <w:rPr>
          <w:lang w:val="en-GB"/>
        </w:rPr>
        <w:t>Cattani, Guidetti, &amp; Pedrini, 2017)</w:t>
      </w:r>
      <w:r w:rsidR="00C77503" w:rsidRPr="00515DC8">
        <w:rPr>
          <w:lang w:val="en-GB"/>
        </w:rPr>
        <w:t>,</w:t>
      </w:r>
      <w:r w:rsidR="002A42B7" w:rsidRPr="00515DC8">
        <w:rPr>
          <w:lang w:val="en-GB"/>
        </w:rPr>
        <w:t xml:space="preserve"> </w:t>
      </w:r>
      <w:r w:rsidR="00C77503" w:rsidRPr="00515DC8">
        <w:rPr>
          <w:rFonts w:eastAsia="Times New Roman"/>
          <w:lang w:val="en-GB"/>
        </w:rPr>
        <w:t>and Colu</w:t>
      </w:r>
      <w:r w:rsidRPr="00515DC8">
        <w:rPr>
          <w:rFonts w:eastAsia="Times New Roman"/>
          <w:lang w:val="en-GB"/>
        </w:rPr>
        <w:t>mbia</w:t>
      </w:r>
      <w:r w:rsidR="002A42B7" w:rsidRPr="00515DC8">
        <w:rPr>
          <w:rFonts w:eastAsia="Times New Roman"/>
          <w:lang w:val="en-GB"/>
        </w:rPr>
        <w:t xml:space="preserve"> (Shavelson et al., 2016)</w:t>
      </w:r>
      <w:r w:rsidRPr="00515DC8">
        <w:rPr>
          <w:rFonts w:eastAsia="Times New Roman"/>
          <w:lang w:val="en-GB"/>
        </w:rPr>
        <w:t xml:space="preserve"> on student learning outcomes, and the development of generic and discipline-specific tests to measure learning gain which have raised concerns about student engagement, breadth of focus across sectors of higher education, and practical challenges of such efforts. In pursuit of research into what works there is increasing emphasis on embedded evaluation as an integral requirement of government funding (e.g.</w:t>
      </w:r>
      <w:r w:rsidR="00C77503" w:rsidRPr="00515DC8">
        <w:rPr>
          <w:rFonts w:eastAsia="Times New Roman"/>
          <w:lang w:val="en-GB"/>
        </w:rPr>
        <w:t>,</w:t>
      </w:r>
      <w:r w:rsidRPr="00515DC8">
        <w:rPr>
          <w:rFonts w:eastAsia="Times New Roman"/>
          <w:lang w:val="en-GB"/>
        </w:rPr>
        <w:t xml:space="preserve"> Australia, Germany, UK, US). Drawing on the CLA+ and AHELO projects, the International Performance Assessment of Learning (iPAL) </w:t>
      </w:r>
      <w:r w:rsidRPr="00515DC8">
        <w:rPr>
          <w:rFonts w:eastAsia="Times New Roman"/>
          <w:shd w:val="clear" w:color="auto" w:fill="FFFFFF" w:themeFill="background1"/>
          <w:lang w:val="en-GB"/>
        </w:rPr>
        <w:t>project</w:t>
      </w:r>
      <w:r w:rsidR="002A42B7" w:rsidRPr="00515DC8">
        <w:rPr>
          <w:rFonts w:eastAsia="Times New Roman"/>
          <w:shd w:val="clear" w:color="auto" w:fill="FFFFFF" w:themeFill="background1"/>
          <w:lang w:val="en-GB"/>
        </w:rPr>
        <w:t xml:space="preserve"> (Ipal R &amp; D, 2018)</w:t>
      </w:r>
      <w:r w:rsidRPr="00515DC8">
        <w:rPr>
          <w:rFonts w:eastAsia="Times New Roman"/>
          <w:lang w:val="en-GB"/>
        </w:rPr>
        <w:t xml:space="preserve"> led by Shavelson, Solana-Flores, Tritschanskaia, and Marino, aims to </w:t>
      </w:r>
      <w:r w:rsidRPr="00515DC8">
        <w:rPr>
          <w:lang w:val="en-GB"/>
        </w:rPr>
        <w:t xml:space="preserve">develop reliable and valid performance assessments of </w:t>
      </w:r>
      <w:r w:rsidR="00B6512D">
        <w:rPr>
          <w:lang w:val="en-GB"/>
        </w:rPr>
        <w:t>21st-century</w:t>
      </w:r>
      <w:r w:rsidRPr="00515DC8">
        <w:rPr>
          <w:lang w:val="en-GB"/>
        </w:rPr>
        <w:t xml:space="preserve"> ("generic") skills that can be used by HEIs nationally and cross-nationally to measure learning providing both formative and summative functions.</w:t>
      </w:r>
      <w:r w:rsidR="00DC0C4D" w:rsidRPr="00515DC8">
        <w:rPr>
          <w:lang w:val="en-GB"/>
        </w:rPr>
        <w:t xml:space="preserve"> </w:t>
      </w:r>
    </w:p>
    <w:p w14:paraId="05DBCF66" w14:textId="77777777" w:rsidR="00AB066E" w:rsidRPr="00515DC8" w:rsidRDefault="00AB066E" w:rsidP="001B74D8">
      <w:pPr>
        <w:pStyle w:val="ListParagraph"/>
        <w:spacing w:line="480" w:lineRule="auto"/>
        <w:ind w:left="0"/>
        <w:rPr>
          <w:rFonts w:ascii="Times New Roman" w:eastAsia="Times New Roman" w:hAnsi="Times New Roman" w:cs="Times New Roman"/>
          <w:sz w:val="24"/>
          <w:szCs w:val="24"/>
        </w:rPr>
      </w:pPr>
    </w:p>
    <w:p w14:paraId="1006F1BA" w14:textId="68F7D047" w:rsidR="00351A56" w:rsidRPr="00515DC8" w:rsidRDefault="00AB066E" w:rsidP="001B74D8">
      <w:pPr>
        <w:pStyle w:val="ListParagraph"/>
        <w:spacing w:line="480" w:lineRule="auto"/>
        <w:ind w:left="0"/>
        <w:rPr>
          <w:rFonts w:ascii="Times New Roman" w:hAnsi="Times New Roman" w:cs="Times New Roman"/>
          <w:sz w:val="24"/>
          <w:szCs w:val="24"/>
        </w:rPr>
      </w:pPr>
      <w:r w:rsidRPr="00515DC8">
        <w:rPr>
          <w:rFonts w:ascii="Times New Roman" w:eastAsia="Times New Roman" w:hAnsi="Times New Roman" w:cs="Times New Roman"/>
          <w:sz w:val="24"/>
          <w:szCs w:val="24"/>
        </w:rPr>
        <w:t>S</w:t>
      </w:r>
      <w:r w:rsidR="00DF5DCD" w:rsidRPr="00515DC8">
        <w:rPr>
          <w:rFonts w:ascii="Times New Roman" w:eastAsia="Times New Roman" w:hAnsi="Times New Roman" w:cs="Times New Roman"/>
          <w:sz w:val="24"/>
          <w:szCs w:val="24"/>
        </w:rPr>
        <w:t>tudent engagement</w:t>
      </w:r>
      <w:r w:rsidRPr="00515DC8">
        <w:rPr>
          <w:rFonts w:ascii="Times New Roman" w:eastAsia="Times New Roman" w:hAnsi="Times New Roman" w:cs="Times New Roman"/>
          <w:sz w:val="24"/>
          <w:szCs w:val="24"/>
        </w:rPr>
        <w:t xml:space="preserve"> has also been used</w:t>
      </w:r>
      <w:r w:rsidR="00DF5DCD" w:rsidRPr="00515DC8">
        <w:rPr>
          <w:rFonts w:ascii="Times New Roman" w:eastAsia="Times New Roman" w:hAnsi="Times New Roman" w:cs="Times New Roman"/>
          <w:sz w:val="24"/>
          <w:szCs w:val="24"/>
        </w:rPr>
        <w:t xml:space="preserve"> as a proxy for learning gain (</w:t>
      </w:r>
      <w:r w:rsidR="00DF5DCD" w:rsidRPr="00515DC8">
        <w:rPr>
          <w:rFonts w:ascii="Times New Roman" w:eastAsia="Times New Roman" w:hAnsi="Times New Roman" w:cs="Times New Roman"/>
          <w:i/>
          <w:sz w:val="24"/>
          <w:szCs w:val="24"/>
        </w:rPr>
        <w:t>Stoakes &amp; Neves, 2018</w:t>
      </w:r>
      <w:r w:rsidR="00DF5DCD" w:rsidRPr="00515DC8">
        <w:rPr>
          <w:rFonts w:ascii="Times New Roman" w:eastAsia="Times New Roman" w:hAnsi="Times New Roman" w:cs="Times New Roman"/>
          <w:sz w:val="24"/>
          <w:szCs w:val="24"/>
        </w:rPr>
        <w:t xml:space="preserve">) with the rhetoric suggesting that this is a better measure of the </w:t>
      </w:r>
      <w:r w:rsidR="00DF5DCD" w:rsidRPr="00515DC8">
        <w:rPr>
          <w:rFonts w:ascii="Times New Roman" w:hAnsi="Times New Roman" w:cs="Times New Roman"/>
          <w:sz w:val="24"/>
          <w:szCs w:val="24"/>
        </w:rPr>
        <w:t>qua</w:t>
      </w:r>
      <w:r w:rsidR="00832AB3" w:rsidRPr="00515DC8">
        <w:rPr>
          <w:rFonts w:ascii="Times New Roman" w:hAnsi="Times New Roman" w:cs="Times New Roman"/>
          <w:sz w:val="24"/>
          <w:szCs w:val="24"/>
        </w:rPr>
        <w:t xml:space="preserve">lity learning and teaching in </w:t>
      </w:r>
      <w:r w:rsidR="00F3688F" w:rsidRPr="00515DC8">
        <w:rPr>
          <w:rFonts w:ascii="Times New Roman" w:hAnsi="Times New Roman" w:cs="Times New Roman"/>
          <w:sz w:val="24"/>
          <w:szCs w:val="24"/>
        </w:rPr>
        <w:t>HE</w:t>
      </w:r>
      <w:r w:rsidR="00DF5DCD" w:rsidRPr="00515DC8">
        <w:rPr>
          <w:rFonts w:ascii="Times New Roman" w:eastAsia="Times New Roman" w:hAnsi="Times New Roman" w:cs="Times New Roman"/>
          <w:sz w:val="24"/>
          <w:szCs w:val="24"/>
        </w:rPr>
        <w:t xml:space="preserve"> than </w:t>
      </w:r>
      <w:r w:rsidR="00832AB3" w:rsidRPr="00515DC8">
        <w:rPr>
          <w:rFonts w:ascii="Times New Roman" w:eastAsia="Times New Roman" w:hAnsi="Times New Roman" w:cs="Times New Roman"/>
          <w:sz w:val="24"/>
          <w:szCs w:val="24"/>
        </w:rPr>
        <w:t xml:space="preserve">the use of </w:t>
      </w:r>
      <w:r w:rsidR="006F669C" w:rsidRPr="00515DC8">
        <w:rPr>
          <w:rFonts w:ascii="Times New Roman" w:eastAsia="Times New Roman" w:hAnsi="Times New Roman" w:cs="Times New Roman"/>
          <w:sz w:val="24"/>
          <w:szCs w:val="24"/>
        </w:rPr>
        <w:t xml:space="preserve">standardised tests or </w:t>
      </w:r>
      <w:r w:rsidRPr="00515DC8">
        <w:rPr>
          <w:rFonts w:ascii="Times New Roman" w:eastAsia="Times New Roman" w:hAnsi="Times New Roman" w:cs="Times New Roman"/>
          <w:sz w:val="24"/>
          <w:szCs w:val="24"/>
        </w:rPr>
        <w:t xml:space="preserve">student satisfaction surveys. </w:t>
      </w:r>
      <w:r w:rsidR="00832AB3" w:rsidRPr="00515DC8">
        <w:rPr>
          <w:rFonts w:ascii="Times New Roman" w:eastAsia="Times New Roman" w:hAnsi="Times New Roman" w:cs="Times New Roman"/>
          <w:sz w:val="24"/>
          <w:szCs w:val="24"/>
        </w:rPr>
        <w:t xml:space="preserve"> </w:t>
      </w:r>
      <w:r w:rsidR="00DF5DCD" w:rsidRPr="00515DC8">
        <w:rPr>
          <w:rFonts w:ascii="Times New Roman" w:hAnsi="Times New Roman" w:cs="Times New Roman"/>
          <w:sz w:val="24"/>
          <w:szCs w:val="24"/>
        </w:rPr>
        <w:t>Engagement surveys started in the US, and are now endemic within HE, spreading to Canada, Australia</w:t>
      </w:r>
      <w:r w:rsidR="008F00FD" w:rsidRPr="00515DC8">
        <w:rPr>
          <w:rFonts w:ascii="Times New Roman" w:hAnsi="Times New Roman" w:cs="Times New Roman"/>
          <w:sz w:val="24"/>
          <w:szCs w:val="24"/>
        </w:rPr>
        <w:t>, Ireland</w:t>
      </w:r>
      <w:r w:rsidR="00C77503" w:rsidRPr="00515DC8">
        <w:rPr>
          <w:rFonts w:ascii="Times New Roman" w:hAnsi="Times New Roman" w:cs="Times New Roman"/>
          <w:sz w:val="24"/>
          <w:szCs w:val="24"/>
        </w:rPr>
        <w:t>,</w:t>
      </w:r>
      <w:r w:rsidR="00DF5DCD" w:rsidRPr="00515DC8">
        <w:rPr>
          <w:rFonts w:ascii="Times New Roman" w:hAnsi="Times New Roman" w:cs="Times New Roman"/>
          <w:sz w:val="24"/>
          <w:szCs w:val="24"/>
        </w:rPr>
        <w:t xml:space="preserve"> and many other countries and higher education systems (Coates, &amp; McCormick, 2014). </w:t>
      </w:r>
      <w:r w:rsidR="00F3688F" w:rsidRPr="00515DC8">
        <w:rPr>
          <w:rFonts w:ascii="Times New Roman" w:hAnsi="Times New Roman" w:cs="Times New Roman"/>
          <w:sz w:val="24"/>
          <w:szCs w:val="24"/>
        </w:rPr>
        <w:t xml:space="preserve"> </w:t>
      </w:r>
      <w:r w:rsidR="00DF5DCD" w:rsidRPr="00515DC8">
        <w:rPr>
          <w:rFonts w:ascii="Times New Roman" w:hAnsi="Times New Roman" w:cs="Times New Roman"/>
          <w:sz w:val="24"/>
          <w:szCs w:val="24"/>
        </w:rPr>
        <w:t xml:space="preserve">In the UK, the </w:t>
      </w:r>
      <w:r w:rsidR="006F669C" w:rsidRPr="00515DC8">
        <w:rPr>
          <w:rFonts w:ascii="Times New Roman" w:hAnsi="Times New Roman" w:cs="Times New Roman"/>
          <w:sz w:val="24"/>
          <w:szCs w:val="24"/>
        </w:rPr>
        <w:t>Higher Education Policy Institute/Higher Education Academy (</w:t>
      </w:r>
      <w:r w:rsidR="00DF5DCD" w:rsidRPr="00515DC8">
        <w:rPr>
          <w:rFonts w:ascii="Times New Roman" w:hAnsi="Times New Roman" w:cs="Times New Roman"/>
          <w:sz w:val="24"/>
          <w:szCs w:val="24"/>
        </w:rPr>
        <w:t>HEPI/HEA</w:t>
      </w:r>
      <w:r w:rsidR="00FF5EF4" w:rsidRPr="00515DC8">
        <w:rPr>
          <w:rFonts w:ascii="Times New Roman" w:hAnsi="Times New Roman" w:cs="Times New Roman"/>
          <w:sz w:val="24"/>
          <w:szCs w:val="24"/>
        </w:rPr>
        <w:t>/Advance HE</w:t>
      </w:r>
      <w:r w:rsidR="006F669C" w:rsidRPr="00515DC8">
        <w:rPr>
          <w:rFonts w:ascii="Times New Roman" w:hAnsi="Times New Roman" w:cs="Times New Roman"/>
          <w:sz w:val="24"/>
          <w:szCs w:val="24"/>
        </w:rPr>
        <w:t>)</w:t>
      </w:r>
      <w:r w:rsidR="00DF5DCD" w:rsidRPr="00515DC8">
        <w:rPr>
          <w:rFonts w:ascii="Times New Roman" w:hAnsi="Times New Roman" w:cs="Times New Roman"/>
          <w:sz w:val="24"/>
          <w:szCs w:val="24"/>
        </w:rPr>
        <w:t xml:space="preserve"> Student Academic Experience Survey has evolved to include questions on student well-being as part of student HE experiences.  The </w:t>
      </w:r>
      <w:r w:rsidR="008F00FD" w:rsidRPr="00515DC8">
        <w:rPr>
          <w:rFonts w:ascii="Times New Roman" w:hAnsi="Times New Roman" w:cs="Times New Roman"/>
          <w:sz w:val="24"/>
          <w:szCs w:val="24"/>
        </w:rPr>
        <w:t xml:space="preserve">national </w:t>
      </w:r>
      <w:r w:rsidR="006F669C" w:rsidRPr="00515DC8">
        <w:rPr>
          <w:rFonts w:ascii="Times New Roman" w:hAnsi="Times New Roman" w:cs="Times New Roman"/>
          <w:sz w:val="24"/>
          <w:szCs w:val="24"/>
        </w:rPr>
        <w:t>HEA</w:t>
      </w:r>
      <w:r w:rsidR="00FF5EF4" w:rsidRPr="00515DC8">
        <w:rPr>
          <w:rFonts w:ascii="Times New Roman" w:hAnsi="Times New Roman" w:cs="Times New Roman"/>
          <w:sz w:val="24"/>
          <w:szCs w:val="24"/>
        </w:rPr>
        <w:t>/Advance HE</w:t>
      </w:r>
      <w:r w:rsidR="00DF5DCD" w:rsidRPr="00515DC8">
        <w:rPr>
          <w:rFonts w:ascii="Times New Roman" w:hAnsi="Times New Roman" w:cs="Times New Roman"/>
          <w:sz w:val="24"/>
          <w:szCs w:val="24"/>
        </w:rPr>
        <w:t xml:space="preserve">’s UK Engagement Survey provides nationally benchmarked data on students’ engagement with their studies within and beyond the classroom. </w:t>
      </w:r>
      <w:r w:rsidR="00F3688F" w:rsidRPr="00515DC8">
        <w:rPr>
          <w:rFonts w:ascii="Times New Roman" w:hAnsi="Times New Roman" w:cs="Times New Roman"/>
          <w:sz w:val="24"/>
          <w:szCs w:val="24"/>
        </w:rPr>
        <w:t xml:space="preserve"> </w:t>
      </w:r>
      <w:r w:rsidRPr="00515DC8">
        <w:rPr>
          <w:rFonts w:ascii="Times New Roman" w:hAnsi="Times New Roman" w:cs="Times New Roman"/>
          <w:sz w:val="24"/>
          <w:szCs w:val="24"/>
        </w:rPr>
        <w:t xml:space="preserve">The </w:t>
      </w:r>
      <w:r w:rsidR="00D71ADD" w:rsidRPr="00515DC8">
        <w:rPr>
          <w:rFonts w:ascii="Times New Roman" w:hAnsi="Times New Roman" w:cs="Times New Roman"/>
          <w:sz w:val="24"/>
          <w:szCs w:val="24"/>
        </w:rPr>
        <w:t xml:space="preserve">UK </w:t>
      </w:r>
      <w:r w:rsidRPr="00515DC8">
        <w:rPr>
          <w:rFonts w:ascii="Times New Roman" w:hAnsi="Times New Roman" w:cs="Times New Roman"/>
          <w:sz w:val="24"/>
          <w:szCs w:val="24"/>
        </w:rPr>
        <w:t>National Student Surve</w:t>
      </w:r>
      <w:r w:rsidR="00D71ADD" w:rsidRPr="00515DC8">
        <w:rPr>
          <w:rFonts w:ascii="Times New Roman" w:hAnsi="Times New Roman" w:cs="Times New Roman"/>
          <w:sz w:val="24"/>
          <w:szCs w:val="24"/>
        </w:rPr>
        <w:t xml:space="preserve">y (NSS) </w:t>
      </w:r>
      <w:r w:rsidRPr="00515DC8">
        <w:rPr>
          <w:rFonts w:ascii="Times New Roman" w:hAnsi="Times New Roman" w:cs="Times New Roman"/>
          <w:sz w:val="24"/>
          <w:szCs w:val="24"/>
        </w:rPr>
        <w:t>has evolved from its origins in 2006 to also include questions tapping into student voice and engagement in learning and teaching.</w:t>
      </w:r>
      <w:r w:rsidR="00F3688F" w:rsidRPr="00515DC8">
        <w:rPr>
          <w:rFonts w:ascii="Times New Roman" w:hAnsi="Times New Roman" w:cs="Times New Roman"/>
          <w:sz w:val="24"/>
          <w:szCs w:val="24"/>
        </w:rPr>
        <w:t xml:space="preserve"> </w:t>
      </w:r>
      <w:r w:rsidRPr="00515DC8">
        <w:rPr>
          <w:rFonts w:ascii="Times New Roman" w:hAnsi="Times New Roman" w:cs="Times New Roman"/>
          <w:sz w:val="24"/>
          <w:szCs w:val="24"/>
        </w:rPr>
        <w:t xml:space="preserve"> </w:t>
      </w:r>
      <w:r w:rsidR="00DF5DCD" w:rsidRPr="00515DC8">
        <w:rPr>
          <w:rFonts w:ascii="Times New Roman" w:hAnsi="Times New Roman" w:cs="Times New Roman"/>
          <w:sz w:val="24"/>
          <w:szCs w:val="24"/>
        </w:rPr>
        <w:t xml:space="preserve">Such surveys </w:t>
      </w:r>
      <w:r w:rsidR="00F3688F" w:rsidRPr="00515DC8">
        <w:rPr>
          <w:rFonts w:ascii="Times New Roman" w:hAnsi="Times New Roman" w:cs="Times New Roman"/>
          <w:sz w:val="24"/>
          <w:szCs w:val="24"/>
        </w:rPr>
        <w:t xml:space="preserve">may have driven some improvements in teaching quality but they are not </w:t>
      </w:r>
      <w:r w:rsidR="00DF5DCD" w:rsidRPr="00515DC8">
        <w:rPr>
          <w:rFonts w:ascii="Times New Roman" w:hAnsi="Times New Roman" w:cs="Times New Roman"/>
          <w:sz w:val="24"/>
          <w:szCs w:val="24"/>
        </w:rPr>
        <w:t>a strong measure of learning gai</w:t>
      </w:r>
      <w:r w:rsidR="00F3688F" w:rsidRPr="00515DC8">
        <w:rPr>
          <w:rFonts w:ascii="Times New Roman" w:hAnsi="Times New Roman" w:cs="Times New Roman"/>
          <w:sz w:val="24"/>
          <w:szCs w:val="24"/>
        </w:rPr>
        <w:t>n per se.  R</w:t>
      </w:r>
      <w:r w:rsidR="00DF5DCD" w:rsidRPr="00515DC8">
        <w:rPr>
          <w:rFonts w:ascii="Times New Roman" w:hAnsi="Times New Roman" w:cs="Times New Roman"/>
          <w:sz w:val="24"/>
          <w:szCs w:val="24"/>
        </w:rPr>
        <w:t xml:space="preserve">ather their relative </w:t>
      </w:r>
      <w:r w:rsidR="00DF5DCD" w:rsidRPr="00515DC8">
        <w:rPr>
          <w:rFonts w:ascii="Times New Roman" w:eastAsia="Times New Roman" w:hAnsi="Times New Roman" w:cs="Times New Roman"/>
          <w:sz w:val="24"/>
          <w:szCs w:val="24"/>
        </w:rPr>
        <w:t xml:space="preserve">value is determined by how engagement is defined and measured. </w:t>
      </w:r>
      <w:r w:rsidR="00F3688F" w:rsidRPr="00515DC8">
        <w:rPr>
          <w:rFonts w:ascii="Times New Roman" w:eastAsia="Times New Roman" w:hAnsi="Times New Roman" w:cs="Times New Roman"/>
          <w:sz w:val="24"/>
          <w:szCs w:val="24"/>
        </w:rPr>
        <w:t xml:space="preserve"> </w:t>
      </w:r>
      <w:r w:rsidR="00DF5DCD" w:rsidRPr="00515DC8">
        <w:rPr>
          <w:rFonts w:ascii="Times New Roman" w:hAnsi="Times New Roman" w:cs="Times New Roman"/>
          <w:sz w:val="24"/>
          <w:szCs w:val="24"/>
        </w:rPr>
        <w:t xml:space="preserve">The link between engagement, student learning gain, </w:t>
      </w:r>
      <w:r w:rsidR="006F669C" w:rsidRPr="00515DC8">
        <w:rPr>
          <w:rFonts w:ascii="Times New Roman" w:hAnsi="Times New Roman" w:cs="Times New Roman"/>
          <w:sz w:val="24"/>
          <w:szCs w:val="24"/>
        </w:rPr>
        <w:t>satisfaction</w:t>
      </w:r>
      <w:r w:rsidR="00C77503" w:rsidRPr="00515DC8">
        <w:rPr>
          <w:rFonts w:ascii="Times New Roman" w:hAnsi="Times New Roman" w:cs="Times New Roman"/>
          <w:sz w:val="24"/>
          <w:szCs w:val="24"/>
        </w:rPr>
        <w:t>,</w:t>
      </w:r>
      <w:r w:rsidR="006F669C" w:rsidRPr="00515DC8">
        <w:rPr>
          <w:rFonts w:ascii="Times New Roman" w:hAnsi="Times New Roman" w:cs="Times New Roman"/>
          <w:sz w:val="24"/>
          <w:szCs w:val="24"/>
        </w:rPr>
        <w:t xml:space="preserve"> </w:t>
      </w:r>
      <w:r w:rsidR="00DF5DCD" w:rsidRPr="00515DC8">
        <w:rPr>
          <w:rFonts w:ascii="Times New Roman" w:hAnsi="Times New Roman" w:cs="Times New Roman"/>
          <w:sz w:val="24"/>
          <w:szCs w:val="24"/>
        </w:rPr>
        <w:t>and quality of teaching is complex and tenuous (Evans, Muijs, &amp; Tomlinson, 2015)</w:t>
      </w:r>
      <w:r w:rsidR="00D67457">
        <w:rPr>
          <w:rFonts w:ascii="Times New Roman" w:hAnsi="Times New Roman" w:cs="Times New Roman"/>
          <w:sz w:val="24"/>
          <w:szCs w:val="24"/>
        </w:rPr>
        <w:t>,</w:t>
      </w:r>
      <w:r w:rsidR="006F669C" w:rsidRPr="00515DC8">
        <w:rPr>
          <w:rFonts w:ascii="Times New Roman" w:eastAsia="Times New Roman" w:hAnsi="Times New Roman" w:cs="Times New Roman"/>
          <w:sz w:val="24"/>
          <w:szCs w:val="24"/>
        </w:rPr>
        <w:t xml:space="preserve"> and the assessment and feedback dimension</w:t>
      </w:r>
      <w:r w:rsidRPr="00515DC8">
        <w:rPr>
          <w:rFonts w:ascii="Times New Roman" w:eastAsia="Times New Roman" w:hAnsi="Times New Roman" w:cs="Times New Roman"/>
          <w:sz w:val="24"/>
          <w:szCs w:val="24"/>
        </w:rPr>
        <w:t xml:space="preserve"> of the UK NSS</w:t>
      </w:r>
      <w:r w:rsidR="006F669C" w:rsidRPr="00515DC8">
        <w:rPr>
          <w:rFonts w:ascii="Times New Roman" w:eastAsia="Times New Roman" w:hAnsi="Times New Roman" w:cs="Times New Roman"/>
          <w:sz w:val="24"/>
          <w:szCs w:val="24"/>
        </w:rPr>
        <w:t xml:space="preserve"> has relatively weak predictive ability (Burgess, Senior, &amp; Moores, 2018)</w:t>
      </w:r>
      <w:r w:rsidR="00DF5DCD" w:rsidRPr="00515DC8">
        <w:rPr>
          <w:rFonts w:ascii="Times New Roman" w:hAnsi="Times New Roman" w:cs="Times New Roman"/>
          <w:sz w:val="24"/>
          <w:szCs w:val="24"/>
        </w:rPr>
        <w:t>.  With both engagement and student satisfaction surveys</w:t>
      </w:r>
      <w:r w:rsidR="00956A8A" w:rsidRPr="00515DC8">
        <w:rPr>
          <w:rFonts w:ascii="Times New Roman" w:hAnsi="Times New Roman" w:cs="Times New Roman"/>
          <w:sz w:val="24"/>
          <w:szCs w:val="24"/>
        </w:rPr>
        <w:t>,</w:t>
      </w:r>
      <w:r w:rsidR="00DF5DCD" w:rsidRPr="00515DC8">
        <w:rPr>
          <w:rFonts w:ascii="Times New Roman" w:hAnsi="Times New Roman" w:cs="Times New Roman"/>
          <w:sz w:val="24"/>
          <w:szCs w:val="24"/>
        </w:rPr>
        <w:t xml:space="preserve"> individual student characteristics (e.g., learning orientation, discipline, conceptions of learning) impact </w:t>
      </w:r>
      <w:r w:rsidR="009D784C" w:rsidRPr="00515DC8">
        <w:rPr>
          <w:rFonts w:ascii="Times New Roman" w:hAnsi="Times New Roman" w:cs="Times New Roman"/>
          <w:sz w:val="24"/>
          <w:szCs w:val="24"/>
        </w:rPr>
        <w:t xml:space="preserve">both on how students self-select into studies and </w:t>
      </w:r>
      <w:r w:rsidR="00DF5DCD" w:rsidRPr="00515DC8">
        <w:rPr>
          <w:rFonts w:ascii="Times New Roman" w:hAnsi="Times New Roman" w:cs="Times New Roman"/>
          <w:sz w:val="24"/>
          <w:szCs w:val="24"/>
        </w:rPr>
        <w:t xml:space="preserve">on how students </w:t>
      </w:r>
      <w:r w:rsidR="00D703A0" w:rsidRPr="00515DC8">
        <w:rPr>
          <w:rFonts w:ascii="Times New Roman" w:hAnsi="Times New Roman" w:cs="Times New Roman"/>
          <w:sz w:val="24"/>
          <w:szCs w:val="24"/>
        </w:rPr>
        <w:t>respond</w:t>
      </w:r>
      <w:r w:rsidR="009D784C" w:rsidRPr="00515DC8">
        <w:rPr>
          <w:rFonts w:ascii="Times New Roman" w:hAnsi="Times New Roman" w:cs="Times New Roman"/>
          <w:sz w:val="24"/>
          <w:szCs w:val="24"/>
        </w:rPr>
        <w:t xml:space="preserve"> to test items. W</w:t>
      </w:r>
      <w:r w:rsidR="00D75182" w:rsidRPr="00515DC8">
        <w:rPr>
          <w:rFonts w:ascii="Times New Roman" w:hAnsi="Times New Roman" w:cs="Times New Roman"/>
          <w:sz w:val="24"/>
          <w:szCs w:val="24"/>
        </w:rPr>
        <w:t>ithout an indefinite number of norm</w:t>
      </w:r>
      <w:r w:rsidR="00AC7891" w:rsidRPr="00515DC8">
        <w:rPr>
          <w:rFonts w:ascii="Times New Roman" w:hAnsi="Times New Roman" w:cs="Times New Roman"/>
          <w:sz w:val="24"/>
          <w:szCs w:val="24"/>
        </w:rPr>
        <w:t>-</w:t>
      </w:r>
      <w:r w:rsidR="00D75182" w:rsidRPr="00515DC8">
        <w:rPr>
          <w:rFonts w:ascii="Times New Roman" w:hAnsi="Times New Roman" w:cs="Times New Roman"/>
          <w:sz w:val="24"/>
          <w:szCs w:val="24"/>
        </w:rPr>
        <w:t>reference groups</w:t>
      </w:r>
      <w:r w:rsidR="009D784C" w:rsidRPr="00515DC8">
        <w:rPr>
          <w:rFonts w:ascii="Times New Roman" w:hAnsi="Times New Roman" w:cs="Times New Roman"/>
          <w:sz w:val="24"/>
          <w:szCs w:val="24"/>
        </w:rPr>
        <w:t xml:space="preserve"> to ensure that the sampled population is representative of the population of interest</w:t>
      </w:r>
      <w:r w:rsidR="00D75182" w:rsidRPr="00515DC8">
        <w:rPr>
          <w:rFonts w:ascii="Times New Roman" w:hAnsi="Times New Roman" w:cs="Times New Roman"/>
          <w:sz w:val="24"/>
          <w:szCs w:val="24"/>
        </w:rPr>
        <w:t xml:space="preserve">, </w:t>
      </w:r>
      <w:r w:rsidR="00DF5DCD" w:rsidRPr="00515DC8">
        <w:rPr>
          <w:rFonts w:ascii="Times New Roman" w:hAnsi="Times New Roman" w:cs="Times New Roman"/>
          <w:sz w:val="24"/>
          <w:szCs w:val="24"/>
        </w:rPr>
        <w:t>these differences limit the extent to which reliable comparative analysis</w:t>
      </w:r>
      <w:r w:rsidR="00291D32" w:rsidRPr="00515DC8">
        <w:rPr>
          <w:rFonts w:ascii="Times New Roman" w:hAnsi="Times New Roman" w:cs="Times New Roman"/>
          <w:sz w:val="24"/>
          <w:szCs w:val="24"/>
        </w:rPr>
        <w:t xml:space="preserve"> can take plac</w:t>
      </w:r>
      <w:r w:rsidR="001D3429" w:rsidRPr="00515DC8">
        <w:rPr>
          <w:rFonts w:ascii="Times New Roman" w:hAnsi="Times New Roman" w:cs="Times New Roman"/>
          <w:sz w:val="24"/>
          <w:szCs w:val="24"/>
        </w:rPr>
        <w:t>e</w:t>
      </w:r>
      <w:r w:rsidR="00DF5DCD" w:rsidRPr="00515DC8">
        <w:rPr>
          <w:rFonts w:ascii="Times New Roman" w:hAnsi="Times New Roman" w:cs="Times New Roman"/>
          <w:sz w:val="24"/>
          <w:szCs w:val="24"/>
        </w:rPr>
        <w:t xml:space="preserve"> and the </w:t>
      </w:r>
      <w:r w:rsidR="006F669C" w:rsidRPr="00515DC8">
        <w:rPr>
          <w:rFonts w:ascii="Times New Roman" w:hAnsi="Times New Roman" w:cs="Times New Roman"/>
          <w:sz w:val="24"/>
          <w:szCs w:val="24"/>
        </w:rPr>
        <w:t xml:space="preserve">extent to which </w:t>
      </w:r>
      <w:r w:rsidR="00DF5DCD" w:rsidRPr="00515DC8">
        <w:rPr>
          <w:rFonts w:ascii="Times New Roman" w:hAnsi="Times New Roman" w:cs="Times New Roman"/>
          <w:sz w:val="24"/>
          <w:szCs w:val="24"/>
        </w:rPr>
        <w:t xml:space="preserve">measures can </w:t>
      </w:r>
      <w:r w:rsidR="006F669C" w:rsidRPr="00515DC8">
        <w:rPr>
          <w:rFonts w:ascii="Times New Roman" w:hAnsi="Times New Roman" w:cs="Times New Roman"/>
          <w:sz w:val="24"/>
          <w:szCs w:val="24"/>
        </w:rPr>
        <w:t>meaningfully</w:t>
      </w:r>
      <w:r w:rsidR="00DF5DCD" w:rsidRPr="00515DC8">
        <w:rPr>
          <w:rFonts w:ascii="Times New Roman" w:hAnsi="Times New Roman" w:cs="Times New Roman"/>
          <w:sz w:val="24"/>
          <w:szCs w:val="24"/>
        </w:rPr>
        <w:t xml:space="preserve"> influence policy and practice (</w:t>
      </w:r>
      <w:r w:rsidR="00DF5DCD" w:rsidRPr="00515DC8">
        <w:rPr>
          <w:rStyle w:val="txt"/>
          <w:rFonts w:ascii="Times New Roman" w:hAnsi="Times New Roman" w:cs="Times New Roman"/>
          <w:sz w:val="24"/>
          <w:szCs w:val="24"/>
        </w:rPr>
        <w:t>Bennett &amp; Kane, 2014).</w:t>
      </w:r>
      <w:r w:rsidR="00C77503" w:rsidRPr="00515DC8">
        <w:rPr>
          <w:rFonts w:ascii="Times New Roman" w:hAnsi="Times New Roman" w:cs="Times New Roman"/>
          <w:sz w:val="24"/>
          <w:szCs w:val="24"/>
        </w:rPr>
        <w:t xml:space="preserve"> </w:t>
      </w:r>
      <w:r w:rsidR="00351A56" w:rsidRPr="00515DC8">
        <w:rPr>
          <w:rFonts w:ascii="Times New Roman" w:hAnsi="Times New Roman" w:cs="Times New Roman"/>
          <w:sz w:val="24"/>
          <w:szCs w:val="24"/>
        </w:rPr>
        <w:t xml:space="preserve">  </w:t>
      </w:r>
    </w:p>
    <w:p w14:paraId="06C132B6" w14:textId="77777777" w:rsidR="00351A56" w:rsidRPr="00515DC8" w:rsidRDefault="00351A56" w:rsidP="001B74D8">
      <w:pPr>
        <w:pStyle w:val="ListParagraph"/>
        <w:spacing w:line="480" w:lineRule="auto"/>
        <w:ind w:left="0"/>
        <w:rPr>
          <w:rFonts w:ascii="Times New Roman" w:hAnsi="Times New Roman" w:cs="Times New Roman"/>
          <w:sz w:val="24"/>
          <w:szCs w:val="24"/>
        </w:rPr>
      </w:pPr>
    </w:p>
    <w:p w14:paraId="36AB1BA8" w14:textId="179C66C4" w:rsidR="008F20FA" w:rsidRPr="00515DC8" w:rsidRDefault="008F20FA" w:rsidP="001B74D8">
      <w:pPr>
        <w:spacing w:line="480" w:lineRule="auto"/>
        <w:rPr>
          <w:lang w:val="en-GB"/>
        </w:rPr>
      </w:pPr>
      <w:r w:rsidRPr="00515DC8">
        <w:rPr>
          <w:lang w:val="en-GB"/>
        </w:rPr>
        <w:t xml:space="preserve">Given the weight afforded to student satisfaction surveys in impacting the assessment of the quality of </w:t>
      </w:r>
      <w:r w:rsidR="00351A56" w:rsidRPr="00515DC8">
        <w:rPr>
          <w:color w:val="000000" w:themeColor="text1"/>
          <w:lang w:val="en-GB"/>
        </w:rPr>
        <w:t>teaching</w:t>
      </w:r>
      <w:r w:rsidRPr="00515DC8">
        <w:rPr>
          <w:lang w:val="en-GB"/>
        </w:rPr>
        <w:t xml:space="preserve"> provision in HEIs, the relative inadequacies of surveys such as the UK NSS (2005-2018) require urgent attention. </w:t>
      </w:r>
      <w:r w:rsidR="00351A56" w:rsidRPr="00515DC8">
        <w:rPr>
          <w:lang w:val="en-GB"/>
        </w:rPr>
        <w:t xml:space="preserve"> </w:t>
      </w:r>
      <w:r w:rsidRPr="00515DC8">
        <w:rPr>
          <w:lang w:val="en-GB"/>
        </w:rPr>
        <w:t xml:space="preserve">Whilst the Teaching Excellence and Student Outcomes Framework (TEF) in the UK has, in later iterations, reduced the value of NSS items in assessing institutional performance by half, this does not directly address the limitations of the survey which requires revision in terms of continuing fitness for purpose.  The survey would benefit from increased evidence of its validity as a measure.  Fundamentally, the NSS needs to be underpinned by a transformative model of HE </w:t>
      </w:r>
      <w:r w:rsidR="00351A56" w:rsidRPr="00515DC8">
        <w:rPr>
          <w:lang w:val="en-GB"/>
        </w:rPr>
        <w:t>experiences</w:t>
      </w:r>
      <w:r w:rsidRPr="00515DC8">
        <w:rPr>
          <w:lang w:val="en-GB"/>
        </w:rPr>
        <w:t xml:space="preserve"> acknowledging the role of students in their learning as active contributors and not as passive recipients – vessels to be filled. </w:t>
      </w:r>
    </w:p>
    <w:p w14:paraId="3AB47145" w14:textId="77777777" w:rsidR="00351A56" w:rsidRPr="00515DC8" w:rsidRDefault="00351A56" w:rsidP="001B74D8">
      <w:pPr>
        <w:spacing w:line="480" w:lineRule="auto"/>
        <w:rPr>
          <w:lang w:val="en-GB"/>
        </w:rPr>
      </w:pPr>
    </w:p>
    <w:p w14:paraId="1AD5B25D" w14:textId="44BDC050" w:rsidR="0039166F" w:rsidRPr="00515DC8" w:rsidRDefault="008F20FA" w:rsidP="001B74D8">
      <w:pPr>
        <w:pStyle w:val="ListParagraph"/>
        <w:spacing w:line="480" w:lineRule="auto"/>
        <w:ind w:left="0"/>
        <w:rPr>
          <w:rStyle w:val="txt"/>
          <w:rFonts w:ascii="Times New Roman" w:hAnsi="Times New Roman" w:cs="Times New Roman"/>
        </w:rPr>
      </w:pPr>
      <w:r w:rsidRPr="00515DC8">
        <w:rPr>
          <w:rStyle w:val="txt"/>
          <w:rFonts w:ascii="Times New Roman" w:hAnsi="Times New Roman" w:cs="Times New Roman"/>
          <w:sz w:val="24"/>
          <w:szCs w:val="24"/>
        </w:rPr>
        <w:t>Furthermore, g</w:t>
      </w:r>
      <w:r w:rsidR="00FF5EF4" w:rsidRPr="00515DC8">
        <w:rPr>
          <w:rStyle w:val="txt"/>
          <w:rFonts w:ascii="Times New Roman" w:hAnsi="Times New Roman" w:cs="Times New Roman"/>
          <w:sz w:val="24"/>
          <w:szCs w:val="24"/>
        </w:rPr>
        <w:t xml:space="preserve">aming of </w:t>
      </w:r>
      <w:r w:rsidR="00AB066E" w:rsidRPr="00515DC8">
        <w:rPr>
          <w:rStyle w:val="txt"/>
          <w:rFonts w:ascii="Times New Roman" w:hAnsi="Times New Roman" w:cs="Times New Roman"/>
          <w:sz w:val="24"/>
          <w:szCs w:val="24"/>
        </w:rPr>
        <w:t>student surveys</w:t>
      </w:r>
      <w:r w:rsidR="00FF5EF4" w:rsidRPr="00515DC8">
        <w:rPr>
          <w:rStyle w:val="txt"/>
          <w:rFonts w:ascii="Times New Roman" w:hAnsi="Times New Roman" w:cs="Times New Roman"/>
          <w:sz w:val="24"/>
          <w:szCs w:val="24"/>
        </w:rPr>
        <w:t xml:space="preserve"> by HEIs and a consequent myopic focus on enhancing student satisfaction without the necessary attention afforded to research-informed curriculum design can have negative consequences for the </w:t>
      </w:r>
      <w:r w:rsidR="00D703A0" w:rsidRPr="00515DC8">
        <w:rPr>
          <w:rStyle w:val="txt"/>
          <w:rFonts w:ascii="Times New Roman" w:hAnsi="Times New Roman" w:cs="Times New Roman"/>
          <w:sz w:val="24"/>
          <w:szCs w:val="24"/>
        </w:rPr>
        <w:t>longer-term</w:t>
      </w:r>
      <w:r w:rsidR="00FF5EF4" w:rsidRPr="00515DC8">
        <w:rPr>
          <w:rStyle w:val="txt"/>
          <w:rFonts w:ascii="Times New Roman" w:hAnsi="Times New Roman" w:cs="Times New Roman"/>
          <w:sz w:val="24"/>
          <w:szCs w:val="24"/>
        </w:rPr>
        <w:t xml:space="preserve"> enhancement of learning and teaching in HE</w:t>
      </w:r>
      <w:r w:rsidR="002A42B7" w:rsidRPr="00515DC8">
        <w:rPr>
          <w:rFonts w:ascii="Times New Roman" w:hAnsi="Times New Roman" w:cs="Times New Roman"/>
          <w:sz w:val="24"/>
          <w:szCs w:val="24"/>
        </w:rPr>
        <w:t xml:space="preserve"> (Burgess, 2018).</w:t>
      </w:r>
      <w:r w:rsidR="00FF5EF4" w:rsidRPr="00515DC8">
        <w:rPr>
          <w:rStyle w:val="txt"/>
          <w:rFonts w:ascii="Times New Roman" w:hAnsi="Times New Roman" w:cs="Times New Roman"/>
        </w:rPr>
        <w:t xml:space="preserve">  </w:t>
      </w:r>
      <w:r w:rsidR="00A50414" w:rsidRPr="00515DC8">
        <w:rPr>
          <w:rFonts w:ascii="Times New Roman" w:hAnsi="Times New Roman" w:cs="Times New Roman"/>
          <w:sz w:val="24"/>
          <w:szCs w:val="24"/>
        </w:rPr>
        <w:t>There are very strong and valid reasons why we should be investing in learning gain initiatives, but this needs to be done mindfully and ethically.</w:t>
      </w:r>
    </w:p>
    <w:p w14:paraId="6AB53D2D" w14:textId="77777777" w:rsidR="00B37A2B" w:rsidRPr="00515DC8" w:rsidRDefault="00B37A2B" w:rsidP="001B74D8">
      <w:pPr>
        <w:pStyle w:val="ListParagraph"/>
        <w:spacing w:line="480" w:lineRule="auto"/>
        <w:ind w:left="0"/>
        <w:rPr>
          <w:rFonts w:ascii="Times New Roman" w:hAnsi="Times New Roman" w:cs="Times New Roman"/>
          <w:b/>
          <w:sz w:val="24"/>
          <w:szCs w:val="24"/>
        </w:rPr>
      </w:pPr>
    </w:p>
    <w:p w14:paraId="28B734B6" w14:textId="45F8EA8C" w:rsidR="00DF5DCD" w:rsidRPr="00515DC8" w:rsidRDefault="00B37A2B" w:rsidP="00404D06">
      <w:pPr>
        <w:spacing w:line="480" w:lineRule="auto"/>
        <w:outlineLvl w:val="0"/>
        <w:rPr>
          <w:b/>
          <w:i/>
          <w:lang w:val="en-GB"/>
        </w:rPr>
      </w:pPr>
      <w:bookmarkStart w:id="13" w:name="_Hlk510435348"/>
      <w:r w:rsidRPr="00515DC8">
        <w:rPr>
          <w:b/>
          <w:i/>
          <w:lang w:val="en-GB"/>
        </w:rPr>
        <w:t>The rationale for exploring learning gain</w:t>
      </w:r>
      <w:bookmarkEnd w:id="13"/>
    </w:p>
    <w:p w14:paraId="78189FB3" w14:textId="555339E8" w:rsidR="00A50414" w:rsidRPr="00515DC8" w:rsidRDefault="00A50414" w:rsidP="001B74D8">
      <w:pPr>
        <w:tabs>
          <w:tab w:val="left" w:pos="2778"/>
        </w:tabs>
        <w:spacing w:line="480" w:lineRule="auto"/>
        <w:rPr>
          <w:lang w:val="en-GB"/>
        </w:rPr>
      </w:pPr>
      <w:r w:rsidRPr="00515DC8">
        <w:rPr>
          <w:lang w:val="en-GB"/>
        </w:rPr>
        <w:t>The worth of higher education is under tremendous scrutiny globally given the increasing number of students in HE, the changing requirements of labour markets associated with the rise of artificial intelligence and the fourth industrial revolution</w:t>
      </w:r>
      <w:r w:rsidR="005B20AF" w:rsidRPr="00515DC8">
        <w:rPr>
          <w:lang w:val="en-GB"/>
        </w:rPr>
        <w:t xml:space="preserve"> (Edge Foundation, 2016)</w:t>
      </w:r>
      <w:r w:rsidRPr="00515DC8">
        <w:rPr>
          <w:lang w:val="en-GB"/>
        </w:rPr>
        <w:t>, the increasing costs of education to the individual and the state, and the relatively poor rates of student complet</w:t>
      </w:r>
      <w:r w:rsidR="00B6512D">
        <w:rPr>
          <w:lang w:val="en-GB"/>
        </w:rPr>
        <w:t xml:space="preserve">ion </w:t>
      </w:r>
      <w:r w:rsidRPr="00515DC8">
        <w:rPr>
          <w:lang w:val="en-GB"/>
        </w:rPr>
        <w:t xml:space="preserve">in HE. </w:t>
      </w:r>
      <w:r w:rsidR="00351A56" w:rsidRPr="00515DC8">
        <w:rPr>
          <w:lang w:val="en-GB"/>
        </w:rPr>
        <w:t xml:space="preserve"> </w:t>
      </w:r>
      <w:r w:rsidRPr="00515DC8">
        <w:rPr>
          <w:lang w:val="en-GB"/>
        </w:rPr>
        <w:t>In the UK one in ten undergraduates drop out before their second year o</w:t>
      </w:r>
      <w:r w:rsidR="008F20FA" w:rsidRPr="00515DC8">
        <w:rPr>
          <w:lang w:val="en-GB"/>
        </w:rPr>
        <w:t xml:space="preserve">f study </w:t>
      </w:r>
      <w:r w:rsidRPr="00515DC8">
        <w:rPr>
          <w:lang w:val="en-GB"/>
        </w:rPr>
        <w:t>(HESA, 2018</w:t>
      </w:r>
      <w:r w:rsidR="00D55CA4" w:rsidRPr="00515DC8">
        <w:rPr>
          <w:lang w:val="en-GB"/>
        </w:rPr>
        <w:t>a</w:t>
      </w:r>
      <w:r w:rsidRPr="00515DC8">
        <w:rPr>
          <w:lang w:val="en-GB"/>
        </w:rPr>
        <w:t xml:space="preserve">); a third of students leave HE after one year in the US (Fisherman, Ludgate, &amp; Tutak, 2017). Completion rates vary considerably within Europe with figures of 81% in the UK and Denmark and 59% in Norway (Vossensteyn et al., 2015). Completion rates in Australia vary from 51% to 88% (AEN, 2018). </w:t>
      </w:r>
      <w:r w:rsidR="00EB1F1B" w:rsidRPr="00515DC8">
        <w:rPr>
          <w:lang w:val="en-GB"/>
        </w:rPr>
        <w:t xml:space="preserve"> </w:t>
      </w:r>
      <w:r w:rsidRPr="00515DC8">
        <w:rPr>
          <w:lang w:val="en-GB"/>
        </w:rPr>
        <w:t xml:space="preserve">In this HE landscape the development of learning gain initiatives is seen as important in increasing the accountability of HE </w:t>
      </w:r>
      <w:r w:rsidR="00291D32" w:rsidRPr="00515DC8">
        <w:rPr>
          <w:lang w:val="en-GB"/>
        </w:rPr>
        <w:t>in terms of demonstrating value-</w:t>
      </w:r>
      <w:r w:rsidRPr="00515DC8">
        <w:rPr>
          <w:lang w:val="en-GB"/>
        </w:rPr>
        <w:t xml:space="preserve">added leading to a ‘learning outcomes race’ (Douglas, Thomson, </w:t>
      </w:r>
      <w:r w:rsidR="00C77503" w:rsidRPr="00515DC8">
        <w:rPr>
          <w:lang w:val="en-GB"/>
        </w:rPr>
        <w:t>&amp;</w:t>
      </w:r>
      <w:r w:rsidRPr="00515DC8">
        <w:rPr>
          <w:lang w:val="en-GB"/>
        </w:rPr>
        <w:t xml:space="preserve"> Zhao, 2012), and the associated development of a quasi-commercial market where proponents of different approaches advocate their own wares (Caspersen, et al. 2017). In this context</w:t>
      </w:r>
      <w:r w:rsidR="00291D32" w:rsidRPr="00515DC8">
        <w:rPr>
          <w:lang w:val="en-GB"/>
        </w:rPr>
        <w:t>,</w:t>
      </w:r>
      <w:r w:rsidRPr="00515DC8">
        <w:rPr>
          <w:lang w:val="en-GB"/>
        </w:rPr>
        <w:t xml:space="preserve"> we need to be extremely judicious about how resource</w:t>
      </w:r>
      <w:r w:rsidR="00291D32" w:rsidRPr="00515DC8">
        <w:rPr>
          <w:lang w:val="en-GB"/>
        </w:rPr>
        <w:t>s</w:t>
      </w:r>
      <w:r w:rsidRPr="00515DC8">
        <w:rPr>
          <w:lang w:val="en-GB"/>
        </w:rPr>
        <w:t xml:space="preserve"> </w:t>
      </w:r>
      <w:r w:rsidR="00291D32" w:rsidRPr="00515DC8">
        <w:rPr>
          <w:lang w:val="en-GB"/>
        </w:rPr>
        <w:t>are</w:t>
      </w:r>
      <w:r w:rsidRPr="00515DC8">
        <w:rPr>
          <w:lang w:val="en-GB"/>
        </w:rPr>
        <w:t xml:space="preserve"> used and for what purposes.</w:t>
      </w:r>
    </w:p>
    <w:p w14:paraId="06E9DFD8" w14:textId="77777777" w:rsidR="00A50414" w:rsidRPr="00515DC8" w:rsidRDefault="00A50414" w:rsidP="001B74D8">
      <w:pPr>
        <w:spacing w:line="480" w:lineRule="auto"/>
        <w:rPr>
          <w:lang w:val="en-GB"/>
        </w:rPr>
      </w:pPr>
    </w:p>
    <w:p w14:paraId="2508067F" w14:textId="3E0F2C17" w:rsidR="00DF5DCD" w:rsidRPr="00515DC8" w:rsidRDefault="00DF5DCD" w:rsidP="00E62983">
      <w:pPr>
        <w:spacing w:line="480" w:lineRule="auto"/>
        <w:rPr>
          <w:rFonts w:eastAsia="Times New Roman"/>
          <w:lang w:val="en-GB"/>
        </w:rPr>
      </w:pPr>
      <w:r w:rsidRPr="00515DC8">
        <w:rPr>
          <w:lang w:val="en-GB"/>
        </w:rPr>
        <w:t>Widening participation and social mobility agendas provide an important rationale for the measurement of learning gain (Mountford-Zimdars et al., 2015). Social inequalities are perpetuated through quality judgements based on institutional reputation, a key sorting and selection criteri</w:t>
      </w:r>
      <w:r w:rsidR="00F54042" w:rsidRPr="00515DC8">
        <w:rPr>
          <w:lang w:val="en-GB"/>
        </w:rPr>
        <w:t>on</w:t>
      </w:r>
      <w:r w:rsidRPr="00515DC8">
        <w:rPr>
          <w:lang w:val="en-GB"/>
        </w:rPr>
        <w:t xml:space="preserve"> for many employers. Concerns about a lack of diversity in the workforce ha</w:t>
      </w:r>
      <w:r w:rsidR="00291D32" w:rsidRPr="00515DC8">
        <w:rPr>
          <w:lang w:val="en-GB"/>
        </w:rPr>
        <w:t>ve</w:t>
      </w:r>
      <w:r w:rsidRPr="00515DC8">
        <w:rPr>
          <w:lang w:val="en-GB"/>
        </w:rPr>
        <w:t xml:space="preserve"> led to a desire for more information to differentiate the quality of graduates beyond measures highly correlated with prior high socio-economic status</w:t>
      </w:r>
      <w:r w:rsidR="002A42B7" w:rsidRPr="00515DC8">
        <w:rPr>
          <w:lang w:val="en-GB"/>
        </w:rPr>
        <w:t xml:space="preserve"> (MDV Consulting, 2017).</w:t>
      </w:r>
      <w:r w:rsidR="00291D32" w:rsidRPr="00515DC8">
        <w:rPr>
          <w:lang w:val="en-GB"/>
        </w:rPr>
        <w:t xml:space="preserve"> </w:t>
      </w:r>
      <w:r w:rsidRPr="00515DC8">
        <w:rPr>
          <w:lang w:val="en-GB"/>
        </w:rPr>
        <w:t>In response</w:t>
      </w:r>
      <w:r w:rsidR="00291D32" w:rsidRPr="00515DC8">
        <w:rPr>
          <w:lang w:val="en-GB"/>
        </w:rPr>
        <w:t>,</w:t>
      </w:r>
      <w:r w:rsidRPr="00515DC8">
        <w:rPr>
          <w:lang w:val="en-GB"/>
        </w:rPr>
        <w:t xml:space="preserve"> many employers now design in-house recruitment mechanisms. </w:t>
      </w:r>
      <w:r w:rsidR="0048767D" w:rsidRPr="00515DC8">
        <w:rPr>
          <w:rFonts w:eastAsia="Times New Roman"/>
          <w:lang w:val="en-GB"/>
        </w:rPr>
        <w:t>T</w:t>
      </w:r>
      <w:r w:rsidR="008745A9" w:rsidRPr="00515DC8">
        <w:rPr>
          <w:rFonts w:eastAsia="Times New Roman"/>
          <w:lang w:val="en-GB"/>
        </w:rPr>
        <w:t>here</w:t>
      </w:r>
      <w:r w:rsidR="004A1334" w:rsidRPr="00515DC8">
        <w:rPr>
          <w:rFonts w:eastAsia="Times New Roman"/>
          <w:lang w:val="en-GB"/>
        </w:rPr>
        <w:t xml:space="preserve"> are large numbers of m</w:t>
      </w:r>
      <w:r w:rsidR="00B6512D">
        <w:rPr>
          <w:rFonts w:eastAsia="Times New Roman"/>
          <w:lang w:val="en-GB"/>
        </w:rPr>
        <w:t>eta-</w:t>
      </w:r>
      <w:r w:rsidR="004A1334" w:rsidRPr="00515DC8">
        <w:rPr>
          <w:rFonts w:eastAsia="Times New Roman"/>
          <w:lang w:val="en-GB"/>
        </w:rPr>
        <w:t>analytical</w:t>
      </w:r>
      <w:r w:rsidR="008745A9" w:rsidRPr="00515DC8">
        <w:rPr>
          <w:rFonts w:eastAsia="Times New Roman"/>
          <w:lang w:val="en-GB"/>
        </w:rPr>
        <w:t xml:space="preserve"> </w:t>
      </w:r>
      <w:r w:rsidR="00B6512D">
        <w:rPr>
          <w:rFonts w:eastAsia="Times New Roman"/>
          <w:lang w:val="en-GB"/>
        </w:rPr>
        <w:t>and other studies which suggest</w:t>
      </w:r>
      <w:r w:rsidR="004A1334" w:rsidRPr="00515DC8">
        <w:rPr>
          <w:rFonts w:eastAsia="Times New Roman"/>
          <w:lang w:val="en-GB"/>
        </w:rPr>
        <w:t xml:space="preserve"> that measures such as</w:t>
      </w:r>
      <w:r w:rsidR="008745A9" w:rsidRPr="00515DC8">
        <w:rPr>
          <w:rFonts w:eastAsia="Times New Roman"/>
          <w:lang w:val="en-GB"/>
        </w:rPr>
        <w:t xml:space="preserve"> cognitive ability</w:t>
      </w:r>
      <w:r w:rsidR="004A1334" w:rsidRPr="00515DC8">
        <w:rPr>
          <w:rFonts w:eastAsia="Times New Roman"/>
          <w:lang w:val="en-GB"/>
        </w:rPr>
        <w:t xml:space="preserve"> and personality</w:t>
      </w:r>
      <w:r w:rsidR="008745A9" w:rsidRPr="00515DC8">
        <w:rPr>
          <w:rFonts w:eastAsia="Times New Roman"/>
          <w:lang w:val="en-GB"/>
        </w:rPr>
        <w:t xml:space="preserve"> </w:t>
      </w:r>
      <w:r w:rsidR="0048767D" w:rsidRPr="00515DC8">
        <w:rPr>
          <w:rFonts w:eastAsia="Times New Roman"/>
          <w:lang w:val="en-GB"/>
        </w:rPr>
        <w:t xml:space="preserve">can predict </w:t>
      </w:r>
      <w:r w:rsidR="008745A9" w:rsidRPr="00515DC8">
        <w:rPr>
          <w:rFonts w:eastAsia="Times New Roman"/>
          <w:lang w:val="en-GB"/>
        </w:rPr>
        <w:t>performance across a broad range of jobs</w:t>
      </w:r>
      <w:r w:rsidR="0048767D" w:rsidRPr="00515DC8">
        <w:rPr>
          <w:rFonts w:eastAsia="Times New Roman"/>
          <w:lang w:val="en-GB"/>
        </w:rPr>
        <w:t>.  Correlations remain modest with predictive validity co-effic</w:t>
      </w:r>
      <w:r w:rsidR="004641AF">
        <w:rPr>
          <w:rFonts w:eastAsia="Times New Roman"/>
          <w:lang w:val="en-GB"/>
        </w:rPr>
        <w:t>i</w:t>
      </w:r>
      <w:r w:rsidR="0048767D" w:rsidRPr="00515DC8">
        <w:rPr>
          <w:rFonts w:eastAsia="Times New Roman"/>
          <w:lang w:val="en-GB"/>
        </w:rPr>
        <w:t xml:space="preserve">ents ranging from .10 to .40 and averaging around .30 (Schmitt, 2014).  These </w:t>
      </w:r>
      <w:r w:rsidR="008745A9" w:rsidRPr="00515DC8">
        <w:rPr>
          <w:rFonts w:eastAsia="Times New Roman"/>
          <w:lang w:val="en-GB"/>
        </w:rPr>
        <w:t>psychometric tests are financially burdensome for employers</w:t>
      </w:r>
      <w:r w:rsidR="0048767D" w:rsidRPr="00515DC8">
        <w:rPr>
          <w:rFonts w:eastAsia="Times New Roman"/>
          <w:lang w:val="en-GB"/>
        </w:rPr>
        <w:t xml:space="preserve"> and </w:t>
      </w:r>
      <w:r w:rsidR="00B6512D">
        <w:rPr>
          <w:rFonts w:eastAsia="Times New Roman"/>
          <w:lang w:val="en-GB"/>
        </w:rPr>
        <w:t>in-</w:t>
      </w:r>
      <w:r w:rsidR="000F4E36" w:rsidRPr="00515DC8">
        <w:rPr>
          <w:rFonts w:eastAsia="Times New Roman"/>
          <w:lang w:val="en-GB"/>
        </w:rPr>
        <w:t>house</w:t>
      </w:r>
      <w:r w:rsidR="008745A9" w:rsidRPr="00515DC8">
        <w:rPr>
          <w:rFonts w:eastAsia="Times New Roman"/>
          <w:lang w:val="en-GB"/>
        </w:rPr>
        <w:t xml:space="preserve"> alternatives are often </w:t>
      </w:r>
      <w:r w:rsidRPr="00515DC8">
        <w:rPr>
          <w:lang w:val="en-GB"/>
        </w:rPr>
        <w:t xml:space="preserve">methodologically flawed </w:t>
      </w:r>
      <w:r w:rsidR="008745A9" w:rsidRPr="00515DC8">
        <w:rPr>
          <w:lang w:val="en-GB"/>
        </w:rPr>
        <w:t>and</w:t>
      </w:r>
      <w:r w:rsidRPr="00515DC8">
        <w:rPr>
          <w:lang w:val="en-GB"/>
        </w:rPr>
        <w:t xml:space="preserve"> create high inefficiencies for employers and graduates</w:t>
      </w:r>
      <w:r w:rsidR="0035111A">
        <w:rPr>
          <w:lang w:val="en-GB"/>
        </w:rPr>
        <w:t xml:space="preserve"> (Keep </w:t>
      </w:r>
      <w:r w:rsidR="004641AF">
        <w:rPr>
          <w:lang w:val="en-GB"/>
        </w:rPr>
        <w:t>&amp;</w:t>
      </w:r>
      <w:r w:rsidR="0035111A">
        <w:rPr>
          <w:lang w:val="en-GB"/>
        </w:rPr>
        <w:t xml:space="preserve"> James, 2010)</w:t>
      </w:r>
      <w:r w:rsidR="0035111A" w:rsidRPr="00E62983">
        <w:rPr>
          <w:lang w:val="en-GB"/>
        </w:rPr>
        <w:t xml:space="preserve">. </w:t>
      </w:r>
      <w:r w:rsidRPr="00515DC8">
        <w:rPr>
          <w:lang w:val="en-GB"/>
        </w:rPr>
        <w:t xml:space="preserve">. </w:t>
      </w:r>
      <w:r w:rsidR="00745C41" w:rsidRPr="00515DC8">
        <w:rPr>
          <w:lang w:val="en-GB"/>
        </w:rPr>
        <w:t xml:space="preserve"> </w:t>
      </w:r>
      <w:r w:rsidRPr="00515DC8">
        <w:rPr>
          <w:lang w:val="en-GB"/>
        </w:rPr>
        <w:t xml:space="preserve">This situation has led to a desire for metrics which </w:t>
      </w:r>
      <w:r w:rsidR="00F54042" w:rsidRPr="00515DC8">
        <w:rPr>
          <w:lang w:val="en-GB"/>
        </w:rPr>
        <w:t xml:space="preserve">permit the identification of </w:t>
      </w:r>
      <w:r w:rsidRPr="00515DC8">
        <w:rPr>
          <w:lang w:val="en-GB"/>
        </w:rPr>
        <w:t>students, courses and institutions that demonstrate the knowledge, skills and attributes that employers are looking for and</w:t>
      </w:r>
      <w:r w:rsidR="00F54042" w:rsidRPr="00515DC8">
        <w:rPr>
          <w:lang w:val="en-GB"/>
        </w:rPr>
        <w:t xml:space="preserve"> that</w:t>
      </w:r>
      <w:r w:rsidRPr="00515DC8">
        <w:rPr>
          <w:lang w:val="en-GB"/>
        </w:rPr>
        <w:t xml:space="preserve"> the economy needs. </w:t>
      </w:r>
    </w:p>
    <w:p w14:paraId="3C7ACCA2" w14:textId="77777777" w:rsidR="00AE6B73" w:rsidRPr="00515DC8" w:rsidRDefault="00AE6B73" w:rsidP="001B74D8">
      <w:pPr>
        <w:spacing w:line="480" w:lineRule="auto"/>
        <w:rPr>
          <w:b/>
          <w:lang w:val="en-GB"/>
        </w:rPr>
      </w:pPr>
    </w:p>
    <w:p w14:paraId="671B506F" w14:textId="77777777" w:rsidR="004641AF" w:rsidRDefault="00F62AD9" w:rsidP="001B74D8">
      <w:pPr>
        <w:spacing w:line="480" w:lineRule="auto"/>
        <w:rPr>
          <w:lang w:val="en-GB"/>
        </w:rPr>
      </w:pPr>
      <w:r w:rsidRPr="00515DC8">
        <w:rPr>
          <w:lang w:val="en-GB"/>
        </w:rPr>
        <w:t>Conceptual debates about what</w:t>
      </w:r>
      <w:r w:rsidR="0085394C" w:rsidRPr="00515DC8">
        <w:rPr>
          <w:lang w:val="en-GB"/>
        </w:rPr>
        <w:t xml:space="preserve"> to measure </w:t>
      </w:r>
      <w:r w:rsidR="00B37A2B" w:rsidRPr="00515DC8">
        <w:rPr>
          <w:lang w:val="en-GB"/>
        </w:rPr>
        <w:t>lead</w:t>
      </w:r>
      <w:r w:rsidR="00C33B06" w:rsidRPr="00515DC8">
        <w:rPr>
          <w:lang w:val="en-GB"/>
        </w:rPr>
        <w:t xml:space="preserve"> </w:t>
      </w:r>
      <w:r w:rsidRPr="00515DC8">
        <w:rPr>
          <w:lang w:val="en-GB"/>
        </w:rPr>
        <w:t xml:space="preserve">to </w:t>
      </w:r>
      <w:r w:rsidR="00C33B06" w:rsidRPr="00515DC8">
        <w:rPr>
          <w:lang w:val="en-GB"/>
        </w:rPr>
        <w:t xml:space="preserve">broader questions </w:t>
      </w:r>
      <w:r w:rsidR="00B37A2B" w:rsidRPr="00515DC8">
        <w:rPr>
          <w:lang w:val="en-GB"/>
        </w:rPr>
        <w:t>about</w:t>
      </w:r>
      <w:r w:rsidR="0085394C" w:rsidRPr="00515DC8">
        <w:rPr>
          <w:lang w:val="en-GB"/>
        </w:rPr>
        <w:t xml:space="preserve"> the </w:t>
      </w:r>
      <w:r w:rsidR="00E838A5" w:rsidRPr="00515DC8">
        <w:rPr>
          <w:lang w:val="en-GB"/>
        </w:rPr>
        <w:t xml:space="preserve">point </w:t>
      </w:r>
      <w:r w:rsidR="0085394C" w:rsidRPr="00515DC8">
        <w:rPr>
          <w:lang w:val="en-GB"/>
        </w:rPr>
        <w:t>of higher education</w:t>
      </w:r>
      <w:r w:rsidRPr="00515DC8">
        <w:rPr>
          <w:lang w:val="en-GB"/>
        </w:rPr>
        <w:t>. H</w:t>
      </w:r>
      <w:r w:rsidR="00264784" w:rsidRPr="00515DC8">
        <w:rPr>
          <w:lang w:val="en-GB"/>
        </w:rPr>
        <w:t>E</w:t>
      </w:r>
      <w:r w:rsidRPr="00515DC8">
        <w:rPr>
          <w:lang w:val="en-GB"/>
        </w:rPr>
        <w:t xml:space="preserve"> has multiple purposes with different values placed on thes</w:t>
      </w:r>
      <w:r w:rsidR="0085394C" w:rsidRPr="00515DC8">
        <w:rPr>
          <w:lang w:val="en-GB"/>
        </w:rPr>
        <w:t xml:space="preserve">e by different stakeholders and not easily sated by the use of single measures. </w:t>
      </w:r>
      <w:r w:rsidR="005B471A" w:rsidRPr="00515DC8">
        <w:rPr>
          <w:lang w:val="en-GB"/>
        </w:rPr>
        <w:t xml:space="preserve"> </w:t>
      </w:r>
      <w:r w:rsidR="00C33B06" w:rsidRPr="00515DC8">
        <w:rPr>
          <w:lang w:val="en-GB"/>
        </w:rPr>
        <w:t>Perceptions and values of</w:t>
      </w:r>
      <w:r w:rsidR="00F26E55" w:rsidRPr="00515DC8">
        <w:rPr>
          <w:lang w:val="en-GB"/>
        </w:rPr>
        <w:t xml:space="preserve"> the </w:t>
      </w:r>
      <w:r w:rsidRPr="00515DC8">
        <w:rPr>
          <w:rFonts w:eastAsia="Times New Roman"/>
          <w:lang w:val="en-GB" w:eastAsia="en-GB"/>
        </w:rPr>
        <w:t>different functions of education and potential purposes of education</w:t>
      </w:r>
      <w:r w:rsidR="0085394C" w:rsidRPr="00515DC8">
        <w:rPr>
          <w:rFonts w:eastAsia="Times New Roman"/>
          <w:lang w:val="en-GB" w:eastAsia="en-GB"/>
        </w:rPr>
        <w:t xml:space="preserve">, for example, Biesta’s (2010) notions of </w:t>
      </w:r>
      <w:r w:rsidR="00F26E55" w:rsidRPr="00515DC8">
        <w:rPr>
          <w:rFonts w:eastAsia="Times New Roman"/>
          <w:lang w:val="en-GB" w:eastAsia="en-GB"/>
        </w:rPr>
        <w:t xml:space="preserve">qualification, socialisation, and subjectification, </w:t>
      </w:r>
      <w:r w:rsidRPr="00515DC8">
        <w:rPr>
          <w:rFonts w:eastAsia="Times New Roman"/>
          <w:lang w:val="en-GB" w:eastAsia="en-GB"/>
        </w:rPr>
        <w:t xml:space="preserve">impact </w:t>
      </w:r>
      <w:r w:rsidR="00F26E55" w:rsidRPr="00515DC8">
        <w:rPr>
          <w:rFonts w:eastAsia="Times New Roman"/>
          <w:lang w:val="en-GB" w:eastAsia="en-GB"/>
        </w:rPr>
        <w:t xml:space="preserve">on </w:t>
      </w:r>
      <w:r w:rsidRPr="00515DC8">
        <w:rPr>
          <w:rFonts w:eastAsia="Times New Roman"/>
          <w:lang w:val="en-GB" w:eastAsia="en-GB"/>
        </w:rPr>
        <w:t xml:space="preserve">what </w:t>
      </w:r>
      <w:r w:rsidR="00C33B06" w:rsidRPr="00515DC8">
        <w:rPr>
          <w:rFonts w:eastAsia="Times New Roman"/>
          <w:lang w:val="en-GB" w:eastAsia="en-GB"/>
        </w:rPr>
        <w:t xml:space="preserve">is </w:t>
      </w:r>
      <w:r w:rsidRPr="00515DC8">
        <w:rPr>
          <w:rFonts w:eastAsia="Times New Roman"/>
          <w:lang w:val="en-GB" w:eastAsia="en-GB"/>
        </w:rPr>
        <w:t>measure</w:t>
      </w:r>
      <w:r w:rsidR="00C33B06" w:rsidRPr="00515DC8">
        <w:rPr>
          <w:rFonts w:eastAsia="Times New Roman"/>
          <w:lang w:val="en-GB" w:eastAsia="en-GB"/>
        </w:rPr>
        <w:t>d</w:t>
      </w:r>
      <w:r w:rsidR="00F26E55" w:rsidRPr="00515DC8">
        <w:rPr>
          <w:rFonts w:eastAsia="Times New Roman"/>
          <w:lang w:val="en-GB" w:eastAsia="en-GB"/>
        </w:rPr>
        <w:t xml:space="preserve"> (see </w:t>
      </w:r>
      <w:r w:rsidRPr="00515DC8">
        <w:rPr>
          <w:i/>
          <w:lang w:val="en-GB"/>
        </w:rPr>
        <w:t xml:space="preserve">Powell, </w:t>
      </w:r>
      <w:r w:rsidR="008C6B62" w:rsidRPr="00515DC8">
        <w:rPr>
          <w:i/>
          <w:lang w:val="en-GB"/>
        </w:rPr>
        <w:t xml:space="preserve">Gossman, </w:t>
      </w:r>
      <w:r w:rsidR="00F26E55" w:rsidRPr="00515DC8">
        <w:rPr>
          <w:i/>
          <w:lang w:val="en-GB"/>
        </w:rPr>
        <w:t xml:space="preserve">&amp; Neame, </w:t>
      </w:r>
      <w:r w:rsidRPr="00515DC8">
        <w:rPr>
          <w:i/>
          <w:lang w:val="en-GB"/>
        </w:rPr>
        <w:t>2018</w:t>
      </w:r>
      <w:r w:rsidRPr="00515DC8">
        <w:rPr>
          <w:lang w:val="en-GB"/>
        </w:rPr>
        <w:t>)</w:t>
      </w:r>
      <w:r w:rsidR="00F26E55" w:rsidRPr="00515DC8">
        <w:rPr>
          <w:lang w:val="en-GB"/>
        </w:rPr>
        <w:t xml:space="preserve">. </w:t>
      </w:r>
      <w:r w:rsidR="005B471A" w:rsidRPr="00515DC8">
        <w:rPr>
          <w:lang w:val="en-GB"/>
        </w:rPr>
        <w:t xml:space="preserve"> </w:t>
      </w:r>
      <w:r w:rsidRPr="00515DC8">
        <w:rPr>
          <w:lang w:val="en-GB"/>
        </w:rPr>
        <w:t>What aspects are focused on depend on</w:t>
      </w:r>
      <w:r w:rsidR="0085394C" w:rsidRPr="00515DC8">
        <w:rPr>
          <w:lang w:val="en-GB"/>
        </w:rPr>
        <w:t xml:space="preserve"> how one views</w:t>
      </w:r>
      <w:r w:rsidRPr="00515DC8">
        <w:rPr>
          <w:lang w:val="en-GB"/>
        </w:rPr>
        <w:t xml:space="preserve"> the purpose</w:t>
      </w:r>
      <w:r w:rsidR="0085394C" w:rsidRPr="00515DC8">
        <w:rPr>
          <w:lang w:val="en-GB"/>
        </w:rPr>
        <w:t>(s)</w:t>
      </w:r>
      <w:r w:rsidR="00264784" w:rsidRPr="00515DC8">
        <w:rPr>
          <w:lang w:val="en-GB"/>
        </w:rPr>
        <w:t xml:space="preserve"> of HE</w:t>
      </w:r>
      <w:r w:rsidRPr="00515DC8">
        <w:rPr>
          <w:lang w:val="en-GB"/>
        </w:rPr>
        <w:t xml:space="preserve">, which vary </w:t>
      </w:r>
      <w:r w:rsidR="00F26E55" w:rsidRPr="00515DC8">
        <w:rPr>
          <w:lang w:val="en-GB"/>
        </w:rPr>
        <w:t>spatially</w:t>
      </w:r>
      <w:r w:rsidR="00B421B2" w:rsidRPr="00515DC8">
        <w:rPr>
          <w:lang w:val="en-GB"/>
        </w:rPr>
        <w:t xml:space="preserve"> and temporally</w:t>
      </w:r>
      <w:r w:rsidR="001F30FA" w:rsidRPr="00515DC8">
        <w:rPr>
          <w:lang w:val="en-GB"/>
        </w:rPr>
        <w:t xml:space="preserve"> </w:t>
      </w:r>
      <w:r w:rsidRPr="00515DC8">
        <w:rPr>
          <w:lang w:val="en-GB"/>
        </w:rPr>
        <w:t>across the sector</w:t>
      </w:r>
      <w:r w:rsidR="00F26E55" w:rsidRPr="00515DC8">
        <w:rPr>
          <w:lang w:val="en-GB"/>
        </w:rPr>
        <w:t xml:space="preserve"> </w:t>
      </w:r>
      <w:r w:rsidR="00A85A6F" w:rsidRPr="00515DC8">
        <w:rPr>
          <w:lang w:val="en-GB"/>
        </w:rPr>
        <w:t>(Edge Foundation, 2016; Haldane, 2015; Marshall, 2017)</w:t>
      </w:r>
      <w:r w:rsidRPr="00515DC8">
        <w:rPr>
          <w:lang w:val="en-GB"/>
        </w:rPr>
        <w:t xml:space="preserve">.  </w:t>
      </w:r>
      <w:r w:rsidR="00C33B06" w:rsidRPr="00515DC8">
        <w:rPr>
          <w:lang w:val="en-GB"/>
        </w:rPr>
        <w:t>Figure</w:t>
      </w:r>
      <w:r w:rsidR="004A72EE" w:rsidRPr="00515DC8">
        <w:rPr>
          <w:lang w:val="en-GB"/>
        </w:rPr>
        <w:t xml:space="preserve"> </w:t>
      </w:r>
      <w:r w:rsidR="00C33B06" w:rsidRPr="00515DC8">
        <w:rPr>
          <w:lang w:val="en-GB"/>
        </w:rPr>
        <w:t>2 highlight</w:t>
      </w:r>
      <w:r w:rsidR="004A72EE" w:rsidRPr="00515DC8">
        <w:rPr>
          <w:lang w:val="en-GB"/>
        </w:rPr>
        <w:t>s</w:t>
      </w:r>
      <w:r w:rsidR="00C33B06" w:rsidRPr="00515DC8">
        <w:rPr>
          <w:lang w:val="en-GB"/>
        </w:rPr>
        <w:t xml:space="preserve"> the different ways that information can be used</w:t>
      </w:r>
      <w:r w:rsidR="00163B69" w:rsidRPr="00515DC8">
        <w:rPr>
          <w:lang w:val="en-GB"/>
        </w:rPr>
        <w:t>, and at different levels</w:t>
      </w:r>
      <w:r w:rsidR="00C33B06" w:rsidRPr="00515DC8">
        <w:rPr>
          <w:lang w:val="en-GB"/>
        </w:rPr>
        <w:t xml:space="preserve"> to support individual, institutional and national agendas; the extent to which these align is a significant challenge for HEIs.</w:t>
      </w:r>
      <w:r w:rsidR="00AD396C" w:rsidRPr="00515DC8">
        <w:rPr>
          <w:lang w:val="en-GB"/>
        </w:rPr>
        <w:t xml:space="preserve"> </w:t>
      </w:r>
      <w:r w:rsidR="00C33B06" w:rsidRPr="00515DC8">
        <w:rPr>
          <w:lang w:val="en-GB"/>
        </w:rPr>
        <w:t xml:space="preserve"> </w:t>
      </w:r>
    </w:p>
    <w:p w14:paraId="047A1ED0" w14:textId="77777777" w:rsidR="004641AF" w:rsidRDefault="004641AF" w:rsidP="001B74D8">
      <w:pPr>
        <w:spacing w:line="480" w:lineRule="auto"/>
        <w:rPr>
          <w:lang w:val="en-GB"/>
        </w:rPr>
      </w:pPr>
    </w:p>
    <w:p w14:paraId="7002E81B" w14:textId="77777777" w:rsidR="004641AF" w:rsidRDefault="004641AF" w:rsidP="001B74D8">
      <w:pPr>
        <w:spacing w:line="480" w:lineRule="auto"/>
        <w:rPr>
          <w:lang w:val="en-GB"/>
        </w:rPr>
      </w:pPr>
      <w:r w:rsidRPr="004641AF">
        <w:rPr>
          <w:highlight w:val="yellow"/>
          <w:lang w:val="en-GB"/>
        </w:rPr>
        <w:t>Figure 2 here</w:t>
      </w:r>
    </w:p>
    <w:p w14:paraId="250D2611" w14:textId="77777777" w:rsidR="004641AF" w:rsidRDefault="004641AF" w:rsidP="001B74D8">
      <w:pPr>
        <w:spacing w:line="480" w:lineRule="auto"/>
        <w:rPr>
          <w:lang w:val="en-GB"/>
        </w:rPr>
      </w:pPr>
    </w:p>
    <w:p w14:paraId="1CA1D95B" w14:textId="3A8F4314" w:rsidR="00673C91" w:rsidRPr="00515DC8" w:rsidRDefault="00AD396C" w:rsidP="001B74D8">
      <w:pPr>
        <w:spacing w:line="480" w:lineRule="auto"/>
        <w:rPr>
          <w:lang w:val="en-GB"/>
        </w:rPr>
      </w:pPr>
      <w:r w:rsidRPr="00515DC8">
        <w:rPr>
          <w:lang w:val="en-GB"/>
        </w:rPr>
        <w:t>The measures that are used are dependent on institutional priorities</w:t>
      </w:r>
      <w:r w:rsidR="00C77503" w:rsidRPr="00515DC8">
        <w:rPr>
          <w:lang w:val="en-GB"/>
        </w:rPr>
        <w:t>,</w:t>
      </w:r>
      <w:r w:rsidRPr="00515DC8">
        <w:rPr>
          <w:lang w:val="en-GB"/>
        </w:rPr>
        <w:t xml:space="preserve"> and </w:t>
      </w:r>
      <w:r w:rsidR="00E838A5" w:rsidRPr="00515DC8">
        <w:rPr>
          <w:lang w:val="en-GB"/>
        </w:rPr>
        <w:t>at different levels of inquiry (</w:t>
      </w:r>
      <w:r w:rsidRPr="00515DC8">
        <w:rPr>
          <w:lang w:val="en-GB"/>
        </w:rPr>
        <w:t xml:space="preserve">institution-wide, </w:t>
      </w:r>
      <w:r w:rsidR="00E838A5" w:rsidRPr="00515DC8">
        <w:rPr>
          <w:lang w:val="en-GB"/>
        </w:rPr>
        <w:t xml:space="preserve">faculty, discipline, </w:t>
      </w:r>
      <w:r w:rsidRPr="00515DC8">
        <w:rPr>
          <w:lang w:val="en-GB"/>
        </w:rPr>
        <w:t>module</w:t>
      </w:r>
      <w:r w:rsidR="00673C91" w:rsidRPr="00515DC8">
        <w:rPr>
          <w:lang w:val="en-GB"/>
        </w:rPr>
        <w:t>, individual</w:t>
      </w:r>
      <w:r w:rsidRPr="00515DC8">
        <w:rPr>
          <w:lang w:val="en-GB"/>
        </w:rPr>
        <w:t xml:space="preserve">), and in relation to </w:t>
      </w:r>
      <w:r w:rsidR="00F62AD9" w:rsidRPr="00515DC8">
        <w:rPr>
          <w:lang w:val="en-GB"/>
        </w:rPr>
        <w:t>what one thinks</w:t>
      </w:r>
      <w:r w:rsidR="00792503" w:rsidRPr="00515DC8">
        <w:rPr>
          <w:lang w:val="en-GB"/>
        </w:rPr>
        <w:t>,</w:t>
      </w:r>
      <w:r w:rsidR="00F62AD9" w:rsidRPr="00515DC8">
        <w:rPr>
          <w:lang w:val="en-GB"/>
        </w:rPr>
        <w:t xml:space="preserve"> the</w:t>
      </w:r>
      <w:r w:rsidR="00163B69" w:rsidRPr="00515DC8">
        <w:rPr>
          <w:lang w:val="en-GB"/>
        </w:rPr>
        <w:t xml:space="preserve"> main</w:t>
      </w:r>
      <w:r w:rsidR="00F62AD9" w:rsidRPr="00515DC8">
        <w:rPr>
          <w:lang w:val="en-GB"/>
        </w:rPr>
        <w:t xml:space="preserve"> </w:t>
      </w:r>
      <w:r w:rsidR="00E838A5" w:rsidRPr="00515DC8">
        <w:rPr>
          <w:lang w:val="en-GB"/>
        </w:rPr>
        <w:t>goals</w:t>
      </w:r>
      <w:r w:rsidR="00F62AD9" w:rsidRPr="00515DC8">
        <w:rPr>
          <w:lang w:val="en-GB"/>
        </w:rPr>
        <w:t xml:space="preserve"> of higher education</w:t>
      </w:r>
      <w:r w:rsidR="00673C91" w:rsidRPr="00515DC8">
        <w:rPr>
          <w:lang w:val="en-GB"/>
        </w:rPr>
        <w:t xml:space="preserve"> are. </w:t>
      </w:r>
      <w:r w:rsidR="00792503" w:rsidRPr="00515DC8">
        <w:rPr>
          <w:lang w:val="en-GB"/>
        </w:rPr>
        <w:t xml:space="preserve"> </w:t>
      </w:r>
      <w:r w:rsidR="00673C91" w:rsidRPr="00515DC8">
        <w:rPr>
          <w:lang w:val="en-GB"/>
        </w:rPr>
        <w:t>F</w:t>
      </w:r>
      <w:r w:rsidR="003C40DF" w:rsidRPr="00515DC8">
        <w:rPr>
          <w:lang w:val="en-GB"/>
        </w:rPr>
        <w:t>or example, in terms of sustaining local and global econo</w:t>
      </w:r>
      <w:r w:rsidR="00792503" w:rsidRPr="00515DC8">
        <w:rPr>
          <w:lang w:val="en-GB"/>
        </w:rPr>
        <w:t>mies, addressing social justice/</w:t>
      </w:r>
      <w:r w:rsidR="003C40DF" w:rsidRPr="00515DC8">
        <w:rPr>
          <w:lang w:val="en-GB"/>
        </w:rPr>
        <w:t>equity, and individual development</w:t>
      </w:r>
      <w:r w:rsidR="00673C91" w:rsidRPr="00515DC8">
        <w:rPr>
          <w:lang w:val="en-GB"/>
        </w:rPr>
        <w:t xml:space="preserve">: </w:t>
      </w:r>
    </w:p>
    <w:p w14:paraId="2788550A" w14:textId="77777777" w:rsidR="00612E29" w:rsidRPr="00515DC8" w:rsidRDefault="00612E29" w:rsidP="001B74D8">
      <w:pPr>
        <w:spacing w:line="480" w:lineRule="auto"/>
        <w:rPr>
          <w:lang w:val="en-GB"/>
        </w:rPr>
      </w:pPr>
    </w:p>
    <w:p w14:paraId="3941DEDC" w14:textId="05357D30" w:rsidR="00AD396C" w:rsidRPr="00515DC8" w:rsidRDefault="00AD396C" w:rsidP="001B74D8">
      <w:pPr>
        <w:spacing w:line="480" w:lineRule="auto"/>
        <w:ind w:left="3600" w:hanging="3600"/>
        <w:rPr>
          <w:lang w:val="en-GB"/>
        </w:rPr>
      </w:pPr>
      <w:r w:rsidRPr="00515DC8">
        <w:rPr>
          <w:lang w:val="en-GB"/>
        </w:rPr>
        <w:t xml:space="preserve">Global competitiveness: </w:t>
      </w:r>
      <w:r w:rsidRPr="00515DC8">
        <w:rPr>
          <w:lang w:val="en-GB"/>
        </w:rPr>
        <w:tab/>
      </w:r>
      <w:r w:rsidR="00F62AD9" w:rsidRPr="00515DC8">
        <w:rPr>
          <w:lang w:val="en-GB"/>
        </w:rPr>
        <w:t>developing flexible knowledge workers for the 21</w:t>
      </w:r>
      <w:r w:rsidR="00F62AD9" w:rsidRPr="00515DC8">
        <w:rPr>
          <w:vertAlign w:val="superscript"/>
          <w:lang w:val="en-GB"/>
        </w:rPr>
        <w:t>st</w:t>
      </w:r>
      <w:r w:rsidR="00B6512D">
        <w:rPr>
          <w:vertAlign w:val="superscript"/>
          <w:lang w:val="en-GB"/>
        </w:rPr>
        <w:t>-</w:t>
      </w:r>
      <w:r w:rsidR="00DE6444" w:rsidRPr="00515DC8">
        <w:rPr>
          <w:lang w:val="en-GB"/>
        </w:rPr>
        <w:t>century</w:t>
      </w:r>
      <w:r w:rsidRPr="00515DC8">
        <w:rPr>
          <w:lang w:val="en-GB"/>
        </w:rPr>
        <w:t xml:space="preserve"> </w:t>
      </w:r>
      <w:r w:rsidR="00F62AD9" w:rsidRPr="00515DC8">
        <w:rPr>
          <w:lang w:val="en-GB"/>
        </w:rPr>
        <w:t>economy</w:t>
      </w:r>
      <w:r w:rsidR="00DA3BD7" w:rsidRPr="00515DC8">
        <w:rPr>
          <w:lang w:val="en-GB"/>
        </w:rPr>
        <w:t>;</w:t>
      </w:r>
      <w:r w:rsidR="00F62AD9" w:rsidRPr="00515DC8">
        <w:rPr>
          <w:lang w:val="en-GB"/>
        </w:rPr>
        <w:t xml:space="preserve"> </w:t>
      </w:r>
      <w:r w:rsidRPr="00515DC8">
        <w:rPr>
          <w:lang w:val="en-GB"/>
        </w:rPr>
        <w:t xml:space="preserve">training professionals to participate in a functioning society; </w:t>
      </w:r>
    </w:p>
    <w:p w14:paraId="75C8D3A1" w14:textId="55A80BC5" w:rsidR="003C40DF" w:rsidRPr="00515DC8" w:rsidRDefault="003C40DF" w:rsidP="001B74D8">
      <w:pPr>
        <w:spacing w:line="480" w:lineRule="auto"/>
        <w:ind w:left="3600" w:hanging="3600"/>
        <w:rPr>
          <w:shd w:val="clear" w:color="auto" w:fill="FFFFFF" w:themeFill="background1"/>
          <w:lang w:val="en-GB"/>
        </w:rPr>
      </w:pPr>
      <w:r w:rsidRPr="00515DC8">
        <w:rPr>
          <w:lang w:val="en-GB"/>
        </w:rPr>
        <w:t>Fostering democratic citi</w:t>
      </w:r>
      <w:r w:rsidRPr="00515DC8">
        <w:rPr>
          <w:shd w:val="clear" w:color="auto" w:fill="FFFFFF" w:themeFill="background1"/>
          <w:lang w:val="en-GB"/>
        </w:rPr>
        <w:t>zenship:</w:t>
      </w:r>
      <w:r w:rsidRPr="00515DC8">
        <w:rPr>
          <w:shd w:val="clear" w:color="auto" w:fill="FFFFFF" w:themeFill="background1"/>
          <w:lang w:val="en-GB"/>
        </w:rPr>
        <w:tab/>
        <w:t>contributing to a more just, peaceful and sustainable global community (UN</w:t>
      </w:r>
      <w:r w:rsidR="00007559" w:rsidRPr="00515DC8">
        <w:rPr>
          <w:shd w:val="clear" w:color="auto" w:fill="FFFFFF" w:themeFill="background1"/>
          <w:lang w:val="en-GB"/>
        </w:rPr>
        <w:t>, 2012); (</w:t>
      </w:r>
      <w:r w:rsidRPr="00515DC8">
        <w:rPr>
          <w:shd w:val="clear" w:color="auto" w:fill="FFFFFF" w:themeFill="background1"/>
          <w:lang w:val="en-GB"/>
        </w:rPr>
        <w:t>UNESCO</w:t>
      </w:r>
      <w:r w:rsidR="00007559" w:rsidRPr="00515DC8">
        <w:rPr>
          <w:shd w:val="clear" w:color="auto" w:fill="FFFFFF" w:themeFill="background1"/>
          <w:lang w:val="en-GB"/>
        </w:rPr>
        <w:t>, 2005),</w:t>
      </w:r>
      <w:r w:rsidRPr="00515DC8">
        <w:rPr>
          <w:shd w:val="clear" w:color="auto" w:fill="FFFFFF" w:themeFill="background1"/>
          <w:lang w:val="en-GB"/>
        </w:rPr>
        <w:t xml:space="preserve"> and</w:t>
      </w:r>
    </w:p>
    <w:p w14:paraId="1A958981" w14:textId="4F56872B" w:rsidR="003C40DF" w:rsidRPr="00515DC8" w:rsidRDefault="003C40DF" w:rsidP="001B74D8">
      <w:pPr>
        <w:spacing w:line="480" w:lineRule="auto"/>
        <w:ind w:left="2880" w:hanging="2880"/>
        <w:rPr>
          <w:lang w:val="en-GB"/>
        </w:rPr>
      </w:pPr>
      <w:r w:rsidRPr="00515DC8">
        <w:rPr>
          <w:lang w:val="en-GB"/>
        </w:rPr>
        <w:t>Social justice/equity:</w:t>
      </w:r>
      <w:r w:rsidRPr="00515DC8">
        <w:rPr>
          <w:lang w:val="en-GB"/>
        </w:rPr>
        <w:tab/>
      </w:r>
      <w:r w:rsidRPr="00515DC8">
        <w:rPr>
          <w:lang w:val="en-GB"/>
        </w:rPr>
        <w:tab/>
        <w:t xml:space="preserve">creating an engine for social mobility; </w:t>
      </w:r>
    </w:p>
    <w:p w14:paraId="52BC2032" w14:textId="02689318" w:rsidR="00BB7F04" w:rsidRPr="00515DC8" w:rsidRDefault="00AD396C" w:rsidP="00007559">
      <w:pPr>
        <w:spacing w:line="480" w:lineRule="auto"/>
        <w:ind w:left="3600" w:hanging="3600"/>
        <w:rPr>
          <w:lang w:val="en-GB"/>
        </w:rPr>
      </w:pPr>
      <w:r w:rsidRPr="00515DC8">
        <w:rPr>
          <w:lang w:val="en-GB"/>
        </w:rPr>
        <w:t xml:space="preserve">Individual growth: </w:t>
      </w:r>
      <w:r w:rsidRPr="00515DC8">
        <w:rPr>
          <w:lang w:val="en-GB"/>
        </w:rPr>
        <w:tab/>
        <w:t>cultivating a passion for a subject and skills for life-long learning; investment in skills for</w:t>
      </w:r>
      <w:r w:rsidR="00007559" w:rsidRPr="00515DC8">
        <w:rPr>
          <w:lang w:val="en-GB"/>
        </w:rPr>
        <w:t xml:space="preserve"> accrual of individual capital </w:t>
      </w:r>
      <w:r w:rsidR="00673C91" w:rsidRPr="00515DC8">
        <w:rPr>
          <w:lang w:val="en-GB"/>
        </w:rPr>
        <w:t>(Collini, 2012; Kandiko Howson, 2012, 2018)</w:t>
      </w:r>
      <w:r w:rsidR="00007559" w:rsidRPr="00515DC8">
        <w:rPr>
          <w:lang w:val="en-GB"/>
        </w:rPr>
        <w:t xml:space="preserve">. </w:t>
      </w:r>
    </w:p>
    <w:p w14:paraId="26CA4611" w14:textId="77777777" w:rsidR="00673C91" w:rsidRPr="00515DC8" w:rsidRDefault="00673C91" w:rsidP="001B74D8">
      <w:pPr>
        <w:spacing w:line="480" w:lineRule="auto"/>
        <w:ind w:left="2880" w:firstLine="720"/>
        <w:rPr>
          <w:lang w:val="en-GB"/>
        </w:rPr>
      </w:pPr>
    </w:p>
    <w:p w14:paraId="3C7D5678" w14:textId="77777777" w:rsidR="00BB7F04" w:rsidRPr="00515DC8" w:rsidRDefault="00BB7F04" w:rsidP="001B74D8">
      <w:pPr>
        <w:spacing w:line="480" w:lineRule="auto"/>
        <w:ind w:left="2880" w:firstLine="720"/>
        <w:rPr>
          <w:lang w:val="en-GB"/>
        </w:rPr>
        <w:sectPr w:rsidR="00BB7F04" w:rsidRPr="00515DC8" w:rsidSect="008C1C4F">
          <w:footerReference w:type="default" r:id="rId10"/>
          <w:pgSz w:w="11906" w:h="16838"/>
          <w:pgMar w:top="1440" w:right="1252" w:bottom="1440" w:left="1440" w:header="708" w:footer="708" w:gutter="0"/>
          <w:pgNumType w:start="0"/>
          <w:cols w:space="708"/>
          <w:docGrid w:linePitch="360"/>
        </w:sectPr>
      </w:pPr>
    </w:p>
    <w:p w14:paraId="0AF44E87" w14:textId="77777777" w:rsidR="00163B69" w:rsidRPr="00515DC8" w:rsidRDefault="00163B69" w:rsidP="001B74D8">
      <w:pPr>
        <w:spacing w:line="480" w:lineRule="auto"/>
        <w:rPr>
          <w:lang w:val="en-GB"/>
        </w:rPr>
      </w:pPr>
    </w:p>
    <w:p w14:paraId="597545A4" w14:textId="7CF7B08B" w:rsidR="00163B69" w:rsidRPr="00515DC8" w:rsidRDefault="00163B69" w:rsidP="001B74D8">
      <w:pPr>
        <w:spacing w:line="480" w:lineRule="auto"/>
        <w:rPr>
          <w:lang w:val="en-GB"/>
        </w:rPr>
      </w:pPr>
      <w:r w:rsidRPr="00515DC8">
        <w:rPr>
          <w:lang w:val="en-GB"/>
        </w:rPr>
        <w:t>In reviewing levels of use as outlined in Figure 2, we argue the importance of an integrated approach to supporting</w:t>
      </w:r>
      <w:r w:rsidR="00806449">
        <w:rPr>
          <w:lang w:val="en-GB"/>
        </w:rPr>
        <w:t xml:space="preserve"> the</w:t>
      </w:r>
      <w:r w:rsidRPr="00515DC8">
        <w:rPr>
          <w:lang w:val="en-GB"/>
        </w:rPr>
        <w:t xml:space="preserve"> implementation of research-informed practices to s</w:t>
      </w:r>
      <w:r w:rsidR="00C720F4">
        <w:rPr>
          <w:lang w:val="en-GB"/>
        </w:rPr>
        <w:t>upport learning gain initiative</w:t>
      </w:r>
      <w:r w:rsidRPr="00515DC8">
        <w:rPr>
          <w:lang w:val="en-GB"/>
        </w:rPr>
        <w:t xml:space="preserve"> efficacy at the individual level</w:t>
      </w:r>
      <w:r w:rsidR="00C720F4">
        <w:rPr>
          <w:lang w:val="en-GB"/>
        </w:rPr>
        <w:t>,</w:t>
      </w:r>
      <w:r w:rsidR="0035111A">
        <w:rPr>
          <w:lang w:val="en-GB"/>
        </w:rPr>
        <w:t xml:space="preserve"> and efficiency across the sector</w:t>
      </w:r>
      <w:r w:rsidRPr="00515DC8">
        <w:rPr>
          <w:lang w:val="en-GB"/>
        </w:rPr>
        <w:t>. This requires both top-down support, and bottom-up approaches to impact policy development and practice.</w:t>
      </w:r>
    </w:p>
    <w:p w14:paraId="54D8BEA9" w14:textId="77777777" w:rsidR="00163B69" w:rsidRPr="00515DC8" w:rsidRDefault="00163B69" w:rsidP="001B74D8">
      <w:pPr>
        <w:spacing w:line="480" w:lineRule="auto"/>
        <w:rPr>
          <w:lang w:val="en-GB"/>
        </w:rPr>
      </w:pPr>
    </w:p>
    <w:p w14:paraId="5BECBCB0" w14:textId="4F700331" w:rsidR="00B37A2B" w:rsidRPr="00515DC8" w:rsidRDefault="00DA3BD7" w:rsidP="004641AF">
      <w:pPr>
        <w:shd w:val="clear" w:color="auto" w:fill="FFFFFF" w:themeFill="background1"/>
        <w:spacing w:line="480" w:lineRule="auto"/>
        <w:rPr>
          <w:highlight w:val="yellow"/>
          <w:lang w:val="en-GB"/>
        </w:rPr>
      </w:pPr>
      <w:r w:rsidRPr="00515DC8">
        <w:rPr>
          <w:lang w:val="en-GB"/>
        </w:rPr>
        <w:t>A princip</w:t>
      </w:r>
      <w:r w:rsidR="00A7158F" w:rsidRPr="00515DC8">
        <w:rPr>
          <w:lang w:val="en-GB"/>
        </w:rPr>
        <w:t>al</w:t>
      </w:r>
      <w:r w:rsidR="009A5FB7" w:rsidRPr="00515DC8">
        <w:rPr>
          <w:lang w:val="en-GB"/>
        </w:rPr>
        <w:t xml:space="preserve"> rationale for </w:t>
      </w:r>
      <w:r w:rsidRPr="00515DC8">
        <w:rPr>
          <w:lang w:val="en-GB"/>
        </w:rPr>
        <w:t xml:space="preserve">the measurement of </w:t>
      </w:r>
      <w:r w:rsidR="009A5FB7" w:rsidRPr="00515DC8">
        <w:rPr>
          <w:lang w:val="en-GB"/>
        </w:rPr>
        <w:t xml:space="preserve">learning gain </w:t>
      </w:r>
      <w:r w:rsidRPr="00515DC8">
        <w:rPr>
          <w:lang w:val="en-GB"/>
        </w:rPr>
        <w:t>relates to transparency and</w:t>
      </w:r>
      <w:r w:rsidR="009A5FB7" w:rsidRPr="00515DC8">
        <w:rPr>
          <w:lang w:val="en-GB"/>
        </w:rPr>
        <w:t xml:space="preserve"> what happens inside the</w:t>
      </w:r>
      <w:r w:rsidR="00264784" w:rsidRPr="00515DC8">
        <w:rPr>
          <w:lang w:val="en-GB"/>
        </w:rPr>
        <w:t xml:space="preserve"> </w:t>
      </w:r>
      <w:r w:rsidRPr="00515DC8">
        <w:rPr>
          <w:lang w:val="en-GB"/>
        </w:rPr>
        <w:t>“</w:t>
      </w:r>
      <w:r w:rsidR="00264784" w:rsidRPr="00515DC8">
        <w:rPr>
          <w:lang w:val="en-GB"/>
        </w:rPr>
        <w:t>black box” of HE</w:t>
      </w:r>
      <w:r w:rsidR="009A5FB7" w:rsidRPr="00515DC8">
        <w:rPr>
          <w:lang w:val="en-GB"/>
        </w:rPr>
        <w:t xml:space="preserve">, asking what </w:t>
      </w:r>
      <w:r w:rsidR="00B24FC4" w:rsidRPr="00515DC8">
        <w:rPr>
          <w:lang w:val="en-GB"/>
        </w:rPr>
        <w:t>students should</w:t>
      </w:r>
      <w:r w:rsidR="009A5FB7" w:rsidRPr="00515DC8">
        <w:rPr>
          <w:lang w:val="en-GB"/>
        </w:rPr>
        <w:t xml:space="preserve"> achieve and </w:t>
      </w:r>
      <w:r w:rsidR="00C33B06" w:rsidRPr="00515DC8">
        <w:rPr>
          <w:lang w:val="en-GB"/>
        </w:rPr>
        <w:t xml:space="preserve">to </w:t>
      </w:r>
      <w:r w:rsidR="009A5FB7" w:rsidRPr="00515DC8">
        <w:rPr>
          <w:lang w:val="en-GB"/>
        </w:rPr>
        <w:t xml:space="preserve">what </w:t>
      </w:r>
      <w:r w:rsidR="00C33B06" w:rsidRPr="00515DC8">
        <w:rPr>
          <w:lang w:val="en-GB"/>
        </w:rPr>
        <w:t xml:space="preserve">extent </w:t>
      </w:r>
      <w:r w:rsidR="009A5FB7" w:rsidRPr="00515DC8">
        <w:rPr>
          <w:lang w:val="en-GB"/>
        </w:rPr>
        <w:t xml:space="preserve">institutions are </w:t>
      </w:r>
      <w:r w:rsidR="00C33B06" w:rsidRPr="00515DC8">
        <w:rPr>
          <w:lang w:val="en-GB"/>
        </w:rPr>
        <w:t>enabling</w:t>
      </w:r>
      <w:r w:rsidR="009A5FB7" w:rsidRPr="00515DC8">
        <w:rPr>
          <w:lang w:val="en-GB"/>
        </w:rPr>
        <w:t xml:space="preserve"> this. </w:t>
      </w:r>
      <w:r w:rsidR="00085DF1" w:rsidRPr="00515DC8">
        <w:rPr>
          <w:lang w:val="en-GB"/>
        </w:rPr>
        <w:t xml:space="preserve"> T</w:t>
      </w:r>
      <w:r w:rsidR="00140179" w:rsidRPr="00515DC8">
        <w:rPr>
          <w:lang w:val="en-GB"/>
        </w:rPr>
        <w:t>he reality is</w:t>
      </w:r>
      <w:r w:rsidR="00C33B06" w:rsidRPr="00515DC8">
        <w:rPr>
          <w:lang w:val="en-GB"/>
        </w:rPr>
        <w:t>,</w:t>
      </w:r>
      <w:r w:rsidR="00085DF1" w:rsidRPr="00515DC8">
        <w:rPr>
          <w:lang w:val="en-GB"/>
        </w:rPr>
        <w:t xml:space="preserve"> however,</w:t>
      </w:r>
      <w:r w:rsidR="00140179" w:rsidRPr="00515DC8">
        <w:rPr>
          <w:lang w:val="en-GB"/>
        </w:rPr>
        <w:t xml:space="preserve"> that a huge variety of students</w:t>
      </w:r>
      <w:r w:rsidR="00264784" w:rsidRPr="00515DC8">
        <w:rPr>
          <w:lang w:val="en-GB"/>
        </w:rPr>
        <w:t xml:space="preserve"> enter and exit HE</w:t>
      </w:r>
      <w:r w:rsidR="00140179" w:rsidRPr="00515DC8">
        <w:rPr>
          <w:lang w:val="en-GB"/>
        </w:rPr>
        <w:t xml:space="preserve"> with </w:t>
      </w:r>
      <w:r w:rsidR="00085DF1" w:rsidRPr="00515DC8">
        <w:rPr>
          <w:lang w:val="en-GB"/>
        </w:rPr>
        <w:t xml:space="preserve">varying </w:t>
      </w:r>
      <w:r w:rsidR="00140179" w:rsidRPr="00515DC8">
        <w:rPr>
          <w:lang w:val="en-GB"/>
        </w:rPr>
        <w:t xml:space="preserve">qualifications, skills and </w:t>
      </w:r>
      <w:r w:rsidR="00085DF1" w:rsidRPr="00515DC8">
        <w:rPr>
          <w:lang w:val="en-GB"/>
        </w:rPr>
        <w:t xml:space="preserve">social </w:t>
      </w:r>
      <w:r w:rsidR="00140179" w:rsidRPr="00515DC8">
        <w:rPr>
          <w:lang w:val="en-GB"/>
        </w:rPr>
        <w:t xml:space="preserve">capital. </w:t>
      </w:r>
      <w:r w:rsidR="00085DF1" w:rsidRPr="00515DC8">
        <w:rPr>
          <w:lang w:val="en-GB"/>
        </w:rPr>
        <w:t xml:space="preserve"> </w:t>
      </w:r>
      <w:r w:rsidR="00140179" w:rsidRPr="00515DC8">
        <w:rPr>
          <w:lang w:val="en-GB"/>
        </w:rPr>
        <w:t xml:space="preserve">Measuring learning gain </w:t>
      </w:r>
      <w:r w:rsidR="00BD6119" w:rsidRPr="00515DC8">
        <w:rPr>
          <w:lang w:val="en-GB"/>
        </w:rPr>
        <w:t xml:space="preserve">of </w:t>
      </w:r>
      <w:r w:rsidR="00002AE0" w:rsidRPr="00515DC8">
        <w:rPr>
          <w:lang w:val="en-GB"/>
        </w:rPr>
        <w:t xml:space="preserve">this </w:t>
      </w:r>
      <w:r w:rsidR="00085DF1" w:rsidRPr="00515DC8">
        <w:rPr>
          <w:lang w:val="en-GB"/>
        </w:rPr>
        <w:t xml:space="preserve">eclectic </w:t>
      </w:r>
      <w:r w:rsidR="00002AE0" w:rsidRPr="00515DC8">
        <w:rPr>
          <w:lang w:val="en-GB"/>
        </w:rPr>
        <w:t>mix</w:t>
      </w:r>
      <w:r w:rsidR="00085DF1" w:rsidRPr="00515DC8">
        <w:rPr>
          <w:lang w:val="en-GB"/>
        </w:rPr>
        <w:t xml:space="preserve"> requires some accounting for the</w:t>
      </w:r>
      <w:r w:rsidR="00140179" w:rsidRPr="00515DC8">
        <w:rPr>
          <w:lang w:val="en-GB"/>
        </w:rPr>
        <w:t xml:space="preserve"> inputs into higher education, the </w:t>
      </w:r>
      <w:r w:rsidR="00085DF1" w:rsidRPr="00515DC8">
        <w:rPr>
          <w:lang w:val="en-GB"/>
        </w:rPr>
        <w:t xml:space="preserve">student </w:t>
      </w:r>
      <w:r w:rsidR="00140179" w:rsidRPr="00515DC8">
        <w:rPr>
          <w:lang w:val="en-GB"/>
        </w:rPr>
        <w:t xml:space="preserve">experience during higher </w:t>
      </w:r>
      <w:r w:rsidR="00140179" w:rsidRPr="004641AF">
        <w:rPr>
          <w:lang w:val="en-GB"/>
        </w:rPr>
        <w:t xml:space="preserve">education, the subsequent outputs and how these </w:t>
      </w:r>
      <w:r w:rsidR="00085DF1" w:rsidRPr="004641AF">
        <w:rPr>
          <w:lang w:val="en-GB"/>
        </w:rPr>
        <w:t xml:space="preserve">consolidate into </w:t>
      </w:r>
      <w:r w:rsidR="00002AE0" w:rsidRPr="004641AF">
        <w:rPr>
          <w:lang w:val="en-GB"/>
        </w:rPr>
        <w:t xml:space="preserve">meaningful </w:t>
      </w:r>
      <w:r w:rsidR="00085DF1" w:rsidRPr="004641AF">
        <w:rPr>
          <w:lang w:val="en-GB"/>
        </w:rPr>
        <w:t>learning</w:t>
      </w:r>
      <w:r w:rsidR="00285666" w:rsidRPr="004641AF">
        <w:rPr>
          <w:lang w:val="en-GB"/>
        </w:rPr>
        <w:t xml:space="preserve">. </w:t>
      </w:r>
      <w:r w:rsidR="00B37A2B" w:rsidRPr="004641AF">
        <w:rPr>
          <w:shd w:val="clear" w:color="auto" w:fill="FFFFFF" w:themeFill="background1"/>
          <w:lang w:val="en-GB"/>
        </w:rPr>
        <w:t xml:space="preserve">Figure 3 </w:t>
      </w:r>
      <w:r w:rsidR="00D703A0" w:rsidRPr="004641AF">
        <w:rPr>
          <w:shd w:val="clear" w:color="auto" w:fill="FFFFFF" w:themeFill="background1"/>
          <w:lang w:val="en-GB"/>
        </w:rPr>
        <w:t>provides a framework for</w:t>
      </w:r>
      <w:r w:rsidR="00B37A2B" w:rsidRPr="004641AF">
        <w:rPr>
          <w:shd w:val="clear" w:color="auto" w:fill="FFFFFF" w:themeFill="background1"/>
          <w:lang w:val="en-GB"/>
        </w:rPr>
        <w:t xml:space="preserve"> input, process, </w:t>
      </w:r>
      <w:r w:rsidR="0035111A" w:rsidRPr="004641AF">
        <w:rPr>
          <w:shd w:val="clear" w:color="auto" w:fill="FFFFFF" w:themeFill="background1"/>
          <w:lang w:val="en-GB"/>
        </w:rPr>
        <w:t>and outcome variables within HE, discussed in detail below.</w:t>
      </w:r>
      <w:r w:rsidR="005B471A" w:rsidRPr="004641AF">
        <w:rPr>
          <w:shd w:val="clear" w:color="auto" w:fill="FFFFFF" w:themeFill="background1"/>
          <w:lang w:val="en-GB"/>
        </w:rPr>
        <w:t xml:space="preserve"> </w:t>
      </w:r>
      <w:r w:rsidR="00B37A2B" w:rsidRPr="004641AF">
        <w:rPr>
          <w:shd w:val="clear" w:color="auto" w:fill="FFFFFF" w:themeFill="background1"/>
          <w:lang w:val="en-GB"/>
        </w:rPr>
        <w:t xml:space="preserve"> Key question</w:t>
      </w:r>
      <w:r w:rsidR="00772F0A" w:rsidRPr="004641AF">
        <w:rPr>
          <w:shd w:val="clear" w:color="auto" w:fill="FFFFFF" w:themeFill="background1"/>
          <w:lang w:val="en-GB"/>
        </w:rPr>
        <w:t>s</w:t>
      </w:r>
      <w:r w:rsidR="00B37A2B" w:rsidRPr="004641AF">
        <w:rPr>
          <w:shd w:val="clear" w:color="auto" w:fill="FFFFFF" w:themeFill="background1"/>
          <w:lang w:val="en-GB"/>
        </w:rPr>
        <w:t xml:space="preserve"> revolve around the decisions underpinning the collection, use, and management of data, and how this information can be used</w:t>
      </w:r>
      <w:r w:rsidR="00772F0A" w:rsidRPr="004641AF">
        <w:rPr>
          <w:shd w:val="clear" w:color="auto" w:fill="FFFFFF" w:themeFill="background1"/>
          <w:lang w:val="en-GB"/>
        </w:rPr>
        <w:t xml:space="preserve"> most</w:t>
      </w:r>
      <w:r w:rsidR="00B37A2B" w:rsidRPr="004641AF">
        <w:rPr>
          <w:shd w:val="clear" w:color="auto" w:fill="FFFFFF" w:themeFill="background1"/>
          <w:lang w:val="en-GB"/>
        </w:rPr>
        <w:t xml:space="preserve"> effectively to enhance learning and teaching</w:t>
      </w:r>
      <w:r w:rsidR="00E443F8" w:rsidRPr="004641AF">
        <w:rPr>
          <w:shd w:val="clear" w:color="auto" w:fill="FFFFFF" w:themeFill="background1"/>
          <w:lang w:val="en-GB"/>
        </w:rPr>
        <w:t xml:space="preserve"> attuned to the development journey of a student, and groups of students as they navigate the many learning transitions into, through and beyond HE.</w:t>
      </w:r>
      <w:r w:rsidR="00E443F8" w:rsidRPr="00515DC8">
        <w:rPr>
          <w:shd w:val="clear" w:color="auto" w:fill="E7E6E6" w:themeFill="background2"/>
          <w:lang w:val="en-GB"/>
        </w:rPr>
        <w:t xml:space="preserve"> </w:t>
      </w:r>
    </w:p>
    <w:p w14:paraId="7800101A" w14:textId="77777777" w:rsidR="001F30FA" w:rsidRPr="00515DC8" w:rsidRDefault="001F30FA" w:rsidP="001B74D8">
      <w:pPr>
        <w:spacing w:line="480" w:lineRule="auto"/>
        <w:rPr>
          <w:i/>
          <w:lang w:val="en-GB"/>
        </w:rPr>
      </w:pPr>
    </w:p>
    <w:p w14:paraId="2292B37E" w14:textId="77777777" w:rsidR="001F30FA" w:rsidRPr="00515DC8" w:rsidRDefault="001F30FA" w:rsidP="00404D06">
      <w:pPr>
        <w:spacing w:line="480" w:lineRule="auto"/>
        <w:outlineLvl w:val="0"/>
        <w:rPr>
          <w:i/>
          <w:lang w:val="en-GB"/>
        </w:rPr>
      </w:pPr>
      <w:r w:rsidRPr="00515DC8">
        <w:rPr>
          <w:i/>
          <w:lang w:val="en-GB"/>
        </w:rPr>
        <w:t>Inputs</w:t>
      </w:r>
    </w:p>
    <w:p w14:paraId="009F244E" w14:textId="3EA9A6B1" w:rsidR="0039166F" w:rsidRPr="00515DC8" w:rsidRDefault="00264784" w:rsidP="001B74D8">
      <w:pPr>
        <w:spacing w:line="480" w:lineRule="auto"/>
        <w:rPr>
          <w:lang w:val="en-GB"/>
        </w:rPr>
      </w:pPr>
      <w:r w:rsidRPr="00515DC8">
        <w:rPr>
          <w:lang w:val="en-GB"/>
        </w:rPr>
        <w:t>HE</w:t>
      </w:r>
      <w:r w:rsidR="00781E5E" w:rsidRPr="00515DC8">
        <w:rPr>
          <w:lang w:val="en-GB"/>
        </w:rPr>
        <w:t xml:space="preserve"> </w:t>
      </w:r>
      <w:r w:rsidR="009A5FB7" w:rsidRPr="00515DC8">
        <w:rPr>
          <w:lang w:val="en-GB"/>
        </w:rPr>
        <w:t>systems and institutions</w:t>
      </w:r>
      <w:r w:rsidR="00781E5E" w:rsidRPr="00515DC8">
        <w:rPr>
          <w:lang w:val="en-GB"/>
        </w:rPr>
        <w:t xml:space="preserve"> can be viewed with </w:t>
      </w:r>
      <w:r w:rsidR="00140179" w:rsidRPr="00515DC8">
        <w:rPr>
          <w:lang w:val="en-GB"/>
        </w:rPr>
        <w:t>students</w:t>
      </w:r>
      <w:r w:rsidR="004641AF">
        <w:rPr>
          <w:lang w:val="en-GB"/>
        </w:rPr>
        <w:t xml:space="preserve"> seen</w:t>
      </w:r>
      <w:r w:rsidR="00140179" w:rsidRPr="00515DC8">
        <w:rPr>
          <w:lang w:val="en-GB"/>
        </w:rPr>
        <w:t xml:space="preserve"> as </w:t>
      </w:r>
      <w:r w:rsidR="00781E5E" w:rsidRPr="00515DC8">
        <w:rPr>
          <w:lang w:val="en-GB"/>
        </w:rPr>
        <w:t>sets of inputs, extensively explored through research on access, admissions</w:t>
      </w:r>
      <w:r w:rsidR="00BE7741">
        <w:rPr>
          <w:lang w:val="en-GB"/>
        </w:rPr>
        <w:t>,</w:t>
      </w:r>
      <w:r w:rsidR="00781E5E" w:rsidRPr="00515DC8">
        <w:rPr>
          <w:lang w:val="en-GB"/>
        </w:rPr>
        <w:t xml:space="preserve"> and widening participation</w:t>
      </w:r>
      <w:r w:rsidR="00140179" w:rsidRPr="00515DC8">
        <w:rPr>
          <w:lang w:val="en-GB"/>
        </w:rPr>
        <w:t xml:space="preserve"> (</w:t>
      </w:r>
      <w:r w:rsidR="00140179" w:rsidRPr="00515DC8">
        <w:rPr>
          <w:i/>
          <w:lang w:val="en-GB"/>
        </w:rPr>
        <w:t xml:space="preserve">see </w:t>
      </w:r>
      <w:r w:rsidR="009B74E4" w:rsidRPr="00515DC8">
        <w:rPr>
          <w:i/>
          <w:lang w:val="en-GB"/>
        </w:rPr>
        <w:t>Cameron, 2018</w:t>
      </w:r>
      <w:r w:rsidR="00140179" w:rsidRPr="00515DC8">
        <w:rPr>
          <w:lang w:val="en-GB"/>
        </w:rPr>
        <w:t>)</w:t>
      </w:r>
      <w:r w:rsidR="00781E5E" w:rsidRPr="00515DC8">
        <w:rPr>
          <w:lang w:val="en-GB"/>
        </w:rPr>
        <w:t xml:space="preserve">. </w:t>
      </w:r>
      <w:r w:rsidR="009A5FB7" w:rsidRPr="00515DC8">
        <w:rPr>
          <w:lang w:val="en-GB"/>
        </w:rPr>
        <w:t>In terms of measuring learning gain</w:t>
      </w:r>
      <w:r w:rsidR="00580FD6" w:rsidRPr="00515DC8">
        <w:rPr>
          <w:lang w:val="en-GB"/>
        </w:rPr>
        <w:t>,</w:t>
      </w:r>
      <w:r w:rsidR="009A5FB7" w:rsidRPr="00515DC8">
        <w:rPr>
          <w:lang w:val="en-GB"/>
        </w:rPr>
        <w:t xml:space="preserve"> input and entry measures</w:t>
      </w:r>
      <w:r w:rsidR="009A5FB7" w:rsidRPr="00515DC8">
        <w:rPr>
          <w:b/>
          <w:lang w:val="en-GB"/>
        </w:rPr>
        <w:t xml:space="preserve"> </w:t>
      </w:r>
      <w:r w:rsidR="009A5FB7" w:rsidRPr="00515DC8">
        <w:rPr>
          <w:lang w:val="en-GB"/>
        </w:rPr>
        <w:t>a</w:t>
      </w:r>
      <w:r w:rsidR="00580FD6" w:rsidRPr="00515DC8">
        <w:rPr>
          <w:lang w:val="en-GB"/>
        </w:rPr>
        <w:t>re key</w:t>
      </w:r>
      <w:r w:rsidR="000F6D89" w:rsidRPr="00515DC8">
        <w:rPr>
          <w:lang w:val="en-GB"/>
        </w:rPr>
        <w:t>,</w:t>
      </w:r>
      <w:r w:rsidR="00580FD6" w:rsidRPr="00515DC8">
        <w:rPr>
          <w:lang w:val="en-GB"/>
        </w:rPr>
        <w:t xml:space="preserve"> </w:t>
      </w:r>
    </w:p>
    <w:p w14:paraId="6104E8DF" w14:textId="14669E76" w:rsidR="00E443F8" w:rsidRPr="00515DC8" w:rsidRDefault="00580FD6" w:rsidP="00E443F8">
      <w:pPr>
        <w:spacing w:line="480" w:lineRule="auto"/>
        <w:rPr>
          <w:lang w:val="en-GB"/>
        </w:rPr>
      </w:pPr>
      <w:r w:rsidRPr="00515DC8">
        <w:rPr>
          <w:lang w:val="en-GB"/>
        </w:rPr>
        <w:t>because not</w:t>
      </w:r>
      <w:r w:rsidR="009A5FB7" w:rsidRPr="00515DC8">
        <w:rPr>
          <w:lang w:val="en-GB"/>
        </w:rPr>
        <w:t xml:space="preserve"> all students enter higher edu</w:t>
      </w:r>
      <w:r w:rsidR="00891B4F" w:rsidRPr="00515DC8">
        <w:rPr>
          <w:lang w:val="en-GB"/>
        </w:rPr>
        <w:t xml:space="preserve">cation </w:t>
      </w:r>
      <w:r w:rsidRPr="00515DC8">
        <w:rPr>
          <w:lang w:val="en-GB"/>
        </w:rPr>
        <w:t xml:space="preserve">with </w:t>
      </w:r>
      <w:r w:rsidR="00002AE0" w:rsidRPr="00515DC8">
        <w:rPr>
          <w:lang w:val="en-GB"/>
        </w:rPr>
        <w:t xml:space="preserve">the same knowledge, skills and attributes, and thus lack </w:t>
      </w:r>
      <w:r w:rsidRPr="00515DC8">
        <w:rPr>
          <w:lang w:val="en-GB"/>
        </w:rPr>
        <w:t>a fair and equal chance of success</w:t>
      </w:r>
      <w:r w:rsidR="007E135C" w:rsidRPr="00515DC8">
        <w:rPr>
          <w:lang w:val="en-GB"/>
        </w:rPr>
        <w:t>. E</w:t>
      </w:r>
      <w:r w:rsidR="00B421B2" w:rsidRPr="00515DC8">
        <w:rPr>
          <w:lang w:val="en-GB"/>
        </w:rPr>
        <w:t>vidence</w:t>
      </w:r>
      <w:r w:rsidR="007E135C" w:rsidRPr="00515DC8">
        <w:rPr>
          <w:lang w:val="en-GB"/>
        </w:rPr>
        <w:t xml:space="preserve"> </w:t>
      </w:r>
      <w:r w:rsidR="00B421B2" w:rsidRPr="00515DC8">
        <w:rPr>
          <w:lang w:val="en-GB"/>
        </w:rPr>
        <w:t>suggests such differen</w:t>
      </w:r>
      <w:r w:rsidR="007E135C" w:rsidRPr="00515DC8">
        <w:rPr>
          <w:lang w:val="en-GB"/>
        </w:rPr>
        <w:t xml:space="preserve">tials are not remediated throughout </w:t>
      </w:r>
      <w:r w:rsidR="00B421B2" w:rsidRPr="00515DC8">
        <w:rPr>
          <w:lang w:val="en-GB"/>
        </w:rPr>
        <w:t>students’ time within higher education</w:t>
      </w:r>
      <w:r w:rsidR="007E135C" w:rsidRPr="00515DC8">
        <w:rPr>
          <w:lang w:val="en-GB"/>
        </w:rPr>
        <w:t xml:space="preserve">, with students with certain characteristics (e.g., low socio-economic </w:t>
      </w:r>
      <w:r w:rsidR="00002AE0" w:rsidRPr="00515DC8">
        <w:rPr>
          <w:lang w:val="en-GB"/>
        </w:rPr>
        <w:t>status</w:t>
      </w:r>
      <w:r w:rsidR="007E135C" w:rsidRPr="00515DC8">
        <w:rPr>
          <w:lang w:val="en-GB"/>
        </w:rPr>
        <w:t xml:space="preserve">), not achieving as well as those from higher </w:t>
      </w:r>
    </w:p>
    <w:p w14:paraId="0960066A" w14:textId="0D6CB57C" w:rsidR="00076636" w:rsidRDefault="007E135C" w:rsidP="001B74D8">
      <w:pPr>
        <w:spacing w:line="480" w:lineRule="auto"/>
        <w:rPr>
          <w:lang w:val="en-GB"/>
        </w:rPr>
      </w:pPr>
      <w:r w:rsidRPr="00515DC8">
        <w:rPr>
          <w:lang w:val="en-GB"/>
        </w:rPr>
        <w:t>socio-economic backgrounds</w:t>
      </w:r>
      <w:r w:rsidR="00B421B2" w:rsidRPr="00515DC8">
        <w:rPr>
          <w:lang w:val="en-GB"/>
        </w:rPr>
        <w:t xml:space="preserve"> (Mountford-Zimdars, </w:t>
      </w:r>
      <w:r w:rsidR="001B5ED2" w:rsidRPr="00515DC8">
        <w:rPr>
          <w:lang w:val="en-GB"/>
        </w:rPr>
        <w:t>et al.</w:t>
      </w:r>
      <w:r w:rsidR="00B421B2" w:rsidRPr="00515DC8">
        <w:rPr>
          <w:lang w:val="en-GB"/>
        </w:rPr>
        <w:t>, 2015)</w:t>
      </w:r>
      <w:r w:rsidR="0039166F" w:rsidRPr="00515DC8">
        <w:rPr>
          <w:lang w:val="en-GB"/>
        </w:rPr>
        <w:t>.</w:t>
      </w:r>
      <w:r w:rsidRPr="00515DC8">
        <w:rPr>
          <w:lang w:val="en-GB"/>
        </w:rPr>
        <w:t xml:space="preserve"> </w:t>
      </w:r>
      <w:r w:rsidR="00BB078C" w:rsidRPr="00515DC8">
        <w:rPr>
          <w:lang w:val="en-GB"/>
        </w:rPr>
        <w:t xml:space="preserve"> </w:t>
      </w:r>
      <w:r w:rsidRPr="00515DC8">
        <w:rPr>
          <w:lang w:val="en-GB"/>
        </w:rPr>
        <w:t xml:space="preserve">The </w:t>
      </w:r>
      <w:r w:rsidR="00BD6119" w:rsidRPr="00515DC8">
        <w:rPr>
          <w:lang w:val="en-GB"/>
        </w:rPr>
        <w:t xml:space="preserve">efforts </w:t>
      </w:r>
      <w:r w:rsidRPr="00515DC8">
        <w:rPr>
          <w:lang w:val="en-GB"/>
        </w:rPr>
        <w:t xml:space="preserve">of HE to remediate such issues </w:t>
      </w:r>
      <w:r w:rsidR="00BD6119" w:rsidRPr="00515DC8">
        <w:rPr>
          <w:lang w:val="en-GB"/>
        </w:rPr>
        <w:t xml:space="preserve">are </w:t>
      </w:r>
      <w:r w:rsidRPr="00515DC8">
        <w:rPr>
          <w:lang w:val="en-GB"/>
        </w:rPr>
        <w:t>confounded by the fact that in the British education system</w:t>
      </w:r>
      <w:r w:rsidR="00BD6119" w:rsidRPr="00515DC8">
        <w:rPr>
          <w:lang w:val="en-GB"/>
        </w:rPr>
        <w:t>,</w:t>
      </w:r>
      <w:r w:rsidRPr="00515DC8">
        <w:rPr>
          <w:lang w:val="en-GB"/>
        </w:rPr>
        <w:t xml:space="preserve"> fourteen years of </w:t>
      </w:r>
      <w:r w:rsidR="00BD6119" w:rsidRPr="00515DC8">
        <w:rPr>
          <w:lang w:val="en-GB"/>
        </w:rPr>
        <w:t xml:space="preserve">primary and secondary </w:t>
      </w:r>
      <w:r w:rsidRPr="00515DC8">
        <w:rPr>
          <w:lang w:val="en-GB"/>
        </w:rPr>
        <w:t xml:space="preserve">schooling </w:t>
      </w:r>
      <w:r w:rsidR="00BD6119" w:rsidRPr="00515DC8">
        <w:rPr>
          <w:lang w:val="en-GB"/>
        </w:rPr>
        <w:t xml:space="preserve">have </w:t>
      </w:r>
      <w:r w:rsidR="00806449">
        <w:rPr>
          <w:lang w:val="en-GB"/>
        </w:rPr>
        <w:t>not enabled the gap between low-</w:t>
      </w:r>
      <w:r w:rsidRPr="00515DC8">
        <w:rPr>
          <w:lang w:val="en-GB"/>
        </w:rPr>
        <w:t xml:space="preserve">income pupils’ </w:t>
      </w:r>
      <w:r w:rsidR="00806449">
        <w:rPr>
          <w:lang w:val="en-GB"/>
        </w:rPr>
        <w:t>attainment</w:t>
      </w:r>
      <w:r w:rsidR="00BE7741">
        <w:rPr>
          <w:lang w:val="en-GB"/>
        </w:rPr>
        <w:t>,</w:t>
      </w:r>
      <w:r w:rsidR="00806449">
        <w:rPr>
          <w:lang w:val="en-GB"/>
        </w:rPr>
        <w:t xml:space="preserve"> and those from higher-</w:t>
      </w:r>
      <w:r w:rsidRPr="00515DC8">
        <w:rPr>
          <w:lang w:val="en-GB"/>
        </w:rPr>
        <w:t xml:space="preserve">income backgrounds to be narrowed </w:t>
      </w:r>
      <w:r w:rsidR="000E4926" w:rsidRPr="00515DC8">
        <w:rPr>
          <w:lang w:val="en-GB"/>
        </w:rPr>
        <w:t>(</w:t>
      </w:r>
      <w:r w:rsidR="005B20AF" w:rsidRPr="00515DC8">
        <w:rPr>
          <w:lang w:val="en-GB"/>
        </w:rPr>
        <w:t xml:space="preserve">Field, 2010; </w:t>
      </w:r>
      <w:r w:rsidR="000E4926" w:rsidRPr="00515DC8">
        <w:rPr>
          <w:lang w:val="en-GB"/>
        </w:rPr>
        <w:t>S</w:t>
      </w:r>
      <w:r w:rsidR="00AE6B73" w:rsidRPr="00515DC8">
        <w:rPr>
          <w:rFonts w:eastAsia="Times New Roman"/>
          <w:shd w:val="clear" w:color="auto" w:fill="FFFFFF"/>
          <w:lang w:val="en-GB"/>
        </w:rPr>
        <w:t>haw, Baars, Menzies, Parameshwaran, &amp; Allen</w:t>
      </w:r>
      <w:r w:rsidR="000E4926" w:rsidRPr="00515DC8">
        <w:rPr>
          <w:rFonts w:eastAsia="Times New Roman"/>
          <w:shd w:val="clear" w:color="auto" w:fill="FFFFFF"/>
          <w:lang w:val="en-GB"/>
        </w:rPr>
        <w:t xml:space="preserve">, </w:t>
      </w:r>
      <w:r w:rsidRPr="00515DC8">
        <w:rPr>
          <w:lang w:val="en-GB"/>
        </w:rPr>
        <w:t xml:space="preserve">2017).  </w:t>
      </w:r>
    </w:p>
    <w:p w14:paraId="0F4335FE" w14:textId="77777777" w:rsidR="004641AF" w:rsidRPr="00515DC8" w:rsidRDefault="004641AF" w:rsidP="001B74D8">
      <w:pPr>
        <w:spacing w:line="480" w:lineRule="auto"/>
        <w:rPr>
          <w:lang w:val="en-GB"/>
        </w:rPr>
      </w:pPr>
    </w:p>
    <w:p w14:paraId="29F01D7D" w14:textId="77777777" w:rsidR="00BB078C" w:rsidRPr="00515DC8" w:rsidRDefault="00BB078C" w:rsidP="00404D06">
      <w:pPr>
        <w:spacing w:line="480" w:lineRule="auto"/>
        <w:outlineLvl w:val="0"/>
        <w:rPr>
          <w:lang w:val="en-GB"/>
        </w:rPr>
      </w:pPr>
      <w:r w:rsidRPr="00515DC8">
        <w:rPr>
          <w:highlight w:val="yellow"/>
          <w:lang w:val="en-GB"/>
        </w:rPr>
        <w:t>ADD FIGURE 3 HERE</w:t>
      </w:r>
    </w:p>
    <w:p w14:paraId="43E2BCCA" w14:textId="77777777" w:rsidR="00076636" w:rsidRPr="00515DC8" w:rsidRDefault="009B74E4" w:rsidP="001B74D8">
      <w:pPr>
        <w:tabs>
          <w:tab w:val="left" w:pos="3240"/>
        </w:tabs>
        <w:spacing w:line="480" w:lineRule="auto"/>
        <w:rPr>
          <w:lang w:val="en-GB"/>
        </w:rPr>
      </w:pPr>
      <w:r w:rsidRPr="00515DC8">
        <w:rPr>
          <w:lang w:val="en-GB"/>
        </w:rPr>
        <w:tab/>
      </w:r>
    </w:p>
    <w:p w14:paraId="6C7178A2" w14:textId="259ABD00" w:rsidR="00140179" w:rsidRPr="00515DC8" w:rsidRDefault="00580FD6" w:rsidP="001B74D8">
      <w:pPr>
        <w:spacing w:line="480" w:lineRule="auto"/>
        <w:rPr>
          <w:lang w:val="en-GB"/>
        </w:rPr>
      </w:pPr>
      <w:r w:rsidRPr="00515DC8">
        <w:rPr>
          <w:lang w:val="en-GB"/>
        </w:rPr>
        <w:t>S</w:t>
      </w:r>
      <w:r w:rsidR="00BD6119" w:rsidRPr="00515DC8">
        <w:rPr>
          <w:lang w:val="en-GB"/>
        </w:rPr>
        <w:t>ome s</w:t>
      </w:r>
      <w:r w:rsidRPr="00515DC8">
        <w:rPr>
          <w:lang w:val="en-GB"/>
        </w:rPr>
        <w:t xml:space="preserve">tudents argue that </w:t>
      </w:r>
      <w:r w:rsidR="00076636" w:rsidRPr="00515DC8">
        <w:rPr>
          <w:lang w:val="en-GB"/>
        </w:rPr>
        <w:t xml:space="preserve">there is a lack of useful information to help </w:t>
      </w:r>
      <w:r w:rsidR="007E135C" w:rsidRPr="00515DC8">
        <w:rPr>
          <w:lang w:val="en-GB"/>
        </w:rPr>
        <w:t xml:space="preserve">them </w:t>
      </w:r>
      <w:r w:rsidR="00076636" w:rsidRPr="00515DC8">
        <w:rPr>
          <w:lang w:val="en-GB"/>
        </w:rPr>
        <w:t>make</w:t>
      </w:r>
      <w:r w:rsidR="001801F4" w:rsidRPr="00515DC8">
        <w:rPr>
          <w:lang w:val="en-GB"/>
        </w:rPr>
        <w:t xml:space="preserve"> </w:t>
      </w:r>
      <w:r w:rsidR="00076636" w:rsidRPr="00515DC8">
        <w:rPr>
          <w:lang w:val="en-GB"/>
        </w:rPr>
        <w:t xml:space="preserve">informed </w:t>
      </w:r>
      <w:r w:rsidR="00BD6119" w:rsidRPr="00515DC8">
        <w:rPr>
          <w:lang w:val="en-GB"/>
        </w:rPr>
        <w:t xml:space="preserve">study </w:t>
      </w:r>
      <w:r w:rsidR="00076636" w:rsidRPr="00515DC8">
        <w:rPr>
          <w:lang w:val="en-GB"/>
        </w:rPr>
        <w:t>choices</w:t>
      </w:r>
      <w:r w:rsidR="00806449">
        <w:rPr>
          <w:lang w:val="en-GB"/>
        </w:rPr>
        <w:t xml:space="preserve"> </w:t>
      </w:r>
      <w:r w:rsidR="00BD6119" w:rsidRPr="00515DC8">
        <w:rPr>
          <w:lang w:val="en-GB"/>
        </w:rPr>
        <w:t>and that the synthesis of league tables often provides an overwhelming challenge;</w:t>
      </w:r>
      <w:r w:rsidR="007E135C" w:rsidRPr="00515DC8">
        <w:rPr>
          <w:lang w:val="en-GB"/>
        </w:rPr>
        <w:t xml:space="preserve"> this is also affected by </w:t>
      </w:r>
      <w:r w:rsidR="00BD6119" w:rsidRPr="00515DC8">
        <w:rPr>
          <w:lang w:val="en-GB"/>
        </w:rPr>
        <w:t xml:space="preserve">differences in </w:t>
      </w:r>
      <w:r w:rsidR="007E135C" w:rsidRPr="00515DC8">
        <w:rPr>
          <w:lang w:val="en-GB"/>
        </w:rPr>
        <w:t>students’ individual characteristic</w:t>
      </w:r>
      <w:r w:rsidR="00BD6119" w:rsidRPr="00515DC8">
        <w:rPr>
          <w:lang w:val="en-GB"/>
        </w:rPr>
        <w:t>s</w:t>
      </w:r>
      <w:r w:rsidR="00806449">
        <w:rPr>
          <w:lang w:val="en-GB"/>
        </w:rPr>
        <w:t xml:space="preserve"> such as economic and social-</w:t>
      </w:r>
      <w:r w:rsidR="007E135C" w:rsidRPr="00515DC8">
        <w:rPr>
          <w:lang w:val="en-GB"/>
        </w:rPr>
        <w:t>cultural capital</w:t>
      </w:r>
      <w:r w:rsidR="00264784" w:rsidRPr="00515DC8">
        <w:rPr>
          <w:lang w:val="en-GB"/>
        </w:rPr>
        <w:t xml:space="preserve"> </w:t>
      </w:r>
      <w:r w:rsidR="00A73511" w:rsidRPr="00515DC8">
        <w:rPr>
          <w:lang w:val="en-GB"/>
        </w:rPr>
        <w:t>(BIS, 2011)</w:t>
      </w:r>
      <w:r w:rsidR="00076636" w:rsidRPr="00515DC8">
        <w:rPr>
          <w:lang w:val="en-GB"/>
        </w:rPr>
        <w:t>.</w:t>
      </w:r>
      <w:r w:rsidRPr="00515DC8">
        <w:rPr>
          <w:lang w:val="en-GB"/>
        </w:rPr>
        <w:t xml:space="preserve">  Students are data rich, but insight poor. </w:t>
      </w:r>
      <w:r w:rsidR="00762021" w:rsidRPr="00515DC8">
        <w:rPr>
          <w:lang w:val="en-GB"/>
        </w:rPr>
        <w:t xml:space="preserve">Bowes, et al. (2015) </w:t>
      </w:r>
      <w:r w:rsidR="00762021" w:rsidRPr="00515DC8">
        <w:rPr>
          <w:rFonts w:eastAsia="Times New Roman"/>
          <w:lang w:val="en-GB" w:eastAsia="en-GB"/>
        </w:rPr>
        <w:t xml:space="preserve">and more recent studies by the Nuffield Foundation (2017) into how students use the data already available have shown that most do not know how to make good use of it, and instead may make decisions based on other considerations (media reputation, proximity to home, where their friends are going </w:t>
      </w:r>
      <w:r w:rsidR="00076636" w:rsidRPr="00515DC8">
        <w:rPr>
          <w:lang w:val="en-GB"/>
        </w:rPr>
        <w:t>etc</w:t>
      </w:r>
      <w:r w:rsidR="009B74E4" w:rsidRPr="00515DC8">
        <w:rPr>
          <w:lang w:val="en-GB"/>
        </w:rPr>
        <w:t>.</w:t>
      </w:r>
      <w:r w:rsidR="00076636" w:rsidRPr="00515DC8">
        <w:rPr>
          <w:lang w:val="en-GB"/>
        </w:rPr>
        <w:t>)</w:t>
      </w:r>
      <w:r w:rsidR="00D55CA4" w:rsidRPr="00515DC8">
        <w:rPr>
          <w:lang w:val="en-GB"/>
        </w:rPr>
        <w:t xml:space="preserve"> (Diam</w:t>
      </w:r>
      <w:r w:rsidR="00D55CA4" w:rsidRPr="00515DC8">
        <w:rPr>
          <w:rStyle w:val="Hyperlink"/>
          <w:color w:val="auto"/>
          <w:u w:val="none"/>
          <w:lang w:val="en-GB"/>
        </w:rPr>
        <w:t xml:space="preserve">ond, Vorley, Roberts, &amp; Jones, 2012; Nuffield Foundation, 2017). </w:t>
      </w:r>
      <w:r w:rsidR="00C677EA" w:rsidRPr="00515DC8">
        <w:rPr>
          <w:lang w:val="en-GB"/>
        </w:rPr>
        <w:t xml:space="preserve"> The development of robust, contextualised learning gain metrics could</w:t>
      </w:r>
      <w:r w:rsidRPr="00515DC8">
        <w:rPr>
          <w:lang w:val="en-GB"/>
        </w:rPr>
        <w:t xml:space="preserve"> potentially support</w:t>
      </w:r>
      <w:r w:rsidR="00C677EA" w:rsidRPr="00515DC8">
        <w:rPr>
          <w:lang w:val="en-GB"/>
        </w:rPr>
        <w:t xml:space="preserve"> students from a variet</w:t>
      </w:r>
      <w:r w:rsidR="00806449">
        <w:rPr>
          <w:lang w:val="en-GB"/>
        </w:rPr>
        <w:t>y of backgrounds to make better-</w:t>
      </w:r>
      <w:r w:rsidR="00C677EA" w:rsidRPr="00515DC8">
        <w:rPr>
          <w:lang w:val="en-GB"/>
        </w:rPr>
        <w:t xml:space="preserve">informed choices about what and where to study, and </w:t>
      </w:r>
      <w:r w:rsidR="00806449">
        <w:rPr>
          <w:lang w:val="en-GB"/>
        </w:rPr>
        <w:t>for institutions to make better-</w:t>
      </w:r>
      <w:r w:rsidR="00C677EA" w:rsidRPr="00515DC8">
        <w:rPr>
          <w:lang w:val="en-GB"/>
        </w:rPr>
        <w:t>informed decisions about which students to select.</w:t>
      </w:r>
      <w:r w:rsidRPr="00515DC8">
        <w:rPr>
          <w:lang w:val="en-GB"/>
        </w:rPr>
        <w:t xml:space="preserve">  They could also</w:t>
      </w:r>
      <w:r w:rsidR="007E135C" w:rsidRPr="00515DC8">
        <w:rPr>
          <w:lang w:val="en-GB"/>
        </w:rPr>
        <w:t>,</w:t>
      </w:r>
      <w:r w:rsidRPr="00515DC8">
        <w:rPr>
          <w:lang w:val="en-GB"/>
        </w:rPr>
        <w:t xml:space="preserve"> however</w:t>
      </w:r>
      <w:r w:rsidR="007E135C" w:rsidRPr="00515DC8">
        <w:rPr>
          <w:lang w:val="en-GB"/>
        </w:rPr>
        <w:t>,</w:t>
      </w:r>
      <w:r w:rsidRPr="00515DC8">
        <w:rPr>
          <w:lang w:val="en-GB"/>
        </w:rPr>
        <w:t xml:space="preserve"> simply add to the data overload that many students</w:t>
      </w:r>
      <w:r w:rsidR="007D1F76" w:rsidRPr="00515DC8">
        <w:rPr>
          <w:lang w:val="en-GB"/>
        </w:rPr>
        <w:t xml:space="preserve"> already</w:t>
      </w:r>
      <w:r w:rsidRPr="00515DC8">
        <w:rPr>
          <w:lang w:val="en-GB"/>
        </w:rPr>
        <w:t xml:space="preserve"> experience.</w:t>
      </w:r>
    </w:p>
    <w:p w14:paraId="582DC43A" w14:textId="77777777" w:rsidR="00140179" w:rsidRPr="00515DC8" w:rsidRDefault="00140179" w:rsidP="001B74D8">
      <w:pPr>
        <w:spacing w:line="480" w:lineRule="auto"/>
        <w:rPr>
          <w:i/>
          <w:lang w:val="en-GB"/>
        </w:rPr>
      </w:pPr>
    </w:p>
    <w:p w14:paraId="10984D7C" w14:textId="5D7E194D" w:rsidR="00A73511" w:rsidRPr="00515DC8" w:rsidRDefault="00A73511" w:rsidP="00404D06">
      <w:pPr>
        <w:spacing w:line="480" w:lineRule="auto"/>
        <w:outlineLvl w:val="0"/>
        <w:rPr>
          <w:i/>
          <w:lang w:val="en-GB"/>
        </w:rPr>
      </w:pPr>
      <w:r w:rsidRPr="00515DC8">
        <w:rPr>
          <w:i/>
          <w:lang w:val="en-GB"/>
        </w:rPr>
        <w:t>Process and progress indicators</w:t>
      </w:r>
    </w:p>
    <w:p w14:paraId="34E669C0" w14:textId="3433214C" w:rsidR="00A73511" w:rsidRPr="00515DC8" w:rsidRDefault="007E135C" w:rsidP="001B74D8">
      <w:pPr>
        <w:spacing w:line="480" w:lineRule="auto"/>
        <w:rPr>
          <w:lang w:val="en-GB"/>
        </w:rPr>
      </w:pPr>
      <w:r w:rsidRPr="00515DC8">
        <w:rPr>
          <w:lang w:val="en-GB"/>
        </w:rPr>
        <w:t>In developing process and progress indicators, o</w:t>
      </w:r>
      <w:r w:rsidR="00152BCF" w:rsidRPr="00515DC8">
        <w:rPr>
          <w:lang w:val="en-GB"/>
        </w:rPr>
        <w:t xml:space="preserve">ne of the challenges of using existing data </w:t>
      </w:r>
      <w:bookmarkStart w:id="14" w:name="_Hlk510436794"/>
      <w:r w:rsidR="00BD6119" w:rsidRPr="00515DC8">
        <w:rPr>
          <w:lang w:val="en-GB"/>
        </w:rPr>
        <w:t xml:space="preserve">is </w:t>
      </w:r>
      <w:r w:rsidR="00152BCF" w:rsidRPr="00515DC8">
        <w:rPr>
          <w:lang w:val="en-GB"/>
        </w:rPr>
        <w:t>the large gap in</w:t>
      </w:r>
      <w:r w:rsidR="009B74E4" w:rsidRPr="00515DC8">
        <w:rPr>
          <w:lang w:val="en-GB"/>
        </w:rPr>
        <w:t xml:space="preserve"> student and staff</w:t>
      </w:r>
      <w:r w:rsidR="00152BCF" w:rsidRPr="00515DC8">
        <w:rPr>
          <w:lang w:val="en-GB"/>
        </w:rPr>
        <w:t xml:space="preserve"> expectations</w:t>
      </w:r>
      <w:r w:rsidR="009B74E4" w:rsidRPr="00515DC8">
        <w:rPr>
          <w:lang w:val="en-GB"/>
        </w:rPr>
        <w:t xml:space="preserve"> </w:t>
      </w:r>
      <w:r w:rsidR="00152BCF" w:rsidRPr="00515DC8">
        <w:rPr>
          <w:lang w:val="en-GB"/>
        </w:rPr>
        <w:t xml:space="preserve">around assessment and feedback </w:t>
      </w:r>
      <w:bookmarkEnd w:id="14"/>
      <w:r w:rsidR="00152BCF" w:rsidRPr="00515DC8">
        <w:rPr>
          <w:lang w:val="en-GB"/>
        </w:rPr>
        <w:t>(</w:t>
      </w:r>
      <w:r w:rsidR="009B74E4" w:rsidRPr="00515DC8">
        <w:rPr>
          <w:lang w:val="en-GB"/>
        </w:rPr>
        <w:t>Evans, 2013</w:t>
      </w:r>
      <w:r w:rsidR="00CB1AD6" w:rsidRPr="00515DC8">
        <w:rPr>
          <w:lang w:val="en-GB"/>
        </w:rPr>
        <w:t>, 2016</w:t>
      </w:r>
      <w:r w:rsidR="00AF3989" w:rsidRPr="00515DC8">
        <w:rPr>
          <w:lang w:val="en-GB"/>
        </w:rPr>
        <w:t>; Forsythe &amp; Jordan, 2017</w:t>
      </w:r>
      <w:r w:rsidR="00152BCF" w:rsidRPr="00515DC8">
        <w:rPr>
          <w:lang w:val="en-GB"/>
        </w:rPr>
        <w:t xml:space="preserve">). </w:t>
      </w:r>
      <w:r w:rsidR="00A73511" w:rsidRPr="00515DC8">
        <w:rPr>
          <w:lang w:val="en-GB"/>
        </w:rPr>
        <w:t>The</w:t>
      </w:r>
      <w:r w:rsidR="00285666" w:rsidRPr="00515DC8">
        <w:rPr>
          <w:lang w:val="en-GB"/>
        </w:rPr>
        <w:t xml:space="preserve"> </w:t>
      </w:r>
      <w:r w:rsidR="00A73511" w:rsidRPr="00515DC8">
        <w:rPr>
          <w:lang w:val="en-GB"/>
        </w:rPr>
        <w:t>m</w:t>
      </w:r>
      <w:r w:rsidR="00C677EA" w:rsidRPr="00515DC8">
        <w:rPr>
          <w:lang w:val="en-GB"/>
        </w:rPr>
        <w:t>ultiple approaches being tested to measure learning gain</w:t>
      </w:r>
      <w:r w:rsidR="00A73511" w:rsidRPr="00515DC8">
        <w:rPr>
          <w:lang w:val="en-GB"/>
        </w:rPr>
        <w:t xml:space="preserve"> globally and within the pilot HEFCE</w:t>
      </w:r>
      <w:r w:rsidR="00AA1AFC" w:rsidRPr="00515DC8">
        <w:rPr>
          <w:lang w:val="en-GB"/>
        </w:rPr>
        <w:t>/OfS</w:t>
      </w:r>
      <w:r w:rsidR="00A73511" w:rsidRPr="00515DC8">
        <w:rPr>
          <w:lang w:val="en-GB"/>
        </w:rPr>
        <w:t xml:space="preserve"> projects</w:t>
      </w:r>
      <w:r w:rsidR="00BD6119" w:rsidRPr="00515DC8">
        <w:rPr>
          <w:lang w:val="en-GB"/>
        </w:rPr>
        <w:t xml:space="preserve"> include</w:t>
      </w:r>
      <w:r w:rsidR="007D1F76" w:rsidRPr="00515DC8">
        <w:rPr>
          <w:lang w:val="en-GB"/>
        </w:rPr>
        <w:t>:</w:t>
      </w:r>
      <w:r w:rsidR="00A73511" w:rsidRPr="00515DC8">
        <w:rPr>
          <w:lang w:val="en-GB"/>
        </w:rPr>
        <w:t xml:space="preserve">  </w:t>
      </w:r>
    </w:p>
    <w:p w14:paraId="09A52D3C" w14:textId="107C8A36" w:rsidR="00AE4B94" w:rsidRPr="00515DC8" w:rsidRDefault="00A73511" w:rsidP="001B74D8">
      <w:pPr>
        <w:pStyle w:val="ListParagraph"/>
        <w:numPr>
          <w:ilvl w:val="0"/>
          <w:numId w:val="9"/>
        </w:numPr>
        <w:spacing w:after="0" w:line="480" w:lineRule="auto"/>
        <w:rPr>
          <w:rFonts w:ascii="Times New Roman" w:hAnsi="Times New Roman" w:cs="Times New Roman"/>
          <w:sz w:val="24"/>
          <w:szCs w:val="24"/>
        </w:rPr>
      </w:pPr>
      <w:r w:rsidRPr="00515DC8">
        <w:rPr>
          <w:rFonts w:ascii="Times New Roman" w:hAnsi="Times New Roman" w:cs="Times New Roman"/>
          <w:sz w:val="24"/>
          <w:szCs w:val="24"/>
        </w:rPr>
        <w:t>the d</w:t>
      </w:r>
      <w:r w:rsidR="00152BCF" w:rsidRPr="00515DC8">
        <w:rPr>
          <w:rFonts w:ascii="Times New Roman" w:hAnsi="Times New Roman" w:cs="Times New Roman"/>
          <w:sz w:val="24"/>
          <w:szCs w:val="24"/>
        </w:rPr>
        <w:t>evelopment of new metrics on cognitive</w:t>
      </w:r>
      <w:r w:rsidR="003E334C" w:rsidRPr="00515DC8">
        <w:rPr>
          <w:rFonts w:ascii="Times New Roman" w:hAnsi="Times New Roman" w:cs="Times New Roman"/>
          <w:sz w:val="24"/>
          <w:szCs w:val="24"/>
        </w:rPr>
        <w:t xml:space="preserve"> learning</w:t>
      </w:r>
      <w:r w:rsidR="00152BCF" w:rsidRPr="00515DC8">
        <w:rPr>
          <w:rFonts w:ascii="Times New Roman" w:hAnsi="Times New Roman" w:cs="Times New Roman"/>
          <w:sz w:val="24"/>
          <w:szCs w:val="24"/>
        </w:rPr>
        <w:t xml:space="preserve"> gain</w:t>
      </w:r>
      <w:r w:rsidR="003E334C" w:rsidRPr="00515DC8">
        <w:rPr>
          <w:rFonts w:ascii="Times New Roman" w:hAnsi="Times New Roman" w:cs="Times New Roman"/>
          <w:sz w:val="24"/>
          <w:szCs w:val="24"/>
        </w:rPr>
        <w:t>s</w:t>
      </w:r>
      <w:r w:rsidR="001217AF" w:rsidRPr="00515DC8">
        <w:rPr>
          <w:rFonts w:ascii="Times New Roman" w:hAnsi="Times New Roman" w:cs="Times New Roman"/>
          <w:sz w:val="24"/>
          <w:szCs w:val="24"/>
        </w:rPr>
        <w:t xml:space="preserve">, both </w:t>
      </w:r>
      <w:r w:rsidR="00B37A2B" w:rsidRPr="00515DC8">
        <w:rPr>
          <w:rFonts w:ascii="Times New Roman" w:hAnsi="Times New Roman" w:cs="Times New Roman"/>
          <w:sz w:val="24"/>
          <w:szCs w:val="24"/>
        </w:rPr>
        <w:t xml:space="preserve">discipline-specific and </w:t>
      </w:r>
      <w:r w:rsidR="001217AF" w:rsidRPr="00515DC8">
        <w:rPr>
          <w:rFonts w:ascii="Times New Roman" w:hAnsi="Times New Roman" w:cs="Times New Roman"/>
          <w:sz w:val="24"/>
          <w:szCs w:val="24"/>
        </w:rPr>
        <w:t>generic development</w:t>
      </w:r>
      <w:r w:rsidR="00152BCF" w:rsidRPr="00515DC8">
        <w:rPr>
          <w:rFonts w:ascii="Times New Roman" w:hAnsi="Times New Roman" w:cs="Times New Roman"/>
          <w:sz w:val="24"/>
          <w:szCs w:val="24"/>
        </w:rPr>
        <w:t xml:space="preserve"> (</w:t>
      </w:r>
      <w:r w:rsidR="007B4D24" w:rsidRPr="00515DC8">
        <w:rPr>
          <w:rFonts w:ascii="Times New Roman" w:hAnsi="Times New Roman" w:cs="Times New Roman"/>
          <w:sz w:val="24"/>
          <w:szCs w:val="24"/>
        </w:rPr>
        <w:t xml:space="preserve">see </w:t>
      </w:r>
      <w:r w:rsidR="007B4D24" w:rsidRPr="00515DC8">
        <w:rPr>
          <w:rFonts w:ascii="Times New Roman" w:hAnsi="Times New Roman" w:cs="Times New Roman"/>
          <w:i/>
          <w:sz w:val="24"/>
          <w:szCs w:val="24"/>
        </w:rPr>
        <w:t>Callaghan &amp; Aloisi, 2018; Ilie, Vermunt, &amp; Vignoles, 2018;</w:t>
      </w:r>
      <w:r w:rsidR="00AE4B94" w:rsidRPr="00515DC8">
        <w:rPr>
          <w:rFonts w:ascii="Times New Roman" w:hAnsi="Times New Roman" w:cs="Times New Roman"/>
          <w:i/>
          <w:sz w:val="24"/>
          <w:szCs w:val="24"/>
        </w:rPr>
        <w:t xml:space="preserve"> Sands et al., 2018;</w:t>
      </w:r>
      <w:r w:rsidR="007B4D24" w:rsidRPr="00515DC8">
        <w:rPr>
          <w:rFonts w:ascii="Times New Roman" w:hAnsi="Times New Roman" w:cs="Times New Roman"/>
          <w:i/>
          <w:sz w:val="24"/>
          <w:szCs w:val="24"/>
        </w:rPr>
        <w:t xml:space="preserve"> Ylonen et al., 2018</w:t>
      </w:r>
      <w:r w:rsidR="00AE4B94" w:rsidRPr="00515DC8">
        <w:rPr>
          <w:rFonts w:ascii="Times New Roman" w:hAnsi="Times New Roman" w:cs="Times New Roman"/>
          <w:sz w:val="24"/>
          <w:szCs w:val="24"/>
        </w:rPr>
        <w:t>);</w:t>
      </w:r>
    </w:p>
    <w:p w14:paraId="4130BC39" w14:textId="20ACE389" w:rsidR="00AE4B94" w:rsidRPr="00515DC8" w:rsidRDefault="00A73511" w:rsidP="001B74D8">
      <w:pPr>
        <w:pStyle w:val="ListParagraph"/>
        <w:numPr>
          <w:ilvl w:val="0"/>
          <w:numId w:val="9"/>
        </w:numPr>
        <w:shd w:val="clear" w:color="auto" w:fill="FFFFFF" w:themeFill="background1"/>
        <w:spacing w:after="0" w:line="480" w:lineRule="auto"/>
        <w:rPr>
          <w:rFonts w:ascii="Times New Roman" w:hAnsi="Times New Roman" w:cs="Times New Roman"/>
          <w:sz w:val="24"/>
          <w:szCs w:val="24"/>
        </w:rPr>
      </w:pPr>
      <w:r w:rsidRPr="00515DC8">
        <w:rPr>
          <w:rFonts w:ascii="Times New Roman" w:hAnsi="Times New Roman" w:cs="Times New Roman"/>
          <w:sz w:val="24"/>
          <w:szCs w:val="24"/>
        </w:rPr>
        <w:t>h</w:t>
      </w:r>
      <w:r w:rsidR="00AE4B94" w:rsidRPr="00515DC8">
        <w:rPr>
          <w:rFonts w:ascii="Times New Roman" w:hAnsi="Times New Roman" w:cs="Times New Roman"/>
          <w:sz w:val="24"/>
          <w:szCs w:val="24"/>
        </w:rPr>
        <w:t xml:space="preserve">igher level </w:t>
      </w:r>
      <w:r w:rsidR="007D1F76" w:rsidRPr="00515DC8">
        <w:rPr>
          <w:rFonts w:ascii="Times New Roman" w:hAnsi="Times New Roman" w:cs="Times New Roman"/>
          <w:sz w:val="24"/>
          <w:szCs w:val="24"/>
        </w:rPr>
        <w:t>cognitive</w:t>
      </w:r>
      <w:r w:rsidR="0076473C" w:rsidRPr="00515DC8">
        <w:rPr>
          <w:rFonts w:ascii="Times New Roman" w:hAnsi="Times New Roman" w:cs="Times New Roman"/>
          <w:sz w:val="24"/>
          <w:szCs w:val="24"/>
        </w:rPr>
        <w:t xml:space="preserve"> application</w:t>
      </w:r>
      <w:r w:rsidR="007D1F76" w:rsidRPr="00515DC8">
        <w:rPr>
          <w:rFonts w:ascii="Times New Roman" w:hAnsi="Times New Roman" w:cs="Times New Roman"/>
          <w:sz w:val="24"/>
          <w:szCs w:val="24"/>
        </w:rPr>
        <w:t xml:space="preserve"> </w:t>
      </w:r>
      <w:r w:rsidR="00AE4B94" w:rsidRPr="00515DC8">
        <w:rPr>
          <w:rFonts w:ascii="Times New Roman" w:hAnsi="Times New Roman" w:cs="Times New Roman"/>
          <w:sz w:val="24"/>
          <w:szCs w:val="24"/>
        </w:rPr>
        <w:t xml:space="preserve">skills </w:t>
      </w:r>
      <w:r w:rsidR="007D1F76" w:rsidRPr="00515DC8">
        <w:rPr>
          <w:rFonts w:ascii="Times New Roman" w:hAnsi="Times New Roman" w:cs="Times New Roman"/>
          <w:sz w:val="24"/>
          <w:szCs w:val="24"/>
        </w:rPr>
        <w:t xml:space="preserve">such as </w:t>
      </w:r>
      <w:r w:rsidR="00570D87" w:rsidRPr="00515DC8">
        <w:rPr>
          <w:rFonts w:ascii="Times New Roman" w:hAnsi="Times New Roman" w:cs="Times New Roman"/>
          <w:sz w:val="24"/>
          <w:szCs w:val="24"/>
        </w:rPr>
        <w:t>problem-solving</w:t>
      </w:r>
      <w:r w:rsidR="007D1F76" w:rsidRPr="00515DC8">
        <w:rPr>
          <w:rFonts w:ascii="Times New Roman" w:hAnsi="Times New Roman" w:cs="Times New Roman"/>
          <w:sz w:val="24"/>
          <w:szCs w:val="24"/>
        </w:rPr>
        <w:t xml:space="preserve"> and</w:t>
      </w:r>
      <w:r w:rsidR="00AE4B94" w:rsidRPr="00515DC8">
        <w:rPr>
          <w:rFonts w:ascii="Times New Roman" w:hAnsi="Times New Roman" w:cs="Times New Roman"/>
          <w:sz w:val="24"/>
          <w:szCs w:val="24"/>
        </w:rPr>
        <w:t xml:space="preserve"> critical reflection (see </w:t>
      </w:r>
      <w:r w:rsidR="00AE4B94" w:rsidRPr="00515DC8">
        <w:rPr>
          <w:rFonts w:ascii="Times New Roman" w:hAnsi="Times New Roman" w:cs="Times New Roman"/>
          <w:i/>
          <w:sz w:val="24"/>
          <w:szCs w:val="24"/>
        </w:rPr>
        <w:t>Speight, Crawford &amp; Hadelsey, 2018</w:t>
      </w:r>
      <w:r w:rsidR="00AE4B94" w:rsidRPr="00515DC8">
        <w:rPr>
          <w:rFonts w:ascii="Times New Roman" w:hAnsi="Times New Roman" w:cs="Times New Roman"/>
          <w:sz w:val="24"/>
          <w:szCs w:val="24"/>
        </w:rPr>
        <w:t xml:space="preserve">); critical thinking skills (see </w:t>
      </w:r>
      <w:r w:rsidR="00AE4B94" w:rsidRPr="00515DC8">
        <w:rPr>
          <w:rFonts w:ascii="Times New Roman" w:hAnsi="Times New Roman" w:cs="Times New Roman"/>
          <w:i/>
          <w:sz w:val="24"/>
          <w:szCs w:val="24"/>
        </w:rPr>
        <w:t>Callaghan &amp; Aloisi, 2018</w:t>
      </w:r>
      <w:r w:rsidR="00AE4B94" w:rsidRPr="00515DC8">
        <w:rPr>
          <w:rFonts w:ascii="Times New Roman" w:hAnsi="Times New Roman" w:cs="Times New Roman"/>
          <w:sz w:val="24"/>
          <w:szCs w:val="24"/>
        </w:rPr>
        <w:t>); conceptual understanding</w:t>
      </w:r>
      <w:r w:rsidR="007D1F76" w:rsidRPr="00515DC8">
        <w:rPr>
          <w:rFonts w:ascii="Times New Roman" w:hAnsi="Times New Roman" w:cs="Times New Roman"/>
          <w:sz w:val="24"/>
          <w:szCs w:val="24"/>
        </w:rPr>
        <w:t>, particularly</w:t>
      </w:r>
      <w:r w:rsidR="00AE4B94" w:rsidRPr="00515DC8">
        <w:rPr>
          <w:rFonts w:ascii="Times New Roman" w:hAnsi="Times New Roman" w:cs="Times New Roman"/>
          <w:sz w:val="24"/>
          <w:szCs w:val="24"/>
        </w:rPr>
        <w:t xml:space="preserve"> in </w:t>
      </w:r>
      <w:r w:rsidR="007D1F76" w:rsidRPr="00515DC8">
        <w:rPr>
          <w:rFonts w:ascii="Times New Roman" w:hAnsi="Times New Roman" w:cs="Times New Roman"/>
          <w:sz w:val="24"/>
          <w:szCs w:val="24"/>
        </w:rPr>
        <w:t xml:space="preserve">Science, Technology, Engineering and Mathematics [STEM] subjects </w:t>
      </w:r>
      <w:r w:rsidR="00AE4B94" w:rsidRPr="00515DC8">
        <w:rPr>
          <w:rFonts w:ascii="Times New Roman" w:hAnsi="Times New Roman" w:cs="Times New Roman"/>
          <w:sz w:val="24"/>
          <w:szCs w:val="24"/>
          <w:shd w:val="clear" w:color="auto" w:fill="FFFFFF" w:themeFill="background1"/>
        </w:rPr>
        <w:t xml:space="preserve">(see </w:t>
      </w:r>
      <w:r w:rsidR="00AE4B94" w:rsidRPr="00515DC8">
        <w:rPr>
          <w:rFonts w:ascii="Times New Roman" w:hAnsi="Times New Roman" w:cs="Times New Roman"/>
          <w:i/>
          <w:sz w:val="24"/>
          <w:szCs w:val="24"/>
          <w:shd w:val="clear" w:color="auto" w:fill="FFFFFF" w:themeFill="background1"/>
        </w:rPr>
        <w:t>Sands</w:t>
      </w:r>
      <w:r w:rsidR="00CB1AD6" w:rsidRPr="00515DC8">
        <w:rPr>
          <w:rFonts w:ascii="Times New Roman" w:hAnsi="Times New Roman" w:cs="Times New Roman"/>
          <w:i/>
          <w:sz w:val="24"/>
          <w:szCs w:val="24"/>
          <w:shd w:val="clear" w:color="auto" w:fill="FFFFFF" w:themeFill="background1"/>
        </w:rPr>
        <w:t xml:space="preserve">, Parker, Hedgeland, Jordan &amp; Galloway, </w:t>
      </w:r>
      <w:r w:rsidR="00AE4B94" w:rsidRPr="00515DC8">
        <w:rPr>
          <w:rFonts w:ascii="Times New Roman" w:hAnsi="Times New Roman" w:cs="Times New Roman"/>
          <w:i/>
          <w:sz w:val="24"/>
          <w:szCs w:val="24"/>
          <w:shd w:val="clear" w:color="auto" w:fill="FFFFFF" w:themeFill="background1"/>
        </w:rPr>
        <w:t>2018; Scalise</w:t>
      </w:r>
      <w:r w:rsidR="00AE4B94" w:rsidRPr="00515DC8">
        <w:rPr>
          <w:rFonts w:ascii="Times New Roman" w:hAnsi="Times New Roman" w:cs="Times New Roman"/>
          <w:i/>
          <w:sz w:val="24"/>
          <w:szCs w:val="24"/>
        </w:rPr>
        <w:t>, Douskey</w:t>
      </w:r>
      <w:r w:rsidR="000F294A" w:rsidRPr="00515DC8">
        <w:rPr>
          <w:rFonts w:ascii="Times New Roman" w:hAnsi="Times New Roman" w:cs="Times New Roman"/>
          <w:i/>
          <w:sz w:val="24"/>
          <w:szCs w:val="24"/>
        </w:rPr>
        <w:t xml:space="preserve"> &amp; Stacy, </w:t>
      </w:r>
      <w:r w:rsidR="00AE4B94" w:rsidRPr="00515DC8">
        <w:rPr>
          <w:rFonts w:ascii="Times New Roman" w:hAnsi="Times New Roman" w:cs="Times New Roman"/>
          <w:i/>
          <w:sz w:val="24"/>
          <w:szCs w:val="24"/>
        </w:rPr>
        <w:t>2018; Ylonen et al., 2018</w:t>
      </w:r>
      <w:r w:rsidR="00AE4B94" w:rsidRPr="00515DC8">
        <w:rPr>
          <w:rFonts w:ascii="Times New Roman" w:hAnsi="Times New Roman" w:cs="Times New Roman"/>
          <w:sz w:val="24"/>
          <w:szCs w:val="24"/>
        </w:rPr>
        <w:t>)</w:t>
      </w:r>
      <w:r w:rsidR="00570D87" w:rsidRPr="00515DC8">
        <w:rPr>
          <w:rFonts w:ascii="Times New Roman" w:hAnsi="Times New Roman" w:cs="Times New Roman"/>
          <w:sz w:val="24"/>
          <w:szCs w:val="24"/>
        </w:rPr>
        <w:t xml:space="preserve">; </w:t>
      </w:r>
      <w:r w:rsidR="001217AF" w:rsidRPr="00515DC8">
        <w:rPr>
          <w:rFonts w:ascii="Times New Roman" w:hAnsi="Times New Roman" w:cs="Times New Roman"/>
          <w:sz w:val="24"/>
          <w:szCs w:val="24"/>
        </w:rPr>
        <w:t xml:space="preserve">and </w:t>
      </w:r>
      <w:r w:rsidR="007D1F76" w:rsidRPr="00515DC8">
        <w:rPr>
          <w:rFonts w:ascii="Times New Roman" w:hAnsi="Times New Roman" w:cs="Times New Roman"/>
          <w:sz w:val="24"/>
          <w:szCs w:val="24"/>
        </w:rPr>
        <w:t xml:space="preserve">critical </w:t>
      </w:r>
      <w:r w:rsidR="00570D87" w:rsidRPr="00515DC8">
        <w:rPr>
          <w:rFonts w:ascii="Times New Roman" w:hAnsi="Times New Roman" w:cs="Times New Roman"/>
          <w:sz w:val="24"/>
          <w:szCs w:val="24"/>
        </w:rPr>
        <w:t>writing (</w:t>
      </w:r>
      <w:r w:rsidR="00570D87" w:rsidRPr="00515DC8">
        <w:rPr>
          <w:rFonts w:ascii="Times New Roman" w:hAnsi="Times New Roman" w:cs="Times New Roman"/>
          <w:i/>
          <w:sz w:val="24"/>
          <w:szCs w:val="24"/>
        </w:rPr>
        <w:t>Ilie et al. 20</w:t>
      </w:r>
      <w:r w:rsidR="005B078A" w:rsidRPr="00515DC8">
        <w:rPr>
          <w:rFonts w:ascii="Times New Roman" w:hAnsi="Times New Roman" w:cs="Times New Roman"/>
          <w:i/>
          <w:sz w:val="24"/>
          <w:szCs w:val="24"/>
        </w:rPr>
        <w:t>1</w:t>
      </w:r>
      <w:r w:rsidR="00570D87" w:rsidRPr="00515DC8">
        <w:rPr>
          <w:rFonts w:ascii="Times New Roman" w:hAnsi="Times New Roman" w:cs="Times New Roman"/>
          <w:i/>
          <w:sz w:val="24"/>
          <w:szCs w:val="24"/>
        </w:rPr>
        <w:t>8</w:t>
      </w:r>
      <w:r w:rsidR="00570D87" w:rsidRPr="00515DC8">
        <w:rPr>
          <w:rFonts w:ascii="Times New Roman" w:hAnsi="Times New Roman" w:cs="Times New Roman"/>
          <w:sz w:val="24"/>
          <w:szCs w:val="24"/>
        </w:rPr>
        <w:t xml:space="preserve">); </w:t>
      </w:r>
    </w:p>
    <w:p w14:paraId="0E1C2D88" w14:textId="6A34BE37" w:rsidR="00AE4B94" w:rsidRPr="00515DC8" w:rsidRDefault="00A73511" w:rsidP="001B74D8">
      <w:pPr>
        <w:pStyle w:val="ListParagraph"/>
        <w:numPr>
          <w:ilvl w:val="0"/>
          <w:numId w:val="9"/>
        </w:numPr>
        <w:shd w:val="clear" w:color="auto" w:fill="FFFFFF" w:themeFill="background1"/>
        <w:spacing w:after="0" w:line="480" w:lineRule="auto"/>
        <w:rPr>
          <w:rFonts w:ascii="Times New Roman" w:hAnsi="Times New Roman" w:cs="Times New Roman"/>
          <w:sz w:val="24"/>
          <w:szCs w:val="24"/>
        </w:rPr>
      </w:pPr>
      <w:r w:rsidRPr="00515DC8">
        <w:rPr>
          <w:rFonts w:ascii="Times New Roman" w:hAnsi="Times New Roman" w:cs="Times New Roman"/>
          <w:sz w:val="24"/>
          <w:szCs w:val="24"/>
        </w:rPr>
        <w:t>a</w:t>
      </w:r>
      <w:r w:rsidR="00152BCF" w:rsidRPr="00515DC8">
        <w:rPr>
          <w:rFonts w:ascii="Times New Roman" w:hAnsi="Times New Roman" w:cs="Times New Roman"/>
          <w:sz w:val="24"/>
          <w:szCs w:val="24"/>
        </w:rPr>
        <w:t>ffective measures such as self-efficacy (</w:t>
      </w:r>
      <w:r w:rsidR="007B4D24" w:rsidRPr="00515DC8">
        <w:rPr>
          <w:rFonts w:ascii="Times New Roman" w:hAnsi="Times New Roman" w:cs="Times New Roman"/>
          <w:sz w:val="24"/>
          <w:szCs w:val="24"/>
        </w:rPr>
        <w:t xml:space="preserve">see </w:t>
      </w:r>
      <w:r w:rsidR="007B4D24" w:rsidRPr="00515DC8">
        <w:rPr>
          <w:rFonts w:ascii="Times New Roman" w:hAnsi="Times New Roman" w:cs="Times New Roman"/>
          <w:i/>
          <w:sz w:val="24"/>
          <w:szCs w:val="24"/>
        </w:rPr>
        <w:t>Forsythe &amp; Jellicoe, 2018</w:t>
      </w:r>
      <w:r w:rsidR="007B4D24" w:rsidRPr="00515DC8">
        <w:rPr>
          <w:rFonts w:ascii="Times New Roman" w:hAnsi="Times New Roman" w:cs="Times New Roman"/>
          <w:sz w:val="24"/>
          <w:szCs w:val="24"/>
        </w:rPr>
        <w:t>;</w:t>
      </w:r>
      <w:r w:rsidR="007B4D24" w:rsidRPr="00515DC8">
        <w:rPr>
          <w:rFonts w:ascii="Times New Roman" w:hAnsi="Times New Roman" w:cs="Times New Roman"/>
          <w:i/>
          <w:sz w:val="24"/>
          <w:szCs w:val="24"/>
        </w:rPr>
        <w:t xml:space="preserve"> Pampaka et al., 2018</w:t>
      </w:r>
      <w:r w:rsidR="007B4D24" w:rsidRPr="00515DC8">
        <w:rPr>
          <w:rFonts w:ascii="Times New Roman" w:hAnsi="Times New Roman" w:cs="Times New Roman"/>
          <w:sz w:val="24"/>
          <w:szCs w:val="24"/>
          <w:shd w:val="clear" w:color="auto" w:fill="FFFFFF" w:themeFill="background1"/>
        </w:rPr>
        <w:t>)</w:t>
      </w:r>
      <w:r w:rsidR="007D1F76" w:rsidRPr="00515DC8">
        <w:rPr>
          <w:rFonts w:ascii="Times New Roman" w:hAnsi="Times New Roman" w:cs="Times New Roman"/>
          <w:sz w:val="24"/>
          <w:szCs w:val="24"/>
          <w:shd w:val="clear" w:color="auto" w:fill="FFFFFF" w:themeFill="background1"/>
        </w:rPr>
        <w:t>; active and collaborative</w:t>
      </w:r>
      <w:r w:rsidR="00AE4B94" w:rsidRPr="00515DC8">
        <w:rPr>
          <w:rFonts w:ascii="Times New Roman" w:hAnsi="Times New Roman" w:cs="Times New Roman"/>
          <w:sz w:val="24"/>
          <w:szCs w:val="24"/>
          <w:shd w:val="clear" w:color="auto" w:fill="FFFFFF" w:themeFill="background1"/>
        </w:rPr>
        <w:t xml:space="preserve"> pedagogical approaches (see</w:t>
      </w:r>
      <w:r w:rsidR="00AE4B94" w:rsidRPr="00515DC8">
        <w:rPr>
          <w:rFonts w:ascii="Times New Roman" w:hAnsi="Times New Roman" w:cs="Times New Roman"/>
          <w:i/>
          <w:sz w:val="24"/>
          <w:szCs w:val="24"/>
          <w:shd w:val="clear" w:color="auto" w:fill="FFFFFF" w:themeFill="background1"/>
        </w:rPr>
        <w:t xml:space="preserve"> Scalise, </w:t>
      </w:r>
      <w:r w:rsidR="000F294A" w:rsidRPr="00515DC8">
        <w:rPr>
          <w:rFonts w:ascii="Times New Roman" w:hAnsi="Times New Roman" w:cs="Times New Roman"/>
          <w:i/>
          <w:sz w:val="24"/>
          <w:szCs w:val="24"/>
          <w:shd w:val="clear" w:color="auto" w:fill="FFFFFF" w:themeFill="background1"/>
        </w:rPr>
        <w:t xml:space="preserve">et al., </w:t>
      </w:r>
      <w:r w:rsidR="00AE4B94" w:rsidRPr="00515DC8">
        <w:rPr>
          <w:rFonts w:ascii="Times New Roman" w:hAnsi="Times New Roman" w:cs="Times New Roman"/>
          <w:i/>
          <w:sz w:val="24"/>
          <w:szCs w:val="24"/>
        </w:rPr>
        <w:t xml:space="preserve">2018; </w:t>
      </w:r>
      <w:r w:rsidRPr="00515DC8">
        <w:rPr>
          <w:rFonts w:ascii="Times New Roman" w:hAnsi="Times New Roman" w:cs="Times New Roman"/>
          <w:i/>
          <w:sz w:val="24"/>
          <w:szCs w:val="24"/>
        </w:rPr>
        <w:t>Turner, Gray, Sutton, Muneer</w:t>
      </w:r>
      <w:r w:rsidR="00E443F8" w:rsidRPr="00515DC8">
        <w:rPr>
          <w:rFonts w:ascii="Times New Roman" w:hAnsi="Times New Roman" w:cs="Times New Roman"/>
          <w:i/>
          <w:sz w:val="24"/>
          <w:szCs w:val="24"/>
        </w:rPr>
        <w:t>,</w:t>
      </w:r>
      <w:r w:rsidRPr="00515DC8">
        <w:rPr>
          <w:rFonts w:ascii="Times New Roman" w:hAnsi="Times New Roman" w:cs="Times New Roman"/>
          <w:i/>
          <w:sz w:val="24"/>
          <w:szCs w:val="24"/>
        </w:rPr>
        <w:t xml:space="preserve"> &amp; Swain, 2018</w:t>
      </w:r>
      <w:r w:rsidR="00AE4B94" w:rsidRPr="00515DC8">
        <w:rPr>
          <w:rFonts w:ascii="Times New Roman" w:hAnsi="Times New Roman" w:cs="Times New Roman"/>
          <w:sz w:val="24"/>
          <w:szCs w:val="24"/>
        </w:rPr>
        <w:t xml:space="preserve">); </w:t>
      </w:r>
    </w:p>
    <w:p w14:paraId="45E56D9E" w14:textId="04723C05" w:rsidR="007D1F76" w:rsidRPr="00515DC8" w:rsidRDefault="007D1F76" w:rsidP="001B74D8">
      <w:pPr>
        <w:pStyle w:val="ListParagraph"/>
        <w:numPr>
          <w:ilvl w:val="0"/>
          <w:numId w:val="9"/>
        </w:numPr>
        <w:spacing w:line="480" w:lineRule="auto"/>
        <w:rPr>
          <w:rFonts w:ascii="Times New Roman" w:hAnsi="Times New Roman" w:cs="Times New Roman"/>
          <w:sz w:val="24"/>
          <w:szCs w:val="24"/>
        </w:rPr>
      </w:pPr>
      <w:r w:rsidRPr="00515DC8">
        <w:rPr>
          <w:rFonts w:ascii="Times New Roman" w:hAnsi="Times New Roman" w:cs="Times New Roman"/>
          <w:sz w:val="24"/>
          <w:szCs w:val="24"/>
        </w:rPr>
        <w:t>b</w:t>
      </w:r>
      <w:r w:rsidR="00152BCF" w:rsidRPr="00515DC8">
        <w:rPr>
          <w:rFonts w:ascii="Times New Roman" w:hAnsi="Times New Roman" w:cs="Times New Roman"/>
          <w:sz w:val="24"/>
          <w:szCs w:val="24"/>
        </w:rPr>
        <w:t>ehavioural measures of student enga</w:t>
      </w:r>
      <w:r w:rsidR="00AE4B94" w:rsidRPr="00515DC8">
        <w:rPr>
          <w:rFonts w:ascii="Times New Roman" w:hAnsi="Times New Roman" w:cs="Times New Roman"/>
          <w:sz w:val="24"/>
          <w:szCs w:val="24"/>
        </w:rPr>
        <w:t xml:space="preserve">gement and employability, engagement in work preparation, work readiness, </w:t>
      </w:r>
      <w:r w:rsidRPr="00515DC8">
        <w:rPr>
          <w:rFonts w:ascii="Times New Roman" w:hAnsi="Times New Roman" w:cs="Times New Roman"/>
          <w:sz w:val="24"/>
          <w:szCs w:val="24"/>
        </w:rPr>
        <w:t xml:space="preserve">and </w:t>
      </w:r>
      <w:r w:rsidR="00AE4B94" w:rsidRPr="00515DC8">
        <w:rPr>
          <w:rFonts w:ascii="Times New Roman" w:hAnsi="Times New Roman" w:cs="Times New Roman"/>
          <w:sz w:val="24"/>
          <w:szCs w:val="24"/>
        </w:rPr>
        <w:t>graduate employment (see</w:t>
      </w:r>
      <w:r w:rsidR="007B4D24" w:rsidRPr="00515DC8">
        <w:rPr>
          <w:rFonts w:ascii="Times New Roman" w:hAnsi="Times New Roman" w:cs="Times New Roman"/>
          <w:sz w:val="24"/>
          <w:szCs w:val="24"/>
        </w:rPr>
        <w:t xml:space="preserve"> </w:t>
      </w:r>
      <w:r w:rsidR="00570D87" w:rsidRPr="00515DC8">
        <w:rPr>
          <w:rFonts w:ascii="Times New Roman" w:hAnsi="Times New Roman" w:cs="Times New Roman"/>
          <w:i/>
          <w:sz w:val="24"/>
          <w:szCs w:val="24"/>
        </w:rPr>
        <w:t>Callaghan &amp; Al</w:t>
      </w:r>
      <w:r w:rsidR="00AE4B94" w:rsidRPr="00515DC8">
        <w:rPr>
          <w:rFonts w:ascii="Times New Roman" w:hAnsi="Times New Roman" w:cs="Times New Roman"/>
          <w:i/>
          <w:sz w:val="24"/>
          <w:szCs w:val="24"/>
        </w:rPr>
        <w:t xml:space="preserve">oisi, 2018; </w:t>
      </w:r>
      <w:r w:rsidR="007B4D24" w:rsidRPr="00515DC8">
        <w:rPr>
          <w:rFonts w:ascii="Times New Roman" w:hAnsi="Times New Roman" w:cs="Times New Roman"/>
          <w:i/>
          <w:sz w:val="24"/>
          <w:szCs w:val="24"/>
        </w:rPr>
        <w:t>Cameron, 2018; Speight, Crawford</w:t>
      </w:r>
      <w:r w:rsidR="00E443F8" w:rsidRPr="00515DC8">
        <w:rPr>
          <w:rFonts w:ascii="Times New Roman" w:hAnsi="Times New Roman" w:cs="Times New Roman"/>
          <w:i/>
          <w:sz w:val="24"/>
          <w:szCs w:val="24"/>
        </w:rPr>
        <w:t>,</w:t>
      </w:r>
      <w:r w:rsidR="007B4D24" w:rsidRPr="00515DC8">
        <w:rPr>
          <w:rFonts w:ascii="Times New Roman" w:hAnsi="Times New Roman" w:cs="Times New Roman"/>
          <w:i/>
          <w:sz w:val="24"/>
          <w:szCs w:val="24"/>
        </w:rPr>
        <w:t xml:space="preserve"> &amp; Hadelsey, 2018</w:t>
      </w:r>
      <w:r w:rsidR="00AE4B94" w:rsidRPr="00515DC8">
        <w:rPr>
          <w:rFonts w:ascii="Times New Roman" w:hAnsi="Times New Roman" w:cs="Times New Roman"/>
          <w:sz w:val="24"/>
          <w:szCs w:val="24"/>
        </w:rPr>
        <w:t>);</w:t>
      </w:r>
      <w:r w:rsidRPr="00515DC8">
        <w:rPr>
          <w:rFonts w:ascii="Times New Roman" w:hAnsi="Times New Roman" w:cs="Times New Roman"/>
          <w:sz w:val="24"/>
          <w:szCs w:val="24"/>
        </w:rPr>
        <w:t xml:space="preserve"> non-academic skills development; civic activities, time on non-study activities (see </w:t>
      </w:r>
      <w:r w:rsidRPr="00515DC8">
        <w:rPr>
          <w:rFonts w:ascii="Times New Roman" w:hAnsi="Times New Roman" w:cs="Times New Roman"/>
          <w:i/>
          <w:sz w:val="24"/>
          <w:szCs w:val="24"/>
        </w:rPr>
        <w:t>Stoakes &amp; Neves, 2018</w:t>
      </w:r>
      <w:r w:rsidRPr="00515DC8">
        <w:rPr>
          <w:rFonts w:ascii="Times New Roman" w:hAnsi="Times New Roman" w:cs="Times New Roman"/>
          <w:sz w:val="24"/>
          <w:szCs w:val="24"/>
        </w:rPr>
        <w:t xml:space="preserve">); </w:t>
      </w:r>
      <w:r w:rsidR="005F30BD" w:rsidRPr="00515DC8">
        <w:rPr>
          <w:rFonts w:ascii="Times New Roman" w:hAnsi="Times New Roman" w:cs="Times New Roman"/>
          <w:sz w:val="24"/>
          <w:szCs w:val="24"/>
        </w:rPr>
        <w:t>increasing emphasis on soft skills development (Haldane, 2015);</w:t>
      </w:r>
    </w:p>
    <w:p w14:paraId="7A0187C2" w14:textId="5D964DD5" w:rsidR="00AE4B94" w:rsidRPr="00515DC8" w:rsidRDefault="007D1F76" w:rsidP="001B74D8">
      <w:pPr>
        <w:pStyle w:val="ListParagraph"/>
        <w:numPr>
          <w:ilvl w:val="0"/>
          <w:numId w:val="9"/>
        </w:numPr>
        <w:spacing w:after="0" w:line="480" w:lineRule="auto"/>
        <w:rPr>
          <w:rFonts w:ascii="Times New Roman" w:hAnsi="Times New Roman" w:cs="Times New Roman"/>
          <w:sz w:val="24"/>
          <w:szCs w:val="24"/>
        </w:rPr>
      </w:pPr>
      <w:r w:rsidRPr="00515DC8">
        <w:rPr>
          <w:rFonts w:ascii="Times New Roman" w:hAnsi="Times New Roman" w:cs="Times New Roman"/>
          <w:sz w:val="24"/>
          <w:szCs w:val="24"/>
        </w:rPr>
        <w:t>h</w:t>
      </w:r>
      <w:r w:rsidR="00AE4B94" w:rsidRPr="00515DC8">
        <w:rPr>
          <w:rFonts w:ascii="Times New Roman" w:hAnsi="Times New Roman" w:cs="Times New Roman"/>
          <w:sz w:val="24"/>
          <w:szCs w:val="24"/>
        </w:rPr>
        <w:t>igh impact pedagogies – drawing on Kuh (2008)</w:t>
      </w:r>
      <w:r w:rsidR="00A73511" w:rsidRPr="00515DC8">
        <w:rPr>
          <w:rFonts w:ascii="Times New Roman" w:hAnsi="Times New Roman" w:cs="Times New Roman"/>
          <w:sz w:val="24"/>
          <w:szCs w:val="24"/>
        </w:rPr>
        <w:t xml:space="preserve"> and Kuh, </w:t>
      </w:r>
      <w:r w:rsidR="00A73511" w:rsidRPr="00515DC8">
        <w:rPr>
          <w:rFonts w:ascii="Times New Roman" w:eastAsia="Times New Roman" w:hAnsi="Times New Roman" w:cs="Times New Roman"/>
          <w:kern w:val="36"/>
          <w:sz w:val="24"/>
          <w:szCs w:val="24"/>
          <w:lang w:eastAsia="en-GB"/>
        </w:rPr>
        <w:t>O'Donnell,</w:t>
      </w:r>
      <w:r w:rsidR="00E443F8" w:rsidRPr="00515DC8">
        <w:rPr>
          <w:rFonts w:ascii="Times New Roman" w:eastAsia="Times New Roman" w:hAnsi="Times New Roman" w:cs="Times New Roman"/>
          <w:kern w:val="36"/>
          <w:sz w:val="24"/>
          <w:szCs w:val="24"/>
          <w:lang w:eastAsia="en-GB"/>
        </w:rPr>
        <w:t xml:space="preserve"> and</w:t>
      </w:r>
      <w:r w:rsidR="00A73511" w:rsidRPr="00515DC8">
        <w:rPr>
          <w:rFonts w:ascii="Times New Roman" w:eastAsia="Times New Roman" w:hAnsi="Times New Roman" w:cs="Times New Roman"/>
          <w:kern w:val="36"/>
          <w:sz w:val="24"/>
          <w:szCs w:val="24"/>
          <w:lang w:eastAsia="en-GB"/>
        </w:rPr>
        <w:t xml:space="preserve"> Schneider (2017)</w:t>
      </w:r>
      <w:r w:rsidRPr="00515DC8">
        <w:rPr>
          <w:rFonts w:ascii="Times New Roman" w:eastAsia="Times New Roman" w:hAnsi="Times New Roman" w:cs="Times New Roman"/>
          <w:kern w:val="36"/>
          <w:sz w:val="24"/>
          <w:szCs w:val="24"/>
          <w:lang w:eastAsia="en-GB"/>
        </w:rPr>
        <w:t>;</w:t>
      </w:r>
      <w:r w:rsidR="00570D87" w:rsidRPr="00515DC8">
        <w:rPr>
          <w:rFonts w:ascii="Times New Roman" w:hAnsi="Times New Roman" w:cs="Times New Roman"/>
          <w:sz w:val="24"/>
          <w:szCs w:val="24"/>
        </w:rPr>
        <w:t xml:space="preserve"> </w:t>
      </w:r>
      <w:r w:rsidR="005F30BD" w:rsidRPr="00515DC8">
        <w:rPr>
          <w:rFonts w:ascii="Times New Roman" w:hAnsi="Times New Roman" w:cs="Times New Roman"/>
          <w:sz w:val="24"/>
          <w:szCs w:val="24"/>
        </w:rPr>
        <w:t xml:space="preserve">and the </w:t>
      </w:r>
      <w:r w:rsidR="00AE4B94" w:rsidRPr="00515DC8">
        <w:rPr>
          <w:rFonts w:ascii="Times New Roman" w:hAnsi="Times New Roman" w:cs="Times New Roman"/>
          <w:sz w:val="24"/>
          <w:szCs w:val="24"/>
        </w:rPr>
        <w:t xml:space="preserve">development of student research skills (see </w:t>
      </w:r>
      <w:r w:rsidR="00AE4B94" w:rsidRPr="00515DC8">
        <w:rPr>
          <w:rFonts w:ascii="Times New Roman" w:hAnsi="Times New Roman" w:cs="Times New Roman"/>
          <w:i/>
          <w:sz w:val="24"/>
          <w:szCs w:val="24"/>
        </w:rPr>
        <w:t>Turner</w:t>
      </w:r>
      <w:r w:rsidR="00A73511" w:rsidRPr="00515DC8">
        <w:rPr>
          <w:rFonts w:ascii="Times New Roman" w:hAnsi="Times New Roman" w:cs="Times New Roman"/>
          <w:i/>
          <w:sz w:val="24"/>
          <w:szCs w:val="24"/>
        </w:rPr>
        <w:t xml:space="preserve">, et al., </w:t>
      </w:r>
      <w:r w:rsidR="00AE4B94" w:rsidRPr="00515DC8">
        <w:rPr>
          <w:rFonts w:ascii="Times New Roman" w:hAnsi="Times New Roman" w:cs="Times New Roman"/>
          <w:i/>
          <w:sz w:val="24"/>
          <w:szCs w:val="24"/>
        </w:rPr>
        <w:t>2018</w:t>
      </w:r>
      <w:r w:rsidR="00AE4B94" w:rsidRPr="00515DC8">
        <w:rPr>
          <w:rFonts w:ascii="Times New Roman" w:hAnsi="Times New Roman" w:cs="Times New Roman"/>
          <w:sz w:val="24"/>
          <w:szCs w:val="24"/>
        </w:rPr>
        <w:t>)</w:t>
      </w:r>
      <w:r w:rsidR="001217AF" w:rsidRPr="00515DC8">
        <w:rPr>
          <w:rFonts w:ascii="Times New Roman" w:hAnsi="Times New Roman" w:cs="Times New Roman"/>
          <w:sz w:val="24"/>
          <w:szCs w:val="24"/>
        </w:rPr>
        <w:t>.</w:t>
      </w:r>
    </w:p>
    <w:p w14:paraId="4F97BA13" w14:textId="77777777" w:rsidR="00EF7BFE" w:rsidRPr="00515DC8" w:rsidRDefault="00EF7BFE" w:rsidP="001B74D8">
      <w:pPr>
        <w:spacing w:line="480" w:lineRule="auto"/>
        <w:ind w:left="360"/>
        <w:rPr>
          <w:lang w:val="en-GB"/>
        </w:rPr>
      </w:pPr>
    </w:p>
    <w:p w14:paraId="4D8EE406" w14:textId="15F3066F" w:rsidR="00A73511" w:rsidRPr="00515DC8" w:rsidRDefault="00570D87" w:rsidP="001B74D8">
      <w:pPr>
        <w:spacing w:line="480" w:lineRule="auto"/>
        <w:rPr>
          <w:lang w:val="en-GB"/>
        </w:rPr>
      </w:pPr>
      <w:r w:rsidRPr="00515DC8">
        <w:rPr>
          <w:lang w:val="en-GB"/>
        </w:rPr>
        <w:t>To attend to the domains highlighted</w:t>
      </w:r>
      <w:r w:rsidR="008B546A" w:rsidRPr="00515DC8">
        <w:rPr>
          <w:lang w:val="en-GB"/>
        </w:rPr>
        <w:t>,</w:t>
      </w:r>
      <w:r w:rsidR="007E135C" w:rsidRPr="00515DC8">
        <w:rPr>
          <w:lang w:val="en-GB"/>
        </w:rPr>
        <w:t xml:space="preserve"> </w:t>
      </w:r>
      <w:r w:rsidR="00A73511" w:rsidRPr="00515DC8">
        <w:rPr>
          <w:lang w:val="en-GB"/>
        </w:rPr>
        <w:t xml:space="preserve">a raft of measures </w:t>
      </w:r>
      <w:r w:rsidRPr="00515DC8">
        <w:rPr>
          <w:lang w:val="en-GB"/>
        </w:rPr>
        <w:t>tap into students’</w:t>
      </w:r>
      <w:r w:rsidR="00A73511" w:rsidRPr="00515DC8">
        <w:rPr>
          <w:lang w:val="en-GB"/>
        </w:rPr>
        <w:t xml:space="preserve"> </w:t>
      </w:r>
      <w:r w:rsidRPr="00515DC8">
        <w:rPr>
          <w:lang w:val="en-GB"/>
        </w:rPr>
        <w:t>affective, behavioural, and cognitive dispositions.</w:t>
      </w:r>
      <w:r w:rsidR="00E65FC8" w:rsidRPr="00515DC8">
        <w:rPr>
          <w:lang w:val="en-GB"/>
        </w:rPr>
        <w:t xml:space="preserve"> </w:t>
      </w:r>
      <w:r w:rsidRPr="00515DC8">
        <w:rPr>
          <w:lang w:val="en-GB"/>
        </w:rPr>
        <w:t xml:space="preserve"> Affective dimensions </w:t>
      </w:r>
      <w:r w:rsidR="007E135C" w:rsidRPr="00515DC8">
        <w:rPr>
          <w:lang w:val="en-GB"/>
        </w:rPr>
        <w:t xml:space="preserve">frequently </w:t>
      </w:r>
      <w:r w:rsidRPr="00515DC8">
        <w:rPr>
          <w:lang w:val="en-GB"/>
        </w:rPr>
        <w:t xml:space="preserve">include specific measures such as self-efficacy, and broader constructs including resilience, well-being, confidence, and satisfaction. </w:t>
      </w:r>
      <w:r w:rsidR="00E65FC8" w:rsidRPr="00515DC8">
        <w:rPr>
          <w:lang w:val="en-GB"/>
        </w:rPr>
        <w:t xml:space="preserve"> </w:t>
      </w:r>
      <w:r w:rsidRPr="00515DC8">
        <w:rPr>
          <w:lang w:val="en-GB"/>
        </w:rPr>
        <w:t xml:space="preserve">Behavioural measures </w:t>
      </w:r>
      <w:r w:rsidR="00A73511" w:rsidRPr="00515DC8">
        <w:rPr>
          <w:lang w:val="en-GB"/>
        </w:rPr>
        <w:t>often</w:t>
      </w:r>
      <w:r w:rsidRPr="00515DC8">
        <w:rPr>
          <w:lang w:val="en-GB"/>
        </w:rPr>
        <w:t xml:space="preserve"> include students’ use</w:t>
      </w:r>
      <w:r w:rsidR="00B840B6" w:rsidRPr="00515DC8">
        <w:rPr>
          <w:lang w:val="en-GB"/>
        </w:rPr>
        <w:t xml:space="preserve"> of resources and opportunities</w:t>
      </w:r>
      <w:r w:rsidR="00EF7BFE" w:rsidRPr="00515DC8">
        <w:rPr>
          <w:lang w:val="en-GB"/>
        </w:rPr>
        <w:t xml:space="preserve">, </w:t>
      </w:r>
      <w:r w:rsidR="00130CCC" w:rsidRPr="00515DC8">
        <w:rPr>
          <w:lang w:val="en-GB"/>
        </w:rPr>
        <w:t>and increasingly the use of data analytics to map student</w:t>
      </w:r>
      <w:r w:rsidR="008B546A" w:rsidRPr="00515DC8">
        <w:rPr>
          <w:lang w:val="en-GB"/>
        </w:rPr>
        <w:t>s’</w:t>
      </w:r>
      <w:r w:rsidR="00130CCC" w:rsidRPr="00515DC8">
        <w:rPr>
          <w:lang w:val="en-GB"/>
        </w:rPr>
        <w:t xml:space="preserve"> academic and co-curricular engagement </w:t>
      </w:r>
      <w:r w:rsidR="00B840B6" w:rsidRPr="00515DC8">
        <w:rPr>
          <w:lang w:val="en-GB"/>
        </w:rPr>
        <w:t>(attendance, use of virtual learning environments, work-based learning, skills assessments</w:t>
      </w:r>
      <w:r w:rsidR="007E135C" w:rsidRPr="00515DC8">
        <w:rPr>
          <w:lang w:val="en-GB"/>
        </w:rPr>
        <w:t>)</w:t>
      </w:r>
      <w:r w:rsidR="00130CCC" w:rsidRPr="00515DC8">
        <w:rPr>
          <w:lang w:val="en-GB"/>
        </w:rPr>
        <w:t xml:space="preserve">. </w:t>
      </w:r>
      <w:r w:rsidR="00E65FC8" w:rsidRPr="00515DC8">
        <w:rPr>
          <w:lang w:val="en-GB"/>
        </w:rPr>
        <w:t xml:space="preserve"> </w:t>
      </w:r>
      <w:r w:rsidR="00130CCC" w:rsidRPr="00515DC8">
        <w:rPr>
          <w:lang w:val="en-GB"/>
        </w:rPr>
        <w:t>Cognitive measures include general cognitive</w:t>
      </w:r>
      <w:r w:rsidR="003E334C" w:rsidRPr="00515DC8">
        <w:rPr>
          <w:lang w:val="en-GB"/>
        </w:rPr>
        <w:t xml:space="preserve"> learning</w:t>
      </w:r>
      <w:r w:rsidR="00130CCC" w:rsidRPr="00515DC8">
        <w:rPr>
          <w:lang w:val="en-GB"/>
        </w:rPr>
        <w:t xml:space="preserve"> gain</w:t>
      </w:r>
      <w:r w:rsidR="003E334C" w:rsidRPr="00515DC8">
        <w:rPr>
          <w:lang w:val="en-GB"/>
        </w:rPr>
        <w:t xml:space="preserve">s, </w:t>
      </w:r>
      <w:r w:rsidR="00806449">
        <w:rPr>
          <w:lang w:val="en-GB"/>
        </w:rPr>
        <w:t>discipline-</w:t>
      </w:r>
      <w:r w:rsidR="00130CCC" w:rsidRPr="00515DC8">
        <w:rPr>
          <w:lang w:val="en-GB"/>
        </w:rPr>
        <w:t>specific cognitive</w:t>
      </w:r>
      <w:r w:rsidR="003E334C" w:rsidRPr="00515DC8">
        <w:rPr>
          <w:lang w:val="en-GB"/>
        </w:rPr>
        <w:t xml:space="preserve"> learning</w:t>
      </w:r>
      <w:r w:rsidR="00130CCC" w:rsidRPr="00515DC8">
        <w:rPr>
          <w:lang w:val="en-GB"/>
        </w:rPr>
        <w:t xml:space="preserve"> gains</w:t>
      </w:r>
      <w:r w:rsidR="003E334C" w:rsidRPr="00515DC8">
        <w:rPr>
          <w:lang w:val="en-GB"/>
        </w:rPr>
        <w:t xml:space="preserve">, </w:t>
      </w:r>
      <w:r w:rsidR="00130CCC" w:rsidRPr="00515DC8">
        <w:rPr>
          <w:lang w:val="en-GB"/>
        </w:rPr>
        <w:t xml:space="preserve">critical reasoning/thinking skills, situational judgement, research methods competence. </w:t>
      </w:r>
      <w:r w:rsidR="00E65FC8" w:rsidRPr="00515DC8">
        <w:rPr>
          <w:lang w:val="en-GB"/>
        </w:rPr>
        <w:t xml:space="preserve"> </w:t>
      </w:r>
      <w:r w:rsidR="00130CCC" w:rsidRPr="00515DC8">
        <w:rPr>
          <w:lang w:val="en-GB"/>
        </w:rPr>
        <w:t xml:space="preserve">Many </w:t>
      </w:r>
      <w:r w:rsidR="005F30BD" w:rsidRPr="00515DC8">
        <w:rPr>
          <w:lang w:val="en-GB"/>
        </w:rPr>
        <w:t xml:space="preserve">projects and </w:t>
      </w:r>
      <w:r w:rsidR="00130CCC" w:rsidRPr="00515DC8">
        <w:rPr>
          <w:lang w:val="en-GB"/>
        </w:rPr>
        <w:t>stud</w:t>
      </w:r>
      <w:r w:rsidR="005F30BD" w:rsidRPr="00515DC8">
        <w:rPr>
          <w:lang w:val="en-GB"/>
        </w:rPr>
        <w:t>ies</w:t>
      </w:r>
      <w:r w:rsidR="00130CCC" w:rsidRPr="00515DC8">
        <w:rPr>
          <w:lang w:val="en-GB"/>
        </w:rPr>
        <w:t xml:space="preserve"> focus on individual dimensions, while </w:t>
      </w:r>
      <w:r w:rsidR="00A73511" w:rsidRPr="00515DC8">
        <w:rPr>
          <w:lang w:val="en-GB"/>
        </w:rPr>
        <w:t>others aim to explore students’</w:t>
      </w:r>
      <w:r w:rsidR="00F651DE" w:rsidRPr="00515DC8">
        <w:rPr>
          <w:lang w:val="en-GB"/>
        </w:rPr>
        <w:t xml:space="preserve"> </w:t>
      </w:r>
      <w:r w:rsidR="00130CCC" w:rsidRPr="00515DC8">
        <w:rPr>
          <w:lang w:val="en-GB"/>
        </w:rPr>
        <w:t>metacognitive and self-regulatory abiliti</w:t>
      </w:r>
      <w:r w:rsidR="00A73511" w:rsidRPr="00515DC8">
        <w:rPr>
          <w:lang w:val="en-GB"/>
        </w:rPr>
        <w:t xml:space="preserve">es through </w:t>
      </w:r>
      <w:r w:rsidR="00806449">
        <w:rPr>
          <w:lang w:val="en-GB"/>
        </w:rPr>
        <w:t xml:space="preserve">the </w:t>
      </w:r>
      <w:r w:rsidR="00A73511" w:rsidRPr="00515DC8">
        <w:rPr>
          <w:lang w:val="en-GB"/>
        </w:rPr>
        <w:t xml:space="preserve">integration of </w:t>
      </w:r>
      <w:r w:rsidR="00130CCC" w:rsidRPr="00515DC8">
        <w:rPr>
          <w:lang w:val="en-GB"/>
        </w:rPr>
        <w:t xml:space="preserve">affective, behavioural and cognitive domains. </w:t>
      </w:r>
    </w:p>
    <w:p w14:paraId="5A34EA81" w14:textId="77777777" w:rsidR="00B6370A" w:rsidRPr="00515DC8" w:rsidRDefault="00B6370A" w:rsidP="001B74D8">
      <w:pPr>
        <w:spacing w:line="480" w:lineRule="auto"/>
        <w:rPr>
          <w:lang w:val="en-GB"/>
        </w:rPr>
      </w:pPr>
    </w:p>
    <w:p w14:paraId="3B1545D6" w14:textId="34713A8A" w:rsidR="00B6370A" w:rsidRPr="00515DC8" w:rsidRDefault="00B6370A" w:rsidP="001B74D8">
      <w:pPr>
        <w:spacing w:line="480" w:lineRule="auto"/>
        <w:rPr>
          <w:lang w:val="en-GB"/>
        </w:rPr>
      </w:pPr>
      <w:r w:rsidRPr="00515DC8">
        <w:rPr>
          <w:lang w:val="en-GB"/>
        </w:rPr>
        <w:t>Whether we are tapping into those areas of direct relevance remains open to question.</w:t>
      </w:r>
    </w:p>
    <w:p w14:paraId="76DF934D" w14:textId="73DF3EDB" w:rsidR="00B6370A" w:rsidRPr="00515DC8" w:rsidRDefault="00B6370A" w:rsidP="001B74D8">
      <w:pPr>
        <w:spacing w:line="480" w:lineRule="auto"/>
        <w:rPr>
          <w:color w:val="000000"/>
          <w:lang w:val="en-GB"/>
        </w:rPr>
      </w:pPr>
      <w:r w:rsidRPr="00515DC8">
        <w:rPr>
          <w:color w:val="000000"/>
          <w:lang w:val="en-GB"/>
        </w:rPr>
        <w:t>For example, many programmes of study spend time developing critical thinking skills,</w:t>
      </w:r>
      <w:r w:rsidR="00E838A5" w:rsidRPr="00515DC8">
        <w:rPr>
          <w:color w:val="000000"/>
          <w:lang w:val="en-GB"/>
        </w:rPr>
        <w:t xml:space="preserve"> while</w:t>
      </w:r>
      <w:r w:rsidRPr="00515DC8">
        <w:rPr>
          <w:color w:val="000000"/>
          <w:lang w:val="en-GB"/>
        </w:rPr>
        <w:t xml:space="preserve"> training students in the funct</w:t>
      </w:r>
      <w:r w:rsidR="00806449">
        <w:rPr>
          <w:color w:val="000000"/>
          <w:lang w:val="en-GB"/>
        </w:rPr>
        <w:t>ion of incubation and insight are</w:t>
      </w:r>
      <w:r w:rsidRPr="00515DC8">
        <w:rPr>
          <w:color w:val="000000"/>
          <w:lang w:val="en-GB"/>
        </w:rPr>
        <w:t xml:space="preserve"> l</w:t>
      </w:r>
      <w:r w:rsidR="008C1C4F" w:rsidRPr="00515DC8">
        <w:rPr>
          <w:color w:val="000000"/>
          <w:lang w:val="en-GB"/>
        </w:rPr>
        <w:t>argely</w:t>
      </w:r>
      <w:r w:rsidRPr="00515DC8">
        <w:rPr>
          <w:color w:val="000000"/>
          <w:lang w:val="en-GB"/>
        </w:rPr>
        <w:t xml:space="preserve"> overlooked.  Problem-solving requires students to be able to remember critical aspects from other problems and be</w:t>
      </w:r>
      <w:r w:rsidR="009D784C" w:rsidRPr="00515DC8">
        <w:rPr>
          <w:color w:val="000000"/>
          <w:lang w:val="en-GB"/>
        </w:rPr>
        <w:t xml:space="preserve"> </w:t>
      </w:r>
      <w:r w:rsidRPr="00515DC8">
        <w:rPr>
          <w:color w:val="000000"/>
          <w:lang w:val="en-GB"/>
        </w:rPr>
        <w:t>able to reproduce that knowledge in a new situation and for that to happen ‘</w:t>
      </w:r>
      <w:r w:rsidRPr="00515DC8">
        <w:rPr>
          <w:i/>
          <w:iCs/>
          <w:color w:val="000000"/>
          <w:lang w:val="en-GB"/>
        </w:rPr>
        <w:t>memory must be tickled</w:t>
      </w:r>
      <w:r w:rsidRPr="00515DC8">
        <w:rPr>
          <w:color w:val="000000"/>
          <w:lang w:val="en-GB"/>
        </w:rPr>
        <w:t xml:space="preserve">’ (Halpern, 2014, p. 526).  </w:t>
      </w:r>
      <w:r w:rsidRPr="00515DC8">
        <w:rPr>
          <w:color w:val="000000" w:themeColor="text1"/>
          <w:lang w:val="en-GB"/>
        </w:rPr>
        <w:t>Incubation and insight are the thinking processes that are key to how humans depart from the principles of pr</w:t>
      </w:r>
      <w:r w:rsidR="00806449">
        <w:rPr>
          <w:color w:val="000000" w:themeColor="text1"/>
          <w:lang w:val="en-GB"/>
        </w:rPr>
        <w:t>obability and take mental short</w:t>
      </w:r>
      <w:r w:rsidRPr="00515DC8">
        <w:rPr>
          <w:color w:val="000000" w:themeColor="text1"/>
          <w:lang w:val="en-GB"/>
        </w:rPr>
        <w:t>cuts known as heuristics to solve problems.   The solution</w:t>
      </w:r>
      <w:r w:rsidR="00806449">
        <w:rPr>
          <w:color w:val="000000" w:themeColor="text1"/>
          <w:lang w:val="en-GB"/>
        </w:rPr>
        <w:t>s</w:t>
      </w:r>
      <w:r w:rsidRPr="00515DC8">
        <w:rPr>
          <w:color w:val="000000" w:themeColor="text1"/>
          <w:lang w:val="en-GB"/>
        </w:rPr>
        <w:t xml:space="preserve"> to those problems are often, personally goal centred and we give favour to our own preferred conclusions.   </w:t>
      </w:r>
      <w:r w:rsidRPr="00515DC8">
        <w:rPr>
          <w:color w:val="000000"/>
          <w:lang w:val="en-GB"/>
        </w:rPr>
        <w:t xml:space="preserve">This rational thinking and problem-solving </w:t>
      </w:r>
      <w:r w:rsidR="00806449">
        <w:rPr>
          <w:color w:val="000000"/>
          <w:lang w:val="en-GB"/>
        </w:rPr>
        <w:t xml:space="preserve">behaviour and attitudes </w:t>
      </w:r>
      <w:r w:rsidR="00806449">
        <w:rPr>
          <w:color w:val="000000" w:themeColor="text1"/>
          <w:shd w:val="clear" w:color="auto" w:fill="FFFFFF" w:themeFill="background1"/>
          <w:lang w:val="en-GB"/>
        </w:rPr>
        <w:t>are</w:t>
      </w:r>
      <w:r w:rsidRPr="00515DC8">
        <w:rPr>
          <w:color w:val="000000" w:themeColor="text1"/>
          <w:shd w:val="clear" w:color="auto" w:fill="FFFFFF" w:themeFill="background1"/>
          <w:lang w:val="en-GB"/>
        </w:rPr>
        <w:t xml:space="preserve"> driven by one’s goals and beliefs commensurate with the available evidence and it </w:t>
      </w:r>
      <w:r w:rsidRPr="00515DC8">
        <w:rPr>
          <w:color w:val="000000"/>
          <w:lang w:val="en-GB"/>
        </w:rPr>
        <w:t>is</w:t>
      </w:r>
      <w:r w:rsidRPr="00515DC8">
        <w:rPr>
          <w:color w:val="000000" w:themeColor="text1"/>
          <w:lang w:val="en-GB"/>
        </w:rPr>
        <w:t xml:space="preserve"> not the same as thinking critically.</w:t>
      </w:r>
      <w:r w:rsidRPr="00515DC8">
        <w:rPr>
          <w:color w:val="000000" w:themeColor="text1"/>
          <w:shd w:val="clear" w:color="auto" w:fill="FFFFFF" w:themeFill="background1"/>
          <w:lang w:val="en-GB"/>
        </w:rPr>
        <w:t xml:space="preserve"> </w:t>
      </w:r>
      <w:r w:rsidR="00733F8C" w:rsidRPr="00515DC8">
        <w:rPr>
          <w:color w:val="000000" w:themeColor="text1"/>
          <w:shd w:val="clear" w:color="auto" w:fill="FFFFFF" w:themeFill="background1"/>
          <w:lang w:val="en-GB"/>
        </w:rPr>
        <w:t xml:space="preserve"> </w:t>
      </w:r>
      <w:r w:rsidRPr="00515DC8">
        <w:rPr>
          <w:color w:val="000000" w:themeColor="text1"/>
          <w:lang w:val="en-GB"/>
        </w:rPr>
        <w:t xml:space="preserve">Stanovich </w:t>
      </w:r>
      <w:r w:rsidR="004641AF">
        <w:rPr>
          <w:color w:val="000000" w:themeColor="text1"/>
          <w:lang w:val="en-GB"/>
        </w:rPr>
        <w:t>and</w:t>
      </w:r>
      <w:r w:rsidRPr="00515DC8">
        <w:rPr>
          <w:color w:val="000000" w:themeColor="text1"/>
          <w:lang w:val="en-GB"/>
        </w:rPr>
        <w:t xml:space="preserve"> West (2000) </w:t>
      </w:r>
      <w:r w:rsidRPr="00515DC8">
        <w:rPr>
          <w:color w:val="000000" w:themeColor="text1"/>
          <w:shd w:val="clear" w:color="auto" w:fill="FFFFFF" w:themeFill="background1"/>
          <w:lang w:val="en-GB"/>
        </w:rPr>
        <w:t>argue that more needs to be done to develop tests that explore rational thinking tendencies as well as errors of judgement and decision making.  A group of students may be excellent at critically evaluating the options for organisational investment, but if not one of them plans to decide and act then the debate was a pointless one.</w:t>
      </w:r>
    </w:p>
    <w:p w14:paraId="3A24E4FB" w14:textId="77777777" w:rsidR="00B6370A" w:rsidRPr="00515DC8" w:rsidRDefault="00B6370A" w:rsidP="001B74D8">
      <w:pPr>
        <w:spacing w:line="480" w:lineRule="auto"/>
        <w:rPr>
          <w:lang w:val="en-GB"/>
        </w:rPr>
      </w:pPr>
    </w:p>
    <w:p w14:paraId="2AE4871D" w14:textId="0A05F4EC" w:rsidR="00A73511" w:rsidRPr="00515DC8" w:rsidRDefault="00A73511" w:rsidP="00404D06">
      <w:pPr>
        <w:spacing w:line="480" w:lineRule="auto"/>
        <w:outlineLvl w:val="0"/>
        <w:rPr>
          <w:i/>
          <w:lang w:val="en-GB"/>
        </w:rPr>
      </w:pPr>
      <w:r w:rsidRPr="00515DC8">
        <w:rPr>
          <w:i/>
          <w:lang w:val="en-GB"/>
        </w:rPr>
        <w:t>Output and outcome measures</w:t>
      </w:r>
    </w:p>
    <w:p w14:paraId="6A7BC985" w14:textId="4C14B0DA" w:rsidR="001217AF" w:rsidRPr="00515DC8" w:rsidRDefault="00363054" w:rsidP="001B74D8">
      <w:pPr>
        <w:spacing w:line="480" w:lineRule="auto"/>
        <w:rPr>
          <w:lang w:val="en-GB"/>
        </w:rPr>
      </w:pPr>
      <w:r w:rsidRPr="00515DC8">
        <w:rPr>
          <w:lang w:val="en-GB"/>
        </w:rPr>
        <w:t xml:space="preserve">The final stage of learning gain </w:t>
      </w:r>
      <w:r w:rsidR="00591686" w:rsidRPr="00515DC8">
        <w:rPr>
          <w:lang w:val="en-GB"/>
        </w:rPr>
        <w:t xml:space="preserve">measurement </w:t>
      </w:r>
      <w:r w:rsidRPr="00515DC8">
        <w:rPr>
          <w:lang w:val="en-GB"/>
        </w:rPr>
        <w:t xml:space="preserve">is </w:t>
      </w:r>
      <w:r w:rsidR="00591686" w:rsidRPr="00515DC8">
        <w:rPr>
          <w:lang w:val="en-GB"/>
        </w:rPr>
        <w:t xml:space="preserve">the development of </w:t>
      </w:r>
      <w:r w:rsidRPr="00515DC8">
        <w:rPr>
          <w:lang w:val="en-GB"/>
        </w:rPr>
        <w:t>output and outcome measures</w:t>
      </w:r>
      <w:r w:rsidR="00157629" w:rsidRPr="00515DC8">
        <w:rPr>
          <w:lang w:val="en-GB"/>
        </w:rPr>
        <w:t xml:space="preserve"> (for a detailed account of outcome measures consult OECD, 2013b report)</w:t>
      </w:r>
      <w:r w:rsidR="00296EA6" w:rsidRPr="00515DC8">
        <w:rPr>
          <w:lang w:val="en-GB"/>
        </w:rPr>
        <w:t>.</w:t>
      </w:r>
      <w:r w:rsidRPr="00515DC8">
        <w:rPr>
          <w:lang w:val="en-GB"/>
        </w:rPr>
        <w:t xml:space="preserve"> These</w:t>
      </w:r>
      <w:r w:rsidR="00157629" w:rsidRPr="00515DC8">
        <w:rPr>
          <w:lang w:val="en-GB"/>
        </w:rPr>
        <w:t xml:space="preserve"> measures</w:t>
      </w:r>
      <w:r w:rsidRPr="00515DC8">
        <w:rPr>
          <w:lang w:val="en-GB"/>
        </w:rPr>
        <w:t xml:space="preserve"> address what cognitive</w:t>
      </w:r>
      <w:r w:rsidR="000E4926" w:rsidRPr="00515DC8">
        <w:rPr>
          <w:lang w:val="en-GB"/>
        </w:rPr>
        <w:t xml:space="preserve"> learning</w:t>
      </w:r>
      <w:r w:rsidRPr="00515DC8">
        <w:rPr>
          <w:lang w:val="en-GB"/>
        </w:rPr>
        <w:t xml:space="preserve"> gain</w:t>
      </w:r>
      <w:r w:rsidR="000E4926" w:rsidRPr="00515DC8">
        <w:rPr>
          <w:lang w:val="en-GB"/>
        </w:rPr>
        <w:t>s (e.g., increases in knowledge – thinking skills)</w:t>
      </w:r>
      <w:r w:rsidRPr="00515DC8">
        <w:rPr>
          <w:lang w:val="en-GB"/>
        </w:rPr>
        <w:t xml:space="preserve">, employability skills and other attributes students have achieved. </w:t>
      </w:r>
    </w:p>
    <w:p w14:paraId="4D6BB939" w14:textId="3F72F60F" w:rsidR="001217AF" w:rsidRPr="00515DC8" w:rsidRDefault="001217AF" w:rsidP="001B74D8">
      <w:pPr>
        <w:spacing w:line="480" w:lineRule="auto"/>
        <w:rPr>
          <w:lang w:val="en-GB"/>
        </w:rPr>
      </w:pPr>
    </w:p>
    <w:p w14:paraId="3856854D" w14:textId="7B4B1D18" w:rsidR="001217AF" w:rsidRPr="00515DC8" w:rsidRDefault="001217AF" w:rsidP="00404D06">
      <w:pPr>
        <w:spacing w:line="480" w:lineRule="auto"/>
        <w:outlineLvl w:val="0"/>
        <w:rPr>
          <w:b/>
          <w:i/>
          <w:lang w:val="en-GB"/>
        </w:rPr>
      </w:pPr>
      <w:r w:rsidRPr="00515DC8">
        <w:rPr>
          <w:b/>
          <w:i/>
          <w:lang w:val="en-GB"/>
        </w:rPr>
        <w:t>Summary</w:t>
      </w:r>
    </w:p>
    <w:p w14:paraId="7A69E78B" w14:textId="40A09CDB" w:rsidR="00152BCF" w:rsidRPr="00515DC8" w:rsidRDefault="001217AF" w:rsidP="001B74D8">
      <w:pPr>
        <w:spacing w:line="480" w:lineRule="auto"/>
        <w:rPr>
          <w:lang w:val="en-GB"/>
        </w:rPr>
      </w:pPr>
      <w:r w:rsidRPr="00515DC8">
        <w:rPr>
          <w:lang w:val="en-GB"/>
        </w:rPr>
        <w:t xml:space="preserve">Many current outcome measures are poor proxy measures of student learning. </w:t>
      </w:r>
      <w:r w:rsidR="00076636" w:rsidRPr="00515DC8">
        <w:rPr>
          <w:lang w:val="en-GB"/>
        </w:rPr>
        <w:t>This leads to a system of targets and key performance indicators that drive institutions to compete on metrics that may detract from the student learning experience.</w:t>
      </w:r>
      <w:r w:rsidR="00363054" w:rsidRPr="00515DC8">
        <w:rPr>
          <w:lang w:val="en-GB"/>
        </w:rPr>
        <w:t xml:space="preserve"> </w:t>
      </w:r>
      <w:r w:rsidR="00733F8C" w:rsidRPr="00515DC8">
        <w:rPr>
          <w:lang w:val="en-GB"/>
        </w:rPr>
        <w:t xml:space="preserve"> </w:t>
      </w:r>
      <w:r w:rsidR="00363054" w:rsidRPr="00515DC8">
        <w:rPr>
          <w:lang w:val="en-GB"/>
        </w:rPr>
        <w:t>For example,</w:t>
      </w:r>
      <w:r w:rsidR="003A15F0" w:rsidRPr="00515DC8">
        <w:rPr>
          <w:lang w:val="en-GB"/>
        </w:rPr>
        <w:t xml:space="preserve"> student satisfaction surveys </w:t>
      </w:r>
      <w:r w:rsidR="00363054" w:rsidRPr="00515DC8">
        <w:rPr>
          <w:lang w:val="en-GB"/>
        </w:rPr>
        <w:t>can drive institutional behaviour</w:t>
      </w:r>
      <w:r w:rsidR="008B546A" w:rsidRPr="00515DC8">
        <w:rPr>
          <w:lang w:val="en-GB"/>
        </w:rPr>
        <w:t xml:space="preserve"> towards keeping students happy</w:t>
      </w:r>
      <w:r w:rsidR="00363054" w:rsidRPr="00515DC8">
        <w:rPr>
          <w:lang w:val="en-GB"/>
        </w:rPr>
        <w:t xml:space="preserve"> </w:t>
      </w:r>
      <w:r w:rsidR="003A15F0" w:rsidRPr="00515DC8">
        <w:rPr>
          <w:lang w:val="en-GB"/>
        </w:rPr>
        <w:t xml:space="preserve">at </w:t>
      </w:r>
      <w:r w:rsidR="00AE4B94" w:rsidRPr="00515DC8">
        <w:rPr>
          <w:lang w:val="en-GB"/>
        </w:rPr>
        <w:t xml:space="preserve">the </w:t>
      </w:r>
      <w:r w:rsidR="003A15F0" w:rsidRPr="00515DC8">
        <w:rPr>
          <w:lang w:val="en-GB"/>
        </w:rPr>
        <w:t>cost of academic</w:t>
      </w:r>
      <w:r w:rsidR="00363054" w:rsidRPr="00515DC8">
        <w:rPr>
          <w:lang w:val="en-GB"/>
        </w:rPr>
        <w:t xml:space="preserve"> challenge and </w:t>
      </w:r>
      <w:r w:rsidR="00076636" w:rsidRPr="00515DC8">
        <w:rPr>
          <w:lang w:val="en-GB"/>
        </w:rPr>
        <w:t>rigour</w:t>
      </w:r>
      <w:r w:rsidR="003A15F0" w:rsidRPr="00515DC8">
        <w:rPr>
          <w:lang w:val="en-GB"/>
        </w:rPr>
        <w:t xml:space="preserve">; salary and job classification </w:t>
      </w:r>
      <w:r w:rsidR="00363054" w:rsidRPr="00515DC8">
        <w:rPr>
          <w:lang w:val="en-GB"/>
        </w:rPr>
        <w:t xml:space="preserve">data are </w:t>
      </w:r>
      <w:r w:rsidR="003A15F0" w:rsidRPr="00515DC8">
        <w:rPr>
          <w:lang w:val="en-GB"/>
        </w:rPr>
        <w:t>strongly correla</w:t>
      </w:r>
      <w:r w:rsidR="00363054" w:rsidRPr="00515DC8">
        <w:rPr>
          <w:lang w:val="en-GB"/>
        </w:rPr>
        <w:t xml:space="preserve">ted with socio-economic status, </w:t>
      </w:r>
      <w:r w:rsidR="003A15F0" w:rsidRPr="00515DC8">
        <w:rPr>
          <w:lang w:val="en-GB"/>
        </w:rPr>
        <w:t>perpe</w:t>
      </w:r>
      <w:r w:rsidR="00363054" w:rsidRPr="00515DC8">
        <w:rPr>
          <w:lang w:val="en-GB"/>
        </w:rPr>
        <w:t>tuating inequalities in society,</w:t>
      </w:r>
      <w:r w:rsidR="003A15F0" w:rsidRPr="00515DC8">
        <w:rPr>
          <w:lang w:val="en-GB"/>
        </w:rPr>
        <w:t xml:space="preserve"> and</w:t>
      </w:r>
      <w:r w:rsidR="00363054" w:rsidRPr="00515DC8">
        <w:rPr>
          <w:lang w:val="en-GB"/>
        </w:rPr>
        <w:t xml:space="preserve"> are</w:t>
      </w:r>
      <w:r w:rsidR="003A15F0" w:rsidRPr="00515DC8">
        <w:rPr>
          <w:lang w:val="en-GB"/>
        </w:rPr>
        <w:t xml:space="preserve"> linked with institutional reputation; progression and completion targets can lead to a lowering of </w:t>
      </w:r>
      <w:r w:rsidR="00363054" w:rsidRPr="00515DC8">
        <w:rPr>
          <w:lang w:val="en-GB"/>
        </w:rPr>
        <w:t xml:space="preserve">academic </w:t>
      </w:r>
      <w:r w:rsidR="003A15F0" w:rsidRPr="00515DC8">
        <w:rPr>
          <w:lang w:val="en-GB"/>
        </w:rPr>
        <w:t>standards</w:t>
      </w:r>
      <w:r w:rsidR="008B546A" w:rsidRPr="00515DC8">
        <w:rPr>
          <w:lang w:val="en-GB"/>
        </w:rPr>
        <w:t xml:space="preserve"> or grade inflation</w:t>
      </w:r>
      <w:r w:rsidR="00980502" w:rsidRPr="00515DC8">
        <w:rPr>
          <w:lang w:val="en-GB"/>
        </w:rPr>
        <w:t xml:space="preserve"> (Higher Education Statistics Agency</w:t>
      </w:r>
      <w:r w:rsidR="00EA3188" w:rsidRPr="00515DC8">
        <w:rPr>
          <w:lang w:val="en-GB"/>
        </w:rPr>
        <w:t xml:space="preserve">, </w:t>
      </w:r>
      <w:r w:rsidR="00980502" w:rsidRPr="00515DC8">
        <w:rPr>
          <w:lang w:val="en-GB"/>
        </w:rPr>
        <w:t>2018</w:t>
      </w:r>
      <w:r w:rsidR="00D55CA4" w:rsidRPr="00515DC8">
        <w:rPr>
          <w:lang w:val="en-GB"/>
        </w:rPr>
        <w:t>b</w:t>
      </w:r>
      <w:r w:rsidR="00980502" w:rsidRPr="00515DC8">
        <w:rPr>
          <w:lang w:val="en-GB"/>
        </w:rPr>
        <w:t>)</w:t>
      </w:r>
      <w:r w:rsidR="00D55CA4" w:rsidRPr="00515DC8">
        <w:rPr>
          <w:lang w:val="en-GB"/>
        </w:rPr>
        <w:t>.</w:t>
      </w:r>
      <w:r w:rsidR="00152BCF" w:rsidRPr="00515DC8">
        <w:rPr>
          <w:lang w:val="en-GB"/>
        </w:rPr>
        <w:t xml:space="preserve"> </w:t>
      </w:r>
      <w:r w:rsidR="00CB3E86" w:rsidRPr="00515DC8">
        <w:rPr>
          <w:lang w:val="en-GB"/>
        </w:rPr>
        <w:t xml:space="preserve">This has led to claims of a lack of accountability to </w:t>
      </w:r>
      <w:r w:rsidR="00806449">
        <w:rPr>
          <w:lang w:val="en-GB"/>
        </w:rPr>
        <w:t xml:space="preserve">the </w:t>
      </w:r>
      <w:r w:rsidR="00CB3E86" w:rsidRPr="00515DC8">
        <w:rPr>
          <w:lang w:val="en-GB"/>
        </w:rPr>
        <w:t>government or to the public.</w:t>
      </w:r>
    </w:p>
    <w:p w14:paraId="4BE4BB5A" w14:textId="77777777" w:rsidR="00076636" w:rsidRPr="00515DC8" w:rsidRDefault="00076636" w:rsidP="001B74D8">
      <w:pPr>
        <w:spacing w:line="480" w:lineRule="auto"/>
        <w:rPr>
          <w:lang w:val="en-GB"/>
        </w:rPr>
      </w:pPr>
    </w:p>
    <w:p w14:paraId="20F44F47" w14:textId="0871AD4D" w:rsidR="00C677EA" w:rsidRPr="00515DC8" w:rsidRDefault="00076636" w:rsidP="001B74D8">
      <w:pPr>
        <w:spacing w:line="480" w:lineRule="auto"/>
        <w:rPr>
          <w:lang w:val="en-GB"/>
        </w:rPr>
      </w:pPr>
      <w:r w:rsidRPr="00515DC8">
        <w:rPr>
          <w:lang w:val="en-GB"/>
        </w:rPr>
        <w:t>More broadly,</w:t>
      </w:r>
      <w:r w:rsidR="00CB3E86" w:rsidRPr="00515DC8">
        <w:rPr>
          <w:lang w:val="en-GB"/>
        </w:rPr>
        <w:t xml:space="preserve"> public and employer perception</w:t>
      </w:r>
      <w:r w:rsidR="00437A44" w:rsidRPr="00515DC8">
        <w:rPr>
          <w:lang w:val="en-GB"/>
        </w:rPr>
        <w:t>s</w:t>
      </w:r>
      <w:r w:rsidR="00CB3E86" w:rsidRPr="00515DC8">
        <w:rPr>
          <w:lang w:val="en-GB"/>
        </w:rPr>
        <w:t xml:space="preserve"> of quality ha</w:t>
      </w:r>
      <w:r w:rsidR="00437A44" w:rsidRPr="00515DC8">
        <w:rPr>
          <w:lang w:val="en-GB"/>
        </w:rPr>
        <w:t>ve</w:t>
      </w:r>
      <w:r w:rsidR="00CB3E86" w:rsidRPr="00515DC8">
        <w:rPr>
          <w:lang w:val="en-GB"/>
        </w:rPr>
        <w:t xml:space="preserve"> a strong foundation in institutional reputation, drawing heavily on institutional age, research performance, student selection and graduate salaries. Reputation may be only partially, or </w:t>
      </w:r>
      <w:r w:rsidR="008B546A" w:rsidRPr="00515DC8">
        <w:rPr>
          <w:lang w:val="en-GB"/>
        </w:rPr>
        <w:t>even in</w:t>
      </w:r>
      <w:r w:rsidR="00CB3E86" w:rsidRPr="00515DC8">
        <w:rPr>
          <w:lang w:val="en-GB"/>
        </w:rPr>
        <w:t>versely, linked with the quality of the student learning experience.</w:t>
      </w:r>
      <w:r w:rsidR="00EA3188" w:rsidRPr="00515DC8">
        <w:rPr>
          <w:lang w:val="en-GB"/>
        </w:rPr>
        <w:t xml:space="preserve"> </w:t>
      </w:r>
      <w:r w:rsidR="00CB3E86" w:rsidRPr="00515DC8">
        <w:rPr>
          <w:lang w:val="en-GB"/>
        </w:rPr>
        <w:t xml:space="preserve"> On an individual level, the quality of a student’s degree has been signalled in England through the degree classification system. However, because of the limited four-point approach (first, upper second, lower second and third) and through </w:t>
      </w:r>
      <w:r w:rsidR="008B546A" w:rsidRPr="00515DC8">
        <w:rPr>
          <w:lang w:val="en-GB"/>
        </w:rPr>
        <w:t>steady, long-term</w:t>
      </w:r>
      <w:r w:rsidR="001217AF" w:rsidRPr="00515DC8">
        <w:rPr>
          <w:lang w:val="en-GB"/>
        </w:rPr>
        <w:t xml:space="preserve"> </w:t>
      </w:r>
      <w:r w:rsidR="00CB3E86" w:rsidRPr="00515DC8">
        <w:rPr>
          <w:lang w:val="en-GB"/>
        </w:rPr>
        <w:t>grade inflation</w:t>
      </w:r>
      <w:r w:rsidR="008B546A" w:rsidRPr="00515DC8">
        <w:rPr>
          <w:lang w:val="en-GB"/>
        </w:rPr>
        <w:t>,</w:t>
      </w:r>
      <w:r w:rsidR="00CB3E86" w:rsidRPr="00515DC8">
        <w:rPr>
          <w:lang w:val="en-GB"/>
        </w:rPr>
        <w:t xml:space="preserve"> there is</w:t>
      </w:r>
      <w:r w:rsidR="00AE4B94" w:rsidRPr="00515DC8">
        <w:rPr>
          <w:lang w:val="en-GB"/>
        </w:rPr>
        <w:t xml:space="preserve"> little</w:t>
      </w:r>
      <w:r w:rsidR="00CB3E86" w:rsidRPr="00515DC8">
        <w:rPr>
          <w:lang w:val="en-GB"/>
        </w:rPr>
        <w:t xml:space="preserve"> differentiation amongst graduates</w:t>
      </w:r>
      <w:r w:rsidR="008B546A" w:rsidRPr="00515DC8">
        <w:rPr>
          <w:lang w:val="en-GB"/>
        </w:rPr>
        <w:t>, which has led to a rise in i</w:t>
      </w:r>
      <w:r w:rsidR="00806449">
        <w:rPr>
          <w:lang w:val="en-GB"/>
        </w:rPr>
        <w:t>nterest in the adoption of a US-</w:t>
      </w:r>
      <w:r w:rsidR="008B546A" w:rsidRPr="00515DC8">
        <w:rPr>
          <w:lang w:val="en-GB"/>
        </w:rPr>
        <w:t>style Grade Point Average (GPA) system in many UK HEIs</w:t>
      </w:r>
      <w:r w:rsidR="00D75638" w:rsidRPr="00515DC8">
        <w:rPr>
          <w:lang w:val="en-GB"/>
        </w:rPr>
        <w:t xml:space="preserve"> (Advance HE, 2018). </w:t>
      </w:r>
      <w:r w:rsidR="00CB3E86" w:rsidRPr="00515DC8">
        <w:rPr>
          <w:lang w:val="en-GB"/>
        </w:rPr>
        <w:t xml:space="preserve"> </w:t>
      </w:r>
    </w:p>
    <w:p w14:paraId="579219A1" w14:textId="77777777" w:rsidR="00C677EA" w:rsidRPr="00515DC8" w:rsidRDefault="00C677EA" w:rsidP="001B74D8">
      <w:pPr>
        <w:spacing w:line="480" w:lineRule="auto"/>
        <w:rPr>
          <w:lang w:val="en-GB"/>
        </w:rPr>
      </w:pPr>
    </w:p>
    <w:p w14:paraId="2EF666D1" w14:textId="2FC86ADC" w:rsidR="000E4926" w:rsidRPr="00515DC8" w:rsidRDefault="00CB3E86" w:rsidP="00E838A5">
      <w:pPr>
        <w:spacing w:line="480" w:lineRule="auto"/>
        <w:rPr>
          <w:lang w:val="en-GB"/>
        </w:rPr>
      </w:pPr>
      <w:r w:rsidRPr="00515DC8">
        <w:rPr>
          <w:lang w:val="en-GB"/>
        </w:rPr>
        <w:t>These questions of quality have led to the desire for better metrics to account for what students have gained from their time in higher education, and what added value do institutions provide</w:t>
      </w:r>
      <w:r w:rsidR="00AE4B94" w:rsidRPr="00515DC8">
        <w:rPr>
          <w:lang w:val="en-GB"/>
        </w:rPr>
        <w:t xml:space="preserve"> </w:t>
      </w:r>
      <w:r w:rsidR="00D75638" w:rsidRPr="00515DC8">
        <w:rPr>
          <w:lang w:val="en-GB"/>
        </w:rPr>
        <w:t xml:space="preserve">as outlined in The Burgess Group Final Report </w:t>
      </w:r>
      <w:r w:rsidR="00AE4B94" w:rsidRPr="00515DC8">
        <w:rPr>
          <w:lang w:val="en-GB"/>
        </w:rPr>
        <w:t>(</w:t>
      </w:r>
      <w:r w:rsidR="00D75638" w:rsidRPr="00515DC8">
        <w:rPr>
          <w:lang w:val="en-GB"/>
        </w:rPr>
        <w:t>HEA, 2015; Universities UK, 2007)</w:t>
      </w:r>
      <w:r w:rsidR="00A73511" w:rsidRPr="00515DC8">
        <w:rPr>
          <w:lang w:val="en-GB"/>
        </w:rPr>
        <w:t>.</w:t>
      </w:r>
      <w:r w:rsidR="00D75638" w:rsidRPr="00515DC8">
        <w:rPr>
          <w:lang w:val="en-GB"/>
        </w:rPr>
        <w:t xml:space="preserve"> </w:t>
      </w:r>
      <w:r w:rsidR="002D1F10" w:rsidRPr="00515DC8">
        <w:rPr>
          <w:lang w:val="en-GB"/>
        </w:rPr>
        <w:t xml:space="preserve"> </w:t>
      </w:r>
      <w:r w:rsidR="000B732C" w:rsidRPr="00515DC8">
        <w:rPr>
          <w:lang w:val="en-GB"/>
        </w:rPr>
        <w:t xml:space="preserve">This would support sector-wide accountability for how much students have learned during their time in higher education. </w:t>
      </w:r>
      <w:r w:rsidR="00C677EA" w:rsidRPr="00515DC8">
        <w:rPr>
          <w:lang w:val="en-GB"/>
        </w:rPr>
        <w:t>Greater transparency of what happens inside the “black box” of higher education through the development of</w:t>
      </w:r>
      <w:r w:rsidR="003726CA" w:rsidRPr="00515DC8">
        <w:rPr>
          <w:lang w:val="en-GB"/>
        </w:rPr>
        <w:t xml:space="preserve"> robust, contextualised metrics of lea</w:t>
      </w:r>
      <w:r w:rsidR="00C677EA" w:rsidRPr="00515DC8">
        <w:rPr>
          <w:lang w:val="en-GB"/>
        </w:rPr>
        <w:t xml:space="preserve">rning gain </w:t>
      </w:r>
      <w:r w:rsidR="000B732C" w:rsidRPr="00515DC8">
        <w:rPr>
          <w:lang w:val="en-GB"/>
        </w:rPr>
        <w:t xml:space="preserve">could help address </w:t>
      </w:r>
      <w:r w:rsidR="00806449">
        <w:rPr>
          <w:lang w:val="en-GB"/>
        </w:rPr>
        <w:t xml:space="preserve">the </w:t>
      </w:r>
      <w:r w:rsidR="0039166F" w:rsidRPr="00515DC8">
        <w:rPr>
          <w:lang w:val="en-GB"/>
        </w:rPr>
        <w:t xml:space="preserve">challenges noted above. Within institutions, greater alignment of quality assurance and pedagogical enhancement, as staff, academic and professional services, would be held to account for activities that directly led to student learning. </w:t>
      </w:r>
    </w:p>
    <w:p w14:paraId="3AB44449" w14:textId="77777777" w:rsidR="00D75638" w:rsidRPr="00515DC8" w:rsidRDefault="00D75638" w:rsidP="00E838A5">
      <w:pPr>
        <w:spacing w:line="480" w:lineRule="auto"/>
        <w:rPr>
          <w:lang w:val="en-GB"/>
        </w:rPr>
      </w:pPr>
    </w:p>
    <w:p w14:paraId="2A78DBAD" w14:textId="67CD3A13" w:rsidR="00980502" w:rsidRPr="00515DC8" w:rsidRDefault="00B37A2B" w:rsidP="00404D06">
      <w:pPr>
        <w:spacing w:line="480" w:lineRule="auto"/>
        <w:outlineLvl w:val="0"/>
        <w:rPr>
          <w:b/>
          <w:lang w:val="en-GB"/>
        </w:rPr>
      </w:pPr>
      <w:r w:rsidRPr="00515DC8">
        <w:rPr>
          <w:b/>
          <w:lang w:val="en-GB"/>
        </w:rPr>
        <w:t xml:space="preserve">Part </w:t>
      </w:r>
      <w:r w:rsidR="00D71ADD" w:rsidRPr="00515DC8">
        <w:rPr>
          <w:b/>
          <w:lang w:val="en-GB"/>
        </w:rPr>
        <w:t>two</w:t>
      </w:r>
      <w:r w:rsidRPr="00515DC8">
        <w:rPr>
          <w:b/>
          <w:lang w:val="en-GB"/>
        </w:rPr>
        <w:t xml:space="preserve">: </w:t>
      </w:r>
      <w:r w:rsidR="00980502" w:rsidRPr="00515DC8">
        <w:rPr>
          <w:b/>
          <w:lang w:val="en-GB"/>
        </w:rPr>
        <w:t xml:space="preserve">Measuring learning gains: </w:t>
      </w:r>
      <w:r w:rsidR="00772F0A" w:rsidRPr="00515DC8">
        <w:rPr>
          <w:b/>
          <w:lang w:val="en-GB"/>
        </w:rPr>
        <w:t>M</w:t>
      </w:r>
      <w:r w:rsidR="00980502" w:rsidRPr="00515DC8">
        <w:rPr>
          <w:b/>
          <w:lang w:val="en-GB"/>
        </w:rPr>
        <w:t>ethodological considerations</w:t>
      </w:r>
    </w:p>
    <w:p w14:paraId="3F3E929C" w14:textId="76CC75A7" w:rsidR="00FC21EF" w:rsidRPr="00515DC8" w:rsidRDefault="00FC21EF" w:rsidP="001B74D8">
      <w:pPr>
        <w:spacing w:line="480" w:lineRule="auto"/>
        <w:rPr>
          <w:lang w:val="en-GB"/>
        </w:rPr>
      </w:pPr>
      <w:r w:rsidRPr="00515DC8">
        <w:rPr>
          <w:lang w:val="en-GB"/>
        </w:rPr>
        <w:t xml:space="preserve">Measuring learning gain is complex, involving philosophical questions of what to measure, and scientific questions on how to measure, with inevitable trade-offs between what is methodologically robust and practically deliverable, all of which are framed within the broader political debate about ‘why’ measure learning gain in the first place, and prerogatives of elite institutional and national resistance to challenge what has gone before. Arguments that measurement overemphasis, measurement limitations, and measurement misunderstandings distract from the main purposes of HE are all well-rehearsed within the literature (Peseta, Barrie, &amp; McLean, 2017; </w:t>
      </w:r>
      <w:r w:rsidRPr="00515DC8">
        <w:rPr>
          <w:i/>
          <w:lang w:val="en-GB"/>
        </w:rPr>
        <w:t>Ylonen, Arico, Gillespie, Lancaster</w:t>
      </w:r>
      <w:r w:rsidR="005B20AF" w:rsidRPr="00515DC8">
        <w:rPr>
          <w:i/>
          <w:lang w:val="en-GB"/>
        </w:rPr>
        <w:t>,</w:t>
      </w:r>
      <w:r w:rsidRPr="00515DC8">
        <w:rPr>
          <w:i/>
          <w:lang w:val="en-GB"/>
        </w:rPr>
        <w:t xml:space="preserve"> &amp; Ward, 2018</w:t>
      </w:r>
      <w:r w:rsidRPr="00515DC8">
        <w:rPr>
          <w:lang w:val="en-GB"/>
        </w:rPr>
        <w:t xml:space="preserve">).  </w:t>
      </w:r>
    </w:p>
    <w:p w14:paraId="133DA70E" w14:textId="77777777" w:rsidR="00FC21EF" w:rsidRPr="00515DC8" w:rsidRDefault="00FC21EF" w:rsidP="001B74D8">
      <w:pPr>
        <w:spacing w:line="480" w:lineRule="auto"/>
        <w:rPr>
          <w:b/>
          <w:lang w:val="en-GB"/>
        </w:rPr>
      </w:pPr>
    </w:p>
    <w:p w14:paraId="6A9B824A" w14:textId="27E917CD" w:rsidR="00B37A2B" w:rsidRPr="00515DC8" w:rsidRDefault="00B37A2B" w:rsidP="001B74D8">
      <w:pPr>
        <w:spacing w:line="480" w:lineRule="auto"/>
        <w:rPr>
          <w:lang w:val="en-GB"/>
        </w:rPr>
      </w:pPr>
      <w:r w:rsidRPr="00515DC8">
        <w:rPr>
          <w:lang w:val="en-GB"/>
        </w:rPr>
        <w:t xml:space="preserve">Presuming that the traits we are interested in for learning gain purposes are measurable, there are strengths and weaknesses inherent in different approaches to learning gain measurement as typified in the HEFCE/OfS projects and evidenced in the literature more widely (HEFCE/OfS </w:t>
      </w:r>
      <w:r w:rsidR="00D75638" w:rsidRPr="00515DC8">
        <w:rPr>
          <w:lang w:val="en-GB"/>
        </w:rPr>
        <w:t>2018</w:t>
      </w:r>
      <w:r w:rsidRPr="00515DC8">
        <w:rPr>
          <w:lang w:val="en-GB"/>
        </w:rPr>
        <w:t>; Kandiko Howson, 2017</w:t>
      </w:r>
      <w:r w:rsidR="005B20AF" w:rsidRPr="00515DC8">
        <w:rPr>
          <w:lang w:val="en-GB"/>
        </w:rPr>
        <w:t>, 2018</w:t>
      </w:r>
      <w:r w:rsidRPr="00515DC8">
        <w:rPr>
          <w:lang w:val="en-GB"/>
        </w:rPr>
        <w:t xml:space="preserve">; McGrath et al., 2015, pp. 38-42). </w:t>
      </w:r>
      <w:r w:rsidR="006C7B1D" w:rsidRPr="00515DC8">
        <w:rPr>
          <w:lang w:val="en-GB"/>
        </w:rPr>
        <w:t>Measurement of learning gain in the UK is relatively new with most of the available research on the issue emanating from the US, with a predominant focus on the development of</w:t>
      </w:r>
      <w:r w:rsidRPr="00515DC8">
        <w:rPr>
          <w:lang w:val="en-GB"/>
        </w:rPr>
        <w:t xml:space="preserve"> generic as opposed to discipline-specific skills (McGrath et al., 2015)</w:t>
      </w:r>
      <w:r w:rsidR="006C7B1D" w:rsidRPr="00515DC8">
        <w:rPr>
          <w:lang w:val="en-GB"/>
        </w:rPr>
        <w:t>. To be at the vanguard of learning gain development</w:t>
      </w:r>
      <w:r w:rsidR="00561A87" w:rsidRPr="00515DC8">
        <w:rPr>
          <w:lang w:val="en-GB"/>
        </w:rPr>
        <w:t>,</w:t>
      </w:r>
      <w:r w:rsidR="006C7B1D" w:rsidRPr="00515DC8">
        <w:rPr>
          <w:lang w:val="en-GB"/>
        </w:rPr>
        <w:t xml:space="preserve"> integrated approaches are required that marry the best in measurement, with research-informed approaches to pedagogy</w:t>
      </w:r>
      <w:r w:rsidR="00E443F8" w:rsidRPr="00515DC8">
        <w:rPr>
          <w:lang w:val="en-GB"/>
        </w:rPr>
        <w:t xml:space="preserve"> (Evans, Waring, &amp; Christoudolou, 2017)</w:t>
      </w:r>
      <w:r w:rsidR="00561A87" w:rsidRPr="00515DC8">
        <w:rPr>
          <w:lang w:val="en-GB"/>
        </w:rPr>
        <w:t>.</w:t>
      </w:r>
      <w:r w:rsidR="006C7B1D" w:rsidRPr="00515DC8">
        <w:rPr>
          <w:lang w:val="en-GB"/>
        </w:rPr>
        <w:t xml:space="preserve"> </w:t>
      </w:r>
      <w:r w:rsidR="00561A87" w:rsidRPr="00515DC8">
        <w:rPr>
          <w:lang w:val="en-GB"/>
        </w:rPr>
        <w:t>T</w:t>
      </w:r>
      <w:r w:rsidR="006C7B1D" w:rsidRPr="00515DC8">
        <w:rPr>
          <w:lang w:val="en-GB"/>
        </w:rPr>
        <w:t xml:space="preserve">his requires strong collaborative working across academic (research and teaching), professional services, and data teams. </w:t>
      </w:r>
    </w:p>
    <w:p w14:paraId="1CCA8939" w14:textId="77777777" w:rsidR="005B20AF" w:rsidRPr="00515DC8" w:rsidRDefault="005B20AF" w:rsidP="001B74D8">
      <w:pPr>
        <w:spacing w:line="480" w:lineRule="auto"/>
        <w:rPr>
          <w:lang w:val="en-GB"/>
        </w:rPr>
      </w:pPr>
    </w:p>
    <w:p w14:paraId="53DE7A55" w14:textId="1E7B2014" w:rsidR="00FC21EF" w:rsidRPr="00515DC8" w:rsidRDefault="00980502" w:rsidP="001B74D8">
      <w:pPr>
        <w:spacing w:line="480" w:lineRule="auto"/>
        <w:rPr>
          <w:lang w:val="en-GB"/>
        </w:rPr>
      </w:pPr>
      <w:r w:rsidRPr="00515DC8">
        <w:rPr>
          <w:lang w:val="en-GB"/>
        </w:rPr>
        <w:t xml:space="preserve">Guiding principles underpinning the use of learning gain measures include the importance of relevance to local context; potential for generalisability; transparency in how measures have been developed and implemented; validity and reliability of approaches; sustainability in terms of efficient use of time and money (Coates, 2016) and fundamental ethical considerations concerning student and staff engagement, use of data, and equity. However, less than 15 per cent of the literature on learning gain is focused on the specific UK context (McGrath et al., 2015). There are </w:t>
      </w:r>
      <w:r w:rsidR="000A5CD8" w:rsidRPr="00515DC8">
        <w:rPr>
          <w:lang w:val="en-GB"/>
        </w:rPr>
        <w:t>several</w:t>
      </w:r>
      <w:r w:rsidRPr="00515DC8">
        <w:rPr>
          <w:lang w:val="en-GB"/>
        </w:rPr>
        <w:t xml:space="preserve"> fundamental issues impacting what we measure, how we measure</w:t>
      </w:r>
      <w:r w:rsidR="00BE7741">
        <w:rPr>
          <w:lang w:val="en-GB"/>
        </w:rPr>
        <w:t>,</w:t>
      </w:r>
      <w:r w:rsidRPr="00515DC8">
        <w:rPr>
          <w:lang w:val="en-GB"/>
        </w:rPr>
        <w:t xml:space="preserve"> and what can be deduced from our findings as outlined in the following section. </w:t>
      </w:r>
    </w:p>
    <w:p w14:paraId="61F377B1" w14:textId="77777777" w:rsidR="005B20AF" w:rsidRPr="00515DC8" w:rsidRDefault="005B20AF" w:rsidP="001B74D8">
      <w:pPr>
        <w:spacing w:line="480" w:lineRule="auto"/>
        <w:rPr>
          <w:lang w:val="en-GB"/>
        </w:rPr>
      </w:pPr>
    </w:p>
    <w:p w14:paraId="62070F07" w14:textId="77777777" w:rsidR="00FC21EF" w:rsidRPr="00515DC8" w:rsidRDefault="00FC21EF" w:rsidP="00404D06">
      <w:pPr>
        <w:spacing w:line="480" w:lineRule="auto"/>
        <w:outlineLvl w:val="0"/>
        <w:rPr>
          <w:b/>
          <w:i/>
          <w:lang w:val="en-GB"/>
        </w:rPr>
      </w:pPr>
      <w:r w:rsidRPr="00515DC8">
        <w:rPr>
          <w:b/>
          <w:i/>
          <w:lang w:val="en-GB"/>
        </w:rPr>
        <w:t>Measurement questions</w:t>
      </w:r>
    </w:p>
    <w:p w14:paraId="2CE84FEB" w14:textId="57F976F1" w:rsidR="00296EA6" w:rsidRDefault="00FC21EF" w:rsidP="00E838A5">
      <w:pPr>
        <w:spacing w:line="480" w:lineRule="auto"/>
        <w:ind w:right="142"/>
        <w:rPr>
          <w:lang w:val="en-GB"/>
        </w:rPr>
      </w:pPr>
      <w:r w:rsidRPr="00515DC8">
        <w:rPr>
          <w:lang w:val="en-GB"/>
        </w:rPr>
        <w:t>Fundamentally, student achievement should in some way be measurable as learning gain(s), and measures of learning gain(s) should be able to predict some valued outcome. Significant responsibility comes with the design and measurement of learning gain(s) as poorly conceived measures change behaviours, triggering cynical and sometimes perverse actions in academia, and there are almost always unintended consequences (Edwards</w:t>
      </w:r>
      <w:r w:rsidR="0060750C" w:rsidRPr="00515DC8">
        <w:rPr>
          <w:lang w:val="en-GB"/>
        </w:rPr>
        <w:t xml:space="preserve"> &amp;</w:t>
      </w:r>
      <w:r w:rsidRPr="00515DC8">
        <w:rPr>
          <w:lang w:val="en-GB"/>
        </w:rPr>
        <w:t xml:space="preserve"> Roy, 2017).  If we are interested in measurement we need to start from</w:t>
      </w:r>
      <w:r w:rsidR="00806449">
        <w:rPr>
          <w:lang w:val="en-GB"/>
        </w:rPr>
        <w:t xml:space="preserve"> the</w:t>
      </w:r>
      <w:r w:rsidRPr="00515DC8">
        <w:rPr>
          <w:lang w:val="en-GB"/>
        </w:rPr>
        <w:t xml:space="preserve"> core principles of good </w:t>
      </w:r>
      <w:r w:rsidR="00296EA6" w:rsidRPr="00515DC8">
        <w:rPr>
          <w:lang w:val="en-GB"/>
        </w:rPr>
        <w:t xml:space="preserve">measurement </w:t>
      </w:r>
      <w:r w:rsidRPr="00515DC8">
        <w:rPr>
          <w:lang w:val="en-GB"/>
        </w:rPr>
        <w:t xml:space="preserve">design (Furr, 2013). </w:t>
      </w:r>
    </w:p>
    <w:p w14:paraId="04F132BA" w14:textId="77777777" w:rsidR="007C58D8" w:rsidRPr="00515DC8" w:rsidRDefault="007C58D8" w:rsidP="00E838A5">
      <w:pPr>
        <w:spacing w:line="480" w:lineRule="auto"/>
        <w:ind w:right="142"/>
        <w:rPr>
          <w:lang w:val="en-GB"/>
        </w:rPr>
      </w:pPr>
    </w:p>
    <w:p w14:paraId="7909AF19" w14:textId="42CFB79E" w:rsidR="00C67EE4" w:rsidRPr="00515DC8" w:rsidRDefault="006C7B1D" w:rsidP="001B74D8">
      <w:pPr>
        <w:spacing w:line="480" w:lineRule="auto"/>
        <w:rPr>
          <w:szCs w:val="22"/>
        </w:rPr>
      </w:pPr>
      <w:r w:rsidRPr="00515DC8">
        <w:rPr>
          <w:lang w:val="en-GB"/>
        </w:rPr>
        <w:t xml:space="preserve">Time needs to be spent </w:t>
      </w:r>
      <w:r w:rsidR="00FC21EF" w:rsidRPr="00515DC8">
        <w:rPr>
          <w:lang w:val="en-GB"/>
        </w:rPr>
        <w:t>scrutinizing and being explicit about the measurement process and the nature of the data</w:t>
      </w:r>
      <w:r w:rsidRPr="00515DC8">
        <w:rPr>
          <w:lang w:val="en-GB"/>
        </w:rPr>
        <w:t xml:space="preserve"> </w:t>
      </w:r>
      <w:r w:rsidR="00FC21EF" w:rsidRPr="00515DC8">
        <w:rPr>
          <w:lang w:val="en-GB"/>
        </w:rPr>
        <w:t xml:space="preserve">to ensure that we are applying best measurement principles.  </w:t>
      </w:r>
      <w:r w:rsidRPr="00515DC8">
        <w:rPr>
          <w:lang w:val="en-GB"/>
        </w:rPr>
        <w:t>It is essential that</w:t>
      </w:r>
      <w:r w:rsidR="00FC21EF" w:rsidRPr="00515DC8">
        <w:rPr>
          <w:lang w:val="en-GB"/>
        </w:rPr>
        <w:t xml:space="preserve"> those at the forefront of academic measurement expertise are working closely with the teams that are implementing and running learning gain initiatives on the ground </w:t>
      </w:r>
      <w:r w:rsidR="000A5CD8" w:rsidRPr="00515DC8">
        <w:rPr>
          <w:lang w:val="en-GB"/>
        </w:rPr>
        <w:t>to</w:t>
      </w:r>
      <w:r w:rsidR="00FC21EF" w:rsidRPr="00515DC8">
        <w:rPr>
          <w:lang w:val="en-GB"/>
        </w:rPr>
        <w:t xml:space="preserve"> ensure quality and academic rigour in research, greater confidence in findings, and potential to replicate approaches in different contexts. </w:t>
      </w:r>
      <w:r w:rsidRPr="00515DC8">
        <w:rPr>
          <w:lang w:val="en-GB"/>
        </w:rPr>
        <w:t xml:space="preserve">From an extensive review of the literature, there are </w:t>
      </w:r>
      <w:r w:rsidR="0046609C" w:rsidRPr="00515DC8">
        <w:t>several</w:t>
      </w:r>
      <w:r w:rsidRPr="00515DC8">
        <w:rPr>
          <w:lang w:val="en-GB"/>
        </w:rPr>
        <w:t xml:space="preserve"> </w:t>
      </w:r>
      <w:r w:rsidR="00C235BB" w:rsidRPr="00515DC8">
        <w:rPr>
          <w:lang w:val="en-GB"/>
        </w:rPr>
        <w:t xml:space="preserve">measurement issues to consider in the development of learning gain approaches; an </w:t>
      </w:r>
      <w:r w:rsidR="00C235BB" w:rsidRPr="00515DC8">
        <w:rPr>
          <w:szCs w:val="22"/>
          <w:lang w:val="en-GB"/>
        </w:rPr>
        <w:t xml:space="preserve">overview of key </w:t>
      </w:r>
      <w:r w:rsidR="005B20AF" w:rsidRPr="00515DC8">
        <w:rPr>
          <w:szCs w:val="22"/>
          <w:lang w:val="en-GB"/>
        </w:rPr>
        <w:t>concerns</w:t>
      </w:r>
      <w:r w:rsidR="00C235BB" w:rsidRPr="00515DC8">
        <w:rPr>
          <w:szCs w:val="22"/>
          <w:lang w:val="en-GB"/>
        </w:rPr>
        <w:t xml:space="preserve"> is </w:t>
      </w:r>
      <w:r w:rsidRPr="00515DC8">
        <w:rPr>
          <w:szCs w:val="22"/>
          <w:lang w:val="en-GB"/>
        </w:rPr>
        <w:t xml:space="preserve">outlined briefly in the following section. </w:t>
      </w:r>
    </w:p>
    <w:p w14:paraId="60FEBB92" w14:textId="77777777" w:rsidR="0046609C" w:rsidRPr="00515DC8" w:rsidRDefault="0046609C" w:rsidP="001B74D8">
      <w:pPr>
        <w:spacing w:line="480" w:lineRule="auto"/>
        <w:rPr>
          <w:szCs w:val="22"/>
          <w:lang w:val="en-GB"/>
        </w:rPr>
      </w:pPr>
    </w:p>
    <w:p w14:paraId="0A9F0A49" w14:textId="43EF451C" w:rsidR="00FC21EF" w:rsidRPr="00515DC8" w:rsidRDefault="00FC21EF" w:rsidP="001B74D8">
      <w:pPr>
        <w:spacing w:line="480" w:lineRule="auto"/>
        <w:rPr>
          <w:i/>
          <w:szCs w:val="22"/>
          <w:lang w:val="en-GB"/>
        </w:rPr>
      </w:pPr>
      <w:r w:rsidRPr="00515DC8">
        <w:rPr>
          <w:i/>
          <w:szCs w:val="22"/>
          <w:lang w:val="en-GB"/>
        </w:rPr>
        <w:t xml:space="preserve">Issue </w:t>
      </w:r>
      <w:r w:rsidR="00437A44" w:rsidRPr="00515DC8">
        <w:rPr>
          <w:i/>
          <w:szCs w:val="22"/>
          <w:lang w:val="en-GB"/>
        </w:rPr>
        <w:t>1</w:t>
      </w:r>
      <w:r w:rsidRPr="00515DC8">
        <w:rPr>
          <w:i/>
          <w:szCs w:val="22"/>
          <w:lang w:val="en-GB"/>
        </w:rPr>
        <w:t>: Assumptions concerning monotonicity: we should be able to see learning gains throughout a student’s learning trajectory within HE</w:t>
      </w:r>
    </w:p>
    <w:p w14:paraId="51B16B74" w14:textId="77777777" w:rsidR="00437A44" w:rsidRPr="00515DC8" w:rsidRDefault="00437A44" w:rsidP="001B74D8">
      <w:pPr>
        <w:spacing w:line="480" w:lineRule="auto"/>
        <w:rPr>
          <w:szCs w:val="22"/>
          <w:lang w:val="en-GB"/>
        </w:rPr>
      </w:pPr>
      <w:r w:rsidRPr="00515DC8">
        <w:rPr>
          <w:szCs w:val="22"/>
          <w:lang w:val="en-GB"/>
        </w:rPr>
        <w:t xml:space="preserve">‘Distance travelled’ is wanting as a reasonable operationalisation of the construct of learning gain given that it is possible to define order but not distance. As noted by Thurstone in 1925, the closer together attributes are the more inconsistency in results there will be.   Learning gains are most easily quantified when the magnitude of difference is large, because the closer together facets of learning are, the more inconsistency there will be between students.   </w:t>
      </w:r>
    </w:p>
    <w:p w14:paraId="34CF9E8B" w14:textId="748A646C" w:rsidR="00C73F39" w:rsidRPr="00515DC8" w:rsidRDefault="00FC21EF" w:rsidP="00FF4ED5">
      <w:pPr>
        <w:widowControl w:val="0"/>
        <w:autoSpaceDE w:val="0"/>
        <w:autoSpaceDN w:val="0"/>
        <w:adjustRightInd w:val="0"/>
        <w:spacing w:after="240" w:line="480" w:lineRule="auto"/>
        <w:rPr>
          <w:szCs w:val="22"/>
          <w:lang w:val="en-GB"/>
        </w:rPr>
      </w:pPr>
      <w:r w:rsidRPr="00515DC8">
        <w:rPr>
          <w:szCs w:val="22"/>
          <w:lang w:val="en-GB"/>
        </w:rPr>
        <w:t>A monotonic relationship is expected</w:t>
      </w:r>
      <w:r w:rsidR="00C235BB" w:rsidRPr="00515DC8">
        <w:rPr>
          <w:szCs w:val="22"/>
          <w:lang w:val="en-GB"/>
        </w:rPr>
        <w:t>,</w:t>
      </w:r>
      <w:r w:rsidRPr="00515DC8">
        <w:rPr>
          <w:szCs w:val="22"/>
          <w:lang w:val="en-GB"/>
        </w:rPr>
        <w:t xml:space="preserve"> in that over time we should expect students’ outcomes to get better and better. However, learning is complex, and may not represent something that is gainful in the linear sense</w:t>
      </w:r>
      <w:r w:rsidR="00296EA6" w:rsidRPr="00515DC8">
        <w:rPr>
          <w:szCs w:val="22"/>
          <w:lang w:val="en-GB"/>
        </w:rPr>
        <w:t>.</w:t>
      </w:r>
      <w:r w:rsidR="00C235BB" w:rsidRPr="00515DC8">
        <w:rPr>
          <w:szCs w:val="22"/>
          <w:lang w:val="en-GB"/>
        </w:rPr>
        <w:t xml:space="preserve"> </w:t>
      </w:r>
      <w:r w:rsidR="00296EA6" w:rsidRPr="00515DC8">
        <w:rPr>
          <w:szCs w:val="22"/>
          <w:lang w:val="en-GB"/>
        </w:rPr>
        <w:t>A</w:t>
      </w:r>
      <w:r w:rsidR="00C235BB" w:rsidRPr="00515DC8">
        <w:rPr>
          <w:szCs w:val="22"/>
          <w:lang w:val="en-GB"/>
        </w:rPr>
        <w:t>s</w:t>
      </w:r>
      <w:r w:rsidR="00D71ADD" w:rsidRPr="00515DC8">
        <w:rPr>
          <w:szCs w:val="22"/>
          <w:lang w:val="en-GB"/>
        </w:rPr>
        <w:t xml:space="preserve"> observed</w:t>
      </w:r>
      <w:r w:rsidR="00C235BB" w:rsidRPr="00515DC8">
        <w:rPr>
          <w:szCs w:val="22"/>
          <w:lang w:val="en-GB"/>
        </w:rPr>
        <w:t xml:space="preserve"> </w:t>
      </w:r>
      <w:r w:rsidR="00D71ADD" w:rsidRPr="00515DC8">
        <w:rPr>
          <w:szCs w:val="22"/>
          <w:lang w:val="en-GB"/>
        </w:rPr>
        <w:t>by</w:t>
      </w:r>
      <w:r w:rsidR="00C235BB" w:rsidRPr="00515DC8">
        <w:rPr>
          <w:szCs w:val="22"/>
          <w:lang w:val="en-GB"/>
        </w:rPr>
        <w:t xml:space="preserve"> </w:t>
      </w:r>
      <w:r w:rsidR="00C235BB" w:rsidRPr="00515DC8">
        <w:rPr>
          <w:i/>
          <w:szCs w:val="22"/>
          <w:lang w:val="en-GB"/>
        </w:rPr>
        <w:t>Ylonen et al</w:t>
      </w:r>
      <w:r w:rsidR="00C235BB" w:rsidRPr="00515DC8">
        <w:rPr>
          <w:szCs w:val="22"/>
          <w:lang w:val="en-GB"/>
        </w:rPr>
        <w:t>.</w:t>
      </w:r>
      <w:r w:rsidR="00D71ADD" w:rsidRPr="00515DC8">
        <w:rPr>
          <w:szCs w:val="22"/>
          <w:lang w:val="en-GB"/>
        </w:rPr>
        <w:t xml:space="preserve"> (2018)</w:t>
      </w:r>
      <w:r w:rsidR="00296EA6" w:rsidRPr="00515DC8">
        <w:rPr>
          <w:szCs w:val="22"/>
          <w:lang w:val="en-GB"/>
        </w:rPr>
        <w:t xml:space="preserve"> s</w:t>
      </w:r>
      <w:r w:rsidRPr="00515DC8">
        <w:rPr>
          <w:szCs w:val="22"/>
          <w:lang w:val="en-GB"/>
        </w:rPr>
        <w:t>tudents must attain a series of progressively higher academic standards but those standards are not singular in nature, there is not just one quantifiable variable, and other factors invariably play a role.  This is what Cattell identified when he highlighted the role of the ‘</w:t>
      </w:r>
      <w:r w:rsidRPr="00515DC8">
        <w:rPr>
          <w:i/>
          <w:szCs w:val="22"/>
          <w:lang w:val="en-GB"/>
        </w:rPr>
        <w:t>interactive</w:t>
      </w:r>
      <w:r w:rsidRPr="00515DC8">
        <w:rPr>
          <w:szCs w:val="22"/>
          <w:lang w:val="en-GB"/>
        </w:rPr>
        <w:t>’ in measurement, which is the raw relationship between the environment and an individual’s performance: family and personal circumstances, finances, self-efficacy, health</w:t>
      </w:r>
      <w:r w:rsidR="00BE7741">
        <w:rPr>
          <w:szCs w:val="22"/>
          <w:lang w:val="en-GB"/>
        </w:rPr>
        <w:t>,</w:t>
      </w:r>
      <w:r w:rsidRPr="00515DC8">
        <w:rPr>
          <w:szCs w:val="22"/>
          <w:lang w:val="en-GB"/>
        </w:rPr>
        <w:t xml:space="preserve"> and well-being and so forth, all of which predict the probability of success and thus make up the dimensionality of gainful learning.  </w:t>
      </w:r>
      <w:r w:rsidRPr="00515DC8">
        <w:rPr>
          <w:i/>
          <w:szCs w:val="22"/>
          <w:lang w:val="en-GB"/>
        </w:rPr>
        <w:t xml:space="preserve">Rogaten and Rienties </w:t>
      </w:r>
      <w:r w:rsidRPr="00515DC8">
        <w:rPr>
          <w:szCs w:val="22"/>
          <w:lang w:val="en-GB"/>
        </w:rPr>
        <w:t>(2018) for example, explore these issues in their big data analysis of the individual student characteristics which may influence students’ learning gain (i.e.</w:t>
      </w:r>
      <w:r w:rsidR="00EE59F9" w:rsidRPr="00515DC8">
        <w:rPr>
          <w:szCs w:val="22"/>
          <w:lang w:val="en-GB"/>
        </w:rPr>
        <w:t>,</w:t>
      </w:r>
      <w:r w:rsidRPr="00515DC8">
        <w:rPr>
          <w:szCs w:val="22"/>
          <w:lang w:val="en-GB"/>
        </w:rPr>
        <w:t xml:space="preserve"> gender, ethnicity, socioeconomic status, prior educational achievement) reporting that racial background may be the only demographic variable of </w:t>
      </w:r>
      <w:r w:rsidR="00931091" w:rsidRPr="00515DC8">
        <w:rPr>
          <w:szCs w:val="22"/>
          <w:lang w:val="en-GB"/>
        </w:rPr>
        <w:t xml:space="preserve">statistical </w:t>
      </w:r>
      <w:r w:rsidRPr="00515DC8">
        <w:rPr>
          <w:szCs w:val="22"/>
          <w:lang w:val="en-GB"/>
        </w:rPr>
        <w:t xml:space="preserve">significance. </w:t>
      </w:r>
      <w:r w:rsidR="00B668F8" w:rsidRPr="00515DC8">
        <w:rPr>
          <w:szCs w:val="22"/>
        </w:rPr>
        <w:t xml:space="preserve"> </w:t>
      </w:r>
      <w:r w:rsidR="003713F1" w:rsidRPr="00515DC8">
        <w:rPr>
          <w:szCs w:val="22"/>
        </w:rPr>
        <w:t>Socio-economic status</w:t>
      </w:r>
      <w:r w:rsidR="00A16926" w:rsidRPr="00515DC8">
        <w:rPr>
          <w:szCs w:val="22"/>
        </w:rPr>
        <w:t xml:space="preserve"> had limited influence on student performance, suggesting that the Open University widening access policy was supporting the widening of access.</w:t>
      </w:r>
      <w:r w:rsidR="00B668F8" w:rsidRPr="00515DC8">
        <w:rPr>
          <w:szCs w:val="22"/>
        </w:rPr>
        <w:t xml:space="preserve"> </w:t>
      </w:r>
      <w:r w:rsidR="00FF4ED5" w:rsidRPr="00515DC8">
        <w:t xml:space="preserve"> </w:t>
      </w:r>
      <w:r w:rsidR="00C73F39" w:rsidRPr="00515DC8">
        <w:rPr>
          <w:szCs w:val="22"/>
        </w:rPr>
        <w:t>White stud</w:t>
      </w:r>
      <w:r w:rsidR="00462F2A">
        <w:rPr>
          <w:szCs w:val="22"/>
        </w:rPr>
        <w:t>ents from non-low SES who had A-</w:t>
      </w:r>
      <w:r w:rsidR="00C73F39" w:rsidRPr="00515DC8">
        <w:rPr>
          <w:szCs w:val="22"/>
        </w:rPr>
        <w:t>levels or equivalent prior to the start of their degree showed high attainments and highest grade increase in comparison to non-white students, and students from non-traditional background</w:t>
      </w:r>
      <w:r w:rsidR="00AA6B43" w:rsidRPr="00515DC8">
        <w:rPr>
          <w:szCs w:val="22"/>
        </w:rPr>
        <w:t>s.</w:t>
      </w:r>
    </w:p>
    <w:p w14:paraId="45D79FD7" w14:textId="6D6509D3" w:rsidR="00FC21EF" w:rsidRPr="00515DC8" w:rsidRDefault="00FC21EF" w:rsidP="00404D06">
      <w:pPr>
        <w:spacing w:line="480" w:lineRule="auto"/>
        <w:outlineLvl w:val="0"/>
        <w:rPr>
          <w:i/>
          <w:lang w:val="en-GB"/>
        </w:rPr>
      </w:pPr>
      <w:r w:rsidRPr="00515DC8">
        <w:rPr>
          <w:i/>
          <w:lang w:val="en-GB"/>
        </w:rPr>
        <w:t xml:space="preserve">Issue </w:t>
      </w:r>
      <w:r w:rsidR="00437A44" w:rsidRPr="00515DC8">
        <w:rPr>
          <w:i/>
          <w:lang w:val="en-GB"/>
        </w:rPr>
        <w:t>2</w:t>
      </w:r>
      <w:r w:rsidRPr="00515DC8">
        <w:rPr>
          <w:i/>
          <w:lang w:val="en-GB"/>
        </w:rPr>
        <w:t>: Alignment of why, what and how in measurement</w:t>
      </w:r>
    </w:p>
    <w:p w14:paraId="7C1BDB4F" w14:textId="44B406AB" w:rsidR="00FC21EF" w:rsidRPr="00515DC8" w:rsidRDefault="00FC21EF" w:rsidP="001B74D8">
      <w:pPr>
        <w:spacing w:line="480" w:lineRule="auto"/>
        <w:rPr>
          <w:lang w:val="en-GB"/>
        </w:rPr>
      </w:pPr>
      <w:r w:rsidRPr="00515DC8">
        <w:rPr>
          <w:i/>
          <w:lang w:val="en-GB"/>
        </w:rPr>
        <w:t>Normative measurement</w:t>
      </w:r>
      <w:r w:rsidRPr="00515DC8">
        <w:rPr>
          <w:lang w:val="en-GB"/>
        </w:rPr>
        <w:t xml:space="preserve"> (</w:t>
      </w:r>
      <w:r w:rsidR="007C58D8">
        <w:rPr>
          <w:lang w:val="en-GB"/>
        </w:rPr>
        <w:t xml:space="preserve">the </w:t>
      </w:r>
      <w:r w:rsidRPr="00515DC8">
        <w:rPr>
          <w:lang w:val="en-GB"/>
        </w:rPr>
        <w:t>measurement of a</w:t>
      </w:r>
      <w:r w:rsidR="00A31635" w:rsidRPr="00515DC8">
        <w:rPr>
          <w:lang w:val="en-GB"/>
        </w:rPr>
        <w:t>n individual’s performance relative to a</w:t>
      </w:r>
      <w:r w:rsidRPr="00515DC8">
        <w:rPr>
          <w:lang w:val="en-GB"/>
        </w:rPr>
        <w:t xml:space="preserve"> population or group), rather than ipsative testing (</w:t>
      </w:r>
      <w:r w:rsidR="00D26B8C" w:rsidRPr="00515DC8">
        <w:rPr>
          <w:lang w:val="en-GB"/>
        </w:rPr>
        <w:t xml:space="preserve">an </w:t>
      </w:r>
      <w:r w:rsidRPr="00515DC8">
        <w:rPr>
          <w:lang w:val="en-GB"/>
        </w:rPr>
        <w:t xml:space="preserve">individual’s marks relative to previous results and performance on other measures) is the </w:t>
      </w:r>
      <w:r w:rsidR="00462F2A">
        <w:rPr>
          <w:lang w:val="en-GB"/>
        </w:rPr>
        <w:t>best way to evaluate how people</w:t>
      </w:r>
      <w:r w:rsidRPr="00515DC8">
        <w:rPr>
          <w:lang w:val="en-GB"/>
        </w:rPr>
        <w:t xml:space="preserve"> or groups of people compare to one another.  This recommendation is addressed by </w:t>
      </w:r>
      <w:r w:rsidRPr="00515DC8">
        <w:rPr>
          <w:i/>
          <w:lang w:val="en-GB"/>
        </w:rPr>
        <w:t xml:space="preserve">Sands et al. </w:t>
      </w:r>
      <w:r w:rsidRPr="00515DC8">
        <w:rPr>
          <w:lang w:val="en-GB"/>
        </w:rPr>
        <w:t xml:space="preserve">(2018) in their concept inventory evaluation, and by </w:t>
      </w:r>
      <w:r w:rsidRPr="00515DC8">
        <w:rPr>
          <w:i/>
          <w:lang w:val="en-GB"/>
        </w:rPr>
        <w:t xml:space="preserve">Callaghan and Aloisi </w:t>
      </w:r>
      <w:r w:rsidRPr="00515DC8">
        <w:rPr>
          <w:lang w:val="en-GB"/>
        </w:rPr>
        <w:t xml:space="preserve">(2018) in their application of the </w:t>
      </w:r>
      <w:r w:rsidR="00561A87" w:rsidRPr="00515DC8">
        <w:rPr>
          <w:lang w:val="en-GB"/>
        </w:rPr>
        <w:t>CLA+</w:t>
      </w:r>
      <w:r w:rsidRPr="00515DC8">
        <w:rPr>
          <w:lang w:val="en-GB"/>
        </w:rPr>
        <w:t>. Such tests are complex to construct, however, and to be truly effective they require advanced analytical competencies such as Rasch modelling, which is</w:t>
      </w:r>
      <w:r w:rsidR="00296EA6" w:rsidRPr="00515DC8">
        <w:rPr>
          <w:lang w:val="en-GB"/>
        </w:rPr>
        <w:t xml:space="preserve"> possibly</w:t>
      </w:r>
      <w:r w:rsidRPr="00515DC8">
        <w:rPr>
          <w:lang w:val="en-GB"/>
        </w:rPr>
        <w:t xml:space="preserve"> the only genuine technique available for constructing measures in human sciences that equate with measurement in the physical sciences, providing interval-scale measurement, that if performed correctly will remain invariant across use (Bond &amp; Fox, 2015).   Such approaches would avoid the considerable validity and reliability weaknesses found elsewhere (</w:t>
      </w:r>
      <w:r w:rsidRPr="00515DC8">
        <w:rPr>
          <w:i/>
          <w:lang w:val="en-GB"/>
        </w:rPr>
        <w:t xml:space="preserve">Callaghan </w:t>
      </w:r>
      <w:r w:rsidR="0060750C" w:rsidRPr="00515DC8">
        <w:rPr>
          <w:i/>
          <w:lang w:val="en-GB"/>
        </w:rPr>
        <w:t>&amp;</w:t>
      </w:r>
      <w:r w:rsidRPr="00515DC8">
        <w:rPr>
          <w:i/>
          <w:lang w:val="en-GB"/>
        </w:rPr>
        <w:t xml:space="preserve"> Aloisi, 2018</w:t>
      </w:r>
      <w:r w:rsidRPr="00515DC8">
        <w:rPr>
          <w:lang w:val="en-GB"/>
        </w:rPr>
        <w:t>), but because they are designed to compare cohorts, the data is</w:t>
      </w:r>
      <w:r w:rsidR="00296EA6" w:rsidRPr="00515DC8">
        <w:rPr>
          <w:lang w:val="en-GB"/>
        </w:rPr>
        <w:t xml:space="preserve"> often</w:t>
      </w:r>
      <w:r w:rsidRPr="00515DC8">
        <w:rPr>
          <w:lang w:val="en-GB"/>
        </w:rPr>
        <w:t xml:space="preserve"> difficult to act upon.</w:t>
      </w:r>
    </w:p>
    <w:p w14:paraId="53B96E98" w14:textId="77777777" w:rsidR="00FC21EF" w:rsidRPr="00515DC8" w:rsidRDefault="00FC21EF" w:rsidP="001B74D8">
      <w:pPr>
        <w:spacing w:line="480" w:lineRule="auto"/>
        <w:rPr>
          <w:lang w:val="en-GB"/>
        </w:rPr>
      </w:pPr>
    </w:p>
    <w:p w14:paraId="0BD491AB" w14:textId="20CA4FB9" w:rsidR="00FC21EF" w:rsidRPr="00515DC8" w:rsidRDefault="005B20AF" w:rsidP="001B74D8">
      <w:pPr>
        <w:spacing w:line="480" w:lineRule="auto"/>
        <w:rPr>
          <w:lang w:val="en-GB"/>
        </w:rPr>
      </w:pPr>
      <w:r w:rsidRPr="00515DC8">
        <w:rPr>
          <w:i/>
          <w:lang w:val="en-GB"/>
        </w:rPr>
        <w:t>M</w:t>
      </w:r>
      <w:r w:rsidR="00FC21EF" w:rsidRPr="00515DC8">
        <w:rPr>
          <w:i/>
          <w:lang w:val="en-GB"/>
        </w:rPr>
        <w:t>easurement</w:t>
      </w:r>
      <w:r w:rsidR="00FC21EF" w:rsidRPr="00515DC8">
        <w:rPr>
          <w:lang w:val="en-GB"/>
        </w:rPr>
        <w:t xml:space="preserve"> whereby current individual </w:t>
      </w:r>
      <w:r w:rsidR="00296EA6" w:rsidRPr="00515DC8">
        <w:rPr>
          <w:lang w:val="en-GB"/>
        </w:rPr>
        <w:t>preferences</w:t>
      </w:r>
      <w:r w:rsidR="0015386E" w:rsidRPr="00515DC8">
        <w:rPr>
          <w:lang w:val="en-GB"/>
        </w:rPr>
        <w:t xml:space="preserve"> or performance is</w:t>
      </w:r>
      <w:r w:rsidR="00FC21EF" w:rsidRPr="00515DC8">
        <w:rPr>
          <w:lang w:val="en-GB"/>
        </w:rPr>
        <w:t xml:space="preserve"> compared against prior </w:t>
      </w:r>
      <w:r w:rsidR="0015386E" w:rsidRPr="00515DC8">
        <w:rPr>
          <w:lang w:val="en-GB"/>
        </w:rPr>
        <w:t>preferences/</w:t>
      </w:r>
      <w:r w:rsidR="00FC21EF" w:rsidRPr="00515DC8">
        <w:rPr>
          <w:lang w:val="en-GB"/>
        </w:rPr>
        <w:t>performance often includes results between two or three individual assessments, and com</w:t>
      </w:r>
      <w:r w:rsidR="00772F0A" w:rsidRPr="00515DC8">
        <w:rPr>
          <w:lang w:val="en-GB"/>
        </w:rPr>
        <w:t xml:space="preserve">monly </w:t>
      </w:r>
      <w:r w:rsidR="00B54A8D" w:rsidRPr="00515DC8">
        <w:t>by using</w:t>
      </w:r>
      <w:r w:rsidR="00772F0A" w:rsidRPr="00515DC8">
        <w:rPr>
          <w:lang w:val="en-GB"/>
        </w:rPr>
        <w:t xml:space="preserve"> Likert</w:t>
      </w:r>
      <w:r w:rsidR="00FC21EF" w:rsidRPr="00515DC8">
        <w:rPr>
          <w:lang w:val="en-GB"/>
        </w:rPr>
        <w:t xml:space="preserve"> forced choice measurement. Examples from the HEFCE/OfS projects include the measurement of academic self-efficacy, mindset, student self-assessment, confidence, academic career skills,</w:t>
      </w:r>
      <w:r w:rsidR="00561A87" w:rsidRPr="00515DC8">
        <w:rPr>
          <w:lang w:val="en-GB"/>
        </w:rPr>
        <w:t xml:space="preserve"> and</w:t>
      </w:r>
      <w:r w:rsidR="00FC21EF" w:rsidRPr="00515DC8">
        <w:rPr>
          <w:lang w:val="en-GB"/>
        </w:rPr>
        <w:t xml:space="preserve"> situational judgement, (see</w:t>
      </w:r>
      <w:r w:rsidR="00462F2A">
        <w:rPr>
          <w:lang w:val="en-GB"/>
        </w:rPr>
        <w:t>,</w:t>
      </w:r>
      <w:r w:rsidR="00FC21EF" w:rsidRPr="00515DC8">
        <w:rPr>
          <w:lang w:val="en-GB"/>
        </w:rPr>
        <w:t xml:space="preserve"> for example</w:t>
      </w:r>
      <w:r w:rsidR="0015386E" w:rsidRPr="00515DC8">
        <w:rPr>
          <w:lang w:val="en-GB"/>
        </w:rPr>
        <w:t>,</w:t>
      </w:r>
      <w:r w:rsidR="00FC21EF" w:rsidRPr="00515DC8">
        <w:rPr>
          <w:lang w:val="en-GB"/>
        </w:rPr>
        <w:t xml:space="preserve"> </w:t>
      </w:r>
      <w:r w:rsidR="00FC21EF" w:rsidRPr="00515DC8">
        <w:rPr>
          <w:i/>
          <w:lang w:val="en-GB"/>
        </w:rPr>
        <w:t>Forsythe &amp; Jellicoe;</w:t>
      </w:r>
      <w:r w:rsidR="00FC21EF" w:rsidRPr="00515DC8">
        <w:rPr>
          <w:lang w:val="en-GB"/>
        </w:rPr>
        <w:t xml:space="preserve"> </w:t>
      </w:r>
      <w:r w:rsidR="00FC21EF" w:rsidRPr="00515DC8">
        <w:rPr>
          <w:i/>
          <w:lang w:val="en-GB"/>
        </w:rPr>
        <w:t>Neves &amp; Stoakes; Speight et al.; Ylonen et al., 2018</w:t>
      </w:r>
      <w:r w:rsidR="00FC21EF" w:rsidRPr="00515DC8">
        <w:rPr>
          <w:lang w:val="en-GB"/>
        </w:rPr>
        <w:t>).</w:t>
      </w:r>
      <w:r w:rsidR="0015386E" w:rsidRPr="00515DC8">
        <w:rPr>
          <w:lang w:val="en-GB"/>
        </w:rPr>
        <w:t xml:space="preserve"> </w:t>
      </w:r>
      <w:r w:rsidR="00FC21EF" w:rsidRPr="00515DC8">
        <w:rPr>
          <w:lang w:val="en-GB"/>
        </w:rPr>
        <w:t xml:space="preserve">The aim of such scales is to show the relative position of someone on the scales relative to another, but some items are just easier to say </w:t>
      </w:r>
      <w:r w:rsidR="00FC21EF" w:rsidRPr="00515DC8">
        <w:rPr>
          <w:i/>
          <w:lang w:val="en-GB"/>
        </w:rPr>
        <w:t>yes</w:t>
      </w:r>
      <w:r w:rsidR="00FC21EF" w:rsidRPr="00515DC8">
        <w:rPr>
          <w:lang w:val="en-GB"/>
        </w:rPr>
        <w:t xml:space="preserve"> to, more-or-less valued, best or better, and </w:t>
      </w:r>
      <w:r w:rsidR="00FC21EF" w:rsidRPr="00515DC8">
        <w:rPr>
          <w:i/>
          <w:lang w:val="en-GB"/>
        </w:rPr>
        <w:t>Forsythe &amp; Jellicoe</w:t>
      </w:r>
      <w:r w:rsidR="00561A87" w:rsidRPr="00515DC8">
        <w:rPr>
          <w:i/>
          <w:lang w:val="en-GB"/>
        </w:rPr>
        <w:t>, 2018</w:t>
      </w:r>
      <w:r w:rsidR="00FC21EF" w:rsidRPr="00515DC8">
        <w:rPr>
          <w:lang w:val="en-GB"/>
        </w:rPr>
        <w:t xml:space="preserve"> demonstrate this challenge in practice with their analysis of concurrent and ipsative mindsets. Ipsative measurement</w:t>
      </w:r>
      <w:r w:rsidR="00561A87" w:rsidRPr="00515DC8">
        <w:rPr>
          <w:lang w:val="en-GB"/>
        </w:rPr>
        <w:t>,</w:t>
      </w:r>
      <w:r w:rsidR="00FC21EF" w:rsidRPr="00515DC8">
        <w:rPr>
          <w:lang w:val="en-GB"/>
        </w:rPr>
        <w:t xml:space="preserve"> while capturing students’ stronger characteristics and weaknesses, says very little about how someone will compare against someone else with the same results. One student might have critical thinking as their strongest attribute, but still perform much worse than a student whose strength is analytical competence. Any measure of learning gain based on the nuances of student learning and exp</w:t>
      </w:r>
      <w:r w:rsidR="00462F2A">
        <w:rPr>
          <w:lang w:val="en-GB"/>
        </w:rPr>
        <w:t>erience in any given university</w:t>
      </w:r>
      <w:r w:rsidR="00FC21EF" w:rsidRPr="00515DC8">
        <w:rPr>
          <w:lang w:val="en-GB"/>
        </w:rPr>
        <w:t xml:space="preserve"> would tell us very little about how students would stack up against others in their cohort, nor would it tell us much about the performance of one university against another. Where such scales are useful, however, is that they are measures that can be acted upon, giving academics tailored advice about how to help students.   </w:t>
      </w:r>
    </w:p>
    <w:p w14:paraId="74E4F56E" w14:textId="77777777" w:rsidR="00FC21EF" w:rsidRPr="00515DC8" w:rsidRDefault="00FC21EF" w:rsidP="001B74D8">
      <w:pPr>
        <w:spacing w:line="480" w:lineRule="auto"/>
        <w:rPr>
          <w:lang w:val="en-GB"/>
        </w:rPr>
      </w:pPr>
    </w:p>
    <w:p w14:paraId="0EA87287" w14:textId="48C828A9" w:rsidR="00FC21EF" w:rsidRPr="00515DC8" w:rsidRDefault="00FC21EF" w:rsidP="00404D06">
      <w:pPr>
        <w:spacing w:line="480" w:lineRule="auto"/>
        <w:outlineLvl w:val="0"/>
        <w:rPr>
          <w:i/>
          <w:lang w:val="en-GB"/>
        </w:rPr>
      </w:pPr>
      <w:r w:rsidRPr="00515DC8">
        <w:rPr>
          <w:i/>
          <w:lang w:val="en-GB"/>
        </w:rPr>
        <w:t xml:space="preserve">Issue </w:t>
      </w:r>
      <w:r w:rsidR="00437A44" w:rsidRPr="00515DC8">
        <w:rPr>
          <w:i/>
          <w:lang w:val="en-GB"/>
        </w:rPr>
        <w:t>3</w:t>
      </w:r>
      <w:r w:rsidRPr="00515DC8">
        <w:rPr>
          <w:i/>
          <w:lang w:val="en-GB"/>
        </w:rPr>
        <w:t xml:space="preserve">: The need for transparency </w:t>
      </w:r>
    </w:p>
    <w:p w14:paraId="0CDB57D6" w14:textId="77777777" w:rsidR="00515DC8" w:rsidRPr="00515DC8" w:rsidRDefault="00FC21EF" w:rsidP="00515DC8">
      <w:pPr>
        <w:spacing w:line="480" w:lineRule="auto"/>
        <w:rPr>
          <w:lang w:val="en-GB"/>
        </w:rPr>
      </w:pPr>
      <w:r w:rsidRPr="00515DC8">
        <w:rPr>
          <w:lang w:val="en-GB"/>
        </w:rPr>
        <w:t xml:space="preserve">Transparency is critical in educational research because it underpins the assumptions of our most important analytical tests: explicitness is not a principle that can be applied flexibly. The countless measurement tools available in the potential diagnosis and measurement of learning gain risks the creation of a naive expectation that somehow, we are applying the best measurement principles. Not enough time is often spent scrutinising and being explicit about the measurement process and the nature of the data. Bond &amp; Fox (2015) argue that the Social Sciences have adopted a kind of ‘pragmatic sanction’ to explicitness in their data because it leads to more fruitful results.  </w:t>
      </w:r>
      <w:r w:rsidR="00B54A8D" w:rsidRPr="00515DC8">
        <w:t>Several</w:t>
      </w:r>
      <w:r w:rsidRPr="00515DC8">
        <w:rPr>
          <w:lang w:val="en-GB"/>
        </w:rPr>
        <w:t xml:space="preserve"> issues are</w:t>
      </w:r>
      <w:r w:rsidR="00D71ADD" w:rsidRPr="00515DC8">
        <w:rPr>
          <w:lang w:val="en-GB"/>
        </w:rPr>
        <w:t xml:space="preserve"> evident within the literature:</w:t>
      </w:r>
    </w:p>
    <w:p w14:paraId="4EE33865" w14:textId="77777777" w:rsidR="001A532A" w:rsidRPr="00515DC8" w:rsidRDefault="001A532A" w:rsidP="00515DC8">
      <w:pPr>
        <w:spacing w:line="480" w:lineRule="auto"/>
        <w:rPr>
          <w:lang w:val="en-GB"/>
        </w:rPr>
      </w:pPr>
    </w:p>
    <w:p w14:paraId="2E25B58C" w14:textId="7C3B762C" w:rsidR="00CD4647" w:rsidRDefault="00FC21EF" w:rsidP="00515DC8">
      <w:pPr>
        <w:spacing w:line="480" w:lineRule="auto"/>
        <w:rPr>
          <w:lang w:val="en-GB"/>
        </w:rPr>
      </w:pPr>
      <w:r w:rsidRPr="00515DC8">
        <w:rPr>
          <w:i/>
          <w:lang w:val="en-GB"/>
        </w:rPr>
        <w:t>Internal consistency (reliability):</w:t>
      </w:r>
      <w:r w:rsidRPr="00515DC8">
        <w:rPr>
          <w:lang w:val="en-GB"/>
        </w:rPr>
        <w:t xml:space="preserve"> </w:t>
      </w:r>
      <w:r w:rsidR="0084509F">
        <w:rPr>
          <w:lang w:val="en-GB"/>
        </w:rPr>
        <w:t xml:space="preserve"> </w:t>
      </w:r>
      <w:r w:rsidRPr="00515DC8">
        <w:rPr>
          <w:lang w:val="en-GB"/>
        </w:rPr>
        <w:t xml:space="preserve">This measure </w:t>
      </w:r>
      <w:r w:rsidR="003D4DA4">
        <w:rPr>
          <w:lang w:val="en-GB"/>
        </w:rPr>
        <w:t xml:space="preserve">is the unseen property which </w:t>
      </w:r>
      <w:r w:rsidR="00847F20">
        <w:rPr>
          <w:lang w:val="en-GB"/>
        </w:rPr>
        <w:t>estimates</w:t>
      </w:r>
      <w:r w:rsidR="007324DF">
        <w:rPr>
          <w:lang w:val="en-GB"/>
        </w:rPr>
        <w:t xml:space="preserve"> </w:t>
      </w:r>
      <w:r w:rsidR="009F5E4A">
        <w:rPr>
          <w:lang w:val="en-GB"/>
        </w:rPr>
        <w:t>the</w:t>
      </w:r>
      <w:r w:rsidR="00D528D5">
        <w:rPr>
          <w:lang w:val="en-GB"/>
        </w:rPr>
        <w:t xml:space="preserve"> precision of scale scores.  This is the</w:t>
      </w:r>
      <w:r w:rsidR="009F5E4A">
        <w:rPr>
          <w:lang w:val="en-GB"/>
        </w:rPr>
        <w:t xml:space="preserve"> true score that a researcher would detect if the scale of interest was perfectly precise and unaffected </w:t>
      </w:r>
      <w:r w:rsidR="00660D73">
        <w:rPr>
          <w:lang w:val="en-GB"/>
        </w:rPr>
        <w:t xml:space="preserve">by measurement error.  </w:t>
      </w:r>
      <w:r w:rsidR="00D528D5">
        <w:rPr>
          <w:lang w:val="en-GB"/>
        </w:rPr>
        <w:t xml:space="preserve"> </w:t>
      </w:r>
      <w:r w:rsidR="00660D73">
        <w:rPr>
          <w:lang w:val="en-GB"/>
        </w:rPr>
        <w:t>Measurement error inhibits the researcher’s ability to obtain accurate measurements of participants</w:t>
      </w:r>
      <w:r w:rsidR="00D528D5">
        <w:rPr>
          <w:lang w:val="en-GB"/>
        </w:rPr>
        <w:t>’</w:t>
      </w:r>
      <w:r w:rsidR="00660D73">
        <w:rPr>
          <w:lang w:val="en-GB"/>
        </w:rPr>
        <w:t xml:space="preserve"> true scores. </w:t>
      </w:r>
      <w:r w:rsidR="00CD4647">
        <w:rPr>
          <w:lang w:val="en-GB"/>
        </w:rPr>
        <w:t xml:space="preserve"> </w:t>
      </w:r>
      <w:r w:rsidR="00665833" w:rsidRPr="00515DC8">
        <w:rPr>
          <w:lang w:val="en-GB"/>
        </w:rPr>
        <w:t xml:space="preserve">A test cannot be </w:t>
      </w:r>
      <w:r w:rsidR="00665833">
        <w:rPr>
          <w:lang w:val="en-GB"/>
        </w:rPr>
        <w:t>‘</w:t>
      </w:r>
      <w:r w:rsidR="00665833" w:rsidRPr="00515DC8">
        <w:rPr>
          <w:lang w:val="en-GB"/>
        </w:rPr>
        <w:t>reliable</w:t>
      </w:r>
      <w:r w:rsidR="00665833">
        <w:rPr>
          <w:lang w:val="en-GB"/>
        </w:rPr>
        <w:t>’</w:t>
      </w:r>
      <w:r w:rsidR="00665833" w:rsidRPr="00515DC8">
        <w:rPr>
          <w:lang w:val="en-GB"/>
        </w:rPr>
        <w:t xml:space="preserve"> or </w:t>
      </w:r>
      <w:r w:rsidR="00665833">
        <w:rPr>
          <w:lang w:val="en-GB"/>
        </w:rPr>
        <w:t>‘</w:t>
      </w:r>
      <w:r w:rsidR="00665833" w:rsidRPr="00515DC8">
        <w:rPr>
          <w:lang w:val="en-GB"/>
        </w:rPr>
        <w:t>unreliable</w:t>
      </w:r>
      <w:r w:rsidR="00665833">
        <w:rPr>
          <w:lang w:val="en-GB"/>
        </w:rPr>
        <w:t xml:space="preserve">’ because it </w:t>
      </w:r>
      <w:r w:rsidR="00665833" w:rsidRPr="00515DC8">
        <w:rPr>
          <w:lang w:val="en-GB"/>
        </w:rPr>
        <w:t>the test scores for a specific population that determine reliability</w:t>
      </w:r>
      <w:r w:rsidR="00665833">
        <w:rPr>
          <w:lang w:val="en-GB"/>
        </w:rPr>
        <w:t xml:space="preserve"> and not the test itself</w:t>
      </w:r>
      <w:r w:rsidR="007E6AB5">
        <w:rPr>
          <w:lang w:val="en-GB"/>
        </w:rPr>
        <w:t xml:space="preserve">, </w:t>
      </w:r>
      <w:r w:rsidR="00665833">
        <w:rPr>
          <w:lang w:val="en-GB"/>
        </w:rPr>
        <w:t>o</w:t>
      </w:r>
      <w:r w:rsidR="00665833" w:rsidRPr="00515DC8">
        <w:rPr>
          <w:lang w:val="en-GB"/>
        </w:rPr>
        <w:t>ne test administration could result in strong reliability and another not.</w:t>
      </w:r>
      <w:r w:rsidR="007E6AB5">
        <w:rPr>
          <w:lang w:val="en-GB"/>
        </w:rPr>
        <w:t xml:space="preserve">  </w:t>
      </w:r>
      <w:r w:rsidR="00CD4647">
        <w:rPr>
          <w:lang w:val="en-GB"/>
        </w:rPr>
        <w:t xml:space="preserve"> </w:t>
      </w:r>
      <w:r w:rsidR="006D2247">
        <w:rPr>
          <w:lang w:val="en-GB"/>
        </w:rPr>
        <w:t>For example, t</w:t>
      </w:r>
      <w:r w:rsidR="006D2247" w:rsidRPr="00515DC8">
        <w:rPr>
          <w:lang w:val="en-GB"/>
        </w:rPr>
        <w:t>he most widely reported measure</w:t>
      </w:r>
      <w:r w:rsidR="006D2247">
        <w:rPr>
          <w:lang w:val="en-GB"/>
        </w:rPr>
        <w:t xml:space="preserve"> of measurement reliability </w:t>
      </w:r>
      <w:r w:rsidR="006D2247" w:rsidRPr="00515DC8">
        <w:rPr>
          <w:lang w:val="en-GB"/>
        </w:rPr>
        <w:t xml:space="preserve">is to inspect the relationship between each test item and all the other items on a scale using the </w:t>
      </w:r>
      <w:r w:rsidR="006D2247">
        <w:rPr>
          <w:lang w:val="en-GB"/>
        </w:rPr>
        <w:t xml:space="preserve">item-level internal consistency approach, </w:t>
      </w:r>
      <w:r w:rsidR="006D2247" w:rsidRPr="00515DC8">
        <w:rPr>
          <w:lang w:val="en-GB"/>
        </w:rPr>
        <w:t xml:space="preserve">Cronbach’s alpha (Cronbach, 1951), where a high alpha supposedly translates as a reliable scale. </w:t>
      </w:r>
      <w:r w:rsidR="006D2247" w:rsidRPr="00515DC8">
        <w:t xml:space="preserve"> </w:t>
      </w:r>
      <w:r w:rsidR="006D2247">
        <w:t xml:space="preserve">Cronbach is widely used as </w:t>
      </w:r>
      <w:r w:rsidR="006D2247" w:rsidRPr="00B24FA0">
        <w:rPr>
          <w:i/>
        </w:rPr>
        <w:t>the</w:t>
      </w:r>
      <w:r w:rsidR="006D2247">
        <w:t xml:space="preserve"> measure of reliability, but it only captures one component of reliability, there are many others</w:t>
      </w:r>
      <w:r w:rsidR="00BE7741">
        <w:t>,</w:t>
      </w:r>
      <w:r w:rsidR="006D2247">
        <w:t xml:space="preserve"> and it depends on the sources of variance that are considered to be relevant (Cortina, 1993).</w:t>
      </w:r>
      <w:r w:rsidR="006D2247">
        <w:rPr>
          <w:lang w:val="en-GB"/>
        </w:rPr>
        <w:t xml:space="preserve"> With alpha,</w:t>
      </w:r>
      <w:r w:rsidR="008C5F1B">
        <w:rPr>
          <w:lang w:val="en-GB"/>
        </w:rPr>
        <w:t xml:space="preserve"> longer scales are known to be more reliable but they may also </w:t>
      </w:r>
      <w:r w:rsidR="008C5F1B" w:rsidRPr="00515DC8">
        <w:rPr>
          <w:szCs w:val="22"/>
        </w:rPr>
        <w:t xml:space="preserve">have higher error rates </w:t>
      </w:r>
      <w:r w:rsidR="008C5F1B" w:rsidRPr="00515DC8">
        <w:t xml:space="preserve">because </w:t>
      </w:r>
      <w:r w:rsidR="008C5F1B">
        <w:t>participants may become disengaged</w:t>
      </w:r>
      <w:r w:rsidR="008C5F1B" w:rsidRPr="00515DC8">
        <w:t xml:space="preserve"> and </w:t>
      </w:r>
      <w:r w:rsidR="008C5F1B">
        <w:t xml:space="preserve">fail to </w:t>
      </w:r>
      <w:r w:rsidR="008C5F1B" w:rsidRPr="00515DC8">
        <w:t xml:space="preserve">complete the test properly.   </w:t>
      </w:r>
      <w:r w:rsidR="008C5F1B">
        <w:t>With a</w:t>
      </w:r>
      <w:r w:rsidR="008C5F1B" w:rsidRPr="00515DC8">
        <w:t xml:space="preserve"> shorter test </w:t>
      </w:r>
      <w:r w:rsidR="008C5F1B">
        <w:t>accuracy may be improved,</w:t>
      </w:r>
      <w:r w:rsidR="008C5F1B" w:rsidRPr="00515DC8">
        <w:t xml:space="preserve"> but the </w:t>
      </w:r>
      <w:r w:rsidR="008C5F1B">
        <w:t xml:space="preserve">internal consistency estimates may be lower.  </w:t>
      </w:r>
      <w:r w:rsidR="008C5F1B">
        <w:rPr>
          <w:rFonts w:ascii="Times" w:hAnsi="Times" w:cs="Times"/>
        </w:rPr>
        <w:t xml:space="preserve">Therefore, investigators should not rely on published alpha estimates and should measure alpha each time the test is administered. </w:t>
      </w:r>
    </w:p>
    <w:p w14:paraId="29FEFF5E" w14:textId="77777777" w:rsidR="00D528D5" w:rsidRPr="00CD4647" w:rsidRDefault="00D528D5" w:rsidP="00515DC8">
      <w:pPr>
        <w:spacing w:line="480" w:lineRule="auto"/>
        <w:rPr>
          <w:lang w:val="en-GB"/>
        </w:rPr>
      </w:pPr>
    </w:p>
    <w:p w14:paraId="27640A5F" w14:textId="42C9A44E" w:rsidR="007E6AB5" w:rsidRPr="007E6AB5" w:rsidRDefault="006D2247" w:rsidP="00515DC8">
      <w:pPr>
        <w:spacing w:line="480" w:lineRule="auto"/>
        <w:rPr>
          <w:iCs/>
          <w:lang w:val="en-GB"/>
        </w:rPr>
      </w:pPr>
      <w:r>
        <w:rPr>
          <w:lang w:val="en-GB"/>
        </w:rPr>
        <w:t>Again, with alpha</w:t>
      </w:r>
      <w:r w:rsidR="00462F2A">
        <w:rPr>
          <w:lang w:val="en-GB"/>
        </w:rPr>
        <w:t>,</w:t>
      </w:r>
      <w:r w:rsidR="00FC21EF" w:rsidRPr="00515DC8">
        <w:rPr>
          <w:lang w:val="en-GB"/>
        </w:rPr>
        <w:t xml:space="preserve"> it does not automatically follow that because all test items are functioning well together (indicated by a high alpha), that the test is</w:t>
      </w:r>
      <w:r w:rsidR="00462F2A">
        <w:rPr>
          <w:lang w:val="en-GB"/>
        </w:rPr>
        <w:t>,</w:t>
      </w:r>
      <w:r w:rsidR="00FC21EF" w:rsidRPr="00515DC8">
        <w:rPr>
          <w:lang w:val="en-GB"/>
        </w:rPr>
        <w:t xml:space="preserve"> in fact</w:t>
      </w:r>
      <w:r w:rsidR="00462F2A">
        <w:rPr>
          <w:lang w:val="en-GB"/>
        </w:rPr>
        <w:t>,</w:t>
      </w:r>
      <w:r w:rsidR="00FC21EF" w:rsidRPr="00515DC8">
        <w:rPr>
          <w:lang w:val="en-GB"/>
        </w:rPr>
        <w:t xml:space="preserve"> measuring </w:t>
      </w:r>
      <w:r w:rsidR="00C518EB">
        <w:rPr>
          <w:lang w:val="en-GB"/>
        </w:rPr>
        <w:t xml:space="preserve">a unidimensional construct </w:t>
      </w:r>
      <w:r w:rsidR="00FC21EF" w:rsidRPr="00515DC8">
        <w:rPr>
          <w:lang w:val="en-GB"/>
        </w:rPr>
        <w:t xml:space="preserve">and that the trait is somehow valid.  This is </w:t>
      </w:r>
      <w:r w:rsidR="00FC21EF" w:rsidRPr="002C13E2">
        <w:rPr>
          <w:lang w:val="en-GB"/>
        </w:rPr>
        <w:t>a question of</w:t>
      </w:r>
      <w:r w:rsidR="00FC21EF" w:rsidRPr="002C13E2">
        <w:rPr>
          <w:i/>
          <w:lang w:val="en-GB"/>
        </w:rPr>
        <w:t xml:space="preserve"> validity</w:t>
      </w:r>
      <w:r w:rsidR="00FC21EF" w:rsidRPr="00515DC8">
        <w:rPr>
          <w:lang w:val="en-GB"/>
        </w:rPr>
        <w:t>, not r</w:t>
      </w:r>
      <w:r w:rsidR="00FC21EF" w:rsidRPr="002C13E2">
        <w:rPr>
          <w:i/>
          <w:lang w:val="en-GB"/>
        </w:rPr>
        <w:t>eliability</w:t>
      </w:r>
      <w:r w:rsidR="00FC21EF" w:rsidRPr="00515DC8">
        <w:rPr>
          <w:lang w:val="en-GB"/>
        </w:rPr>
        <w:t xml:space="preserve">, but often this is taken for granted, even when the soundness of the construct has not been considered at </w:t>
      </w:r>
      <w:r w:rsidR="00FC21EF" w:rsidRPr="00515DC8">
        <w:rPr>
          <w:szCs w:val="22"/>
          <w:lang w:val="en-GB"/>
        </w:rPr>
        <w:t xml:space="preserve">all (Sijtsma, 2009). </w:t>
      </w:r>
      <w:r w:rsidR="00B54A8D" w:rsidRPr="00515DC8">
        <w:rPr>
          <w:szCs w:val="22"/>
        </w:rPr>
        <w:t xml:space="preserve"> </w:t>
      </w:r>
      <w:r w:rsidR="00FC21EF" w:rsidRPr="00515DC8">
        <w:rPr>
          <w:szCs w:val="22"/>
          <w:lang w:val="en-GB"/>
        </w:rPr>
        <w:t>Nor does a low alpha necessarily indicate a problematic test</w:t>
      </w:r>
      <w:r w:rsidR="00931091" w:rsidRPr="00515DC8">
        <w:rPr>
          <w:szCs w:val="22"/>
          <w:lang w:val="en-GB"/>
        </w:rPr>
        <w:t>.</w:t>
      </w:r>
      <w:r w:rsidR="00515DC8" w:rsidRPr="00515DC8">
        <w:rPr>
          <w:szCs w:val="22"/>
        </w:rPr>
        <w:t xml:space="preserve">  </w:t>
      </w:r>
      <w:r w:rsidR="007E6AB5">
        <w:rPr>
          <w:iCs/>
          <w:lang w:val="en-GB"/>
        </w:rPr>
        <w:t>For example, a</w:t>
      </w:r>
      <w:r w:rsidR="007E6AB5" w:rsidRPr="00515DC8">
        <w:rPr>
          <w:iCs/>
          <w:lang w:val="en-GB"/>
        </w:rPr>
        <w:t xml:space="preserve">s a broad construct, learning gain will encompass growth, change and sometimes failure. </w:t>
      </w:r>
      <w:r w:rsidR="007E6AB5">
        <w:rPr>
          <w:iCs/>
          <w:lang w:val="en-GB"/>
        </w:rPr>
        <w:t xml:space="preserve"> </w:t>
      </w:r>
      <w:r w:rsidR="007E6AB5">
        <w:t>In this case, l</w:t>
      </w:r>
      <w:r w:rsidR="007E6AB5" w:rsidRPr="00515DC8">
        <w:t xml:space="preserve">ower internal consistency is better for </w:t>
      </w:r>
      <w:r w:rsidR="007E6AB5" w:rsidRPr="002C13E2">
        <w:rPr>
          <w:i/>
        </w:rPr>
        <w:t>validity</w:t>
      </w:r>
      <w:r w:rsidR="007E6AB5" w:rsidRPr="00515DC8">
        <w:t xml:space="preserve"> because it maximizes the breadth of the domain that is being measured.  Learning gain is likely to be a broad </w:t>
      </w:r>
      <w:r w:rsidR="00462F2A" w:rsidRPr="00515DC8">
        <w:t>construct</w:t>
      </w:r>
      <w:r w:rsidR="00462F2A">
        <w:t>;</w:t>
      </w:r>
      <w:r w:rsidR="007E6AB5" w:rsidRPr="00515DC8">
        <w:t xml:space="preserve"> therefore</w:t>
      </w:r>
      <w:r w:rsidR="00462F2A">
        <w:t>,</w:t>
      </w:r>
      <w:r w:rsidR="007E6AB5" w:rsidRPr="00515DC8">
        <w:t xml:space="preserve"> it does not follow that high internal consistency makes a good test of learning gains.</w:t>
      </w:r>
    </w:p>
    <w:p w14:paraId="4426CD86" w14:textId="77777777" w:rsidR="00515DC8" w:rsidRPr="00515DC8" w:rsidRDefault="00515DC8" w:rsidP="00515DC8">
      <w:pPr>
        <w:spacing w:line="480" w:lineRule="auto"/>
        <w:rPr>
          <w:lang w:val="en-GB"/>
        </w:rPr>
      </w:pPr>
    </w:p>
    <w:p w14:paraId="47C434C7" w14:textId="10316867" w:rsidR="00665833" w:rsidRDefault="00FC21EF" w:rsidP="00515DC8">
      <w:pPr>
        <w:spacing w:line="480" w:lineRule="auto"/>
        <w:rPr>
          <w:iCs/>
          <w:lang w:val="en-GB"/>
        </w:rPr>
      </w:pPr>
      <w:r w:rsidRPr="00515DC8">
        <w:rPr>
          <w:i/>
          <w:lang w:val="en-GB"/>
        </w:rPr>
        <w:t>Tau equivalence</w:t>
      </w:r>
      <w:r w:rsidRPr="00515DC8">
        <w:rPr>
          <w:lang w:val="en-GB"/>
        </w:rPr>
        <w:t xml:space="preserve"> is worth a consideration to learning gains because tau gets to the heart of whether we define learning g</w:t>
      </w:r>
      <w:r w:rsidR="00462F2A">
        <w:rPr>
          <w:lang w:val="en-GB"/>
        </w:rPr>
        <w:t>ains as a broad or narrow, open-</w:t>
      </w:r>
      <w:r w:rsidRPr="00515DC8">
        <w:rPr>
          <w:lang w:val="en-GB"/>
        </w:rPr>
        <w:t>ended</w:t>
      </w:r>
      <w:r w:rsidR="00BE7741">
        <w:rPr>
          <w:lang w:val="en-GB"/>
        </w:rPr>
        <w:t>,</w:t>
      </w:r>
      <w:r w:rsidRPr="00515DC8">
        <w:rPr>
          <w:lang w:val="en-GB"/>
        </w:rPr>
        <w:t xml:space="preserve"> or closed construct.  Tau equivalence means that each item on a scale contributes </w:t>
      </w:r>
      <w:r w:rsidRPr="00515DC8">
        <w:rPr>
          <w:i/>
          <w:iCs/>
          <w:lang w:val="en-GB"/>
        </w:rPr>
        <w:t xml:space="preserve">equally </w:t>
      </w:r>
      <w:r w:rsidRPr="00515DC8">
        <w:rPr>
          <w:lang w:val="en-GB"/>
        </w:rPr>
        <w:t>to the total scale score.  This is difficult to achieve in empirical research because some items will more strongly re</w:t>
      </w:r>
      <w:r w:rsidR="00163B69" w:rsidRPr="00515DC8">
        <w:rPr>
          <w:lang w:val="en-GB"/>
        </w:rPr>
        <w:t xml:space="preserve">late to a given construct while </w:t>
      </w:r>
      <w:r w:rsidRPr="00515DC8">
        <w:rPr>
          <w:lang w:val="en-GB"/>
        </w:rPr>
        <w:t xml:space="preserve">others are more weakly related.   Some researchers will get around this issue by removing test items that are operating to reduce the overall alpha value.  This step is perhaps not necessary when measuring learning gain as a broad construct but leaving them in situ violates the assumptions of alpha, and researchers seek to report a high alpha and thus demonstrate the reliability of their study.  Cattell </w:t>
      </w:r>
      <w:r w:rsidR="00561A87" w:rsidRPr="00515DC8">
        <w:rPr>
          <w:lang w:val="en-GB"/>
        </w:rPr>
        <w:t xml:space="preserve">(1972) </w:t>
      </w:r>
      <w:r w:rsidRPr="00515DC8">
        <w:rPr>
          <w:lang w:val="en-GB"/>
        </w:rPr>
        <w:t>was a passionate advocate for the argument that measurement tools should be created to capture a breadth of examples that could t</w:t>
      </w:r>
      <w:r w:rsidR="00A03FF0" w:rsidRPr="00515DC8">
        <w:rPr>
          <w:lang w:val="en-GB"/>
        </w:rPr>
        <w:t>ap into a construct of interest</w:t>
      </w:r>
      <w:r w:rsidRPr="00515DC8">
        <w:rPr>
          <w:lang w:val="en-GB"/>
        </w:rPr>
        <w:t xml:space="preserve"> and was critical of the fact that through an obsession with reliability and internal consistency, researchers were removing test items unnecessarily.  </w:t>
      </w:r>
      <w:r w:rsidRPr="004641AF">
        <w:rPr>
          <w:i/>
          <w:lang w:val="en-GB"/>
        </w:rPr>
        <w:t>‘</w:t>
      </w:r>
      <w:r w:rsidRPr="00BE7741">
        <w:rPr>
          <w:iCs/>
          <w:lang w:val="en-GB"/>
        </w:rPr>
        <w:t xml:space="preserve">The fact that although the obsession of early psychometrists with internal consistency, under the impression that it was reliability, has long passed out of well-informed discussion, it dies hard as a superstition’ </w:t>
      </w:r>
      <w:r w:rsidRPr="00515DC8">
        <w:rPr>
          <w:iCs/>
          <w:lang w:val="en-GB"/>
        </w:rPr>
        <w:t>(Cattell, 1972).  Low within-scale correlations may, he argued, in fact</w:t>
      </w:r>
      <w:r w:rsidR="00041DBC">
        <w:rPr>
          <w:iCs/>
          <w:lang w:val="en-GB"/>
        </w:rPr>
        <w:t>,</w:t>
      </w:r>
      <w:r w:rsidRPr="00515DC8">
        <w:rPr>
          <w:iCs/>
          <w:lang w:val="en-GB"/>
        </w:rPr>
        <w:t xml:space="preserve"> be a virtue.   This is a critical point when trying to measure learning gains. </w:t>
      </w:r>
      <w:r w:rsidR="00665833">
        <w:rPr>
          <w:iCs/>
          <w:lang w:val="en-GB"/>
        </w:rPr>
        <w:t xml:space="preserve">  </w:t>
      </w:r>
    </w:p>
    <w:p w14:paraId="0C3331A4" w14:textId="77777777" w:rsidR="00665833" w:rsidRDefault="00665833" w:rsidP="00515DC8">
      <w:pPr>
        <w:spacing w:line="480" w:lineRule="auto"/>
        <w:rPr>
          <w:iCs/>
          <w:lang w:val="en-GB"/>
        </w:rPr>
      </w:pPr>
    </w:p>
    <w:p w14:paraId="121E991A" w14:textId="0476CF20" w:rsidR="0015386E" w:rsidRPr="00515DC8" w:rsidRDefault="00D71ADD" w:rsidP="008D0A47">
      <w:pPr>
        <w:widowControl w:val="0"/>
        <w:autoSpaceDE w:val="0"/>
        <w:autoSpaceDN w:val="0"/>
        <w:adjustRightInd w:val="0"/>
        <w:spacing w:line="480" w:lineRule="auto"/>
        <w:ind w:firstLine="720"/>
        <w:rPr>
          <w:i/>
          <w:lang w:val="en-GB"/>
        </w:rPr>
      </w:pPr>
      <w:r w:rsidRPr="00515DC8">
        <w:rPr>
          <w:lang w:val="en-GB"/>
        </w:rPr>
        <w:t>S</w:t>
      </w:r>
      <w:r w:rsidRPr="00515DC8">
        <w:rPr>
          <w:i/>
          <w:lang w:val="en-GB"/>
        </w:rPr>
        <w:t xml:space="preserve">ampling size requirements: </w:t>
      </w:r>
      <w:r w:rsidRPr="00515DC8">
        <w:rPr>
          <w:lang w:val="en-GB"/>
        </w:rPr>
        <w:t>under- and over-estimated sampling sizes increase the risk of Type 1 and 11 errors respectively (see Wolf et al.</w:t>
      </w:r>
      <w:r w:rsidR="00BE7741">
        <w:rPr>
          <w:lang w:val="en-GB"/>
        </w:rPr>
        <w:t>,</w:t>
      </w:r>
      <w:r w:rsidRPr="00515DC8">
        <w:rPr>
          <w:lang w:val="en-GB"/>
        </w:rPr>
        <w:t xml:space="preserve"> 2013).</w:t>
      </w:r>
      <w:r w:rsidR="00A03FF0" w:rsidRPr="00515DC8">
        <w:rPr>
          <w:lang w:val="en-GB"/>
        </w:rPr>
        <w:t xml:space="preserve"> </w:t>
      </w:r>
      <w:r w:rsidR="00D20AF4" w:rsidRPr="00515DC8">
        <w:rPr>
          <w:lang w:val="en-GB"/>
        </w:rPr>
        <w:t xml:space="preserve">When planning the test sample precision is critical.  The widespread belief that large sample sizes are ideal for analysis is </w:t>
      </w:r>
      <w:r w:rsidR="00323529">
        <w:rPr>
          <w:lang w:val="en-GB"/>
        </w:rPr>
        <w:t xml:space="preserve">a </w:t>
      </w:r>
      <w:r w:rsidR="00D20AF4" w:rsidRPr="00515DC8">
        <w:rPr>
          <w:lang w:val="en-GB"/>
        </w:rPr>
        <w:t>fallac</w:t>
      </w:r>
      <w:r w:rsidR="00323529">
        <w:rPr>
          <w:lang w:val="en-GB"/>
        </w:rPr>
        <w:t>y.   Larger than needed samples</w:t>
      </w:r>
      <w:r w:rsidR="00D20AF4" w:rsidRPr="00515DC8">
        <w:rPr>
          <w:lang w:val="en-GB"/>
        </w:rPr>
        <w:t xml:space="preserve"> le</w:t>
      </w:r>
      <w:r w:rsidR="00323529">
        <w:rPr>
          <w:lang w:val="en-GB"/>
        </w:rPr>
        <w:t>aves studies vulnerable to over-</w:t>
      </w:r>
      <w:r w:rsidR="00D20AF4" w:rsidRPr="00515DC8">
        <w:rPr>
          <w:lang w:val="en-GB"/>
        </w:rPr>
        <w:t>sampling bias and an increase in false positives.  Sample size varies with the number of variables, covariates</w:t>
      </w:r>
      <w:r w:rsidR="00BE7741">
        <w:rPr>
          <w:lang w:val="en-GB"/>
        </w:rPr>
        <w:t>,</w:t>
      </w:r>
      <w:r w:rsidR="00D20AF4" w:rsidRPr="00515DC8">
        <w:rPr>
          <w:lang w:val="en-GB"/>
        </w:rPr>
        <w:t xml:space="preserve"> and the statistical analysis and error probability planned.  For example, a study with 4 independent variables, 2 moderating variables</w:t>
      </w:r>
      <w:r w:rsidR="00BE7741">
        <w:rPr>
          <w:lang w:val="en-GB"/>
        </w:rPr>
        <w:t>,</w:t>
      </w:r>
      <w:r w:rsidR="00D20AF4" w:rsidRPr="00515DC8">
        <w:rPr>
          <w:lang w:val="en-GB"/>
        </w:rPr>
        <w:t xml:space="preserve"> and 2 dependent variables, with a MANOVA</w:t>
      </w:r>
      <w:r w:rsidR="001C2384" w:rsidRPr="00515DC8">
        <w:t xml:space="preserve"> (which remains the most commonly used multivariate test) </w:t>
      </w:r>
      <w:r w:rsidR="00D20AF4" w:rsidRPr="00515DC8">
        <w:rPr>
          <w:lang w:val="en-GB"/>
        </w:rPr>
        <w:t xml:space="preserve">potentially needs as few as 80 students to establish an effect.  Testing more than is required is not only unethical </w:t>
      </w:r>
      <w:r w:rsidR="001C2384" w:rsidRPr="00515DC8">
        <w:t>regarding</w:t>
      </w:r>
      <w:r w:rsidR="00D20AF4" w:rsidRPr="00515DC8">
        <w:rPr>
          <w:lang w:val="en-GB"/>
        </w:rPr>
        <w:t xml:space="preserve"> the misuse of human and financial resources, but with a large sample, even a small inconsequential difference runs the risk of being flagged as significant.  Appropriate sampling is </w:t>
      </w:r>
      <w:r w:rsidR="00A03FF0" w:rsidRPr="00515DC8">
        <w:rPr>
          <w:lang w:val="en-GB"/>
        </w:rPr>
        <w:t>efficient,</w:t>
      </w:r>
      <w:r w:rsidR="00D20AF4" w:rsidRPr="00515DC8">
        <w:rPr>
          <w:lang w:val="en-GB"/>
        </w:rPr>
        <w:t xml:space="preserve"> and</w:t>
      </w:r>
      <w:r w:rsidR="00E838A5" w:rsidRPr="00515DC8">
        <w:rPr>
          <w:lang w:val="en-GB"/>
        </w:rPr>
        <w:t xml:space="preserve"> the data generated reliable.  </w:t>
      </w:r>
      <w:r w:rsidR="00D20AF4" w:rsidRPr="00515DC8">
        <w:rPr>
          <w:lang w:val="en-GB"/>
        </w:rPr>
        <w:t>We recommend that sample calculations are provided, p values with effect sizes reported.</w:t>
      </w:r>
    </w:p>
    <w:p w14:paraId="239EB33A" w14:textId="77777777" w:rsidR="00D71ADD" w:rsidRPr="00515DC8" w:rsidRDefault="00D71ADD" w:rsidP="001B74D8">
      <w:pPr>
        <w:widowControl w:val="0"/>
        <w:autoSpaceDE w:val="0"/>
        <w:autoSpaceDN w:val="0"/>
        <w:adjustRightInd w:val="0"/>
        <w:spacing w:line="480" w:lineRule="auto"/>
        <w:rPr>
          <w:lang w:val="en-GB"/>
        </w:rPr>
      </w:pPr>
    </w:p>
    <w:p w14:paraId="5B6EDB62" w14:textId="42544381" w:rsidR="00B67F72" w:rsidRPr="00515DC8" w:rsidRDefault="00D71ADD" w:rsidP="00DA4D5E">
      <w:pPr>
        <w:spacing w:line="480" w:lineRule="auto"/>
        <w:rPr>
          <w:lang w:val="en-GB"/>
        </w:rPr>
      </w:pPr>
      <w:r w:rsidRPr="00515DC8">
        <w:rPr>
          <w:i/>
          <w:lang w:val="en-GB"/>
        </w:rPr>
        <w:t>Reporting bias:</w:t>
      </w:r>
      <w:r w:rsidRPr="00515DC8">
        <w:rPr>
          <w:lang w:val="en-GB"/>
        </w:rPr>
        <w:t xml:space="preserve"> the selective inclusion of significant positive results and omission of non-significant or negative results can lead meta-analysts and the general population to have misleading </w:t>
      </w:r>
      <w:r w:rsidRPr="00D74F09">
        <w:rPr>
          <w:lang w:val="en-GB"/>
        </w:rPr>
        <w:t>understandings of the efficacy of an</w:t>
      </w:r>
      <w:r w:rsidRPr="003D4DA4">
        <w:rPr>
          <w:lang w:val="en-GB"/>
        </w:rPr>
        <w:t xml:space="preserve"> intervention </w:t>
      </w:r>
      <w:r w:rsidR="00524CB0" w:rsidRPr="003D4DA4">
        <w:rPr>
          <w:lang w:val="en-GB"/>
        </w:rPr>
        <w:t>(</w:t>
      </w:r>
      <w:r w:rsidRPr="003D4DA4">
        <w:rPr>
          <w:lang w:val="en-GB"/>
        </w:rPr>
        <w:t xml:space="preserve">Dawson </w:t>
      </w:r>
      <w:r w:rsidR="0060750C" w:rsidRPr="003D4DA4">
        <w:rPr>
          <w:lang w:val="en-GB"/>
        </w:rPr>
        <w:t xml:space="preserve">&amp; </w:t>
      </w:r>
      <w:r w:rsidRPr="003D4DA4">
        <w:rPr>
          <w:lang w:val="en-GB"/>
        </w:rPr>
        <w:t>Dawson</w:t>
      </w:r>
      <w:r w:rsidR="0060750C" w:rsidRPr="003D4DA4">
        <w:rPr>
          <w:lang w:val="en-GB"/>
        </w:rPr>
        <w:t xml:space="preserve">, </w:t>
      </w:r>
      <w:r w:rsidRPr="003D4DA4">
        <w:rPr>
          <w:lang w:val="en-GB"/>
        </w:rPr>
        <w:t>2016, p. 1).</w:t>
      </w:r>
      <w:r w:rsidR="00B67F72" w:rsidRPr="003D4DA4">
        <w:rPr>
          <w:lang w:val="en-GB"/>
        </w:rPr>
        <w:t xml:space="preserve">   This publication bias, also known as the file drawer problem (Rosenthal, 1979)</w:t>
      </w:r>
      <w:r w:rsidR="00DC19F2" w:rsidRPr="003D4DA4">
        <w:rPr>
          <w:lang w:val="en-GB"/>
        </w:rPr>
        <w:t xml:space="preserve"> requires the </w:t>
      </w:r>
      <w:r w:rsidR="00CB6015" w:rsidRPr="003D4DA4">
        <w:rPr>
          <w:lang w:val="en-GB"/>
        </w:rPr>
        <w:t>calculation of a fail-safe-number which estimates the number</w:t>
      </w:r>
      <w:r w:rsidR="00194DB6">
        <w:rPr>
          <w:lang w:val="en-GB"/>
        </w:rPr>
        <w:t xml:space="preserve"> of unpublished studies in meta-</w:t>
      </w:r>
      <w:r w:rsidR="00CB6015" w:rsidRPr="003D4DA4">
        <w:rPr>
          <w:lang w:val="en-GB"/>
        </w:rPr>
        <w:t>analyses required to bring the meta-analytic mean effect down to a statistically insignificant level.</w:t>
      </w:r>
      <w:r w:rsidR="00642520" w:rsidRPr="003D4DA4">
        <w:rPr>
          <w:lang w:val="en-GB"/>
        </w:rPr>
        <w:t xml:space="preserve">  Outside of psychology</w:t>
      </w:r>
      <w:r w:rsidR="003B0261" w:rsidRPr="003D4DA4">
        <w:rPr>
          <w:lang w:val="en-GB"/>
        </w:rPr>
        <w:t xml:space="preserve">, psychiatry and </w:t>
      </w:r>
      <w:r w:rsidR="00B22CF8" w:rsidRPr="003D4DA4">
        <w:rPr>
          <w:lang w:val="en-GB"/>
        </w:rPr>
        <w:t>medicine</w:t>
      </w:r>
      <w:r w:rsidR="00194DB6">
        <w:rPr>
          <w:lang w:val="en-GB"/>
        </w:rPr>
        <w:t>,</w:t>
      </w:r>
      <w:r w:rsidR="00642520" w:rsidRPr="003D4DA4">
        <w:rPr>
          <w:lang w:val="en-GB"/>
        </w:rPr>
        <w:t xml:space="preserve"> however, this correction would seem to be rarely applied </w:t>
      </w:r>
      <w:r w:rsidR="00DA4D5E" w:rsidRPr="003D4DA4">
        <w:rPr>
          <w:lang w:val="en-GB"/>
        </w:rPr>
        <w:t>(Heene, 2010).</w:t>
      </w:r>
    </w:p>
    <w:p w14:paraId="33CA5AA5" w14:textId="5512C0F7" w:rsidR="00DA4D5E" w:rsidRPr="00515DC8" w:rsidRDefault="00DA4D5E" w:rsidP="00DA4D5E">
      <w:pPr>
        <w:spacing w:line="480" w:lineRule="auto"/>
        <w:rPr>
          <w:lang w:val="en-GB"/>
        </w:rPr>
      </w:pPr>
    </w:p>
    <w:p w14:paraId="633629B3" w14:textId="2CFEC12F" w:rsidR="004653AB" w:rsidRPr="00515DC8" w:rsidRDefault="004653AB" w:rsidP="00404D06">
      <w:pPr>
        <w:spacing w:line="480" w:lineRule="auto"/>
        <w:outlineLvl w:val="0"/>
        <w:rPr>
          <w:rFonts w:eastAsia="Times New Roman"/>
          <w:i/>
          <w:lang w:val="en-GB" w:eastAsia="en-GB"/>
        </w:rPr>
      </w:pPr>
      <w:r w:rsidRPr="00515DC8">
        <w:rPr>
          <w:rFonts w:eastAsia="Times New Roman"/>
          <w:i/>
          <w:lang w:val="en-GB" w:eastAsia="en-GB"/>
        </w:rPr>
        <w:t xml:space="preserve">Issue </w:t>
      </w:r>
      <w:r w:rsidR="00437A44" w:rsidRPr="00515DC8">
        <w:rPr>
          <w:rFonts w:eastAsia="Times New Roman"/>
          <w:i/>
          <w:lang w:val="en-GB" w:eastAsia="en-GB"/>
        </w:rPr>
        <w:t>4</w:t>
      </w:r>
      <w:r w:rsidRPr="00515DC8">
        <w:rPr>
          <w:rFonts w:eastAsia="Times New Roman"/>
          <w:i/>
          <w:lang w:val="en-GB" w:eastAsia="en-GB"/>
        </w:rPr>
        <w:t xml:space="preserve">:  </w:t>
      </w:r>
      <w:r w:rsidR="004F5AA8" w:rsidRPr="00515DC8">
        <w:rPr>
          <w:rFonts w:eastAsia="Times New Roman"/>
          <w:i/>
          <w:lang w:val="en-GB" w:eastAsia="en-GB"/>
        </w:rPr>
        <w:t>Research</w:t>
      </w:r>
      <w:r w:rsidRPr="00515DC8">
        <w:rPr>
          <w:rFonts w:eastAsia="Times New Roman"/>
          <w:i/>
          <w:lang w:val="en-GB" w:eastAsia="en-GB"/>
        </w:rPr>
        <w:t xml:space="preserve"> design</w:t>
      </w:r>
      <w:r w:rsidR="00437A44" w:rsidRPr="00515DC8">
        <w:rPr>
          <w:rFonts w:eastAsia="Times New Roman"/>
          <w:i/>
          <w:lang w:val="en-GB" w:eastAsia="en-GB"/>
        </w:rPr>
        <w:t>: Measurement points</w:t>
      </w:r>
    </w:p>
    <w:p w14:paraId="75C75BD1" w14:textId="52616A1B" w:rsidR="002D20DE" w:rsidRPr="00515DC8" w:rsidRDefault="00C363FF" w:rsidP="001B74D8">
      <w:pPr>
        <w:spacing w:line="480" w:lineRule="auto"/>
        <w:rPr>
          <w:rFonts w:eastAsia="Times New Roman"/>
          <w:lang w:val="en-GB" w:eastAsia="en-GB"/>
        </w:rPr>
      </w:pPr>
      <w:r>
        <w:rPr>
          <w:rFonts w:eastAsia="Times New Roman"/>
          <w:lang w:val="en-GB" w:eastAsia="en-GB"/>
        </w:rPr>
        <w:t>The idea of a pre-and post</w:t>
      </w:r>
      <w:r w:rsidR="00CE0C7E" w:rsidRPr="00515DC8">
        <w:rPr>
          <w:rFonts w:eastAsia="Times New Roman"/>
          <w:lang w:val="en-GB" w:eastAsia="en-GB"/>
        </w:rPr>
        <w:t>-intervention study appears quite straightforward.</w:t>
      </w:r>
      <w:r>
        <w:rPr>
          <w:rFonts w:eastAsia="Times New Roman"/>
          <w:lang w:val="en-GB" w:eastAsia="en-GB"/>
        </w:rPr>
        <w:t xml:space="preserve"> </w:t>
      </w:r>
      <w:r w:rsidR="00CE0C7E" w:rsidRPr="00515DC8">
        <w:rPr>
          <w:rFonts w:eastAsia="Times New Roman"/>
          <w:lang w:val="en-GB" w:eastAsia="en-GB"/>
        </w:rPr>
        <w:t xml:space="preserve"> For example, to evaluate the impact and outcomes of an educational programme or intervention students are asked the same, or similar sets of questions before and after the intervention, the difference is known as the response shift.  Problems arise</w:t>
      </w:r>
      <w:r>
        <w:rPr>
          <w:rFonts w:eastAsia="Times New Roman"/>
          <w:lang w:val="en-GB" w:eastAsia="en-GB"/>
        </w:rPr>
        <w:t>,</w:t>
      </w:r>
      <w:r w:rsidR="00CE0C7E" w:rsidRPr="00515DC8">
        <w:rPr>
          <w:rFonts w:eastAsia="Times New Roman"/>
          <w:lang w:val="en-GB" w:eastAsia="en-GB"/>
        </w:rPr>
        <w:t xml:space="preserve"> however, because it is assumed that the students</w:t>
      </w:r>
      <w:r w:rsidR="004F5AA8" w:rsidRPr="00515DC8">
        <w:rPr>
          <w:rFonts w:eastAsia="Times New Roman"/>
          <w:lang w:val="en-GB" w:eastAsia="en-GB"/>
        </w:rPr>
        <w:t>’</w:t>
      </w:r>
      <w:r w:rsidR="00CE0C7E" w:rsidRPr="00515DC8">
        <w:rPr>
          <w:rFonts w:eastAsia="Times New Roman"/>
          <w:lang w:val="en-GB" w:eastAsia="en-GB"/>
        </w:rPr>
        <w:t xml:space="preserve"> frame of reference for the metric</w:t>
      </w:r>
      <w:r w:rsidR="004F5AA8" w:rsidRPr="00515DC8">
        <w:rPr>
          <w:rFonts w:eastAsia="Times New Roman"/>
          <w:lang w:val="en-GB" w:eastAsia="en-GB"/>
        </w:rPr>
        <w:t>,</w:t>
      </w:r>
      <w:r w:rsidR="00CE0C7E" w:rsidRPr="00515DC8">
        <w:rPr>
          <w:rFonts w:eastAsia="Times New Roman"/>
          <w:lang w:val="en-GB" w:eastAsia="en-GB"/>
        </w:rPr>
        <w:t xml:space="preserve"> or their awareness of a variable, will not change between the two data collection points.  This problem is known as the response-bias-shift which is the contamination of measures that result from inaccurate pre-test measures.  A simplistic example could be an intervention designed to improve student team working with pre-test questions probing team working experiences: “</w:t>
      </w:r>
      <w:r w:rsidR="00CE0C7E" w:rsidRPr="00515DC8">
        <w:rPr>
          <w:rFonts w:eastAsia="Times New Roman"/>
          <w:iCs/>
          <w:lang w:val="en-GB" w:eastAsia="en-GB"/>
        </w:rPr>
        <w:t>When I am in a team, I rarely listen to what other people say</w:t>
      </w:r>
      <w:r w:rsidR="00CE0C7E" w:rsidRPr="00515DC8">
        <w:rPr>
          <w:rFonts w:eastAsia="Times New Roman"/>
          <w:lang w:val="en-GB" w:eastAsia="en-GB"/>
        </w:rPr>
        <w:t xml:space="preserve">”, would probably elicit a high (socially acceptable) “strongly disagree” response.  Team exercises designed to encourage listening may trigger a realisation that sometimes the student forgets to listen to what others say, so they will re-evaluate their initial position.  Post-testing will then present a lower score which reflects a re-evaluation of an earlier position, rather than improved listening skills from the intervention.   For further reading and resolutions see Howard (1980).    </w:t>
      </w:r>
    </w:p>
    <w:p w14:paraId="46103E72" w14:textId="77777777" w:rsidR="00597979" w:rsidRPr="00515DC8" w:rsidRDefault="00597979" w:rsidP="001B74D8">
      <w:pPr>
        <w:spacing w:line="480" w:lineRule="auto"/>
        <w:rPr>
          <w:rFonts w:eastAsia="Times New Roman"/>
          <w:lang w:val="en-GB" w:eastAsia="en-GB"/>
        </w:rPr>
      </w:pPr>
    </w:p>
    <w:p w14:paraId="2FE6D899" w14:textId="2FB53FE6" w:rsidR="00597979" w:rsidRPr="00515DC8" w:rsidRDefault="00A03FF0" w:rsidP="001B74D8">
      <w:pPr>
        <w:spacing w:line="480" w:lineRule="auto"/>
        <w:rPr>
          <w:color w:val="000000"/>
          <w:lang w:val="en-GB"/>
        </w:rPr>
      </w:pPr>
      <w:r w:rsidRPr="00515DC8">
        <w:rPr>
          <w:i/>
          <w:color w:val="000000"/>
          <w:lang w:val="en-GB"/>
        </w:rPr>
        <w:t>Incubation effect:</w:t>
      </w:r>
      <w:r w:rsidRPr="00515DC8">
        <w:rPr>
          <w:color w:val="000000"/>
          <w:lang w:val="en-GB"/>
        </w:rPr>
        <w:t xml:space="preserve"> </w:t>
      </w:r>
      <w:r w:rsidR="00597979" w:rsidRPr="00515DC8">
        <w:rPr>
          <w:rFonts w:eastAsia="Times New Roman"/>
          <w:lang w:val="en-GB" w:eastAsia="en-GB"/>
        </w:rPr>
        <w:t xml:space="preserve">Furthermore, </w:t>
      </w:r>
      <w:r w:rsidR="00597979" w:rsidRPr="00515DC8">
        <w:rPr>
          <w:color w:val="000000"/>
          <w:lang w:val="en-GB"/>
        </w:rPr>
        <w:t xml:space="preserve">the instrumental testing of students, for example, on critical thinking tests is problematic because we know that training with similarly modelled questions fosters performance on later assessments (and test manufacturers have built an industry around this).  Those students who have incubated information from previous assessments are more likely to show insight; </w:t>
      </w:r>
      <w:r w:rsidR="00597979" w:rsidRPr="00515DC8">
        <w:rPr>
          <w:lang w:val="en-GB"/>
        </w:rPr>
        <w:t xml:space="preserve">Duncker’s (1945) radiation problem is a classic undergraduate teaching example of how to prime individuals to transfer knowledge.   </w:t>
      </w:r>
      <w:r w:rsidR="00597979" w:rsidRPr="00515DC8">
        <w:rPr>
          <w:color w:val="000000"/>
          <w:lang w:val="en-GB"/>
        </w:rPr>
        <w:t>As such, students who stay the course on such assessments are less likely to be representative of the entire student population, self-selecting into the assessment for personal motivations and interests, and generally feeling more confident than their peers who either avoid the assessment altogether or fail to complete it.  It would be difficult to conclude that the latter group of students are behaving and thinking irrationally, as we all have a limit on the resources we have available (Friedlander et al. 2011)</w:t>
      </w:r>
      <w:r w:rsidR="00BE7741">
        <w:rPr>
          <w:color w:val="000000"/>
          <w:lang w:val="en-GB"/>
        </w:rPr>
        <w:t>,</w:t>
      </w:r>
      <w:r w:rsidR="00597979" w:rsidRPr="00515DC8">
        <w:rPr>
          <w:color w:val="000000"/>
          <w:lang w:val="en-GB"/>
        </w:rPr>
        <w:t xml:space="preserve"> and priority often must be given to tasks that we are evaluated against, rather than investing in collecting poorly conceived institutional data. Academics are no less prone to this kind of behaviour than students, with our decisions on where to focus our time and effort depending on what the incentives are</w:t>
      </w:r>
      <w:r w:rsidR="00BE7741">
        <w:rPr>
          <w:color w:val="000000"/>
          <w:lang w:val="en-GB"/>
        </w:rPr>
        <w:t>,</w:t>
      </w:r>
      <w:r w:rsidR="00597979" w:rsidRPr="00515DC8">
        <w:rPr>
          <w:color w:val="000000"/>
          <w:lang w:val="en-GB"/>
        </w:rPr>
        <w:t xml:space="preserve"> and how we apply those values to ourselves (Edwards &amp; Roy, 2017).  </w:t>
      </w:r>
    </w:p>
    <w:p w14:paraId="4FCEE784" w14:textId="77777777" w:rsidR="00437A44" w:rsidRPr="00515DC8" w:rsidRDefault="00437A44" w:rsidP="001B74D8">
      <w:pPr>
        <w:spacing w:line="480" w:lineRule="auto"/>
        <w:rPr>
          <w:rFonts w:eastAsia="Times New Roman"/>
          <w:lang w:val="en-GB" w:eastAsia="en-GB"/>
        </w:rPr>
      </w:pPr>
    </w:p>
    <w:p w14:paraId="6CAD4F7A" w14:textId="771BAED0" w:rsidR="00437A44" w:rsidRPr="00515DC8" w:rsidRDefault="00437A44" w:rsidP="001B74D8">
      <w:pPr>
        <w:spacing w:line="480" w:lineRule="auto"/>
        <w:rPr>
          <w:rFonts w:eastAsia="Times New Roman"/>
          <w:lang w:val="en-GB" w:eastAsia="en-GB"/>
        </w:rPr>
      </w:pPr>
      <w:r w:rsidRPr="00515DC8">
        <w:rPr>
          <w:rFonts w:eastAsia="Times New Roman"/>
          <w:lang w:val="en-GB" w:eastAsia="en-GB"/>
        </w:rPr>
        <w:t>The inclusion of multiple measurement points is also important to address the lack of linear development of learning ga</w:t>
      </w:r>
      <w:r w:rsidR="00A03FF0" w:rsidRPr="00515DC8">
        <w:rPr>
          <w:rFonts w:eastAsia="Times New Roman"/>
          <w:lang w:val="en-GB" w:eastAsia="en-GB"/>
        </w:rPr>
        <w:t>ins and indeed ‘learning loss,’</w:t>
      </w:r>
      <w:r w:rsidRPr="00515DC8">
        <w:rPr>
          <w:rFonts w:eastAsia="Times New Roman"/>
          <w:lang w:val="en-GB" w:eastAsia="en-GB"/>
        </w:rPr>
        <w:t xml:space="preserve"> identified in a number of the UK (HEFCE/ OfS 2015-2018) learning gain projects (Kandiko Howson, 2018).</w:t>
      </w:r>
    </w:p>
    <w:p w14:paraId="23E40C4D" w14:textId="30AB2BC3" w:rsidR="00A03FF0" w:rsidRPr="00515DC8" w:rsidRDefault="00A03FF0" w:rsidP="001B74D8">
      <w:pPr>
        <w:spacing w:line="480" w:lineRule="auto"/>
        <w:rPr>
          <w:rFonts w:eastAsia="Times New Roman"/>
          <w:lang w:val="en-GB" w:eastAsia="en-GB"/>
        </w:rPr>
      </w:pPr>
    </w:p>
    <w:p w14:paraId="3757C1E1" w14:textId="49F3E757" w:rsidR="00FC21EF" w:rsidRPr="00515DC8" w:rsidRDefault="00CE0C7E" w:rsidP="00404D06">
      <w:pPr>
        <w:spacing w:line="480" w:lineRule="auto"/>
        <w:outlineLvl w:val="0"/>
        <w:rPr>
          <w:i/>
          <w:lang w:val="en-GB"/>
        </w:rPr>
      </w:pPr>
      <w:r w:rsidRPr="00515DC8">
        <w:rPr>
          <w:rFonts w:eastAsia="Times New Roman"/>
          <w:color w:val="1F3864"/>
          <w:lang w:val="en-GB" w:eastAsia="en-GB"/>
        </w:rPr>
        <w:t> </w:t>
      </w:r>
      <w:r w:rsidR="00FC21EF" w:rsidRPr="00515DC8">
        <w:rPr>
          <w:i/>
          <w:lang w:val="en-GB"/>
        </w:rPr>
        <w:t xml:space="preserve">Issue </w:t>
      </w:r>
      <w:r w:rsidR="00437A44" w:rsidRPr="00515DC8">
        <w:rPr>
          <w:i/>
          <w:lang w:val="en-GB"/>
        </w:rPr>
        <w:t>5</w:t>
      </w:r>
      <w:r w:rsidR="00FC21EF" w:rsidRPr="00515DC8">
        <w:rPr>
          <w:i/>
          <w:lang w:val="en-GB"/>
        </w:rPr>
        <w:t>: Standards for reporting</w:t>
      </w:r>
    </w:p>
    <w:p w14:paraId="3CB5A237" w14:textId="77777777" w:rsidR="00FC21EF" w:rsidRPr="00515DC8" w:rsidRDefault="00FC21EF" w:rsidP="001B74D8">
      <w:pPr>
        <w:widowControl w:val="0"/>
        <w:autoSpaceDE w:val="0"/>
        <w:autoSpaceDN w:val="0"/>
        <w:adjustRightInd w:val="0"/>
        <w:spacing w:line="480" w:lineRule="auto"/>
        <w:rPr>
          <w:lang w:val="en-GB"/>
        </w:rPr>
      </w:pPr>
      <w:r w:rsidRPr="00515DC8">
        <w:rPr>
          <w:lang w:val="en-GB"/>
        </w:rPr>
        <w:t xml:space="preserve">It is commonly found that articles that struggle with clarity around the reporting of research design and analysis, also suffer from lack of understanding of the current best practices regarding the methods they have adopted (Academy of Management Learning and Education, (AMLE, 2017), and this is no less true of studies examining learning gain.  Several systematic behaviours were identified in our review of the learning gain literature and associated projects, problems which have resonated elsewhere in the educational literature (AMLE, 2017), to include key design issues as discussed below. </w:t>
      </w:r>
    </w:p>
    <w:p w14:paraId="1F1CEAC7" w14:textId="77777777" w:rsidR="00FC21EF" w:rsidRPr="00515DC8" w:rsidRDefault="00FC21EF" w:rsidP="001B74D8">
      <w:pPr>
        <w:widowControl w:val="0"/>
        <w:autoSpaceDE w:val="0"/>
        <w:autoSpaceDN w:val="0"/>
        <w:adjustRightInd w:val="0"/>
        <w:spacing w:line="480" w:lineRule="auto"/>
        <w:rPr>
          <w:lang w:val="en-GB"/>
        </w:rPr>
      </w:pPr>
    </w:p>
    <w:p w14:paraId="3BAB051E" w14:textId="77777777" w:rsidR="008813DA" w:rsidRPr="00515DC8" w:rsidRDefault="00FC21EF" w:rsidP="001B74D8">
      <w:pPr>
        <w:widowControl w:val="0"/>
        <w:autoSpaceDE w:val="0"/>
        <w:autoSpaceDN w:val="0"/>
        <w:adjustRightInd w:val="0"/>
        <w:spacing w:line="480" w:lineRule="auto"/>
      </w:pPr>
      <w:r w:rsidRPr="00515DC8">
        <w:rPr>
          <w:i/>
          <w:lang w:val="en-GB"/>
        </w:rPr>
        <w:t>Common method variance</w:t>
      </w:r>
      <w:r w:rsidRPr="00515DC8">
        <w:rPr>
          <w:lang w:val="en-GB"/>
        </w:rPr>
        <w:t xml:space="preserve"> is the spurious error that b</w:t>
      </w:r>
      <w:r w:rsidR="008813DA" w:rsidRPr="00515DC8">
        <w:t xml:space="preserve">ecomes attached to variables through the measurement process, particularly in cross-sectional designs.  If researchers use the same method to collect data for their criterion and their predictor variables (for example through a large questionnaire with different scales) then CMV is a risk.   In other words, the method will influence the variables being measured by increasing the error variance between the variables being measured and thus the statistical analysis </w:t>
      </w:r>
      <w:r w:rsidR="008813DA" w:rsidRPr="00515DC8">
        <w:rPr>
          <w:bCs/>
          <w:color w:val="000000" w:themeColor="text1"/>
          <w:lang w:val="en-GB"/>
        </w:rPr>
        <w:t>(Podsakoff, Mackenzie, Lee, &amp; Podsakoff, 2003)</w:t>
      </w:r>
      <w:r w:rsidR="008813DA" w:rsidRPr="00515DC8">
        <w:rPr>
          <w:bCs/>
          <w:lang w:val="en-GB"/>
        </w:rPr>
        <w:t xml:space="preserve">.   </w:t>
      </w:r>
      <w:r w:rsidR="008813DA" w:rsidRPr="00515DC8">
        <w:rPr>
          <w:bCs/>
        </w:rPr>
        <w:t xml:space="preserve">The trend towards ‘super surveying’ </w:t>
      </w:r>
      <w:r w:rsidRPr="00515DC8">
        <w:rPr>
          <w:lang w:val="en-GB"/>
        </w:rPr>
        <w:t xml:space="preserve">(facilitated by survey software such as Qualtrics and Survey Monkey) </w:t>
      </w:r>
      <w:r w:rsidR="008813DA" w:rsidRPr="00515DC8">
        <w:t xml:space="preserve">is increasing this problem and rarely do researchers make even the most rudimentary checks in this regard.  </w:t>
      </w:r>
    </w:p>
    <w:p w14:paraId="2F511C26" w14:textId="77777777" w:rsidR="00515DC8" w:rsidRPr="00515DC8" w:rsidRDefault="00515DC8" w:rsidP="00515DC8">
      <w:pPr>
        <w:widowControl w:val="0"/>
        <w:autoSpaceDE w:val="0"/>
        <w:autoSpaceDN w:val="0"/>
        <w:adjustRightInd w:val="0"/>
        <w:spacing w:line="480" w:lineRule="auto"/>
        <w:rPr>
          <w:bCs/>
          <w:lang w:val="en-GB"/>
        </w:rPr>
      </w:pPr>
    </w:p>
    <w:p w14:paraId="3367A31E" w14:textId="2AF012D0" w:rsidR="00FC21EF" w:rsidRPr="00515DC8" w:rsidRDefault="00FC21EF" w:rsidP="00515DC8">
      <w:pPr>
        <w:widowControl w:val="0"/>
        <w:autoSpaceDE w:val="0"/>
        <w:autoSpaceDN w:val="0"/>
        <w:adjustRightInd w:val="0"/>
        <w:spacing w:line="480" w:lineRule="auto"/>
        <w:rPr>
          <w:lang w:val="en-GB"/>
        </w:rPr>
      </w:pPr>
      <w:r w:rsidRPr="00515DC8">
        <w:rPr>
          <w:bCs/>
          <w:lang w:val="en-GB"/>
        </w:rPr>
        <w:t xml:space="preserve">The individuals who decide to participate in such surveys are also less likely to be representative of the entire population.  This will lead to two types of sampling error.  These self-selecting participants are drawn to a survey for some personal reasons or interests, and because they are more likely to have good feelings about the purpose of the study they are more likely to complete.  The individuals who take part are different from the students who drop out or do not engage, and this results in a sampling bias known as the non-response error and the coverage error (because there are some students that you will never be able to reach).   </w:t>
      </w:r>
    </w:p>
    <w:p w14:paraId="29E99309" w14:textId="77777777" w:rsidR="00FC21EF" w:rsidRPr="00515DC8" w:rsidRDefault="00FC21EF" w:rsidP="001B74D8">
      <w:pPr>
        <w:widowControl w:val="0"/>
        <w:autoSpaceDE w:val="0"/>
        <w:autoSpaceDN w:val="0"/>
        <w:adjustRightInd w:val="0"/>
        <w:spacing w:line="480" w:lineRule="auto"/>
        <w:ind w:firstLine="720"/>
        <w:rPr>
          <w:bCs/>
          <w:color w:val="000000" w:themeColor="text1"/>
          <w:lang w:val="en-GB"/>
        </w:rPr>
      </w:pPr>
      <w:r w:rsidRPr="00515DC8">
        <w:rPr>
          <w:bCs/>
          <w:color w:val="000000" w:themeColor="text1"/>
          <w:lang w:val="en-GB"/>
        </w:rPr>
        <w:t xml:space="preserve">  </w:t>
      </w:r>
    </w:p>
    <w:p w14:paraId="00BA91A5" w14:textId="21B1C0BB" w:rsidR="00FC21EF" w:rsidRPr="00515DC8" w:rsidRDefault="00FC21EF" w:rsidP="001B74D8">
      <w:pPr>
        <w:widowControl w:val="0"/>
        <w:autoSpaceDE w:val="0"/>
        <w:autoSpaceDN w:val="0"/>
        <w:adjustRightInd w:val="0"/>
        <w:spacing w:line="480" w:lineRule="auto"/>
        <w:rPr>
          <w:lang w:val="en-GB"/>
        </w:rPr>
      </w:pPr>
      <w:r w:rsidRPr="00515DC8">
        <w:rPr>
          <w:i/>
          <w:lang w:val="en-GB"/>
        </w:rPr>
        <w:t>Using data from studies that have not been purposefully planned</w:t>
      </w:r>
      <w:r w:rsidRPr="00515DC8">
        <w:rPr>
          <w:lang w:val="en-GB"/>
        </w:rPr>
        <w:t xml:space="preserve"> (e.g.</w:t>
      </w:r>
      <w:r w:rsidR="00EE59F9" w:rsidRPr="00515DC8">
        <w:rPr>
          <w:lang w:val="en-GB"/>
        </w:rPr>
        <w:t>,</w:t>
      </w:r>
      <w:r w:rsidRPr="00515DC8">
        <w:rPr>
          <w:lang w:val="en-GB"/>
        </w:rPr>
        <w:t xml:space="preserve"> gathering data from usual teaching efforts) are problematic for a whole host of reasons and especially from an ethical perspective.  In such examples, the motivation underpinning such studies has often been identified after the learning activities have taken place. The context is then often poorly planned, the research questions posed are often not well informed by, or anchored to, current theory and research. That is not to say that there is no place for exploration and serendipitous discovery in educational research, but that this type of work should be reported transparently, recognising its inductive nature and with </w:t>
      </w:r>
      <w:r w:rsidR="00C363FF">
        <w:rPr>
          <w:lang w:val="en-GB"/>
        </w:rPr>
        <w:t xml:space="preserve">a </w:t>
      </w:r>
      <w:r w:rsidRPr="00515DC8">
        <w:rPr>
          <w:lang w:val="en-GB"/>
        </w:rPr>
        <w:t xml:space="preserve">more tentative interpretation of its results.  </w:t>
      </w:r>
    </w:p>
    <w:p w14:paraId="10722476" w14:textId="77777777" w:rsidR="00FC21EF" w:rsidRPr="00515DC8" w:rsidRDefault="00FC21EF" w:rsidP="001B74D8">
      <w:pPr>
        <w:widowControl w:val="0"/>
        <w:autoSpaceDE w:val="0"/>
        <w:autoSpaceDN w:val="0"/>
        <w:adjustRightInd w:val="0"/>
        <w:spacing w:line="480" w:lineRule="auto"/>
        <w:rPr>
          <w:lang w:val="en-GB"/>
        </w:rPr>
      </w:pPr>
    </w:p>
    <w:p w14:paraId="05ED7B38" w14:textId="255ABB6A" w:rsidR="00FC21EF" w:rsidRPr="00515DC8" w:rsidRDefault="00FC21EF" w:rsidP="001B74D8">
      <w:pPr>
        <w:widowControl w:val="0"/>
        <w:autoSpaceDE w:val="0"/>
        <w:autoSpaceDN w:val="0"/>
        <w:adjustRightInd w:val="0"/>
        <w:spacing w:line="480" w:lineRule="auto"/>
        <w:rPr>
          <w:lang w:val="en-GB"/>
        </w:rPr>
      </w:pPr>
      <w:r w:rsidRPr="00515DC8">
        <w:rPr>
          <w:i/>
          <w:lang w:val="en-GB"/>
        </w:rPr>
        <w:t>Detailed standards for reporting</w:t>
      </w:r>
      <w:r w:rsidR="00C363FF">
        <w:rPr>
          <w:lang w:val="en-GB"/>
        </w:rPr>
        <w:t xml:space="preserve"> are now common</w:t>
      </w:r>
      <w:r w:rsidRPr="00515DC8">
        <w:rPr>
          <w:lang w:val="en-GB"/>
        </w:rPr>
        <w:t>place in fields that education science draws upon, (see</w:t>
      </w:r>
      <w:r w:rsidR="00C363FF">
        <w:rPr>
          <w:lang w:val="en-GB"/>
        </w:rPr>
        <w:t>,</w:t>
      </w:r>
      <w:r w:rsidRPr="00515DC8">
        <w:rPr>
          <w:lang w:val="en-GB"/>
        </w:rPr>
        <w:t xml:space="preserve"> for example, APA, 2008; </w:t>
      </w:r>
      <w:r w:rsidRPr="00515DC8">
        <w:rPr>
          <w:rFonts w:eastAsia="Times New Roman"/>
          <w:color w:val="000000"/>
          <w:shd w:val="clear" w:color="auto" w:fill="FFFFFF"/>
          <w:lang w:val="en-GB"/>
        </w:rPr>
        <w:t>Appelbaum</w:t>
      </w:r>
      <w:r w:rsidRPr="00515DC8">
        <w:rPr>
          <w:lang w:val="en-GB"/>
        </w:rPr>
        <w:t xml:space="preserve"> et al., 2018; Levitt, et al., 2018) but those standards are not necessarily so transparent in pedagogical research.  Drawing on recommendations </w:t>
      </w:r>
      <w:r w:rsidRPr="00515DC8">
        <w:rPr>
          <w:shd w:val="clear" w:color="auto" w:fill="FFFFFF" w:themeFill="background1"/>
          <w:lang w:val="en-GB"/>
        </w:rPr>
        <w:t xml:space="preserve">from the American Psychological Association, and the </w:t>
      </w:r>
      <w:r w:rsidR="00A50414" w:rsidRPr="00515DC8">
        <w:rPr>
          <w:shd w:val="clear" w:color="auto" w:fill="FFFFFF" w:themeFill="background1"/>
          <w:lang w:val="en-GB"/>
        </w:rPr>
        <w:t>AMLE</w:t>
      </w:r>
      <w:r w:rsidRPr="00515DC8">
        <w:rPr>
          <w:shd w:val="clear" w:color="auto" w:fill="FFFFFF" w:themeFill="background1"/>
          <w:lang w:val="en-GB"/>
        </w:rPr>
        <w:t xml:space="preserve"> (see Table 1 on the reporting of experimental studies), typical</w:t>
      </w:r>
      <w:r w:rsidRPr="00515DC8">
        <w:rPr>
          <w:lang w:val="en-GB"/>
        </w:rPr>
        <w:t xml:space="preserve"> reporting standards should include:</w:t>
      </w:r>
    </w:p>
    <w:p w14:paraId="029CC2BD" w14:textId="77777777" w:rsidR="00FC21EF" w:rsidRPr="00515DC8" w:rsidRDefault="00FC21EF" w:rsidP="001B74D8">
      <w:pPr>
        <w:pStyle w:val="ListParagraph"/>
        <w:widowControl w:val="0"/>
        <w:numPr>
          <w:ilvl w:val="0"/>
          <w:numId w:val="18"/>
        </w:numPr>
        <w:autoSpaceDE w:val="0"/>
        <w:autoSpaceDN w:val="0"/>
        <w:adjustRightInd w:val="0"/>
        <w:spacing w:after="0" w:line="480" w:lineRule="auto"/>
        <w:rPr>
          <w:rFonts w:ascii="Times New Roman" w:hAnsi="Times New Roman" w:cs="Times New Roman"/>
          <w:sz w:val="24"/>
          <w:szCs w:val="24"/>
        </w:rPr>
      </w:pPr>
      <w:r w:rsidRPr="00515DC8">
        <w:rPr>
          <w:rFonts w:ascii="Times New Roman" w:hAnsi="Times New Roman" w:cs="Times New Roman"/>
          <w:sz w:val="24"/>
          <w:szCs w:val="24"/>
        </w:rPr>
        <w:t xml:space="preserve">the rationale and problem formulation supporting the project, </w:t>
      </w:r>
    </w:p>
    <w:p w14:paraId="52E78F02" w14:textId="77777777" w:rsidR="00FC21EF" w:rsidRPr="00515DC8" w:rsidRDefault="00FC21EF" w:rsidP="001B74D8">
      <w:pPr>
        <w:pStyle w:val="ListParagraph"/>
        <w:widowControl w:val="0"/>
        <w:numPr>
          <w:ilvl w:val="0"/>
          <w:numId w:val="18"/>
        </w:numPr>
        <w:autoSpaceDE w:val="0"/>
        <w:autoSpaceDN w:val="0"/>
        <w:adjustRightInd w:val="0"/>
        <w:spacing w:after="0" w:line="480" w:lineRule="auto"/>
        <w:rPr>
          <w:rFonts w:ascii="Times New Roman" w:hAnsi="Times New Roman" w:cs="Times New Roman"/>
          <w:sz w:val="24"/>
          <w:szCs w:val="24"/>
        </w:rPr>
      </w:pPr>
      <w:r w:rsidRPr="00515DC8">
        <w:rPr>
          <w:rFonts w:ascii="Times New Roman" w:hAnsi="Times New Roman" w:cs="Times New Roman"/>
          <w:sz w:val="24"/>
          <w:szCs w:val="24"/>
        </w:rPr>
        <w:t xml:space="preserve">clear research questions or hypotheses that clearly inform the management and testing of the data, </w:t>
      </w:r>
    </w:p>
    <w:p w14:paraId="186626B8" w14:textId="00810C0C" w:rsidR="00FC21EF" w:rsidRPr="00515DC8" w:rsidRDefault="00FC21EF" w:rsidP="001B74D8">
      <w:pPr>
        <w:pStyle w:val="ListParagraph"/>
        <w:widowControl w:val="0"/>
        <w:numPr>
          <w:ilvl w:val="0"/>
          <w:numId w:val="18"/>
        </w:numPr>
        <w:autoSpaceDE w:val="0"/>
        <w:autoSpaceDN w:val="0"/>
        <w:adjustRightInd w:val="0"/>
        <w:spacing w:after="0" w:line="480" w:lineRule="auto"/>
        <w:rPr>
          <w:rFonts w:ascii="Times New Roman" w:hAnsi="Times New Roman" w:cs="Times New Roman"/>
          <w:sz w:val="24"/>
          <w:szCs w:val="24"/>
        </w:rPr>
      </w:pPr>
      <w:r w:rsidRPr="00515DC8">
        <w:rPr>
          <w:rFonts w:ascii="Times New Roman" w:hAnsi="Times New Roman" w:cs="Times New Roman"/>
          <w:sz w:val="24"/>
          <w:szCs w:val="24"/>
        </w:rPr>
        <w:t xml:space="preserve">a method section which provides sufficient detail to permit accurate replication by another researcher, including the design and logic of the </w:t>
      </w:r>
      <w:r w:rsidR="00C363FF">
        <w:rPr>
          <w:rFonts w:ascii="Times New Roman" w:hAnsi="Times New Roman" w:cs="Times New Roman"/>
          <w:sz w:val="24"/>
          <w:szCs w:val="24"/>
        </w:rPr>
        <w:t>study, the variables tested and/</w:t>
      </w:r>
      <w:r w:rsidRPr="00515DC8">
        <w:rPr>
          <w:rFonts w:ascii="Times New Roman" w:hAnsi="Times New Roman" w:cs="Times New Roman"/>
          <w:sz w:val="24"/>
          <w:szCs w:val="24"/>
        </w:rPr>
        <w:t xml:space="preserve">or sources of evidence, the measurement process, including details of the materials used, ethical processes and permissions, and </w:t>
      </w:r>
    </w:p>
    <w:p w14:paraId="21E8319E" w14:textId="77777777" w:rsidR="00FC21EF" w:rsidRPr="00515DC8" w:rsidRDefault="00FC21EF" w:rsidP="001B74D8">
      <w:pPr>
        <w:pStyle w:val="ListParagraph"/>
        <w:widowControl w:val="0"/>
        <w:numPr>
          <w:ilvl w:val="0"/>
          <w:numId w:val="18"/>
        </w:numPr>
        <w:autoSpaceDE w:val="0"/>
        <w:autoSpaceDN w:val="0"/>
        <w:adjustRightInd w:val="0"/>
        <w:spacing w:after="0" w:line="480" w:lineRule="auto"/>
        <w:rPr>
          <w:rFonts w:ascii="Times New Roman" w:hAnsi="Times New Roman" w:cs="Times New Roman"/>
          <w:sz w:val="24"/>
          <w:szCs w:val="24"/>
        </w:rPr>
      </w:pPr>
      <w:r w:rsidRPr="00515DC8">
        <w:rPr>
          <w:rFonts w:ascii="Times New Roman" w:hAnsi="Times New Roman" w:cs="Times New Roman"/>
          <w:sz w:val="24"/>
          <w:szCs w:val="24"/>
        </w:rPr>
        <w:t xml:space="preserve">an analysis which includes interrogation of the underlying assumptions of the data, before statistical inference and a reporting of all relevant results, including those that do not support the original hypotheses (see also Dawson &amp; Dawson, 2016).   </w:t>
      </w:r>
    </w:p>
    <w:p w14:paraId="63C44CE5" w14:textId="77777777" w:rsidR="00FC21EF" w:rsidRPr="00515DC8" w:rsidRDefault="00FC21EF" w:rsidP="001B74D8">
      <w:pPr>
        <w:widowControl w:val="0"/>
        <w:autoSpaceDE w:val="0"/>
        <w:autoSpaceDN w:val="0"/>
        <w:adjustRightInd w:val="0"/>
        <w:spacing w:line="480" w:lineRule="auto"/>
        <w:rPr>
          <w:lang w:val="en-GB"/>
        </w:rPr>
      </w:pPr>
    </w:p>
    <w:p w14:paraId="30AD7FDD" w14:textId="77777777" w:rsidR="007357A7" w:rsidRPr="00515DC8" w:rsidRDefault="007357A7" w:rsidP="007357A7">
      <w:pPr>
        <w:widowControl w:val="0"/>
        <w:autoSpaceDE w:val="0"/>
        <w:autoSpaceDN w:val="0"/>
        <w:adjustRightInd w:val="0"/>
        <w:spacing w:line="480" w:lineRule="auto"/>
        <w:rPr>
          <w:lang w:val="en-GB"/>
        </w:rPr>
      </w:pPr>
    </w:p>
    <w:p w14:paraId="0B0F1A87" w14:textId="77777777" w:rsidR="007357A7" w:rsidRPr="00515DC8" w:rsidRDefault="007357A7" w:rsidP="00404D06">
      <w:pPr>
        <w:widowControl w:val="0"/>
        <w:autoSpaceDE w:val="0"/>
        <w:autoSpaceDN w:val="0"/>
        <w:adjustRightInd w:val="0"/>
        <w:spacing w:line="480" w:lineRule="auto"/>
        <w:outlineLvl w:val="0"/>
        <w:rPr>
          <w:lang w:val="en-GB"/>
        </w:rPr>
      </w:pPr>
      <w:r w:rsidRPr="00515DC8">
        <w:rPr>
          <w:highlight w:val="yellow"/>
          <w:lang w:val="en-GB"/>
        </w:rPr>
        <w:t>TABLE 1 here</w:t>
      </w:r>
    </w:p>
    <w:p w14:paraId="1EE42007" w14:textId="77777777" w:rsidR="007357A7" w:rsidRPr="00515DC8" w:rsidRDefault="007357A7" w:rsidP="001B74D8">
      <w:pPr>
        <w:widowControl w:val="0"/>
        <w:autoSpaceDE w:val="0"/>
        <w:autoSpaceDN w:val="0"/>
        <w:adjustRightInd w:val="0"/>
        <w:spacing w:line="480" w:lineRule="auto"/>
        <w:rPr>
          <w:lang w:val="en-GB"/>
        </w:rPr>
      </w:pPr>
    </w:p>
    <w:p w14:paraId="5158AB18" w14:textId="6FEA722F" w:rsidR="00D71ADD" w:rsidRPr="00515DC8" w:rsidRDefault="00FC21EF" w:rsidP="001B74D8">
      <w:pPr>
        <w:widowControl w:val="0"/>
        <w:autoSpaceDE w:val="0"/>
        <w:autoSpaceDN w:val="0"/>
        <w:adjustRightInd w:val="0"/>
        <w:spacing w:line="480" w:lineRule="auto"/>
        <w:rPr>
          <w:lang w:val="en-GB"/>
        </w:rPr>
      </w:pPr>
      <w:r w:rsidRPr="00515DC8">
        <w:rPr>
          <w:lang w:val="en-GB"/>
        </w:rPr>
        <w:t xml:space="preserve">Research within this field, regardless of paradigm needs to be able to report findings clearly and should demonstrate pedagogical clarity (what are the key elements of the design); methodological transparency (explication of methods, samples, context, process), methodological congruence (alignment between aims, methodology, methods of data collection and analysis; suitability of tools), be evidence-based (consideration of </w:t>
      </w:r>
    </w:p>
    <w:p w14:paraId="4A5D10B0" w14:textId="5761234F" w:rsidR="004D1B0C" w:rsidRPr="00515DC8" w:rsidRDefault="00FC21EF" w:rsidP="001B74D8">
      <w:pPr>
        <w:widowControl w:val="0"/>
        <w:autoSpaceDE w:val="0"/>
        <w:autoSpaceDN w:val="0"/>
        <w:adjustRightInd w:val="0"/>
        <w:spacing w:line="480" w:lineRule="auto"/>
        <w:rPr>
          <w:lang w:val="en-GB"/>
        </w:rPr>
      </w:pPr>
      <w:r w:rsidRPr="00515DC8">
        <w:rPr>
          <w:lang w:val="en-GB"/>
        </w:rPr>
        <w:t>reliability and validity etc.</w:t>
      </w:r>
      <w:r w:rsidR="00BE7741">
        <w:rPr>
          <w:lang w:val="en-GB"/>
        </w:rPr>
        <w:t>,</w:t>
      </w:r>
      <w:r w:rsidRPr="00515DC8">
        <w:rPr>
          <w:lang w:val="en-GB"/>
        </w:rPr>
        <w:t xml:space="preserve">); implications and recommendations should be made; the </w:t>
      </w:r>
    </w:p>
    <w:p w14:paraId="7CC6C681" w14:textId="449475D9" w:rsidR="00FC21EF" w:rsidRPr="00515DC8" w:rsidRDefault="00FC21EF" w:rsidP="001B74D8">
      <w:pPr>
        <w:widowControl w:val="0"/>
        <w:autoSpaceDE w:val="0"/>
        <w:autoSpaceDN w:val="0"/>
        <w:adjustRightInd w:val="0"/>
        <w:spacing w:line="480" w:lineRule="auto"/>
        <w:rPr>
          <w:lang w:val="en-GB"/>
        </w:rPr>
      </w:pPr>
      <w:r w:rsidRPr="00515DC8">
        <w:rPr>
          <w:lang w:val="en-GB"/>
        </w:rPr>
        <w:t>process of implementation and context should be detailed to enable replication of the approach in other settings to be robust</w:t>
      </w:r>
      <w:r w:rsidR="00BE7741">
        <w:rPr>
          <w:lang w:val="en-GB"/>
        </w:rPr>
        <w:t>,</w:t>
      </w:r>
      <w:r w:rsidRPr="00515DC8">
        <w:rPr>
          <w:lang w:val="en-GB"/>
        </w:rPr>
        <w:t xml:space="preserve"> and demonstrate clarity around the pedagogy/approach being implemented (See Evans et al., 2015). </w:t>
      </w:r>
    </w:p>
    <w:p w14:paraId="31E2D4FF" w14:textId="64E9C9BA" w:rsidR="00FC21EF" w:rsidRPr="00515DC8" w:rsidRDefault="00FC21EF" w:rsidP="001B74D8">
      <w:pPr>
        <w:widowControl w:val="0"/>
        <w:autoSpaceDE w:val="0"/>
        <w:autoSpaceDN w:val="0"/>
        <w:adjustRightInd w:val="0"/>
        <w:spacing w:line="480" w:lineRule="auto"/>
        <w:rPr>
          <w:lang w:val="en-GB"/>
        </w:rPr>
      </w:pPr>
    </w:p>
    <w:p w14:paraId="44803E7E" w14:textId="0E79F21B" w:rsidR="00346305" w:rsidRPr="00515DC8" w:rsidRDefault="00FC21EF" w:rsidP="00404D06">
      <w:pPr>
        <w:shd w:val="clear" w:color="auto" w:fill="FFFFFF" w:themeFill="background1"/>
        <w:spacing w:line="480" w:lineRule="auto"/>
        <w:outlineLvl w:val="0"/>
        <w:rPr>
          <w:b/>
          <w:i/>
          <w:u w:val="single"/>
          <w:lang w:val="en-GB"/>
        </w:rPr>
      </w:pPr>
      <w:r w:rsidRPr="00515DC8">
        <w:rPr>
          <w:i/>
          <w:lang w:val="en-GB"/>
        </w:rPr>
        <w:t xml:space="preserve">Issue </w:t>
      </w:r>
      <w:r w:rsidR="000F6D89" w:rsidRPr="00515DC8">
        <w:rPr>
          <w:i/>
          <w:lang w:val="en-GB"/>
        </w:rPr>
        <w:t>6</w:t>
      </w:r>
      <w:r w:rsidR="00BE7741">
        <w:rPr>
          <w:i/>
          <w:lang w:val="en-GB"/>
        </w:rPr>
        <w:t>:</w:t>
      </w:r>
      <w:r w:rsidR="000F6D89" w:rsidRPr="00515DC8">
        <w:rPr>
          <w:i/>
          <w:lang w:val="en-GB"/>
        </w:rPr>
        <w:t xml:space="preserve"> Holistic</w:t>
      </w:r>
      <w:r w:rsidR="00346305" w:rsidRPr="00515DC8">
        <w:rPr>
          <w:i/>
          <w:lang w:val="en-GB"/>
        </w:rPr>
        <w:t xml:space="preserve"> research design planning and evaluation</w:t>
      </w:r>
    </w:p>
    <w:p w14:paraId="06EA4896" w14:textId="6B00E41A" w:rsidR="00346305" w:rsidRDefault="00346305" w:rsidP="00346305">
      <w:pPr>
        <w:shd w:val="clear" w:color="auto" w:fill="FFFFFF" w:themeFill="background1"/>
        <w:tabs>
          <w:tab w:val="left" w:pos="2778"/>
        </w:tabs>
        <w:spacing w:line="480" w:lineRule="auto"/>
        <w:rPr>
          <w:lang w:val="en-GB"/>
        </w:rPr>
      </w:pPr>
      <w:r w:rsidRPr="00515DC8">
        <w:rPr>
          <w:lang w:val="en-GB"/>
        </w:rPr>
        <w:t xml:space="preserve">Learning gain initiatives represent complex interventions with many important design and delivery considerations to consider from the outset. Failure to have tight research-informed designs impacts the credibility of findings and is </w:t>
      </w:r>
      <w:r w:rsidR="002A09AD">
        <w:rPr>
          <w:lang w:val="en-GB"/>
        </w:rPr>
        <w:t>resource wasteful</w:t>
      </w:r>
      <w:r w:rsidRPr="00515DC8">
        <w:rPr>
          <w:lang w:val="en-GB"/>
        </w:rPr>
        <w:t xml:space="preserve">. In framing learning gain measurement approaches, considerable lead in time is needed to align all dimensions of projects. Figure 4 identifies key considerations when undertaking complex interventions drawing on MRC </w:t>
      </w:r>
      <w:r w:rsidR="00BE7741">
        <w:rPr>
          <w:lang w:val="en-GB"/>
        </w:rPr>
        <w:t xml:space="preserve">research </w:t>
      </w:r>
      <w:r w:rsidRPr="00515DC8">
        <w:rPr>
          <w:lang w:val="en-GB"/>
        </w:rPr>
        <w:t>(</w:t>
      </w:r>
      <w:r w:rsidR="00BE7741">
        <w:rPr>
          <w:lang w:val="en-GB"/>
        </w:rPr>
        <w:t xml:space="preserve">MRC, </w:t>
      </w:r>
      <w:r w:rsidRPr="00515DC8">
        <w:rPr>
          <w:lang w:val="en-GB"/>
        </w:rPr>
        <w:t>2008</w:t>
      </w:r>
      <w:r w:rsidR="00BE7741">
        <w:rPr>
          <w:lang w:val="en-GB"/>
        </w:rPr>
        <w:t xml:space="preserve">, p. 8; Moore et al., 2014), </w:t>
      </w:r>
      <w:r w:rsidRPr="00515DC8">
        <w:rPr>
          <w:lang w:val="en-GB"/>
        </w:rPr>
        <w:t>and the associated literature (Nesta, 2013, 2016; WHO, 2008, 2009, 2011</w:t>
      </w:r>
      <w:r w:rsidR="00BE7741">
        <w:rPr>
          <w:lang w:val="en-GB"/>
        </w:rPr>
        <w:t>)</w:t>
      </w:r>
      <w:r w:rsidRPr="00515DC8">
        <w:rPr>
          <w:lang w:val="en-GB"/>
        </w:rPr>
        <w:t xml:space="preserve">; useful guidance on process evaluation can be found in Moore et al., 2015, p. 4). The core themes emerging from the data and reviews of the literature to support effective learning gain initiatives include: (i) ensuring ownership of  learning gain approaches at all levels; (ii) employing integrated approaches that build in support from all stakeholders; (iii) embedding learning gain approaches within curriculum design and delivery; (iv) training to support shared understandings of initiatives; (v) using data effectively to support enhancements in pedagogy requiring nimble data mining and analysis; (vi) effective dissemination of research to support pedagogical enhancement. </w:t>
      </w:r>
    </w:p>
    <w:p w14:paraId="567B3C4C" w14:textId="77777777" w:rsidR="004641AF" w:rsidRPr="00515DC8" w:rsidRDefault="004641AF" w:rsidP="00346305">
      <w:pPr>
        <w:shd w:val="clear" w:color="auto" w:fill="FFFFFF" w:themeFill="background1"/>
        <w:tabs>
          <w:tab w:val="left" w:pos="2778"/>
        </w:tabs>
        <w:spacing w:line="480" w:lineRule="auto"/>
        <w:rPr>
          <w:lang w:val="en-GB"/>
        </w:rPr>
      </w:pPr>
    </w:p>
    <w:p w14:paraId="4E62A67A" w14:textId="291455FC" w:rsidR="00346305" w:rsidRPr="00515DC8" w:rsidRDefault="00346305" w:rsidP="004641AF">
      <w:pPr>
        <w:shd w:val="clear" w:color="auto" w:fill="FFFFFF" w:themeFill="background1"/>
        <w:tabs>
          <w:tab w:val="left" w:pos="2778"/>
        </w:tabs>
        <w:spacing w:line="480" w:lineRule="auto"/>
        <w:rPr>
          <w:lang w:val="en-GB"/>
        </w:rPr>
      </w:pPr>
      <w:r w:rsidRPr="00515DC8">
        <w:rPr>
          <w:lang w:val="en-GB"/>
        </w:rPr>
        <w:t>In addressing such concerns already highlighted, the importance of on-going integrated evaluation of interventions cannot be underestimated. Key elements of the dev</w:t>
      </w:r>
      <w:r w:rsidR="002A09AD">
        <w:rPr>
          <w:lang w:val="en-GB"/>
        </w:rPr>
        <w:t>elopment and evaluation process</w:t>
      </w:r>
      <w:r w:rsidRPr="00515DC8">
        <w:rPr>
          <w:lang w:val="en-GB"/>
        </w:rPr>
        <w:t xml:space="preserve"> and the relationships between them are shown in Figure 4 adapted from MRC </w:t>
      </w:r>
      <w:r w:rsidR="00BE7741">
        <w:rPr>
          <w:lang w:val="en-GB"/>
        </w:rPr>
        <w:t>guidance. T</w:t>
      </w:r>
      <w:r w:rsidRPr="00515DC8">
        <w:rPr>
          <w:lang w:val="en-GB"/>
        </w:rPr>
        <w:t>hese</w:t>
      </w:r>
      <w:r w:rsidR="00BE7741">
        <w:rPr>
          <w:lang w:val="en-GB"/>
        </w:rPr>
        <w:t xml:space="preserve"> elements</w:t>
      </w:r>
      <w:r w:rsidRPr="00515DC8">
        <w:rPr>
          <w:lang w:val="en-GB"/>
        </w:rPr>
        <w:t xml:space="preserve"> include: feasibility and piloting, evaluation, implementation, and development; the nature of such processes may or may not be linear or cyclical; there are many possible permutations of the process. The importance of context cannot be underestimated; interventions need to be sufficiently flexible to mould to local contexts, and in turn</w:t>
      </w:r>
      <w:r w:rsidR="002A09AD">
        <w:rPr>
          <w:lang w:val="en-GB"/>
        </w:rPr>
        <w:t>,</w:t>
      </w:r>
      <w:r w:rsidRPr="00515DC8">
        <w:rPr>
          <w:lang w:val="en-GB"/>
        </w:rPr>
        <w:t xml:space="preserve"> will be shaped by how they play out in naturalistic settings. </w:t>
      </w:r>
      <w:r w:rsidR="00596C70" w:rsidRPr="00515DC8">
        <w:t xml:space="preserve"> Several </w:t>
      </w:r>
      <w:r w:rsidRPr="00515DC8">
        <w:rPr>
          <w:lang w:val="en-GB"/>
        </w:rPr>
        <w:t>key constructs highlighted by Moore et al. (2015)</w:t>
      </w:r>
      <w:r w:rsidR="00AF11FC" w:rsidRPr="00515DC8">
        <w:rPr>
          <w:lang w:val="en-GB"/>
        </w:rPr>
        <w:t xml:space="preserve"> in the MRC guidance </w:t>
      </w:r>
      <w:r w:rsidRPr="00515DC8">
        <w:rPr>
          <w:lang w:val="en-GB"/>
        </w:rPr>
        <w:t xml:space="preserve">have applicability within HE and the learning gain context, to include (i) </w:t>
      </w:r>
      <w:r w:rsidRPr="004641AF">
        <w:rPr>
          <w:i/>
          <w:lang w:val="en-GB"/>
        </w:rPr>
        <w:t>fidelity</w:t>
      </w:r>
      <w:r w:rsidRPr="00515DC8">
        <w:rPr>
          <w:lang w:val="en-GB"/>
        </w:rPr>
        <w:t xml:space="preserve"> – the degree to which an intervention is delivered as intended; (ii) </w:t>
      </w:r>
      <w:r w:rsidRPr="004641AF">
        <w:rPr>
          <w:i/>
          <w:lang w:val="en-GB"/>
        </w:rPr>
        <w:t>dose</w:t>
      </w:r>
      <w:r w:rsidRPr="00515DC8">
        <w:rPr>
          <w:lang w:val="en-GB"/>
        </w:rPr>
        <w:t xml:space="preserve"> – the quantity of the intervention implemented; (iii) </w:t>
      </w:r>
      <w:r w:rsidRPr="004641AF">
        <w:rPr>
          <w:i/>
          <w:lang w:val="en-GB"/>
        </w:rPr>
        <w:t>reach</w:t>
      </w:r>
      <w:r w:rsidRPr="00515DC8">
        <w:rPr>
          <w:lang w:val="en-GB"/>
        </w:rPr>
        <w:t xml:space="preserve"> – whether the intervention reaches and impacts the intended population. Linked to fidelity, dose, and reach, is the importance of </w:t>
      </w:r>
      <w:r w:rsidRPr="004641AF">
        <w:rPr>
          <w:i/>
          <w:lang w:val="en-GB"/>
        </w:rPr>
        <w:t>sensitivity to context</w:t>
      </w:r>
      <w:r w:rsidRPr="00515DC8">
        <w:rPr>
          <w:lang w:val="en-GB"/>
        </w:rPr>
        <w:t xml:space="preserve"> especially if aiming to embed ideas, and to support sustainability agendas. The effects of an intervention may be consistent, or vary across contexts; learning gain projects need to be able to capture the minutiae if we are to understand what works well, and under what conditions, and with whom</w:t>
      </w:r>
      <w:r w:rsidR="00AF11FC" w:rsidRPr="00515DC8">
        <w:rPr>
          <w:lang w:val="en-GB"/>
        </w:rPr>
        <w:t xml:space="preserve">. Crucially, and with the UK learning gain projects in mind, time </w:t>
      </w:r>
      <w:r w:rsidR="00596C70" w:rsidRPr="00515DC8">
        <w:t>should</w:t>
      </w:r>
      <w:r w:rsidR="00AF11FC" w:rsidRPr="00515DC8">
        <w:rPr>
          <w:lang w:val="en-GB"/>
        </w:rPr>
        <w:t xml:space="preserve"> be factored in to ensure sufficient evaluation of the feasibility and piloting stage of interventions prior to wider scale implementation. Even with </w:t>
      </w:r>
      <w:r w:rsidR="00404D06">
        <w:rPr>
          <w:lang w:val="en-GB"/>
        </w:rPr>
        <w:t>high-quality</w:t>
      </w:r>
      <w:r w:rsidR="00AF11FC" w:rsidRPr="00515DC8">
        <w:rPr>
          <w:lang w:val="en-GB"/>
        </w:rPr>
        <w:t xml:space="preserve"> designs, time is needed to build shared understanding of the implementation process, the principles underpinning the research, the mechanisms to support the process, </w:t>
      </w:r>
      <w:r w:rsidR="002A09AD" w:rsidRPr="00515DC8">
        <w:rPr>
          <w:lang w:val="en-GB"/>
        </w:rPr>
        <w:t>and training</w:t>
      </w:r>
      <w:r w:rsidR="00AF11FC" w:rsidRPr="00515DC8">
        <w:rPr>
          <w:lang w:val="en-GB"/>
        </w:rPr>
        <w:t xml:space="preserve"> for academics and students in all stages of the process.</w:t>
      </w:r>
    </w:p>
    <w:p w14:paraId="1EA0004F" w14:textId="77777777" w:rsidR="00AF11FC" w:rsidRPr="00515DC8" w:rsidRDefault="00AF11FC" w:rsidP="004641AF">
      <w:pPr>
        <w:shd w:val="clear" w:color="auto" w:fill="FFFFFF" w:themeFill="background1"/>
        <w:spacing w:line="480" w:lineRule="auto"/>
        <w:rPr>
          <w:lang w:val="en-GB"/>
        </w:rPr>
      </w:pPr>
    </w:p>
    <w:p w14:paraId="1DEC51C5" w14:textId="64EF49AE" w:rsidR="006D0948" w:rsidRPr="00515DC8" w:rsidRDefault="00346305" w:rsidP="004641AF">
      <w:pPr>
        <w:shd w:val="clear" w:color="auto" w:fill="FFFFFF" w:themeFill="background1"/>
        <w:spacing w:line="480" w:lineRule="auto"/>
        <w:outlineLvl w:val="0"/>
        <w:rPr>
          <w:lang w:val="en-GB"/>
        </w:rPr>
      </w:pPr>
      <w:r w:rsidRPr="004641AF">
        <w:rPr>
          <w:highlight w:val="yellow"/>
          <w:lang w:val="en-GB"/>
        </w:rPr>
        <w:t>Figure 4 here</w:t>
      </w:r>
    </w:p>
    <w:p w14:paraId="5076DE84" w14:textId="046C767F" w:rsidR="00FC21EF" w:rsidRPr="00515DC8" w:rsidRDefault="00FC21EF" w:rsidP="001B74D8">
      <w:pPr>
        <w:spacing w:line="480" w:lineRule="auto"/>
        <w:rPr>
          <w:lang w:val="en-GB"/>
        </w:rPr>
      </w:pPr>
      <w:r w:rsidRPr="00515DC8">
        <w:rPr>
          <w:lang w:val="en-GB"/>
        </w:rPr>
        <w:t xml:space="preserve">In choosing an appropriate approach to measure learning gain, there are limitations with large and </w:t>
      </w:r>
      <w:r w:rsidR="00EF7308" w:rsidRPr="00515DC8">
        <w:rPr>
          <w:lang w:val="en-GB"/>
        </w:rPr>
        <w:t>small-scale</w:t>
      </w:r>
      <w:r w:rsidRPr="00515DC8">
        <w:rPr>
          <w:lang w:val="en-GB"/>
        </w:rPr>
        <w:t xml:space="preserve"> measures; the former not being attuned to contextual </w:t>
      </w:r>
      <w:r w:rsidR="00AF11FC" w:rsidRPr="00515DC8">
        <w:rPr>
          <w:lang w:val="en-GB"/>
        </w:rPr>
        <w:t>idiosyncrasies</w:t>
      </w:r>
      <w:r w:rsidR="00E82381" w:rsidRPr="00515DC8">
        <w:rPr>
          <w:lang w:val="en-GB"/>
        </w:rPr>
        <w:t xml:space="preserve"> (Ifenthaler, 2017),</w:t>
      </w:r>
      <w:r w:rsidRPr="00515DC8">
        <w:rPr>
          <w:lang w:val="en-GB"/>
        </w:rPr>
        <w:t xml:space="preserve"> and the latter may have little relevance to other contexts. To address this issue, Caspersen et al. (2017, p. 28) argue that:  </w:t>
      </w:r>
    </w:p>
    <w:p w14:paraId="43118264" w14:textId="77777777" w:rsidR="004D1B0C" w:rsidRPr="00515DC8" w:rsidRDefault="004D1B0C" w:rsidP="001B74D8">
      <w:pPr>
        <w:spacing w:line="480" w:lineRule="auto"/>
        <w:rPr>
          <w:lang w:val="en-GB"/>
        </w:rPr>
      </w:pPr>
    </w:p>
    <w:p w14:paraId="7B4358DF" w14:textId="77777777" w:rsidR="00FC21EF" w:rsidRDefault="00FC21EF" w:rsidP="001B74D8">
      <w:pPr>
        <w:spacing w:line="480" w:lineRule="auto"/>
        <w:ind w:left="567" w:right="804"/>
        <w:jc w:val="both"/>
        <w:rPr>
          <w:lang w:val="en-GB"/>
        </w:rPr>
      </w:pPr>
      <w:r w:rsidRPr="00515DC8">
        <w:rPr>
          <w:lang w:val="en-GB"/>
        </w:rPr>
        <w:t xml:space="preserve">Perhaps the middle road is the most productive: the systematic development of different indicators, with systematic comparisons of results, will probably provide the best way forward in terms of costs and benefits. Also, systematic meta-reviews of the results and experiences from a wide range of assessment projects may be useful. </w:t>
      </w:r>
    </w:p>
    <w:p w14:paraId="3FA6A156" w14:textId="77777777" w:rsidR="004641AF" w:rsidRPr="00515DC8" w:rsidRDefault="004641AF" w:rsidP="001B74D8">
      <w:pPr>
        <w:spacing w:line="480" w:lineRule="auto"/>
        <w:ind w:left="567" w:right="804"/>
        <w:jc w:val="both"/>
        <w:rPr>
          <w:lang w:val="en-GB"/>
        </w:rPr>
      </w:pPr>
    </w:p>
    <w:p w14:paraId="61B56AEE" w14:textId="236A4ABD" w:rsidR="00FC21EF" w:rsidRDefault="00FC21EF" w:rsidP="001B74D8">
      <w:pPr>
        <w:spacing w:line="480" w:lineRule="auto"/>
        <w:rPr>
          <w:lang w:val="en-GB"/>
        </w:rPr>
      </w:pPr>
      <w:r w:rsidRPr="00515DC8">
        <w:rPr>
          <w:lang w:val="en-GB"/>
        </w:rPr>
        <w:t>Systematic meta-reviews have value but we must not ignore the rich bank of qualitative data that exists within HE research. Much emphasis has been placed on the use of experimental designs and randomised control trials within the learning gain arena, but this should not detract from the importance, and credibility of good qualitative research. We must be careful that we do not privilege quantitative over qualitative evidence and vice versa (Nesta, 2016 quoting Stephen Morris).  As part of this work, greater sophistication in research designs is needed to explore variation at the individual level as well as at the group level (Asikainen &amp; Gijbels, 2017), and in exploring the causal mechanisms that underlie differential learning outcomes (Mountford Zimdars et al.</w:t>
      </w:r>
      <w:r w:rsidR="00E82381" w:rsidRPr="00515DC8">
        <w:rPr>
          <w:lang w:val="en-GB"/>
        </w:rPr>
        <w:t>,</w:t>
      </w:r>
      <w:r w:rsidRPr="00515DC8">
        <w:rPr>
          <w:lang w:val="en-GB"/>
        </w:rPr>
        <w:t xml:space="preserve"> 2015).  </w:t>
      </w:r>
    </w:p>
    <w:p w14:paraId="768823C0" w14:textId="77777777" w:rsidR="004641AF" w:rsidRPr="00515DC8" w:rsidRDefault="004641AF" w:rsidP="001B74D8">
      <w:pPr>
        <w:spacing w:line="480" w:lineRule="auto"/>
        <w:rPr>
          <w:lang w:val="en-GB"/>
        </w:rPr>
      </w:pPr>
    </w:p>
    <w:p w14:paraId="6EE26889" w14:textId="3662B443" w:rsidR="00FC21EF" w:rsidRPr="00515DC8" w:rsidRDefault="00FC21EF" w:rsidP="001B74D8">
      <w:pPr>
        <w:tabs>
          <w:tab w:val="left" w:pos="3258"/>
        </w:tabs>
        <w:spacing w:line="480" w:lineRule="auto"/>
        <w:rPr>
          <w:lang w:val="en-GB"/>
        </w:rPr>
      </w:pPr>
      <w:r w:rsidRPr="00515DC8">
        <w:rPr>
          <w:lang w:val="en-GB"/>
        </w:rPr>
        <w:t xml:space="preserve">For all types of </w:t>
      </w:r>
      <w:r w:rsidR="00EF7308" w:rsidRPr="00515DC8">
        <w:rPr>
          <w:lang w:val="en-GB"/>
        </w:rPr>
        <w:t>analyses,</w:t>
      </w:r>
      <w:r w:rsidRPr="00515DC8">
        <w:rPr>
          <w:lang w:val="en-GB"/>
        </w:rPr>
        <w:t xml:space="preserve"> a key limitation is how constructs are defined and measures operationalised, rendering it difficult to make comparisons across studies or to replicate approaches (Duckworth &amp; Yeager, 2015). To address the different interpretation of constructs there are calls across the sector for greater </w:t>
      </w:r>
      <w:r w:rsidR="00BE7741">
        <w:rPr>
          <w:rFonts w:eastAsia="Times New Roman"/>
          <w:lang w:val="en-GB" w:eastAsia="en-GB"/>
        </w:rPr>
        <w:t>standardis</w:t>
      </w:r>
      <w:r w:rsidRPr="00515DC8">
        <w:rPr>
          <w:rFonts w:eastAsia="Times New Roman"/>
          <w:lang w:val="en-GB" w:eastAsia="en-GB"/>
        </w:rPr>
        <w:t>ation of the deﬁnition of concept, measures, and of measurement instruments</w:t>
      </w:r>
      <w:r w:rsidRPr="00515DC8">
        <w:rPr>
          <w:lang w:val="en-GB"/>
        </w:rPr>
        <w:t xml:space="preserve"> (</w:t>
      </w:r>
      <w:r w:rsidRPr="00515DC8">
        <w:rPr>
          <w:rFonts w:eastAsia="Times New Roman"/>
          <w:lang w:val="en-GB" w:eastAsia="en-GB"/>
        </w:rPr>
        <w:t xml:space="preserve">van der Zanden, Denessen, Cillessen, &amp; Meijer, 2018) derived from clearly </w:t>
      </w:r>
      <w:r w:rsidRPr="00515DC8">
        <w:rPr>
          <w:lang w:val="en-GB"/>
        </w:rPr>
        <w:t>specified process models: ‘Investment in precisely targeted, theoretically based, interventions could help students optimize their potential and would provide empirical tests of proposed process models of tertiary achievemen</w:t>
      </w:r>
      <w:r w:rsidR="00E82381" w:rsidRPr="00515DC8">
        <w:rPr>
          <w:lang w:val="en-GB"/>
        </w:rPr>
        <w:t xml:space="preserve">t’ (Richardson, Abraham, &amp; Bond, </w:t>
      </w:r>
      <w:r w:rsidRPr="00515DC8">
        <w:rPr>
          <w:lang w:val="en-GB"/>
        </w:rPr>
        <w:t xml:space="preserve">2017, p. 376). </w:t>
      </w:r>
    </w:p>
    <w:p w14:paraId="55B199E5" w14:textId="77777777" w:rsidR="00515DC8" w:rsidRPr="00515DC8" w:rsidRDefault="00515DC8" w:rsidP="001B74D8">
      <w:pPr>
        <w:tabs>
          <w:tab w:val="left" w:pos="3258"/>
        </w:tabs>
        <w:spacing w:line="480" w:lineRule="auto"/>
        <w:rPr>
          <w:lang w:val="en-GB"/>
        </w:rPr>
      </w:pPr>
    </w:p>
    <w:p w14:paraId="33463574" w14:textId="26415646" w:rsidR="00D71ADD" w:rsidRPr="00515DC8" w:rsidRDefault="00FC21EF" w:rsidP="001B74D8">
      <w:pPr>
        <w:tabs>
          <w:tab w:val="left" w:pos="3258"/>
        </w:tabs>
        <w:spacing w:line="480" w:lineRule="auto"/>
        <w:rPr>
          <w:lang w:val="en-GB"/>
        </w:rPr>
      </w:pPr>
      <w:r w:rsidRPr="00515DC8">
        <w:rPr>
          <w:lang w:val="en-GB"/>
        </w:rPr>
        <w:t xml:space="preserve">The critical questions to ask are; to what extent are these measurement principles and statistics relevant in this context?  As Bond and Fox (2015, p. 5) opine, ‘we ought to spend more time investigating our scales, than investigating with our scales’, and it may be, that the answer to our questions is that our endeavours are not valid in psychometric terms, but that they do have valid usefulness.  </w:t>
      </w:r>
      <w:bookmarkStart w:id="15" w:name="_Hlk510444292"/>
    </w:p>
    <w:p w14:paraId="500A8BC0" w14:textId="77777777" w:rsidR="00AF11FC" w:rsidRPr="00515DC8" w:rsidRDefault="00AF11FC" w:rsidP="001B74D8">
      <w:pPr>
        <w:tabs>
          <w:tab w:val="left" w:pos="3258"/>
        </w:tabs>
        <w:spacing w:line="480" w:lineRule="auto"/>
        <w:rPr>
          <w:lang w:val="en-GB"/>
        </w:rPr>
      </w:pPr>
    </w:p>
    <w:p w14:paraId="4013CAE9" w14:textId="550E9D3D" w:rsidR="006913DD" w:rsidRPr="00515DC8" w:rsidRDefault="00D71ADD" w:rsidP="00404D06">
      <w:pPr>
        <w:spacing w:line="480" w:lineRule="auto"/>
        <w:outlineLvl w:val="0"/>
        <w:rPr>
          <w:b/>
          <w:sz w:val="28"/>
          <w:lang w:val="en-GB"/>
        </w:rPr>
      </w:pPr>
      <w:r w:rsidRPr="00515DC8">
        <w:rPr>
          <w:b/>
          <w:lang w:val="en-GB"/>
        </w:rPr>
        <w:t xml:space="preserve">Part three: </w:t>
      </w:r>
      <w:r w:rsidR="009B5CC0" w:rsidRPr="00515DC8">
        <w:rPr>
          <w:b/>
          <w:lang w:val="en-GB"/>
        </w:rPr>
        <w:t xml:space="preserve">The </w:t>
      </w:r>
      <w:r w:rsidR="002B0270" w:rsidRPr="00515DC8">
        <w:rPr>
          <w:b/>
          <w:lang w:val="en-GB"/>
        </w:rPr>
        <w:t>p</w:t>
      </w:r>
      <w:r w:rsidR="009B5CC0" w:rsidRPr="00515DC8">
        <w:rPr>
          <w:b/>
          <w:lang w:val="en-GB"/>
        </w:rPr>
        <w:t>edagogical imperative of learning g</w:t>
      </w:r>
      <w:r w:rsidR="00BF6785" w:rsidRPr="00515DC8">
        <w:rPr>
          <w:b/>
          <w:lang w:val="en-GB"/>
        </w:rPr>
        <w:t>ain</w:t>
      </w:r>
      <w:bookmarkEnd w:id="15"/>
      <w:r w:rsidR="001F6302" w:rsidRPr="00515DC8">
        <w:rPr>
          <w:b/>
          <w:lang w:val="en-GB"/>
        </w:rPr>
        <w:t xml:space="preserve"> policy</w:t>
      </w:r>
    </w:p>
    <w:p w14:paraId="73ADFA44" w14:textId="2B5A7772" w:rsidR="002B0270" w:rsidRDefault="00BF6785" w:rsidP="001B74D8">
      <w:pPr>
        <w:spacing w:line="480" w:lineRule="auto"/>
        <w:ind w:left="567" w:right="804"/>
        <w:jc w:val="both"/>
        <w:rPr>
          <w:lang w:val="en-GB"/>
        </w:rPr>
      </w:pPr>
      <w:r w:rsidRPr="00515DC8">
        <w:rPr>
          <w:lang w:val="en-GB"/>
        </w:rPr>
        <w:t xml:space="preserve"> …t</w:t>
      </w:r>
      <w:r w:rsidR="000C3F3B" w:rsidRPr="00515DC8">
        <w:rPr>
          <w:lang w:val="en-GB"/>
        </w:rPr>
        <w:t>he true value of learning gain data is to be found not in its potential to enable a national comparison between universities, but in its ability to influence and improve teaching, le</w:t>
      </w:r>
      <w:r w:rsidRPr="00515DC8">
        <w:rPr>
          <w:lang w:val="en-GB"/>
        </w:rPr>
        <w:t xml:space="preserve">arning and student development </w:t>
      </w:r>
      <w:r w:rsidR="000C3F3B" w:rsidRPr="00515DC8">
        <w:rPr>
          <w:lang w:val="en-GB"/>
        </w:rPr>
        <w:t>(</w:t>
      </w:r>
      <w:r w:rsidRPr="00515DC8">
        <w:rPr>
          <w:lang w:val="en-GB"/>
        </w:rPr>
        <w:t>Haddelsey, Speight, &amp; Brumhead, 2017</w:t>
      </w:r>
      <w:r w:rsidR="00D75638" w:rsidRPr="00515DC8">
        <w:rPr>
          <w:lang w:val="en-GB"/>
        </w:rPr>
        <w:t>; Hefce, 2017</w:t>
      </w:r>
      <w:r w:rsidR="00C67EE4" w:rsidRPr="00515DC8">
        <w:rPr>
          <w:lang w:val="en-GB"/>
        </w:rPr>
        <w:t>a</w:t>
      </w:r>
      <w:r w:rsidR="00D75638" w:rsidRPr="00515DC8">
        <w:rPr>
          <w:lang w:val="en-GB"/>
        </w:rPr>
        <w:t>/Office for Students, 2018</w:t>
      </w:r>
      <w:r w:rsidR="00C67EE4" w:rsidRPr="00515DC8">
        <w:rPr>
          <w:lang w:val="en-GB"/>
        </w:rPr>
        <w:t>a</w:t>
      </w:r>
      <w:r w:rsidR="00D75638" w:rsidRPr="00515DC8">
        <w:rPr>
          <w:lang w:val="en-GB"/>
        </w:rPr>
        <w:t>)</w:t>
      </w:r>
    </w:p>
    <w:p w14:paraId="49DBADD9" w14:textId="77777777" w:rsidR="00BE7741" w:rsidRPr="00515DC8" w:rsidRDefault="00BE7741" w:rsidP="001B74D8">
      <w:pPr>
        <w:spacing w:line="480" w:lineRule="auto"/>
        <w:ind w:left="567" w:right="804"/>
        <w:jc w:val="both"/>
        <w:rPr>
          <w:lang w:val="en-GB"/>
        </w:rPr>
      </w:pPr>
    </w:p>
    <w:p w14:paraId="3F562D20" w14:textId="35B708DC" w:rsidR="00D01FDA" w:rsidRPr="00515DC8" w:rsidRDefault="009752F3" w:rsidP="001B74D8">
      <w:pPr>
        <w:spacing w:line="480" w:lineRule="auto"/>
        <w:rPr>
          <w:lang w:val="en-GB"/>
        </w:rPr>
      </w:pPr>
      <w:r w:rsidRPr="00515DC8">
        <w:rPr>
          <w:lang w:val="en-GB"/>
        </w:rPr>
        <w:t xml:space="preserve">In this section, we argue that the </w:t>
      </w:r>
      <w:r w:rsidR="00E711A3" w:rsidRPr="00515DC8">
        <w:rPr>
          <w:lang w:val="en-GB"/>
        </w:rPr>
        <w:t>key aim of learning gain measures should be to inform pedagogy and not</w:t>
      </w:r>
      <w:r w:rsidR="00F856F9" w:rsidRPr="00515DC8">
        <w:rPr>
          <w:lang w:val="en-GB"/>
        </w:rPr>
        <w:t xml:space="preserve"> merely to provide</w:t>
      </w:r>
      <w:r w:rsidR="00E711A3" w:rsidRPr="00515DC8">
        <w:rPr>
          <w:lang w:val="en-GB"/>
        </w:rPr>
        <w:t xml:space="preserve"> proof of quality (</w:t>
      </w:r>
      <w:r w:rsidR="00E711A3" w:rsidRPr="00515DC8">
        <w:rPr>
          <w:i/>
          <w:lang w:val="en-GB"/>
        </w:rPr>
        <w:t>Sands</w:t>
      </w:r>
      <w:r w:rsidR="00343120" w:rsidRPr="00515DC8">
        <w:rPr>
          <w:lang w:val="en-GB"/>
        </w:rPr>
        <w:t xml:space="preserve"> </w:t>
      </w:r>
      <w:r w:rsidR="00343120" w:rsidRPr="00515DC8">
        <w:rPr>
          <w:i/>
          <w:lang w:val="en-GB"/>
        </w:rPr>
        <w:t>et al.</w:t>
      </w:r>
      <w:r w:rsidR="00E711A3" w:rsidRPr="00515DC8">
        <w:rPr>
          <w:i/>
          <w:lang w:val="en-GB"/>
        </w:rPr>
        <w:t>, 2018).</w:t>
      </w:r>
      <w:r w:rsidR="00E57057" w:rsidRPr="00515DC8">
        <w:rPr>
          <w:lang w:val="en-GB"/>
        </w:rPr>
        <w:t xml:space="preserve"> </w:t>
      </w:r>
      <w:r w:rsidR="008D2C53" w:rsidRPr="00515DC8">
        <w:rPr>
          <w:lang w:val="en-GB"/>
        </w:rPr>
        <w:t xml:space="preserve">The emphasis </w:t>
      </w:r>
      <w:r w:rsidR="002C42D0" w:rsidRPr="00515DC8">
        <w:rPr>
          <w:lang w:val="en-GB"/>
        </w:rPr>
        <w:t>should</w:t>
      </w:r>
      <w:r w:rsidR="007A5617" w:rsidRPr="00515DC8">
        <w:rPr>
          <w:lang w:val="en-GB"/>
        </w:rPr>
        <w:t xml:space="preserve"> </w:t>
      </w:r>
      <w:r w:rsidR="00E711A3" w:rsidRPr="00515DC8">
        <w:rPr>
          <w:lang w:val="en-GB"/>
        </w:rPr>
        <w:t xml:space="preserve">not </w:t>
      </w:r>
      <w:r w:rsidR="002C42D0" w:rsidRPr="00515DC8">
        <w:rPr>
          <w:lang w:val="en-GB"/>
        </w:rPr>
        <w:t xml:space="preserve">be </w:t>
      </w:r>
      <w:r w:rsidR="00A92C72" w:rsidRPr="00515DC8">
        <w:rPr>
          <w:lang w:val="en-GB"/>
        </w:rPr>
        <w:t xml:space="preserve">about promoting homogeneity, </w:t>
      </w:r>
      <w:r w:rsidR="00F856F9" w:rsidRPr="00515DC8">
        <w:rPr>
          <w:lang w:val="en-GB"/>
        </w:rPr>
        <w:t xml:space="preserve">it should be concerned with </w:t>
      </w:r>
      <w:r w:rsidR="00E711A3" w:rsidRPr="00515DC8">
        <w:rPr>
          <w:lang w:val="en-GB"/>
        </w:rPr>
        <w:t>maximising</w:t>
      </w:r>
      <w:r w:rsidR="00F856F9" w:rsidRPr="00515DC8">
        <w:rPr>
          <w:lang w:val="en-GB"/>
        </w:rPr>
        <w:t xml:space="preserve"> learning and teaching</w:t>
      </w:r>
      <w:r w:rsidR="00E711A3" w:rsidRPr="00515DC8">
        <w:rPr>
          <w:lang w:val="en-GB"/>
        </w:rPr>
        <w:t xml:space="preserve"> effectiveness in specific contexts w</w:t>
      </w:r>
      <w:r w:rsidR="00E82381" w:rsidRPr="00515DC8">
        <w:rPr>
          <w:lang w:val="en-GB"/>
        </w:rPr>
        <w:t>hich may or may not be generalis</w:t>
      </w:r>
      <w:r w:rsidR="00E711A3" w:rsidRPr="00515DC8">
        <w:rPr>
          <w:lang w:val="en-GB"/>
        </w:rPr>
        <w:t>able to wider populations (</w:t>
      </w:r>
      <w:r w:rsidR="00E711A3" w:rsidRPr="00515DC8">
        <w:rPr>
          <w:i/>
          <w:lang w:val="en-GB"/>
        </w:rPr>
        <w:t xml:space="preserve">Powell, </w:t>
      </w:r>
      <w:r w:rsidR="008C6B62" w:rsidRPr="00515DC8">
        <w:rPr>
          <w:i/>
          <w:lang w:val="en-GB"/>
        </w:rPr>
        <w:t xml:space="preserve">Gossman, </w:t>
      </w:r>
      <w:r w:rsidR="00F856F9" w:rsidRPr="00515DC8">
        <w:rPr>
          <w:i/>
          <w:lang w:val="en-GB"/>
        </w:rPr>
        <w:t>&amp;</w:t>
      </w:r>
      <w:r w:rsidR="00E711A3" w:rsidRPr="00515DC8">
        <w:rPr>
          <w:i/>
          <w:lang w:val="en-GB"/>
        </w:rPr>
        <w:t xml:space="preserve"> Neame, 2018). </w:t>
      </w:r>
      <w:r w:rsidR="00A92C72" w:rsidRPr="00515DC8">
        <w:rPr>
          <w:lang w:val="en-GB"/>
        </w:rPr>
        <w:t xml:space="preserve">As noted by </w:t>
      </w:r>
      <w:r w:rsidR="00A92C72" w:rsidRPr="00515DC8">
        <w:rPr>
          <w:i/>
          <w:lang w:val="en-GB"/>
        </w:rPr>
        <w:t>Turner et al.</w:t>
      </w:r>
      <w:r w:rsidR="00A92C72" w:rsidRPr="00515DC8">
        <w:rPr>
          <w:lang w:val="en-GB"/>
        </w:rPr>
        <w:t xml:space="preserve"> </w:t>
      </w:r>
      <w:r w:rsidR="0039166F" w:rsidRPr="00515DC8">
        <w:rPr>
          <w:lang w:val="en-GB"/>
        </w:rPr>
        <w:t>(</w:t>
      </w:r>
      <w:r w:rsidR="0039166F" w:rsidRPr="00515DC8">
        <w:rPr>
          <w:i/>
          <w:lang w:val="en-GB"/>
        </w:rPr>
        <w:t>2018</w:t>
      </w:r>
      <w:r w:rsidR="0039166F" w:rsidRPr="00515DC8">
        <w:rPr>
          <w:lang w:val="en-GB"/>
        </w:rPr>
        <w:t xml:space="preserve">) </w:t>
      </w:r>
      <w:r w:rsidR="0039166F" w:rsidRPr="00BE7741">
        <w:rPr>
          <w:lang w:val="en-GB"/>
        </w:rPr>
        <w:t>‘</w:t>
      </w:r>
      <w:r w:rsidR="00D76174" w:rsidRPr="00BE7741">
        <w:rPr>
          <w:lang w:val="en-GB"/>
        </w:rPr>
        <w:t>It is unlikely that there will be a single solution, and institutions will need to adapt and contextualise any learning</w:t>
      </w:r>
      <w:r w:rsidR="00BE7741" w:rsidRPr="00BE7741">
        <w:rPr>
          <w:lang w:val="en-GB"/>
        </w:rPr>
        <w:t xml:space="preserve"> gain measure that they employ.</w:t>
      </w:r>
      <w:r w:rsidR="0039166F" w:rsidRPr="00BE7741">
        <w:rPr>
          <w:lang w:val="en-GB"/>
        </w:rPr>
        <w:t>’</w:t>
      </w:r>
      <w:r w:rsidR="002C42D0" w:rsidRPr="00BE7741">
        <w:rPr>
          <w:lang w:val="en-GB"/>
        </w:rPr>
        <w:t xml:space="preserve"> </w:t>
      </w:r>
      <w:r w:rsidR="002C42D0" w:rsidRPr="00515DC8">
        <w:rPr>
          <w:lang w:val="en-GB"/>
        </w:rPr>
        <w:t>Effective pedagogical approaches to measuring learning gain require</w:t>
      </w:r>
      <w:r w:rsidR="002A09AD">
        <w:rPr>
          <w:lang w:val="en-GB"/>
        </w:rPr>
        <w:t xml:space="preserve"> a</w:t>
      </w:r>
      <w:r w:rsidR="00B772CC" w:rsidRPr="00515DC8">
        <w:rPr>
          <w:lang w:val="en-GB"/>
        </w:rPr>
        <w:t xml:space="preserve"> comprehensive </w:t>
      </w:r>
      <w:r w:rsidR="00F856F9" w:rsidRPr="00515DC8">
        <w:rPr>
          <w:lang w:val="en-GB"/>
        </w:rPr>
        <w:t xml:space="preserve">understanding of local contexts, the idiosyncratic nature, composition, and needs of the student population, the core requirements of the discipline, </w:t>
      </w:r>
      <w:r w:rsidR="002C42D0" w:rsidRPr="00515DC8">
        <w:rPr>
          <w:lang w:val="en-GB"/>
        </w:rPr>
        <w:t xml:space="preserve">and </w:t>
      </w:r>
      <w:r w:rsidR="00F856F9" w:rsidRPr="00515DC8">
        <w:rPr>
          <w:lang w:val="en-GB"/>
        </w:rPr>
        <w:t xml:space="preserve">how </w:t>
      </w:r>
      <w:r w:rsidR="00B420FE" w:rsidRPr="00515DC8">
        <w:rPr>
          <w:lang w:val="en-GB"/>
        </w:rPr>
        <w:t>b</w:t>
      </w:r>
      <w:r w:rsidR="00F856F9" w:rsidRPr="00515DC8">
        <w:rPr>
          <w:lang w:val="en-GB"/>
        </w:rPr>
        <w:t>est to teach and assess th</w:t>
      </w:r>
      <w:r w:rsidR="007A5617" w:rsidRPr="00515DC8">
        <w:rPr>
          <w:lang w:val="en-GB"/>
        </w:rPr>
        <w:t>os</w:t>
      </w:r>
      <w:r w:rsidR="0082574C" w:rsidRPr="00515DC8">
        <w:rPr>
          <w:lang w:val="en-GB"/>
        </w:rPr>
        <w:t xml:space="preserve">e requirements. </w:t>
      </w:r>
    </w:p>
    <w:p w14:paraId="277E9CE8" w14:textId="753F995C" w:rsidR="00D01FDA" w:rsidRDefault="0082574C" w:rsidP="001B74D8">
      <w:pPr>
        <w:spacing w:line="480" w:lineRule="auto"/>
        <w:rPr>
          <w:lang w:val="en-GB"/>
        </w:rPr>
      </w:pPr>
      <w:r w:rsidRPr="00515DC8">
        <w:rPr>
          <w:lang w:val="en-GB"/>
        </w:rPr>
        <w:t xml:space="preserve">Learning gain initiatives need to be embedded within the curriculum although there are currently many ways in which </w:t>
      </w:r>
      <w:r w:rsidR="00343120" w:rsidRPr="00515DC8">
        <w:rPr>
          <w:lang w:val="en-GB"/>
        </w:rPr>
        <w:t>learning gain approaches</w:t>
      </w:r>
      <w:r w:rsidRPr="00515DC8">
        <w:rPr>
          <w:lang w:val="en-GB"/>
        </w:rPr>
        <w:t xml:space="preserve"> can be used</w:t>
      </w:r>
      <w:r w:rsidR="00343120" w:rsidRPr="00515DC8">
        <w:rPr>
          <w:lang w:val="en-GB"/>
        </w:rPr>
        <w:t xml:space="preserve"> </w:t>
      </w:r>
      <w:r w:rsidR="00B772CC" w:rsidRPr="00515DC8">
        <w:rPr>
          <w:lang w:val="en-GB"/>
        </w:rPr>
        <w:t>to support enhancements in pedagogy</w:t>
      </w:r>
      <w:r w:rsidR="00E838A5" w:rsidRPr="00515DC8">
        <w:rPr>
          <w:lang w:val="en-GB"/>
        </w:rPr>
        <w:t>,</w:t>
      </w:r>
      <w:r w:rsidR="00343120" w:rsidRPr="00515DC8">
        <w:rPr>
          <w:lang w:val="en-GB"/>
        </w:rPr>
        <w:t xml:space="preserve"> with HEIs often </w:t>
      </w:r>
      <w:r w:rsidRPr="00515DC8">
        <w:rPr>
          <w:lang w:val="en-GB"/>
        </w:rPr>
        <w:t xml:space="preserve">combining </w:t>
      </w:r>
      <w:r w:rsidR="00B54A8D" w:rsidRPr="00515DC8">
        <w:t>several</w:t>
      </w:r>
      <w:r w:rsidRPr="00515DC8">
        <w:rPr>
          <w:lang w:val="en-GB"/>
        </w:rPr>
        <w:t xml:space="preserve"> approaches. </w:t>
      </w:r>
      <w:r w:rsidR="00E82381" w:rsidRPr="00515DC8">
        <w:rPr>
          <w:lang w:val="en-GB"/>
        </w:rPr>
        <w:t xml:space="preserve">Table 2 identifies seven ways in which learning gain approaches has been used with variable success to inform pedagogy, the rationale for such choices, and indications of the efficacy of specific approaches to include: (i) use of specific measures to test student understanding (e.g., critical thinking); (ii) exploring student satisfaction; (iii) use of learning analytics; (iv) using metrics to explore students (individual and group) learning trajectories; (v) exploring the role of individual difference variables on learning; (vi) considering the impact of specific learner behaviours on student learning outcomes; and  (vii) exploring the impact of pedagogical interventions that may combine a variety of approaches.  </w:t>
      </w:r>
      <w:r w:rsidRPr="00515DC8">
        <w:rPr>
          <w:lang w:val="en-GB"/>
        </w:rPr>
        <w:t xml:space="preserve">As </w:t>
      </w:r>
      <w:r w:rsidR="00E838A5" w:rsidRPr="00515DC8">
        <w:rPr>
          <w:lang w:val="en-GB"/>
        </w:rPr>
        <w:t>identified</w:t>
      </w:r>
      <w:r w:rsidRPr="00515DC8">
        <w:rPr>
          <w:lang w:val="en-GB"/>
        </w:rPr>
        <w:t xml:space="preserve"> in Table 2</w:t>
      </w:r>
      <w:r w:rsidR="00437A44" w:rsidRPr="00515DC8">
        <w:rPr>
          <w:lang w:val="en-GB"/>
        </w:rPr>
        <w:t>,</w:t>
      </w:r>
      <w:r w:rsidRPr="00515DC8">
        <w:rPr>
          <w:lang w:val="en-GB"/>
        </w:rPr>
        <w:t xml:space="preserve"> in choosing an approach there is an inevitable compromise betw</w:t>
      </w:r>
      <w:r w:rsidR="002A09AD">
        <w:rPr>
          <w:lang w:val="en-GB"/>
        </w:rPr>
        <w:t>een methodological rigour, high-</w:t>
      </w:r>
      <w:r w:rsidRPr="00515DC8">
        <w:rPr>
          <w:lang w:val="en-GB"/>
        </w:rPr>
        <w:t xml:space="preserve">quality pedagogy, and what is feasible within naturalistic settings. </w:t>
      </w:r>
      <w:r w:rsidR="00C233FF" w:rsidRPr="00515DC8">
        <w:rPr>
          <w:lang w:val="en-GB"/>
        </w:rPr>
        <w:t>It is notable that most of the HEFCE/OfS (2015-2018) learning gain projects are not</w:t>
      </w:r>
      <w:r w:rsidR="004653AB" w:rsidRPr="00515DC8">
        <w:rPr>
          <w:lang w:val="en-GB"/>
        </w:rPr>
        <w:t xml:space="preserve"> embedded within the curriculum</w:t>
      </w:r>
      <w:r w:rsidR="00BE7741">
        <w:rPr>
          <w:lang w:val="en-GB"/>
        </w:rPr>
        <w:t>/</w:t>
      </w:r>
      <w:r w:rsidR="00437A44" w:rsidRPr="00515DC8">
        <w:rPr>
          <w:lang w:val="en-GB"/>
        </w:rPr>
        <w:t>institutional processes</w:t>
      </w:r>
      <w:r w:rsidR="002A09AD">
        <w:rPr>
          <w:lang w:val="en-GB"/>
        </w:rPr>
        <w:t xml:space="preserve">, and this </w:t>
      </w:r>
      <w:r w:rsidR="00EF7308" w:rsidRPr="00515DC8">
        <w:rPr>
          <w:lang w:val="en-GB"/>
        </w:rPr>
        <w:t>limit</w:t>
      </w:r>
      <w:r w:rsidR="00E838A5" w:rsidRPr="00515DC8">
        <w:rPr>
          <w:lang w:val="en-GB"/>
        </w:rPr>
        <w:t>s</w:t>
      </w:r>
      <w:r w:rsidR="004653AB" w:rsidRPr="00515DC8">
        <w:rPr>
          <w:lang w:val="en-GB"/>
        </w:rPr>
        <w:t xml:space="preserve"> both sustainability and scaleability.</w:t>
      </w:r>
    </w:p>
    <w:p w14:paraId="5FD06FD7" w14:textId="77777777" w:rsidR="004641AF" w:rsidRPr="00515DC8" w:rsidRDefault="004641AF" w:rsidP="001B74D8">
      <w:pPr>
        <w:spacing w:line="480" w:lineRule="auto"/>
        <w:rPr>
          <w:lang w:val="en-GB"/>
        </w:rPr>
      </w:pPr>
    </w:p>
    <w:p w14:paraId="6D4042D0" w14:textId="77777777" w:rsidR="00BB3336" w:rsidRPr="00515DC8" w:rsidRDefault="00BB3336" w:rsidP="00BB3336">
      <w:pPr>
        <w:spacing w:line="480" w:lineRule="auto"/>
        <w:rPr>
          <w:lang w:val="en-GB"/>
        </w:rPr>
      </w:pPr>
      <w:r w:rsidRPr="00515DC8">
        <w:rPr>
          <w:highlight w:val="yellow"/>
          <w:lang w:val="en-GB"/>
        </w:rPr>
        <w:t>Table 2 here</w:t>
      </w:r>
    </w:p>
    <w:p w14:paraId="0E7658FB" w14:textId="77777777" w:rsidR="00BB3336" w:rsidRPr="00515DC8" w:rsidRDefault="00BB3336" w:rsidP="001B74D8">
      <w:pPr>
        <w:spacing w:line="480" w:lineRule="auto"/>
        <w:rPr>
          <w:lang w:val="en-GB"/>
        </w:rPr>
      </w:pPr>
    </w:p>
    <w:p w14:paraId="0EC56A07" w14:textId="23EB642C" w:rsidR="00165936" w:rsidRDefault="0082574C" w:rsidP="001B74D8">
      <w:pPr>
        <w:spacing w:line="480" w:lineRule="auto"/>
        <w:rPr>
          <w:lang w:val="en-GB"/>
        </w:rPr>
      </w:pPr>
      <w:r w:rsidRPr="00515DC8">
        <w:rPr>
          <w:lang w:val="en-GB"/>
        </w:rPr>
        <w:t>A key elephant in the ‘HE room’ is that of student engagement which is impacted by variable levels of student attendance; the latter of which is a key</w:t>
      </w:r>
      <w:r w:rsidR="00772F0A" w:rsidRPr="00515DC8">
        <w:rPr>
          <w:lang w:val="en-GB"/>
        </w:rPr>
        <w:t xml:space="preserve"> factor</w:t>
      </w:r>
      <w:r w:rsidRPr="00515DC8">
        <w:rPr>
          <w:lang w:val="en-GB"/>
        </w:rPr>
        <w:t xml:space="preserve"> in impacting learning outcomes (Schneider &amp; Preckel, 2017). How HEIs address the attendance issue along with autonomy and agency concerns is </w:t>
      </w:r>
      <w:r w:rsidR="00772F0A" w:rsidRPr="00515DC8">
        <w:rPr>
          <w:lang w:val="en-GB"/>
        </w:rPr>
        <w:t>fundamental</w:t>
      </w:r>
      <w:r w:rsidRPr="00515DC8">
        <w:rPr>
          <w:lang w:val="en-GB"/>
        </w:rPr>
        <w:t xml:space="preserve">. Student surveys have their place but as part of a suite of evaluative measures to better capture the </w:t>
      </w:r>
      <w:r w:rsidR="00D44EC6" w:rsidRPr="00515DC8">
        <w:rPr>
          <w:lang w:val="en-GB"/>
        </w:rPr>
        <w:t>potential</w:t>
      </w:r>
      <w:r w:rsidRPr="00515DC8">
        <w:rPr>
          <w:lang w:val="en-GB"/>
        </w:rPr>
        <w:t xml:space="preserve"> offered by the student voice (Darwin, 2017). Big data</w:t>
      </w:r>
      <w:r w:rsidR="00D44EC6" w:rsidRPr="00515DC8">
        <w:rPr>
          <w:lang w:val="en-GB"/>
        </w:rPr>
        <w:t xml:space="preserve"> also</w:t>
      </w:r>
      <w:r w:rsidRPr="00515DC8">
        <w:rPr>
          <w:lang w:val="en-GB"/>
        </w:rPr>
        <w:t xml:space="preserve"> has massive poten</w:t>
      </w:r>
      <w:r w:rsidR="00772F0A" w:rsidRPr="00515DC8">
        <w:rPr>
          <w:lang w:val="en-GB"/>
        </w:rPr>
        <w:t xml:space="preserve">tial but whether HE systems are sufficiently refined and have </w:t>
      </w:r>
      <w:r w:rsidR="002A09AD">
        <w:rPr>
          <w:lang w:val="en-GB"/>
        </w:rPr>
        <w:t xml:space="preserve">the </w:t>
      </w:r>
      <w:r w:rsidR="00772F0A" w:rsidRPr="00515DC8">
        <w:rPr>
          <w:lang w:val="en-GB"/>
        </w:rPr>
        <w:t>capacity to handle</w:t>
      </w:r>
      <w:r w:rsidR="00D44EC6" w:rsidRPr="00515DC8">
        <w:rPr>
          <w:lang w:val="en-GB"/>
        </w:rPr>
        <w:t xml:space="preserve"> such complex analyses and especially across institutions</w:t>
      </w:r>
      <w:r w:rsidR="002A09AD">
        <w:rPr>
          <w:lang w:val="en-GB"/>
        </w:rPr>
        <w:t xml:space="preserve"> is debat</w:t>
      </w:r>
      <w:r w:rsidRPr="00515DC8">
        <w:rPr>
          <w:lang w:val="en-GB"/>
        </w:rPr>
        <w:t xml:space="preserve">able. A key question is how can HEIs work together to identify systems and processes that are fit for purpose, and how can we train colleagues (staff and students) most effectively in the ethical use of data. It is becoming increasingly possible to triangulate findings from learning gain projects although the use of different measures to measure the same and different things is not helpful. We need to be building a compendium of reliable and valid learning gain tools and measures for the HE </w:t>
      </w:r>
      <w:r w:rsidR="00EF7308" w:rsidRPr="00515DC8">
        <w:rPr>
          <w:lang w:val="en-GB"/>
        </w:rPr>
        <w:t>fields</w:t>
      </w:r>
      <w:r w:rsidRPr="00515DC8">
        <w:rPr>
          <w:lang w:val="en-GB"/>
        </w:rPr>
        <w:t xml:space="preserve"> to enable more effective comparisons</w:t>
      </w:r>
      <w:r w:rsidR="00772F0A" w:rsidRPr="00515DC8">
        <w:rPr>
          <w:lang w:val="en-GB"/>
        </w:rPr>
        <w:t xml:space="preserve">; the HEFCE/OfS learning gain projects can make a valuable contribution </w:t>
      </w:r>
      <w:r w:rsidR="004653AB" w:rsidRPr="00515DC8">
        <w:rPr>
          <w:lang w:val="en-GB"/>
        </w:rPr>
        <w:t xml:space="preserve">to this agenda. </w:t>
      </w:r>
      <w:r w:rsidRPr="00515DC8">
        <w:rPr>
          <w:lang w:val="en-GB"/>
        </w:rPr>
        <w:t xml:space="preserve"> What is</w:t>
      </w:r>
      <w:r w:rsidR="00165936" w:rsidRPr="00515DC8">
        <w:rPr>
          <w:lang w:val="en-GB"/>
        </w:rPr>
        <w:t xml:space="preserve"> </w:t>
      </w:r>
      <w:r w:rsidRPr="00515DC8">
        <w:rPr>
          <w:lang w:val="en-GB"/>
        </w:rPr>
        <w:t>evident is the power of early interventions to impact student learning outcomes</w:t>
      </w:r>
      <w:r w:rsidR="00165936" w:rsidRPr="00515DC8">
        <w:rPr>
          <w:lang w:val="en-GB"/>
        </w:rPr>
        <w:t>, coupled with an awareness of the needs of specific groups to enable targeted support where it matters most</w:t>
      </w:r>
      <w:r w:rsidR="00D44EC6" w:rsidRPr="00515DC8">
        <w:rPr>
          <w:lang w:val="en-GB"/>
        </w:rPr>
        <w:t>,</w:t>
      </w:r>
      <w:r w:rsidR="00165936" w:rsidRPr="00515DC8">
        <w:rPr>
          <w:lang w:val="en-GB"/>
        </w:rPr>
        <w:t xml:space="preserve"> to support student strategy development both </w:t>
      </w:r>
      <w:r w:rsidR="00437A44" w:rsidRPr="00515DC8">
        <w:rPr>
          <w:lang w:val="en-GB"/>
        </w:rPr>
        <w:t xml:space="preserve">in </w:t>
      </w:r>
      <w:r w:rsidR="00165936" w:rsidRPr="00515DC8">
        <w:rPr>
          <w:lang w:val="en-GB"/>
        </w:rPr>
        <w:t>the immediate</w:t>
      </w:r>
      <w:r w:rsidR="00BE7741">
        <w:rPr>
          <w:lang w:val="en-GB"/>
        </w:rPr>
        <w:t>,</w:t>
      </w:r>
      <w:r w:rsidR="00165936" w:rsidRPr="00515DC8">
        <w:rPr>
          <w:lang w:val="en-GB"/>
        </w:rPr>
        <w:t xml:space="preserve"> and longer term</w:t>
      </w:r>
      <w:r w:rsidR="00437A44" w:rsidRPr="00515DC8">
        <w:rPr>
          <w:lang w:val="en-GB"/>
        </w:rPr>
        <w:t>s</w:t>
      </w:r>
      <w:r w:rsidR="00165936" w:rsidRPr="00515DC8">
        <w:rPr>
          <w:lang w:val="en-GB"/>
        </w:rPr>
        <w:t>.</w:t>
      </w:r>
    </w:p>
    <w:p w14:paraId="5A5F64F1" w14:textId="77777777" w:rsidR="004641AF" w:rsidRPr="00515DC8" w:rsidRDefault="004641AF" w:rsidP="001B74D8">
      <w:pPr>
        <w:spacing w:line="480" w:lineRule="auto"/>
        <w:rPr>
          <w:lang w:val="en-GB"/>
        </w:rPr>
      </w:pPr>
    </w:p>
    <w:p w14:paraId="4D8F0839" w14:textId="683B7447" w:rsidR="00563B04" w:rsidRPr="00515DC8" w:rsidRDefault="00165936" w:rsidP="001B74D8">
      <w:pPr>
        <w:spacing w:line="480" w:lineRule="auto"/>
        <w:rPr>
          <w:lang w:val="en-GB"/>
        </w:rPr>
      </w:pPr>
      <w:r w:rsidRPr="00515DC8">
        <w:rPr>
          <w:lang w:val="en-GB"/>
        </w:rPr>
        <w:t>In such ways, l</w:t>
      </w:r>
      <w:r w:rsidR="007475CD" w:rsidRPr="00515DC8">
        <w:rPr>
          <w:lang w:val="en-GB"/>
        </w:rPr>
        <w:t xml:space="preserve">earning gain as a concept has </w:t>
      </w:r>
      <w:r w:rsidR="00563B04" w:rsidRPr="00515DC8">
        <w:rPr>
          <w:lang w:val="en-GB"/>
        </w:rPr>
        <w:t>huge</w:t>
      </w:r>
      <w:r w:rsidR="007475CD" w:rsidRPr="00515DC8">
        <w:rPr>
          <w:lang w:val="en-GB"/>
        </w:rPr>
        <w:t xml:space="preserve"> potential</w:t>
      </w:r>
      <w:r w:rsidR="00EC3D45" w:rsidRPr="00515DC8">
        <w:rPr>
          <w:lang w:val="en-GB"/>
        </w:rPr>
        <w:t xml:space="preserve"> in being able </w:t>
      </w:r>
      <w:r w:rsidR="00EC4EE0" w:rsidRPr="00515DC8">
        <w:rPr>
          <w:lang w:val="en-GB"/>
        </w:rPr>
        <w:t>to</w:t>
      </w:r>
      <w:r w:rsidR="00563B04" w:rsidRPr="00515DC8">
        <w:rPr>
          <w:lang w:val="en-GB"/>
        </w:rPr>
        <w:t xml:space="preserve"> offer valuable insights into the learning process of all students</w:t>
      </w:r>
      <w:r w:rsidR="003B6EC4" w:rsidRPr="00515DC8">
        <w:rPr>
          <w:lang w:val="en-GB"/>
        </w:rPr>
        <w:t xml:space="preserve"> </w:t>
      </w:r>
      <w:r w:rsidR="00563B04" w:rsidRPr="00515DC8">
        <w:rPr>
          <w:u w:val="single"/>
          <w:lang w:val="en-GB"/>
        </w:rPr>
        <w:t>if</w:t>
      </w:r>
      <w:r w:rsidR="00563B04" w:rsidRPr="00515DC8">
        <w:rPr>
          <w:lang w:val="en-GB"/>
        </w:rPr>
        <w:t xml:space="preserve"> </w:t>
      </w:r>
      <w:r w:rsidR="00EC3D45" w:rsidRPr="00515DC8">
        <w:rPr>
          <w:lang w:val="en-GB"/>
        </w:rPr>
        <w:t>applied</w:t>
      </w:r>
      <w:r w:rsidR="00563B04" w:rsidRPr="00515DC8">
        <w:rPr>
          <w:lang w:val="en-GB"/>
        </w:rPr>
        <w:t xml:space="preserve"> in a critical way as an integral part of curriculum design and delivery</w:t>
      </w:r>
      <w:r w:rsidR="00A92C72" w:rsidRPr="00515DC8">
        <w:rPr>
          <w:lang w:val="en-GB"/>
        </w:rPr>
        <w:t>, and through utilising robust research design</w:t>
      </w:r>
      <w:r w:rsidR="00563B04" w:rsidRPr="00515DC8">
        <w:rPr>
          <w:lang w:val="en-GB"/>
        </w:rPr>
        <w:t xml:space="preserve">. </w:t>
      </w:r>
      <w:r w:rsidR="00507DB0" w:rsidRPr="00515DC8">
        <w:rPr>
          <w:lang w:val="en-GB"/>
        </w:rPr>
        <w:t>L</w:t>
      </w:r>
      <w:r w:rsidR="00194417" w:rsidRPr="00515DC8">
        <w:rPr>
          <w:lang w:val="en-GB"/>
        </w:rPr>
        <w:t>earning gain approaches have the potential to open the lid on the learning process through exploring what students know and how they come to know, and in what ways (</w:t>
      </w:r>
      <w:r w:rsidR="00A92C72" w:rsidRPr="00515DC8">
        <w:rPr>
          <w:i/>
          <w:lang w:val="en-GB"/>
        </w:rPr>
        <w:t>Scalise et al.</w:t>
      </w:r>
      <w:r w:rsidR="00BB3336" w:rsidRPr="00515DC8">
        <w:rPr>
          <w:i/>
          <w:lang w:val="en-GB"/>
        </w:rPr>
        <w:t>,</w:t>
      </w:r>
      <w:r w:rsidR="00A92C72" w:rsidRPr="00515DC8">
        <w:rPr>
          <w:i/>
          <w:lang w:val="en-GB"/>
        </w:rPr>
        <w:t xml:space="preserve"> </w:t>
      </w:r>
      <w:r w:rsidR="00194417" w:rsidRPr="00515DC8">
        <w:rPr>
          <w:i/>
          <w:lang w:val="en-GB"/>
        </w:rPr>
        <w:t>2018)</w:t>
      </w:r>
      <w:r w:rsidR="00194417" w:rsidRPr="00515DC8">
        <w:rPr>
          <w:lang w:val="en-GB"/>
        </w:rPr>
        <w:t xml:space="preserve">. </w:t>
      </w:r>
      <w:r w:rsidR="00A92C72" w:rsidRPr="00515DC8">
        <w:rPr>
          <w:lang w:val="en-GB"/>
        </w:rPr>
        <w:t>Through such approaches</w:t>
      </w:r>
      <w:r w:rsidR="002A09AD">
        <w:rPr>
          <w:lang w:val="en-GB"/>
        </w:rPr>
        <w:t>,</w:t>
      </w:r>
      <w:r w:rsidR="00A92C72" w:rsidRPr="00515DC8">
        <w:rPr>
          <w:lang w:val="en-GB"/>
        </w:rPr>
        <w:t xml:space="preserve"> we can explore </w:t>
      </w:r>
      <w:r w:rsidR="00194417" w:rsidRPr="00515DC8">
        <w:rPr>
          <w:lang w:val="en-GB"/>
        </w:rPr>
        <w:t>the patterns of understanding students</w:t>
      </w:r>
      <w:r w:rsidR="00BB3336" w:rsidRPr="00515DC8">
        <w:rPr>
          <w:lang w:val="en-GB"/>
        </w:rPr>
        <w:t>’</w:t>
      </w:r>
      <w:r w:rsidR="00194417" w:rsidRPr="00515DC8">
        <w:rPr>
          <w:lang w:val="en-GB"/>
        </w:rPr>
        <w:t xml:space="preserve"> exhibit as they move towards mastery</w:t>
      </w:r>
      <w:r w:rsidR="00507DB0" w:rsidRPr="00515DC8">
        <w:rPr>
          <w:lang w:val="en-GB"/>
        </w:rPr>
        <w:t>,</w:t>
      </w:r>
      <w:r w:rsidR="00194417" w:rsidRPr="00515DC8">
        <w:rPr>
          <w:lang w:val="en-GB"/>
        </w:rPr>
        <w:t xml:space="preserve"> and how </w:t>
      </w:r>
      <w:r w:rsidR="00A92C72" w:rsidRPr="00515DC8">
        <w:rPr>
          <w:lang w:val="en-GB"/>
        </w:rPr>
        <w:t xml:space="preserve">our pedagogies can enable </w:t>
      </w:r>
      <w:r w:rsidR="00194417" w:rsidRPr="00515DC8">
        <w:rPr>
          <w:lang w:val="en-GB"/>
        </w:rPr>
        <w:t xml:space="preserve">students to manage their learning more effectively. In doing so, </w:t>
      </w:r>
      <w:r w:rsidR="00563B04" w:rsidRPr="00515DC8">
        <w:rPr>
          <w:lang w:val="en-GB"/>
        </w:rPr>
        <w:t>academics and students</w:t>
      </w:r>
      <w:r w:rsidR="00194417" w:rsidRPr="00515DC8">
        <w:rPr>
          <w:lang w:val="en-GB"/>
        </w:rPr>
        <w:t xml:space="preserve"> can be supported</w:t>
      </w:r>
      <w:r w:rsidR="00563B04" w:rsidRPr="00515DC8">
        <w:rPr>
          <w:lang w:val="en-GB"/>
        </w:rPr>
        <w:t xml:space="preserve"> in coming to know ‘w</w:t>
      </w:r>
      <w:r w:rsidR="00343120" w:rsidRPr="00515DC8">
        <w:rPr>
          <w:lang w:val="en-GB"/>
        </w:rPr>
        <w:t xml:space="preserve">hat works, why, </w:t>
      </w:r>
      <w:r w:rsidR="0003611C" w:rsidRPr="00515DC8">
        <w:rPr>
          <w:lang w:val="en-GB"/>
        </w:rPr>
        <w:t xml:space="preserve">when, </w:t>
      </w:r>
      <w:r w:rsidR="00343120" w:rsidRPr="00515DC8">
        <w:rPr>
          <w:lang w:val="en-GB"/>
        </w:rPr>
        <w:t xml:space="preserve">and for whom’, </w:t>
      </w:r>
      <w:r w:rsidR="00563B04" w:rsidRPr="00515DC8">
        <w:rPr>
          <w:lang w:val="en-GB"/>
        </w:rPr>
        <w:t xml:space="preserve">to make informed decisions about learning and teaching and thereby attend to individual agency in learning and workplace contexts. </w:t>
      </w:r>
      <w:r w:rsidR="00A92C72" w:rsidRPr="00515DC8">
        <w:rPr>
          <w:lang w:val="en-GB"/>
        </w:rPr>
        <w:t xml:space="preserve">More informed use of data can </w:t>
      </w:r>
      <w:r w:rsidR="003B6EC4" w:rsidRPr="00515DC8">
        <w:rPr>
          <w:lang w:val="en-GB"/>
        </w:rPr>
        <w:t xml:space="preserve">support enhancements in individual and organisational </w:t>
      </w:r>
      <w:r w:rsidR="00A92C72" w:rsidRPr="00515DC8">
        <w:rPr>
          <w:lang w:val="en-GB"/>
        </w:rPr>
        <w:t>learning</w:t>
      </w:r>
      <w:r w:rsidR="0003611C" w:rsidRPr="00515DC8">
        <w:rPr>
          <w:lang w:val="en-GB"/>
        </w:rPr>
        <w:t xml:space="preserve"> (c.f. recent work on learning analytics, e.g.</w:t>
      </w:r>
      <w:r w:rsidR="00D75638" w:rsidRPr="00515DC8">
        <w:rPr>
          <w:lang w:val="en-GB"/>
        </w:rPr>
        <w:t>, Sclater, Peasgood, &amp; Mullan, JISC report, 2016</w:t>
      </w:r>
      <w:r w:rsidR="0003611C" w:rsidRPr="00515DC8">
        <w:rPr>
          <w:lang w:val="en-GB"/>
        </w:rPr>
        <w:t>)</w:t>
      </w:r>
      <w:r w:rsidR="00BE7741">
        <w:rPr>
          <w:lang w:val="en-GB"/>
        </w:rPr>
        <w:t>. L</w:t>
      </w:r>
      <w:r w:rsidR="00A92C72" w:rsidRPr="00515DC8">
        <w:rPr>
          <w:lang w:val="en-GB"/>
        </w:rPr>
        <w:t>earning gain approaches</w:t>
      </w:r>
      <w:r w:rsidR="007A5617" w:rsidRPr="00515DC8">
        <w:rPr>
          <w:lang w:val="en-GB"/>
        </w:rPr>
        <w:t xml:space="preserve"> should</w:t>
      </w:r>
      <w:r w:rsidR="003B6EC4" w:rsidRPr="00515DC8">
        <w:rPr>
          <w:lang w:val="en-GB"/>
        </w:rPr>
        <w:t xml:space="preserve"> not</w:t>
      </w:r>
      <w:r w:rsidR="007A5617" w:rsidRPr="00515DC8">
        <w:rPr>
          <w:lang w:val="en-GB"/>
        </w:rPr>
        <w:t xml:space="preserve"> be</w:t>
      </w:r>
      <w:r w:rsidR="00A92C72" w:rsidRPr="00515DC8">
        <w:rPr>
          <w:lang w:val="en-GB"/>
        </w:rPr>
        <w:t xml:space="preserve"> </w:t>
      </w:r>
      <w:r w:rsidR="003B6EC4" w:rsidRPr="00515DC8">
        <w:rPr>
          <w:lang w:val="en-GB"/>
        </w:rPr>
        <w:t>metrics chasing tool</w:t>
      </w:r>
      <w:r w:rsidR="00A92C72" w:rsidRPr="00515DC8">
        <w:rPr>
          <w:lang w:val="en-GB"/>
        </w:rPr>
        <w:t>s.  R</w:t>
      </w:r>
      <w:r w:rsidR="003B6EC4" w:rsidRPr="00515DC8">
        <w:rPr>
          <w:lang w:val="en-GB"/>
        </w:rPr>
        <w:t xml:space="preserve">esearching practice in a rigorous way </w:t>
      </w:r>
      <w:r w:rsidR="00A92C72" w:rsidRPr="00515DC8">
        <w:rPr>
          <w:lang w:val="en-GB"/>
        </w:rPr>
        <w:t>should</w:t>
      </w:r>
      <w:r w:rsidR="003B6EC4" w:rsidRPr="00515DC8">
        <w:rPr>
          <w:lang w:val="en-GB"/>
        </w:rPr>
        <w:t xml:space="preserve"> be agentic in enabling</w:t>
      </w:r>
      <w:r w:rsidR="00563B04" w:rsidRPr="00515DC8">
        <w:rPr>
          <w:lang w:val="en-GB"/>
        </w:rPr>
        <w:t xml:space="preserve"> individuals and organisations to challenge</w:t>
      </w:r>
      <w:r w:rsidR="003B6EC4" w:rsidRPr="00515DC8">
        <w:rPr>
          <w:lang w:val="en-GB"/>
        </w:rPr>
        <w:t xml:space="preserve"> those</w:t>
      </w:r>
      <w:r w:rsidR="00563B04" w:rsidRPr="00515DC8">
        <w:rPr>
          <w:lang w:val="en-GB"/>
        </w:rPr>
        <w:t xml:space="preserve"> approaches not informed by a strong evidence base or </w:t>
      </w:r>
      <w:r w:rsidR="003B6EC4" w:rsidRPr="00515DC8">
        <w:rPr>
          <w:lang w:val="en-GB"/>
        </w:rPr>
        <w:t xml:space="preserve">not sufficiently </w:t>
      </w:r>
      <w:r w:rsidR="00563B04" w:rsidRPr="00515DC8">
        <w:rPr>
          <w:lang w:val="en-GB"/>
        </w:rPr>
        <w:t>nuanced to the requirements of the specific context</w:t>
      </w:r>
      <w:r w:rsidR="003B6EC4" w:rsidRPr="00515DC8">
        <w:rPr>
          <w:lang w:val="en-GB"/>
        </w:rPr>
        <w:t>/discipline</w:t>
      </w:r>
      <w:r w:rsidR="00563B04" w:rsidRPr="00515DC8">
        <w:rPr>
          <w:lang w:val="en-GB"/>
        </w:rPr>
        <w:t xml:space="preserve"> in question. </w:t>
      </w:r>
    </w:p>
    <w:p w14:paraId="033B5099" w14:textId="77777777" w:rsidR="00E47E50" w:rsidRPr="00515DC8" w:rsidRDefault="00E47E50" w:rsidP="001B74D8">
      <w:pPr>
        <w:spacing w:line="480" w:lineRule="auto"/>
        <w:rPr>
          <w:lang w:val="en-GB"/>
        </w:rPr>
      </w:pPr>
    </w:p>
    <w:p w14:paraId="158FA18D" w14:textId="4BE8AD9F" w:rsidR="00963112" w:rsidRPr="00515DC8" w:rsidRDefault="00194417" w:rsidP="001B74D8">
      <w:pPr>
        <w:spacing w:line="480" w:lineRule="auto"/>
        <w:rPr>
          <w:lang w:val="en-GB"/>
        </w:rPr>
      </w:pPr>
      <w:r w:rsidRPr="00515DC8">
        <w:rPr>
          <w:lang w:val="en-GB"/>
        </w:rPr>
        <w:t xml:space="preserve">Importantly, in </w:t>
      </w:r>
      <w:r w:rsidR="004653AB" w:rsidRPr="00515DC8">
        <w:rPr>
          <w:lang w:val="en-GB"/>
        </w:rPr>
        <w:t xml:space="preserve">analysing </w:t>
      </w:r>
      <w:r w:rsidRPr="00515DC8">
        <w:rPr>
          <w:lang w:val="en-GB"/>
        </w:rPr>
        <w:t>individual and contextual variables impacting learning at institutional and individual levels</w:t>
      </w:r>
      <w:r w:rsidR="005B6451" w:rsidRPr="00515DC8">
        <w:rPr>
          <w:lang w:val="en-GB"/>
        </w:rPr>
        <w:t>,</w:t>
      </w:r>
      <w:r w:rsidRPr="00515DC8">
        <w:rPr>
          <w:lang w:val="en-GB"/>
        </w:rPr>
        <w:t xml:space="preserve"> there is considerable potential to address social justice </w:t>
      </w:r>
      <w:r w:rsidR="0003611C" w:rsidRPr="00515DC8">
        <w:rPr>
          <w:lang w:val="en-GB"/>
        </w:rPr>
        <w:t xml:space="preserve">and </w:t>
      </w:r>
      <w:r w:rsidRPr="00515DC8">
        <w:rPr>
          <w:lang w:val="en-GB"/>
        </w:rPr>
        <w:t>equity issues to reduce differential student learning outcomes</w:t>
      </w:r>
      <w:r w:rsidR="00332C35" w:rsidRPr="00515DC8">
        <w:rPr>
          <w:lang w:val="en-GB"/>
        </w:rPr>
        <w:t xml:space="preserve"> (Mountford</w:t>
      </w:r>
      <w:r w:rsidR="004E1F1C" w:rsidRPr="00515DC8">
        <w:rPr>
          <w:lang w:val="en-GB"/>
        </w:rPr>
        <w:t>-</w:t>
      </w:r>
      <w:r w:rsidR="00B421B2" w:rsidRPr="00515DC8">
        <w:rPr>
          <w:lang w:val="en-GB"/>
        </w:rPr>
        <w:t>Zimdars</w:t>
      </w:r>
      <w:r w:rsidR="00332C35" w:rsidRPr="00515DC8">
        <w:rPr>
          <w:lang w:val="en-GB"/>
        </w:rPr>
        <w:t xml:space="preserve"> et al., 2015)</w:t>
      </w:r>
      <w:r w:rsidRPr="00515DC8">
        <w:rPr>
          <w:lang w:val="en-GB"/>
        </w:rPr>
        <w:t xml:space="preserve">. </w:t>
      </w:r>
      <w:r w:rsidR="00E57057" w:rsidRPr="00515DC8">
        <w:rPr>
          <w:lang w:val="en-GB"/>
        </w:rPr>
        <w:t>E</w:t>
      </w:r>
      <w:r w:rsidRPr="00515DC8">
        <w:rPr>
          <w:lang w:val="en-GB"/>
        </w:rPr>
        <w:t>xploring how</w:t>
      </w:r>
      <w:r w:rsidR="00E47E50" w:rsidRPr="00515DC8">
        <w:rPr>
          <w:lang w:val="en-GB"/>
        </w:rPr>
        <w:t xml:space="preserve"> individual and contextual factors</w:t>
      </w:r>
      <w:r w:rsidR="00332C35" w:rsidRPr="00515DC8">
        <w:rPr>
          <w:lang w:val="en-GB"/>
        </w:rPr>
        <w:t xml:space="preserve"> impact learners’ </w:t>
      </w:r>
      <w:r w:rsidR="00E47E50" w:rsidRPr="00515DC8">
        <w:rPr>
          <w:lang w:val="en-GB"/>
        </w:rPr>
        <w:t xml:space="preserve">transitions </w:t>
      </w:r>
      <w:r w:rsidR="00332C35" w:rsidRPr="00515DC8">
        <w:rPr>
          <w:lang w:val="en-GB"/>
        </w:rPr>
        <w:t xml:space="preserve">in HE can </w:t>
      </w:r>
      <w:r w:rsidR="007A5617" w:rsidRPr="00515DC8">
        <w:rPr>
          <w:lang w:val="en-GB"/>
        </w:rPr>
        <w:t>inform</w:t>
      </w:r>
      <w:r w:rsidR="00E47E50" w:rsidRPr="00515DC8">
        <w:rPr>
          <w:lang w:val="en-GB"/>
        </w:rPr>
        <w:t xml:space="preserve"> decision-making about teaching design imperatives</w:t>
      </w:r>
      <w:r w:rsidR="00332C35" w:rsidRPr="00515DC8">
        <w:rPr>
          <w:lang w:val="en-GB"/>
        </w:rPr>
        <w:t xml:space="preserve">. </w:t>
      </w:r>
      <w:r w:rsidR="00963112" w:rsidRPr="00515DC8">
        <w:rPr>
          <w:lang w:val="en-GB"/>
        </w:rPr>
        <w:t>Investigation</w:t>
      </w:r>
      <w:r w:rsidR="003B6EC4" w:rsidRPr="00515DC8">
        <w:rPr>
          <w:lang w:val="en-GB"/>
        </w:rPr>
        <w:t xml:space="preserve"> of the impact of specific pedagogies and organisation of curricula on students’ access to, and engagement with, learning and consequent outcomes</w:t>
      </w:r>
      <w:r w:rsidR="007A5617" w:rsidRPr="00515DC8">
        <w:rPr>
          <w:lang w:val="en-GB"/>
        </w:rPr>
        <w:t xml:space="preserve"> can be interrogated along with </w:t>
      </w:r>
      <w:r w:rsidR="0070469F" w:rsidRPr="00515DC8">
        <w:rPr>
          <w:lang w:val="en-GB"/>
        </w:rPr>
        <w:t>the relative effectiveness of different approaches to learning</w:t>
      </w:r>
      <w:r w:rsidR="00BE7741">
        <w:rPr>
          <w:lang w:val="en-GB"/>
        </w:rPr>
        <w:t>,</w:t>
      </w:r>
      <w:r w:rsidR="0070469F" w:rsidRPr="00515DC8">
        <w:rPr>
          <w:lang w:val="en-GB"/>
        </w:rPr>
        <w:t xml:space="preserve"> </w:t>
      </w:r>
      <w:r w:rsidR="003B6EC4" w:rsidRPr="00515DC8">
        <w:rPr>
          <w:lang w:val="en-GB"/>
        </w:rPr>
        <w:t>and the</w:t>
      </w:r>
      <w:r w:rsidR="0070469F" w:rsidRPr="00515DC8">
        <w:rPr>
          <w:lang w:val="en-GB"/>
        </w:rPr>
        <w:t xml:space="preserve"> likelihood of </w:t>
      </w:r>
      <w:r w:rsidR="00EC3D45" w:rsidRPr="00515DC8">
        <w:rPr>
          <w:lang w:val="en-GB"/>
        </w:rPr>
        <w:t xml:space="preserve">a range of outcomes </w:t>
      </w:r>
      <w:r w:rsidR="0070469F" w:rsidRPr="00515DC8">
        <w:rPr>
          <w:lang w:val="en-GB"/>
        </w:rPr>
        <w:t xml:space="preserve">through the different choices that </w:t>
      </w:r>
      <w:r w:rsidRPr="00515DC8">
        <w:rPr>
          <w:lang w:val="en-GB"/>
        </w:rPr>
        <w:t xml:space="preserve">are made. </w:t>
      </w:r>
      <w:r w:rsidR="002A09AD">
        <w:rPr>
          <w:lang w:val="en-GB"/>
        </w:rPr>
        <w:t>Crucially, by</w:t>
      </w:r>
      <w:r w:rsidR="007A5201" w:rsidRPr="00515DC8">
        <w:rPr>
          <w:lang w:val="en-GB"/>
        </w:rPr>
        <w:t xml:space="preserve"> providing insights into those variables that matter most</w:t>
      </w:r>
      <w:r w:rsidR="00963112" w:rsidRPr="00515DC8">
        <w:rPr>
          <w:lang w:val="en-GB"/>
        </w:rPr>
        <w:t>,</w:t>
      </w:r>
      <w:r w:rsidR="007A5201" w:rsidRPr="00515DC8">
        <w:rPr>
          <w:lang w:val="en-GB"/>
        </w:rPr>
        <w:t xml:space="preserve"> it can all</w:t>
      </w:r>
      <w:r w:rsidR="00963112" w:rsidRPr="00515DC8">
        <w:rPr>
          <w:lang w:val="en-GB"/>
        </w:rPr>
        <w:t>ow resources</w:t>
      </w:r>
      <w:r w:rsidRPr="00515DC8">
        <w:rPr>
          <w:lang w:val="en-GB"/>
        </w:rPr>
        <w:t xml:space="preserve"> to be allocated </w:t>
      </w:r>
      <w:r w:rsidR="00963112" w:rsidRPr="00515DC8">
        <w:rPr>
          <w:lang w:val="en-GB"/>
        </w:rPr>
        <w:t>more</w:t>
      </w:r>
      <w:r w:rsidR="007A5201" w:rsidRPr="00515DC8">
        <w:rPr>
          <w:lang w:val="en-GB"/>
        </w:rPr>
        <w:t xml:space="preserve"> effectively by attending to those areas that have the potential to make the most difference. </w:t>
      </w:r>
    </w:p>
    <w:p w14:paraId="423558E5" w14:textId="77777777" w:rsidR="007A5617" w:rsidRPr="00515DC8" w:rsidRDefault="007A5617" w:rsidP="001B74D8">
      <w:pPr>
        <w:spacing w:line="480" w:lineRule="auto"/>
        <w:rPr>
          <w:lang w:val="en-GB"/>
        </w:rPr>
      </w:pPr>
    </w:p>
    <w:p w14:paraId="13A01C4A" w14:textId="16020145" w:rsidR="007A5617" w:rsidRPr="00515DC8" w:rsidRDefault="007A5617" w:rsidP="001B74D8">
      <w:pPr>
        <w:spacing w:line="480" w:lineRule="auto"/>
        <w:rPr>
          <w:lang w:val="en-GB"/>
        </w:rPr>
      </w:pPr>
      <w:r w:rsidRPr="00515DC8">
        <w:rPr>
          <w:lang w:val="en-GB"/>
        </w:rPr>
        <w:t>Not only can such approach</w:t>
      </w:r>
      <w:r w:rsidR="00332C35" w:rsidRPr="00515DC8">
        <w:rPr>
          <w:lang w:val="en-GB"/>
        </w:rPr>
        <w:t xml:space="preserve">es provide insights into those </w:t>
      </w:r>
      <w:r w:rsidRPr="00515DC8">
        <w:rPr>
          <w:lang w:val="en-GB"/>
        </w:rPr>
        <w:t>factors supporting high levels of learning gain for different populations (</w:t>
      </w:r>
      <w:r w:rsidRPr="00515DC8">
        <w:rPr>
          <w:i/>
          <w:lang w:val="en-GB"/>
        </w:rPr>
        <w:t>Callaghan</w:t>
      </w:r>
      <w:r w:rsidR="00963112" w:rsidRPr="00515DC8">
        <w:rPr>
          <w:i/>
          <w:lang w:val="en-GB"/>
        </w:rPr>
        <w:t xml:space="preserve"> &amp; Aloisi</w:t>
      </w:r>
      <w:r w:rsidRPr="00515DC8">
        <w:rPr>
          <w:i/>
          <w:lang w:val="en-GB"/>
        </w:rPr>
        <w:t>, 2018; Rogaten &amp; Rienties, 2018</w:t>
      </w:r>
      <w:r w:rsidRPr="00515DC8">
        <w:rPr>
          <w:lang w:val="en-GB"/>
        </w:rPr>
        <w:t>), through the combination of</w:t>
      </w:r>
      <w:r w:rsidR="00865CF8" w:rsidRPr="00515DC8">
        <w:rPr>
          <w:lang w:val="en-GB"/>
        </w:rPr>
        <w:t xml:space="preserve"> learning gain and learning analytic approaches</w:t>
      </w:r>
      <w:r w:rsidRPr="00515DC8">
        <w:rPr>
          <w:lang w:val="en-GB"/>
        </w:rPr>
        <w:t xml:space="preserve"> there is the potential to personalise learning (Sclater, </w:t>
      </w:r>
      <w:r w:rsidR="00BB3336" w:rsidRPr="00515DC8">
        <w:rPr>
          <w:lang w:val="en-GB"/>
        </w:rPr>
        <w:t>et al.,</w:t>
      </w:r>
      <w:r w:rsidRPr="00515DC8">
        <w:rPr>
          <w:lang w:val="en-GB"/>
        </w:rPr>
        <w:t xml:space="preserve"> 2016). </w:t>
      </w:r>
      <w:r w:rsidRPr="00515DC8">
        <w:rPr>
          <w:shd w:val="clear" w:color="auto" w:fill="FFFFFF" w:themeFill="background1"/>
          <w:lang w:val="en-GB"/>
        </w:rPr>
        <w:t>However, the use of data analytics</w:t>
      </w:r>
      <w:r w:rsidR="008D2C53" w:rsidRPr="00515DC8">
        <w:rPr>
          <w:shd w:val="clear" w:color="auto" w:fill="FFFFFF" w:themeFill="background1"/>
          <w:lang w:val="en-GB"/>
        </w:rPr>
        <w:t xml:space="preserve"> requires</w:t>
      </w:r>
      <w:r w:rsidR="00F86960" w:rsidRPr="00515DC8">
        <w:rPr>
          <w:shd w:val="clear" w:color="auto" w:fill="FFFFFF" w:themeFill="background1"/>
          <w:lang w:val="en-GB"/>
        </w:rPr>
        <w:t xml:space="preserve"> care in terms of data ownership and security along with</w:t>
      </w:r>
      <w:r w:rsidR="00194417" w:rsidRPr="00515DC8">
        <w:rPr>
          <w:shd w:val="clear" w:color="auto" w:fill="FFFFFF" w:themeFill="background1"/>
          <w:lang w:val="en-GB"/>
        </w:rPr>
        <w:t xml:space="preserve"> considerable</w:t>
      </w:r>
      <w:r w:rsidR="008D2C53" w:rsidRPr="00515DC8">
        <w:rPr>
          <w:shd w:val="clear" w:color="auto" w:fill="FFFFFF" w:themeFill="background1"/>
          <w:lang w:val="en-GB"/>
        </w:rPr>
        <w:t xml:space="preserve"> </w:t>
      </w:r>
      <w:r w:rsidR="003D5357" w:rsidRPr="00515DC8">
        <w:rPr>
          <w:shd w:val="clear" w:color="auto" w:fill="FFFFFF" w:themeFill="background1"/>
          <w:lang w:val="en-GB"/>
        </w:rPr>
        <w:t>resource</w:t>
      </w:r>
      <w:r w:rsidR="00F86960" w:rsidRPr="00515DC8">
        <w:rPr>
          <w:shd w:val="clear" w:color="auto" w:fill="FFFFFF" w:themeFill="background1"/>
          <w:lang w:val="en-GB"/>
        </w:rPr>
        <w:t xml:space="preserve">. For example, </w:t>
      </w:r>
      <w:r w:rsidR="00963112" w:rsidRPr="00515DC8">
        <w:rPr>
          <w:shd w:val="clear" w:color="auto" w:fill="FFFFFF" w:themeFill="background1"/>
          <w:lang w:val="en-GB"/>
        </w:rPr>
        <w:t xml:space="preserve">investment </w:t>
      </w:r>
      <w:r w:rsidR="00F86960" w:rsidRPr="00515DC8">
        <w:rPr>
          <w:shd w:val="clear" w:color="auto" w:fill="FFFFFF" w:themeFill="background1"/>
          <w:lang w:val="en-GB"/>
        </w:rPr>
        <w:t xml:space="preserve">is needed </w:t>
      </w:r>
      <w:r w:rsidR="00963112" w:rsidRPr="00515DC8">
        <w:rPr>
          <w:shd w:val="clear" w:color="auto" w:fill="FFFFFF" w:themeFill="background1"/>
          <w:lang w:val="en-GB"/>
        </w:rPr>
        <w:t xml:space="preserve">in </w:t>
      </w:r>
      <w:r w:rsidR="00194417" w:rsidRPr="00515DC8">
        <w:rPr>
          <w:shd w:val="clear" w:color="auto" w:fill="FFFFFF" w:themeFill="background1"/>
          <w:lang w:val="en-GB"/>
        </w:rPr>
        <w:t>flexible data mining tools, new statistical methods including machine learning algorithms, visualisations that provide all relevant stakeholders with an overview of relevant information, and recruitment and development of specialised staff (Ifenthaler, 201</w:t>
      </w:r>
      <w:r w:rsidR="004653AB" w:rsidRPr="00515DC8">
        <w:rPr>
          <w:shd w:val="clear" w:color="auto" w:fill="FFFFFF" w:themeFill="background1"/>
          <w:lang w:val="en-GB"/>
        </w:rPr>
        <w:t>7</w:t>
      </w:r>
      <w:r w:rsidR="00194417" w:rsidRPr="00515DC8">
        <w:rPr>
          <w:shd w:val="clear" w:color="auto" w:fill="FFFFFF" w:themeFill="background1"/>
          <w:lang w:val="en-GB"/>
        </w:rPr>
        <w:t>)</w:t>
      </w:r>
      <w:r w:rsidR="00F86960" w:rsidRPr="00515DC8">
        <w:rPr>
          <w:shd w:val="clear" w:color="auto" w:fill="FFFFFF" w:themeFill="background1"/>
          <w:lang w:val="en-GB"/>
        </w:rPr>
        <w:t>. T</w:t>
      </w:r>
      <w:r w:rsidR="00963112" w:rsidRPr="00515DC8">
        <w:rPr>
          <w:shd w:val="clear" w:color="auto" w:fill="FFFFFF" w:themeFill="background1"/>
          <w:lang w:val="en-GB"/>
        </w:rPr>
        <w:t>raining</w:t>
      </w:r>
      <w:r w:rsidR="00194417" w:rsidRPr="00515DC8">
        <w:rPr>
          <w:shd w:val="clear" w:color="auto" w:fill="FFFFFF" w:themeFill="background1"/>
          <w:lang w:val="en-GB"/>
        </w:rPr>
        <w:t xml:space="preserve"> </w:t>
      </w:r>
      <w:r w:rsidR="00F86960" w:rsidRPr="00515DC8">
        <w:rPr>
          <w:shd w:val="clear" w:color="auto" w:fill="FFFFFF" w:themeFill="background1"/>
          <w:lang w:val="en-GB"/>
        </w:rPr>
        <w:t xml:space="preserve">is also essential </w:t>
      </w:r>
      <w:r w:rsidR="00194417" w:rsidRPr="00515DC8">
        <w:rPr>
          <w:shd w:val="clear" w:color="auto" w:fill="FFFFFF" w:themeFill="background1"/>
          <w:lang w:val="en-GB"/>
        </w:rPr>
        <w:t xml:space="preserve">in the uses of such tools and techniques along with developing enhanced </w:t>
      </w:r>
      <w:r w:rsidR="003D5357" w:rsidRPr="00515DC8">
        <w:rPr>
          <w:shd w:val="clear" w:color="auto" w:fill="FFFFFF" w:themeFill="background1"/>
          <w:lang w:val="en-GB"/>
        </w:rPr>
        <w:t xml:space="preserve">understanding and contextualisation of </w:t>
      </w:r>
      <w:r w:rsidRPr="00515DC8">
        <w:rPr>
          <w:shd w:val="clear" w:color="auto" w:fill="FFFFFF" w:themeFill="background1"/>
          <w:lang w:val="en-GB"/>
        </w:rPr>
        <w:t>moderating impacts</w:t>
      </w:r>
      <w:r w:rsidR="003D5357" w:rsidRPr="00515DC8">
        <w:rPr>
          <w:shd w:val="clear" w:color="auto" w:fill="FFFFFF" w:themeFill="background1"/>
          <w:lang w:val="en-GB"/>
        </w:rPr>
        <w:t xml:space="preserve"> on learning gain</w:t>
      </w:r>
      <w:r w:rsidRPr="00515DC8">
        <w:rPr>
          <w:shd w:val="clear" w:color="auto" w:fill="FFFFFF" w:themeFill="background1"/>
          <w:lang w:val="en-GB"/>
        </w:rPr>
        <w:t xml:space="preserve"> within specific contexts at</w:t>
      </w:r>
      <w:r w:rsidR="00404D06">
        <w:rPr>
          <w:shd w:val="clear" w:color="auto" w:fill="FFFFFF" w:themeFill="background1"/>
          <w:lang w:val="en-GB"/>
        </w:rPr>
        <w:t xml:space="preserve"> the</w:t>
      </w:r>
      <w:r w:rsidRPr="00515DC8">
        <w:rPr>
          <w:shd w:val="clear" w:color="auto" w:fill="FFFFFF" w:themeFill="background1"/>
          <w:lang w:val="en-GB"/>
        </w:rPr>
        <w:t xml:space="preserve"> individual, module, programme, faculty, and university levels. </w:t>
      </w:r>
    </w:p>
    <w:p w14:paraId="006A0739" w14:textId="77777777" w:rsidR="00563B04" w:rsidRPr="00515DC8" w:rsidRDefault="00563B04" w:rsidP="001B74D8">
      <w:pPr>
        <w:spacing w:line="480" w:lineRule="auto"/>
        <w:rPr>
          <w:lang w:val="en-GB"/>
        </w:rPr>
      </w:pPr>
    </w:p>
    <w:p w14:paraId="7EA3BBFE" w14:textId="5E39383D" w:rsidR="00640228" w:rsidRPr="00515DC8" w:rsidRDefault="00E57057" w:rsidP="001B74D8">
      <w:pPr>
        <w:spacing w:line="480" w:lineRule="auto"/>
        <w:rPr>
          <w:lang w:val="en-GB"/>
        </w:rPr>
      </w:pPr>
      <w:r w:rsidRPr="00515DC8">
        <w:rPr>
          <w:lang w:val="en-GB"/>
        </w:rPr>
        <w:t xml:space="preserve">Considerable investment has been placed </w:t>
      </w:r>
      <w:r w:rsidR="00332C35" w:rsidRPr="00515DC8">
        <w:rPr>
          <w:lang w:val="en-GB"/>
        </w:rPr>
        <w:t xml:space="preserve">globally </w:t>
      </w:r>
      <w:r w:rsidRPr="00515DC8">
        <w:rPr>
          <w:lang w:val="en-GB"/>
        </w:rPr>
        <w:t>in developing learning gain measures in s</w:t>
      </w:r>
      <w:r w:rsidR="00332C35" w:rsidRPr="00515DC8">
        <w:rPr>
          <w:lang w:val="en-GB"/>
        </w:rPr>
        <w:t>earch of a pedagogical El</w:t>
      </w:r>
      <w:r w:rsidR="00B420FE" w:rsidRPr="00515DC8">
        <w:rPr>
          <w:lang w:val="en-GB"/>
        </w:rPr>
        <w:t xml:space="preserve"> D</w:t>
      </w:r>
      <w:r w:rsidR="00332C35" w:rsidRPr="00515DC8">
        <w:rPr>
          <w:lang w:val="en-GB"/>
        </w:rPr>
        <w:t>orado</w:t>
      </w:r>
      <w:r w:rsidR="004E1F1C" w:rsidRPr="00515DC8">
        <w:rPr>
          <w:lang w:val="en-GB"/>
        </w:rPr>
        <w:t>:</w:t>
      </w:r>
      <w:r w:rsidR="00332C35" w:rsidRPr="00515DC8">
        <w:rPr>
          <w:lang w:val="en-GB"/>
        </w:rPr>
        <w:t xml:space="preserve"> </w:t>
      </w:r>
      <w:r w:rsidRPr="00515DC8">
        <w:rPr>
          <w:lang w:val="en-GB"/>
        </w:rPr>
        <w:t>th</w:t>
      </w:r>
      <w:r w:rsidR="00404D06">
        <w:rPr>
          <w:lang w:val="en-GB"/>
        </w:rPr>
        <w:t>e meaningful assessment of high-</w:t>
      </w:r>
      <w:r w:rsidRPr="00515DC8">
        <w:rPr>
          <w:lang w:val="en-GB"/>
        </w:rPr>
        <w:t>quality teaching</w:t>
      </w:r>
      <w:r w:rsidR="00332C35" w:rsidRPr="00515DC8">
        <w:rPr>
          <w:lang w:val="en-GB"/>
        </w:rPr>
        <w:t>. However</w:t>
      </w:r>
      <w:r w:rsidR="00461621" w:rsidRPr="00515DC8">
        <w:rPr>
          <w:lang w:val="en-GB"/>
        </w:rPr>
        <w:t>,</w:t>
      </w:r>
      <w:r w:rsidR="00332C35" w:rsidRPr="00515DC8">
        <w:rPr>
          <w:lang w:val="en-GB"/>
        </w:rPr>
        <w:t xml:space="preserve"> the relationship between teaching and learning is not a linear one, with many contextual and individual difference variables impacting results. </w:t>
      </w:r>
      <w:r w:rsidR="005246B4" w:rsidRPr="00515DC8">
        <w:rPr>
          <w:lang w:val="en-GB"/>
        </w:rPr>
        <w:t>To</w:t>
      </w:r>
      <w:r w:rsidR="00332C35" w:rsidRPr="00515DC8">
        <w:rPr>
          <w:lang w:val="en-GB"/>
        </w:rPr>
        <w:t xml:space="preserve"> </w:t>
      </w:r>
      <w:r w:rsidR="005246B4" w:rsidRPr="00515DC8">
        <w:rPr>
          <w:lang w:val="en-GB"/>
        </w:rPr>
        <w:t>reveal</w:t>
      </w:r>
      <w:r w:rsidRPr="00515DC8">
        <w:rPr>
          <w:lang w:val="en-GB"/>
        </w:rPr>
        <w:t xml:space="preserve"> those practices that support </w:t>
      </w:r>
      <w:r w:rsidR="00404D06">
        <w:rPr>
          <w:lang w:val="en-GB"/>
        </w:rPr>
        <w:t>high-quality</w:t>
      </w:r>
      <w:r w:rsidRPr="00515DC8">
        <w:rPr>
          <w:lang w:val="en-GB"/>
        </w:rPr>
        <w:t xml:space="preserve"> pedagogies </w:t>
      </w:r>
      <w:r w:rsidR="00332C35" w:rsidRPr="00515DC8">
        <w:rPr>
          <w:lang w:val="en-GB"/>
        </w:rPr>
        <w:t xml:space="preserve">we need robust research designs supported by transparent reporting of information to substantiate claims and enable replication of approaches across contexts. </w:t>
      </w:r>
      <w:r w:rsidR="00461621" w:rsidRPr="00515DC8">
        <w:rPr>
          <w:lang w:val="en-GB"/>
        </w:rPr>
        <w:t>There is a significant</w:t>
      </w:r>
      <w:r w:rsidRPr="00515DC8">
        <w:rPr>
          <w:lang w:val="en-GB"/>
        </w:rPr>
        <w:t xml:space="preserve"> body of literature on </w:t>
      </w:r>
      <w:r w:rsidR="00404D06">
        <w:rPr>
          <w:lang w:val="en-GB"/>
        </w:rPr>
        <w:t>high-quality</w:t>
      </w:r>
      <w:r w:rsidRPr="00515DC8">
        <w:rPr>
          <w:lang w:val="en-GB"/>
        </w:rPr>
        <w:t xml:space="preserve"> learning and teaching practices underpinned by sound theoretical frameworks that can offer guidance</w:t>
      </w:r>
      <w:r w:rsidR="002F7E31" w:rsidRPr="00515DC8">
        <w:rPr>
          <w:lang w:val="en-GB"/>
        </w:rPr>
        <w:t xml:space="preserve"> in this endeavour. For example, Dinsmore’s (2017) work on eff</w:t>
      </w:r>
      <w:r w:rsidR="00BB3336" w:rsidRPr="00515DC8">
        <w:rPr>
          <w:lang w:val="en-GB"/>
        </w:rPr>
        <w:t>ective strategy use; Schneider</w:t>
      </w:r>
      <w:r w:rsidR="002F7E31" w:rsidRPr="00515DC8">
        <w:rPr>
          <w:lang w:val="en-GB"/>
        </w:rPr>
        <w:t xml:space="preserve"> &amp; Preckle’s (2017) meta</w:t>
      </w:r>
      <w:r w:rsidR="00640228" w:rsidRPr="00515DC8">
        <w:rPr>
          <w:lang w:val="en-GB"/>
        </w:rPr>
        <w:t>-a</w:t>
      </w:r>
      <w:r w:rsidR="002F7E31" w:rsidRPr="00515DC8">
        <w:rPr>
          <w:lang w:val="en-GB"/>
        </w:rPr>
        <w:t>nalysis on variables associated with achievement in HE; high impact pedagogies</w:t>
      </w:r>
      <w:r w:rsidR="00461621" w:rsidRPr="00515DC8">
        <w:rPr>
          <w:lang w:val="en-GB"/>
        </w:rPr>
        <w:t xml:space="preserve"> analyses</w:t>
      </w:r>
      <w:r w:rsidR="002F7E31" w:rsidRPr="00515DC8">
        <w:rPr>
          <w:lang w:val="en-GB"/>
        </w:rPr>
        <w:t xml:space="preserve"> (Evans, </w:t>
      </w:r>
      <w:r w:rsidR="00BC77D6" w:rsidRPr="00515DC8">
        <w:rPr>
          <w:lang w:val="en-GB"/>
        </w:rPr>
        <w:t xml:space="preserve">et al., </w:t>
      </w:r>
      <w:r w:rsidR="002F7E31" w:rsidRPr="00515DC8">
        <w:rPr>
          <w:lang w:val="en-GB"/>
        </w:rPr>
        <w:t xml:space="preserve"> 2015; Kuh, O’</w:t>
      </w:r>
      <w:r w:rsidR="00640228" w:rsidRPr="00515DC8">
        <w:rPr>
          <w:lang w:val="en-GB"/>
        </w:rPr>
        <w:t>Donnell</w:t>
      </w:r>
      <w:r w:rsidR="00BB3336" w:rsidRPr="00515DC8">
        <w:rPr>
          <w:lang w:val="en-GB"/>
        </w:rPr>
        <w:t>,</w:t>
      </w:r>
      <w:r w:rsidR="00640228" w:rsidRPr="00515DC8">
        <w:rPr>
          <w:lang w:val="en-GB"/>
        </w:rPr>
        <w:t xml:space="preserve"> &amp; Schneider, 2017; Strang et al., 2016)</w:t>
      </w:r>
      <w:r w:rsidR="0056407C" w:rsidRPr="00515DC8">
        <w:rPr>
          <w:lang w:val="en-GB"/>
        </w:rPr>
        <w:t xml:space="preserve">; </w:t>
      </w:r>
      <w:r w:rsidR="00461621" w:rsidRPr="00515DC8">
        <w:rPr>
          <w:lang w:val="en-GB"/>
        </w:rPr>
        <w:t>differential student performance</w:t>
      </w:r>
      <w:r w:rsidR="0056407C" w:rsidRPr="00515DC8">
        <w:rPr>
          <w:lang w:val="en-GB"/>
        </w:rPr>
        <w:t xml:space="preserve"> (diFrancesca, Nietfeld, &amp; Cao, 2016; J. T. E. Richardson, 2015; M. Richardson, Abraham, &amp; Bond, 2012; Seifert, Gillig et al., 2014</w:t>
      </w:r>
      <w:r w:rsidR="00461621" w:rsidRPr="00515DC8">
        <w:rPr>
          <w:lang w:val="en-GB"/>
        </w:rPr>
        <w:t xml:space="preserve">; Mountford </w:t>
      </w:r>
      <w:r w:rsidR="00B421B2" w:rsidRPr="00515DC8">
        <w:rPr>
          <w:lang w:val="en-GB"/>
        </w:rPr>
        <w:t>Zimdars</w:t>
      </w:r>
      <w:r w:rsidR="00461621" w:rsidRPr="00515DC8">
        <w:rPr>
          <w:lang w:val="en-GB"/>
        </w:rPr>
        <w:t xml:space="preserve"> et al., 2015</w:t>
      </w:r>
      <w:r w:rsidR="0056407C" w:rsidRPr="00515DC8">
        <w:rPr>
          <w:lang w:val="en-GB"/>
        </w:rPr>
        <w:t>)</w:t>
      </w:r>
      <w:r w:rsidR="00BC77D6" w:rsidRPr="00515DC8">
        <w:rPr>
          <w:lang w:val="en-GB"/>
        </w:rPr>
        <w:t>; cognitive and educational psychology insights (Dunlosky, Rawson, Mars</w:t>
      </w:r>
      <w:r w:rsidR="00A2399E" w:rsidRPr="00515DC8">
        <w:rPr>
          <w:lang w:val="en-GB"/>
        </w:rPr>
        <w:t>h, Nathan, &amp; Willingham, 2013</w:t>
      </w:r>
      <w:r w:rsidR="00A46874" w:rsidRPr="00515DC8">
        <w:rPr>
          <w:lang w:val="en-GB"/>
        </w:rPr>
        <w:t>;  Kozhevnikov, Evans, &amp; Kosling 2014; Waring &amp; Evans, 2015</w:t>
      </w:r>
      <w:r w:rsidR="00A2399E" w:rsidRPr="00515DC8">
        <w:rPr>
          <w:lang w:val="en-GB"/>
        </w:rPr>
        <w:t xml:space="preserve">), and </w:t>
      </w:r>
      <w:r w:rsidR="00BC77D6" w:rsidRPr="00515DC8">
        <w:rPr>
          <w:lang w:val="en-GB"/>
        </w:rPr>
        <w:t>neuroscientific ap</w:t>
      </w:r>
      <w:r w:rsidR="00BB3336" w:rsidRPr="00515DC8">
        <w:rPr>
          <w:lang w:val="en-GB"/>
        </w:rPr>
        <w:t xml:space="preserve">plications (Dubinksy, Roehrig, </w:t>
      </w:r>
      <w:r w:rsidR="00BC77D6" w:rsidRPr="00515DC8">
        <w:rPr>
          <w:lang w:val="en-GB"/>
        </w:rPr>
        <w:t xml:space="preserve">&amp; Varma, 2013).  </w:t>
      </w:r>
      <w:r w:rsidR="0056407C" w:rsidRPr="00515DC8">
        <w:rPr>
          <w:lang w:val="en-GB"/>
        </w:rPr>
        <w:t xml:space="preserve"> </w:t>
      </w:r>
      <w:r w:rsidR="00640228" w:rsidRPr="00515DC8">
        <w:rPr>
          <w:lang w:val="en-GB"/>
        </w:rPr>
        <w:t xml:space="preserve"> </w:t>
      </w:r>
    </w:p>
    <w:p w14:paraId="6A6FF882" w14:textId="77777777" w:rsidR="001B3F4F" w:rsidRPr="00515DC8" w:rsidRDefault="001B3F4F" w:rsidP="001B74D8">
      <w:pPr>
        <w:spacing w:line="480" w:lineRule="auto"/>
        <w:rPr>
          <w:i/>
          <w:lang w:val="en-GB"/>
        </w:rPr>
      </w:pPr>
    </w:p>
    <w:p w14:paraId="2A463945" w14:textId="75F09984" w:rsidR="0087445D" w:rsidRPr="00515DC8" w:rsidRDefault="003F0A62" w:rsidP="001B74D8">
      <w:pPr>
        <w:spacing w:line="480" w:lineRule="auto"/>
        <w:rPr>
          <w:lang w:val="en-GB"/>
        </w:rPr>
      </w:pPr>
      <w:r w:rsidRPr="00515DC8">
        <w:rPr>
          <w:lang w:val="en-GB"/>
        </w:rPr>
        <w:t xml:space="preserve">Assessment </w:t>
      </w:r>
      <w:r w:rsidR="005246B4" w:rsidRPr="00515DC8">
        <w:rPr>
          <w:lang w:val="en-GB"/>
        </w:rPr>
        <w:t xml:space="preserve">of student achievement </w:t>
      </w:r>
      <w:r w:rsidRPr="00515DC8">
        <w:rPr>
          <w:lang w:val="en-GB"/>
        </w:rPr>
        <w:t xml:space="preserve">is at the heart of learning gain approaches. </w:t>
      </w:r>
      <w:r w:rsidR="00BC77D6" w:rsidRPr="00515DC8">
        <w:rPr>
          <w:lang w:val="en-GB"/>
        </w:rPr>
        <w:t xml:space="preserve">It could be argued that if assessment was fit for purpose there would be no need for additional learning gain measures. </w:t>
      </w:r>
      <w:r w:rsidR="001B3F4F" w:rsidRPr="00515DC8">
        <w:rPr>
          <w:lang w:val="en-GB"/>
        </w:rPr>
        <w:t>Data generated through student assessment should be usable for learning gain purposes (</w:t>
      </w:r>
      <w:r w:rsidR="001B3F4F" w:rsidRPr="00515DC8">
        <w:rPr>
          <w:i/>
          <w:lang w:val="en-GB"/>
        </w:rPr>
        <w:t>Boud, 2018</w:t>
      </w:r>
      <w:r w:rsidR="001B3F4F" w:rsidRPr="00515DC8">
        <w:rPr>
          <w:lang w:val="en-GB"/>
        </w:rPr>
        <w:t>)</w:t>
      </w:r>
      <w:r w:rsidR="00BC77D6" w:rsidRPr="00515DC8">
        <w:rPr>
          <w:lang w:val="en-GB"/>
        </w:rPr>
        <w:t>, although t</w:t>
      </w:r>
      <w:r w:rsidR="002B01A3" w:rsidRPr="00515DC8">
        <w:rPr>
          <w:lang w:val="en-GB"/>
        </w:rPr>
        <w:t>he inherent inadequacies of assessment in HE</w:t>
      </w:r>
      <w:r w:rsidR="001B3F4F" w:rsidRPr="00515DC8">
        <w:rPr>
          <w:lang w:val="en-GB"/>
        </w:rPr>
        <w:t xml:space="preserve"> makes</w:t>
      </w:r>
      <w:r w:rsidR="0043078E" w:rsidRPr="00515DC8">
        <w:rPr>
          <w:lang w:val="en-GB"/>
        </w:rPr>
        <w:t xml:space="preserve"> the use of grades</w:t>
      </w:r>
      <w:r w:rsidR="001B3F4F" w:rsidRPr="00515DC8">
        <w:rPr>
          <w:lang w:val="en-GB"/>
        </w:rPr>
        <w:t xml:space="preserve"> as an accurate outcome measure of students’ performance</w:t>
      </w:r>
      <w:r w:rsidR="004E3A42" w:rsidRPr="00515DC8">
        <w:rPr>
          <w:lang w:val="en-GB"/>
        </w:rPr>
        <w:t xml:space="preserve"> </w:t>
      </w:r>
      <w:r w:rsidRPr="00515DC8">
        <w:rPr>
          <w:lang w:val="en-GB"/>
        </w:rPr>
        <w:t>questionable</w:t>
      </w:r>
      <w:r w:rsidR="004E3A42" w:rsidRPr="00515DC8">
        <w:rPr>
          <w:lang w:val="en-GB"/>
        </w:rPr>
        <w:t xml:space="preserve"> (Bloxham &amp; Boyd, 202). </w:t>
      </w:r>
      <w:r w:rsidR="005414E7" w:rsidRPr="00515DC8">
        <w:rPr>
          <w:lang w:val="en-GB"/>
        </w:rPr>
        <w:t xml:space="preserve">However, as </w:t>
      </w:r>
      <w:r w:rsidR="005414E7" w:rsidRPr="00515DC8">
        <w:rPr>
          <w:i/>
          <w:lang w:val="en-GB"/>
        </w:rPr>
        <w:t>Sands et al.</w:t>
      </w:r>
      <w:r w:rsidR="005414E7" w:rsidRPr="00515DC8">
        <w:rPr>
          <w:lang w:val="en-GB"/>
        </w:rPr>
        <w:t xml:space="preserve"> (2018) note</w:t>
      </w:r>
      <w:r w:rsidR="004E3A42" w:rsidRPr="00515DC8">
        <w:rPr>
          <w:lang w:val="en-GB"/>
        </w:rPr>
        <w:t>,</w:t>
      </w:r>
      <w:r w:rsidR="005414E7" w:rsidRPr="00515DC8">
        <w:rPr>
          <w:lang w:val="en-GB"/>
        </w:rPr>
        <w:t xml:space="preserve"> we cannot expect one overarching assessment to capture all we need it to</w:t>
      </w:r>
      <w:r w:rsidR="006B42EC" w:rsidRPr="00515DC8">
        <w:rPr>
          <w:lang w:val="en-GB"/>
        </w:rPr>
        <w:t>,</w:t>
      </w:r>
      <w:r w:rsidR="005414E7" w:rsidRPr="00515DC8">
        <w:rPr>
          <w:lang w:val="en-GB"/>
        </w:rPr>
        <w:t xml:space="preserve"> but we can expect assessment to do a better job of capturing improvements in key areas of knowledge, skills, and unde</w:t>
      </w:r>
      <w:r w:rsidR="004E3A42" w:rsidRPr="00515DC8">
        <w:rPr>
          <w:lang w:val="en-GB"/>
        </w:rPr>
        <w:t>rstanding through</w:t>
      </w:r>
      <w:r w:rsidR="005414E7" w:rsidRPr="00515DC8">
        <w:rPr>
          <w:lang w:val="en-GB"/>
        </w:rPr>
        <w:t xml:space="preserve"> identifying progressive points in key </w:t>
      </w:r>
      <w:r w:rsidR="005246B4" w:rsidRPr="00515DC8">
        <w:rPr>
          <w:lang w:val="en-GB"/>
        </w:rPr>
        <w:t xml:space="preserve">study </w:t>
      </w:r>
      <w:r w:rsidR="005414E7" w:rsidRPr="00515DC8">
        <w:rPr>
          <w:lang w:val="en-GB"/>
        </w:rPr>
        <w:t>modules, and, or across an entire programme.</w:t>
      </w:r>
      <w:r w:rsidR="004E3A42" w:rsidRPr="00515DC8">
        <w:rPr>
          <w:lang w:val="en-GB"/>
        </w:rPr>
        <w:t xml:space="preserve"> </w:t>
      </w:r>
      <w:r w:rsidR="00BC77D6" w:rsidRPr="00515DC8">
        <w:rPr>
          <w:lang w:val="en-GB"/>
        </w:rPr>
        <w:t xml:space="preserve"> </w:t>
      </w:r>
      <w:r w:rsidR="0043078E" w:rsidRPr="00515DC8">
        <w:rPr>
          <w:lang w:val="en-GB"/>
        </w:rPr>
        <w:t>Our ability to extract useful infor</w:t>
      </w:r>
      <w:r w:rsidR="00BC77D6" w:rsidRPr="00515DC8">
        <w:rPr>
          <w:lang w:val="en-GB"/>
        </w:rPr>
        <w:t xml:space="preserve">mation from </w:t>
      </w:r>
      <w:r w:rsidR="005246B4" w:rsidRPr="00515DC8">
        <w:rPr>
          <w:lang w:val="en-GB"/>
        </w:rPr>
        <w:t xml:space="preserve">student </w:t>
      </w:r>
      <w:r w:rsidR="00BC77D6" w:rsidRPr="00515DC8">
        <w:rPr>
          <w:lang w:val="en-GB"/>
        </w:rPr>
        <w:t xml:space="preserve">assessment data is </w:t>
      </w:r>
      <w:r w:rsidR="004E3A42" w:rsidRPr="00515DC8">
        <w:rPr>
          <w:lang w:val="en-GB"/>
        </w:rPr>
        <w:t>fraught with difficulty given that a</w:t>
      </w:r>
      <w:r w:rsidR="0040592D" w:rsidRPr="00515DC8">
        <w:rPr>
          <w:lang w:val="en-GB"/>
        </w:rPr>
        <w:t>ssessment c</w:t>
      </w:r>
      <w:r w:rsidR="004E3A42" w:rsidRPr="00515DC8">
        <w:rPr>
          <w:lang w:val="en-GB"/>
        </w:rPr>
        <w:t>r</w:t>
      </w:r>
      <w:r w:rsidR="0040592D" w:rsidRPr="00515DC8">
        <w:rPr>
          <w:lang w:val="en-GB"/>
        </w:rPr>
        <w:t>iteria and scaling vary across programmes, institutions, and nations and reflect different knowledge structures so their</w:t>
      </w:r>
      <w:r w:rsidR="00B811C6" w:rsidRPr="00515DC8">
        <w:rPr>
          <w:lang w:val="en-GB"/>
        </w:rPr>
        <w:t xml:space="preserve"> </w:t>
      </w:r>
      <w:r w:rsidR="0040592D" w:rsidRPr="00515DC8">
        <w:rPr>
          <w:lang w:val="en-GB"/>
        </w:rPr>
        <w:t xml:space="preserve">value for comparison purposes is limited </w:t>
      </w:r>
      <w:r w:rsidR="008C7DC1" w:rsidRPr="00515DC8">
        <w:rPr>
          <w:lang w:val="en-GB"/>
        </w:rPr>
        <w:t>(</w:t>
      </w:r>
      <w:r w:rsidR="0040592D" w:rsidRPr="00515DC8">
        <w:rPr>
          <w:lang w:val="en-GB"/>
        </w:rPr>
        <w:t>Cas</w:t>
      </w:r>
      <w:r w:rsidR="008C7DC1" w:rsidRPr="00515DC8">
        <w:rPr>
          <w:lang w:val="en-GB"/>
        </w:rPr>
        <w:t>persen et al.</w:t>
      </w:r>
      <w:r w:rsidR="00BB3336" w:rsidRPr="00515DC8">
        <w:rPr>
          <w:lang w:val="en-GB"/>
        </w:rPr>
        <w:t>,</w:t>
      </w:r>
      <w:r w:rsidR="008C7DC1" w:rsidRPr="00515DC8">
        <w:rPr>
          <w:lang w:val="en-GB"/>
        </w:rPr>
        <w:t xml:space="preserve"> 2017). </w:t>
      </w:r>
      <w:r w:rsidR="00013ABA" w:rsidRPr="00515DC8">
        <w:rPr>
          <w:lang w:val="en-GB"/>
        </w:rPr>
        <w:t xml:space="preserve">It is also </w:t>
      </w:r>
      <w:r w:rsidR="004E3A42" w:rsidRPr="00515DC8">
        <w:rPr>
          <w:lang w:val="en-GB"/>
        </w:rPr>
        <w:t xml:space="preserve">difficult to </w:t>
      </w:r>
      <w:r w:rsidR="00871596" w:rsidRPr="00515DC8">
        <w:rPr>
          <w:lang w:val="en-GB"/>
        </w:rPr>
        <w:t>ascertain whether any increases</w:t>
      </w:r>
      <w:r w:rsidR="004E3A42" w:rsidRPr="00515DC8">
        <w:rPr>
          <w:lang w:val="en-GB"/>
        </w:rPr>
        <w:t xml:space="preserve"> in marks are the result of learning gain or different norms and cultures (</w:t>
      </w:r>
      <w:r w:rsidR="004E3A42" w:rsidRPr="00515DC8">
        <w:rPr>
          <w:i/>
          <w:lang w:val="en-GB"/>
        </w:rPr>
        <w:t>Ylonen et al.,</w:t>
      </w:r>
      <w:r w:rsidR="00871596" w:rsidRPr="00515DC8">
        <w:rPr>
          <w:lang w:val="en-GB"/>
        </w:rPr>
        <w:t xml:space="preserve"> 2018).</w:t>
      </w:r>
    </w:p>
    <w:p w14:paraId="726FB869" w14:textId="77777777" w:rsidR="0087445D" w:rsidRPr="00515DC8" w:rsidRDefault="0087445D" w:rsidP="001B74D8">
      <w:pPr>
        <w:spacing w:line="480" w:lineRule="auto"/>
        <w:rPr>
          <w:lang w:val="en-GB"/>
        </w:rPr>
      </w:pPr>
    </w:p>
    <w:p w14:paraId="4D8A5F4F" w14:textId="385980D5" w:rsidR="00BC77D6" w:rsidRPr="00515DC8" w:rsidRDefault="00871596" w:rsidP="001B74D8">
      <w:pPr>
        <w:spacing w:line="480" w:lineRule="auto"/>
        <w:rPr>
          <w:lang w:val="en-GB"/>
        </w:rPr>
      </w:pPr>
      <w:r w:rsidRPr="00515DC8">
        <w:rPr>
          <w:lang w:val="en-GB"/>
        </w:rPr>
        <w:t>To address this problem</w:t>
      </w:r>
      <w:r w:rsidR="004E3A42" w:rsidRPr="00515DC8">
        <w:rPr>
          <w:lang w:val="en-GB"/>
        </w:rPr>
        <w:t>,</w:t>
      </w:r>
      <w:r w:rsidR="004E3A42" w:rsidRPr="00515DC8">
        <w:rPr>
          <w:i/>
          <w:lang w:val="en-GB"/>
        </w:rPr>
        <w:t xml:space="preserve"> Boud</w:t>
      </w:r>
      <w:r w:rsidR="004E3A42" w:rsidRPr="00515DC8">
        <w:rPr>
          <w:lang w:val="en-GB"/>
        </w:rPr>
        <w:t xml:space="preserve"> (2018) argues for a common set of standards and criteria which could be achieved through a programme level approach. However, given the drive to provide increasingly flexible programmes of study for students, </w:t>
      </w:r>
      <w:r w:rsidR="00013ABA" w:rsidRPr="00515DC8">
        <w:rPr>
          <w:lang w:val="en-GB"/>
        </w:rPr>
        <w:t>programme level assessment approaches are difficult to implement where students are studying across</w:t>
      </w:r>
      <w:r w:rsidR="003F0A62" w:rsidRPr="00515DC8">
        <w:rPr>
          <w:lang w:val="en-GB"/>
        </w:rPr>
        <w:t xml:space="preserve"> a range of</w:t>
      </w:r>
      <w:r w:rsidR="00013ABA" w:rsidRPr="00515DC8">
        <w:rPr>
          <w:lang w:val="en-GB"/>
        </w:rPr>
        <w:t xml:space="preserve"> disciplines and faculties. </w:t>
      </w:r>
      <w:r w:rsidR="00BC77D6" w:rsidRPr="00515DC8">
        <w:rPr>
          <w:lang w:val="en-GB"/>
        </w:rPr>
        <w:t>At a fundamental level, questions have been raised as to whether assessment actually measures learning at all, or whether it simply measures an individual’s ability to successfully pass assessments. In being able to use assessment data, we need to consider the authenticity, relevance</w:t>
      </w:r>
      <w:r w:rsidR="00BE7741">
        <w:rPr>
          <w:lang w:val="en-GB"/>
        </w:rPr>
        <w:t>,</w:t>
      </w:r>
      <w:r w:rsidR="00BC77D6" w:rsidRPr="00515DC8">
        <w:rPr>
          <w:lang w:val="en-GB"/>
        </w:rPr>
        <w:t xml:space="preserve"> and validity of assessments; the extent to which assessments accurately measure intended learning outcomes</w:t>
      </w:r>
      <w:r w:rsidR="00013ABA" w:rsidRPr="00515DC8">
        <w:rPr>
          <w:lang w:val="en-GB"/>
        </w:rPr>
        <w:t>,</w:t>
      </w:r>
      <w:r w:rsidR="00BC77D6" w:rsidRPr="00515DC8">
        <w:rPr>
          <w:lang w:val="en-GB"/>
        </w:rPr>
        <w:t xml:space="preserve"> and whether the proposed meaning of test outcomes or uses of a test are warranted by its qualities and justified within its context (Messick 1989</w:t>
      </w:r>
      <w:r w:rsidR="00013ABA" w:rsidRPr="00515DC8">
        <w:rPr>
          <w:lang w:val="en-GB"/>
        </w:rPr>
        <w:t>).</w:t>
      </w:r>
    </w:p>
    <w:p w14:paraId="69B82812" w14:textId="77777777" w:rsidR="00BC77D6" w:rsidRPr="00515DC8" w:rsidRDefault="00BC77D6" w:rsidP="001B74D8">
      <w:pPr>
        <w:spacing w:line="480" w:lineRule="auto"/>
        <w:rPr>
          <w:lang w:val="en-GB"/>
        </w:rPr>
      </w:pPr>
    </w:p>
    <w:p w14:paraId="6B9B7546" w14:textId="77777777" w:rsidR="0056407C" w:rsidRPr="00515DC8" w:rsidRDefault="009172E9" w:rsidP="00404D06">
      <w:pPr>
        <w:spacing w:line="480" w:lineRule="auto"/>
        <w:outlineLvl w:val="0"/>
        <w:rPr>
          <w:b/>
          <w:i/>
          <w:lang w:val="en-GB"/>
        </w:rPr>
      </w:pPr>
      <w:r w:rsidRPr="00515DC8">
        <w:rPr>
          <w:b/>
          <w:i/>
          <w:lang w:val="en-GB"/>
        </w:rPr>
        <w:t>Placing pedagogy at the centre of learning gain initiatives: key considerations</w:t>
      </w:r>
    </w:p>
    <w:p w14:paraId="45EEDDE3" w14:textId="383649A7" w:rsidR="000B6430" w:rsidRPr="00515DC8" w:rsidRDefault="009172E9" w:rsidP="001B74D8">
      <w:pPr>
        <w:spacing w:line="480" w:lineRule="auto"/>
        <w:rPr>
          <w:lang w:val="en-GB"/>
        </w:rPr>
      </w:pPr>
      <w:r w:rsidRPr="00515DC8">
        <w:rPr>
          <w:lang w:val="en-GB"/>
        </w:rPr>
        <w:t xml:space="preserve">In sum, </w:t>
      </w:r>
      <w:r w:rsidR="00160468" w:rsidRPr="00515DC8">
        <w:rPr>
          <w:lang w:val="en-GB"/>
        </w:rPr>
        <w:t xml:space="preserve">the following principles are </w:t>
      </w:r>
      <w:r w:rsidR="0012630E" w:rsidRPr="00515DC8">
        <w:rPr>
          <w:lang w:val="en-GB"/>
        </w:rPr>
        <w:t>central to</w:t>
      </w:r>
      <w:r w:rsidR="00160468" w:rsidRPr="00515DC8">
        <w:rPr>
          <w:lang w:val="en-GB"/>
        </w:rPr>
        <w:t xml:space="preserve"> the implementation of learning gain approaches </w:t>
      </w:r>
      <w:r w:rsidR="00A5532B" w:rsidRPr="00515DC8">
        <w:rPr>
          <w:lang w:val="en-GB"/>
        </w:rPr>
        <w:t>focused on</w:t>
      </w:r>
      <w:r w:rsidR="00160468" w:rsidRPr="00515DC8">
        <w:rPr>
          <w:lang w:val="en-GB"/>
        </w:rPr>
        <w:t xml:space="preserve"> support</w:t>
      </w:r>
      <w:r w:rsidR="00A5532B" w:rsidRPr="00515DC8">
        <w:rPr>
          <w:lang w:val="en-GB"/>
        </w:rPr>
        <w:t>ing</w:t>
      </w:r>
      <w:r w:rsidR="00160468" w:rsidRPr="00515DC8">
        <w:rPr>
          <w:lang w:val="en-GB"/>
        </w:rPr>
        <w:t xml:space="preserve"> enhancements in learning and teaching</w:t>
      </w:r>
      <w:r w:rsidR="001F1F3E" w:rsidRPr="00515DC8">
        <w:rPr>
          <w:lang w:val="en-GB"/>
        </w:rPr>
        <w:t>:</w:t>
      </w:r>
    </w:p>
    <w:p w14:paraId="6D78B320" w14:textId="77777777" w:rsidR="00160468" w:rsidRPr="00515DC8" w:rsidRDefault="00160468" w:rsidP="001B74D8">
      <w:pPr>
        <w:spacing w:line="480" w:lineRule="auto"/>
        <w:rPr>
          <w:lang w:val="en-GB"/>
        </w:rPr>
      </w:pPr>
    </w:p>
    <w:p w14:paraId="17291198" w14:textId="2EF94010" w:rsidR="000B6430" w:rsidRPr="00515DC8" w:rsidRDefault="00F1448B" w:rsidP="001B74D8">
      <w:pPr>
        <w:pStyle w:val="ListParagraph"/>
        <w:numPr>
          <w:ilvl w:val="1"/>
          <w:numId w:val="20"/>
        </w:numPr>
        <w:spacing w:after="0" w:line="480" w:lineRule="auto"/>
        <w:rPr>
          <w:rFonts w:ascii="Times New Roman" w:hAnsi="Times New Roman" w:cs="Times New Roman"/>
          <w:sz w:val="24"/>
          <w:szCs w:val="24"/>
        </w:rPr>
      </w:pPr>
      <w:r w:rsidRPr="00515DC8">
        <w:rPr>
          <w:rFonts w:ascii="Times New Roman" w:hAnsi="Times New Roman" w:cs="Times New Roman"/>
          <w:sz w:val="24"/>
          <w:szCs w:val="24"/>
        </w:rPr>
        <w:t>a holistic and integrated approach to curriculum</w:t>
      </w:r>
      <w:r w:rsidR="000A37A0" w:rsidRPr="00515DC8">
        <w:rPr>
          <w:rFonts w:ascii="Times New Roman" w:hAnsi="Times New Roman" w:cs="Times New Roman"/>
          <w:sz w:val="24"/>
          <w:szCs w:val="24"/>
        </w:rPr>
        <w:t xml:space="preserve"> including assessment</w:t>
      </w:r>
      <w:r w:rsidR="00FF508D" w:rsidRPr="00515DC8">
        <w:rPr>
          <w:rFonts w:ascii="Times New Roman" w:hAnsi="Times New Roman" w:cs="Times New Roman"/>
          <w:sz w:val="24"/>
          <w:szCs w:val="24"/>
        </w:rPr>
        <w:t xml:space="preserve"> </w:t>
      </w:r>
      <w:r w:rsidRPr="00515DC8">
        <w:rPr>
          <w:rFonts w:ascii="Times New Roman" w:hAnsi="Times New Roman" w:cs="Times New Roman"/>
          <w:sz w:val="24"/>
          <w:szCs w:val="24"/>
        </w:rPr>
        <w:t>design</w:t>
      </w:r>
    </w:p>
    <w:p w14:paraId="1D94B017" w14:textId="73CC1C56" w:rsidR="00F1448B" w:rsidRPr="00515DC8" w:rsidRDefault="00160468" w:rsidP="001B74D8">
      <w:pPr>
        <w:pStyle w:val="ListParagraph"/>
        <w:numPr>
          <w:ilvl w:val="1"/>
          <w:numId w:val="20"/>
        </w:numPr>
        <w:spacing w:after="0" w:line="480" w:lineRule="auto"/>
        <w:rPr>
          <w:rFonts w:ascii="Times New Roman" w:hAnsi="Times New Roman" w:cs="Times New Roman"/>
          <w:sz w:val="24"/>
          <w:szCs w:val="24"/>
        </w:rPr>
      </w:pPr>
      <w:r w:rsidRPr="00515DC8">
        <w:rPr>
          <w:rFonts w:ascii="Times New Roman" w:hAnsi="Times New Roman" w:cs="Times New Roman"/>
          <w:sz w:val="24"/>
          <w:szCs w:val="24"/>
        </w:rPr>
        <w:t>a</w:t>
      </w:r>
      <w:r w:rsidR="00F1448B" w:rsidRPr="00515DC8">
        <w:rPr>
          <w:rFonts w:ascii="Times New Roman" w:hAnsi="Times New Roman" w:cs="Times New Roman"/>
          <w:sz w:val="24"/>
          <w:szCs w:val="24"/>
        </w:rPr>
        <w:t xml:space="preserve"> research-informed</w:t>
      </w:r>
      <w:r w:rsidRPr="00515DC8">
        <w:rPr>
          <w:rFonts w:ascii="Times New Roman" w:hAnsi="Times New Roman" w:cs="Times New Roman"/>
          <w:sz w:val="24"/>
          <w:szCs w:val="24"/>
        </w:rPr>
        <w:t xml:space="preserve"> approach from</w:t>
      </w:r>
      <w:r w:rsidR="000A37A0" w:rsidRPr="00515DC8">
        <w:rPr>
          <w:rFonts w:ascii="Times New Roman" w:hAnsi="Times New Roman" w:cs="Times New Roman"/>
          <w:sz w:val="24"/>
          <w:szCs w:val="24"/>
        </w:rPr>
        <w:t xml:space="preserve"> pedagogical and methodological perspectives </w:t>
      </w:r>
    </w:p>
    <w:p w14:paraId="6C341AD9" w14:textId="235716B3" w:rsidR="00F1448B" w:rsidRPr="00515DC8" w:rsidRDefault="00160468" w:rsidP="001B74D8">
      <w:pPr>
        <w:pStyle w:val="ListParagraph"/>
        <w:numPr>
          <w:ilvl w:val="1"/>
          <w:numId w:val="20"/>
        </w:numPr>
        <w:spacing w:after="0" w:line="480" w:lineRule="auto"/>
        <w:rPr>
          <w:rFonts w:ascii="Times New Roman" w:hAnsi="Times New Roman" w:cs="Times New Roman"/>
          <w:sz w:val="24"/>
          <w:szCs w:val="24"/>
        </w:rPr>
      </w:pPr>
      <w:r w:rsidRPr="00515DC8">
        <w:rPr>
          <w:rFonts w:ascii="Times New Roman" w:hAnsi="Times New Roman" w:cs="Times New Roman"/>
          <w:sz w:val="24"/>
          <w:szCs w:val="24"/>
        </w:rPr>
        <w:t>embedding approaches within disciplines – discipline aligned</w:t>
      </w:r>
    </w:p>
    <w:p w14:paraId="3C2BCE8B" w14:textId="1B4E509E" w:rsidR="00155F75" w:rsidRPr="00515DC8" w:rsidRDefault="00160468" w:rsidP="001B74D8">
      <w:pPr>
        <w:pStyle w:val="ListParagraph"/>
        <w:numPr>
          <w:ilvl w:val="1"/>
          <w:numId w:val="20"/>
        </w:numPr>
        <w:spacing w:line="480" w:lineRule="auto"/>
        <w:rPr>
          <w:rFonts w:ascii="Times New Roman" w:hAnsi="Times New Roman" w:cs="Times New Roman"/>
          <w:sz w:val="24"/>
          <w:szCs w:val="24"/>
        </w:rPr>
      </w:pPr>
      <w:r w:rsidRPr="00515DC8">
        <w:rPr>
          <w:rFonts w:ascii="Times New Roman" w:hAnsi="Times New Roman" w:cs="Times New Roman"/>
          <w:sz w:val="24"/>
          <w:szCs w:val="24"/>
        </w:rPr>
        <w:t>ensuring learn</w:t>
      </w:r>
      <w:r w:rsidR="007E135C" w:rsidRPr="00515DC8">
        <w:rPr>
          <w:rFonts w:ascii="Times New Roman" w:hAnsi="Times New Roman" w:cs="Times New Roman"/>
          <w:sz w:val="24"/>
          <w:szCs w:val="24"/>
        </w:rPr>
        <w:t>ing gain</w:t>
      </w:r>
      <w:r w:rsidRPr="00515DC8">
        <w:rPr>
          <w:rFonts w:ascii="Times New Roman" w:hAnsi="Times New Roman" w:cs="Times New Roman"/>
          <w:sz w:val="24"/>
          <w:szCs w:val="24"/>
        </w:rPr>
        <w:t xml:space="preserve"> ownership</w:t>
      </w:r>
    </w:p>
    <w:p w14:paraId="2677894D" w14:textId="77777777" w:rsidR="00B6370A" w:rsidRPr="00515DC8" w:rsidRDefault="00B6370A" w:rsidP="001B74D8">
      <w:pPr>
        <w:pStyle w:val="ListParagraph"/>
        <w:spacing w:line="480" w:lineRule="auto"/>
        <w:ind w:left="1440"/>
        <w:rPr>
          <w:rFonts w:ascii="Times New Roman" w:hAnsi="Times New Roman" w:cs="Times New Roman"/>
          <w:sz w:val="24"/>
          <w:szCs w:val="24"/>
        </w:rPr>
      </w:pPr>
    </w:p>
    <w:p w14:paraId="2B726A35" w14:textId="00CEF895" w:rsidR="000A37A0" w:rsidRPr="00515DC8" w:rsidRDefault="00160468" w:rsidP="001B74D8">
      <w:pPr>
        <w:spacing w:line="480" w:lineRule="auto"/>
        <w:rPr>
          <w:i/>
          <w:lang w:val="en-GB"/>
        </w:rPr>
      </w:pPr>
      <w:r w:rsidRPr="00515DC8">
        <w:rPr>
          <w:i/>
          <w:lang w:val="en-GB"/>
        </w:rPr>
        <w:t xml:space="preserve">Learning gain approaches </w:t>
      </w:r>
      <w:r w:rsidR="000A37A0" w:rsidRPr="00515DC8">
        <w:rPr>
          <w:i/>
          <w:lang w:val="en-GB"/>
        </w:rPr>
        <w:t xml:space="preserve">should be holistic and integrated </w:t>
      </w:r>
      <w:r w:rsidR="00792503" w:rsidRPr="00515DC8">
        <w:rPr>
          <w:i/>
          <w:lang w:val="en-GB"/>
        </w:rPr>
        <w:t>i</w:t>
      </w:r>
      <w:r w:rsidRPr="00515DC8">
        <w:rPr>
          <w:i/>
          <w:lang w:val="en-GB"/>
        </w:rPr>
        <w:t>n</w:t>
      </w:r>
      <w:r w:rsidR="00792503" w:rsidRPr="00515DC8">
        <w:rPr>
          <w:i/>
          <w:lang w:val="en-GB"/>
        </w:rPr>
        <w:t>to</w:t>
      </w:r>
      <w:r w:rsidRPr="00515DC8">
        <w:rPr>
          <w:i/>
          <w:lang w:val="en-GB"/>
        </w:rPr>
        <w:t xml:space="preserve"> the</w:t>
      </w:r>
      <w:r w:rsidR="000A37A0" w:rsidRPr="00515DC8">
        <w:rPr>
          <w:i/>
          <w:lang w:val="en-GB"/>
        </w:rPr>
        <w:t xml:space="preserve"> curriculum including assessment design</w:t>
      </w:r>
    </w:p>
    <w:p w14:paraId="5F613BA2" w14:textId="5CB03D93" w:rsidR="008D2C53" w:rsidRPr="00515DC8" w:rsidRDefault="00640228" w:rsidP="001B74D8">
      <w:pPr>
        <w:spacing w:line="480" w:lineRule="auto"/>
        <w:rPr>
          <w:lang w:val="en-GB"/>
        </w:rPr>
      </w:pPr>
      <w:r w:rsidRPr="00515DC8">
        <w:rPr>
          <w:lang w:val="en-GB"/>
        </w:rPr>
        <w:t>L</w:t>
      </w:r>
      <w:r w:rsidR="00563B04" w:rsidRPr="00515DC8">
        <w:rPr>
          <w:lang w:val="en-GB"/>
        </w:rPr>
        <w:t>earning gain measures</w:t>
      </w:r>
      <w:r w:rsidR="00DF0CF2" w:rsidRPr="00515DC8">
        <w:rPr>
          <w:lang w:val="en-GB"/>
        </w:rPr>
        <w:t xml:space="preserve"> </w:t>
      </w:r>
      <w:r w:rsidR="002B01A3" w:rsidRPr="00515DC8">
        <w:rPr>
          <w:lang w:val="en-GB"/>
        </w:rPr>
        <w:t>an</w:t>
      </w:r>
      <w:r w:rsidR="00DF0CF2" w:rsidRPr="00515DC8">
        <w:rPr>
          <w:lang w:val="en-GB"/>
        </w:rPr>
        <w:t>d approaches</w:t>
      </w:r>
      <w:r w:rsidRPr="00515DC8">
        <w:rPr>
          <w:lang w:val="en-GB"/>
        </w:rPr>
        <w:t xml:space="preserve"> </w:t>
      </w:r>
      <w:r w:rsidR="00FF508D" w:rsidRPr="00515DC8">
        <w:rPr>
          <w:lang w:val="en-GB"/>
        </w:rPr>
        <w:t>should</w:t>
      </w:r>
      <w:r w:rsidRPr="00515DC8">
        <w:rPr>
          <w:lang w:val="en-GB"/>
        </w:rPr>
        <w:t xml:space="preserve"> be embedded</w:t>
      </w:r>
      <w:r w:rsidR="00563B04" w:rsidRPr="00515DC8">
        <w:rPr>
          <w:lang w:val="en-GB"/>
        </w:rPr>
        <w:t xml:space="preserve"> into the fabric of how students </w:t>
      </w:r>
      <w:r w:rsidR="009F5CE8" w:rsidRPr="00515DC8">
        <w:rPr>
          <w:lang w:val="en-GB"/>
        </w:rPr>
        <w:t xml:space="preserve">learn and </w:t>
      </w:r>
      <w:r w:rsidR="00563B04" w:rsidRPr="00515DC8">
        <w:rPr>
          <w:lang w:val="en-GB"/>
        </w:rPr>
        <w:t>are assessed</w:t>
      </w:r>
      <w:r w:rsidR="00DF0CF2" w:rsidRPr="00515DC8">
        <w:rPr>
          <w:lang w:val="en-GB"/>
        </w:rPr>
        <w:t xml:space="preserve"> (</w:t>
      </w:r>
      <w:r w:rsidR="00DF0CF2" w:rsidRPr="00515DC8">
        <w:rPr>
          <w:i/>
          <w:lang w:val="en-GB"/>
        </w:rPr>
        <w:t>Ylonen</w:t>
      </w:r>
      <w:r w:rsidRPr="00515DC8">
        <w:rPr>
          <w:i/>
          <w:lang w:val="en-GB"/>
        </w:rPr>
        <w:t xml:space="preserve"> et al.</w:t>
      </w:r>
      <w:r w:rsidR="00DF0CF2" w:rsidRPr="00515DC8">
        <w:rPr>
          <w:i/>
          <w:lang w:val="en-GB"/>
        </w:rPr>
        <w:t>,</w:t>
      </w:r>
      <w:r w:rsidR="00DF0CF2" w:rsidRPr="00515DC8">
        <w:rPr>
          <w:lang w:val="en-GB"/>
        </w:rPr>
        <w:t xml:space="preserve"> </w:t>
      </w:r>
      <w:r w:rsidR="00DF0CF2" w:rsidRPr="00515DC8">
        <w:rPr>
          <w:i/>
          <w:lang w:val="en-GB"/>
        </w:rPr>
        <w:t>2018)</w:t>
      </w:r>
      <w:r w:rsidR="00BE7741">
        <w:rPr>
          <w:i/>
          <w:lang w:val="en-GB"/>
        </w:rPr>
        <w:t>,</w:t>
      </w:r>
      <w:r w:rsidR="000A37A0" w:rsidRPr="00515DC8">
        <w:rPr>
          <w:lang w:val="en-GB"/>
        </w:rPr>
        <w:t xml:space="preserve"> and not extraneous to them.</w:t>
      </w:r>
      <w:r w:rsidR="000A37A0" w:rsidRPr="00515DC8">
        <w:rPr>
          <w:i/>
          <w:lang w:val="en-GB"/>
        </w:rPr>
        <w:t xml:space="preserve"> </w:t>
      </w:r>
      <w:r w:rsidR="008D2C53" w:rsidRPr="00515DC8">
        <w:rPr>
          <w:lang w:val="en-GB"/>
        </w:rPr>
        <w:t>Leaning gain needs to consider the process of student learning itself (Varvowksy</w:t>
      </w:r>
      <w:r w:rsidR="00160468" w:rsidRPr="00515DC8">
        <w:rPr>
          <w:lang w:val="en-GB"/>
        </w:rPr>
        <w:t xml:space="preserve">, Matthews, &amp; Hodgson, 2014). </w:t>
      </w:r>
      <w:r w:rsidR="008D2C53" w:rsidRPr="00515DC8">
        <w:rPr>
          <w:lang w:val="en-GB"/>
        </w:rPr>
        <w:t>For this to be successful</w:t>
      </w:r>
      <w:r w:rsidR="00FF508D" w:rsidRPr="00515DC8">
        <w:rPr>
          <w:lang w:val="en-GB"/>
        </w:rPr>
        <w:t>,</w:t>
      </w:r>
      <w:r w:rsidR="008D2C53" w:rsidRPr="00515DC8">
        <w:rPr>
          <w:lang w:val="en-GB"/>
        </w:rPr>
        <w:t xml:space="preserve"> explicit integration of learning gain measures into the curriculum is essential</w:t>
      </w:r>
      <w:r w:rsidRPr="00515DC8">
        <w:rPr>
          <w:lang w:val="en-GB"/>
        </w:rPr>
        <w:t>,</w:t>
      </w:r>
      <w:r w:rsidR="008D2C53" w:rsidRPr="00515DC8">
        <w:rPr>
          <w:lang w:val="en-GB"/>
        </w:rPr>
        <w:t xml:space="preserve"> along with the opportunities for students to engage in a dialogue around their growing knowledge, skills, and experience in the area the measure is centred. This </w:t>
      </w:r>
      <w:r w:rsidRPr="00515DC8">
        <w:rPr>
          <w:lang w:val="en-GB"/>
        </w:rPr>
        <w:t xml:space="preserve">also </w:t>
      </w:r>
      <w:r w:rsidR="008D2C53" w:rsidRPr="00515DC8">
        <w:rPr>
          <w:lang w:val="en-GB"/>
        </w:rPr>
        <w:t>requires training for students and staff in the use and application of information</w:t>
      </w:r>
      <w:r w:rsidR="007A417F" w:rsidRPr="00515DC8">
        <w:rPr>
          <w:lang w:val="en-GB"/>
        </w:rPr>
        <w:t>.</w:t>
      </w:r>
    </w:p>
    <w:p w14:paraId="3039A186" w14:textId="77777777" w:rsidR="007A417F" w:rsidRPr="00515DC8" w:rsidRDefault="007A417F" w:rsidP="001B74D8">
      <w:pPr>
        <w:spacing w:line="480" w:lineRule="auto"/>
        <w:rPr>
          <w:lang w:val="en-GB"/>
        </w:rPr>
      </w:pPr>
    </w:p>
    <w:p w14:paraId="0952EE41" w14:textId="0C0F0D00" w:rsidR="004D1B0C" w:rsidRPr="00515DC8" w:rsidRDefault="000A37A0" w:rsidP="001B74D8">
      <w:pPr>
        <w:spacing w:line="480" w:lineRule="auto"/>
        <w:rPr>
          <w:lang w:val="en-GB"/>
        </w:rPr>
      </w:pPr>
      <w:r w:rsidRPr="00515DC8">
        <w:rPr>
          <w:lang w:val="en-GB"/>
        </w:rPr>
        <w:t>Curriculum design impacts authentic and meaningful measurement of learning. Bringing isolated goals and learning objectives together in</w:t>
      </w:r>
      <w:r w:rsidR="0012630E" w:rsidRPr="00515DC8">
        <w:rPr>
          <w:lang w:val="en-GB"/>
        </w:rPr>
        <w:t>to</w:t>
      </w:r>
      <w:r w:rsidRPr="00515DC8">
        <w:rPr>
          <w:lang w:val="en-GB"/>
        </w:rPr>
        <w:t xml:space="preserve"> a coherent whole is essential in supporting student and staff mastery and i</w:t>
      </w:r>
      <w:r w:rsidR="00BB3336" w:rsidRPr="00515DC8">
        <w:rPr>
          <w:lang w:val="en-GB"/>
        </w:rPr>
        <w:t xml:space="preserve">ndependence in learning (Evans, </w:t>
      </w:r>
      <w:r w:rsidRPr="00515DC8">
        <w:rPr>
          <w:lang w:val="en-GB"/>
        </w:rPr>
        <w:t xml:space="preserve">2016).  </w:t>
      </w:r>
      <w:r w:rsidR="002B0270" w:rsidRPr="00515DC8">
        <w:rPr>
          <w:lang w:val="en-GB"/>
        </w:rPr>
        <w:t>‘</w:t>
      </w:r>
      <w:r w:rsidRPr="00515DC8">
        <w:rPr>
          <w:lang w:val="en-GB"/>
        </w:rPr>
        <w:t>The knitting together, or relationships among the knowledge and concepts [and skills] are very important to the development of student [and staff] understanding</w:t>
      </w:r>
      <w:r w:rsidR="002B0270" w:rsidRPr="00515DC8">
        <w:rPr>
          <w:lang w:val="en-GB"/>
        </w:rPr>
        <w:t>’</w:t>
      </w:r>
      <w:r w:rsidRPr="00515DC8">
        <w:rPr>
          <w:lang w:val="en-GB"/>
        </w:rPr>
        <w:t xml:space="preserve"> </w:t>
      </w:r>
      <w:r w:rsidR="00C67EE4" w:rsidRPr="00515DC8">
        <w:rPr>
          <w:lang w:val="en-GB"/>
        </w:rPr>
        <w:t>(</w:t>
      </w:r>
      <w:r w:rsidR="00C67EE4" w:rsidRPr="00515DC8">
        <w:rPr>
          <w:i/>
          <w:lang w:val="en-GB"/>
        </w:rPr>
        <w:t xml:space="preserve">Scalise et al., </w:t>
      </w:r>
      <w:r w:rsidRPr="00515DC8">
        <w:rPr>
          <w:i/>
          <w:lang w:val="en-GB"/>
        </w:rPr>
        <w:t>2018).</w:t>
      </w:r>
      <w:r w:rsidRPr="00515DC8">
        <w:rPr>
          <w:lang w:val="en-GB"/>
        </w:rPr>
        <w:t xml:space="preserve"> An integrative pe</w:t>
      </w:r>
      <w:r w:rsidR="0001581F">
        <w:rPr>
          <w:lang w:val="en-GB"/>
        </w:rPr>
        <w:t>dagogical approach is essential in order that we can</w:t>
      </w:r>
      <w:r w:rsidRPr="00515DC8">
        <w:rPr>
          <w:lang w:val="en-GB"/>
        </w:rPr>
        <w:t xml:space="preserve"> consider the whole learning journey of the student and how progressive learning opportunities are to be built into the curriculum and signalled to students</w:t>
      </w:r>
      <w:r w:rsidR="00BB3336" w:rsidRPr="00515DC8">
        <w:rPr>
          <w:lang w:val="en-GB"/>
        </w:rPr>
        <w:t xml:space="preserve"> (e.g., Evans’ EAT, </w:t>
      </w:r>
      <w:r w:rsidR="004641AF">
        <w:rPr>
          <w:lang w:val="en-GB"/>
        </w:rPr>
        <w:t>(</w:t>
      </w:r>
      <w:r w:rsidR="00C67EE4" w:rsidRPr="00515DC8">
        <w:rPr>
          <w:lang w:val="en-GB"/>
        </w:rPr>
        <w:t xml:space="preserve">2016) integrated </w:t>
      </w:r>
      <w:r w:rsidR="00BB3336" w:rsidRPr="00515DC8">
        <w:rPr>
          <w:lang w:val="en-GB"/>
        </w:rPr>
        <w:t>A</w:t>
      </w:r>
      <w:r w:rsidR="00C67EE4" w:rsidRPr="00515DC8">
        <w:rPr>
          <w:lang w:val="en-GB"/>
        </w:rPr>
        <w:t xml:space="preserve">ssessment and </w:t>
      </w:r>
      <w:r w:rsidR="00BB3336" w:rsidRPr="00515DC8">
        <w:rPr>
          <w:lang w:val="en-GB"/>
        </w:rPr>
        <w:t>Feedback F</w:t>
      </w:r>
      <w:r w:rsidR="00C67EE4" w:rsidRPr="00515DC8">
        <w:rPr>
          <w:lang w:val="en-GB"/>
        </w:rPr>
        <w:t>ramework</w:t>
      </w:r>
      <w:r w:rsidR="004641AF">
        <w:rPr>
          <w:lang w:val="en-GB"/>
        </w:rPr>
        <w:t xml:space="preserve"> drawing on Evans, </w:t>
      </w:r>
      <w:r w:rsidR="00BE7741">
        <w:rPr>
          <w:lang w:val="en-GB"/>
        </w:rPr>
        <w:t>(</w:t>
      </w:r>
      <w:r w:rsidR="004641AF">
        <w:rPr>
          <w:lang w:val="en-GB"/>
        </w:rPr>
        <w:t>2013</w:t>
      </w:r>
      <w:r w:rsidR="00C67EE4" w:rsidRPr="00515DC8">
        <w:rPr>
          <w:lang w:val="en-GB"/>
        </w:rPr>
        <w:t>)</w:t>
      </w:r>
      <w:r w:rsidR="00BE7741">
        <w:rPr>
          <w:lang w:val="en-GB"/>
        </w:rPr>
        <w:t>)</w:t>
      </w:r>
      <w:r w:rsidRPr="00515DC8">
        <w:rPr>
          <w:lang w:val="en-GB"/>
        </w:rPr>
        <w:t>.</w:t>
      </w:r>
    </w:p>
    <w:p w14:paraId="638E3D83" w14:textId="77777777" w:rsidR="004D1B0C" w:rsidRPr="00515DC8" w:rsidRDefault="004D1B0C" w:rsidP="001B74D8">
      <w:pPr>
        <w:spacing w:line="480" w:lineRule="auto"/>
        <w:rPr>
          <w:lang w:val="en-GB"/>
        </w:rPr>
      </w:pPr>
    </w:p>
    <w:p w14:paraId="2DF66C32" w14:textId="38726116" w:rsidR="000A37A0" w:rsidRPr="00515DC8" w:rsidRDefault="000A37A0" w:rsidP="001B74D8">
      <w:pPr>
        <w:spacing w:line="480" w:lineRule="auto"/>
        <w:rPr>
          <w:lang w:val="en-GB"/>
        </w:rPr>
      </w:pPr>
      <w:r w:rsidRPr="00515DC8">
        <w:rPr>
          <w:lang w:val="en-GB"/>
        </w:rPr>
        <w:t xml:space="preserve">Clear signalling of what the core concepts are, how they will progressively </w:t>
      </w:r>
      <w:r w:rsidR="00764AC1" w:rsidRPr="00515DC8">
        <w:rPr>
          <w:lang w:val="en-GB"/>
        </w:rPr>
        <w:t>develop</w:t>
      </w:r>
      <w:r w:rsidRPr="00515DC8">
        <w:rPr>
          <w:lang w:val="en-GB"/>
        </w:rPr>
        <w:t>, what activities will support the development of such conceptual understandings,</w:t>
      </w:r>
      <w:r w:rsidR="009221EE" w:rsidRPr="00515DC8">
        <w:rPr>
          <w:lang w:val="en-GB"/>
        </w:rPr>
        <w:t xml:space="preserve"> and how they will be assessed</w:t>
      </w:r>
      <w:r w:rsidR="00A2399E" w:rsidRPr="00515DC8">
        <w:rPr>
          <w:lang w:val="en-GB"/>
        </w:rPr>
        <w:t xml:space="preserve"> is needed</w:t>
      </w:r>
      <w:r w:rsidR="009221EE" w:rsidRPr="00515DC8">
        <w:rPr>
          <w:lang w:val="en-GB"/>
        </w:rPr>
        <w:t xml:space="preserve">. </w:t>
      </w:r>
      <w:r w:rsidRPr="00515DC8">
        <w:rPr>
          <w:lang w:val="en-GB"/>
        </w:rPr>
        <w:t>The authenticity of assessment and whether it actually measures what students need to know, and what is valuable for them to know</w:t>
      </w:r>
      <w:r w:rsidR="00BB3336" w:rsidRPr="00515DC8">
        <w:rPr>
          <w:lang w:val="en-GB"/>
        </w:rPr>
        <w:t>,</w:t>
      </w:r>
      <w:r w:rsidRPr="00515DC8">
        <w:rPr>
          <w:lang w:val="en-GB"/>
        </w:rPr>
        <w:t xml:space="preserve"> and to be able to do</w:t>
      </w:r>
      <w:r w:rsidR="00BB3336" w:rsidRPr="00515DC8">
        <w:rPr>
          <w:lang w:val="en-GB"/>
        </w:rPr>
        <w:t>,</w:t>
      </w:r>
      <w:r w:rsidRPr="00515DC8">
        <w:rPr>
          <w:lang w:val="en-GB"/>
        </w:rPr>
        <w:t xml:space="preserve"> is being questioned with the increasing emphasis </w:t>
      </w:r>
      <w:r w:rsidR="0012630E" w:rsidRPr="00515DC8">
        <w:rPr>
          <w:lang w:val="en-GB"/>
        </w:rPr>
        <w:t xml:space="preserve">on </w:t>
      </w:r>
      <w:r w:rsidRPr="00515DC8">
        <w:rPr>
          <w:lang w:val="en-GB"/>
        </w:rPr>
        <w:t>the importance of non-cognitive skills (self-confidence, self-esteem, relationship-building, negotiation skills, empathy) over cognitive attributes in enhancing well-being and future employability in an increasingly artificial intelligence world (Edge Foundation, 2016; Haldane, 2015; Heckman &amp; Masterov, 2007).  We need to consider how we are progressively measuring those learning outcomes that matter in a meaningful way over the duration of a student’s academic career within HE. Marking and grading need to be fit for the key purpose of indicating what a student has achieved (</w:t>
      </w:r>
      <w:r w:rsidRPr="00515DC8">
        <w:rPr>
          <w:i/>
          <w:lang w:val="en-GB"/>
        </w:rPr>
        <w:t>Boud, 2018</w:t>
      </w:r>
      <w:r w:rsidR="00A2399E" w:rsidRPr="00515DC8">
        <w:rPr>
          <w:lang w:val="en-GB"/>
        </w:rPr>
        <w:t>). A</w:t>
      </w:r>
      <w:r w:rsidRPr="00515DC8">
        <w:rPr>
          <w:lang w:val="en-GB"/>
        </w:rPr>
        <w:t xml:space="preserve"> programme level approach to assessment to ensure assessments are made in relation to programme level outcomes using standards and criteria that are consistent across outcomes</w:t>
      </w:r>
      <w:r w:rsidR="00BE7741">
        <w:rPr>
          <w:lang w:val="en-GB"/>
        </w:rPr>
        <w:t>,</w:t>
      </w:r>
      <w:r w:rsidRPr="00515DC8">
        <w:rPr>
          <w:lang w:val="en-GB"/>
        </w:rPr>
        <w:t xml:space="preserve"> and that the same programme level outcomes are assessed at various points in the students’ journey is </w:t>
      </w:r>
      <w:r w:rsidR="00A2399E" w:rsidRPr="00515DC8">
        <w:rPr>
          <w:lang w:val="en-GB"/>
        </w:rPr>
        <w:t>advocated</w:t>
      </w:r>
      <w:r w:rsidR="0012630E" w:rsidRPr="00515DC8">
        <w:rPr>
          <w:lang w:val="en-GB"/>
        </w:rPr>
        <w:t xml:space="preserve"> (</w:t>
      </w:r>
      <w:r w:rsidR="004641AF">
        <w:rPr>
          <w:lang w:val="en-GB"/>
        </w:rPr>
        <w:t xml:space="preserve">Rust, 2017). </w:t>
      </w:r>
      <w:r w:rsidR="001F1F3E" w:rsidRPr="00515DC8">
        <w:rPr>
          <w:lang w:val="en-GB"/>
        </w:rPr>
        <w:t>At the same time, it needs to be acknowledged that there are many different approaches to programme level assessment attuned to the requirements of the discipline and context.</w:t>
      </w:r>
    </w:p>
    <w:p w14:paraId="61A17DD3" w14:textId="77777777" w:rsidR="000A37A0" w:rsidRPr="00515DC8" w:rsidRDefault="000A37A0" w:rsidP="001B74D8">
      <w:pPr>
        <w:spacing w:line="480" w:lineRule="auto"/>
        <w:rPr>
          <w:lang w:val="en-GB"/>
        </w:rPr>
      </w:pPr>
    </w:p>
    <w:p w14:paraId="6A361B5A" w14:textId="58262BE1" w:rsidR="008A2195" w:rsidRPr="00515DC8" w:rsidRDefault="000A37A0" w:rsidP="001B74D8">
      <w:pPr>
        <w:spacing w:line="480" w:lineRule="auto"/>
        <w:rPr>
          <w:i/>
          <w:lang w:val="en-GB"/>
        </w:rPr>
      </w:pPr>
      <w:r w:rsidRPr="00515DC8">
        <w:rPr>
          <w:i/>
          <w:lang w:val="en-GB"/>
        </w:rPr>
        <w:t xml:space="preserve">Learning gain approaches should be research-informed from pedagogical and methodological perspectives </w:t>
      </w:r>
    </w:p>
    <w:p w14:paraId="36C8AACD" w14:textId="2C456E3A" w:rsidR="00160468" w:rsidRPr="00515DC8" w:rsidRDefault="000A37A0" w:rsidP="001B74D8">
      <w:pPr>
        <w:spacing w:line="480" w:lineRule="auto"/>
        <w:rPr>
          <w:lang w:val="en-GB"/>
        </w:rPr>
      </w:pPr>
      <w:r w:rsidRPr="00515DC8">
        <w:rPr>
          <w:lang w:val="en-GB"/>
        </w:rPr>
        <w:t xml:space="preserve">A </w:t>
      </w:r>
      <w:r w:rsidR="00812E9C" w:rsidRPr="00515DC8">
        <w:rPr>
          <w:lang w:val="en-GB"/>
        </w:rPr>
        <w:t xml:space="preserve">rigorous, </w:t>
      </w:r>
      <w:r w:rsidRPr="00515DC8">
        <w:rPr>
          <w:lang w:val="en-GB"/>
        </w:rPr>
        <w:t>research-informed</w:t>
      </w:r>
      <w:r w:rsidR="00BB3336" w:rsidRPr="00515DC8">
        <w:rPr>
          <w:lang w:val="en-GB"/>
        </w:rPr>
        <w:t>,</w:t>
      </w:r>
      <w:r w:rsidRPr="00515DC8">
        <w:rPr>
          <w:lang w:val="en-GB"/>
        </w:rPr>
        <w:t xml:space="preserve"> and critical approach is needed to consider those variables identified as most important in impacting student learning outcomes.  From a teaching perspective</w:t>
      </w:r>
      <w:r w:rsidR="00792503" w:rsidRPr="00515DC8">
        <w:rPr>
          <w:lang w:val="en-GB"/>
        </w:rPr>
        <w:t>,</w:t>
      </w:r>
      <w:r w:rsidRPr="00515DC8">
        <w:rPr>
          <w:lang w:val="en-GB"/>
        </w:rPr>
        <w:t xml:space="preserve"> this includes </w:t>
      </w:r>
      <w:r w:rsidR="00792503" w:rsidRPr="00515DC8">
        <w:rPr>
          <w:lang w:val="en-GB"/>
        </w:rPr>
        <w:t xml:space="preserve">an </w:t>
      </w:r>
      <w:r w:rsidRPr="00515DC8">
        <w:rPr>
          <w:lang w:val="en-GB"/>
        </w:rPr>
        <w:t xml:space="preserve">emphasis on developing student social interaction skills, </w:t>
      </w:r>
      <w:r w:rsidR="008A2195" w:rsidRPr="00515DC8">
        <w:rPr>
          <w:lang w:val="en-GB"/>
        </w:rPr>
        <w:t>the promotion of</w:t>
      </w:r>
      <w:r w:rsidRPr="00515DC8">
        <w:rPr>
          <w:lang w:val="en-GB"/>
        </w:rPr>
        <w:t xml:space="preserve"> meaningful learning including the use of conceptually demanding learning tasks, clear learning goals, and the development of student self- and peer assessment (</w:t>
      </w:r>
      <w:r w:rsidR="00BB3336" w:rsidRPr="00515DC8">
        <w:rPr>
          <w:lang w:val="en-GB"/>
        </w:rPr>
        <w:t xml:space="preserve">Evans, 2013; </w:t>
      </w:r>
      <w:r w:rsidRPr="00515DC8">
        <w:rPr>
          <w:lang w:val="en-GB"/>
        </w:rPr>
        <w:t xml:space="preserve">Schneider &amp; Preckel, 2017; </w:t>
      </w:r>
      <w:r w:rsidRPr="00515DC8">
        <w:rPr>
          <w:i/>
          <w:lang w:val="en-GB"/>
        </w:rPr>
        <w:t>Ylonen et al., 2018</w:t>
      </w:r>
      <w:r w:rsidRPr="00515DC8">
        <w:rPr>
          <w:lang w:val="en-GB"/>
        </w:rPr>
        <w:t xml:space="preserve">). </w:t>
      </w:r>
      <w:r w:rsidR="00640228" w:rsidRPr="00515DC8">
        <w:rPr>
          <w:lang w:val="en-GB"/>
        </w:rPr>
        <w:t>Supporting students to self-manage and self-evaluate their learning is well rehearsed in the literature (Boud</w:t>
      </w:r>
      <w:r w:rsidR="00160468" w:rsidRPr="00515DC8">
        <w:rPr>
          <w:lang w:val="en-GB"/>
        </w:rPr>
        <w:t xml:space="preserve"> &amp; Molloy, 2013)</w:t>
      </w:r>
      <w:r w:rsidR="00640228" w:rsidRPr="00515DC8">
        <w:rPr>
          <w:lang w:val="en-GB"/>
        </w:rPr>
        <w:t xml:space="preserve">, </w:t>
      </w:r>
      <w:r w:rsidR="002B01A3" w:rsidRPr="00515DC8">
        <w:rPr>
          <w:lang w:val="en-GB"/>
        </w:rPr>
        <w:t>as part of an increasing emphasis on the promotion of self-regulation to support the quality of</w:t>
      </w:r>
      <w:r w:rsidR="008A2195" w:rsidRPr="00515DC8">
        <w:rPr>
          <w:lang w:val="en-GB"/>
        </w:rPr>
        <w:t xml:space="preserve"> student learning (Evans, 2016; </w:t>
      </w:r>
      <w:r w:rsidR="002B01A3" w:rsidRPr="00515DC8">
        <w:rPr>
          <w:lang w:val="en-GB"/>
        </w:rPr>
        <w:t>Peeters et al., 2016). In attending to cognitive, metacognitive, and affective dimensions of learning, the importance of student self-efficacy in impa</w:t>
      </w:r>
      <w:r w:rsidRPr="00515DC8">
        <w:rPr>
          <w:lang w:val="en-GB"/>
        </w:rPr>
        <w:t>cting learning outcomes is evident</w:t>
      </w:r>
      <w:r w:rsidR="002B01A3" w:rsidRPr="00515DC8">
        <w:rPr>
          <w:lang w:val="en-GB"/>
        </w:rPr>
        <w:t xml:space="preserve"> (</w:t>
      </w:r>
      <w:r w:rsidR="002B01A3" w:rsidRPr="00515DC8">
        <w:rPr>
          <w:rFonts w:eastAsia="Times New Roman"/>
          <w:lang w:val="en-GB" w:eastAsia="en-GB"/>
        </w:rPr>
        <w:t xml:space="preserve">Komarraju &amp; </w:t>
      </w:r>
      <w:hyperlink r:id="rId11" w:anchor="!" w:history="1">
        <w:r w:rsidR="002B01A3" w:rsidRPr="00515DC8">
          <w:rPr>
            <w:rFonts w:eastAsia="Times New Roman"/>
            <w:lang w:val="en-GB" w:eastAsia="en-GB"/>
          </w:rPr>
          <w:t>Nadler</w:t>
        </w:r>
      </w:hyperlink>
      <w:r w:rsidR="002B01A3" w:rsidRPr="00515DC8">
        <w:rPr>
          <w:rFonts w:eastAsia="Times New Roman"/>
          <w:lang w:val="en-GB" w:eastAsia="en-GB"/>
        </w:rPr>
        <w:t>, 2013</w:t>
      </w:r>
      <w:r w:rsidR="0056407C" w:rsidRPr="00515DC8">
        <w:rPr>
          <w:rFonts w:eastAsia="Times New Roman"/>
          <w:lang w:val="en-GB" w:eastAsia="en-GB"/>
        </w:rPr>
        <w:t>; Richardson, Abraham, &amp; Bond, 2012</w:t>
      </w:r>
      <w:r w:rsidR="002B01A3" w:rsidRPr="00515DC8">
        <w:rPr>
          <w:lang w:val="en-GB"/>
        </w:rPr>
        <w:t xml:space="preserve">). </w:t>
      </w:r>
      <w:r w:rsidR="00206387" w:rsidRPr="00515DC8">
        <w:rPr>
          <w:lang w:val="en-GB"/>
        </w:rPr>
        <w:t>Students</w:t>
      </w:r>
      <w:r w:rsidR="00A11D13" w:rsidRPr="00515DC8">
        <w:rPr>
          <w:lang w:val="en-GB"/>
        </w:rPr>
        <w:t>’</w:t>
      </w:r>
      <w:r w:rsidR="00206387" w:rsidRPr="00515DC8">
        <w:rPr>
          <w:lang w:val="en-GB"/>
        </w:rPr>
        <w:t xml:space="preserve"> approaches to learning are associated with the initial sub</w:t>
      </w:r>
      <w:r w:rsidR="00160468" w:rsidRPr="00515DC8">
        <w:rPr>
          <w:lang w:val="en-GB"/>
        </w:rPr>
        <w:t xml:space="preserve">groups they belong to </w:t>
      </w:r>
      <w:r w:rsidR="00206387" w:rsidRPr="00515DC8">
        <w:rPr>
          <w:lang w:val="en-GB"/>
        </w:rPr>
        <w:t xml:space="preserve">(Asikainen &amp; Gijbels, 2017), suggesting the importance of identifying the needs of such </w:t>
      </w:r>
      <w:r w:rsidR="00A11D13" w:rsidRPr="00515DC8">
        <w:rPr>
          <w:lang w:val="en-GB"/>
        </w:rPr>
        <w:t>‘</w:t>
      </w:r>
      <w:r w:rsidR="00206387" w:rsidRPr="00515DC8">
        <w:rPr>
          <w:lang w:val="en-GB"/>
        </w:rPr>
        <w:t>tribes</w:t>
      </w:r>
      <w:r w:rsidR="00A11D13" w:rsidRPr="00515DC8">
        <w:rPr>
          <w:lang w:val="en-GB"/>
        </w:rPr>
        <w:t>’</w:t>
      </w:r>
      <w:r w:rsidR="00206387" w:rsidRPr="00515DC8">
        <w:rPr>
          <w:lang w:val="en-GB"/>
        </w:rPr>
        <w:t xml:space="preserve"> from the outset and in addressing the relational dimension of learning along with cognitive</w:t>
      </w:r>
      <w:r w:rsidR="00A11D13" w:rsidRPr="00515DC8">
        <w:rPr>
          <w:lang w:val="en-GB"/>
        </w:rPr>
        <w:t xml:space="preserve"> dimensions</w:t>
      </w:r>
      <w:r w:rsidR="00206387" w:rsidRPr="00515DC8">
        <w:rPr>
          <w:lang w:val="en-GB"/>
        </w:rPr>
        <w:t xml:space="preserve">. </w:t>
      </w:r>
      <w:r w:rsidR="00160468" w:rsidRPr="00515DC8">
        <w:rPr>
          <w:lang w:val="en-GB"/>
        </w:rPr>
        <w:t xml:space="preserve">Similarly, DiFrancesca, Nietfeld </w:t>
      </w:r>
      <w:r w:rsidR="00BB3336" w:rsidRPr="00515DC8">
        <w:rPr>
          <w:lang w:val="en-GB"/>
        </w:rPr>
        <w:t xml:space="preserve">and </w:t>
      </w:r>
      <w:r w:rsidR="00160468" w:rsidRPr="00515DC8">
        <w:rPr>
          <w:lang w:val="en-GB"/>
        </w:rPr>
        <w:t xml:space="preserve">Cao (2016) </w:t>
      </w:r>
      <w:r w:rsidR="00A11D13" w:rsidRPr="00515DC8">
        <w:rPr>
          <w:lang w:val="en-GB"/>
        </w:rPr>
        <w:t>identify</w:t>
      </w:r>
      <w:r w:rsidR="001F1F3E" w:rsidRPr="00515DC8">
        <w:rPr>
          <w:lang w:val="en-GB"/>
        </w:rPr>
        <w:t xml:space="preserve"> </w:t>
      </w:r>
      <w:r w:rsidR="00160468" w:rsidRPr="00515DC8">
        <w:rPr>
          <w:lang w:val="en-GB"/>
        </w:rPr>
        <w:t xml:space="preserve">the importance of context along with prior academic student achievement in impacting student learning outcomes in HE, with context impacting </w:t>
      </w:r>
      <w:r w:rsidR="00792503" w:rsidRPr="00515DC8">
        <w:rPr>
          <w:lang w:val="en-GB"/>
        </w:rPr>
        <w:t xml:space="preserve">the </w:t>
      </w:r>
      <w:r w:rsidR="00160468" w:rsidRPr="00515DC8">
        <w:rPr>
          <w:lang w:val="en-GB"/>
        </w:rPr>
        <w:t xml:space="preserve">adoption of learning patterns early </w:t>
      </w:r>
      <w:r w:rsidR="00A11D13" w:rsidRPr="00515DC8">
        <w:rPr>
          <w:lang w:val="en-GB"/>
        </w:rPr>
        <w:t xml:space="preserve">in </w:t>
      </w:r>
      <w:r w:rsidR="00160468" w:rsidRPr="00515DC8">
        <w:rPr>
          <w:lang w:val="en-GB"/>
        </w:rPr>
        <w:t xml:space="preserve">students’ HE careers. </w:t>
      </w:r>
    </w:p>
    <w:p w14:paraId="4E5EC725" w14:textId="77777777" w:rsidR="008A2195" w:rsidRPr="00515DC8" w:rsidRDefault="008A2195" w:rsidP="001B74D8">
      <w:pPr>
        <w:spacing w:line="480" w:lineRule="auto"/>
        <w:rPr>
          <w:lang w:val="en-GB"/>
        </w:rPr>
      </w:pPr>
    </w:p>
    <w:p w14:paraId="0B9F086F" w14:textId="0C241437" w:rsidR="009F73D3" w:rsidRPr="00515DC8" w:rsidRDefault="00640228" w:rsidP="001B74D8">
      <w:pPr>
        <w:spacing w:line="480" w:lineRule="auto"/>
        <w:rPr>
          <w:lang w:val="en-GB"/>
        </w:rPr>
      </w:pPr>
      <w:r w:rsidRPr="00515DC8">
        <w:rPr>
          <w:i/>
          <w:lang w:val="en-GB"/>
        </w:rPr>
        <w:t xml:space="preserve">Forsythe and Jellicoe (2018) </w:t>
      </w:r>
      <w:r w:rsidRPr="00515DC8">
        <w:rPr>
          <w:lang w:val="en-GB"/>
        </w:rPr>
        <w:t>advocate pedagogical interventions that promote goal-setting in order to sup</w:t>
      </w:r>
      <w:r w:rsidR="00792503" w:rsidRPr="00515DC8">
        <w:rPr>
          <w:lang w:val="en-GB"/>
        </w:rPr>
        <w:t>port students to develop higher-</w:t>
      </w:r>
      <w:r w:rsidRPr="00515DC8">
        <w:rPr>
          <w:lang w:val="en-GB"/>
        </w:rPr>
        <w:t xml:space="preserve">level motivational intentions (e.g., mastery of a task rather than </w:t>
      </w:r>
      <w:r w:rsidR="00792503" w:rsidRPr="00515DC8">
        <w:rPr>
          <w:lang w:val="en-GB"/>
        </w:rPr>
        <w:t>a specific performance outcome)</w:t>
      </w:r>
      <w:r w:rsidR="00BE7741">
        <w:rPr>
          <w:lang w:val="en-GB"/>
        </w:rPr>
        <w:t>,</w:t>
      </w:r>
      <w:r w:rsidRPr="00515DC8">
        <w:rPr>
          <w:lang w:val="en-GB"/>
        </w:rPr>
        <w:t xml:space="preserve"> and the importance of targeted feedback that </w:t>
      </w:r>
      <w:r w:rsidR="00E50E92" w:rsidRPr="00515DC8">
        <w:rPr>
          <w:lang w:val="en-GB"/>
        </w:rPr>
        <w:t xml:space="preserve">challenges </w:t>
      </w:r>
      <w:r w:rsidRPr="00515DC8">
        <w:rPr>
          <w:lang w:val="en-GB"/>
        </w:rPr>
        <w:t>students to consider how to add</w:t>
      </w:r>
      <w:r w:rsidR="002B01A3" w:rsidRPr="00515DC8">
        <w:rPr>
          <w:lang w:val="en-GB"/>
        </w:rPr>
        <w:t>ress areas of relative weakness</w:t>
      </w:r>
      <w:r w:rsidRPr="00515DC8">
        <w:rPr>
          <w:lang w:val="en-GB"/>
        </w:rPr>
        <w:t>.</w:t>
      </w:r>
      <w:r w:rsidR="008A2195" w:rsidRPr="00515DC8">
        <w:rPr>
          <w:lang w:val="en-GB"/>
        </w:rPr>
        <w:t xml:space="preserve"> </w:t>
      </w:r>
      <w:r w:rsidR="008D2C53" w:rsidRPr="00515DC8">
        <w:rPr>
          <w:lang w:val="en-GB"/>
        </w:rPr>
        <w:t>Strategies and approaches to learning need to be explicitly modelled as it cannot be assumed that all students will intuitively select the most appropriate approach given their varied entry points, backgrounds, experiences,</w:t>
      </w:r>
      <w:r w:rsidR="002B01A3" w:rsidRPr="00515DC8">
        <w:rPr>
          <w:lang w:val="en-GB"/>
        </w:rPr>
        <w:t xml:space="preserve"> and</w:t>
      </w:r>
      <w:r w:rsidR="008D2C53" w:rsidRPr="00515DC8">
        <w:rPr>
          <w:lang w:val="en-GB"/>
        </w:rPr>
        <w:t xml:space="preserve"> demands on </w:t>
      </w:r>
      <w:r w:rsidR="00BE7741">
        <w:rPr>
          <w:lang w:val="en-GB"/>
        </w:rPr>
        <w:t>their time</w:t>
      </w:r>
      <w:r w:rsidR="002B01A3" w:rsidRPr="00515DC8">
        <w:rPr>
          <w:lang w:val="en-GB"/>
        </w:rPr>
        <w:t xml:space="preserve"> </w:t>
      </w:r>
      <w:r w:rsidR="008D2C53" w:rsidRPr="00515DC8">
        <w:rPr>
          <w:lang w:val="en-GB"/>
        </w:rPr>
        <w:t xml:space="preserve">(Gibson, 2015). </w:t>
      </w:r>
      <w:r w:rsidR="002B01A3" w:rsidRPr="00515DC8">
        <w:rPr>
          <w:lang w:val="en-GB"/>
        </w:rPr>
        <w:t>L</w:t>
      </w:r>
      <w:r w:rsidR="008D2C53" w:rsidRPr="00515DC8">
        <w:rPr>
          <w:lang w:val="en-GB"/>
        </w:rPr>
        <w:t>earning gain initiatives need to consider students’ beliefs, attitudes, conceptions of learning</w:t>
      </w:r>
      <w:r w:rsidR="002B01A3" w:rsidRPr="00515DC8">
        <w:rPr>
          <w:lang w:val="en-GB"/>
        </w:rPr>
        <w:t>,</w:t>
      </w:r>
      <w:r w:rsidR="00A2399E" w:rsidRPr="00515DC8">
        <w:rPr>
          <w:lang w:val="en-GB"/>
        </w:rPr>
        <w:t xml:space="preserve"> learning orientations</w:t>
      </w:r>
      <w:r w:rsidR="00BE7741">
        <w:rPr>
          <w:lang w:val="en-GB"/>
        </w:rPr>
        <w:t>,</w:t>
      </w:r>
      <w:r w:rsidR="008D2C53" w:rsidRPr="00515DC8">
        <w:rPr>
          <w:lang w:val="en-GB"/>
        </w:rPr>
        <w:t xml:space="preserve"> and social interaction</w:t>
      </w:r>
      <w:r w:rsidR="00E50E92" w:rsidRPr="00515DC8">
        <w:rPr>
          <w:lang w:val="en-GB"/>
        </w:rPr>
        <w:t>s</w:t>
      </w:r>
      <w:r w:rsidR="008D2C53" w:rsidRPr="00515DC8">
        <w:rPr>
          <w:lang w:val="en-GB"/>
        </w:rPr>
        <w:t xml:space="preserve"> with</w:t>
      </w:r>
      <w:r w:rsidR="00206387" w:rsidRPr="00515DC8">
        <w:rPr>
          <w:lang w:val="en-GB"/>
        </w:rPr>
        <w:t>in their</w:t>
      </w:r>
      <w:r w:rsidR="00EB721C" w:rsidRPr="00515DC8">
        <w:rPr>
          <w:lang w:val="en-GB"/>
        </w:rPr>
        <w:t xml:space="preserve"> </w:t>
      </w:r>
      <w:r w:rsidR="008D2C53" w:rsidRPr="00515DC8">
        <w:rPr>
          <w:lang w:val="en-GB"/>
        </w:rPr>
        <w:t xml:space="preserve">programmes given their potential to impact students’ approaches to </w:t>
      </w:r>
      <w:r w:rsidR="008A2195" w:rsidRPr="00515DC8">
        <w:rPr>
          <w:lang w:val="en-GB"/>
        </w:rPr>
        <w:t>learning and learning outcomes</w:t>
      </w:r>
      <w:r w:rsidR="00A2399E" w:rsidRPr="00515DC8">
        <w:rPr>
          <w:lang w:val="en-GB"/>
        </w:rPr>
        <w:t xml:space="preserve"> (Bennett &amp; Kane, 2014)</w:t>
      </w:r>
      <w:r w:rsidR="008A2195" w:rsidRPr="00515DC8">
        <w:rPr>
          <w:lang w:val="en-GB"/>
        </w:rPr>
        <w:t>.</w:t>
      </w:r>
    </w:p>
    <w:p w14:paraId="6F133495" w14:textId="77777777" w:rsidR="009F73D3" w:rsidRPr="00515DC8" w:rsidRDefault="009F73D3" w:rsidP="001B74D8">
      <w:pPr>
        <w:spacing w:line="480" w:lineRule="auto"/>
        <w:rPr>
          <w:b/>
          <w:i/>
          <w:lang w:val="en-GB"/>
        </w:rPr>
      </w:pPr>
    </w:p>
    <w:p w14:paraId="277CADAE" w14:textId="5F28402C" w:rsidR="00A5532B" w:rsidRPr="00515DC8" w:rsidRDefault="008A2195" w:rsidP="001B74D8">
      <w:pPr>
        <w:spacing w:line="480" w:lineRule="auto"/>
        <w:rPr>
          <w:lang w:val="en-GB"/>
        </w:rPr>
      </w:pPr>
      <w:r w:rsidRPr="00515DC8">
        <w:rPr>
          <w:lang w:val="en-GB"/>
        </w:rPr>
        <w:t>The way that different variables interact to impact student learning outcomes is context related, and at the micro level can be highly individualistic, so what applies for one student may not apply for another; more research is needed on the impact of the learning environment on student success. Caution is needed in the interpretation of results given the role of moderator variables</w:t>
      </w:r>
      <w:r w:rsidR="002B0270" w:rsidRPr="00515DC8">
        <w:rPr>
          <w:lang w:val="en-GB"/>
        </w:rPr>
        <w:t xml:space="preserve"> (e.g.</w:t>
      </w:r>
      <w:r w:rsidR="00BB3336" w:rsidRPr="00515DC8">
        <w:rPr>
          <w:lang w:val="en-GB"/>
        </w:rPr>
        <w:t>,</w:t>
      </w:r>
      <w:r w:rsidR="002B0270" w:rsidRPr="00515DC8">
        <w:rPr>
          <w:lang w:val="en-GB"/>
        </w:rPr>
        <w:t xml:space="preserve"> socio-economic status; assessment design) </w:t>
      </w:r>
      <w:r w:rsidRPr="00515DC8">
        <w:rPr>
          <w:lang w:val="en-GB"/>
        </w:rPr>
        <w:t>in impacting student learning outcomes</w:t>
      </w:r>
      <w:r w:rsidR="00A122F0" w:rsidRPr="00515DC8">
        <w:rPr>
          <w:lang w:val="en-GB"/>
        </w:rPr>
        <w:t xml:space="preserve"> (</w:t>
      </w:r>
      <w:r w:rsidR="00A122F0" w:rsidRPr="00515DC8">
        <w:rPr>
          <w:i/>
          <w:lang w:val="en-GB"/>
        </w:rPr>
        <w:t>Ilie et al., 2018</w:t>
      </w:r>
      <w:r w:rsidR="00A122F0" w:rsidRPr="00515DC8">
        <w:rPr>
          <w:lang w:val="en-GB"/>
        </w:rPr>
        <w:t>)</w:t>
      </w:r>
      <w:r w:rsidRPr="00515DC8">
        <w:rPr>
          <w:lang w:val="en-GB"/>
        </w:rPr>
        <w:t xml:space="preserve">. In being able to compare results across studies the need for transparency in reporting is paramount given the number of potentially confounding </w:t>
      </w:r>
      <w:r w:rsidR="002B0270" w:rsidRPr="00515DC8">
        <w:rPr>
          <w:lang w:val="en-GB"/>
        </w:rPr>
        <w:t xml:space="preserve">moderator </w:t>
      </w:r>
      <w:r w:rsidRPr="00515DC8">
        <w:rPr>
          <w:lang w:val="en-GB"/>
        </w:rPr>
        <w:t>variables (e.g., timing of interventions</w:t>
      </w:r>
      <w:r w:rsidR="00BB3336" w:rsidRPr="00515DC8">
        <w:rPr>
          <w:lang w:val="en-GB"/>
        </w:rPr>
        <w:t>;</w:t>
      </w:r>
      <w:r w:rsidRPr="00515DC8">
        <w:rPr>
          <w:lang w:val="en-GB"/>
        </w:rPr>
        <w:t xml:space="preserve"> different or same tools used to measure similar co</w:t>
      </w:r>
      <w:r w:rsidR="00BB3336" w:rsidRPr="00515DC8">
        <w:rPr>
          <w:lang w:val="en-GB"/>
        </w:rPr>
        <w:t xml:space="preserve">nstructs; nature of tools used; </w:t>
      </w:r>
      <w:r w:rsidRPr="00515DC8">
        <w:rPr>
          <w:lang w:val="en-GB"/>
        </w:rPr>
        <w:t>process in how approaches have been applied</w:t>
      </w:r>
      <w:r w:rsidR="00BB3336" w:rsidRPr="00515DC8">
        <w:rPr>
          <w:lang w:val="en-GB"/>
        </w:rPr>
        <w:t>;</w:t>
      </w:r>
      <w:r w:rsidRPr="00515DC8">
        <w:rPr>
          <w:lang w:val="en-GB"/>
        </w:rPr>
        <w:t xml:space="preserve"> the comp</w:t>
      </w:r>
      <w:r w:rsidR="00BB3336" w:rsidRPr="00515DC8">
        <w:rPr>
          <w:lang w:val="en-GB"/>
        </w:rPr>
        <w:t>osition of populations involved;</w:t>
      </w:r>
      <w:r w:rsidRPr="00515DC8">
        <w:rPr>
          <w:lang w:val="en-GB"/>
        </w:rPr>
        <w:t xml:space="preserve"> disciplinary factors; clarity about whether data sets can be aggregated; variance within or between modules, subjects, and institutions). </w:t>
      </w:r>
      <w:r w:rsidR="00842CF5" w:rsidRPr="00515DC8">
        <w:rPr>
          <w:lang w:val="en-GB"/>
        </w:rPr>
        <w:t xml:space="preserve">To address questions like the ones </w:t>
      </w:r>
      <w:r w:rsidR="00792503" w:rsidRPr="00515DC8">
        <w:rPr>
          <w:lang w:val="en-GB"/>
        </w:rPr>
        <w:t>proposed</w:t>
      </w:r>
      <w:r w:rsidR="00A5532B" w:rsidRPr="00515DC8">
        <w:rPr>
          <w:lang w:val="en-GB"/>
        </w:rPr>
        <w:t xml:space="preserve"> above, </w:t>
      </w:r>
      <w:r w:rsidR="00842CF5" w:rsidRPr="00515DC8">
        <w:rPr>
          <w:lang w:val="en-GB"/>
        </w:rPr>
        <w:t>differentiat</w:t>
      </w:r>
      <w:r w:rsidR="00764AC1" w:rsidRPr="00515DC8">
        <w:rPr>
          <w:lang w:val="en-GB"/>
        </w:rPr>
        <w:t>ing is required</w:t>
      </w:r>
      <w:r w:rsidR="00842CF5" w:rsidRPr="00515DC8">
        <w:rPr>
          <w:lang w:val="en-GB"/>
        </w:rPr>
        <w:t xml:space="preserve"> between the general</w:t>
      </w:r>
      <w:r w:rsidR="00A5532B" w:rsidRPr="00515DC8">
        <w:rPr>
          <w:lang w:val="en-GB"/>
        </w:rPr>
        <w:t xml:space="preserve"> (equivalent in magnitude and direction for all students)</w:t>
      </w:r>
      <w:r w:rsidR="00BB3336" w:rsidRPr="00515DC8">
        <w:rPr>
          <w:lang w:val="en-GB"/>
        </w:rPr>
        <w:t>,</w:t>
      </w:r>
      <w:r w:rsidR="00A5532B" w:rsidRPr="00515DC8">
        <w:rPr>
          <w:lang w:val="en-GB"/>
        </w:rPr>
        <w:t xml:space="preserve"> </w:t>
      </w:r>
      <w:r w:rsidR="00842CF5" w:rsidRPr="00515DC8">
        <w:rPr>
          <w:lang w:val="en-GB"/>
        </w:rPr>
        <w:t>and conditional effects</w:t>
      </w:r>
      <w:r w:rsidR="00A5532B" w:rsidRPr="00515DC8">
        <w:rPr>
          <w:lang w:val="en-GB"/>
        </w:rPr>
        <w:t xml:space="preserve"> (where certain subgroups in the sample are affected to a greater or lesser extent by the programme/experience/intervention)</w:t>
      </w:r>
      <w:r w:rsidR="00BE7741">
        <w:rPr>
          <w:lang w:val="en-GB"/>
        </w:rPr>
        <w:t>,</w:t>
      </w:r>
      <w:r w:rsidR="00A5532B" w:rsidRPr="00515DC8">
        <w:rPr>
          <w:lang w:val="en-GB"/>
        </w:rPr>
        <w:t xml:space="preserve"> Seifert et al. (2014, p. 534). </w:t>
      </w:r>
    </w:p>
    <w:p w14:paraId="179C564F" w14:textId="77777777" w:rsidR="00842CF5" w:rsidRPr="00515DC8" w:rsidRDefault="00842CF5" w:rsidP="001B74D8">
      <w:pPr>
        <w:spacing w:line="480" w:lineRule="auto"/>
        <w:rPr>
          <w:lang w:val="en-GB"/>
        </w:rPr>
      </w:pPr>
    </w:p>
    <w:p w14:paraId="2A8C404B" w14:textId="77777777" w:rsidR="00206387" w:rsidRPr="00515DC8" w:rsidRDefault="00206387" w:rsidP="001B74D8">
      <w:pPr>
        <w:spacing w:line="480" w:lineRule="auto"/>
        <w:rPr>
          <w:i/>
          <w:lang w:val="en-GB"/>
        </w:rPr>
      </w:pPr>
      <w:r w:rsidRPr="00515DC8">
        <w:rPr>
          <w:i/>
          <w:lang w:val="en-GB"/>
        </w:rPr>
        <w:t>Learning gain initiatives need to be authentic and aligned with the requirements of the discipline</w:t>
      </w:r>
    </w:p>
    <w:p w14:paraId="76BF9428" w14:textId="2632B710" w:rsidR="00013ABA" w:rsidRPr="00515DC8" w:rsidRDefault="00206387" w:rsidP="001B74D8">
      <w:pPr>
        <w:spacing w:line="480" w:lineRule="auto"/>
        <w:rPr>
          <w:lang w:val="en-GB"/>
        </w:rPr>
      </w:pPr>
      <w:r w:rsidRPr="00515DC8">
        <w:rPr>
          <w:lang w:val="en-GB"/>
        </w:rPr>
        <w:t xml:space="preserve">The </w:t>
      </w:r>
      <w:r w:rsidR="00A2399E" w:rsidRPr="00515DC8">
        <w:rPr>
          <w:lang w:val="en-GB"/>
        </w:rPr>
        <w:t xml:space="preserve">potential </w:t>
      </w:r>
      <w:r w:rsidRPr="00515DC8">
        <w:rPr>
          <w:lang w:val="en-GB"/>
        </w:rPr>
        <w:t>effectiveness of approaches</w:t>
      </w:r>
      <w:r w:rsidR="00A2399E" w:rsidRPr="00515DC8">
        <w:rPr>
          <w:lang w:val="en-GB"/>
        </w:rPr>
        <w:t xml:space="preserve"> to learning gain</w:t>
      </w:r>
      <w:r w:rsidRPr="00515DC8">
        <w:rPr>
          <w:lang w:val="en-GB"/>
        </w:rPr>
        <w:t xml:space="preserve"> depends on how they are implemented at the micro-level. Module design, delivery, and especially the characteristics of </w:t>
      </w:r>
      <w:r w:rsidR="00764AC1" w:rsidRPr="00515DC8">
        <w:rPr>
          <w:lang w:val="en-GB"/>
        </w:rPr>
        <w:t>assessment can</w:t>
      </w:r>
      <w:r w:rsidR="00792503" w:rsidRPr="00515DC8">
        <w:rPr>
          <w:lang w:val="en-GB"/>
        </w:rPr>
        <w:t xml:space="preserve"> ‘strait</w:t>
      </w:r>
      <w:r w:rsidRPr="00515DC8">
        <w:rPr>
          <w:lang w:val="en-GB"/>
        </w:rPr>
        <w:t>jacket’ students’ learning (</w:t>
      </w:r>
      <w:r w:rsidRPr="00515DC8">
        <w:rPr>
          <w:i/>
          <w:lang w:val="en-GB"/>
        </w:rPr>
        <w:t>Rogaten &amp; Rienties, 2018</w:t>
      </w:r>
      <w:r w:rsidRPr="00515DC8">
        <w:rPr>
          <w:lang w:val="en-GB"/>
        </w:rPr>
        <w:t>)</w:t>
      </w:r>
      <w:r w:rsidR="00BE7741">
        <w:rPr>
          <w:lang w:val="en-GB"/>
        </w:rPr>
        <w:t>,</w:t>
      </w:r>
      <w:r w:rsidRPr="00515DC8">
        <w:rPr>
          <w:lang w:val="en-GB"/>
        </w:rPr>
        <w:t xml:space="preserve"> given the known r</w:t>
      </w:r>
      <w:r w:rsidR="00792503" w:rsidRPr="00515DC8">
        <w:rPr>
          <w:lang w:val="en-GB"/>
        </w:rPr>
        <w:t>elatively high impact of module-</w:t>
      </w:r>
      <w:r w:rsidRPr="00515DC8">
        <w:rPr>
          <w:lang w:val="en-GB"/>
        </w:rPr>
        <w:t xml:space="preserve">specific characteristics on students’ learning gains in their first year compared to individual difference variables (Nguyen et al., 2017). In considering </w:t>
      </w:r>
      <w:r w:rsidR="00F00DE0" w:rsidRPr="00515DC8">
        <w:rPr>
          <w:lang w:val="en-GB"/>
        </w:rPr>
        <w:t xml:space="preserve">generic </w:t>
      </w:r>
      <w:r w:rsidRPr="00515DC8">
        <w:rPr>
          <w:lang w:val="en-GB"/>
        </w:rPr>
        <w:t>learning gain approaches, Schneider and Preckel’s (2017) review of meta-analyses signals that improving students’ strategies within the context of their academic discipline is more effective than training them in extracurricular settings with artificial</w:t>
      </w:r>
      <w:r w:rsidR="001241F5" w:rsidRPr="00515DC8">
        <w:rPr>
          <w:lang w:val="en-GB"/>
        </w:rPr>
        <w:t>ly created problems. G</w:t>
      </w:r>
      <w:r w:rsidRPr="00515DC8">
        <w:rPr>
          <w:lang w:val="en-GB"/>
        </w:rPr>
        <w:t xml:space="preserve">eneric measures (tests/inventories) not closely related to the module context can result in spurious findings (Asikainen &amp; Gijbels, 2017). </w:t>
      </w:r>
      <w:r w:rsidR="001241F5" w:rsidRPr="00515DC8">
        <w:rPr>
          <w:lang w:val="en-GB"/>
        </w:rPr>
        <w:t>In supporting the argument for authentic integration, Ruge and McCormack (2017) found students</w:t>
      </w:r>
      <w:r w:rsidR="009221EE" w:rsidRPr="00515DC8">
        <w:rPr>
          <w:lang w:val="en-GB"/>
        </w:rPr>
        <w:t>’</w:t>
      </w:r>
      <w:r w:rsidR="001241F5" w:rsidRPr="00515DC8">
        <w:rPr>
          <w:lang w:val="en-GB"/>
        </w:rPr>
        <w:t xml:space="preserve"> skills for employability were facilitated through discipline-based curriculum design linking university and industry skills expectations</w:t>
      </w:r>
      <w:r w:rsidR="009752F3" w:rsidRPr="00515DC8">
        <w:rPr>
          <w:lang w:val="en-GB"/>
        </w:rPr>
        <w:t>,</w:t>
      </w:r>
      <w:r w:rsidR="001241F5" w:rsidRPr="00515DC8">
        <w:rPr>
          <w:lang w:val="en-GB"/>
        </w:rPr>
        <w:t xml:space="preserve"> where clear interweaving of learning contexts and assessments to enable students to identify academic and professional learning dimensions were most effective. </w:t>
      </w:r>
    </w:p>
    <w:p w14:paraId="57988454" w14:textId="77777777" w:rsidR="00013ABA" w:rsidRPr="00515DC8" w:rsidRDefault="00013ABA" w:rsidP="001B74D8">
      <w:pPr>
        <w:spacing w:line="480" w:lineRule="auto"/>
        <w:rPr>
          <w:lang w:val="en-GB"/>
        </w:rPr>
      </w:pPr>
    </w:p>
    <w:p w14:paraId="7260908A" w14:textId="4C4DA267" w:rsidR="002B0270" w:rsidRDefault="009221EE" w:rsidP="001B74D8">
      <w:pPr>
        <w:spacing w:line="480" w:lineRule="auto"/>
        <w:rPr>
          <w:lang w:val="en-GB"/>
        </w:rPr>
      </w:pPr>
      <w:r w:rsidRPr="00515DC8">
        <w:rPr>
          <w:lang w:val="en-GB"/>
        </w:rPr>
        <w:t>There i</w:t>
      </w:r>
      <w:r w:rsidR="00792503" w:rsidRPr="00515DC8">
        <w:rPr>
          <w:lang w:val="en-GB"/>
        </w:rPr>
        <w:t>s an assumption that discipline-</w:t>
      </w:r>
      <w:r w:rsidRPr="00515DC8">
        <w:rPr>
          <w:lang w:val="en-GB"/>
        </w:rPr>
        <w:t>specific methods are important. They may be so less on grounds of construct</w:t>
      </w:r>
      <w:r w:rsidR="00EE59F9" w:rsidRPr="00515DC8">
        <w:rPr>
          <w:lang w:val="en-GB"/>
        </w:rPr>
        <w:t xml:space="preserve"> validity than of face validity (i.e., </w:t>
      </w:r>
      <w:r w:rsidRPr="00515DC8">
        <w:rPr>
          <w:lang w:val="en-GB"/>
        </w:rPr>
        <w:t>they need to fit with the ontological and epistemological orientations of academic staff who are ‘fully paid up’ members of their disciplines</w:t>
      </w:r>
      <w:r w:rsidR="00EE59F9" w:rsidRPr="00515DC8">
        <w:rPr>
          <w:lang w:val="en-GB"/>
        </w:rPr>
        <w:t>)</w:t>
      </w:r>
      <w:r w:rsidRPr="00515DC8">
        <w:rPr>
          <w:lang w:val="en-GB"/>
        </w:rPr>
        <w:t>. E</w:t>
      </w:r>
      <w:r w:rsidR="00013ABA" w:rsidRPr="00515DC8">
        <w:rPr>
          <w:lang w:val="en-GB"/>
        </w:rPr>
        <w:t>pistemological and ontological assumptions about the nature of knowledge, and how you know</w:t>
      </w:r>
      <w:r w:rsidRPr="00515DC8">
        <w:rPr>
          <w:lang w:val="en-GB"/>
        </w:rPr>
        <w:t xml:space="preserve"> within disciplines</w:t>
      </w:r>
      <w:r w:rsidR="009752F3" w:rsidRPr="00515DC8">
        <w:rPr>
          <w:lang w:val="en-GB"/>
        </w:rPr>
        <w:t>,</w:t>
      </w:r>
      <w:r w:rsidRPr="00515DC8">
        <w:rPr>
          <w:lang w:val="en-GB"/>
        </w:rPr>
        <w:t xml:space="preserve"> can be</w:t>
      </w:r>
      <w:r w:rsidR="00013ABA" w:rsidRPr="00515DC8">
        <w:rPr>
          <w:lang w:val="en-GB"/>
        </w:rPr>
        <w:t xml:space="preserve"> crucial in the development and application of learning gain measures. </w:t>
      </w:r>
      <w:r w:rsidR="009752F3" w:rsidRPr="00515DC8">
        <w:rPr>
          <w:lang w:val="en-GB"/>
        </w:rPr>
        <w:t>For example, it</w:t>
      </w:r>
      <w:r w:rsidR="00013ABA" w:rsidRPr="00515DC8">
        <w:rPr>
          <w:lang w:val="en-GB"/>
        </w:rPr>
        <w:t xml:space="preserve"> is notable that the development of concept inventories is much stronger in STEM disciplines. In designing potential learning gain measures, disciplinary nuances must be attended to.</w:t>
      </w:r>
      <w:r w:rsidRPr="00515DC8">
        <w:rPr>
          <w:lang w:val="en-GB"/>
        </w:rPr>
        <w:t xml:space="preserve"> For example, </w:t>
      </w:r>
      <w:r w:rsidR="0056407C" w:rsidRPr="00515DC8">
        <w:rPr>
          <w:i/>
          <w:lang w:val="en-GB"/>
        </w:rPr>
        <w:t>T</w:t>
      </w:r>
      <w:r w:rsidR="00A2399E" w:rsidRPr="00515DC8">
        <w:rPr>
          <w:i/>
          <w:lang w:val="en-GB"/>
        </w:rPr>
        <w:t>urner et al</w:t>
      </w:r>
      <w:r w:rsidR="00BB3336" w:rsidRPr="00515DC8">
        <w:rPr>
          <w:lang w:val="en-GB"/>
        </w:rPr>
        <w:t>., (2018</w:t>
      </w:r>
      <w:r w:rsidR="00A2399E" w:rsidRPr="00515DC8">
        <w:rPr>
          <w:lang w:val="en-GB"/>
        </w:rPr>
        <w:t>)</w:t>
      </w:r>
      <w:r w:rsidRPr="00515DC8">
        <w:rPr>
          <w:lang w:val="en-GB"/>
        </w:rPr>
        <w:t xml:space="preserve"> found </w:t>
      </w:r>
      <w:r w:rsidR="0039166F" w:rsidRPr="00515DC8">
        <w:rPr>
          <w:lang w:val="en-GB"/>
        </w:rPr>
        <w:t>‘</w:t>
      </w:r>
      <w:r w:rsidR="0056407C" w:rsidRPr="00515DC8">
        <w:rPr>
          <w:lang w:val="en-GB"/>
        </w:rPr>
        <w:t>The differential framing of resear</w:t>
      </w:r>
      <w:r w:rsidRPr="00515DC8">
        <w:rPr>
          <w:lang w:val="en-GB"/>
        </w:rPr>
        <w:t>ch methods in disciplines shape[d]</w:t>
      </w:r>
      <w:r w:rsidR="0056407C" w:rsidRPr="00515DC8">
        <w:rPr>
          <w:lang w:val="en-GB"/>
        </w:rPr>
        <w:t xml:space="preserve"> students’ pedagogical engagement with research methods, </w:t>
      </w:r>
      <w:r w:rsidRPr="00515DC8">
        <w:rPr>
          <w:lang w:val="en-GB"/>
        </w:rPr>
        <w:t>…</w:t>
      </w:r>
      <w:r w:rsidR="0056407C" w:rsidRPr="00515DC8">
        <w:rPr>
          <w:lang w:val="en-GB"/>
        </w:rPr>
        <w:t xml:space="preserve"> their research orientations, learning motivation, a</w:t>
      </w:r>
      <w:r w:rsidRPr="00515DC8">
        <w:rPr>
          <w:lang w:val="en-GB"/>
        </w:rPr>
        <w:t>n</w:t>
      </w:r>
      <w:r w:rsidR="0056407C" w:rsidRPr="00515DC8">
        <w:rPr>
          <w:lang w:val="en-GB"/>
        </w:rPr>
        <w:t>d sense of self-efficacy</w:t>
      </w:r>
      <w:r w:rsidR="0039166F" w:rsidRPr="00515DC8">
        <w:rPr>
          <w:lang w:val="en-GB"/>
        </w:rPr>
        <w:t>’</w:t>
      </w:r>
      <w:r w:rsidR="001F1F3E" w:rsidRPr="00515DC8">
        <w:rPr>
          <w:lang w:val="en-GB"/>
        </w:rPr>
        <w:t>.</w:t>
      </w:r>
    </w:p>
    <w:p w14:paraId="7D554C91" w14:textId="77777777" w:rsidR="00347728" w:rsidRPr="00515DC8" w:rsidRDefault="00347728" w:rsidP="001B74D8">
      <w:pPr>
        <w:spacing w:line="480" w:lineRule="auto"/>
        <w:rPr>
          <w:lang w:val="en-GB"/>
        </w:rPr>
      </w:pPr>
    </w:p>
    <w:p w14:paraId="79C161FD" w14:textId="57758DEF" w:rsidR="001A7E20" w:rsidRPr="00515DC8" w:rsidRDefault="006A0473" w:rsidP="00404D06">
      <w:pPr>
        <w:pStyle w:val="ListParagraph"/>
        <w:spacing w:line="480" w:lineRule="auto"/>
        <w:ind w:left="0"/>
        <w:outlineLvl w:val="0"/>
        <w:rPr>
          <w:rFonts w:ascii="Times New Roman" w:hAnsi="Times New Roman" w:cs="Times New Roman"/>
          <w:i/>
          <w:sz w:val="24"/>
          <w:szCs w:val="24"/>
        </w:rPr>
      </w:pPr>
      <w:r w:rsidRPr="00515DC8">
        <w:rPr>
          <w:rFonts w:ascii="Times New Roman" w:hAnsi="Times New Roman" w:cs="Times New Roman"/>
          <w:i/>
          <w:sz w:val="24"/>
          <w:szCs w:val="24"/>
        </w:rPr>
        <w:t xml:space="preserve">Learning gain </w:t>
      </w:r>
      <w:r w:rsidR="007E135C" w:rsidRPr="00515DC8">
        <w:rPr>
          <w:rFonts w:ascii="Times New Roman" w:hAnsi="Times New Roman" w:cs="Times New Roman"/>
          <w:i/>
          <w:sz w:val="24"/>
          <w:szCs w:val="24"/>
        </w:rPr>
        <w:t>ownership</w:t>
      </w:r>
    </w:p>
    <w:p w14:paraId="47BBF7AD" w14:textId="4BAD8E7A" w:rsidR="00801C2F" w:rsidRDefault="001A7E20" w:rsidP="001B74D8">
      <w:pPr>
        <w:spacing w:line="480" w:lineRule="auto"/>
        <w:rPr>
          <w:rFonts w:eastAsia="Cambria"/>
          <w:lang w:val="en-GB"/>
        </w:rPr>
      </w:pPr>
      <w:r w:rsidRPr="00515DC8">
        <w:rPr>
          <w:lang w:val="en-GB"/>
        </w:rPr>
        <w:t>The engagement of students in learning gain initiatives is an issue (in terms of actual numbers, representativeness</w:t>
      </w:r>
      <w:r w:rsidR="00206387" w:rsidRPr="00515DC8">
        <w:rPr>
          <w:lang w:val="en-GB"/>
        </w:rPr>
        <w:t>;</w:t>
      </w:r>
      <w:r w:rsidRPr="00515DC8">
        <w:rPr>
          <w:lang w:val="en-GB"/>
        </w:rPr>
        <w:t xml:space="preserve"> retention) (Kandiko Hows</w:t>
      </w:r>
      <w:r w:rsidR="004E1F1C" w:rsidRPr="00515DC8">
        <w:rPr>
          <w:lang w:val="en-GB"/>
        </w:rPr>
        <w:t>o</w:t>
      </w:r>
      <w:r w:rsidRPr="00515DC8">
        <w:rPr>
          <w:lang w:val="en-GB"/>
        </w:rPr>
        <w:t xml:space="preserve">n, 2017). </w:t>
      </w:r>
      <w:r w:rsidR="00206387" w:rsidRPr="00515DC8">
        <w:rPr>
          <w:lang w:val="en-GB"/>
        </w:rPr>
        <w:t>It is imperative that students</w:t>
      </w:r>
      <w:r w:rsidR="0070469F" w:rsidRPr="00515DC8">
        <w:rPr>
          <w:lang w:val="en-GB"/>
        </w:rPr>
        <w:t xml:space="preserve"> invest in the process as part of an ipsative approach (Burke, 20</w:t>
      </w:r>
      <w:r w:rsidR="00A2399E" w:rsidRPr="00515DC8">
        <w:rPr>
          <w:lang w:val="en-GB"/>
        </w:rPr>
        <w:t>17</w:t>
      </w:r>
      <w:r w:rsidR="0070469F" w:rsidRPr="00515DC8">
        <w:rPr>
          <w:lang w:val="en-GB"/>
        </w:rPr>
        <w:t>) to explore all dimensions of their learning (cognitive</w:t>
      </w:r>
      <w:r w:rsidR="00206387" w:rsidRPr="00515DC8">
        <w:rPr>
          <w:lang w:val="en-GB"/>
        </w:rPr>
        <w:t>, affective, and metacognitive</w:t>
      </w:r>
      <w:r w:rsidR="009752F3" w:rsidRPr="00515DC8">
        <w:rPr>
          <w:lang w:val="en-GB"/>
        </w:rPr>
        <w:t>)</w:t>
      </w:r>
      <w:r w:rsidR="00206387" w:rsidRPr="00515DC8">
        <w:rPr>
          <w:lang w:val="en-GB"/>
        </w:rPr>
        <w:t xml:space="preserve"> as </w:t>
      </w:r>
      <w:r w:rsidR="0070469F" w:rsidRPr="00515DC8">
        <w:rPr>
          <w:lang w:val="en-GB"/>
        </w:rPr>
        <w:t>part of a self-reg</w:t>
      </w:r>
      <w:r w:rsidR="00F856F9" w:rsidRPr="00515DC8">
        <w:rPr>
          <w:lang w:val="en-GB"/>
        </w:rPr>
        <w:t>ulatory approach (Evans, 2016</w:t>
      </w:r>
      <w:r w:rsidR="009752F3" w:rsidRPr="00515DC8">
        <w:rPr>
          <w:lang w:val="en-GB"/>
        </w:rPr>
        <w:t>)</w:t>
      </w:r>
      <w:r w:rsidR="00206387" w:rsidRPr="00515DC8">
        <w:rPr>
          <w:lang w:val="en-GB"/>
        </w:rPr>
        <w:t xml:space="preserve">; this requires the approaches to be relevant and integral to a student’s learning experience. </w:t>
      </w:r>
      <w:r w:rsidR="00F856F9" w:rsidRPr="00515DC8">
        <w:rPr>
          <w:lang w:val="en-GB"/>
        </w:rPr>
        <w:t xml:space="preserve"> </w:t>
      </w:r>
      <w:r w:rsidR="00206387" w:rsidRPr="00515DC8">
        <w:rPr>
          <w:lang w:val="en-GB"/>
        </w:rPr>
        <w:t>U</w:t>
      </w:r>
      <w:r w:rsidR="0070469F" w:rsidRPr="00515DC8">
        <w:rPr>
          <w:lang w:val="en-GB"/>
        </w:rPr>
        <w:t>p-skilling</w:t>
      </w:r>
      <w:r w:rsidR="00206387" w:rsidRPr="00515DC8">
        <w:rPr>
          <w:lang w:val="en-GB"/>
        </w:rPr>
        <w:t xml:space="preserve"> is needed</w:t>
      </w:r>
      <w:r w:rsidR="0070469F" w:rsidRPr="00515DC8">
        <w:rPr>
          <w:lang w:val="en-GB"/>
        </w:rPr>
        <w:t xml:space="preserve"> for all in the ‘how and what to’ measure, and in the interpretation of such findings.</w:t>
      </w:r>
      <w:r w:rsidR="00F856F9" w:rsidRPr="00515DC8">
        <w:rPr>
          <w:lang w:val="en-GB"/>
        </w:rPr>
        <w:t xml:space="preserve"> A ‘third person’ perspective (Rosenfeld &amp; Rosenfeld, 20</w:t>
      </w:r>
      <w:r w:rsidR="000F294A" w:rsidRPr="00515DC8">
        <w:rPr>
          <w:lang w:val="en-GB"/>
        </w:rPr>
        <w:t>11</w:t>
      </w:r>
      <w:r w:rsidR="00F856F9" w:rsidRPr="00515DC8">
        <w:rPr>
          <w:lang w:val="en-GB"/>
        </w:rPr>
        <w:t>)</w:t>
      </w:r>
      <w:r w:rsidR="00CD4A19" w:rsidRPr="00515DC8">
        <w:rPr>
          <w:lang w:val="en-GB"/>
        </w:rPr>
        <w:t xml:space="preserve"> </w:t>
      </w:r>
      <w:r w:rsidR="006B2C89" w:rsidRPr="00515DC8">
        <w:rPr>
          <w:lang w:val="en-GB"/>
        </w:rPr>
        <w:t>is advocated whereby students are not seen as vessels</w:t>
      </w:r>
      <w:r w:rsidR="003516FB" w:rsidRPr="00515DC8">
        <w:rPr>
          <w:lang w:val="en-GB"/>
        </w:rPr>
        <w:t xml:space="preserve"> to fill and</w:t>
      </w:r>
      <w:r w:rsidR="006B2C89" w:rsidRPr="00515DC8">
        <w:rPr>
          <w:lang w:val="en-GB"/>
        </w:rPr>
        <w:t xml:space="preserve"> from which to pluck data but </w:t>
      </w:r>
      <w:r w:rsidR="00CD4A19" w:rsidRPr="00515DC8">
        <w:rPr>
          <w:lang w:val="en-GB"/>
        </w:rPr>
        <w:t>are fully briefed about the purposes of research</w:t>
      </w:r>
      <w:r w:rsidR="006B2C89" w:rsidRPr="00515DC8">
        <w:rPr>
          <w:lang w:val="en-GB"/>
        </w:rPr>
        <w:t xml:space="preserve"> and are clear on how all data collected is being used and to what ends</w:t>
      </w:r>
      <w:r w:rsidR="00206387" w:rsidRPr="00515DC8">
        <w:rPr>
          <w:lang w:val="en-GB"/>
        </w:rPr>
        <w:t>; active participation by students in the resea</w:t>
      </w:r>
      <w:r w:rsidRPr="00515DC8">
        <w:rPr>
          <w:lang w:val="en-GB"/>
        </w:rPr>
        <w:t>rch process is crucial.</w:t>
      </w:r>
      <w:r w:rsidR="006B2C89" w:rsidRPr="00515DC8">
        <w:rPr>
          <w:lang w:val="en-GB"/>
        </w:rPr>
        <w:t xml:space="preserve"> </w:t>
      </w:r>
      <w:r w:rsidR="00206387" w:rsidRPr="00515DC8">
        <w:rPr>
          <w:lang w:val="en-GB"/>
        </w:rPr>
        <w:t xml:space="preserve">Students </w:t>
      </w:r>
      <w:r w:rsidR="006B2C89" w:rsidRPr="00515DC8">
        <w:rPr>
          <w:lang w:val="en-GB"/>
        </w:rPr>
        <w:t xml:space="preserve">should </w:t>
      </w:r>
      <w:r w:rsidR="00CD4A19" w:rsidRPr="00515DC8">
        <w:rPr>
          <w:lang w:val="en-GB"/>
        </w:rPr>
        <w:t>have opportunities to be</w:t>
      </w:r>
      <w:r w:rsidR="00155F75" w:rsidRPr="00515DC8">
        <w:rPr>
          <w:lang w:val="en-GB"/>
        </w:rPr>
        <w:t xml:space="preserve"> centrally</w:t>
      </w:r>
      <w:r w:rsidR="006B2C89" w:rsidRPr="00515DC8">
        <w:rPr>
          <w:lang w:val="en-GB"/>
        </w:rPr>
        <w:t xml:space="preserve"> </w:t>
      </w:r>
      <w:r w:rsidR="00CD4A19" w:rsidRPr="00515DC8">
        <w:rPr>
          <w:lang w:val="en-GB"/>
        </w:rPr>
        <w:t xml:space="preserve">involved in </w:t>
      </w:r>
      <w:r w:rsidR="006B2C89" w:rsidRPr="00515DC8">
        <w:rPr>
          <w:lang w:val="en-GB"/>
        </w:rPr>
        <w:t xml:space="preserve">research design, </w:t>
      </w:r>
      <w:r w:rsidR="00CD4A19" w:rsidRPr="00515DC8">
        <w:rPr>
          <w:lang w:val="en-GB"/>
        </w:rPr>
        <w:t>data collection and analysis</w:t>
      </w:r>
      <w:r w:rsidR="00792503" w:rsidRPr="00515DC8">
        <w:rPr>
          <w:lang w:val="en-GB"/>
        </w:rPr>
        <w:t>, and be de</w:t>
      </w:r>
      <w:r w:rsidR="006B2C89" w:rsidRPr="00515DC8">
        <w:rPr>
          <w:lang w:val="en-GB"/>
        </w:rPr>
        <w:t>briefed on the outcomes of any data gathering exercise</w:t>
      </w:r>
      <w:r w:rsidR="00792503" w:rsidRPr="00515DC8">
        <w:rPr>
          <w:lang w:val="en-GB"/>
        </w:rPr>
        <w:t xml:space="preserve">; these activities </w:t>
      </w:r>
      <w:r w:rsidR="00801C2F" w:rsidRPr="00515DC8">
        <w:rPr>
          <w:lang w:val="en-GB"/>
        </w:rPr>
        <w:t>should also not be solely the preserve of final year students</w:t>
      </w:r>
      <w:r w:rsidR="006B2C89" w:rsidRPr="00515DC8">
        <w:rPr>
          <w:lang w:val="en-GB"/>
        </w:rPr>
        <w:t xml:space="preserve">. </w:t>
      </w:r>
      <w:r w:rsidR="00801C2F" w:rsidRPr="00515DC8">
        <w:rPr>
          <w:rFonts w:eastAsia="Cambria"/>
          <w:lang w:val="en-GB"/>
        </w:rPr>
        <w:t>Students and staff collaborating effectively as partners in learning and teaching is arguably one of the most important issues faci</w:t>
      </w:r>
      <w:r w:rsidR="00B6512D">
        <w:rPr>
          <w:rFonts w:eastAsia="Cambria"/>
          <w:lang w:val="en-GB"/>
        </w:rPr>
        <w:t>ng higher education in the 21</w:t>
      </w:r>
      <w:r w:rsidR="00B6512D" w:rsidRPr="00B6512D">
        <w:rPr>
          <w:rFonts w:eastAsia="Cambria"/>
          <w:vertAlign w:val="superscript"/>
          <w:lang w:val="en-GB"/>
        </w:rPr>
        <w:t>st</w:t>
      </w:r>
      <w:r w:rsidR="00B6512D">
        <w:rPr>
          <w:rFonts w:eastAsia="Cambria"/>
          <w:lang w:val="en-GB"/>
        </w:rPr>
        <w:t xml:space="preserve">- </w:t>
      </w:r>
      <w:r w:rsidR="00801C2F" w:rsidRPr="00515DC8">
        <w:rPr>
          <w:rFonts w:eastAsia="Cambria"/>
          <w:lang w:val="en-GB"/>
        </w:rPr>
        <w:t>century (Healey, et. al., 2014). The student as an active collaborator and co-producer has more potential for meaningful transformation (Dunne et al., 2011).  More effort need</w:t>
      </w:r>
      <w:r w:rsidR="00792503" w:rsidRPr="00515DC8">
        <w:rPr>
          <w:rFonts w:eastAsia="Cambria"/>
          <w:lang w:val="en-GB"/>
        </w:rPr>
        <w:t xml:space="preserve">s to be expended in developing </w:t>
      </w:r>
      <w:r w:rsidR="00801C2F" w:rsidRPr="00515DC8">
        <w:rPr>
          <w:rFonts w:eastAsia="Cambria"/>
          <w:lang w:val="en-GB"/>
        </w:rPr>
        <w:t xml:space="preserve">meaningful partnerships to address the pervading concern that full partnership is rarely achieved (Evans et al., 2015; Healey, et al., 2014). </w:t>
      </w:r>
    </w:p>
    <w:p w14:paraId="02A59843" w14:textId="77777777" w:rsidR="00BE7741" w:rsidRPr="00515DC8" w:rsidRDefault="00BE7741" w:rsidP="001B74D8">
      <w:pPr>
        <w:spacing w:line="480" w:lineRule="auto"/>
        <w:rPr>
          <w:rFonts w:eastAsia="Times New Roman"/>
          <w:color w:val="000000"/>
          <w:sz w:val="17"/>
          <w:szCs w:val="17"/>
          <w:lang w:val="en-GB"/>
        </w:rPr>
      </w:pPr>
    </w:p>
    <w:p w14:paraId="46F30E2A" w14:textId="6D6292A9" w:rsidR="00431C1E" w:rsidRPr="00515DC8" w:rsidRDefault="00931B6E" w:rsidP="00404D06">
      <w:pPr>
        <w:tabs>
          <w:tab w:val="left" w:pos="2778"/>
        </w:tabs>
        <w:spacing w:line="480" w:lineRule="auto"/>
        <w:outlineLvl w:val="0"/>
        <w:rPr>
          <w:b/>
          <w:lang w:val="en-GB"/>
        </w:rPr>
      </w:pPr>
      <w:r w:rsidRPr="00515DC8">
        <w:rPr>
          <w:b/>
          <w:lang w:val="en-GB"/>
        </w:rPr>
        <w:t>Recommendations for policy and practice</w:t>
      </w:r>
    </w:p>
    <w:p w14:paraId="7D770D4C" w14:textId="25CF05B4" w:rsidR="003365DB" w:rsidRDefault="00A9718A" w:rsidP="001B74D8">
      <w:pPr>
        <w:spacing w:line="480" w:lineRule="auto"/>
        <w:rPr>
          <w:lang w:val="en-GB"/>
        </w:rPr>
      </w:pPr>
      <w:r w:rsidRPr="00515DC8">
        <w:rPr>
          <w:lang w:val="en-GB"/>
        </w:rPr>
        <w:t>We</w:t>
      </w:r>
      <w:r w:rsidR="00C623DD" w:rsidRPr="00515DC8">
        <w:rPr>
          <w:lang w:val="en-GB"/>
        </w:rPr>
        <w:t xml:space="preserve"> have argued</w:t>
      </w:r>
      <w:r w:rsidR="000B271A" w:rsidRPr="00515DC8">
        <w:rPr>
          <w:lang w:val="en-GB"/>
        </w:rPr>
        <w:t xml:space="preserve"> that</w:t>
      </w:r>
      <w:r w:rsidR="00431C1E" w:rsidRPr="00515DC8">
        <w:rPr>
          <w:lang w:val="en-GB"/>
        </w:rPr>
        <w:t xml:space="preserve"> </w:t>
      </w:r>
      <w:r w:rsidRPr="00515DC8">
        <w:rPr>
          <w:lang w:val="en-GB"/>
        </w:rPr>
        <w:t xml:space="preserve">there </w:t>
      </w:r>
      <w:r w:rsidR="00431C1E" w:rsidRPr="00515DC8">
        <w:rPr>
          <w:lang w:val="en-GB"/>
        </w:rPr>
        <w:t xml:space="preserve">is no one single magic bullet </w:t>
      </w:r>
      <w:r w:rsidR="000B271A" w:rsidRPr="00515DC8">
        <w:rPr>
          <w:lang w:val="en-GB"/>
        </w:rPr>
        <w:t>that can solve the learning gain issue. There are many different definitions of learning gain aligned to how one sees the main purposes of HE.</w:t>
      </w:r>
      <w:r w:rsidR="001415CB" w:rsidRPr="00515DC8">
        <w:rPr>
          <w:lang w:val="en-GB"/>
        </w:rPr>
        <w:t xml:space="preserve"> </w:t>
      </w:r>
      <w:r w:rsidR="000B271A" w:rsidRPr="00515DC8">
        <w:rPr>
          <w:lang w:val="en-GB"/>
        </w:rPr>
        <w:t xml:space="preserve">The quest </w:t>
      </w:r>
      <w:r w:rsidR="00431C1E" w:rsidRPr="00515DC8">
        <w:rPr>
          <w:lang w:val="en-GB"/>
        </w:rPr>
        <w:t>for a universal measure of learning gain</w:t>
      </w:r>
      <w:r w:rsidR="000B271A" w:rsidRPr="00515DC8">
        <w:rPr>
          <w:lang w:val="en-GB"/>
        </w:rPr>
        <w:t xml:space="preserve"> is a futile one given the implicit and explicit differences in context</w:t>
      </w:r>
      <w:r w:rsidR="00274A1F" w:rsidRPr="00515DC8">
        <w:rPr>
          <w:lang w:val="en-GB"/>
        </w:rPr>
        <w:t>. Standardisation of learning outcomes across HE will not enable valid comparisons of learning across specific contexts. A single solution is unlikely; it is impo</w:t>
      </w:r>
      <w:r w:rsidRPr="00515DC8">
        <w:rPr>
          <w:lang w:val="en-GB"/>
        </w:rPr>
        <w:t>rtant that institutions</w:t>
      </w:r>
      <w:r w:rsidR="00274A1F" w:rsidRPr="00515DC8">
        <w:rPr>
          <w:lang w:val="en-GB"/>
        </w:rPr>
        <w:t xml:space="preserve"> adapt and contextualise any learning gain measur</w:t>
      </w:r>
      <w:r w:rsidR="0087445D" w:rsidRPr="00515DC8">
        <w:rPr>
          <w:lang w:val="en-GB"/>
        </w:rPr>
        <w:t>e</w:t>
      </w:r>
      <w:r w:rsidR="009752F3" w:rsidRPr="00515DC8">
        <w:rPr>
          <w:lang w:val="en-GB"/>
        </w:rPr>
        <w:t>s</w:t>
      </w:r>
      <w:r w:rsidR="0087445D" w:rsidRPr="00515DC8">
        <w:rPr>
          <w:lang w:val="en-GB"/>
        </w:rPr>
        <w:t xml:space="preserve"> to suit specific requirements.</w:t>
      </w:r>
      <w:r w:rsidR="00934982" w:rsidRPr="00515DC8">
        <w:rPr>
          <w:lang w:val="en-GB"/>
        </w:rPr>
        <w:t xml:space="preserve"> From an ethical perspective, while also looking for more robust ways to measure learning gain, ‘we should continually consider whether our collective actions will leave our field in a state that is better or worse than when we entered it’</w:t>
      </w:r>
      <w:r w:rsidR="00B420FE" w:rsidRPr="00515DC8">
        <w:rPr>
          <w:lang w:val="en-GB"/>
        </w:rPr>
        <w:t xml:space="preserve"> </w:t>
      </w:r>
      <w:r w:rsidR="00934982" w:rsidRPr="00515DC8">
        <w:rPr>
          <w:lang w:val="en-GB"/>
        </w:rPr>
        <w:t xml:space="preserve">(Edwards &amp; Roy, 2017, p. 56). </w:t>
      </w:r>
      <w:r w:rsidR="00347728">
        <w:rPr>
          <w:lang w:val="en-GB"/>
        </w:rPr>
        <w:t xml:space="preserve"> </w:t>
      </w:r>
      <w:r w:rsidR="003365DB" w:rsidRPr="00515DC8">
        <w:rPr>
          <w:lang w:val="en-GB"/>
        </w:rPr>
        <w:t>Learning gain initiatives should be focusing on developing more meaningful measures of learning and teaching, especially in the pursuit of equity in learning for all students</w:t>
      </w:r>
      <w:r w:rsidR="00BE7741">
        <w:rPr>
          <w:lang w:val="en-GB"/>
        </w:rPr>
        <w:t>,</w:t>
      </w:r>
      <w:r w:rsidR="003365DB" w:rsidRPr="00515DC8">
        <w:rPr>
          <w:lang w:val="en-GB"/>
        </w:rPr>
        <w:t xml:space="preserve"> and addressing the current deficits in existing measures that are currently poor proxies for learning gain and the measurement of effective learning and teaching. </w:t>
      </w:r>
    </w:p>
    <w:p w14:paraId="309728DA" w14:textId="77777777" w:rsidR="00347728" w:rsidRPr="00515DC8" w:rsidRDefault="00347728" w:rsidP="001B74D8">
      <w:pPr>
        <w:spacing w:line="480" w:lineRule="auto"/>
        <w:rPr>
          <w:lang w:val="en-GB"/>
        </w:rPr>
      </w:pPr>
    </w:p>
    <w:p w14:paraId="78FFA056" w14:textId="1F0DA2CC" w:rsidR="004D1B0C" w:rsidRDefault="00FF7D70" w:rsidP="001B74D8">
      <w:pPr>
        <w:tabs>
          <w:tab w:val="left" w:pos="2778"/>
        </w:tabs>
        <w:spacing w:line="480" w:lineRule="auto"/>
        <w:rPr>
          <w:lang w:val="en-GB"/>
        </w:rPr>
      </w:pPr>
      <w:r w:rsidRPr="00515DC8">
        <w:rPr>
          <w:lang w:val="en-GB"/>
        </w:rPr>
        <w:t>We have already noted the limitations of the definition of learning gain ‘as distance travelled’</w:t>
      </w:r>
      <w:r w:rsidR="00BE7741">
        <w:rPr>
          <w:lang w:val="en-GB"/>
        </w:rPr>
        <w:t>,</w:t>
      </w:r>
      <w:r w:rsidRPr="00515DC8">
        <w:rPr>
          <w:lang w:val="en-GB"/>
        </w:rPr>
        <w:t xml:space="preserve"> and Caspersen et al. (2017) add to this debate in cautioning against mixing the measurement of learning growth with the measurement of knowledge at a given point in time. They argue that growth does not tell us about proficiency.  Unless there is a value-added component, any measures of knowledge do not actually tell us about learning, and grades do not tell us directly about the quality of learning</w:t>
      </w:r>
      <w:r w:rsidR="00BE7741">
        <w:rPr>
          <w:lang w:val="en-GB"/>
        </w:rPr>
        <w:t>,</w:t>
      </w:r>
      <w:r w:rsidRPr="00515DC8">
        <w:rPr>
          <w:lang w:val="en-GB"/>
        </w:rPr>
        <w:t xml:space="preserve"> or the quality of teaching for that matter.</w:t>
      </w:r>
      <w:r w:rsidRPr="00515DC8">
        <w:rPr>
          <w:b/>
          <w:lang w:val="en-GB"/>
        </w:rPr>
        <w:t xml:space="preserve">  </w:t>
      </w:r>
      <w:r w:rsidRPr="00515DC8">
        <w:rPr>
          <w:lang w:val="en-GB"/>
        </w:rPr>
        <w:t xml:space="preserve">Similarly, while serious questions have been raised regarding the value of students’ perceptions of their own learning over more objective measures, students can accurately assess their experiences of the learning environment, and with focused attention on developing their self-regulatory capacity can make accurate estimates of their learning (Boud &amp; Molloy, 2013, Evans, 2016; Waring &amp; Evans, 2015). </w:t>
      </w:r>
    </w:p>
    <w:p w14:paraId="692B33F7" w14:textId="77777777" w:rsidR="00BE7741" w:rsidRPr="00515DC8" w:rsidRDefault="00BE7741" w:rsidP="001B74D8">
      <w:pPr>
        <w:tabs>
          <w:tab w:val="left" w:pos="2778"/>
        </w:tabs>
        <w:spacing w:line="480" w:lineRule="auto"/>
        <w:rPr>
          <w:lang w:val="en-GB"/>
        </w:rPr>
      </w:pPr>
    </w:p>
    <w:p w14:paraId="01B70027" w14:textId="4B42BE4E" w:rsidR="004D1B0C" w:rsidRDefault="005B2A40" w:rsidP="001B74D8">
      <w:pPr>
        <w:tabs>
          <w:tab w:val="left" w:pos="2778"/>
        </w:tabs>
        <w:spacing w:line="480" w:lineRule="auto"/>
        <w:rPr>
          <w:lang w:val="en-GB"/>
        </w:rPr>
      </w:pPr>
      <w:r w:rsidRPr="00515DC8">
        <w:rPr>
          <w:lang w:val="en-GB"/>
        </w:rPr>
        <w:t>In opening up the black box of higher education, greater e</w:t>
      </w:r>
      <w:r w:rsidR="00C623DD" w:rsidRPr="00515DC8">
        <w:rPr>
          <w:lang w:val="en-GB"/>
        </w:rPr>
        <w:t xml:space="preserve">mphasis </w:t>
      </w:r>
      <w:r w:rsidR="00FF7D70" w:rsidRPr="00515DC8">
        <w:rPr>
          <w:lang w:val="en-GB"/>
        </w:rPr>
        <w:t>needs to be paid to the factors contributing to students’ learning rather than focusing narrowly on outcome measures (e.g.</w:t>
      </w:r>
      <w:r w:rsidR="00BB3336" w:rsidRPr="00515DC8">
        <w:rPr>
          <w:lang w:val="en-GB"/>
        </w:rPr>
        <w:t>,</w:t>
      </w:r>
      <w:r w:rsidR="00FF7D70" w:rsidRPr="00515DC8">
        <w:rPr>
          <w:lang w:val="en-GB"/>
        </w:rPr>
        <w:t xml:space="preserve"> students’ acquired competence) (Caspersen et al., 2017; Strang, Bélanger, Manville, &amp; Meads, 2016)</w:t>
      </w:r>
      <w:r w:rsidR="00BB3336" w:rsidRPr="00515DC8">
        <w:rPr>
          <w:lang w:val="en-GB"/>
        </w:rPr>
        <w:t>)</w:t>
      </w:r>
      <w:r w:rsidR="00FF7D70" w:rsidRPr="00515DC8">
        <w:rPr>
          <w:lang w:val="en-GB"/>
        </w:rPr>
        <w:t xml:space="preserve">.   </w:t>
      </w:r>
    </w:p>
    <w:p w14:paraId="39756BFD" w14:textId="77777777" w:rsidR="00BE7741" w:rsidRPr="00515DC8" w:rsidRDefault="00BE7741" w:rsidP="001B74D8">
      <w:pPr>
        <w:tabs>
          <w:tab w:val="left" w:pos="2778"/>
        </w:tabs>
        <w:spacing w:line="480" w:lineRule="auto"/>
        <w:rPr>
          <w:lang w:val="en-GB"/>
        </w:rPr>
      </w:pPr>
    </w:p>
    <w:p w14:paraId="0682D7DA" w14:textId="26DA9C72" w:rsidR="00C623DD" w:rsidRPr="00515DC8" w:rsidRDefault="00C623DD" w:rsidP="001B74D8">
      <w:pPr>
        <w:spacing w:line="480" w:lineRule="auto"/>
        <w:ind w:left="720" w:right="804"/>
        <w:jc w:val="both"/>
        <w:rPr>
          <w:lang w:val="en-GB"/>
        </w:rPr>
      </w:pPr>
      <w:r w:rsidRPr="00515DC8">
        <w:rPr>
          <w:lang w:val="en-GB"/>
        </w:rPr>
        <w:t>if our institutions are to live up to their potential in developing and supporting equitable educational opportunities for all student</w:t>
      </w:r>
      <w:r w:rsidR="0039166F" w:rsidRPr="00515DC8">
        <w:rPr>
          <w:lang w:val="en-GB"/>
        </w:rPr>
        <w:t>s, our understanding of student</w:t>
      </w:r>
      <w:r w:rsidR="00792503" w:rsidRPr="00515DC8">
        <w:rPr>
          <w:lang w:val="en-GB"/>
        </w:rPr>
        <w:t xml:space="preserve"> </w:t>
      </w:r>
      <w:r w:rsidR="00274A1F" w:rsidRPr="00515DC8">
        <w:rPr>
          <w:lang w:val="en-GB"/>
        </w:rPr>
        <w:t>learning and development must become more nuanced, with educators using this knowledge to modify and tailor programs, prac</w:t>
      </w:r>
      <w:r w:rsidR="00FF7D70" w:rsidRPr="00515DC8">
        <w:rPr>
          <w:lang w:val="en-GB"/>
        </w:rPr>
        <w:t>tices, and policies acco</w:t>
      </w:r>
      <w:r w:rsidR="00D44EC6" w:rsidRPr="00515DC8">
        <w:rPr>
          <w:lang w:val="en-GB"/>
        </w:rPr>
        <w:t xml:space="preserve">rdingly (Seifert et al., 2014, </w:t>
      </w:r>
      <w:r w:rsidR="00FF7D70" w:rsidRPr="00515DC8">
        <w:rPr>
          <w:lang w:val="en-GB"/>
        </w:rPr>
        <w:t>pp. 560-561).</w:t>
      </w:r>
    </w:p>
    <w:p w14:paraId="6F85285A" w14:textId="77777777" w:rsidR="00A9718A" w:rsidRPr="00515DC8" w:rsidRDefault="00A9718A" w:rsidP="001B74D8">
      <w:pPr>
        <w:spacing w:line="480" w:lineRule="auto"/>
        <w:ind w:right="804"/>
        <w:rPr>
          <w:lang w:val="en-GB"/>
        </w:rPr>
      </w:pPr>
    </w:p>
    <w:p w14:paraId="4E6D4726" w14:textId="6A652948" w:rsidR="00FF7D70" w:rsidRDefault="00A9718A" w:rsidP="001B74D8">
      <w:pPr>
        <w:tabs>
          <w:tab w:val="left" w:pos="2778"/>
        </w:tabs>
        <w:spacing w:line="480" w:lineRule="auto"/>
        <w:rPr>
          <w:rStyle w:val="st1"/>
          <w:lang w:val="en-GB"/>
        </w:rPr>
      </w:pPr>
      <w:r w:rsidRPr="00515DC8">
        <w:rPr>
          <w:rStyle w:val="st1"/>
          <w:lang w:val="en-GB"/>
        </w:rPr>
        <w:t xml:space="preserve">Learning gain initiatives </w:t>
      </w:r>
      <w:r w:rsidR="00802E08" w:rsidRPr="00515DC8">
        <w:rPr>
          <w:rStyle w:val="st1"/>
          <w:lang w:val="en-GB"/>
        </w:rPr>
        <w:t>will work most effectively if</w:t>
      </w:r>
      <w:r w:rsidRPr="00515DC8">
        <w:rPr>
          <w:rStyle w:val="st1"/>
          <w:lang w:val="en-GB"/>
        </w:rPr>
        <w:t xml:space="preserve"> embedded within the formal curriculum (</w:t>
      </w:r>
      <w:r w:rsidRPr="00515DC8">
        <w:rPr>
          <w:lang w:val="en-GB"/>
        </w:rPr>
        <w:t>Kandiko Hows</w:t>
      </w:r>
      <w:r w:rsidR="001D0A2D" w:rsidRPr="00515DC8">
        <w:rPr>
          <w:lang w:val="en-GB"/>
        </w:rPr>
        <w:t>o</w:t>
      </w:r>
      <w:r w:rsidRPr="00515DC8">
        <w:rPr>
          <w:lang w:val="en-GB"/>
        </w:rPr>
        <w:t>n, 2017)</w:t>
      </w:r>
      <w:r w:rsidR="0087445D" w:rsidRPr="00515DC8">
        <w:rPr>
          <w:lang w:val="en-GB"/>
        </w:rPr>
        <w:t>,</w:t>
      </w:r>
      <w:r w:rsidR="00802E08" w:rsidRPr="00515DC8">
        <w:rPr>
          <w:lang w:val="en-GB"/>
        </w:rPr>
        <w:t xml:space="preserve"> the success of which requires</w:t>
      </w:r>
      <w:r w:rsidRPr="00515DC8">
        <w:rPr>
          <w:lang w:val="en-GB"/>
        </w:rPr>
        <w:t xml:space="preserve"> </w:t>
      </w:r>
      <w:r w:rsidR="00802E08" w:rsidRPr="00515DC8">
        <w:rPr>
          <w:lang w:val="en-GB"/>
        </w:rPr>
        <w:t>intentional design</w:t>
      </w:r>
      <w:r w:rsidR="00BE7741">
        <w:rPr>
          <w:lang w:val="en-GB"/>
        </w:rPr>
        <w:t xml:space="preserve">, theoretical </w:t>
      </w:r>
      <w:r w:rsidRPr="00515DC8">
        <w:rPr>
          <w:lang w:val="en-GB"/>
        </w:rPr>
        <w:t>ground</w:t>
      </w:r>
      <w:r w:rsidR="00802E08" w:rsidRPr="00515DC8">
        <w:rPr>
          <w:lang w:val="en-GB"/>
        </w:rPr>
        <w:t>ing</w:t>
      </w:r>
      <w:r w:rsidRPr="00515DC8">
        <w:rPr>
          <w:lang w:val="en-GB"/>
        </w:rPr>
        <w:t>, a clearly defined purpose</w:t>
      </w:r>
      <w:r w:rsidR="00BE7741">
        <w:rPr>
          <w:lang w:val="en-GB"/>
        </w:rPr>
        <w:t>,</w:t>
      </w:r>
      <w:r w:rsidRPr="00515DC8">
        <w:rPr>
          <w:lang w:val="en-GB"/>
        </w:rPr>
        <w:t xml:space="preserve"> and nuanced to the requirements of the context (Kuh et al., 2017). A </w:t>
      </w:r>
      <w:r w:rsidR="00792503" w:rsidRPr="00515DC8">
        <w:rPr>
          <w:rFonts w:eastAsia="Times New Roman"/>
          <w:lang w:val="en-GB" w:eastAsia="en-GB"/>
        </w:rPr>
        <w:t>multidimensional view of</w:t>
      </w:r>
      <w:r w:rsidRPr="00515DC8">
        <w:rPr>
          <w:rFonts w:eastAsia="Times New Roman"/>
          <w:lang w:val="en-GB" w:eastAsia="en-GB"/>
        </w:rPr>
        <w:t xml:space="preserve"> student success is </w:t>
      </w:r>
      <w:r w:rsidR="00FF7D70" w:rsidRPr="00515DC8">
        <w:rPr>
          <w:rFonts w:eastAsia="Times New Roman"/>
          <w:lang w:val="en-GB" w:eastAsia="en-GB"/>
        </w:rPr>
        <w:t>required</w:t>
      </w:r>
      <w:r w:rsidRPr="00515DC8">
        <w:rPr>
          <w:rFonts w:eastAsia="Times New Roman"/>
          <w:lang w:val="en-GB" w:eastAsia="en-GB"/>
        </w:rPr>
        <w:t xml:space="preserve"> if we are to gain better understandings of those factors impacting student learning outcomes (van der Zanden, Denessen, Cillessen, &amp; Meijer, 2018). </w:t>
      </w:r>
      <w:r w:rsidR="00FF7D70" w:rsidRPr="00515DC8">
        <w:rPr>
          <w:lang w:val="en-GB"/>
        </w:rPr>
        <w:t xml:space="preserve">There is currently a paradox that needs resolving. On the one hand, research from </w:t>
      </w:r>
      <w:r w:rsidR="00515896" w:rsidRPr="00515DC8">
        <w:rPr>
          <w:lang w:val="en-GB"/>
        </w:rPr>
        <w:t>several</w:t>
      </w:r>
      <w:r w:rsidR="00FF7D70" w:rsidRPr="00515DC8">
        <w:rPr>
          <w:lang w:val="en-GB"/>
        </w:rPr>
        <w:t xml:space="preserve"> perspectives (e.g., neuroscientific and educational and cognitive psychology inquiry; high impact pedagogies research (</w:t>
      </w:r>
      <w:r w:rsidR="00801C2F" w:rsidRPr="00515DC8">
        <w:rPr>
          <w:lang w:val="en-GB"/>
        </w:rPr>
        <w:t>Kuh, O’Donnell, &amp; Scheider, 2017</w:t>
      </w:r>
      <w:r w:rsidR="00FF7D70" w:rsidRPr="00515DC8">
        <w:rPr>
          <w:lang w:val="en-GB"/>
        </w:rPr>
        <w:t>)</w:t>
      </w:r>
      <w:r w:rsidR="00801C2F" w:rsidRPr="00515DC8">
        <w:rPr>
          <w:lang w:val="en-GB"/>
        </w:rPr>
        <w:t xml:space="preserve"> </w:t>
      </w:r>
      <w:r w:rsidR="00FF7D70" w:rsidRPr="00515DC8">
        <w:rPr>
          <w:lang w:val="en-GB"/>
        </w:rPr>
        <w:t>has given us considerable insights into effective practices, however</w:t>
      </w:r>
      <w:r w:rsidR="00792503" w:rsidRPr="00515DC8">
        <w:rPr>
          <w:lang w:val="en-GB"/>
        </w:rPr>
        <w:t>,</w:t>
      </w:r>
      <w:r w:rsidR="00FF7D70" w:rsidRPr="00515DC8">
        <w:rPr>
          <w:lang w:val="en-GB"/>
        </w:rPr>
        <w:t xml:space="preserve"> few studies</w:t>
      </w:r>
      <w:r w:rsidR="00CE03F4" w:rsidRPr="00515DC8">
        <w:rPr>
          <w:lang w:val="en-GB"/>
        </w:rPr>
        <w:t xml:space="preserve"> excepting Finlay and Brown McNair (2013)</w:t>
      </w:r>
      <w:r w:rsidR="00FF7D70" w:rsidRPr="00515DC8">
        <w:rPr>
          <w:lang w:val="en-GB"/>
        </w:rPr>
        <w:t xml:space="preserve"> have examined whether all students benefit from good practices in similar ways (Seifert et al., 2014). This is especially important given that students with certain characteristics (e.g., lower socio-economic groups; first generation HE students; </w:t>
      </w:r>
      <w:r w:rsidR="00BB3336" w:rsidRPr="00515DC8">
        <w:rPr>
          <w:rStyle w:val="st1"/>
          <w:lang w:val="en-GB"/>
        </w:rPr>
        <w:t>black and minority ethnic;</w:t>
      </w:r>
      <w:r w:rsidR="00FF7D70" w:rsidRPr="00515DC8">
        <w:rPr>
          <w:rStyle w:val="st1"/>
          <w:lang w:val="en-GB"/>
        </w:rPr>
        <w:t xml:space="preserve"> disability etc.) have consistently lower attainment and progression outcomes (Mountford Zimdars et al., 2015). </w:t>
      </w:r>
    </w:p>
    <w:p w14:paraId="23F00E37" w14:textId="77777777" w:rsidR="00515896" w:rsidRPr="00515DC8" w:rsidRDefault="00515896" w:rsidP="001B74D8">
      <w:pPr>
        <w:tabs>
          <w:tab w:val="left" w:pos="2778"/>
        </w:tabs>
        <w:spacing w:line="480" w:lineRule="auto"/>
        <w:rPr>
          <w:lang w:val="en-GB"/>
        </w:rPr>
      </w:pPr>
    </w:p>
    <w:p w14:paraId="54A5689A" w14:textId="727FD329" w:rsidR="00FF7D70" w:rsidRDefault="00792503" w:rsidP="001B74D8">
      <w:pPr>
        <w:tabs>
          <w:tab w:val="left" w:pos="2778"/>
        </w:tabs>
        <w:spacing w:line="480" w:lineRule="auto"/>
        <w:rPr>
          <w:lang w:val="en-GB"/>
        </w:rPr>
      </w:pPr>
      <w:r w:rsidRPr="00515DC8">
        <w:rPr>
          <w:lang w:val="en-GB"/>
        </w:rPr>
        <w:t>High-</w:t>
      </w:r>
      <w:r w:rsidR="00C623DD" w:rsidRPr="00515DC8">
        <w:rPr>
          <w:lang w:val="en-GB"/>
        </w:rPr>
        <w:t>quality implementation research is</w:t>
      </w:r>
      <w:r w:rsidR="0039166F" w:rsidRPr="00515DC8">
        <w:rPr>
          <w:lang w:val="en-GB"/>
        </w:rPr>
        <w:t xml:space="preserve"> </w:t>
      </w:r>
      <w:r w:rsidR="007E135C" w:rsidRPr="00515DC8">
        <w:rPr>
          <w:lang w:val="en-GB"/>
        </w:rPr>
        <w:t>required</w:t>
      </w:r>
      <w:r w:rsidR="00C623DD" w:rsidRPr="00515DC8">
        <w:rPr>
          <w:lang w:val="en-GB"/>
        </w:rPr>
        <w:t xml:space="preserve"> on teaching quality and learning ga</w:t>
      </w:r>
      <w:r w:rsidR="00FF7D70" w:rsidRPr="00515DC8">
        <w:rPr>
          <w:lang w:val="en-GB"/>
        </w:rPr>
        <w:t>in</w:t>
      </w:r>
      <w:r w:rsidRPr="00515DC8">
        <w:rPr>
          <w:lang w:val="en-GB"/>
        </w:rPr>
        <w:t>,</w:t>
      </w:r>
      <w:r w:rsidR="00FF7D70" w:rsidRPr="00515DC8">
        <w:rPr>
          <w:lang w:val="en-GB"/>
        </w:rPr>
        <w:t xml:space="preserve"> especially in the UK context. T</w:t>
      </w:r>
      <w:r w:rsidR="00C623DD" w:rsidRPr="00515DC8">
        <w:rPr>
          <w:lang w:val="en-GB"/>
        </w:rPr>
        <w:t>he HEFCE</w:t>
      </w:r>
      <w:r w:rsidR="00AA1AFC" w:rsidRPr="00515DC8">
        <w:rPr>
          <w:lang w:val="en-GB"/>
        </w:rPr>
        <w:t>/OfS</w:t>
      </w:r>
      <w:r w:rsidR="00C623DD" w:rsidRPr="00515DC8">
        <w:rPr>
          <w:lang w:val="en-GB"/>
        </w:rPr>
        <w:t xml:space="preserve"> </w:t>
      </w:r>
      <w:r w:rsidR="00C623DD" w:rsidRPr="00515DC8">
        <w:rPr>
          <w:shd w:val="clear" w:color="auto" w:fill="FFFFFF" w:themeFill="background1"/>
          <w:lang w:val="en-GB"/>
        </w:rPr>
        <w:t>learning gain</w:t>
      </w:r>
      <w:r w:rsidR="00EF6571" w:rsidRPr="00515DC8">
        <w:rPr>
          <w:shd w:val="clear" w:color="auto" w:fill="FFFFFF" w:themeFill="background1"/>
          <w:lang w:val="en-GB"/>
        </w:rPr>
        <w:t xml:space="preserve"> </w:t>
      </w:r>
      <w:r w:rsidR="00FF7D70" w:rsidRPr="00515DC8">
        <w:rPr>
          <w:shd w:val="clear" w:color="auto" w:fill="FFFFFF" w:themeFill="background1"/>
          <w:lang w:val="en-GB"/>
        </w:rPr>
        <w:t xml:space="preserve">projects </w:t>
      </w:r>
      <w:r w:rsidR="00C623DD" w:rsidRPr="00515DC8">
        <w:rPr>
          <w:shd w:val="clear" w:color="auto" w:fill="FFFFFF" w:themeFill="background1"/>
          <w:lang w:val="en-GB"/>
        </w:rPr>
        <w:t>make a</w:t>
      </w:r>
      <w:r w:rsidR="00C623DD" w:rsidRPr="00515DC8">
        <w:rPr>
          <w:lang w:val="en-GB"/>
        </w:rPr>
        <w:t xml:space="preserve"> valuable contribution to this endeavour</w:t>
      </w:r>
      <w:r w:rsidR="005B0D9A" w:rsidRPr="00515DC8">
        <w:rPr>
          <w:lang w:val="en-GB"/>
        </w:rPr>
        <w:t xml:space="preserve">, but more is required, </w:t>
      </w:r>
      <w:r w:rsidR="00D44EC6" w:rsidRPr="00515DC8">
        <w:rPr>
          <w:lang w:val="en-GB"/>
        </w:rPr>
        <w:t>with greater sophistication and rigour</w:t>
      </w:r>
      <w:r w:rsidR="005B0D9A" w:rsidRPr="00515DC8">
        <w:rPr>
          <w:lang w:val="en-GB"/>
        </w:rPr>
        <w:t xml:space="preserve"> </w:t>
      </w:r>
      <w:r w:rsidR="00D44EC6" w:rsidRPr="00515DC8">
        <w:rPr>
          <w:lang w:val="en-GB"/>
        </w:rPr>
        <w:t xml:space="preserve">in </w:t>
      </w:r>
      <w:r w:rsidR="005B0D9A" w:rsidRPr="00515DC8">
        <w:rPr>
          <w:lang w:val="en-GB"/>
        </w:rPr>
        <w:t>research designs as a starting point</w:t>
      </w:r>
      <w:r w:rsidR="00FC21EF" w:rsidRPr="00515DC8">
        <w:rPr>
          <w:lang w:val="en-GB"/>
        </w:rPr>
        <w:t xml:space="preserve">. </w:t>
      </w:r>
      <w:r w:rsidR="00C56D05" w:rsidRPr="00515DC8">
        <w:rPr>
          <w:lang w:val="en-GB"/>
        </w:rPr>
        <w:t>The extent to which HEIs collect and use empirical evidence well to inform policy, practice and pedagogy has been noted (Seifert et al., 2014). To avoid ‘</w:t>
      </w:r>
      <w:r w:rsidR="00C56D05" w:rsidRPr="00515DC8">
        <w:rPr>
          <w:i/>
          <w:lang w:val="en-GB"/>
        </w:rPr>
        <w:t xml:space="preserve">garbage in and garbage out’ </w:t>
      </w:r>
      <w:r w:rsidR="00C56D05" w:rsidRPr="00515DC8">
        <w:rPr>
          <w:lang w:val="en-GB"/>
        </w:rPr>
        <w:t>rigorous research design and reporting is essential (see Table 1).</w:t>
      </w:r>
      <w:r w:rsidRPr="00515DC8">
        <w:rPr>
          <w:lang w:val="en-GB"/>
        </w:rPr>
        <w:t xml:space="preserve"> </w:t>
      </w:r>
      <w:r w:rsidR="00C56D05" w:rsidRPr="00515DC8">
        <w:rPr>
          <w:lang w:val="en-GB"/>
        </w:rPr>
        <w:t xml:space="preserve"> Moving</w:t>
      </w:r>
      <w:r w:rsidR="00A849C1" w:rsidRPr="00515DC8">
        <w:rPr>
          <w:lang w:val="en-GB"/>
        </w:rPr>
        <w:t xml:space="preserve"> from ‘islands of innovation’ to a focus on engaged learning practices (Kuh, </w:t>
      </w:r>
      <w:r w:rsidR="00801C2F" w:rsidRPr="00515DC8">
        <w:rPr>
          <w:lang w:val="en-GB"/>
        </w:rPr>
        <w:t xml:space="preserve">et al., </w:t>
      </w:r>
      <w:r w:rsidR="00A849C1" w:rsidRPr="00515DC8">
        <w:rPr>
          <w:lang w:val="en-GB"/>
        </w:rPr>
        <w:t>2017)</w:t>
      </w:r>
      <w:r w:rsidR="00C56D05" w:rsidRPr="00515DC8">
        <w:rPr>
          <w:lang w:val="en-GB"/>
        </w:rPr>
        <w:t xml:space="preserve"> through enhanced collaboration within and across HEIs is essential if we are to pool the wealth of information available to enhance understanding of learning gain. </w:t>
      </w:r>
      <w:r w:rsidR="00A849C1" w:rsidRPr="00515DC8">
        <w:rPr>
          <w:lang w:val="en-GB"/>
        </w:rPr>
        <w:t xml:space="preserve"> HEI machinery needs to be </w:t>
      </w:r>
      <w:r w:rsidRPr="00515DC8">
        <w:rPr>
          <w:lang w:val="en-GB"/>
        </w:rPr>
        <w:t>agiler</w:t>
      </w:r>
      <w:r w:rsidR="00A849C1" w:rsidRPr="00515DC8">
        <w:rPr>
          <w:lang w:val="en-GB"/>
        </w:rPr>
        <w:t xml:space="preserve"> in </w:t>
      </w:r>
      <w:r w:rsidR="00C56D05" w:rsidRPr="00515DC8">
        <w:rPr>
          <w:lang w:val="en-GB"/>
        </w:rPr>
        <w:t>facilitating</w:t>
      </w:r>
      <w:r w:rsidR="00A849C1" w:rsidRPr="00515DC8">
        <w:rPr>
          <w:lang w:val="en-GB"/>
        </w:rPr>
        <w:t xml:space="preserve"> more effective collaborations across institutions </w:t>
      </w:r>
      <w:r w:rsidR="00C56D05" w:rsidRPr="00515DC8">
        <w:rPr>
          <w:lang w:val="en-GB"/>
        </w:rPr>
        <w:t xml:space="preserve">(see </w:t>
      </w:r>
      <w:r w:rsidR="00A849C1" w:rsidRPr="00515DC8">
        <w:rPr>
          <w:lang w:val="en-GB"/>
        </w:rPr>
        <w:t>HEFCE</w:t>
      </w:r>
      <w:r w:rsidR="00933B17" w:rsidRPr="00515DC8">
        <w:rPr>
          <w:lang w:val="en-GB"/>
        </w:rPr>
        <w:t xml:space="preserve"> </w:t>
      </w:r>
      <w:r w:rsidR="00C67EE4" w:rsidRPr="00515DC8">
        <w:rPr>
          <w:lang w:val="en-GB"/>
        </w:rPr>
        <w:t>2017b</w:t>
      </w:r>
      <w:r w:rsidR="00AA1AFC" w:rsidRPr="00515DC8">
        <w:rPr>
          <w:lang w:val="en-GB"/>
        </w:rPr>
        <w:t>/OfS</w:t>
      </w:r>
      <w:r w:rsidR="00933B17" w:rsidRPr="00515DC8">
        <w:rPr>
          <w:lang w:val="en-GB"/>
        </w:rPr>
        <w:t xml:space="preserve"> 2018b</w:t>
      </w:r>
      <w:r w:rsidR="00A849C1" w:rsidRPr="00515DC8">
        <w:rPr>
          <w:lang w:val="en-GB"/>
        </w:rPr>
        <w:t xml:space="preserve"> learning gain and </w:t>
      </w:r>
      <w:r w:rsidR="00C56D05" w:rsidRPr="00515DC8">
        <w:rPr>
          <w:lang w:val="en-GB"/>
        </w:rPr>
        <w:t>addressing barriers to student success projects within</w:t>
      </w:r>
      <w:r w:rsidR="00A849C1" w:rsidRPr="00515DC8">
        <w:rPr>
          <w:lang w:val="en-GB"/>
        </w:rPr>
        <w:t xml:space="preserve"> in the UK</w:t>
      </w:r>
      <w:r w:rsidR="00933B17" w:rsidRPr="00515DC8">
        <w:rPr>
          <w:lang w:val="en-GB"/>
        </w:rPr>
        <w:t>)</w:t>
      </w:r>
      <w:r w:rsidR="00802E08" w:rsidRPr="00515DC8">
        <w:rPr>
          <w:lang w:val="en-GB"/>
        </w:rPr>
        <w:t>;</w:t>
      </w:r>
      <w:r w:rsidR="00C56D05" w:rsidRPr="00515DC8">
        <w:rPr>
          <w:lang w:val="en-GB"/>
        </w:rPr>
        <w:t xml:space="preserve"> however</w:t>
      </w:r>
      <w:r w:rsidR="008C1C4F" w:rsidRPr="00515DC8">
        <w:rPr>
          <w:lang w:val="en-GB"/>
        </w:rPr>
        <w:t>,</w:t>
      </w:r>
      <w:r w:rsidR="00C56D05" w:rsidRPr="00515DC8">
        <w:rPr>
          <w:lang w:val="en-GB"/>
        </w:rPr>
        <w:t xml:space="preserve"> accountability and competition work against transparency in the sector. </w:t>
      </w:r>
    </w:p>
    <w:p w14:paraId="4B5E1AF0" w14:textId="77777777" w:rsidR="00515896" w:rsidRPr="00515DC8" w:rsidRDefault="00515896" w:rsidP="001B74D8">
      <w:pPr>
        <w:tabs>
          <w:tab w:val="left" w:pos="2778"/>
        </w:tabs>
        <w:spacing w:line="480" w:lineRule="auto"/>
        <w:rPr>
          <w:lang w:val="en-GB"/>
        </w:rPr>
      </w:pPr>
    </w:p>
    <w:p w14:paraId="6F4A5636" w14:textId="5294A857" w:rsidR="00274A1F" w:rsidRDefault="00FF7D70" w:rsidP="001B74D8">
      <w:pPr>
        <w:tabs>
          <w:tab w:val="left" w:pos="2778"/>
        </w:tabs>
        <w:spacing w:line="480" w:lineRule="auto"/>
        <w:rPr>
          <w:lang w:val="en-GB"/>
        </w:rPr>
      </w:pPr>
      <w:r w:rsidRPr="00515DC8">
        <w:rPr>
          <w:lang w:val="en-GB"/>
        </w:rPr>
        <w:t>Investing in the development of the</w:t>
      </w:r>
      <w:r w:rsidR="0065151C" w:rsidRPr="00515DC8">
        <w:rPr>
          <w:lang w:val="en-GB"/>
        </w:rPr>
        <w:t xml:space="preserve"> pedagogical </w:t>
      </w:r>
      <w:r w:rsidR="00274A1F" w:rsidRPr="00515DC8">
        <w:rPr>
          <w:lang w:val="en-GB"/>
        </w:rPr>
        <w:t xml:space="preserve">research literacy </w:t>
      </w:r>
      <w:r w:rsidR="0065151C" w:rsidRPr="00515DC8">
        <w:rPr>
          <w:lang w:val="en-GB"/>
        </w:rPr>
        <w:t xml:space="preserve">of </w:t>
      </w:r>
      <w:r w:rsidR="00792503" w:rsidRPr="00515DC8">
        <w:rPr>
          <w:lang w:val="en-GB"/>
        </w:rPr>
        <w:t>teams is essential</w:t>
      </w:r>
      <w:r w:rsidR="00274A1F" w:rsidRPr="00515DC8">
        <w:rPr>
          <w:lang w:val="en-GB"/>
        </w:rPr>
        <w:t xml:space="preserve"> </w:t>
      </w:r>
      <w:r w:rsidRPr="00515DC8">
        <w:rPr>
          <w:lang w:val="en-GB"/>
        </w:rPr>
        <w:t>in promoting</w:t>
      </w:r>
      <w:r w:rsidR="0039166F" w:rsidRPr="00515DC8">
        <w:rPr>
          <w:lang w:val="en-GB"/>
        </w:rPr>
        <w:t xml:space="preserve"> meaningful approaches to learning gain</w:t>
      </w:r>
      <w:r w:rsidRPr="00515DC8">
        <w:rPr>
          <w:lang w:val="en-GB"/>
        </w:rPr>
        <w:t xml:space="preserve">. </w:t>
      </w:r>
      <w:r w:rsidR="00274A1F" w:rsidRPr="00515DC8">
        <w:rPr>
          <w:lang w:val="en-GB"/>
        </w:rPr>
        <w:t xml:space="preserve">Greater efficiency in the mining and interpretation of data for pedagogical enhancement within institutions is a must. Researchers also need to </w:t>
      </w:r>
      <w:r w:rsidR="0065151C" w:rsidRPr="00515DC8">
        <w:rPr>
          <w:lang w:val="en-GB"/>
        </w:rPr>
        <w:t xml:space="preserve">be </w:t>
      </w:r>
      <w:r w:rsidR="00274A1F" w:rsidRPr="00515DC8">
        <w:rPr>
          <w:lang w:val="en-GB"/>
        </w:rPr>
        <w:t>equipped with a new set of fundamental competenc</w:t>
      </w:r>
      <w:r w:rsidR="00792503" w:rsidRPr="00515DC8">
        <w:rPr>
          <w:lang w:val="en-GB"/>
        </w:rPr>
        <w:t>ies</w:t>
      </w:r>
      <w:r w:rsidR="00274A1F" w:rsidRPr="00515DC8">
        <w:rPr>
          <w:lang w:val="en-GB"/>
        </w:rPr>
        <w:t xml:space="preserve"> in order to manage big data, use technology to personalise provision, develop interdisciplinary learning and teaching approaches cognisant of cognitive, behavioural, social, and emotional perspectives on learning (Ifenthaler, 2017).  </w:t>
      </w:r>
    </w:p>
    <w:p w14:paraId="743C438C" w14:textId="77777777" w:rsidR="00515896" w:rsidRPr="00515DC8" w:rsidRDefault="00515896" w:rsidP="001B74D8">
      <w:pPr>
        <w:tabs>
          <w:tab w:val="left" w:pos="2778"/>
        </w:tabs>
        <w:spacing w:line="480" w:lineRule="auto"/>
        <w:rPr>
          <w:lang w:val="en-GB"/>
        </w:rPr>
      </w:pPr>
    </w:p>
    <w:p w14:paraId="4863EA45" w14:textId="782F5451" w:rsidR="0039166F" w:rsidRDefault="00FF7D70" w:rsidP="001B74D8">
      <w:pPr>
        <w:tabs>
          <w:tab w:val="left" w:pos="3258"/>
        </w:tabs>
        <w:spacing w:line="480" w:lineRule="auto"/>
        <w:rPr>
          <w:lang w:val="en-GB"/>
        </w:rPr>
      </w:pPr>
      <w:r w:rsidRPr="00515DC8">
        <w:rPr>
          <w:lang w:val="en-GB"/>
        </w:rPr>
        <w:t>In sum, w</w:t>
      </w:r>
      <w:r w:rsidR="0039166F" w:rsidRPr="00515DC8">
        <w:rPr>
          <w:lang w:val="en-GB"/>
        </w:rPr>
        <w:t xml:space="preserve">e need to ensure that learning gain initiatives do not detract us from the essential purposes of HE to support students’ </w:t>
      </w:r>
      <w:r w:rsidR="00BB3336" w:rsidRPr="00515DC8">
        <w:rPr>
          <w:lang w:val="en-GB"/>
        </w:rPr>
        <w:t xml:space="preserve">self-regulation and associated </w:t>
      </w:r>
      <w:r w:rsidR="0039166F" w:rsidRPr="00515DC8">
        <w:rPr>
          <w:lang w:val="en-GB"/>
        </w:rPr>
        <w:t>independence in learning</w:t>
      </w:r>
      <w:r w:rsidR="00BB3336" w:rsidRPr="00515DC8">
        <w:rPr>
          <w:lang w:val="en-GB"/>
        </w:rPr>
        <w:t xml:space="preserve">, and thirst for life-long learning. </w:t>
      </w:r>
      <w:r w:rsidR="0039166F" w:rsidRPr="00515DC8">
        <w:rPr>
          <w:lang w:val="en-GB"/>
        </w:rPr>
        <w:t>Learning gain initiatives need to be judicious and ethical regarding</w:t>
      </w:r>
      <w:r w:rsidR="00792503" w:rsidRPr="00515DC8">
        <w:rPr>
          <w:lang w:val="en-GB"/>
        </w:rPr>
        <w:t xml:space="preserve"> the</w:t>
      </w:r>
      <w:r w:rsidR="0039166F" w:rsidRPr="00515DC8">
        <w:rPr>
          <w:lang w:val="en-GB"/>
        </w:rPr>
        <w:t xml:space="preserve"> use of data, best use of resources, methodologies employed, and inferences that can be reasonably made from such research. Students need to be clear about how their data is being used and ideally should be actively involved in reviewing data with academics as co-researchers. Investment in training for staff and students in the use and application of data is vital. Learning gain approaches should be integral to curriculum design and delivery and not extraneous to it. Greater focus is needed on process rather than product if we are to have a better understanding of the impact of higher education on students’ learning</w:t>
      </w:r>
      <w:r w:rsidR="000F523C" w:rsidRPr="00515DC8">
        <w:rPr>
          <w:lang w:val="en-GB"/>
        </w:rPr>
        <w:t>,</w:t>
      </w:r>
      <w:r w:rsidR="0039166F" w:rsidRPr="00515DC8">
        <w:rPr>
          <w:lang w:val="en-GB"/>
        </w:rPr>
        <w:t xml:space="preserve"> with more emphasis on early estimations of student progress to enable students and academics to use data most effectively. Enhancing shared understandings of concepts, measures and instruments, transparency in reporting, and investment in developing pedagogical research literacy are all essential in supporting collaborative efforts in the pursuit of meaningful approaches to measuring learning gain within higher education. </w:t>
      </w:r>
      <w:r w:rsidR="00801C2F" w:rsidRPr="00515DC8">
        <w:rPr>
          <w:lang w:val="en-GB"/>
        </w:rPr>
        <w:t xml:space="preserve"> It is hoped that HE reforms</w:t>
      </w:r>
      <w:r w:rsidR="00C67EE4" w:rsidRPr="00515DC8">
        <w:rPr>
          <w:lang w:val="en-GB"/>
        </w:rPr>
        <w:t xml:space="preserve"> (OfS, 2017</w:t>
      </w:r>
      <w:r w:rsidR="00BE7741">
        <w:rPr>
          <w:lang w:val="en-GB"/>
        </w:rPr>
        <w:t>; REF 2018/02</w:t>
      </w:r>
      <w:r w:rsidR="00C67EE4" w:rsidRPr="00515DC8">
        <w:rPr>
          <w:lang w:val="en-GB"/>
        </w:rPr>
        <w:t xml:space="preserve">) </w:t>
      </w:r>
      <w:r w:rsidR="00801C2F" w:rsidRPr="00515DC8">
        <w:rPr>
          <w:lang w:val="en-GB"/>
        </w:rPr>
        <w:t xml:space="preserve">that </w:t>
      </w:r>
      <w:r w:rsidR="00535FA5" w:rsidRPr="00515DC8">
        <w:rPr>
          <w:lang w:val="en-GB"/>
        </w:rPr>
        <w:t xml:space="preserve">promote the value of impacts on teaching within/across disciplines and institutions as an important component of research </w:t>
      </w:r>
      <w:r w:rsidR="00801C2F" w:rsidRPr="00515DC8">
        <w:rPr>
          <w:lang w:val="en-GB"/>
        </w:rPr>
        <w:t xml:space="preserve">outputs </w:t>
      </w:r>
      <w:r w:rsidR="00535FA5" w:rsidRPr="00515DC8">
        <w:rPr>
          <w:lang w:val="en-GB"/>
        </w:rPr>
        <w:t xml:space="preserve">will lead to greater interest in evaluating effective educational </w:t>
      </w:r>
      <w:r w:rsidR="005A0260" w:rsidRPr="00515DC8">
        <w:rPr>
          <w:lang w:val="en-GB"/>
        </w:rPr>
        <w:t xml:space="preserve">practices. </w:t>
      </w:r>
    </w:p>
    <w:p w14:paraId="46F8544F" w14:textId="77777777" w:rsidR="00515896" w:rsidRPr="00515DC8" w:rsidRDefault="00515896" w:rsidP="001B74D8">
      <w:pPr>
        <w:tabs>
          <w:tab w:val="left" w:pos="3258"/>
        </w:tabs>
        <w:spacing w:line="480" w:lineRule="auto"/>
        <w:rPr>
          <w:vertAlign w:val="superscript"/>
          <w:lang w:val="en-GB"/>
        </w:rPr>
      </w:pPr>
    </w:p>
    <w:p w14:paraId="2F48F8A8" w14:textId="0029011F" w:rsidR="00375062" w:rsidRPr="00515DC8" w:rsidRDefault="00AB6683" w:rsidP="001B74D8">
      <w:pPr>
        <w:tabs>
          <w:tab w:val="left" w:pos="3258"/>
        </w:tabs>
        <w:spacing w:line="480" w:lineRule="auto"/>
        <w:rPr>
          <w:lang w:val="en-GB"/>
        </w:rPr>
      </w:pPr>
      <w:r w:rsidRPr="00515DC8">
        <w:rPr>
          <w:lang w:val="en-GB"/>
        </w:rPr>
        <w:t>If, as a sector, we can achieve all this, only then we will have at our disposal measures of learning gain that are truly fit for purpose.</w:t>
      </w:r>
      <w:r w:rsidR="00FF7D70" w:rsidRPr="00515DC8">
        <w:rPr>
          <w:lang w:val="en-GB"/>
        </w:rPr>
        <w:t xml:space="preserve"> In acknowledging that learning gain is a messy business, we need to be clear about what is ‘good enough’ through marrying the best we can from research design and effective pedagogies with what is feasible and sustainable in specific contexts. </w:t>
      </w:r>
    </w:p>
    <w:p w14:paraId="33CDFD88" w14:textId="77777777" w:rsidR="00AF11FC" w:rsidRPr="00515DC8" w:rsidRDefault="00AF11FC" w:rsidP="001B74D8">
      <w:pPr>
        <w:tabs>
          <w:tab w:val="left" w:pos="3258"/>
        </w:tabs>
        <w:spacing w:line="480" w:lineRule="auto"/>
        <w:rPr>
          <w:b/>
          <w:lang w:val="en-GB"/>
        </w:rPr>
      </w:pPr>
    </w:p>
    <w:p w14:paraId="54AD9A8D" w14:textId="230F020B" w:rsidR="00F70A47" w:rsidRPr="00515DC8" w:rsidRDefault="00375062" w:rsidP="00404D06">
      <w:pPr>
        <w:tabs>
          <w:tab w:val="left" w:pos="3258"/>
        </w:tabs>
        <w:spacing w:line="480" w:lineRule="auto"/>
        <w:outlineLvl w:val="0"/>
        <w:rPr>
          <w:b/>
          <w:lang w:val="en-GB"/>
        </w:rPr>
      </w:pPr>
      <w:r w:rsidRPr="00515DC8">
        <w:rPr>
          <w:b/>
          <w:lang w:val="en-GB"/>
        </w:rPr>
        <w:t>Acknowledgments</w:t>
      </w:r>
    </w:p>
    <w:p w14:paraId="72467338" w14:textId="0A128339" w:rsidR="00ED262A" w:rsidRPr="00194DB6" w:rsidRDefault="00F70A47" w:rsidP="00194DB6">
      <w:pPr>
        <w:tabs>
          <w:tab w:val="left" w:pos="3258"/>
        </w:tabs>
        <w:spacing w:line="480" w:lineRule="auto"/>
        <w:rPr>
          <w:lang w:val="en-GB"/>
        </w:rPr>
      </w:pPr>
      <w:r w:rsidRPr="00515DC8">
        <w:rPr>
          <w:lang w:val="en-GB"/>
        </w:rPr>
        <w:t xml:space="preserve">We would like to sincerely thank Corony Edwards for her insights, guidance, and full support in enabling us to develop this article. </w:t>
      </w:r>
      <w:r w:rsidR="00ED262A" w:rsidRPr="00515DC8">
        <w:rPr>
          <w:b/>
          <w:lang w:val="en-GB"/>
        </w:rPr>
        <w:br w:type="page"/>
      </w:r>
    </w:p>
    <w:p w14:paraId="550B5606" w14:textId="77777777" w:rsidR="00C67EE4" w:rsidRPr="00515DC8" w:rsidRDefault="00C67EE4" w:rsidP="00404D06">
      <w:pPr>
        <w:spacing w:line="480" w:lineRule="auto"/>
        <w:ind w:left="426" w:hanging="426"/>
        <w:outlineLvl w:val="0"/>
        <w:rPr>
          <w:b/>
          <w:lang w:val="en-GB"/>
        </w:rPr>
      </w:pPr>
      <w:r w:rsidRPr="00515DC8">
        <w:rPr>
          <w:b/>
          <w:lang w:val="en-GB"/>
        </w:rPr>
        <w:t>References</w:t>
      </w:r>
    </w:p>
    <w:p w14:paraId="2EF0060A" w14:textId="365A91F3" w:rsidR="00C67EE4" w:rsidRPr="00515DC8" w:rsidRDefault="00C67EE4" w:rsidP="00C67EE4">
      <w:pPr>
        <w:spacing w:line="480" w:lineRule="auto"/>
        <w:ind w:left="426" w:hanging="426"/>
        <w:rPr>
          <w:lang w:val="en-GB"/>
        </w:rPr>
      </w:pPr>
      <w:r w:rsidRPr="00515DC8">
        <w:rPr>
          <w:lang w:val="en-GB"/>
        </w:rPr>
        <w:t xml:space="preserve">Academy of Management Learning </w:t>
      </w:r>
      <w:r w:rsidR="00BB3336" w:rsidRPr="00515DC8">
        <w:rPr>
          <w:lang w:val="en-GB"/>
        </w:rPr>
        <w:t xml:space="preserve">and </w:t>
      </w:r>
      <w:r w:rsidRPr="00515DC8">
        <w:rPr>
          <w:lang w:val="en-GB"/>
        </w:rPr>
        <w:t xml:space="preserve">Education (AMLE) (2017). Editorial: Establishing methodological rigor in quantitative management learning and education research: The </w:t>
      </w:r>
      <w:r w:rsidR="00BB3336" w:rsidRPr="00515DC8">
        <w:rPr>
          <w:lang w:val="en-GB"/>
        </w:rPr>
        <w:t>r</w:t>
      </w:r>
      <w:r w:rsidRPr="00515DC8">
        <w:rPr>
          <w:lang w:val="en-GB"/>
        </w:rPr>
        <w:t>ole of design, statistical methods</w:t>
      </w:r>
      <w:r w:rsidR="00BB3336" w:rsidRPr="00515DC8">
        <w:rPr>
          <w:lang w:val="en-GB"/>
        </w:rPr>
        <w:t>,</w:t>
      </w:r>
      <w:r w:rsidRPr="00515DC8">
        <w:rPr>
          <w:lang w:val="en-GB"/>
        </w:rPr>
        <w:t xml:space="preserve"> and reporting standards. </w:t>
      </w:r>
      <w:r w:rsidRPr="00515DC8">
        <w:rPr>
          <w:i/>
          <w:lang w:val="en-GB"/>
        </w:rPr>
        <w:t>Academy of Management Learning &amp; Education</w:t>
      </w:r>
      <w:r w:rsidRPr="00515DC8">
        <w:rPr>
          <w:lang w:val="en-GB"/>
        </w:rPr>
        <w:t xml:space="preserve">, 16(2), 173–192. </w:t>
      </w:r>
      <w:hyperlink r:id="rId12" w:history="1">
        <w:r w:rsidRPr="00515DC8">
          <w:rPr>
            <w:rStyle w:val="Hyperlink"/>
            <w:color w:val="auto"/>
            <w:lang w:val="en-GB"/>
          </w:rPr>
          <w:t>https://doi.org/10.5465/amle.2017.0079</w:t>
        </w:r>
      </w:hyperlink>
      <w:r w:rsidRPr="00515DC8">
        <w:rPr>
          <w:lang w:val="en-GB"/>
        </w:rPr>
        <w:t xml:space="preserve"> </w:t>
      </w:r>
    </w:p>
    <w:p w14:paraId="492469A6" w14:textId="77777777" w:rsidR="00C67EE4" w:rsidRPr="00515DC8" w:rsidRDefault="00C67EE4" w:rsidP="00C67EE4">
      <w:pPr>
        <w:spacing w:line="480" w:lineRule="auto"/>
        <w:ind w:left="426" w:hanging="426"/>
        <w:rPr>
          <w:lang w:val="en-GB"/>
        </w:rPr>
      </w:pPr>
      <w:r w:rsidRPr="00515DC8">
        <w:rPr>
          <w:lang w:val="en-GB"/>
        </w:rPr>
        <w:t xml:space="preserve">Advance HE. (2018). Grade point average. Retrieved from </w:t>
      </w:r>
      <w:hyperlink r:id="rId13" w:history="1">
        <w:r w:rsidRPr="00515DC8">
          <w:rPr>
            <w:rStyle w:val="Hyperlink"/>
            <w:lang w:val="en-GB"/>
          </w:rPr>
          <w:t>https://www.heacademy.ac.uk/individuals/student-success/assessment/grade-point-average#</w:t>
        </w:r>
      </w:hyperlink>
    </w:p>
    <w:p w14:paraId="14F5F21B" w14:textId="77777777" w:rsidR="00C67EE4" w:rsidRPr="00515DC8" w:rsidRDefault="00C67EE4" w:rsidP="00C67EE4">
      <w:pPr>
        <w:spacing w:line="480" w:lineRule="auto"/>
        <w:ind w:left="426" w:hanging="426"/>
        <w:rPr>
          <w:lang w:val="en-GB"/>
        </w:rPr>
      </w:pPr>
      <w:r w:rsidRPr="00515DC8">
        <w:rPr>
          <w:color w:val="000000" w:themeColor="text1"/>
          <w:lang w:val="en-GB"/>
        </w:rPr>
        <w:t xml:space="preserve">AEN (2018). Batchelor degree completion rates. </w:t>
      </w:r>
      <w:hyperlink r:id="rId14" w:history="1">
        <w:r w:rsidRPr="00515DC8">
          <w:rPr>
            <w:rStyle w:val="Hyperlink"/>
            <w:lang w:val="en-GB"/>
          </w:rPr>
          <w:t>http://www.universityrankings.com.au/degree-completion-rates.html</w:t>
        </w:r>
      </w:hyperlink>
      <w:r w:rsidRPr="00515DC8">
        <w:rPr>
          <w:lang w:val="en-GB"/>
        </w:rPr>
        <w:tab/>
      </w:r>
    </w:p>
    <w:p w14:paraId="3A559F65" w14:textId="202AE48E" w:rsidR="00C67EE4" w:rsidRPr="00515DC8" w:rsidRDefault="00C67EE4" w:rsidP="00C67EE4">
      <w:pPr>
        <w:spacing w:line="480" w:lineRule="auto"/>
        <w:ind w:left="426" w:hanging="426"/>
        <w:rPr>
          <w:lang w:val="en-GB"/>
        </w:rPr>
      </w:pPr>
      <w:r w:rsidRPr="00515DC8">
        <w:rPr>
          <w:lang w:val="en-GB"/>
        </w:rPr>
        <w:t xml:space="preserve">APA (2008). Reporting standards for research in psychology: why do we need them? </w:t>
      </w:r>
      <w:r w:rsidR="000F6D89" w:rsidRPr="00515DC8">
        <w:rPr>
          <w:lang w:val="en-GB"/>
        </w:rPr>
        <w:t>What</w:t>
      </w:r>
      <w:r w:rsidRPr="00515DC8">
        <w:rPr>
          <w:lang w:val="en-GB"/>
        </w:rPr>
        <w:t xml:space="preserve"> might they be? </w:t>
      </w:r>
      <w:r w:rsidRPr="00515DC8">
        <w:rPr>
          <w:i/>
          <w:iCs/>
          <w:lang w:val="en-GB"/>
        </w:rPr>
        <w:t>American Psychologist</w:t>
      </w:r>
      <w:r w:rsidRPr="00515DC8">
        <w:rPr>
          <w:lang w:val="en-GB"/>
        </w:rPr>
        <w:t>, </w:t>
      </w:r>
      <w:r w:rsidRPr="00515DC8">
        <w:rPr>
          <w:i/>
          <w:iCs/>
          <w:lang w:val="en-GB"/>
        </w:rPr>
        <w:t>63</w:t>
      </w:r>
      <w:r w:rsidRPr="00515DC8">
        <w:rPr>
          <w:lang w:val="en-GB"/>
        </w:rPr>
        <w:t>(9), 839-851.</w:t>
      </w:r>
    </w:p>
    <w:p w14:paraId="01D0B844" w14:textId="05463CED" w:rsidR="00C67EE4" w:rsidRPr="00515DC8" w:rsidRDefault="00C67EE4" w:rsidP="00C67EE4">
      <w:pPr>
        <w:spacing w:line="480" w:lineRule="auto"/>
        <w:ind w:left="426" w:hanging="426"/>
        <w:rPr>
          <w:rFonts w:eastAsia="Times New Roman"/>
          <w:shd w:val="clear" w:color="auto" w:fill="FFFFFF"/>
          <w:lang w:val="en-GB"/>
        </w:rPr>
      </w:pPr>
      <w:r w:rsidRPr="00515DC8">
        <w:rPr>
          <w:rFonts w:eastAsia="Times New Roman"/>
          <w:shd w:val="clear" w:color="auto" w:fill="FFFFFF"/>
          <w:lang w:val="en-GB"/>
        </w:rPr>
        <w:t>Appelbaum, M, Cooper, H, Kline, R, Mayo-Wilson, E., Nezu, A, &amp; Rao, S. (2018). Journal article reporting standards for quantitative r</w:t>
      </w:r>
      <w:r w:rsidR="00BB3336" w:rsidRPr="00515DC8">
        <w:rPr>
          <w:rFonts w:eastAsia="Times New Roman"/>
          <w:shd w:val="clear" w:color="auto" w:fill="FFFFFF"/>
          <w:lang w:val="en-GB"/>
        </w:rPr>
        <w:t>esearch in psychology: The APA P</w:t>
      </w:r>
      <w:r w:rsidRPr="00515DC8">
        <w:rPr>
          <w:rFonts w:eastAsia="Times New Roman"/>
          <w:shd w:val="clear" w:color="auto" w:fill="FFFFFF"/>
          <w:lang w:val="en-GB"/>
        </w:rPr>
        <w:t>ublications and Communications Board task force report. </w:t>
      </w:r>
      <w:r w:rsidRPr="00515DC8">
        <w:rPr>
          <w:rFonts w:eastAsia="Times New Roman"/>
          <w:i/>
          <w:iCs/>
          <w:shd w:val="clear" w:color="auto" w:fill="FFFFFF"/>
          <w:lang w:val="en-GB"/>
        </w:rPr>
        <w:t>American Psychologist</w:t>
      </w:r>
      <w:r w:rsidRPr="00515DC8">
        <w:rPr>
          <w:rFonts w:eastAsia="Times New Roman"/>
          <w:shd w:val="clear" w:color="auto" w:fill="FFFFFF"/>
          <w:lang w:val="en-GB"/>
        </w:rPr>
        <w:t>, </w:t>
      </w:r>
      <w:r w:rsidRPr="00515DC8">
        <w:rPr>
          <w:rFonts w:eastAsia="Times New Roman"/>
          <w:i/>
          <w:iCs/>
          <w:shd w:val="clear" w:color="auto" w:fill="FFFFFF"/>
          <w:lang w:val="en-GB"/>
        </w:rPr>
        <w:t>73</w:t>
      </w:r>
      <w:r w:rsidRPr="00515DC8">
        <w:rPr>
          <w:rFonts w:eastAsia="Times New Roman"/>
          <w:shd w:val="clear" w:color="auto" w:fill="FFFFFF"/>
          <w:lang w:val="en-GB"/>
        </w:rPr>
        <w:t xml:space="preserve">(1), 3-25. </w:t>
      </w:r>
    </w:p>
    <w:p w14:paraId="3F39C2A0" w14:textId="77777777" w:rsidR="00C67EE4" w:rsidRPr="00515DC8" w:rsidRDefault="00C67EE4" w:rsidP="00C67EE4">
      <w:pPr>
        <w:shd w:val="clear" w:color="auto" w:fill="FFFFFF" w:themeFill="background1"/>
        <w:spacing w:line="480" w:lineRule="auto"/>
        <w:ind w:left="426" w:hanging="426"/>
        <w:rPr>
          <w:lang w:val="en-GB"/>
        </w:rPr>
      </w:pPr>
      <w:r w:rsidRPr="00515DC8">
        <w:rPr>
          <w:lang w:val="en-GB"/>
        </w:rPr>
        <w:t xml:space="preserve">Arum, R., &amp; Roska, J.  (2011). </w:t>
      </w:r>
      <w:r w:rsidRPr="00515DC8">
        <w:rPr>
          <w:i/>
          <w:lang w:val="en-GB"/>
        </w:rPr>
        <w:t>Academically adrift.</w:t>
      </w:r>
      <w:r w:rsidRPr="00515DC8">
        <w:rPr>
          <w:lang w:val="en-GB"/>
        </w:rPr>
        <w:t xml:space="preserve"> Chicago, USA: University of Chicago Press. </w:t>
      </w:r>
    </w:p>
    <w:p w14:paraId="25EC3744" w14:textId="77777777" w:rsidR="00C67EE4" w:rsidRPr="00515DC8" w:rsidRDefault="00C67EE4" w:rsidP="00C67EE4">
      <w:pPr>
        <w:spacing w:line="480" w:lineRule="auto"/>
        <w:ind w:left="426" w:hanging="426"/>
        <w:rPr>
          <w:lang w:val="en-GB"/>
        </w:rPr>
      </w:pPr>
      <w:r w:rsidRPr="00515DC8">
        <w:rPr>
          <w:lang w:val="en-GB"/>
        </w:rPr>
        <w:t xml:space="preserve">Asikainen, H., &amp; Gijbels, D. (2017). Do students develop towards more deep approaches to learning during studies? A systematic review on the development of students’ deep and surface approaches to learning in higher education. </w:t>
      </w:r>
      <w:r w:rsidRPr="00515DC8">
        <w:rPr>
          <w:i/>
          <w:lang w:val="en-GB"/>
        </w:rPr>
        <w:t>Educational Psychology Review, 29</w:t>
      </w:r>
      <w:r w:rsidRPr="00515DC8">
        <w:rPr>
          <w:lang w:val="en-GB"/>
        </w:rPr>
        <w:t xml:space="preserve">, 205-234. </w:t>
      </w:r>
    </w:p>
    <w:p w14:paraId="7210EC97" w14:textId="1977F7DE" w:rsidR="00C67EE4" w:rsidRPr="00515DC8" w:rsidRDefault="00696A17" w:rsidP="00C67EE4">
      <w:pPr>
        <w:spacing w:line="480" w:lineRule="auto"/>
        <w:ind w:left="426" w:hanging="426"/>
        <w:rPr>
          <w:rFonts w:eastAsia="Times New Roman"/>
          <w:b/>
          <w:lang w:val="en-GB" w:eastAsia="en-GB"/>
        </w:rPr>
      </w:pPr>
      <w:hyperlink r:id="rId15" w:history="1">
        <w:r w:rsidR="00C67EE4" w:rsidRPr="00515DC8">
          <w:rPr>
            <w:rStyle w:val="Hyperlink"/>
            <w:rFonts w:eastAsia="Times New Roman"/>
            <w:color w:val="auto"/>
            <w:u w:val="none"/>
            <w:lang w:val="en-GB" w:eastAsia="en-GB"/>
          </w:rPr>
          <w:t xml:space="preserve">Bates, R.,  </w:t>
        </w:r>
        <w:r w:rsidR="00C67EE4" w:rsidRPr="00515DC8">
          <w:rPr>
            <w:rStyle w:val="Hyperlink"/>
            <w:rFonts w:eastAsia="Times New Roman"/>
            <w:vanish/>
            <w:color w:val="auto"/>
            <w:u w:val="none"/>
            <w:lang w:val="en-GB" w:eastAsia="en-GB"/>
          </w:rPr>
          <w:t>Human Resource, Leadership and Organization Development, School of Human Resource Education &amp; Workforce Development, College of Human Sciences and Education, Louisiana State University , Baton Rouge , LA , USA Correspondencerabates@lsu.edu</w:t>
        </w:r>
        <w:r w:rsidR="00C67EE4" w:rsidRPr="00515DC8">
          <w:rPr>
            <w:rStyle w:val="Hyperlink"/>
            <w:rFonts w:eastAsia="Times New Roman"/>
            <w:vanish/>
            <w:color w:val="auto"/>
            <w:u w:val="none"/>
            <w:lang w:val="en-GB" w:eastAsia="en-GB"/>
          </w:rPr>
          <w:br/>
        </w:r>
      </w:hyperlink>
      <w:r w:rsidR="004641AF">
        <w:rPr>
          <w:rFonts w:eastAsia="Times New Roman"/>
          <w:lang w:val="en-GB" w:eastAsia="en-GB"/>
        </w:rPr>
        <w:t xml:space="preserve">Holton III, E. F., </w:t>
      </w:r>
      <w:r w:rsidR="00C67EE4" w:rsidRPr="00515DC8">
        <w:rPr>
          <w:rFonts w:eastAsia="Times New Roman"/>
          <w:vanish/>
          <w:lang w:val="en-GB" w:eastAsia="en-GB"/>
        </w:rPr>
        <w:t xml:space="preserve">Human Resource, Leadership and Organization Development, School of Human Resource Education &amp; Workforce Development, College of Human Sciences and Education, Louisiana State University , Baton Rouge , LA , USA </w:t>
      </w:r>
      <w:r w:rsidR="00C67EE4" w:rsidRPr="00515DC8">
        <w:rPr>
          <w:rFonts w:eastAsia="Times New Roman"/>
          <w:lang w:val="en-GB" w:eastAsia="en-GB"/>
        </w:rPr>
        <w:t xml:space="preserve">&amp; </w:t>
      </w:r>
      <w:hyperlink r:id="rId16" w:history="1">
        <w:r w:rsidR="00C67EE4" w:rsidRPr="00515DC8">
          <w:rPr>
            <w:rFonts w:eastAsia="Times New Roman"/>
            <w:lang w:val="en-GB" w:eastAsia="en-GB"/>
          </w:rPr>
          <w:t xml:space="preserve">Hatala </w:t>
        </w:r>
        <w:r w:rsidR="00C67EE4" w:rsidRPr="00515DC8">
          <w:rPr>
            <w:rFonts w:eastAsia="Times New Roman"/>
            <w:vanish/>
            <w:lang w:val="en-GB" w:eastAsia="en-GB"/>
          </w:rPr>
          <w:t xml:space="preserve">Department of Service Systems , School of International Hospitality and Service Innovation, College of Applied Science &amp; Technology, Rochester Institute of Technology , Rochester , NY , USA </w:t>
        </w:r>
      </w:hyperlink>
      <w:r w:rsidR="00C67EE4" w:rsidRPr="00515DC8">
        <w:rPr>
          <w:rFonts w:eastAsia="Times New Roman"/>
          <w:lang w:val="en-GB" w:eastAsia="en-GB"/>
        </w:rPr>
        <w:t xml:space="preserve">, J. P. (2012). </w:t>
      </w:r>
      <w:r w:rsidR="00C67EE4" w:rsidRPr="00515DC8">
        <w:rPr>
          <w:bCs/>
          <w:lang w:val="en-GB"/>
        </w:rPr>
        <w:t xml:space="preserve">A revised learning transfer system inventory: factorial replication and validation. </w:t>
      </w:r>
      <w:hyperlink r:id="rId17" w:history="1">
        <w:r w:rsidR="00C67EE4" w:rsidRPr="00515DC8">
          <w:rPr>
            <w:bCs/>
            <w:i/>
            <w:lang w:val="en-GB"/>
          </w:rPr>
          <w:t>Human Resource Development International, 15</w:t>
        </w:r>
        <w:r w:rsidR="00C67EE4" w:rsidRPr="00515DC8">
          <w:rPr>
            <w:bCs/>
            <w:lang w:val="en-GB"/>
          </w:rPr>
          <w:t xml:space="preserve">(5), 549-569.  </w:t>
        </w:r>
      </w:hyperlink>
    </w:p>
    <w:p w14:paraId="0E51423D" w14:textId="77777777" w:rsidR="00C67EE4" w:rsidRPr="00515DC8" w:rsidRDefault="00C67EE4" w:rsidP="00C67EE4">
      <w:pPr>
        <w:spacing w:line="480" w:lineRule="auto"/>
        <w:ind w:left="426" w:hanging="426"/>
        <w:rPr>
          <w:i/>
          <w:lang w:val="en-GB"/>
        </w:rPr>
      </w:pPr>
      <w:r w:rsidRPr="00515DC8">
        <w:rPr>
          <w:rFonts w:eastAsia="Times New Roman"/>
          <w:i/>
          <w:lang w:val="en-GB" w:eastAsia="en-GB"/>
        </w:rPr>
        <w:t xml:space="preserve">Baum, D. (2018). </w:t>
      </w:r>
      <w:r w:rsidRPr="00515DC8">
        <w:rPr>
          <w:i/>
          <w:lang w:val="en-GB"/>
        </w:rPr>
        <w:t>Towards a measure of learning gain. A journey. With obstacles. Higher Education Pedagogies (this issue).</w:t>
      </w:r>
    </w:p>
    <w:p w14:paraId="5E66C87E" w14:textId="77777777" w:rsidR="00C67EE4" w:rsidRPr="00515DC8" w:rsidRDefault="00C67EE4" w:rsidP="00C67EE4">
      <w:pPr>
        <w:spacing w:line="480" w:lineRule="auto"/>
        <w:ind w:left="426" w:hanging="426"/>
        <w:rPr>
          <w:rFonts w:eastAsia="Times New Roman"/>
          <w:lang w:val="en-GB" w:eastAsia="en-GB"/>
        </w:rPr>
      </w:pPr>
      <w:r w:rsidRPr="00515DC8">
        <w:rPr>
          <w:rFonts w:eastAsia="Times New Roman"/>
          <w:b/>
          <w:vanish/>
          <w:lang w:val="en-GB" w:eastAsia="en-GB"/>
        </w:rPr>
        <w:t>Pages 549-569 Received 09 Mar 2012</w:t>
      </w:r>
      <w:r w:rsidRPr="00515DC8">
        <w:rPr>
          <w:rFonts w:eastAsia="Times New Roman"/>
          <w:lang w:val="en-GB" w:eastAsia="en-GB"/>
        </w:rPr>
        <w:t xml:space="preserve">Bennett, R., &amp; Kane, S. (2014). </w:t>
      </w:r>
      <w:hyperlink r:id="rId18" w:tooltip="Show document details" w:history="1">
        <w:r w:rsidRPr="00515DC8">
          <w:rPr>
            <w:rFonts w:eastAsia="Times New Roman"/>
            <w:lang w:val="en-GB" w:eastAsia="en-GB"/>
          </w:rPr>
          <w:t>Students' interpretations of the meanings of questionnaire items in the National Student Survey</w:t>
        </w:r>
      </w:hyperlink>
      <w:r w:rsidRPr="00515DC8">
        <w:rPr>
          <w:rFonts w:eastAsia="Times New Roman"/>
          <w:lang w:val="en-GB" w:eastAsia="en-GB"/>
        </w:rPr>
        <w:t>.</w:t>
      </w:r>
      <w:r w:rsidRPr="00515DC8">
        <w:rPr>
          <w:rFonts w:eastAsia="Times New Roman"/>
          <w:i/>
          <w:lang w:val="en-GB" w:eastAsia="en-GB"/>
        </w:rPr>
        <w:t xml:space="preserve"> </w:t>
      </w:r>
      <w:hyperlink r:id="rId19" w:tooltip="Show source title details" w:history="1">
        <w:r w:rsidRPr="00515DC8">
          <w:rPr>
            <w:rFonts w:eastAsia="Times New Roman"/>
            <w:i/>
            <w:lang w:val="en-GB" w:eastAsia="en-GB"/>
          </w:rPr>
          <w:t>Quality in Higher Education</w:t>
        </w:r>
      </w:hyperlink>
      <w:r w:rsidRPr="00515DC8">
        <w:rPr>
          <w:rFonts w:eastAsia="Times New Roman"/>
          <w:i/>
          <w:lang w:val="en-GB" w:eastAsia="en-GB"/>
        </w:rPr>
        <w:t>, 20</w:t>
      </w:r>
      <w:r w:rsidRPr="00515DC8">
        <w:rPr>
          <w:rFonts w:eastAsia="Times New Roman"/>
          <w:lang w:val="en-GB" w:eastAsia="en-GB"/>
        </w:rPr>
        <w:t>(2), 129-164.</w:t>
      </w:r>
    </w:p>
    <w:p w14:paraId="28267BAB" w14:textId="05EA0149" w:rsidR="00C67EE4" w:rsidRPr="00515DC8" w:rsidRDefault="00C67EE4" w:rsidP="00C67EE4">
      <w:pPr>
        <w:spacing w:line="480" w:lineRule="auto"/>
        <w:ind w:left="720" w:hanging="720"/>
        <w:rPr>
          <w:lang w:val="en-GB"/>
        </w:rPr>
      </w:pPr>
      <w:r w:rsidRPr="00515DC8">
        <w:rPr>
          <w:lang w:val="en-GB"/>
        </w:rPr>
        <w:t xml:space="preserve">BIS (Department for Business Innovation and Skills). (2015). </w:t>
      </w:r>
      <w:r w:rsidRPr="00515DC8">
        <w:rPr>
          <w:i/>
          <w:lang w:val="en-GB"/>
        </w:rPr>
        <w:t>Fulf</w:t>
      </w:r>
      <w:r w:rsidR="00BE7741" w:rsidRPr="00515DC8">
        <w:rPr>
          <w:i/>
          <w:lang w:val="en-GB"/>
        </w:rPr>
        <w:t>illing our potential: teaching excellence, social mobility and student choice</w:t>
      </w:r>
      <w:r w:rsidRPr="00515DC8">
        <w:rPr>
          <w:i/>
          <w:lang w:val="en-GB"/>
        </w:rPr>
        <w:t xml:space="preserve">, </w:t>
      </w:r>
      <w:r w:rsidRPr="00515DC8">
        <w:rPr>
          <w:lang w:val="en-GB"/>
        </w:rPr>
        <w:t xml:space="preserve">London: BIS </w:t>
      </w:r>
      <w:hyperlink r:id="rId20" w:history="1">
        <w:r w:rsidRPr="00515DC8">
          <w:rPr>
            <w:rStyle w:val="Hyperlink"/>
            <w:lang w:val="en-GB"/>
          </w:rPr>
          <w:t>https://www.gov.uk/government/uploads/system/uploads/attachment_data/file/474227/BIS-15-623-fulfilling-our-potential-teaching-excellence-social-mobility-and-student-choice.pdf</w:t>
        </w:r>
      </w:hyperlink>
      <w:r w:rsidRPr="00515DC8">
        <w:rPr>
          <w:lang w:val="en-GB"/>
        </w:rPr>
        <w:t>.</w:t>
      </w:r>
    </w:p>
    <w:p w14:paraId="67630631" w14:textId="77777777" w:rsidR="00C67EE4" w:rsidRPr="00515DC8" w:rsidRDefault="00C67EE4" w:rsidP="00C67EE4">
      <w:pPr>
        <w:spacing w:line="480" w:lineRule="auto"/>
        <w:ind w:left="426" w:hanging="426"/>
        <w:rPr>
          <w:rFonts w:eastAsia="Times New Roman"/>
          <w:vanish/>
          <w:lang w:val="en-GB" w:eastAsia="en-GB"/>
        </w:rPr>
      </w:pPr>
      <w:r w:rsidRPr="00515DC8">
        <w:rPr>
          <w:rFonts w:eastAsia="Times New Roman"/>
          <w:vanish/>
          <w:lang w:val="en-GB" w:eastAsia="en-GB"/>
        </w:rPr>
        <w:t>Accepted 23 Aug 2012</w:t>
      </w:r>
    </w:p>
    <w:p w14:paraId="5CF1730B" w14:textId="77777777" w:rsidR="00C67EE4" w:rsidRPr="00515DC8" w:rsidRDefault="00C67EE4" w:rsidP="00C67EE4">
      <w:pPr>
        <w:spacing w:after="105" w:line="480" w:lineRule="auto"/>
        <w:ind w:left="426" w:hanging="426"/>
        <w:rPr>
          <w:rFonts w:eastAsia="Times New Roman"/>
          <w:vanish/>
          <w:lang w:val="en-GB" w:eastAsia="en-GB"/>
        </w:rPr>
      </w:pPr>
      <w:r w:rsidRPr="00515DC8">
        <w:rPr>
          <w:rFonts w:eastAsia="Times New Roman"/>
          <w:vanish/>
          <w:lang w:val="en-GB" w:eastAsia="en-GB"/>
        </w:rPr>
        <w:t>Published online: 01 Oct 2012</w:t>
      </w:r>
    </w:p>
    <w:p w14:paraId="35D766C1" w14:textId="0CB84750" w:rsidR="00C67EE4" w:rsidRPr="00515DC8" w:rsidRDefault="00C67EE4" w:rsidP="00C67EE4">
      <w:pPr>
        <w:spacing w:line="480" w:lineRule="auto"/>
        <w:ind w:left="426" w:hanging="426"/>
        <w:rPr>
          <w:rStyle w:val="Hyperlink"/>
          <w:color w:val="auto"/>
          <w:u w:val="none"/>
          <w:lang w:val="en-GB"/>
        </w:rPr>
      </w:pPr>
      <w:r w:rsidRPr="00515DC8">
        <w:rPr>
          <w:lang w:val="en-GB"/>
        </w:rPr>
        <w:t xml:space="preserve">Blackman, T. (2018). What affects how much students </w:t>
      </w:r>
      <w:r w:rsidR="000F6D89" w:rsidRPr="00515DC8">
        <w:rPr>
          <w:lang w:val="en-GB"/>
        </w:rPr>
        <w:t>learn?</w:t>
      </w:r>
      <w:r w:rsidRPr="00515DC8">
        <w:rPr>
          <w:lang w:val="en-GB"/>
        </w:rPr>
        <w:t xml:space="preserve"> HEPI Policy Note 5. </w:t>
      </w:r>
      <w:r w:rsidRPr="00515DC8">
        <w:rPr>
          <w:i/>
          <w:lang w:val="en-GB"/>
        </w:rPr>
        <w:t>Higher Education Policy Institute</w:t>
      </w:r>
      <w:r w:rsidRPr="00515DC8">
        <w:rPr>
          <w:lang w:val="en-GB"/>
        </w:rPr>
        <w:t xml:space="preserve">. Retrieved from </w:t>
      </w:r>
      <w:hyperlink r:id="rId21" w:history="1">
        <w:r w:rsidRPr="00515DC8">
          <w:rPr>
            <w:rStyle w:val="Hyperlink"/>
            <w:color w:val="auto"/>
            <w:u w:val="none"/>
            <w:lang w:val="en-GB"/>
          </w:rPr>
          <w:t>http://www.hepi.ac.uk/2018/01/08/5266/</w:t>
        </w:r>
      </w:hyperlink>
    </w:p>
    <w:p w14:paraId="238DDA53" w14:textId="77777777" w:rsidR="00C67EE4" w:rsidRPr="00515DC8" w:rsidRDefault="00C67EE4" w:rsidP="00C67EE4">
      <w:pPr>
        <w:spacing w:line="480" w:lineRule="auto"/>
        <w:ind w:left="426" w:hanging="426"/>
        <w:rPr>
          <w:rStyle w:val="txt"/>
          <w:lang w:val="en-GB"/>
        </w:rPr>
      </w:pPr>
      <w:r w:rsidRPr="00515DC8">
        <w:rPr>
          <w:rFonts w:eastAsia="Times New Roman"/>
          <w:color w:val="000000"/>
          <w:lang w:val="en-GB" w:eastAsia="en-GB"/>
        </w:rPr>
        <w:t xml:space="preserve">Blaich, C., &amp; Wise, K. (2011). </w:t>
      </w:r>
      <w:r w:rsidRPr="00515DC8">
        <w:rPr>
          <w:rFonts w:eastAsia="Times New Roman"/>
          <w:i/>
          <w:iCs/>
          <w:color w:val="000000"/>
          <w:lang w:val="en-GB" w:eastAsia="en-GB"/>
        </w:rPr>
        <w:t>From gathering to using assessment results: Lessons from the Wabash National Study</w:t>
      </w:r>
      <w:r w:rsidRPr="00515DC8">
        <w:rPr>
          <w:rFonts w:eastAsia="Times New Roman"/>
          <w:color w:val="000000"/>
          <w:lang w:val="en-GB" w:eastAsia="en-GB"/>
        </w:rPr>
        <w:t>. (NILOA Occasional Paper No. 8). Urbana, IL: University of Illinois and Indiana University, National Institute of Learning Outcomes Assessment.</w:t>
      </w:r>
    </w:p>
    <w:p w14:paraId="13FD5E53" w14:textId="77777777" w:rsidR="00C67EE4" w:rsidRPr="00515DC8" w:rsidRDefault="00C67EE4" w:rsidP="00C67EE4">
      <w:pPr>
        <w:pStyle w:val="ListParagraph"/>
        <w:spacing w:line="480" w:lineRule="auto"/>
        <w:ind w:left="426" w:hanging="426"/>
        <w:rPr>
          <w:rStyle w:val="txt"/>
          <w:rFonts w:ascii="Times New Roman" w:hAnsi="Times New Roman" w:cs="Times New Roman"/>
          <w:sz w:val="24"/>
          <w:szCs w:val="24"/>
        </w:rPr>
      </w:pPr>
      <w:r w:rsidRPr="00515DC8">
        <w:rPr>
          <w:rStyle w:val="txt"/>
          <w:rFonts w:ascii="Times New Roman" w:hAnsi="Times New Roman" w:cs="Times New Roman"/>
          <w:sz w:val="24"/>
          <w:szCs w:val="24"/>
        </w:rPr>
        <w:t xml:space="preserve">Biesta, G.  (2010). </w:t>
      </w:r>
      <w:r w:rsidRPr="00515DC8">
        <w:rPr>
          <w:rStyle w:val="txt"/>
          <w:rFonts w:ascii="Times New Roman" w:hAnsi="Times New Roman" w:cs="Times New Roman"/>
          <w:i/>
          <w:sz w:val="24"/>
          <w:szCs w:val="24"/>
        </w:rPr>
        <w:t xml:space="preserve">Good education in an age of measurement. </w:t>
      </w:r>
      <w:r w:rsidRPr="00515DC8">
        <w:rPr>
          <w:rStyle w:val="txt"/>
          <w:rFonts w:ascii="Times New Roman" w:hAnsi="Times New Roman" w:cs="Times New Roman"/>
          <w:sz w:val="24"/>
          <w:szCs w:val="24"/>
        </w:rPr>
        <w:t xml:space="preserve">Boulder, CO: Paradign Publishers. </w:t>
      </w:r>
    </w:p>
    <w:p w14:paraId="7A184428" w14:textId="77777777" w:rsidR="00C67EE4" w:rsidRPr="00515DC8" w:rsidRDefault="00C67EE4" w:rsidP="00C67EE4">
      <w:pPr>
        <w:pStyle w:val="ListParagraph"/>
        <w:spacing w:line="480" w:lineRule="auto"/>
        <w:ind w:left="426" w:hanging="426"/>
        <w:rPr>
          <w:rFonts w:ascii="Times New Roman" w:hAnsi="Times New Roman" w:cs="Times New Roman"/>
          <w:sz w:val="24"/>
          <w:szCs w:val="24"/>
        </w:rPr>
      </w:pPr>
      <w:r w:rsidRPr="00515DC8">
        <w:rPr>
          <w:rFonts w:ascii="Times New Roman" w:hAnsi="Times New Roman" w:cs="Times New Roman"/>
          <w:sz w:val="24"/>
          <w:szCs w:val="24"/>
        </w:rPr>
        <w:t xml:space="preserve">Blömeke, S., Zlatkin-Troitschanaskaia, O., Kuhn, C., &amp; Fege, J. (Eds.) (2013).  </w:t>
      </w:r>
      <w:r w:rsidRPr="00515DC8">
        <w:rPr>
          <w:rFonts w:ascii="Times New Roman" w:hAnsi="Times New Roman" w:cs="Times New Roman"/>
          <w:i/>
          <w:sz w:val="24"/>
          <w:szCs w:val="24"/>
        </w:rPr>
        <w:t>Modeling and Measuring Competencies in Higher Education</w:t>
      </w:r>
      <w:r w:rsidRPr="00515DC8">
        <w:rPr>
          <w:rFonts w:ascii="Times New Roman" w:hAnsi="Times New Roman" w:cs="Times New Roman"/>
          <w:sz w:val="24"/>
          <w:szCs w:val="24"/>
        </w:rPr>
        <w:t>. Rotterdam: Sense Publishers. Retrieved from https://www.sensepublishers.com/media/1531-modeling-and-measuring-competencies-in-higher-education.pdf</w:t>
      </w:r>
    </w:p>
    <w:p w14:paraId="0FFBA09B" w14:textId="77777777" w:rsidR="00C67EE4" w:rsidRPr="00515DC8" w:rsidRDefault="00C67EE4" w:rsidP="00C67EE4">
      <w:pPr>
        <w:spacing w:line="480" w:lineRule="auto"/>
        <w:ind w:left="426" w:hanging="426"/>
        <w:rPr>
          <w:lang w:val="en-GB"/>
        </w:rPr>
      </w:pPr>
      <w:r w:rsidRPr="00515DC8">
        <w:rPr>
          <w:lang w:val="en-GB"/>
        </w:rPr>
        <w:t xml:space="preserve">Bloxham, S., &amp; Boyd, P.  (2012). </w:t>
      </w:r>
      <w:r w:rsidRPr="00515DC8">
        <w:rPr>
          <w:i/>
          <w:lang w:val="en-GB"/>
        </w:rPr>
        <w:t>Developing effective assessment in higher education: a practical guide</w:t>
      </w:r>
      <w:r w:rsidRPr="00515DC8">
        <w:rPr>
          <w:lang w:val="en-GB"/>
        </w:rPr>
        <w:t xml:space="preserve">. Maidenhead, Berkshire: Open University Press. </w:t>
      </w:r>
    </w:p>
    <w:p w14:paraId="434D0757" w14:textId="68D9F233" w:rsidR="00C67EE4" w:rsidRPr="00515DC8" w:rsidRDefault="00C67EE4" w:rsidP="00C67EE4">
      <w:pPr>
        <w:spacing w:line="480" w:lineRule="auto"/>
        <w:ind w:left="426" w:hanging="426"/>
        <w:rPr>
          <w:rFonts w:eastAsia="Times New Roman"/>
          <w:lang w:val="en-GB"/>
        </w:rPr>
      </w:pPr>
      <w:r w:rsidRPr="00515DC8">
        <w:rPr>
          <w:rFonts w:eastAsia="Times New Roman"/>
          <w:lang w:val="en-GB"/>
        </w:rPr>
        <w:t xml:space="preserve">Bond, T. G., &amp; Fox, C.M. (2015).  </w:t>
      </w:r>
      <w:r w:rsidRPr="00515DC8">
        <w:rPr>
          <w:rFonts w:eastAsia="Times New Roman"/>
          <w:i/>
          <w:lang w:val="en-GB"/>
        </w:rPr>
        <w:t xml:space="preserve">Applying the Rasch model, fundamental measurement in the human sciences, </w:t>
      </w:r>
      <w:r w:rsidRPr="00515DC8">
        <w:rPr>
          <w:rFonts w:eastAsia="Times New Roman"/>
          <w:lang w:val="en-GB"/>
        </w:rPr>
        <w:t>(3</w:t>
      </w:r>
      <w:r w:rsidRPr="00515DC8">
        <w:rPr>
          <w:rFonts w:eastAsia="Times New Roman"/>
          <w:vertAlign w:val="superscript"/>
          <w:lang w:val="en-GB"/>
        </w:rPr>
        <w:t>rd</w:t>
      </w:r>
      <w:r w:rsidRPr="00515DC8">
        <w:rPr>
          <w:rFonts w:eastAsia="Times New Roman"/>
          <w:lang w:val="en-GB"/>
        </w:rPr>
        <w:t xml:space="preserve"> ed). </w:t>
      </w:r>
      <w:r w:rsidR="00BB3336" w:rsidRPr="00515DC8">
        <w:rPr>
          <w:rFonts w:eastAsia="Times New Roman"/>
          <w:lang w:val="en-GB"/>
        </w:rPr>
        <w:t xml:space="preserve">New York: </w:t>
      </w:r>
      <w:r w:rsidRPr="00515DC8">
        <w:rPr>
          <w:rFonts w:eastAsia="Times New Roman"/>
          <w:lang w:val="en-GB"/>
        </w:rPr>
        <w:t>NY: Routledge.</w:t>
      </w:r>
    </w:p>
    <w:p w14:paraId="7D1F74CF" w14:textId="77777777" w:rsidR="00C67EE4" w:rsidRPr="00515DC8" w:rsidRDefault="00C67EE4" w:rsidP="00C67EE4">
      <w:pPr>
        <w:spacing w:line="480" w:lineRule="auto"/>
        <w:ind w:left="426" w:hanging="426"/>
        <w:rPr>
          <w:rFonts w:eastAsia="Times New Roman"/>
          <w:i/>
          <w:lang w:val="en-GB"/>
        </w:rPr>
      </w:pPr>
      <w:r w:rsidRPr="00515DC8">
        <w:rPr>
          <w:rFonts w:eastAsia="Times New Roman"/>
          <w:i/>
          <w:lang w:val="en-GB"/>
        </w:rPr>
        <w:t xml:space="preserve">Boud, D. (2018) </w:t>
      </w:r>
      <w:r w:rsidRPr="00515DC8">
        <w:rPr>
          <w:i/>
          <w:lang w:val="en-GB"/>
        </w:rPr>
        <w:t xml:space="preserve">Assessment could demonstrate learning gains, but what is required for it to do so?  Higher Education Pedagogies (this issue).  </w:t>
      </w:r>
    </w:p>
    <w:p w14:paraId="3AD13218" w14:textId="77777777" w:rsidR="00C67EE4" w:rsidRPr="00515DC8" w:rsidRDefault="00C67EE4" w:rsidP="00C67EE4">
      <w:pPr>
        <w:spacing w:line="480" w:lineRule="auto"/>
        <w:ind w:left="426" w:hanging="426"/>
        <w:rPr>
          <w:rFonts w:eastAsia="Times New Roman"/>
          <w:lang w:val="en-GB" w:eastAsia="en-GB"/>
        </w:rPr>
      </w:pPr>
      <w:r w:rsidRPr="00515DC8">
        <w:rPr>
          <w:rFonts w:eastAsia="Times New Roman"/>
          <w:lang w:val="en-GB"/>
        </w:rPr>
        <w:t xml:space="preserve">Boud, D., &amp; Molloy, E. (2013). </w:t>
      </w:r>
      <w:hyperlink r:id="rId22" w:tooltip="Show document details" w:history="1">
        <w:r w:rsidRPr="00515DC8">
          <w:rPr>
            <w:rFonts w:eastAsia="Times New Roman"/>
            <w:lang w:val="en-GB" w:eastAsia="en-GB"/>
          </w:rPr>
          <w:t>Rethinking models of feedback for learning: The challenge of design</w:t>
        </w:r>
      </w:hyperlink>
      <w:r w:rsidRPr="00515DC8">
        <w:rPr>
          <w:rFonts w:eastAsia="Times New Roman"/>
          <w:lang w:val="en-GB" w:eastAsia="en-GB"/>
        </w:rPr>
        <w:t xml:space="preserve">. </w:t>
      </w:r>
      <w:hyperlink r:id="rId23" w:tooltip="Show source title details" w:history="1">
        <w:r w:rsidRPr="00515DC8">
          <w:rPr>
            <w:rFonts w:eastAsia="Times New Roman"/>
            <w:i/>
            <w:lang w:val="en-GB" w:eastAsia="en-GB"/>
          </w:rPr>
          <w:t>Assessment and Evaluation in Higher Education</w:t>
        </w:r>
      </w:hyperlink>
      <w:r w:rsidRPr="00515DC8">
        <w:rPr>
          <w:rFonts w:eastAsia="Times New Roman"/>
          <w:lang w:val="en-GB" w:eastAsia="en-GB"/>
        </w:rPr>
        <w:t xml:space="preserve">, 38(6), 698-712. </w:t>
      </w:r>
    </w:p>
    <w:p w14:paraId="067B972B" w14:textId="77777777" w:rsidR="00C67EE4" w:rsidRPr="00515DC8" w:rsidRDefault="00C67EE4" w:rsidP="00C67EE4">
      <w:pPr>
        <w:spacing w:line="480" w:lineRule="auto"/>
        <w:ind w:left="426" w:hanging="426"/>
        <w:rPr>
          <w:rFonts w:eastAsia="Times New Roman"/>
          <w:lang w:val="en-GB"/>
        </w:rPr>
      </w:pPr>
      <w:r w:rsidRPr="00515DC8">
        <w:rPr>
          <w:rFonts w:eastAsia="Times New Roman"/>
          <w:lang w:val="en-GB" w:eastAsia="en-GB"/>
        </w:rPr>
        <w:t xml:space="preserve">Bowes, L., Evans, J., Hughes, D., Olewe-Richards, S., Roberts, J., &amp; Birkin, G. (2015) </w:t>
      </w:r>
      <w:r w:rsidRPr="00515DC8">
        <w:rPr>
          <w:rFonts w:eastAsia="Times New Roman"/>
          <w:i/>
          <w:iCs/>
          <w:lang w:val="en-GB" w:eastAsia="en-GB"/>
        </w:rPr>
        <w:t>UK review of information about higher education: Report on the review of the Key Information Set and Unistats (Annex B: Research on information use by students and their advisers)</w:t>
      </w:r>
      <w:r w:rsidRPr="00515DC8">
        <w:rPr>
          <w:rFonts w:eastAsia="Times New Roman"/>
          <w:lang w:val="en-GB" w:eastAsia="en-GB"/>
        </w:rPr>
        <w:t xml:space="preserve">. A report to the UK higher education funding bodies by CFE Research.  Retrieved from </w:t>
      </w:r>
      <w:hyperlink r:id="rId24" w:tgtFrame="_blank" w:history="1">
        <w:r w:rsidRPr="00515DC8">
          <w:rPr>
            <w:rFonts w:eastAsia="Times New Roman"/>
            <w:color w:val="0563C1"/>
            <w:u w:val="single"/>
            <w:lang w:val="en-GB" w:eastAsia="en-GB"/>
          </w:rPr>
          <w:t>http://www.hefce.ac.uk/pubs/year/2015/201527/</w:t>
        </w:r>
      </w:hyperlink>
    </w:p>
    <w:p w14:paraId="4E62F4EF" w14:textId="77777777" w:rsidR="00C67EE4" w:rsidRPr="00515DC8" w:rsidRDefault="00C67EE4" w:rsidP="00C67EE4">
      <w:pPr>
        <w:spacing w:line="480" w:lineRule="auto"/>
        <w:ind w:left="426" w:hanging="426"/>
        <w:rPr>
          <w:lang w:val="en-GB"/>
        </w:rPr>
      </w:pPr>
      <w:r w:rsidRPr="00515DC8">
        <w:rPr>
          <w:lang w:val="en-GB"/>
        </w:rPr>
        <w:t xml:space="preserve">Breckon, J.  (2016) Using research evidence. NESTA A practice guide. Retrieved from </w:t>
      </w:r>
      <w:hyperlink r:id="rId25" w:history="1">
        <w:r w:rsidRPr="00515DC8">
          <w:rPr>
            <w:rStyle w:val="Hyperlink"/>
            <w:lang w:val="en-GB"/>
          </w:rPr>
          <w:t>https://www.nesta.org.uk/publications/using-research-evidence-practice-guide</w:t>
        </w:r>
      </w:hyperlink>
      <w:r w:rsidRPr="00515DC8">
        <w:rPr>
          <w:lang w:val="en-GB"/>
        </w:rPr>
        <w:t>.</w:t>
      </w:r>
    </w:p>
    <w:p w14:paraId="455B4406" w14:textId="77777777" w:rsidR="00C67EE4" w:rsidRPr="00515DC8" w:rsidRDefault="00C67EE4" w:rsidP="00C67EE4">
      <w:pPr>
        <w:spacing w:line="480" w:lineRule="auto"/>
        <w:ind w:left="426" w:hanging="426"/>
        <w:rPr>
          <w:lang w:val="en-GB"/>
        </w:rPr>
      </w:pPr>
      <w:r w:rsidRPr="00515DC8">
        <w:rPr>
          <w:lang w:val="en-GB"/>
        </w:rPr>
        <w:t xml:space="preserve">Burgess, A. (2018). How to do well in the National Student Survey. Retrieved from </w:t>
      </w:r>
      <w:hyperlink r:id="rId26" w:history="1">
        <w:r w:rsidRPr="00515DC8">
          <w:rPr>
            <w:rStyle w:val="Hyperlink"/>
            <w:rFonts w:eastAsia="Times New Roman"/>
            <w:lang w:val="en-GB" w:eastAsia="en-GB"/>
          </w:rPr>
          <w:t>https://wonkhe.com/blogs/how-to-do-well-in-the-national-student-survey-nss/?platform=hootsuite</w:t>
        </w:r>
      </w:hyperlink>
    </w:p>
    <w:p w14:paraId="594D73CB" w14:textId="77777777" w:rsidR="00C67EE4" w:rsidRPr="00515DC8" w:rsidRDefault="00C67EE4" w:rsidP="00C67EE4">
      <w:pPr>
        <w:spacing w:line="480" w:lineRule="auto"/>
        <w:ind w:left="426" w:hanging="426"/>
        <w:rPr>
          <w:lang w:val="en-GB"/>
        </w:rPr>
      </w:pPr>
      <w:r w:rsidRPr="00515DC8">
        <w:rPr>
          <w:rStyle w:val="bibliographic-informationvalue1"/>
          <w:spacing w:val="4"/>
          <w:lang w:val="en-GB"/>
          <w:specVanish w:val="0"/>
        </w:rPr>
        <w:t xml:space="preserve">Burke, G. (2017). </w:t>
      </w:r>
      <w:r w:rsidRPr="00515DC8">
        <w:rPr>
          <w:rStyle w:val="bibliographic-informationvalue1"/>
          <w:i/>
          <w:spacing w:val="4"/>
          <w:lang w:val="en-GB"/>
          <w:specVanish w:val="0"/>
        </w:rPr>
        <w:t>Ipsative assessment and personal learning gain.</w:t>
      </w:r>
      <w:r w:rsidRPr="00515DC8">
        <w:rPr>
          <w:rStyle w:val="bibliographic-informationvalue1"/>
          <w:spacing w:val="4"/>
          <w:lang w:val="en-GB"/>
          <w:specVanish w:val="0"/>
        </w:rPr>
        <w:t xml:space="preserve"> London: Palgrave Macmillan. </w:t>
      </w:r>
    </w:p>
    <w:p w14:paraId="0B6015E1" w14:textId="77777777" w:rsidR="00C67EE4" w:rsidRPr="00515DC8" w:rsidRDefault="00C67EE4" w:rsidP="00C67EE4">
      <w:pPr>
        <w:spacing w:line="480" w:lineRule="auto"/>
        <w:ind w:left="426" w:hanging="426"/>
        <w:rPr>
          <w:rStyle w:val="Hyperlink"/>
          <w:color w:val="auto"/>
          <w:u w:val="none"/>
          <w:lang w:val="en-GB"/>
        </w:rPr>
      </w:pPr>
      <w:r w:rsidRPr="00515DC8">
        <w:rPr>
          <w:lang w:val="en-GB"/>
        </w:rPr>
        <w:t>Burgess, A., Senior, C., &amp; Moores, E. (2018). A 10 year case study on the changing determinants of university student satisfaction in the UK. PLOS ONE, February 22, 2018. https://doi.org/10.137journal.pone.0192976</w:t>
      </w:r>
    </w:p>
    <w:p w14:paraId="00341822" w14:textId="77777777" w:rsidR="00C67EE4" w:rsidRPr="00515DC8" w:rsidRDefault="00C67EE4" w:rsidP="00C67EE4">
      <w:pPr>
        <w:spacing w:line="480" w:lineRule="auto"/>
        <w:ind w:left="426" w:hanging="426"/>
        <w:rPr>
          <w:i/>
          <w:lang w:val="en-GB"/>
        </w:rPr>
      </w:pPr>
      <w:r w:rsidRPr="00515DC8">
        <w:rPr>
          <w:rStyle w:val="Hyperlink"/>
          <w:i/>
          <w:color w:val="auto"/>
          <w:u w:val="none"/>
          <w:lang w:val="en-GB"/>
        </w:rPr>
        <w:t xml:space="preserve">Callaghan, A. &amp; Aloisi, C. (2018).  </w:t>
      </w:r>
      <w:r w:rsidRPr="00515DC8">
        <w:rPr>
          <w:i/>
          <w:lang w:val="en-GB"/>
        </w:rPr>
        <w:t xml:space="preserve">Threats to the validity of the Collegiate Learning Assessment (CLA+) as a measure of critical thinking skills and implications for Learning Gain. Higher Education Pedagogies (this issue). </w:t>
      </w:r>
    </w:p>
    <w:p w14:paraId="698E7716" w14:textId="7A2BEEE2" w:rsidR="00C67EE4" w:rsidRPr="00515DC8" w:rsidRDefault="00C67EE4" w:rsidP="00C67EE4">
      <w:pPr>
        <w:spacing w:line="480" w:lineRule="auto"/>
        <w:ind w:left="426" w:hanging="426"/>
        <w:rPr>
          <w:rStyle w:val="Hyperlink"/>
          <w:color w:val="auto"/>
          <w:u w:val="none"/>
          <w:lang w:val="en-GB"/>
        </w:rPr>
      </w:pPr>
      <w:r w:rsidRPr="00515DC8">
        <w:rPr>
          <w:rStyle w:val="Hyperlink"/>
          <w:color w:val="auto"/>
          <w:u w:val="none"/>
          <w:lang w:val="en-GB"/>
        </w:rPr>
        <w:t xml:space="preserve">Calohee (2018). Calohee. Measuring </w:t>
      </w:r>
      <w:r w:rsidR="00BE7741" w:rsidRPr="00515DC8">
        <w:rPr>
          <w:rStyle w:val="Hyperlink"/>
          <w:color w:val="auto"/>
          <w:u w:val="none"/>
          <w:lang w:val="en-GB"/>
        </w:rPr>
        <w:t xml:space="preserve">and comparing achievements of learning outcomes in </w:t>
      </w:r>
      <w:r w:rsidRPr="00515DC8">
        <w:rPr>
          <w:rStyle w:val="Hyperlink"/>
          <w:color w:val="auto"/>
          <w:u w:val="none"/>
          <w:lang w:val="en-GB"/>
        </w:rPr>
        <w:t>HE in Europe.</w:t>
      </w:r>
      <w:r w:rsidRPr="00515DC8">
        <w:rPr>
          <w:rStyle w:val="Hyperlink"/>
          <w:color w:val="auto"/>
          <w:lang w:val="en-GB"/>
        </w:rPr>
        <w:t xml:space="preserve"> </w:t>
      </w:r>
      <w:r w:rsidRPr="00515DC8">
        <w:rPr>
          <w:rStyle w:val="Hyperlink"/>
          <w:lang w:val="en-GB"/>
        </w:rPr>
        <w:t>Retrieved from https://www.calohee.eu/</w:t>
      </w:r>
    </w:p>
    <w:p w14:paraId="197B83AD" w14:textId="77777777" w:rsidR="00C67EE4" w:rsidRPr="00515DC8" w:rsidRDefault="00C67EE4" w:rsidP="00C67EE4">
      <w:pPr>
        <w:spacing w:line="480" w:lineRule="auto"/>
        <w:ind w:left="426" w:hanging="426"/>
        <w:rPr>
          <w:rStyle w:val="Hyperlink"/>
          <w:i/>
          <w:color w:val="auto"/>
          <w:u w:val="none"/>
          <w:lang w:val="en-GB"/>
        </w:rPr>
      </w:pPr>
      <w:r w:rsidRPr="00515DC8">
        <w:rPr>
          <w:rStyle w:val="Hyperlink"/>
          <w:i/>
          <w:color w:val="auto"/>
          <w:u w:val="none"/>
          <w:lang w:val="en-GB"/>
        </w:rPr>
        <w:t xml:space="preserve">Cameron, A. (2018). </w:t>
      </w:r>
      <w:r w:rsidRPr="00515DC8">
        <w:rPr>
          <w:i/>
          <w:lang w:val="en-GB"/>
        </w:rPr>
        <w:t xml:space="preserve">An investigation into the comparative learning gain and ‘value added’ for students from widening participation and non-widening participation groups: a case study from sports degrees. Higher Education Pedagogies (this issue). </w:t>
      </w:r>
    </w:p>
    <w:p w14:paraId="32774F4D" w14:textId="77777777" w:rsidR="00C67EE4" w:rsidRPr="00515DC8" w:rsidRDefault="00C67EE4" w:rsidP="00C67EE4">
      <w:pPr>
        <w:spacing w:line="480" w:lineRule="auto"/>
        <w:ind w:left="426" w:hanging="426"/>
        <w:rPr>
          <w:rStyle w:val="Hyperlink"/>
          <w:color w:val="auto"/>
          <w:u w:val="none"/>
          <w:lang w:val="en-GB"/>
        </w:rPr>
      </w:pPr>
      <w:r w:rsidRPr="00515DC8">
        <w:rPr>
          <w:rStyle w:val="Hyperlink"/>
          <w:color w:val="auto"/>
          <w:u w:val="none"/>
          <w:lang w:val="en-GB"/>
        </w:rPr>
        <w:t xml:space="preserve">Caspersen, J., Smeby, J-S, &amp; Aamodt, P. O. (2017). Measuring learning outcomes. </w:t>
      </w:r>
      <w:r w:rsidRPr="00515DC8">
        <w:rPr>
          <w:rStyle w:val="Hyperlink"/>
          <w:i/>
          <w:color w:val="auto"/>
          <w:u w:val="none"/>
          <w:lang w:val="en-GB"/>
        </w:rPr>
        <w:t>European Journal of Education</w:t>
      </w:r>
      <w:r w:rsidRPr="00515DC8">
        <w:rPr>
          <w:rStyle w:val="Hyperlink"/>
          <w:color w:val="auto"/>
          <w:u w:val="none"/>
          <w:lang w:val="en-GB"/>
        </w:rPr>
        <w:t xml:space="preserve">, 52, 20-30.  </w:t>
      </w:r>
    </w:p>
    <w:p w14:paraId="262A1371" w14:textId="77777777" w:rsidR="00C67EE4" w:rsidRPr="00515DC8" w:rsidRDefault="00C67EE4" w:rsidP="00C67EE4">
      <w:pPr>
        <w:shd w:val="clear" w:color="auto" w:fill="FFFFFF"/>
        <w:spacing w:line="480" w:lineRule="auto"/>
        <w:ind w:left="426" w:hanging="426"/>
        <w:rPr>
          <w:rFonts w:eastAsia="Times New Roman"/>
          <w:spacing w:val="1"/>
          <w:lang w:val="en-GB" w:eastAsia="en-GB"/>
        </w:rPr>
      </w:pPr>
      <w:r w:rsidRPr="00515DC8">
        <w:rPr>
          <w:lang w:val="en-GB"/>
        </w:rPr>
        <w:t xml:space="preserve">Cattani, L., Guidetti, G., &amp; Pedrini, G. (2017). Overeducation among Italian graduates: do different measures diverge? </w:t>
      </w:r>
      <w:hyperlink r:id="rId27" w:tooltip="Economia Politica" w:history="1">
        <w:r w:rsidRPr="00515DC8">
          <w:rPr>
            <w:rFonts w:eastAsia="Times New Roman"/>
            <w:i/>
            <w:spacing w:val="1"/>
            <w:u w:val="single"/>
            <w:lang w:val="en-GB" w:eastAsia="en-GB"/>
          </w:rPr>
          <w:t>Economia Politica</w:t>
        </w:r>
      </w:hyperlink>
      <w:r w:rsidRPr="00515DC8">
        <w:rPr>
          <w:rFonts w:eastAsia="Times New Roman"/>
          <w:i/>
          <w:spacing w:val="1"/>
          <w:lang w:val="en-GB" w:eastAsia="en-GB"/>
        </w:rPr>
        <w:t>,</w:t>
      </w:r>
      <w:r w:rsidRPr="00515DC8">
        <w:rPr>
          <w:rFonts w:eastAsia="Times New Roman"/>
          <w:spacing w:val="1"/>
          <w:lang w:val="en-GB" w:eastAsia="en-GB"/>
        </w:rPr>
        <w:t xml:space="preserve"> 1–31. Retrieved from </w:t>
      </w:r>
      <w:hyperlink r:id="rId28" w:history="1">
        <w:r w:rsidRPr="00515DC8">
          <w:rPr>
            <w:rStyle w:val="Hyperlink"/>
            <w:rFonts w:eastAsia="Times New Roman"/>
            <w:spacing w:val="1"/>
            <w:lang w:val="en-GB" w:eastAsia="en-GB"/>
          </w:rPr>
          <w:t>https://link.springer.com/article/10.1007/s40888-017-0075-1</w:t>
        </w:r>
      </w:hyperlink>
    </w:p>
    <w:p w14:paraId="4ADB5A41" w14:textId="6E84218A" w:rsidR="00BB3336" w:rsidRPr="00515DC8" w:rsidRDefault="00BB3336" w:rsidP="00BB3336">
      <w:pPr>
        <w:shd w:val="clear" w:color="auto" w:fill="FFFFFF"/>
        <w:spacing w:line="480" w:lineRule="auto"/>
        <w:ind w:left="425" w:hanging="425"/>
        <w:rPr>
          <w:rFonts w:eastAsia="Times New Roman"/>
          <w:spacing w:val="1"/>
          <w:lang w:val="en-GB" w:eastAsia="en-GB"/>
        </w:rPr>
      </w:pPr>
      <w:r w:rsidRPr="00515DC8">
        <w:rPr>
          <w:rFonts w:eastAsia="Times New Roman"/>
          <w:lang w:val="en-GB"/>
        </w:rPr>
        <w:t xml:space="preserve">Cattell, R. B. (1944). Psychological measurement: normative, ipsative interactive.  </w:t>
      </w:r>
    </w:p>
    <w:p w14:paraId="3738A10E" w14:textId="636240BC" w:rsidR="00C67EE4" w:rsidRPr="00515DC8" w:rsidRDefault="00C67EE4" w:rsidP="00BB3336">
      <w:pPr>
        <w:spacing w:line="480" w:lineRule="auto"/>
        <w:ind w:left="425"/>
        <w:rPr>
          <w:rFonts w:eastAsia="Times New Roman"/>
          <w:shd w:val="clear" w:color="auto" w:fill="FFFFFF"/>
          <w:lang w:val="en-GB"/>
        </w:rPr>
      </w:pPr>
      <w:r w:rsidRPr="00515DC8">
        <w:rPr>
          <w:rFonts w:eastAsia="Times New Roman"/>
          <w:i/>
          <w:iCs/>
          <w:lang w:val="en-GB"/>
        </w:rPr>
        <w:t>Psychological Review</w:t>
      </w:r>
      <w:r w:rsidRPr="00515DC8">
        <w:rPr>
          <w:rFonts w:eastAsia="Times New Roman"/>
          <w:lang w:val="en-GB"/>
        </w:rPr>
        <w:t>, </w:t>
      </w:r>
      <w:r w:rsidRPr="00515DC8">
        <w:rPr>
          <w:rFonts w:eastAsia="Times New Roman"/>
          <w:i/>
          <w:iCs/>
          <w:lang w:val="en-GB"/>
        </w:rPr>
        <w:t>51</w:t>
      </w:r>
      <w:r w:rsidRPr="00515DC8">
        <w:rPr>
          <w:rFonts w:eastAsia="Times New Roman"/>
          <w:lang w:val="en-GB"/>
        </w:rPr>
        <w:t xml:space="preserve">(5), 292-303. </w:t>
      </w:r>
    </w:p>
    <w:p w14:paraId="1287691C" w14:textId="77777777" w:rsidR="00C67EE4" w:rsidRPr="00515DC8" w:rsidRDefault="00C67EE4" w:rsidP="00C67EE4">
      <w:pPr>
        <w:spacing w:line="480" w:lineRule="auto"/>
        <w:ind w:left="426" w:hanging="426"/>
        <w:rPr>
          <w:rFonts w:eastAsia="Times New Roman"/>
          <w:shd w:val="clear" w:color="auto" w:fill="FFFFFF"/>
          <w:lang w:val="en-GB"/>
        </w:rPr>
      </w:pPr>
      <w:r w:rsidRPr="00515DC8">
        <w:rPr>
          <w:rFonts w:eastAsia="Times New Roman"/>
          <w:shd w:val="clear" w:color="auto" w:fill="FFFFFF"/>
          <w:lang w:val="en-GB"/>
        </w:rPr>
        <w:t>Cattell, R. B. (1972). The 16 P.F. and basic personality structure: A reply to Eysenck. </w:t>
      </w:r>
      <w:r w:rsidRPr="00515DC8">
        <w:rPr>
          <w:rStyle w:val="Emphasis"/>
          <w:rFonts w:eastAsia="Times New Roman"/>
          <w:shd w:val="clear" w:color="auto" w:fill="FFFFFF"/>
          <w:lang w:val="en-GB"/>
        </w:rPr>
        <w:t>Journal of Behavioural Science, 1</w:t>
      </w:r>
      <w:r w:rsidRPr="00515DC8">
        <w:rPr>
          <w:rFonts w:eastAsia="Times New Roman"/>
          <w:shd w:val="clear" w:color="auto" w:fill="FFFFFF"/>
          <w:lang w:val="en-GB"/>
        </w:rPr>
        <w:t>(4), 169-187.</w:t>
      </w:r>
    </w:p>
    <w:p w14:paraId="6FD81489" w14:textId="6601C1C2" w:rsidR="00C67EE4" w:rsidRPr="00515DC8" w:rsidRDefault="00C67EE4" w:rsidP="00C67EE4">
      <w:pPr>
        <w:spacing w:line="480" w:lineRule="auto"/>
        <w:ind w:left="426" w:hanging="426"/>
        <w:rPr>
          <w:rStyle w:val="Hyperlink"/>
          <w:color w:val="auto"/>
          <w:lang w:val="en-GB"/>
        </w:rPr>
      </w:pPr>
      <w:r w:rsidRPr="00515DC8">
        <w:rPr>
          <w:rStyle w:val="Hyperlink"/>
          <w:color w:val="auto"/>
          <w:u w:val="none"/>
          <w:lang w:val="en-GB"/>
        </w:rPr>
        <w:t xml:space="preserve">Center of Inquiry (2016). Wabash </w:t>
      </w:r>
      <w:r w:rsidR="00BE7741" w:rsidRPr="00515DC8">
        <w:rPr>
          <w:rStyle w:val="Hyperlink"/>
          <w:color w:val="auto"/>
          <w:u w:val="none"/>
          <w:lang w:val="en-GB"/>
        </w:rPr>
        <w:t xml:space="preserve">national study </w:t>
      </w:r>
      <w:r w:rsidRPr="00515DC8">
        <w:rPr>
          <w:rStyle w:val="Hyperlink"/>
          <w:color w:val="auto"/>
          <w:u w:val="none"/>
          <w:lang w:val="en-GB"/>
        </w:rPr>
        <w:t>2006-2012. Centre of Inquiry.</w:t>
      </w:r>
      <w:r w:rsidRPr="00515DC8">
        <w:rPr>
          <w:rStyle w:val="Hyperlink"/>
          <w:color w:val="auto"/>
          <w:lang w:val="en-GB"/>
        </w:rPr>
        <w:t xml:space="preserve"> </w:t>
      </w:r>
      <w:r w:rsidRPr="00515DC8">
        <w:rPr>
          <w:rStyle w:val="Hyperlink"/>
          <w:color w:val="auto"/>
          <w:u w:val="none"/>
          <w:lang w:val="en-GB"/>
        </w:rPr>
        <w:t>Retrieved from</w:t>
      </w:r>
      <w:r w:rsidRPr="00515DC8">
        <w:rPr>
          <w:rStyle w:val="Hyperlink"/>
          <w:color w:val="auto"/>
          <w:lang w:val="en-GB"/>
        </w:rPr>
        <w:t xml:space="preserve"> http://www.liberalarts.wabash.edu/study-research/</w:t>
      </w:r>
    </w:p>
    <w:p w14:paraId="4F98C2E8" w14:textId="77777777" w:rsidR="00C67EE4" w:rsidRPr="00515DC8" w:rsidRDefault="00C67EE4" w:rsidP="00C67EE4">
      <w:pPr>
        <w:spacing w:line="480" w:lineRule="auto"/>
        <w:ind w:left="426" w:hanging="426"/>
        <w:rPr>
          <w:b/>
          <w:bCs/>
          <w:lang w:val="en-GB"/>
        </w:rPr>
      </w:pPr>
      <w:r w:rsidRPr="00515DC8">
        <w:rPr>
          <w:lang w:val="en-GB"/>
        </w:rPr>
        <w:t xml:space="preserve">Coates, H.  (2016). </w:t>
      </w:r>
      <w:r w:rsidRPr="00515DC8">
        <w:rPr>
          <w:i/>
          <w:lang w:val="en-GB"/>
        </w:rPr>
        <w:t xml:space="preserve">The market for learning: </w:t>
      </w:r>
      <w:r w:rsidRPr="00515DC8">
        <w:rPr>
          <w:bCs/>
          <w:i/>
          <w:lang w:val="en-GB"/>
        </w:rPr>
        <w:t>leading transparent higher education</w:t>
      </w:r>
      <w:r w:rsidRPr="00515DC8">
        <w:rPr>
          <w:bCs/>
          <w:lang w:val="en-GB"/>
        </w:rPr>
        <w:t>. Melbourne, Australia: Springer.</w:t>
      </w:r>
      <w:r w:rsidRPr="00515DC8">
        <w:rPr>
          <w:b/>
          <w:bCs/>
          <w:lang w:val="en-GB"/>
        </w:rPr>
        <w:t xml:space="preserve"> </w:t>
      </w:r>
    </w:p>
    <w:p w14:paraId="327A10EE" w14:textId="77777777" w:rsidR="00C67EE4" w:rsidRPr="00515DC8" w:rsidRDefault="00C67EE4" w:rsidP="00C67EE4">
      <w:pPr>
        <w:spacing w:line="480" w:lineRule="auto"/>
        <w:ind w:left="426" w:hanging="426"/>
        <w:rPr>
          <w:u w:val="single"/>
          <w:lang w:val="en-GB"/>
        </w:rPr>
      </w:pPr>
      <w:r w:rsidRPr="00515DC8">
        <w:rPr>
          <w:bCs/>
          <w:lang w:val="en-GB"/>
        </w:rPr>
        <w:t xml:space="preserve">Coates, H., &amp; McCormick, A. (eds.) (2014). </w:t>
      </w:r>
      <w:r w:rsidRPr="00515DC8">
        <w:rPr>
          <w:bCs/>
          <w:i/>
          <w:lang w:val="en-GB"/>
        </w:rPr>
        <w:t>Engaging university students: International insights from system-wide studies</w:t>
      </w:r>
      <w:r w:rsidRPr="00515DC8">
        <w:rPr>
          <w:bCs/>
          <w:lang w:val="en-GB"/>
        </w:rPr>
        <w:t>. London: Springer.</w:t>
      </w:r>
      <w:r w:rsidRPr="00515DC8">
        <w:rPr>
          <w:bCs/>
          <w:u w:val="single"/>
          <w:lang w:val="en-GB"/>
        </w:rPr>
        <w:t xml:space="preserve"> </w:t>
      </w:r>
    </w:p>
    <w:p w14:paraId="0FE83B5A" w14:textId="149472B3" w:rsidR="00C67EE4" w:rsidRDefault="00C67EE4" w:rsidP="00C67EE4">
      <w:pPr>
        <w:spacing w:line="480" w:lineRule="auto"/>
        <w:ind w:left="426" w:hanging="426"/>
        <w:rPr>
          <w:lang w:val="en-GB"/>
        </w:rPr>
      </w:pPr>
      <w:r w:rsidRPr="00515DC8">
        <w:rPr>
          <w:lang w:val="en-GB"/>
        </w:rPr>
        <w:t>Collini, S. (2012)</w:t>
      </w:r>
      <w:r w:rsidR="000F6D89" w:rsidRPr="00515DC8">
        <w:rPr>
          <w:lang w:val="en-GB"/>
        </w:rPr>
        <w:t xml:space="preserve">. </w:t>
      </w:r>
      <w:r w:rsidRPr="00515DC8">
        <w:rPr>
          <w:lang w:val="en-GB"/>
        </w:rPr>
        <w:t xml:space="preserve"> </w:t>
      </w:r>
      <w:r w:rsidRPr="00515DC8">
        <w:rPr>
          <w:i/>
          <w:iCs/>
          <w:lang w:val="en-GB"/>
        </w:rPr>
        <w:t>What are universities for?</w:t>
      </w:r>
      <w:r w:rsidRPr="00515DC8">
        <w:rPr>
          <w:lang w:val="en-GB"/>
        </w:rPr>
        <w:t xml:space="preserve"> London: Penguin.</w:t>
      </w:r>
    </w:p>
    <w:p w14:paraId="0A752DB9" w14:textId="42FBCAA5" w:rsidR="003E07A9" w:rsidRPr="00515DC8" w:rsidRDefault="003E07A9" w:rsidP="00C67EE4">
      <w:pPr>
        <w:spacing w:line="480" w:lineRule="auto"/>
        <w:ind w:left="426" w:hanging="426"/>
        <w:rPr>
          <w:lang w:val="en-GB"/>
        </w:rPr>
      </w:pPr>
      <w:r>
        <w:rPr>
          <w:lang w:val="en-GB"/>
        </w:rPr>
        <w:t xml:space="preserve">Cortina, J, M. (1993).  What is coefficient alpha?  An examination of theory and applications, </w:t>
      </w:r>
      <w:r w:rsidRPr="00BE7741">
        <w:rPr>
          <w:i/>
          <w:lang w:val="en-GB"/>
        </w:rPr>
        <w:t>Journal of Applied Psychology, 78</w:t>
      </w:r>
      <w:r>
        <w:rPr>
          <w:lang w:val="en-GB"/>
        </w:rPr>
        <w:t>, 1, 98-104.</w:t>
      </w:r>
    </w:p>
    <w:p w14:paraId="4E56D8BD" w14:textId="4D870F45" w:rsidR="00C67EE4" w:rsidRPr="00515DC8" w:rsidRDefault="00C67EE4" w:rsidP="00404D06">
      <w:pPr>
        <w:pStyle w:val="Heading3"/>
        <w:spacing w:line="480" w:lineRule="auto"/>
        <w:ind w:left="426" w:hanging="426"/>
        <w:rPr>
          <w:rFonts w:ascii="Times New Roman" w:eastAsia="Times New Roman" w:hAnsi="Times New Roman" w:cs="Times New Roman"/>
          <w:bCs/>
          <w:color w:val="auto"/>
          <w:lang w:eastAsia="en-GB"/>
        </w:rPr>
      </w:pPr>
      <w:r w:rsidRPr="00BE7741">
        <w:rPr>
          <w:rFonts w:ascii="Times New Roman" w:hAnsi="Times New Roman" w:cs="Times New Roman"/>
          <w:color w:val="auto"/>
        </w:rPr>
        <w:t xml:space="preserve">Cronbach, L. J.  (1957). </w:t>
      </w:r>
      <w:r w:rsidRPr="00BE7741">
        <w:rPr>
          <w:rFonts w:ascii="Times New Roman" w:eastAsia="Times New Roman" w:hAnsi="Times New Roman" w:cs="Times New Roman"/>
          <w:bCs/>
          <w:color w:val="auto"/>
          <w:lang w:eastAsia="en-GB"/>
        </w:rPr>
        <w:t>The two disciplines of scientific psychology [</w:t>
      </w:r>
      <w:hyperlink r:id="rId29" w:anchor="f1" w:history="1">
        <w:r w:rsidRPr="00BE7741">
          <w:rPr>
            <w:rFonts w:ascii="Times New Roman" w:eastAsia="Times New Roman" w:hAnsi="Times New Roman" w:cs="Times New Roman"/>
            <w:bCs/>
            <w:color w:val="auto"/>
            <w:lang w:eastAsia="en-GB"/>
          </w:rPr>
          <w:t>1</w:t>
        </w:r>
      </w:hyperlink>
      <w:r w:rsidRPr="00BE7741">
        <w:rPr>
          <w:rFonts w:ascii="Times New Roman" w:eastAsia="Times New Roman" w:hAnsi="Times New Roman" w:cs="Times New Roman"/>
          <w:bCs/>
          <w:color w:val="auto"/>
          <w:lang w:eastAsia="en-GB"/>
        </w:rPr>
        <w:t>]</w:t>
      </w:r>
      <w:r w:rsidR="00BB3336" w:rsidRPr="00BE7741">
        <w:rPr>
          <w:rFonts w:ascii="Times New Roman" w:eastAsia="Times New Roman" w:hAnsi="Times New Roman" w:cs="Times New Roman"/>
          <w:bCs/>
          <w:color w:val="auto"/>
          <w:lang w:eastAsia="en-GB"/>
        </w:rPr>
        <w:t xml:space="preserve">. </w:t>
      </w:r>
      <w:r w:rsidRPr="00BE7741">
        <w:rPr>
          <w:rFonts w:ascii="Times New Roman" w:eastAsia="Times New Roman" w:hAnsi="Times New Roman" w:cs="Times New Roman"/>
          <w:i/>
          <w:iCs/>
          <w:color w:val="auto"/>
          <w:lang w:eastAsia="en-GB"/>
        </w:rPr>
        <w:t>American Psychologist</w:t>
      </w:r>
      <w:r w:rsidRPr="00BE7741">
        <w:rPr>
          <w:rFonts w:ascii="Times New Roman" w:eastAsia="Times New Roman" w:hAnsi="Times New Roman" w:cs="Times New Roman"/>
          <w:color w:val="auto"/>
          <w:lang w:eastAsia="en-GB"/>
        </w:rPr>
        <w:t xml:space="preserve">, </w:t>
      </w:r>
      <w:r w:rsidRPr="00BE7741">
        <w:rPr>
          <w:rFonts w:ascii="Times New Roman" w:eastAsia="Times New Roman" w:hAnsi="Times New Roman" w:cs="Times New Roman"/>
          <w:i/>
          <w:iCs/>
          <w:color w:val="auto"/>
          <w:lang w:eastAsia="en-GB"/>
        </w:rPr>
        <w:t>12</w:t>
      </w:r>
      <w:r w:rsidRPr="00BE7741">
        <w:rPr>
          <w:rFonts w:ascii="Times New Roman" w:eastAsia="Times New Roman" w:hAnsi="Times New Roman" w:cs="Times New Roman"/>
          <w:color w:val="auto"/>
          <w:lang w:eastAsia="en-GB"/>
        </w:rPr>
        <w:t>, 671-684.</w:t>
      </w:r>
    </w:p>
    <w:p w14:paraId="74C5B594" w14:textId="77777777" w:rsidR="00C67EE4" w:rsidRPr="00515DC8" w:rsidRDefault="00C67EE4" w:rsidP="00C67EE4">
      <w:pPr>
        <w:spacing w:line="480" w:lineRule="auto"/>
        <w:ind w:left="425" w:hanging="426"/>
        <w:rPr>
          <w:rFonts w:eastAsia="Times New Roman"/>
          <w:lang w:val="en-GB" w:eastAsia="en-GB"/>
        </w:rPr>
      </w:pPr>
      <w:r w:rsidRPr="00515DC8">
        <w:rPr>
          <w:rFonts w:eastAsia="Times New Roman"/>
          <w:lang w:val="en-GB" w:eastAsia="en-GB"/>
        </w:rPr>
        <w:t xml:space="preserve">Darwin, S. (2017). What contemporary work are student ratings actually doing in higher education. </w:t>
      </w:r>
      <w:r w:rsidRPr="00515DC8">
        <w:rPr>
          <w:rFonts w:eastAsia="Times New Roman"/>
          <w:i/>
          <w:lang w:val="en-GB" w:eastAsia="en-GB"/>
        </w:rPr>
        <w:t>Studies in Educational Evaluation, 54</w:t>
      </w:r>
      <w:r w:rsidRPr="00515DC8">
        <w:rPr>
          <w:rFonts w:eastAsia="Times New Roman"/>
          <w:lang w:val="en-GB" w:eastAsia="en-GB"/>
        </w:rPr>
        <w:t xml:space="preserve">, 13-21. </w:t>
      </w:r>
    </w:p>
    <w:p w14:paraId="5FD3F6AF" w14:textId="77777777" w:rsidR="00C67EE4" w:rsidRPr="00515DC8" w:rsidRDefault="00C67EE4" w:rsidP="00C67EE4">
      <w:pPr>
        <w:spacing w:line="480" w:lineRule="auto"/>
        <w:ind w:left="425" w:hanging="426"/>
        <w:rPr>
          <w:lang w:val="en-GB"/>
        </w:rPr>
      </w:pPr>
      <w:r w:rsidRPr="00515DC8">
        <w:rPr>
          <w:lang w:val="en-GB"/>
        </w:rPr>
        <w:t>Dawson, P. &amp; Dawson, S. L. (2016). Sharing successes and hiding failures: ‘reporting bias’ in learning and teaching research</w:t>
      </w:r>
      <w:r w:rsidRPr="00515DC8">
        <w:rPr>
          <w:i/>
          <w:iCs/>
          <w:lang w:val="en-GB"/>
        </w:rPr>
        <w:t>.  Studies in Higher Education</w:t>
      </w:r>
      <w:r w:rsidRPr="00515DC8">
        <w:rPr>
          <w:lang w:val="en-GB"/>
        </w:rPr>
        <w:t xml:space="preserve">, 1-12. Retrieved from </w:t>
      </w:r>
      <w:hyperlink r:id="rId30" w:history="1">
        <w:r w:rsidRPr="00515DC8">
          <w:rPr>
            <w:color w:val="0000FF"/>
            <w:u w:val="single"/>
            <w:lang w:val="en-GB"/>
          </w:rPr>
          <w:t>https://0-doi-org.lib.exeter.ac.uk/10.1080/03075079.2016.1258052</w:t>
        </w:r>
      </w:hyperlink>
      <w:r w:rsidRPr="00515DC8">
        <w:rPr>
          <w:lang w:val="en-GB"/>
        </w:rPr>
        <w:t xml:space="preserve"> </w:t>
      </w:r>
    </w:p>
    <w:p w14:paraId="61AB8498" w14:textId="77777777" w:rsidR="00C67EE4" w:rsidRPr="00515DC8" w:rsidRDefault="00C67EE4" w:rsidP="00C67EE4">
      <w:pPr>
        <w:spacing w:line="480" w:lineRule="auto"/>
        <w:ind w:left="426" w:hanging="426"/>
        <w:rPr>
          <w:lang w:val="en-GB"/>
        </w:rPr>
      </w:pPr>
      <w:r w:rsidRPr="00515DC8">
        <w:rPr>
          <w:lang w:val="en-GB"/>
        </w:rPr>
        <w:t xml:space="preserve">Des Jarlais, D. C., Lyles, C., Crepaz, N., &amp; the Trend Group (2004). Improving the reporting quality of nonrandomized evaluations of behavioral and public health interventions: The TREND statement. </w:t>
      </w:r>
      <w:r w:rsidRPr="00515DC8">
        <w:rPr>
          <w:i/>
          <w:iCs/>
          <w:lang w:val="en-GB"/>
        </w:rPr>
        <w:t>American Journal of Public Health</w:t>
      </w:r>
      <w:r w:rsidRPr="00515DC8">
        <w:rPr>
          <w:i/>
          <w:lang w:val="en-GB"/>
        </w:rPr>
        <w:t>, 94</w:t>
      </w:r>
      <w:r w:rsidRPr="00515DC8">
        <w:rPr>
          <w:lang w:val="en-GB"/>
        </w:rPr>
        <w:t xml:space="preserve">, 361-366. Retrieved from </w:t>
      </w:r>
      <w:hyperlink r:id="rId31" w:history="1">
        <w:r w:rsidRPr="00515DC8">
          <w:rPr>
            <w:rStyle w:val="Hyperlink"/>
            <w:lang w:val="en-GB"/>
          </w:rPr>
          <w:t>http://www.cdc.gov/trendstatement/</w:t>
        </w:r>
      </w:hyperlink>
    </w:p>
    <w:p w14:paraId="0C0AA013" w14:textId="261D7A1C" w:rsidR="00C67EE4" w:rsidRPr="00515DC8" w:rsidRDefault="00C67EE4" w:rsidP="00C67EE4">
      <w:pPr>
        <w:spacing w:line="480" w:lineRule="auto"/>
        <w:ind w:left="426" w:hanging="426"/>
        <w:rPr>
          <w:rStyle w:val="Hyperlink"/>
          <w:lang w:val="en-GB"/>
        </w:rPr>
      </w:pPr>
      <w:r w:rsidRPr="00515DC8">
        <w:rPr>
          <w:lang w:val="en-GB"/>
        </w:rPr>
        <w:t>DfE (2017). Teaching</w:t>
      </w:r>
      <w:r w:rsidR="00BE7741" w:rsidRPr="00515DC8">
        <w:rPr>
          <w:lang w:val="en-GB"/>
        </w:rPr>
        <w:t xml:space="preserve"> excellence and student outcomes framework specification</w:t>
      </w:r>
      <w:r w:rsidRPr="00515DC8">
        <w:rPr>
          <w:lang w:val="en-GB"/>
        </w:rPr>
        <w:t xml:space="preserve">. London, UK. Department for Education. Retrieved from </w:t>
      </w:r>
      <w:hyperlink r:id="rId32" w:history="1">
        <w:r w:rsidRPr="00515DC8">
          <w:rPr>
            <w:rStyle w:val="Hyperlink"/>
            <w:lang w:val="en-GB"/>
          </w:rPr>
          <w:t>https://www.gov.uk/government/uploads/system/uploads/attachment_data/file/658490/Teaching_Excellence_and_Student_Outcomes_Framework_Specification.pdf</w:t>
        </w:r>
      </w:hyperlink>
    </w:p>
    <w:p w14:paraId="0EABBF1D" w14:textId="77777777" w:rsidR="00C67EE4" w:rsidRPr="00515DC8" w:rsidRDefault="00C67EE4" w:rsidP="00C67EE4">
      <w:pPr>
        <w:spacing w:line="480" w:lineRule="auto"/>
        <w:ind w:left="426" w:hanging="426"/>
        <w:rPr>
          <w:lang w:val="en-GB"/>
        </w:rPr>
      </w:pPr>
      <w:r w:rsidRPr="00515DC8">
        <w:rPr>
          <w:rStyle w:val="Hyperlink"/>
          <w:color w:val="auto"/>
          <w:u w:val="none"/>
          <w:lang w:val="en-GB"/>
        </w:rPr>
        <w:t>Diamond</w:t>
      </w:r>
      <w:r w:rsidRPr="00515DC8">
        <w:rPr>
          <w:rStyle w:val="Hyperlink"/>
          <w:lang w:val="en-GB"/>
        </w:rPr>
        <w:t>, A.,</w:t>
      </w:r>
      <w:r w:rsidRPr="00515DC8">
        <w:rPr>
          <w:rStyle w:val="Hyperlink"/>
          <w:color w:val="auto"/>
          <w:lang w:val="en-GB"/>
        </w:rPr>
        <w:t>Vorley, T., Roberts, J., &amp; Jones, S. (201</w:t>
      </w:r>
      <w:r w:rsidRPr="00515DC8">
        <w:rPr>
          <w:rStyle w:val="Hyperlink"/>
          <w:i/>
          <w:color w:val="auto"/>
          <w:lang w:val="en-GB"/>
        </w:rPr>
        <w:t>2). Behavioural approaches to understanding student choice</w:t>
      </w:r>
      <w:r w:rsidRPr="00515DC8">
        <w:rPr>
          <w:rStyle w:val="Hyperlink"/>
          <w:color w:val="auto"/>
          <w:lang w:val="en-GB"/>
        </w:rPr>
        <w:t xml:space="preserve">. York: Higher Education Academy. </w:t>
      </w:r>
      <w:r w:rsidRPr="00515DC8">
        <w:rPr>
          <w:rStyle w:val="Hyperlink"/>
          <w:lang w:val="en-GB"/>
        </w:rPr>
        <w:t xml:space="preserve">Retrieved from </w:t>
      </w:r>
      <w:hyperlink r:id="rId33" w:history="1">
        <w:r w:rsidRPr="00515DC8">
          <w:rPr>
            <w:rStyle w:val="Hyperlink"/>
            <w:lang w:val="en-GB"/>
          </w:rPr>
          <w:t>https://www.heacademy.ac.uk/system/files/resources/student_choice.pdf</w:t>
        </w:r>
      </w:hyperlink>
    </w:p>
    <w:p w14:paraId="6DCF7694" w14:textId="77777777" w:rsidR="00C67EE4" w:rsidRPr="00515DC8" w:rsidRDefault="00C67EE4" w:rsidP="00C67EE4">
      <w:pPr>
        <w:spacing w:line="480" w:lineRule="auto"/>
        <w:ind w:left="426" w:hanging="426"/>
        <w:rPr>
          <w:lang w:val="en-GB"/>
        </w:rPr>
      </w:pPr>
      <w:r w:rsidRPr="00515DC8">
        <w:rPr>
          <w:lang w:val="en-GB"/>
        </w:rPr>
        <w:t xml:space="preserve">DiFrancesca, D., Nietfeld, J. L., &amp; Cao, L. (2016). A comparsion of high and low achieving students on self-regulated learning variables. </w:t>
      </w:r>
      <w:r w:rsidRPr="00515DC8">
        <w:rPr>
          <w:i/>
          <w:lang w:val="en-GB"/>
        </w:rPr>
        <w:t>Learning and Individual Differences 45</w:t>
      </w:r>
      <w:r w:rsidRPr="00515DC8">
        <w:rPr>
          <w:lang w:val="en-GB"/>
        </w:rPr>
        <w:t xml:space="preserve">, 228-236. </w:t>
      </w:r>
    </w:p>
    <w:p w14:paraId="4B04EAB3" w14:textId="77777777" w:rsidR="00C67EE4" w:rsidRPr="00515DC8" w:rsidRDefault="00C67EE4" w:rsidP="00C67EE4">
      <w:pPr>
        <w:spacing w:line="480" w:lineRule="auto"/>
        <w:ind w:left="426" w:hanging="426"/>
        <w:rPr>
          <w:lang w:val="en-GB"/>
        </w:rPr>
      </w:pPr>
      <w:r w:rsidRPr="00515DC8">
        <w:rPr>
          <w:lang w:val="en-GB"/>
        </w:rPr>
        <w:t xml:space="preserve">Dinsmore, D. L. (2017). Toward a dynamic, multidimensional research framework for strategic processing. </w:t>
      </w:r>
      <w:r w:rsidRPr="00515DC8">
        <w:rPr>
          <w:i/>
          <w:lang w:val="en-GB"/>
        </w:rPr>
        <w:t>Educational Psychology Review, 29</w:t>
      </w:r>
      <w:r w:rsidRPr="00515DC8">
        <w:rPr>
          <w:lang w:val="en-GB"/>
        </w:rPr>
        <w:t>, 235-268.</w:t>
      </w:r>
    </w:p>
    <w:p w14:paraId="16ACB444" w14:textId="77777777" w:rsidR="00C67EE4" w:rsidRPr="00515DC8" w:rsidRDefault="00C67EE4" w:rsidP="00C67EE4">
      <w:pPr>
        <w:spacing w:line="480" w:lineRule="auto"/>
        <w:ind w:left="426" w:hanging="426"/>
        <w:rPr>
          <w:rStyle w:val="Hyperlink"/>
          <w:color w:val="auto"/>
          <w:u w:val="none"/>
          <w:lang w:val="en-GB"/>
        </w:rPr>
      </w:pPr>
      <w:r w:rsidRPr="00515DC8">
        <w:rPr>
          <w:rStyle w:val="Hyperlink"/>
          <w:color w:val="auto"/>
          <w:u w:val="none"/>
          <w:lang w:val="en-GB"/>
        </w:rPr>
        <w:t xml:space="preserve">Douglass, J. A., Thomson, G. &amp; Zhao, C.-M. (2012). The learning outcomes race: the value of self-reported gains in large research universities. </w:t>
      </w:r>
      <w:r w:rsidRPr="00515DC8">
        <w:rPr>
          <w:rStyle w:val="Hyperlink"/>
          <w:i/>
          <w:color w:val="auto"/>
          <w:u w:val="none"/>
          <w:lang w:val="en-GB"/>
        </w:rPr>
        <w:t>Higher Education, 64</w:t>
      </w:r>
      <w:r w:rsidRPr="00515DC8">
        <w:rPr>
          <w:rStyle w:val="Hyperlink"/>
          <w:color w:val="auto"/>
          <w:u w:val="none"/>
          <w:lang w:val="en-GB"/>
        </w:rPr>
        <w:t>, 317–335.</w:t>
      </w:r>
    </w:p>
    <w:p w14:paraId="7A8C4301" w14:textId="77777777" w:rsidR="00C67EE4" w:rsidRPr="00515DC8" w:rsidRDefault="00C67EE4" w:rsidP="00C67EE4">
      <w:pPr>
        <w:spacing w:line="480" w:lineRule="auto"/>
        <w:ind w:left="426" w:hanging="426"/>
        <w:rPr>
          <w:lang w:val="en-GB"/>
        </w:rPr>
      </w:pPr>
      <w:r w:rsidRPr="00515DC8">
        <w:rPr>
          <w:rFonts w:eastAsia="Times New Roman"/>
          <w:color w:val="333333"/>
          <w:lang w:val="en-GB" w:eastAsia="en-GB"/>
        </w:rPr>
        <w:t>Drezek McConnell, K., &amp; Rhodes, T. L. (2017).  O</w:t>
      </w:r>
      <w:r w:rsidRPr="00515DC8">
        <w:rPr>
          <w:rFonts w:eastAsia="Times New Roman"/>
          <w:i/>
          <w:color w:val="333333"/>
          <w:lang w:val="en-GB" w:eastAsia="en-GB"/>
        </w:rPr>
        <w:t xml:space="preserve">n solid ground, value report 2017. </w:t>
      </w:r>
      <w:r w:rsidRPr="00515DC8">
        <w:rPr>
          <w:lang w:val="en-GB"/>
        </w:rPr>
        <w:t>Washington, DC: Association of American Colleges and Universities.</w:t>
      </w:r>
    </w:p>
    <w:p w14:paraId="71F3874E" w14:textId="77777777" w:rsidR="00C67EE4" w:rsidRPr="00515DC8" w:rsidRDefault="00C67EE4" w:rsidP="00C67EE4">
      <w:pPr>
        <w:spacing w:line="480" w:lineRule="auto"/>
        <w:ind w:left="426" w:hanging="426"/>
        <w:rPr>
          <w:lang w:val="en-GB"/>
        </w:rPr>
      </w:pPr>
      <w:r w:rsidRPr="00515DC8">
        <w:rPr>
          <w:lang w:val="en-GB"/>
        </w:rPr>
        <w:t xml:space="preserve">Dubinksy, J. M., Roehrig, G., &amp; Varma, S. (2013).  Infusing neuroscience into teacher professional development. </w:t>
      </w:r>
      <w:r w:rsidRPr="00515DC8">
        <w:rPr>
          <w:i/>
          <w:lang w:val="en-GB"/>
        </w:rPr>
        <w:t>Educational Researcher, 43</w:t>
      </w:r>
      <w:r w:rsidRPr="00515DC8">
        <w:rPr>
          <w:lang w:val="en-GB"/>
        </w:rPr>
        <w:t>(6), 317-329.</w:t>
      </w:r>
    </w:p>
    <w:p w14:paraId="269AA49D" w14:textId="77777777" w:rsidR="00C67EE4" w:rsidRPr="00515DC8" w:rsidRDefault="00C67EE4" w:rsidP="00C67EE4">
      <w:pPr>
        <w:shd w:val="clear" w:color="auto" w:fill="FFFFFF"/>
        <w:spacing w:line="480" w:lineRule="auto"/>
        <w:ind w:left="426" w:hanging="426"/>
        <w:outlineLvl w:val="1"/>
        <w:rPr>
          <w:rStyle w:val="Hyperlink"/>
          <w:rFonts w:eastAsia="Times New Roman"/>
          <w:color w:val="auto"/>
          <w:kern w:val="36"/>
          <w:u w:val="none"/>
          <w:lang w:val="en-GB" w:eastAsia="en-GB"/>
        </w:rPr>
      </w:pPr>
      <w:r w:rsidRPr="00515DC8">
        <w:rPr>
          <w:rFonts w:eastAsia="Times New Roman"/>
          <w:kern w:val="36"/>
          <w:lang w:val="en-GB" w:eastAsia="en-GB"/>
        </w:rPr>
        <w:t xml:space="preserve">Duckworth, A. L., &amp; Yeager, D. S. (2015). Measurement matters: Assessing personal qualities other than cognitive ability for educational purposes. </w:t>
      </w:r>
      <w:r w:rsidRPr="00BE7741">
        <w:rPr>
          <w:rFonts w:eastAsia="Times New Roman"/>
          <w:i/>
          <w:kern w:val="36"/>
          <w:lang w:val="en-GB" w:eastAsia="en-GB"/>
        </w:rPr>
        <w:t>Educational Researcher, 44</w:t>
      </w:r>
      <w:r w:rsidRPr="00515DC8">
        <w:rPr>
          <w:rFonts w:eastAsia="Times New Roman"/>
          <w:kern w:val="36"/>
          <w:lang w:val="en-GB" w:eastAsia="en-GB"/>
        </w:rPr>
        <w:t>(4), 237-251.</w:t>
      </w:r>
    </w:p>
    <w:p w14:paraId="15A9D675" w14:textId="1A6D0F93" w:rsidR="00C67EE4" w:rsidRPr="00515DC8" w:rsidRDefault="00C67EE4" w:rsidP="00C67EE4">
      <w:pPr>
        <w:spacing w:line="480" w:lineRule="auto"/>
        <w:ind w:left="426" w:hanging="426"/>
        <w:rPr>
          <w:lang w:val="en-GB"/>
        </w:rPr>
      </w:pPr>
      <w:r w:rsidRPr="00515DC8">
        <w:rPr>
          <w:lang w:val="en-GB"/>
        </w:rPr>
        <w:t xml:space="preserve">Dudas, B. (2015). What lies ahead for students and learning gain in the UK? National Union of Students. </w:t>
      </w:r>
      <w:r w:rsidR="00BB3336" w:rsidRPr="00515DC8">
        <w:rPr>
          <w:lang w:val="en-GB"/>
        </w:rPr>
        <w:t xml:space="preserve">Presentation at </w:t>
      </w:r>
      <w:r w:rsidR="00050204">
        <w:rPr>
          <w:lang w:val="en-GB"/>
        </w:rPr>
        <w:t>l</w:t>
      </w:r>
      <w:r w:rsidRPr="00515DC8">
        <w:rPr>
          <w:lang w:val="en-GB"/>
        </w:rPr>
        <w:t>earning gain in higher education – HEFCE/OfS Second National Conference 10 November, 2016 London</w:t>
      </w:r>
      <w:r w:rsidR="00BB3336" w:rsidRPr="00515DC8">
        <w:rPr>
          <w:lang w:val="en-GB"/>
        </w:rPr>
        <w:t>, UK</w:t>
      </w:r>
      <w:r w:rsidRPr="00515DC8">
        <w:rPr>
          <w:lang w:val="en-GB"/>
        </w:rPr>
        <w:t xml:space="preserve">. </w:t>
      </w:r>
    </w:p>
    <w:p w14:paraId="2F94FB8E" w14:textId="77777777" w:rsidR="00C67EE4" w:rsidRPr="00515DC8" w:rsidRDefault="00C67EE4" w:rsidP="00C67EE4">
      <w:pPr>
        <w:spacing w:line="480" w:lineRule="auto"/>
        <w:ind w:left="426" w:hanging="426"/>
        <w:rPr>
          <w:shd w:val="clear" w:color="auto" w:fill="FFFFFF"/>
          <w:lang w:val="en-GB"/>
        </w:rPr>
      </w:pPr>
      <w:r w:rsidRPr="00515DC8">
        <w:rPr>
          <w:shd w:val="clear" w:color="auto" w:fill="FFFFFF"/>
          <w:lang w:val="en-GB"/>
        </w:rPr>
        <w:t xml:space="preserve">Duncker, K. (1945). On problem solving. </w:t>
      </w:r>
      <w:r w:rsidRPr="00515DC8">
        <w:rPr>
          <w:i/>
          <w:shd w:val="clear" w:color="auto" w:fill="FFFFFF"/>
          <w:lang w:val="en-GB"/>
        </w:rPr>
        <w:t>Psychological Monographs, 58.</w:t>
      </w:r>
      <w:r w:rsidRPr="00515DC8">
        <w:rPr>
          <w:shd w:val="clear" w:color="auto" w:fill="FFFFFF"/>
          <w:lang w:val="en-GB"/>
        </w:rPr>
        <w:t xml:space="preserve"> Whole no. 270.</w:t>
      </w:r>
    </w:p>
    <w:p w14:paraId="01834125" w14:textId="77777777" w:rsidR="00C67EE4" w:rsidRPr="00515DC8" w:rsidRDefault="00C67EE4" w:rsidP="00C67EE4">
      <w:pPr>
        <w:spacing w:line="480" w:lineRule="auto"/>
        <w:ind w:left="426" w:hanging="426"/>
        <w:rPr>
          <w:lang w:val="en-GB"/>
        </w:rPr>
      </w:pPr>
      <w:r w:rsidRPr="00515DC8">
        <w:rPr>
          <w:lang w:val="en-GB"/>
        </w:rPr>
        <w:t>Dunlosky, J., Rawson, K. A., Marsh, E. J., Nathan, M. J., &amp; Willingham, D. T. (2013). Improving students’ learning with effective learning techniques: Promising directions from cognitive and educational psychology.</w:t>
      </w:r>
      <w:r w:rsidRPr="00515DC8">
        <w:rPr>
          <w:i/>
          <w:lang w:val="en-GB"/>
        </w:rPr>
        <w:t xml:space="preserve"> Psychological Science in the Public Interest, 14</w:t>
      </w:r>
      <w:r w:rsidRPr="00515DC8">
        <w:rPr>
          <w:lang w:val="en-GB"/>
        </w:rPr>
        <w:t>(1), 4-5.</w:t>
      </w:r>
    </w:p>
    <w:p w14:paraId="2366D1A7" w14:textId="271F9F21" w:rsidR="00C67EE4" w:rsidRPr="00515DC8" w:rsidRDefault="00C67EE4" w:rsidP="00C67EE4">
      <w:pPr>
        <w:spacing w:line="480" w:lineRule="auto"/>
        <w:ind w:left="426" w:hanging="426"/>
        <w:rPr>
          <w:rFonts w:eastAsia="Times New Roman"/>
          <w:lang w:val="en-GB"/>
        </w:rPr>
      </w:pPr>
      <w:r w:rsidRPr="00515DC8">
        <w:rPr>
          <w:rFonts w:eastAsia="Times New Roman"/>
          <w:color w:val="1A1A1A"/>
          <w:shd w:val="clear" w:color="auto" w:fill="FFFFFC"/>
          <w:lang w:val="en-GB"/>
        </w:rPr>
        <w:t xml:space="preserve">Dunne, </w:t>
      </w:r>
      <w:r w:rsidR="000F6D89" w:rsidRPr="00515DC8">
        <w:rPr>
          <w:rFonts w:eastAsia="Times New Roman"/>
          <w:color w:val="1A1A1A"/>
          <w:shd w:val="clear" w:color="auto" w:fill="FFFFFC"/>
          <w:lang w:val="en-GB"/>
        </w:rPr>
        <w:t xml:space="preserve">E., Zandstra, R., Brown, T., &amp; </w:t>
      </w:r>
      <w:r w:rsidRPr="00515DC8">
        <w:rPr>
          <w:rFonts w:eastAsia="Times New Roman"/>
          <w:color w:val="1A1A1A"/>
          <w:shd w:val="clear" w:color="auto" w:fill="FFFFFC"/>
          <w:lang w:val="en-GB"/>
        </w:rPr>
        <w:t xml:space="preserve">Nurser, T. (2011). </w:t>
      </w:r>
      <w:r w:rsidRPr="00515DC8">
        <w:rPr>
          <w:rFonts w:eastAsia="Times New Roman"/>
          <w:i/>
          <w:iCs/>
          <w:color w:val="1A1A1A"/>
          <w:shd w:val="clear" w:color="auto" w:fill="FFFFFC"/>
          <w:lang w:val="en-GB"/>
        </w:rPr>
        <w:t>Students as change agents: new ways of engaging with learning and teaching in higher education.</w:t>
      </w:r>
      <w:r w:rsidRPr="00515DC8">
        <w:rPr>
          <w:rFonts w:eastAsia="Times New Roman"/>
          <w:color w:val="1A1A1A"/>
          <w:shd w:val="clear" w:color="auto" w:fill="FFFFFC"/>
          <w:lang w:val="en-GB"/>
        </w:rPr>
        <w:t xml:space="preserve"> ESCalate (Education Subject Centre of the Higher Education Academy</w:t>
      </w:r>
      <w:r w:rsidRPr="00515DC8">
        <w:rPr>
          <w:rFonts w:eastAsia="Times New Roman"/>
          <w:color w:val="1A1A1A"/>
          <w:lang w:val="en-GB"/>
        </w:rPr>
        <w:t xml:space="preserve">; </w:t>
      </w:r>
      <w:r w:rsidRPr="00515DC8">
        <w:rPr>
          <w:rFonts w:eastAsia="Times New Roman"/>
          <w:color w:val="1A1A1A"/>
          <w:shd w:val="clear" w:color="auto" w:fill="FFFFFC"/>
          <w:lang w:val="en-GB"/>
        </w:rPr>
        <w:t>University of Exeter, corp creators. Retrieved from</w:t>
      </w:r>
    </w:p>
    <w:p w14:paraId="3A85C9C3" w14:textId="77777777" w:rsidR="00C67EE4" w:rsidRPr="00515DC8" w:rsidRDefault="00696A17" w:rsidP="00C67EE4">
      <w:pPr>
        <w:shd w:val="clear" w:color="auto" w:fill="FFFFFF"/>
        <w:spacing w:line="480" w:lineRule="auto"/>
        <w:ind w:left="426"/>
        <w:outlineLvl w:val="1"/>
        <w:rPr>
          <w:rFonts w:eastAsia="Times New Roman"/>
          <w:kern w:val="36"/>
          <w:lang w:val="en-GB" w:eastAsia="en-GB"/>
        </w:rPr>
      </w:pPr>
      <w:hyperlink r:id="rId34" w:history="1">
        <w:r w:rsidR="00C67EE4" w:rsidRPr="00515DC8">
          <w:rPr>
            <w:rStyle w:val="Hyperlink"/>
            <w:rFonts w:eastAsia="Times New Roman"/>
            <w:color w:val="07408E"/>
            <w:shd w:val="clear" w:color="auto" w:fill="FFFFFC"/>
            <w:lang w:val="en-GB"/>
          </w:rPr>
          <w:t>http://dera.ioe.ac.uk/id/eprint/14767</w:t>
        </w:r>
      </w:hyperlink>
    </w:p>
    <w:p w14:paraId="67926F85" w14:textId="77777777" w:rsidR="00C67EE4" w:rsidRPr="00515DC8" w:rsidRDefault="00C67EE4" w:rsidP="00C67EE4">
      <w:pPr>
        <w:spacing w:line="480" w:lineRule="auto"/>
        <w:ind w:left="426" w:hanging="426"/>
        <w:outlineLvl w:val="3"/>
        <w:rPr>
          <w:rFonts w:eastAsia="Times New Roman"/>
          <w:i/>
          <w:iCs/>
          <w:lang w:val="en-GB" w:eastAsia="en-GB"/>
        </w:rPr>
      </w:pPr>
      <w:r w:rsidRPr="00515DC8">
        <w:rPr>
          <w:rFonts w:eastAsia="Times New Roman"/>
          <w:lang w:val="en-GB" w:eastAsia="en-GB"/>
        </w:rPr>
        <w:t xml:space="preserve">Edge Foundation. (2016). </w:t>
      </w:r>
      <w:hyperlink r:id="rId35" w:history="1">
        <w:r w:rsidRPr="00515DC8">
          <w:rPr>
            <w:rFonts w:eastAsia="Times New Roman"/>
            <w:i/>
            <w:lang w:val="en-GB" w:eastAsia="en-GB"/>
          </w:rPr>
          <w:t>The digital revolution: the impact of the fourth industrial revolution on employment and education.</w:t>
        </w:r>
      </w:hyperlink>
      <w:r w:rsidRPr="00515DC8">
        <w:rPr>
          <w:rFonts w:eastAsia="Times New Roman"/>
          <w:i/>
          <w:lang w:val="en-GB" w:eastAsia="en-GB"/>
        </w:rPr>
        <w:t xml:space="preserve"> </w:t>
      </w:r>
      <w:r w:rsidRPr="00515DC8">
        <w:rPr>
          <w:rFonts w:eastAsia="Times New Roman"/>
          <w:lang w:val="en-GB" w:eastAsia="en-GB"/>
        </w:rPr>
        <w:t>London, England. Retrieved from https: //</w:t>
      </w:r>
      <w:r w:rsidRPr="00515DC8">
        <w:rPr>
          <w:rFonts w:eastAsia="Times New Roman"/>
          <w:i/>
          <w:iCs/>
          <w:lang w:val="en-GB" w:eastAsia="en-GB"/>
        </w:rPr>
        <w:t>www.voced.edu.au/content/ngv%3A73764.</w:t>
      </w:r>
    </w:p>
    <w:p w14:paraId="77CD3347" w14:textId="16856C2B" w:rsidR="00C67EE4" w:rsidRPr="00515DC8" w:rsidRDefault="00C67EE4" w:rsidP="00C67EE4">
      <w:pPr>
        <w:spacing w:line="480" w:lineRule="auto"/>
        <w:ind w:left="426" w:hanging="426"/>
        <w:rPr>
          <w:rFonts w:eastAsia="Times New Roman"/>
          <w:shd w:val="clear" w:color="auto" w:fill="FFFFFF"/>
          <w:lang w:val="en-GB"/>
        </w:rPr>
      </w:pPr>
      <w:r w:rsidRPr="00515DC8">
        <w:rPr>
          <w:rFonts w:eastAsia="Times New Roman"/>
          <w:shd w:val="clear" w:color="auto" w:fill="FFFFFF"/>
          <w:lang w:val="en-GB"/>
        </w:rPr>
        <w:t>Edwards, M. A., &amp; Roy, S. (2017) Academic research in the 21</w:t>
      </w:r>
      <w:r w:rsidRPr="00515DC8">
        <w:rPr>
          <w:rFonts w:eastAsia="Times New Roman"/>
          <w:shd w:val="clear" w:color="auto" w:fill="FFFFFF"/>
          <w:vertAlign w:val="superscript"/>
          <w:lang w:val="en-GB"/>
        </w:rPr>
        <w:t>st</w:t>
      </w:r>
      <w:r w:rsidR="00B6512D">
        <w:rPr>
          <w:rFonts w:eastAsia="Times New Roman"/>
          <w:shd w:val="clear" w:color="auto" w:fill="FFFFFF"/>
          <w:lang w:val="en-GB"/>
        </w:rPr>
        <w:t>-</w:t>
      </w:r>
      <w:r w:rsidRPr="00515DC8">
        <w:rPr>
          <w:rFonts w:eastAsia="Times New Roman"/>
          <w:shd w:val="clear" w:color="auto" w:fill="FFFFFF"/>
          <w:lang w:val="en-GB"/>
        </w:rPr>
        <w:t xml:space="preserve">century: maintaining scientific integrity in a climate of perverse incentives and hypercompetition, </w:t>
      </w:r>
      <w:r w:rsidRPr="00515DC8">
        <w:rPr>
          <w:rFonts w:eastAsia="Times New Roman"/>
          <w:i/>
          <w:shd w:val="clear" w:color="auto" w:fill="FFFFFF"/>
          <w:lang w:val="en-GB"/>
        </w:rPr>
        <w:t>Environmental Engineering Science,</w:t>
      </w:r>
      <w:r w:rsidRPr="00515DC8">
        <w:rPr>
          <w:rFonts w:eastAsia="Times New Roman"/>
          <w:shd w:val="clear" w:color="auto" w:fill="FFFFFF"/>
          <w:lang w:val="en-GB"/>
        </w:rPr>
        <w:t xml:space="preserve"> 34, 1, 51-61.</w:t>
      </w:r>
    </w:p>
    <w:p w14:paraId="2E9804FD" w14:textId="6BE6EA78" w:rsidR="00BB3336" w:rsidRPr="00515DC8" w:rsidRDefault="00BB3336" w:rsidP="00404D06">
      <w:pPr>
        <w:pStyle w:val="Heading1"/>
        <w:spacing w:line="480" w:lineRule="auto"/>
        <w:ind w:left="426" w:hanging="426"/>
        <w:rPr>
          <w:sz w:val="24"/>
          <w:szCs w:val="24"/>
        </w:rPr>
      </w:pPr>
      <w:r w:rsidRPr="00515DC8">
        <w:rPr>
          <w:sz w:val="24"/>
          <w:szCs w:val="24"/>
        </w:rPr>
        <w:t xml:space="preserve">Evans, C. (2013). Making sense of assessment feedback in higher education. </w:t>
      </w:r>
      <w:r w:rsidRPr="00515DC8">
        <w:rPr>
          <w:i/>
          <w:sz w:val="24"/>
          <w:szCs w:val="24"/>
        </w:rPr>
        <w:t>Review of Educational Research, 83(1), 70-120.</w:t>
      </w:r>
      <w:r w:rsidRPr="00515DC8">
        <w:rPr>
          <w:sz w:val="24"/>
          <w:szCs w:val="24"/>
        </w:rPr>
        <w:t xml:space="preserve"> </w:t>
      </w:r>
    </w:p>
    <w:p w14:paraId="16353590" w14:textId="77777777" w:rsidR="00C67EE4" w:rsidRPr="00515DC8" w:rsidRDefault="00C67EE4" w:rsidP="00BB3336">
      <w:pPr>
        <w:spacing w:line="480" w:lineRule="auto"/>
        <w:ind w:left="426" w:hanging="426"/>
        <w:rPr>
          <w:lang w:val="en-GB"/>
        </w:rPr>
      </w:pPr>
      <w:r w:rsidRPr="00515DC8">
        <w:rPr>
          <w:lang w:val="en-GB"/>
        </w:rPr>
        <w:t>Evans, C.  (2016, 2018). Enhancing assessment feedback practice in higher education; The EAT Framework. Southampton: University of Southampton.</w:t>
      </w:r>
    </w:p>
    <w:p w14:paraId="12549814" w14:textId="77777777" w:rsidR="00C67EE4" w:rsidRPr="00515DC8" w:rsidRDefault="00C67EE4" w:rsidP="00C67EE4">
      <w:pPr>
        <w:spacing w:line="480" w:lineRule="auto"/>
        <w:ind w:left="426" w:hanging="426"/>
        <w:rPr>
          <w:lang w:val="en-GB"/>
        </w:rPr>
      </w:pPr>
      <w:r w:rsidRPr="00515DC8">
        <w:rPr>
          <w:lang w:val="en-GB"/>
        </w:rPr>
        <w:t xml:space="preserve">Evans, C., with Muijs, D., &amp; Tomlinson, D. (2015). </w:t>
      </w:r>
      <w:r w:rsidRPr="00515DC8">
        <w:rPr>
          <w:i/>
          <w:lang w:val="en-GB"/>
        </w:rPr>
        <w:t xml:space="preserve">Engaged student learning: high impact strategies to enhance student achievement. </w:t>
      </w:r>
      <w:r w:rsidRPr="00515DC8">
        <w:rPr>
          <w:lang w:val="en-GB"/>
        </w:rPr>
        <w:t>York: Higher Education Academy.</w:t>
      </w:r>
    </w:p>
    <w:p w14:paraId="2D2276F7" w14:textId="55D2FCCE" w:rsidR="00E443F8" w:rsidRPr="00515DC8" w:rsidRDefault="00E443F8" w:rsidP="00C67EE4">
      <w:pPr>
        <w:spacing w:line="480" w:lineRule="auto"/>
        <w:ind w:left="426" w:hanging="426"/>
        <w:rPr>
          <w:lang w:val="en-GB"/>
        </w:rPr>
      </w:pPr>
      <w:r w:rsidRPr="00515DC8">
        <w:rPr>
          <w:lang w:val="en-GB"/>
        </w:rPr>
        <w:t>Evans, C., Waring, M., &amp; Christoudolou</w:t>
      </w:r>
      <w:r w:rsidRPr="00515DC8">
        <w:rPr>
          <w:vertAlign w:val="superscript"/>
          <w:lang w:val="en-GB"/>
        </w:rPr>
        <w:t xml:space="preserve">, </w:t>
      </w:r>
      <w:r w:rsidRPr="00515DC8">
        <w:rPr>
          <w:lang w:val="en-GB"/>
        </w:rPr>
        <w:t xml:space="preserve">A. (2017). Building teachers’ research literacy: Integrating practice and research. </w:t>
      </w:r>
      <w:r w:rsidRPr="00515DC8">
        <w:rPr>
          <w:i/>
          <w:lang w:val="en-GB"/>
        </w:rPr>
        <w:t>R</w:t>
      </w:r>
      <w:r w:rsidR="00BE7741">
        <w:rPr>
          <w:i/>
          <w:lang w:val="en-GB"/>
        </w:rPr>
        <w:t>esearch Papers in Education, 32</w:t>
      </w:r>
      <w:r w:rsidRPr="00515DC8">
        <w:rPr>
          <w:i/>
          <w:lang w:val="en-GB"/>
        </w:rPr>
        <w:t>(4), 303-423.</w:t>
      </w:r>
    </w:p>
    <w:p w14:paraId="525AE4AC" w14:textId="590698D1" w:rsidR="00C67EE4" w:rsidRPr="00515DC8" w:rsidRDefault="00C67EE4" w:rsidP="00C67EE4">
      <w:pPr>
        <w:tabs>
          <w:tab w:val="left" w:pos="3382"/>
        </w:tabs>
        <w:spacing w:line="480" w:lineRule="auto"/>
        <w:ind w:left="567" w:hanging="567"/>
        <w:rPr>
          <w:lang w:val="en-GB"/>
        </w:rPr>
      </w:pPr>
      <w:r w:rsidRPr="00515DC8">
        <w:rPr>
          <w:lang w:val="en-GB"/>
        </w:rPr>
        <w:t xml:space="preserve">Evans, C., &amp; Zhu, X. (2018). Considerations in managing complex interventions in Evans et al., 2018 </w:t>
      </w:r>
      <w:r w:rsidRPr="00515DC8">
        <w:rPr>
          <w:noProof/>
          <w:color w:val="000000"/>
          <w:lang w:val="en-GB"/>
        </w:rPr>
        <w:t xml:space="preserve">Supporting student agency and success in higher education and beyond through the development of assessment feedback skills (the ability to self-monitor and self-evaluate. </w:t>
      </w:r>
      <w:r w:rsidR="00BE7741">
        <w:rPr>
          <w:noProof/>
          <w:color w:val="000000"/>
          <w:lang w:val="en-GB"/>
        </w:rPr>
        <w:t>E</w:t>
      </w:r>
      <w:r w:rsidR="00BE7741" w:rsidRPr="00515DC8">
        <w:rPr>
          <w:noProof/>
          <w:color w:val="000000"/>
          <w:lang w:val="en-GB"/>
        </w:rPr>
        <w:t>xper</w:t>
      </w:r>
      <w:r w:rsidR="00BE7741">
        <w:rPr>
          <w:noProof/>
          <w:color w:val="000000"/>
          <w:lang w:val="en-GB"/>
        </w:rPr>
        <w:t>imental innovation final report</w:t>
      </w:r>
      <w:r w:rsidR="00BE7741" w:rsidRPr="00515DC8">
        <w:rPr>
          <w:noProof/>
          <w:color w:val="000000"/>
          <w:lang w:val="en-GB"/>
        </w:rPr>
        <w:t xml:space="preserve"> for higher educati</w:t>
      </w:r>
      <w:r w:rsidR="00BE7741">
        <w:rPr>
          <w:noProof/>
          <w:color w:val="000000"/>
          <w:lang w:val="en-GB"/>
        </w:rPr>
        <w:t>on funding council for england/</w:t>
      </w:r>
      <w:r w:rsidR="00BE7741" w:rsidRPr="00515DC8">
        <w:rPr>
          <w:noProof/>
          <w:color w:val="000000"/>
          <w:lang w:val="en-GB"/>
        </w:rPr>
        <w:t xml:space="preserve">office for students </w:t>
      </w:r>
      <w:r w:rsidRPr="00515DC8">
        <w:rPr>
          <w:noProof/>
          <w:color w:val="000000"/>
          <w:lang w:val="en-GB"/>
        </w:rPr>
        <w:t>(HEfCE/OfS)</w:t>
      </w:r>
      <w:r w:rsidR="00BE7741">
        <w:rPr>
          <w:noProof/>
          <w:color w:val="000000"/>
          <w:lang w:val="en-GB"/>
        </w:rPr>
        <w:t>, Southampton, University of Southampton</w:t>
      </w:r>
      <w:r w:rsidRPr="00515DC8">
        <w:rPr>
          <w:noProof/>
          <w:color w:val="000000"/>
          <w:lang w:val="en-GB"/>
        </w:rPr>
        <w:t xml:space="preserve">. </w:t>
      </w:r>
      <w:r w:rsidRPr="00515DC8">
        <w:rPr>
          <w:lang w:val="en-GB"/>
        </w:rPr>
        <w:t xml:space="preserve"> </w:t>
      </w:r>
    </w:p>
    <w:p w14:paraId="0403772D" w14:textId="77777777" w:rsidR="00C67EE4" w:rsidRPr="00515DC8" w:rsidRDefault="00C67EE4" w:rsidP="00C67EE4">
      <w:pPr>
        <w:spacing w:line="480" w:lineRule="auto"/>
        <w:ind w:left="426" w:hanging="426"/>
        <w:rPr>
          <w:rStyle w:val="Hyperlink"/>
          <w:rFonts w:eastAsia="Times New Roman"/>
          <w:color w:val="auto"/>
          <w:lang w:val="en-GB" w:eastAsia="en-GB"/>
        </w:rPr>
      </w:pPr>
      <w:r w:rsidRPr="00515DC8">
        <w:rPr>
          <w:rFonts w:eastAsiaTheme="minorEastAsia"/>
          <w:kern w:val="24"/>
          <w:lang w:val="en-GB" w:eastAsia="en-GB"/>
        </w:rPr>
        <w:t xml:space="preserve">Field, F. (2010). The Foundation Years: preventing poor children becoming adults. London: HM Government UK. Retrieved from </w:t>
      </w:r>
      <w:hyperlink r:id="rId36" w:history="1">
        <w:r w:rsidRPr="00515DC8">
          <w:rPr>
            <w:rStyle w:val="Hyperlink"/>
            <w:rFonts w:eastAsia="Times New Roman"/>
            <w:color w:val="auto"/>
            <w:lang w:val="en-GB" w:eastAsia="en-GB"/>
          </w:rPr>
          <w:t>http://webarchive.nationalarchives.gov.uk/20110120090141/http://povertyreview.independent.gov.uk/media/20254/poverty-report.pdf</w:t>
        </w:r>
      </w:hyperlink>
    </w:p>
    <w:p w14:paraId="13FFA0EA" w14:textId="77777777" w:rsidR="00C67EE4" w:rsidRPr="00515DC8" w:rsidRDefault="00C67EE4" w:rsidP="00C67EE4">
      <w:pPr>
        <w:spacing w:line="480" w:lineRule="auto"/>
        <w:ind w:left="426" w:hanging="426"/>
        <w:rPr>
          <w:rFonts w:eastAsia="Times New Roman"/>
          <w:lang w:val="en-GB" w:eastAsia="en-GB"/>
        </w:rPr>
      </w:pPr>
      <w:r w:rsidRPr="00515DC8">
        <w:rPr>
          <w:rFonts w:eastAsia="Times New Roman"/>
          <w:color w:val="000000"/>
          <w:lang w:val="en-GB"/>
        </w:rPr>
        <w:t>Finlay, A, &amp; Brown McNair, T. (2013). Assessing underserved students’ engagement in high-impact practices. Washington, DC: Association of American Colleges and Universities. Retrieved from https://www.aacu.org/assessinghips/report </w:t>
      </w:r>
    </w:p>
    <w:p w14:paraId="50CCE0E3" w14:textId="77777777" w:rsidR="00C67EE4" w:rsidRPr="00515DC8" w:rsidRDefault="00C67EE4" w:rsidP="00C67EE4">
      <w:pPr>
        <w:spacing w:line="480" w:lineRule="auto"/>
        <w:ind w:left="426" w:hanging="426"/>
        <w:rPr>
          <w:lang w:val="en-GB"/>
        </w:rPr>
      </w:pPr>
      <w:r w:rsidRPr="00515DC8">
        <w:rPr>
          <w:lang w:val="en-GB"/>
        </w:rPr>
        <w:t xml:space="preserve">Fisherman, T., Ludgate, A., &amp; Tutak, J. (2017). Success by design, improving outcomes in American higher education. A Deloitte center for higher education excellence series on student success. Deloitte University Press. Retrieved from </w:t>
      </w:r>
      <w:hyperlink r:id="rId37" w:history="1">
        <w:r w:rsidRPr="00515DC8">
          <w:rPr>
            <w:rStyle w:val="Hyperlink"/>
            <w:lang w:val="en-GB"/>
          </w:rPr>
          <w:t>https://www2.deloitte.com/insights/us/en/focus/reimagining-higher-education.html</w:t>
        </w:r>
      </w:hyperlink>
    </w:p>
    <w:p w14:paraId="5EDC40ED" w14:textId="77777777" w:rsidR="00C67EE4" w:rsidRPr="00515DC8" w:rsidRDefault="00C67EE4" w:rsidP="00C67EE4">
      <w:pPr>
        <w:spacing w:line="480" w:lineRule="auto"/>
        <w:ind w:left="426" w:hanging="426"/>
        <w:rPr>
          <w:rFonts w:eastAsia="Times New Roman"/>
          <w:i/>
          <w:lang w:val="en-GB" w:eastAsia="en-GB"/>
        </w:rPr>
      </w:pPr>
      <w:r w:rsidRPr="00515DC8">
        <w:rPr>
          <w:rFonts w:eastAsia="Times New Roman"/>
          <w:i/>
          <w:lang w:val="en-GB" w:eastAsia="en-GB"/>
        </w:rPr>
        <w:t xml:space="preserve">Forsythe, A., &amp; Jellicoe, M. (2018). </w:t>
      </w:r>
      <w:r w:rsidRPr="00515DC8">
        <w:rPr>
          <w:i/>
          <w:lang w:val="en-GB"/>
        </w:rPr>
        <w:t>Predicting Gainful Learning in Higher Education; a goal orientation approach. Higher Education Pedagogies (this issue).</w:t>
      </w:r>
    </w:p>
    <w:p w14:paraId="42B3A37B" w14:textId="77777777" w:rsidR="00C67EE4" w:rsidRPr="00515DC8" w:rsidRDefault="00C67EE4" w:rsidP="00C67EE4">
      <w:pPr>
        <w:spacing w:line="480" w:lineRule="auto"/>
        <w:ind w:left="426" w:hanging="426"/>
        <w:rPr>
          <w:rFonts w:eastAsia="Times New Roman"/>
          <w:lang w:val="en-GB" w:eastAsia="en-GB"/>
        </w:rPr>
      </w:pPr>
      <w:r w:rsidRPr="00515DC8">
        <w:rPr>
          <w:rFonts w:eastAsia="Times New Roman"/>
          <w:lang w:val="en-GB" w:eastAsia="en-GB"/>
        </w:rPr>
        <w:t xml:space="preserve">Friedlander, M. J., Linda Andrews, L., Armstrong, E. G., Aschenbrenner, C., Kass, J. S., Ogden, P., Schwartzstein, R., &amp; Viggiano, T. R.  (2011). What can medical education learn from the neurobiology of learning? </w:t>
      </w:r>
      <w:r w:rsidRPr="00515DC8">
        <w:rPr>
          <w:rFonts w:eastAsia="Times New Roman"/>
          <w:i/>
          <w:lang w:val="en-GB" w:eastAsia="en-GB"/>
        </w:rPr>
        <w:t>Academic Medicine, 86</w:t>
      </w:r>
      <w:r w:rsidRPr="00515DC8">
        <w:rPr>
          <w:rFonts w:eastAsia="Times New Roman"/>
          <w:lang w:val="en-GB" w:eastAsia="en-GB"/>
        </w:rPr>
        <w:t xml:space="preserve">, 415–420. </w:t>
      </w:r>
    </w:p>
    <w:p w14:paraId="0093884B" w14:textId="77777777" w:rsidR="00C67EE4" w:rsidRPr="00515DC8" w:rsidRDefault="00C67EE4" w:rsidP="00C67EE4">
      <w:pPr>
        <w:spacing w:line="480" w:lineRule="auto"/>
        <w:ind w:left="426" w:hanging="426"/>
        <w:rPr>
          <w:rFonts w:eastAsia="Times New Roman"/>
          <w:lang w:val="en-GB" w:eastAsia="en-GB"/>
        </w:rPr>
      </w:pPr>
      <w:r w:rsidRPr="00515DC8">
        <w:rPr>
          <w:rFonts w:eastAsia="Times New Roman"/>
          <w:lang w:val="en-GB" w:eastAsia="en-GB"/>
        </w:rPr>
        <w:t xml:space="preserve">Furr, R. M.  (2013). </w:t>
      </w:r>
      <w:r w:rsidRPr="00515DC8">
        <w:rPr>
          <w:rFonts w:eastAsia="Times New Roman"/>
          <w:i/>
          <w:lang w:val="en-GB" w:eastAsia="en-GB"/>
        </w:rPr>
        <w:t>Psychometrics: An introduction</w:t>
      </w:r>
      <w:r w:rsidRPr="00515DC8">
        <w:rPr>
          <w:rFonts w:eastAsia="Times New Roman"/>
          <w:lang w:val="en-GB" w:eastAsia="en-GB"/>
        </w:rPr>
        <w:t xml:space="preserve"> (3</w:t>
      </w:r>
      <w:r w:rsidRPr="00515DC8">
        <w:rPr>
          <w:rFonts w:eastAsia="Times New Roman"/>
          <w:vertAlign w:val="superscript"/>
          <w:lang w:val="en-GB" w:eastAsia="en-GB"/>
        </w:rPr>
        <w:t>rd</w:t>
      </w:r>
      <w:r w:rsidRPr="00515DC8">
        <w:rPr>
          <w:rFonts w:eastAsia="Times New Roman"/>
          <w:lang w:val="en-GB" w:eastAsia="en-GB"/>
        </w:rPr>
        <w:t xml:space="preserve"> edition). Thousand Oaks, California: Sage. </w:t>
      </w:r>
    </w:p>
    <w:p w14:paraId="36E05A39" w14:textId="77777777" w:rsidR="00C67EE4" w:rsidRPr="00515DC8" w:rsidRDefault="00C67EE4" w:rsidP="00C67EE4">
      <w:pPr>
        <w:spacing w:line="480" w:lineRule="auto"/>
        <w:ind w:left="426" w:hanging="426"/>
        <w:rPr>
          <w:lang w:val="en-GB"/>
        </w:rPr>
      </w:pPr>
      <w:r w:rsidRPr="00515DC8">
        <w:rPr>
          <w:lang w:val="en-GB"/>
        </w:rPr>
        <w:t xml:space="preserve">Gabriel, M. (2014). </w:t>
      </w:r>
      <w:r w:rsidRPr="00515DC8">
        <w:rPr>
          <w:i/>
          <w:lang w:val="en-GB"/>
        </w:rPr>
        <w:t>Making it big. Strategies for scaling social innovations.</w:t>
      </w:r>
      <w:r w:rsidRPr="00515DC8">
        <w:rPr>
          <w:lang w:val="en-GB"/>
        </w:rPr>
        <w:t xml:space="preserve"> London: Nesta. Retrieved from https://www.nesta.org.uk/sites/default/files/making_it_big-web.pdf</w:t>
      </w:r>
    </w:p>
    <w:p w14:paraId="57F2004B" w14:textId="77777777" w:rsidR="00C67EE4" w:rsidRPr="00515DC8" w:rsidRDefault="00C67EE4" w:rsidP="00C67EE4">
      <w:pPr>
        <w:spacing w:line="480" w:lineRule="auto"/>
        <w:ind w:left="426" w:hanging="426"/>
        <w:rPr>
          <w:rStyle w:val="Hyperlink"/>
          <w:color w:val="auto"/>
          <w:shd w:val="clear" w:color="auto" w:fill="FFFFFF"/>
          <w:lang w:val="en-GB"/>
        </w:rPr>
      </w:pPr>
      <w:r w:rsidRPr="00515DC8">
        <w:rPr>
          <w:shd w:val="clear" w:color="auto" w:fill="FFFFFF"/>
          <w:lang w:val="en-GB"/>
        </w:rPr>
        <w:t>Gibson, S. (2015). </w:t>
      </w:r>
      <w:hyperlink r:id="rId38" w:history="1">
        <w:r w:rsidRPr="00515DC8">
          <w:rPr>
            <w:rStyle w:val="Hyperlink"/>
            <w:color w:val="auto"/>
            <w:u w:val="none"/>
            <w:shd w:val="clear" w:color="auto" w:fill="FFFFFF"/>
            <w:lang w:val="en-GB"/>
          </w:rPr>
          <w:t>When rights are not enough: What is? Moving towards new pedagogy for inclusive education within UK universities.</w:t>
        </w:r>
      </w:hyperlink>
      <w:r w:rsidRPr="00515DC8">
        <w:rPr>
          <w:shd w:val="clear" w:color="auto" w:fill="FFFFFF"/>
          <w:lang w:val="en-GB"/>
        </w:rPr>
        <w:t> </w:t>
      </w:r>
      <w:r w:rsidRPr="00515DC8">
        <w:rPr>
          <w:i/>
          <w:iCs/>
          <w:shd w:val="clear" w:color="auto" w:fill="FFFFFF"/>
          <w:lang w:val="en-GB"/>
        </w:rPr>
        <w:t xml:space="preserve">International Journal of Inclusive Education, </w:t>
      </w:r>
      <w:r w:rsidRPr="00515DC8">
        <w:rPr>
          <w:rStyle w:val="st1"/>
          <w:color w:val="545454"/>
          <w:lang w:val="en-GB"/>
        </w:rPr>
        <w:t>19 (8), 875-886. doi: 10.1080/13603116.2015.1015177</w:t>
      </w:r>
    </w:p>
    <w:p w14:paraId="7A021C67" w14:textId="77777777" w:rsidR="00C67EE4" w:rsidRPr="00515DC8" w:rsidRDefault="00C67EE4" w:rsidP="00C67EE4">
      <w:pPr>
        <w:spacing w:line="480" w:lineRule="auto"/>
        <w:ind w:left="426" w:hanging="426"/>
        <w:rPr>
          <w:rStyle w:val="Hyperlink"/>
          <w:color w:val="auto"/>
          <w:u w:val="none"/>
          <w:shd w:val="clear" w:color="auto" w:fill="FFFFFF"/>
          <w:lang w:val="en-GB"/>
        </w:rPr>
      </w:pPr>
      <w:r w:rsidRPr="00515DC8">
        <w:rPr>
          <w:rStyle w:val="Hyperlink"/>
          <w:color w:val="auto"/>
          <w:u w:val="none"/>
          <w:shd w:val="clear" w:color="auto" w:fill="FFFFFF"/>
          <w:lang w:val="en-GB"/>
        </w:rPr>
        <w:t>Haldane, A.  (2015). Speech by Andrew G Haldane, Chief Economist, Bank of England, 12 November 2015. Retrieved from http://</w:t>
      </w:r>
      <w:hyperlink r:id="rId39" w:history="1">
        <w:r w:rsidRPr="00515DC8">
          <w:rPr>
            <w:rStyle w:val="Hyperlink"/>
            <w:color w:val="auto"/>
            <w:u w:val="none"/>
            <w:shd w:val="clear" w:color="auto" w:fill="FFFFFF"/>
            <w:lang w:val="en-GB"/>
          </w:rPr>
          <w:t>www.bankofengland.co.uk/publications/Documents/speeches/2015/speech864.pdf</w:t>
        </w:r>
      </w:hyperlink>
      <w:r w:rsidRPr="00515DC8">
        <w:rPr>
          <w:rStyle w:val="Hyperlink"/>
          <w:color w:val="auto"/>
          <w:u w:val="none"/>
          <w:shd w:val="clear" w:color="auto" w:fill="FFFFFF"/>
          <w:lang w:val="en-GB"/>
        </w:rPr>
        <w:t xml:space="preserve"> </w:t>
      </w:r>
    </w:p>
    <w:p w14:paraId="3E088F7B" w14:textId="77777777" w:rsidR="00C67EE4" w:rsidRPr="00515DC8" w:rsidRDefault="00C67EE4" w:rsidP="00C67EE4">
      <w:pPr>
        <w:spacing w:line="480" w:lineRule="auto"/>
        <w:ind w:left="426" w:hanging="426"/>
        <w:rPr>
          <w:rStyle w:val="Hyperlink"/>
          <w:color w:val="auto"/>
          <w:u w:val="none"/>
          <w:lang w:val="en-GB"/>
        </w:rPr>
      </w:pPr>
      <w:r w:rsidRPr="00515DC8">
        <w:rPr>
          <w:lang w:val="en-GB"/>
        </w:rPr>
        <w:t xml:space="preserve">Haddelsey, S., Speight, L., &amp; Brumhead, A. (2017). HEFCE/OfS, 2017 – Lincoln/ Huddersfield project. Retrieved from HEFCE </w:t>
      </w:r>
      <w:hyperlink r:id="rId40" w:history="1">
        <w:r w:rsidRPr="00515DC8">
          <w:rPr>
            <w:rStyle w:val="Hyperlink"/>
            <w:color w:val="auto"/>
            <w:u w:val="none"/>
            <w:lang w:val="en-GB"/>
          </w:rPr>
          <w:t>http://www.hefce.ac.uk/lt/lg/projects/uni-lincoln/</w:t>
        </w:r>
      </w:hyperlink>
    </w:p>
    <w:p w14:paraId="69754975" w14:textId="77777777" w:rsidR="00C67EE4" w:rsidRPr="00515DC8" w:rsidRDefault="00C67EE4" w:rsidP="00C67EE4">
      <w:pPr>
        <w:spacing w:line="480" w:lineRule="auto"/>
        <w:ind w:left="426" w:hanging="426"/>
        <w:rPr>
          <w:shd w:val="clear" w:color="auto" w:fill="FFFFFF"/>
          <w:lang w:val="en-GB"/>
        </w:rPr>
      </w:pPr>
      <w:r w:rsidRPr="00515DC8">
        <w:rPr>
          <w:shd w:val="clear" w:color="auto" w:fill="FFFFFF"/>
          <w:lang w:val="en-GB"/>
        </w:rPr>
        <w:t xml:space="preserve">Halpern, D. (2014). </w:t>
      </w:r>
      <w:r w:rsidRPr="00515DC8">
        <w:rPr>
          <w:i/>
          <w:shd w:val="clear" w:color="auto" w:fill="FFFFFF"/>
          <w:lang w:val="en-GB"/>
        </w:rPr>
        <w:t xml:space="preserve">Thought and knowledge, an introduction to critical thinking </w:t>
      </w:r>
      <w:r w:rsidRPr="00515DC8">
        <w:rPr>
          <w:shd w:val="clear" w:color="auto" w:fill="FFFFFF"/>
          <w:lang w:val="en-GB"/>
        </w:rPr>
        <w:t>(5</w:t>
      </w:r>
      <w:r w:rsidRPr="00515DC8">
        <w:rPr>
          <w:shd w:val="clear" w:color="auto" w:fill="FFFFFF"/>
          <w:vertAlign w:val="superscript"/>
          <w:lang w:val="en-GB"/>
        </w:rPr>
        <w:t>th</w:t>
      </w:r>
      <w:r w:rsidRPr="00515DC8">
        <w:rPr>
          <w:shd w:val="clear" w:color="auto" w:fill="FFFFFF"/>
          <w:lang w:val="en-GB"/>
        </w:rPr>
        <w:t xml:space="preserve"> eds.). New York: Psychology Press. </w:t>
      </w:r>
    </w:p>
    <w:p w14:paraId="538FFD4C" w14:textId="77777777" w:rsidR="00C67EE4" w:rsidRPr="00515DC8" w:rsidRDefault="00C67EE4" w:rsidP="00C67EE4">
      <w:pPr>
        <w:spacing w:line="480" w:lineRule="auto"/>
        <w:ind w:left="426" w:hanging="426"/>
        <w:outlineLvl w:val="0"/>
        <w:rPr>
          <w:rStyle w:val="Hyperlink"/>
          <w:lang w:val="en-GB"/>
        </w:rPr>
      </w:pPr>
      <w:r w:rsidRPr="00515DC8">
        <w:rPr>
          <w:shd w:val="clear" w:color="auto" w:fill="FFFFFF"/>
          <w:lang w:val="en-GB"/>
        </w:rPr>
        <w:t xml:space="preserve">Havergill, C. (2017). </w:t>
      </w:r>
      <w:r w:rsidRPr="00515DC8">
        <w:rPr>
          <w:rFonts w:eastAsia="Times New Roman"/>
          <w:bCs/>
          <w:kern w:val="36"/>
          <w:lang w:val="en-GB" w:eastAsia="en-GB"/>
        </w:rPr>
        <w:t xml:space="preserve">Cambridge looks to crack measurement of ‘learning gain’. </w:t>
      </w:r>
      <w:r w:rsidRPr="00515DC8">
        <w:rPr>
          <w:rFonts w:eastAsia="Times New Roman"/>
          <w:lang w:val="en-GB" w:eastAsia="en-GB"/>
        </w:rPr>
        <w:t xml:space="preserve">Times Higher Educational Supplement, December 7, 2017. Retrieved from </w:t>
      </w:r>
      <w:hyperlink r:id="rId41" w:history="1">
        <w:r w:rsidRPr="00515DC8">
          <w:rPr>
            <w:rStyle w:val="Hyperlink"/>
            <w:lang w:val="en-GB"/>
          </w:rPr>
          <w:t>https://www.timeshighereducation.com/news/cambridge-looks-crack-measurement-learning-gain</w:t>
        </w:r>
      </w:hyperlink>
    </w:p>
    <w:p w14:paraId="3134D9B2" w14:textId="77777777" w:rsidR="00B22CF8" w:rsidRPr="00515DC8" w:rsidRDefault="00C67EE4" w:rsidP="00B22CF8">
      <w:pPr>
        <w:shd w:val="clear" w:color="auto" w:fill="FFFFFF"/>
        <w:spacing w:line="480" w:lineRule="auto"/>
        <w:ind w:left="567" w:hanging="567"/>
        <w:rPr>
          <w:color w:val="0563C1" w:themeColor="hyperlink"/>
          <w:u w:val="single"/>
          <w:lang w:val="en-GB"/>
        </w:rPr>
      </w:pPr>
      <w:r w:rsidRPr="00515DC8">
        <w:rPr>
          <w:lang w:val="en-GB"/>
        </w:rPr>
        <w:t>Healey, M., Flint, A. &amp; Harrington, K. (2014). </w:t>
      </w:r>
      <w:r w:rsidRPr="00515DC8">
        <w:rPr>
          <w:i/>
          <w:iCs/>
          <w:lang w:val="en-GB"/>
        </w:rPr>
        <w:t>Engagement through partnership: students as partners in learning and teaching in higher education</w:t>
      </w:r>
      <w:r w:rsidRPr="00515DC8">
        <w:rPr>
          <w:lang w:val="en-GB"/>
        </w:rPr>
        <w:t xml:space="preserve">. York: Higher Education Academy. Retrieved from </w:t>
      </w:r>
      <w:hyperlink r:id="rId42" w:history="1">
        <w:r w:rsidRPr="00515DC8">
          <w:rPr>
            <w:rStyle w:val="Hyperlink"/>
            <w:lang w:val="en-GB"/>
          </w:rPr>
          <w:t>https://www.heacademy.ac.uk/system/files/resources/engagement_through_partnership.pdf</w:t>
        </w:r>
      </w:hyperlink>
    </w:p>
    <w:p w14:paraId="29780E1D" w14:textId="6AAA1465" w:rsidR="00BE7741" w:rsidRPr="00BE7741" w:rsidRDefault="00BE7741" w:rsidP="00BE7741">
      <w:pPr>
        <w:shd w:val="clear" w:color="auto" w:fill="FFFFFF"/>
        <w:spacing w:line="480" w:lineRule="auto"/>
        <w:ind w:left="567" w:hanging="567"/>
        <w:rPr>
          <w:bCs/>
        </w:rPr>
      </w:pPr>
      <w:r>
        <w:rPr>
          <w:lang w:val="en-GB"/>
        </w:rPr>
        <w:t>Heene, M</w:t>
      </w:r>
      <w:r w:rsidR="00B22CF8" w:rsidRPr="00515DC8">
        <w:rPr>
          <w:lang w:val="en-GB"/>
        </w:rPr>
        <w:t xml:space="preserve">. (2010). A brief history of the </w:t>
      </w:r>
      <w:r w:rsidRPr="00515DC8">
        <w:rPr>
          <w:lang w:val="en-GB"/>
        </w:rPr>
        <w:t>fail-safe number in applied research</w:t>
      </w:r>
      <w:r w:rsidR="00B22CF8" w:rsidRPr="00515DC8">
        <w:rPr>
          <w:lang w:val="en-GB"/>
        </w:rPr>
        <w:t xml:space="preserve">. </w:t>
      </w:r>
      <w:hyperlink r:id="rId43" w:history="1">
        <w:r w:rsidR="00B22CF8" w:rsidRPr="00515DC8">
          <w:rPr>
            <w:rStyle w:val="Hyperlink"/>
            <w:bCs/>
          </w:rPr>
          <w:br/>
          <w:t>arXiv:1010.2326</w:t>
        </w:r>
      </w:hyperlink>
      <w:r w:rsidR="00B22CF8" w:rsidRPr="00515DC8">
        <w:rPr>
          <w:bCs/>
        </w:rPr>
        <w:t> [stat.OT]</w:t>
      </w:r>
      <w:r>
        <w:rPr>
          <w:bCs/>
        </w:rPr>
        <w:t xml:space="preserve">. Retrieve from </w:t>
      </w:r>
      <w:hyperlink r:id="rId44" w:history="1">
        <w:r w:rsidRPr="00282BB9">
          <w:rPr>
            <w:rStyle w:val="Hyperlink"/>
            <w:bCs/>
          </w:rPr>
          <w:t>https://arxiv.org/ftp/arxiv/papers/1010/1010.2326.pdf</w:t>
        </w:r>
      </w:hyperlink>
    </w:p>
    <w:p w14:paraId="38DC5AEF" w14:textId="77777777" w:rsidR="00C67EE4" w:rsidRPr="00515DC8" w:rsidRDefault="00C67EE4" w:rsidP="00C67EE4">
      <w:pPr>
        <w:spacing w:line="480" w:lineRule="auto"/>
        <w:ind w:left="426" w:hanging="426"/>
        <w:rPr>
          <w:rStyle w:val="Hyperlink"/>
          <w:lang w:val="en-GB"/>
        </w:rPr>
      </w:pPr>
      <w:r w:rsidRPr="00515DC8">
        <w:rPr>
          <w:lang w:val="en-GB"/>
        </w:rPr>
        <w:t xml:space="preserve">Heckman, J. J., &amp; Masterov, D. V. (2007). The productivity argument for investing in young children. </w:t>
      </w:r>
      <w:r w:rsidRPr="00515DC8">
        <w:rPr>
          <w:i/>
          <w:lang w:val="en-GB"/>
        </w:rPr>
        <w:t xml:space="preserve">Review of Agricultural Economics, American Agricultural Economics Association, </w:t>
      </w:r>
      <w:r w:rsidRPr="00515DC8">
        <w:rPr>
          <w:lang w:val="en-GB"/>
        </w:rPr>
        <w:t xml:space="preserve">29(3), 446–493. Retrieved from </w:t>
      </w:r>
      <w:hyperlink r:id="rId45" w:history="1">
        <w:r w:rsidRPr="00515DC8">
          <w:rPr>
            <w:rStyle w:val="Hyperlink"/>
            <w:color w:val="auto"/>
            <w:u w:val="none"/>
            <w:lang w:val="en-GB"/>
          </w:rPr>
          <w:t>http://www.nber.org/papers/w13016</w:t>
        </w:r>
      </w:hyperlink>
    </w:p>
    <w:p w14:paraId="78994BBA" w14:textId="77777777" w:rsidR="00C67EE4" w:rsidRPr="00515DC8" w:rsidRDefault="00C67EE4" w:rsidP="00404D06">
      <w:pPr>
        <w:spacing w:line="480" w:lineRule="auto"/>
        <w:ind w:left="426" w:hanging="426"/>
        <w:outlineLvl w:val="0"/>
        <w:rPr>
          <w:rStyle w:val="Hyperlink"/>
          <w:u w:val="none"/>
          <w:lang w:val="en-GB"/>
        </w:rPr>
      </w:pPr>
      <w:r w:rsidRPr="00BE7741">
        <w:rPr>
          <w:rStyle w:val="Hyperlink"/>
          <w:u w:val="none"/>
          <w:lang w:val="en-GB"/>
        </w:rPr>
        <w:t>HEFCE (2017a). Learning gain.</w:t>
      </w:r>
      <w:r w:rsidRPr="00515DC8">
        <w:rPr>
          <w:rStyle w:val="Hyperlink"/>
          <w:lang w:val="en-GB"/>
        </w:rPr>
        <w:t xml:space="preserve"> Retrieved from </w:t>
      </w:r>
      <w:hyperlink r:id="rId46" w:history="1">
        <w:r w:rsidRPr="00515DC8">
          <w:rPr>
            <w:rStyle w:val="Hyperlink"/>
            <w:lang w:val="en-GB"/>
          </w:rPr>
          <w:t>http://www.hefce.ac.uk/lt/lg/projects/</w:t>
        </w:r>
      </w:hyperlink>
    </w:p>
    <w:p w14:paraId="2BFB14A9" w14:textId="77777777" w:rsidR="00C67EE4" w:rsidRPr="00515DC8" w:rsidRDefault="00C67EE4" w:rsidP="00C67EE4">
      <w:pPr>
        <w:spacing w:line="480" w:lineRule="auto"/>
        <w:ind w:left="426" w:hanging="426"/>
        <w:rPr>
          <w:rStyle w:val="Hyperlink"/>
          <w:lang w:val="en-GB"/>
        </w:rPr>
      </w:pPr>
      <w:r w:rsidRPr="00515DC8">
        <w:rPr>
          <w:rStyle w:val="Hyperlink"/>
          <w:u w:val="none"/>
          <w:lang w:val="en-GB"/>
        </w:rPr>
        <w:t xml:space="preserve">Higher Education Academy (2015). </w:t>
      </w:r>
      <w:r w:rsidRPr="00515DC8">
        <w:rPr>
          <w:rStyle w:val="Hyperlink"/>
          <w:i/>
          <w:u w:val="none"/>
          <w:lang w:val="en-GB"/>
        </w:rPr>
        <w:t>Higher Education Achievement Report</w:t>
      </w:r>
      <w:r w:rsidRPr="00515DC8">
        <w:rPr>
          <w:rStyle w:val="Hyperlink"/>
          <w:u w:val="none"/>
          <w:lang w:val="en-GB"/>
        </w:rPr>
        <w:t>. York: HEA.</w:t>
      </w:r>
      <w:r w:rsidRPr="00515DC8">
        <w:rPr>
          <w:rStyle w:val="Hyperlink"/>
          <w:lang w:val="en-GB"/>
        </w:rPr>
        <w:t xml:space="preserve"> Retrieved from </w:t>
      </w:r>
      <w:hyperlink r:id="rId47" w:history="1">
        <w:r w:rsidRPr="00515DC8">
          <w:rPr>
            <w:rStyle w:val="Hyperlink"/>
            <w:lang w:val="en-GB"/>
          </w:rPr>
          <w:t>http://www.hear.ac.uk/about/history-development</w:t>
        </w:r>
      </w:hyperlink>
    </w:p>
    <w:p w14:paraId="5A54550F" w14:textId="77777777" w:rsidR="00C67EE4" w:rsidRPr="00515DC8" w:rsidRDefault="00C67EE4" w:rsidP="00BE7741">
      <w:pPr>
        <w:spacing w:line="480" w:lineRule="auto"/>
        <w:ind w:left="426" w:hanging="426"/>
        <w:rPr>
          <w:rStyle w:val="Hyperlink"/>
          <w:color w:val="auto"/>
          <w:lang w:val="en-GB"/>
        </w:rPr>
      </w:pPr>
      <w:r w:rsidRPr="00BE7741">
        <w:rPr>
          <w:rStyle w:val="Hyperlink"/>
          <w:u w:val="none"/>
          <w:lang w:val="en-GB"/>
        </w:rPr>
        <w:t xml:space="preserve">HEFCE (2017b). </w:t>
      </w:r>
      <w:r w:rsidRPr="00515DC8">
        <w:rPr>
          <w:lang w:val="en-GB"/>
        </w:rPr>
        <w:t xml:space="preserve">Addressing barriers to student success. Retrieved from </w:t>
      </w:r>
      <w:hyperlink r:id="rId48" w:anchor="d.en.114689" w:history="1">
        <w:r w:rsidRPr="00515DC8">
          <w:rPr>
            <w:rStyle w:val="Hyperlink"/>
            <w:lang w:val="en-GB"/>
          </w:rPr>
          <w:t>http://www.hefce.ac.uk/sas/barriers/projects/southampton/#d.en.114689</w:t>
        </w:r>
      </w:hyperlink>
    </w:p>
    <w:p w14:paraId="70500D18" w14:textId="40957F52" w:rsidR="00C67EE4" w:rsidRPr="00515DC8" w:rsidRDefault="00C67EE4" w:rsidP="00C67EE4">
      <w:pPr>
        <w:spacing w:line="480" w:lineRule="auto"/>
        <w:ind w:left="426" w:hanging="426"/>
        <w:rPr>
          <w:lang w:val="en-GB"/>
        </w:rPr>
      </w:pPr>
      <w:r w:rsidRPr="00515DC8">
        <w:rPr>
          <w:lang w:val="en-GB"/>
        </w:rPr>
        <w:t xml:space="preserve">Higher Education Statistics Agency HESA (2018a). Non-continuation: UK </w:t>
      </w:r>
      <w:r w:rsidR="00BE7741" w:rsidRPr="00515DC8">
        <w:rPr>
          <w:lang w:val="en-GB"/>
        </w:rPr>
        <w:t>performance indicators</w:t>
      </w:r>
      <w:r w:rsidRPr="00515DC8">
        <w:rPr>
          <w:lang w:val="en-GB"/>
        </w:rPr>
        <w:t xml:space="preserve">. Retrieved from </w:t>
      </w:r>
      <w:hyperlink r:id="rId49" w:history="1">
        <w:r w:rsidRPr="00515DC8">
          <w:rPr>
            <w:rStyle w:val="Hyperlink"/>
            <w:lang w:val="en-GB"/>
          </w:rPr>
          <w:t>https://www.hesa.ac.uk/news/08-03-2018/non-continuation-tables</w:t>
        </w:r>
      </w:hyperlink>
    </w:p>
    <w:p w14:paraId="4A133A18" w14:textId="0F7A86D8" w:rsidR="00C67EE4" w:rsidRPr="00515DC8" w:rsidRDefault="00C67EE4" w:rsidP="00C67EE4">
      <w:pPr>
        <w:spacing w:line="480" w:lineRule="auto"/>
        <w:ind w:left="426" w:hanging="426"/>
        <w:rPr>
          <w:lang w:val="en-GB"/>
        </w:rPr>
      </w:pPr>
      <w:r w:rsidRPr="00515DC8">
        <w:rPr>
          <w:lang w:val="en-GB"/>
        </w:rPr>
        <w:t>Higher Education Statistics Agency HESA (2018b).</w:t>
      </w:r>
      <w:r w:rsidRPr="00BE7741">
        <w:rPr>
          <w:lang w:val="en-GB"/>
        </w:rPr>
        <w:t xml:space="preserve"> </w:t>
      </w:r>
      <w:r w:rsidR="00BE7741" w:rsidRPr="00BE7741">
        <w:rPr>
          <w:rFonts w:cs="Arial"/>
          <w:lang w:val="en"/>
        </w:rPr>
        <w:t>Higher education student statistics: UK, 2016/17 - Qualifications achieved</w:t>
      </w:r>
      <w:r w:rsidR="00BE7741">
        <w:rPr>
          <w:rFonts w:cs="Arial"/>
          <w:lang w:val="en"/>
        </w:rPr>
        <w:t xml:space="preserve">. </w:t>
      </w:r>
      <w:r w:rsidRPr="00BE7741">
        <w:rPr>
          <w:lang w:val="en-GB"/>
        </w:rPr>
        <w:t xml:space="preserve">Retrieved </w:t>
      </w:r>
      <w:r w:rsidRPr="00515DC8">
        <w:rPr>
          <w:lang w:val="en-GB"/>
        </w:rPr>
        <w:t xml:space="preserve">from </w:t>
      </w:r>
      <w:hyperlink r:id="rId50" w:history="1">
        <w:r w:rsidRPr="00515DC8">
          <w:rPr>
            <w:rStyle w:val="Hyperlink"/>
            <w:lang w:val="en-GB"/>
          </w:rPr>
          <w:t>https://www.hesa.ac.uk/news/11-01-2018/sfr247-higher-education-student-statistics/qualifications</w:t>
        </w:r>
      </w:hyperlink>
    </w:p>
    <w:p w14:paraId="5EA8859B" w14:textId="0F9AB48A" w:rsidR="00C67EE4" w:rsidRPr="00515DC8" w:rsidRDefault="00C67EE4" w:rsidP="00C67EE4">
      <w:pPr>
        <w:spacing w:line="480" w:lineRule="auto"/>
        <w:ind w:left="426" w:hanging="426"/>
        <w:rPr>
          <w:lang w:val="en-GB"/>
        </w:rPr>
      </w:pPr>
      <w:r w:rsidRPr="00515DC8">
        <w:rPr>
          <w:lang w:val="en-GB"/>
        </w:rPr>
        <w:t xml:space="preserve">Hockings, C. (2010).  </w:t>
      </w:r>
      <w:r w:rsidRPr="00515DC8">
        <w:rPr>
          <w:i/>
          <w:lang w:val="en-GB"/>
        </w:rPr>
        <w:t>Inclusive learning and teaching in higher education: a synthesis of research</w:t>
      </w:r>
      <w:r w:rsidRPr="00515DC8">
        <w:rPr>
          <w:lang w:val="en-GB"/>
        </w:rPr>
        <w:t>. York</w:t>
      </w:r>
      <w:r w:rsidR="00BB3336" w:rsidRPr="00515DC8">
        <w:rPr>
          <w:lang w:val="en-GB"/>
        </w:rPr>
        <w:t>, UK</w:t>
      </w:r>
      <w:r w:rsidRPr="00515DC8">
        <w:rPr>
          <w:lang w:val="en-GB"/>
        </w:rPr>
        <w:t>: Higher Education Academy</w:t>
      </w:r>
    </w:p>
    <w:p w14:paraId="021A71D1" w14:textId="77777777" w:rsidR="00C67EE4" w:rsidRPr="00515DC8" w:rsidRDefault="00C67EE4" w:rsidP="00C67EE4">
      <w:pPr>
        <w:spacing w:line="480" w:lineRule="auto"/>
        <w:ind w:left="426" w:hanging="426"/>
        <w:rPr>
          <w:rFonts w:eastAsia="Times New Roman"/>
          <w:lang w:val="en-GB" w:eastAsia="en-GB"/>
        </w:rPr>
      </w:pPr>
      <w:r w:rsidRPr="00515DC8">
        <w:rPr>
          <w:rFonts w:eastAsia="Times New Roman"/>
          <w:lang w:val="en-GB" w:eastAsia="en-GB"/>
        </w:rPr>
        <w:t xml:space="preserve">Howard, G.S. (1980).  Response-shift bias; a problem in evaluating interventions with pre/post self-reports. </w:t>
      </w:r>
      <w:r w:rsidRPr="00515DC8">
        <w:rPr>
          <w:rFonts w:eastAsia="Times New Roman"/>
          <w:i/>
          <w:lang w:val="en-GB" w:eastAsia="en-GB"/>
        </w:rPr>
        <w:t>Education Review, 4</w:t>
      </w:r>
      <w:r w:rsidRPr="00515DC8">
        <w:rPr>
          <w:rFonts w:eastAsia="Times New Roman"/>
          <w:lang w:val="en-GB" w:eastAsia="en-GB"/>
        </w:rPr>
        <w:t xml:space="preserve">, 93-106.  </w:t>
      </w:r>
    </w:p>
    <w:p w14:paraId="4B8CFE9F" w14:textId="77777777" w:rsidR="00C67EE4" w:rsidRPr="00515DC8" w:rsidRDefault="00C67EE4" w:rsidP="00C67EE4">
      <w:pPr>
        <w:spacing w:line="480" w:lineRule="auto"/>
        <w:ind w:left="426" w:hanging="426"/>
        <w:rPr>
          <w:lang w:val="en-GB"/>
        </w:rPr>
      </w:pPr>
      <w:r w:rsidRPr="00515DC8">
        <w:rPr>
          <w:lang w:val="en-GB"/>
        </w:rPr>
        <w:t xml:space="preserve">Hughes, G. (ed.) 2017. </w:t>
      </w:r>
      <w:r w:rsidRPr="00515DC8">
        <w:rPr>
          <w:i/>
          <w:lang w:val="en-GB"/>
        </w:rPr>
        <w:t>Ipsative Assessment and Personal Learning Gain.</w:t>
      </w:r>
      <w:r w:rsidRPr="00515DC8">
        <w:rPr>
          <w:lang w:val="en-GB"/>
        </w:rPr>
        <w:t xml:space="preserve"> Basingstoke, UK: Palgrave Macmillan.</w:t>
      </w:r>
    </w:p>
    <w:p w14:paraId="7B10ED3B" w14:textId="77777777" w:rsidR="00C67EE4" w:rsidRPr="00515DC8" w:rsidRDefault="00C67EE4" w:rsidP="00C67EE4">
      <w:pPr>
        <w:spacing w:line="480" w:lineRule="auto"/>
        <w:ind w:left="426" w:hanging="426"/>
        <w:rPr>
          <w:lang w:val="en-GB"/>
        </w:rPr>
      </w:pPr>
      <w:r w:rsidRPr="00515DC8">
        <w:rPr>
          <w:lang w:val="en-GB"/>
        </w:rPr>
        <w:t xml:space="preserve">Ifenthaler, D. (2017). Are higher education institutions prepared for learning analytics? </w:t>
      </w:r>
      <w:r w:rsidRPr="00515DC8">
        <w:rPr>
          <w:i/>
          <w:lang w:val="en-GB"/>
        </w:rPr>
        <w:t>Tech Trends, 61</w:t>
      </w:r>
      <w:r w:rsidRPr="00515DC8">
        <w:rPr>
          <w:lang w:val="en-GB"/>
        </w:rPr>
        <w:t xml:space="preserve">, 366-371. </w:t>
      </w:r>
    </w:p>
    <w:p w14:paraId="5369EE9D" w14:textId="77777777" w:rsidR="00C67EE4" w:rsidRPr="00515DC8" w:rsidRDefault="00C67EE4" w:rsidP="00C67EE4">
      <w:pPr>
        <w:spacing w:line="480" w:lineRule="auto"/>
        <w:ind w:left="426" w:hanging="426"/>
        <w:rPr>
          <w:i/>
          <w:lang w:val="en-GB"/>
        </w:rPr>
      </w:pPr>
      <w:r w:rsidRPr="00515DC8">
        <w:rPr>
          <w:i/>
          <w:lang w:val="en-GB"/>
        </w:rPr>
        <w:t xml:space="preserve">Ilie, S., Vermunt, J., &amp; Vignoles, A. (2018). Conceptualising and measuring learning gain in higher education. Higher Education Pedagogies (this issue) </w:t>
      </w:r>
    </w:p>
    <w:p w14:paraId="21F3D261" w14:textId="4E39A13E" w:rsidR="00C67EE4" w:rsidRPr="00515DC8" w:rsidRDefault="00C67EE4" w:rsidP="00C67EE4">
      <w:pPr>
        <w:spacing w:line="480" w:lineRule="auto"/>
        <w:ind w:left="426" w:hanging="426"/>
        <w:rPr>
          <w:lang w:val="en-GB"/>
        </w:rPr>
      </w:pPr>
      <w:r w:rsidRPr="00515DC8">
        <w:rPr>
          <w:lang w:val="en-GB"/>
        </w:rPr>
        <w:t xml:space="preserve">iPAL (2018).  The iPal Project.  International </w:t>
      </w:r>
      <w:r w:rsidR="00BE7741" w:rsidRPr="00515DC8">
        <w:rPr>
          <w:lang w:val="en-GB"/>
        </w:rPr>
        <w:t>collaborative for performance assessment of learning in higher education – research and development</w:t>
      </w:r>
      <w:r w:rsidRPr="00515DC8">
        <w:rPr>
          <w:lang w:val="en-GB"/>
        </w:rPr>
        <w:t xml:space="preserve">. Ipal R &amp; D.  Retrieved from </w:t>
      </w:r>
      <w:hyperlink r:id="rId51" w:history="1">
        <w:r w:rsidRPr="00515DC8">
          <w:rPr>
            <w:rStyle w:val="Hyperlink"/>
            <w:color w:val="auto"/>
            <w:lang w:val="en-GB"/>
          </w:rPr>
          <w:t>http://www.ipal-rd.com/</w:t>
        </w:r>
      </w:hyperlink>
    </w:p>
    <w:p w14:paraId="21DAA8CF" w14:textId="77777777" w:rsidR="00C67EE4" w:rsidRPr="00515DC8" w:rsidRDefault="00C67EE4" w:rsidP="00C67EE4">
      <w:pPr>
        <w:pStyle w:val="FootnoteText"/>
        <w:spacing w:line="480" w:lineRule="auto"/>
        <w:ind w:left="426" w:hanging="426"/>
        <w:rPr>
          <w:rFonts w:ascii="Times New Roman" w:hAnsi="Times New Roman" w:cs="Times New Roman"/>
          <w:sz w:val="24"/>
          <w:szCs w:val="24"/>
        </w:rPr>
      </w:pPr>
      <w:r w:rsidRPr="00515DC8">
        <w:rPr>
          <w:rFonts w:ascii="Times New Roman" w:hAnsi="Times New Roman" w:cs="Times New Roman"/>
          <w:sz w:val="24"/>
          <w:szCs w:val="24"/>
        </w:rPr>
        <w:t xml:space="preserve">Johnson, J. (2017). Higher education funding for 2017-18. London: Department for Education and Department for Business, Energy &amp; Industrial Strategy Retrieved from </w:t>
      </w:r>
      <w:hyperlink r:id="rId52" w:history="1">
        <w:r w:rsidRPr="00515DC8">
          <w:rPr>
            <w:rStyle w:val="Hyperlink"/>
            <w:rFonts w:ascii="Times New Roman" w:hAnsi="Times New Roman" w:cs="Times New Roman"/>
            <w:sz w:val="24"/>
            <w:szCs w:val="24"/>
          </w:rPr>
          <w:t>http://www.hefce.ac.uk/media/HEFCE,2014/Content/News/2017/Grant-letter-2017.pdf</w:t>
        </w:r>
      </w:hyperlink>
    </w:p>
    <w:p w14:paraId="5C8AD14F" w14:textId="78B8E3D0" w:rsidR="00C67EE4" w:rsidRPr="00515DC8" w:rsidRDefault="00C67EE4" w:rsidP="00C67EE4">
      <w:pPr>
        <w:spacing w:line="480" w:lineRule="auto"/>
        <w:ind w:left="426" w:hanging="426"/>
        <w:rPr>
          <w:lang w:val="en-GB"/>
        </w:rPr>
      </w:pPr>
      <w:r w:rsidRPr="00515DC8">
        <w:rPr>
          <w:lang w:val="en-GB"/>
        </w:rPr>
        <w:t xml:space="preserve">Kandiko Howson, C. B.  (2012). </w:t>
      </w:r>
      <w:r w:rsidRPr="00515DC8">
        <w:rPr>
          <w:i/>
          <w:iCs/>
          <w:lang w:val="en-GB"/>
        </w:rPr>
        <w:t>Student expectations and perceptions of higher education</w:t>
      </w:r>
      <w:r w:rsidRPr="00515DC8">
        <w:rPr>
          <w:lang w:val="en-GB"/>
        </w:rPr>
        <w:t>. London: King</w:t>
      </w:r>
      <w:r w:rsidR="00BB3336" w:rsidRPr="00515DC8">
        <w:rPr>
          <w:lang w:val="en-GB"/>
        </w:rPr>
        <w:t>’</w:t>
      </w:r>
      <w:r w:rsidRPr="00515DC8">
        <w:rPr>
          <w:lang w:val="en-GB"/>
        </w:rPr>
        <w:t xml:space="preserve">s College London.  </w:t>
      </w:r>
    </w:p>
    <w:p w14:paraId="548CA1CF" w14:textId="77777777" w:rsidR="00C67EE4" w:rsidRPr="00515DC8" w:rsidRDefault="00C67EE4" w:rsidP="00C67EE4">
      <w:pPr>
        <w:spacing w:line="480" w:lineRule="auto"/>
        <w:ind w:left="426" w:hanging="426"/>
        <w:rPr>
          <w:rStyle w:val="Hyperlink"/>
          <w:color w:val="auto"/>
          <w:lang w:val="en-GB"/>
        </w:rPr>
      </w:pPr>
      <w:r w:rsidRPr="00515DC8">
        <w:rPr>
          <w:lang w:val="en-GB"/>
        </w:rPr>
        <w:t xml:space="preserve">Kandiko Howson, C. B. (2017). Evaluation of HEFCE’s learning gain pilot projects. Year 1 report. HEFCE. Retrieved from </w:t>
      </w:r>
      <w:hyperlink r:id="rId53" w:history="1">
        <w:r w:rsidRPr="00515DC8">
          <w:rPr>
            <w:rStyle w:val="Hyperlink"/>
            <w:color w:val="auto"/>
            <w:lang w:val="en-GB"/>
          </w:rPr>
          <w:t>http://www.hefce.ac.uk/pubs/rereports/Year/2015/learninggain/</w:t>
        </w:r>
      </w:hyperlink>
    </w:p>
    <w:p w14:paraId="3228616F" w14:textId="13EBB346" w:rsidR="00C67EE4" w:rsidRDefault="00C67EE4" w:rsidP="00C67EE4">
      <w:pPr>
        <w:spacing w:line="480" w:lineRule="auto"/>
        <w:ind w:left="426" w:hanging="426"/>
        <w:rPr>
          <w:color w:val="0000FF"/>
          <w:u w:val="single"/>
          <w:lang w:val="en-GB"/>
        </w:rPr>
      </w:pPr>
      <w:r w:rsidRPr="00515DC8">
        <w:rPr>
          <w:lang w:val="en-GB"/>
        </w:rPr>
        <w:t xml:space="preserve">Kandiko Howson, C. B.  (2018). Evaluation of HEFCE’s learning gain pilot projects. Year 2 report. </w:t>
      </w:r>
      <w:r w:rsidR="00BE7741">
        <w:rPr>
          <w:lang w:val="en-GB"/>
        </w:rPr>
        <w:t xml:space="preserve">London, UK: </w:t>
      </w:r>
      <w:r w:rsidRPr="00515DC8">
        <w:rPr>
          <w:lang w:val="en-GB"/>
        </w:rPr>
        <w:t xml:space="preserve">The Office for Students. Retrieved from </w:t>
      </w:r>
      <w:hyperlink r:id="rId54" w:tgtFrame="_blank" w:history="1">
        <w:r w:rsidRPr="00515DC8">
          <w:rPr>
            <w:color w:val="0000FF"/>
            <w:u w:val="single"/>
            <w:lang w:val="en-GB"/>
          </w:rPr>
          <w:t>https://www.officeforstudents.org.uk/media/1386/evaluation-of-hefce-s-learning-gain-pilot-projects-year-2.pdf</w:t>
        </w:r>
      </w:hyperlink>
    </w:p>
    <w:p w14:paraId="5AC0FA77" w14:textId="6EB838B2" w:rsidR="0035111A" w:rsidRPr="004641AF" w:rsidRDefault="0035111A" w:rsidP="004641AF">
      <w:pPr>
        <w:spacing w:line="480" w:lineRule="auto"/>
        <w:ind w:left="426" w:hanging="426"/>
        <w:rPr>
          <w:rStyle w:val="Hyperlink"/>
          <w:bCs/>
          <w:color w:val="auto"/>
          <w:u w:val="none"/>
          <w:lang w:val="en-GB"/>
        </w:rPr>
      </w:pPr>
      <w:r>
        <w:t xml:space="preserve">Keep, E., </w:t>
      </w:r>
      <w:r w:rsidR="004641AF">
        <w:t>&amp; S</w:t>
      </w:r>
      <w:r>
        <w:t>James</w:t>
      </w:r>
      <w:r w:rsidR="004641AF">
        <w:t>, S</w:t>
      </w:r>
      <w:r>
        <w:t xml:space="preserve">. (2010). Recruitment and selection – the great neglected topic. </w:t>
      </w:r>
      <w:r>
        <w:rPr>
          <w:i/>
          <w:iCs/>
        </w:rPr>
        <w:t>SKOPE Research Paper</w:t>
      </w:r>
      <w:r w:rsidR="004641AF">
        <w:t xml:space="preserve"> </w:t>
      </w:r>
      <w:r>
        <w:t>88. Cardiff: Cardiff University, SKOPE.</w:t>
      </w:r>
      <w:r w:rsidRPr="00B54A8D">
        <w:rPr>
          <w:bCs/>
          <w:lang w:val="en-GB"/>
        </w:rPr>
        <w:t xml:space="preserve"> </w:t>
      </w:r>
    </w:p>
    <w:p w14:paraId="522EB3FE" w14:textId="77777777" w:rsidR="00C67EE4" w:rsidRPr="00515DC8" w:rsidRDefault="00C67EE4" w:rsidP="00C67EE4">
      <w:pPr>
        <w:spacing w:line="480" w:lineRule="auto"/>
        <w:ind w:left="426" w:hanging="426"/>
        <w:rPr>
          <w:lang w:val="en-GB"/>
        </w:rPr>
      </w:pPr>
      <w:r w:rsidRPr="00515DC8">
        <w:rPr>
          <w:bCs/>
          <w:lang w:val="en-GB"/>
        </w:rPr>
        <w:t>Kim</w:t>
      </w:r>
      <w:r w:rsidRPr="00515DC8">
        <w:rPr>
          <w:lang w:val="en-GB"/>
        </w:rPr>
        <w:t xml:space="preserve">, H., &amp; D. </w:t>
      </w:r>
      <w:r w:rsidRPr="00515DC8">
        <w:rPr>
          <w:bCs/>
          <w:lang w:val="en-GB"/>
        </w:rPr>
        <w:t>Lalancette</w:t>
      </w:r>
      <w:r w:rsidRPr="00515DC8">
        <w:rPr>
          <w:lang w:val="en-GB"/>
        </w:rPr>
        <w:t>. (</w:t>
      </w:r>
      <w:r w:rsidRPr="00515DC8">
        <w:rPr>
          <w:bCs/>
          <w:lang w:val="en-GB"/>
        </w:rPr>
        <w:t>2013)</w:t>
      </w:r>
      <w:r w:rsidRPr="00515DC8">
        <w:rPr>
          <w:lang w:val="en-GB"/>
        </w:rPr>
        <w:t xml:space="preserve">. Literature review on the </w:t>
      </w:r>
      <w:r w:rsidRPr="00515DC8">
        <w:rPr>
          <w:bCs/>
          <w:lang w:val="en-GB"/>
        </w:rPr>
        <w:t>value</w:t>
      </w:r>
      <w:r w:rsidRPr="00515DC8">
        <w:rPr>
          <w:lang w:val="en-GB"/>
        </w:rPr>
        <w:t>-</w:t>
      </w:r>
      <w:r w:rsidRPr="00515DC8">
        <w:rPr>
          <w:bCs/>
          <w:lang w:val="en-GB"/>
        </w:rPr>
        <w:t>added measurement in higher education</w:t>
      </w:r>
      <w:r w:rsidRPr="00515DC8">
        <w:rPr>
          <w:lang w:val="en-GB"/>
        </w:rPr>
        <w:t xml:space="preserve">. OECD. Retrieved from </w:t>
      </w:r>
      <w:hyperlink r:id="rId55" w:history="1">
        <w:r w:rsidRPr="00515DC8">
          <w:rPr>
            <w:rStyle w:val="Hyperlink"/>
            <w:color w:val="auto"/>
            <w:lang w:val="en-GB"/>
          </w:rPr>
          <w:t>http://www.oecd.org/edu/skills-beyond-school/Litterature%20Review%20VAM.pdf</w:t>
        </w:r>
      </w:hyperlink>
    </w:p>
    <w:p w14:paraId="64BBFADA" w14:textId="77777777" w:rsidR="00C67EE4" w:rsidRPr="00515DC8" w:rsidRDefault="00C67EE4" w:rsidP="00C67EE4">
      <w:pPr>
        <w:spacing w:after="90" w:line="480" w:lineRule="auto"/>
        <w:ind w:left="426" w:hanging="426"/>
        <w:outlineLvl w:val="0"/>
        <w:rPr>
          <w:rFonts w:eastAsia="Times New Roman"/>
          <w:kern w:val="36"/>
          <w:lang w:val="en-GB" w:eastAsia="en-GB"/>
        </w:rPr>
      </w:pPr>
      <w:bookmarkStart w:id="16" w:name="baep-author-id2"/>
      <w:r w:rsidRPr="00515DC8">
        <w:rPr>
          <w:rFonts w:eastAsia="Times New Roman"/>
          <w:lang w:val="en-GB" w:eastAsia="en-GB"/>
        </w:rPr>
        <w:t>Komarraju,</w:t>
      </w:r>
      <w:bookmarkStart w:id="17" w:name="baep-author-id3"/>
      <w:bookmarkEnd w:id="16"/>
      <w:r w:rsidRPr="00515DC8">
        <w:rPr>
          <w:rFonts w:eastAsia="Times New Roman"/>
          <w:lang w:val="en-GB" w:eastAsia="en-GB"/>
        </w:rPr>
        <w:t xml:space="preserve"> M., &amp; </w:t>
      </w:r>
      <w:hyperlink r:id="rId56" w:anchor="!" w:history="1">
        <w:r w:rsidRPr="00515DC8">
          <w:rPr>
            <w:rFonts w:eastAsia="Times New Roman"/>
            <w:lang w:val="en-GB" w:eastAsia="en-GB"/>
          </w:rPr>
          <w:t>Nadler</w:t>
        </w:r>
      </w:hyperlink>
      <w:bookmarkEnd w:id="17"/>
      <w:r w:rsidRPr="00515DC8">
        <w:rPr>
          <w:rFonts w:eastAsia="Times New Roman"/>
          <w:lang w:val="en-GB" w:eastAsia="en-GB"/>
        </w:rPr>
        <w:t xml:space="preserve">, D. (2013). </w:t>
      </w:r>
      <w:r w:rsidRPr="00515DC8">
        <w:rPr>
          <w:rFonts w:eastAsia="Times New Roman"/>
          <w:kern w:val="36"/>
          <w:lang w:val="en-GB" w:eastAsia="en-GB"/>
        </w:rPr>
        <w:t xml:space="preserve">Self-efficacy and academic achievement: Why do implicit beliefs, goals, and effort regulation matter? </w:t>
      </w:r>
      <w:r w:rsidRPr="00515DC8">
        <w:rPr>
          <w:rFonts w:eastAsia="Times New Roman"/>
          <w:i/>
          <w:kern w:val="36"/>
          <w:lang w:val="en-GB" w:eastAsia="en-GB"/>
        </w:rPr>
        <w:t>Learning and Individual Differences, 25</w:t>
      </w:r>
      <w:r w:rsidRPr="00515DC8">
        <w:rPr>
          <w:rFonts w:eastAsia="Times New Roman"/>
          <w:kern w:val="36"/>
          <w:lang w:val="en-GB" w:eastAsia="en-GB"/>
        </w:rPr>
        <w:t>, 67-72.</w:t>
      </w:r>
    </w:p>
    <w:p w14:paraId="1A936666" w14:textId="77777777" w:rsidR="00C67EE4" w:rsidRPr="00515DC8" w:rsidRDefault="00C67EE4" w:rsidP="00C67EE4">
      <w:pPr>
        <w:spacing w:after="90" w:line="480" w:lineRule="auto"/>
        <w:ind w:left="426" w:hanging="426"/>
        <w:outlineLvl w:val="0"/>
        <w:rPr>
          <w:rFonts w:eastAsia="Times New Roman"/>
          <w:color w:val="000000" w:themeColor="text1"/>
          <w:kern w:val="36"/>
          <w:lang w:val="en-GB" w:eastAsia="en-GB"/>
        </w:rPr>
      </w:pPr>
      <w:r w:rsidRPr="00515DC8">
        <w:rPr>
          <w:lang w:val="en-GB"/>
        </w:rPr>
        <w:t xml:space="preserve">Kozhevnikov, M., Evans, C., &amp; Kosslyn, S. (2014). Cognitive style as environmentally sensitive individual differences in cognition: a modern synthesis and applications in education, business and management. </w:t>
      </w:r>
      <w:r w:rsidRPr="00515DC8">
        <w:rPr>
          <w:i/>
          <w:lang w:val="en-GB"/>
        </w:rPr>
        <w:t>Psychological Science in the Public Interest, 15(1), 3-33</w:t>
      </w:r>
    </w:p>
    <w:p w14:paraId="23CC0B6E" w14:textId="77777777" w:rsidR="00C67EE4" w:rsidRPr="00515DC8" w:rsidRDefault="00C67EE4" w:rsidP="00C67EE4">
      <w:pPr>
        <w:spacing w:after="90" w:line="480" w:lineRule="auto"/>
        <w:ind w:left="426" w:hanging="426"/>
        <w:outlineLvl w:val="0"/>
        <w:rPr>
          <w:rStyle w:val="st1"/>
          <w:color w:val="000000" w:themeColor="text1"/>
          <w:lang w:val="en-GB"/>
        </w:rPr>
      </w:pPr>
      <w:r w:rsidRPr="00515DC8">
        <w:rPr>
          <w:rFonts w:eastAsia="Times New Roman"/>
          <w:color w:val="000000" w:themeColor="text1"/>
          <w:kern w:val="36"/>
          <w:lang w:val="en-GB" w:eastAsia="en-GB"/>
        </w:rPr>
        <w:t xml:space="preserve">Kuh, G. (2008). </w:t>
      </w:r>
      <w:r w:rsidRPr="00515DC8">
        <w:rPr>
          <w:bCs/>
          <w:i/>
          <w:color w:val="000000" w:themeColor="text1"/>
          <w:lang w:val="en-GB"/>
        </w:rPr>
        <w:t>High-impact educational practices: what they are, who has access to them, and why they matter</w:t>
      </w:r>
      <w:r w:rsidRPr="00515DC8">
        <w:rPr>
          <w:bCs/>
          <w:color w:val="000000" w:themeColor="text1"/>
          <w:lang w:val="en-GB"/>
        </w:rPr>
        <w:t xml:space="preserve">. </w:t>
      </w:r>
      <w:r w:rsidRPr="00515DC8">
        <w:rPr>
          <w:rStyle w:val="st1"/>
          <w:color w:val="000000" w:themeColor="text1"/>
          <w:lang w:val="en-GB"/>
        </w:rPr>
        <w:t>Washington, DC: Association of American Colleges and Universities (AAC &amp; U).</w:t>
      </w:r>
    </w:p>
    <w:p w14:paraId="65DF5386" w14:textId="1917C3C4" w:rsidR="00C67EE4" w:rsidRPr="00515DC8" w:rsidRDefault="00C67EE4" w:rsidP="00C67EE4">
      <w:pPr>
        <w:spacing w:after="90" w:line="480" w:lineRule="auto"/>
        <w:ind w:left="426" w:hanging="426"/>
        <w:outlineLvl w:val="0"/>
        <w:rPr>
          <w:rFonts w:eastAsia="Times New Roman"/>
          <w:kern w:val="36"/>
          <w:lang w:val="en-GB" w:eastAsia="en-GB"/>
        </w:rPr>
      </w:pPr>
      <w:r w:rsidRPr="00515DC8">
        <w:rPr>
          <w:rFonts w:eastAsia="Times New Roman"/>
          <w:kern w:val="36"/>
          <w:lang w:val="en-GB" w:eastAsia="en-GB"/>
        </w:rPr>
        <w:t xml:space="preserve"> Kuh, G., O' Donnell, K., &amp; Schneider, C. G.  (2017). HIPs at </w:t>
      </w:r>
      <w:r w:rsidR="00BE7741">
        <w:rPr>
          <w:rFonts w:eastAsia="Times New Roman"/>
          <w:kern w:val="36"/>
          <w:lang w:val="en-GB" w:eastAsia="en-GB"/>
        </w:rPr>
        <w:t>t</w:t>
      </w:r>
      <w:r w:rsidRPr="00515DC8">
        <w:rPr>
          <w:rFonts w:eastAsia="Times New Roman"/>
          <w:kern w:val="36"/>
          <w:lang w:val="en-GB" w:eastAsia="en-GB"/>
        </w:rPr>
        <w:t xml:space="preserve">en.  </w:t>
      </w:r>
      <w:r w:rsidRPr="00515DC8">
        <w:rPr>
          <w:rFonts w:eastAsia="Times New Roman"/>
          <w:i/>
          <w:kern w:val="36"/>
          <w:lang w:val="en-GB" w:eastAsia="en-GB"/>
        </w:rPr>
        <w:t>Change: The Magazine of Higher Learning</w:t>
      </w:r>
      <w:r w:rsidRPr="00515DC8">
        <w:rPr>
          <w:rFonts w:eastAsia="Times New Roman"/>
          <w:kern w:val="36"/>
          <w:lang w:val="en-GB" w:eastAsia="en-GB"/>
        </w:rPr>
        <w:t>, 49(5), 8-16.</w:t>
      </w:r>
    </w:p>
    <w:p w14:paraId="43943058" w14:textId="77777777" w:rsidR="00C67EE4" w:rsidRPr="00515DC8" w:rsidRDefault="00C67EE4" w:rsidP="00C67EE4">
      <w:pPr>
        <w:spacing w:line="480" w:lineRule="auto"/>
        <w:ind w:left="426" w:hanging="426"/>
        <w:rPr>
          <w:lang w:val="en-GB"/>
        </w:rPr>
      </w:pPr>
      <w:r w:rsidRPr="00515DC8">
        <w:rPr>
          <w:lang w:val="en-GB"/>
        </w:rPr>
        <w:t xml:space="preserve">Marshall S. (2017). </w:t>
      </w:r>
      <w:r w:rsidRPr="00515DC8">
        <w:rPr>
          <w:i/>
          <w:lang w:val="en-GB"/>
        </w:rPr>
        <w:t>Rising to the challenges of tomorrow</w:t>
      </w:r>
      <w:r w:rsidRPr="00515DC8">
        <w:rPr>
          <w:lang w:val="en-GB"/>
        </w:rPr>
        <w:t xml:space="preserve">. York: Higher Education Academy. </w:t>
      </w:r>
    </w:p>
    <w:p w14:paraId="270F72B1" w14:textId="77777777" w:rsidR="00C67EE4" w:rsidRPr="00515DC8" w:rsidRDefault="00C67EE4" w:rsidP="00C67EE4">
      <w:pPr>
        <w:shd w:val="clear" w:color="auto" w:fill="FFFFFF"/>
        <w:spacing w:line="480" w:lineRule="auto"/>
        <w:ind w:left="426" w:hanging="426"/>
        <w:rPr>
          <w:lang w:val="en-GB"/>
        </w:rPr>
      </w:pPr>
      <w:r w:rsidRPr="00515DC8">
        <w:rPr>
          <w:rFonts w:eastAsia="Times New Roman"/>
          <w:lang w:val="en-GB"/>
        </w:rPr>
        <w:t>Levitt, H. M., Bamberg, M., Creswell, J. W., Frost, D. M., Josselson, R., &amp; Suárez-Orozco, C. (2018). Journal article reporting standards for qualitative primary, qualitative meta-analytic, and mixed methods research in psychology: The APA Publications and Communications Board task force report. </w:t>
      </w:r>
      <w:r w:rsidRPr="00515DC8">
        <w:rPr>
          <w:rFonts w:eastAsia="Times New Roman"/>
          <w:i/>
          <w:iCs/>
          <w:lang w:val="en-GB"/>
        </w:rPr>
        <w:t>American Psychologist</w:t>
      </w:r>
      <w:r w:rsidRPr="00515DC8">
        <w:rPr>
          <w:rFonts w:eastAsia="Times New Roman"/>
          <w:lang w:val="en-GB"/>
        </w:rPr>
        <w:t>, </w:t>
      </w:r>
      <w:r w:rsidRPr="00515DC8">
        <w:rPr>
          <w:rFonts w:eastAsia="Times New Roman"/>
          <w:i/>
          <w:iCs/>
          <w:lang w:val="en-GB"/>
        </w:rPr>
        <w:t>73</w:t>
      </w:r>
      <w:r w:rsidRPr="00515DC8">
        <w:rPr>
          <w:rFonts w:eastAsia="Times New Roman"/>
          <w:lang w:val="en-GB"/>
        </w:rPr>
        <w:t xml:space="preserve">(1), 26-46. </w:t>
      </w:r>
    </w:p>
    <w:p w14:paraId="16AFB829" w14:textId="77777777" w:rsidR="00C67EE4" w:rsidRPr="00515DC8" w:rsidRDefault="00C67EE4" w:rsidP="00C67EE4">
      <w:pPr>
        <w:spacing w:line="480" w:lineRule="auto"/>
        <w:ind w:left="426" w:hanging="426"/>
        <w:rPr>
          <w:lang w:val="en-GB"/>
        </w:rPr>
      </w:pPr>
      <w:r w:rsidRPr="00515DC8">
        <w:rPr>
          <w:lang w:val="en-GB"/>
        </w:rPr>
        <w:t xml:space="preserve">McGrath, C., Guerin, B., Harte, E., Frearson, M., &amp; Manville, C. (2015). </w:t>
      </w:r>
      <w:r w:rsidRPr="00515DC8">
        <w:rPr>
          <w:i/>
          <w:lang w:val="en-GB"/>
        </w:rPr>
        <w:t xml:space="preserve">Learning gain in higher education. </w:t>
      </w:r>
      <w:r w:rsidRPr="00515DC8">
        <w:rPr>
          <w:lang w:val="en-GB"/>
        </w:rPr>
        <w:t xml:space="preserve">Santa Monica, California and Cambridge UK:  RAND.  Retrieved from </w:t>
      </w:r>
      <w:hyperlink r:id="rId57" w:history="1">
        <w:r w:rsidRPr="00515DC8">
          <w:rPr>
            <w:rStyle w:val="Hyperlink"/>
            <w:lang w:val="en-GB"/>
          </w:rPr>
          <w:t>https://www.rand.org/content/dam/rand/pubs/research_reports/RR900/RR996/RAND_RR996.pdf</w:t>
        </w:r>
      </w:hyperlink>
    </w:p>
    <w:p w14:paraId="6E38B7C9" w14:textId="77777777" w:rsidR="00C67EE4" w:rsidRPr="00515DC8" w:rsidRDefault="00C67EE4" w:rsidP="00C67EE4">
      <w:pPr>
        <w:spacing w:line="480" w:lineRule="auto"/>
        <w:ind w:left="426" w:hanging="426"/>
        <w:rPr>
          <w:lang w:val="en-GB"/>
        </w:rPr>
      </w:pPr>
      <w:r w:rsidRPr="00515DC8">
        <w:rPr>
          <w:lang w:val="en-GB"/>
        </w:rPr>
        <w:t xml:space="preserve">McNeish, D. (2017). Thanks coefficient alpha, we’ll take it from here. </w:t>
      </w:r>
      <w:r w:rsidRPr="00515DC8">
        <w:rPr>
          <w:i/>
          <w:iCs/>
          <w:lang w:val="en-GB"/>
        </w:rPr>
        <w:t>Psychological Methods</w:t>
      </w:r>
      <w:r w:rsidRPr="00515DC8">
        <w:rPr>
          <w:lang w:val="en-GB"/>
        </w:rPr>
        <w:t xml:space="preserve">. Advance online publication. </w:t>
      </w:r>
      <w:hyperlink r:id="rId58" w:history="1">
        <w:r w:rsidRPr="00515DC8">
          <w:rPr>
            <w:rStyle w:val="Hyperlink"/>
            <w:color w:val="auto"/>
            <w:lang w:val="en-GB"/>
          </w:rPr>
          <w:t>http://dx.doi.org/10.1037/met0000144</w:t>
        </w:r>
      </w:hyperlink>
      <w:r w:rsidRPr="00515DC8">
        <w:rPr>
          <w:lang w:val="en-GB"/>
        </w:rPr>
        <w:t xml:space="preserve"> </w:t>
      </w:r>
    </w:p>
    <w:p w14:paraId="10EF9162" w14:textId="77777777" w:rsidR="00C67EE4" w:rsidRPr="00515DC8" w:rsidRDefault="00C67EE4" w:rsidP="00C67EE4">
      <w:pPr>
        <w:spacing w:line="480" w:lineRule="auto"/>
        <w:ind w:left="426" w:hanging="426"/>
        <w:rPr>
          <w:lang w:val="en-GB"/>
        </w:rPr>
      </w:pPr>
      <w:r w:rsidRPr="00515DC8">
        <w:rPr>
          <w:lang w:val="en-GB"/>
        </w:rPr>
        <w:t xml:space="preserve">MDV Consulting (2017). </w:t>
      </w:r>
      <w:hyperlink r:id="rId59" w:tgtFrame="_blank" w:tooltip="Download: Is your graduate selection differentiating the best from the rest (PDF - 473 KB)" w:history="1">
        <w:r w:rsidRPr="00515DC8">
          <w:rPr>
            <w:bCs/>
            <w:lang w:val="en-GB"/>
          </w:rPr>
          <w:t>Is your graduate selection differentiating the best from the rest?</w:t>
        </w:r>
      </w:hyperlink>
      <w:r w:rsidRPr="00515DC8">
        <w:rPr>
          <w:bCs/>
          <w:lang w:val="en-GB"/>
        </w:rPr>
        <w:t xml:space="preserve"> Retrieved from </w:t>
      </w:r>
      <w:hyperlink r:id="rId60" w:history="1">
        <w:r w:rsidRPr="00515DC8">
          <w:rPr>
            <w:rStyle w:val="Hyperlink"/>
            <w:lang w:val="en-GB"/>
          </w:rPr>
          <w:t>http://mdvconsulting.co/wp-content/uploads/Is-your-graduate-selection-differentiating-the-best-from-the-rest2.pdf</w:t>
        </w:r>
      </w:hyperlink>
    </w:p>
    <w:p w14:paraId="51A91DB7" w14:textId="77777777" w:rsidR="00C67EE4" w:rsidRPr="00515DC8" w:rsidRDefault="00C67EE4" w:rsidP="00C67EE4">
      <w:pPr>
        <w:spacing w:line="480" w:lineRule="auto"/>
        <w:ind w:left="426" w:hanging="426"/>
        <w:rPr>
          <w:lang w:val="en-GB"/>
        </w:rPr>
      </w:pPr>
      <w:r w:rsidRPr="00515DC8">
        <w:rPr>
          <w:lang w:val="en-GB"/>
        </w:rPr>
        <w:t xml:space="preserve">Meguizo, T., &amp; Wainer, J. (2016). Toward a set of measures of student learning outcomes in higher education: evidence from Brazil. </w:t>
      </w:r>
      <w:r w:rsidRPr="00515DC8">
        <w:rPr>
          <w:i/>
          <w:lang w:val="en-GB"/>
        </w:rPr>
        <w:t>Higher Education, 72</w:t>
      </w:r>
      <w:r w:rsidRPr="00515DC8">
        <w:rPr>
          <w:lang w:val="en-GB"/>
        </w:rPr>
        <w:t xml:space="preserve">(3), 381-401. Retrieved from </w:t>
      </w:r>
      <w:hyperlink r:id="rId61" w:history="1">
        <w:r w:rsidRPr="00515DC8">
          <w:rPr>
            <w:rStyle w:val="Hyperlink"/>
            <w:lang w:val="en-GB"/>
          </w:rPr>
          <w:t>https://link.springer.com/article/10.1007/s10734-015-9963-x</w:t>
        </w:r>
      </w:hyperlink>
    </w:p>
    <w:p w14:paraId="5FE5C966" w14:textId="77777777" w:rsidR="00C67EE4" w:rsidRPr="00515DC8" w:rsidRDefault="00C67EE4" w:rsidP="00C67EE4">
      <w:pPr>
        <w:spacing w:line="480" w:lineRule="auto"/>
        <w:ind w:left="426" w:hanging="426"/>
        <w:rPr>
          <w:color w:val="000000" w:themeColor="text1"/>
          <w:shd w:val="clear" w:color="auto" w:fill="FFFFFF"/>
          <w:lang w:val="en-GB"/>
        </w:rPr>
      </w:pPr>
      <w:r w:rsidRPr="00515DC8">
        <w:rPr>
          <w:rStyle w:val="Emphasis"/>
          <w:bCs/>
          <w:i w:val="0"/>
          <w:iCs w:val="0"/>
          <w:color w:val="000000" w:themeColor="text1"/>
          <w:shd w:val="clear" w:color="auto" w:fill="FFFFFF"/>
          <w:lang w:val="en-GB"/>
        </w:rPr>
        <w:t>Messick</w:t>
      </w:r>
      <w:r w:rsidRPr="00515DC8">
        <w:rPr>
          <w:color w:val="000000" w:themeColor="text1"/>
          <w:shd w:val="clear" w:color="auto" w:fill="FFFFFF"/>
          <w:lang w:val="en-GB"/>
        </w:rPr>
        <w:t>, S. (</w:t>
      </w:r>
      <w:r w:rsidRPr="00515DC8">
        <w:rPr>
          <w:rStyle w:val="Emphasis"/>
          <w:bCs/>
          <w:i w:val="0"/>
          <w:iCs w:val="0"/>
          <w:color w:val="000000" w:themeColor="text1"/>
          <w:shd w:val="clear" w:color="auto" w:fill="FFFFFF"/>
          <w:lang w:val="en-GB"/>
        </w:rPr>
        <w:t>1989</w:t>
      </w:r>
      <w:r w:rsidRPr="00515DC8">
        <w:rPr>
          <w:color w:val="000000" w:themeColor="text1"/>
          <w:shd w:val="clear" w:color="auto" w:fill="FFFFFF"/>
          <w:lang w:val="en-GB"/>
        </w:rPr>
        <w:t xml:space="preserve">). Validity. In R.L. Linn (Ed.), </w:t>
      </w:r>
      <w:r w:rsidRPr="00515DC8">
        <w:rPr>
          <w:i/>
          <w:color w:val="000000" w:themeColor="text1"/>
          <w:shd w:val="clear" w:color="auto" w:fill="FFFFFF"/>
          <w:lang w:val="en-GB"/>
        </w:rPr>
        <w:t>Educational measurement</w:t>
      </w:r>
      <w:r w:rsidRPr="00515DC8">
        <w:rPr>
          <w:color w:val="000000" w:themeColor="text1"/>
          <w:shd w:val="clear" w:color="auto" w:fill="FFFFFF"/>
          <w:lang w:val="en-GB"/>
        </w:rPr>
        <w:t xml:space="preserve"> (3rd ed., pp. 13-103). New York: Macmillan. </w:t>
      </w:r>
    </w:p>
    <w:p w14:paraId="454ED6E9" w14:textId="4EB7AB7C" w:rsidR="00AE05AB" w:rsidRPr="00515DC8" w:rsidRDefault="0078184E" w:rsidP="0078184E">
      <w:pPr>
        <w:spacing w:line="480" w:lineRule="auto"/>
        <w:ind w:left="567" w:hanging="567"/>
        <w:rPr>
          <w:rStyle w:val="Strong"/>
          <w:b w:val="0"/>
          <w:lang w:val="en-GB"/>
        </w:rPr>
      </w:pPr>
      <w:r w:rsidRPr="00515DC8">
        <w:rPr>
          <w:rStyle w:val="Strong"/>
          <w:b w:val="0"/>
          <w:lang w:val="en-GB"/>
        </w:rPr>
        <w:t xml:space="preserve">Moore, G., Audrey, S., Barker, M., Bond, L., Bonell, C., Hardeman, W., Moore, L., O’Cathain, A., Tinati, T., Wight, D., Baird, J. (2014). </w:t>
      </w:r>
      <w:r w:rsidRPr="00515DC8">
        <w:rPr>
          <w:rStyle w:val="Strong"/>
          <w:b w:val="0"/>
          <w:i/>
          <w:iCs/>
          <w:lang w:val="en-GB"/>
        </w:rPr>
        <w:t>Process evaluation of complex interventions: Medical Research Council guidance</w:t>
      </w:r>
      <w:r w:rsidR="00BE7741">
        <w:rPr>
          <w:rStyle w:val="Strong"/>
          <w:b w:val="0"/>
          <w:lang w:val="en-GB"/>
        </w:rPr>
        <w:t xml:space="preserve">, </w:t>
      </w:r>
      <w:r w:rsidRPr="00515DC8">
        <w:rPr>
          <w:rStyle w:val="Strong"/>
          <w:b w:val="0"/>
          <w:lang w:val="en-GB"/>
        </w:rPr>
        <w:t>London, UK: MRC Population Health Science Research Network.</w:t>
      </w:r>
    </w:p>
    <w:p w14:paraId="706DB4F2" w14:textId="6AA1BF51" w:rsidR="0078184E" w:rsidRPr="00515DC8" w:rsidRDefault="0078184E" w:rsidP="0078184E">
      <w:pPr>
        <w:spacing w:line="480" w:lineRule="auto"/>
        <w:ind w:left="567" w:hanging="567"/>
        <w:rPr>
          <w:b/>
          <w:lang w:val="en-GB"/>
        </w:rPr>
      </w:pPr>
      <w:r w:rsidRPr="00515DC8">
        <w:rPr>
          <w:rStyle w:val="Strong"/>
          <w:b w:val="0"/>
          <w:lang w:val="en-GB"/>
        </w:rPr>
        <w:t xml:space="preserve"> </w:t>
      </w:r>
      <w:r w:rsidR="00AE05AB" w:rsidRPr="00515DC8">
        <w:rPr>
          <w:rStyle w:val="Strong"/>
          <w:b w:val="0"/>
          <w:lang w:val="en-GB"/>
        </w:rPr>
        <w:t xml:space="preserve">Moore, G., Audrey, S., Barker, M., Bond, L., Bonell, C., Hardeman, W., Moore, L., O’Cathain, A., Tinati, T., Wight, D., Baird, J. (2014). </w:t>
      </w:r>
      <w:r w:rsidR="00AE05AB" w:rsidRPr="00515DC8">
        <w:rPr>
          <w:rStyle w:val="Strong"/>
          <w:b w:val="0"/>
          <w:i/>
          <w:iCs/>
          <w:lang w:val="en-GB"/>
        </w:rPr>
        <w:t>Process evaluation of complex interventions: Medical Research Council guidance</w:t>
      </w:r>
      <w:r w:rsidR="00BE7741">
        <w:rPr>
          <w:rStyle w:val="Strong"/>
          <w:b w:val="0"/>
          <w:i/>
          <w:iCs/>
          <w:lang w:val="en-GB"/>
        </w:rPr>
        <w:t xml:space="preserve">, </w:t>
      </w:r>
      <w:r w:rsidR="00BE7741" w:rsidRPr="00515DC8">
        <w:rPr>
          <w:rStyle w:val="Strong"/>
          <w:b w:val="0"/>
          <w:lang w:val="en-GB"/>
        </w:rPr>
        <w:t>London, UK</w:t>
      </w:r>
      <w:r w:rsidR="00AE05AB" w:rsidRPr="00515DC8">
        <w:rPr>
          <w:rStyle w:val="Strong"/>
          <w:b w:val="0"/>
          <w:lang w:val="en-GB"/>
        </w:rPr>
        <w:t xml:space="preserve">. </w:t>
      </w:r>
    </w:p>
    <w:p w14:paraId="0D6C38AE" w14:textId="773A8CE9" w:rsidR="00C67EE4" w:rsidRPr="00515DC8" w:rsidRDefault="00C67EE4" w:rsidP="00C67EE4">
      <w:pPr>
        <w:spacing w:line="480" w:lineRule="auto"/>
        <w:ind w:left="426" w:hanging="426"/>
        <w:rPr>
          <w:lang w:val="en-GB"/>
        </w:rPr>
      </w:pPr>
      <w:r w:rsidRPr="00515DC8">
        <w:rPr>
          <w:lang w:val="en-GB"/>
        </w:rPr>
        <w:t xml:space="preserve">Morgan, J. (2015). </w:t>
      </w:r>
      <w:r w:rsidRPr="00515DC8">
        <w:rPr>
          <w:color w:val="494343"/>
          <w:lang w:val="en-GB"/>
        </w:rPr>
        <w:t>OECD’s Ahelo will fail to launch, says education director</w:t>
      </w:r>
      <w:r w:rsidR="00BE7741">
        <w:rPr>
          <w:color w:val="494343"/>
          <w:lang w:val="en-GB"/>
        </w:rPr>
        <w:t xml:space="preserve"> </w:t>
      </w:r>
      <w:r w:rsidRPr="00515DC8">
        <w:rPr>
          <w:lang w:val="en-GB"/>
        </w:rPr>
        <w:t xml:space="preserve">Times Higher Education Supplement Sep 21, 2015. Retrieved from </w:t>
      </w:r>
    </w:p>
    <w:p w14:paraId="0BC730E6" w14:textId="77777777" w:rsidR="00C67EE4" w:rsidRPr="00515DC8" w:rsidRDefault="00696A17" w:rsidP="00C67EE4">
      <w:pPr>
        <w:spacing w:line="480" w:lineRule="auto"/>
        <w:ind w:left="426"/>
        <w:rPr>
          <w:color w:val="000000" w:themeColor="text1"/>
          <w:shd w:val="clear" w:color="auto" w:fill="FFFFFF"/>
          <w:lang w:val="en-GB"/>
        </w:rPr>
      </w:pPr>
      <w:hyperlink r:id="rId62" w:history="1">
        <w:r w:rsidR="00C67EE4" w:rsidRPr="00515DC8">
          <w:rPr>
            <w:rStyle w:val="Hyperlink"/>
            <w:lang w:val="en-GB"/>
          </w:rPr>
          <w:t>https://www.timeshighereducation.com/news/oecds-ahelo-will-fail-launch-says-education-director</w:t>
        </w:r>
      </w:hyperlink>
    </w:p>
    <w:p w14:paraId="73AB982E" w14:textId="6AFAEFFB" w:rsidR="00C67EE4" w:rsidRPr="00515DC8" w:rsidRDefault="00C67EE4" w:rsidP="00C67EE4">
      <w:pPr>
        <w:spacing w:line="480" w:lineRule="auto"/>
        <w:ind w:left="426" w:hanging="426"/>
        <w:rPr>
          <w:lang w:val="en-GB"/>
        </w:rPr>
      </w:pPr>
      <w:r w:rsidRPr="00515DC8">
        <w:rPr>
          <w:lang w:val="en-GB"/>
        </w:rPr>
        <w:t>Mountford Zimdars, A., Sabri, D., Moore, J., Sanders, J., Jones, S., &amp; Higham, L.</w:t>
      </w:r>
      <w:r w:rsidR="00BB3336" w:rsidRPr="00515DC8">
        <w:rPr>
          <w:lang w:val="en-GB"/>
        </w:rPr>
        <w:t xml:space="preserve"> </w:t>
      </w:r>
      <w:r w:rsidRPr="00515DC8">
        <w:rPr>
          <w:lang w:val="en-GB"/>
        </w:rPr>
        <w:t>(2015). Causes of difference</w:t>
      </w:r>
      <w:r w:rsidR="00BB3336" w:rsidRPr="00515DC8">
        <w:rPr>
          <w:lang w:val="en-GB"/>
        </w:rPr>
        <w:t xml:space="preserve">s in student outcomes. London, UK: HEFCE. </w:t>
      </w:r>
      <w:r w:rsidRPr="00515DC8">
        <w:rPr>
          <w:lang w:val="en-GB"/>
        </w:rPr>
        <w:t xml:space="preserve">Report to HEFCE by King’s College London, ARC Network and the University of Manchester. Retrieved from </w:t>
      </w:r>
      <w:hyperlink r:id="rId63" w:history="1">
        <w:r w:rsidRPr="00515DC8">
          <w:rPr>
            <w:rStyle w:val="Hyperlink"/>
            <w:lang w:val="en-GB"/>
          </w:rPr>
          <w:t>http://dera.ioe.ac.uk/23653/1/HEFCE2015_diffout.pdf</w:t>
        </w:r>
      </w:hyperlink>
    </w:p>
    <w:p w14:paraId="18FA187F" w14:textId="77777777" w:rsidR="00C67EE4" w:rsidRPr="00515DC8" w:rsidRDefault="00C67EE4" w:rsidP="00C67EE4">
      <w:pPr>
        <w:spacing w:line="480" w:lineRule="auto"/>
        <w:ind w:left="426" w:hanging="426"/>
        <w:rPr>
          <w:rStyle w:val="Hyperlink"/>
          <w:lang w:val="en-GB"/>
        </w:rPr>
      </w:pPr>
      <w:r w:rsidRPr="00515DC8">
        <w:rPr>
          <w:lang w:val="en-GB"/>
        </w:rPr>
        <w:t xml:space="preserve">MRC (2008). </w:t>
      </w:r>
      <w:r w:rsidRPr="00515DC8">
        <w:rPr>
          <w:i/>
          <w:lang w:val="en-GB"/>
        </w:rPr>
        <w:t>Developing and evaluating complex interventions: new guidance.</w:t>
      </w:r>
      <w:r w:rsidRPr="00515DC8">
        <w:rPr>
          <w:lang w:val="en-GB"/>
        </w:rPr>
        <w:t xml:space="preserve"> Medical Research Council. Retrieved from: </w:t>
      </w:r>
      <w:hyperlink r:id="rId64" w:history="1">
        <w:r w:rsidRPr="00515DC8">
          <w:rPr>
            <w:rStyle w:val="Hyperlink"/>
            <w:lang w:val="en-GB"/>
          </w:rPr>
          <w:t>www.mre.ac.uk/complexinteractionsguidance</w:t>
        </w:r>
      </w:hyperlink>
    </w:p>
    <w:p w14:paraId="4D8A764F" w14:textId="210E5B19" w:rsidR="00C67EE4" w:rsidRPr="00515DC8" w:rsidRDefault="00C67EE4" w:rsidP="00C67EE4">
      <w:pPr>
        <w:shd w:val="clear" w:color="auto" w:fill="FFFFFF"/>
        <w:spacing w:line="480" w:lineRule="auto"/>
        <w:ind w:left="426" w:hanging="426"/>
        <w:textAlignment w:val="top"/>
        <w:rPr>
          <w:lang w:val="en-GB"/>
        </w:rPr>
      </w:pPr>
      <w:r w:rsidRPr="00515DC8">
        <w:rPr>
          <w:lang w:val="en-GB"/>
        </w:rPr>
        <w:t xml:space="preserve">NESTA (2013). </w:t>
      </w:r>
      <w:r w:rsidRPr="00515DC8">
        <w:rPr>
          <w:i/>
          <w:lang w:val="en-GB"/>
        </w:rPr>
        <w:t>Understanding how innovation works.</w:t>
      </w:r>
      <w:r w:rsidRPr="00515DC8">
        <w:rPr>
          <w:lang w:val="en-GB"/>
        </w:rPr>
        <w:t xml:space="preserve"> NESTA. Video </w:t>
      </w:r>
      <w:r w:rsidR="00BB3336" w:rsidRPr="00515DC8">
        <w:rPr>
          <w:lang w:val="en-GB"/>
        </w:rPr>
        <w:t>retrieved from</w:t>
      </w:r>
      <w:r w:rsidRPr="00515DC8">
        <w:rPr>
          <w:lang w:val="en-GB"/>
        </w:rPr>
        <w:t xml:space="preserve"> http://www.nesta.org.uk/resources/understand-how-innovation-works </w:t>
      </w:r>
    </w:p>
    <w:p w14:paraId="53E99B0D" w14:textId="77777777" w:rsidR="00C67EE4" w:rsidRPr="00515DC8" w:rsidRDefault="00C67EE4" w:rsidP="00C67EE4">
      <w:pPr>
        <w:shd w:val="clear" w:color="auto" w:fill="FFFFFF"/>
        <w:spacing w:line="480" w:lineRule="auto"/>
        <w:ind w:left="425" w:hanging="425"/>
        <w:textAlignment w:val="top"/>
        <w:rPr>
          <w:lang w:val="en-GB"/>
        </w:rPr>
      </w:pPr>
      <w:r w:rsidRPr="00515DC8">
        <w:rPr>
          <w:lang w:val="en-GB"/>
        </w:rPr>
        <w:t xml:space="preserve">NESTA (2016). </w:t>
      </w:r>
      <w:r w:rsidRPr="00515DC8">
        <w:rPr>
          <w:i/>
          <w:lang w:val="en-GB"/>
        </w:rPr>
        <w:t>Using research evidence. A practice guide.</w:t>
      </w:r>
      <w:r w:rsidRPr="00515DC8">
        <w:rPr>
          <w:lang w:val="en-GB"/>
        </w:rPr>
        <w:t xml:space="preserve"> NESTA, ESRC. Retrieved from </w:t>
      </w:r>
      <w:hyperlink r:id="rId65" w:history="1">
        <w:r w:rsidRPr="00515DC8">
          <w:rPr>
            <w:rStyle w:val="Hyperlink"/>
            <w:lang w:val="en-GB"/>
          </w:rPr>
          <w:t>http://www.nesta.org.uk/publications/using-research-evidence-practice-guide</w:t>
        </w:r>
      </w:hyperlink>
    </w:p>
    <w:p w14:paraId="43EE2035" w14:textId="435E6AD2" w:rsidR="00C67EE4" w:rsidRPr="00515DC8" w:rsidRDefault="00C67EE4" w:rsidP="00C67EE4">
      <w:pPr>
        <w:shd w:val="clear" w:color="auto" w:fill="FFFFFF"/>
        <w:spacing w:line="480" w:lineRule="auto"/>
        <w:ind w:left="425" w:hanging="425"/>
        <w:textAlignment w:val="top"/>
        <w:rPr>
          <w:rFonts w:eastAsia="Arial Unicode MS"/>
          <w:lang w:val="en-GB" w:eastAsia="en-GB"/>
        </w:rPr>
      </w:pPr>
      <w:r w:rsidRPr="00515DC8">
        <w:rPr>
          <w:rFonts w:eastAsia="Arial Unicode MS"/>
          <w:lang w:val="en-GB" w:eastAsia="en-GB"/>
        </w:rPr>
        <w:t>Nguyen, Q., Rienties, B.,Toetenel, L., Ferguson, R</w:t>
      </w:r>
      <w:r w:rsidR="000F6D89" w:rsidRPr="00515DC8">
        <w:rPr>
          <w:rFonts w:eastAsia="Arial Unicode MS"/>
          <w:lang w:val="en-GB" w:eastAsia="en-GB"/>
        </w:rPr>
        <w:t>.</w:t>
      </w:r>
      <w:r w:rsidRPr="00515DC8">
        <w:rPr>
          <w:rFonts w:eastAsia="Arial Unicode MS"/>
          <w:lang w:val="en-GB" w:eastAsia="en-GB"/>
        </w:rPr>
        <w:t xml:space="preserve">, &amp;  Whitelock, D. (2017).  </w:t>
      </w:r>
      <w:hyperlink r:id="rId66" w:tgtFrame="_blank" w:history="1">
        <w:r w:rsidRPr="00515DC8">
          <w:rPr>
            <w:rFonts w:eastAsia="Arial Unicode MS"/>
            <w:bCs/>
            <w:lang w:val="en-GB" w:eastAsia="en-GB"/>
          </w:rPr>
          <w:t xml:space="preserve">Examining the designs of computer-based assessment and its impact on student engagement, satisfaction, and pass rates. </w:t>
        </w:r>
      </w:hyperlink>
      <w:r w:rsidRPr="00515DC8">
        <w:rPr>
          <w:rFonts w:eastAsia="Arial Unicode MS"/>
          <w:i/>
          <w:lang w:val="en-GB" w:eastAsia="en-GB"/>
        </w:rPr>
        <w:t>Computers in Human Behavior, 76</w:t>
      </w:r>
      <w:r w:rsidRPr="00515DC8">
        <w:rPr>
          <w:rFonts w:eastAsia="Arial Unicode MS"/>
          <w:lang w:val="en-GB" w:eastAsia="en-GB"/>
        </w:rPr>
        <w:t xml:space="preserve">, 703-714. </w:t>
      </w:r>
    </w:p>
    <w:p w14:paraId="21566CF8" w14:textId="77777777" w:rsidR="00C67EE4" w:rsidRPr="00515DC8" w:rsidRDefault="00C67EE4" w:rsidP="00C67EE4">
      <w:pPr>
        <w:shd w:val="clear" w:color="auto" w:fill="FFFFFF"/>
        <w:spacing w:line="480" w:lineRule="auto"/>
        <w:ind w:left="425" w:hanging="425"/>
        <w:textAlignment w:val="top"/>
        <w:rPr>
          <w:rFonts w:eastAsia="Arial Unicode MS"/>
          <w:lang w:val="en-GB" w:eastAsia="en-GB"/>
        </w:rPr>
      </w:pPr>
      <w:r w:rsidRPr="00515DC8">
        <w:rPr>
          <w:rFonts w:eastAsia="Arial Unicode MS"/>
          <w:lang w:val="en-GB" w:eastAsia="en-GB"/>
        </w:rPr>
        <w:t xml:space="preserve">Nuffield Foundation (2017). Improving social well-being through education, research and innovation. Retrieved from </w:t>
      </w:r>
      <w:hyperlink r:id="rId67" w:history="1">
        <w:r w:rsidRPr="00515DC8">
          <w:rPr>
            <w:rStyle w:val="Hyperlink"/>
            <w:rFonts w:eastAsia="Arial Unicode MS"/>
            <w:lang w:val="en-GB" w:eastAsia="en-GB"/>
          </w:rPr>
          <w:t>http://www.nuffieldfoundation.org/news/young-people%E2%80%99s-subject-choices-influences-and-impact</w:t>
        </w:r>
      </w:hyperlink>
    </w:p>
    <w:p w14:paraId="0B9F2629" w14:textId="77777777" w:rsidR="00C67EE4" w:rsidRPr="00515DC8" w:rsidRDefault="00C67EE4" w:rsidP="00C67EE4">
      <w:pPr>
        <w:shd w:val="clear" w:color="auto" w:fill="FFFFFF"/>
        <w:spacing w:line="480" w:lineRule="auto"/>
        <w:ind w:left="426" w:hanging="426"/>
        <w:textAlignment w:val="top"/>
        <w:rPr>
          <w:lang w:val="en-GB"/>
        </w:rPr>
      </w:pPr>
      <w:r w:rsidRPr="00515DC8">
        <w:rPr>
          <w:rFonts w:eastAsia="Arial Unicode MS"/>
          <w:lang w:val="en-GB" w:eastAsia="en-GB"/>
        </w:rPr>
        <w:t xml:space="preserve">OECD (2013a). Assessment of higher education learning outcomes. Feasibility study report. Volume 2: Data analysis and national experiences. OECD. Retrieved from </w:t>
      </w:r>
      <w:r w:rsidRPr="00515DC8">
        <w:rPr>
          <w:lang w:val="en-GB"/>
        </w:rPr>
        <w:t xml:space="preserve"> </w:t>
      </w:r>
      <w:hyperlink r:id="rId68" w:history="1">
        <w:r w:rsidRPr="00515DC8">
          <w:rPr>
            <w:rStyle w:val="Hyperlink"/>
            <w:lang w:val="en-GB"/>
          </w:rPr>
          <w:t>http://www.oecd.org/education/skills-beyond-school/AHELO%20FS%20Report%20-%20Volume%202%20Executive%20Summary.pdf</w:t>
        </w:r>
      </w:hyperlink>
    </w:p>
    <w:p w14:paraId="7387B1FB" w14:textId="77777777" w:rsidR="00C67EE4" w:rsidRPr="00515DC8" w:rsidRDefault="00C67EE4" w:rsidP="00C67EE4">
      <w:pPr>
        <w:shd w:val="clear" w:color="auto" w:fill="FFFFFF"/>
        <w:spacing w:line="480" w:lineRule="auto"/>
        <w:ind w:left="426" w:hanging="426"/>
        <w:textAlignment w:val="top"/>
        <w:rPr>
          <w:rFonts w:eastAsia="Arial Unicode MS"/>
          <w:lang w:val="en-GB" w:eastAsia="en-GB"/>
        </w:rPr>
      </w:pPr>
      <w:r w:rsidRPr="00515DC8">
        <w:rPr>
          <w:rFonts w:eastAsia="Arial Unicode MS"/>
          <w:lang w:val="en-GB" w:eastAsia="en-GB"/>
        </w:rPr>
        <w:t>OECD (2013b). Assessment of higher education learning outcomes AHELO. Feasibility study report. Volume 3: Further insights. Retrieved from</w:t>
      </w:r>
    </w:p>
    <w:p w14:paraId="37C3E824" w14:textId="77777777" w:rsidR="00C67EE4" w:rsidRPr="00515DC8" w:rsidRDefault="00696A17" w:rsidP="00C67EE4">
      <w:pPr>
        <w:spacing w:line="480" w:lineRule="auto"/>
        <w:ind w:firstLine="426"/>
        <w:rPr>
          <w:lang w:val="en-GB"/>
        </w:rPr>
      </w:pPr>
      <w:hyperlink r:id="rId69" w:history="1">
        <w:r w:rsidR="00C67EE4" w:rsidRPr="00515DC8">
          <w:rPr>
            <w:rStyle w:val="Hyperlink"/>
            <w:color w:val="auto"/>
            <w:lang w:val="en-GB"/>
          </w:rPr>
          <w:t>http://www.oecd.org/education/skills-beyond-school/AHELOFSReportVolume3.pdf</w:t>
        </w:r>
      </w:hyperlink>
    </w:p>
    <w:p w14:paraId="71AD6D97" w14:textId="1834D4CF" w:rsidR="00C67EE4" w:rsidRPr="00515DC8" w:rsidRDefault="00C67EE4" w:rsidP="00404D06">
      <w:pPr>
        <w:pStyle w:val="Heading1"/>
        <w:spacing w:line="480" w:lineRule="auto"/>
        <w:ind w:left="426" w:hanging="426"/>
        <w:rPr>
          <w:sz w:val="24"/>
          <w:szCs w:val="24"/>
        </w:rPr>
      </w:pPr>
      <w:r w:rsidRPr="00515DC8">
        <w:rPr>
          <w:sz w:val="24"/>
          <w:szCs w:val="24"/>
        </w:rPr>
        <w:t>OfS (2017). REF 2021. Initial decisions on the Research Excellence Framework 2021. London</w:t>
      </w:r>
      <w:r w:rsidR="000F6D89" w:rsidRPr="00515DC8">
        <w:rPr>
          <w:sz w:val="24"/>
          <w:szCs w:val="24"/>
        </w:rPr>
        <w:t>, UK</w:t>
      </w:r>
      <w:r w:rsidRPr="00515DC8">
        <w:rPr>
          <w:sz w:val="24"/>
          <w:szCs w:val="24"/>
        </w:rPr>
        <w:t>: OfS. Retrieved from http://www.ref.ac.uk/publications/2017/initialdecisionsontheresearchexcellenceframework2021.html</w:t>
      </w:r>
    </w:p>
    <w:p w14:paraId="255222C2" w14:textId="77777777" w:rsidR="00C67EE4" w:rsidRPr="00515DC8" w:rsidRDefault="00C67EE4" w:rsidP="00C67EE4">
      <w:pPr>
        <w:spacing w:line="480" w:lineRule="auto"/>
        <w:ind w:left="426" w:hanging="426"/>
        <w:rPr>
          <w:lang w:val="en-GB"/>
        </w:rPr>
      </w:pPr>
      <w:r w:rsidRPr="00515DC8">
        <w:rPr>
          <w:lang w:val="en-GB"/>
        </w:rPr>
        <w:t xml:space="preserve">Office for Students (2018a). Learning gain. Retrieved from </w:t>
      </w:r>
      <w:hyperlink r:id="rId70" w:history="1">
        <w:r w:rsidRPr="00515DC8">
          <w:rPr>
            <w:rStyle w:val="Hyperlink"/>
            <w:lang w:val="en-GB"/>
          </w:rPr>
          <w:t>https://www.officeforstudents.org.uk/advice-and-guidance/teaching/learning-gain/</w:t>
        </w:r>
      </w:hyperlink>
    </w:p>
    <w:p w14:paraId="5B0C2B57" w14:textId="77777777" w:rsidR="00C67EE4" w:rsidRPr="00515DC8" w:rsidRDefault="00C67EE4" w:rsidP="00C67EE4">
      <w:pPr>
        <w:spacing w:line="480" w:lineRule="auto"/>
        <w:ind w:left="426" w:hanging="426"/>
        <w:rPr>
          <w:lang w:val="en-GB"/>
        </w:rPr>
      </w:pPr>
      <w:r w:rsidRPr="00515DC8">
        <w:rPr>
          <w:lang w:val="en-GB"/>
        </w:rPr>
        <w:t xml:space="preserve">Office for Students (2018b).  Addressing barriers to student success. Retrieved from </w:t>
      </w:r>
      <w:hyperlink r:id="rId71" w:history="1">
        <w:r w:rsidRPr="00515DC8">
          <w:rPr>
            <w:rStyle w:val="Hyperlink"/>
            <w:lang w:val="en-GB"/>
          </w:rPr>
          <w:t>https://www.officeforstudents.org.uk/advice-and-guidance/promoting-equal-opportunities/addressing-barriers-to-student-success/what-are-the-projects</w:t>
        </w:r>
      </w:hyperlink>
    </w:p>
    <w:p w14:paraId="7CE791A7" w14:textId="77777777" w:rsidR="00C67EE4" w:rsidRPr="00515DC8" w:rsidRDefault="00C67EE4" w:rsidP="00C67EE4">
      <w:pPr>
        <w:spacing w:line="480" w:lineRule="auto"/>
        <w:ind w:left="426" w:hanging="426"/>
        <w:rPr>
          <w:lang w:val="en-GB"/>
        </w:rPr>
      </w:pPr>
      <w:r w:rsidRPr="00515DC8">
        <w:rPr>
          <w:lang w:val="en-GB"/>
        </w:rPr>
        <w:t xml:space="preserve">Owens, J., &amp; Tibley. M. (2014). </w:t>
      </w:r>
      <w:r w:rsidRPr="00515DC8">
        <w:rPr>
          <w:i/>
          <w:lang w:val="en-GB"/>
        </w:rPr>
        <w:t>Enhancing employability through enterprise education:  Examples of good practice in higher education</w:t>
      </w:r>
      <w:r w:rsidRPr="00515DC8">
        <w:rPr>
          <w:lang w:val="en-GB"/>
        </w:rPr>
        <w:t>. York: Higher Education Academy.</w:t>
      </w:r>
    </w:p>
    <w:p w14:paraId="5ACBA6D5" w14:textId="77777777" w:rsidR="00C67EE4" w:rsidRPr="00BE7741" w:rsidRDefault="00C67EE4" w:rsidP="00C67EE4">
      <w:pPr>
        <w:spacing w:line="480" w:lineRule="auto"/>
        <w:ind w:left="426" w:hanging="426"/>
        <w:rPr>
          <w:i/>
          <w:lang w:val="en-GB"/>
        </w:rPr>
      </w:pPr>
      <w:r w:rsidRPr="00BE7741">
        <w:rPr>
          <w:i/>
          <w:lang w:val="en-GB"/>
        </w:rPr>
        <w:t>Pampaka, M., Swain, D., Jones, S., Williams, J., Edwards, M., &amp; Wo, L. (2018</w:t>
      </w:r>
      <w:r w:rsidRPr="00BE7741">
        <w:rPr>
          <w:i/>
          <w:shd w:val="clear" w:color="auto" w:fill="FFFFFF" w:themeFill="background1"/>
          <w:lang w:val="en-GB"/>
        </w:rPr>
        <w:t>). Validating constructs of learners’ academic self-efficacy for measuring learning gain.  Higher Education Pedagogies (this issue)</w:t>
      </w:r>
    </w:p>
    <w:p w14:paraId="51CC1A43" w14:textId="77777777" w:rsidR="00C67EE4" w:rsidRPr="00515DC8" w:rsidRDefault="00C67EE4" w:rsidP="00C67EE4">
      <w:pPr>
        <w:spacing w:line="480" w:lineRule="auto"/>
        <w:ind w:left="426" w:hanging="426"/>
        <w:rPr>
          <w:rFonts w:eastAsia="Times New Roman"/>
          <w:lang w:val="en-GB" w:eastAsia="en-GB"/>
        </w:rPr>
      </w:pPr>
      <w:r w:rsidRPr="00515DC8">
        <w:rPr>
          <w:rFonts w:eastAsia="Times New Roman"/>
          <w:lang w:val="en-GB" w:eastAsia="en-GB"/>
        </w:rPr>
        <w:t xml:space="preserve">Pascarella, E. T., &amp; Blaich, C. (2013). Lessons from the Wabash National Study of Liberal Arts Education. </w:t>
      </w:r>
      <w:r w:rsidRPr="00515DC8">
        <w:rPr>
          <w:rFonts w:eastAsia="Times New Roman"/>
          <w:i/>
          <w:iCs/>
          <w:lang w:val="en-GB" w:eastAsia="en-GB"/>
        </w:rPr>
        <w:t>Change: The Magazine of Higher Learning</w:t>
      </w:r>
      <w:r w:rsidRPr="00515DC8">
        <w:rPr>
          <w:rFonts w:eastAsia="Times New Roman"/>
          <w:lang w:val="en-GB" w:eastAsia="en-GB"/>
        </w:rPr>
        <w:t xml:space="preserve">, </w:t>
      </w:r>
      <w:r w:rsidRPr="00515DC8">
        <w:rPr>
          <w:rFonts w:eastAsia="Times New Roman"/>
          <w:i/>
          <w:iCs/>
          <w:lang w:val="en-GB" w:eastAsia="en-GB"/>
        </w:rPr>
        <w:t>45</w:t>
      </w:r>
      <w:r w:rsidRPr="00515DC8">
        <w:rPr>
          <w:rFonts w:eastAsia="Times New Roman"/>
          <w:lang w:val="en-GB" w:eastAsia="en-GB"/>
        </w:rPr>
        <w:t xml:space="preserve">(2), 6–15. </w:t>
      </w:r>
    </w:p>
    <w:p w14:paraId="1E1850DD" w14:textId="77777777" w:rsidR="00C67EE4" w:rsidRPr="00515DC8" w:rsidRDefault="00C67EE4" w:rsidP="00C67EE4">
      <w:pPr>
        <w:spacing w:line="480" w:lineRule="auto"/>
        <w:ind w:left="426" w:hanging="426"/>
        <w:rPr>
          <w:lang w:val="en-GB"/>
        </w:rPr>
      </w:pPr>
      <w:r w:rsidRPr="00515DC8">
        <w:rPr>
          <w:rFonts w:eastAsia="Times New Roman"/>
          <w:lang w:val="en-GB" w:eastAsia="en-GB"/>
        </w:rPr>
        <w:t xml:space="preserve">Peeters, J., De Baker, F., Kindenkens, A., Triquet, K., &amp; Lombaerts, K. (2016). Teacher differences in promoting students’ self-regulated learning: Exploring the role of student characteristics. </w:t>
      </w:r>
      <w:r w:rsidRPr="00515DC8">
        <w:rPr>
          <w:rFonts w:eastAsia="Times New Roman"/>
          <w:i/>
          <w:lang w:val="en-GB" w:eastAsia="en-GB"/>
        </w:rPr>
        <w:t>Learning and Individual Differences, 52,</w:t>
      </w:r>
      <w:r w:rsidRPr="00515DC8">
        <w:rPr>
          <w:rFonts w:eastAsia="Times New Roman"/>
          <w:lang w:val="en-GB" w:eastAsia="en-GB"/>
        </w:rPr>
        <w:t xml:space="preserve"> 88-96.</w:t>
      </w:r>
    </w:p>
    <w:p w14:paraId="25E2DD91" w14:textId="3EC99D95" w:rsidR="00C67EE4" w:rsidRPr="00515DC8" w:rsidRDefault="00C67EE4" w:rsidP="00C67EE4">
      <w:pPr>
        <w:spacing w:line="480" w:lineRule="auto"/>
        <w:ind w:left="426" w:hanging="426"/>
        <w:rPr>
          <w:lang w:val="en-GB"/>
        </w:rPr>
      </w:pPr>
      <w:r w:rsidRPr="00515DC8">
        <w:rPr>
          <w:lang w:val="en-GB"/>
        </w:rPr>
        <w:t>Peseta, T., Barrie, S.</w:t>
      </w:r>
      <w:r w:rsidR="00BB3336" w:rsidRPr="00515DC8">
        <w:rPr>
          <w:lang w:val="en-GB"/>
        </w:rPr>
        <w:t>,</w:t>
      </w:r>
      <w:r w:rsidRPr="00515DC8">
        <w:rPr>
          <w:lang w:val="en-GB"/>
        </w:rPr>
        <w:t xml:space="preserve"> &amp; McLean, J. (2017). Academic life in the measured university: pleasures, paradoxes and politics. </w:t>
      </w:r>
      <w:r w:rsidRPr="00515DC8">
        <w:rPr>
          <w:i/>
          <w:lang w:val="en-GB"/>
        </w:rPr>
        <w:t>Higher Education Research and Development, 36,</w:t>
      </w:r>
      <w:r w:rsidRPr="00515DC8">
        <w:rPr>
          <w:lang w:val="en-GB"/>
        </w:rPr>
        <w:t xml:space="preserve"> 3, 453-7.</w:t>
      </w:r>
    </w:p>
    <w:p w14:paraId="0B5ACEC2" w14:textId="76E23687" w:rsidR="00C67EE4" w:rsidRPr="00515DC8" w:rsidRDefault="00BB3336" w:rsidP="00C67EE4">
      <w:pPr>
        <w:spacing w:line="480" w:lineRule="auto"/>
        <w:ind w:left="426" w:hanging="426"/>
        <w:rPr>
          <w:lang w:val="en-GB"/>
        </w:rPr>
      </w:pPr>
      <w:r w:rsidRPr="00515DC8">
        <w:rPr>
          <w:lang w:val="en-GB"/>
        </w:rPr>
        <w:t>Podsakoff, P.M.</w:t>
      </w:r>
      <w:r w:rsidR="00C67EE4" w:rsidRPr="00515DC8">
        <w:rPr>
          <w:lang w:val="en-GB"/>
        </w:rPr>
        <w:t>, MacKenzie, S.B., Lee, J.-Y., &amp; Podsakoff, N.P. (2003). Common method biases in behavioral research: A critical review of the literature and recommended remedies. J</w:t>
      </w:r>
      <w:r w:rsidR="00C67EE4" w:rsidRPr="00515DC8">
        <w:rPr>
          <w:i/>
          <w:iCs/>
          <w:lang w:val="en-GB"/>
        </w:rPr>
        <w:t>ournal of Applied Psychology</w:t>
      </w:r>
      <w:r w:rsidR="00BE7741">
        <w:rPr>
          <w:lang w:val="en-GB"/>
        </w:rPr>
        <w:t xml:space="preserve">, </w:t>
      </w:r>
      <w:r w:rsidR="00C67EE4" w:rsidRPr="00BE7741">
        <w:rPr>
          <w:bCs/>
          <w:i/>
          <w:lang w:val="en-GB"/>
        </w:rPr>
        <w:t>88</w:t>
      </w:r>
      <w:r w:rsidR="00C67EE4" w:rsidRPr="00515DC8">
        <w:rPr>
          <w:lang w:val="en-GB"/>
        </w:rPr>
        <w:t>(5): 879–903. </w:t>
      </w:r>
    </w:p>
    <w:p w14:paraId="35BA9C1A" w14:textId="77777777" w:rsidR="00C67EE4" w:rsidRPr="00515DC8" w:rsidRDefault="00C67EE4" w:rsidP="00C67EE4">
      <w:pPr>
        <w:spacing w:line="480" w:lineRule="auto"/>
        <w:ind w:left="426" w:hanging="426"/>
        <w:rPr>
          <w:rStyle w:val="Hyperlink"/>
          <w:i/>
          <w:color w:val="auto"/>
          <w:u w:val="none"/>
          <w:shd w:val="clear" w:color="auto" w:fill="FFFFFF"/>
          <w:lang w:val="en-GB"/>
        </w:rPr>
      </w:pPr>
      <w:r w:rsidRPr="00515DC8">
        <w:rPr>
          <w:rStyle w:val="Hyperlink"/>
          <w:i/>
          <w:color w:val="auto"/>
          <w:u w:val="none"/>
          <w:shd w:val="clear" w:color="auto" w:fill="FFFFFF"/>
          <w:lang w:val="en-GB"/>
        </w:rPr>
        <w:t xml:space="preserve">Powell, S., Gossman, P., &amp; Neame, C. (2018). Pain, Gain, Mission. </w:t>
      </w:r>
      <w:r w:rsidRPr="00515DC8">
        <w:rPr>
          <w:i/>
          <w:lang w:val="en-GB"/>
        </w:rPr>
        <w:t xml:space="preserve">Higher Education Pedagogies </w:t>
      </w:r>
      <w:r w:rsidRPr="00515DC8">
        <w:rPr>
          <w:rStyle w:val="Hyperlink"/>
          <w:i/>
          <w:color w:val="auto"/>
          <w:u w:val="none"/>
          <w:shd w:val="clear" w:color="auto" w:fill="FFFFFF"/>
          <w:lang w:val="en-GB"/>
        </w:rPr>
        <w:t>(this issue).</w:t>
      </w:r>
    </w:p>
    <w:p w14:paraId="5303710E" w14:textId="77777777" w:rsidR="00C67EE4" w:rsidRPr="00515DC8" w:rsidRDefault="00C67EE4" w:rsidP="00C67EE4">
      <w:pPr>
        <w:spacing w:line="480" w:lineRule="auto"/>
        <w:ind w:left="426" w:hanging="426"/>
        <w:rPr>
          <w:lang w:val="en-GB"/>
        </w:rPr>
      </w:pPr>
      <w:r w:rsidRPr="00515DC8">
        <w:rPr>
          <w:lang w:val="en-GB"/>
        </w:rPr>
        <w:t>Puttick, R., &amp; Ludlow, J. (</w:t>
      </w:r>
      <w:r w:rsidRPr="00515DC8">
        <w:rPr>
          <w:bCs/>
          <w:lang w:val="en-GB"/>
        </w:rPr>
        <w:t>2012</w:t>
      </w:r>
      <w:r w:rsidRPr="00515DC8">
        <w:rPr>
          <w:lang w:val="en-GB"/>
        </w:rPr>
        <w:t xml:space="preserve">). </w:t>
      </w:r>
      <w:r w:rsidRPr="00515DC8">
        <w:rPr>
          <w:bCs/>
          <w:i/>
          <w:lang w:val="en-GB"/>
        </w:rPr>
        <w:t>Standards of evidence</w:t>
      </w:r>
      <w:r w:rsidRPr="00515DC8">
        <w:rPr>
          <w:i/>
          <w:lang w:val="en-GB"/>
        </w:rPr>
        <w:t xml:space="preserve"> for impact investing.</w:t>
      </w:r>
      <w:r w:rsidRPr="00515DC8">
        <w:rPr>
          <w:lang w:val="en-GB"/>
        </w:rPr>
        <w:t xml:space="preserve"> London: </w:t>
      </w:r>
      <w:r w:rsidRPr="00515DC8">
        <w:rPr>
          <w:bCs/>
          <w:lang w:val="en-GB"/>
        </w:rPr>
        <w:t>Nesta. Retrieved from https://www.nesta.org.uk/sites/default/files/standards_of_evidence.pdf</w:t>
      </w:r>
    </w:p>
    <w:p w14:paraId="4614F73C" w14:textId="77777777" w:rsidR="00C67EE4" w:rsidRDefault="00C67EE4" w:rsidP="00C67EE4">
      <w:pPr>
        <w:spacing w:line="480" w:lineRule="auto"/>
        <w:ind w:left="426" w:hanging="426"/>
        <w:rPr>
          <w:rStyle w:val="Hyperlink"/>
          <w:color w:val="auto"/>
          <w:lang w:val="en-GB"/>
        </w:rPr>
      </w:pPr>
      <w:r w:rsidRPr="00515DC8">
        <w:rPr>
          <w:lang w:val="en-GB"/>
        </w:rPr>
        <w:t xml:space="preserve">QAA (2014). </w:t>
      </w:r>
      <w:r w:rsidRPr="00515DC8">
        <w:rPr>
          <w:i/>
          <w:lang w:val="en-GB"/>
        </w:rPr>
        <w:t xml:space="preserve">Education for sustainable development. Guidance for higher education providers. </w:t>
      </w:r>
      <w:r w:rsidRPr="00515DC8">
        <w:rPr>
          <w:lang w:val="en-GB"/>
        </w:rPr>
        <w:t xml:space="preserve">Gloucester, UK. The Quality Assurance Agency. Retrieved from </w:t>
      </w:r>
      <w:hyperlink r:id="rId72" w:history="1">
        <w:r w:rsidRPr="00515DC8">
          <w:rPr>
            <w:rStyle w:val="Hyperlink"/>
            <w:color w:val="auto"/>
            <w:lang w:val="en-GB"/>
          </w:rPr>
          <w:t>http://www.qaa.ac.uk/en/Publications/Documents/Education-sustainable-development-Guidance-June-14.pdf</w:t>
        </w:r>
      </w:hyperlink>
    </w:p>
    <w:p w14:paraId="3AFE06D5" w14:textId="74524A34" w:rsidR="00BE7741" w:rsidRPr="00BE7741" w:rsidRDefault="00BE7741" w:rsidP="00BE7741">
      <w:pPr>
        <w:spacing w:line="480" w:lineRule="auto"/>
        <w:ind w:left="426" w:hanging="426"/>
        <w:rPr>
          <w:rStyle w:val="Hyperlink"/>
          <w:color w:val="auto"/>
          <w:u w:val="none"/>
          <w:lang w:val="en"/>
        </w:rPr>
      </w:pPr>
      <w:r w:rsidRPr="00EB70D1">
        <w:rPr>
          <w:lang w:val="en"/>
        </w:rPr>
        <w:t xml:space="preserve">REF 2018/02. </w:t>
      </w:r>
      <w:r w:rsidRPr="00EB70D1">
        <w:t xml:space="preserve">Consultation on the draft panel criteria and working methods, </w:t>
      </w:r>
      <w:r w:rsidRPr="00EB70D1">
        <w:rPr>
          <w:lang w:val="en"/>
        </w:rPr>
        <w:t xml:space="preserve">Bristol, UK: the Higher Education Funding Council for Wales, the Scottish Funding Council, the Department for the Economy, NI, and Research England. Retrieved from </w:t>
      </w:r>
      <w:hyperlink r:id="rId73" w:history="1">
        <w:r w:rsidRPr="00282BB9">
          <w:rPr>
            <w:rStyle w:val="Hyperlink"/>
            <w:lang w:val="en"/>
          </w:rPr>
          <w:t>http://www.ref.ac.uk/media/ref,2021/downloads/Consultation%20on%20the%20draft%20panel%20criteria%20and%20working%20methods%20REF%202018_02.pdf</w:t>
        </w:r>
      </w:hyperlink>
    </w:p>
    <w:p w14:paraId="2D5D87C6" w14:textId="77777777" w:rsidR="00C67EE4" w:rsidRPr="00515DC8" w:rsidRDefault="00C67EE4" w:rsidP="00C67EE4">
      <w:pPr>
        <w:spacing w:line="480" w:lineRule="auto"/>
        <w:ind w:left="426" w:hanging="426"/>
        <w:rPr>
          <w:lang w:val="en-GB"/>
        </w:rPr>
      </w:pPr>
      <w:r w:rsidRPr="00515DC8">
        <w:rPr>
          <w:lang w:val="en-GB"/>
        </w:rPr>
        <w:t xml:space="preserve">Rhodes, T. (2009). </w:t>
      </w:r>
      <w:r w:rsidRPr="00515DC8">
        <w:rPr>
          <w:rStyle w:val="Emphasis"/>
          <w:lang w:val="en-GB"/>
        </w:rPr>
        <w:t xml:space="preserve">Assessing outcomes and improving achievement: Tips and tools for using the rubrics. </w:t>
      </w:r>
      <w:r w:rsidRPr="00515DC8">
        <w:rPr>
          <w:lang w:val="en-GB"/>
        </w:rPr>
        <w:t>Washington, DC: Association of American Colleges and Universities.</w:t>
      </w:r>
    </w:p>
    <w:p w14:paraId="782E7BA3" w14:textId="77777777" w:rsidR="00C67EE4" w:rsidRPr="00515DC8" w:rsidRDefault="00C67EE4" w:rsidP="00C67EE4">
      <w:pPr>
        <w:spacing w:line="480" w:lineRule="auto"/>
        <w:ind w:left="426" w:hanging="426"/>
        <w:rPr>
          <w:rStyle w:val="Hyperlink"/>
          <w:color w:val="auto"/>
          <w:u w:val="none"/>
          <w:lang w:val="en-GB"/>
        </w:rPr>
      </w:pPr>
      <w:r w:rsidRPr="00515DC8">
        <w:rPr>
          <w:rStyle w:val="Hyperlink"/>
          <w:color w:val="auto"/>
          <w:u w:val="none"/>
          <w:lang w:val="en-GB"/>
        </w:rPr>
        <w:t xml:space="preserve">Richardson, J. T. E. (2015). The under-attainment of ethnic minority students in UK higher education: what we know and what we don’t know. </w:t>
      </w:r>
      <w:r w:rsidRPr="00515DC8">
        <w:rPr>
          <w:rStyle w:val="Hyperlink"/>
          <w:i/>
          <w:color w:val="auto"/>
          <w:u w:val="none"/>
          <w:lang w:val="en-GB"/>
        </w:rPr>
        <w:t>Journal of Further and Higher Education, 39</w:t>
      </w:r>
      <w:r w:rsidRPr="00515DC8">
        <w:rPr>
          <w:rStyle w:val="Hyperlink"/>
          <w:color w:val="auto"/>
          <w:u w:val="none"/>
          <w:lang w:val="en-GB"/>
        </w:rPr>
        <w:t xml:space="preserve">(2), 278-291. </w:t>
      </w:r>
    </w:p>
    <w:p w14:paraId="2A4A0BB6" w14:textId="77777777" w:rsidR="00C67EE4" w:rsidRPr="00515DC8" w:rsidRDefault="00C67EE4" w:rsidP="00C67EE4">
      <w:pPr>
        <w:spacing w:line="480" w:lineRule="auto"/>
        <w:ind w:left="426" w:hanging="426"/>
        <w:rPr>
          <w:rStyle w:val="Hyperlink"/>
          <w:color w:val="auto"/>
          <w:highlight w:val="yellow"/>
          <w:u w:val="none"/>
          <w:lang w:val="en-GB"/>
        </w:rPr>
      </w:pPr>
      <w:r w:rsidRPr="00515DC8">
        <w:rPr>
          <w:rStyle w:val="Hyperlink"/>
          <w:color w:val="auto"/>
          <w:u w:val="none"/>
          <w:lang w:val="en-GB"/>
        </w:rPr>
        <w:t xml:space="preserve">Richardson, M., Abraham, C., &amp; Bond, R. (2012). Psychological correlates of university students’ academic performance: A systematic review and meta-analysis. </w:t>
      </w:r>
      <w:r w:rsidRPr="00515DC8">
        <w:rPr>
          <w:rStyle w:val="Hyperlink"/>
          <w:i/>
          <w:color w:val="auto"/>
          <w:u w:val="none"/>
          <w:lang w:val="en-GB"/>
        </w:rPr>
        <w:t>Psychological Bulletin, 138</w:t>
      </w:r>
      <w:r w:rsidRPr="00515DC8">
        <w:rPr>
          <w:rStyle w:val="Hyperlink"/>
          <w:color w:val="auto"/>
          <w:u w:val="none"/>
          <w:lang w:val="en-GB"/>
        </w:rPr>
        <w:t>(2), 353-387.</w:t>
      </w:r>
    </w:p>
    <w:p w14:paraId="307C1EED" w14:textId="77777777" w:rsidR="008C3E77" w:rsidRPr="00515DC8" w:rsidRDefault="00C67EE4" w:rsidP="008C3E77">
      <w:pPr>
        <w:spacing w:line="480" w:lineRule="auto"/>
        <w:ind w:left="426" w:hanging="426"/>
        <w:rPr>
          <w:rFonts w:eastAsia="Times New Roman"/>
          <w:color w:val="000000"/>
          <w:lang w:eastAsia="en-GB"/>
        </w:rPr>
      </w:pPr>
      <w:r w:rsidRPr="00515DC8">
        <w:rPr>
          <w:i/>
          <w:lang w:val="en-GB"/>
        </w:rPr>
        <w:t xml:space="preserve">Rogaten, J., &amp; Rienties, B.  </w:t>
      </w:r>
      <w:r w:rsidRPr="00515DC8">
        <w:rPr>
          <w:lang w:val="en-GB"/>
        </w:rPr>
        <w:t xml:space="preserve">(2018). </w:t>
      </w:r>
      <w:r w:rsidRPr="00515DC8">
        <w:rPr>
          <w:rFonts w:eastAsia="Times New Roman"/>
          <w:color w:val="000000"/>
          <w:lang w:val="en-GB" w:eastAsia="en-GB"/>
        </w:rPr>
        <w:t>A case-study of multilevel growth modelling to understand learning gains: which first year students are making most learning gains in STEM subjects? Hig</w:t>
      </w:r>
      <w:r w:rsidRPr="00515DC8">
        <w:rPr>
          <w:rFonts w:eastAsia="Times New Roman"/>
          <w:i/>
          <w:color w:val="000000"/>
          <w:lang w:val="en-GB" w:eastAsia="en-GB"/>
        </w:rPr>
        <w:t xml:space="preserve">her Education Pedagogies </w:t>
      </w:r>
      <w:r w:rsidRPr="00515DC8">
        <w:rPr>
          <w:rFonts w:eastAsia="Times New Roman"/>
          <w:color w:val="000000"/>
          <w:lang w:val="en-GB" w:eastAsia="en-GB"/>
        </w:rPr>
        <w:t xml:space="preserve">(this issue). </w:t>
      </w:r>
    </w:p>
    <w:p w14:paraId="1B96AEC4" w14:textId="70DC4361" w:rsidR="008C3E77" w:rsidRPr="00515DC8" w:rsidRDefault="008C3E77" w:rsidP="00B67F72">
      <w:pPr>
        <w:spacing w:line="480" w:lineRule="auto"/>
        <w:ind w:left="426" w:hanging="426"/>
        <w:rPr>
          <w:rStyle w:val="Hyperlink"/>
          <w:rFonts w:eastAsia="Times New Roman"/>
          <w:color w:val="000000"/>
          <w:sz w:val="21"/>
          <w:u w:val="none"/>
          <w:lang w:eastAsia="en-GB"/>
        </w:rPr>
      </w:pPr>
      <w:r w:rsidRPr="00515DC8">
        <w:rPr>
          <w:rFonts w:eastAsia="Times New Roman"/>
          <w:color w:val="000000"/>
          <w:szCs w:val="29"/>
        </w:rPr>
        <w:t>Rosenthal, R. (1979)</w:t>
      </w:r>
      <w:r w:rsidR="004641AF">
        <w:rPr>
          <w:rFonts w:eastAsia="Times New Roman"/>
          <w:color w:val="000000"/>
          <w:szCs w:val="29"/>
        </w:rPr>
        <w:t>.</w:t>
      </w:r>
      <w:r w:rsidRPr="00515DC8">
        <w:rPr>
          <w:rFonts w:eastAsia="Times New Roman"/>
          <w:color w:val="000000"/>
          <w:szCs w:val="29"/>
        </w:rPr>
        <w:t xml:space="preserve"> The "file drawer problem" and tolerance for null results, </w:t>
      </w:r>
      <w:r w:rsidRPr="00515DC8">
        <w:rPr>
          <w:rFonts w:eastAsia="Times New Roman"/>
          <w:i/>
          <w:iCs/>
          <w:color w:val="000000"/>
          <w:szCs w:val="29"/>
        </w:rPr>
        <w:t>Psychological Bulletin,</w:t>
      </w:r>
      <w:r w:rsidRPr="00515DC8">
        <w:rPr>
          <w:rFonts w:eastAsia="Times New Roman"/>
          <w:color w:val="000000"/>
          <w:szCs w:val="29"/>
        </w:rPr>
        <w:t> </w:t>
      </w:r>
      <w:r w:rsidR="004641AF">
        <w:rPr>
          <w:rFonts w:eastAsia="Times New Roman"/>
          <w:color w:val="000000"/>
          <w:szCs w:val="29"/>
        </w:rPr>
        <w:t>86(</w:t>
      </w:r>
      <w:r w:rsidRPr="00515DC8">
        <w:rPr>
          <w:rFonts w:eastAsia="Times New Roman"/>
          <w:color w:val="000000"/>
          <w:szCs w:val="29"/>
        </w:rPr>
        <w:t>3</w:t>
      </w:r>
      <w:r w:rsidR="004641AF">
        <w:rPr>
          <w:rFonts w:eastAsia="Times New Roman"/>
          <w:color w:val="000000"/>
          <w:szCs w:val="29"/>
        </w:rPr>
        <w:t>)</w:t>
      </w:r>
      <w:r w:rsidRPr="00515DC8">
        <w:rPr>
          <w:rFonts w:eastAsia="Times New Roman"/>
          <w:color w:val="000000"/>
          <w:szCs w:val="29"/>
        </w:rPr>
        <w:t>, 838-641. </w:t>
      </w:r>
    </w:p>
    <w:p w14:paraId="7C7E9E44" w14:textId="77777777" w:rsidR="00C67EE4" w:rsidRPr="00515DC8" w:rsidRDefault="00C67EE4" w:rsidP="00C67EE4">
      <w:pPr>
        <w:pStyle w:val="Heading31"/>
        <w:spacing w:after="0" w:line="480" w:lineRule="auto"/>
        <w:ind w:left="426" w:right="-199" w:hanging="426"/>
        <w:jc w:val="both"/>
        <w:rPr>
          <w:rFonts w:ascii="Times New Roman" w:hAnsi="Times New Roman"/>
          <w:sz w:val="24"/>
          <w:szCs w:val="24"/>
        </w:rPr>
      </w:pPr>
      <w:r w:rsidRPr="00515DC8">
        <w:rPr>
          <w:rFonts w:ascii="Times New Roman" w:hAnsi="Times New Roman"/>
          <w:sz w:val="24"/>
          <w:szCs w:val="24"/>
        </w:rPr>
        <w:t xml:space="preserve">Rosenfeld, M., &amp; Rosenfeld, S. (2011). Illustrating a complementary paradigm for styles research: From a third-person to a second-person perspective. In S. Rayner and E. Cools (Eds.), </w:t>
      </w:r>
      <w:r w:rsidRPr="00515DC8">
        <w:rPr>
          <w:rFonts w:ascii="Times New Roman" w:hAnsi="Times New Roman"/>
          <w:i/>
          <w:iCs/>
          <w:sz w:val="24"/>
          <w:szCs w:val="24"/>
        </w:rPr>
        <w:t xml:space="preserve">Style differences in cognition, learning, and management: Theory, research and practice </w:t>
      </w:r>
      <w:r w:rsidRPr="00515DC8">
        <w:rPr>
          <w:rFonts w:ascii="Times New Roman" w:hAnsi="Times New Roman"/>
          <w:sz w:val="24"/>
          <w:szCs w:val="24"/>
        </w:rPr>
        <w:t>(pp. 143-159). New York, NY: Routledge.</w:t>
      </w:r>
    </w:p>
    <w:p w14:paraId="208A84A0" w14:textId="77777777" w:rsidR="00C67EE4" w:rsidRDefault="00C67EE4" w:rsidP="00C67EE4">
      <w:pPr>
        <w:spacing w:line="480" w:lineRule="auto"/>
        <w:ind w:left="426" w:hanging="426"/>
        <w:rPr>
          <w:rStyle w:val="Hyperlink"/>
          <w:color w:val="auto"/>
          <w:u w:val="none"/>
          <w:lang w:val="en-GB"/>
        </w:rPr>
      </w:pPr>
      <w:r w:rsidRPr="00515DC8">
        <w:rPr>
          <w:rStyle w:val="Hyperlink"/>
          <w:color w:val="auto"/>
          <w:u w:val="none"/>
          <w:lang w:val="en-GB"/>
        </w:rPr>
        <w:t xml:space="preserve">Ruge, G., &amp; McCormack, C. (2017). Building and construction students’ skills development for employability-reframing assessment for learning in discipline-specific contexts. </w:t>
      </w:r>
      <w:r w:rsidRPr="00515DC8">
        <w:rPr>
          <w:rStyle w:val="Hyperlink"/>
          <w:i/>
          <w:color w:val="auto"/>
          <w:u w:val="none"/>
          <w:lang w:val="en-GB"/>
        </w:rPr>
        <w:t>Architectural Engineering and Design Management, 13</w:t>
      </w:r>
      <w:r w:rsidRPr="00515DC8">
        <w:rPr>
          <w:rStyle w:val="Hyperlink"/>
          <w:color w:val="auto"/>
          <w:u w:val="none"/>
          <w:lang w:val="en-GB"/>
        </w:rPr>
        <w:t xml:space="preserve">(5), 365-383. </w:t>
      </w:r>
    </w:p>
    <w:p w14:paraId="5D126FCD" w14:textId="5EDF692D" w:rsidR="004641AF" w:rsidRPr="004641AF" w:rsidRDefault="004641AF" w:rsidP="004641AF">
      <w:pPr>
        <w:spacing w:line="480" w:lineRule="auto"/>
        <w:ind w:left="426" w:hanging="426"/>
        <w:rPr>
          <w:rStyle w:val="Hyperlink"/>
          <w:rFonts w:cs="Arial"/>
          <w:color w:val="444444"/>
          <w:u w:val="none"/>
        </w:rPr>
      </w:pPr>
      <w:r>
        <w:rPr>
          <w:rFonts w:cs="Arial"/>
          <w:color w:val="444444"/>
        </w:rPr>
        <w:t xml:space="preserve">Rust, C. (2017). Re-thinking assessment – a programme leader’s guide. Retrieved from </w:t>
      </w:r>
      <w:hyperlink r:id="rId74" w:history="1">
        <w:r w:rsidRPr="00282BB9">
          <w:rPr>
            <w:rStyle w:val="Hyperlink"/>
            <w:rFonts w:cs="Arial"/>
          </w:rPr>
          <w:t>http://ocsld.brookesblogs.net/2017/12/22/re-thinking-assessment-a-programme-leaders-guide</w:t>
        </w:r>
      </w:hyperlink>
    </w:p>
    <w:p w14:paraId="7D0EB395" w14:textId="77777777" w:rsidR="00C67EE4" w:rsidRPr="00515DC8" w:rsidRDefault="00C67EE4" w:rsidP="00C67EE4">
      <w:pPr>
        <w:shd w:val="clear" w:color="auto" w:fill="FFFFFF" w:themeFill="background1"/>
        <w:spacing w:line="480" w:lineRule="auto"/>
        <w:ind w:left="426" w:hanging="426"/>
        <w:rPr>
          <w:rStyle w:val="Hyperlink"/>
          <w:i/>
          <w:color w:val="auto"/>
          <w:u w:val="none"/>
          <w:lang w:val="en-GB"/>
        </w:rPr>
      </w:pPr>
      <w:r w:rsidRPr="00515DC8">
        <w:rPr>
          <w:rStyle w:val="Hyperlink"/>
          <w:i/>
          <w:color w:val="auto"/>
          <w:u w:val="none"/>
          <w:lang w:val="en-GB"/>
        </w:rPr>
        <w:t xml:space="preserve">Sands, D., Parker, M., Hedgeland, H., Jordan, S. E., &amp; Galloway, R. (2018). </w:t>
      </w:r>
      <w:r w:rsidRPr="00515DC8">
        <w:rPr>
          <w:i/>
          <w:lang w:val="en-GB"/>
        </w:rPr>
        <w:t xml:space="preserve">Using concept inventories to measure understanding. Higher Education Pedagogies (this issue). </w:t>
      </w:r>
    </w:p>
    <w:p w14:paraId="380C4394" w14:textId="77777777" w:rsidR="00C67EE4" w:rsidRPr="00515DC8" w:rsidRDefault="00C67EE4" w:rsidP="00C67EE4">
      <w:pPr>
        <w:shd w:val="clear" w:color="auto" w:fill="FFFFFF" w:themeFill="background1"/>
        <w:spacing w:line="480" w:lineRule="auto"/>
        <w:ind w:left="426" w:hanging="426"/>
        <w:rPr>
          <w:rStyle w:val="Hyperlink"/>
          <w:i/>
          <w:color w:val="auto"/>
          <w:u w:val="none"/>
          <w:lang w:val="en-GB"/>
        </w:rPr>
      </w:pPr>
      <w:r w:rsidRPr="00515DC8">
        <w:rPr>
          <w:rStyle w:val="Hyperlink"/>
          <w:i/>
          <w:color w:val="auto"/>
          <w:u w:val="none"/>
          <w:lang w:val="en-GB"/>
        </w:rPr>
        <w:t xml:space="preserve">Scalise, K., Douskey, M. C., &amp; Stacy, A. M. (2018). </w:t>
      </w:r>
      <w:r w:rsidRPr="00515DC8">
        <w:rPr>
          <w:i/>
          <w:lang w:val="en-GB"/>
        </w:rPr>
        <w:t xml:space="preserve">Measuring learning gains and examining implications for student success in STEM. Higher Education Pedagogies (this issue). </w:t>
      </w:r>
    </w:p>
    <w:p w14:paraId="498966B2" w14:textId="2576A919" w:rsidR="00C67EE4" w:rsidRPr="00515DC8" w:rsidRDefault="00C67EE4" w:rsidP="00C67EE4">
      <w:pPr>
        <w:spacing w:line="480" w:lineRule="auto"/>
        <w:ind w:left="426" w:hanging="426"/>
        <w:rPr>
          <w:lang w:val="en-GB"/>
        </w:rPr>
      </w:pPr>
      <w:r w:rsidRPr="00515DC8">
        <w:rPr>
          <w:lang w:val="en-GB"/>
        </w:rPr>
        <w:t>Schneider, M.</w:t>
      </w:r>
      <w:r w:rsidR="00BB3336" w:rsidRPr="00515DC8">
        <w:rPr>
          <w:lang w:val="en-GB"/>
        </w:rPr>
        <w:t>,</w:t>
      </w:r>
      <w:r w:rsidR="000F6D89" w:rsidRPr="00515DC8">
        <w:rPr>
          <w:lang w:val="en-GB"/>
        </w:rPr>
        <w:t xml:space="preserve"> </w:t>
      </w:r>
      <w:r w:rsidRPr="00515DC8">
        <w:rPr>
          <w:lang w:val="en-GB"/>
        </w:rPr>
        <w:t xml:space="preserve">&amp; Preckel, F. (2017). Variables associated with achievement in higher education. A systematic review of meta-analyses. </w:t>
      </w:r>
      <w:r w:rsidRPr="00515DC8">
        <w:rPr>
          <w:i/>
          <w:lang w:val="en-GB"/>
        </w:rPr>
        <w:t>Psychological Bulletin, 143</w:t>
      </w:r>
      <w:r w:rsidRPr="00515DC8">
        <w:rPr>
          <w:lang w:val="en-GB"/>
        </w:rPr>
        <w:t>(6), 565-600.</w:t>
      </w:r>
    </w:p>
    <w:p w14:paraId="5733993B" w14:textId="041ECABE" w:rsidR="00B343A6" w:rsidRPr="00515DC8" w:rsidRDefault="00B343A6" w:rsidP="00C67EE4">
      <w:pPr>
        <w:spacing w:line="480" w:lineRule="auto"/>
        <w:ind w:left="426" w:hanging="426"/>
        <w:rPr>
          <w:lang w:val="en-GB"/>
        </w:rPr>
      </w:pPr>
      <w:r w:rsidRPr="00515DC8">
        <w:rPr>
          <w:lang w:val="en-GB"/>
        </w:rPr>
        <w:t>Schmitt, N. (2014). Personality and Cognitive Ability as Predictors of Effective Performance at Work. Annual Review of Organizational Psychology and Organizational Behavior. 1. 45-65. 10.1146/annurev-orgpsych-031413-091255.</w:t>
      </w:r>
    </w:p>
    <w:p w14:paraId="3735A404" w14:textId="77777777" w:rsidR="00C67EE4" w:rsidRPr="00515DC8" w:rsidRDefault="00C67EE4" w:rsidP="00C67EE4">
      <w:pPr>
        <w:spacing w:line="480" w:lineRule="auto"/>
        <w:ind w:left="426" w:hanging="426"/>
        <w:rPr>
          <w:rStyle w:val="Hyperlink"/>
          <w:color w:val="auto"/>
          <w:lang w:val="en-GB"/>
        </w:rPr>
      </w:pPr>
      <w:r w:rsidRPr="00515DC8">
        <w:rPr>
          <w:lang w:val="en-GB"/>
        </w:rPr>
        <w:t xml:space="preserve">Sclater, N., Peasgood, A., &amp; Mullan, J. (2016). Learning analytics in higher education. JISC. Retrieved from </w:t>
      </w:r>
      <w:hyperlink r:id="rId75" w:history="1">
        <w:r w:rsidRPr="00515DC8">
          <w:rPr>
            <w:rStyle w:val="Hyperlink"/>
            <w:color w:val="auto"/>
            <w:lang w:val="en-GB"/>
          </w:rPr>
          <w:t>https://www.jisc.ac.uk/sites/default/files/learning-analytics-in-he-v2_0.pdf</w:t>
        </w:r>
      </w:hyperlink>
    </w:p>
    <w:p w14:paraId="1FE1EFC4" w14:textId="77777777" w:rsidR="00C67EE4" w:rsidRPr="00515DC8" w:rsidRDefault="00C67EE4" w:rsidP="00C67EE4">
      <w:pPr>
        <w:shd w:val="clear" w:color="auto" w:fill="FFFFFF"/>
        <w:wordWrap w:val="0"/>
        <w:spacing w:line="480" w:lineRule="auto"/>
        <w:ind w:left="426" w:hanging="426"/>
        <w:textAlignment w:val="top"/>
        <w:rPr>
          <w:rFonts w:eastAsia="Arial Unicode MS"/>
          <w:lang w:val="en-GB" w:eastAsia="en-GB"/>
        </w:rPr>
      </w:pPr>
      <w:r w:rsidRPr="00515DC8">
        <w:rPr>
          <w:rFonts w:eastAsia="Arial Unicode MS"/>
          <w:lang w:val="en-GB" w:eastAsia="en-GB"/>
        </w:rPr>
        <w:t xml:space="preserve">Seifert, T. A., Gillig, B., Hanson, J. M., &amp; Pascarella, E. T., &amp; Blaich, C. F.  (2014). </w:t>
      </w:r>
    </w:p>
    <w:p w14:paraId="39B80287" w14:textId="77777777" w:rsidR="00C67EE4" w:rsidRPr="00515DC8" w:rsidRDefault="00C67EE4" w:rsidP="00C67EE4">
      <w:pPr>
        <w:shd w:val="clear" w:color="auto" w:fill="FFFFFF"/>
        <w:wordWrap w:val="0"/>
        <w:spacing w:line="480" w:lineRule="auto"/>
        <w:ind w:left="426"/>
        <w:textAlignment w:val="top"/>
        <w:rPr>
          <w:rFonts w:eastAsia="Arial Unicode MS"/>
          <w:lang w:val="en-GB" w:eastAsia="en-GB"/>
        </w:rPr>
      </w:pPr>
      <w:r w:rsidRPr="00515DC8">
        <w:rPr>
          <w:rFonts w:eastAsia="Arial Unicode MS"/>
          <w:lang w:val="en-GB" w:eastAsia="en-GB"/>
        </w:rPr>
        <w:t xml:space="preserve">The conditional nature of high impact/good practices on student learning outcomes. </w:t>
      </w:r>
      <w:r w:rsidRPr="00515DC8">
        <w:rPr>
          <w:rFonts w:eastAsia="Arial Unicode MS"/>
          <w:i/>
          <w:lang w:val="en-GB" w:eastAsia="en-GB"/>
        </w:rPr>
        <w:t>The Journal of Higher Education 85</w:t>
      </w:r>
      <w:r w:rsidRPr="00515DC8">
        <w:rPr>
          <w:rFonts w:eastAsia="Arial Unicode MS"/>
          <w:lang w:val="en-GB" w:eastAsia="en-GB"/>
        </w:rPr>
        <w:t>(4):531-564.</w:t>
      </w:r>
    </w:p>
    <w:p w14:paraId="6345C417" w14:textId="77777777" w:rsidR="00C67EE4" w:rsidRPr="00515DC8" w:rsidRDefault="00C67EE4" w:rsidP="00C67EE4">
      <w:pPr>
        <w:spacing w:line="480" w:lineRule="auto"/>
        <w:ind w:left="426" w:hanging="426"/>
        <w:rPr>
          <w:rStyle w:val="Hyperlink"/>
          <w:lang w:val="en-GB"/>
        </w:rPr>
      </w:pPr>
      <w:r w:rsidRPr="00515DC8">
        <w:rPr>
          <w:lang w:val="en-GB"/>
        </w:rPr>
        <w:t xml:space="preserve">Shacklock, X. (2016). </w:t>
      </w:r>
      <w:r w:rsidRPr="00515DC8">
        <w:rPr>
          <w:i/>
          <w:lang w:val="en-GB"/>
        </w:rPr>
        <w:t>From bricks to clicks - the potential of data and analytics in higher education. London</w:t>
      </w:r>
      <w:r w:rsidRPr="00515DC8">
        <w:rPr>
          <w:lang w:val="en-GB"/>
        </w:rPr>
        <w:t xml:space="preserve">. Higher Education Commission. Retrieved from </w:t>
      </w:r>
      <w:hyperlink r:id="rId76" w:history="1">
        <w:r w:rsidRPr="00515DC8">
          <w:rPr>
            <w:rStyle w:val="Hyperlink"/>
            <w:color w:val="auto"/>
            <w:lang w:val="en-GB"/>
          </w:rPr>
          <w:t>http://www.policyconnect.org.uk/hec/sites/site_hec/files/report/419/fieldreportdownload/frombrickstoclicks-hecreportforweb.pdf</w:t>
        </w:r>
      </w:hyperlink>
    </w:p>
    <w:p w14:paraId="1949B0B8" w14:textId="3EB75546" w:rsidR="004641AF" w:rsidRDefault="00696A17" w:rsidP="00C67EE4">
      <w:pPr>
        <w:pStyle w:val="Heading1"/>
        <w:spacing w:line="480" w:lineRule="auto"/>
        <w:ind w:left="426" w:hanging="426"/>
        <w:rPr>
          <w:bCs/>
          <w:sz w:val="24"/>
          <w:szCs w:val="24"/>
        </w:rPr>
      </w:pPr>
      <w:hyperlink r:id="rId77" w:history="1">
        <w:r w:rsidR="00C67EE4" w:rsidRPr="00515DC8">
          <w:rPr>
            <w:rStyle w:val="Hyperlink"/>
            <w:color w:val="auto"/>
            <w:sz w:val="24"/>
            <w:szCs w:val="24"/>
            <w:u w:val="none"/>
          </w:rPr>
          <w:t>Shavelson</w:t>
        </w:r>
        <w:r w:rsidR="00C67EE4" w:rsidRPr="00515DC8">
          <w:rPr>
            <w:rStyle w:val="Hyperlink"/>
            <w:vanish/>
            <w:color w:val="auto"/>
            <w:sz w:val="24"/>
            <w:szCs w:val="24"/>
            <w:u w:val="none"/>
          </w:rPr>
          <w:t xml:space="preserve"> SK Partners, LLC, Menlo Park, CA, USA; Education, Stanford University, Stanford, CA, USACorrespondencerichs@stanford.edu</w:t>
        </w:r>
        <w:r w:rsidR="00C67EE4" w:rsidRPr="00515DC8">
          <w:rPr>
            <w:rStyle w:val="Hyperlink"/>
            <w:vanish/>
            <w:color w:val="auto"/>
            <w:sz w:val="24"/>
            <w:szCs w:val="24"/>
            <w:u w:val="none"/>
          </w:rPr>
          <w:br/>
        </w:r>
      </w:hyperlink>
      <w:r w:rsidR="00C67EE4" w:rsidRPr="00515DC8">
        <w:rPr>
          <w:sz w:val="24"/>
          <w:szCs w:val="24"/>
        </w:rPr>
        <w:t xml:space="preserve">, R. J.,  </w:t>
      </w:r>
      <w:hyperlink r:id="rId78" w:history="1">
        <w:r w:rsidR="00C67EE4" w:rsidRPr="00515DC8">
          <w:rPr>
            <w:sz w:val="24"/>
            <w:szCs w:val="24"/>
          </w:rPr>
          <w:t>Domingue</w:t>
        </w:r>
        <w:r w:rsidR="00C67EE4" w:rsidRPr="00515DC8">
          <w:rPr>
            <w:vanish/>
            <w:sz w:val="24"/>
            <w:szCs w:val="24"/>
          </w:rPr>
          <w:t xml:space="preserve"> Education, Stanford University, Stanford, CA, USA</w:t>
        </w:r>
      </w:hyperlink>
      <w:r w:rsidR="00C67EE4" w:rsidRPr="00515DC8">
        <w:rPr>
          <w:sz w:val="24"/>
          <w:szCs w:val="24"/>
        </w:rPr>
        <w:t xml:space="preserve">, B. W., </w:t>
      </w:r>
      <w:hyperlink r:id="rId79" w:history="1">
        <w:r w:rsidR="00C67EE4" w:rsidRPr="00515DC8">
          <w:rPr>
            <w:sz w:val="24"/>
            <w:szCs w:val="24"/>
          </w:rPr>
          <w:t>Mariño</w:t>
        </w:r>
        <w:r w:rsidR="00C67EE4" w:rsidRPr="00515DC8">
          <w:rPr>
            <w:vanish/>
            <w:sz w:val="24"/>
            <w:szCs w:val="24"/>
          </w:rPr>
          <w:t xml:space="preserve"> CIFE, Faculty of Education, University of the Andes, Bogota, Colombia</w:t>
        </w:r>
      </w:hyperlink>
      <w:r w:rsidR="00C67EE4" w:rsidRPr="00515DC8">
        <w:rPr>
          <w:sz w:val="24"/>
          <w:szCs w:val="24"/>
        </w:rPr>
        <w:t xml:space="preserve">, J. P., </w:t>
      </w:r>
      <w:hyperlink r:id="rId80" w:history="1">
        <w:r w:rsidR="00C67EE4" w:rsidRPr="00515DC8">
          <w:rPr>
            <w:sz w:val="24"/>
            <w:szCs w:val="24"/>
          </w:rPr>
          <w:t>Mantilla</w:t>
        </w:r>
        <w:r w:rsidR="00C67EE4" w:rsidRPr="00515DC8">
          <w:rPr>
            <w:vanish/>
            <w:sz w:val="24"/>
            <w:szCs w:val="24"/>
          </w:rPr>
          <w:t xml:space="preserve"> CIFE, Faculty of Education, University of the Andes, Bogota, Colombia</w:t>
        </w:r>
      </w:hyperlink>
      <w:r w:rsidR="00C67EE4" w:rsidRPr="00515DC8">
        <w:rPr>
          <w:sz w:val="24"/>
          <w:szCs w:val="24"/>
        </w:rPr>
        <w:t xml:space="preserve">, A. M., , </w:t>
      </w:r>
      <w:hyperlink r:id="rId81" w:history="1">
        <w:r w:rsidR="00C67EE4" w:rsidRPr="00515DC8">
          <w:rPr>
            <w:sz w:val="24"/>
            <w:szCs w:val="24"/>
          </w:rPr>
          <w:t>Forero</w:t>
        </w:r>
        <w:r w:rsidR="00C67EE4" w:rsidRPr="00515DC8">
          <w:rPr>
            <w:vanish/>
            <w:sz w:val="24"/>
            <w:szCs w:val="24"/>
          </w:rPr>
          <w:t xml:space="preserve"> Statistics Department, Instituto Colombiano para la Evaluación de la Educación, Bogota, Colombia</w:t>
        </w:r>
      </w:hyperlink>
      <w:r w:rsidR="00C67EE4" w:rsidRPr="00515DC8">
        <w:rPr>
          <w:sz w:val="24"/>
          <w:szCs w:val="24"/>
        </w:rPr>
        <w:t xml:space="preserve">, A. M., &amp; </w:t>
      </w:r>
      <w:hyperlink r:id="rId82" w:history="1">
        <w:r w:rsidR="00C67EE4" w:rsidRPr="00515DC8">
          <w:rPr>
            <w:sz w:val="24"/>
            <w:szCs w:val="24"/>
          </w:rPr>
          <w:t xml:space="preserve"> Wiley</w:t>
        </w:r>
        <w:r w:rsidR="00C67EE4" w:rsidRPr="00515DC8">
          <w:rPr>
            <w:vanish/>
            <w:sz w:val="24"/>
            <w:szCs w:val="24"/>
          </w:rPr>
          <w:t xml:space="preserve"> SK Partners, LLC, Menlo Park, CA, USA</w:t>
        </w:r>
      </w:hyperlink>
      <w:r w:rsidR="004641AF">
        <w:rPr>
          <w:sz w:val="24"/>
          <w:szCs w:val="24"/>
        </w:rPr>
        <w:t xml:space="preserve">, E. E. </w:t>
      </w:r>
      <w:r w:rsidR="00C67EE4" w:rsidRPr="00515DC8">
        <w:rPr>
          <w:sz w:val="24"/>
          <w:szCs w:val="24"/>
        </w:rPr>
        <w:t xml:space="preserve"> (2016). </w:t>
      </w:r>
      <w:r w:rsidR="00C67EE4" w:rsidRPr="00515DC8">
        <w:rPr>
          <w:rStyle w:val="nlmarticle-title"/>
          <w:sz w:val="24"/>
          <w:szCs w:val="24"/>
        </w:rPr>
        <w:t xml:space="preserve">On the practices and challenges of measuring higher education value added: the case of Colombia. </w:t>
      </w:r>
      <w:hyperlink r:id="rId83" w:history="1">
        <w:r w:rsidR="00C67EE4" w:rsidRPr="00515DC8">
          <w:rPr>
            <w:bCs/>
            <w:i/>
            <w:sz w:val="24"/>
            <w:szCs w:val="24"/>
          </w:rPr>
          <w:t xml:space="preserve">Assessment &amp; Evaluation in Higher Education, </w:t>
        </w:r>
      </w:hyperlink>
      <w:r w:rsidR="00C67EE4" w:rsidRPr="00515DC8">
        <w:rPr>
          <w:bCs/>
          <w:i/>
          <w:sz w:val="24"/>
          <w:szCs w:val="24"/>
        </w:rPr>
        <w:t>41</w:t>
      </w:r>
      <w:r w:rsidR="00C67EE4" w:rsidRPr="00515DC8">
        <w:rPr>
          <w:bCs/>
          <w:sz w:val="24"/>
          <w:szCs w:val="24"/>
        </w:rPr>
        <w:t>(5)</w:t>
      </w:r>
      <w:r w:rsidR="00050204">
        <w:rPr>
          <w:bCs/>
          <w:sz w:val="24"/>
          <w:szCs w:val="24"/>
        </w:rPr>
        <w:t>, 695-720.</w:t>
      </w:r>
      <w:r w:rsidR="00C67EE4" w:rsidRPr="00515DC8">
        <w:rPr>
          <w:bCs/>
          <w:sz w:val="24"/>
          <w:szCs w:val="24"/>
        </w:rPr>
        <w:t xml:space="preserve"> </w:t>
      </w:r>
    </w:p>
    <w:p w14:paraId="06809866" w14:textId="1A4F252A" w:rsidR="00C67EE4" w:rsidRPr="00515DC8" w:rsidRDefault="00C67EE4" w:rsidP="00050204">
      <w:pPr>
        <w:pStyle w:val="Heading1"/>
        <w:spacing w:line="480" w:lineRule="auto"/>
        <w:ind w:left="426"/>
        <w:rPr>
          <w:bCs/>
          <w:sz w:val="24"/>
          <w:szCs w:val="24"/>
        </w:rPr>
      </w:pPr>
      <w:r w:rsidRPr="00515DC8">
        <w:rPr>
          <w:bCs/>
          <w:sz w:val="24"/>
          <w:szCs w:val="24"/>
        </w:rPr>
        <w:t xml:space="preserve">Retrieved from </w:t>
      </w:r>
      <w:hyperlink r:id="rId84" w:history="1">
        <w:r w:rsidRPr="00515DC8">
          <w:rPr>
            <w:rStyle w:val="Hyperlink"/>
            <w:bCs/>
            <w:sz w:val="24"/>
            <w:szCs w:val="24"/>
          </w:rPr>
          <w:t>https://www.tandfonline.com/doi/abs/10.1080/02602938.2016.1168772?journalCode=caeh20</w:t>
        </w:r>
      </w:hyperlink>
    </w:p>
    <w:p w14:paraId="0E634611" w14:textId="0652419A" w:rsidR="00C67EE4" w:rsidRPr="00515DC8" w:rsidRDefault="00C67EE4" w:rsidP="00C67EE4">
      <w:pPr>
        <w:spacing w:line="480" w:lineRule="auto"/>
        <w:ind w:left="426" w:hanging="426"/>
        <w:rPr>
          <w:lang w:val="en-GB"/>
        </w:rPr>
      </w:pPr>
      <w:r w:rsidRPr="00515DC8">
        <w:rPr>
          <w:rFonts w:eastAsia="Times New Roman"/>
          <w:shd w:val="clear" w:color="auto" w:fill="FFFFFF"/>
          <w:lang w:val="en-GB"/>
        </w:rPr>
        <w:t xml:space="preserve">Shaw, B., Baars, S., Menzies, L., Parameshwaran, M., &amp; Allen, R. (2017).  </w:t>
      </w:r>
      <w:r w:rsidRPr="00515DC8">
        <w:rPr>
          <w:rFonts w:eastAsia="Times New Roman"/>
          <w:i/>
          <w:shd w:val="clear" w:color="auto" w:fill="FFFFFF"/>
          <w:lang w:val="en-GB"/>
        </w:rPr>
        <w:t xml:space="preserve"> Low income pupils’ progress at secondary school</w:t>
      </w:r>
      <w:r w:rsidRPr="00515DC8">
        <w:rPr>
          <w:rFonts w:eastAsia="Times New Roman"/>
          <w:shd w:val="clear" w:color="auto" w:fill="FFFFFF"/>
          <w:lang w:val="en-GB"/>
        </w:rPr>
        <w:t>. LKMco and Education Datalab, London</w:t>
      </w:r>
      <w:r w:rsidR="00BB3336" w:rsidRPr="00515DC8">
        <w:rPr>
          <w:rFonts w:eastAsia="Times New Roman"/>
          <w:shd w:val="clear" w:color="auto" w:fill="FFFFFF"/>
          <w:lang w:val="en-GB"/>
        </w:rPr>
        <w:t>, UK</w:t>
      </w:r>
      <w:r w:rsidRPr="00515DC8">
        <w:rPr>
          <w:rFonts w:eastAsia="Times New Roman"/>
          <w:shd w:val="clear" w:color="auto" w:fill="FFFFFF"/>
          <w:lang w:val="en-GB"/>
        </w:rPr>
        <w:t xml:space="preserve">: Social Mobility and Child Poverty Commission. Retrieved from </w:t>
      </w:r>
      <w:hyperlink r:id="rId85" w:history="1">
        <w:r w:rsidRPr="00515DC8">
          <w:rPr>
            <w:rStyle w:val="Hyperlink"/>
            <w:color w:val="auto"/>
            <w:lang w:val="en-GB"/>
          </w:rPr>
          <w:t>www.gov.uk/government/organisations/social-mobility-commission</w:t>
        </w:r>
      </w:hyperlink>
      <w:r w:rsidRPr="00515DC8">
        <w:rPr>
          <w:lang w:val="en-GB"/>
        </w:rPr>
        <w:t xml:space="preserve"> </w:t>
      </w:r>
    </w:p>
    <w:p w14:paraId="1183B8D2" w14:textId="77777777" w:rsidR="00C67EE4" w:rsidRPr="00515DC8" w:rsidRDefault="00C67EE4" w:rsidP="00C67EE4">
      <w:pPr>
        <w:spacing w:line="480" w:lineRule="auto"/>
        <w:ind w:left="426" w:hanging="426"/>
        <w:rPr>
          <w:lang w:val="en-GB"/>
        </w:rPr>
      </w:pPr>
      <w:r w:rsidRPr="00515DC8">
        <w:rPr>
          <w:rFonts w:eastAsia="Times New Roman"/>
          <w:shd w:val="clear" w:color="auto" w:fill="FFFFFF"/>
          <w:lang w:val="en-GB"/>
        </w:rPr>
        <w:t xml:space="preserve">Sijtsma, K.  (2009). On the use, the misuse, and the very limited usefulness of Cronbach’s alpha, </w:t>
      </w:r>
      <w:r w:rsidRPr="00515DC8">
        <w:rPr>
          <w:rFonts w:eastAsia="Times New Roman"/>
          <w:i/>
          <w:shd w:val="clear" w:color="auto" w:fill="FFFFFF"/>
          <w:lang w:val="en-GB"/>
        </w:rPr>
        <w:t>Psychometrika</w:t>
      </w:r>
      <w:r w:rsidRPr="00515DC8">
        <w:rPr>
          <w:i/>
          <w:lang w:val="en-GB"/>
        </w:rPr>
        <w:t>, 74</w:t>
      </w:r>
      <w:r w:rsidRPr="00515DC8">
        <w:rPr>
          <w:lang w:val="en-GB"/>
        </w:rPr>
        <w:t xml:space="preserve">(1), 107–120 </w:t>
      </w:r>
    </w:p>
    <w:p w14:paraId="0555FE13" w14:textId="77777777" w:rsidR="00C67EE4" w:rsidRPr="00515DC8" w:rsidRDefault="00C67EE4" w:rsidP="00C67EE4">
      <w:pPr>
        <w:spacing w:line="480" w:lineRule="auto"/>
        <w:ind w:left="426" w:hanging="426"/>
        <w:rPr>
          <w:i/>
          <w:lang w:val="en-GB"/>
        </w:rPr>
      </w:pPr>
      <w:r w:rsidRPr="00515DC8">
        <w:rPr>
          <w:i/>
          <w:lang w:val="en-GB"/>
        </w:rPr>
        <w:t xml:space="preserve">Speight, L., Crawford, K., &amp; Hadesley, S.  (2018). Towards measures of longitudinal learning gain in UK higher education: the challenge of meaningful engagement (this issue). </w:t>
      </w:r>
    </w:p>
    <w:p w14:paraId="4F00D1B4" w14:textId="77777777" w:rsidR="00C67EE4" w:rsidRPr="00515DC8" w:rsidRDefault="00C67EE4" w:rsidP="00C67EE4">
      <w:pPr>
        <w:spacing w:line="480" w:lineRule="auto"/>
        <w:ind w:left="426" w:hanging="426"/>
        <w:rPr>
          <w:lang w:val="en-GB"/>
        </w:rPr>
      </w:pPr>
      <w:r w:rsidRPr="00515DC8">
        <w:rPr>
          <w:shd w:val="clear" w:color="auto" w:fill="FFFFFF"/>
          <w:lang w:val="en-GB"/>
        </w:rPr>
        <w:t xml:space="preserve">Stanovich, K.E., West, R.F., &amp; Toplak, M.E. (2000). </w:t>
      </w:r>
      <w:r w:rsidRPr="00515DC8">
        <w:rPr>
          <w:lang w:val="en-GB"/>
        </w:rPr>
        <w:t xml:space="preserve">Individual differences in reasoning: Implications for the rationality debate? </w:t>
      </w:r>
      <w:r w:rsidRPr="00515DC8">
        <w:rPr>
          <w:i/>
          <w:lang w:val="en-GB"/>
        </w:rPr>
        <w:t>Behavioural and Brain Sciences. 23</w:t>
      </w:r>
      <w:r w:rsidRPr="00515DC8">
        <w:rPr>
          <w:lang w:val="en-GB"/>
        </w:rPr>
        <w:t>, 645–726.</w:t>
      </w:r>
    </w:p>
    <w:p w14:paraId="6D79C612" w14:textId="1CAB6925" w:rsidR="00C67EE4" w:rsidRPr="00515DC8" w:rsidRDefault="00C67EE4" w:rsidP="00C67EE4">
      <w:pPr>
        <w:spacing w:line="480" w:lineRule="auto"/>
        <w:ind w:left="426" w:hanging="426"/>
        <w:rPr>
          <w:lang w:val="en-GB"/>
        </w:rPr>
      </w:pPr>
      <w:r w:rsidRPr="00515DC8">
        <w:rPr>
          <w:lang w:val="en-GB"/>
        </w:rPr>
        <w:t xml:space="preserve">Stoakes, G., &amp; Neves, J. (2018). UKES, Learning gain and how students spend their time. </w:t>
      </w:r>
      <w:r w:rsidRPr="00515DC8">
        <w:rPr>
          <w:i/>
          <w:lang w:val="en-GB"/>
        </w:rPr>
        <w:t xml:space="preserve">Higher Education Pedagogies </w:t>
      </w:r>
      <w:r w:rsidR="00BB3336" w:rsidRPr="00515DC8">
        <w:rPr>
          <w:i/>
          <w:lang w:val="en-GB"/>
        </w:rPr>
        <w:t>(</w:t>
      </w:r>
      <w:r w:rsidRPr="00515DC8">
        <w:rPr>
          <w:i/>
          <w:lang w:val="en-GB"/>
        </w:rPr>
        <w:t xml:space="preserve">this issue). </w:t>
      </w:r>
    </w:p>
    <w:p w14:paraId="0AF8F9FA" w14:textId="6DE4BD69" w:rsidR="00B54A8D" w:rsidRPr="00515DC8" w:rsidRDefault="00C67EE4" w:rsidP="00B54A8D">
      <w:pPr>
        <w:shd w:val="clear" w:color="auto" w:fill="FFFFFF"/>
        <w:spacing w:after="160" w:line="480" w:lineRule="auto"/>
        <w:ind w:left="426" w:hanging="426"/>
        <w:textAlignment w:val="top"/>
        <w:rPr>
          <w:rFonts w:eastAsia="Times New Roman"/>
        </w:rPr>
      </w:pPr>
      <w:r w:rsidRPr="00515DC8">
        <w:rPr>
          <w:lang w:val="en-GB"/>
        </w:rPr>
        <w:t xml:space="preserve">Strang, L., Bélanger, J., Manville, C., &amp; Meads, C. (2016). </w:t>
      </w:r>
      <w:r w:rsidRPr="00515DC8">
        <w:rPr>
          <w:i/>
          <w:lang w:val="en-GB"/>
        </w:rPr>
        <w:t xml:space="preserve">Review of the research literature on defining and demonstrating quality teaching and impact in higher education. </w:t>
      </w:r>
      <w:r w:rsidRPr="00515DC8">
        <w:rPr>
          <w:lang w:val="en-GB"/>
        </w:rPr>
        <w:t xml:space="preserve">Higher Education Academy/RAND Europe. York: Higher Education Academy. Retrieved from </w:t>
      </w:r>
      <w:hyperlink r:id="rId86" w:history="1">
        <w:r w:rsidR="00B54A8D" w:rsidRPr="00515DC8">
          <w:rPr>
            <w:rStyle w:val="Hyperlink"/>
          </w:rPr>
          <w:t>www.heacademy.ac.uk/knowledge-hub/review-research-literature-defining-and-demonstrating-quality-teaching-and-impact</w:t>
        </w:r>
      </w:hyperlink>
    </w:p>
    <w:p w14:paraId="478B8858" w14:textId="0F97609A" w:rsidR="00B54A8D" w:rsidRPr="00515DC8" w:rsidRDefault="00B54A8D" w:rsidP="009837A5">
      <w:pPr>
        <w:shd w:val="clear" w:color="auto" w:fill="FFFFFF"/>
        <w:spacing w:after="160" w:line="480" w:lineRule="auto"/>
        <w:ind w:left="426" w:hanging="426"/>
        <w:textAlignment w:val="top"/>
        <w:rPr>
          <w:lang w:val="en-GB"/>
        </w:rPr>
      </w:pPr>
      <w:r w:rsidRPr="00BE7741">
        <w:rPr>
          <w:rFonts w:eastAsia="Times New Roman"/>
        </w:rPr>
        <w:t>Tavak</w:t>
      </w:r>
      <w:r w:rsidR="00050204" w:rsidRPr="00BE7741">
        <w:rPr>
          <w:rFonts w:eastAsia="Times New Roman"/>
        </w:rPr>
        <w:t>ol</w:t>
      </w:r>
      <w:r w:rsidR="00BE7741">
        <w:rPr>
          <w:rFonts w:eastAsia="Times New Roman"/>
        </w:rPr>
        <w:t>,</w:t>
      </w:r>
      <w:r w:rsidR="00050204" w:rsidRPr="00BE7741">
        <w:rPr>
          <w:rFonts w:eastAsia="Times New Roman"/>
        </w:rPr>
        <w:t xml:space="preserve"> M</w:t>
      </w:r>
      <w:r w:rsidR="00BE7741">
        <w:rPr>
          <w:rFonts w:eastAsia="Times New Roman"/>
        </w:rPr>
        <w:t>.</w:t>
      </w:r>
      <w:r w:rsidR="00050204" w:rsidRPr="00BE7741">
        <w:rPr>
          <w:rFonts w:eastAsia="Times New Roman"/>
        </w:rPr>
        <w:t xml:space="preserve">, </w:t>
      </w:r>
      <w:r w:rsidR="00BE7741">
        <w:rPr>
          <w:rFonts w:eastAsia="Times New Roman"/>
        </w:rPr>
        <w:t xml:space="preserve">&amp; </w:t>
      </w:r>
      <w:r w:rsidR="00050204" w:rsidRPr="00BE7741">
        <w:rPr>
          <w:rFonts w:eastAsia="Times New Roman"/>
        </w:rPr>
        <w:t>Dennick</w:t>
      </w:r>
      <w:r w:rsidR="00BE7741">
        <w:rPr>
          <w:rFonts w:eastAsia="Times New Roman"/>
        </w:rPr>
        <w:t>,</w:t>
      </w:r>
      <w:r w:rsidR="00050204" w:rsidRPr="00BE7741">
        <w:rPr>
          <w:rFonts w:eastAsia="Times New Roman"/>
        </w:rPr>
        <w:t xml:space="preserve"> R. (2011).  P</w:t>
      </w:r>
      <w:r w:rsidRPr="00BE7741">
        <w:rPr>
          <w:rFonts w:eastAsia="Times New Roman"/>
        </w:rPr>
        <w:t xml:space="preserve">ost-examination analysis of objective tests. </w:t>
      </w:r>
      <w:r w:rsidRPr="00BE7741">
        <w:rPr>
          <w:rFonts w:eastAsia="Times New Roman"/>
          <w:i/>
        </w:rPr>
        <w:t>Med Teach</w:t>
      </w:r>
      <w:r w:rsidRPr="00BE7741">
        <w:rPr>
          <w:rFonts w:eastAsia="Times New Roman"/>
        </w:rPr>
        <w:t xml:space="preserve">, </w:t>
      </w:r>
      <w:r w:rsidRPr="00BE7741">
        <w:rPr>
          <w:rFonts w:eastAsia="Times New Roman"/>
          <w:i/>
        </w:rPr>
        <w:t>33</w:t>
      </w:r>
      <w:r w:rsidR="00050204" w:rsidRPr="00BE7741">
        <w:rPr>
          <w:rFonts w:eastAsia="Times New Roman"/>
        </w:rPr>
        <w:t>(6)</w:t>
      </w:r>
      <w:r w:rsidRPr="00BE7741">
        <w:rPr>
          <w:rFonts w:eastAsia="Times New Roman"/>
        </w:rPr>
        <w:t>:447-58.</w:t>
      </w:r>
      <w:r w:rsidRPr="00515DC8">
        <w:rPr>
          <w:rFonts w:eastAsia="Times New Roman"/>
        </w:rPr>
        <w:t xml:space="preserve"> </w:t>
      </w:r>
    </w:p>
    <w:p w14:paraId="59D14DAB" w14:textId="77777777" w:rsidR="00C67EE4" w:rsidRPr="00515DC8" w:rsidRDefault="00C67EE4" w:rsidP="00C67EE4">
      <w:pPr>
        <w:spacing w:line="480" w:lineRule="auto"/>
        <w:ind w:left="426" w:hanging="426"/>
        <w:rPr>
          <w:rFonts w:eastAsia="Times New Roman"/>
          <w:shd w:val="clear" w:color="auto" w:fill="FFFFFF"/>
          <w:lang w:val="en-GB"/>
        </w:rPr>
      </w:pPr>
      <w:r w:rsidRPr="00515DC8">
        <w:rPr>
          <w:rFonts w:eastAsia="Times New Roman"/>
          <w:shd w:val="clear" w:color="auto" w:fill="FFFFFF"/>
          <w:lang w:val="en-GB"/>
        </w:rPr>
        <w:t xml:space="preserve">Thorndike, E. L. (1918). The nature, purposes, and general methods of measurements of educational products. Chapter II in G.M. Whipple (Ed.), The </w:t>
      </w:r>
      <w:r w:rsidRPr="00515DC8">
        <w:rPr>
          <w:rFonts w:eastAsia="Times New Roman"/>
          <w:i/>
          <w:shd w:val="clear" w:color="auto" w:fill="FFFFFF"/>
          <w:lang w:val="en-GB"/>
        </w:rPr>
        <w:t xml:space="preserve">seventeenth yearbook of the national society for study of education. part ii. the measurement of educational products. </w:t>
      </w:r>
      <w:r w:rsidRPr="00515DC8">
        <w:rPr>
          <w:rFonts w:eastAsia="Times New Roman"/>
          <w:shd w:val="clear" w:color="auto" w:fill="FFFFFF"/>
          <w:lang w:val="en-GB"/>
        </w:rPr>
        <w:t>Bloomington, IL: Public School Publishing Co. p. 16.</w:t>
      </w:r>
    </w:p>
    <w:p w14:paraId="4D9D84A5" w14:textId="7DC34D7D" w:rsidR="00C67EE4" w:rsidRPr="00515DC8" w:rsidRDefault="00C67EE4" w:rsidP="00C67EE4">
      <w:pPr>
        <w:spacing w:line="480" w:lineRule="auto"/>
        <w:ind w:left="426" w:hanging="426"/>
        <w:rPr>
          <w:rFonts w:eastAsia="Times New Roman"/>
          <w:shd w:val="clear" w:color="auto" w:fill="FFFFFF"/>
          <w:lang w:val="en-GB"/>
        </w:rPr>
      </w:pPr>
      <w:r w:rsidRPr="00515DC8">
        <w:rPr>
          <w:bCs/>
          <w:lang w:val="en-GB"/>
        </w:rPr>
        <w:t xml:space="preserve">Thurstone, L. </w:t>
      </w:r>
      <w:r w:rsidRPr="00515DC8">
        <w:rPr>
          <w:lang w:val="en-GB"/>
        </w:rPr>
        <w:t xml:space="preserve">(1925). A method of </w:t>
      </w:r>
      <w:r w:rsidRPr="00515DC8">
        <w:rPr>
          <w:bCs/>
          <w:lang w:val="en-GB"/>
        </w:rPr>
        <w:t>scaling</w:t>
      </w:r>
      <w:r w:rsidRPr="00515DC8">
        <w:rPr>
          <w:lang w:val="en-GB"/>
        </w:rPr>
        <w:t xml:space="preserve"> psychological and educational tests. </w:t>
      </w:r>
      <w:r w:rsidRPr="00515DC8">
        <w:rPr>
          <w:i/>
          <w:lang w:val="en-GB"/>
        </w:rPr>
        <w:t>Jou</w:t>
      </w:r>
      <w:r w:rsidRPr="00515DC8">
        <w:rPr>
          <w:lang w:val="en-GB"/>
        </w:rPr>
        <w:t>r</w:t>
      </w:r>
      <w:r w:rsidRPr="00515DC8">
        <w:rPr>
          <w:i/>
          <w:lang w:val="en-GB"/>
        </w:rPr>
        <w:t xml:space="preserve">nal of Educational Psychology, 16, </w:t>
      </w:r>
      <w:r w:rsidRPr="00515DC8">
        <w:rPr>
          <w:lang w:val="en-GB"/>
        </w:rPr>
        <w:t>433- 451.</w:t>
      </w:r>
    </w:p>
    <w:p w14:paraId="2EF67A85" w14:textId="0973382F" w:rsidR="00C67EE4" w:rsidRPr="00515DC8" w:rsidRDefault="00C67EE4" w:rsidP="00C67EE4">
      <w:pPr>
        <w:spacing w:line="480" w:lineRule="auto"/>
        <w:ind w:left="426" w:hanging="426"/>
        <w:rPr>
          <w:i/>
          <w:lang w:val="en-GB"/>
        </w:rPr>
      </w:pPr>
      <w:r w:rsidRPr="00515DC8">
        <w:rPr>
          <w:lang w:val="en-GB"/>
        </w:rPr>
        <w:t>Tremblay, K. Lalancette, D.</w:t>
      </w:r>
      <w:r w:rsidR="00050204">
        <w:rPr>
          <w:lang w:val="en-GB"/>
        </w:rPr>
        <w:t>,</w:t>
      </w:r>
      <w:r w:rsidRPr="00515DC8">
        <w:rPr>
          <w:lang w:val="en-GB"/>
        </w:rPr>
        <w:t xml:space="preserve"> &amp; Roseveare, D. (2012). Assessment of higher education learning outcomes (AHELO) feasibility study report, Volume 1. OECD.  Retrieved from www.oecd.org/edu/ahelo.</w:t>
      </w:r>
    </w:p>
    <w:p w14:paraId="40C70C38" w14:textId="77777777" w:rsidR="00C67EE4" w:rsidRPr="00515DC8" w:rsidRDefault="00C67EE4" w:rsidP="00C67EE4">
      <w:pPr>
        <w:spacing w:line="480" w:lineRule="auto"/>
        <w:ind w:left="426" w:hanging="426"/>
        <w:rPr>
          <w:i/>
          <w:lang w:val="en-GB"/>
        </w:rPr>
      </w:pPr>
      <w:r w:rsidRPr="00515DC8">
        <w:rPr>
          <w:i/>
          <w:lang w:val="en-GB"/>
        </w:rPr>
        <w:t xml:space="preserve">Turner, R., Sutton, C., Muneer, R., Gray, C., Schaefer, N., &amp; Swain, J. (2018) Exploring the potential of using undergraduates' knowledge, skills and experience in research methods as a proxy for capturing learning gain. Higher Education Pedagogies (this issue). </w:t>
      </w:r>
    </w:p>
    <w:p w14:paraId="2F2C9A42" w14:textId="77777777" w:rsidR="00C67EE4" w:rsidRPr="00515DC8" w:rsidRDefault="00C67EE4" w:rsidP="00C67EE4">
      <w:pPr>
        <w:spacing w:line="480" w:lineRule="auto"/>
        <w:ind w:left="426" w:hanging="426"/>
        <w:rPr>
          <w:color w:val="0563C1" w:themeColor="hyperlink"/>
          <w:u w:val="single"/>
          <w:lang w:val="en-GB"/>
        </w:rPr>
      </w:pPr>
      <w:r w:rsidRPr="00515DC8">
        <w:rPr>
          <w:lang w:val="en-GB"/>
        </w:rPr>
        <w:t xml:space="preserve">Office for Students (2018a). Learning gain. Retrieved from </w:t>
      </w:r>
      <w:hyperlink r:id="rId87" w:history="1">
        <w:r w:rsidRPr="00515DC8">
          <w:rPr>
            <w:rStyle w:val="Hyperlink"/>
            <w:lang w:val="en-GB"/>
          </w:rPr>
          <w:t>https://www.officeforstudents.org.uk/advice-and-guidance/teaching/learning-gain/</w:t>
        </w:r>
      </w:hyperlink>
    </w:p>
    <w:p w14:paraId="5D26AE9E" w14:textId="77777777" w:rsidR="00C67EE4" w:rsidRPr="00515DC8" w:rsidRDefault="00C67EE4" w:rsidP="00C67EE4">
      <w:pPr>
        <w:spacing w:line="480" w:lineRule="auto"/>
        <w:ind w:left="426" w:hanging="426"/>
        <w:rPr>
          <w:color w:val="000000" w:themeColor="text1"/>
          <w:lang w:val="en-GB"/>
        </w:rPr>
      </w:pPr>
      <w:r w:rsidRPr="00515DC8">
        <w:rPr>
          <w:rStyle w:val="Hyperlink"/>
          <w:color w:val="000000" w:themeColor="text1"/>
          <w:u w:val="none"/>
          <w:lang w:val="en-GB"/>
        </w:rPr>
        <w:t xml:space="preserve">UNESCO (2005). The UN decade of education for sustainable development 2005-2014. France: UNESCO.  Retrieved from </w:t>
      </w:r>
      <w:hyperlink r:id="rId88" w:history="1">
        <w:r w:rsidRPr="00515DC8">
          <w:rPr>
            <w:rStyle w:val="Hyperlink"/>
            <w:color w:val="000000" w:themeColor="text1"/>
            <w:lang w:val="en-GB"/>
          </w:rPr>
          <w:t>http://unesdoc.unesco.org/images/0014/001416/141629e.pdf</w:t>
        </w:r>
      </w:hyperlink>
      <w:r w:rsidRPr="00515DC8">
        <w:rPr>
          <w:color w:val="000000" w:themeColor="text1"/>
          <w:lang w:val="en-GB"/>
        </w:rPr>
        <w:t xml:space="preserve">  </w:t>
      </w:r>
    </w:p>
    <w:p w14:paraId="3005B8AB" w14:textId="77777777" w:rsidR="00C67EE4" w:rsidRPr="00515DC8" w:rsidRDefault="00C67EE4" w:rsidP="00C67EE4">
      <w:pPr>
        <w:spacing w:line="480" w:lineRule="auto"/>
        <w:ind w:left="426" w:hanging="426"/>
        <w:rPr>
          <w:color w:val="000000" w:themeColor="text1"/>
          <w:u w:val="single"/>
          <w:lang w:val="en-GB"/>
        </w:rPr>
      </w:pPr>
      <w:r w:rsidRPr="00515DC8">
        <w:rPr>
          <w:lang w:val="en-GB"/>
        </w:rPr>
        <w:t xml:space="preserve">United Nations (2012).  Resolution adopted by the General Assembly on 27 July 2012. 66/288. The future we want. UN General Assembly. Retrieved from </w:t>
      </w:r>
      <w:hyperlink r:id="rId89" w:history="1">
        <w:r w:rsidRPr="00515DC8">
          <w:rPr>
            <w:rStyle w:val="Hyperlink"/>
            <w:color w:val="000000" w:themeColor="text1"/>
            <w:lang w:val="en-GB"/>
          </w:rPr>
          <w:t>http://www.un.org/ga/search/view_doc.asp?symbol=A/RES/66/288&amp;Lang=E</w:t>
        </w:r>
      </w:hyperlink>
    </w:p>
    <w:p w14:paraId="668A46B8" w14:textId="77777777" w:rsidR="00C67EE4" w:rsidRPr="00515DC8" w:rsidRDefault="00C67EE4" w:rsidP="00C67EE4">
      <w:pPr>
        <w:spacing w:line="480" w:lineRule="auto"/>
        <w:ind w:left="425" w:hanging="425"/>
        <w:rPr>
          <w:lang w:val="en-GB"/>
        </w:rPr>
      </w:pPr>
      <w:r w:rsidRPr="00515DC8">
        <w:rPr>
          <w:lang w:val="en-GB"/>
        </w:rPr>
        <w:t xml:space="preserve">Universities UK. (2007). </w:t>
      </w:r>
      <w:r w:rsidRPr="00515DC8">
        <w:rPr>
          <w:i/>
          <w:lang w:val="en-GB"/>
        </w:rPr>
        <w:t>Beyond the honours degree classification. The Burgess Group final report</w:t>
      </w:r>
      <w:r w:rsidRPr="00515DC8">
        <w:rPr>
          <w:lang w:val="en-GB"/>
        </w:rPr>
        <w:t xml:space="preserve">. Retrieved from </w:t>
      </w:r>
      <w:hyperlink r:id="rId90" w:history="1">
        <w:r w:rsidRPr="00515DC8">
          <w:rPr>
            <w:rStyle w:val="Hyperlink"/>
            <w:lang w:val="en-GB"/>
          </w:rPr>
          <w:t>http://www.universitiesuk.ac.uk/</w:t>
        </w:r>
      </w:hyperlink>
    </w:p>
    <w:p w14:paraId="61C7EF70" w14:textId="0AE54BA0" w:rsidR="00C67EE4" w:rsidRPr="00515DC8" w:rsidRDefault="00C67EE4" w:rsidP="00C67EE4">
      <w:pPr>
        <w:spacing w:line="480" w:lineRule="auto"/>
        <w:ind w:left="425" w:hanging="425"/>
        <w:rPr>
          <w:lang w:val="en-GB"/>
        </w:rPr>
      </w:pPr>
      <w:r w:rsidRPr="00515DC8">
        <w:rPr>
          <w:lang w:val="en-GB"/>
        </w:rPr>
        <w:t xml:space="preserve">U.S. Department of Education (2006). The Spellings </w:t>
      </w:r>
      <w:r w:rsidR="00BE7741" w:rsidRPr="00515DC8">
        <w:rPr>
          <w:lang w:val="en-GB"/>
        </w:rPr>
        <w:t>commission report</w:t>
      </w:r>
      <w:r w:rsidRPr="00515DC8">
        <w:rPr>
          <w:lang w:val="en-GB"/>
        </w:rPr>
        <w:t>. September 2006. Washington DC</w:t>
      </w:r>
      <w:r w:rsidR="00BB3336" w:rsidRPr="00515DC8">
        <w:rPr>
          <w:lang w:val="en-GB"/>
        </w:rPr>
        <w:t>, Washington</w:t>
      </w:r>
      <w:r w:rsidRPr="00515DC8">
        <w:rPr>
          <w:lang w:val="en-GB"/>
        </w:rPr>
        <w:t xml:space="preserve">: US Department of Education. </w:t>
      </w:r>
    </w:p>
    <w:p w14:paraId="4E39796C" w14:textId="53190904" w:rsidR="00C67EE4" w:rsidRPr="00515DC8" w:rsidRDefault="00C67EE4" w:rsidP="00C67EE4">
      <w:pPr>
        <w:spacing w:line="480" w:lineRule="auto"/>
        <w:ind w:left="425" w:hanging="425"/>
        <w:rPr>
          <w:rStyle w:val="Hyperlink"/>
          <w:color w:val="auto"/>
          <w:lang w:val="en-GB"/>
        </w:rPr>
      </w:pPr>
      <w:r w:rsidRPr="00515DC8">
        <w:rPr>
          <w:rFonts w:eastAsia="Times New Roman"/>
          <w:lang w:val="en-GB" w:eastAsia="en-GB"/>
        </w:rPr>
        <w:t>van der Za</w:t>
      </w:r>
      <w:r w:rsidR="00050204">
        <w:rPr>
          <w:rFonts w:eastAsia="Times New Roman"/>
          <w:lang w:val="en-GB" w:eastAsia="en-GB"/>
        </w:rPr>
        <w:t>nden, P.J.A.C.,  Denessen, E., Cillessen, A.H.N.,</w:t>
      </w:r>
      <w:r w:rsidRPr="00515DC8">
        <w:rPr>
          <w:rFonts w:eastAsia="Times New Roman"/>
          <w:lang w:val="en-GB" w:eastAsia="en-GB"/>
        </w:rPr>
        <w:t xml:space="preserve"> &amp; Meijer, P. C. M. (2018). Domains and predictors of first-year student success: A systematic review. </w:t>
      </w:r>
      <w:r w:rsidRPr="00515DC8">
        <w:rPr>
          <w:rFonts w:eastAsia="Times New Roman"/>
          <w:i/>
          <w:lang w:val="en-GB" w:eastAsia="en-GB"/>
        </w:rPr>
        <w:t>Educational Research Review</w:t>
      </w:r>
      <w:r w:rsidRPr="00515DC8">
        <w:rPr>
          <w:rFonts w:eastAsia="Times New Roman"/>
          <w:lang w:val="en-GB" w:eastAsia="en-GB"/>
        </w:rPr>
        <w:t xml:space="preserve">, 23, 57-77. </w:t>
      </w:r>
    </w:p>
    <w:p w14:paraId="0DF406FE" w14:textId="027BCC4D" w:rsidR="00C67EE4" w:rsidRPr="00515DC8" w:rsidRDefault="00C67EE4" w:rsidP="00C67EE4">
      <w:pPr>
        <w:spacing w:line="480" w:lineRule="auto"/>
        <w:ind w:left="425" w:hanging="425"/>
        <w:rPr>
          <w:rStyle w:val="Hyperlink"/>
          <w:color w:val="auto"/>
          <w:u w:val="none"/>
          <w:lang w:val="en-GB"/>
        </w:rPr>
      </w:pPr>
      <w:r w:rsidRPr="00515DC8">
        <w:rPr>
          <w:rStyle w:val="Hyperlink"/>
          <w:color w:val="auto"/>
          <w:u w:val="none"/>
          <w:lang w:val="en-GB"/>
        </w:rPr>
        <w:t>Varsavsky, C., Matthews, K. E.</w:t>
      </w:r>
      <w:r w:rsidR="00050204">
        <w:rPr>
          <w:rStyle w:val="Hyperlink"/>
          <w:color w:val="auto"/>
          <w:u w:val="none"/>
          <w:lang w:val="en-GB"/>
        </w:rPr>
        <w:t>,</w:t>
      </w:r>
      <w:r w:rsidRPr="00515DC8">
        <w:rPr>
          <w:rStyle w:val="Hyperlink"/>
          <w:color w:val="auto"/>
          <w:u w:val="none"/>
          <w:lang w:val="en-GB"/>
        </w:rPr>
        <w:t xml:space="preserve"> &amp; Hodgson, Y. (2014). Perceptions of Science graduating students on their learning gain. </w:t>
      </w:r>
      <w:r w:rsidRPr="00515DC8">
        <w:rPr>
          <w:rStyle w:val="Hyperlink"/>
          <w:i/>
          <w:color w:val="auto"/>
          <w:u w:val="none"/>
          <w:lang w:val="en-GB"/>
        </w:rPr>
        <w:t>International Journal of Science Education, 36</w:t>
      </w:r>
      <w:r w:rsidRPr="00515DC8">
        <w:rPr>
          <w:rStyle w:val="Hyperlink"/>
          <w:color w:val="auto"/>
          <w:u w:val="none"/>
          <w:lang w:val="en-GB"/>
        </w:rPr>
        <w:t xml:space="preserve">(6), 929-951. </w:t>
      </w:r>
    </w:p>
    <w:p w14:paraId="65BD012F" w14:textId="77777777" w:rsidR="00C67EE4" w:rsidRPr="00515DC8" w:rsidRDefault="00C67EE4" w:rsidP="00C67EE4">
      <w:pPr>
        <w:spacing w:line="480" w:lineRule="auto"/>
        <w:ind w:left="425" w:hanging="425"/>
        <w:rPr>
          <w:lang w:val="en-GB"/>
        </w:rPr>
      </w:pPr>
      <w:r w:rsidRPr="00515DC8">
        <w:rPr>
          <w:lang w:val="en-GB"/>
        </w:rPr>
        <w:t xml:space="preserve">VitalSource learning matters (THE) (2018). Weighing up the benefits of learning. </w:t>
      </w:r>
      <w:r w:rsidRPr="00515DC8">
        <w:rPr>
          <w:i/>
          <w:lang w:val="en-GB"/>
        </w:rPr>
        <w:t>Times Higher Education</w:t>
      </w:r>
      <w:r w:rsidRPr="00515DC8">
        <w:rPr>
          <w:lang w:val="en-GB"/>
        </w:rPr>
        <w:t xml:space="preserve">, pp. 34-35.  </w:t>
      </w:r>
    </w:p>
    <w:p w14:paraId="1EE349C8" w14:textId="77777777" w:rsidR="00C67EE4" w:rsidRPr="00515DC8" w:rsidRDefault="00C67EE4" w:rsidP="00C67EE4">
      <w:pPr>
        <w:spacing w:line="480" w:lineRule="auto"/>
        <w:ind w:left="425" w:hanging="425"/>
        <w:rPr>
          <w:rFonts w:eastAsia="Times New Roman"/>
          <w:i/>
          <w:iCs/>
          <w:lang w:val="en-GB" w:eastAsia="en-GB"/>
        </w:rPr>
      </w:pPr>
      <w:r w:rsidRPr="00515DC8">
        <w:rPr>
          <w:rFonts w:eastAsia="Times New Roman"/>
          <w:lang w:val="en-GB" w:eastAsia="en-GB"/>
        </w:rPr>
        <w:t xml:space="preserve"> Voluntary System of Accountability (n.d.). The new VSA. </w:t>
      </w:r>
      <w:r w:rsidRPr="00515DC8">
        <w:rPr>
          <w:rFonts w:eastAsia="Times New Roman"/>
          <w:i/>
          <w:iCs/>
          <w:lang w:val="en-GB" w:eastAsia="en-GB"/>
        </w:rPr>
        <w:t xml:space="preserve">c/o APLU, 1307 New York Ave NW, Ste 400 Washington, DC 20005. Retrieved from </w:t>
      </w:r>
      <w:hyperlink r:id="rId91" w:history="1">
        <w:r w:rsidRPr="00515DC8">
          <w:rPr>
            <w:rStyle w:val="Hyperlink"/>
            <w:rFonts w:eastAsia="Times New Roman"/>
            <w:i/>
            <w:iCs/>
            <w:lang w:val="en-GB" w:eastAsia="en-GB"/>
          </w:rPr>
          <w:t>http://www.voluntarysystem.org/</w:t>
        </w:r>
      </w:hyperlink>
    </w:p>
    <w:p w14:paraId="1092521B" w14:textId="77777777" w:rsidR="00C67EE4" w:rsidRPr="00515DC8" w:rsidRDefault="00C67EE4" w:rsidP="00C67EE4">
      <w:pPr>
        <w:spacing w:line="480" w:lineRule="auto"/>
        <w:ind w:left="425" w:hanging="425"/>
        <w:rPr>
          <w:lang w:val="en-GB"/>
        </w:rPr>
      </w:pPr>
      <w:r w:rsidRPr="00515DC8">
        <w:rPr>
          <w:lang w:val="en-GB"/>
        </w:rPr>
        <w:t xml:space="preserve">Vossensteyn, H., Kottmann, A., Jongbloed, B., Kaiser, F., Cremonini, L., Stensaker, B., Hovdhaugen, E., &amp; Wollscheid, S.  (2015). Dropout and completion in higher education in Europe. Main report. European Commission. Center for Higher Education Policy Studies and Nordic Institute for Studies in Innovation Research and Education. Retrieved from </w:t>
      </w:r>
      <w:hyperlink r:id="rId92" w:history="1">
        <w:r w:rsidRPr="00515DC8">
          <w:rPr>
            <w:rStyle w:val="Hyperlink"/>
            <w:lang w:val="en-GB"/>
          </w:rPr>
          <w:t>http://supporthere.org/sites/default/files/dropout-completion-he_en.pdf</w:t>
        </w:r>
      </w:hyperlink>
    </w:p>
    <w:p w14:paraId="58647E1E" w14:textId="4459B43F" w:rsidR="00C67EE4" w:rsidRPr="00515DC8" w:rsidRDefault="00C67EE4" w:rsidP="00C67EE4">
      <w:pPr>
        <w:spacing w:line="480" w:lineRule="auto"/>
        <w:ind w:left="426" w:hanging="426"/>
        <w:rPr>
          <w:lang w:val="en-GB"/>
        </w:rPr>
      </w:pPr>
      <w:r w:rsidRPr="00515DC8">
        <w:rPr>
          <w:rStyle w:val="Emphasis"/>
          <w:i w:val="0"/>
          <w:color w:val="000000"/>
          <w:lang w:val="en-GB"/>
        </w:rPr>
        <w:t xml:space="preserve">Waring, M., &amp; Evans, C. (2015). </w:t>
      </w:r>
      <w:r w:rsidRPr="00515DC8">
        <w:rPr>
          <w:i/>
          <w:lang w:val="en-GB"/>
        </w:rPr>
        <w:t>U</w:t>
      </w:r>
      <w:r w:rsidR="00BB3336" w:rsidRPr="00515DC8">
        <w:rPr>
          <w:i/>
          <w:lang w:val="en-GB"/>
        </w:rPr>
        <w:t>nderstanding pedagogy: developing a critical approach to teaching and learning</w:t>
      </w:r>
      <w:r w:rsidRPr="00515DC8">
        <w:rPr>
          <w:lang w:val="en-GB"/>
        </w:rPr>
        <w:t>. Abingdon, Oxford, United Kingdom: Routledge.</w:t>
      </w:r>
    </w:p>
    <w:p w14:paraId="219A9A7C" w14:textId="77777777" w:rsidR="00C67EE4" w:rsidRPr="00515DC8" w:rsidRDefault="00C67EE4" w:rsidP="00C67EE4">
      <w:pPr>
        <w:spacing w:line="480" w:lineRule="auto"/>
        <w:ind w:left="426" w:hanging="426"/>
        <w:rPr>
          <w:lang w:val="en-GB"/>
        </w:rPr>
      </w:pPr>
      <w:r w:rsidRPr="00515DC8">
        <w:rPr>
          <w:lang w:val="en-GB"/>
        </w:rPr>
        <w:t xml:space="preserve">WHO (2008). </w:t>
      </w:r>
      <w:r w:rsidRPr="00515DC8">
        <w:rPr>
          <w:color w:val="545454"/>
          <w:lang w:val="en-GB"/>
        </w:rPr>
        <w:t xml:space="preserve">Scaling up </w:t>
      </w:r>
      <w:r w:rsidRPr="00515DC8">
        <w:rPr>
          <w:bCs/>
          <w:color w:val="545454"/>
          <w:lang w:val="en-GB"/>
        </w:rPr>
        <w:t>health</w:t>
      </w:r>
      <w:r w:rsidRPr="00515DC8">
        <w:rPr>
          <w:color w:val="545454"/>
          <w:lang w:val="en-GB"/>
        </w:rPr>
        <w:t xml:space="preserve"> services: challenges and choices. </w:t>
      </w:r>
      <w:r w:rsidRPr="00515DC8">
        <w:rPr>
          <w:lang w:val="en-GB"/>
        </w:rPr>
        <w:t xml:space="preserve">Technical Brief, 3(3) June 12. World Health Organisation. Retrieved from </w:t>
      </w:r>
      <w:hyperlink r:id="rId93" w:history="1">
        <w:r w:rsidRPr="00515DC8">
          <w:rPr>
            <w:rStyle w:val="Hyperlink"/>
            <w:lang w:val="en-GB"/>
          </w:rPr>
          <w:t>http://www.who.int/healthsystems/topics/delivery/technical_brief_scale-up_june12.pdf</w:t>
        </w:r>
      </w:hyperlink>
    </w:p>
    <w:p w14:paraId="432543D0" w14:textId="77777777" w:rsidR="00C67EE4" w:rsidRPr="00515DC8" w:rsidRDefault="00C67EE4" w:rsidP="00C67EE4">
      <w:pPr>
        <w:spacing w:line="480" w:lineRule="auto"/>
        <w:ind w:left="425" w:hanging="425"/>
        <w:rPr>
          <w:lang w:val="en-GB"/>
        </w:rPr>
      </w:pPr>
      <w:r w:rsidRPr="00515DC8">
        <w:rPr>
          <w:lang w:val="en-GB"/>
        </w:rPr>
        <w:t xml:space="preserve">WHO (2010). Nine steps for developing a scaling-up strategy. World Health Organisation. Retrieved from </w:t>
      </w:r>
      <w:hyperlink r:id="rId94" w:history="1">
        <w:r w:rsidRPr="00515DC8">
          <w:rPr>
            <w:rStyle w:val="Hyperlink"/>
            <w:lang w:val="en-GB"/>
          </w:rPr>
          <w:t>http://www.who.int/reproductivehealth/publications/strategic_approach/9789241500319/en/</w:t>
        </w:r>
      </w:hyperlink>
    </w:p>
    <w:p w14:paraId="07A76852" w14:textId="77777777" w:rsidR="00C67EE4" w:rsidRPr="00515DC8" w:rsidRDefault="00C67EE4" w:rsidP="00C67EE4">
      <w:pPr>
        <w:spacing w:line="480" w:lineRule="auto"/>
        <w:ind w:left="425" w:hanging="425"/>
        <w:rPr>
          <w:rStyle w:val="Hyperlink"/>
          <w:color w:val="auto"/>
          <w:lang w:val="en-GB"/>
        </w:rPr>
      </w:pPr>
      <w:r w:rsidRPr="00515DC8">
        <w:rPr>
          <w:lang w:val="en-GB"/>
        </w:rPr>
        <w:t xml:space="preserve">WHO (2011). Beginning with the end in mind. Planting pilot projects and other programmatic research for successful scaling up. World Health Organisation.  Retrieved from </w:t>
      </w:r>
      <w:hyperlink r:id="rId95" w:history="1">
        <w:r w:rsidRPr="00515DC8">
          <w:rPr>
            <w:rStyle w:val="Hyperlink"/>
            <w:color w:val="auto"/>
            <w:lang w:val="en-GB"/>
          </w:rPr>
          <w:t>http://www.expandnet.net/PDFs/ExpandNet-WHO%20-%20Beginning%20with%20the%20end%20in%20mind%20-%202011.pdf</w:t>
        </w:r>
      </w:hyperlink>
    </w:p>
    <w:p w14:paraId="3C59B887" w14:textId="77777777" w:rsidR="00C67EE4" w:rsidRPr="002326B5" w:rsidRDefault="00C67EE4" w:rsidP="00C67EE4">
      <w:pPr>
        <w:spacing w:line="480" w:lineRule="auto"/>
        <w:ind w:left="426" w:hanging="426"/>
        <w:rPr>
          <w:lang w:val="en-GB"/>
        </w:rPr>
      </w:pPr>
      <w:r w:rsidRPr="00515DC8">
        <w:rPr>
          <w:bCs/>
          <w:lang w:val="en-GB"/>
        </w:rPr>
        <w:t>Wolf,</w:t>
      </w:r>
      <w:r w:rsidRPr="00515DC8">
        <w:rPr>
          <w:lang w:val="en-GB"/>
        </w:rPr>
        <w:t xml:space="preserve"> E. J., Harrington, K.M., &amp; Clark S. L. (2013). </w:t>
      </w:r>
      <w:r w:rsidRPr="00515DC8">
        <w:rPr>
          <w:bCs/>
          <w:lang w:val="en-GB"/>
        </w:rPr>
        <w:t>Sample size requirements</w:t>
      </w:r>
      <w:r w:rsidRPr="00515DC8">
        <w:rPr>
          <w:lang w:val="en-GB"/>
        </w:rPr>
        <w:t xml:space="preserve"> for structural equation models: an evaluation of power, bias, and solution propriety. </w:t>
      </w:r>
      <w:r w:rsidRPr="00515DC8">
        <w:rPr>
          <w:i/>
          <w:lang w:val="en-GB"/>
        </w:rPr>
        <w:t xml:space="preserve">Educational and </w:t>
      </w:r>
      <w:r w:rsidRPr="002326B5">
        <w:rPr>
          <w:i/>
          <w:lang w:val="en-GB"/>
        </w:rPr>
        <w:t>Psychological Measurement, 76</w:t>
      </w:r>
      <w:r w:rsidRPr="002326B5">
        <w:rPr>
          <w:lang w:val="en-GB"/>
        </w:rPr>
        <w:t xml:space="preserve">(6), 913-934. </w:t>
      </w:r>
    </w:p>
    <w:p w14:paraId="5908E95C" w14:textId="35A2AFD3" w:rsidR="00C67EE4" w:rsidRPr="00515DC8" w:rsidRDefault="00425958" w:rsidP="00C67EE4">
      <w:pPr>
        <w:pStyle w:val="FootnoteText"/>
        <w:spacing w:line="480" w:lineRule="auto"/>
        <w:ind w:left="426" w:hanging="426"/>
        <w:rPr>
          <w:rFonts w:ascii="Times New Roman" w:hAnsi="Times New Roman" w:cs="Times New Roman"/>
          <w:sz w:val="24"/>
          <w:szCs w:val="24"/>
        </w:rPr>
      </w:pPr>
      <w:r w:rsidRPr="002326B5">
        <w:rPr>
          <w:rFonts w:ascii="Times New Roman" w:hAnsi="Times New Roman" w:cs="Times New Roman"/>
          <w:sz w:val="24"/>
          <w:szCs w:val="24"/>
        </w:rPr>
        <w:t>Wille</w:t>
      </w:r>
      <w:r w:rsidR="00C67EE4" w:rsidRPr="002326B5">
        <w:rPr>
          <w:rFonts w:ascii="Times New Roman" w:hAnsi="Times New Roman" w:cs="Times New Roman"/>
          <w:sz w:val="24"/>
          <w:szCs w:val="24"/>
        </w:rPr>
        <w:t xml:space="preserve">tts, D. 2017. </w:t>
      </w:r>
      <w:r w:rsidR="00C67EE4" w:rsidRPr="002326B5">
        <w:rPr>
          <w:rFonts w:ascii="Times New Roman" w:hAnsi="Times New Roman" w:cs="Times New Roman"/>
          <w:i/>
          <w:sz w:val="24"/>
          <w:szCs w:val="24"/>
        </w:rPr>
        <w:t>A University Education</w:t>
      </w:r>
      <w:r w:rsidR="00C67EE4" w:rsidRPr="00515DC8">
        <w:rPr>
          <w:rFonts w:ascii="Times New Roman" w:hAnsi="Times New Roman" w:cs="Times New Roman"/>
          <w:i/>
          <w:sz w:val="24"/>
          <w:szCs w:val="24"/>
        </w:rPr>
        <w:t>.</w:t>
      </w:r>
      <w:r w:rsidR="00C67EE4" w:rsidRPr="00515DC8">
        <w:rPr>
          <w:rFonts w:ascii="Times New Roman" w:hAnsi="Times New Roman" w:cs="Times New Roman"/>
          <w:sz w:val="24"/>
          <w:szCs w:val="24"/>
        </w:rPr>
        <w:t xml:space="preserve"> Oxford: Oxford University Press. </w:t>
      </w:r>
    </w:p>
    <w:p w14:paraId="6E096006" w14:textId="77777777" w:rsidR="00BB3336" w:rsidRPr="00515DC8" w:rsidRDefault="00BB3336" w:rsidP="00BB3336">
      <w:pPr>
        <w:spacing w:line="480" w:lineRule="auto"/>
        <w:ind w:left="426" w:hanging="426"/>
        <w:rPr>
          <w:rStyle w:val="Hyperlink"/>
          <w:i/>
          <w:color w:val="auto"/>
          <w:u w:val="none"/>
          <w:lang w:val="en-GB"/>
        </w:rPr>
      </w:pPr>
      <w:r w:rsidRPr="00515DC8">
        <w:rPr>
          <w:rStyle w:val="Hyperlink"/>
          <w:i/>
          <w:color w:val="auto"/>
          <w:u w:val="none"/>
          <w:lang w:val="en-GB"/>
        </w:rPr>
        <w:t xml:space="preserve">Ylonen, A., Arico, F., Gillespie, H., Lancaster, S., &amp; Ward, N.   (2018). </w:t>
      </w:r>
      <w:r w:rsidRPr="00515DC8">
        <w:rPr>
          <w:i/>
          <w:lang w:val="en-GB"/>
        </w:rPr>
        <w:t xml:space="preserve">Lessons in learning gain: insights from a pilot project. Higher Education Pedagogies (this issue). </w:t>
      </w:r>
    </w:p>
    <w:p w14:paraId="1A59471A" w14:textId="77777777" w:rsidR="00BB3336" w:rsidRPr="00515DC8" w:rsidRDefault="00BB3336" w:rsidP="00C67EE4">
      <w:pPr>
        <w:pStyle w:val="FootnoteText"/>
        <w:spacing w:line="480" w:lineRule="auto"/>
        <w:ind w:left="426" w:hanging="426"/>
        <w:rPr>
          <w:rFonts w:ascii="Times New Roman" w:hAnsi="Times New Roman" w:cs="Times New Roman"/>
          <w:sz w:val="24"/>
          <w:szCs w:val="24"/>
        </w:rPr>
      </w:pPr>
    </w:p>
    <w:p w14:paraId="45ED51DA" w14:textId="77777777" w:rsidR="00C67EE4" w:rsidRPr="00515DC8" w:rsidRDefault="00C67EE4" w:rsidP="00C67EE4">
      <w:pPr>
        <w:rPr>
          <w:lang w:val="en-GB"/>
        </w:rPr>
      </w:pPr>
    </w:p>
    <w:p w14:paraId="21B8E83C" w14:textId="77777777" w:rsidR="000F294A" w:rsidRPr="00515DC8" w:rsidRDefault="000F294A" w:rsidP="00C67EE4">
      <w:pPr>
        <w:spacing w:line="480" w:lineRule="auto"/>
        <w:ind w:left="426" w:hanging="426"/>
        <w:rPr>
          <w:rFonts w:eastAsia="Times New Roman"/>
          <w:lang w:val="en-GB" w:eastAsia="en-GB"/>
        </w:rPr>
      </w:pPr>
    </w:p>
    <w:sectPr w:rsidR="000F294A" w:rsidRPr="00515DC8" w:rsidSect="008C1C4F">
      <w:footerReference w:type="default" r:id="rId96"/>
      <w:type w:val="continuous"/>
      <w:pgSz w:w="11906" w:h="16838"/>
      <w:pgMar w:top="1440" w:right="1252"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AD0D8A" w16cid:durableId="1EFC9E32"/>
  <w16cid:commentId w16cid:paraId="1903BB0E" w16cid:durableId="1EFC9E33"/>
  <w16cid:commentId w16cid:paraId="496A1B9A" w16cid:durableId="1EFC9E34"/>
  <w16cid:commentId w16cid:paraId="4DB82EE1" w16cid:durableId="1EFC9E35"/>
  <w16cid:commentId w16cid:paraId="3F91503E" w16cid:durableId="1EFC9E36"/>
  <w16cid:commentId w16cid:paraId="7251A989" w16cid:durableId="1EFC9E37"/>
  <w16cid:commentId w16cid:paraId="0EBC790B" w16cid:durableId="1EFC9E38"/>
  <w16cid:commentId w16cid:paraId="608EC5B1" w16cid:durableId="1EFC9E39"/>
  <w16cid:commentId w16cid:paraId="32A1608C" w16cid:durableId="1EFC9E3A"/>
  <w16cid:commentId w16cid:paraId="580E9719" w16cid:durableId="1EFC9E3B"/>
  <w16cid:commentId w16cid:paraId="1158E027" w16cid:durableId="1EFC9E3C"/>
  <w16cid:commentId w16cid:paraId="643DD4F1" w16cid:durableId="1EFC9E3D"/>
  <w16cid:commentId w16cid:paraId="1272A981" w16cid:durableId="1EFC9E3E"/>
  <w16cid:commentId w16cid:paraId="4F9FB4E9" w16cid:durableId="1EFC9E3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A486F" w14:textId="77777777" w:rsidR="00F3256F" w:rsidRDefault="00F3256F" w:rsidP="00261BE4">
      <w:r>
        <w:separator/>
      </w:r>
    </w:p>
  </w:endnote>
  <w:endnote w:type="continuationSeparator" w:id="0">
    <w:p w14:paraId="0BB23385" w14:textId="77777777" w:rsidR="00F3256F" w:rsidRDefault="00F3256F" w:rsidP="00261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0000000000000000000"/>
    <w:charset w:val="86"/>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DengXian">
    <w:altName w:val="等线"/>
    <w:panose1 w:val="00000000000000000000"/>
    <w:charset w:val="86"/>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7340495"/>
      <w:docPartObj>
        <w:docPartGallery w:val="Page Numbers (Bottom of Page)"/>
        <w:docPartUnique/>
      </w:docPartObj>
    </w:sdtPr>
    <w:sdtEndPr>
      <w:rPr>
        <w:noProof/>
      </w:rPr>
    </w:sdtEndPr>
    <w:sdtContent>
      <w:p w14:paraId="5BDDEEF4" w14:textId="77417AEE" w:rsidR="00EF2E94" w:rsidRDefault="00EF2E94">
        <w:pPr>
          <w:pStyle w:val="Footer"/>
          <w:jc w:val="right"/>
        </w:pPr>
        <w:r>
          <w:fldChar w:fldCharType="begin"/>
        </w:r>
        <w:r>
          <w:instrText xml:space="preserve"> PAGE   \* MERGEFORMAT </w:instrText>
        </w:r>
        <w:r>
          <w:fldChar w:fldCharType="separate"/>
        </w:r>
        <w:r w:rsidR="00696A17">
          <w:rPr>
            <w:noProof/>
          </w:rPr>
          <w:t>0</w:t>
        </w:r>
        <w:r>
          <w:rPr>
            <w:noProof/>
          </w:rPr>
          <w:fldChar w:fldCharType="end"/>
        </w:r>
      </w:p>
    </w:sdtContent>
  </w:sdt>
  <w:p w14:paraId="5DE45518" w14:textId="77777777" w:rsidR="00EF2E94" w:rsidRDefault="00EF2E94" w:rsidP="00E35CF9">
    <w:pPr>
      <w:pStyle w:val="Footer"/>
      <w:tabs>
        <w:tab w:val="clear" w:pos="4513"/>
        <w:tab w:val="clear" w:pos="9026"/>
        <w:tab w:val="left" w:pos="20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3835187"/>
      <w:docPartObj>
        <w:docPartGallery w:val="Page Numbers (Bottom of Page)"/>
        <w:docPartUnique/>
      </w:docPartObj>
    </w:sdtPr>
    <w:sdtEndPr>
      <w:rPr>
        <w:noProof/>
      </w:rPr>
    </w:sdtEndPr>
    <w:sdtContent>
      <w:p w14:paraId="0C637BB6" w14:textId="1029527B" w:rsidR="00EF2E94" w:rsidRDefault="00EF2E94">
        <w:pPr>
          <w:pStyle w:val="Footer"/>
          <w:jc w:val="right"/>
        </w:pPr>
        <w:r>
          <w:fldChar w:fldCharType="begin"/>
        </w:r>
        <w:r>
          <w:instrText xml:space="preserve"> PAGE   \* MERGEFORMAT </w:instrText>
        </w:r>
        <w:r>
          <w:fldChar w:fldCharType="separate"/>
        </w:r>
        <w:r w:rsidR="00696A17">
          <w:rPr>
            <w:noProof/>
          </w:rPr>
          <w:t>70</w:t>
        </w:r>
        <w:r>
          <w:rPr>
            <w:noProof/>
          </w:rPr>
          <w:fldChar w:fldCharType="end"/>
        </w:r>
      </w:p>
    </w:sdtContent>
  </w:sdt>
  <w:p w14:paraId="65BF0C2E" w14:textId="77777777" w:rsidR="00EF2E94" w:rsidRDefault="00EF2E94" w:rsidP="00E35CF9">
    <w:pPr>
      <w:pStyle w:val="Footer"/>
      <w:tabs>
        <w:tab w:val="clear" w:pos="4513"/>
        <w:tab w:val="clear" w:pos="9026"/>
        <w:tab w:val="left" w:pos="20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60DAA6" w14:textId="77777777" w:rsidR="00F3256F" w:rsidRPr="00F66EBF" w:rsidRDefault="00F3256F" w:rsidP="00F66EBF">
      <w:pPr>
        <w:pStyle w:val="Footer"/>
      </w:pPr>
    </w:p>
  </w:footnote>
  <w:footnote w:type="continuationSeparator" w:id="0">
    <w:p w14:paraId="55D313F0" w14:textId="77777777" w:rsidR="00F3256F" w:rsidRDefault="00F3256F" w:rsidP="00261BE4">
      <w:r>
        <w:continuationSeparator/>
      </w:r>
    </w:p>
  </w:footnote>
  <w:footnote w:id="1">
    <w:p w14:paraId="65107992" w14:textId="6C7F4401" w:rsidR="00EF2E94" w:rsidRPr="00AE6B73" w:rsidRDefault="00EF2E94">
      <w:pPr>
        <w:pStyle w:val="FootnoteText"/>
        <w:rPr>
          <w:rFonts w:ascii="Times New Roman" w:hAnsi="Times New Roman" w:cs="Times New Roman"/>
          <w:sz w:val="22"/>
          <w:szCs w:val="22"/>
        </w:rPr>
      </w:pPr>
      <w:r w:rsidRPr="00AE6B73">
        <w:rPr>
          <w:rStyle w:val="FootnoteReference"/>
          <w:rFonts w:ascii="Times New Roman" w:hAnsi="Times New Roman" w:cs="Times New Roman"/>
          <w:sz w:val="22"/>
          <w:szCs w:val="22"/>
        </w:rPr>
        <w:footnoteRef/>
      </w:r>
      <w:r w:rsidRPr="00AE6B73">
        <w:rPr>
          <w:rFonts w:ascii="Times New Roman" w:hAnsi="Times New Roman" w:cs="Times New Roman"/>
          <w:sz w:val="22"/>
          <w:szCs w:val="22"/>
        </w:rPr>
        <w:t xml:space="preserve"> Listed in HEFCE/Office for Students (OfS) grant letters for 2014-15 and 2015-16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C0172"/>
    <w:multiLevelType w:val="hybridMultilevel"/>
    <w:tmpl w:val="38E416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B51CA8"/>
    <w:multiLevelType w:val="hybridMultilevel"/>
    <w:tmpl w:val="50E82BF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F62D2E"/>
    <w:multiLevelType w:val="hybridMultilevel"/>
    <w:tmpl w:val="8B62D43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4"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4407C5"/>
    <w:multiLevelType w:val="multilevel"/>
    <w:tmpl w:val="134E0CB2"/>
    <w:lvl w:ilvl="0">
      <w:start w:val="1"/>
      <w:numFmt w:val="decimal"/>
      <w:pStyle w:val="1Heading"/>
      <w:lvlText w:val="%1"/>
      <w:lvlJc w:val="left"/>
      <w:pPr>
        <w:ind w:left="720" w:hanging="720"/>
      </w:pPr>
      <w:rPr>
        <w:rFonts w:hint="default"/>
      </w:rPr>
    </w:lvl>
    <w:lvl w:ilvl="1">
      <w:start w:val="1"/>
      <w:numFmt w:val="decimal"/>
      <w:pStyle w:val="3Heading"/>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AF7047"/>
    <w:multiLevelType w:val="multilevel"/>
    <w:tmpl w:val="40208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1865A8"/>
    <w:multiLevelType w:val="hybridMultilevel"/>
    <w:tmpl w:val="6660C870"/>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B953525"/>
    <w:multiLevelType w:val="hybridMultilevel"/>
    <w:tmpl w:val="3AD2043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396D02"/>
    <w:multiLevelType w:val="hybridMultilevel"/>
    <w:tmpl w:val="1FC630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286B51"/>
    <w:multiLevelType w:val="multilevel"/>
    <w:tmpl w:val="8D66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ED212F"/>
    <w:multiLevelType w:val="hybridMultilevel"/>
    <w:tmpl w:val="886AD3C4"/>
    <w:lvl w:ilvl="0" w:tplc="958227A2">
      <w:start w:val="1"/>
      <w:numFmt w:val="bullet"/>
      <w:lvlText w:val="•"/>
      <w:lvlJc w:val="left"/>
      <w:pPr>
        <w:tabs>
          <w:tab w:val="num" w:pos="720"/>
        </w:tabs>
        <w:ind w:left="720" w:hanging="360"/>
      </w:pPr>
      <w:rPr>
        <w:rFonts w:ascii="Times New Roman" w:hAnsi="Times New Roman" w:hint="default"/>
      </w:rPr>
    </w:lvl>
    <w:lvl w:ilvl="1" w:tplc="ED521832" w:tentative="1">
      <w:start w:val="1"/>
      <w:numFmt w:val="bullet"/>
      <w:lvlText w:val="•"/>
      <w:lvlJc w:val="left"/>
      <w:pPr>
        <w:tabs>
          <w:tab w:val="num" w:pos="1440"/>
        </w:tabs>
        <w:ind w:left="1440" w:hanging="360"/>
      </w:pPr>
      <w:rPr>
        <w:rFonts w:ascii="Times New Roman" w:hAnsi="Times New Roman" w:hint="default"/>
      </w:rPr>
    </w:lvl>
    <w:lvl w:ilvl="2" w:tplc="B9DE1178" w:tentative="1">
      <w:start w:val="1"/>
      <w:numFmt w:val="bullet"/>
      <w:lvlText w:val="•"/>
      <w:lvlJc w:val="left"/>
      <w:pPr>
        <w:tabs>
          <w:tab w:val="num" w:pos="2160"/>
        </w:tabs>
        <w:ind w:left="2160" w:hanging="360"/>
      </w:pPr>
      <w:rPr>
        <w:rFonts w:ascii="Times New Roman" w:hAnsi="Times New Roman" w:hint="default"/>
      </w:rPr>
    </w:lvl>
    <w:lvl w:ilvl="3" w:tplc="669ABC94" w:tentative="1">
      <w:start w:val="1"/>
      <w:numFmt w:val="bullet"/>
      <w:lvlText w:val="•"/>
      <w:lvlJc w:val="left"/>
      <w:pPr>
        <w:tabs>
          <w:tab w:val="num" w:pos="2880"/>
        </w:tabs>
        <w:ind w:left="2880" w:hanging="360"/>
      </w:pPr>
      <w:rPr>
        <w:rFonts w:ascii="Times New Roman" w:hAnsi="Times New Roman" w:hint="default"/>
      </w:rPr>
    </w:lvl>
    <w:lvl w:ilvl="4" w:tplc="1AD0F80C" w:tentative="1">
      <w:start w:val="1"/>
      <w:numFmt w:val="bullet"/>
      <w:lvlText w:val="•"/>
      <w:lvlJc w:val="left"/>
      <w:pPr>
        <w:tabs>
          <w:tab w:val="num" w:pos="3600"/>
        </w:tabs>
        <w:ind w:left="3600" w:hanging="360"/>
      </w:pPr>
      <w:rPr>
        <w:rFonts w:ascii="Times New Roman" w:hAnsi="Times New Roman" w:hint="default"/>
      </w:rPr>
    </w:lvl>
    <w:lvl w:ilvl="5" w:tplc="7242C1A4" w:tentative="1">
      <w:start w:val="1"/>
      <w:numFmt w:val="bullet"/>
      <w:lvlText w:val="•"/>
      <w:lvlJc w:val="left"/>
      <w:pPr>
        <w:tabs>
          <w:tab w:val="num" w:pos="4320"/>
        </w:tabs>
        <w:ind w:left="4320" w:hanging="360"/>
      </w:pPr>
      <w:rPr>
        <w:rFonts w:ascii="Times New Roman" w:hAnsi="Times New Roman" w:hint="default"/>
      </w:rPr>
    </w:lvl>
    <w:lvl w:ilvl="6" w:tplc="6C6248FC" w:tentative="1">
      <w:start w:val="1"/>
      <w:numFmt w:val="bullet"/>
      <w:lvlText w:val="•"/>
      <w:lvlJc w:val="left"/>
      <w:pPr>
        <w:tabs>
          <w:tab w:val="num" w:pos="5040"/>
        </w:tabs>
        <w:ind w:left="5040" w:hanging="360"/>
      </w:pPr>
      <w:rPr>
        <w:rFonts w:ascii="Times New Roman" w:hAnsi="Times New Roman" w:hint="default"/>
      </w:rPr>
    </w:lvl>
    <w:lvl w:ilvl="7" w:tplc="41E45104" w:tentative="1">
      <w:start w:val="1"/>
      <w:numFmt w:val="bullet"/>
      <w:lvlText w:val="•"/>
      <w:lvlJc w:val="left"/>
      <w:pPr>
        <w:tabs>
          <w:tab w:val="num" w:pos="5760"/>
        </w:tabs>
        <w:ind w:left="5760" w:hanging="360"/>
      </w:pPr>
      <w:rPr>
        <w:rFonts w:ascii="Times New Roman" w:hAnsi="Times New Roman" w:hint="default"/>
      </w:rPr>
    </w:lvl>
    <w:lvl w:ilvl="8" w:tplc="7130ABA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C5769EB"/>
    <w:multiLevelType w:val="hybridMultilevel"/>
    <w:tmpl w:val="514C20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50175A57"/>
    <w:multiLevelType w:val="multilevel"/>
    <w:tmpl w:val="E548B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D83E8F"/>
    <w:multiLevelType w:val="multilevel"/>
    <w:tmpl w:val="73FAD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17785B"/>
    <w:multiLevelType w:val="hybridMultilevel"/>
    <w:tmpl w:val="2CD20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F332C2"/>
    <w:multiLevelType w:val="hybridMultilevel"/>
    <w:tmpl w:val="CE8C78B6"/>
    <w:lvl w:ilvl="0" w:tplc="08090019">
      <w:start w:val="1"/>
      <w:numFmt w:val="lowerLetter"/>
      <w:lvlText w:val="%1."/>
      <w:lvlJc w:val="left"/>
      <w:pPr>
        <w:ind w:left="0" w:hanging="360"/>
      </w:pPr>
    </w:lvl>
    <w:lvl w:ilvl="1" w:tplc="08090019">
      <w:start w:val="1"/>
      <w:numFmt w:val="lowerLetter"/>
      <w:lvlText w:val="%2."/>
      <w:lvlJc w:val="left"/>
      <w:pPr>
        <w:ind w:left="720" w:hanging="360"/>
      </w:pPr>
    </w:lvl>
    <w:lvl w:ilvl="2" w:tplc="0809001B">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8" w15:restartNumberingAfterBreak="0">
    <w:nsid w:val="65826D9B"/>
    <w:multiLevelType w:val="hybridMultilevel"/>
    <w:tmpl w:val="8B62D43C"/>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4"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A109E9"/>
    <w:multiLevelType w:val="hybridMultilevel"/>
    <w:tmpl w:val="C5FE21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7E57666"/>
    <w:multiLevelType w:val="hybridMultilevel"/>
    <w:tmpl w:val="7310C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AB1902"/>
    <w:multiLevelType w:val="hybridMultilevel"/>
    <w:tmpl w:val="1E4210A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59380D"/>
    <w:multiLevelType w:val="multilevel"/>
    <w:tmpl w:val="FA76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19"/>
  </w:num>
  <w:num w:numId="5">
    <w:abstractNumId w:val="5"/>
  </w:num>
  <w:num w:numId="6">
    <w:abstractNumId w:val="7"/>
  </w:num>
  <w:num w:numId="7">
    <w:abstractNumId w:val="17"/>
  </w:num>
  <w:num w:numId="8">
    <w:abstractNumId w:val="6"/>
  </w:num>
  <w:num w:numId="9">
    <w:abstractNumId w:val="14"/>
  </w:num>
  <w:num w:numId="10">
    <w:abstractNumId w:val="20"/>
  </w:num>
  <w:num w:numId="11">
    <w:abstractNumId w:val="13"/>
  </w:num>
  <w:num w:numId="12">
    <w:abstractNumId w:val="15"/>
  </w:num>
  <w:num w:numId="13">
    <w:abstractNumId w:val="9"/>
  </w:num>
  <w:num w:numId="14">
    <w:abstractNumId w:val="16"/>
  </w:num>
  <w:num w:numId="15">
    <w:abstractNumId w:val="22"/>
  </w:num>
  <w:num w:numId="16">
    <w:abstractNumId w:val="4"/>
  </w:num>
  <w:num w:numId="17">
    <w:abstractNumId w:val="18"/>
  </w:num>
  <w:num w:numId="18">
    <w:abstractNumId w:val="11"/>
  </w:num>
  <w:num w:numId="19">
    <w:abstractNumId w:val="0"/>
  </w:num>
  <w:num w:numId="20">
    <w:abstractNumId w:val="21"/>
  </w:num>
  <w:num w:numId="21">
    <w:abstractNumId w:val="10"/>
  </w:num>
  <w:num w:numId="22">
    <w:abstractNumId w:val="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865"/>
    <w:rsid w:val="00002AE0"/>
    <w:rsid w:val="000054F7"/>
    <w:rsid w:val="00007559"/>
    <w:rsid w:val="000127A1"/>
    <w:rsid w:val="00013ABA"/>
    <w:rsid w:val="0001581F"/>
    <w:rsid w:val="000202F5"/>
    <w:rsid w:val="00023EFB"/>
    <w:rsid w:val="0003224C"/>
    <w:rsid w:val="00032982"/>
    <w:rsid w:val="0003611C"/>
    <w:rsid w:val="00041DBC"/>
    <w:rsid w:val="00043D72"/>
    <w:rsid w:val="000473AE"/>
    <w:rsid w:val="00050204"/>
    <w:rsid w:val="00056FBC"/>
    <w:rsid w:val="00057089"/>
    <w:rsid w:val="00062A00"/>
    <w:rsid w:val="00064DD7"/>
    <w:rsid w:val="00065B3A"/>
    <w:rsid w:val="00066722"/>
    <w:rsid w:val="0007366C"/>
    <w:rsid w:val="00076636"/>
    <w:rsid w:val="000805A3"/>
    <w:rsid w:val="00082AD2"/>
    <w:rsid w:val="00085DF1"/>
    <w:rsid w:val="00087466"/>
    <w:rsid w:val="000A37A0"/>
    <w:rsid w:val="000A5CD8"/>
    <w:rsid w:val="000B271A"/>
    <w:rsid w:val="000B2980"/>
    <w:rsid w:val="000B5DF0"/>
    <w:rsid w:val="000B6430"/>
    <w:rsid w:val="000B732C"/>
    <w:rsid w:val="000C3F3B"/>
    <w:rsid w:val="000D6218"/>
    <w:rsid w:val="000D7202"/>
    <w:rsid w:val="000E31AE"/>
    <w:rsid w:val="000E4926"/>
    <w:rsid w:val="000E63D3"/>
    <w:rsid w:val="000F294A"/>
    <w:rsid w:val="000F4E36"/>
    <w:rsid w:val="000F523C"/>
    <w:rsid w:val="000F6D89"/>
    <w:rsid w:val="000F7DB4"/>
    <w:rsid w:val="001107C8"/>
    <w:rsid w:val="0011280F"/>
    <w:rsid w:val="001132CB"/>
    <w:rsid w:val="00120808"/>
    <w:rsid w:val="00120A39"/>
    <w:rsid w:val="001217AF"/>
    <w:rsid w:val="001224A0"/>
    <w:rsid w:val="001241F5"/>
    <w:rsid w:val="00124FB5"/>
    <w:rsid w:val="0012630E"/>
    <w:rsid w:val="00130CCC"/>
    <w:rsid w:val="00132FDA"/>
    <w:rsid w:val="00136F49"/>
    <w:rsid w:val="00140179"/>
    <w:rsid w:val="001415CB"/>
    <w:rsid w:val="0014425E"/>
    <w:rsid w:val="00146D89"/>
    <w:rsid w:val="00152BCF"/>
    <w:rsid w:val="0015386E"/>
    <w:rsid w:val="00155F75"/>
    <w:rsid w:val="00156A8E"/>
    <w:rsid w:val="00157629"/>
    <w:rsid w:val="00160468"/>
    <w:rsid w:val="00163B69"/>
    <w:rsid w:val="00165936"/>
    <w:rsid w:val="001675D7"/>
    <w:rsid w:val="00171533"/>
    <w:rsid w:val="00173781"/>
    <w:rsid w:val="001774CD"/>
    <w:rsid w:val="00177B7C"/>
    <w:rsid w:val="001801F4"/>
    <w:rsid w:val="001807D9"/>
    <w:rsid w:val="00182A76"/>
    <w:rsid w:val="00184E3E"/>
    <w:rsid w:val="00192A6A"/>
    <w:rsid w:val="00194213"/>
    <w:rsid w:val="00194417"/>
    <w:rsid w:val="00194DB6"/>
    <w:rsid w:val="001A0AFC"/>
    <w:rsid w:val="001A30AE"/>
    <w:rsid w:val="001A30CE"/>
    <w:rsid w:val="001A532A"/>
    <w:rsid w:val="001A7DD4"/>
    <w:rsid w:val="001A7E20"/>
    <w:rsid w:val="001B3F4F"/>
    <w:rsid w:val="001B5ED2"/>
    <w:rsid w:val="001B74D8"/>
    <w:rsid w:val="001B773B"/>
    <w:rsid w:val="001C0568"/>
    <w:rsid w:val="001C2384"/>
    <w:rsid w:val="001C6401"/>
    <w:rsid w:val="001D0A2D"/>
    <w:rsid w:val="001D1728"/>
    <w:rsid w:val="001D1DE0"/>
    <w:rsid w:val="001D3429"/>
    <w:rsid w:val="001D7C36"/>
    <w:rsid w:val="001E538E"/>
    <w:rsid w:val="001F0C6A"/>
    <w:rsid w:val="001F1F3E"/>
    <w:rsid w:val="001F30FA"/>
    <w:rsid w:val="001F6302"/>
    <w:rsid w:val="001F7CF7"/>
    <w:rsid w:val="00200850"/>
    <w:rsid w:val="00206387"/>
    <w:rsid w:val="00213BD6"/>
    <w:rsid w:val="00215F14"/>
    <w:rsid w:val="002170FC"/>
    <w:rsid w:val="00221C1A"/>
    <w:rsid w:val="00223764"/>
    <w:rsid w:val="00224C3D"/>
    <w:rsid w:val="00225102"/>
    <w:rsid w:val="002326B5"/>
    <w:rsid w:val="00232E66"/>
    <w:rsid w:val="002414FB"/>
    <w:rsid w:val="00241E5E"/>
    <w:rsid w:val="00243382"/>
    <w:rsid w:val="002437F3"/>
    <w:rsid w:val="002451B1"/>
    <w:rsid w:val="00245C86"/>
    <w:rsid w:val="00246FA5"/>
    <w:rsid w:val="0025101E"/>
    <w:rsid w:val="00251426"/>
    <w:rsid w:val="00252AA9"/>
    <w:rsid w:val="00261BE4"/>
    <w:rsid w:val="00264784"/>
    <w:rsid w:val="002702DB"/>
    <w:rsid w:val="00274A1F"/>
    <w:rsid w:val="0028371C"/>
    <w:rsid w:val="00285666"/>
    <w:rsid w:val="002918E1"/>
    <w:rsid w:val="00291D32"/>
    <w:rsid w:val="0029268E"/>
    <w:rsid w:val="002929F8"/>
    <w:rsid w:val="00296EA6"/>
    <w:rsid w:val="00296FA4"/>
    <w:rsid w:val="002A09AD"/>
    <w:rsid w:val="002A1CE0"/>
    <w:rsid w:val="002A42B7"/>
    <w:rsid w:val="002B01A3"/>
    <w:rsid w:val="002B0270"/>
    <w:rsid w:val="002B24D5"/>
    <w:rsid w:val="002B2AF1"/>
    <w:rsid w:val="002B7A88"/>
    <w:rsid w:val="002C13E2"/>
    <w:rsid w:val="002C42D0"/>
    <w:rsid w:val="002C4996"/>
    <w:rsid w:val="002C5A22"/>
    <w:rsid w:val="002C5BD8"/>
    <w:rsid w:val="002C5E11"/>
    <w:rsid w:val="002C68CB"/>
    <w:rsid w:val="002C6E37"/>
    <w:rsid w:val="002D1F10"/>
    <w:rsid w:val="002D20DE"/>
    <w:rsid w:val="002D32AB"/>
    <w:rsid w:val="002D471B"/>
    <w:rsid w:val="002E781D"/>
    <w:rsid w:val="002F37A4"/>
    <w:rsid w:val="002F5A2B"/>
    <w:rsid w:val="002F7E31"/>
    <w:rsid w:val="00303DD5"/>
    <w:rsid w:val="00320A80"/>
    <w:rsid w:val="00323529"/>
    <w:rsid w:val="00332C35"/>
    <w:rsid w:val="0033337A"/>
    <w:rsid w:val="00335271"/>
    <w:rsid w:val="003355D1"/>
    <w:rsid w:val="003365DB"/>
    <w:rsid w:val="003372AB"/>
    <w:rsid w:val="00343120"/>
    <w:rsid w:val="00344245"/>
    <w:rsid w:val="00346113"/>
    <w:rsid w:val="00346305"/>
    <w:rsid w:val="00346D5E"/>
    <w:rsid w:val="0034758B"/>
    <w:rsid w:val="00347728"/>
    <w:rsid w:val="0035111A"/>
    <w:rsid w:val="003516FB"/>
    <w:rsid w:val="00351A56"/>
    <w:rsid w:val="00353F15"/>
    <w:rsid w:val="00362C19"/>
    <w:rsid w:val="00363054"/>
    <w:rsid w:val="003636BA"/>
    <w:rsid w:val="00364131"/>
    <w:rsid w:val="0036519A"/>
    <w:rsid w:val="00367342"/>
    <w:rsid w:val="003713F1"/>
    <w:rsid w:val="003726CA"/>
    <w:rsid w:val="00375062"/>
    <w:rsid w:val="003756DF"/>
    <w:rsid w:val="0038163D"/>
    <w:rsid w:val="003822AC"/>
    <w:rsid w:val="00383215"/>
    <w:rsid w:val="00386FC3"/>
    <w:rsid w:val="00390F1A"/>
    <w:rsid w:val="0039166F"/>
    <w:rsid w:val="00392726"/>
    <w:rsid w:val="00396C23"/>
    <w:rsid w:val="003A15F0"/>
    <w:rsid w:val="003B0261"/>
    <w:rsid w:val="003B3933"/>
    <w:rsid w:val="003B5865"/>
    <w:rsid w:val="003B6EC4"/>
    <w:rsid w:val="003C40DF"/>
    <w:rsid w:val="003C4BEE"/>
    <w:rsid w:val="003D48B5"/>
    <w:rsid w:val="003D4DA4"/>
    <w:rsid w:val="003D50AF"/>
    <w:rsid w:val="003D5357"/>
    <w:rsid w:val="003D645F"/>
    <w:rsid w:val="003E07A9"/>
    <w:rsid w:val="003E21F8"/>
    <w:rsid w:val="003E240F"/>
    <w:rsid w:val="003E334C"/>
    <w:rsid w:val="003E5E22"/>
    <w:rsid w:val="003F0A62"/>
    <w:rsid w:val="003F4825"/>
    <w:rsid w:val="003F65E6"/>
    <w:rsid w:val="00401E34"/>
    <w:rsid w:val="00403585"/>
    <w:rsid w:val="00404D06"/>
    <w:rsid w:val="0040592D"/>
    <w:rsid w:val="00406402"/>
    <w:rsid w:val="00407106"/>
    <w:rsid w:val="004105F7"/>
    <w:rsid w:val="00413BAD"/>
    <w:rsid w:val="00415A1B"/>
    <w:rsid w:val="00416DE6"/>
    <w:rsid w:val="00417C72"/>
    <w:rsid w:val="00422C3D"/>
    <w:rsid w:val="004254DE"/>
    <w:rsid w:val="00425958"/>
    <w:rsid w:val="0043078E"/>
    <w:rsid w:val="00431C1E"/>
    <w:rsid w:val="004337A7"/>
    <w:rsid w:val="00436340"/>
    <w:rsid w:val="00437A44"/>
    <w:rsid w:val="00444BBB"/>
    <w:rsid w:val="0044573D"/>
    <w:rsid w:val="00454F2E"/>
    <w:rsid w:val="004554A4"/>
    <w:rsid w:val="00455CC3"/>
    <w:rsid w:val="00461287"/>
    <w:rsid w:val="00461621"/>
    <w:rsid w:val="00461A4E"/>
    <w:rsid w:val="004623E7"/>
    <w:rsid w:val="00462F2A"/>
    <w:rsid w:val="004637C3"/>
    <w:rsid w:val="004641AF"/>
    <w:rsid w:val="004653AB"/>
    <w:rsid w:val="0046609C"/>
    <w:rsid w:val="00466831"/>
    <w:rsid w:val="004822AE"/>
    <w:rsid w:val="004823DD"/>
    <w:rsid w:val="00483C77"/>
    <w:rsid w:val="004856B0"/>
    <w:rsid w:val="0048767D"/>
    <w:rsid w:val="00494A88"/>
    <w:rsid w:val="00497C41"/>
    <w:rsid w:val="004A1334"/>
    <w:rsid w:val="004A72EE"/>
    <w:rsid w:val="004B08EF"/>
    <w:rsid w:val="004B0C6A"/>
    <w:rsid w:val="004B153E"/>
    <w:rsid w:val="004B68A8"/>
    <w:rsid w:val="004B6AB2"/>
    <w:rsid w:val="004C415F"/>
    <w:rsid w:val="004C5705"/>
    <w:rsid w:val="004D1B0C"/>
    <w:rsid w:val="004E1F1C"/>
    <w:rsid w:val="004E3A42"/>
    <w:rsid w:val="004E3BEB"/>
    <w:rsid w:val="004F1504"/>
    <w:rsid w:val="004F1D9C"/>
    <w:rsid w:val="004F3BB4"/>
    <w:rsid w:val="004F4682"/>
    <w:rsid w:val="004F5AA8"/>
    <w:rsid w:val="00505EFE"/>
    <w:rsid w:val="00507DB0"/>
    <w:rsid w:val="00513C2E"/>
    <w:rsid w:val="00514AD1"/>
    <w:rsid w:val="00515896"/>
    <w:rsid w:val="00515DC8"/>
    <w:rsid w:val="00516C23"/>
    <w:rsid w:val="005204EF"/>
    <w:rsid w:val="005235BA"/>
    <w:rsid w:val="005240F0"/>
    <w:rsid w:val="005246B4"/>
    <w:rsid w:val="00524CB0"/>
    <w:rsid w:val="00531F48"/>
    <w:rsid w:val="00533E79"/>
    <w:rsid w:val="00533F6B"/>
    <w:rsid w:val="00535F04"/>
    <w:rsid w:val="00535FA5"/>
    <w:rsid w:val="005404CE"/>
    <w:rsid w:val="005414E7"/>
    <w:rsid w:val="00543BD6"/>
    <w:rsid w:val="00544258"/>
    <w:rsid w:val="005518FE"/>
    <w:rsid w:val="00552503"/>
    <w:rsid w:val="00561A87"/>
    <w:rsid w:val="00563AA7"/>
    <w:rsid w:val="00563B04"/>
    <w:rsid w:val="0056407C"/>
    <w:rsid w:val="00570D87"/>
    <w:rsid w:val="005734EB"/>
    <w:rsid w:val="00580FD6"/>
    <w:rsid w:val="00591686"/>
    <w:rsid w:val="00593F7B"/>
    <w:rsid w:val="00595A85"/>
    <w:rsid w:val="00596C70"/>
    <w:rsid w:val="005973AB"/>
    <w:rsid w:val="005975A9"/>
    <w:rsid w:val="00597979"/>
    <w:rsid w:val="005A0260"/>
    <w:rsid w:val="005A181A"/>
    <w:rsid w:val="005B078A"/>
    <w:rsid w:val="005B0D9A"/>
    <w:rsid w:val="005B20AF"/>
    <w:rsid w:val="005B2A40"/>
    <w:rsid w:val="005B471A"/>
    <w:rsid w:val="005B62A7"/>
    <w:rsid w:val="005B6451"/>
    <w:rsid w:val="005C48F8"/>
    <w:rsid w:val="005C7D92"/>
    <w:rsid w:val="005E1D14"/>
    <w:rsid w:val="005F30BD"/>
    <w:rsid w:val="005F3202"/>
    <w:rsid w:val="00601C28"/>
    <w:rsid w:val="00604906"/>
    <w:rsid w:val="00605B57"/>
    <w:rsid w:val="0060750C"/>
    <w:rsid w:val="00610533"/>
    <w:rsid w:val="00612E29"/>
    <w:rsid w:val="00620F72"/>
    <w:rsid w:val="00621A19"/>
    <w:rsid w:val="00624219"/>
    <w:rsid w:val="00627B0C"/>
    <w:rsid w:val="00632FFF"/>
    <w:rsid w:val="006340A9"/>
    <w:rsid w:val="00637478"/>
    <w:rsid w:val="00640228"/>
    <w:rsid w:val="00641ADA"/>
    <w:rsid w:val="00642446"/>
    <w:rsid w:val="00642520"/>
    <w:rsid w:val="0064254B"/>
    <w:rsid w:val="006439CA"/>
    <w:rsid w:val="0065151C"/>
    <w:rsid w:val="00655B4E"/>
    <w:rsid w:val="00660D73"/>
    <w:rsid w:val="00665833"/>
    <w:rsid w:val="006716A8"/>
    <w:rsid w:val="006734F0"/>
    <w:rsid w:val="006735C2"/>
    <w:rsid w:val="00673BDC"/>
    <w:rsid w:val="00673C91"/>
    <w:rsid w:val="00675BB4"/>
    <w:rsid w:val="00681775"/>
    <w:rsid w:val="00681DCF"/>
    <w:rsid w:val="006835D8"/>
    <w:rsid w:val="0068654C"/>
    <w:rsid w:val="006909CC"/>
    <w:rsid w:val="006913DD"/>
    <w:rsid w:val="00695878"/>
    <w:rsid w:val="00696A17"/>
    <w:rsid w:val="006A0473"/>
    <w:rsid w:val="006B1AEA"/>
    <w:rsid w:val="006B2C89"/>
    <w:rsid w:val="006B3C15"/>
    <w:rsid w:val="006B42EC"/>
    <w:rsid w:val="006B45EF"/>
    <w:rsid w:val="006C3638"/>
    <w:rsid w:val="006C5356"/>
    <w:rsid w:val="006C7B1D"/>
    <w:rsid w:val="006D0948"/>
    <w:rsid w:val="006D2247"/>
    <w:rsid w:val="006D3937"/>
    <w:rsid w:val="006E04EE"/>
    <w:rsid w:val="006F669C"/>
    <w:rsid w:val="006F7797"/>
    <w:rsid w:val="00704699"/>
    <w:rsid w:val="0070469F"/>
    <w:rsid w:val="007058BF"/>
    <w:rsid w:val="007134DD"/>
    <w:rsid w:val="007210DB"/>
    <w:rsid w:val="00724109"/>
    <w:rsid w:val="007246FA"/>
    <w:rsid w:val="00725B93"/>
    <w:rsid w:val="007324DF"/>
    <w:rsid w:val="00732BA5"/>
    <w:rsid w:val="00733F8C"/>
    <w:rsid w:val="007357A7"/>
    <w:rsid w:val="00737A1D"/>
    <w:rsid w:val="0074504A"/>
    <w:rsid w:val="0074525F"/>
    <w:rsid w:val="00745C41"/>
    <w:rsid w:val="007475CD"/>
    <w:rsid w:val="00750B4C"/>
    <w:rsid w:val="00756AED"/>
    <w:rsid w:val="00761299"/>
    <w:rsid w:val="00762021"/>
    <w:rsid w:val="007625B7"/>
    <w:rsid w:val="00763D8C"/>
    <w:rsid w:val="0076473C"/>
    <w:rsid w:val="00764AC1"/>
    <w:rsid w:val="00765191"/>
    <w:rsid w:val="00772F0A"/>
    <w:rsid w:val="00773DAD"/>
    <w:rsid w:val="00775EF7"/>
    <w:rsid w:val="0078184E"/>
    <w:rsid w:val="00781E5E"/>
    <w:rsid w:val="00791598"/>
    <w:rsid w:val="00792503"/>
    <w:rsid w:val="00792774"/>
    <w:rsid w:val="00792DCE"/>
    <w:rsid w:val="00794EFF"/>
    <w:rsid w:val="007A39F9"/>
    <w:rsid w:val="007A417F"/>
    <w:rsid w:val="007A5201"/>
    <w:rsid w:val="007A5617"/>
    <w:rsid w:val="007B3861"/>
    <w:rsid w:val="007B4216"/>
    <w:rsid w:val="007B4D24"/>
    <w:rsid w:val="007C4854"/>
    <w:rsid w:val="007C4F7D"/>
    <w:rsid w:val="007C58D8"/>
    <w:rsid w:val="007D1F76"/>
    <w:rsid w:val="007E135C"/>
    <w:rsid w:val="007E19D8"/>
    <w:rsid w:val="007E36E2"/>
    <w:rsid w:val="007E4EF0"/>
    <w:rsid w:val="007E6AB5"/>
    <w:rsid w:val="007F6360"/>
    <w:rsid w:val="00801C2F"/>
    <w:rsid w:val="00802E08"/>
    <w:rsid w:val="00806449"/>
    <w:rsid w:val="00806B1A"/>
    <w:rsid w:val="0081268D"/>
    <w:rsid w:val="00812E9C"/>
    <w:rsid w:val="00814CAE"/>
    <w:rsid w:val="0082212B"/>
    <w:rsid w:val="00822D96"/>
    <w:rsid w:val="00824C2E"/>
    <w:rsid w:val="0082507C"/>
    <w:rsid w:val="0082574C"/>
    <w:rsid w:val="00832AB3"/>
    <w:rsid w:val="00833442"/>
    <w:rsid w:val="00834426"/>
    <w:rsid w:val="00835FA2"/>
    <w:rsid w:val="00842CF5"/>
    <w:rsid w:val="0084509F"/>
    <w:rsid w:val="00846036"/>
    <w:rsid w:val="00846FBB"/>
    <w:rsid w:val="008479AA"/>
    <w:rsid w:val="00847F20"/>
    <w:rsid w:val="0085394C"/>
    <w:rsid w:val="00854085"/>
    <w:rsid w:val="00862EEB"/>
    <w:rsid w:val="008646D2"/>
    <w:rsid w:val="008655C0"/>
    <w:rsid w:val="00865CF8"/>
    <w:rsid w:val="00865F5C"/>
    <w:rsid w:val="00865F8D"/>
    <w:rsid w:val="00871596"/>
    <w:rsid w:val="0087445D"/>
    <w:rsid w:val="008745A9"/>
    <w:rsid w:val="008755B4"/>
    <w:rsid w:val="008813DA"/>
    <w:rsid w:val="0088184D"/>
    <w:rsid w:val="00891B4F"/>
    <w:rsid w:val="00893C4E"/>
    <w:rsid w:val="00895BBB"/>
    <w:rsid w:val="00895F48"/>
    <w:rsid w:val="008976DF"/>
    <w:rsid w:val="008A16DB"/>
    <w:rsid w:val="008A2195"/>
    <w:rsid w:val="008A5EE0"/>
    <w:rsid w:val="008B0DF4"/>
    <w:rsid w:val="008B12BE"/>
    <w:rsid w:val="008B1A40"/>
    <w:rsid w:val="008B33A4"/>
    <w:rsid w:val="008B546A"/>
    <w:rsid w:val="008B63AB"/>
    <w:rsid w:val="008C1C4F"/>
    <w:rsid w:val="008C3E77"/>
    <w:rsid w:val="008C5F1B"/>
    <w:rsid w:val="008C6B62"/>
    <w:rsid w:val="008C7DC1"/>
    <w:rsid w:val="008C7F72"/>
    <w:rsid w:val="008D0A47"/>
    <w:rsid w:val="008D22BF"/>
    <w:rsid w:val="008D2C53"/>
    <w:rsid w:val="008D6DD7"/>
    <w:rsid w:val="008E0677"/>
    <w:rsid w:val="008F00FD"/>
    <w:rsid w:val="008F20FA"/>
    <w:rsid w:val="00904517"/>
    <w:rsid w:val="0091020E"/>
    <w:rsid w:val="009123E0"/>
    <w:rsid w:val="009172E9"/>
    <w:rsid w:val="00920976"/>
    <w:rsid w:val="009221EE"/>
    <w:rsid w:val="00927C52"/>
    <w:rsid w:val="00931091"/>
    <w:rsid w:val="00931B6E"/>
    <w:rsid w:val="00932B2D"/>
    <w:rsid w:val="00933B17"/>
    <w:rsid w:val="00934982"/>
    <w:rsid w:val="00935A1F"/>
    <w:rsid w:val="00937D0C"/>
    <w:rsid w:val="009422A7"/>
    <w:rsid w:val="009425BC"/>
    <w:rsid w:val="009479BB"/>
    <w:rsid w:val="00947AB1"/>
    <w:rsid w:val="00956014"/>
    <w:rsid w:val="00956A8A"/>
    <w:rsid w:val="00963112"/>
    <w:rsid w:val="009742DB"/>
    <w:rsid w:val="009752F3"/>
    <w:rsid w:val="009774B3"/>
    <w:rsid w:val="00980502"/>
    <w:rsid w:val="00981C2F"/>
    <w:rsid w:val="009837A5"/>
    <w:rsid w:val="00986CF7"/>
    <w:rsid w:val="0099094E"/>
    <w:rsid w:val="00995265"/>
    <w:rsid w:val="009A1F29"/>
    <w:rsid w:val="009A2908"/>
    <w:rsid w:val="009A524F"/>
    <w:rsid w:val="009A58F4"/>
    <w:rsid w:val="009A5FB7"/>
    <w:rsid w:val="009A6332"/>
    <w:rsid w:val="009B33BE"/>
    <w:rsid w:val="009B5CC0"/>
    <w:rsid w:val="009B5D32"/>
    <w:rsid w:val="009B74E4"/>
    <w:rsid w:val="009B77CA"/>
    <w:rsid w:val="009D02F8"/>
    <w:rsid w:val="009D784C"/>
    <w:rsid w:val="009D7D40"/>
    <w:rsid w:val="009E5F79"/>
    <w:rsid w:val="009E6BDF"/>
    <w:rsid w:val="009E7AD2"/>
    <w:rsid w:val="009F4F3C"/>
    <w:rsid w:val="009F5CE8"/>
    <w:rsid w:val="009F5E4A"/>
    <w:rsid w:val="009F73D3"/>
    <w:rsid w:val="00A03FF0"/>
    <w:rsid w:val="00A07DA6"/>
    <w:rsid w:val="00A1088D"/>
    <w:rsid w:val="00A11D13"/>
    <w:rsid w:val="00A122F0"/>
    <w:rsid w:val="00A1642C"/>
    <w:rsid w:val="00A16926"/>
    <w:rsid w:val="00A2399E"/>
    <w:rsid w:val="00A24328"/>
    <w:rsid w:val="00A25F87"/>
    <w:rsid w:val="00A2757C"/>
    <w:rsid w:val="00A30A37"/>
    <w:rsid w:val="00A31297"/>
    <w:rsid w:val="00A31635"/>
    <w:rsid w:val="00A34D6A"/>
    <w:rsid w:val="00A4178A"/>
    <w:rsid w:val="00A433C2"/>
    <w:rsid w:val="00A46874"/>
    <w:rsid w:val="00A50414"/>
    <w:rsid w:val="00A5532B"/>
    <w:rsid w:val="00A57A60"/>
    <w:rsid w:val="00A613E3"/>
    <w:rsid w:val="00A65317"/>
    <w:rsid w:val="00A66807"/>
    <w:rsid w:val="00A7158F"/>
    <w:rsid w:val="00A715D3"/>
    <w:rsid w:val="00A718D6"/>
    <w:rsid w:val="00A73511"/>
    <w:rsid w:val="00A74743"/>
    <w:rsid w:val="00A83F38"/>
    <w:rsid w:val="00A845D7"/>
    <w:rsid w:val="00A849C1"/>
    <w:rsid w:val="00A85A6F"/>
    <w:rsid w:val="00A867CE"/>
    <w:rsid w:val="00A91790"/>
    <w:rsid w:val="00A92C72"/>
    <w:rsid w:val="00A93FC8"/>
    <w:rsid w:val="00A96C28"/>
    <w:rsid w:val="00A9718A"/>
    <w:rsid w:val="00AA1AFC"/>
    <w:rsid w:val="00AA6B43"/>
    <w:rsid w:val="00AA6B89"/>
    <w:rsid w:val="00AB066E"/>
    <w:rsid w:val="00AB09D8"/>
    <w:rsid w:val="00AB3D80"/>
    <w:rsid w:val="00AB6683"/>
    <w:rsid w:val="00AB6A32"/>
    <w:rsid w:val="00AC417E"/>
    <w:rsid w:val="00AC7891"/>
    <w:rsid w:val="00AC7CC9"/>
    <w:rsid w:val="00AD0E67"/>
    <w:rsid w:val="00AD25D4"/>
    <w:rsid w:val="00AD396C"/>
    <w:rsid w:val="00AD6435"/>
    <w:rsid w:val="00AE05AB"/>
    <w:rsid w:val="00AE095C"/>
    <w:rsid w:val="00AE1EB6"/>
    <w:rsid w:val="00AE2818"/>
    <w:rsid w:val="00AE4B94"/>
    <w:rsid w:val="00AE6B73"/>
    <w:rsid w:val="00AE737A"/>
    <w:rsid w:val="00AF11FC"/>
    <w:rsid w:val="00AF1C45"/>
    <w:rsid w:val="00AF3989"/>
    <w:rsid w:val="00B01911"/>
    <w:rsid w:val="00B01AF6"/>
    <w:rsid w:val="00B037F2"/>
    <w:rsid w:val="00B0646E"/>
    <w:rsid w:val="00B10714"/>
    <w:rsid w:val="00B11757"/>
    <w:rsid w:val="00B13711"/>
    <w:rsid w:val="00B14F6F"/>
    <w:rsid w:val="00B154B9"/>
    <w:rsid w:val="00B15C4A"/>
    <w:rsid w:val="00B17476"/>
    <w:rsid w:val="00B22CF8"/>
    <w:rsid w:val="00B24FA0"/>
    <w:rsid w:val="00B24FC4"/>
    <w:rsid w:val="00B3102A"/>
    <w:rsid w:val="00B31CB9"/>
    <w:rsid w:val="00B334D3"/>
    <w:rsid w:val="00B343A6"/>
    <w:rsid w:val="00B36114"/>
    <w:rsid w:val="00B37A10"/>
    <w:rsid w:val="00B37A2B"/>
    <w:rsid w:val="00B40D5F"/>
    <w:rsid w:val="00B420FE"/>
    <w:rsid w:val="00B421B2"/>
    <w:rsid w:val="00B42A83"/>
    <w:rsid w:val="00B447CB"/>
    <w:rsid w:val="00B539AD"/>
    <w:rsid w:val="00B54A8D"/>
    <w:rsid w:val="00B6370A"/>
    <w:rsid w:val="00B6512D"/>
    <w:rsid w:val="00B668F8"/>
    <w:rsid w:val="00B67F72"/>
    <w:rsid w:val="00B67FD6"/>
    <w:rsid w:val="00B772CC"/>
    <w:rsid w:val="00B77FFC"/>
    <w:rsid w:val="00B811C6"/>
    <w:rsid w:val="00B840B6"/>
    <w:rsid w:val="00B8777B"/>
    <w:rsid w:val="00B9043C"/>
    <w:rsid w:val="00B92B06"/>
    <w:rsid w:val="00BA5549"/>
    <w:rsid w:val="00BB078C"/>
    <w:rsid w:val="00BB3336"/>
    <w:rsid w:val="00BB7F04"/>
    <w:rsid w:val="00BC135C"/>
    <w:rsid w:val="00BC3BFB"/>
    <w:rsid w:val="00BC45DF"/>
    <w:rsid w:val="00BC77D6"/>
    <w:rsid w:val="00BD1BD9"/>
    <w:rsid w:val="00BD2E20"/>
    <w:rsid w:val="00BD54B5"/>
    <w:rsid w:val="00BD6119"/>
    <w:rsid w:val="00BE5857"/>
    <w:rsid w:val="00BE7741"/>
    <w:rsid w:val="00BF0809"/>
    <w:rsid w:val="00BF6785"/>
    <w:rsid w:val="00C17CF3"/>
    <w:rsid w:val="00C233FF"/>
    <w:rsid w:val="00C235BB"/>
    <w:rsid w:val="00C2794F"/>
    <w:rsid w:val="00C33B06"/>
    <w:rsid w:val="00C363FF"/>
    <w:rsid w:val="00C44B51"/>
    <w:rsid w:val="00C46073"/>
    <w:rsid w:val="00C518EB"/>
    <w:rsid w:val="00C53900"/>
    <w:rsid w:val="00C56D05"/>
    <w:rsid w:val="00C6079B"/>
    <w:rsid w:val="00C623DD"/>
    <w:rsid w:val="00C656DD"/>
    <w:rsid w:val="00C677EA"/>
    <w:rsid w:val="00C67C00"/>
    <w:rsid w:val="00C67EE4"/>
    <w:rsid w:val="00C720F4"/>
    <w:rsid w:val="00C73F39"/>
    <w:rsid w:val="00C77503"/>
    <w:rsid w:val="00C84FB2"/>
    <w:rsid w:val="00C922BA"/>
    <w:rsid w:val="00C92E8D"/>
    <w:rsid w:val="00C96BF9"/>
    <w:rsid w:val="00CA287C"/>
    <w:rsid w:val="00CA3569"/>
    <w:rsid w:val="00CB1AD6"/>
    <w:rsid w:val="00CB3E86"/>
    <w:rsid w:val="00CB4096"/>
    <w:rsid w:val="00CB5EAC"/>
    <w:rsid w:val="00CB6015"/>
    <w:rsid w:val="00CC3CF8"/>
    <w:rsid w:val="00CC3D00"/>
    <w:rsid w:val="00CC4D50"/>
    <w:rsid w:val="00CC7647"/>
    <w:rsid w:val="00CD17F3"/>
    <w:rsid w:val="00CD42D5"/>
    <w:rsid w:val="00CD4647"/>
    <w:rsid w:val="00CD4A19"/>
    <w:rsid w:val="00CE03F4"/>
    <w:rsid w:val="00CE0556"/>
    <w:rsid w:val="00CE09C1"/>
    <w:rsid w:val="00CE0BEB"/>
    <w:rsid w:val="00CE0C7E"/>
    <w:rsid w:val="00CE620D"/>
    <w:rsid w:val="00CE7C9B"/>
    <w:rsid w:val="00CF6620"/>
    <w:rsid w:val="00D01B58"/>
    <w:rsid w:val="00D01FDA"/>
    <w:rsid w:val="00D02A22"/>
    <w:rsid w:val="00D13C95"/>
    <w:rsid w:val="00D15859"/>
    <w:rsid w:val="00D1663F"/>
    <w:rsid w:val="00D17052"/>
    <w:rsid w:val="00D20AF4"/>
    <w:rsid w:val="00D22489"/>
    <w:rsid w:val="00D24CCC"/>
    <w:rsid w:val="00D26B8C"/>
    <w:rsid w:val="00D27030"/>
    <w:rsid w:val="00D312B2"/>
    <w:rsid w:val="00D3633E"/>
    <w:rsid w:val="00D41532"/>
    <w:rsid w:val="00D44EC6"/>
    <w:rsid w:val="00D528D5"/>
    <w:rsid w:val="00D559C7"/>
    <w:rsid w:val="00D55CA4"/>
    <w:rsid w:val="00D56AB2"/>
    <w:rsid w:val="00D6119D"/>
    <w:rsid w:val="00D67457"/>
    <w:rsid w:val="00D703A0"/>
    <w:rsid w:val="00D71ADD"/>
    <w:rsid w:val="00D71E63"/>
    <w:rsid w:val="00D72C48"/>
    <w:rsid w:val="00D74F09"/>
    <w:rsid w:val="00D75182"/>
    <w:rsid w:val="00D75638"/>
    <w:rsid w:val="00D76174"/>
    <w:rsid w:val="00D8144B"/>
    <w:rsid w:val="00D82ABF"/>
    <w:rsid w:val="00D875B2"/>
    <w:rsid w:val="00D905B8"/>
    <w:rsid w:val="00D96568"/>
    <w:rsid w:val="00DA3BD7"/>
    <w:rsid w:val="00DA4D5E"/>
    <w:rsid w:val="00DC0C4D"/>
    <w:rsid w:val="00DC19F2"/>
    <w:rsid w:val="00DC25A1"/>
    <w:rsid w:val="00DC272F"/>
    <w:rsid w:val="00DC2F1B"/>
    <w:rsid w:val="00DC5533"/>
    <w:rsid w:val="00DD036F"/>
    <w:rsid w:val="00DD338B"/>
    <w:rsid w:val="00DE33F9"/>
    <w:rsid w:val="00DE46E3"/>
    <w:rsid w:val="00DE4EB7"/>
    <w:rsid w:val="00DE594D"/>
    <w:rsid w:val="00DE6444"/>
    <w:rsid w:val="00DE71D7"/>
    <w:rsid w:val="00DF0AD3"/>
    <w:rsid w:val="00DF0CF2"/>
    <w:rsid w:val="00DF1115"/>
    <w:rsid w:val="00DF3612"/>
    <w:rsid w:val="00DF4938"/>
    <w:rsid w:val="00DF53A4"/>
    <w:rsid w:val="00DF5DCD"/>
    <w:rsid w:val="00DF605B"/>
    <w:rsid w:val="00E13BE9"/>
    <w:rsid w:val="00E14ADE"/>
    <w:rsid w:val="00E219AF"/>
    <w:rsid w:val="00E2278A"/>
    <w:rsid w:val="00E33F31"/>
    <w:rsid w:val="00E359F1"/>
    <w:rsid w:val="00E35CF9"/>
    <w:rsid w:val="00E41359"/>
    <w:rsid w:val="00E4213A"/>
    <w:rsid w:val="00E4240A"/>
    <w:rsid w:val="00E42E66"/>
    <w:rsid w:val="00E443F8"/>
    <w:rsid w:val="00E47E50"/>
    <w:rsid w:val="00E50E92"/>
    <w:rsid w:val="00E57057"/>
    <w:rsid w:val="00E62983"/>
    <w:rsid w:val="00E62D44"/>
    <w:rsid w:val="00E65FC8"/>
    <w:rsid w:val="00E711A3"/>
    <w:rsid w:val="00E7667A"/>
    <w:rsid w:val="00E7683E"/>
    <w:rsid w:val="00E76A16"/>
    <w:rsid w:val="00E81BA1"/>
    <w:rsid w:val="00E822D1"/>
    <w:rsid w:val="00E82381"/>
    <w:rsid w:val="00E838A5"/>
    <w:rsid w:val="00E869BE"/>
    <w:rsid w:val="00EA0543"/>
    <w:rsid w:val="00EA3188"/>
    <w:rsid w:val="00EB1F1B"/>
    <w:rsid w:val="00EB3C6A"/>
    <w:rsid w:val="00EB721C"/>
    <w:rsid w:val="00EC1F28"/>
    <w:rsid w:val="00EC360C"/>
    <w:rsid w:val="00EC3D45"/>
    <w:rsid w:val="00EC4185"/>
    <w:rsid w:val="00EC4EE0"/>
    <w:rsid w:val="00EC71DE"/>
    <w:rsid w:val="00ED262A"/>
    <w:rsid w:val="00ED27DC"/>
    <w:rsid w:val="00EE27F3"/>
    <w:rsid w:val="00EE3861"/>
    <w:rsid w:val="00EE533D"/>
    <w:rsid w:val="00EE59F9"/>
    <w:rsid w:val="00EE676E"/>
    <w:rsid w:val="00EF2937"/>
    <w:rsid w:val="00EF2E94"/>
    <w:rsid w:val="00EF6571"/>
    <w:rsid w:val="00EF7308"/>
    <w:rsid w:val="00EF79E9"/>
    <w:rsid w:val="00EF7BFE"/>
    <w:rsid w:val="00F00DE0"/>
    <w:rsid w:val="00F07EDA"/>
    <w:rsid w:val="00F1157E"/>
    <w:rsid w:val="00F1448B"/>
    <w:rsid w:val="00F16642"/>
    <w:rsid w:val="00F21B05"/>
    <w:rsid w:val="00F2289E"/>
    <w:rsid w:val="00F23D3E"/>
    <w:rsid w:val="00F26E55"/>
    <w:rsid w:val="00F27FAD"/>
    <w:rsid w:val="00F31727"/>
    <w:rsid w:val="00F31F2A"/>
    <w:rsid w:val="00F3256F"/>
    <w:rsid w:val="00F3688F"/>
    <w:rsid w:val="00F414B5"/>
    <w:rsid w:val="00F45961"/>
    <w:rsid w:val="00F54042"/>
    <w:rsid w:val="00F54EF3"/>
    <w:rsid w:val="00F61278"/>
    <w:rsid w:val="00F62AD9"/>
    <w:rsid w:val="00F64DDD"/>
    <w:rsid w:val="00F651DE"/>
    <w:rsid w:val="00F654A6"/>
    <w:rsid w:val="00F66EBF"/>
    <w:rsid w:val="00F67E57"/>
    <w:rsid w:val="00F7033F"/>
    <w:rsid w:val="00F707FE"/>
    <w:rsid w:val="00F70A47"/>
    <w:rsid w:val="00F74D12"/>
    <w:rsid w:val="00F77C35"/>
    <w:rsid w:val="00F856F9"/>
    <w:rsid w:val="00F86960"/>
    <w:rsid w:val="00F91479"/>
    <w:rsid w:val="00F92A7A"/>
    <w:rsid w:val="00F94F5A"/>
    <w:rsid w:val="00F951D7"/>
    <w:rsid w:val="00F95D8B"/>
    <w:rsid w:val="00FA406D"/>
    <w:rsid w:val="00FA47FE"/>
    <w:rsid w:val="00FA5208"/>
    <w:rsid w:val="00FB1B20"/>
    <w:rsid w:val="00FB44E4"/>
    <w:rsid w:val="00FB7105"/>
    <w:rsid w:val="00FB72DD"/>
    <w:rsid w:val="00FC21EF"/>
    <w:rsid w:val="00FD6AD9"/>
    <w:rsid w:val="00FE0E87"/>
    <w:rsid w:val="00FE172E"/>
    <w:rsid w:val="00FE4CD2"/>
    <w:rsid w:val="00FF242E"/>
    <w:rsid w:val="00FF2E26"/>
    <w:rsid w:val="00FF444B"/>
    <w:rsid w:val="00FF48CE"/>
    <w:rsid w:val="00FF4ED5"/>
    <w:rsid w:val="00FF508D"/>
    <w:rsid w:val="00FF5EF4"/>
    <w:rsid w:val="00FF6907"/>
    <w:rsid w:val="00FF73E9"/>
    <w:rsid w:val="00FF77C4"/>
    <w:rsid w:val="00FF7D7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0FEDB7"/>
  <w15:docId w15:val="{EE69655D-D5CA-4CD5-8CBD-611AA727E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E77"/>
    <w:pPr>
      <w:spacing w:after="0" w:line="240" w:lineRule="auto"/>
    </w:pPr>
    <w:rPr>
      <w:rFonts w:ascii="Times New Roman" w:hAnsi="Times New Roman" w:cs="Times New Roman"/>
      <w:sz w:val="24"/>
      <w:szCs w:val="24"/>
      <w:lang w:val="en-US"/>
    </w:rPr>
  </w:style>
  <w:style w:type="paragraph" w:styleId="Heading1">
    <w:name w:val="heading 1"/>
    <w:basedOn w:val="Normal"/>
    <w:link w:val="Heading1Char"/>
    <w:qFormat/>
    <w:rsid w:val="00224C3D"/>
    <w:pPr>
      <w:spacing w:line="450" w:lineRule="atLeast"/>
      <w:outlineLvl w:val="0"/>
    </w:pPr>
    <w:rPr>
      <w:rFonts w:eastAsia="Times New Roman"/>
      <w:kern w:val="36"/>
      <w:sz w:val="33"/>
      <w:szCs w:val="33"/>
      <w:lang w:val="en-GB" w:eastAsia="en-GB"/>
    </w:rPr>
  </w:style>
  <w:style w:type="paragraph" w:styleId="Heading2">
    <w:name w:val="heading 2"/>
    <w:basedOn w:val="Normal"/>
    <w:link w:val="Heading2Char"/>
    <w:uiPriority w:val="9"/>
    <w:qFormat/>
    <w:rsid w:val="00224C3D"/>
    <w:pPr>
      <w:spacing w:line="480" w:lineRule="atLeast"/>
      <w:outlineLvl w:val="1"/>
    </w:pPr>
    <w:rPr>
      <w:rFonts w:eastAsia="Times New Roman"/>
      <w:lang w:val="en-GB" w:eastAsia="en-GB"/>
    </w:rPr>
  </w:style>
  <w:style w:type="paragraph" w:styleId="Heading3">
    <w:name w:val="heading 3"/>
    <w:basedOn w:val="Normal"/>
    <w:next w:val="Normal"/>
    <w:link w:val="Heading3Char"/>
    <w:uiPriority w:val="9"/>
    <w:unhideWhenUsed/>
    <w:qFormat/>
    <w:rsid w:val="00413BAD"/>
    <w:pPr>
      <w:keepNext/>
      <w:keepLines/>
      <w:spacing w:before="40" w:line="259" w:lineRule="auto"/>
      <w:outlineLvl w:val="2"/>
    </w:pPr>
    <w:rPr>
      <w:rFonts w:asciiTheme="majorHAnsi" w:eastAsiaTheme="majorEastAsia" w:hAnsiTheme="majorHAnsi" w:cstheme="majorBidi"/>
      <w:color w:val="1F3763" w:themeColor="accent1" w:themeShade="7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B5865"/>
    <w:pPr>
      <w:spacing w:after="160" w:line="259" w:lineRule="auto"/>
      <w:ind w:left="720"/>
      <w:contextualSpacing/>
    </w:pPr>
    <w:rPr>
      <w:rFonts w:asciiTheme="minorHAnsi" w:hAnsiTheme="minorHAnsi" w:cstheme="minorBidi"/>
      <w:sz w:val="22"/>
      <w:szCs w:val="22"/>
      <w:lang w:val="en-GB"/>
    </w:rPr>
  </w:style>
  <w:style w:type="paragraph" w:customStyle="1" w:styleId="1Heading">
    <w:name w:val="1Heading"/>
    <w:basedOn w:val="ListParagraph"/>
    <w:qFormat/>
    <w:rsid w:val="00261BE4"/>
    <w:pPr>
      <w:numPr>
        <w:numId w:val="2"/>
      </w:numPr>
      <w:tabs>
        <w:tab w:val="num" w:pos="360"/>
      </w:tabs>
      <w:ind w:firstLine="0"/>
    </w:pPr>
  </w:style>
  <w:style w:type="character" w:customStyle="1" w:styleId="ListParagraphChar">
    <w:name w:val="List Paragraph Char"/>
    <w:basedOn w:val="DefaultParagraphFont"/>
    <w:link w:val="ListParagraph"/>
    <w:uiPriority w:val="34"/>
    <w:rsid w:val="00261BE4"/>
  </w:style>
  <w:style w:type="paragraph" w:customStyle="1" w:styleId="3Heading">
    <w:name w:val="3Heading"/>
    <w:basedOn w:val="ListParagraph"/>
    <w:qFormat/>
    <w:rsid w:val="00261BE4"/>
    <w:pPr>
      <w:numPr>
        <w:ilvl w:val="1"/>
        <w:numId w:val="2"/>
      </w:numPr>
      <w:tabs>
        <w:tab w:val="num" w:pos="360"/>
      </w:tabs>
      <w:ind w:firstLine="0"/>
    </w:pPr>
    <w:rPr>
      <w:rFonts w:cs="Arial"/>
      <w:szCs w:val="21"/>
      <w:u w:val="single"/>
    </w:rPr>
  </w:style>
  <w:style w:type="character" w:customStyle="1" w:styleId="st">
    <w:name w:val="st"/>
    <w:basedOn w:val="DefaultParagraphFont"/>
    <w:rsid w:val="00261BE4"/>
  </w:style>
  <w:style w:type="paragraph" w:styleId="FootnoteText">
    <w:name w:val="footnote text"/>
    <w:basedOn w:val="Normal"/>
    <w:link w:val="FootnoteTextChar"/>
    <w:unhideWhenUsed/>
    <w:rsid w:val="00261BE4"/>
    <w:rPr>
      <w:rFonts w:ascii="Arial" w:eastAsia="Times New Roman" w:hAnsi="Arial" w:cs="Arial"/>
      <w:sz w:val="20"/>
      <w:szCs w:val="20"/>
      <w:lang w:val="en-GB" w:eastAsia="en-GB"/>
    </w:rPr>
  </w:style>
  <w:style w:type="character" w:customStyle="1" w:styleId="FootnoteTextChar">
    <w:name w:val="Footnote Text Char"/>
    <w:basedOn w:val="DefaultParagraphFont"/>
    <w:link w:val="FootnoteText"/>
    <w:rsid w:val="00261BE4"/>
    <w:rPr>
      <w:rFonts w:ascii="Arial" w:eastAsia="Times New Roman" w:hAnsi="Arial" w:cs="Arial"/>
      <w:sz w:val="20"/>
      <w:szCs w:val="20"/>
      <w:lang w:eastAsia="en-GB"/>
    </w:rPr>
  </w:style>
  <w:style w:type="character" w:styleId="FootnoteReference">
    <w:name w:val="footnote reference"/>
    <w:basedOn w:val="DefaultParagraphFont"/>
    <w:unhideWhenUsed/>
    <w:rsid w:val="00261BE4"/>
    <w:rPr>
      <w:vertAlign w:val="superscript"/>
    </w:rPr>
  </w:style>
  <w:style w:type="character" w:styleId="Emphasis">
    <w:name w:val="Emphasis"/>
    <w:basedOn w:val="DefaultParagraphFont"/>
    <w:uiPriority w:val="20"/>
    <w:qFormat/>
    <w:rsid w:val="00261BE4"/>
    <w:rPr>
      <w:i/>
      <w:iCs/>
    </w:rPr>
  </w:style>
  <w:style w:type="paragraph" w:customStyle="1" w:styleId="2Heading">
    <w:name w:val="2Heading"/>
    <w:basedOn w:val="Normal"/>
    <w:link w:val="2HeadingChar"/>
    <w:qFormat/>
    <w:rsid w:val="00261BE4"/>
    <w:pPr>
      <w:spacing w:after="160" w:line="259" w:lineRule="auto"/>
      <w:ind w:firstLine="720"/>
    </w:pPr>
    <w:rPr>
      <w:rFonts w:asciiTheme="minorHAnsi" w:hAnsiTheme="minorHAnsi" w:cstheme="minorBidi"/>
      <w:i/>
      <w:sz w:val="22"/>
      <w:szCs w:val="22"/>
      <w:lang w:val="en-GB"/>
    </w:rPr>
  </w:style>
  <w:style w:type="character" w:customStyle="1" w:styleId="2HeadingChar">
    <w:name w:val="2Heading Char"/>
    <w:basedOn w:val="DefaultParagraphFont"/>
    <w:link w:val="2Heading"/>
    <w:rsid w:val="00261BE4"/>
    <w:rPr>
      <w:i/>
    </w:rPr>
  </w:style>
  <w:style w:type="character" w:styleId="Hyperlink">
    <w:name w:val="Hyperlink"/>
    <w:basedOn w:val="DefaultParagraphFont"/>
    <w:uiPriority w:val="99"/>
    <w:unhideWhenUsed/>
    <w:rsid w:val="00704699"/>
    <w:rPr>
      <w:color w:val="0563C1" w:themeColor="hyperlink"/>
      <w:u w:val="single"/>
    </w:rPr>
  </w:style>
  <w:style w:type="character" w:styleId="CommentReference">
    <w:name w:val="annotation reference"/>
    <w:basedOn w:val="DefaultParagraphFont"/>
    <w:semiHidden/>
    <w:unhideWhenUsed/>
    <w:rsid w:val="00194213"/>
    <w:rPr>
      <w:sz w:val="16"/>
      <w:szCs w:val="16"/>
    </w:rPr>
  </w:style>
  <w:style w:type="paragraph" w:styleId="CommentText">
    <w:name w:val="annotation text"/>
    <w:basedOn w:val="Normal"/>
    <w:link w:val="CommentTextChar"/>
    <w:unhideWhenUsed/>
    <w:rsid w:val="00194213"/>
    <w:pPr>
      <w:spacing w:after="160"/>
    </w:pPr>
    <w:rPr>
      <w:rFonts w:asciiTheme="minorHAnsi" w:hAnsiTheme="minorHAnsi" w:cstheme="minorBidi"/>
      <w:sz w:val="20"/>
      <w:szCs w:val="20"/>
      <w:lang w:val="en-GB"/>
    </w:rPr>
  </w:style>
  <w:style w:type="character" w:customStyle="1" w:styleId="CommentTextChar">
    <w:name w:val="Comment Text Char"/>
    <w:basedOn w:val="DefaultParagraphFont"/>
    <w:link w:val="CommentText"/>
    <w:rsid w:val="00194213"/>
    <w:rPr>
      <w:sz w:val="20"/>
      <w:szCs w:val="20"/>
    </w:rPr>
  </w:style>
  <w:style w:type="paragraph" w:styleId="BalloonText">
    <w:name w:val="Balloon Text"/>
    <w:basedOn w:val="Normal"/>
    <w:link w:val="BalloonTextChar"/>
    <w:uiPriority w:val="99"/>
    <w:semiHidden/>
    <w:unhideWhenUsed/>
    <w:rsid w:val="00194213"/>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194213"/>
    <w:rPr>
      <w:rFonts w:ascii="Segoe UI" w:hAnsi="Segoe UI" w:cs="Segoe UI"/>
      <w:sz w:val="18"/>
      <w:szCs w:val="18"/>
    </w:rPr>
  </w:style>
  <w:style w:type="table" w:styleId="TableGrid">
    <w:name w:val="Table Grid"/>
    <w:basedOn w:val="TableNormal"/>
    <w:uiPriority w:val="39"/>
    <w:rsid w:val="00691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TableStyle">
    <w:name w:val="4TableStyle"/>
    <w:basedOn w:val="ListParagraph"/>
    <w:qFormat/>
    <w:rsid w:val="006913DD"/>
    <w:pPr>
      <w:spacing w:line="276" w:lineRule="auto"/>
    </w:pPr>
    <w:rPr>
      <w:rFonts w:ascii="Arial" w:hAnsi="Arial" w:cs="Arial"/>
    </w:rPr>
  </w:style>
  <w:style w:type="paragraph" w:styleId="Header">
    <w:name w:val="header"/>
    <w:basedOn w:val="Normal"/>
    <w:link w:val="HeaderChar"/>
    <w:uiPriority w:val="99"/>
    <w:unhideWhenUsed/>
    <w:rsid w:val="000054F7"/>
    <w:pPr>
      <w:tabs>
        <w:tab w:val="center" w:pos="4513"/>
        <w:tab w:val="right" w:pos="9026"/>
      </w:tabs>
    </w:pPr>
    <w:rPr>
      <w:rFonts w:asciiTheme="minorHAnsi" w:hAnsiTheme="minorHAnsi" w:cstheme="minorBidi"/>
      <w:sz w:val="22"/>
      <w:szCs w:val="22"/>
      <w:lang w:val="en-GB"/>
    </w:rPr>
  </w:style>
  <w:style w:type="character" w:customStyle="1" w:styleId="HeaderChar">
    <w:name w:val="Header Char"/>
    <w:basedOn w:val="DefaultParagraphFont"/>
    <w:link w:val="Header"/>
    <w:uiPriority w:val="99"/>
    <w:rsid w:val="000054F7"/>
  </w:style>
  <w:style w:type="paragraph" w:styleId="Footer">
    <w:name w:val="footer"/>
    <w:basedOn w:val="Normal"/>
    <w:link w:val="FooterChar"/>
    <w:uiPriority w:val="99"/>
    <w:unhideWhenUsed/>
    <w:rsid w:val="000054F7"/>
    <w:pPr>
      <w:tabs>
        <w:tab w:val="center" w:pos="4513"/>
        <w:tab w:val="right" w:pos="9026"/>
      </w:tabs>
    </w:pPr>
    <w:rPr>
      <w:rFonts w:asciiTheme="minorHAnsi" w:hAnsiTheme="minorHAnsi" w:cstheme="minorBidi"/>
      <w:sz w:val="22"/>
      <w:szCs w:val="22"/>
      <w:lang w:val="en-GB"/>
    </w:rPr>
  </w:style>
  <w:style w:type="character" w:customStyle="1" w:styleId="FooterChar">
    <w:name w:val="Footer Char"/>
    <w:basedOn w:val="DefaultParagraphFont"/>
    <w:link w:val="Footer"/>
    <w:uiPriority w:val="99"/>
    <w:rsid w:val="000054F7"/>
  </w:style>
  <w:style w:type="paragraph" w:styleId="CommentSubject">
    <w:name w:val="annotation subject"/>
    <w:basedOn w:val="CommentText"/>
    <w:next w:val="CommentText"/>
    <w:link w:val="CommentSubjectChar"/>
    <w:uiPriority w:val="99"/>
    <w:semiHidden/>
    <w:unhideWhenUsed/>
    <w:rsid w:val="004F3BB4"/>
    <w:rPr>
      <w:b/>
      <w:bCs/>
    </w:rPr>
  </w:style>
  <w:style w:type="character" w:customStyle="1" w:styleId="CommentSubjectChar">
    <w:name w:val="Comment Subject Char"/>
    <w:basedOn w:val="CommentTextChar"/>
    <w:link w:val="CommentSubject"/>
    <w:uiPriority w:val="99"/>
    <w:semiHidden/>
    <w:rsid w:val="004F3BB4"/>
    <w:rPr>
      <w:b/>
      <w:bCs/>
      <w:sz w:val="20"/>
      <w:szCs w:val="20"/>
    </w:rPr>
  </w:style>
  <w:style w:type="paragraph" w:styleId="EndnoteText">
    <w:name w:val="endnote text"/>
    <w:basedOn w:val="Normal"/>
    <w:link w:val="EndnoteTextChar"/>
    <w:uiPriority w:val="99"/>
    <w:semiHidden/>
    <w:unhideWhenUsed/>
    <w:rsid w:val="00F66EBF"/>
    <w:rPr>
      <w:sz w:val="20"/>
      <w:szCs w:val="20"/>
    </w:rPr>
  </w:style>
  <w:style w:type="character" w:customStyle="1" w:styleId="EndnoteTextChar">
    <w:name w:val="Endnote Text Char"/>
    <w:basedOn w:val="DefaultParagraphFont"/>
    <w:link w:val="EndnoteText"/>
    <w:uiPriority w:val="99"/>
    <w:semiHidden/>
    <w:rsid w:val="00F66EBF"/>
    <w:rPr>
      <w:sz w:val="20"/>
      <w:szCs w:val="20"/>
    </w:rPr>
  </w:style>
  <w:style w:type="character" w:styleId="EndnoteReference">
    <w:name w:val="endnote reference"/>
    <w:basedOn w:val="DefaultParagraphFont"/>
    <w:uiPriority w:val="99"/>
    <w:semiHidden/>
    <w:unhideWhenUsed/>
    <w:rsid w:val="00F66EBF"/>
    <w:rPr>
      <w:vertAlign w:val="superscript"/>
    </w:rPr>
  </w:style>
  <w:style w:type="character" w:styleId="FollowedHyperlink">
    <w:name w:val="FollowedHyperlink"/>
    <w:basedOn w:val="DefaultParagraphFont"/>
    <w:uiPriority w:val="99"/>
    <w:semiHidden/>
    <w:unhideWhenUsed/>
    <w:rsid w:val="00AD6435"/>
    <w:rPr>
      <w:color w:val="954F72" w:themeColor="followedHyperlink"/>
      <w:u w:val="single"/>
    </w:rPr>
  </w:style>
  <w:style w:type="character" w:customStyle="1" w:styleId="title4">
    <w:name w:val="title4"/>
    <w:basedOn w:val="DefaultParagraphFont"/>
    <w:rsid w:val="004B6AB2"/>
    <w:rPr>
      <w:rFonts w:ascii="Georgia" w:hAnsi="Georgia" w:hint="default"/>
      <w:b/>
      <w:bCs/>
      <w:sz w:val="21"/>
      <w:szCs w:val="21"/>
    </w:rPr>
  </w:style>
  <w:style w:type="character" w:customStyle="1" w:styleId="pipedivider1">
    <w:name w:val="pipedivider1"/>
    <w:basedOn w:val="DefaultParagraphFont"/>
    <w:rsid w:val="004B6AB2"/>
    <w:rPr>
      <w:color w:val="474747"/>
    </w:rPr>
  </w:style>
  <w:style w:type="character" w:customStyle="1" w:styleId="Heading1Char">
    <w:name w:val="Heading 1 Char"/>
    <w:basedOn w:val="DefaultParagraphFont"/>
    <w:link w:val="Heading1"/>
    <w:rsid w:val="00224C3D"/>
    <w:rPr>
      <w:rFonts w:ascii="Times New Roman" w:eastAsia="Times New Roman" w:hAnsi="Times New Roman" w:cs="Times New Roman"/>
      <w:kern w:val="36"/>
      <w:sz w:val="33"/>
      <w:szCs w:val="33"/>
      <w:lang w:eastAsia="en-GB"/>
    </w:rPr>
  </w:style>
  <w:style w:type="character" w:customStyle="1" w:styleId="Heading2Char">
    <w:name w:val="Heading 2 Char"/>
    <w:basedOn w:val="DefaultParagraphFont"/>
    <w:link w:val="Heading2"/>
    <w:uiPriority w:val="9"/>
    <w:rsid w:val="00224C3D"/>
    <w:rPr>
      <w:rFonts w:ascii="Times New Roman" w:eastAsia="Times New Roman" w:hAnsi="Times New Roman" w:cs="Times New Roman"/>
      <w:sz w:val="24"/>
      <w:szCs w:val="24"/>
      <w:lang w:eastAsia="en-GB"/>
    </w:rPr>
  </w:style>
  <w:style w:type="character" w:customStyle="1" w:styleId="size-m">
    <w:name w:val="size-m"/>
    <w:basedOn w:val="DefaultParagraphFont"/>
    <w:rsid w:val="00224C3D"/>
    <w:rPr>
      <w:sz w:val="20"/>
      <w:szCs w:val="20"/>
    </w:rPr>
  </w:style>
  <w:style w:type="character" w:customStyle="1" w:styleId="size-xl">
    <w:name w:val="size-xl"/>
    <w:basedOn w:val="DefaultParagraphFont"/>
    <w:rsid w:val="00224C3D"/>
    <w:rPr>
      <w:sz w:val="30"/>
      <w:szCs w:val="30"/>
    </w:rPr>
  </w:style>
  <w:style w:type="character" w:customStyle="1" w:styleId="title-text">
    <w:name w:val="title-text"/>
    <w:basedOn w:val="DefaultParagraphFont"/>
    <w:rsid w:val="00224C3D"/>
  </w:style>
  <w:style w:type="character" w:customStyle="1" w:styleId="sr-only1">
    <w:name w:val="sr-only1"/>
    <w:basedOn w:val="DefaultParagraphFont"/>
    <w:rsid w:val="00224C3D"/>
    <w:rPr>
      <w:bdr w:val="none" w:sz="0" w:space="0" w:color="auto" w:frame="1"/>
    </w:rPr>
  </w:style>
  <w:style w:type="character" w:customStyle="1" w:styleId="text2">
    <w:name w:val="text2"/>
    <w:basedOn w:val="DefaultParagraphFont"/>
    <w:rsid w:val="00224C3D"/>
  </w:style>
  <w:style w:type="paragraph" w:styleId="Revision">
    <w:name w:val="Revision"/>
    <w:hidden/>
    <w:uiPriority w:val="99"/>
    <w:semiHidden/>
    <w:rsid w:val="00413BAD"/>
    <w:pPr>
      <w:spacing w:after="0" w:line="240" w:lineRule="auto"/>
    </w:pPr>
  </w:style>
  <w:style w:type="character" w:customStyle="1" w:styleId="Heading3Char">
    <w:name w:val="Heading 3 Char"/>
    <w:basedOn w:val="DefaultParagraphFont"/>
    <w:link w:val="Heading3"/>
    <w:uiPriority w:val="9"/>
    <w:rsid w:val="00413BAD"/>
    <w:rPr>
      <w:rFonts w:asciiTheme="majorHAnsi" w:eastAsiaTheme="majorEastAsia" w:hAnsiTheme="majorHAnsi" w:cstheme="majorBidi"/>
      <w:color w:val="1F3763" w:themeColor="accent1" w:themeShade="7F"/>
      <w:sz w:val="24"/>
      <w:szCs w:val="24"/>
    </w:rPr>
  </w:style>
  <w:style w:type="paragraph" w:customStyle="1" w:styleId="Authornames">
    <w:name w:val="Author names"/>
    <w:basedOn w:val="Normal"/>
    <w:next w:val="Normal"/>
    <w:qFormat/>
    <w:rsid w:val="00413BAD"/>
    <w:pPr>
      <w:spacing w:before="240" w:line="360" w:lineRule="auto"/>
    </w:pPr>
    <w:rPr>
      <w:rFonts w:eastAsia="Times New Roman"/>
      <w:sz w:val="28"/>
      <w:lang w:val="en-GB" w:eastAsia="en-GB"/>
    </w:rPr>
  </w:style>
  <w:style w:type="paragraph" w:customStyle="1" w:styleId="Affiliation">
    <w:name w:val="Affiliation"/>
    <w:basedOn w:val="Normal"/>
    <w:qFormat/>
    <w:rsid w:val="00413BAD"/>
    <w:pPr>
      <w:spacing w:before="240" w:line="360" w:lineRule="auto"/>
    </w:pPr>
    <w:rPr>
      <w:rFonts w:eastAsia="Times New Roman"/>
      <w:i/>
      <w:lang w:val="en-GB" w:eastAsia="en-GB"/>
    </w:rPr>
  </w:style>
  <w:style w:type="paragraph" w:customStyle="1" w:styleId="Abstract">
    <w:name w:val="Abstract"/>
    <w:basedOn w:val="Normal"/>
    <w:next w:val="Keywords"/>
    <w:qFormat/>
    <w:rsid w:val="00413BAD"/>
    <w:pPr>
      <w:spacing w:before="360" w:after="300" w:line="360" w:lineRule="auto"/>
      <w:ind w:left="720" w:right="567"/>
    </w:pPr>
    <w:rPr>
      <w:rFonts w:eastAsia="Times New Roman"/>
      <w:sz w:val="22"/>
      <w:lang w:val="en-GB" w:eastAsia="en-GB"/>
    </w:rPr>
  </w:style>
  <w:style w:type="paragraph" w:customStyle="1" w:styleId="Keywords">
    <w:name w:val="Keywords"/>
    <w:basedOn w:val="Normal"/>
    <w:next w:val="Paragraph"/>
    <w:qFormat/>
    <w:rsid w:val="00413BAD"/>
    <w:pPr>
      <w:spacing w:before="240" w:after="240" w:line="360" w:lineRule="auto"/>
      <w:ind w:left="720" w:right="567"/>
    </w:pPr>
    <w:rPr>
      <w:rFonts w:eastAsia="Times New Roman"/>
      <w:sz w:val="22"/>
      <w:lang w:val="en-GB" w:eastAsia="en-GB"/>
    </w:rPr>
  </w:style>
  <w:style w:type="paragraph" w:customStyle="1" w:styleId="Correspondencedetails">
    <w:name w:val="Correspondence details"/>
    <w:basedOn w:val="Normal"/>
    <w:qFormat/>
    <w:rsid w:val="00413BAD"/>
    <w:pPr>
      <w:spacing w:before="240" w:line="360" w:lineRule="auto"/>
    </w:pPr>
    <w:rPr>
      <w:rFonts w:eastAsia="Times New Roman"/>
      <w:lang w:val="en-GB" w:eastAsia="en-GB"/>
    </w:rPr>
  </w:style>
  <w:style w:type="paragraph" w:customStyle="1" w:styleId="Displayedquotation">
    <w:name w:val="Displayed quotation"/>
    <w:basedOn w:val="Normal"/>
    <w:qFormat/>
    <w:rsid w:val="00413BAD"/>
    <w:pPr>
      <w:tabs>
        <w:tab w:val="left" w:pos="1077"/>
        <w:tab w:val="left" w:pos="1440"/>
        <w:tab w:val="left" w:pos="1797"/>
        <w:tab w:val="left" w:pos="2155"/>
        <w:tab w:val="left" w:pos="2512"/>
      </w:tabs>
      <w:spacing w:before="240" w:after="360" w:line="360" w:lineRule="auto"/>
      <w:ind w:left="709" w:right="425"/>
      <w:contextualSpacing/>
    </w:pPr>
    <w:rPr>
      <w:rFonts w:eastAsia="Times New Roman"/>
      <w:sz w:val="22"/>
      <w:lang w:val="en-GB" w:eastAsia="en-GB"/>
    </w:rPr>
  </w:style>
  <w:style w:type="paragraph" w:customStyle="1" w:styleId="Numberedlist">
    <w:name w:val="Numbered list"/>
    <w:basedOn w:val="Paragraph"/>
    <w:next w:val="Paragraph"/>
    <w:qFormat/>
    <w:rsid w:val="00413BAD"/>
    <w:pPr>
      <w:widowControl/>
      <w:numPr>
        <w:numId w:val="13"/>
      </w:numPr>
      <w:spacing w:after="240"/>
      <w:contextualSpacing/>
    </w:pPr>
  </w:style>
  <w:style w:type="paragraph" w:customStyle="1" w:styleId="Displayedequation">
    <w:name w:val="Displayed equation"/>
    <w:basedOn w:val="Normal"/>
    <w:next w:val="Paragraph"/>
    <w:qFormat/>
    <w:rsid w:val="00413BAD"/>
    <w:pPr>
      <w:tabs>
        <w:tab w:val="center" w:pos="4253"/>
        <w:tab w:val="right" w:pos="8222"/>
      </w:tabs>
      <w:spacing w:before="240" w:after="240" w:line="480" w:lineRule="auto"/>
      <w:jc w:val="center"/>
    </w:pPr>
    <w:rPr>
      <w:rFonts w:eastAsia="Times New Roman"/>
      <w:lang w:val="en-GB" w:eastAsia="en-GB"/>
    </w:rPr>
  </w:style>
  <w:style w:type="paragraph" w:customStyle="1" w:styleId="Acknowledgements">
    <w:name w:val="Acknowledgements"/>
    <w:basedOn w:val="Normal"/>
    <w:next w:val="Normal"/>
    <w:qFormat/>
    <w:rsid w:val="00413BAD"/>
    <w:pPr>
      <w:spacing w:before="120" w:line="360" w:lineRule="auto"/>
    </w:pPr>
    <w:rPr>
      <w:rFonts w:eastAsia="Times New Roman"/>
      <w:sz w:val="22"/>
      <w:lang w:val="en-GB" w:eastAsia="en-GB"/>
    </w:rPr>
  </w:style>
  <w:style w:type="paragraph" w:customStyle="1" w:styleId="Tabletitle">
    <w:name w:val="Table title"/>
    <w:basedOn w:val="Normal"/>
    <w:next w:val="Normal"/>
    <w:qFormat/>
    <w:rsid w:val="00413BAD"/>
    <w:pPr>
      <w:spacing w:before="240" w:line="360" w:lineRule="auto"/>
    </w:pPr>
    <w:rPr>
      <w:rFonts w:eastAsia="Times New Roman"/>
      <w:lang w:val="en-GB" w:eastAsia="en-GB"/>
    </w:rPr>
  </w:style>
  <w:style w:type="paragraph" w:customStyle="1" w:styleId="Figurecaption">
    <w:name w:val="Figure caption"/>
    <w:basedOn w:val="Normal"/>
    <w:next w:val="Normal"/>
    <w:qFormat/>
    <w:rsid w:val="00413BAD"/>
    <w:pPr>
      <w:spacing w:before="240" w:line="360" w:lineRule="auto"/>
    </w:pPr>
    <w:rPr>
      <w:rFonts w:eastAsia="Times New Roman"/>
      <w:lang w:val="en-GB" w:eastAsia="en-GB"/>
    </w:rPr>
  </w:style>
  <w:style w:type="paragraph" w:customStyle="1" w:styleId="Footnotes">
    <w:name w:val="Footnotes"/>
    <w:basedOn w:val="Normal"/>
    <w:qFormat/>
    <w:rsid w:val="00413BAD"/>
    <w:pPr>
      <w:spacing w:before="120" w:line="360" w:lineRule="auto"/>
      <w:ind w:left="482" w:hanging="482"/>
      <w:contextualSpacing/>
    </w:pPr>
    <w:rPr>
      <w:rFonts w:eastAsia="Times New Roman"/>
      <w:sz w:val="22"/>
      <w:lang w:val="en-GB" w:eastAsia="en-GB"/>
    </w:rPr>
  </w:style>
  <w:style w:type="paragraph" w:customStyle="1" w:styleId="Notesoncontributors">
    <w:name w:val="Notes on contributors"/>
    <w:basedOn w:val="Normal"/>
    <w:qFormat/>
    <w:rsid w:val="00413BAD"/>
    <w:pPr>
      <w:spacing w:before="240" w:line="360" w:lineRule="auto"/>
    </w:pPr>
    <w:rPr>
      <w:rFonts w:eastAsia="Times New Roman"/>
      <w:sz w:val="22"/>
      <w:lang w:val="en-GB" w:eastAsia="en-GB"/>
    </w:rPr>
  </w:style>
  <w:style w:type="paragraph" w:customStyle="1" w:styleId="Paragraph">
    <w:name w:val="Paragraph"/>
    <w:basedOn w:val="Normal"/>
    <w:next w:val="Newparagraph"/>
    <w:qFormat/>
    <w:rsid w:val="00413BAD"/>
    <w:pPr>
      <w:widowControl w:val="0"/>
      <w:spacing w:before="240" w:line="480" w:lineRule="auto"/>
    </w:pPr>
    <w:rPr>
      <w:rFonts w:eastAsia="Times New Roman"/>
      <w:lang w:val="en-GB" w:eastAsia="en-GB"/>
    </w:rPr>
  </w:style>
  <w:style w:type="paragraph" w:customStyle="1" w:styleId="Newparagraph">
    <w:name w:val="New paragraph"/>
    <w:basedOn w:val="Normal"/>
    <w:qFormat/>
    <w:rsid w:val="00413BAD"/>
    <w:pPr>
      <w:spacing w:line="480" w:lineRule="auto"/>
      <w:ind w:firstLine="720"/>
    </w:pPr>
    <w:rPr>
      <w:rFonts w:eastAsia="Times New Roman"/>
      <w:lang w:val="en-GB" w:eastAsia="en-GB"/>
    </w:rPr>
  </w:style>
  <w:style w:type="paragraph" w:customStyle="1" w:styleId="References">
    <w:name w:val="References"/>
    <w:basedOn w:val="Normal"/>
    <w:qFormat/>
    <w:rsid w:val="00413BAD"/>
    <w:pPr>
      <w:spacing w:before="120" w:line="360" w:lineRule="auto"/>
      <w:ind w:left="720" w:hanging="720"/>
      <w:contextualSpacing/>
    </w:pPr>
    <w:rPr>
      <w:rFonts w:eastAsia="Times New Roman"/>
      <w:lang w:val="en-GB" w:eastAsia="en-GB"/>
    </w:rPr>
  </w:style>
  <w:style w:type="paragraph" w:customStyle="1" w:styleId="Subjectcodes">
    <w:name w:val="Subject codes"/>
    <w:basedOn w:val="Keywords"/>
    <w:next w:val="Paragraph"/>
    <w:qFormat/>
    <w:rsid w:val="00413BAD"/>
  </w:style>
  <w:style w:type="paragraph" w:customStyle="1" w:styleId="Bulletedlist">
    <w:name w:val="Bulleted list"/>
    <w:basedOn w:val="Paragraph"/>
    <w:next w:val="Paragraph"/>
    <w:qFormat/>
    <w:rsid w:val="00413BAD"/>
    <w:pPr>
      <w:widowControl/>
      <w:numPr>
        <w:numId w:val="14"/>
      </w:numPr>
      <w:spacing w:after="240"/>
      <w:contextualSpacing/>
    </w:pPr>
  </w:style>
  <w:style w:type="paragraph" w:customStyle="1" w:styleId="Heading4Paragraph">
    <w:name w:val="Heading 4 + Paragraph"/>
    <w:basedOn w:val="Paragraph"/>
    <w:next w:val="Newparagraph"/>
    <w:qFormat/>
    <w:rsid w:val="00413BAD"/>
    <w:pPr>
      <w:widowControl/>
      <w:spacing w:before="360"/>
    </w:pPr>
  </w:style>
  <w:style w:type="paragraph" w:styleId="NormalWeb">
    <w:name w:val="Normal (Web)"/>
    <w:basedOn w:val="Normal"/>
    <w:uiPriority w:val="99"/>
    <w:semiHidden/>
    <w:unhideWhenUsed/>
    <w:rsid w:val="00DF4938"/>
    <w:pPr>
      <w:spacing w:before="100" w:beforeAutospacing="1" w:after="100" w:afterAutospacing="1"/>
    </w:pPr>
    <w:rPr>
      <w:rFonts w:eastAsia="Times New Roman"/>
      <w:lang w:eastAsia="en-GB"/>
    </w:rPr>
  </w:style>
  <w:style w:type="character" w:customStyle="1" w:styleId="st1">
    <w:name w:val="st1"/>
    <w:basedOn w:val="DefaultParagraphFont"/>
    <w:rsid w:val="0029268E"/>
  </w:style>
  <w:style w:type="character" w:customStyle="1" w:styleId="nlmarticle-title">
    <w:name w:val="nlm_article-title"/>
    <w:basedOn w:val="DefaultParagraphFont"/>
    <w:rsid w:val="00824C2E"/>
  </w:style>
  <w:style w:type="character" w:customStyle="1" w:styleId="contribdegrees2">
    <w:name w:val="contribdegrees2"/>
    <w:basedOn w:val="DefaultParagraphFont"/>
    <w:rsid w:val="00824C2E"/>
  </w:style>
  <w:style w:type="character" w:customStyle="1" w:styleId="overlay2">
    <w:name w:val="overlay2"/>
    <w:basedOn w:val="DefaultParagraphFont"/>
    <w:rsid w:val="00824C2E"/>
    <w:rPr>
      <w:vanish/>
      <w:webHidden w:val="0"/>
      <w:specVanish w:val="0"/>
    </w:rPr>
  </w:style>
  <w:style w:type="character" w:customStyle="1" w:styleId="heading">
    <w:name w:val="heading"/>
    <w:basedOn w:val="DefaultParagraphFont"/>
    <w:rsid w:val="00824C2E"/>
  </w:style>
  <w:style w:type="character" w:customStyle="1" w:styleId="corr-email">
    <w:name w:val="corr-email"/>
    <w:basedOn w:val="DefaultParagraphFont"/>
    <w:rsid w:val="00824C2E"/>
  </w:style>
  <w:style w:type="character" w:customStyle="1" w:styleId="contentitempagerange3">
    <w:name w:val="contentitempagerange3"/>
    <w:basedOn w:val="DefaultParagraphFont"/>
    <w:rsid w:val="00824C2E"/>
  </w:style>
  <w:style w:type="character" w:customStyle="1" w:styleId="txt">
    <w:name w:val="txt"/>
    <w:basedOn w:val="DefaultParagraphFont"/>
    <w:rsid w:val="006734F0"/>
  </w:style>
  <w:style w:type="paragraph" w:customStyle="1" w:styleId="pagecontents">
    <w:name w:val="pagecontents"/>
    <w:basedOn w:val="Normal"/>
    <w:rsid w:val="008C6B62"/>
    <w:rPr>
      <w:rFonts w:ascii="Verdana" w:eastAsia="Times New Roman" w:hAnsi="Verdana"/>
      <w:color w:val="000000"/>
      <w:sz w:val="17"/>
      <w:szCs w:val="17"/>
      <w:lang w:val="en-GB" w:eastAsia="en-GB"/>
    </w:rPr>
  </w:style>
  <w:style w:type="paragraph" w:customStyle="1" w:styleId="Heading31">
    <w:name w:val="Heading 31"/>
    <w:basedOn w:val="Normal"/>
    <w:rsid w:val="000F294A"/>
    <w:pPr>
      <w:spacing w:after="120"/>
      <w:ind w:right="240"/>
      <w:outlineLvl w:val="3"/>
    </w:pPr>
    <w:rPr>
      <w:rFonts w:ascii="Georgia" w:eastAsia="Times New Roman" w:hAnsi="Georgia"/>
      <w:sz w:val="27"/>
      <w:szCs w:val="27"/>
      <w:lang w:val="en-GB" w:eastAsia="en-GB"/>
    </w:rPr>
  </w:style>
  <w:style w:type="character" w:customStyle="1" w:styleId="expandable-author">
    <w:name w:val="expandable-author"/>
    <w:basedOn w:val="DefaultParagraphFont"/>
    <w:rsid w:val="00D01FDA"/>
  </w:style>
  <w:style w:type="character" w:customStyle="1" w:styleId="contribdegrees5">
    <w:name w:val="contribdegrees5"/>
    <w:basedOn w:val="DefaultParagraphFont"/>
    <w:rsid w:val="00D01FDA"/>
  </w:style>
  <w:style w:type="character" w:customStyle="1" w:styleId="nlmxref-aff2">
    <w:name w:val="nlm_xref-aff2"/>
    <w:basedOn w:val="DefaultParagraphFont"/>
    <w:rsid w:val="00D01FDA"/>
    <w:rPr>
      <w:vanish/>
      <w:webHidden w:val="0"/>
      <w:specVanish w:val="0"/>
    </w:rPr>
  </w:style>
  <w:style w:type="character" w:customStyle="1" w:styleId="bibliographic-informationvalue1">
    <w:name w:val="bibliographic-information__value1"/>
    <w:basedOn w:val="DefaultParagraphFont"/>
    <w:rsid w:val="00C233FF"/>
    <w:rPr>
      <w:vanish w:val="0"/>
      <w:webHidden w:val="0"/>
      <w:specVanish w:val="0"/>
    </w:rPr>
  </w:style>
  <w:style w:type="paragraph" w:styleId="HTMLAddress">
    <w:name w:val="HTML Address"/>
    <w:basedOn w:val="Normal"/>
    <w:link w:val="HTMLAddressChar"/>
    <w:uiPriority w:val="99"/>
    <w:semiHidden/>
    <w:unhideWhenUsed/>
    <w:rsid w:val="00C67EE4"/>
    <w:rPr>
      <w:rFonts w:eastAsia="Times New Roman"/>
      <w:i/>
      <w:iCs/>
      <w:lang w:eastAsia="en-GB"/>
    </w:rPr>
  </w:style>
  <w:style w:type="character" w:customStyle="1" w:styleId="HTMLAddressChar">
    <w:name w:val="HTML Address Char"/>
    <w:basedOn w:val="DefaultParagraphFont"/>
    <w:link w:val="HTMLAddress"/>
    <w:uiPriority w:val="99"/>
    <w:semiHidden/>
    <w:rsid w:val="00C67EE4"/>
    <w:rPr>
      <w:rFonts w:ascii="Times New Roman" w:eastAsia="Times New Roman" w:hAnsi="Times New Roman" w:cs="Times New Roman"/>
      <w:i/>
      <w:iCs/>
      <w:sz w:val="24"/>
      <w:szCs w:val="24"/>
      <w:lang w:eastAsia="en-GB"/>
    </w:rPr>
  </w:style>
  <w:style w:type="character" w:customStyle="1" w:styleId="authorsname">
    <w:name w:val="authors__name"/>
    <w:basedOn w:val="DefaultParagraphFont"/>
    <w:rsid w:val="00C67EE4"/>
  </w:style>
  <w:style w:type="paragraph" w:customStyle="1" w:styleId="icon--meta-keyline-before1">
    <w:name w:val="icon--meta-keyline-before1"/>
    <w:basedOn w:val="Normal"/>
    <w:rsid w:val="00C67EE4"/>
    <w:rPr>
      <w:rFonts w:eastAsia="Times New Roman"/>
      <w:lang w:val="en-GB" w:eastAsia="en-GB"/>
    </w:rPr>
  </w:style>
  <w:style w:type="character" w:customStyle="1" w:styleId="journaltitle2">
    <w:name w:val="journaltitle2"/>
    <w:basedOn w:val="DefaultParagraphFont"/>
    <w:rsid w:val="00C67EE4"/>
  </w:style>
  <w:style w:type="character" w:customStyle="1" w:styleId="articlecitationpages">
    <w:name w:val="articlecitation_pages"/>
    <w:basedOn w:val="DefaultParagraphFont"/>
    <w:rsid w:val="00C67EE4"/>
  </w:style>
  <w:style w:type="character" w:customStyle="1" w:styleId="specialtitle">
    <w:name w:val="specialtitle"/>
    <w:basedOn w:val="DefaultParagraphFont"/>
    <w:rsid w:val="00C67EE4"/>
  </w:style>
  <w:style w:type="character" w:styleId="Strong">
    <w:name w:val="Strong"/>
    <w:basedOn w:val="DefaultParagraphFont"/>
    <w:uiPriority w:val="22"/>
    <w:qFormat/>
    <w:rsid w:val="007818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76162">
      <w:bodyDiv w:val="1"/>
      <w:marLeft w:val="0"/>
      <w:marRight w:val="0"/>
      <w:marTop w:val="0"/>
      <w:marBottom w:val="0"/>
      <w:divBdr>
        <w:top w:val="none" w:sz="0" w:space="0" w:color="auto"/>
        <w:left w:val="none" w:sz="0" w:space="0" w:color="auto"/>
        <w:bottom w:val="none" w:sz="0" w:space="0" w:color="auto"/>
        <w:right w:val="none" w:sz="0" w:space="0" w:color="auto"/>
      </w:divBdr>
      <w:divsChild>
        <w:div w:id="1816071539">
          <w:marLeft w:val="0"/>
          <w:marRight w:val="0"/>
          <w:marTop w:val="0"/>
          <w:marBottom w:val="0"/>
          <w:divBdr>
            <w:top w:val="none" w:sz="0" w:space="0" w:color="auto"/>
            <w:left w:val="none" w:sz="0" w:space="0" w:color="auto"/>
            <w:bottom w:val="none" w:sz="0" w:space="0" w:color="auto"/>
            <w:right w:val="none" w:sz="0" w:space="0" w:color="auto"/>
          </w:divBdr>
        </w:div>
      </w:divsChild>
    </w:div>
    <w:div w:id="99037673">
      <w:bodyDiv w:val="1"/>
      <w:marLeft w:val="0"/>
      <w:marRight w:val="0"/>
      <w:marTop w:val="0"/>
      <w:marBottom w:val="0"/>
      <w:divBdr>
        <w:top w:val="none" w:sz="0" w:space="0" w:color="auto"/>
        <w:left w:val="none" w:sz="0" w:space="0" w:color="auto"/>
        <w:bottom w:val="none" w:sz="0" w:space="0" w:color="auto"/>
        <w:right w:val="none" w:sz="0" w:space="0" w:color="auto"/>
      </w:divBdr>
      <w:divsChild>
        <w:div w:id="415437649">
          <w:marLeft w:val="547"/>
          <w:marRight w:val="0"/>
          <w:marTop w:val="0"/>
          <w:marBottom w:val="0"/>
          <w:divBdr>
            <w:top w:val="none" w:sz="0" w:space="0" w:color="auto"/>
            <w:left w:val="none" w:sz="0" w:space="0" w:color="auto"/>
            <w:bottom w:val="none" w:sz="0" w:space="0" w:color="auto"/>
            <w:right w:val="none" w:sz="0" w:space="0" w:color="auto"/>
          </w:divBdr>
        </w:div>
      </w:divsChild>
    </w:div>
    <w:div w:id="99182629">
      <w:bodyDiv w:val="1"/>
      <w:marLeft w:val="0"/>
      <w:marRight w:val="0"/>
      <w:marTop w:val="0"/>
      <w:marBottom w:val="0"/>
      <w:divBdr>
        <w:top w:val="none" w:sz="0" w:space="0" w:color="auto"/>
        <w:left w:val="none" w:sz="0" w:space="0" w:color="auto"/>
        <w:bottom w:val="none" w:sz="0" w:space="0" w:color="auto"/>
        <w:right w:val="none" w:sz="0" w:space="0" w:color="auto"/>
      </w:divBdr>
      <w:divsChild>
        <w:div w:id="634021705">
          <w:marLeft w:val="0"/>
          <w:marRight w:val="0"/>
          <w:marTop w:val="100"/>
          <w:marBottom w:val="100"/>
          <w:divBdr>
            <w:top w:val="none" w:sz="0" w:space="0" w:color="auto"/>
            <w:left w:val="none" w:sz="0" w:space="0" w:color="auto"/>
            <w:bottom w:val="none" w:sz="0" w:space="0" w:color="auto"/>
            <w:right w:val="none" w:sz="0" w:space="0" w:color="auto"/>
          </w:divBdr>
          <w:divsChild>
            <w:div w:id="1116824734">
              <w:marLeft w:val="0"/>
              <w:marRight w:val="0"/>
              <w:marTop w:val="0"/>
              <w:marBottom w:val="0"/>
              <w:divBdr>
                <w:top w:val="none" w:sz="0" w:space="0" w:color="auto"/>
                <w:left w:val="none" w:sz="0" w:space="0" w:color="auto"/>
                <w:bottom w:val="none" w:sz="0" w:space="0" w:color="auto"/>
                <w:right w:val="none" w:sz="0" w:space="0" w:color="auto"/>
              </w:divBdr>
              <w:divsChild>
                <w:div w:id="1964732092">
                  <w:marLeft w:val="105"/>
                  <w:marRight w:val="105"/>
                  <w:marTop w:val="105"/>
                  <w:marBottom w:val="105"/>
                  <w:divBdr>
                    <w:top w:val="none" w:sz="0" w:space="0" w:color="auto"/>
                    <w:left w:val="none" w:sz="0" w:space="0" w:color="auto"/>
                    <w:bottom w:val="none" w:sz="0" w:space="0" w:color="auto"/>
                    <w:right w:val="none" w:sz="0" w:space="0" w:color="auto"/>
                  </w:divBdr>
                  <w:divsChild>
                    <w:div w:id="1336415904">
                      <w:marLeft w:val="0"/>
                      <w:marRight w:val="0"/>
                      <w:marTop w:val="0"/>
                      <w:marBottom w:val="0"/>
                      <w:divBdr>
                        <w:top w:val="none" w:sz="0" w:space="0" w:color="auto"/>
                        <w:left w:val="none" w:sz="0" w:space="0" w:color="auto"/>
                        <w:bottom w:val="none" w:sz="0" w:space="0" w:color="auto"/>
                        <w:right w:val="none" w:sz="0" w:space="0" w:color="auto"/>
                      </w:divBdr>
                      <w:divsChild>
                        <w:div w:id="166989597">
                          <w:marLeft w:val="0"/>
                          <w:marRight w:val="0"/>
                          <w:marTop w:val="0"/>
                          <w:marBottom w:val="0"/>
                          <w:divBdr>
                            <w:top w:val="none" w:sz="0" w:space="0" w:color="auto"/>
                            <w:left w:val="none" w:sz="0" w:space="0" w:color="auto"/>
                            <w:bottom w:val="none" w:sz="0" w:space="0" w:color="auto"/>
                            <w:right w:val="none" w:sz="0" w:space="0" w:color="auto"/>
                          </w:divBdr>
                          <w:divsChild>
                            <w:div w:id="1970159644">
                              <w:marLeft w:val="0"/>
                              <w:marRight w:val="0"/>
                              <w:marTop w:val="0"/>
                              <w:marBottom w:val="0"/>
                              <w:divBdr>
                                <w:top w:val="none" w:sz="0" w:space="0" w:color="auto"/>
                                <w:left w:val="none" w:sz="0" w:space="0" w:color="auto"/>
                                <w:bottom w:val="none" w:sz="0" w:space="0" w:color="auto"/>
                                <w:right w:val="none" w:sz="0" w:space="0" w:color="auto"/>
                              </w:divBdr>
                              <w:divsChild>
                                <w:div w:id="1342123211">
                                  <w:marLeft w:val="0"/>
                                  <w:marRight w:val="0"/>
                                  <w:marTop w:val="0"/>
                                  <w:marBottom w:val="0"/>
                                  <w:divBdr>
                                    <w:top w:val="none" w:sz="0" w:space="0" w:color="auto"/>
                                    <w:left w:val="none" w:sz="0" w:space="0" w:color="auto"/>
                                    <w:bottom w:val="none" w:sz="0" w:space="0" w:color="auto"/>
                                    <w:right w:val="none" w:sz="0" w:space="0" w:color="auto"/>
                                  </w:divBdr>
                                  <w:divsChild>
                                    <w:div w:id="2063015103">
                                      <w:marLeft w:val="105"/>
                                      <w:marRight w:val="105"/>
                                      <w:marTop w:val="105"/>
                                      <w:marBottom w:val="105"/>
                                      <w:divBdr>
                                        <w:top w:val="none" w:sz="0" w:space="0" w:color="auto"/>
                                        <w:left w:val="none" w:sz="0" w:space="0" w:color="auto"/>
                                        <w:bottom w:val="none" w:sz="0" w:space="0" w:color="auto"/>
                                        <w:right w:val="none" w:sz="0" w:space="0" w:color="auto"/>
                                      </w:divBdr>
                                      <w:divsChild>
                                        <w:div w:id="1229877516">
                                          <w:marLeft w:val="0"/>
                                          <w:marRight w:val="0"/>
                                          <w:marTop w:val="0"/>
                                          <w:marBottom w:val="0"/>
                                          <w:divBdr>
                                            <w:top w:val="none" w:sz="0" w:space="0" w:color="auto"/>
                                            <w:left w:val="none" w:sz="0" w:space="0" w:color="auto"/>
                                            <w:bottom w:val="none" w:sz="0" w:space="0" w:color="auto"/>
                                            <w:right w:val="none" w:sz="0" w:space="0" w:color="auto"/>
                                          </w:divBdr>
                                          <w:divsChild>
                                            <w:div w:id="1776556166">
                                              <w:marLeft w:val="0"/>
                                              <w:marRight w:val="0"/>
                                              <w:marTop w:val="0"/>
                                              <w:marBottom w:val="0"/>
                                              <w:divBdr>
                                                <w:top w:val="none" w:sz="0" w:space="0" w:color="auto"/>
                                                <w:left w:val="none" w:sz="0" w:space="0" w:color="auto"/>
                                                <w:bottom w:val="none" w:sz="0" w:space="0" w:color="auto"/>
                                                <w:right w:val="none" w:sz="0" w:space="0" w:color="auto"/>
                                              </w:divBdr>
                                              <w:divsChild>
                                                <w:div w:id="1906186047">
                                                  <w:marLeft w:val="0"/>
                                                  <w:marRight w:val="0"/>
                                                  <w:marTop w:val="0"/>
                                                  <w:marBottom w:val="0"/>
                                                  <w:divBdr>
                                                    <w:top w:val="none" w:sz="0" w:space="0" w:color="auto"/>
                                                    <w:left w:val="none" w:sz="0" w:space="0" w:color="auto"/>
                                                    <w:bottom w:val="none" w:sz="0" w:space="0" w:color="auto"/>
                                                    <w:right w:val="none" w:sz="0" w:space="0" w:color="auto"/>
                                                  </w:divBdr>
                                                  <w:divsChild>
                                                    <w:div w:id="1850169416">
                                                      <w:marLeft w:val="0"/>
                                                      <w:marRight w:val="0"/>
                                                      <w:marTop w:val="0"/>
                                                      <w:marBottom w:val="0"/>
                                                      <w:divBdr>
                                                        <w:top w:val="none" w:sz="0" w:space="0" w:color="auto"/>
                                                        <w:left w:val="none" w:sz="0" w:space="0" w:color="auto"/>
                                                        <w:bottom w:val="none" w:sz="0" w:space="0" w:color="auto"/>
                                                        <w:right w:val="none" w:sz="0" w:space="0" w:color="auto"/>
                                                      </w:divBdr>
                                                      <w:divsChild>
                                                        <w:div w:id="1565796261">
                                                          <w:marLeft w:val="0"/>
                                                          <w:marRight w:val="0"/>
                                                          <w:marTop w:val="0"/>
                                                          <w:marBottom w:val="0"/>
                                                          <w:divBdr>
                                                            <w:top w:val="none" w:sz="0" w:space="0" w:color="auto"/>
                                                            <w:left w:val="none" w:sz="0" w:space="0" w:color="auto"/>
                                                            <w:bottom w:val="none" w:sz="0" w:space="0" w:color="auto"/>
                                                            <w:right w:val="none" w:sz="0" w:space="0" w:color="auto"/>
                                                          </w:divBdr>
                                                          <w:divsChild>
                                                            <w:div w:id="624772627">
                                                              <w:marLeft w:val="0"/>
                                                              <w:marRight w:val="0"/>
                                                              <w:marTop w:val="0"/>
                                                              <w:marBottom w:val="0"/>
                                                              <w:divBdr>
                                                                <w:top w:val="none" w:sz="0" w:space="0" w:color="auto"/>
                                                                <w:left w:val="none" w:sz="0" w:space="0" w:color="auto"/>
                                                                <w:bottom w:val="none" w:sz="0" w:space="0" w:color="auto"/>
                                                                <w:right w:val="none" w:sz="0" w:space="0" w:color="auto"/>
                                                              </w:divBdr>
                                                              <w:divsChild>
                                                                <w:div w:id="578640042">
                                                                  <w:marLeft w:val="105"/>
                                                                  <w:marRight w:val="105"/>
                                                                  <w:marTop w:val="105"/>
                                                                  <w:marBottom w:val="105"/>
                                                                  <w:divBdr>
                                                                    <w:top w:val="none" w:sz="0" w:space="0" w:color="auto"/>
                                                                    <w:left w:val="none" w:sz="0" w:space="0" w:color="auto"/>
                                                                    <w:bottom w:val="none" w:sz="0" w:space="0" w:color="auto"/>
                                                                    <w:right w:val="none" w:sz="0" w:space="0" w:color="auto"/>
                                                                  </w:divBdr>
                                                                  <w:divsChild>
                                                                    <w:div w:id="1486433677">
                                                                      <w:marLeft w:val="0"/>
                                                                      <w:marRight w:val="0"/>
                                                                      <w:marTop w:val="0"/>
                                                                      <w:marBottom w:val="0"/>
                                                                      <w:divBdr>
                                                                        <w:top w:val="none" w:sz="0" w:space="0" w:color="auto"/>
                                                                        <w:left w:val="none" w:sz="0" w:space="0" w:color="auto"/>
                                                                        <w:bottom w:val="none" w:sz="0" w:space="0" w:color="auto"/>
                                                                        <w:right w:val="none" w:sz="0" w:space="0" w:color="auto"/>
                                                                      </w:divBdr>
                                                                      <w:divsChild>
                                                                        <w:div w:id="434398114">
                                                                          <w:marLeft w:val="0"/>
                                                                          <w:marRight w:val="0"/>
                                                                          <w:marTop w:val="0"/>
                                                                          <w:marBottom w:val="0"/>
                                                                          <w:divBdr>
                                                                            <w:top w:val="none" w:sz="0" w:space="0" w:color="auto"/>
                                                                            <w:left w:val="none" w:sz="0" w:space="0" w:color="auto"/>
                                                                            <w:bottom w:val="none" w:sz="0" w:space="0" w:color="auto"/>
                                                                            <w:right w:val="none" w:sz="0" w:space="0" w:color="auto"/>
                                                                          </w:divBdr>
                                                                          <w:divsChild>
                                                                            <w:div w:id="1627468224">
                                                                              <w:marLeft w:val="0"/>
                                                                              <w:marRight w:val="0"/>
                                                                              <w:marTop w:val="0"/>
                                                                              <w:marBottom w:val="0"/>
                                                                              <w:divBdr>
                                                                                <w:top w:val="none" w:sz="0" w:space="0" w:color="auto"/>
                                                                                <w:left w:val="none" w:sz="0" w:space="0" w:color="auto"/>
                                                                                <w:bottom w:val="none" w:sz="0" w:space="0" w:color="auto"/>
                                                                                <w:right w:val="none" w:sz="0" w:space="0" w:color="auto"/>
                                                                              </w:divBdr>
                                                                              <w:divsChild>
                                                                                <w:div w:id="1080368619">
                                                                                  <w:marLeft w:val="0"/>
                                                                                  <w:marRight w:val="0"/>
                                                                                  <w:marTop w:val="0"/>
                                                                                  <w:marBottom w:val="0"/>
                                                                                  <w:divBdr>
                                                                                    <w:top w:val="none" w:sz="0" w:space="0" w:color="auto"/>
                                                                                    <w:left w:val="none" w:sz="0" w:space="0" w:color="auto"/>
                                                                                    <w:bottom w:val="none" w:sz="0" w:space="0" w:color="auto"/>
                                                                                    <w:right w:val="none" w:sz="0" w:space="0" w:color="auto"/>
                                                                                  </w:divBdr>
                                                                                  <w:divsChild>
                                                                                    <w:div w:id="5193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5428221">
      <w:bodyDiv w:val="1"/>
      <w:marLeft w:val="0"/>
      <w:marRight w:val="0"/>
      <w:marTop w:val="0"/>
      <w:marBottom w:val="0"/>
      <w:divBdr>
        <w:top w:val="none" w:sz="0" w:space="0" w:color="auto"/>
        <w:left w:val="none" w:sz="0" w:space="0" w:color="auto"/>
        <w:bottom w:val="none" w:sz="0" w:space="0" w:color="auto"/>
        <w:right w:val="none" w:sz="0" w:space="0" w:color="auto"/>
      </w:divBdr>
    </w:div>
    <w:div w:id="587081627">
      <w:bodyDiv w:val="1"/>
      <w:marLeft w:val="0"/>
      <w:marRight w:val="0"/>
      <w:marTop w:val="0"/>
      <w:marBottom w:val="0"/>
      <w:divBdr>
        <w:top w:val="none" w:sz="0" w:space="0" w:color="auto"/>
        <w:left w:val="none" w:sz="0" w:space="0" w:color="auto"/>
        <w:bottom w:val="none" w:sz="0" w:space="0" w:color="auto"/>
        <w:right w:val="none" w:sz="0" w:space="0" w:color="auto"/>
      </w:divBdr>
    </w:div>
    <w:div w:id="600919107">
      <w:bodyDiv w:val="1"/>
      <w:marLeft w:val="0"/>
      <w:marRight w:val="0"/>
      <w:marTop w:val="0"/>
      <w:marBottom w:val="0"/>
      <w:divBdr>
        <w:top w:val="none" w:sz="0" w:space="0" w:color="auto"/>
        <w:left w:val="none" w:sz="0" w:space="0" w:color="auto"/>
        <w:bottom w:val="none" w:sz="0" w:space="0" w:color="auto"/>
        <w:right w:val="none" w:sz="0" w:space="0" w:color="auto"/>
      </w:divBdr>
    </w:div>
    <w:div w:id="613487523">
      <w:bodyDiv w:val="1"/>
      <w:marLeft w:val="0"/>
      <w:marRight w:val="0"/>
      <w:marTop w:val="0"/>
      <w:marBottom w:val="0"/>
      <w:divBdr>
        <w:top w:val="none" w:sz="0" w:space="0" w:color="auto"/>
        <w:left w:val="none" w:sz="0" w:space="0" w:color="auto"/>
        <w:bottom w:val="none" w:sz="0" w:space="0" w:color="auto"/>
        <w:right w:val="none" w:sz="0" w:space="0" w:color="auto"/>
      </w:divBdr>
    </w:div>
    <w:div w:id="620653083">
      <w:bodyDiv w:val="1"/>
      <w:marLeft w:val="0"/>
      <w:marRight w:val="0"/>
      <w:marTop w:val="0"/>
      <w:marBottom w:val="0"/>
      <w:divBdr>
        <w:top w:val="none" w:sz="0" w:space="0" w:color="auto"/>
        <w:left w:val="none" w:sz="0" w:space="0" w:color="auto"/>
        <w:bottom w:val="none" w:sz="0" w:space="0" w:color="auto"/>
        <w:right w:val="none" w:sz="0" w:space="0" w:color="auto"/>
      </w:divBdr>
    </w:div>
    <w:div w:id="634414904">
      <w:bodyDiv w:val="1"/>
      <w:marLeft w:val="0"/>
      <w:marRight w:val="0"/>
      <w:marTop w:val="0"/>
      <w:marBottom w:val="0"/>
      <w:divBdr>
        <w:top w:val="none" w:sz="0" w:space="0" w:color="auto"/>
        <w:left w:val="none" w:sz="0" w:space="0" w:color="auto"/>
        <w:bottom w:val="none" w:sz="0" w:space="0" w:color="auto"/>
        <w:right w:val="none" w:sz="0" w:space="0" w:color="auto"/>
      </w:divBdr>
      <w:divsChild>
        <w:div w:id="1347715045">
          <w:marLeft w:val="0"/>
          <w:marRight w:val="0"/>
          <w:marTop w:val="100"/>
          <w:marBottom w:val="100"/>
          <w:divBdr>
            <w:top w:val="none" w:sz="0" w:space="0" w:color="auto"/>
            <w:left w:val="none" w:sz="0" w:space="0" w:color="auto"/>
            <w:bottom w:val="none" w:sz="0" w:space="0" w:color="auto"/>
            <w:right w:val="none" w:sz="0" w:space="0" w:color="auto"/>
          </w:divBdr>
          <w:divsChild>
            <w:div w:id="1578586170">
              <w:marLeft w:val="0"/>
              <w:marRight w:val="0"/>
              <w:marTop w:val="0"/>
              <w:marBottom w:val="0"/>
              <w:divBdr>
                <w:top w:val="none" w:sz="0" w:space="0" w:color="auto"/>
                <w:left w:val="none" w:sz="0" w:space="0" w:color="auto"/>
                <w:bottom w:val="none" w:sz="0" w:space="0" w:color="auto"/>
                <w:right w:val="none" w:sz="0" w:space="0" w:color="auto"/>
              </w:divBdr>
              <w:divsChild>
                <w:div w:id="169562991">
                  <w:marLeft w:val="105"/>
                  <w:marRight w:val="105"/>
                  <w:marTop w:val="105"/>
                  <w:marBottom w:val="105"/>
                  <w:divBdr>
                    <w:top w:val="none" w:sz="0" w:space="0" w:color="auto"/>
                    <w:left w:val="none" w:sz="0" w:space="0" w:color="auto"/>
                    <w:bottom w:val="none" w:sz="0" w:space="0" w:color="auto"/>
                    <w:right w:val="none" w:sz="0" w:space="0" w:color="auto"/>
                  </w:divBdr>
                  <w:divsChild>
                    <w:div w:id="2115444441">
                      <w:marLeft w:val="0"/>
                      <w:marRight w:val="0"/>
                      <w:marTop w:val="0"/>
                      <w:marBottom w:val="0"/>
                      <w:divBdr>
                        <w:top w:val="none" w:sz="0" w:space="0" w:color="auto"/>
                        <w:left w:val="none" w:sz="0" w:space="0" w:color="auto"/>
                        <w:bottom w:val="none" w:sz="0" w:space="0" w:color="auto"/>
                        <w:right w:val="none" w:sz="0" w:space="0" w:color="auto"/>
                      </w:divBdr>
                      <w:divsChild>
                        <w:div w:id="241111198">
                          <w:marLeft w:val="0"/>
                          <w:marRight w:val="0"/>
                          <w:marTop w:val="0"/>
                          <w:marBottom w:val="0"/>
                          <w:divBdr>
                            <w:top w:val="none" w:sz="0" w:space="0" w:color="auto"/>
                            <w:left w:val="none" w:sz="0" w:space="0" w:color="auto"/>
                            <w:bottom w:val="none" w:sz="0" w:space="0" w:color="auto"/>
                            <w:right w:val="none" w:sz="0" w:space="0" w:color="auto"/>
                          </w:divBdr>
                          <w:divsChild>
                            <w:div w:id="2060743041">
                              <w:marLeft w:val="105"/>
                              <w:marRight w:val="105"/>
                              <w:marTop w:val="105"/>
                              <w:marBottom w:val="105"/>
                              <w:divBdr>
                                <w:top w:val="none" w:sz="0" w:space="0" w:color="auto"/>
                                <w:left w:val="none" w:sz="0" w:space="0" w:color="auto"/>
                                <w:bottom w:val="none" w:sz="0" w:space="0" w:color="auto"/>
                                <w:right w:val="none" w:sz="0" w:space="0" w:color="auto"/>
                              </w:divBdr>
                              <w:divsChild>
                                <w:div w:id="1750495510">
                                  <w:marLeft w:val="0"/>
                                  <w:marRight w:val="0"/>
                                  <w:marTop w:val="0"/>
                                  <w:marBottom w:val="0"/>
                                  <w:divBdr>
                                    <w:top w:val="none" w:sz="0" w:space="0" w:color="auto"/>
                                    <w:left w:val="none" w:sz="0" w:space="0" w:color="auto"/>
                                    <w:bottom w:val="none" w:sz="0" w:space="0" w:color="auto"/>
                                    <w:right w:val="none" w:sz="0" w:space="0" w:color="auto"/>
                                  </w:divBdr>
                                  <w:divsChild>
                                    <w:div w:id="2115132785">
                                      <w:marLeft w:val="0"/>
                                      <w:marRight w:val="0"/>
                                      <w:marTop w:val="0"/>
                                      <w:marBottom w:val="0"/>
                                      <w:divBdr>
                                        <w:top w:val="none" w:sz="0" w:space="0" w:color="auto"/>
                                        <w:left w:val="none" w:sz="0" w:space="0" w:color="auto"/>
                                        <w:bottom w:val="none" w:sz="0" w:space="0" w:color="auto"/>
                                        <w:right w:val="none" w:sz="0" w:space="0" w:color="auto"/>
                                      </w:divBdr>
                                      <w:divsChild>
                                        <w:div w:id="1367561632">
                                          <w:marLeft w:val="0"/>
                                          <w:marRight w:val="0"/>
                                          <w:marTop w:val="0"/>
                                          <w:marBottom w:val="0"/>
                                          <w:divBdr>
                                            <w:top w:val="none" w:sz="0" w:space="0" w:color="auto"/>
                                            <w:left w:val="none" w:sz="0" w:space="0" w:color="auto"/>
                                            <w:bottom w:val="none" w:sz="0" w:space="0" w:color="auto"/>
                                            <w:right w:val="none" w:sz="0" w:space="0" w:color="auto"/>
                                          </w:divBdr>
                                          <w:divsChild>
                                            <w:div w:id="1070426271">
                                              <w:marLeft w:val="0"/>
                                              <w:marRight w:val="0"/>
                                              <w:marTop w:val="0"/>
                                              <w:marBottom w:val="0"/>
                                              <w:divBdr>
                                                <w:top w:val="none" w:sz="0" w:space="0" w:color="auto"/>
                                                <w:left w:val="none" w:sz="0" w:space="0" w:color="auto"/>
                                                <w:bottom w:val="none" w:sz="0" w:space="0" w:color="auto"/>
                                                <w:right w:val="none" w:sz="0" w:space="0" w:color="auto"/>
                                              </w:divBdr>
                                              <w:divsChild>
                                                <w:div w:id="1255480667">
                                                  <w:marLeft w:val="105"/>
                                                  <w:marRight w:val="105"/>
                                                  <w:marTop w:val="105"/>
                                                  <w:marBottom w:val="105"/>
                                                  <w:divBdr>
                                                    <w:top w:val="none" w:sz="0" w:space="0" w:color="auto"/>
                                                    <w:left w:val="none" w:sz="0" w:space="0" w:color="auto"/>
                                                    <w:bottom w:val="none" w:sz="0" w:space="0" w:color="auto"/>
                                                    <w:right w:val="none" w:sz="0" w:space="0" w:color="auto"/>
                                                  </w:divBdr>
                                                  <w:divsChild>
                                                    <w:div w:id="636758324">
                                                      <w:marLeft w:val="0"/>
                                                      <w:marRight w:val="0"/>
                                                      <w:marTop w:val="0"/>
                                                      <w:marBottom w:val="0"/>
                                                      <w:divBdr>
                                                        <w:top w:val="none" w:sz="0" w:space="0" w:color="auto"/>
                                                        <w:left w:val="none" w:sz="0" w:space="0" w:color="auto"/>
                                                        <w:bottom w:val="none" w:sz="0" w:space="0" w:color="auto"/>
                                                        <w:right w:val="none" w:sz="0" w:space="0" w:color="auto"/>
                                                      </w:divBdr>
                                                      <w:divsChild>
                                                        <w:div w:id="1767991534">
                                                          <w:marLeft w:val="0"/>
                                                          <w:marRight w:val="0"/>
                                                          <w:marTop w:val="0"/>
                                                          <w:marBottom w:val="0"/>
                                                          <w:divBdr>
                                                            <w:top w:val="none" w:sz="0" w:space="0" w:color="auto"/>
                                                            <w:left w:val="none" w:sz="0" w:space="0" w:color="auto"/>
                                                            <w:bottom w:val="none" w:sz="0" w:space="0" w:color="auto"/>
                                                            <w:right w:val="none" w:sz="0" w:space="0" w:color="auto"/>
                                                          </w:divBdr>
                                                          <w:divsChild>
                                                            <w:div w:id="1269117888">
                                                              <w:marLeft w:val="0"/>
                                                              <w:marRight w:val="0"/>
                                                              <w:marTop w:val="0"/>
                                                              <w:marBottom w:val="0"/>
                                                              <w:divBdr>
                                                                <w:top w:val="none" w:sz="0" w:space="0" w:color="auto"/>
                                                                <w:left w:val="none" w:sz="0" w:space="0" w:color="auto"/>
                                                                <w:bottom w:val="none" w:sz="0" w:space="0" w:color="auto"/>
                                                                <w:right w:val="none" w:sz="0" w:space="0" w:color="auto"/>
                                                              </w:divBdr>
                                                              <w:divsChild>
                                                                <w:div w:id="1496074183">
                                                                  <w:marLeft w:val="0"/>
                                                                  <w:marRight w:val="0"/>
                                                                  <w:marTop w:val="0"/>
                                                                  <w:marBottom w:val="0"/>
                                                                  <w:divBdr>
                                                                    <w:top w:val="none" w:sz="0" w:space="0" w:color="auto"/>
                                                                    <w:left w:val="none" w:sz="0" w:space="0" w:color="auto"/>
                                                                    <w:bottom w:val="none" w:sz="0" w:space="0" w:color="auto"/>
                                                                    <w:right w:val="none" w:sz="0" w:space="0" w:color="auto"/>
                                                                  </w:divBdr>
                                                                  <w:divsChild>
                                                                    <w:div w:id="301156072">
                                                                      <w:marLeft w:val="0"/>
                                                                      <w:marRight w:val="0"/>
                                                                      <w:marTop w:val="0"/>
                                                                      <w:marBottom w:val="0"/>
                                                                      <w:divBdr>
                                                                        <w:top w:val="none" w:sz="0" w:space="0" w:color="auto"/>
                                                                        <w:left w:val="none" w:sz="0" w:space="0" w:color="auto"/>
                                                                        <w:bottom w:val="none" w:sz="0" w:space="0" w:color="auto"/>
                                                                        <w:right w:val="none" w:sz="0" w:space="0" w:color="auto"/>
                                                                      </w:divBdr>
                                                                      <w:divsChild>
                                                                        <w:div w:id="1987856943">
                                                                          <w:marLeft w:val="0"/>
                                                                          <w:marRight w:val="0"/>
                                                                          <w:marTop w:val="0"/>
                                                                          <w:marBottom w:val="0"/>
                                                                          <w:divBdr>
                                                                            <w:top w:val="none" w:sz="0" w:space="0" w:color="auto"/>
                                                                            <w:left w:val="none" w:sz="0" w:space="0" w:color="auto"/>
                                                                            <w:bottom w:val="none" w:sz="0" w:space="0" w:color="auto"/>
                                                                            <w:right w:val="none" w:sz="0" w:space="0" w:color="auto"/>
                                                                          </w:divBdr>
                                                                          <w:divsChild>
                                                                            <w:div w:id="1058556336">
                                                                              <w:marLeft w:val="105"/>
                                                                              <w:marRight w:val="105"/>
                                                                              <w:marTop w:val="105"/>
                                                                              <w:marBottom w:val="105"/>
                                                                              <w:divBdr>
                                                                                <w:top w:val="none" w:sz="0" w:space="0" w:color="auto"/>
                                                                                <w:left w:val="none" w:sz="0" w:space="0" w:color="auto"/>
                                                                                <w:bottom w:val="none" w:sz="0" w:space="0" w:color="auto"/>
                                                                                <w:right w:val="none" w:sz="0" w:space="0" w:color="auto"/>
                                                                              </w:divBdr>
                                                                              <w:divsChild>
                                                                                <w:div w:id="697126025">
                                                                                  <w:marLeft w:val="0"/>
                                                                                  <w:marRight w:val="0"/>
                                                                                  <w:marTop w:val="0"/>
                                                                                  <w:marBottom w:val="0"/>
                                                                                  <w:divBdr>
                                                                                    <w:top w:val="none" w:sz="0" w:space="0" w:color="auto"/>
                                                                                    <w:left w:val="none" w:sz="0" w:space="0" w:color="auto"/>
                                                                                    <w:bottom w:val="none" w:sz="0" w:space="0" w:color="auto"/>
                                                                                    <w:right w:val="none" w:sz="0" w:space="0" w:color="auto"/>
                                                                                  </w:divBdr>
                                                                                  <w:divsChild>
                                                                                    <w:div w:id="1933775134">
                                                                                      <w:marLeft w:val="0"/>
                                                                                      <w:marRight w:val="0"/>
                                                                                      <w:marTop w:val="0"/>
                                                                                      <w:marBottom w:val="0"/>
                                                                                      <w:divBdr>
                                                                                        <w:top w:val="none" w:sz="0" w:space="0" w:color="auto"/>
                                                                                        <w:left w:val="none" w:sz="0" w:space="0" w:color="auto"/>
                                                                                        <w:bottom w:val="none" w:sz="0" w:space="0" w:color="auto"/>
                                                                                        <w:right w:val="none" w:sz="0" w:space="0" w:color="auto"/>
                                                                                      </w:divBdr>
                                                                                      <w:divsChild>
                                                                                        <w:div w:id="1919513227">
                                                                                          <w:marLeft w:val="0"/>
                                                                                          <w:marRight w:val="0"/>
                                                                                          <w:marTop w:val="0"/>
                                                                                          <w:marBottom w:val="0"/>
                                                                                          <w:divBdr>
                                                                                            <w:top w:val="none" w:sz="0" w:space="0" w:color="auto"/>
                                                                                            <w:left w:val="none" w:sz="0" w:space="0" w:color="auto"/>
                                                                                            <w:bottom w:val="none" w:sz="0" w:space="0" w:color="auto"/>
                                                                                            <w:right w:val="none" w:sz="0" w:space="0" w:color="auto"/>
                                                                                          </w:divBdr>
                                                                                          <w:divsChild>
                                                                                            <w:div w:id="1642535213">
                                                                                              <w:marLeft w:val="0"/>
                                                                                              <w:marRight w:val="0"/>
                                                                                              <w:marTop w:val="0"/>
                                                                                              <w:marBottom w:val="0"/>
                                                                                              <w:divBdr>
                                                                                                <w:top w:val="none" w:sz="0" w:space="0" w:color="auto"/>
                                                                                                <w:left w:val="none" w:sz="0" w:space="0" w:color="auto"/>
                                                                                                <w:bottom w:val="none" w:sz="0" w:space="0" w:color="auto"/>
                                                                                                <w:right w:val="none" w:sz="0" w:space="0" w:color="auto"/>
                                                                                              </w:divBdr>
                                                                                              <w:divsChild>
                                                                                                <w:div w:id="993606176">
                                                                                                  <w:marLeft w:val="0"/>
                                                                                                  <w:marRight w:val="0"/>
                                                                                                  <w:marTop w:val="0"/>
                                                                                                  <w:marBottom w:val="0"/>
                                                                                                  <w:divBdr>
                                                                                                    <w:top w:val="none" w:sz="0" w:space="0" w:color="auto"/>
                                                                                                    <w:left w:val="none" w:sz="0" w:space="0" w:color="auto"/>
                                                                                                    <w:bottom w:val="none" w:sz="0" w:space="0" w:color="auto"/>
                                                                                                    <w:right w:val="none" w:sz="0" w:space="0" w:color="auto"/>
                                                                                                  </w:divBdr>
                                                                                                  <w:divsChild>
                                                                                                    <w:div w:id="1150749698">
                                                                                                      <w:marLeft w:val="0"/>
                                                                                                      <w:marRight w:val="0"/>
                                                                                                      <w:marTop w:val="0"/>
                                                                                                      <w:marBottom w:val="0"/>
                                                                                                      <w:divBdr>
                                                                                                        <w:top w:val="none" w:sz="0" w:space="0" w:color="auto"/>
                                                                                                        <w:left w:val="none" w:sz="0" w:space="0" w:color="auto"/>
                                                                                                        <w:bottom w:val="none" w:sz="0" w:space="0" w:color="auto"/>
                                                                                                        <w:right w:val="none" w:sz="0" w:space="0" w:color="auto"/>
                                                                                                      </w:divBdr>
                                                                                                    </w:div>
                                                                                                    <w:div w:id="829373039">
                                                                                                      <w:marLeft w:val="0"/>
                                                                                                      <w:marRight w:val="0"/>
                                                                                                      <w:marTop w:val="0"/>
                                                                                                      <w:marBottom w:val="0"/>
                                                                                                      <w:divBdr>
                                                                                                        <w:top w:val="none" w:sz="0" w:space="0" w:color="auto"/>
                                                                                                        <w:left w:val="none" w:sz="0" w:space="0" w:color="auto"/>
                                                                                                        <w:bottom w:val="none" w:sz="0" w:space="0" w:color="auto"/>
                                                                                                        <w:right w:val="none" w:sz="0" w:space="0" w:color="auto"/>
                                                                                                      </w:divBdr>
                                                                                                    </w:div>
                                                                                                  </w:divsChild>
                                                                                                </w:div>
                                                                                                <w:div w:id="374349618">
                                                                                                  <w:marLeft w:val="0"/>
                                                                                                  <w:marRight w:val="0"/>
                                                                                                  <w:marTop w:val="0"/>
                                                                                                  <w:marBottom w:val="150"/>
                                                                                                  <w:divBdr>
                                                                                                    <w:top w:val="none" w:sz="0" w:space="0" w:color="auto"/>
                                                                                                    <w:left w:val="none" w:sz="0" w:space="0" w:color="auto"/>
                                                                                                    <w:bottom w:val="none" w:sz="0" w:space="0" w:color="auto"/>
                                                                                                    <w:right w:val="none" w:sz="0" w:space="0" w:color="auto"/>
                                                                                                  </w:divBdr>
                                                                                                  <w:divsChild>
                                                                                                    <w:div w:id="1160346513">
                                                                                                      <w:marLeft w:val="0"/>
                                                                                                      <w:marRight w:val="0"/>
                                                                                                      <w:marTop w:val="0"/>
                                                                                                      <w:marBottom w:val="0"/>
                                                                                                      <w:divBdr>
                                                                                                        <w:top w:val="none" w:sz="0" w:space="0" w:color="auto"/>
                                                                                                        <w:left w:val="none" w:sz="0" w:space="0" w:color="auto"/>
                                                                                                        <w:bottom w:val="none" w:sz="0" w:space="0" w:color="auto"/>
                                                                                                        <w:right w:val="none" w:sz="0" w:space="0" w:color="auto"/>
                                                                                                      </w:divBdr>
                                                                                                      <w:divsChild>
                                                                                                        <w:div w:id="1777022942">
                                                                                                          <w:marLeft w:val="0"/>
                                                                                                          <w:marRight w:val="0"/>
                                                                                                          <w:marTop w:val="0"/>
                                                                                                          <w:marBottom w:val="0"/>
                                                                                                          <w:divBdr>
                                                                                                            <w:top w:val="none" w:sz="0" w:space="0" w:color="auto"/>
                                                                                                            <w:left w:val="none" w:sz="0" w:space="0" w:color="auto"/>
                                                                                                            <w:bottom w:val="none" w:sz="0" w:space="0" w:color="auto"/>
                                                                                                            <w:right w:val="none" w:sz="0" w:space="0" w:color="auto"/>
                                                                                                          </w:divBdr>
                                                                                                          <w:divsChild>
                                                                                                            <w:div w:id="1690178798">
                                                                                                              <w:marLeft w:val="0"/>
                                                                                                              <w:marRight w:val="0"/>
                                                                                                              <w:marTop w:val="0"/>
                                                                                                              <w:marBottom w:val="0"/>
                                                                                                              <w:divBdr>
                                                                                                                <w:top w:val="none" w:sz="0" w:space="0" w:color="auto"/>
                                                                                                                <w:left w:val="none" w:sz="0" w:space="0" w:color="auto"/>
                                                                                                                <w:bottom w:val="none" w:sz="0" w:space="0" w:color="auto"/>
                                                                                                                <w:right w:val="none" w:sz="0" w:space="0" w:color="auto"/>
                                                                                                              </w:divBdr>
                                                                                                              <w:divsChild>
                                                                                                                <w:div w:id="1172525498">
                                                                                                                  <w:marLeft w:val="0"/>
                                                                                                                  <w:marRight w:val="0"/>
                                                                                                                  <w:marTop w:val="0"/>
                                                                                                                  <w:marBottom w:val="0"/>
                                                                                                                  <w:divBdr>
                                                                                                                    <w:top w:val="single" w:sz="6" w:space="0" w:color="CCCCCC"/>
                                                                                                                    <w:left w:val="single" w:sz="6" w:space="0" w:color="CCCCCC"/>
                                                                                                                    <w:bottom w:val="single" w:sz="6" w:space="0" w:color="CCCCCC"/>
                                                                                                                    <w:right w:val="single" w:sz="6" w:space="0" w:color="CCCCCC"/>
                                                                                                                  </w:divBdr>
                                                                                                                  <w:divsChild>
                                                                                                                    <w:div w:id="1922594818">
                                                                                                                      <w:marLeft w:val="0"/>
                                                                                                                      <w:marRight w:val="0"/>
                                                                                                                      <w:marTop w:val="0"/>
                                                                                                                      <w:marBottom w:val="0"/>
                                                                                                                      <w:divBdr>
                                                                                                                        <w:top w:val="none" w:sz="0" w:space="0" w:color="auto"/>
                                                                                                                        <w:left w:val="none" w:sz="0" w:space="0" w:color="auto"/>
                                                                                                                        <w:bottom w:val="none" w:sz="0" w:space="0" w:color="auto"/>
                                                                                                                        <w:right w:val="none" w:sz="0" w:space="0" w:color="auto"/>
                                                                                                                      </w:divBdr>
                                                                                                                    </w:div>
                                                                                                                    <w:div w:id="501774500">
                                                                                                                      <w:marLeft w:val="0"/>
                                                                                                                      <w:marRight w:val="0"/>
                                                                                                                      <w:marTop w:val="0"/>
                                                                                                                      <w:marBottom w:val="0"/>
                                                                                                                      <w:divBdr>
                                                                                                                        <w:top w:val="none" w:sz="0" w:space="0" w:color="auto"/>
                                                                                                                        <w:left w:val="none" w:sz="0" w:space="0" w:color="auto"/>
                                                                                                                        <w:bottom w:val="none" w:sz="0" w:space="0" w:color="auto"/>
                                                                                                                        <w:right w:val="none" w:sz="0" w:space="0" w:color="auto"/>
                                                                                                                      </w:divBdr>
                                                                                                                      <w:divsChild>
                                                                                                                        <w:div w:id="16980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28456">
                                                                                                                  <w:marLeft w:val="0"/>
                                                                                                                  <w:marRight w:val="0"/>
                                                                                                                  <w:marTop w:val="0"/>
                                                                                                                  <w:marBottom w:val="0"/>
                                                                                                                  <w:divBdr>
                                                                                                                    <w:top w:val="single" w:sz="6" w:space="0" w:color="CCCCCC"/>
                                                                                                                    <w:left w:val="single" w:sz="6" w:space="0" w:color="CCCCCC"/>
                                                                                                                    <w:bottom w:val="single" w:sz="6" w:space="0" w:color="CCCCCC"/>
                                                                                                                    <w:right w:val="single" w:sz="6" w:space="0" w:color="CCCCCC"/>
                                                                                                                  </w:divBdr>
                                                                                                                  <w:divsChild>
                                                                                                                    <w:div w:id="16951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4085875">
      <w:bodyDiv w:val="1"/>
      <w:marLeft w:val="0"/>
      <w:marRight w:val="0"/>
      <w:marTop w:val="0"/>
      <w:marBottom w:val="0"/>
      <w:divBdr>
        <w:top w:val="none" w:sz="0" w:space="0" w:color="auto"/>
        <w:left w:val="none" w:sz="0" w:space="0" w:color="auto"/>
        <w:bottom w:val="none" w:sz="0" w:space="0" w:color="auto"/>
        <w:right w:val="none" w:sz="0" w:space="0" w:color="auto"/>
      </w:divBdr>
      <w:divsChild>
        <w:div w:id="15430258">
          <w:marLeft w:val="0"/>
          <w:marRight w:val="0"/>
          <w:marTop w:val="0"/>
          <w:marBottom w:val="0"/>
          <w:divBdr>
            <w:top w:val="none" w:sz="0" w:space="0" w:color="auto"/>
            <w:left w:val="none" w:sz="0" w:space="0" w:color="auto"/>
            <w:bottom w:val="none" w:sz="0" w:space="0" w:color="auto"/>
            <w:right w:val="none" w:sz="0" w:space="0" w:color="auto"/>
          </w:divBdr>
        </w:div>
      </w:divsChild>
    </w:div>
    <w:div w:id="824929895">
      <w:bodyDiv w:val="1"/>
      <w:marLeft w:val="0"/>
      <w:marRight w:val="0"/>
      <w:marTop w:val="0"/>
      <w:marBottom w:val="0"/>
      <w:divBdr>
        <w:top w:val="none" w:sz="0" w:space="0" w:color="auto"/>
        <w:left w:val="none" w:sz="0" w:space="0" w:color="auto"/>
        <w:bottom w:val="none" w:sz="0" w:space="0" w:color="auto"/>
        <w:right w:val="none" w:sz="0" w:space="0" w:color="auto"/>
      </w:divBdr>
      <w:divsChild>
        <w:div w:id="1902641273">
          <w:marLeft w:val="547"/>
          <w:marRight w:val="0"/>
          <w:marTop w:val="0"/>
          <w:marBottom w:val="0"/>
          <w:divBdr>
            <w:top w:val="none" w:sz="0" w:space="0" w:color="auto"/>
            <w:left w:val="none" w:sz="0" w:space="0" w:color="auto"/>
            <w:bottom w:val="none" w:sz="0" w:space="0" w:color="auto"/>
            <w:right w:val="none" w:sz="0" w:space="0" w:color="auto"/>
          </w:divBdr>
        </w:div>
      </w:divsChild>
    </w:div>
    <w:div w:id="909075841">
      <w:bodyDiv w:val="1"/>
      <w:marLeft w:val="0"/>
      <w:marRight w:val="0"/>
      <w:marTop w:val="0"/>
      <w:marBottom w:val="0"/>
      <w:divBdr>
        <w:top w:val="none" w:sz="0" w:space="0" w:color="auto"/>
        <w:left w:val="none" w:sz="0" w:space="0" w:color="auto"/>
        <w:bottom w:val="none" w:sz="0" w:space="0" w:color="auto"/>
        <w:right w:val="none" w:sz="0" w:space="0" w:color="auto"/>
      </w:divBdr>
    </w:div>
    <w:div w:id="1086463411">
      <w:bodyDiv w:val="1"/>
      <w:marLeft w:val="0"/>
      <w:marRight w:val="0"/>
      <w:marTop w:val="0"/>
      <w:marBottom w:val="0"/>
      <w:divBdr>
        <w:top w:val="none" w:sz="0" w:space="0" w:color="auto"/>
        <w:left w:val="none" w:sz="0" w:space="0" w:color="auto"/>
        <w:bottom w:val="none" w:sz="0" w:space="0" w:color="auto"/>
        <w:right w:val="none" w:sz="0" w:space="0" w:color="auto"/>
      </w:divBdr>
    </w:div>
    <w:div w:id="1261791647">
      <w:bodyDiv w:val="1"/>
      <w:marLeft w:val="0"/>
      <w:marRight w:val="0"/>
      <w:marTop w:val="0"/>
      <w:marBottom w:val="0"/>
      <w:divBdr>
        <w:top w:val="none" w:sz="0" w:space="0" w:color="auto"/>
        <w:left w:val="none" w:sz="0" w:space="0" w:color="auto"/>
        <w:bottom w:val="none" w:sz="0" w:space="0" w:color="auto"/>
        <w:right w:val="none" w:sz="0" w:space="0" w:color="auto"/>
      </w:divBdr>
      <w:divsChild>
        <w:div w:id="671569930">
          <w:marLeft w:val="0"/>
          <w:marRight w:val="0"/>
          <w:marTop w:val="0"/>
          <w:marBottom w:val="0"/>
          <w:divBdr>
            <w:top w:val="none" w:sz="0" w:space="0" w:color="auto"/>
            <w:left w:val="none" w:sz="0" w:space="0" w:color="auto"/>
            <w:bottom w:val="none" w:sz="0" w:space="0" w:color="auto"/>
            <w:right w:val="none" w:sz="0" w:space="0" w:color="auto"/>
          </w:divBdr>
        </w:div>
        <w:div w:id="218439395">
          <w:marLeft w:val="0"/>
          <w:marRight w:val="0"/>
          <w:marTop w:val="0"/>
          <w:marBottom w:val="0"/>
          <w:divBdr>
            <w:top w:val="none" w:sz="0" w:space="0" w:color="auto"/>
            <w:left w:val="none" w:sz="0" w:space="0" w:color="auto"/>
            <w:bottom w:val="none" w:sz="0" w:space="0" w:color="auto"/>
            <w:right w:val="none" w:sz="0" w:space="0" w:color="auto"/>
          </w:divBdr>
        </w:div>
        <w:div w:id="1796168664">
          <w:marLeft w:val="0"/>
          <w:marRight w:val="0"/>
          <w:marTop w:val="0"/>
          <w:marBottom w:val="0"/>
          <w:divBdr>
            <w:top w:val="none" w:sz="0" w:space="0" w:color="auto"/>
            <w:left w:val="none" w:sz="0" w:space="0" w:color="auto"/>
            <w:bottom w:val="none" w:sz="0" w:space="0" w:color="auto"/>
            <w:right w:val="none" w:sz="0" w:space="0" w:color="auto"/>
          </w:divBdr>
        </w:div>
        <w:div w:id="454371995">
          <w:marLeft w:val="0"/>
          <w:marRight w:val="0"/>
          <w:marTop w:val="0"/>
          <w:marBottom w:val="0"/>
          <w:divBdr>
            <w:top w:val="none" w:sz="0" w:space="0" w:color="auto"/>
            <w:left w:val="none" w:sz="0" w:space="0" w:color="auto"/>
            <w:bottom w:val="none" w:sz="0" w:space="0" w:color="auto"/>
            <w:right w:val="none" w:sz="0" w:space="0" w:color="auto"/>
          </w:divBdr>
        </w:div>
        <w:div w:id="51932136">
          <w:marLeft w:val="0"/>
          <w:marRight w:val="0"/>
          <w:marTop w:val="0"/>
          <w:marBottom w:val="0"/>
          <w:divBdr>
            <w:top w:val="none" w:sz="0" w:space="0" w:color="auto"/>
            <w:left w:val="none" w:sz="0" w:space="0" w:color="auto"/>
            <w:bottom w:val="none" w:sz="0" w:space="0" w:color="auto"/>
            <w:right w:val="none" w:sz="0" w:space="0" w:color="auto"/>
          </w:divBdr>
        </w:div>
      </w:divsChild>
    </w:div>
    <w:div w:id="1344432045">
      <w:bodyDiv w:val="1"/>
      <w:marLeft w:val="0"/>
      <w:marRight w:val="0"/>
      <w:marTop w:val="0"/>
      <w:marBottom w:val="0"/>
      <w:divBdr>
        <w:top w:val="none" w:sz="0" w:space="0" w:color="auto"/>
        <w:left w:val="none" w:sz="0" w:space="0" w:color="auto"/>
        <w:bottom w:val="none" w:sz="0" w:space="0" w:color="auto"/>
        <w:right w:val="none" w:sz="0" w:space="0" w:color="auto"/>
      </w:divBdr>
    </w:div>
    <w:div w:id="1346907129">
      <w:bodyDiv w:val="1"/>
      <w:marLeft w:val="0"/>
      <w:marRight w:val="0"/>
      <w:marTop w:val="15"/>
      <w:marBottom w:val="0"/>
      <w:divBdr>
        <w:top w:val="none" w:sz="0" w:space="0" w:color="D0D0D0"/>
        <w:left w:val="none" w:sz="0" w:space="0" w:color="D0D0D0"/>
        <w:bottom w:val="none" w:sz="0" w:space="0" w:color="D0D0D0"/>
        <w:right w:val="none" w:sz="0" w:space="0" w:color="D0D0D0"/>
      </w:divBdr>
      <w:divsChild>
        <w:div w:id="1493253850">
          <w:marLeft w:val="0"/>
          <w:marRight w:val="0"/>
          <w:marTop w:val="0"/>
          <w:marBottom w:val="0"/>
          <w:divBdr>
            <w:top w:val="none" w:sz="0" w:space="0" w:color="auto"/>
            <w:left w:val="none" w:sz="0" w:space="0" w:color="auto"/>
            <w:bottom w:val="none" w:sz="0" w:space="0" w:color="auto"/>
            <w:right w:val="none" w:sz="0" w:space="0" w:color="auto"/>
          </w:divBdr>
          <w:divsChild>
            <w:div w:id="286546275">
              <w:marLeft w:val="0"/>
              <w:marRight w:val="0"/>
              <w:marTop w:val="0"/>
              <w:marBottom w:val="0"/>
              <w:divBdr>
                <w:top w:val="none" w:sz="0" w:space="0" w:color="auto"/>
                <w:left w:val="none" w:sz="0" w:space="0" w:color="auto"/>
                <w:bottom w:val="none" w:sz="0" w:space="0" w:color="auto"/>
                <w:right w:val="none" w:sz="0" w:space="0" w:color="auto"/>
              </w:divBdr>
              <w:divsChild>
                <w:div w:id="1159879473">
                  <w:marLeft w:val="0"/>
                  <w:marRight w:val="0"/>
                  <w:marTop w:val="0"/>
                  <w:marBottom w:val="0"/>
                  <w:divBdr>
                    <w:top w:val="none" w:sz="0" w:space="0" w:color="auto"/>
                    <w:left w:val="none" w:sz="0" w:space="0" w:color="auto"/>
                    <w:bottom w:val="none" w:sz="0" w:space="0" w:color="auto"/>
                    <w:right w:val="none" w:sz="0" w:space="0" w:color="auto"/>
                  </w:divBdr>
                  <w:divsChild>
                    <w:div w:id="1483501648">
                      <w:marLeft w:val="0"/>
                      <w:marRight w:val="0"/>
                      <w:marTop w:val="0"/>
                      <w:marBottom w:val="0"/>
                      <w:divBdr>
                        <w:top w:val="none" w:sz="0" w:space="0" w:color="auto"/>
                        <w:left w:val="none" w:sz="0" w:space="0" w:color="auto"/>
                        <w:bottom w:val="none" w:sz="0" w:space="0" w:color="auto"/>
                        <w:right w:val="none" w:sz="0" w:space="0" w:color="auto"/>
                      </w:divBdr>
                      <w:divsChild>
                        <w:div w:id="217015395">
                          <w:marLeft w:val="0"/>
                          <w:marRight w:val="0"/>
                          <w:marTop w:val="0"/>
                          <w:marBottom w:val="0"/>
                          <w:divBdr>
                            <w:top w:val="none" w:sz="0" w:space="10" w:color="CCCCCC"/>
                            <w:left w:val="single" w:sz="6" w:space="13" w:color="CCCCCC"/>
                            <w:bottom w:val="none" w:sz="0" w:space="0" w:color="CCCCCC"/>
                            <w:right w:val="none" w:sz="0" w:space="0" w:color="CCCCCC"/>
                          </w:divBdr>
                          <w:divsChild>
                            <w:div w:id="18375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856037">
      <w:bodyDiv w:val="1"/>
      <w:marLeft w:val="0"/>
      <w:marRight w:val="0"/>
      <w:marTop w:val="0"/>
      <w:marBottom w:val="0"/>
      <w:divBdr>
        <w:top w:val="none" w:sz="0" w:space="0" w:color="auto"/>
        <w:left w:val="none" w:sz="0" w:space="0" w:color="auto"/>
        <w:bottom w:val="none" w:sz="0" w:space="0" w:color="auto"/>
        <w:right w:val="none" w:sz="0" w:space="0" w:color="auto"/>
      </w:divBdr>
      <w:divsChild>
        <w:div w:id="2038042502">
          <w:marLeft w:val="0"/>
          <w:marRight w:val="0"/>
          <w:marTop w:val="0"/>
          <w:marBottom w:val="0"/>
          <w:divBdr>
            <w:top w:val="none" w:sz="0" w:space="0" w:color="auto"/>
            <w:left w:val="none" w:sz="0" w:space="0" w:color="auto"/>
            <w:bottom w:val="none" w:sz="0" w:space="0" w:color="auto"/>
            <w:right w:val="none" w:sz="0" w:space="0" w:color="auto"/>
          </w:divBdr>
        </w:div>
        <w:div w:id="91436379">
          <w:marLeft w:val="0"/>
          <w:marRight w:val="0"/>
          <w:marTop w:val="0"/>
          <w:marBottom w:val="0"/>
          <w:divBdr>
            <w:top w:val="none" w:sz="0" w:space="0" w:color="auto"/>
            <w:left w:val="none" w:sz="0" w:space="0" w:color="auto"/>
            <w:bottom w:val="none" w:sz="0" w:space="0" w:color="auto"/>
            <w:right w:val="none" w:sz="0" w:space="0" w:color="auto"/>
          </w:divBdr>
        </w:div>
        <w:div w:id="187840450">
          <w:marLeft w:val="0"/>
          <w:marRight w:val="0"/>
          <w:marTop w:val="0"/>
          <w:marBottom w:val="0"/>
          <w:divBdr>
            <w:top w:val="none" w:sz="0" w:space="0" w:color="auto"/>
            <w:left w:val="none" w:sz="0" w:space="0" w:color="auto"/>
            <w:bottom w:val="none" w:sz="0" w:space="0" w:color="auto"/>
            <w:right w:val="none" w:sz="0" w:space="0" w:color="auto"/>
          </w:divBdr>
        </w:div>
        <w:div w:id="656883779">
          <w:marLeft w:val="0"/>
          <w:marRight w:val="0"/>
          <w:marTop w:val="0"/>
          <w:marBottom w:val="0"/>
          <w:divBdr>
            <w:top w:val="none" w:sz="0" w:space="0" w:color="auto"/>
            <w:left w:val="none" w:sz="0" w:space="0" w:color="auto"/>
            <w:bottom w:val="none" w:sz="0" w:space="0" w:color="auto"/>
            <w:right w:val="none" w:sz="0" w:space="0" w:color="auto"/>
          </w:divBdr>
        </w:div>
        <w:div w:id="1946572375">
          <w:marLeft w:val="0"/>
          <w:marRight w:val="0"/>
          <w:marTop w:val="0"/>
          <w:marBottom w:val="0"/>
          <w:divBdr>
            <w:top w:val="none" w:sz="0" w:space="0" w:color="auto"/>
            <w:left w:val="none" w:sz="0" w:space="0" w:color="auto"/>
            <w:bottom w:val="none" w:sz="0" w:space="0" w:color="auto"/>
            <w:right w:val="none" w:sz="0" w:space="0" w:color="auto"/>
          </w:divBdr>
        </w:div>
        <w:div w:id="1864241652">
          <w:marLeft w:val="0"/>
          <w:marRight w:val="0"/>
          <w:marTop w:val="0"/>
          <w:marBottom w:val="0"/>
          <w:divBdr>
            <w:top w:val="none" w:sz="0" w:space="0" w:color="auto"/>
            <w:left w:val="none" w:sz="0" w:space="0" w:color="auto"/>
            <w:bottom w:val="none" w:sz="0" w:space="0" w:color="auto"/>
            <w:right w:val="none" w:sz="0" w:space="0" w:color="auto"/>
          </w:divBdr>
        </w:div>
        <w:div w:id="1502769539">
          <w:marLeft w:val="0"/>
          <w:marRight w:val="0"/>
          <w:marTop w:val="0"/>
          <w:marBottom w:val="0"/>
          <w:divBdr>
            <w:top w:val="none" w:sz="0" w:space="0" w:color="auto"/>
            <w:left w:val="none" w:sz="0" w:space="0" w:color="auto"/>
            <w:bottom w:val="none" w:sz="0" w:space="0" w:color="auto"/>
            <w:right w:val="none" w:sz="0" w:space="0" w:color="auto"/>
          </w:divBdr>
        </w:div>
      </w:divsChild>
    </w:div>
    <w:div w:id="1533347849">
      <w:bodyDiv w:val="1"/>
      <w:marLeft w:val="0"/>
      <w:marRight w:val="0"/>
      <w:marTop w:val="0"/>
      <w:marBottom w:val="0"/>
      <w:divBdr>
        <w:top w:val="none" w:sz="0" w:space="0" w:color="auto"/>
        <w:left w:val="none" w:sz="0" w:space="0" w:color="auto"/>
        <w:bottom w:val="none" w:sz="0" w:space="0" w:color="auto"/>
        <w:right w:val="none" w:sz="0" w:space="0" w:color="auto"/>
      </w:divBdr>
      <w:divsChild>
        <w:div w:id="1908374659">
          <w:marLeft w:val="0"/>
          <w:marRight w:val="0"/>
          <w:marTop w:val="0"/>
          <w:marBottom w:val="0"/>
          <w:divBdr>
            <w:top w:val="none" w:sz="0" w:space="0" w:color="auto"/>
            <w:left w:val="none" w:sz="0" w:space="0" w:color="auto"/>
            <w:bottom w:val="none" w:sz="0" w:space="0" w:color="auto"/>
            <w:right w:val="none" w:sz="0" w:space="0" w:color="auto"/>
          </w:divBdr>
        </w:div>
      </w:divsChild>
    </w:div>
    <w:div w:id="1647126328">
      <w:bodyDiv w:val="1"/>
      <w:marLeft w:val="0"/>
      <w:marRight w:val="0"/>
      <w:marTop w:val="0"/>
      <w:marBottom w:val="0"/>
      <w:divBdr>
        <w:top w:val="none" w:sz="0" w:space="0" w:color="auto"/>
        <w:left w:val="none" w:sz="0" w:space="0" w:color="auto"/>
        <w:bottom w:val="none" w:sz="0" w:space="0" w:color="auto"/>
        <w:right w:val="none" w:sz="0" w:space="0" w:color="auto"/>
      </w:divBdr>
      <w:divsChild>
        <w:div w:id="1652368926">
          <w:marLeft w:val="0"/>
          <w:marRight w:val="0"/>
          <w:marTop w:val="0"/>
          <w:marBottom w:val="0"/>
          <w:divBdr>
            <w:top w:val="none" w:sz="0" w:space="0" w:color="auto"/>
            <w:left w:val="none" w:sz="0" w:space="0" w:color="auto"/>
            <w:bottom w:val="none" w:sz="0" w:space="0" w:color="auto"/>
            <w:right w:val="none" w:sz="0" w:space="0" w:color="auto"/>
          </w:divBdr>
          <w:divsChild>
            <w:div w:id="149106620">
              <w:marLeft w:val="225"/>
              <w:marRight w:val="225"/>
              <w:marTop w:val="0"/>
              <w:marBottom w:val="0"/>
              <w:divBdr>
                <w:top w:val="none" w:sz="0" w:space="0" w:color="auto"/>
                <w:left w:val="none" w:sz="0" w:space="0" w:color="auto"/>
                <w:bottom w:val="none" w:sz="0" w:space="0" w:color="auto"/>
                <w:right w:val="none" w:sz="0" w:space="0" w:color="auto"/>
              </w:divBdr>
              <w:divsChild>
                <w:div w:id="1687055928">
                  <w:marLeft w:val="0"/>
                  <w:marRight w:val="0"/>
                  <w:marTop w:val="0"/>
                  <w:marBottom w:val="0"/>
                  <w:divBdr>
                    <w:top w:val="none" w:sz="0" w:space="0" w:color="auto"/>
                    <w:left w:val="none" w:sz="0" w:space="0" w:color="auto"/>
                    <w:bottom w:val="none" w:sz="0" w:space="0" w:color="auto"/>
                    <w:right w:val="none" w:sz="0" w:space="0" w:color="auto"/>
                  </w:divBdr>
                  <w:divsChild>
                    <w:div w:id="882064037">
                      <w:marLeft w:val="0"/>
                      <w:marRight w:val="0"/>
                      <w:marTop w:val="0"/>
                      <w:marBottom w:val="750"/>
                      <w:divBdr>
                        <w:top w:val="none" w:sz="0" w:space="0" w:color="auto"/>
                        <w:left w:val="none" w:sz="0" w:space="0" w:color="auto"/>
                        <w:bottom w:val="none" w:sz="0" w:space="0" w:color="auto"/>
                        <w:right w:val="none" w:sz="0" w:space="0" w:color="auto"/>
                      </w:divBdr>
                      <w:divsChild>
                        <w:div w:id="957839323">
                          <w:marLeft w:val="0"/>
                          <w:marRight w:val="0"/>
                          <w:marTop w:val="0"/>
                          <w:marBottom w:val="0"/>
                          <w:divBdr>
                            <w:top w:val="none" w:sz="0" w:space="0" w:color="auto"/>
                            <w:left w:val="single" w:sz="6" w:space="0" w:color="FFFFFF"/>
                            <w:bottom w:val="single" w:sz="6" w:space="11" w:color="B2B2B2"/>
                            <w:right w:val="single" w:sz="6" w:space="0" w:color="FFFFFF"/>
                          </w:divBdr>
                          <w:divsChild>
                            <w:div w:id="516970687">
                              <w:marLeft w:val="0"/>
                              <w:marRight w:val="0"/>
                              <w:marTop w:val="0"/>
                              <w:marBottom w:val="0"/>
                              <w:divBdr>
                                <w:top w:val="none" w:sz="0" w:space="0" w:color="auto"/>
                                <w:left w:val="none" w:sz="0" w:space="0" w:color="auto"/>
                                <w:bottom w:val="none" w:sz="0" w:space="0" w:color="auto"/>
                                <w:right w:val="none" w:sz="0" w:space="0" w:color="auto"/>
                              </w:divBdr>
                              <w:divsChild>
                                <w:div w:id="1865484463">
                                  <w:marLeft w:val="0"/>
                                  <w:marRight w:val="0"/>
                                  <w:marTop w:val="0"/>
                                  <w:marBottom w:val="0"/>
                                  <w:divBdr>
                                    <w:top w:val="none" w:sz="0" w:space="0" w:color="auto"/>
                                    <w:left w:val="none" w:sz="0" w:space="0" w:color="auto"/>
                                    <w:bottom w:val="none" w:sz="0" w:space="0" w:color="auto"/>
                                    <w:right w:val="none" w:sz="0" w:space="0" w:color="auto"/>
                                  </w:divBdr>
                                  <w:divsChild>
                                    <w:div w:id="1204682758">
                                      <w:marLeft w:val="0"/>
                                      <w:marRight w:val="0"/>
                                      <w:marTop w:val="30"/>
                                      <w:marBottom w:val="0"/>
                                      <w:divBdr>
                                        <w:top w:val="none" w:sz="0" w:space="0" w:color="auto"/>
                                        <w:left w:val="none" w:sz="0" w:space="0" w:color="auto"/>
                                        <w:bottom w:val="none" w:sz="0" w:space="0" w:color="auto"/>
                                        <w:right w:val="none" w:sz="0" w:space="0" w:color="auto"/>
                                      </w:divBdr>
                                    </w:div>
                                    <w:div w:id="188890639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331110">
      <w:bodyDiv w:val="1"/>
      <w:marLeft w:val="0"/>
      <w:marRight w:val="0"/>
      <w:marTop w:val="0"/>
      <w:marBottom w:val="0"/>
      <w:divBdr>
        <w:top w:val="none" w:sz="0" w:space="0" w:color="auto"/>
        <w:left w:val="none" w:sz="0" w:space="0" w:color="auto"/>
        <w:bottom w:val="none" w:sz="0" w:space="0" w:color="auto"/>
        <w:right w:val="none" w:sz="0" w:space="0" w:color="auto"/>
      </w:divBdr>
    </w:div>
    <w:div w:id="1768426212">
      <w:bodyDiv w:val="1"/>
      <w:marLeft w:val="0"/>
      <w:marRight w:val="0"/>
      <w:marTop w:val="0"/>
      <w:marBottom w:val="0"/>
      <w:divBdr>
        <w:top w:val="none" w:sz="0" w:space="0" w:color="auto"/>
        <w:left w:val="none" w:sz="0" w:space="0" w:color="auto"/>
        <w:bottom w:val="none" w:sz="0" w:space="0" w:color="auto"/>
        <w:right w:val="none" w:sz="0" w:space="0" w:color="auto"/>
      </w:divBdr>
      <w:divsChild>
        <w:div w:id="737090248">
          <w:marLeft w:val="0"/>
          <w:marRight w:val="0"/>
          <w:marTop w:val="0"/>
          <w:marBottom w:val="0"/>
          <w:divBdr>
            <w:top w:val="none" w:sz="0" w:space="0" w:color="auto"/>
            <w:left w:val="none" w:sz="0" w:space="0" w:color="auto"/>
            <w:bottom w:val="none" w:sz="0" w:space="0" w:color="auto"/>
            <w:right w:val="none" w:sz="0" w:space="0" w:color="auto"/>
          </w:divBdr>
          <w:divsChild>
            <w:div w:id="861013510">
              <w:marLeft w:val="0"/>
              <w:marRight w:val="0"/>
              <w:marTop w:val="100"/>
              <w:marBottom w:val="100"/>
              <w:divBdr>
                <w:top w:val="none" w:sz="0" w:space="0" w:color="auto"/>
                <w:left w:val="none" w:sz="0" w:space="0" w:color="auto"/>
                <w:bottom w:val="none" w:sz="0" w:space="0" w:color="auto"/>
                <w:right w:val="none" w:sz="0" w:space="0" w:color="auto"/>
              </w:divBdr>
              <w:divsChild>
                <w:div w:id="1178422575">
                  <w:marLeft w:val="0"/>
                  <w:marRight w:val="0"/>
                  <w:marTop w:val="0"/>
                  <w:marBottom w:val="0"/>
                  <w:divBdr>
                    <w:top w:val="none" w:sz="0" w:space="0" w:color="auto"/>
                    <w:left w:val="none" w:sz="0" w:space="0" w:color="auto"/>
                    <w:bottom w:val="none" w:sz="0" w:space="0" w:color="auto"/>
                    <w:right w:val="none" w:sz="0" w:space="0" w:color="auto"/>
                  </w:divBdr>
                  <w:divsChild>
                    <w:div w:id="719326761">
                      <w:marLeft w:val="0"/>
                      <w:marRight w:val="0"/>
                      <w:marTop w:val="0"/>
                      <w:marBottom w:val="0"/>
                      <w:divBdr>
                        <w:top w:val="none" w:sz="0" w:space="0" w:color="auto"/>
                        <w:left w:val="none" w:sz="0" w:space="0" w:color="auto"/>
                        <w:bottom w:val="none" w:sz="0" w:space="0" w:color="auto"/>
                        <w:right w:val="none" w:sz="0" w:space="0" w:color="auto"/>
                      </w:divBdr>
                      <w:divsChild>
                        <w:div w:id="87390047">
                          <w:marLeft w:val="0"/>
                          <w:marRight w:val="0"/>
                          <w:marTop w:val="100"/>
                          <w:marBottom w:val="100"/>
                          <w:divBdr>
                            <w:top w:val="none" w:sz="0" w:space="0" w:color="auto"/>
                            <w:left w:val="none" w:sz="0" w:space="0" w:color="auto"/>
                            <w:bottom w:val="none" w:sz="0" w:space="0" w:color="auto"/>
                            <w:right w:val="none" w:sz="0" w:space="0" w:color="auto"/>
                          </w:divBdr>
                          <w:divsChild>
                            <w:div w:id="920598191">
                              <w:marLeft w:val="0"/>
                              <w:marRight w:val="0"/>
                              <w:marTop w:val="0"/>
                              <w:marBottom w:val="135"/>
                              <w:divBdr>
                                <w:top w:val="none" w:sz="0" w:space="0" w:color="auto"/>
                                <w:left w:val="none" w:sz="0" w:space="0" w:color="auto"/>
                                <w:bottom w:val="single" w:sz="12" w:space="9" w:color="EBEBEB"/>
                                <w:right w:val="none" w:sz="0" w:space="0" w:color="auto"/>
                              </w:divBdr>
                              <w:divsChild>
                                <w:div w:id="753205910">
                                  <w:marLeft w:val="0"/>
                                  <w:marRight w:val="0"/>
                                  <w:marTop w:val="0"/>
                                  <w:marBottom w:val="0"/>
                                  <w:divBdr>
                                    <w:top w:val="none" w:sz="0" w:space="0" w:color="auto"/>
                                    <w:left w:val="none" w:sz="0" w:space="0" w:color="auto"/>
                                    <w:bottom w:val="none" w:sz="0" w:space="0" w:color="auto"/>
                                    <w:right w:val="none" w:sz="0" w:space="0" w:color="auto"/>
                                  </w:divBdr>
                                </w:div>
                              </w:divsChild>
                            </w:div>
                            <w:div w:id="530802632">
                              <w:marLeft w:val="0"/>
                              <w:marRight w:val="0"/>
                              <w:marTop w:val="0"/>
                              <w:marBottom w:val="120"/>
                              <w:divBdr>
                                <w:top w:val="none" w:sz="0" w:space="0" w:color="auto"/>
                                <w:left w:val="none" w:sz="0" w:space="0" w:color="auto"/>
                                <w:bottom w:val="none" w:sz="0" w:space="0" w:color="auto"/>
                                <w:right w:val="none" w:sz="0" w:space="0" w:color="auto"/>
                              </w:divBdr>
                              <w:divsChild>
                                <w:div w:id="216548027">
                                  <w:marLeft w:val="0"/>
                                  <w:marRight w:val="0"/>
                                  <w:marTop w:val="0"/>
                                  <w:marBottom w:val="0"/>
                                  <w:divBdr>
                                    <w:top w:val="none" w:sz="0" w:space="0" w:color="auto"/>
                                    <w:left w:val="none" w:sz="0" w:space="0" w:color="auto"/>
                                    <w:bottom w:val="none" w:sz="0" w:space="0" w:color="auto"/>
                                    <w:right w:val="none" w:sz="0" w:space="0" w:color="auto"/>
                                  </w:divBdr>
                                  <w:divsChild>
                                    <w:div w:id="1141459570">
                                      <w:marLeft w:val="0"/>
                                      <w:marRight w:val="0"/>
                                      <w:marTop w:val="0"/>
                                      <w:marBottom w:val="0"/>
                                      <w:divBdr>
                                        <w:top w:val="none" w:sz="0" w:space="0" w:color="auto"/>
                                        <w:left w:val="none" w:sz="0" w:space="0" w:color="auto"/>
                                        <w:bottom w:val="none" w:sz="0" w:space="0" w:color="auto"/>
                                        <w:right w:val="none" w:sz="0" w:space="0" w:color="auto"/>
                                      </w:divBdr>
                                      <w:divsChild>
                                        <w:div w:id="2026976291">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977429">
      <w:bodyDiv w:val="1"/>
      <w:marLeft w:val="0"/>
      <w:marRight w:val="0"/>
      <w:marTop w:val="0"/>
      <w:marBottom w:val="0"/>
      <w:divBdr>
        <w:top w:val="none" w:sz="0" w:space="0" w:color="auto"/>
        <w:left w:val="none" w:sz="0" w:space="0" w:color="auto"/>
        <w:bottom w:val="none" w:sz="0" w:space="0" w:color="auto"/>
        <w:right w:val="none" w:sz="0" w:space="0" w:color="auto"/>
      </w:divBdr>
    </w:div>
    <w:div w:id="1845588063">
      <w:bodyDiv w:val="1"/>
      <w:marLeft w:val="0"/>
      <w:marRight w:val="0"/>
      <w:marTop w:val="0"/>
      <w:marBottom w:val="0"/>
      <w:divBdr>
        <w:top w:val="none" w:sz="0" w:space="0" w:color="auto"/>
        <w:left w:val="none" w:sz="0" w:space="0" w:color="auto"/>
        <w:bottom w:val="none" w:sz="0" w:space="0" w:color="auto"/>
        <w:right w:val="none" w:sz="0" w:space="0" w:color="auto"/>
      </w:divBdr>
      <w:divsChild>
        <w:div w:id="624165607">
          <w:marLeft w:val="0"/>
          <w:marRight w:val="0"/>
          <w:marTop w:val="0"/>
          <w:marBottom w:val="0"/>
          <w:divBdr>
            <w:top w:val="none" w:sz="0" w:space="0" w:color="auto"/>
            <w:left w:val="none" w:sz="0" w:space="0" w:color="auto"/>
            <w:bottom w:val="none" w:sz="0" w:space="0" w:color="auto"/>
            <w:right w:val="none" w:sz="0" w:space="0" w:color="auto"/>
          </w:divBdr>
          <w:divsChild>
            <w:div w:id="1630940381">
              <w:marLeft w:val="225"/>
              <w:marRight w:val="225"/>
              <w:marTop w:val="0"/>
              <w:marBottom w:val="0"/>
              <w:divBdr>
                <w:top w:val="none" w:sz="0" w:space="0" w:color="auto"/>
                <w:left w:val="none" w:sz="0" w:space="0" w:color="auto"/>
                <w:bottom w:val="none" w:sz="0" w:space="0" w:color="auto"/>
                <w:right w:val="none" w:sz="0" w:space="0" w:color="auto"/>
              </w:divBdr>
              <w:divsChild>
                <w:div w:id="1667442470">
                  <w:marLeft w:val="0"/>
                  <w:marRight w:val="0"/>
                  <w:marTop w:val="0"/>
                  <w:marBottom w:val="0"/>
                  <w:divBdr>
                    <w:top w:val="none" w:sz="0" w:space="0" w:color="auto"/>
                    <w:left w:val="none" w:sz="0" w:space="0" w:color="auto"/>
                    <w:bottom w:val="none" w:sz="0" w:space="0" w:color="auto"/>
                    <w:right w:val="none" w:sz="0" w:space="0" w:color="auto"/>
                  </w:divBdr>
                  <w:divsChild>
                    <w:div w:id="1372073086">
                      <w:marLeft w:val="0"/>
                      <w:marRight w:val="0"/>
                      <w:marTop w:val="0"/>
                      <w:marBottom w:val="750"/>
                      <w:divBdr>
                        <w:top w:val="none" w:sz="0" w:space="0" w:color="auto"/>
                        <w:left w:val="none" w:sz="0" w:space="0" w:color="auto"/>
                        <w:bottom w:val="none" w:sz="0" w:space="0" w:color="auto"/>
                        <w:right w:val="none" w:sz="0" w:space="0" w:color="auto"/>
                      </w:divBdr>
                      <w:divsChild>
                        <w:div w:id="1274551140">
                          <w:marLeft w:val="0"/>
                          <w:marRight w:val="0"/>
                          <w:marTop w:val="0"/>
                          <w:marBottom w:val="0"/>
                          <w:divBdr>
                            <w:top w:val="none" w:sz="0" w:space="0" w:color="auto"/>
                            <w:left w:val="single" w:sz="6" w:space="0" w:color="FFFFFF"/>
                            <w:bottom w:val="single" w:sz="6" w:space="11" w:color="B2B2B2"/>
                            <w:right w:val="single" w:sz="6" w:space="0" w:color="FFFFFF"/>
                          </w:divBdr>
                          <w:divsChild>
                            <w:div w:id="1698657817">
                              <w:marLeft w:val="0"/>
                              <w:marRight w:val="0"/>
                              <w:marTop w:val="0"/>
                              <w:marBottom w:val="0"/>
                              <w:divBdr>
                                <w:top w:val="none" w:sz="0" w:space="0" w:color="auto"/>
                                <w:left w:val="none" w:sz="0" w:space="0" w:color="auto"/>
                                <w:bottom w:val="none" w:sz="0" w:space="0" w:color="auto"/>
                                <w:right w:val="none" w:sz="0" w:space="0" w:color="auto"/>
                              </w:divBdr>
                              <w:divsChild>
                                <w:div w:id="1992754239">
                                  <w:marLeft w:val="0"/>
                                  <w:marRight w:val="0"/>
                                  <w:marTop w:val="0"/>
                                  <w:marBottom w:val="0"/>
                                  <w:divBdr>
                                    <w:top w:val="none" w:sz="0" w:space="0" w:color="auto"/>
                                    <w:left w:val="none" w:sz="0" w:space="0" w:color="auto"/>
                                    <w:bottom w:val="none" w:sz="0" w:space="0" w:color="auto"/>
                                    <w:right w:val="none" w:sz="0" w:space="0" w:color="auto"/>
                                  </w:divBdr>
                                  <w:divsChild>
                                    <w:div w:id="1761097627">
                                      <w:marLeft w:val="0"/>
                                      <w:marRight w:val="0"/>
                                      <w:marTop w:val="30"/>
                                      <w:marBottom w:val="0"/>
                                      <w:divBdr>
                                        <w:top w:val="none" w:sz="0" w:space="0" w:color="auto"/>
                                        <w:left w:val="none" w:sz="0" w:space="0" w:color="auto"/>
                                        <w:bottom w:val="none" w:sz="0" w:space="0" w:color="auto"/>
                                        <w:right w:val="none" w:sz="0" w:space="0" w:color="auto"/>
                                      </w:divBdr>
                                    </w:div>
                                    <w:div w:id="117160551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8985">
      <w:bodyDiv w:val="1"/>
      <w:marLeft w:val="0"/>
      <w:marRight w:val="0"/>
      <w:marTop w:val="0"/>
      <w:marBottom w:val="0"/>
      <w:divBdr>
        <w:top w:val="none" w:sz="0" w:space="0" w:color="auto"/>
        <w:left w:val="none" w:sz="0" w:space="0" w:color="auto"/>
        <w:bottom w:val="none" w:sz="0" w:space="0" w:color="auto"/>
        <w:right w:val="none" w:sz="0" w:space="0" w:color="auto"/>
      </w:divBdr>
      <w:divsChild>
        <w:div w:id="522398804">
          <w:marLeft w:val="0"/>
          <w:marRight w:val="0"/>
          <w:marTop w:val="0"/>
          <w:marBottom w:val="0"/>
          <w:divBdr>
            <w:top w:val="none" w:sz="0" w:space="0" w:color="auto"/>
            <w:left w:val="none" w:sz="0" w:space="0" w:color="auto"/>
            <w:bottom w:val="none" w:sz="0" w:space="0" w:color="auto"/>
            <w:right w:val="none" w:sz="0" w:space="0" w:color="auto"/>
          </w:divBdr>
        </w:div>
        <w:div w:id="793793320">
          <w:marLeft w:val="0"/>
          <w:marRight w:val="0"/>
          <w:marTop w:val="0"/>
          <w:marBottom w:val="0"/>
          <w:divBdr>
            <w:top w:val="none" w:sz="0" w:space="0" w:color="auto"/>
            <w:left w:val="none" w:sz="0" w:space="0" w:color="auto"/>
            <w:bottom w:val="none" w:sz="0" w:space="0" w:color="auto"/>
            <w:right w:val="none" w:sz="0" w:space="0" w:color="auto"/>
          </w:divBdr>
        </w:div>
        <w:div w:id="1270940134">
          <w:marLeft w:val="0"/>
          <w:marRight w:val="0"/>
          <w:marTop w:val="0"/>
          <w:marBottom w:val="0"/>
          <w:divBdr>
            <w:top w:val="none" w:sz="0" w:space="0" w:color="auto"/>
            <w:left w:val="none" w:sz="0" w:space="0" w:color="auto"/>
            <w:bottom w:val="none" w:sz="0" w:space="0" w:color="auto"/>
            <w:right w:val="none" w:sz="0" w:space="0" w:color="auto"/>
          </w:divBdr>
        </w:div>
        <w:div w:id="1440447650">
          <w:marLeft w:val="0"/>
          <w:marRight w:val="0"/>
          <w:marTop w:val="0"/>
          <w:marBottom w:val="0"/>
          <w:divBdr>
            <w:top w:val="none" w:sz="0" w:space="0" w:color="auto"/>
            <w:left w:val="none" w:sz="0" w:space="0" w:color="auto"/>
            <w:bottom w:val="none" w:sz="0" w:space="0" w:color="auto"/>
            <w:right w:val="none" w:sz="0" w:space="0" w:color="auto"/>
          </w:divBdr>
        </w:div>
        <w:div w:id="184372439">
          <w:marLeft w:val="0"/>
          <w:marRight w:val="0"/>
          <w:marTop w:val="0"/>
          <w:marBottom w:val="0"/>
          <w:divBdr>
            <w:top w:val="none" w:sz="0" w:space="0" w:color="auto"/>
            <w:left w:val="none" w:sz="0" w:space="0" w:color="auto"/>
            <w:bottom w:val="none" w:sz="0" w:space="0" w:color="auto"/>
            <w:right w:val="none" w:sz="0" w:space="0" w:color="auto"/>
          </w:divBdr>
        </w:div>
      </w:divsChild>
    </w:div>
    <w:div w:id="2070690567">
      <w:bodyDiv w:val="1"/>
      <w:marLeft w:val="0"/>
      <w:marRight w:val="0"/>
      <w:marTop w:val="0"/>
      <w:marBottom w:val="0"/>
      <w:divBdr>
        <w:top w:val="none" w:sz="0" w:space="0" w:color="auto"/>
        <w:left w:val="none" w:sz="0" w:space="0" w:color="auto"/>
        <w:bottom w:val="none" w:sz="0" w:space="0" w:color="auto"/>
        <w:right w:val="none" w:sz="0" w:space="0" w:color="auto"/>
      </w:divBdr>
      <w:divsChild>
        <w:div w:id="1984894911">
          <w:marLeft w:val="0"/>
          <w:marRight w:val="0"/>
          <w:marTop w:val="100"/>
          <w:marBottom w:val="100"/>
          <w:divBdr>
            <w:top w:val="none" w:sz="0" w:space="0" w:color="auto"/>
            <w:left w:val="none" w:sz="0" w:space="0" w:color="auto"/>
            <w:bottom w:val="none" w:sz="0" w:space="0" w:color="auto"/>
            <w:right w:val="none" w:sz="0" w:space="0" w:color="auto"/>
          </w:divBdr>
          <w:divsChild>
            <w:div w:id="1188374303">
              <w:marLeft w:val="0"/>
              <w:marRight w:val="0"/>
              <w:marTop w:val="0"/>
              <w:marBottom w:val="0"/>
              <w:divBdr>
                <w:top w:val="none" w:sz="0" w:space="0" w:color="auto"/>
                <w:left w:val="none" w:sz="0" w:space="0" w:color="auto"/>
                <w:bottom w:val="none" w:sz="0" w:space="0" w:color="auto"/>
                <w:right w:val="none" w:sz="0" w:space="0" w:color="auto"/>
              </w:divBdr>
              <w:divsChild>
                <w:div w:id="920798211">
                  <w:marLeft w:val="105"/>
                  <w:marRight w:val="105"/>
                  <w:marTop w:val="105"/>
                  <w:marBottom w:val="105"/>
                  <w:divBdr>
                    <w:top w:val="none" w:sz="0" w:space="0" w:color="auto"/>
                    <w:left w:val="none" w:sz="0" w:space="0" w:color="auto"/>
                    <w:bottom w:val="none" w:sz="0" w:space="0" w:color="auto"/>
                    <w:right w:val="none" w:sz="0" w:space="0" w:color="auto"/>
                  </w:divBdr>
                  <w:divsChild>
                    <w:div w:id="900293604">
                      <w:marLeft w:val="0"/>
                      <w:marRight w:val="0"/>
                      <w:marTop w:val="0"/>
                      <w:marBottom w:val="0"/>
                      <w:divBdr>
                        <w:top w:val="none" w:sz="0" w:space="0" w:color="auto"/>
                        <w:left w:val="none" w:sz="0" w:space="0" w:color="auto"/>
                        <w:bottom w:val="none" w:sz="0" w:space="0" w:color="auto"/>
                        <w:right w:val="none" w:sz="0" w:space="0" w:color="auto"/>
                      </w:divBdr>
                      <w:divsChild>
                        <w:div w:id="722867436">
                          <w:marLeft w:val="0"/>
                          <w:marRight w:val="0"/>
                          <w:marTop w:val="0"/>
                          <w:marBottom w:val="0"/>
                          <w:divBdr>
                            <w:top w:val="none" w:sz="0" w:space="0" w:color="auto"/>
                            <w:left w:val="none" w:sz="0" w:space="0" w:color="auto"/>
                            <w:bottom w:val="none" w:sz="0" w:space="0" w:color="auto"/>
                            <w:right w:val="none" w:sz="0" w:space="0" w:color="auto"/>
                          </w:divBdr>
                          <w:divsChild>
                            <w:div w:id="1306619075">
                              <w:marLeft w:val="0"/>
                              <w:marRight w:val="0"/>
                              <w:marTop w:val="0"/>
                              <w:marBottom w:val="0"/>
                              <w:divBdr>
                                <w:top w:val="none" w:sz="0" w:space="0" w:color="auto"/>
                                <w:left w:val="none" w:sz="0" w:space="0" w:color="auto"/>
                                <w:bottom w:val="none" w:sz="0" w:space="0" w:color="auto"/>
                                <w:right w:val="none" w:sz="0" w:space="0" w:color="auto"/>
                              </w:divBdr>
                              <w:divsChild>
                                <w:div w:id="1697534814">
                                  <w:marLeft w:val="0"/>
                                  <w:marRight w:val="0"/>
                                  <w:marTop w:val="0"/>
                                  <w:marBottom w:val="0"/>
                                  <w:divBdr>
                                    <w:top w:val="none" w:sz="0" w:space="0" w:color="auto"/>
                                    <w:left w:val="none" w:sz="0" w:space="0" w:color="auto"/>
                                    <w:bottom w:val="none" w:sz="0" w:space="0" w:color="auto"/>
                                    <w:right w:val="none" w:sz="0" w:space="0" w:color="auto"/>
                                  </w:divBdr>
                                  <w:divsChild>
                                    <w:div w:id="203949933">
                                      <w:marLeft w:val="105"/>
                                      <w:marRight w:val="105"/>
                                      <w:marTop w:val="105"/>
                                      <w:marBottom w:val="105"/>
                                      <w:divBdr>
                                        <w:top w:val="none" w:sz="0" w:space="0" w:color="auto"/>
                                        <w:left w:val="none" w:sz="0" w:space="0" w:color="auto"/>
                                        <w:bottom w:val="none" w:sz="0" w:space="0" w:color="auto"/>
                                        <w:right w:val="none" w:sz="0" w:space="0" w:color="auto"/>
                                      </w:divBdr>
                                      <w:divsChild>
                                        <w:div w:id="1489133031">
                                          <w:marLeft w:val="0"/>
                                          <w:marRight w:val="0"/>
                                          <w:marTop w:val="0"/>
                                          <w:marBottom w:val="0"/>
                                          <w:divBdr>
                                            <w:top w:val="none" w:sz="0" w:space="0" w:color="auto"/>
                                            <w:left w:val="none" w:sz="0" w:space="0" w:color="auto"/>
                                            <w:bottom w:val="none" w:sz="0" w:space="0" w:color="auto"/>
                                            <w:right w:val="none" w:sz="0" w:space="0" w:color="auto"/>
                                          </w:divBdr>
                                          <w:divsChild>
                                            <w:div w:id="1483036921">
                                              <w:marLeft w:val="0"/>
                                              <w:marRight w:val="0"/>
                                              <w:marTop w:val="0"/>
                                              <w:marBottom w:val="0"/>
                                              <w:divBdr>
                                                <w:top w:val="none" w:sz="0" w:space="0" w:color="auto"/>
                                                <w:left w:val="none" w:sz="0" w:space="0" w:color="auto"/>
                                                <w:bottom w:val="none" w:sz="0" w:space="0" w:color="auto"/>
                                                <w:right w:val="none" w:sz="0" w:space="0" w:color="auto"/>
                                              </w:divBdr>
                                              <w:divsChild>
                                                <w:div w:id="2088306153">
                                                  <w:marLeft w:val="0"/>
                                                  <w:marRight w:val="0"/>
                                                  <w:marTop w:val="0"/>
                                                  <w:marBottom w:val="0"/>
                                                  <w:divBdr>
                                                    <w:top w:val="none" w:sz="0" w:space="0" w:color="auto"/>
                                                    <w:left w:val="none" w:sz="0" w:space="0" w:color="auto"/>
                                                    <w:bottom w:val="none" w:sz="0" w:space="0" w:color="auto"/>
                                                    <w:right w:val="none" w:sz="0" w:space="0" w:color="auto"/>
                                                  </w:divBdr>
                                                  <w:divsChild>
                                                    <w:div w:id="465320230">
                                                      <w:marLeft w:val="0"/>
                                                      <w:marRight w:val="0"/>
                                                      <w:marTop w:val="0"/>
                                                      <w:marBottom w:val="0"/>
                                                      <w:divBdr>
                                                        <w:top w:val="none" w:sz="0" w:space="0" w:color="auto"/>
                                                        <w:left w:val="none" w:sz="0" w:space="0" w:color="auto"/>
                                                        <w:bottom w:val="none" w:sz="0" w:space="0" w:color="auto"/>
                                                        <w:right w:val="none" w:sz="0" w:space="0" w:color="auto"/>
                                                      </w:divBdr>
                                                      <w:divsChild>
                                                        <w:div w:id="2018001135">
                                                          <w:marLeft w:val="0"/>
                                                          <w:marRight w:val="0"/>
                                                          <w:marTop w:val="0"/>
                                                          <w:marBottom w:val="0"/>
                                                          <w:divBdr>
                                                            <w:top w:val="none" w:sz="0" w:space="0" w:color="auto"/>
                                                            <w:left w:val="none" w:sz="0" w:space="0" w:color="auto"/>
                                                            <w:bottom w:val="none" w:sz="0" w:space="0" w:color="auto"/>
                                                            <w:right w:val="none" w:sz="0" w:space="0" w:color="auto"/>
                                                          </w:divBdr>
                                                          <w:divsChild>
                                                            <w:div w:id="365495586">
                                                              <w:marLeft w:val="0"/>
                                                              <w:marRight w:val="0"/>
                                                              <w:marTop w:val="0"/>
                                                              <w:marBottom w:val="0"/>
                                                              <w:divBdr>
                                                                <w:top w:val="none" w:sz="0" w:space="0" w:color="auto"/>
                                                                <w:left w:val="none" w:sz="0" w:space="0" w:color="auto"/>
                                                                <w:bottom w:val="none" w:sz="0" w:space="0" w:color="auto"/>
                                                                <w:right w:val="none" w:sz="0" w:space="0" w:color="auto"/>
                                                              </w:divBdr>
                                                              <w:divsChild>
                                                                <w:div w:id="447698313">
                                                                  <w:marLeft w:val="105"/>
                                                                  <w:marRight w:val="105"/>
                                                                  <w:marTop w:val="105"/>
                                                                  <w:marBottom w:val="105"/>
                                                                  <w:divBdr>
                                                                    <w:top w:val="none" w:sz="0" w:space="0" w:color="auto"/>
                                                                    <w:left w:val="none" w:sz="0" w:space="0" w:color="auto"/>
                                                                    <w:bottom w:val="none" w:sz="0" w:space="0" w:color="auto"/>
                                                                    <w:right w:val="none" w:sz="0" w:space="0" w:color="auto"/>
                                                                  </w:divBdr>
                                                                  <w:divsChild>
                                                                    <w:div w:id="1971668958">
                                                                      <w:marLeft w:val="0"/>
                                                                      <w:marRight w:val="0"/>
                                                                      <w:marTop w:val="0"/>
                                                                      <w:marBottom w:val="0"/>
                                                                      <w:divBdr>
                                                                        <w:top w:val="none" w:sz="0" w:space="0" w:color="auto"/>
                                                                        <w:left w:val="none" w:sz="0" w:space="0" w:color="auto"/>
                                                                        <w:bottom w:val="none" w:sz="0" w:space="0" w:color="auto"/>
                                                                        <w:right w:val="none" w:sz="0" w:space="0" w:color="auto"/>
                                                                      </w:divBdr>
                                                                      <w:divsChild>
                                                                        <w:div w:id="2121798390">
                                                                          <w:marLeft w:val="0"/>
                                                                          <w:marRight w:val="0"/>
                                                                          <w:marTop w:val="0"/>
                                                                          <w:marBottom w:val="0"/>
                                                                          <w:divBdr>
                                                                            <w:top w:val="none" w:sz="0" w:space="0" w:color="auto"/>
                                                                            <w:left w:val="none" w:sz="0" w:space="0" w:color="auto"/>
                                                                            <w:bottom w:val="none" w:sz="0" w:space="0" w:color="auto"/>
                                                                            <w:right w:val="none" w:sz="0" w:space="0" w:color="auto"/>
                                                                          </w:divBdr>
                                                                          <w:divsChild>
                                                                            <w:div w:id="1887448280">
                                                                              <w:marLeft w:val="0"/>
                                                                              <w:marRight w:val="0"/>
                                                                              <w:marTop w:val="0"/>
                                                                              <w:marBottom w:val="0"/>
                                                                              <w:divBdr>
                                                                                <w:top w:val="none" w:sz="0" w:space="0" w:color="auto"/>
                                                                                <w:left w:val="none" w:sz="0" w:space="0" w:color="auto"/>
                                                                                <w:bottom w:val="none" w:sz="0" w:space="0" w:color="auto"/>
                                                                                <w:right w:val="none" w:sz="0" w:space="0" w:color="auto"/>
                                                                              </w:divBdr>
                                                                              <w:divsChild>
                                                                                <w:div w:id="403530074">
                                                                                  <w:marLeft w:val="0"/>
                                                                                  <w:marRight w:val="0"/>
                                                                                  <w:marTop w:val="0"/>
                                                                                  <w:marBottom w:val="0"/>
                                                                                  <w:divBdr>
                                                                                    <w:top w:val="none" w:sz="0" w:space="0" w:color="auto"/>
                                                                                    <w:left w:val="none" w:sz="0" w:space="0" w:color="auto"/>
                                                                                    <w:bottom w:val="none" w:sz="0" w:space="0" w:color="auto"/>
                                                                                    <w:right w:val="none" w:sz="0" w:space="0" w:color="auto"/>
                                                                                  </w:divBdr>
                                                                                  <w:divsChild>
                                                                                    <w:div w:id="143625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805197">
                                                                  <w:marLeft w:val="105"/>
                                                                  <w:marRight w:val="105"/>
                                                                  <w:marTop w:val="105"/>
                                                                  <w:marBottom w:val="105"/>
                                                                  <w:divBdr>
                                                                    <w:top w:val="none" w:sz="0" w:space="0" w:color="auto"/>
                                                                    <w:left w:val="none" w:sz="0" w:space="0" w:color="auto"/>
                                                                    <w:bottom w:val="none" w:sz="0" w:space="0" w:color="auto"/>
                                                                    <w:right w:val="none" w:sz="0" w:space="0" w:color="auto"/>
                                                                  </w:divBdr>
                                                                  <w:divsChild>
                                                                    <w:div w:id="973487976">
                                                                      <w:marLeft w:val="0"/>
                                                                      <w:marRight w:val="0"/>
                                                                      <w:marTop w:val="0"/>
                                                                      <w:marBottom w:val="0"/>
                                                                      <w:divBdr>
                                                                        <w:top w:val="none" w:sz="0" w:space="0" w:color="auto"/>
                                                                        <w:left w:val="none" w:sz="0" w:space="0" w:color="auto"/>
                                                                        <w:bottom w:val="none" w:sz="0" w:space="0" w:color="auto"/>
                                                                        <w:right w:val="none" w:sz="0" w:space="0" w:color="auto"/>
                                                                      </w:divBdr>
                                                                      <w:divsChild>
                                                                        <w:div w:id="2107655448">
                                                                          <w:marLeft w:val="0"/>
                                                                          <w:marRight w:val="0"/>
                                                                          <w:marTop w:val="0"/>
                                                                          <w:marBottom w:val="0"/>
                                                                          <w:divBdr>
                                                                            <w:top w:val="none" w:sz="0" w:space="0" w:color="auto"/>
                                                                            <w:left w:val="none" w:sz="0" w:space="0" w:color="auto"/>
                                                                            <w:bottom w:val="none" w:sz="0" w:space="0" w:color="auto"/>
                                                                            <w:right w:val="none" w:sz="0" w:space="0" w:color="auto"/>
                                                                          </w:divBdr>
                                                                          <w:divsChild>
                                                                            <w:div w:id="1616016152">
                                                                              <w:marLeft w:val="0"/>
                                                                              <w:marRight w:val="0"/>
                                                                              <w:marTop w:val="0"/>
                                                                              <w:marBottom w:val="0"/>
                                                                              <w:divBdr>
                                                                                <w:top w:val="none" w:sz="0" w:space="0" w:color="auto"/>
                                                                                <w:left w:val="none" w:sz="0" w:space="0" w:color="auto"/>
                                                                                <w:bottom w:val="none" w:sz="0" w:space="0" w:color="auto"/>
                                                                                <w:right w:val="none" w:sz="0" w:space="0" w:color="auto"/>
                                                                              </w:divBdr>
                                                                              <w:divsChild>
                                                                                <w:div w:id="670259522">
                                                                                  <w:marLeft w:val="0"/>
                                                                                  <w:marRight w:val="0"/>
                                                                                  <w:marTop w:val="0"/>
                                                                                  <w:marBottom w:val="0"/>
                                                                                  <w:divBdr>
                                                                                    <w:top w:val="none" w:sz="0" w:space="0" w:color="auto"/>
                                                                                    <w:left w:val="none" w:sz="0" w:space="0" w:color="auto"/>
                                                                                    <w:bottom w:val="none" w:sz="0" w:space="0" w:color="auto"/>
                                                                                    <w:right w:val="none" w:sz="0" w:space="0" w:color="auto"/>
                                                                                  </w:divBdr>
                                                                                  <w:divsChild>
                                                                                    <w:div w:id="1823349513">
                                                                                      <w:marLeft w:val="0"/>
                                                                                      <w:marRight w:val="0"/>
                                                                                      <w:marTop w:val="0"/>
                                                                                      <w:marBottom w:val="0"/>
                                                                                      <w:divBdr>
                                                                                        <w:top w:val="none" w:sz="0" w:space="0" w:color="auto"/>
                                                                                        <w:left w:val="none" w:sz="0" w:space="0" w:color="auto"/>
                                                                                        <w:bottom w:val="none" w:sz="0" w:space="0" w:color="auto"/>
                                                                                        <w:right w:val="none" w:sz="0" w:space="0" w:color="auto"/>
                                                                                      </w:divBdr>
                                                                                      <w:divsChild>
                                                                                        <w:div w:id="996568575">
                                                                                          <w:marLeft w:val="0"/>
                                                                                          <w:marRight w:val="0"/>
                                                                                          <w:marTop w:val="0"/>
                                                                                          <w:marBottom w:val="0"/>
                                                                                          <w:divBdr>
                                                                                            <w:top w:val="none" w:sz="0" w:space="0" w:color="auto"/>
                                                                                            <w:left w:val="none" w:sz="0" w:space="0" w:color="auto"/>
                                                                                            <w:bottom w:val="none" w:sz="0" w:space="0" w:color="auto"/>
                                                                                            <w:right w:val="none" w:sz="0" w:space="0" w:color="auto"/>
                                                                                          </w:divBdr>
                                                                                          <w:divsChild>
                                                                                            <w:div w:id="1115902052">
                                                                                              <w:marLeft w:val="105"/>
                                                                                              <w:marRight w:val="105"/>
                                                                                              <w:marTop w:val="105"/>
                                                                                              <w:marBottom w:val="105"/>
                                                                                              <w:divBdr>
                                                                                                <w:top w:val="none" w:sz="0" w:space="0" w:color="auto"/>
                                                                                                <w:left w:val="none" w:sz="0" w:space="0" w:color="auto"/>
                                                                                                <w:bottom w:val="none" w:sz="0" w:space="0" w:color="auto"/>
                                                                                                <w:right w:val="none" w:sz="0" w:space="0" w:color="auto"/>
                                                                                              </w:divBdr>
                                                                                              <w:divsChild>
                                                                                                <w:div w:id="1629166078">
                                                                                                  <w:marLeft w:val="0"/>
                                                                                                  <w:marRight w:val="0"/>
                                                                                                  <w:marTop w:val="0"/>
                                                                                                  <w:marBottom w:val="0"/>
                                                                                                  <w:divBdr>
                                                                                                    <w:top w:val="none" w:sz="0" w:space="0" w:color="auto"/>
                                                                                                    <w:left w:val="none" w:sz="0" w:space="0" w:color="auto"/>
                                                                                                    <w:bottom w:val="none" w:sz="0" w:space="0" w:color="auto"/>
                                                                                                    <w:right w:val="none" w:sz="0" w:space="0" w:color="auto"/>
                                                                                                  </w:divBdr>
                                                                                                  <w:divsChild>
                                                                                                    <w:div w:id="1783065677">
                                                                                                      <w:marLeft w:val="0"/>
                                                                                                      <w:marRight w:val="0"/>
                                                                                                      <w:marTop w:val="0"/>
                                                                                                      <w:marBottom w:val="0"/>
                                                                                                      <w:divBdr>
                                                                                                        <w:top w:val="none" w:sz="0" w:space="0" w:color="auto"/>
                                                                                                        <w:left w:val="none" w:sz="0" w:space="0" w:color="auto"/>
                                                                                                        <w:bottom w:val="none" w:sz="0" w:space="0" w:color="auto"/>
                                                                                                        <w:right w:val="none" w:sz="0" w:space="0" w:color="auto"/>
                                                                                                      </w:divBdr>
                                                                                                      <w:divsChild>
                                                                                                        <w:div w:id="1470250204">
                                                                                                          <w:marLeft w:val="0"/>
                                                                                                          <w:marRight w:val="0"/>
                                                                                                          <w:marTop w:val="0"/>
                                                                                                          <w:marBottom w:val="0"/>
                                                                                                          <w:divBdr>
                                                                                                            <w:top w:val="none" w:sz="0" w:space="0" w:color="auto"/>
                                                                                                            <w:left w:val="none" w:sz="0" w:space="0" w:color="auto"/>
                                                                                                            <w:bottom w:val="none" w:sz="0" w:space="0" w:color="auto"/>
                                                                                                            <w:right w:val="none" w:sz="0" w:space="0" w:color="auto"/>
                                                                                                          </w:divBdr>
                                                                                                          <w:divsChild>
                                                                                                            <w:div w:id="400560010">
                                                                                                              <w:marLeft w:val="0"/>
                                                                                                              <w:marRight w:val="0"/>
                                                                                                              <w:marTop w:val="0"/>
                                                                                                              <w:marBottom w:val="0"/>
                                                                                                              <w:divBdr>
                                                                                                                <w:top w:val="none" w:sz="0" w:space="0" w:color="auto"/>
                                                                                                                <w:left w:val="none" w:sz="0" w:space="0" w:color="auto"/>
                                                                                                                <w:bottom w:val="none" w:sz="0" w:space="0" w:color="auto"/>
                                                                                                                <w:right w:val="none" w:sz="0" w:space="0" w:color="auto"/>
                                                                                                              </w:divBdr>
                                                                                                            </w:div>
                                                                                                            <w:div w:id="241332803">
                                                                                                              <w:marLeft w:val="105"/>
                                                                                                              <w:marRight w:val="105"/>
                                                                                                              <w:marTop w:val="105"/>
                                                                                                              <w:marBottom w:val="105"/>
                                                                                                              <w:divBdr>
                                                                                                                <w:top w:val="none" w:sz="0" w:space="0" w:color="auto"/>
                                                                                                                <w:left w:val="none" w:sz="0" w:space="0" w:color="auto"/>
                                                                                                                <w:bottom w:val="none" w:sz="0" w:space="0" w:color="auto"/>
                                                                                                                <w:right w:val="none" w:sz="0" w:space="0" w:color="auto"/>
                                                                                                              </w:divBdr>
                                                                                                              <w:divsChild>
                                                                                                                <w:div w:id="1910264925">
                                                                                                                  <w:marLeft w:val="0"/>
                                                                                                                  <w:marRight w:val="0"/>
                                                                                                                  <w:marTop w:val="0"/>
                                                                                                                  <w:marBottom w:val="0"/>
                                                                                                                  <w:divBdr>
                                                                                                                    <w:top w:val="none" w:sz="0" w:space="0" w:color="auto"/>
                                                                                                                    <w:left w:val="none" w:sz="0" w:space="0" w:color="auto"/>
                                                                                                                    <w:bottom w:val="none" w:sz="0" w:space="0" w:color="auto"/>
                                                                                                                    <w:right w:val="none" w:sz="0" w:space="0" w:color="auto"/>
                                                                                                                  </w:divBdr>
                                                                                                                  <w:divsChild>
                                                                                                                    <w:div w:id="84104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2575">
                                                                                                              <w:marLeft w:val="105"/>
                                                                                                              <w:marRight w:val="105"/>
                                                                                                              <w:marTop w:val="105"/>
                                                                                                              <w:marBottom w:val="105"/>
                                                                                                              <w:divBdr>
                                                                                                                <w:top w:val="none" w:sz="0" w:space="0" w:color="auto"/>
                                                                                                                <w:left w:val="none" w:sz="0" w:space="0" w:color="auto"/>
                                                                                                                <w:bottom w:val="none" w:sz="0" w:space="0" w:color="auto"/>
                                                                                                                <w:right w:val="none" w:sz="0" w:space="0" w:color="auto"/>
                                                                                                              </w:divBdr>
                                                                                                              <w:divsChild>
                                                                                                                <w:div w:id="651106995">
                                                                                                                  <w:marLeft w:val="0"/>
                                                                                                                  <w:marRight w:val="0"/>
                                                                                                                  <w:marTop w:val="0"/>
                                                                                                                  <w:marBottom w:val="0"/>
                                                                                                                  <w:divBdr>
                                                                                                                    <w:top w:val="none" w:sz="0" w:space="0" w:color="auto"/>
                                                                                                                    <w:left w:val="none" w:sz="0" w:space="0" w:color="auto"/>
                                                                                                                    <w:bottom w:val="none" w:sz="0" w:space="0" w:color="auto"/>
                                                                                                                    <w:right w:val="none" w:sz="0" w:space="0" w:color="auto"/>
                                                                                                                  </w:divBdr>
                                                                                                                  <w:divsChild>
                                                                                                                    <w:div w:id="640885897">
                                                                                                                      <w:marLeft w:val="0"/>
                                                                                                                      <w:marRight w:val="0"/>
                                                                                                                      <w:marTop w:val="0"/>
                                                                                                                      <w:marBottom w:val="0"/>
                                                                                                                      <w:divBdr>
                                                                                                                        <w:top w:val="none" w:sz="0" w:space="0" w:color="auto"/>
                                                                                                                        <w:left w:val="none" w:sz="0" w:space="0" w:color="auto"/>
                                                                                                                        <w:bottom w:val="none" w:sz="0" w:space="0" w:color="auto"/>
                                                                                                                        <w:right w:val="none" w:sz="0" w:space="0" w:color="auto"/>
                                                                                                                      </w:divBdr>
                                                                                                                      <w:divsChild>
                                                                                                                        <w:div w:id="281421285">
                                                                                                                          <w:marLeft w:val="0"/>
                                                                                                                          <w:marRight w:val="0"/>
                                                                                                                          <w:marTop w:val="0"/>
                                                                                                                          <w:marBottom w:val="0"/>
                                                                                                                          <w:divBdr>
                                                                                                                            <w:top w:val="none" w:sz="0" w:space="0" w:color="auto"/>
                                                                                                                            <w:left w:val="none" w:sz="0" w:space="0" w:color="auto"/>
                                                                                                                            <w:bottom w:val="none" w:sz="0" w:space="0" w:color="auto"/>
                                                                                                                            <w:right w:val="none" w:sz="0" w:space="0" w:color="auto"/>
                                                                                                                          </w:divBdr>
                                                                                                                        </w:div>
                                                                                                                        <w:div w:id="1364675851">
                                                                                                                          <w:marLeft w:val="0"/>
                                                                                                                          <w:marRight w:val="0"/>
                                                                                                                          <w:marTop w:val="0"/>
                                                                                                                          <w:marBottom w:val="0"/>
                                                                                                                          <w:divBdr>
                                                                                                                            <w:top w:val="none" w:sz="0" w:space="0" w:color="auto"/>
                                                                                                                            <w:left w:val="none" w:sz="0" w:space="0" w:color="auto"/>
                                                                                                                            <w:bottom w:val="none" w:sz="0" w:space="0" w:color="auto"/>
                                                                                                                            <w:right w:val="none" w:sz="0" w:space="0" w:color="auto"/>
                                                                                                                          </w:divBdr>
                                                                                                                        </w:div>
                                                                                                                        <w:div w:id="92479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073847">
                                                                                                              <w:marLeft w:val="105"/>
                                                                                                              <w:marRight w:val="105"/>
                                                                                                              <w:marTop w:val="105"/>
                                                                                                              <w:marBottom w:val="105"/>
                                                                                                              <w:divBdr>
                                                                                                                <w:top w:val="none" w:sz="0" w:space="0" w:color="auto"/>
                                                                                                                <w:left w:val="none" w:sz="0" w:space="0" w:color="auto"/>
                                                                                                                <w:bottom w:val="none" w:sz="0" w:space="0" w:color="auto"/>
                                                                                                                <w:right w:val="none" w:sz="0" w:space="0" w:color="auto"/>
                                                                                                              </w:divBdr>
                                                                                                              <w:divsChild>
                                                                                                                <w:div w:id="1178884106">
                                                                                                                  <w:marLeft w:val="0"/>
                                                                                                                  <w:marRight w:val="0"/>
                                                                                                                  <w:marTop w:val="0"/>
                                                                                                                  <w:marBottom w:val="0"/>
                                                                                                                  <w:divBdr>
                                                                                                                    <w:top w:val="none" w:sz="0" w:space="0" w:color="auto"/>
                                                                                                                    <w:left w:val="none" w:sz="0" w:space="0" w:color="auto"/>
                                                                                                                    <w:bottom w:val="none" w:sz="0" w:space="0" w:color="auto"/>
                                                                                                                    <w:right w:val="none" w:sz="0" w:space="0" w:color="auto"/>
                                                                                                                  </w:divBdr>
                                                                                                                  <w:divsChild>
                                                                                                                    <w:div w:id="63265910">
                                                                                                                      <w:marLeft w:val="0"/>
                                                                                                                      <w:marRight w:val="0"/>
                                                                                                                      <w:marTop w:val="0"/>
                                                                                                                      <w:marBottom w:val="0"/>
                                                                                                                      <w:divBdr>
                                                                                                                        <w:top w:val="none" w:sz="0" w:space="0" w:color="auto"/>
                                                                                                                        <w:left w:val="none" w:sz="0" w:space="0" w:color="auto"/>
                                                                                                                        <w:bottom w:val="none" w:sz="0" w:space="0" w:color="auto"/>
                                                                                                                        <w:right w:val="none" w:sz="0" w:space="0" w:color="auto"/>
                                                                                                                      </w:divBdr>
                                                                                                                      <w:divsChild>
                                                                                                                        <w:div w:id="145694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onkhe.com/blogs/how-to-do-well-in-the-national-student-survey-nss/?platform=hootsuite" TargetMode="External"/><Relationship Id="rId21" Type="http://schemas.openxmlformats.org/officeDocument/2006/relationships/hyperlink" Target="http://www.hepi.ac.uk/2018/01/08/5266/" TargetMode="External"/><Relationship Id="rId34" Type="http://schemas.openxmlformats.org/officeDocument/2006/relationships/hyperlink" Target="http://dera.ioe.ac.uk/id/eprint/14767" TargetMode="External"/><Relationship Id="rId42" Type="http://schemas.openxmlformats.org/officeDocument/2006/relationships/hyperlink" Target="https://www.heacademy.ac.uk/system/files/resources/engagement_through_partnership.pdf" TargetMode="External"/><Relationship Id="rId47" Type="http://schemas.openxmlformats.org/officeDocument/2006/relationships/hyperlink" Target="http://www.hear.ac.uk/about/history-development" TargetMode="External"/><Relationship Id="rId50" Type="http://schemas.openxmlformats.org/officeDocument/2006/relationships/hyperlink" Target="https://www.hesa.ac.uk/news/11-01-2018/sfr247-higher-education-student-statistics/qualifications" TargetMode="External"/><Relationship Id="rId55" Type="http://schemas.openxmlformats.org/officeDocument/2006/relationships/hyperlink" Target="http://www.oecd.org/edu/skills-beyond-school/Litterature%20Review%20VAM.pdf" TargetMode="External"/><Relationship Id="rId63" Type="http://schemas.openxmlformats.org/officeDocument/2006/relationships/hyperlink" Target="http://dera.ioe.ac.uk/23653/1/HEFCE2015_diffout.pdf" TargetMode="External"/><Relationship Id="rId68" Type="http://schemas.openxmlformats.org/officeDocument/2006/relationships/hyperlink" Target="http://www.oecd.org/education/skills-beyond-school/AHELO%20FS%20Report%20-%20Volume%202%20Executive%20Summary.pdf" TargetMode="External"/><Relationship Id="rId76" Type="http://schemas.openxmlformats.org/officeDocument/2006/relationships/hyperlink" Target="http://www.policyconnect.org.uk/hec/sites/site_hec/files/report/419/fieldreportdownload/frombrickstoclicks-hecreportforweb.pdf" TargetMode="External"/><Relationship Id="rId84" Type="http://schemas.openxmlformats.org/officeDocument/2006/relationships/hyperlink" Target="https://www.tandfonline.com/doi/abs/10.1080/02602938.2016.1168772?journalCode=caeh20" TargetMode="External"/><Relationship Id="rId89" Type="http://schemas.openxmlformats.org/officeDocument/2006/relationships/hyperlink" Target="http://www.un.org/ga/search/view_doc.asp?symbol=A/RES/66/288&amp;Lang=E"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officeforstudents.org.uk/advice-and-guidance/promoting-equal-opportunities/addressing-barriers-to-student-success/what-are-the-projects" TargetMode="External"/><Relationship Id="rId92" Type="http://schemas.openxmlformats.org/officeDocument/2006/relationships/hyperlink" Target="http://supporthere.org/sites/default/files/dropout-completion-he_en.pdf" TargetMode="External"/><Relationship Id="rId2" Type="http://schemas.openxmlformats.org/officeDocument/2006/relationships/numbering" Target="numbering.xml"/><Relationship Id="rId16" Type="http://schemas.openxmlformats.org/officeDocument/2006/relationships/hyperlink" Target="https://www.tandfonline.com/author/Hatala%2C+John+Paul" TargetMode="External"/><Relationship Id="rId29" Type="http://schemas.openxmlformats.org/officeDocument/2006/relationships/hyperlink" Target="http://psychclassics.yorku.ca/Cronbach/Disciplines/" TargetMode="External"/><Relationship Id="rId11" Type="http://schemas.openxmlformats.org/officeDocument/2006/relationships/hyperlink" Target="https://www.sciencedirect.com/science/article/pii/S1041608013000071" TargetMode="External"/><Relationship Id="rId24" Type="http://schemas.openxmlformats.org/officeDocument/2006/relationships/hyperlink" Target="https://www.outlook.soton.ac.uk/owa/redir.aspx?C=F8QKBm2sY7eojg3hwdUhT6jBuIDvdNbO6wlPQWzWszYVcx1UG7LVCA..&amp;URL=http%3a%2f%2fwww.hefce.ac.uk%2fpubs%2fyear%2f2015%2f201527%2f" TargetMode="External"/><Relationship Id="rId32" Type="http://schemas.openxmlformats.org/officeDocument/2006/relationships/hyperlink" Target="https://www.gov.uk/government/uploads/system/uploads/attachment_data/file/658490/Teaching_Excellence_and_Student_Outcomes_Framework_Specification.pdf" TargetMode="External"/><Relationship Id="rId37" Type="http://schemas.openxmlformats.org/officeDocument/2006/relationships/hyperlink" Target="https://www2.deloitte.com/insights/us/en/focus/reimagining-higher-education.html" TargetMode="External"/><Relationship Id="rId40" Type="http://schemas.openxmlformats.org/officeDocument/2006/relationships/hyperlink" Target="http://www.hefce.ac.uk/lt/lg/projects/uni-lincoln/" TargetMode="External"/><Relationship Id="rId45" Type="http://schemas.openxmlformats.org/officeDocument/2006/relationships/hyperlink" Target="http://www.nber.org/papers/w13016" TargetMode="External"/><Relationship Id="rId53" Type="http://schemas.openxmlformats.org/officeDocument/2006/relationships/hyperlink" Target="http://www.hefce.ac.uk/pubs/rereports/Year/2015/learninggain/" TargetMode="External"/><Relationship Id="rId58" Type="http://schemas.openxmlformats.org/officeDocument/2006/relationships/hyperlink" Target="http://dx.doi.org/10.1037/met0000144" TargetMode="External"/><Relationship Id="rId66" Type="http://schemas.openxmlformats.org/officeDocument/2006/relationships/hyperlink" Target="http://encore.exeter.ac.uk/iii/encore/plus/C__Sexamining%20the%20designs%20of%20computer-based%20assessment__Orightresult__U__X0?lang=eng&amp;link=http%3A%2F%2F0-search.ebscohost.com.lib.exeter.ac.uk%2Flogin.aspx%3Fdirect%3Dtrue%26site%3Deds-live%26db%3Dedselp%26AN%3DS0747563217301851&amp;suite=cobalt" TargetMode="External"/><Relationship Id="rId74" Type="http://schemas.openxmlformats.org/officeDocument/2006/relationships/hyperlink" Target="http://ocsld.brookesblogs.net/2017/12/22/re-thinking-assessment-a-programme-leaders-guide" TargetMode="External"/><Relationship Id="rId79" Type="http://schemas.openxmlformats.org/officeDocument/2006/relationships/hyperlink" Target="https://www.tandfonline.com/author/Mari%C3%B1o%2C+Juli%C3%A1n+P" TargetMode="External"/><Relationship Id="rId87" Type="http://schemas.openxmlformats.org/officeDocument/2006/relationships/hyperlink" Target="https://www.officeforstudents.org.uk/advice-and-guidance/teaching/learning-gain/" TargetMode="External"/><Relationship Id="rId5" Type="http://schemas.openxmlformats.org/officeDocument/2006/relationships/webSettings" Target="webSettings.xml"/><Relationship Id="rId61" Type="http://schemas.openxmlformats.org/officeDocument/2006/relationships/hyperlink" Target="https://link.springer.com/article/10.1007/s10734-015-9963-x" TargetMode="External"/><Relationship Id="rId82" Type="http://schemas.openxmlformats.org/officeDocument/2006/relationships/hyperlink" Target="https://www.tandfonline.com/author/Wiley%2C+Edward+E" TargetMode="External"/><Relationship Id="rId90" Type="http://schemas.openxmlformats.org/officeDocument/2006/relationships/hyperlink" Target="http://www.universitiesuk.ac.uk/" TargetMode="External"/><Relationship Id="rId95" Type="http://schemas.openxmlformats.org/officeDocument/2006/relationships/hyperlink" Target="http://www.expandnet.net/PDFs/ExpandNet-WHO%20-%20Beginning%20with%20the%20end%20in%20mind%20-%202011.pdf" TargetMode="External"/><Relationship Id="rId19" Type="http://schemas.openxmlformats.org/officeDocument/2006/relationships/hyperlink" Target="https://0-www-scopus-com.lib.exeter.ac.uk/sourceid/200147114?origin=resultslist" TargetMode="External"/><Relationship Id="rId14" Type="http://schemas.openxmlformats.org/officeDocument/2006/relationships/hyperlink" Target="http://www.universityrankings.com.au/degree-completion-rates.html" TargetMode="External"/><Relationship Id="rId22" Type="http://schemas.openxmlformats.org/officeDocument/2006/relationships/hyperlink" Target="https://0-www-scopus-com.lib.exeter.ac.uk/record/display.uri?eid=2-s2.0-84879665126&amp;origin=resultslist&amp;sort=r-f&amp;src=s&amp;st1=assessment+feedback+and+assessment+in+higher+education&amp;st2=assessment+feedback+and+assessment+in+post-secondary&amp;nlo=&amp;nlr=&amp;nls=&amp;sid=baec6d9606d5b835501812ec40b68b13&amp;sot=b&amp;sdt=cl&amp;cluster=scolang%2c%22English%22%2ct%2bscosrctype%2c%22j%22%2ct&amp;sl=274&amp;s=%28ABS%28assessment+feedback+and+assessment+in+higher+education%29+OR+ABS%28assessment+feedback+and+assessment+in+post-secondary%29+OR+ABS%28assessment+feedback+and+assessment+in+college%29+OR+ABS%28assessment+feedback+and+assessment+in+university%29%29+AND+DOCTYPE%28ar+OR+re%29+AND+PUBYEAR+%3e+2011&amp;relpos=426&amp;citeCnt=110&amp;searchTerm=" TargetMode="External"/><Relationship Id="rId27" Type="http://schemas.openxmlformats.org/officeDocument/2006/relationships/hyperlink" Target="https://link.springer.com/journal/40888" TargetMode="External"/><Relationship Id="rId30" Type="http://schemas.openxmlformats.org/officeDocument/2006/relationships/hyperlink" Target="https://0-doi-org.lib.exeter.ac.uk/10.1080/03075079.2016.1258052" TargetMode="External"/><Relationship Id="rId35" Type="http://schemas.openxmlformats.org/officeDocument/2006/relationships/hyperlink" Target="http://www.voced.edu.au/content/ngv%3A73764" TargetMode="External"/><Relationship Id="rId43" Type="http://schemas.openxmlformats.org/officeDocument/2006/relationships/hyperlink" Target="https://arxiv.org/abs/1010.2326" TargetMode="External"/><Relationship Id="rId48" Type="http://schemas.openxmlformats.org/officeDocument/2006/relationships/hyperlink" Target="http://www.hefce.ac.uk/sas/barriers/projects/southampton/" TargetMode="External"/><Relationship Id="rId56" Type="http://schemas.openxmlformats.org/officeDocument/2006/relationships/hyperlink" Target="https://www.sciencedirect.com/science/article/pii/S1041608013000071" TargetMode="External"/><Relationship Id="rId64" Type="http://schemas.openxmlformats.org/officeDocument/2006/relationships/hyperlink" Target="http://www.mre.ac.uk/complexinteractionsguidance" TargetMode="External"/><Relationship Id="rId69" Type="http://schemas.openxmlformats.org/officeDocument/2006/relationships/hyperlink" Target="http://www.oecd.org/education/skills-beyond-school/AHELOFSReportVolume3.pdf" TargetMode="External"/><Relationship Id="rId77" Type="http://schemas.openxmlformats.org/officeDocument/2006/relationships/hyperlink" Target="mailto:Shavelson" TargetMode="External"/><Relationship Id="rId8" Type="http://schemas.openxmlformats.org/officeDocument/2006/relationships/hyperlink" Target="mailto:c.a.evans@soton.ac.uk" TargetMode="External"/><Relationship Id="rId51" Type="http://schemas.openxmlformats.org/officeDocument/2006/relationships/hyperlink" Target="http://www.ipal-rd.com/" TargetMode="External"/><Relationship Id="rId72" Type="http://schemas.openxmlformats.org/officeDocument/2006/relationships/hyperlink" Target="http://www.qaa.ac.uk/en/Publications/Documents/Education-sustainable-development-Guidance-June-14.pdf" TargetMode="External"/><Relationship Id="rId80" Type="http://schemas.openxmlformats.org/officeDocument/2006/relationships/hyperlink" Target="https://www.tandfonline.com/author/Molina+Mantilla%2C+Adriana" TargetMode="External"/><Relationship Id="rId85" Type="http://schemas.openxmlformats.org/officeDocument/2006/relationships/hyperlink" Target="http://www.gov.uk/government/organisations/social-mobility-commission" TargetMode="External"/><Relationship Id="rId93" Type="http://schemas.openxmlformats.org/officeDocument/2006/relationships/hyperlink" Target="http://www.who.int/healthsystems/topics/delivery/technical_brief_scale-up_june12.pdf" TargetMode="Externa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oi.org/10.5465/amle.2017.0079" TargetMode="External"/><Relationship Id="rId17" Type="http://schemas.openxmlformats.org/officeDocument/2006/relationships/hyperlink" Target="https://www.tandfonline.com/toc/rhrd20/current" TargetMode="External"/><Relationship Id="rId25" Type="http://schemas.openxmlformats.org/officeDocument/2006/relationships/hyperlink" Target="https://www.nesta.org.uk/publications/using-research-evidence-practice-guide" TargetMode="External"/><Relationship Id="rId33" Type="http://schemas.openxmlformats.org/officeDocument/2006/relationships/hyperlink" Target="https://www.heacademy.ac.uk/system/files/resources/student_choice.pdf" TargetMode="External"/><Relationship Id="rId38" Type="http://schemas.openxmlformats.org/officeDocument/2006/relationships/hyperlink" Target="https://www.plymouth.ac.uk/uploads/production/document/path/3/3292/When_rights_are_not_enough.pdf" TargetMode="External"/><Relationship Id="rId46" Type="http://schemas.openxmlformats.org/officeDocument/2006/relationships/hyperlink" Target="http://www.hefce.ac.uk/lt/lg/projects/" TargetMode="External"/><Relationship Id="rId59" Type="http://schemas.openxmlformats.org/officeDocument/2006/relationships/hyperlink" Target="http://mdvconsulting.co/wp-content/uploads/Is-your-graduate-selection-differentiating-the-best-from-the-rest2.pdf" TargetMode="External"/><Relationship Id="rId67" Type="http://schemas.openxmlformats.org/officeDocument/2006/relationships/hyperlink" Target="http://www.nuffieldfoundation.org/news/young-people%E2%80%99s-subject-choices-influences-and-impact" TargetMode="External"/><Relationship Id="rId103" Type="http://schemas.microsoft.com/office/2016/09/relationships/commentsIds" Target="commentsIds.xml"/><Relationship Id="rId20" Type="http://schemas.openxmlformats.org/officeDocument/2006/relationships/hyperlink" Target="https://www.gov.uk/government/uploads/system/uploads/attachment_data/file/474227/BIS-15-623-fulfilling-our-potential-teaching-excellence-social-mobility-and-student-choice.pdf" TargetMode="External"/><Relationship Id="rId41" Type="http://schemas.openxmlformats.org/officeDocument/2006/relationships/hyperlink" Target="https://www.timeshighereducation.com/news/cambridge-looks-crack-measurement-learning-gain" TargetMode="External"/><Relationship Id="rId54" Type="http://schemas.openxmlformats.org/officeDocument/2006/relationships/hyperlink" Target="https://www.outlook.soton.ac.uk/owa/redir.aspx?C=ekarp-kxkfMuakMOLUkT5iHRfTjxTRW1IHFJV6ayCd3kIBb1_LXVCA..&amp;URL=https%3a%2f%2fwww.officeforstudents.org.uk%2fmedia%2f1386%2fevaluation-of-hefce-s-learning-gain-pilot-projects-year-2.pdf" TargetMode="External"/><Relationship Id="rId62" Type="http://schemas.openxmlformats.org/officeDocument/2006/relationships/hyperlink" Target="https://www.timeshighereducation.com/news/oecds-ahelo-will-fail-launch-says-education-director" TargetMode="External"/><Relationship Id="rId70" Type="http://schemas.openxmlformats.org/officeDocument/2006/relationships/hyperlink" Target="https://www.officeforstudents.org.uk/advice-and-guidance/teaching/learning-gain/" TargetMode="External"/><Relationship Id="rId75" Type="http://schemas.openxmlformats.org/officeDocument/2006/relationships/hyperlink" Target="https://www.jisc.ac.uk/sites/default/files/learning-analytics-in-he-v2_0.pdf" TargetMode="External"/><Relationship Id="rId83" Type="http://schemas.openxmlformats.org/officeDocument/2006/relationships/hyperlink" Target="https://www.tandfonline.com/toc/caeh20/current" TargetMode="External"/><Relationship Id="rId88" Type="http://schemas.openxmlformats.org/officeDocument/2006/relationships/hyperlink" Target="http://unesdoc.unesco.org/images/0014/001416/141629e.pdf" TargetMode="External"/><Relationship Id="rId91" Type="http://schemas.openxmlformats.org/officeDocument/2006/relationships/hyperlink" Target="http://www.voluntarysystem.org/" TargetMode="Externa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Bates,%20R.,%20%20" TargetMode="External"/><Relationship Id="rId23" Type="http://schemas.openxmlformats.org/officeDocument/2006/relationships/hyperlink" Target="https://0-www-scopus-com.lib.exeter.ac.uk/sourceid/5700152760?origin=resultslist" TargetMode="External"/><Relationship Id="rId28" Type="http://schemas.openxmlformats.org/officeDocument/2006/relationships/hyperlink" Target="https://link.springer.com/article/10.1007/s40888-017-0075-1" TargetMode="External"/><Relationship Id="rId36" Type="http://schemas.openxmlformats.org/officeDocument/2006/relationships/hyperlink" Target="http://webarchive.nationalarchives.gov.uk/20110120090141/http://povertyreview.independent.gov.uk/media/20254/poverty-report.pdf" TargetMode="External"/><Relationship Id="rId49" Type="http://schemas.openxmlformats.org/officeDocument/2006/relationships/hyperlink" Target="https://www.hesa.ac.uk/news/08-03-2018/non-continuation-tables" TargetMode="External"/><Relationship Id="rId57" Type="http://schemas.openxmlformats.org/officeDocument/2006/relationships/hyperlink" Target="https://www.rand.org/content/dam/rand/pubs/research_reports/RR900/RR996/RAND_RR996.pdf" TargetMode="External"/><Relationship Id="rId10" Type="http://schemas.openxmlformats.org/officeDocument/2006/relationships/footer" Target="footer1.xml"/><Relationship Id="rId31" Type="http://schemas.openxmlformats.org/officeDocument/2006/relationships/hyperlink" Target="http://www.cdc.gov/trendstatement/" TargetMode="External"/><Relationship Id="rId44" Type="http://schemas.openxmlformats.org/officeDocument/2006/relationships/hyperlink" Target="https://arxiv.org/ftp/arxiv/papers/1010/1010.2326.pdf" TargetMode="External"/><Relationship Id="rId52" Type="http://schemas.openxmlformats.org/officeDocument/2006/relationships/hyperlink" Target="http://www.hefce.ac.uk/media/HEFCE,2014/Content/News/2017/Grant-letter-2017.pdf" TargetMode="External"/><Relationship Id="rId60" Type="http://schemas.openxmlformats.org/officeDocument/2006/relationships/hyperlink" Target="http://mdvconsulting.co/wp-content/uploads/Is-your-graduate-selection-differentiating-the-best-from-the-rest2.pdf" TargetMode="External"/><Relationship Id="rId65" Type="http://schemas.openxmlformats.org/officeDocument/2006/relationships/hyperlink" Target="http://www.nesta.org.uk/publications/using-research-evidence-practice-guide" TargetMode="External"/><Relationship Id="rId73" Type="http://schemas.openxmlformats.org/officeDocument/2006/relationships/hyperlink" Target="http://www.ref.ac.uk/media/ref,2021/downloads/Consultation%20on%20the%20draft%20panel%20criteria%20and%20working%20methods%20REF%202018_02.pdf" TargetMode="External"/><Relationship Id="rId78" Type="http://schemas.openxmlformats.org/officeDocument/2006/relationships/hyperlink" Target="https://www.tandfonline.com/author/Domingue%2C+Benjamin+W" TargetMode="External"/><Relationship Id="rId81" Type="http://schemas.openxmlformats.org/officeDocument/2006/relationships/hyperlink" Target="https://www.tandfonline.com/author/Morales+Forero%2C+Andr%C3%A9s" TargetMode="External"/><Relationship Id="rId86" Type="http://schemas.openxmlformats.org/officeDocument/2006/relationships/hyperlink" Target="http://www.heacademy.ac.uk/knowledge-hub/review-research-literature-defining-and-demonstrating-quality-teaching-and-impact" TargetMode="External"/><Relationship Id="rId94" Type="http://schemas.openxmlformats.org/officeDocument/2006/relationships/hyperlink" Target="http://www.who.int/reproductivehealth/publications/strategic_approach/9789241500319/en/" TargetMode="External"/><Relationship Id="rId4" Type="http://schemas.openxmlformats.org/officeDocument/2006/relationships/settings" Target="settings.xml"/><Relationship Id="rId9" Type="http://schemas.openxmlformats.org/officeDocument/2006/relationships/hyperlink" Target="http://www.aplu.org/cput" TargetMode="External"/><Relationship Id="rId13" Type="http://schemas.openxmlformats.org/officeDocument/2006/relationships/hyperlink" Target="https://www.heacademy.ac.uk/individuals/student-success/assessment/grade-point-average" TargetMode="External"/><Relationship Id="rId18" Type="http://schemas.openxmlformats.org/officeDocument/2006/relationships/hyperlink" Target="https://0-www-scopus-com.lib.exeter.ac.uk/record/display.uri?eid=2-s2.0-84904544533&amp;origin=resultslist&amp;sort=r-f&amp;src=s&amp;st1=assessment+feedback+and+assessment+in+higher+education&amp;st2=assessment+feedback+and+assessment+in+post-secondary&amp;nlo=&amp;nlr=&amp;nls=&amp;sid=baec6d9606d5b835501812ec40b68b13&amp;sot=b&amp;sdt=cl&amp;cluster=scolang%2c%22English%22%2ct%2bscosrctype%2c%22j%22%2ct&amp;sl=274&amp;s=%28ABS%28assessment+feedback+and+assessment+in+higher+education%29+OR+ABS%28assessment+feedback+and+assessment+in+post-secondary%29+OR+ABS%28assessment+feedback+and+assessment+in+college%29+OR+ABS%28assessment+feedback+and+assessment+in+university%29%29+AND+DOCTYPE%28ar+OR+re%29+AND+PUBYEAR+%3e+2011&amp;relpos=1277&amp;citeCnt=7&amp;searchTerm=" TargetMode="External"/><Relationship Id="rId39" Type="http://schemas.openxmlformats.org/officeDocument/2006/relationships/hyperlink" Target="http://www.bankofengland.co.uk/publications/Documents/speeches/2015/speech86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30995-2CD9-48E2-BEAE-5439D37B0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21202</Words>
  <Characters>120856</Characters>
  <Application>Microsoft Office Word</Application>
  <DocSecurity>4</DocSecurity>
  <Lines>1007</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Kandiko Howson, Camille</dc:creator>
  <cp:keywords/>
  <dc:description/>
  <cp:lastModifiedBy>Edwards L.</cp:lastModifiedBy>
  <cp:revision>2</cp:revision>
  <cp:lastPrinted>2018-07-27T02:02:00Z</cp:lastPrinted>
  <dcterms:created xsi:type="dcterms:W3CDTF">2018-08-13T10:12:00Z</dcterms:created>
  <dcterms:modified xsi:type="dcterms:W3CDTF">2018-08-13T10:12:00Z</dcterms:modified>
</cp:coreProperties>
</file>