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9B83" w14:textId="77777777" w:rsidR="0003143B" w:rsidRDefault="0003143B">
      <w:pPr>
        <w:rPr>
          <w:b/>
          <w:bCs/>
          <w:sz w:val="24"/>
          <w:szCs w:val="24"/>
        </w:rPr>
      </w:pPr>
      <w:bookmarkStart w:id="0" w:name="_GoBack"/>
      <w:bookmarkEnd w:id="0"/>
    </w:p>
    <w:p w14:paraId="78EF5AEF" w14:textId="3ADF12BA" w:rsidR="00731BAD" w:rsidRPr="0018492F" w:rsidRDefault="003A4557" w:rsidP="00DC3CBA">
      <w:pPr>
        <w:jc w:val="center"/>
        <w:rPr>
          <w:b/>
          <w:bCs/>
          <w:sz w:val="24"/>
          <w:szCs w:val="24"/>
        </w:rPr>
      </w:pPr>
      <w:r>
        <w:rPr>
          <w:b/>
          <w:bCs/>
          <w:sz w:val="24"/>
          <w:szCs w:val="24"/>
        </w:rPr>
        <w:t xml:space="preserve">A Correction </w:t>
      </w:r>
      <w:r w:rsidR="00A5342F">
        <w:rPr>
          <w:b/>
          <w:bCs/>
          <w:sz w:val="24"/>
          <w:szCs w:val="24"/>
        </w:rPr>
        <w:t xml:space="preserve">to </w:t>
      </w:r>
      <w:r>
        <w:rPr>
          <w:b/>
          <w:bCs/>
          <w:sz w:val="24"/>
          <w:szCs w:val="24"/>
        </w:rPr>
        <w:t>the</w:t>
      </w:r>
      <w:r w:rsidR="00A97717" w:rsidRPr="0018492F">
        <w:rPr>
          <w:b/>
          <w:bCs/>
          <w:sz w:val="24"/>
          <w:szCs w:val="24"/>
        </w:rPr>
        <w:t xml:space="preserve"> Age-Adjustment of the GH</w:t>
      </w:r>
      <w:r w:rsidR="006F5051">
        <w:rPr>
          <w:b/>
          <w:bCs/>
          <w:sz w:val="24"/>
          <w:szCs w:val="24"/>
        </w:rPr>
        <w:t>-</w:t>
      </w:r>
      <w:r w:rsidR="00A97717" w:rsidRPr="0018492F">
        <w:rPr>
          <w:b/>
          <w:bCs/>
          <w:sz w:val="24"/>
          <w:szCs w:val="24"/>
        </w:rPr>
        <w:t xml:space="preserve">2000 </w:t>
      </w:r>
      <w:r w:rsidR="00DC3CBA" w:rsidRPr="0018492F">
        <w:rPr>
          <w:b/>
          <w:bCs/>
          <w:sz w:val="24"/>
          <w:szCs w:val="24"/>
        </w:rPr>
        <w:t>S</w:t>
      </w:r>
      <w:r w:rsidR="00A97717" w:rsidRPr="0018492F">
        <w:rPr>
          <w:b/>
          <w:bCs/>
          <w:sz w:val="24"/>
          <w:szCs w:val="24"/>
        </w:rPr>
        <w:t xml:space="preserve">core </w:t>
      </w:r>
      <w:r w:rsidR="00A5342F">
        <w:rPr>
          <w:b/>
          <w:bCs/>
          <w:sz w:val="24"/>
          <w:szCs w:val="24"/>
        </w:rPr>
        <w:t xml:space="preserve">used in the </w:t>
      </w:r>
      <w:r w:rsidR="00DC3CBA" w:rsidRPr="0018492F">
        <w:rPr>
          <w:b/>
          <w:bCs/>
          <w:sz w:val="24"/>
          <w:szCs w:val="24"/>
        </w:rPr>
        <w:t>Detecti</w:t>
      </w:r>
      <w:r w:rsidR="00A5342F">
        <w:rPr>
          <w:b/>
          <w:bCs/>
          <w:sz w:val="24"/>
          <w:szCs w:val="24"/>
        </w:rPr>
        <w:t>o</w:t>
      </w:r>
      <w:r w:rsidR="00DC3CBA" w:rsidRPr="0018492F">
        <w:rPr>
          <w:b/>
          <w:bCs/>
          <w:sz w:val="24"/>
          <w:szCs w:val="24"/>
        </w:rPr>
        <w:t>n</w:t>
      </w:r>
      <w:r w:rsidR="00A5342F">
        <w:rPr>
          <w:b/>
          <w:bCs/>
          <w:sz w:val="24"/>
          <w:szCs w:val="24"/>
        </w:rPr>
        <w:t xml:space="preserve"> of</w:t>
      </w:r>
      <w:r w:rsidR="0031241E" w:rsidRPr="0018492F">
        <w:rPr>
          <w:b/>
          <w:bCs/>
          <w:sz w:val="24"/>
          <w:szCs w:val="24"/>
        </w:rPr>
        <w:t xml:space="preserve"> Growth Hormone Misuse</w:t>
      </w:r>
    </w:p>
    <w:p w14:paraId="11808C05" w14:textId="601D4C3A" w:rsidR="00A97717" w:rsidRPr="0018492F" w:rsidRDefault="00A97717" w:rsidP="00BB65F2">
      <w:pPr>
        <w:rPr>
          <w:sz w:val="24"/>
          <w:szCs w:val="24"/>
        </w:rPr>
      </w:pPr>
      <w:r w:rsidRPr="0018492F">
        <w:rPr>
          <w:sz w:val="24"/>
          <w:szCs w:val="24"/>
        </w:rPr>
        <w:t>Dankmar</w:t>
      </w:r>
      <w:r w:rsidRPr="0018492F">
        <w:rPr>
          <w:b/>
          <w:bCs/>
          <w:sz w:val="24"/>
          <w:szCs w:val="24"/>
        </w:rPr>
        <w:t xml:space="preserve"> Böhning</w:t>
      </w:r>
      <w:r w:rsidR="00F760FF">
        <w:rPr>
          <w:rStyle w:val="FootnoteReference"/>
          <w:sz w:val="24"/>
          <w:szCs w:val="24"/>
        </w:rPr>
        <w:footnoteReference w:id="1"/>
      </w:r>
      <w:r w:rsidR="00F760FF">
        <w:rPr>
          <w:b/>
          <w:bCs/>
          <w:sz w:val="24"/>
          <w:szCs w:val="24"/>
          <w:vertAlign w:val="superscript"/>
        </w:rPr>
        <w:t>*</w:t>
      </w:r>
      <w:r w:rsidRPr="0018492F">
        <w:rPr>
          <w:sz w:val="24"/>
          <w:szCs w:val="24"/>
        </w:rPr>
        <w:t xml:space="preserve">, </w:t>
      </w:r>
      <w:r w:rsidR="0018492F">
        <w:rPr>
          <w:sz w:val="24"/>
          <w:szCs w:val="24"/>
        </w:rPr>
        <w:t xml:space="preserve"> </w:t>
      </w:r>
      <w:r w:rsidRPr="0018492F">
        <w:rPr>
          <w:sz w:val="24"/>
          <w:szCs w:val="24"/>
        </w:rPr>
        <w:t xml:space="preserve">Walailuck </w:t>
      </w:r>
      <w:r w:rsidRPr="0018492F">
        <w:rPr>
          <w:b/>
          <w:bCs/>
          <w:sz w:val="24"/>
          <w:szCs w:val="24"/>
        </w:rPr>
        <w:t>Böhning</w:t>
      </w:r>
      <w:r w:rsidRPr="0018492F">
        <w:rPr>
          <w:sz w:val="24"/>
          <w:szCs w:val="24"/>
          <w:vertAlign w:val="superscript"/>
        </w:rPr>
        <w:t>2</w:t>
      </w:r>
      <w:r w:rsidRPr="0018492F">
        <w:rPr>
          <w:sz w:val="24"/>
          <w:szCs w:val="24"/>
        </w:rPr>
        <w:t xml:space="preserve">, </w:t>
      </w:r>
      <w:r w:rsidR="00575789">
        <w:rPr>
          <w:sz w:val="24"/>
          <w:szCs w:val="24"/>
        </w:rPr>
        <w:t xml:space="preserve"> </w:t>
      </w:r>
      <w:r w:rsidRPr="0018492F">
        <w:rPr>
          <w:sz w:val="24"/>
          <w:szCs w:val="24"/>
        </w:rPr>
        <w:t xml:space="preserve">Nishan </w:t>
      </w:r>
      <w:r w:rsidRPr="0018492F">
        <w:rPr>
          <w:b/>
          <w:bCs/>
          <w:sz w:val="24"/>
          <w:szCs w:val="24"/>
        </w:rPr>
        <w:t>Guha</w:t>
      </w:r>
      <w:r w:rsidRPr="0018492F">
        <w:rPr>
          <w:sz w:val="24"/>
          <w:szCs w:val="24"/>
          <w:vertAlign w:val="superscript"/>
        </w:rPr>
        <w:t xml:space="preserve">3  </w:t>
      </w:r>
      <w:r w:rsidRPr="0018492F">
        <w:rPr>
          <w:sz w:val="24"/>
          <w:szCs w:val="24"/>
        </w:rPr>
        <w:t>David A</w:t>
      </w:r>
      <w:r w:rsidRPr="0018492F">
        <w:rPr>
          <w:b/>
          <w:bCs/>
          <w:sz w:val="24"/>
          <w:szCs w:val="24"/>
        </w:rPr>
        <w:t>. Cowan</w:t>
      </w:r>
      <w:r w:rsidRPr="00191345">
        <w:rPr>
          <w:sz w:val="24"/>
          <w:szCs w:val="24"/>
          <w:vertAlign w:val="superscript"/>
        </w:rPr>
        <w:t>4</w:t>
      </w:r>
      <w:r w:rsidRPr="0018492F">
        <w:rPr>
          <w:sz w:val="24"/>
          <w:szCs w:val="24"/>
        </w:rPr>
        <w:t>,</w:t>
      </w:r>
      <w:r w:rsidR="00575789">
        <w:rPr>
          <w:sz w:val="24"/>
          <w:szCs w:val="24"/>
        </w:rPr>
        <w:t xml:space="preserve"> </w:t>
      </w:r>
      <w:r w:rsidR="00B7618E">
        <w:rPr>
          <w:sz w:val="24"/>
          <w:szCs w:val="24"/>
        </w:rPr>
        <w:t xml:space="preserve">Christiaan </w:t>
      </w:r>
      <w:r w:rsidR="00B7618E" w:rsidRPr="00B7618E">
        <w:rPr>
          <w:b/>
          <w:bCs/>
          <w:sz w:val="24"/>
          <w:szCs w:val="24"/>
        </w:rPr>
        <w:t>Bartlett</w:t>
      </w:r>
      <w:r w:rsidR="00BB65F2">
        <w:rPr>
          <w:sz w:val="24"/>
          <w:szCs w:val="24"/>
          <w:vertAlign w:val="superscript"/>
        </w:rPr>
        <w:t>5</w:t>
      </w:r>
      <w:r w:rsidR="00B7618E">
        <w:rPr>
          <w:sz w:val="24"/>
          <w:szCs w:val="24"/>
        </w:rPr>
        <w:t xml:space="preserve">, </w:t>
      </w:r>
      <w:r w:rsidRPr="0018492F">
        <w:rPr>
          <w:sz w:val="24"/>
          <w:szCs w:val="24"/>
        </w:rPr>
        <w:t xml:space="preserve"> Peter H. </w:t>
      </w:r>
      <w:r w:rsidRPr="0018492F">
        <w:rPr>
          <w:b/>
          <w:bCs/>
          <w:sz w:val="24"/>
          <w:szCs w:val="24"/>
        </w:rPr>
        <w:t>Sönksen</w:t>
      </w:r>
      <w:r w:rsidR="00BB65F2">
        <w:rPr>
          <w:sz w:val="24"/>
          <w:szCs w:val="24"/>
          <w:vertAlign w:val="superscript"/>
        </w:rPr>
        <w:t>6</w:t>
      </w:r>
      <w:r w:rsidR="00BB65F2">
        <w:rPr>
          <w:b/>
          <w:bCs/>
          <w:sz w:val="24"/>
          <w:szCs w:val="24"/>
        </w:rPr>
        <w:t xml:space="preserve"> </w:t>
      </w:r>
      <w:r w:rsidRPr="0018492F">
        <w:rPr>
          <w:sz w:val="24"/>
          <w:szCs w:val="24"/>
        </w:rPr>
        <w:t xml:space="preserve"> and Richard I.G</w:t>
      </w:r>
      <w:r w:rsidRPr="0018492F">
        <w:rPr>
          <w:b/>
          <w:bCs/>
          <w:sz w:val="24"/>
          <w:szCs w:val="24"/>
        </w:rPr>
        <w:t>. Holt</w:t>
      </w:r>
      <w:r w:rsidR="00BB65F2">
        <w:rPr>
          <w:sz w:val="24"/>
          <w:szCs w:val="24"/>
          <w:vertAlign w:val="superscript"/>
        </w:rPr>
        <w:t>7</w:t>
      </w:r>
    </w:p>
    <w:p w14:paraId="2E94F9A7" w14:textId="77777777" w:rsidR="00D90639" w:rsidRPr="0018492F" w:rsidRDefault="00D90639" w:rsidP="0004486D">
      <w:pPr>
        <w:outlineLvl w:val="0"/>
        <w:rPr>
          <w:b/>
          <w:bCs/>
          <w:sz w:val="24"/>
          <w:szCs w:val="24"/>
        </w:rPr>
      </w:pPr>
    </w:p>
    <w:p w14:paraId="649F15CF" w14:textId="77777777" w:rsidR="004A03CB" w:rsidRPr="0018492F" w:rsidRDefault="004A03CB" w:rsidP="0004486D">
      <w:pPr>
        <w:outlineLvl w:val="0"/>
        <w:rPr>
          <w:b/>
          <w:bCs/>
          <w:sz w:val="24"/>
          <w:szCs w:val="24"/>
        </w:rPr>
      </w:pPr>
      <w:r w:rsidRPr="0018492F">
        <w:rPr>
          <w:b/>
          <w:bCs/>
          <w:sz w:val="24"/>
          <w:szCs w:val="24"/>
        </w:rPr>
        <w:t>Abstract</w:t>
      </w:r>
    </w:p>
    <w:p w14:paraId="3A2BA2F1" w14:textId="471156E5" w:rsidR="003A4557" w:rsidRPr="00686021" w:rsidRDefault="009B763B" w:rsidP="009B763B">
      <w:pPr>
        <w:jc w:val="lowKashida"/>
        <w:outlineLvl w:val="0"/>
        <w:rPr>
          <w:sz w:val="24"/>
          <w:szCs w:val="24"/>
        </w:rPr>
      </w:pPr>
      <w:r>
        <w:rPr>
          <w:b/>
          <w:bCs/>
          <w:sz w:val="24"/>
          <w:szCs w:val="24"/>
        </w:rPr>
        <w:t>Objective:</w:t>
      </w:r>
      <w:r w:rsidR="00F07BB0" w:rsidRPr="0018492F">
        <w:rPr>
          <w:sz w:val="24"/>
          <w:szCs w:val="24"/>
        </w:rPr>
        <w:t xml:space="preserve"> </w:t>
      </w:r>
      <w:r w:rsidR="005A194F" w:rsidRPr="0018492F">
        <w:rPr>
          <w:sz w:val="24"/>
          <w:szCs w:val="24"/>
        </w:rPr>
        <w:t xml:space="preserve">The </w:t>
      </w:r>
      <w:r w:rsidR="00CB38F2">
        <w:rPr>
          <w:sz w:val="24"/>
          <w:szCs w:val="24"/>
        </w:rPr>
        <w:t>GH</w:t>
      </w:r>
      <w:r w:rsidR="006F5051">
        <w:rPr>
          <w:sz w:val="24"/>
          <w:szCs w:val="24"/>
        </w:rPr>
        <w:t>-</w:t>
      </w:r>
      <w:r w:rsidR="00507D92">
        <w:rPr>
          <w:sz w:val="24"/>
          <w:szCs w:val="24"/>
        </w:rPr>
        <w:t xml:space="preserve">2000 </w:t>
      </w:r>
      <w:r w:rsidR="005A194F" w:rsidRPr="0018492F">
        <w:rPr>
          <w:sz w:val="24"/>
          <w:szCs w:val="24"/>
        </w:rPr>
        <w:t>score has been develop</w:t>
      </w:r>
      <w:r w:rsidR="00CB38F2">
        <w:rPr>
          <w:sz w:val="24"/>
          <w:szCs w:val="24"/>
        </w:rPr>
        <w:t>ed</w:t>
      </w:r>
      <w:r w:rsidR="005A194F" w:rsidRPr="0018492F">
        <w:rPr>
          <w:sz w:val="24"/>
          <w:szCs w:val="24"/>
        </w:rPr>
        <w:t xml:space="preserve"> as a powerful</w:t>
      </w:r>
      <w:r w:rsidR="00975A11" w:rsidRPr="0018492F">
        <w:rPr>
          <w:sz w:val="24"/>
          <w:szCs w:val="24"/>
        </w:rPr>
        <w:t xml:space="preserve"> and unique</w:t>
      </w:r>
      <w:r w:rsidR="005A194F" w:rsidRPr="0018492F">
        <w:rPr>
          <w:sz w:val="24"/>
          <w:szCs w:val="24"/>
        </w:rPr>
        <w:t xml:space="preserve"> technique </w:t>
      </w:r>
      <w:r w:rsidR="00A5342F">
        <w:rPr>
          <w:sz w:val="24"/>
          <w:szCs w:val="24"/>
        </w:rPr>
        <w:t>to</w:t>
      </w:r>
      <w:r w:rsidR="00A5342F" w:rsidRPr="0018492F">
        <w:rPr>
          <w:sz w:val="24"/>
          <w:szCs w:val="24"/>
        </w:rPr>
        <w:t xml:space="preserve"> </w:t>
      </w:r>
      <w:r w:rsidR="005A194F" w:rsidRPr="0018492F">
        <w:rPr>
          <w:sz w:val="24"/>
          <w:szCs w:val="24"/>
        </w:rPr>
        <w:t>detect growth hormone misuse</w:t>
      </w:r>
      <w:r w:rsidR="00CB38F2">
        <w:rPr>
          <w:sz w:val="24"/>
          <w:szCs w:val="24"/>
        </w:rPr>
        <w:t xml:space="preserve"> by sportsmen and women</w:t>
      </w:r>
      <w:r w:rsidR="005A194F" w:rsidRPr="0018492F">
        <w:rPr>
          <w:sz w:val="24"/>
          <w:szCs w:val="24"/>
        </w:rPr>
        <w:t xml:space="preserve">. </w:t>
      </w:r>
      <w:r w:rsidR="006F5051">
        <w:rPr>
          <w:sz w:val="24"/>
          <w:szCs w:val="24"/>
        </w:rPr>
        <w:t xml:space="preserve">The score </w:t>
      </w:r>
      <w:r w:rsidR="006F5051" w:rsidRPr="0018492F">
        <w:rPr>
          <w:sz w:val="24"/>
          <w:szCs w:val="24"/>
        </w:rPr>
        <w:t xml:space="preserve">depends upon the measurement of two growth hormone (GH) sensitive markers, insulin-like growth factor-I (IGF-I) and </w:t>
      </w:r>
      <w:r w:rsidR="006F5051" w:rsidRPr="0018492F">
        <w:rPr>
          <w:rFonts w:eastAsia="Calibri" w:cs="Calibri"/>
          <w:sz w:val="24"/>
          <w:szCs w:val="24"/>
        </w:rPr>
        <w:t>the amino-terminal pro-peptide of type III collagen (</w:t>
      </w:r>
      <w:r w:rsidR="006F5051" w:rsidRPr="0018492F">
        <w:rPr>
          <w:sz w:val="24"/>
          <w:szCs w:val="24"/>
        </w:rPr>
        <w:t xml:space="preserve">P-III-NP). </w:t>
      </w:r>
      <w:r w:rsidR="003A4557">
        <w:rPr>
          <w:sz w:val="24"/>
          <w:szCs w:val="24"/>
        </w:rPr>
        <w:t xml:space="preserve">It has been previously </w:t>
      </w:r>
      <w:r w:rsidR="003A4557" w:rsidRPr="00686021">
        <w:rPr>
          <w:sz w:val="24"/>
          <w:szCs w:val="24"/>
        </w:rPr>
        <w:t xml:space="preserve">suggested </w:t>
      </w:r>
      <w:r w:rsidR="005A194F" w:rsidRPr="00686021">
        <w:rPr>
          <w:sz w:val="24"/>
          <w:szCs w:val="24"/>
        </w:rPr>
        <w:t>that the score shows a positive age effect in male athlete</w:t>
      </w:r>
      <w:r w:rsidR="00686021">
        <w:rPr>
          <w:sz w:val="24"/>
          <w:szCs w:val="24"/>
        </w:rPr>
        <w:t>s</w:t>
      </w:r>
      <w:r w:rsidR="00CB38F2" w:rsidRPr="00686021">
        <w:rPr>
          <w:sz w:val="24"/>
          <w:szCs w:val="24"/>
        </w:rPr>
        <w:t>, which could potentially place older male athletes at a disadvantage</w:t>
      </w:r>
      <w:r w:rsidR="005A194F" w:rsidRPr="00686021">
        <w:rPr>
          <w:sz w:val="24"/>
          <w:szCs w:val="24"/>
        </w:rPr>
        <w:t xml:space="preserve">. </w:t>
      </w:r>
      <w:r w:rsidRPr="00686021">
        <w:rPr>
          <w:sz w:val="24"/>
          <w:szCs w:val="24"/>
        </w:rPr>
        <w:t xml:space="preserve">The purpose of this note is to </w:t>
      </w:r>
      <w:r w:rsidR="00A5342F">
        <w:rPr>
          <w:sz w:val="24"/>
          <w:szCs w:val="24"/>
        </w:rPr>
        <w:t>investigate</w:t>
      </w:r>
      <w:r w:rsidR="00A5342F" w:rsidRPr="00686021">
        <w:rPr>
          <w:sz w:val="24"/>
          <w:szCs w:val="24"/>
        </w:rPr>
        <w:t xml:space="preserve"> </w:t>
      </w:r>
      <w:r w:rsidR="00A5342F">
        <w:rPr>
          <w:sz w:val="24"/>
          <w:szCs w:val="24"/>
        </w:rPr>
        <w:t>the performance of a</w:t>
      </w:r>
      <w:r w:rsidRPr="00686021">
        <w:rPr>
          <w:sz w:val="24"/>
          <w:szCs w:val="24"/>
        </w:rPr>
        <w:t xml:space="preserve"> previously su</w:t>
      </w:r>
      <w:r w:rsidR="00B63DC1" w:rsidRPr="00686021">
        <w:rPr>
          <w:sz w:val="24"/>
          <w:szCs w:val="24"/>
        </w:rPr>
        <w:t xml:space="preserve">ggested correction term </w:t>
      </w:r>
      <w:r w:rsidR="00A5342F">
        <w:rPr>
          <w:sz w:val="24"/>
          <w:szCs w:val="24"/>
        </w:rPr>
        <w:t>in two new and larger data sets</w:t>
      </w:r>
      <w:r w:rsidR="00B63DC1" w:rsidRPr="00686021">
        <w:rPr>
          <w:sz w:val="24"/>
          <w:szCs w:val="24"/>
        </w:rPr>
        <w:t xml:space="preserve">. </w:t>
      </w:r>
    </w:p>
    <w:p w14:paraId="75588880" w14:textId="49B55E16" w:rsidR="006D53CC" w:rsidRPr="0018492F" w:rsidRDefault="009B763B" w:rsidP="00B63DC1">
      <w:pPr>
        <w:jc w:val="lowKashida"/>
        <w:outlineLvl w:val="0"/>
        <w:rPr>
          <w:sz w:val="24"/>
          <w:szCs w:val="24"/>
        </w:rPr>
      </w:pPr>
      <w:r w:rsidRPr="00686021">
        <w:rPr>
          <w:b/>
          <w:bCs/>
          <w:sz w:val="24"/>
          <w:szCs w:val="24"/>
        </w:rPr>
        <w:t xml:space="preserve">Results: </w:t>
      </w:r>
      <w:r w:rsidR="00F07BB0" w:rsidRPr="00686021">
        <w:rPr>
          <w:sz w:val="24"/>
          <w:szCs w:val="24"/>
        </w:rPr>
        <w:t xml:space="preserve"> </w:t>
      </w:r>
      <w:r w:rsidR="00A5342F" w:rsidRPr="00351B34">
        <w:rPr>
          <w:rFonts w:ascii="Calibri" w:hAnsi="Calibri"/>
          <w:sz w:val="24"/>
          <w:szCs w:val="24"/>
        </w:rPr>
        <w:t xml:space="preserve">The GH-2000 score </w:t>
      </w:r>
      <w:r w:rsidR="00A5342F">
        <w:rPr>
          <w:rFonts w:ascii="Calibri" w:hAnsi="Calibri"/>
          <w:sz w:val="24"/>
          <w:szCs w:val="24"/>
        </w:rPr>
        <w:t xml:space="preserve">was calculated </w:t>
      </w:r>
      <w:r w:rsidR="00686021">
        <w:rPr>
          <w:rFonts w:ascii="Calibri" w:hAnsi="Calibri"/>
          <w:sz w:val="24"/>
          <w:szCs w:val="24"/>
        </w:rPr>
        <w:t xml:space="preserve">for </w:t>
      </w:r>
      <w:r w:rsidR="00A5342F" w:rsidRPr="00351B34">
        <w:rPr>
          <w:rFonts w:ascii="Calibri" w:hAnsi="Calibri"/>
          <w:sz w:val="24"/>
          <w:szCs w:val="24"/>
        </w:rPr>
        <w:t>7307</w:t>
      </w:r>
      <w:r w:rsidR="00A5342F" w:rsidRPr="00351B34">
        <w:rPr>
          <w:rFonts w:ascii="Calibri" w:eastAsia="Calibri" w:hAnsi="Calibri" w:cs="Calibri"/>
          <w:sz w:val="24"/>
          <w:szCs w:val="24"/>
        </w:rPr>
        <w:t xml:space="preserve"> </w:t>
      </w:r>
      <w:r w:rsidR="00A5342F">
        <w:rPr>
          <w:rFonts w:ascii="Calibri" w:eastAsia="Calibri" w:hAnsi="Calibri" w:cs="Calibri"/>
          <w:sz w:val="24"/>
          <w:szCs w:val="24"/>
        </w:rPr>
        <w:t>samples obtained from 15 accredited WADA laboratories</w:t>
      </w:r>
      <w:r w:rsidR="00686021">
        <w:rPr>
          <w:rFonts w:ascii="Calibri" w:eastAsia="Calibri" w:hAnsi="Calibri" w:cs="Calibri"/>
          <w:sz w:val="24"/>
          <w:szCs w:val="24"/>
        </w:rPr>
        <w:t xml:space="preserve"> in 2017 and </w:t>
      </w:r>
      <w:r w:rsidR="00A5342F" w:rsidRPr="00351B34">
        <w:rPr>
          <w:sz w:val="24"/>
          <w:szCs w:val="24"/>
        </w:rPr>
        <w:t xml:space="preserve">3916 </w:t>
      </w:r>
      <w:r w:rsidR="00686021">
        <w:rPr>
          <w:sz w:val="24"/>
          <w:szCs w:val="24"/>
        </w:rPr>
        <w:t xml:space="preserve">samples measured at </w:t>
      </w:r>
      <w:r w:rsidR="00686021" w:rsidRPr="00351B34">
        <w:rPr>
          <w:sz w:val="24"/>
          <w:szCs w:val="24"/>
        </w:rPr>
        <w:t xml:space="preserve">Drug Control Centre, King's College London, UK </w:t>
      </w:r>
      <w:r w:rsidR="00686021">
        <w:rPr>
          <w:sz w:val="24"/>
          <w:szCs w:val="24"/>
        </w:rPr>
        <w:t>between</w:t>
      </w:r>
      <w:r w:rsidR="00A5342F" w:rsidRPr="00351B34">
        <w:rPr>
          <w:sz w:val="24"/>
          <w:szCs w:val="24"/>
        </w:rPr>
        <w:t xml:space="preserve"> 2013 </w:t>
      </w:r>
      <w:r w:rsidR="00686021">
        <w:rPr>
          <w:sz w:val="24"/>
          <w:szCs w:val="24"/>
        </w:rPr>
        <w:t xml:space="preserve">and </w:t>
      </w:r>
      <w:r w:rsidR="00A5342F" w:rsidRPr="00351B34">
        <w:rPr>
          <w:sz w:val="24"/>
          <w:szCs w:val="24"/>
        </w:rPr>
        <w:t>2017.</w:t>
      </w:r>
      <w:r w:rsidR="00686021">
        <w:rPr>
          <w:sz w:val="24"/>
          <w:szCs w:val="24"/>
        </w:rPr>
        <w:t xml:space="preserve"> </w:t>
      </w:r>
      <w:r w:rsidRPr="00686021">
        <w:rPr>
          <w:sz w:val="24"/>
          <w:szCs w:val="24"/>
        </w:rPr>
        <w:t xml:space="preserve">The GH-2000 scores </w:t>
      </w:r>
      <w:r w:rsidR="00686021">
        <w:rPr>
          <w:sz w:val="24"/>
          <w:szCs w:val="24"/>
        </w:rPr>
        <w:t>were</w:t>
      </w:r>
      <w:r w:rsidRPr="00686021">
        <w:rPr>
          <w:sz w:val="24"/>
          <w:szCs w:val="24"/>
        </w:rPr>
        <w:t xml:space="preserve"> investigated for positive age effect</w:t>
      </w:r>
      <w:r w:rsidR="00686021">
        <w:rPr>
          <w:sz w:val="24"/>
          <w:szCs w:val="24"/>
        </w:rPr>
        <w:t>s</w:t>
      </w:r>
      <w:r w:rsidRPr="00686021">
        <w:rPr>
          <w:sz w:val="24"/>
          <w:szCs w:val="24"/>
        </w:rPr>
        <w:t xml:space="preserve"> using standard regression modelling. </w:t>
      </w:r>
      <w:r w:rsidR="003B2F3C" w:rsidRPr="00686021">
        <w:rPr>
          <w:sz w:val="24"/>
          <w:szCs w:val="24"/>
        </w:rPr>
        <w:t xml:space="preserve">As previously, all analyses confirmed a positive age effect. </w:t>
      </w:r>
      <w:r w:rsidR="00686021">
        <w:rPr>
          <w:sz w:val="24"/>
          <w:szCs w:val="24"/>
        </w:rPr>
        <w:t>A</w:t>
      </w:r>
      <w:r w:rsidR="003B2F3C" w:rsidRPr="00686021">
        <w:rPr>
          <w:sz w:val="24"/>
          <w:szCs w:val="24"/>
        </w:rPr>
        <w:t>pplying the earlier suggested correction term of 0.032 x age showed a significant over-correction leading to a negative</w:t>
      </w:r>
      <w:r w:rsidR="003B2F3C">
        <w:rPr>
          <w:sz w:val="24"/>
          <w:szCs w:val="24"/>
        </w:rPr>
        <w:t xml:space="preserve"> association of the GH-2000 score with age. We now suggest a smaller age correction of 0.020 x age which corresponds to the smallest effect found in the earlier studies. </w:t>
      </w:r>
    </w:p>
    <w:p w14:paraId="60797CC7" w14:textId="067AADF3" w:rsidR="006D53CC" w:rsidRDefault="006D53CC" w:rsidP="003B2F3C">
      <w:pPr>
        <w:outlineLvl w:val="0"/>
        <w:rPr>
          <w:sz w:val="24"/>
          <w:szCs w:val="24"/>
        </w:rPr>
      </w:pPr>
      <w:r w:rsidRPr="0018492F">
        <w:rPr>
          <w:b/>
          <w:bCs/>
          <w:sz w:val="24"/>
          <w:szCs w:val="24"/>
        </w:rPr>
        <w:lastRenderedPageBreak/>
        <w:t>Key words</w:t>
      </w:r>
      <w:r w:rsidRPr="0018492F">
        <w:rPr>
          <w:sz w:val="24"/>
          <w:szCs w:val="24"/>
        </w:rPr>
        <w:t xml:space="preserve">: </w:t>
      </w:r>
      <w:r w:rsidR="005A194F" w:rsidRPr="0018492F">
        <w:rPr>
          <w:sz w:val="24"/>
          <w:szCs w:val="24"/>
        </w:rPr>
        <w:t>GH</w:t>
      </w:r>
      <w:r w:rsidR="006F5051">
        <w:rPr>
          <w:sz w:val="24"/>
          <w:szCs w:val="24"/>
        </w:rPr>
        <w:t>-</w:t>
      </w:r>
      <w:r w:rsidR="005A194F" w:rsidRPr="0018492F">
        <w:rPr>
          <w:sz w:val="24"/>
          <w:szCs w:val="24"/>
        </w:rPr>
        <w:t>2000 score, adjusting for age effects, centring and norming of scores</w:t>
      </w:r>
    </w:p>
    <w:p w14:paraId="1FD09FA5" w14:textId="621C071E" w:rsidR="00973974" w:rsidRPr="00E62F19" w:rsidRDefault="0079713C" w:rsidP="00B63DC1">
      <w:pPr>
        <w:tabs>
          <w:tab w:val="left" w:pos="3810"/>
        </w:tabs>
        <w:outlineLvl w:val="0"/>
        <w:rPr>
          <w:b/>
          <w:sz w:val="28"/>
          <w:szCs w:val="28"/>
        </w:rPr>
      </w:pPr>
      <w:r w:rsidRPr="00E62F19">
        <w:rPr>
          <w:b/>
          <w:sz w:val="28"/>
          <w:szCs w:val="28"/>
        </w:rPr>
        <w:t xml:space="preserve">Introduction </w:t>
      </w:r>
    </w:p>
    <w:p w14:paraId="5EE76050" w14:textId="0F1632E5" w:rsidR="0065497C" w:rsidRPr="0065497C" w:rsidRDefault="004842BF" w:rsidP="003B2F3C">
      <w:pPr>
        <w:spacing w:after="120"/>
        <w:jc w:val="both"/>
        <w:rPr>
          <w:rFonts w:ascii="Calibri" w:hAnsi="Calibri"/>
          <w:sz w:val="24"/>
          <w:szCs w:val="24"/>
        </w:rPr>
      </w:pPr>
      <w:r w:rsidRPr="0018492F">
        <w:rPr>
          <w:sz w:val="24"/>
          <w:szCs w:val="24"/>
        </w:rPr>
        <w:t xml:space="preserve">Growth hormone is a powerful anabolic agent of considerable therapeutic value but </w:t>
      </w:r>
      <w:r w:rsidR="00686021">
        <w:rPr>
          <w:sz w:val="24"/>
          <w:szCs w:val="24"/>
        </w:rPr>
        <w:t xml:space="preserve">is </w:t>
      </w:r>
      <w:r w:rsidRPr="0018492F">
        <w:rPr>
          <w:sz w:val="24"/>
          <w:szCs w:val="24"/>
        </w:rPr>
        <w:t>also misused in sport</w:t>
      </w:r>
      <w:r w:rsidR="004A0981">
        <w:rPr>
          <w:sz w:val="24"/>
          <w:szCs w:val="24"/>
        </w:rPr>
        <w:t xml:space="preserve"> for its anabolic and lipolytic properties</w:t>
      </w:r>
      <w:r w:rsidR="00686021">
        <w:rPr>
          <w:sz w:val="24"/>
          <w:szCs w:val="24"/>
        </w:rPr>
        <w:t xml:space="preserve"> and its use is banned by the World Anti-Doping Agency</w:t>
      </w:r>
      <w:r w:rsidR="00837E2A">
        <w:rPr>
          <w:sz w:val="24"/>
          <w:szCs w:val="24"/>
        </w:rPr>
        <w:t xml:space="preserve"> </w:t>
      </w:r>
      <w:r w:rsidR="004524DC">
        <w:rPr>
          <w:sz w:val="24"/>
          <w:szCs w:val="24"/>
        </w:rPr>
        <w:t>(Holt 2009)</w:t>
      </w:r>
      <w:r w:rsidR="00686021">
        <w:rPr>
          <w:sz w:val="24"/>
          <w:szCs w:val="24"/>
        </w:rPr>
        <w:t xml:space="preserve">.  </w:t>
      </w:r>
    </w:p>
    <w:p w14:paraId="4B6F82EF" w14:textId="61AB2167" w:rsidR="007608D2" w:rsidRDefault="00686021" w:rsidP="00931AAB">
      <w:pPr>
        <w:spacing w:after="120"/>
        <w:jc w:val="both"/>
        <w:rPr>
          <w:sz w:val="24"/>
          <w:szCs w:val="24"/>
        </w:rPr>
      </w:pPr>
      <w:r w:rsidRPr="00686021">
        <w:rPr>
          <w:rFonts w:ascii="Calibri" w:hAnsi="Calibri" w:cs="Arial"/>
          <w:sz w:val="24"/>
          <w:szCs w:val="24"/>
        </w:rPr>
        <w:t>The GH-2000</w:t>
      </w:r>
      <w:r>
        <w:rPr>
          <w:rFonts w:ascii="Calibri" w:hAnsi="Calibri" w:cs="Arial"/>
          <w:sz w:val="24"/>
          <w:szCs w:val="24"/>
        </w:rPr>
        <w:t xml:space="preserve"> biomarker method to detect </w:t>
      </w:r>
      <w:r w:rsidRPr="00686021">
        <w:rPr>
          <w:rFonts w:ascii="Calibri" w:hAnsi="Calibri" w:cs="Arial"/>
          <w:sz w:val="24"/>
          <w:szCs w:val="24"/>
        </w:rPr>
        <w:t xml:space="preserve">GH </w:t>
      </w:r>
      <w:r>
        <w:rPr>
          <w:rFonts w:ascii="Calibri" w:hAnsi="Calibri" w:cs="Arial"/>
          <w:sz w:val="24"/>
          <w:szCs w:val="24"/>
        </w:rPr>
        <w:t>mis</w:t>
      </w:r>
      <w:r w:rsidRPr="00686021">
        <w:rPr>
          <w:rFonts w:ascii="Calibri" w:hAnsi="Calibri" w:cs="Arial"/>
          <w:sz w:val="24"/>
          <w:szCs w:val="24"/>
        </w:rPr>
        <w:t xml:space="preserve">use </w:t>
      </w:r>
      <w:r>
        <w:rPr>
          <w:rFonts w:ascii="Calibri" w:hAnsi="Calibri" w:cs="Arial"/>
          <w:sz w:val="24"/>
          <w:szCs w:val="24"/>
        </w:rPr>
        <w:t xml:space="preserve">is </w:t>
      </w:r>
      <w:r w:rsidRPr="00686021">
        <w:rPr>
          <w:rFonts w:ascii="Calibri" w:hAnsi="Calibri" w:cs="Arial"/>
          <w:sz w:val="24"/>
          <w:szCs w:val="24"/>
        </w:rPr>
        <w:t>based on the measurement of the GH-sensitive biomarkers</w:t>
      </w:r>
      <w:r>
        <w:rPr>
          <w:rFonts w:ascii="Calibri" w:hAnsi="Calibri" w:cs="Arial"/>
          <w:sz w:val="24"/>
          <w:szCs w:val="24"/>
        </w:rPr>
        <w:t>,</w:t>
      </w:r>
      <w:r w:rsidRPr="00686021">
        <w:rPr>
          <w:rFonts w:ascii="Calibri" w:hAnsi="Calibri" w:cs="Arial"/>
          <w:sz w:val="24"/>
          <w:szCs w:val="24"/>
        </w:rPr>
        <w:t xml:space="preserve"> insulin-like growth factor-I (IGF-I) and the amino-terminal pro-peptide of type III collagen (P-III-NP), both of which rise </w:t>
      </w:r>
      <w:r>
        <w:rPr>
          <w:rFonts w:ascii="Calibri" w:hAnsi="Calibri" w:cs="Arial"/>
          <w:sz w:val="24"/>
          <w:szCs w:val="24"/>
        </w:rPr>
        <w:t>following</w:t>
      </w:r>
      <w:r w:rsidRPr="00686021">
        <w:rPr>
          <w:rFonts w:ascii="Calibri" w:hAnsi="Calibri" w:cs="Arial"/>
          <w:sz w:val="24"/>
          <w:szCs w:val="24"/>
        </w:rPr>
        <w:t xml:space="preserve"> GH administration</w:t>
      </w:r>
      <w:r>
        <w:rPr>
          <w:rFonts w:ascii="Calibri" w:hAnsi="Calibri" w:cs="Arial"/>
          <w:sz w:val="24"/>
          <w:szCs w:val="24"/>
        </w:rPr>
        <w:t xml:space="preserve">. </w:t>
      </w:r>
      <w:r w:rsidR="004842BF" w:rsidRPr="0065497C">
        <w:rPr>
          <w:rFonts w:ascii="Calibri" w:hAnsi="Calibri"/>
          <w:sz w:val="24"/>
          <w:szCs w:val="24"/>
        </w:rPr>
        <w:t xml:space="preserve">The </w:t>
      </w:r>
      <w:r w:rsidR="00507D92" w:rsidRPr="0065497C">
        <w:rPr>
          <w:rFonts w:ascii="Calibri" w:hAnsi="Calibri"/>
          <w:sz w:val="24"/>
          <w:szCs w:val="24"/>
        </w:rPr>
        <w:t>GH</w:t>
      </w:r>
      <w:r w:rsidR="0065497C">
        <w:rPr>
          <w:rFonts w:ascii="Calibri" w:hAnsi="Calibri"/>
          <w:sz w:val="24"/>
          <w:szCs w:val="24"/>
        </w:rPr>
        <w:t>-</w:t>
      </w:r>
      <w:r w:rsidR="00507D92" w:rsidRPr="0065497C">
        <w:rPr>
          <w:rFonts w:ascii="Calibri" w:hAnsi="Calibri"/>
          <w:sz w:val="24"/>
          <w:szCs w:val="24"/>
        </w:rPr>
        <w:t>2000</w:t>
      </w:r>
      <w:r w:rsidR="004842BF" w:rsidRPr="0065497C">
        <w:rPr>
          <w:rFonts w:ascii="Calibri" w:hAnsi="Calibri"/>
          <w:sz w:val="24"/>
          <w:szCs w:val="24"/>
        </w:rPr>
        <w:t xml:space="preserve"> score was </w:t>
      </w:r>
      <w:r w:rsidR="00D00A36">
        <w:rPr>
          <w:rFonts w:ascii="Calibri" w:hAnsi="Calibri"/>
          <w:sz w:val="24"/>
          <w:szCs w:val="24"/>
        </w:rPr>
        <w:t>initially developed using</w:t>
      </w:r>
      <w:r w:rsidR="004842BF" w:rsidRPr="0065497C">
        <w:rPr>
          <w:rFonts w:ascii="Calibri" w:hAnsi="Calibri"/>
          <w:sz w:val="24"/>
          <w:szCs w:val="24"/>
        </w:rPr>
        <w:t xml:space="preserve"> immunoassays that are no longer available</w:t>
      </w:r>
      <w:r w:rsidR="00027344">
        <w:rPr>
          <w:rFonts w:ascii="Calibri" w:hAnsi="Calibri"/>
          <w:sz w:val="24"/>
          <w:szCs w:val="24"/>
        </w:rPr>
        <w:t xml:space="preserve"> (</w:t>
      </w:r>
      <w:r w:rsidR="00027344" w:rsidRPr="004524DC">
        <w:rPr>
          <w:rFonts w:cs="AdvTT5235d5a9"/>
          <w:color w:val="000000"/>
          <w:sz w:val="24"/>
          <w:szCs w:val="24"/>
        </w:rPr>
        <w:t>Erotokritou-Mulligan</w:t>
      </w:r>
      <w:r w:rsidR="00027344">
        <w:rPr>
          <w:rFonts w:cs="AdvTT5235d5a9"/>
          <w:color w:val="000000"/>
          <w:sz w:val="24"/>
          <w:szCs w:val="24"/>
        </w:rPr>
        <w:t xml:space="preserve"> </w:t>
      </w:r>
      <w:r w:rsidR="00027344">
        <w:rPr>
          <w:rFonts w:cs="AdvTT5235d5a9"/>
          <w:i/>
          <w:color w:val="000000"/>
          <w:sz w:val="24"/>
          <w:szCs w:val="24"/>
        </w:rPr>
        <w:t xml:space="preserve">et al. </w:t>
      </w:r>
      <w:r w:rsidR="00027344">
        <w:rPr>
          <w:rFonts w:cs="AdvTT5235d5a9"/>
          <w:color w:val="000000"/>
          <w:sz w:val="24"/>
          <w:szCs w:val="24"/>
        </w:rPr>
        <w:t>(2012)</w:t>
      </w:r>
      <w:r w:rsidR="00027344">
        <w:rPr>
          <w:rFonts w:cs="AdvTT5235d5a9"/>
          <w:i/>
          <w:color w:val="000000"/>
          <w:sz w:val="24"/>
          <w:szCs w:val="24"/>
        </w:rPr>
        <w:t xml:space="preserve">, </w:t>
      </w:r>
      <w:r w:rsidR="00027344">
        <w:rPr>
          <w:rFonts w:cs="AdvTT5235d5a9"/>
          <w:color w:val="000000"/>
          <w:sz w:val="24"/>
          <w:szCs w:val="24"/>
        </w:rPr>
        <w:t>Powrie</w:t>
      </w:r>
      <w:r w:rsidR="00027344">
        <w:rPr>
          <w:rFonts w:cs="AdvTT5235d5a9"/>
          <w:i/>
          <w:color w:val="000000"/>
          <w:sz w:val="24"/>
          <w:szCs w:val="24"/>
        </w:rPr>
        <w:t xml:space="preserve"> et al. </w:t>
      </w:r>
      <w:r w:rsidR="00027344">
        <w:rPr>
          <w:rFonts w:cs="AdvTT5235d5a9"/>
          <w:color w:val="000000"/>
          <w:sz w:val="24"/>
          <w:szCs w:val="24"/>
        </w:rPr>
        <w:t>(2007))</w:t>
      </w:r>
      <w:r w:rsidR="00027344" w:rsidRPr="0065497C">
        <w:rPr>
          <w:rFonts w:ascii="Calibri" w:hAnsi="Calibri"/>
          <w:sz w:val="24"/>
          <w:szCs w:val="24"/>
        </w:rPr>
        <w:t xml:space="preserve">. </w:t>
      </w:r>
      <w:r w:rsidR="004842BF" w:rsidRPr="0018492F">
        <w:rPr>
          <w:sz w:val="24"/>
          <w:szCs w:val="24"/>
        </w:rPr>
        <w:t xml:space="preserve">Although the original discriminant function has remained unchanged, the decision limits have been updated as further experience </w:t>
      </w:r>
      <w:r w:rsidR="00D00A36">
        <w:rPr>
          <w:sz w:val="24"/>
          <w:szCs w:val="24"/>
        </w:rPr>
        <w:t>has been</w:t>
      </w:r>
      <w:r w:rsidR="00D00A36" w:rsidRPr="0018492F">
        <w:rPr>
          <w:sz w:val="24"/>
          <w:szCs w:val="24"/>
        </w:rPr>
        <w:t xml:space="preserve"> </w:t>
      </w:r>
      <w:r w:rsidR="004842BF" w:rsidRPr="0018492F">
        <w:rPr>
          <w:sz w:val="24"/>
          <w:szCs w:val="24"/>
        </w:rPr>
        <w:t xml:space="preserve">accumulated and new assays </w:t>
      </w:r>
      <w:r>
        <w:rPr>
          <w:sz w:val="24"/>
          <w:szCs w:val="24"/>
        </w:rPr>
        <w:t xml:space="preserve">have </w:t>
      </w:r>
      <w:r w:rsidRPr="0018492F">
        <w:rPr>
          <w:sz w:val="24"/>
          <w:szCs w:val="24"/>
        </w:rPr>
        <w:t>bec</w:t>
      </w:r>
      <w:r>
        <w:rPr>
          <w:sz w:val="24"/>
          <w:szCs w:val="24"/>
        </w:rPr>
        <w:t>o</w:t>
      </w:r>
      <w:r w:rsidRPr="0018492F">
        <w:rPr>
          <w:sz w:val="24"/>
          <w:szCs w:val="24"/>
        </w:rPr>
        <w:t xml:space="preserve">me </w:t>
      </w:r>
      <w:r w:rsidR="004842BF" w:rsidRPr="0018492F">
        <w:rPr>
          <w:sz w:val="24"/>
          <w:szCs w:val="24"/>
        </w:rPr>
        <w:t xml:space="preserve">available (Holt </w:t>
      </w:r>
      <w:r w:rsidR="004842BF" w:rsidRPr="0018492F">
        <w:rPr>
          <w:i/>
          <w:iCs/>
          <w:sz w:val="24"/>
          <w:szCs w:val="24"/>
        </w:rPr>
        <w:t>et al.</w:t>
      </w:r>
      <w:r w:rsidR="004842BF" w:rsidRPr="0018492F">
        <w:rPr>
          <w:sz w:val="24"/>
          <w:szCs w:val="24"/>
        </w:rPr>
        <w:t xml:space="preserve">  2015).</w:t>
      </w:r>
    </w:p>
    <w:p w14:paraId="138DC93A" w14:textId="4C0A4607" w:rsidR="004842BF" w:rsidRDefault="004842BF" w:rsidP="00931AAB">
      <w:pPr>
        <w:spacing w:after="120"/>
        <w:jc w:val="both"/>
        <w:rPr>
          <w:sz w:val="24"/>
          <w:szCs w:val="24"/>
        </w:rPr>
      </w:pPr>
      <w:r w:rsidRPr="0018492F">
        <w:rPr>
          <w:sz w:val="24"/>
          <w:szCs w:val="24"/>
        </w:rPr>
        <w:t xml:space="preserve"> Currently, there are three IGF-I assays</w:t>
      </w:r>
      <w:r w:rsidR="007608D2">
        <w:rPr>
          <w:sz w:val="24"/>
          <w:szCs w:val="24"/>
        </w:rPr>
        <w:t xml:space="preserve"> (</w:t>
      </w:r>
      <w:r w:rsidR="007608D2">
        <w:rPr>
          <w:sz w:val="24"/>
          <w:szCs w:val="24"/>
          <w:lang w:eastAsia="zh-CN"/>
        </w:rPr>
        <w:t>LC-MS/MS, Immunotech, IDS)</w:t>
      </w:r>
      <w:r w:rsidRPr="0018492F">
        <w:rPr>
          <w:sz w:val="24"/>
          <w:szCs w:val="24"/>
        </w:rPr>
        <w:t xml:space="preserve"> and two P-III-NP </w:t>
      </w:r>
      <w:r w:rsidR="007608D2">
        <w:rPr>
          <w:sz w:val="24"/>
          <w:szCs w:val="24"/>
        </w:rPr>
        <w:t xml:space="preserve">(ORION and Siemens-Centaur) </w:t>
      </w:r>
      <w:r w:rsidRPr="0018492F">
        <w:rPr>
          <w:sz w:val="24"/>
          <w:szCs w:val="24"/>
        </w:rPr>
        <w:t>assays a</w:t>
      </w:r>
      <w:r w:rsidR="00837E2A">
        <w:rPr>
          <w:sz w:val="24"/>
          <w:szCs w:val="24"/>
        </w:rPr>
        <w:t>pproved by WADA.</w:t>
      </w:r>
      <w:r w:rsidR="00837E2A">
        <w:rPr>
          <w:rFonts w:ascii="Calibri" w:hAnsi="Calibri"/>
          <w:sz w:val="24"/>
          <w:szCs w:val="24"/>
        </w:rPr>
        <w:t xml:space="preserve"> </w:t>
      </w:r>
      <w:r w:rsidR="00CB38F2" w:rsidRPr="0018492F">
        <w:rPr>
          <w:sz w:val="24"/>
          <w:szCs w:val="24"/>
        </w:rPr>
        <w:t xml:space="preserve">For more details and background on these assays see Holt </w:t>
      </w:r>
      <w:r w:rsidR="00CB38F2" w:rsidRPr="0018492F">
        <w:rPr>
          <w:i/>
          <w:iCs/>
          <w:sz w:val="24"/>
          <w:szCs w:val="24"/>
        </w:rPr>
        <w:t xml:space="preserve">et al. </w:t>
      </w:r>
      <w:r w:rsidR="00CB38F2" w:rsidRPr="0018492F">
        <w:rPr>
          <w:sz w:val="24"/>
          <w:szCs w:val="24"/>
        </w:rPr>
        <w:t xml:space="preserve">(2015).  </w:t>
      </w:r>
      <w:r w:rsidRPr="0018492F">
        <w:rPr>
          <w:sz w:val="24"/>
          <w:szCs w:val="24"/>
        </w:rPr>
        <w:t xml:space="preserve">As these assays do not give identical results, different </w:t>
      </w:r>
      <w:r w:rsidR="00507D92">
        <w:rPr>
          <w:sz w:val="24"/>
          <w:szCs w:val="24"/>
        </w:rPr>
        <w:t>GH</w:t>
      </w:r>
      <w:r w:rsidR="00EA295A">
        <w:rPr>
          <w:sz w:val="24"/>
          <w:szCs w:val="24"/>
        </w:rPr>
        <w:t>-</w:t>
      </w:r>
      <w:r w:rsidR="00507D92">
        <w:rPr>
          <w:sz w:val="24"/>
          <w:szCs w:val="24"/>
        </w:rPr>
        <w:t>2000</w:t>
      </w:r>
      <w:r w:rsidRPr="0018492F">
        <w:rPr>
          <w:sz w:val="24"/>
          <w:szCs w:val="24"/>
        </w:rPr>
        <w:t xml:space="preserve"> scores are obtained with each of the combinations and </w:t>
      </w:r>
      <w:r w:rsidR="007608D2">
        <w:rPr>
          <w:sz w:val="24"/>
          <w:szCs w:val="24"/>
        </w:rPr>
        <w:t>as a result</w:t>
      </w:r>
      <w:r w:rsidRPr="0018492F">
        <w:rPr>
          <w:sz w:val="24"/>
          <w:szCs w:val="24"/>
        </w:rPr>
        <w:t xml:space="preserve"> the decision limits are different, depending on the assay pair used.</w:t>
      </w:r>
    </w:p>
    <w:p w14:paraId="5580B945" w14:textId="01EB9236" w:rsidR="00D00A36" w:rsidRDefault="00D00A36" w:rsidP="00D00A36">
      <w:pPr>
        <w:spacing w:after="120"/>
        <w:jc w:val="both"/>
        <w:rPr>
          <w:sz w:val="24"/>
          <w:szCs w:val="24"/>
        </w:rPr>
      </w:pPr>
      <w:r>
        <w:rPr>
          <w:sz w:val="24"/>
          <w:szCs w:val="24"/>
        </w:rPr>
        <w:t>The GH-2000 score includes an age correction because GH secretion and its marker</w:t>
      </w:r>
      <w:r w:rsidR="007608D2">
        <w:rPr>
          <w:sz w:val="24"/>
          <w:szCs w:val="24"/>
        </w:rPr>
        <w:t>s</w:t>
      </w:r>
      <w:r>
        <w:rPr>
          <w:sz w:val="24"/>
          <w:szCs w:val="24"/>
        </w:rPr>
        <w:t xml:space="preserve"> diminish with age; in the case of GH, its secretion falls by ~14% per decade. The original age correction was determine</w:t>
      </w:r>
      <w:r w:rsidR="007608D2">
        <w:rPr>
          <w:sz w:val="24"/>
          <w:szCs w:val="24"/>
        </w:rPr>
        <w:t>d</w:t>
      </w:r>
      <w:r>
        <w:rPr>
          <w:sz w:val="24"/>
          <w:szCs w:val="24"/>
        </w:rPr>
        <w:t xml:space="preserve"> using samples from 813 elite athletes; however, we previously reported </w:t>
      </w:r>
      <w:r w:rsidRPr="0018492F">
        <w:rPr>
          <w:sz w:val="24"/>
          <w:szCs w:val="24"/>
        </w:rPr>
        <w:t xml:space="preserve">that </w:t>
      </w:r>
      <w:r>
        <w:rPr>
          <w:sz w:val="24"/>
          <w:szCs w:val="24"/>
        </w:rPr>
        <w:t xml:space="preserve">when using the </w:t>
      </w:r>
      <w:r w:rsidR="007608D2">
        <w:rPr>
          <w:sz w:val="24"/>
          <w:szCs w:val="24"/>
        </w:rPr>
        <w:t xml:space="preserve">original </w:t>
      </w:r>
      <w:r>
        <w:rPr>
          <w:sz w:val="24"/>
          <w:szCs w:val="24"/>
        </w:rPr>
        <w:t xml:space="preserve">correction, </w:t>
      </w:r>
      <w:r w:rsidRPr="0018492F">
        <w:rPr>
          <w:sz w:val="24"/>
          <w:szCs w:val="24"/>
        </w:rPr>
        <w:t xml:space="preserve">the </w:t>
      </w:r>
      <w:r>
        <w:rPr>
          <w:sz w:val="24"/>
          <w:szCs w:val="24"/>
        </w:rPr>
        <w:t xml:space="preserve">GH-2000 </w:t>
      </w:r>
      <w:r w:rsidRPr="0018492F">
        <w:rPr>
          <w:sz w:val="24"/>
          <w:szCs w:val="24"/>
        </w:rPr>
        <w:t>score show</w:t>
      </w:r>
      <w:r>
        <w:rPr>
          <w:sz w:val="24"/>
          <w:szCs w:val="24"/>
        </w:rPr>
        <w:t>ed</w:t>
      </w:r>
      <w:r w:rsidRPr="0018492F">
        <w:rPr>
          <w:sz w:val="24"/>
          <w:szCs w:val="24"/>
        </w:rPr>
        <w:t xml:space="preserve"> a positive age </w:t>
      </w:r>
      <w:r w:rsidRPr="00CB38F2">
        <w:rPr>
          <w:sz w:val="24"/>
          <w:szCs w:val="24"/>
        </w:rPr>
        <w:t>effect in male athlete</w:t>
      </w:r>
      <w:r>
        <w:rPr>
          <w:sz w:val="24"/>
          <w:szCs w:val="24"/>
        </w:rPr>
        <w:t xml:space="preserve">s competing at the Daegu World Athletics Championship in 2011. We proposed a correction term </w:t>
      </w:r>
      <w:r w:rsidR="007608D2">
        <w:rPr>
          <w:sz w:val="24"/>
          <w:szCs w:val="24"/>
        </w:rPr>
        <w:t xml:space="preserve">for inclusion </w:t>
      </w:r>
      <w:r>
        <w:rPr>
          <w:sz w:val="24"/>
          <w:szCs w:val="24"/>
        </w:rPr>
        <w:t>in the GH-2000 score</w:t>
      </w:r>
      <w:r w:rsidR="00D91E26">
        <w:rPr>
          <w:sz w:val="24"/>
          <w:szCs w:val="24"/>
        </w:rPr>
        <w:t xml:space="preserve"> (Böhning </w:t>
      </w:r>
      <w:r w:rsidR="00D91E26">
        <w:rPr>
          <w:i/>
          <w:iCs/>
          <w:sz w:val="24"/>
          <w:szCs w:val="24"/>
        </w:rPr>
        <w:t xml:space="preserve">et al. </w:t>
      </w:r>
      <w:r w:rsidR="00D91E26">
        <w:rPr>
          <w:sz w:val="24"/>
          <w:szCs w:val="24"/>
        </w:rPr>
        <w:t>(</w:t>
      </w:r>
      <w:r w:rsidR="00D91E26" w:rsidRPr="00351B34">
        <w:rPr>
          <w:sz w:val="24"/>
          <w:szCs w:val="24"/>
        </w:rPr>
        <w:t>2016)</w:t>
      </w:r>
      <w:r w:rsidR="00D91E26">
        <w:rPr>
          <w:sz w:val="24"/>
          <w:szCs w:val="24"/>
        </w:rPr>
        <w:t>)</w:t>
      </w:r>
      <w:r>
        <w:rPr>
          <w:sz w:val="24"/>
          <w:szCs w:val="24"/>
        </w:rPr>
        <w:t>.</w:t>
      </w:r>
    </w:p>
    <w:p w14:paraId="5C036CFE" w14:textId="7D674855" w:rsidR="00D00A36" w:rsidRPr="0018492F" w:rsidRDefault="00D00A36" w:rsidP="00D00A36">
      <w:pPr>
        <w:spacing w:after="120"/>
        <w:jc w:val="both"/>
        <w:rPr>
          <w:sz w:val="24"/>
          <w:szCs w:val="24"/>
        </w:rPr>
      </w:pPr>
      <w:r>
        <w:rPr>
          <w:sz w:val="24"/>
          <w:szCs w:val="24"/>
        </w:rPr>
        <w:t>The aim of the current study is assess the effect of the original and updated age correction in two new large populations of elite male athletes.</w:t>
      </w:r>
    </w:p>
    <w:p w14:paraId="29437F2D" w14:textId="77777777" w:rsidR="00E62F19" w:rsidRDefault="00E62F19" w:rsidP="00AB136B">
      <w:pPr>
        <w:jc w:val="both"/>
        <w:rPr>
          <w:sz w:val="24"/>
          <w:szCs w:val="24"/>
        </w:rPr>
      </w:pPr>
    </w:p>
    <w:p w14:paraId="54D318C1" w14:textId="049D46EA" w:rsidR="00E62F19" w:rsidRPr="00696E1E" w:rsidRDefault="00B63DC1" w:rsidP="00AB136B">
      <w:pPr>
        <w:jc w:val="both"/>
        <w:rPr>
          <w:b/>
          <w:bCs/>
          <w:sz w:val="28"/>
          <w:szCs w:val="28"/>
        </w:rPr>
      </w:pPr>
      <w:r>
        <w:rPr>
          <w:b/>
          <w:bCs/>
          <w:sz w:val="28"/>
          <w:szCs w:val="28"/>
        </w:rPr>
        <w:t>Main text</w:t>
      </w:r>
    </w:p>
    <w:p w14:paraId="1D72BCB0" w14:textId="788263FE" w:rsidR="006E3EF0" w:rsidRPr="00696E1E" w:rsidRDefault="00B966E5" w:rsidP="0004486D">
      <w:pPr>
        <w:jc w:val="both"/>
        <w:outlineLvl w:val="0"/>
        <w:rPr>
          <w:b/>
          <w:sz w:val="24"/>
          <w:szCs w:val="24"/>
        </w:rPr>
      </w:pPr>
      <w:r w:rsidRPr="00696E1E">
        <w:rPr>
          <w:b/>
          <w:sz w:val="24"/>
          <w:szCs w:val="24"/>
        </w:rPr>
        <w:t>The GH</w:t>
      </w:r>
      <w:r w:rsidR="00EA295A" w:rsidRPr="00696E1E">
        <w:rPr>
          <w:b/>
          <w:sz w:val="24"/>
          <w:szCs w:val="24"/>
        </w:rPr>
        <w:t>-</w:t>
      </w:r>
      <w:r w:rsidRPr="00696E1E">
        <w:rPr>
          <w:b/>
          <w:sz w:val="24"/>
          <w:szCs w:val="24"/>
        </w:rPr>
        <w:t xml:space="preserve">2000 </w:t>
      </w:r>
      <w:r w:rsidR="006E3EF0" w:rsidRPr="00696E1E">
        <w:rPr>
          <w:b/>
          <w:sz w:val="24"/>
          <w:szCs w:val="24"/>
        </w:rPr>
        <w:t>score</w:t>
      </w:r>
    </w:p>
    <w:p w14:paraId="57E29A8D" w14:textId="35701C72" w:rsidR="006E3EF0" w:rsidRPr="00696E1E" w:rsidRDefault="00B966E5" w:rsidP="00696E1E">
      <w:pPr>
        <w:jc w:val="both"/>
        <w:rPr>
          <w:sz w:val="24"/>
          <w:szCs w:val="24"/>
        </w:rPr>
      </w:pPr>
      <w:r w:rsidRPr="00696E1E">
        <w:rPr>
          <w:sz w:val="24"/>
          <w:szCs w:val="24"/>
        </w:rPr>
        <w:t xml:space="preserve">The </w:t>
      </w:r>
      <w:r w:rsidR="00D91E26">
        <w:rPr>
          <w:sz w:val="24"/>
          <w:szCs w:val="24"/>
        </w:rPr>
        <w:t xml:space="preserve">development of the </w:t>
      </w:r>
      <w:r w:rsidRPr="00696E1E">
        <w:rPr>
          <w:sz w:val="24"/>
          <w:szCs w:val="24"/>
        </w:rPr>
        <w:t>GH</w:t>
      </w:r>
      <w:r w:rsidR="00EA295A" w:rsidRPr="00696E1E">
        <w:rPr>
          <w:sz w:val="24"/>
          <w:szCs w:val="24"/>
        </w:rPr>
        <w:t>-</w:t>
      </w:r>
      <w:r w:rsidRPr="00696E1E">
        <w:rPr>
          <w:sz w:val="24"/>
          <w:szCs w:val="24"/>
        </w:rPr>
        <w:t xml:space="preserve">2000 </w:t>
      </w:r>
      <w:r w:rsidR="006E3EF0" w:rsidRPr="00696E1E">
        <w:rPr>
          <w:sz w:val="24"/>
          <w:szCs w:val="24"/>
        </w:rPr>
        <w:t xml:space="preserve">score has been </w:t>
      </w:r>
      <w:r w:rsidR="00D91E26">
        <w:rPr>
          <w:sz w:val="24"/>
          <w:szCs w:val="24"/>
        </w:rPr>
        <w:t xml:space="preserve">reported previously in </w:t>
      </w:r>
      <w:r w:rsidR="006E3EF0" w:rsidRPr="00696E1E">
        <w:rPr>
          <w:sz w:val="24"/>
          <w:szCs w:val="24"/>
        </w:rPr>
        <w:t xml:space="preserve">Holt </w:t>
      </w:r>
      <w:r w:rsidR="006E3EF0" w:rsidRPr="00696E1E">
        <w:rPr>
          <w:i/>
          <w:iCs/>
          <w:sz w:val="24"/>
          <w:szCs w:val="24"/>
        </w:rPr>
        <w:t>et al.</w:t>
      </w:r>
      <w:r w:rsidR="006E3EF0" w:rsidRPr="00696E1E">
        <w:rPr>
          <w:sz w:val="24"/>
          <w:szCs w:val="24"/>
        </w:rPr>
        <w:t xml:space="preserve"> (2015)</w:t>
      </w:r>
      <w:r w:rsidR="00696E1E">
        <w:rPr>
          <w:sz w:val="24"/>
          <w:szCs w:val="24"/>
        </w:rPr>
        <w:t xml:space="preserve"> and Böhning </w:t>
      </w:r>
      <w:r w:rsidR="00696E1E">
        <w:rPr>
          <w:i/>
          <w:iCs/>
          <w:sz w:val="24"/>
          <w:szCs w:val="24"/>
        </w:rPr>
        <w:t xml:space="preserve">et al. </w:t>
      </w:r>
      <w:r w:rsidR="00696E1E">
        <w:rPr>
          <w:sz w:val="24"/>
          <w:szCs w:val="24"/>
        </w:rPr>
        <w:t>(2016)</w:t>
      </w:r>
      <w:r w:rsidR="006E3EF0" w:rsidRPr="00696E1E">
        <w:rPr>
          <w:sz w:val="24"/>
          <w:szCs w:val="24"/>
        </w:rPr>
        <w:t xml:space="preserve">. It has the </w:t>
      </w:r>
      <w:r w:rsidR="00CA7377" w:rsidRPr="00696E1E">
        <w:rPr>
          <w:sz w:val="24"/>
          <w:szCs w:val="24"/>
        </w:rPr>
        <w:t xml:space="preserve">theoretical or </w:t>
      </w:r>
      <w:r w:rsidR="006D1093" w:rsidRPr="00696E1E">
        <w:rPr>
          <w:sz w:val="24"/>
          <w:szCs w:val="24"/>
        </w:rPr>
        <w:t xml:space="preserve">model </w:t>
      </w:r>
      <w:r w:rsidR="006E3EF0" w:rsidRPr="00696E1E">
        <w:rPr>
          <w:sz w:val="24"/>
          <w:szCs w:val="24"/>
        </w:rPr>
        <w:t>form</w:t>
      </w:r>
    </w:p>
    <w:p w14:paraId="74A7BA91" w14:textId="77777777" w:rsidR="006E3EF0" w:rsidRPr="00696E1E" w:rsidRDefault="00B7618E" w:rsidP="006E3EF0">
      <w:pPr>
        <w:ind w:left="720"/>
        <w:jc w:val="both"/>
        <w:rPr>
          <w:sz w:val="24"/>
          <w:szCs w:val="24"/>
        </w:rPr>
      </w:pPr>
      <w:r w:rsidRPr="00696E1E">
        <w:rPr>
          <w:position w:val="-14"/>
          <w:sz w:val="24"/>
          <w:szCs w:val="24"/>
        </w:rPr>
        <w:object w:dxaOrig="6720" w:dyaOrig="400" w14:anchorId="562E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1.75pt" o:ole="">
            <v:imagedata r:id="rId8" o:title=""/>
          </v:shape>
          <o:OLEObject Type="Embed" ProgID="Equation.DSMT4" ShapeID="_x0000_i1025" DrawAspect="Content" ObjectID="_1597147446" r:id="rId9"/>
        </w:object>
      </w:r>
      <w:r w:rsidR="006E3EF0" w:rsidRPr="00696E1E">
        <w:rPr>
          <w:sz w:val="24"/>
          <w:szCs w:val="24"/>
        </w:rPr>
        <w:tab/>
      </w:r>
      <w:r w:rsidR="006E3EF0" w:rsidRPr="00696E1E">
        <w:rPr>
          <w:sz w:val="24"/>
          <w:szCs w:val="24"/>
        </w:rPr>
        <w:tab/>
        <w:t>(1)</w:t>
      </w:r>
    </w:p>
    <w:p w14:paraId="61AD5305" w14:textId="37F320E9" w:rsidR="006E3EF0" w:rsidRPr="00696E1E" w:rsidRDefault="006E3EF0" w:rsidP="00CA7377">
      <w:pPr>
        <w:jc w:val="both"/>
        <w:rPr>
          <w:sz w:val="24"/>
          <w:szCs w:val="24"/>
        </w:rPr>
      </w:pPr>
      <w:r w:rsidRPr="00696E1E">
        <w:rPr>
          <w:sz w:val="24"/>
          <w:szCs w:val="24"/>
        </w:rPr>
        <w:t xml:space="preserve">where the coefficients </w:t>
      </w:r>
      <w:r w:rsidRPr="00696E1E">
        <w:rPr>
          <w:position w:val="-12"/>
          <w:sz w:val="24"/>
          <w:szCs w:val="24"/>
        </w:rPr>
        <w:object w:dxaOrig="1240" w:dyaOrig="360" w14:anchorId="56E04444">
          <v:shape id="_x0000_i1026" type="#_x0000_t75" style="width:63pt;height:18pt" o:ole="">
            <v:imagedata r:id="rId10" o:title=""/>
          </v:shape>
          <o:OLEObject Type="Embed" ProgID="Equation.DSMT4" ShapeID="_x0000_i1026" DrawAspect="Content" ObjectID="_1597147447" r:id="rId11"/>
        </w:object>
      </w:r>
      <w:r w:rsidRPr="00696E1E">
        <w:rPr>
          <w:sz w:val="24"/>
          <w:szCs w:val="24"/>
        </w:rPr>
        <w:t xml:space="preserve"> have different values for male and female athletes.  </w:t>
      </w:r>
      <w:r w:rsidR="00CA7377" w:rsidRPr="00696E1E">
        <w:rPr>
          <w:sz w:val="24"/>
          <w:szCs w:val="24"/>
        </w:rPr>
        <w:t xml:space="preserve">When coefficients are replaced by </w:t>
      </w:r>
      <w:r w:rsidR="00B966E5" w:rsidRPr="00696E1E">
        <w:rPr>
          <w:sz w:val="24"/>
          <w:szCs w:val="24"/>
        </w:rPr>
        <w:t>estimates</w:t>
      </w:r>
      <w:r w:rsidR="00CA7377" w:rsidRPr="00696E1E">
        <w:rPr>
          <w:sz w:val="24"/>
          <w:szCs w:val="24"/>
        </w:rPr>
        <w:t xml:space="preserve"> t</w:t>
      </w:r>
      <w:r w:rsidR="00B966E5" w:rsidRPr="00696E1E">
        <w:rPr>
          <w:sz w:val="24"/>
          <w:szCs w:val="24"/>
        </w:rPr>
        <w:t>he GH</w:t>
      </w:r>
      <w:r w:rsidR="006D1093" w:rsidRPr="00696E1E">
        <w:rPr>
          <w:sz w:val="24"/>
          <w:szCs w:val="24"/>
        </w:rPr>
        <w:t>-</w:t>
      </w:r>
      <w:r w:rsidR="00B966E5" w:rsidRPr="00696E1E">
        <w:rPr>
          <w:sz w:val="24"/>
          <w:szCs w:val="24"/>
        </w:rPr>
        <w:t xml:space="preserve">2000 </w:t>
      </w:r>
      <w:r w:rsidRPr="00696E1E">
        <w:rPr>
          <w:sz w:val="24"/>
          <w:szCs w:val="24"/>
        </w:rPr>
        <w:t xml:space="preserve">score for male athletes is </w:t>
      </w:r>
    </w:p>
    <w:p w14:paraId="6F0335E5" w14:textId="6A5AFF79" w:rsidR="006E3EF0" w:rsidRPr="00696E1E" w:rsidRDefault="00B7618E" w:rsidP="006E3EF0">
      <w:pPr>
        <w:jc w:val="both"/>
        <w:rPr>
          <w:sz w:val="24"/>
          <w:szCs w:val="24"/>
        </w:rPr>
      </w:pPr>
      <w:r w:rsidRPr="00696E1E">
        <w:rPr>
          <w:position w:val="-14"/>
          <w:sz w:val="24"/>
          <w:szCs w:val="24"/>
        </w:rPr>
        <w:object w:dxaOrig="8140" w:dyaOrig="400" w14:anchorId="042087B7">
          <v:shape id="_x0000_i1027" type="#_x0000_t75" style="width:406.5pt;height:21.75pt" o:ole="">
            <v:imagedata r:id="rId12" o:title=""/>
          </v:shape>
          <o:OLEObject Type="Embed" ProgID="Equation.DSMT4" ShapeID="_x0000_i1027" DrawAspect="Content" ObjectID="_1597147448" r:id="rId13"/>
        </w:object>
      </w:r>
      <w:r w:rsidR="00FA6470">
        <w:rPr>
          <w:sz w:val="24"/>
          <w:szCs w:val="24"/>
        </w:rPr>
        <w:tab/>
        <w:t>(2</w:t>
      </w:r>
      <w:r w:rsidR="006E3EF0" w:rsidRPr="00696E1E">
        <w:rPr>
          <w:sz w:val="24"/>
          <w:szCs w:val="24"/>
        </w:rPr>
        <w:t>)</w:t>
      </w:r>
    </w:p>
    <w:p w14:paraId="32E613F1" w14:textId="4554CAC1" w:rsidR="006E3EF0" w:rsidRPr="00696E1E" w:rsidRDefault="006E3EF0" w:rsidP="006E3EF0">
      <w:pPr>
        <w:jc w:val="both"/>
        <w:rPr>
          <w:sz w:val="24"/>
          <w:szCs w:val="24"/>
        </w:rPr>
      </w:pPr>
      <w:r w:rsidRPr="00696E1E">
        <w:rPr>
          <w:sz w:val="24"/>
          <w:szCs w:val="24"/>
        </w:rPr>
        <w:t xml:space="preserve">and for  female athletes </w:t>
      </w:r>
    </w:p>
    <w:p w14:paraId="3F97D566" w14:textId="3CE1C979" w:rsidR="006E3EF0" w:rsidRPr="00696E1E" w:rsidRDefault="00B7618E" w:rsidP="005F2A56">
      <w:pPr>
        <w:jc w:val="both"/>
        <w:rPr>
          <w:sz w:val="24"/>
          <w:szCs w:val="24"/>
        </w:rPr>
      </w:pPr>
      <w:r w:rsidRPr="00696E1E">
        <w:rPr>
          <w:position w:val="-14"/>
          <w:sz w:val="24"/>
          <w:szCs w:val="24"/>
        </w:rPr>
        <w:object w:dxaOrig="8040" w:dyaOrig="400" w14:anchorId="5619B29D">
          <v:shape id="_x0000_i1028" type="#_x0000_t75" style="width:402.75pt;height:21.75pt" o:ole="">
            <v:imagedata r:id="rId14" o:title=""/>
          </v:shape>
          <o:OLEObject Type="Embed" ProgID="Equation.DSMT4" ShapeID="_x0000_i1028" DrawAspect="Content" ObjectID="_1597147449" r:id="rId15"/>
        </w:object>
      </w:r>
      <w:r w:rsidR="005F2A56" w:rsidRPr="00696E1E">
        <w:rPr>
          <w:sz w:val="24"/>
          <w:szCs w:val="24"/>
        </w:rPr>
        <w:t xml:space="preserve">            </w:t>
      </w:r>
    </w:p>
    <w:p w14:paraId="73D0A3E8" w14:textId="4D6A08A1" w:rsidR="005F2A56" w:rsidRDefault="005F2A56" w:rsidP="00696E1E">
      <w:pPr>
        <w:jc w:val="both"/>
        <w:rPr>
          <w:sz w:val="24"/>
          <w:szCs w:val="24"/>
        </w:rPr>
      </w:pPr>
      <w:r w:rsidRPr="00696E1E">
        <w:rPr>
          <w:sz w:val="24"/>
          <w:szCs w:val="24"/>
        </w:rPr>
        <w:t>As</w:t>
      </w:r>
      <w:r w:rsidR="00B966E5" w:rsidRPr="00696E1E">
        <w:rPr>
          <w:sz w:val="24"/>
          <w:szCs w:val="24"/>
        </w:rPr>
        <w:t xml:space="preserve"> the GH</w:t>
      </w:r>
      <w:r w:rsidR="006D1093" w:rsidRPr="00696E1E">
        <w:rPr>
          <w:sz w:val="24"/>
          <w:szCs w:val="24"/>
        </w:rPr>
        <w:t>-</w:t>
      </w:r>
      <w:r w:rsidR="00B966E5" w:rsidRPr="00696E1E">
        <w:rPr>
          <w:sz w:val="24"/>
          <w:szCs w:val="24"/>
        </w:rPr>
        <w:t xml:space="preserve">2000 </w:t>
      </w:r>
      <w:r w:rsidRPr="00696E1E">
        <w:rPr>
          <w:sz w:val="24"/>
          <w:szCs w:val="24"/>
        </w:rPr>
        <w:t xml:space="preserve">score </w:t>
      </w:r>
      <w:r w:rsidR="007608D2" w:rsidRPr="00696E1E">
        <w:rPr>
          <w:sz w:val="24"/>
          <w:szCs w:val="24"/>
        </w:rPr>
        <w:t>show</w:t>
      </w:r>
      <w:r w:rsidR="007608D2">
        <w:rPr>
          <w:sz w:val="24"/>
          <w:szCs w:val="24"/>
        </w:rPr>
        <w:t>ed</w:t>
      </w:r>
      <w:r w:rsidR="007608D2" w:rsidRPr="00696E1E">
        <w:rPr>
          <w:sz w:val="24"/>
          <w:szCs w:val="24"/>
        </w:rPr>
        <w:t xml:space="preserve"> </w:t>
      </w:r>
      <w:r w:rsidRPr="00696E1E">
        <w:rPr>
          <w:sz w:val="24"/>
          <w:szCs w:val="24"/>
        </w:rPr>
        <w:t xml:space="preserve">positive age-dependency for </w:t>
      </w:r>
      <w:r w:rsidR="007608D2" w:rsidRPr="00CB38F2">
        <w:rPr>
          <w:sz w:val="24"/>
          <w:szCs w:val="24"/>
        </w:rPr>
        <w:t>male athlete</w:t>
      </w:r>
      <w:r w:rsidR="007608D2">
        <w:rPr>
          <w:sz w:val="24"/>
          <w:szCs w:val="24"/>
        </w:rPr>
        <w:t>s competing at the Daegu World Athletics Championship in 2011</w:t>
      </w:r>
      <w:r w:rsidR="00D91E26">
        <w:rPr>
          <w:sz w:val="24"/>
          <w:szCs w:val="24"/>
        </w:rPr>
        <w:t>,</w:t>
      </w:r>
      <w:r w:rsidR="00696E1E">
        <w:rPr>
          <w:sz w:val="24"/>
          <w:szCs w:val="24"/>
        </w:rPr>
        <w:t xml:space="preserve"> an adjustment</w:t>
      </w:r>
      <w:r w:rsidR="007608D2">
        <w:rPr>
          <w:sz w:val="24"/>
          <w:szCs w:val="24"/>
        </w:rPr>
        <w:t xml:space="preserve"> to age correction was</w:t>
      </w:r>
      <w:r w:rsidR="00696E1E">
        <w:rPr>
          <w:sz w:val="24"/>
          <w:szCs w:val="24"/>
        </w:rPr>
        <w:t xml:space="preserve"> suggested in Böhning </w:t>
      </w:r>
      <w:r w:rsidR="00696E1E">
        <w:rPr>
          <w:i/>
          <w:iCs/>
          <w:sz w:val="24"/>
          <w:szCs w:val="24"/>
        </w:rPr>
        <w:t xml:space="preserve">et al. </w:t>
      </w:r>
      <w:r w:rsidR="00696E1E">
        <w:rPr>
          <w:sz w:val="24"/>
          <w:szCs w:val="24"/>
        </w:rPr>
        <w:t>(2016)</w:t>
      </w:r>
      <w:r w:rsidR="007608D2">
        <w:rPr>
          <w:sz w:val="24"/>
          <w:szCs w:val="24"/>
        </w:rPr>
        <w:t xml:space="preserve"> as follows</w:t>
      </w:r>
      <w:r w:rsidR="00696E1E">
        <w:rPr>
          <w:sz w:val="24"/>
          <w:szCs w:val="24"/>
        </w:rPr>
        <w:t>:</w:t>
      </w:r>
    </w:p>
    <w:p w14:paraId="7CEDFF6B" w14:textId="03D61692" w:rsidR="00696E1E" w:rsidRPr="00696E1E" w:rsidRDefault="00B7618E" w:rsidP="00696E1E">
      <w:pPr>
        <w:jc w:val="both"/>
        <w:rPr>
          <w:sz w:val="24"/>
          <w:szCs w:val="24"/>
        </w:rPr>
      </w:pPr>
      <w:r w:rsidRPr="00696E1E">
        <w:rPr>
          <w:position w:val="-30"/>
          <w:sz w:val="24"/>
          <w:szCs w:val="24"/>
        </w:rPr>
        <w:object w:dxaOrig="6720" w:dyaOrig="720" w14:anchorId="034ABDF0">
          <v:shape id="_x0000_i1029" type="#_x0000_t75" style="width:336pt;height:38.25pt" o:ole="">
            <v:imagedata r:id="rId16" o:title=""/>
          </v:shape>
          <o:OLEObject Type="Embed" ProgID="Equation.DSMT4" ShapeID="_x0000_i1029" DrawAspect="Content" ObjectID="_1597147450" r:id="rId17"/>
        </w:object>
      </w:r>
      <w:r w:rsidR="00696E1E">
        <w:rPr>
          <w:sz w:val="24"/>
          <w:szCs w:val="24"/>
        </w:rPr>
        <w:t xml:space="preserve"> </w:t>
      </w:r>
      <w:r w:rsidR="00696E1E">
        <w:rPr>
          <w:sz w:val="24"/>
          <w:szCs w:val="24"/>
        </w:rPr>
        <w:tab/>
        <w:t>(</w:t>
      </w:r>
      <w:r w:rsidR="00FA6470">
        <w:rPr>
          <w:sz w:val="24"/>
          <w:szCs w:val="24"/>
        </w:rPr>
        <w:t>3</w:t>
      </w:r>
      <w:r w:rsidR="00696E1E">
        <w:rPr>
          <w:sz w:val="24"/>
          <w:szCs w:val="24"/>
        </w:rPr>
        <w:t>)</w:t>
      </w:r>
    </w:p>
    <w:p w14:paraId="2F777529" w14:textId="3C5FE6D0" w:rsidR="00D91E26" w:rsidRDefault="00696E1E" w:rsidP="00172EBE">
      <w:pPr>
        <w:jc w:val="both"/>
        <w:rPr>
          <w:sz w:val="24"/>
          <w:szCs w:val="24"/>
        </w:rPr>
      </w:pPr>
      <w:r>
        <w:rPr>
          <w:sz w:val="24"/>
          <w:szCs w:val="24"/>
        </w:rPr>
        <w:t>This correction is only required for the male population of athletes</w:t>
      </w:r>
      <w:r w:rsidR="00D91E26">
        <w:rPr>
          <w:sz w:val="24"/>
          <w:szCs w:val="24"/>
        </w:rPr>
        <w:t xml:space="preserve"> as no age dependency was found for female athletes</w:t>
      </w:r>
      <w:r>
        <w:rPr>
          <w:sz w:val="24"/>
          <w:szCs w:val="24"/>
        </w:rPr>
        <w:t>. When</w:t>
      </w:r>
      <w:r w:rsidR="00FA6470">
        <w:rPr>
          <w:sz w:val="24"/>
          <w:szCs w:val="24"/>
        </w:rPr>
        <w:t xml:space="preserve"> applying the corrected score (3</w:t>
      </w:r>
      <w:r>
        <w:rPr>
          <w:sz w:val="24"/>
          <w:szCs w:val="24"/>
        </w:rPr>
        <w:t xml:space="preserve">) </w:t>
      </w:r>
      <w:r w:rsidR="00351B34">
        <w:rPr>
          <w:sz w:val="24"/>
          <w:szCs w:val="24"/>
        </w:rPr>
        <w:t>to</w:t>
      </w:r>
      <w:r>
        <w:rPr>
          <w:sz w:val="24"/>
          <w:szCs w:val="24"/>
        </w:rPr>
        <w:t xml:space="preserve"> the </w:t>
      </w:r>
      <w:r w:rsidR="00351B34">
        <w:rPr>
          <w:sz w:val="24"/>
          <w:szCs w:val="24"/>
        </w:rPr>
        <w:t xml:space="preserve">GH-2000 score </w:t>
      </w:r>
      <w:r>
        <w:rPr>
          <w:sz w:val="24"/>
          <w:szCs w:val="24"/>
        </w:rPr>
        <w:t xml:space="preserve">data used in Böhning </w:t>
      </w:r>
      <w:r>
        <w:rPr>
          <w:i/>
          <w:iCs/>
          <w:sz w:val="24"/>
          <w:szCs w:val="24"/>
        </w:rPr>
        <w:t xml:space="preserve">et al. </w:t>
      </w:r>
      <w:r>
        <w:rPr>
          <w:sz w:val="24"/>
          <w:szCs w:val="24"/>
        </w:rPr>
        <w:t>(2016)</w:t>
      </w:r>
      <w:r w:rsidR="00351B34">
        <w:rPr>
          <w:sz w:val="24"/>
          <w:szCs w:val="24"/>
        </w:rPr>
        <w:t xml:space="preserve">, the positive age effect </w:t>
      </w:r>
      <w:r w:rsidR="00D91E26">
        <w:rPr>
          <w:sz w:val="24"/>
          <w:szCs w:val="24"/>
        </w:rPr>
        <w:t>was no longer seen</w:t>
      </w:r>
      <w:r w:rsidR="00351B34">
        <w:rPr>
          <w:sz w:val="24"/>
          <w:szCs w:val="24"/>
        </w:rPr>
        <w:t xml:space="preserve">. </w:t>
      </w:r>
    </w:p>
    <w:p w14:paraId="35CFF5F6" w14:textId="7F9E01B9" w:rsidR="00351B34" w:rsidRDefault="00D91E26" w:rsidP="00172EBE">
      <w:pPr>
        <w:jc w:val="both"/>
      </w:pPr>
      <w:r>
        <w:rPr>
          <w:sz w:val="24"/>
          <w:szCs w:val="24"/>
        </w:rPr>
        <w:t>W</w:t>
      </w:r>
      <w:r w:rsidR="00351B34" w:rsidRPr="00351B34">
        <w:rPr>
          <w:rFonts w:cs="Arial"/>
          <w:sz w:val="24"/>
          <w:szCs w:val="24"/>
        </w:rPr>
        <w:t>e have investigated two larger data sets</w:t>
      </w:r>
      <w:r>
        <w:rPr>
          <w:rFonts w:cs="Arial"/>
          <w:sz w:val="24"/>
          <w:szCs w:val="24"/>
        </w:rPr>
        <w:t>,</w:t>
      </w:r>
      <w:r w:rsidR="00351B34" w:rsidRPr="00351B34">
        <w:rPr>
          <w:rFonts w:cs="Arial"/>
          <w:sz w:val="24"/>
          <w:szCs w:val="24"/>
        </w:rPr>
        <w:t xml:space="preserve"> which includes data on </w:t>
      </w:r>
      <w:r>
        <w:rPr>
          <w:rFonts w:cs="Arial"/>
          <w:sz w:val="24"/>
          <w:szCs w:val="24"/>
        </w:rPr>
        <w:t xml:space="preserve">testing for </w:t>
      </w:r>
      <w:r w:rsidR="00351B34" w:rsidRPr="00351B34">
        <w:rPr>
          <w:rFonts w:cs="Arial"/>
          <w:sz w:val="24"/>
          <w:szCs w:val="24"/>
        </w:rPr>
        <w:t>growth hormone misuse</w:t>
      </w:r>
      <w:r>
        <w:rPr>
          <w:rFonts w:cs="Arial"/>
          <w:sz w:val="24"/>
          <w:szCs w:val="24"/>
        </w:rPr>
        <w:t xml:space="preserve"> using the GH-2000 methodology</w:t>
      </w:r>
      <w:r w:rsidR="00351B34" w:rsidRPr="00351B34">
        <w:rPr>
          <w:rFonts w:cs="Arial"/>
          <w:sz w:val="24"/>
          <w:szCs w:val="24"/>
        </w:rPr>
        <w:t>.</w:t>
      </w:r>
      <w:r w:rsidR="00351B34" w:rsidRPr="00351B34">
        <w:rPr>
          <w:sz w:val="24"/>
          <w:szCs w:val="24"/>
        </w:rPr>
        <w:t xml:space="preserve"> </w:t>
      </w:r>
      <w:r w:rsidR="00351B34" w:rsidRPr="00351B34">
        <w:rPr>
          <w:rFonts w:ascii="Calibri" w:hAnsi="Calibri"/>
          <w:sz w:val="24"/>
          <w:szCs w:val="24"/>
        </w:rPr>
        <w:t>The first one contains results of serum IGF-I and P-III-NP and calculated GH-2000 score from 7307</w:t>
      </w:r>
      <w:r w:rsidR="00351B34" w:rsidRPr="00351B34">
        <w:rPr>
          <w:rFonts w:ascii="Calibri" w:eastAsia="Calibri" w:hAnsi="Calibri" w:cs="Calibri"/>
          <w:sz w:val="24"/>
          <w:szCs w:val="24"/>
        </w:rPr>
        <w:t xml:space="preserve"> analyses in men </w:t>
      </w:r>
      <w:r>
        <w:rPr>
          <w:rFonts w:ascii="Calibri" w:eastAsia="Calibri" w:hAnsi="Calibri" w:cs="Calibri"/>
          <w:sz w:val="24"/>
          <w:szCs w:val="24"/>
        </w:rPr>
        <w:t>performed in 15 accredited WADA laboratories. WADA</w:t>
      </w:r>
      <w:r w:rsidRPr="00351B34">
        <w:rPr>
          <w:rFonts w:ascii="Calibri" w:eastAsia="Calibri" w:hAnsi="Calibri" w:cs="Calibri"/>
          <w:sz w:val="24"/>
          <w:szCs w:val="24"/>
        </w:rPr>
        <w:t xml:space="preserve"> </w:t>
      </w:r>
      <w:r w:rsidR="00351B34" w:rsidRPr="00351B34">
        <w:rPr>
          <w:rFonts w:ascii="Calibri" w:eastAsia="Calibri" w:hAnsi="Calibri" w:cs="Calibri"/>
          <w:sz w:val="24"/>
          <w:szCs w:val="24"/>
        </w:rPr>
        <w:t xml:space="preserve">made </w:t>
      </w:r>
      <w:r>
        <w:rPr>
          <w:rFonts w:ascii="Calibri" w:eastAsia="Calibri" w:hAnsi="Calibri" w:cs="Calibri"/>
          <w:sz w:val="24"/>
          <w:szCs w:val="24"/>
        </w:rPr>
        <w:t xml:space="preserve">these data </w:t>
      </w:r>
      <w:r w:rsidR="00351B34" w:rsidRPr="00351B34">
        <w:rPr>
          <w:rFonts w:ascii="Calibri" w:eastAsia="Calibri" w:hAnsi="Calibri" w:cs="Calibri"/>
          <w:sz w:val="24"/>
          <w:szCs w:val="24"/>
        </w:rPr>
        <w:t>available to the GH-2004 team.</w:t>
      </w:r>
      <w:r w:rsidR="00351B34">
        <w:rPr>
          <w:rFonts w:ascii="Calibri" w:eastAsia="Calibri" w:hAnsi="Calibri" w:cs="Calibri"/>
          <w:sz w:val="24"/>
          <w:szCs w:val="24"/>
        </w:rPr>
        <w:t xml:space="preserve"> We denote this </w:t>
      </w:r>
      <w:r w:rsidR="007608D2">
        <w:rPr>
          <w:rFonts w:ascii="Calibri" w:eastAsia="Calibri" w:hAnsi="Calibri" w:cs="Calibri"/>
          <w:sz w:val="24"/>
          <w:szCs w:val="24"/>
        </w:rPr>
        <w:t xml:space="preserve">data set </w:t>
      </w:r>
      <w:r w:rsidR="00351B34">
        <w:rPr>
          <w:rFonts w:ascii="Calibri" w:eastAsia="Calibri" w:hAnsi="Calibri" w:cs="Calibri"/>
          <w:sz w:val="24"/>
          <w:szCs w:val="24"/>
        </w:rPr>
        <w:t>as the 2017-WADA</w:t>
      </w:r>
      <w:r w:rsidR="00172EBE">
        <w:rPr>
          <w:rFonts w:ascii="Calibri" w:eastAsia="Calibri" w:hAnsi="Calibri" w:cs="Calibri"/>
          <w:sz w:val="24"/>
          <w:szCs w:val="24"/>
        </w:rPr>
        <w:t xml:space="preserve">. </w:t>
      </w:r>
      <w:r w:rsidR="00351B34" w:rsidRPr="00351B34">
        <w:rPr>
          <w:rFonts w:ascii="Calibri" w:eastAsia="Calibri" w:hAnsi="Calibri" w:cs="Calibri"/>
          <w:sz w:val="24"/>
          <w:szCs w:val="24"/>
        </w:rPr>
        <w:t xml:space="preserve"> The second data </w:t>
      </w:r>
      <w:r w:rsidR="00172EBE">
        <w:rPr>
          <w:rFonts w:ascii="Calibri" w:eastAsia="Calibri" w:hAnsi="Calibri" w:cs="Calibri"/>
          <w:sz w:val="24"/>
          <w:szCs w:val="24"/>
        </w:rPr>
        <w:t xml:space="preserve">set </w:t>
      </w:r>
      <w:r w:rsidR="00351B34" w:rsidRPr="00351B34">
        <w:rPr>
          <w:rFonts w:ascii="Calibri" w:eastAsia="Calibri" w:hAnsi="Calibri" w:cs="Calibri"/>
          <w:sz w:val="24"/>
          <w:szCs w:val="24"/>
        </w:rPr>
        <w:t>stems from the</w:t>
      </w:r>
      <w:r w:rsidR="00351B34" w:rsidRPr="00351B34">
        <w:rPr>
          <w:rFonts w:eastAsia="Calibri" w:cs="Calibri"/>
          <w:sz w:val="24"/>
          <w:szCs w:val="24"/>
        </w:rPr>
        <w:t xml:space="preserve"> </w:t>
      </w:r>
      <w:r w:rsidR="00351B34" w:rsidRPr="00351B34">
        <w:rPr>
          <w:sz w:val="24"/>
          <w:szCs w:val="24"/>
        </w:rPr>
        <w:t>Drug Control Centre, King's College London, UK and contains 3916 analyses in men collected in the years 2013 to 2017.</w:t>
      </w:r>
      <w:r w:rsidR="00172EBE">
        <w:rPr>
          <w:sz w:val="24"/>
          <w:szCs w:val="24"/>
        </w:rPr>
        <w:t xml:space="preserve"> We denote this second data set as the London Lab 2012-2017 data. </w:t>
      </w:r>
      <w:r w:rsidR="00351B34" w:rsidRPr="00351B34">
        <w:rPr>
          <w:sz w:val="24"/>
          <w:szCs w:val="24"/>
        </w:rPr>
        <w:t xml:space="preserve"> </w:t>
      </w:r>
      <w:r w:rsidR="00172EBE">
        <w:rPr>
          <w:sz w:val="24"/>
          <w:szCs w:val="24"/>
        </w:rPr>
        <w:t xml:space="preserve">These are the largest current databases on GH-2000 scores available.  </w:t>
      </w:r>
    </w:p>
    <w:p w14:paraId="624BE60C" w14:textId="24EAF106" w:rsidR="00E62F19" w:rsidRPr="00B63DC1" w:rsidRDefault="00E62F19" w:rsidP="00A971E7">
      <w:pPr>
        <w:jc w:val="both"/>
        <w:rPr>
          <w:b/>
          <w:bCs/>
          <w:sz w:val="24"/>
          <w:szCs w:val="24"/>
        </w:rPr>
      </w:pPr>
      <w:r w:rsidRPr="00B63DC1">
        <w:rPr>
          <w:b/>
          <w:bCs/>
          <w:sz w:val="24"/>
          <w:szCs w:val="24"/>
        </w:rPr>
        <w:t>Results</w:t>
      </w:r>
    </w:p>
    <w:p w14:paraId="5709951B" w14:textId="0618BF03" w:rsidR="00A6624E" w:rsidRDefault="00931AAB" w:rsidP="00821D1F">
      <w:pPr>
        <w:rPr>
          <w:noProof/>
          <w:sz w:val="24"/>
          <w:szCs w:val="24"/>
          <w:lang w:eastAsia="zh-CN"/>
        </w:rPr>
      </w:pPr>
      <w:r>
        <w:rPr>
          <w:noProof/>
          <w:sz w:val="24"/>
          <w:szCs w:val="24"/>
          <w:lang w:eastAsia="zh-CN"/>
        </w:rPr>
        <w:t xml:space="preserve">Both available data sets were used to investigate </w:t>
      </w:r>
      <w:r w:rsidR="00A6624E">
        <w:rPr>
          <w:noProof/>
          <w:sz w:val="24"/>
          <w:szCs w:val="24"/>
          <w:lang w:eastAsia="zh-CN"/>
        </w:rPr>
        <w:t xml:space="preserve">any </w:t>
      </w:r>
      <w:r>
        <w:rPr>
          <w:noProof/>
          <w:sz w:val="24"/>
          <w:szCs w:val="24"/>
          <w:lang w:eastAsia="zh-CN"/>
        </w:rPr>
        <w:t>age</w:t>
      </w:r>
      <w:r w:rsidR="00A6624E">
        <w:rPr>
          <w:noProof/>
          <w:sz w:val="24"/>
          <w:szCs w:val="24"/>
          <w:lang w:eastAsia="zh-CN"/>
        </w:rPr>
        <w:t xml:space="preserve"> </w:t>
      </w:r>
      <w:r>
        <w:rPr>
          <w:noProof/>
          <w:sz w:val="24"/>
          <w:szCs w:val="24"/>
          <w:lang w:eastAsia="zh-CN"/>
        </w:rPr>
        <w:t xml:space="preserve">effect in the GH-2000 score. </w:t>
      </w:r>
      <w:r w:rsidR="00A6624E">
        <w:rPr>
          <w:noProof/>
          <w:sz w:val="24"/>
          <w:szCs w:val="24"/>
          <w:lang w:eastAsia="zh-CN"/>
        </w:rPr>
        <w:t>Although different pairs of assays were used, the combination of the Immunotech-ORION assays was most frequently used</w:t>
      </w:r>
      <w:r>
        <w:rPr>
          <w:noProof/>
          <w:sz w:val="24"/>
          <w:szCs w:val="24"/>
          <w:lang w:eastAsia="zh-CN"/>
        </w:rPr>
        <w:t xml:space="preserve">. </w:t>
      </w:r>
      <w:r w:rsidR="00A57487">
        <w:rPr>
          <w:noProof/>
          <w:sz w:val="24"/>
          <w:szCs w:val="24"/>
          <w:lang w:eastAsia="zh-CN"/>
        </w:rPr>
        <w:t xml:space="preserve">In Figure </w:t>
      </w:r>
      <w:r w:rsidR="00030F87">
        <w:rPr>
          <w:noProof/>
          <w:sz w:val="24"/>
          <w:szCs w:val="24"/>
          <w:lang w:eastAsia="zh-CN"/>
        </w:rPr>
        <w:t xml:space="preserve"> 1 and </w:t>
      </w:r>
      <w:r w:rsidR="00A57487">
        <w:rPr>
          <w:noProof/>
          <w:sz w:val="24"/>
          <w:szCs w:val="24"/>
          <w:lang w:eastAsia="zh-CN"/>
        </w:rPr>
        <w:t>Figure 1 of the supplement</w:t>
      </w:r>
      <w:r w:rsidR="00030F87">
        <w:rPr>
          <w:noProof/>
          <w:sz w:val="24"/>
          <w:szCs w:val="24"/>
          <w:lang w:eastAsia="zh-CN"/>
        </w:rPr>
        <w:t xml:space="preserve">, the positive age dependency is clearly visible when the </w:t>
      </w:r>
      <w:r w:rsidR="00D91E26">
        <w:rPr>
          <w:noProof/>
          <w:sz w:val="24"/>
          <w:szCs w:val="24"/>
          <w:lang w:eastAsia="zh-CN"/>
        </w:rPr>
        <w:t xml:space="preserve">original GH-2000 </w:t>
      </w:r>
      <w:r w:rsidR="00030F87">
        <w:rPr>
          <w:noProof/>
          <w:sz w:val="24"/>
          <w:szCs w:val="24"/>
          <w:lang w:eastAsia="zh-CN"/>
        </w:rPr>
        <w:t>score</w:t>
      </w:r>
      <w:r w:rsidR="00A6624E">
        <w:rPr>
          <w:noProof/>
          <w:sz w:val="24"/>
          <w:szCs w:val="24"/>
          <w:lang w:eastAsia="zh-CN"/>
        </w:rPr>
        <w:t xml:space="preserve"> based on the combination of the Immunotech-ORION</w:t>
      </w:r>
      <w:r w:rsidR="00030F87">
        <w:rPr>
          <w:noProof/>
          <w:sz w:val="24"/>
          <w:szCs w:val="24"/>
          <w:lang w:eastAsia="zh-CN"/>
        </w:rPr>
        <w:t xml:space="preserve"> (2)  is used.  This is also true when the </w:t>
      </w:r>
      <w:r w:rsidR="00A6624E">
        <w:rPr>
          <w:noProof/>
          <w:sz w:val="24"/>
          <w:szCs w:val="24"/>
          <w:lang w:eastAsia="zh-CN"/>
        </w:rPr>
        <w:t xml:space="preserve">LC-MS/MS and Siemens </w:t>
      </w:r>
      <w:r w:rsidR="00030F87">
        <w:rPr>
          <w:noProof/>
          <w:sz w:val="24"/>
          <w:szCs w:val="24"/>
          <w:lang w:eastAsia="zh-CN"/>
        </w:rPr>
        <w:t xml:space="preserve">assay combination is used in </w:t>
      </w:r>
      <w:r w:rsidR="00BD48BF">
        <w:rPr>
          <w:noProof/>
          <w:sz w:val="24"/>
          <w:szCs w:val="24"/>
          <w:lang w:eastAsia="zh-CN"/>
        </w:rPr>
        <w:t xml:space="preserve">the 2017 WADA data set (Figure </w:t>
      </w:r>
      <w:r w:rsidR="00821D1F">
        <w:rPr>
          <w:noProof/>
          <w:sz w:val="24"/>
          <w:szCs w:val="24"/>
          <w:lang w:eastAsia="zh-CN"/>
        </w:rPr>
        <w:t>4</w:t>
      </w:r>
      <w:r w:rsidR="00BD48BF">
        <w:rPr>
          <w:noProof/>
          <w:sz w:val="24"/>
          <w:szCs w:val="24"/>
          <w:lang w:eastAsia="zh-CN"/>
        </w:rPr>
        <w:t xml:space="preserve"> of the supplement</w:t>
      </w:r>
      <w:r w:rsidR="00030F87">
        <w:rPr>
          <w:noProof/>
          <w:sz w:val="24"/>
          <w:szCs w:val="24"/>
          <w:lang w:eastAsia="zh-CN"/>
        </w:rPr>
        <w:t xml:space="preserve">, panel a)). When the </w:t>
      </w:r>
      <w:r w:rsidR="00A6624E">
        <w:rPr>
          <w:noProof/>
          <w:sz w:val="24"/>
          <w:szCs w:val="24"/>
          <w:lang w:eastAsia="zh-CN"/>
        </w:rPr>
        <w:t xml:space="preserve">additional </w:t>
      </w:r>
      <w:r w:rsidR="00030F87">
        <w:rPr>
          <w:noProof/>
          <w:sz w:val="24"/>
          <w:szCs w:val="24"/>
          <w:lang w:eastAsia="zh-CN"/>
        </w:rPr>
        <w:t>correct</w:t>
      </w:r>
      <w:r w:rsidR="00A6624E">
        <w:rPr>
          <w:noProof/>
          <w:sz w:val="24"/>
          <w:szCs w:val="24"/>
          <w:lang w:eastAsia="zh-CN"/>
        </w:rPr>
        <w:t>ion term</w:t>
      </w:r>
      <w:r w:rsidR="00030F87">
        <w:rPr>
          <w:noProof/>
          <w:sz w:val="24"/>
          <w:szCs w:val="24"/>
          <w:lang w:eastAsia="zh-CN"/>
        </w:rPr>
        <w:t xml:space="preserve"> (3) is applied</w:t>
      </w:r>
      <w:r w:rsidR="002A7343">
        <w:rPr>
          <w:noProof/>
          <w:sz w:val="24"/>
          <w:szCs w:val="24"/>
          <w:lang w:eastAsia="zh-CN"/>
        </w:rPr>
        <w:t>,</w:t>
      </w:r>
      <w:r w:rsidR="00030F87">
        <w:rPr>
          <w:noProof/>
          <w:sz w:val="24"/>
          <w:szCs w:val="24"/>
          <w:lang w:eastAsia="zh-CN"/>
        </w:rPr>
        <w:t xml:space="preserve"> we </w:t>
      </w:r>
      <w:r w:rsidR="002A7343">
        <w:rPr>
          <w:noProof/>
          <w:sz w:val="24"/>
          <w:szCs w:val="24"/>
          <w:lang w:eastAsia="zh-CN"/>
        </w:rPr>
        <w:t xml:space="preserve">observed </w:t>
      </w:r>
      <w:r w:rsidR="00030F87">
        <w:rPr>
          <w:noProof/>
          <w:sz w:val="24"/>
          <w:szCs w:val="24"/>
          <w:lang w:eastAsia="zh-CN"/>
        </w:rPr>
        <w:t>a s</w:t>
      </w:r>
      <w:r w:rsidR="00821D1F">
        <w:rPr>
          <w:noProof/>
          <w:sz w:val="24"/>
          <w:szCs w:val="24"/>
          <w:lang w:eastAsia="zh-CN"/>
        </w:rPr>
        <w:t xml:space="preserve">ignificant negative age-affect in Figure </w:t>
      </w:r>
      <w:r w:rsidR="00A92351">
        <w:rPr>
          <w:noProof/>
          <w:sz w:val="24"/>
          <w:szCs w:val="24"/>
          <w:lang w:eastAsia="zh-CN"/>
        </w:rPr>
        <w:t xml:space="preserve">2 and Figure </w:t>
      </w:r>
      <w:r w:rsidR="00821D1F">
        <w:rPr>
          <w:noProof/>
          <w:sz w:val="24"/>
          <w:szCs w:val="24"/>
          <w:lang w:eastAsia="zh-CN"/>
        </w:rPr>
        <w:t>2, 4b)</w:t>
      </w:r>
      <w:r w:rsidR="00A92351">
        <w:rPr>
          <w:noProof/>
          <w:sz w:val="24"/>
          <w:szCs w:val="24"/>
          <w:lang w:eastAsia="zh-CN"/>
        </w:rPr>
        <w:t xml:space="preserve"> of the supplement</w:t>
      </w:r>
      <w:r w:rsidR="00030F87">
        <w:rPr>
          <w:noProof/>
          <w:sz w:val="24"/>
          <w:szCs w:val="24"/>
          <w:lang w:eastAsia="zh-CN"/>
        </w:rPr>
        <w:t xml:space="preserve">. </w:t>
      </w:r>
    </w:p>
    <w:p w14:paraId="225B1458" w14:textId="1D974D4A" w:rsidR="00AF34F7" w:rsidRDefault="00A6624E">
      <w:pPr>
        <w:rPr>
          <w:noProof/>
          <w:sz w:val="24"/>
          <w:szCs w:val="24"/>
          <w:lang w:eastAsia="zh-CN"/>
        </w:rPr>
      </w:pPr>
      <w:r>
        <w:rPr>
          <w:noProof/>
          <w:sz w:val="24"/>
          <w:szCs w:val="24"/>
          <w:lang w:eastAsia="zh-CN"/>
        </w:rPr>
        <w:t xml:space="preserve">As the additional correction term </w:t>
      </w:r>
      <w:r w:rsidR="00030F87">
        <w:rPr>
          <w:noProof/>
          <w:sz w:val="24"/>
          <w:szCs w:val="24"/>
          <w:lang w:eastAsia="zh-CN"/>
        </w:rPr>
        <w:t xml:space="preserve">(3) </w:t>
      </w:r>
      <w:r>
        <w:rPr>
          <w:noProof/>
          <w:sz w:val="24"/>
          <w:szCs w:val="24"/>
          <w:lang w:eastAsia="zh-CN"/>
        </w:rPr>
        <w:t xml:space="preserve">leads to </w:t>
      </w:r>
      <w:r w:rsidR="00030F87">
        <w:rPr>
          <w:noProof/>
          <w:sz w:val="24"/>
          <w:szCs w:val="24"/>
          <w:lang w:eastAsia="zh-CN"/>
        </w:rPr>
        <w:t>over-correction</w:t>
      </w:r>
      <w:r>
        <w:rPr>
          <w:noProof/>
          <w:sz w:val="24"/>
          <w:szCs w:val="24"/>
          <w:lang w:eastAsia="zh-CN"/>
        </w:rPr>
        <w:t xml:space="preserve"> of the effect of age</w:t>
      </w:r>
      <w:r w:rsidR="002A7343">
        <w:rPr>
          <w:noProof/>
          <w:sz w:val="24"/>
          <w:szCs w:val="24"/>
          <w:lang w:eastAsia="zh-CN"/>
        </w:rPr>
        <w:t xml:space="preserve"> in </w:t>
      </w:r>
      <w:r>
        <w:rPr>
          <w:noProof/>
          <w:sz w:val="24"/>
          <w:szCs w:val="24"/>
          <w:lang w:eastAsia="zh-CN"/>
        </w:rPr>
        <w:t>both</w:t>
      </w:r>
      <w:r w:rsidR="002A7343">
        <w:rPr>
          <w:noProof/>
          <w:sz w:val="24"/>
          <w:szCs w:val="24"/>
          <w:lang w:eastAsia="zh-CN"/>
        </w:rPr>
        <w:t xml:space="preserve"> datasets</w:t>
      </w:r>
      <w:r>
        <w:rPr>
          <w:noProof/>
          <w:sz w:val="24"/>
          <w:szCs w:val="24"/>
          <w:lang w:eastAsia="zh-CN"/>
        </w:rPr>
        <w:t xml:space="preserve">, we have </w:t>
      </w:r>
      <w:r w:rsidR="00AF34F7">
        <w:rPr>
          <w:noProof/>
          <w:sz w:val="24"/>
          <w:szCs w:val="24"/>
          <w:lang w:eastAsia="zh-CN"/>
        </w:rPr>
        <w:t>reconsider</w:t>
      </w:r>
      <w:r>
        <w:rPr>
          <w:noProof/>
          <w:sz w:val="24"/>
          <w:szCs w:val="24"/>
          <w:lang w:eastAsia="zh-CN"/>
        </w:rPr>
        <w:t>ed</w:t>
      </w:r>
      <w:r w:rsidR="00AF34F7">
        <w:rPr>
          <w:noProof/>
          <w:sz w:val="24"/>
          <w:szCs w:val="24"/>
          <w:lang w:eastAsia="zh-CN"/>
        </w:rPr>
        <w:t xml:space="preserve"> the correction term 0.032 used in (3). It was developed as weighted average of the age-effects across the various assay combinations. </w:t>
      </w:r>
      <w:r>
        <w:rPr>
          <w:noProof/>
          <w:sz w:val="24"/>
          <w:szCs w:val="24"/>
          <w:lang w:eastAsia="zh-CN"/>
        </w:rPr>
        <w:t xml:space="preserve">The </w:t>
      </w:r>
      <w:r w:rsidR="00AF34F7">
        <w:rPr>
          <w:noProof/>
          <w:sz w:val="24"/>
          <w:szCs w:val="24"/>
          <w:lang w:eastAsia="zh-CN"/>
        </w:rPr>
        <w:t xml:space="preserve">specific age-effect for the </w:t>
      </w:r>
      <w:r>
        <w:rPr>
          <w:noProof/>
          <w:sz w:val="24"/>
          <w:szCs w:val="24"/>
          <w:lang w:eastAsia="zh-CN"/>
        </w:rPr>
        <w:t xml:space="preserve">Immunotech-ORION </w:t>
      </w:r>
      <w:r w:rsidR="00AF34F7">
        <w:rPr>
          <w:noProof/>
          <w:sz w:val="24"/>
          <w:szCs w:val="24"/>
          <w:lang w:eastAsia="zh-CN"/>
        </w:rPr>
        <w:t>combi</w:t>
      </w:r>
      <w:r>
        <w:rPr>
          <w:noProof/>
          <w:sz w:val="24"/>
          <w:szCs w:val="24"/>
          <w:lang w:eastAsia="zh-CN"/>
        </w:rPr>
        <w:t>na</w:t>
      </w:r>
      <w:r w:rsidR="00AF34F7">
        <w:rPr>
          <w:noProof/>
          <w:sz w:val="24"/>
          <w:szCs w:val="24"/>
          <w:lang w:eastAsia="zh-CN"/>
        </w:rPr>
        <w:t>tion</w:t>
      </w:r>
      <w:r>
        <w:rPr>
          <w:noProof/>
          <w:sz w:val="24"/>
          <w:szCs w:val="24"/>
          <w:lang w:eastAsia="zh-CN"/>
        </w:rPr>
        <w:t xml:space="preserve"> in Table 1 from Böhning </w:t>
      </w:r>
      <w:r>
        <w:rPr>
          <w:i/>
          <w:iCs/>
          <w:noProof/>
          <w:sz w:val="24"/>
          <w:szCs w:val="24"/>
          <w:lang w:eastAsia="zh-CN"/>
        </w:rPr>
        <w:t>et al.</w:t>
      </w:r>
      <w:r>
        <w:rPr>
          <w:noProof/>
          <w:sz w:val="24"/>
          <w:szCs w:val="24"/>
          <w:lang w:eastAsia="zh-CN"/>
        </w:rPr>
        <w:t xml:space="preserve"> (2016), </w:t>
      </w:r>
      <w:r w:rsidR="00AF34F7">
        <w:rPr>
          <w:noProof/>
          <w:sz w:val="24"/>
          <w:szCs w:val="24"/>
          <w:lang w:eastAsia="zh-CN"/>
        </w:rPr>
        <w:t xml:space="preserve">is 0.0202. </w:t>
      </w:r>
      <w:r>
        <w:rPr>
          <w:noProof/>
          <w:sz w:val="24"/>
          <w:szCs w:val="24"/>
          <w:lang w:eastAsia="zh-CN"/>
        </w:rPr>
        <w:t xml:space="preserve">We therefore propose using </w:t>
      </w:r>
      <w:r w:rsidR="00AF34F7">
        <w:rPr>
          <w:noProof/>
          <w:sz w:val="24"/>
          <w:szCs w:val="24"/>
          <w:lang w:eastAsia="zh-CN"/>
        </w:rPr>
        <w:t>this value as</w:t>
      </w:r>
      <w:r w:rsidR="002A7343">
        <w:rPr>
          <w:noProof/>
          <w:sz w:val="24"/>
          <w:szCs w:val="24"/>
          <w:lang w:eastAsia="zh-CN"/>
        </w:rPr>
        <w:t xml:space="preserve"> the</w:t>
      </w:r>
      <w:r w:rsidR="00AF34F7">
        <w:rPr>
          <w:noProof/>
          <w:sz w:val="24"/>
          <w:szCs w:val="24"/>
          <w:lang w:eastAsia="zh-CN"/>
        </w:rPr>
        <w:t xml:space="preserve"> correction term as it is represents the </w:t>
      </w:r>
      <w:r>
        <w:rPr>
          <w:noProof/>
          <w:sz w:val="24"/>
          <w:szCs w:val="24"/>
          <w:lang w:eastAsia="zh-CN"/>
        </w:rPr>
        <w:t xml:space="preserve">Immunotech-ORION </w:t>
      </w:r>
      <w:r w:rsidR="00AF34F7">
        <w:rPr>
          <w:noProof/>
          <w:sz w:val="24"/>
          <w:szCs w:val="24"/>
          <w:lang w:eastAsia="zh-CN"/>
        </w:rPr>
        <w:t xml:space="preserve">specific age-effect.  </w:t>
      </w:r>
      <w:r>
        <w:rPr>
          <w:noProof/>
          <w:sz w:val="24"/>
          <w:szCs w:val="24"/>
          <w:lang w:eastAsia="zh-CN"/>
        </w:rPr>
        <w:t>T</w:t>
      </w:r>
      <w:r w:rsidR="00AF34F7">
        <w:rPr>
          <w:noProof/>
          <w:sz w:val="24"/>
          <w:szCs w:val="24"/>
          <w:lang w:eastAsia="zh-CN"/>
        </w:rPr>
        <w:t>he adjusted GH-2000 score</w:t>
      </w:r>
      <w:r>
        <w:rPr>
          <w:noProof/>
          <w:sz w:val="24"/>
          <w:szCs w:val="24"/>
          <w:lang w:eastAsia="zh-CN"/>
        </w:rPr>
        <w:t xml:space="preserve"> then becomes</w:t>
      </w:r>
      <w:r w:rsidR="00AF34F7">
        <w:rPr>
          <w:noProof/>
          <w:sz w:val="24"/>
          <w:szCs w:val="24"/>
          <w:lang w:eastAsia="zh-CN"/>
        </w:rPr>
        <w:t>:</w:t>
      </w:r>
    </w:p>
    <w:p w14:paraId="640D44CF" w14:textId="6111FA32" w:rsidR="00AF34F7" w:rsidRPr="00696E1E" w:rsidRDefault="003910E0" w:rsidP="00AF34F7">
      <w:pPr>
        <w:jc w:val="both"/>
        <w:rPr>
          <w:sz w:val="24"/>
          <w:szCs w:val="24"/>
        </w:rPr>
      </w:pPr>
      <w:r w:rsidRPr="00696E1E">
        <w:rPr>
          <w:position w:val="-30"/>
          <w:sz w:val="24"/>
          <w:szCs w:val="24"/>
        </w:rPr>
        <w:object w:dxaOrig="6720" w:dyaOrig="720" w14:anchorId="715DF0FA">
          <v:shape id="_x0000_i1030" type="#_x0000_t75" style="width:336pt;height:38.25pt" o:ole="">
            <v:imagedata r:id="rId18" o:title=""/>
          </v:shape>
          <o:OLEObject Type="Embed" ProgID="Equation.DSMT4" ShapeID="_x0000_i1030" DrawAspect="Content" ObjectID="_1597147451" r:id="rId19"/>
        </w:object>
      </w:r>
      <w:r w:rsidR="00AF34F7">
        <w:rPr>
          <w:sz w:val="24"/>
          <w:szCs w:val="24"/>
        </w:rPr>
        <w:t xml:space="preserve">         </w:t>
      </w:r>
      <w:r w:rsidR="00AF34F7">
        <w:rPr>
          <w:sz w:val="24"/>
          <w:szCs w:val="24"/>
        </w:rPr>
        <w:tab/>
      </w:r>
      <w:r w:rsidR="00AF34F7">
        <w:rPr>
          <w:sz w:val="24"/>
          <w:szCs w:val="24"/>
        </w:rPr>
        <w:tab/>
        <w:t>(4)</w:t>
      </w:r>
    </w:p>
    <w:p w14:paraId="7D63FEF6" w14:textId="507CD078" w:rsidR="0049465B" w:rsidRDefault="00AF34F7">
      <w:pPr>
        <w:rPr>
          <w:noProof/>
          <w:sz w:val="24"/>
          <w:szCs w:val="24"/>
          <w:lang w:eastAsia="zh-CN"/>
        </w:rPr>
      </w:pPr>
      <w:r>
        <w:rPr>
          <w:noProof/>
          <w:sz w:val="24"/>
          <w:szCs w:val="24"/>
          <w:lang w:eastAsia="zh-CN"/>
        </w:rPr>
        <w:t xml:space="preserve">If we apply this correction for the </w:t>
      </w:r>
      <w:r w:rsidR="002C1D10">
        <w:rPr>
          <w:noProof/>
          <w:sz w:val="24"/>
          <w:szCs w:val="24"/>
          <w:lang w:eastAsia="zh-CN"/>
        </w:rPr>
        <w:t xml:space="preserve">Immunotech-ORION </w:t>
      </w:r>
      <w:r>
        <w:rPr>
          <w:noProof/>
          <w:sz w:val="24"/>
          <w:szCs w:val="24"/>
          <w:lang w:eastAsia="zh-CN"/>
        </w:rPr>
        <w:t>assay combination in the 2017 WADA and the London Lab 2012-2017 data set, we see that the age-effect disap</w:t>
      </w:r>
      <w:r w:rsidR="00A92351">
        <w:rPr>
          <w:noProof/>
          <w:sz w:val="24"/>
          <w:szCs w:val="24"/>
          <w:lang w:eastAsia="zh-CN"/>
        </w:rPr>
        <w:t>pears as illustrated in Figure 3</w:t>
      </w:r>
      <w:r>
        <w:rPr>
          <w:noProof/>
          <w:sz w:val="24"/>
          <w:szCs w:val="24"/>
          <w:lang w:eastAsia="zh-CN"/>
        </w:rPr>
        <w:t xml:space="preserve">. </w:t>
      </w:r>
    </w:p>
    <w:p w14:paraId="6B744F02" w14:textId="5F567B76" w:rsidR="000455A7" w:rsidRDefault="00931AAB" w:rsidP="00CB773A">
      <w:pPr>
        <w:rPr>
          <w:sz w:val="24"/>
          <w:szCs w:val="24"/>
        </w:rPr>
      </w:pPr>
      <w:r>
        <w:rPr>
          <w:noProof/>
          <w:sz w:val="24"/>
          <w:szCs w:val="24"/>
          <w:lang w:eastAsia="zh-CN"/>
        </w:rPr>
        <w:br w:type="page"/>
      </w:r>
      <w:r w:rsidR="0049465B">
        <w:rPr>
          <w:noProof/>
          <w:sz w:val="24"/>
          <w:szCs w:val="24"/>
          <w:lang w:eastAsia="en-GB"/>
        </w:rPr>
        <w:lastRenderedPageBreak/>
        <w:drawing>
          <wp:inline distT="0" distB="0" distL="0" distR="0" wp14:anchorId="230985D3" wp14:editId="3F5FACDE">
            <wp:extent cx="54864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97F264E" w14:textId="74DF653E" w:rsidR="007D26BE" w:rsidRPr="00FA6470" w:rsidRDefault="007D26BE" w:rsidP="00821D1F">
      <w:pPr>
        <w:jc w:val="both"/>
        <w:rPr>
          <w:sz w:val="24"/>
          <w:szCs w:val="24"/>
        </w:rPr>
      </w:pPr>
      <w:r>
        <w:rPr>
          <w:b/>
          <w:bCs/>
          <w:sz w:val="24"/>
          <w:szCs w:val="24"/>
        </w:rPr>
        <w:t>Figure 1</w:t>
      </w:r>
      <w:r w:rsidRPr="0018492F">
        <w:rPr>
          <w:b/>
          <w:bCs/>
          <w:sz w:val="24"/>
          <w:szCs w:val="24"/>
        </w:rPr>
        <w:t xml:space="preserve">: </w:t>
      </w:r>
      <w:r>
        <w:rPr>
          <w:b/>
          <w:bCs/>
          <w:sz w:val="24"/>
          <w:szCs w:val="24"/>
        </w:rPr>
        <w:t xml:space="preserve"> </w:t>
      </w:r>
      <w:r>
        <w:rPr>
          <w:sz w:val="24"/>
          <w:szCs w:val="24"/>
        </w:rPr>
        <w:t>uncorrected GH-2000 score (2) using the assay combination Immunotech and ORION in the 2017 WADA data set showing a s</w:t>
      </w:r>
      <w:r w:rsidR="00821D1F">
        <w:rPr>
          <w:sz w:val="24"/>
          <w:szCs w:val="24"/>
        </w:rPr>
        <w:t>ignificant positive age effect</w:t>
      </w:r>
    </w:p>
    <w:p w14:paraId="6AC7A291" w14:textId="08E357B6" w:rsidR="007D26BE" w:rsidRDefault="007D26BE">
      <w:pPr>
        <w:rPr>
          <w:sz w:val="24"/>
          <w:szCs w:val="24"/>
        </w:rPr>
      </w:pPr>
      <w:r>
        <w:rPr>
          <w:sz w:val="24"/>
          <w:szCs w:val="24"/>
        </w:rPr>
        <w:br w:type="page"/>
      </w:r>
    </w:p>
    <w:p w14:paraId="14A88F6D" w14:textId="77777777" w:rsidR="00FA6470" w:rsidRDefault="00FA6470" w:rsidP="00E84518">
      <w:pPr>
        <w:jc w:val="both"/>
        <w:rPr>
          <w:sz w:val="24"/>
          <w:szCs w:val="24"/>
        </w:rPr>
      </w:pPr>
    </w:p>
    <w:p w14:paraId="0DBBC493" w14:textId="7DC15584" w:rsidR="0049465B" w:rsidRDefault="0049465B" w:rsidP="00E84518">
      <w:pPr>
        <w:jc w:val="both"/>
        <w:rPr>
          <w:sz w:val="24"/>
          <w:szCs w:val="24"/>
        </w:rPr>
      </w:pPr>
      <w:r>
        <w:rPr>
          <w:noProof/>
          <w:sz w:val="24"/>
          <w:szCs w:val="24"/>
          <w:lang w:eastAsia="en-GB"/>
        </w:rPr>
        <w:drawing>
          <wp:inline distT="0" distB="0" distL="0" distR="0" wp14:anchorId="4A0E3078" wp14:editId="45C6FC14">
            <wp:extent cx="5486400"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2052E5C4" w14:textId="12674658" w:rsidR="007D26BE" w:rsidRDefault="007D26BE" w:rsidP="007D26BE">
      <w:pPr>
        <w:jc w:val="both"/>
        <w:rPr>
          <w:sz w:val="24"/>
          <w:szCs w:val="24"/>
        </w:rPr>
      </w:pPr>
      <w:r>
        <w:rPr>
          <w:b/>
          <w:bCs/>
          <w:sz w:val="24"/>
          <w:szCs w:val="24"/>
        </w:rPr>
        <w:t>Figure 2</w:t>
      </w:r>
      <w:r w:rsidRPr="0018492F">
        <w:rPr>
          <w:b/>
          <w:bCs/>
          <w:sz w:val="24"/>
          <w:szCs w:val="24"/>
        </w:rPr>
        <w:t xml:space="preserve">: </w:t>
      </w:r>
      <w:r>
        <w:rPr>
          <w:b/>
          <w:bCs/>
          <w:sz w:val="24"/>
          <w:szCs w:val="24"/>
        </w:rPr>
        <w:t xml:space="preserve"> </w:t>
      </w:r>
      <w:r>
        <w:rPr>
          <w:sz w:val="24"/>
          <w:szCs w:val="24"/>
        </w:rPr>
        <w:t>corrected GH-2000 score (3) using the assay combination Immunotech and ORION in the 2017 WADA data set showing a significant negative age effect</w:t>
      </w:r>
    </w:p>
    <w:p w14:paraId="5EF30617" w14:textId="055AB8B3" w:rsidR="00821D1F" w:rsidRDefault="00821D1F">
      <w:pPr>
        <w:rPr>
          <w:sz w:val="24"/>
          <w:szCs w:val="24"/>
        </w:rPr>
      </w:pPr>
      <w:r>
        <w:rPr>
          <w:sz w:val="24"/>
          <w:szCs w:val="24"/>
        </w:rPr>
        <w:br w:type="page"/>
      </w:r>
    </w:p>
    <w:p w14:paraId="046C6B78" w14:textId="77777777" w:rsidR="007D26BE" w:rsidRPr="00FA6470" w:rsidRDefault="007D26BE" w:rsidP="007D26BE">
      <w:pPr>
        <w:jc w:val="both"/>
        <w:rPr>
          <w:sz w:val="24"/>
          <w:szCs w:val="24"/>
        </w:rPr>
      </w:pPr>
    </w:p>
    <w:p w14:paraId="31E8DB30" w14:textId="632453DA" w:rsidR="007F64FE" w:rsidRDefault="0049465B" w:rsidP="00D558A5">
      <w:pPr>
        <w:jc w:val="both"/>
        <w:rPr>
          <w:b/>
          <w:bCs/>
          <w:sz w:val="28"/>
          <w:szCs w:val="28"/>
        </w:rPr>
      </w:pPr>
      <w:r>
        <w:rPr>
          <w:b/>
          <w:bCs/>
          <w:noProof/>
          <w:sz w:val="28"/>
          <w:szCs w:val="28"/>
          <w:lang w:eastAsia="en-GB"/>
        </w:rPr>
        <w:drawing>
          <wp:inline distT="0" distB="0" distL="0" distR="0" wp14:anchorId="5ABD1D87" wp14:editId="7F3FA84F">
            <wp:extent cx="54864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03B1C597" w14:textId="1197BDD8" w:rsidR="0049465B" w:rsidRPr="007F64FE" w:rsidRDefault="0049465B" w:rsidP="00D558A5">
      <w:pPr>
        <w:jc w:val="both"/>
        <w:rPr>
          <w:sz w:val="28"/>
          <w:szCs w:val="28"/>
        </w:rPr>
      </w:pPr>
    </w:p>
    <w:p w14:paraId="4D54133A" w14:textId="24BCC997" w:rsidR="007F64FE" w:rsidRDefault="00BD48BF" w:rsidP="007D26BE">
      <w:pPr>
        <w:jc w:val="both"/>
        <w:rPr>
          <w:sz w:val="24"/>
          <w:szCs w:val="24"/>
        </w:rPr>
      </w:pPr>
      <w:r>
        <w:rPr>
          <w:b/>
          <w:bCs/>
          <w:sz w:val="24"/>
          <w:szCs w:val="24"/>
        </w:rPr>
        <w:t>Figure 3</w:t>
      </w:r>
      <w:r w:rsidR="007F64FE" w:rsidRPr="0018492F">
        <w:rPr>
          <w:b/>
          <w:bCs/>
          <w:sz w:val="24"/>
          <w:szCs w:val="24"/>
        </w:rPr>
        <w:t xml:space="preserve">: </w:t>
      </w:r>
      <w:r w:rsidR="007F64FE">
        <w:rPr>
          <w:b/>
          <w:bCs/>
          <w:sz w:val="24"/>
          <w:szCs w:val="24"/>
        </w:rPr>
        <w:t xml:space="preserve"> </w:t>
      </w:r>
      <w:r w:rsidR="007F64FE">
        <w:rPr>
          <w:sz w:val="24"/>
          <w:szCs w:val="24"/>
        </w:rPr>
        <w:t xml:space="preserve">GH-2000 score </w:t>
      </w:r>
      <w:r w:rsidR="00BF158A">
        <w:rPr>
          <w:sz w:val="24"/>
          <w:szCs w:val="24"/>
        </w:rPr>
        <w:t xml:space="preserve">with new correction term (4) </w:t>
      </w:r>
      <w:r w:rsidR="007F64FE">
        <w:rPr>
          <w:sz w:val="24"/>
          <w:szCs w:val="24"/>
        </w:rPr>
        <w:t xml:space="preserve">using </w:t>
      </w:r>
      <w:r w:rsidR="0049465B">
        <w:rPr>
          <w:sz w:val="24"/>
          <w:szCs w:val="24"/>
        </w:rPr>
        <w:t>the assay combination Immunotech</w:t>
      </w:r>
      <w:r w:rsidR="007F64FE">
        <w:rPr>
          <w:sz w:val="24"/>
          <w:szCs w:val="24"/>
        </w:rPr>
        <w:t xml:space="preserve"> and ORION in the 2017 WADA data set showing a </w:t>
      </w:r>
      <w:r w:rsidR="007F64FE" w:rsidRPr="007F64FE">
        <w:rPr>
          <w:i/>
          <w:iCs/>
          <w:sz w:val="24"/>
          <w:szCs w:val="24"/>
        </w:rPr>
        <w:t>non-significant</w:t>
      </w:r>
      <w:r w:rsidR="007F64FE">
        <w:rPr>
          <w:sz w:val="24"/>
          <w:szCs w:val="24"/>
        </w:rPr>
        <w:t xml:space="preserve"> age effect</w:t>
      </w:r>
    </w:p>
    <w:p w14:paraId="798E7BB8" w14:textId="6A2D4830" w:rsidR="007D26BE" w:rsidRDefault="007D26BE">
      <w:pPr>
        <w:rPr>
          <w:sz w:val="24"/>
          <w:szCs w:val="24"/>
        </w:rPr>
      </w:pPr>
      <w:r>
        <w:rPr>
          <w:sz w:val="24"/>
          <w:szCs w:val="24"/>
        </w:rPr>
        <w:br w:type="page"/>
      </w:r>
    </w:p>
    <w:p w14:paraId="5E9B5800" w14:textId="4A3D0A62" w:rsidR="00687623" w:rsidRDefault="00687623" w:rsidP="00A92351">
      <w:pPr>
        <w:jc w:val="both"/>
        <w:rPr>
          <w:sz w:val="24"/>
          <w:szCs w:val="24"/>
        </w:rPr>
      </w:pPr>
      <w:r>
        <w:rPr>
          <w:sz w:val="24"/>
          <w:szCs w:val="24"/>
        </w:rPr>
        <w:lastRenderedPageBreak/>
        <w:t>The age-correction of 0.</w:t>
      </w:r>
      <w:r w:rsidR="00575789">
        <w:rPr>
          <w:sz w:val="24"/>
          <w:szCs w:val="24"/>
        </w:rPr>
        <w:t>0</w:t>
      </w:r>
      <w:r>
        <w:rPr>
          <w:sz w:val="24"/>
          <w:szCs w:val="24"/>
        </w:rPr>
        <w:t xml:space="preserve">20 which is implemented in the new adjusted GH-2000 score </w:t>
      </w:r>
      <w:r w:rsidR="002C1D10">
        <w:rPr>
          <w:sz w:val="24"/>
          <w:szCs w:val="24"/>
        </w:rPr>
        <w:t xml:space="preserve">also </w:t>
      </w:r>
      <w:r>
        <w:rPr>
          <w:sz w:val="24"/>
          <w:szCs w:val="24"/>
        </w:rPr>
        <w:t>works well for other assay combinations as Figure</w:t>
      </w:r>
      <w:r w:rsidR="00821D1F">
        <w:rPr>
          <w:sz w:val="24"/>
          <w:szCs w:val="24"/>
        </w:rPr>
        <w:t>s</w:t>
      </w:r>
      <w:r>
        <w:rPr>
          <w:sz w:val="24"/>
          <w:szCs w:val="24"/>
        </w:rPr>
        <w:t xml:space="preserve"> </w:t>
      </w:r>
      <w:r w:rsidR="00821D1F">
        <w:rPr>
          <w:sz w:val="24"/>
          <w:szCs w:val="24"/>
        </w:rPr>
        <w:t>3 and 5</w:t>
      </w:r>
      <w:r w:rsidR="00A92351">
        <w:rPr>
          <w:sz w:val="24"/>
          <w:szCs w:val="24"/>
        </w:rPr>
        <w:t xml:space="preserve"> of the supplement</w:t>
      </w:r>
      <w:r w:rsidR="00821D1F">
        <w:rPr>
          <w:sz w:val="24"/>
          <w:szCs w:val="24"/>
        </w:rPr>
        <w:t xml:space="preserve"> show</w:t>
      </w:r>
      <w:r>
        <w:rPr>
          <w:sz w:val="24"/>
          <w:szCs w:val="24"/>
        </w:rPr>
        <w:t xml:space="preserve"> where (4) is applied to the LC-MS/MS and Siemens assay combination. It should be noted from Table 1 </w:t>
      </w:r>
      <w:r w:rsidR="00A92351">
        <w:rPr>
          <w:sz w:val="24"/>
          <w:szCs w:val="24"/>
        </w:rPr>
        <w:t xml:space="preserve">in Böhning </w:t>
      </w:r>
      <w:r w:rsidR="00A92351">
        <w:rPr>
          <w:i/>
          <w:iCs/>
          <w:sz w:val="24"/>
          <w:szCs w:val="24"/>
        </w:rPr>
        <w:t xml:space="preserve">et al. </w:t>
      </w:r>
      <w:r w:rsidR="00A92351">
        <w:rPr>
          <w:sz w:val="24"/>
          <w:szCs w:val="24"/>
        </w:rPr>
        <w:t xml:space="preserve">(2016) </w:t>
      </w:r>
      <w:r>
        <w:rPr>
          <w:sz w:val="24"/>
          <w:szCs w:val="24"/>
        </w:rPr>
        <w:t>that 0.</w:t>
      </w:r>
      <w:r w:rsidR="00575789">
        <w:rPr>
          <w:sz w:val="24"/>
          <w:szCs w:val="24"/>
        </w:rPr>
        <w:t>020</w:t>
      </w:r>
      <w:r>
        <w:rPr>
          <w:sz w:val="24"/>
          <w:szCs w:val="24"/>
        </w:rPr>
        <w:t xml:space="preserve"> is also the smallest observed age-affect. Hence we recommend this value instead of the previously suggested value of 0.</w:t>
      </w:r>
      <w:r w:rsidR="00575789">
        <w:rPr>
          <w:sz w:val="24"/>
          <w:szCs w:val="24"/>
        </w:rPr>
        <w:t>0</w:t>
      </w:r>
      <w:r>
        <w:rPr>
          <w:sz w:val="24"/>
          <w:szCs w:val="24"/>
        </w:rPr>
        <w:t xml:space="preserve">32. </w:t>
      </w:r>
    </w:p>
    <w:p w14:paraId="7FB73740" w14:textId="77777777" w:rsidR="007F64FE" w:rsidRPr="007F64FE" w:rsidRDefault="007F64FE" w:rsidP="00D558A5">
      <w:pPr>
        <w:jc w:val="both"/>
        <w:rPr>
          <w:sz w:val="28"/>
          <w:szCs w:val="28"/>
        </w:rPr>
      </w:pPr>
    </w:p>
    <w:p w14:paraId="7A75A5E4" w14:textId="550C0A8F" w:rsidR="00E62F19" w:rsidRPr="00B63DC1" w:rsidRDefault="00D558A5" w:rsidP="00D558A5">
      <w:pPr>
        <w:jc w:val="both"/>
        <w:rPr>
          <w:b/>
          <w:bCs/>
          <w:sz w:val="24"/>
          <w:szCs w:val="24"/>
        </w:rPr>
      </w:pPr>
      <w:r w:rsidRPr="00B63DC1">
        <w:rPr>
          <w:b/>
          <w:bCs/>
          <w:sz w:val="24"/>
          <w:szCs w:val="24"/>
        </w:rPr>
        <w:t>Discussion</w:t>
      </w:r>
    </w:p>
    <w:p w14:paraId="65968A48" w14:textId="649E26E7" w:rsidR="002E1210" w:rsidRPr="00CB773A" w:rsidRDefault="002E1210" w:rsidP="00CB773A">
      <w:pPr>
        <w:jc w:val="both"/>
        <w:rPr>
          <w:rFonts w:ascii="Calibri" w:hAnsi="Calibri"/>
          <w:sz w:val="24"/>
        </w:rPr>
      </w:pPr>
      <w:r w:rsidRPr="00CB773A">
        <w:rPr>
          <w:rFonts w:ascii="Calibri" w:hAnsi="Calibri"/>
          <w:sz w:val="24"/>
        </w:rPr>
        <w:t>We are proposing this revised age adjustment for only the male athlete population as the original age adjustment performed appropriately for the female population in these new cohorts of athletes. The original GH-2000 discriminant function for women therefore remains unchanged.</w:t>
      </w:r>
    </w:p>
    <w:p w14:paraId="4C65377C" w14:textId="783D1FCB" w:rsidR="00F84D2F" w:rsidRDefault="00180609" w:rsidP="004A4EE6">
      <w:pPr>
        <w:jc w:val="both"/>
        <w:rPr>
          <w:sz w:val="24"/>
          <w:szCs w:val="24"/>
        </w:rPr>
      </w:pPr>
      <w:r>
        <w:rPr>
          <w:sz w:val="24"/>
          <w:szCs w:val="24"/>
        </w:rPr>
        <w:t xml:space="preserve">It is clear that the age-effect correction suggested in Böhning </w:t>
      </w:r>
      <w:r>
        <w:rPr>
          <w:i/>
          <w:iCs/>
          <w:sz w:val="24"/>
          <w:szCs w:val="24"/>
        </w:rPr>
        <w:t xml:space="preserve">et al. </w:t>
      </w:r>
      <w:r>
        <w:rPr>
          <w:sz w:val="24"/>
          <w:szCs w:val="24"/>
        </w:rPr>
        <w:t>(2016) over-corrects and can introduce a negative age-affect, hence favouring older athletes</w:t>
      </w:r>
      <w:r w:rsidR="00F84D2F">
        <w:rPr>
          <w:sz w:val="24"/>
          <w:szCs w:val="24"/>
        </w:rPr>
        <w:t xml:space="preserve"> in these two larger populations</w:t>
      </w:r>
      <w:r>
        <w:rPr>
          <w:sz w:val="24"/>
          <w:szCs w:val="24"/>
        </w:rPr>
        <w:t xml:space="preserve">. We have demonstrated that </w:t>
      </w:r>
      <w:r w:rsidR="002A7343">
        <w:rPr>
          <w:sz w:val="24"/>
          <w:szCs w:val="24"/>
        </w:rPr>
        <w:t xml:space="preserve">our </w:t>
      </w:r>
      <w:r>
        <w:rPr>
          <w:sz w:val="24"/>
          <w:szCs w:val="24"/>
        </w:rPr>
        <w:t xml:space="preserve">new </w:t>
      </w:r>
      <w:r w:rsidR="002A7343">
        <w:rPr>
          <w:sz w:val="24"/>
          <w:szCs w:val="24"/>
        </w:rPr>
        <w:t xml:space="preserve">proposed </w:t>
      </w:r>
      <w:r>
        <w:rPr>
          <w:sz w:val="24"/>
          <w:szCs w:val="24"/>
        </w:rPr>
        <w:t xml:space="preserve">age-effect </w:t>
      </w:r>
      <w:r w:rsidR="002A7343">
        <w:rPr>
          <w:sz w:val="24"/>
          <w:szCs w:val="24"/>
        </w:rPr>
        <w:t xml:space="preserve">correction </w:t>
      </w:r>
      <w:r>
        <w:rPr>
          <w:sz w:val="24"/>
          <w:szCs w:val="24"/>
        </w:rPr>
        <w:t>remove</w:t>
      </w:r>
      <w:r w:rsidR="00F84D2F">
        <w:rPr>
          <w:sz w:val="24"/>
          <w:szCs w:val="24"/>
        </w:rPr>
        <w:t>s</w:t>
      </w:r>
      <w:r>
        <w:rPr>
          <w:sz w:val="24"/>
          <w:szCs w:val="24"/>
        </w:rPr>
        <w:t xml:space="preserve"> the positive age effect</w:t>
      </w:r>
      <w:r w:rsidR="002A7343">
        <w:rPr>
          <w:sz w:val="24"/>
          <w:szCs w:val="24"/>
        </w:rPr>
        <w:t xml:space="preserve"> in </w:t>
      </w:r>
      <w:r w:rsidR="00F84D2F">
        <w:rPr>
          <w:sz w:val="24"/>
          <w:szCs w:val="24"/>
        </w:rPr>
        <w:t xml:space="preserve">the two newer </w:t>
      </w:r>
      <w:r w:rsidR="002A7343">
        <w:rPr>
          <w:sz w:val="24"/>
          <w:szCs w:val="24"/>
        </w:rPr>
        <w:t>datasets</w:t>
      </w:r>
      <w:r w:rsidR="00F84D2F">
        <w:rPr>
          <w:sz w:val="24"/>
          <w:szCs w:val="24"/>
        </w:rPr>
        <w:t xml:space="preserve"> as well as the Daegu World Athletics Championship </w:t>
      </w:r>
      <w:r w:rsidR="00736778">
        <w:rPr>
          <w:sz w:val="24"/>
          <w:szCs w:val="24"/>
        </w:rPr>
        <w:t xml:space="preserve">data set used in Böhning </w:t>
      </w:r>
      <w:r w:rsidR="00736778">
        <w:rPr>
          <w:i/>
          <w:iCs/>
          <w:sz w:val="24"/>
          <w:szCs w:val="24"/>
        </w:rPr>
        <w:t xml:space="preserve">et al. </w:t>
      </w:r>
      <w:r w:rsidR="00736778">
        <w:rPr>
          <w:sz w:val="24"/>
          <w:szCs w:val="24"/>
        </w:rPr>
        <w:t>(2016)</w:t>
      </w:r>
      <w:r>
        <w:rPr>
          <w:sz w:val="24"/>
          <w:szCs w:val="24"/>
        </w:rPr>
        <w:t xml:space="preserve">. </w:t>
      </w:r>
    </w:p>
    <w:p w14:paraId="616400AB" w14:textId="23B48972" w:rsidR="00EB2378" w:rsidRDefault="00180609" w:rsidP="00D874BA">
      <w:pPr>
        <w:jc w:val="both"/>
        <w:rPr>
          <w:sz w:val="24"/>
          <w:szCs w:val="24"/>
        </w:rPr>
      </w:pPr>
      <w:r>
        <w:rPr>
          <w:sz w:val="24"/>
          <w:szCs w:val="24"/>
        </w:rPr>
        <w:t xml:space="preserve">This new correction term of 0.02 </w:t>
      </w:r>
      <w:r w:rsidR="004A4EE6">
        <w:rPr>
          <w:sz w:val="24"/>
          <w:szCs w:val="24"/>
        </w:rPr>
        <w:t xml:space="preserve">is </w:t>
      </w:r>
      <w:r w:rsidR="00F84D2F">
        <w:rPr>
          <w:sz w:val="24"/>
          <w:szCs w:val="24"/>
        </w:rPr>
        <w:t>consistent</w:t>
      </w:r>
      <w:r w:rsidR="004A4EE6">
        <w:rPr>
          <w:sz w:val="24"/>
          <w:szCs w:val="24"/>
        </w:rPr>
        <w:t xml:space="preserve"> with</w:t>
      </w:r>
      <w:r>
        <w:rPr>
          <w:sz w:val="24"/>
          <w:szCs w:val="24"/>
        </w:rPr>
        <w:t xml:space="preserve"> the data set used in Böhning </w:t>
      </w:r>
      <w:r>
        <w:rPr>
          <w:i/>
          <w:iCs/>
          <w:sz w:val="24"/>
          <w:szCs w:val="24"/>
        </w:rPr>
        <w:t xml:space="preserve">et al. </w:t>
      </w:r>
      <w:r>
        <w:rPr>
          <w:sz w:val="24"/>
          <w:szCs w:val="24"/>
        </w:rPr>
        <w:t xml:space="preserve">(2016) </w:t>
      </w:r>
      <w:r w:rsidR="004A4EE6">
        <w:rPr>
          <w:sz w:val="24"/>
          <w:szCs w:val="24"/>
        </w:rPr>
        <w:t>as it is the specific term found for the Immunotech-ORION assay combination</w:t>
      </w:r>
      <w:r w:rsidR="00F84D2F">
        <w:rPr>
          <w:sz w:val="24"/>
          <w:szCs w:val="24"/>
        </w:rPr>
        <w:t xml:space="preserve">. Taken together with the correction of the age effect in the two new independent datasets, this provides strong evidence through confirmation of the validity of the findings. It is important to recognise that </w:t>
      </w:r>
      <w:r w:rsidR="00B24517">
        <w:rPr>
          <w:sz w:val="24"/>
          <w:szCs w:val="24"/>
        </w:rPr>
        <w:t xml:space="preserve">we are not </w:t>
      </w:r>
      <w:r w:rsidR="00F84D2F">
        <w:rPr>
          <w:sz w:val="24"/>
          <w:szCs w:val="24"/>
        </w:rPr>
        <w:t>using</w:t>
      </w:r>
      <w:r w:rsidR="00B24517">
        <w:rPr>
          <w:sz w:val="24"/>
          <w:szCs w:val="24"/>
        </w:rPr>
        <w:t xml:space="preserve"> </w:t>
      </w:r>
      <w:r w:rsidR="00F84D2F">
        <w:rPr>
          <w:sz w:val="24"/>
          <w:szCs w:val="24"/>
        </w:rPr>
        <w:t xml:space="preserve">new </w:t>
      </w:r>
      <w:r w:rsidR="00B24517">
        <w:rPr>
          <w:sz w:val="24"/>
          <w:szCs w:val="24"/>
        </w:rPr>
        <w:t xml:space="preserve">estimates from the new two data sets, but </w:t>
      </w:r>
      <w:r w:rsidR="00F84D2F">
        <w:rPr>
          <w:sz w:val="24"/>
          <w:szCs w:val="24"/>
        </w:rPr>
        <w:t xml:space="preserve">are </w:t>
      </w:r>
      <w:r w:rsidR="00B24517">
        <w:rPr>
          <w:sz w:val="24"/>
          <w:szCs w:val="24"/>
        </w:rPr>
        <w:t xml:space="preserve">using the estimates of the age-effect found in Böhning </w:t>
      </w:r>
      <w:r w:rsidR="00B24517">
        <w:rPr>
          <w:i/>
          <w:iCs/>
          <w:sz w:val="24"/>
          <w:szCs w:val="24"/>
        </w:rPr>
        <w:t xml:space="preserve">et al. </w:t>
      </w:r>
      <w:r w:rsidR="00B24517">
        <w:rPr>
          <w:sz w:val="24"/>
          <w:szCs w:val="24"/>
        </w:rPr>
        <w:t>(2016).</w:t>
      </w:r>
      <w:r>
        <w:rPr>
          <w:sz w:val="24"/>
          <w:szCs w:val="24"/>
        </w:rPr>
        <w:t xml:space="preserve"> </w:t>
      </w:r>
    </w:p>
    <w:p w14:paraId="5520280B" w14:textId="26CD3E85" w:rsidR="00BD48BF" w:rsidRPr="00BD48BF" w:rsidRDefault="00BD48BF" w:rsidP="004A4EE6">
      <w:pPr>
        <w:jc w:val="both"/>
        <w:rPr>
          <w:b/>
          <w:bCs/>
          <w:sz w:val="28"/>
          <w:szCs w:val="28"/>
        </w:rPr>
      </w:pPr>
      <w:r w:rsidRPr="00BD48BF">
        <w:rPr>
          <w:b/>
          <w:bCs/>
          <w:sz w:val="28"/>
          <w:szCs w:val="28"/>
        </w:rPr>
        <w:t>Limitations</w:t>
      </w:r>
    </w:p>
    <w:p w14:paraId="642C3BD0" w14:textId="14396151" w:rsidR="00DA14E1" w:rsidRPr="00180609" w:rsidRDefault="00F84D2F" w:rsidP="00DA14E1">
      <w:pPr>
        <w:jc w:val="both"/>
        <w:rPr>
          <w:sz w:val="24"/>
          <w:szCs w:val="24"/>
        </w:rPr>
      </w:pPr>
      <w:r>
        <w:rPr>
          <w:sz w:val="24"/>
          <w:szCs w:val="24"/>
        </w:rPr>
        <w:t>T</w:t>
      </w:r>
      <w:r w:rsidR="00180609">
        <w:rPr>
          <w:sz w:val="24"/>
          <w:szCs w:val="24"/>
        </w:rPr>
        <w:t xml:space="preserve">his newly proposed adjustment term needs to be monitored in future data sets, either </w:t>
      </w:r>
      <w:r>
        <w:rPr>
          <w:sz w:val="24"/>
          <w:szCs w:val="24"/>
        </w:rPr>
        <w:t xml:space="preserve">as part of </w:t>
      </w:r>
      <w:r w:rsidR="00180609">
        <w:rPr>
          <w:sz w:val="24"/>
          <w:szCs w:val="24"/>
        </w:rPr>
        <w:t>routine</w:t>
      </w:r>
      <w:r>
        <w:rPr>
          <w:sz w:val="24"/>
          <w:szCs w:val="24"/>
        </w:rPr>
        <w:t xml:space="preserve"> monitoring,</w:t>
      </w:r>
      <w:r w:rsidR="00180609">
        <w:rPr>
          <w:sz w:val="24"/>
          <w:szCs w:val="24"/>
        </w:rPr>
        <w:t xml:space="preserve"> as in this case, or as part of designed studies. </w:t>
      </w:r>
    </w:p>
    <w:p w14:paraId="6487767A" w14:textId="78571B64" w:rsidR="00DA14E1" w:rsidRPr="00846667" w:rsidRDefault="00DA14E1" w:rsidP="00846667">
      <w:pPr>
        <w:jc w:val="both"/>
        <w:rPr>
          <w:rFonts w:ascii="Calibri" w:hAnsi="Calibri"/>
          <w:sz w:val="24"/>
          <w:szCs w:val="24"/>
        </w:rPr>
      </w:pPr>
      <w:r w:rsidRPr="00846667">
        <w:rPr>
          <w:rFonts w:ascii="Calibri" w:hAnsi="Calibri"/>
          <w:sz w:val="24"/>
          <w:szCs w:val="24"/>
        </w:rPr>
        <w:t xml:space="preserve">In </w:t>
      </w:r>
      <w:r w:rsidR="00846667">
        <w:rPr>
          <w:rFonts w:ascii="Calibri" w:hAnsi="Calibri"/>
          <w:sz w:val="24"/>
          <w:szCs w:val="24"/>
        </w:rPr>
        <w:t>conclusion</w:t>
      </w:r>
      <w:r w:rsidRPr="00846667">
        <w:rPr>
          <w:rFonts w:ascii="Calibri" w:hAnsi="Calibri"/>
          <w:sz w:val="24"/>
          <w:szCs w:val="24"/>
        </w:rPr>
        <w:t xml:space="preserve">, we have created a small further age adjustment for male athletes to correct the age bias introduced with the original discriminant formula. This has no effect on the decision limits and </w:t>
      </w:r>
      <w:r w:rsidR="00F84D2F">
        <w:rPr>
          <w:rFonts w:ascii="Calibri" w:hAnsi="Calibri"/>
          <w:sz w:val="24"/>
          <w:szCs w:val="24"/>
        </w:rPr>
        <w:t>c</w:t>
      </w:r>
      <w:r w:rsidR="00F84D2F" w:rsidRPr="00846667">
        <w:rPr>
          <w:rFonts w:ascii="Calibri" w:hAnsi="Calibri"/>
          <w:sz w:val="24"/>
          <w:szCs w:val="24"/>
        </w:rPr>
        <w:t xml:space="preserve">ould </w:t>
      </w:r>
      <w:r w:rsidRPr="00846667">
        <w:rPr>
          <w:rFonts w:ascii="Calibri" w:hAnsi="Calibri"/>
          <w:sz w:val="24"/>
          <w:szCs w:val="24"/>
        </w:rPr>
        <w:t>be easily introduced into anti-doping testing.</w:t>
      </w:r>
    </w:p>
    <w:p w14:paraId="73456563" w14:textId="691C7C05" w:rsidR="0018492F" w:rsidRPr="0018492F" w:rsidRDefault="0018492F" w:rsidP="00687623">
      <w:pPr>
        <w:rPr>
          <w:rFonts w:eastAsia="Times New Roman" w:cs="Times New Roman"/>
          <w:b/>
          <w:bCs/>
          <w:sz w:val="24"/>
          <w:szCs w:val="24"/>
          <w:lang w:eastAsia="zh-CN"/>
        </w:rPr>
      </w:pPr>
      <w:r w:rsidRPr="0018492F">
        <w:rPr>
          <w:rFonts w:eastAsia="Times New Roman" w:cs="Times New Roman"/>
          <w:b/>
          <w:bCs/>
          <w:sz w:val="24"/>
          <w:szCs w:val="24"/>
          <w:lang w:eastAsia="zh-CN"/>
        </w:rPr>
        <w:t xml:space="preserve">Declarations </w:t>
      </w:r>
    </w:p>
    <w:p w14:paraId="484F7CE7" w14:textId="77777777" w:rsidR="0018492F" w:rsidRDefault="0018492F" w:rsidP="0018492F">
      <w:pPr>
        <w:spacing w:before="100" w:beforeAutospacing="1" w:after="100" w:afterAutospacing="1" w:line="240" w:lineRule="auto"/>
        <w:outlineLvl w:val="2"/>
        <w:rPr>
          <w:rFonts w:eastAsia="Times New Roman" w:cs="Times New Roman"/>
          <w:b/>
          <w:bCs/>
          <w:sz w:val="24"/>
          <w:szCs w:val="24"/>
          <w:lang w:eastAsia="zh-CN"/>
        </w:rPr>
      </w:pPr>
      <w:r w:rsidRPr="0018492F">
        <w:rPr>
          <w:rFonts w:eastAsia="Times New Roman" w:cs="Times New Roman"/>
          <w:b/>
          <w:bCs/>
          <w:sz w:val="24"/>
          <w:szCs w:val="24"/>
          <w:lang w:eastAsia="zh-CN"/>
        </w:rPr>
        <w:t>Acknowledgements</w:t>
      </w:r>
    </w:p>
    <w:p w14:paraId="64FD43D5" w14:textId="6373C216" w:rsidR="00F760FF" w:rsidRDefault="00F760FF" w:rsidP="00736778">
      <w:pPr>
        <w:spacing w:after="0" w:line="240" w:lineRule="auto"/>
        <w:jc w:val="mediumKashida"/>
        <w:rPr>
          <w:sz w:val="24"/>
          <w:szCs w:val="24"/>
        </w:rPr>
      </w:pPr>
      <w:r w:rsidRPr="00736778">
        <w:rPr>
          <w:rFonts w:eastAsia="Times New Roman" w:cs="Arial"/>
          <w:sz w:val="24"/>
          <w:szCs w:val="24"/>
          <w:lang w:eastAsia="zh-CN"/>
        </w:rPr>
        <w:t xml:space="preserve">We would like to acknowledge </w:t>
      </w:r>
      <w:r w:rsidR="00736778">
        <w:rPr>
          <w:rFonts w:eastAsia="Times New Roman" w:cs="Arial"/>
          <w:sz w:val="24"/>
          <w:szCs w:val="24"/>
          <w:lang w:eastAsia="zh-CN"/>
        </w:rPr>
        <w:t xml:space="preserve">and thank WADA and the </w:t>
      </w:r>
      <w:r w:rsidR="00736778" w:rsidRPr="00E5721E">
        <w:rPr>
          <w:sz w:val="24"/>
          <w:szCs w:val="24"/>
        </w:rPr>
        <w:t>Drug Control Centre, King's College London</w:t>
      </w:r>
      <w:r w:rsidR="00736778">
        <w:rPr>
          <w:sz w:val="24"/>
          <w:szCs w:val="24"/>
        </w:rPr>
        <w:t xml:space="preserve">, for their willingness to share their growth hormone samples with us. </w:t>
      </w:r>
    </w:p>
    <w:p w14:paraId="2FEA4526" w14:textId="77777777" w:rsidR="00A92351" w:rsidRPr="00F760FF" w:rsidRDefault="00A92351" w:rsidP="00736778">
      <w:pPr>
        <w:spacing w:after="0" w:line="240" w:lineRule="auto"/>
        <w:jc w:val="mediumKashida"/>
        <w:rPr>
          <w:rFonts w:eastAsia="Times New Roman" w:cs="Arial"/>
          <w:sz w:val="24"/>
          <w:szCs w:val="24"/>
          <w:lang w:eastAsia="zh-CN"/>
        </w:rPr>
      </w:pPr>
    </w:p>
    <w:p w14:paraId="02586CF0" w14:textId="1557EF5C" w:rsidR="00F760FF" w:rsidRPr="00E51225" w:rsidRDefault="00F760FF" w:rsidP="0018492F">
      <w:pPr>
        <w:spacing w:before="100" w:beforeAutospacing="1" w:after="100" w:afterAutospacing="1" w:line="240" w:lineRule="auto"/>
        <w:outlineLvl w:val="2"/>
        <w:rPr>
          <w:rFonts w:eastAsia="Times New Roman" w:cs="Times New Roman"/>
          <w:b/>
          <w:bCs/>
          <w:sz w:val="24"/>
          <w:szCs w:val="24"/>
          <w:lang w:eastAsia="zh-CN"/>
        </w:rPr>
      </w:pPr>
      <w:r w:rsidRPr="00E51225">
        <w:rPr>
          <w:rFonts w:eastAsia="Times New Roman" w:cs="Times New Roman"/>
          <w:b/>
          <w:bCs/>
          <w:sz w:val="24"/>
          <w:szCs w:val="24"/>
          <w:lang w:eastAsia="zh-CN"/>
        </w:rPr>
        <w:t>Funding</w:t>
      </w:r>
    </w:p>
    <w:p w14:paraId="4CA7DB01" w14:textId="0A89B786" w:rsidR="00D558A5" w:rsidRDefault="0018492F" w:rsidP="00D558A5">
      <w:pPr>
        <w:rPr>
          <w:rFonts w:ascii="Arial" w:eastAsia="Times New Roman" w:hAnsi="Arial" w:cs="Arial"/>
          <w:sz w:val="23"/>
          <w:szCs w:val="23"/>
          <w:lang w:eastAsia="zh-CN"/>
        </w:rPr>
      </w:pPr>
      <w:r w:rsidRPr="00E51225">
        <w:rPr>
          <w:rFonts w:eastAsia="Times New Roman" w:cs="Times New Roman"/>
          <w:sz w:val="24"/>
          <w:szCs w:val="24"/>
          <w:lang w:eastAsia="zh-CN"/>
        </w:rPr>
        <w:lastRenderedPageBreak/>
        <w:t>This work has received funding from WADA and the US Pa</w:t>
      </w:r>
      <w:r w:rsidR="00D558A5" w:rsidRPr="00E51225">
        <w:rPr>
          <w:rFonts w:eastAsia="Times New Roman" w:cs="Times New Roman"/>
          <w:sz w:val="24"/>
          <w:szCs w:val="24"/>
          <w:lang w:eastAsia="zh-CN"/>
        </w:rPr>
        <w:t>rtnership for Clean Competition as well as support from the</w:t>
      </w:r>
      <w:r w:rsidR="00D558A5" w:rsidRPr="00E51225">
        <w:rPr>
          <w:rFonts w:ascii="Arial" w:eastAsia="Times New Roman" w:hAnsi="Arial" w:cs="Arial"/>
          <w:sz w:val="23"/>
          <w:szCs w:val="23"/>
          <w:lang w:eastAsia="zh-CN"/>
        </w:rPr>
        <w:t xml:space="preserve"> International Association of Athletics Federations.</w:t>
      </w:r>
    </w:p>
    <w:p w14:paraId="42E1A08A" w14:textId="64D8B84E" w:rsidR="00D558A5" w:rsidRPr="00385353" w:rsidRDefault="00D558A5" w:rsidP="00D558A5">
      <w:pPr>
        <w:rPr>
          <w:rFonts w:eastAsia="Times New Roman" w:cs="Arial"/>
          <w:b/>
          <w:bCs/>
          <w:sz w:val="23"/>
          <w:szCs w:val="23"/>
          <w:lang w:eastAsia="zh-CN"/>
        </w:rPr>
      </w:pPr>
      <w:r w:rsidRPr="00385353">
        <w:rPr>
          <w:rFonts w:eastAsia="Times New Roman" w:cs="Arial"/>
          <w:b/>
          <w:bCs/>
          <w:sz w:val="23"/>
          <w:szCs w:val="23"/>
          <w:lang w:eastAsia="zh-CN"/>
        </w:rPr>
        <w:t>Availability of Data and Materials</w:t>
      </w:r>
    </w:p>
    <w:p w14:paraId="6244F1E1" w14:textId="3AF04788" w:rsidR="00D671AC" w:rsidRPr="00385353" w:rsidRDefault="00D671AC" w:rsidP="00CF3B37">
      <w:pPr>
        <w:rPr>
          <w:rFonts w:eastAsia="Times New Roman" w:cs="Arial"/>
          <w:sz w:val="24"/>
          <w:szCs w:val="24"/>
          <w:lang w:eastAsia="zh-CN"/>
        </w:rPr>
      </w:pPr>
      <w:r w:rsidRPr="00385353">
        <w:rPr>
          <w:rFonts w:eastAsia="Times New Roman" w:cs="Arial"/>
          <w:sz w:val="24"/>
          <w:szCs w:val="24"/>
          <w:lang w:eastAsia="zh-CN"/>
        </w:rPr>
        <w:t xml:space="preserve">The data are not publicly available but can be </w:t>
      </w:r>
      <w:r w:rsidR="00CF3B37" w:rsidRPr="00385353">
        <w:rPr>
          <w:rFonts w:eastAsia="Times New Roman" w:cs="Arial"/>
          <w:sz w:val="24"/>
          <w:szCs w:val="24"/>
          <w:lang w:eastAsia="zh-CN"/>
        </w:rPr>
        <w:t xml:space="preserve">obtained </w:t>
      </w:r>
      <w:r w:rsidRPr="00385353">
        <w:rPr>
          <w:rFonts w:eastAsia="Times New Roman" w:cs="Arial"/>
          <w:sz w:val="24"/>
          <w:szCs w:val="24"/>
          <w:lang w:eastAsia="zh-CN"/>
        </w:rPr>
        <w:t xml:space="preserve">upon signing a generic </w:t>
      </w:r>
      <w:r w:rsidR="00CF3B37" w:rsidRPr="00385353">
        <w:rPr>
          <w:rFonts w:eastAsia="Times New Roman" w:cs="Arial"/>
          <w:sz w:val="24"/>
          <w:szCs w:val="24"/>
          <w:lang w:eastAsia="zh-CN"/>
        </w:rPr>
        <w:t xml:space="preserve">collaboration </w:t>
      </w:r>
      <w:r w:rsidRPr="00385353">
        <w:rPr>
          <w:rFonts w:eastAsia="Times New Roman" w:cs="Arial"/>
          <w:sz w:val="24"/>
          <w:szCs w:val="24"/>
          <w:lang w:eastAsia="zh-CN"/>
        </w:rPr>
        <w:t>agreement with the GH</w:t>
      </w:r>
      <w:r w:rsidR="00CF3B37" w:rsidRPr="00385353">
        <w:rPr>
          <w:rFonts w:eastAsia="Times New Roman" w:cs="Arial"/>
          <w:sz w:val="24"/>
          <w:szCs w:val="24"/>
          <w:lang w:eastAsia="zh-CN"/>
        </w:rPr>
        <w:t>-</w:t>
      </w:r>
      <w:r w:rsidRPr="00385353">
        <w:rPr>
          <w:rFonts w:eastAsia="Times New Roman" w:cs="Arial"/>
          <w:sz w:val="24"/>
          <w:szCs w:val="24"/>
          <w:lang w:eastAsia="zh-CN"/>
        </w:rPr>
        <w:t>2000 project</w:t>
      </w:r>
      <w:r w:rsidR="00CF3B37" w:rsidRPr="00385353">
        <w:rPr>
          <w:rFonts w:eastAsia="Times New Roman" w:cs="Arial"/>
          <w:sz w:val="24"/>
          <w:szCs w:val="24"/>
          <w:lang w:eastAsia="zh-CN"/>
        </w:rPr>
        <w:t>. All enquiries should be addressed to Professor Richard Holt (righ@soton.ac.uk).</w:t>
      </w:r>
    </w:p>
    <w:p w14:paraId="41C2BD80" w14:textId="77777777" w:rsidR="0018492F" w:rsidRPr="0018492F" w:rsidRDefault="0018492F" w:rsidP="0018492F">
      <w:pPr>
        <w:spacing w:before="100" w:beforeAutospacing="1" w:after="100" w:afterAutospacing="1" w:line="240" w:lineRule="auto"/>
        <w:outlineLvl w:val="2"/>
        <w:rPr>
          <w:rFonts w:eastAsia="Times New Roman" w:cs="Times New Roman"/>
          <w:b/>
          <w:bCs/>
          <w:sz w:val="24"/>
          <w:szCs w:val="24"/>
          <w:lang w:eastAsia="zh-CN"/>
        </w:rPr>
      </w:pPr>
      <w:r w:rsidRPr="0018492F">
        <w:rPr>
          <w:rFonts w:eastAsia="Times New Roman" w:cs="Times New Roman"/>
          <w:b/>
          <w:bCs/>
          <w:sz w:val="24"/>
          <w:szCs w:val="24"/>
          <w:lang w:eastAsia="zh-CN"/>
        </w:rPr>
        <w:t>Authors’ contributions</w:t>
      </w:r>
    </w:p>
    <w:p w14:paraId="66ECC02C" w14:textId="5BF6406B" w:rsidR="0018492F" w:rsidRDefault="0018492F" w:rsidP="0018492F">
      <w:pPr>
        <w:spacing w:before="100" w:beforeAutospacing="1" w:after="100" w:afterAutospacing="1" w:line="240" w:lineRule="auto"/>
        <w:rPr>
          <w:rFonts w:eastAsia="Times New Roman" w:cs="Times New Roman"/>
          <w:sz w:val="24"/>
          <w:szCs w:val="24"/>
          <w:lang w:eastAsia="zh-CN"/>
        </w:rPr>
      </w:pPr>
      <w:r>
        <w:rPr>
          <w:rFonts w:eastAsia="Times New Roman" w:cs="Times New Roman"/>
          <w:sz w:val="24"/>
          <w:szCs w:val="24"/>
          <w:lang w:eastAsia="zh-CN"/>
        </w:rPr>
        <w:t xml:space="preserve">DB conceived the </w:t>
      </w:r>
      <w:r w:rsidR="00BF158A">
        <w:rPr>
          <w:rFonts w:eastAsia="Times New Roman" w:cs="Times New Roman"/>
          <w:sz w:val="24"/>
          <w:szCs w:val="24"/>
          <w:lang w:eastAsia="zh-CN"/>
        </w:rPr>
        <w:t>statistical theory of this work</w:t>
      </w:r>
      <w:r>
        <w:rPr>
          <w:rFonts w:eastAsia="Times New Roman" w:cs="Times New Roman"/>
          <w:sz w:val="24"/>
          <w:szCs w:val="24"/>
          <w:lang w:eastAsia="zh-CN"/>
        </w:rPr>
        <w:t>. WB carried out all computations</w:t>
      </w:r>
      <w:r w:rsidRPr="0018492F">
        <w:rPr>
          <w:rFonts w:eastAsia="Times New Roman" w:cs="Times New Roman"/>
          <w:sz w:val="24"/>
          <w:szCs w:val="24"/>
          <w:lang w:eastAsia="zh-CN"/>
        </w:rPr>
        <w:t xml:space="preserve"> and</w:t>
      </w:r>
      <w:r w:rsidR="00CF3B37">
        <w:rPr>
          <w:rFonts w:eastAsia="Times New Roman" w:cs="Times New Roman"/>
          <w:sz w:val="24"/>
          <w:szCs w:val="24"/>
          <w:lang w:eastAsia="zh-CN"/>
        </w:rPr>
        <w:t xml:space="preserve"> DB and</w:t>
      </w:r>
      <w:r w:rsidRPr="0018492F">
        <w:rPr>
          <w:rFonts w:eastAsia="Times New Roman" w:cs="Times New Roman"/>
          <w:sz w:val="24"/>
          <w:szCs w:val="24"/>
          <w:lang w:eastAsia="zh-CN"/>
        </w:rPr>
        <w:t xml:space="preserve"> </w:t>
      </w:r>
      <w:r>
        <w:rPr>
          <w:rFonts w:eastAsia="Times New Roman" w:cs="Times New Roman"/>
          <w:sz w:val="24"/>
          <w:szCs w:val="24"/>
          <w:lang w:eastAsia="zh-CN"/>
        </w:rPr>
        <w:t xml:space="preserve">RH </w:t>
      </w:r>
      <w:r w:rsidRPr="0018492F">
        <w:rPr>
          <w:rFonts w:eastAsia="Times New Roman" w:cs="Times New Roman"/>
          <w:sz w:val="24"/>
          <w:szCs w:val="24"/>
          <w:lang w:eastAsia="zh-CN"/>
        </w:rPr>
        <w:t>drafted the manuscript</w:t>
      </w:r>
      <w:r>
        <w:rPr>
          <w:rFonts w:eastAsia="Times New Roman" w:cs="Times New Roman"/>
          <w:sz w:val="24"/>
          <w:szCs w:val="24"/>
          <w:lang w:eastAsia="zh-CN"/>
        </w:rPr>
        <w:t>. NG</w:t>
      </w:r>
      <w:r w:rsidR="0067441A">
        <w:rPr>
          <w:rFonts w:eastAsia="Times New Roman" w:cs="Times New Roman"/>
          <w:sz w:val="24"/>
          <w:szCs w:val="24"/>
          <w:lang w:eastAsia="zh-CN"/>
        </w:rPr>
        <w:t>, DC</w:t>
      </w:r>
      <w:r w:rsidR="00B7618E">
        <w:rPr>
          <w:rFonts w:eastAsia="Times New Roman" w:cs="Times New Roman"/>
          <w:sz w:val="24"/>
          <w:szCs w:val="24"/>
          <w:lang w:eastAsia="zh-CN"/>
        </w:rPr>
        <w:t xml:space="preserve">, CB, </w:t>
      </w:r>
      <w:r w:rsidRPr="0018492F">
        <w:rPr>
          <w:rFonts w:eastAsia="Times New Roman" w:cs="Times New Roman"/>
          <w:sz w:val="24"/>
          <w:szCs w:val="24"/>
          <w:lang w:eastAsia="zh-CN"/>
        </w:rPr>
        <w:t xml:space="preserve"> </w:t>
      </w:r>
      <w:r>
        <w:rPr>
          <w:rFonts w:eastAsia="Times New Roman" w:cs="Times New Roman"/>
          <w:sz w:val="24"/>
          <w:szCs w:val="24"/>
          <w:lang w:eastAsia="zh-CN"/>
        </w:rPr>
        <w:t xml:space="preserve">and PS </w:t>
      </w:r>
      <w:r w:rsidRPr="0018492F">
        <w:rPr>
          <w:rFonts w:eastAsia="Times New Roman" w:cs="Times New Roman"/>
          <w:sz w:val="24"/>
          <w:szCs w:val="24"/>
          <w:lang w:eastAsia="zh-CN"/>
        </w:rPr>
        <w:t xml:space="preserve">critically reviewed and made substantial contributions to the manuscript. </w:t>
      </w:r>
      <w:r w:rsidR="0067441A">
        <w:rPr>
          <w:rFonts w:eastAsia="Times New Roman" w:cs="Times New Roman"/>
          <w:sz w:val="24"/>
          <w:szCs w:val="24"/>
          <w:lang w:eastAsia="zh-CN"/>
        </w:rPr>
        <w:t xml:space="preserve"> </w:t>
      </w:r>
      <w:r w:rsidRPr="0018492F">
        <w:rPr>
          <w:rFonts w:eastAsia="Times New Roman" w:cs="Times New Roman"/>
          <w:sz w:val="24"/>
          <w:szCs w:val="24"/>
          <w:lang w:eastAsia="zh-CN"/>
        </w:rPr>
        <w:t>All authors commented on and approved the final manuscript.</w:t>
      </w:r>
    </w:p>
    <w:p w14:paraId="1C54320A" w14:textId="77777777" w:rsidR="00D558A5" w:rsidRPr="0018492F" w:rsidRDefault="00D558A5" w:rsidP="00D558A5">
      <w:pPr>
        <w:spacing w:before="100" w:beforeAutospacing="1" w:after="100" w:afterAutospacing="1" w:line="240" w:lineRule="auto"/>
        <w:outlineLvl w:val="2"/>
        <w:rPr>
          <w:rFonts w:eastAsia="Times New Roman" w:cs="Times New Roman"/>
          <w:b/>
          <w:bCs/>
          <w:sz w:val="24"/>
          <w:szCs w:val="24"/>
          <w:lang w:eastAsia="zh-CN"/>
        </w:rPr>
      </w:pPr>
      <w:r w:rsidRPr="0018492F">
        <w:rPr>
          <w:rFonts w:eastAsia="Times New Roman" w:cs="Times New Roman"/>
          <w:b/>
          <w:bCs/>
          <w:sz w:val="24"/>
          <w:szCs w:val="24"/>
          <w:lang w:eastAsia="zh-CN"/>
        </w:rPr>
        <w:t>Competing interests</w:t>
      </w:r>
    </w:p>
    <w:p w14:paraId="65107190" w14:textId="77777777" w:rsidR="00D558A5" w:rsidRPr="0018492F" w:rsidRDefault="00D558A5" w:rsidP="00D558A5">
      <w:pPr>
        <w:spacing w:before="100" w:beforeAutospacing="1" w:after="100" w:afterAutospacing="1" w:line="240" w:lineRule="auto"/>
        <w:rPr>
          <w:rFonts w:eastAsia="Times New Roman" w:cs="Times New Roman"/>
          <w:sz w:val="24"/>
          <w:szCs w:val="24"/>
          <w:lang w:eastAsia="zh-CN"/>
        </w:rPr>
      </w:pPr>
      <w:r w:rsidRPr="0018492F">
        <w:rPr>
          <w:rFonts w:eastAsia="Times New Roman" w:cs="Times New Roman"/>
          <w:sz w:val="24"/>
          <w:szCs w:val="24"/>
          <w:lang w:eastAsia="zh-CN"/>
        </w:rPr>
        <w:t>The authors declare that they have no competing interests.</w:t>
      </w:r>
    </w:p>
    <w:p w14:paraId="74E10BEA" w14:textId="3A2738B7" w:rsidR="00F760FF" w:rsidRDefault="00F760FF" w:rsidP="0018492F">
      <w:pPr>
        <w:spacing w:before="100" w:beforeAutospacing="1" w:after="100" w:afterAutospacing="1" w:line="240" w:lineRule="auto"/>
        <w:rPr>
          <w:rFonts w:eastAsia="Times New Roman" w:cs="Times New Roman"/>
          <w:b/>
          <w:bCs/>
          <w:sz w:val="24"/>
          <w:szCs w:val="24"/>
          <w:lang w:eastAsia="zh-CN"/>
        </w:rPr>
      </w:pPr>
      <w:r w:rsidRPr="00F760FF">
        <w:rPr>
          <w:rFonts w:eastAsia="Times New Roman" w:cs="Times New Roman"/>
          <w:b/>
          <w:bCs/>
          <w:sz w:val="24"/>
          <w:szCs w:val="24"/>
          <w:lang w:eastAsia="zh-CN"/>
        </w:rPr>
        <w:t>Consent for publication</w:t>
      </w:r>
    </w:p>
    <w:p w14:paraId="0DB7A1EB" w14:textId="11444003" w:rsidR="00F760FF" w:rsidRDefault="00F760FF" w:rsidP="0018492F">
      <w:pPr>
        <w:spacing w:before="100" w:beforeAutospacing="1" w:after="100" w:afterAutospacing="1" w:line="240" w:lineRule="auto"/>
        <w:rPr>
          <w:rFonts w:eastAsia="Times New Roman" w:cs="Times New Roman"/>
          <w:sz w:val="24"/>
          <w:szCs w:val="24"/>
          <w:lang w:eastAsia="zh-CN"/>
        </w:rPr>
      </w:pPr>
      <w:r>
        <w:rPr>
          <w:rFonts w:eastAsia="Times New Roman" w:cs="Times New Roman"/>
          <w:sz w:val="24"/>
          <w:szCs w:val="24"/>
          <w:lang w:eastAsia="zh-CN"/>
        </w:rPr>
        <w:t>Not applicable.</w:t>
      </w:r>
    </w:p>
    <w:p w14:paraId="58CB7B41" w14:textId="692370EF" w:rsidR="00F760FF" w:rsidRDefault="00D558A5" w:rsidP="0018492F">
      <w:pPr>
        <w:spacing w:before="100" w:beforeAutospacing="1" w:after="100" w:afterAutospacing="1" w:line="240" w:lineRule="auto"/>
        <w:rPr>
          <w:rFonts w:eastAsia="Times New Roman" w:cs="Times New Roman"/>
          <w:b/>
          <w:bCs/>
          <w:sz w:val="24"/>
          <w:szCs w:val="24"/>
          <w:lang w:eastAsia="zh-CN"/>
        </w:rPr>
      </w:pPr>
      <w:r w:rsidRPr="00D558A5">
        <w:rPr>
          <w:rFonts w:eastAsia="Times New Roman" w:cs="Times New Roman"/>
          <w:b/>
          <w:bCs/>
          <w:sz w:val="24"/>
          <w:szCs w:val="24"/>
          <w:lang w:eastAsia="zh-CN"/>
        </w:rPr>
        <w:t>Ethics approval and consent to participate</w:t>
      </w:r>
    </w:p>
    <w:p w14:paraId="05A69590" w14:textId="494C69D2" w:rsidR="00CF3B37" w:rsidRPr="004524DC" w:rsidRDefault="00CF3B37" w:rsidP="00B07AB4">
      <w:pPr>
        <w:spacing w:before="100" w:beforeAutospacing="1" w:after="100" w:afterAutospacing="1" w:line="240" w:lineRule="auto"/>
        <w:rPr>
          <w:rFonts w:eastAsia="Times New Roman" w:cs="Times New Roman"/>
          <w:sz w:val="24"/>
          <w:szCs w:val="24"/>
          <w:lang w:eastAsia="zh-CN"/>
        </w:rPr>
      </w:pPr>
      <w:r>
        <w:rPr>
          <w:rFonts w:eastAsia="Times New Roman" w:cs="Times New Roman"/>
          <w:sz w:val="24"/>
          <w:szCs w:val="24"/>
          <w:lang w:eastAsia="zh-CN"/>
        </w:rPr>
        <w:t>The blood samples used in this study were collected under the auspices of the IAAF anti-doping regulations and followed procedures approved by WADA regulations. As part of this process, athletes are asked to provide consent for future research. This secondary data analysis was approved by the University of Southampton Ethics Committee.</w:t>
      </w:r>
    </w:p>
    <w:p w14:paraId="45C3E4B1" w14:textId="07293485" w:rsidR="00191345" w:rsidRPr="00A57487" w:rsidRDefault="00191345" w:rsidP="0018492F">
      <w:pPr>
        <w:spacing w:before="100" w:beforeAutospacing="1" w:after="100" w:afterAutospacing="1" w:line="240" w:lineRule="auto"/>
        <w:rPr>
          <w:rFonts w:eastAsia="Times New Roman" w:cs="Times New Roman"/>
          <w:b/>
          <w:bCs/>
          <w:sz w:val="24"/>
          <w:szCs w:val="24"/>
          <w:lang w:eastAsia="zh-CN"/>
        </w:rPr>
      </w:pPr>
      <w:r w:rsidRPr="00A57487">
        <w:rPr>
          <w:rFonts w:eastAsia="Times New Roman" w:cs="Times New Roman"/>
          <w:b/>
          <w:bCs/>
          <w:sz w:val="24"/>
          <w:szCs w:val="24"/>
          <w:lang w:eastAsia="zh-CN"/>
        </w:rPr>
        <w:t>Author details</w:t>
      </w:r>
    </w:p>
    <w:p w14:paraId="78EEDC08" w14:textId="77777777" w:rsidR="00A57487" w:rsidRPr="00A57487" w:rsidRDefault="00A57487" w:rsidP="00A57487">
      <w:pPr>
        <w:pStyle w:val="FootnoteText"/>
        <w:rPr>
          <w:sz w:val="24"/>
          <w:szCs w:val="24"/>
        </w:rPr>
      </w:pPr>
      <w:r w:rsidRPr="00A57487">
        <w:rPr>
          <w:rStyle w:val="FootnoteReference"/>
          <w:sz w:val="24"/>
          <w:szCs w:val="24"/>
        </w:rPr>
        <w:footnoteRef/>
      </w:r>
      <w:r w:rsidRPr="00A57487">
        <w:rPr>
          <w:sz w:val="24"/>
          <w:szCs w:val="24"/>
        </w:rPr>
        <w:t xml:space="preserve"> Southampton Statistical Sciences Research Institute, University of Southampton, Southampton, SO17 1BJ, UK, e-mail: d.a.bohning@soton.ac.uk</w:t>
      </w:r>
    </w:p>
    <w:p w14:paraId="7E7C1271" w14:textId="77777777" w:rsidR="00A57487" w:rsidRPr="00A57487" w:rsidRDefault="00A57487" w:rsidP="00A57487">
      <w:pPr>
        <w:spacing w:after="0"/>
        <w:rPr>
          <w:sz w:val="24"/>
          <w:szCs w:val="24"/>
        </w:rPr>
      </w:pPr>
      <w:r w:rsidRPr="00A57487">
        <w:rPr>
          <w:sz w:val="24"/>
          <w:szCs w:val="24"/>
          <w:vertAlign w:val="superscript"/>
        </w:rPr>
        <w:t>2</w:t>
      </w:r>
      <w:r w:rsidRPr="00A57487">
        <w:rPr>
          <w:sz w:val="24"/>
          <w:szCs w:val="24"/>
        </w:rPr>
        <w:t xml:space="preserve"> Human Development and Health Academic Unit, University of Southampton,  Faculty of Medicine,  Southampton General Hospital, Southampton, SO16 6YD,  UK, e-mail: tan_boehning@yahoo.com</w:t>
      </w:r>
    </w:p>
    <w:p w14:paraId="78DC7CB2" w14:textId="77777777" w:rsidR="00A57487" w:rsidRPr="00A57487" w:rsidRDefault="00A57487" w:rsidP="00A57487">
      <w:pPr>
        <w:pStyle w:val="PlainText"/>
        <w:rPr>
          <w:rFonts w:asciiTheme="minorHAnsi" w:hAnsiTheme="minorHAnsi"/>
          <w:sz w:val="24"/>
          <w:szCs w:val="24"/>
        </w:rPr>
      </w:pPr>
      <w:r w:rsidRPr="00A57487">
        <w:rPr>
          <w:rFonts w:asciiTheme="minorHAnsi" w:hAnsiTheme="minorHAnsi"/>
          <w:sz w:val="24"/>
          <w:szCs w:val="24"/>
          <w:vertAlign w:val="superscript"/>
        </w:rPr>
        <w:t>3</w:t>
      </w:r>
      <w:r w:rsidRPr="00A57487">
        <w:rPr>
          <w:rFonts w:asciiTheme="minorHAnsi" w:hAnsiTheme="minorHAnsi"/>
          <w:sz w:val="24"/>
          <w:szCs w:val="24"/>
        </w:rPr>
        <w:t xml:space="preserve"> Nuffield Division of Clinical Laboratory Sciences, UK Department of Clinical Biochemistry Level 4, University of Oxford, John Radcliffe Hospital Headley Way, Headington,  Oxford OX3 9DU, e-mail:</w:t>
      </w:r>
      <w:r w:rsidRPr="00A57487">
        <w:rPr>
          <w:sz w:val="24"/>
          <w:szCs w:val="24"/>
        </w:rPr>
        <w:t xml:space="preserve"> </w:t>
      </w:r>
      <w:r w:rsidRPr="00A57487">
        <w:rPr>
          <w:rFonts w:asciiTheme="minorHAnsi" w:hAnsiTheme="minorHAnsi"/>
          <w:sz w:val="24"/>
          <w:szCs w:val="24"/>
        </w:rPr>
        <w:t>Nishan.Guha@ouh.nhs.uk</w:t>
      </w:r>
    </w:p>
    <w:p w14:paraId="3DA8BE69" w14:textId="77777777" w:rsidR="00A57487" w:rsidRPr="00A57487" w:rsidRDefault="00A57487" w:rsidP="00A57487">
      <w:pPr>
        <w:spacing w:after="0"/>
        <w:rPr>
          <w:sz w:val="24"/>
          <w:szCs w:val="24"/>
        </w:rPr>
      </w:pPr>
      <w:r w:rsidRPr="00A57487">
        <w:rPr>
          <w:sz w:val="24"/>
          <w:szCs w:val="24"/>
          <w:vertAlign w:val="superscript"/>
        </w:rPr>
        <w:t>4</w:t>
      </w:r>
      <w:r w:rsidRPr="00A57487">
        <w:rPr>
          <w:sz w:val="24"/>
          <w:szCs w:val="24"/>
        </w:rPr>
        <w:t xml:space="preserve"> Department of Pharmacy and Forensic Science, Drug Control Centre, King's College London, </w:t>
      </w:r>
      <w:r w:rsidRPr="00A57487">
        <w:rPr>
          <w:rFonts w:ascii="Calibri" w:hAnsi="Calibri"/>
          <w:sz w:val="24"/>
          <w:szCs w:val="24"/>
        </w:rPr>
        <w:t xml:space="preserve">150 Stamford Street, London  SE1 9NH, </w:t>
      </w:r>
      <w:r w:rsidRPr="00A57487">
        <w:rPr>
          <w:sz w:val="24"/>
          <w:szCs w:val="24"/>
        </w:rPr>
        <w:t>UK, e-mail:  david.a.cowan@kcl.ac.uk</w:t>
      </w:r>
    </w:p>
    <w:p w14:paraId="0D9DA4D4" w14:textId="77777777" w:rsidR="00A57487" w:rsidRPr="00A57487" w:rsidRDefault="00A57487" w:rsidP="00A57487">
      <w:pPr>
        <w:spacing w:after="0"/>
        <w:rPr>
          <w:sz w:val="24"/>
          <w:szCs w:val="24"/>
        </w:rPr>
      </w:pPr>
      <w:r w:rsidRPr="00A57487">
        <w:rPr>
          <w:sz w:val="24"/>
          <w:szCs w:val="24"/>
          <w:vertAlign w:val="superscript"/>
        </w:rPr>
        <w:t>5</w:t>
      </w:r>
      <w:r w:rsidRPr="00A57487">
        <w:rPr>
          <w:sz w:val="24"/>
          <w:szCs w:val="24"/>
        </w:rPr>
        <w:t xml:space="preserve"> Department of Pharmacy and Forensic Science, Drug Control Centre, King's College London, </w:t>
      </w:r>
      <w:r w:rsidRPr="00A57487">
        <w:rPr>
          <w:rFonts w:ascii="Calibri" w:hAnsi="Calibri"/>
          <w:sz w:val="24"/>
          <w:szCs w:val="24"/>
        </w:rPr>
        <w:t xml:space="preserve">150 Stamford Street, London  SE1 9NH, </w:t>
      </w:r>
      <w:r w:rsidRPr="00A57487">
        <w:rPr>
          <w:sz w:val="24"/>
          <w:szCs w:val="24"/>
        </w:rPr>
        <w:t>UK, e-mail: christiaan.bartlett@kcl.ac.uk</w:t>
      </w:r>
    </w:p>
    <w:p w14:paraId="73C914F5" w14:textId="77777777" w:rsidR="00A57487" w:rsidRPr="00A57487" w:rsidRDefault="00A57487" w:rsidP="00A57487">
      <w:pPr>
        <w:spacing w:after="0"/>
        <w:rPr>
          <w:sz w:val="24"/>
          <w:szCs w:val="24"/>
        </w:rPr>
      </w:pPr>
      <w:r w:rsidRPr="00A57487">
        <w:rPr>
          <w:sz w:val="24"/>
          <w:szCs w:val="24"/>
          <w:vertAlign w:val="superscript"/>
        </w:rPr>
        <w:lastRenderedPageBreak/>
        <w:t xml:space="preserve">6 </w:t>
      </w:r>
      <w:r w:rsidRPr="00A57487">
        <w:rPr>
          <w:sz w:val="24"/>
          <w:szCs w:val="24"/>
        </w:rPr>
        <w:t>Human Development and Health Academic Unit, University of Southampton,  Faculty of Medicine,  Southampton General Hospital, Southampton, SO16 6YD,  UK, e-mail: phsonksen@aol.com</w:t>
      </w:r>
    </w:p>
    <w:p w14:paraId="0435E0D6" w14:textId="77777777" w:rsidR="00A57487" w:rsidRPr="00A57487" w:rsidRDefault="00A57487" w:rsidP="00A57487">
      <w:pPr>
        <w:spacing w:after="0"/>
        <w:rPr>
          <w:sz w:val="24"/>
          <w:szCs w:val="24"/>
        </w:rPr>
      </w:pPr>
      <w:r w:rsidRPr="00A57487">
        <w:rPr>
          <w:sz w:val="24"/>
          <w:szCs w:val="24"/>
          <w:vertAlign w:val="superscript"/>
        </w:rPr>
        <w:t>7</w:t>
      </w:r>
      <w:r w:rsidRPr="00A57487">
        <w:rPr>
          <w:sz w:val="24"/>
          <w:szCs w:val="24"/>
        </w:rPr>
        <w:t xml:space="preserve"> Human Development and Health Academic Unit, University of Southampton,  Faculty of Medicine,  Southampton General Hospital, Southampton, SO16 6YD,  UK, e-mail: R.I.G.Holt@soton.ac.uk</w:t>
      </w:r>
    </w:p>
    <w:p w14:paraId="595046DE" w14:textId="7512C044" w:rsidR="0086711C" w:rsidRPr="004524DC" w:rsidRDefault="0086711C" w:rsidP="00C37390">
      <w:pPr>
        <w:spacing w:after="0" w:line="240" w:lineRule="auto"/>
        <w:rPr>
          <w:noProof/>
          <w:sz w:val="24"/>
          <w:szCs w:val="24"/>
        </w:rPr>
      </w:pPr>
      <w:r w:rsidRPr="004524DC">
        <w:rPr>
          <w:sz w:val="24"/>
          <w:szCs w:val="24"/>
        </w:rPr>
        <w:fldChar w:fldCharType="begin"/>
      </w:r>
      <w:r w:rsidRPr="004524DC">
        <w:rPr>
          <w:sz w:val="24"/>
          <w:szCs w:val="24"/>
        </w:rPr>
        <w:instrText xml:space="preserve"> ADDIN REFMGR.REFLIST </w:instrText>
      </w:r>
      <w:r w:rsidRPr="004524DC">
        <w:rPr>
          <w:sz w:val="24"/>
          <w:szCs w:val="24"/>
        </w:rPr>
        <w:fldChar w:fldCharType="separate"/>
      </w:r>
    </w:p>
    <w:p w14:paraId="77BB9D7E" w14:textId="6B66F972" w:rsidR="0086711C" w:rsidRPr="004524DC" w:rsidRDefault="004E45BC" w:rsidP="00C37390">
      <w:pPr>
        <w:spacing w:after="0" w:line="240" w:lineRule="auto"/>
        <w:rPr>
          <w:b/>
          <w:bCs/>
          <w:noProof/>
          <w:sz w:val="24"/>
          <w:szCs w:val="24"/>
        </w:rPr>
      </w:pPr>
      <w:r w:rsidRPr="004524DC">
        <w:rPr>
          <w:b/>
          <w:bCs/>
          <w:noProof/>
          <w:sz w:val="24"/>
          <w:szCs w:val="24"/>
        </w:rPr>
        <w:t>References</w:t>
      </w:r>
    </w:p>
    <w:p w14:paraId="66A779A6" w14:textId="24BA922C" w:rsidR="004524DC" w:rsidRDefault="004524DC" w:rsidP="00C37390">
      <w:pPr>
        <w:pStyle w:val="Heading1"/>
        <w:shd w:val="clear" w:color="auto" w:fill="FFFFFF"/>
        <w:spacing w:before="0" w:line="240" w:lineRule="auto"/>
        <w:rPr>
          <w:rFonts w:ascii="Arial" w:hAnsi="Arial" w:cs="Arial"/>
          <w:sz w:val="28"/>
          <w:szCs w:val="28"/>
        </w:rPr>
      </w:pPr>
    </w:p>
    <w:p w14:paraId="2EA08926" w14:textId="696998B9" w:rsidR="00837E2A" w:rsidRDefault="00837E2A" w:rsidP="00E51225">
      <w:pPr>
        <w:pStyle w:val="CommentText"/>
        <w:spacing w:after="0"/>
        <w:ind w:left="720" w:hanging="720"/>
        <w:rPr>
          <w:noProof/>
          <w:sz w:val="24"/>
          <w:szCs w:val="24"/>
        </w:rPr>
      </w:pPr>
      <w:r w:rsidRPr="00E51225">
        <w:rPr>
          <w:rStyle w:val="spelle"/>
          <w:sz w:val="24"/>
          <w:szCs w:val="24"/>
        </w:rPr>
        <w:t>Böhning</w:t>
      </w:r>
      <w:r w:rsidR="00E51225" w:rsidRPr="00E51225">
        <w:rPr>
          <w:rStyle w:val="authorname"/>
          <w:sz w:val="24"/>
          <w:szCs w:val="24"/>
        </w:rPr>
        <w:t xml:space="preserve"> D,</w:t>
      </w:r>
      <w:r w:rsidRPr="00E51225">
        <w:rPr>
          <w:rStyle w:val="authorname"/>
          <w:sz w:val="24"/>
          <w:szCs w:val="24"/>
        </w:rPr>
        <w:t xml:space="preserve"> </w:t>
      </w:r>
      <w:r w:rsidRPr="00E51225">
        <w:rPr>
          <w:sz w:val="24"/>
          <w:szCs w:val="24"/>
        </w:rPr>
        <w:t xml:space="preserve"> </w:t>
      </w:r>
      <w:r w:rsidRPr="00E51225">
        <w:rPr>
          <w:rStyle w:val="spelle"/>
          <w:sz w:val="24"/>
          <w:szCs w:val="24"/>
        </w:rPr>
        <w:t>Böhning</w:t>
      </w:r>
      <w:r w:rsidR="00575789">
        <w:rPr>
          <w:rStyle w:val="grame"/>
          <w:sz w:val="24"/>
          <w:szCs w:val="24"/>
        </w:rPr>
        <w:t xml:space="preserve"> W</w:t>
      </w:r>
      <w:r w:rsidR="00E51225" w:rsidRPr="00E51225">
        <w:rPr>
          <w:rStyle w:val="grame"/>
          <w:sz w:val="24"/>
          <w:szCs w:val="24"/>
        </w:rPr>
        <w:t>,</w:t>
      </w:r>
      <w:r w:rsidRPr="00E51225">
        <w:rPr>
          <w:rStyle w:val="grame"/>
          <w:sz w:val="24"/>
          <w:szCs w:val="24"/>
        </w:rPr>
        <w:t xml:space="preserve">  </w:t>
      </w:r>
      <w:r w:rsidRPr="00E51225">
        <w:rPr>
          <w:rStyle w:val="authorname"/>
          <w:sz w:val="24"/>
          <w:szCs w:val="24"/>
        </w:rPr>
        <w:t> Guha</w:t>
      </w:r>
      <w:r w:rsidR="00E51225" w:rsidRPr="00E51225">
        <w:rPr>
          <w:rStyle w:val="authorname"/>
          <w:sz w:val="24"/>
          <w:szCs w:val="24"/>
        </w:rPr>
        <w:t xml:space="preserve"> N</w:t>
      </w:r>
      <w:r w:rsidRPr="00E51225">
        <w:rPr>
          <w:sz w:val="24"/>
          <w:szCs w:val="24"/>
        </w:rPr>
        <w:t xml:space="preserve">,  </w:t>
      </w:r>
      <w:r w:rsidRPr="00E51225">
        <w:rPr>
          <w:rStyle w:val="authorname"/>
          <w:sz w:val="24"/>
          <w:szCs w:val="24"/>
        </w:rPr>
        <w:t> Cowan</w:t>
      </w:r>
      <w:r w:rsidRPr="00E51225">
        <w:rPr>
          <w:sz w:val="24"/>
          <w:szCs w:val="24"/>
        </w:rPr>
        <w:t xml:space="preserve"> </w:t>
      </w:r>
      <w:r w:rsidR="00E51225" w:rsidRPr="00E51225">
        <w:rPr>
          <w:sz w:val="24"/>
          <w:szCs w:val="24"/>
        </w:rPr>
        <w:t xml:space="preserve">DA, </w:t>
      </w:r>
      <w:r w:rsidRPr="00E51225">
        <w:rPr>
          <w:sz w:val="24"/>
          <w:szCs w:val="24"/>
        </w:rPr>
        <w:t xml:space="preserve"> </w:t>
      </w:r>
      <w:r w:rsidRPr="00E51225">
        <w:rPr>
          <w:rStyle w:val="spelle"/>
          <w:sz w:val="24"/>
          <w:szCs w:val="24"/>
        </w:rPr>
        <w:t>Sönksen</w:t>
      </w:r>
      <w:r w:rsidR="00E51225" w:rsidRPr="00E51225">
        <w:rPr>
          <w:rStyle w:val="spelle"/>
          <w:sz w:val="24"/>
          <w:szCs w:val="24"/>
        </w:rPr>
        <w:t xml:space="preserve"> PH,</w:t>
      </w:r>
      <w:r w:rsidR="00E51225" w:rsidRPr="00E51225">
        <w:rPr>
          <w:sz w:val="24"/>
          <w:szCs w:val="24"/>
        </w:rPr>
        <w:t xml:space="preserve"> </w:t>
      </w:r>
      <w:r w:rsidRPr="00E51225">
        <w:rPr>
          <w:sz w:val="24"/>
          <w:szCs w:val="24"/>
        </w:rPr>
        <w:t xml:space="preserve">  </w:t>
      </w:r>
      <w:r w:rsidRPr="00E51225">
        <w:rPr>
          <w:rStyle w:val="authorname"/>
          <w:sz w:val="24"/>
          <w:szCs w:val="24"/>
        </w:rPr>
        <w:t>Holt</w:t>
      </w:r>
      <w:r w:rsidR="00E51225">
        <w:rPr>
          <w:rStyle w:val="authorname"/>
          <w:sz w:val="24"/>
          <w:szCs w:val="24"/>
        </w:rPr>
        <w:t xml:space="preserve"> RI</w:t>
      </w:r>
      <w:r w:rsidRPr="00E51225">
        <w:rPr>
          <w:rStyle w:val="authorname"/>
          <w:sz w:val="24"/>
          <w:szCs w:val="24"/>
        </w:rPr>
        <w:t xml:space="preserve">.  </w:t>
      </w:r>
      <w:r w:rsidRPr="00837E2A">
        <w:rPr>
          <w:rStyle w:val="authorname"/>
          <w:sz w:val="24"/>
          <w:szCs w:val="24"/>
        </w:rPr>
        <w:t xml:space="preserve">Statistical methodology for age-adjustment of the GH-2000 score detecting growth hormone misuse. </w:t>
      </w:r>
      <w:r w:rsidRPr="00837E2A">
        <w:rPr>
          <w:rStyle w:val="authorname"/>
          <w:i/>
          <w:iCs/>
          <w:sz w:val="24"/>
          <w:szCs w:val="24"/>
        </w:rPr>
        <w:t>BMC Medical Research Methodology</w:t>
      </w:r>
      <w:r w:rsidRPr="00837E2A">
        <w:rPr>
          <w:rStyle w:val="authorname"/>
          <w:sz w:val="24"/>
          <w:szCs w:val="24"/>
        </w:rPr>
        <w:t xml:space="preserve"> </w:t>
      </w:r>
      <w:r w:rsidR="00E51225">
        <w:rPr>
          <w:rStyle w:val="authorname"/>
          <w:sz w:val="24"/>
          <w:szCs w:val="24"/>
        </w:rPr>
        <w:t xml:space="preserve">2016, </w:t>
      </w:r>
      <w:r w:rsidRPr="00E51225">
        <w:rPr>
          <w:rStyle w:val="Strong"/>
          <w:b w:val="0"/>
          <w:bCs w:val="0"/>
          <w:sz w:val="24"/>
          <w:szCs w:val="24"/>
        </w:rPr>
        <w:t>16</w:t>
      </w:r>
      <w:r w:rsidRPr="00E51225">
        <w:rPr>
          <w:rStyle w:val="articlecitationvolume"/>
          <w:b/>
          <w:bCs/>
          <w:sz w:val="24"/>
          <w:szCs w:val="24"/>
        </w:rPr>
        <w:t>:</w:t>
      </w:r>
      <w:r w:rsidRPr="00E51225">
        <w:rPr>
          <w:rStyle w:val="articlecitationvolume"/>
          <w:sz w:val="24"/>
          <w:szCs w:val="24"/>
        </w:rPr>
        <w:t xml:space="preserve">147 </w:t>
      </w:r>
      <w:r w:rsidRPr="00E51225">
        <w:rPr>
          <w:rStyle w:val="Strong"/>
          <w:b w:val="0"/>
          <w:bCs w:val="0"/>
          <w:sz w:val="24"/>
          <w:szCs w:val="24"/>
        </w:rPr>
        <w:t>DOI:</w:t>
      </w:r>
      <w:r w:rsidRPr="00E51225">
        <w:rPr>
          <w:rStyle w:val="Strong"/>
          <w:sz w:val="24"/>
          <w:szCs w:val="24"/>
        </w:rPr>
        <w:t xml:space="preserve"> </w:t>
      </w:r>
      <w:r w:rsidRPr="00E51225">
        <w:rPr>
          <w:sz w:val="24"/>
          <w:szCs w:val="24"/>
        </w:rPr>
        <w:t>10.1186/s12874-016-0246-8.</w:t>
      </w:r>
      <w:r w:rsidRPr="00837E2A">
        <w:rPr>
          <w:noProof/>
          <w:sz w:val="24"/>
          <w:szCs w:val="24"/>
        </w:rPr>
        <w:t xml:space="preserve"> </w:t>
      </w:r>
    </w:p>
    <w:p w14:paraId="1562C95C" w14:textId="162A7830" w:rsidR="00027344" w:rsidRPr="00CB773A" w:rsidRDefault="00027344" w:rsidP="00CB773A">
      <w:pPr>
        <w:autoSpaceDE w:val="0"/>
        <w:autoSpaceDN w:val="0"/>
        <w:adjustRightInd w:val="0"/>
        <w:spacing w:after="0" w:line="240" w:lineRule="auto"/>
        <w:ind w:left="720" w:hanging="720"/>
        <w:rPr>
          <w:sz w:val="24"/>
          <w:szCs w:val="24"/>
          <w:lang w:val="en-CA"/>
        </w:rPr>
      </w:pPr>
      <w:r w:rsidRPr="004524DC">
        <w:rPr>
          <w:rFonts w:cs="AdvTT5235d5a9"/>
          <w:color w:val="000000"/>
          <w:sz w:val="24"/>
          <w:szCs w:val="24"/>
        </w:rPr>
        <w:t xml:space="preserve">Erotokritou-Mulligan I, Guha N, Stow M, Bassett EE,  Bartlett C,  Cowan DA,  Sönksen PA, Holt RIG. </w:t>
      </w:r>
      <w:r w:rsidRPr="004524DC">
        <w:rPr>
          <w:rFonts w:cs="AdvTT5235d5a9"/>
          <w:sz w:val="24"/>
          <w:szCs w:val="24"/>
        </w:rPr>
        <w:t>The development of decision limits for the implementation of the GH-2000 detection methodology using current commercial insulin-like growth factor-I and amino-terminal pro-peptide of type III collagen assays</w:t>
      </w:r>
      <w:r w:rsidRPr="004524DC">
        <w:rPr>
          <w:rFonts w:cs="AdvTT5235d5a9"/>
          <w:color w:val="000000"/>
          <w:sz w:val="24"/>
          <w:szCs w:val="24"/>
        </w:rPr>
        <w:t xml:space="preserve"> . </w:t>
      </w:r>
      <w:r w:rsidRPr="004524DC">
        <w:rPr>
          <w:rFonts w:cs="AdvTT5235d5a9"/>
          <w:i/>
          <w:iCs/>
          <w:sz w:val="24"/>
          <w:szCs w:val="24"/>
        </w:rPr>
        <w:t>Growth Hormone &amp; IGF Research</w:t>
      </w:r>
      <w:r w:rsidRPr="004524DC">
        <w:rPr>
          <w:rFonts w:cs="AdvTT5235d5a9"/>
          <w:color w:val="000000"/>
          <w:sz w:val="24"/>
          <w:szCs w:val="24"/>
        </w:rPr>
        <w:t xml:space="preserve"> 2012 doi:</w:t>
      </w:r>
      <w:r w:rsidRPr="004524DC">
        <w:rPr>
          <w:rFonts w:cs="AdvTT5235d5a9"/>
          <w:color w:val="0000FF"/>
          <w:sz w:val="24"/>
          <w:szCs w:val="24"/>
        </w:rPr>
        <w:t>10.1016/j.ghir.2011.12.005</w:t>
      </w:r>
    </w:p>
    <w:p w14:paraId="0A38D5AB" w14:textId="77777777" w:rsidR="00837E2A" w:rsidRDefault="00837E2A" w:rsidP="00C37390">
      <w:pPr>
        <w:autoSpaceDE w:val="0"/>
        <w:autoSpaceDN w:val="0"/>
        <w:adjustRightInd w:val="0"/>
        <w:spacing w:after="0" w:line="240" w:lineRule="auto"/>
        <w:ind w:left="720" w:hanging="720"/>
        <w:rPr>
          <w:rFonts w:cs="AdvGulliv-R"/>
          <w:sz w:val="24"/>
          <w:szCs w:val="24"/>
        </w:rPr>
      </w:pPr>
    </w:p>
    <w:p w14:paraId="30951FC4" w14:textId="7E6A1AD0" w:rsidR="004524DC" w:rsidRDefault="004524DC" w:rsidP="00C37390">
      <w:pPr>
        <w:spacing w:after="0" w:line="240" w:lineRule="auto"/>
        <w:ind w:left="720" w:hanging="720"/>
        <w:jc w:val="both"/>
        <w:rPr>
          <w:sz w:val="24"/>
          <w:szCs w:val="24"/>
        </w:rPr>
      </w:pPr>
      <w:r w:rsidRPr="004524DC">
        <w:rPr>
          <w:sz w:val="24"/>
          <w:szCs w:val="24"/>
        </w:rPr>
        <w:t xml:space="preserve">Holt, RI. Is human growth hormone an ergogenic aid? </w:t>
      </w:r>
      <w:r w:rsidRPr="004524DC">
        <w:rPr>
          <w:i/>
          <w:sz w:val="24"/>
          <w:szCs w:val="24"/>
        </w:rPr>
        <w:t>Drug Test Anal</w:t>
      </w:r>
      <w:r w:rsidRPr="004524DC">
        <w:rPr>
          <w:sz w:val="24"/>
          <w:szCs w:val="24"/>
        </w:rPr>
        <w:t xml:space="preserve"> 2009 Sep 2009. doi: 10.1002/dta.58. </w:t>
      </w:r>
    </w:p>
    <w:p w14:paraId="09034779" w14:textId="181B0E23" w:rsidR="00D136E4" w:rsidRDefault="0002137F" w:rsidP="00E51225">
      <w:pPr>
        <w:spacing w:after="0" w:line="240" w:lineRule="auto"/>
        <w:ind w:left="720" w:hanging="720"/>
        <w:jc w:val="both"/>
        <w:rPr>
          <w:sz w:val="24"/>
          <w:szCs w:val="24"/>
        </w:rPr>
      </w:pPr>
      <w:r w:rsidRPr="004524DC">
        <w:rPr>
          <w:sz w:val="24"/>
          <w:szCs w:val="24"/>
        </w:rPr>
        <w:t>Holt RI, Böhning W, Guha N</w:t>
      </w:r>
      <w:r w:rsidR="00DE6104" w:rsidRPr="004524DC">
        <w:rPr>
          <w:sz w:val="24"/>
          <w:szCs w:val="24"/>
        </w:rPr>
        <w:t>, Bartlett C, Cowan, DA, Giraud S,  Bassett EE,</w:t>
      </w:r>
      <w:r w:rsidRPr="004524DC">
        <w:rPr>
          <w:sz w:val="24"/>
          <w:szCs w:val="24"/>
        </w:rPr>
        <w:t xml:space="preserve"> </w:t>
      </w:r>
      <w:r w:rsidR="00DE6104" w:rsidRPr="004524DC">
        <w:rPr>
          <w:sz w:val="24"/>
          <w:szCs w:val="24"/>
        </w:rPr>
        <w:t xml:space="preserve">Sönsken PH, Böhning D. </w:t>
      </w:r>
      <w:r w:rsidRPr="004524DC">
        <w:rPr>
          <w:sz w:val="24"/>
          <w:szCs w:val="24"/>
        </w:rPr>
        <w:t xml:space="preserve">The development of decision limits for the GH-2000 detection methodology using additional insulin-like growth factor-I and amino-terminal pro-peptide of type III collagen assays. </w:t>
      </w:r>
      <w:r w:rsidRPr="004524DC">
        <w:rPr>
          <w:i/>
          <w:sz w:val="24"/>
          <w:szCs w:val="24"/>
        </w:rPr>
        <w:t>Drug Test Anal</w:t>
      </w:r>
      <w:r w:rsidR="00E51225">
        <w:rPr>
          <w:sz w:val="24"/>
          <w:szCs w:val="24"/>
        </w:rPr>
        <w:t xml:space="preserve"> 2015, </w:t>
      </w:r>
      <w:r w:rsidR="00E51225" w:rsidRPr="007A605E">
        <w:rPr>
          <w:sz w:val="24"/>
          <w:szCs w:val="24"/>
        </w:rPr>
        <w:t xml:space="preserve"> </w:t>
      </w:r>
      <w:r w:rsidR="00E51225" w:rsidRPr="007A605E">
        <w:rPr>
          <w:rFonts w:cs="AdvTTa8216b63.B"/>
          <w:sz w:val="24"/>
          <w:szCs w:val="24"/>
        </w:rPr>
        <w:t>7</w:t>
      </w:r>
      <w:r w:rsidR="00E51225" w:rsidRPr="00E51225">
        <w:rPr>
          <w:rFonts w:cs="AdvTTa8216b63.B"/>
          <w:b/>
          <w:bCs/>
          <w:sz w:val="24"/>
          <w:szCs w:val="24"/>
        </w:rPr>
        <w:t xml:space="preserve">, </w:t>
      </w:r>
      <w:r w:rsidR="00E51225" w:rsidRPr="00E51225">
        <w:rPr>
          <w:rFonts w:cs="AdvTTa8216b63.B"/>
          <w:sz w:val="24"/>
          <w:szCs w:val="24"/>
        </w:rPr>
        <w:t>745-755.</w:t>
      </w:r>
      <w:r w:rsidR="00E51225" w:rsidRPr="00E51225">
        <w:rPr>
          <w:sz w:val="24"/>
          <w:szCs w:val="24"/>
        </w:rPr>
        <w:t xml:space="preserve"> Jan 21 10.1002/dta.1772.</w:t>
      </w:r>
    </w:p>
    <w:p w14:paraId="337BFD47" w14:textId="281929A1" w:rsidR="00027344" w:rsidRPr="00E51225" w:rsidRDefault="00027344" w:rsidP="00CB773A">
      <w:pPr>
        <w:tabs>
          <w:tab w:val="right" w:pos="360"/>
          <w:tab w:val="left" w:pos="540"/>
        </w:tabs>
        <w:spacing w:after="0" w:line="240" w:lineRule="auto"/>
        <w:ind w:left="720" w:hanging="720"/>
        <w:jc w:val="both"/>
        <w:rPr>
          <w:noProof/>
          <w:sz w:val="24"/>
          <w:szCs w:val="24"/>
        </w:rPr>
      </w:pPr>
      <w:r w:rsidRPr="004524DC">
        <w:rPr>
          <w:noProof/>
          <w:sz w:val="24"/>
          <w:szCs w:val="24"/>
        </w:rPr>
        <w:t xml:space="preserve">Powrie JK, Bassett EE, Rosen T, Jorgensen JO, Napoli R, Sacca L, Christiansen JS, Bengtsson BA, Sonksen PH. Detection of growth hormone abuse in sport. </w:t>
      </w:r>
      <w:r w:rsidRPr="004524DC">
        <w:rPr>
          <w:i/>
          <w:iCs/>
          <w:noProof/>
          <w:sz w:val="24"/>
          <w:szCs w:val="24"/>
        </w:rPr>
        <w:t xml:space="preserve">Growth Horm IGF Res </w:t>
      </w:r>
      <w:r w:rsidRPr="004524DC">
        <w:rPr>
          <w:noProof/>
          <w:sz w:val="24"/>
          <w:szCs w:val="24"/>
        </w:rPr>
        <w:t>2007 17: 220-226.</w:t>
      </w:r>
    </w:p>
    <w:p w14:paraId="67842841" w14:textId="77777777" w:rsidR="00C37390" w:rsidRDefault="00C37390" w:rsidP="00BF158A">
      <w:pPr>
        <w:tabs>
          <w:tab w:val="right" w:pos="360"/>
          <w:tab w:val="left" w:pos="540"/>
        </w:tabs>
        <w:spacing w:after="0" w:line="240" w:lineRule="auto"/>
        <w:jc w:val="both"/>
        <w:rPr>
          <w:sz w:val="24"/>
          <w:szCs w:val="24"/>
        </w:rPr>
      </w:pPr>
    </w:p>
    <w:p w14:paraId="52A2E95B" w14:textId="77777777" w:rsidR="00D379B8" w:rsidRPr="00BE3F09" w:rsidRDefault="00D379B8" w:rsidP="00C37390">
      <w:pPr>
        <w:spacing w:after="0" w:line="240" w:lineRule="auto"/>
        <w:ind w:left="720" w:hanging="720"/>
        <w:jc w:val="both"/>
        <w:rPr>
          <w:noProof/>
          <w:sz w:val="24"/>
          <w:szCs w:val="24"/>
        </w:rPr>
      </w:pPr>
      <w:r w:rsidRPr="00D379B8">
        <w:rPr>
          <w:noProof/>
          <w:sz w:val="24"/>
          <w:szCs w:val="24"/>
        </w:rPr>
        <w:t xml:space="preserve">World Antidoping Agency.  World Anti-Doping Program Guidelines for hGH Isoform Differential Immunoassays for anti-doping analyses. https://wada-main-prod.s3.amazonaws.com/resources/files/WADA-Guidelines-for-hGH-Differential-Immunoassays-v2.1-2014-EN.pdf . </w:t>
      </w:r>
      <w:r w:rsidRPr="00BE3F09">
        <w:rPr>
          <w:noProof/>
          <w:sz w:val="24"/>
          <w:szCs w:val="24"/>
        </w:rPr>
        <w:t>2014.</w:t>
      </w:r>
    </w:p>
    <w:p w14:paraId="71D04654" w14:textId="77777777" w:rsidR="004524DC" w:rsidRPr="004524DC" w:rsidRDefault="004524DC" w:rsidP="00C37390">
      <w:pPr>
        <w:tabs>
          <w:tab w:val="right" w:pos="360"/>
          <w:tab w:val="left" w:pos="540"/>
        </w:tabs>
        <w:spacing w:after="0" w:line="240" w:lineRule="auto"/>
        <w:ind w:left="720" w:hanging="720"/>
        <w:jc w:val="both"/>
        <w:rPr>
          <w:sz w:val="24"/>
          <w:szCs w:val="24"/>
        </w:rPr>
      </w:pPr>
    </w:p>
    <w:p w14:paraId="4793A75B" w14:textId="76BAD5BA" w:rsidR="004524DC" w:rsidRPr="004524DC" w:rsidRDefault="004524DC" w:rsidP="00C37390">
      <w:pPr>
        <w:tabs>
          <w:tab w:val="right" w:pos="360"/>
          <w:tab w:val="left" w:pos="540"/>
        </w:tabs>
        <w:spacing w:after="0" w:line="240" w:lineRule="auto"/>
        <w:ind w:left="720" w:hanging="720"/>
        <w:jc w:val="both"/>
        <w:rPr>
          <w:noProof/>
          <w:sz w:val="24"/>
          <w:szCs w:val="24"/>
        </w:rPr>
      </w:pPr>
      <w:r>
        <w:rPr>
          <w:rFonts w:cs="Arial"/>
          <w:sz w:val="24"/>
          <w:szCs w:val="24"/>
        </w:rPr>
        <w:t xml:space="preserve">WADA </w:t>
      </w:r>
      <w:r w:rsidRPr="004524DC">
        <w:rPr>
          <w:rFonts w:cs="Arial"/>
          <w:sz w:val="24"/>
          <w:szCs w:val="24"/>
        </w:rPr>
        <w:t>The World Anti-Doping Code International Standard: Prohibited List  2016</w:t>
      </w:r>
      <w:r>
        <w:rPr>
          <w:rFonts w:cs="Arial"/>
          <w:sz w:val="24"/>
          <w:szCs w:val="24"/>
        </w:rPr>
        <w:t xml:space="preserve">, </w:t>
      </w:r>
    </w:p>
    <w:p w14:paraId="331A7C85" w14:textId="07B2B91E" w:rsidR="004524DC" w:rsidRPr="004524DC" w:rsidRDefault="0086711C" w:rsidP="00C37390">
      <w:pPr>
        <w:pStyle w:val="CommentText"/>
        <w:spacing w:after="0"/>
        <w:rPr>
          <w:sz w:val="24"/>
          <w:szCs w:val="24"/>
        </w:rPr>
      </w:pPr>
      <w:r w:rsidRPr="004524DC">
        <w:rPr>
          <w:sz w:val="24"/>
          <w:szCs w:val="24"/>
        </w:rPr>
        <w:fldChar w:fldCharType="end"/>
      </w:r>
      <w:hyperlink r:id="rId23" w:history="1">
        <w:r w:rsidR="00C37390" w:rsidRPr="00936448">
          <w:rPr>
            <w:rStyle w:val="Hyperlink"/>
            <w:sz w:val="24"/>
            <w:szCs w:val="24"/>
          </w:rPr>
          <w:t>https://wada-main-prod.s3.amazonaws.com/resources/files/wada-2016-prohibited-list-en.pdf</w:t>
        </w:r>
      </w:hyperlink>
    </w:p>
    <w:p w14:paraId="6584DE25" w14:textId="77777777" w:rsidR="00351B34" w:rsidRPr="0018492F" w:rsidRDefault="00351B34" w:rsidP="00351B34">
      <w:pPr>
        <w:jc w:val="both"/>
        <w:rPr>
          <w:sz w:val="24"/>
          <w:szCs w:val="24"/>
        </w:rPr>
      </w:pPr>
    </w:p>
    <w:sectPr w:rsidR="00351B34" w:rsidRPr="0018492F" w:rsidSect="0091634F">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10F3F" w14:textId="77777777" w:rsidR="003A4557" w:rsidRDefault="003A4557" w:rsidP="007E61C9">
      <w:pPr>
        <w:spacing w:after="0" w:line="240" w:lineRule="auto"/>
      </w:pPr>
      <w:r>
        <w:separator/>
      </w:r>
    </w:p>
  </w:endnote>
  <w:endnote w:type="continuationSeparator" w:id="0">
    <w:p w14:paraId="28EF2CC7" w14:textId="77777777" w:rsidR="003A4557" w:rsidRDefault="003A4557" w:rsidP="007E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dvTT5235d5a9">
    <w:panose1 w:val="00000000000000000000"/>
    <w:charset w:val="00"/>
    <w:family w:val="auto"/>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AdvTTa8216b63.B">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439637"/>
      <w:docPartObj>
        <w:docPartGallery w:val="Page Numbers (Bottom of Page)"/>
        <w:docPartUnique/>
      </w:docPartObj>
    </w:sdtPr>
    <w:sdtEndPr>
      <w:rPr>
        <w:noProof/>
      </w:rPr>
    </w:sdtEndPr>
    <w:sdtContent>
      <w:p w14:paraId="029B104B" w14:textId="36221A05" w:rsidR="00351B34" w:rsidRDefault="00351B34">
        <w:pPr>
          <w:pStyle w:val="Footer"/>
          <w:jc w:val="center"/>
        </w:pPr>
        <w:r>
          <w:fldChar w:fldCharType="begin"/>
        </w:r>
        <w:r>
          <w:instrText xml:space="preserve"> PAGE   \* MERGEFORMAT </w:instrText>
        </w:r>
        <w:r>
          <w:fldChar w:fldCharType="separate"/>
        </w:r>
        <w:r w:rsidR="00FD0D90">
          <w:rPr>
            <w:noProof/>
          </w:rPr>
          <w:t>2</w:t>
        </w:r>
        <w:r>
          <w:rPr>
            <w:noProof/>
          </w:rPr>
          <w:fldChar w:fldCharType="end"/>
        </w:r>
      </w:p>
    </w:sdtContent>
  </w:sdt>
  <w:p w14:paraId="153A6F00" w14:textId="77777777" w:rsidR="00351B34" w:rsidRDefault="00351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E3B1F" w14:textId="77777777" w:rsidR="003A4557" w:rsidRDefault="003A4557" w:rsidP="007E61C9">
      <w:pPr>
        <w:spacing w:after="0" w:line="240" w:lineRule="auto"/>
      </w:pPr>
      <w:r>
        <w:separator/>
      </w:r>
    </w:p>
  </w:footnote>
  <w:footnote w:type="continuationSeparator" w:id="0">
    <w:p w14:paraId="2D25D925" w14:textId="77777777" w:rsidR="003A4557" w:rsidRDefault="003A4557" w:rsidP="007E61C9">
      <w:pPr>
        <w:spacing w:after="0" w:line="240" w:lineRule="auto"/>
      </w:pPr>
      <w:r>
        <w:continuationSeparator/>
      </w:r>
    </w:p>
  </w:footnote>
  <w:footnote w:id="1">
    <w:p w14:paraId="66BC2EB6" w14:textId="208A6355" w:rsidR="003A4557" w:rsidRDefault="003A4557" w:rsidP="00F760FF">
      <w:pPr>
        <w:pStyle w:val="FootnoteText"/>
      </w:pPr>
      <w:r>
        <w:t>*Correspondence: d.a.bohning@soton.ac.uk</w:t>
      </w:r>
    </w:p>
    <w:p w14:paraId="21FDF818" w14:textId="5F0249E6" w:rsidR="003A4557" w:rsidRPr="00EF6B1B" w:rsidRDefault="003A4557" w:rsidP="00F760FF">
      <w:pPr>
        <w:pStyle w:val="FootnoteText"/>
      </w:pPr>
      <w:r>
        <w:rPr>
          <w:rStyle w:val="FootnoteReference"/>
        </w:rPr>
        <w:footnoteRef/>
      </w:r>
      <w:r>
        <w:t xml:space="preserve"> </w:t>
      </w:r>
      <w:r w:rsidRPr="00EF6B1B">
        <w:t>Southampton Statistical Sciences Research Institute, University of Southampton, Southampton, SO17 1BJ, UK</w:t>
      </w:r>
      <w:r w:rsidR="00BB65F2">
        <w:t>, e-mail: d.a.bohning@soton.ac.uk</w:t>
      </w:r>
    </w:p>
    <w:p w14:paraId="678AC7EC" w14:textId="3886B134" w:rsidR="00EF6B1B" w:rsidRPr="00EF6B1B" w:rsidRDefault="00EF6B1B" w:rsidP="00EF6B1B">
      <w:pPr>
        <w:spacing w:after="0"/>
        <w:rPr>
          <w:sz w:val="20"/>
          <w:szCs w:val="20"/>
        </w:rPr>
      </w:pPr>
      <w:r w:rsidRPr="00EF6B1B">
        <w:rPr>
          <w:vertAlign w:val="superscript"/>
        </w:rPr>
        <w:t>2</w:t>
      </w:r>
      <w:r w:rsidRPr="00EF6B1B">
        <w:t xml:space="preserve"> </w:t>
      </w:r>
      <w:r w:rsidRPr="00EF6B1B">
        <w:rPr>
          <w:sz w:val="20"/>
          <w:szCs w:val="20"/>
        </w:rPr>
        <w:t>Human Development and Health Academic Unit, University of Southampton,  Faculty of Medicine,  Southampton General Hospital, Southampton, SO16 6YD,  UK</w:t>
      </w:r>
      <w:r>
        <w:rPr>
          <w:sz w:val="20"/>
          <w:szCs w:val="20"/>
        </w:rPr>
        <w:t>, e-mail:</w:t>
      </w:r>
      <w:r w:rsidRPr="00EF6B1B">
        <w:t xml:space="preserve"> </w:t>
      </w:r>
      <w:r w:rsidR="00BB65F2">
        <w:rPr>
          <w:sz w:val="20"/>
          <w:szCs w:val="20"/>
        </w:rPr>
        <w:t>tan_boehning@yahoo.com</w:t>
      </w:r>
    </w:p>
    <w:p w14:paraId="18E98B8F" w14:textId="02ABA231" w:rsidR="00EF6B1B" w:rsidRDefault="00EF6B1B" w:rsidP="00EF6B1B">
      <w:pPr>
        <w:pStyle w:val="PlainText"/>
        <w:rPr>
          <w:rFonts w:asciiTheme="minorHAnsi" w:hAnsiTheme="minorHAnsi"/>
          <w:sz w:val="20"/>
          <w:szCs w:val="20"/>
        </w:rPr>
      </w:pPr>
      <w:r w:rsidRPr="00EF6B1B">
        <w:rPr>
          <w:rFonts w:asciiTheme="minorHAnsi" w:hAnsiTheme="minorHAnsi"/>
          <w:sz w:val="20"/>
          <w:szCs w:val="20"/>
          <w:vertAlign w:val="superscript"/>
        </w:rPr>
        <w:t>3</w:t>
      </w:r>
      <w:r w:rsidRPr="00EF6B1B">
        <w:rPr>
          <w:rFonts w:asciiTheme="minorHAnsi" w:hAnsiTheme="minorHAnsi"/>
          <w:sz w:val="20"/>
          <w:szCs w:val="20"/>
        </w:rPr>
        <w:t xml:space="preserve"> Nuffield Division of Clinical Laboratory Sciences, UK Department of Clinical Biochemistry Level 4, University of Oxford, John Radcliffe Hospital Headley Way, Headington,  Oxford OX3 9DU</w:t>
      </w:r>
      <w:r>
        <w:rPr>
          <w:rFonts w:asciiTheme="minorHAnsi" w:hAnsiTheme="minorHAnsi"/>
          <w:sz w:val="20"/>
          <w:szCs w:val="20"/>
        </w:rPr>
        <w:t>, e-mail:</w:t>
      </w:r>
      <w:r w:rsidRPr="00EF6B1B">
        <w:t xml:space="preserve"> </w:t>
      </w:r>
      <w:r w:rsidRPr="00EF6B1B">
        <w:rPr>
          <w:rFonts w:asciiTheme="minorHAnsi" w:hAnsiTheme="minorHAnsi"/>
          <w:sz w:val="20"/>
          <w:szCs w:val="20"/>
        </w:rPr>
        <w:t>Nishan.Guha@ouh.nhs.uk</w:t>
      </w:r>
    </w:p>
    <w:p w14:paraId="61DF54D7" w14:textId="5349030E" w:rsidR="00BB65F2" w:rsidRDefault="00EF6B1B" w:rsidP="00BB65F2">
      <w:pPr>
        <w:spacing w:after="0"/>
        <w:rPr>
          <w:sz w:val="20"/>
          <w:szCs w:val="20"/>
        </w:rPr>
      </w:pPr>
      <w:r>
        <w:rPr>
          <w:sz w:val="20"/>
          <w:szCs w:val="20"/>
          <w:vertAlign w:val="superscript"/>
        </w:rPr>
        <w:t>4</w:t>
      </w:r>
      <w:r>
        <w:rPr>
          <w:sz w:val="20"/>
          <w:szCs w:val="20"/>
        </w:rPr>
        <w:t xml:space="preserve"> </w:t>
      </w:r>
      <w:r w:rsidRPr="00EF6B1B">
        <w:rPr>
          <w:sz w:val="20"/>
          <w:szCs w:val="20"/>
        </w:rPr>
        <w:t xml:space="preserve">Department of Pharmacy and Forensic Science, Drug Control Centre, King's College London, </w:t>
      </w:r>
      <w:r w:rsidRPr="00EF6B1B">
        <w:rPr>
          <w:rFonts w:ascii="Calibri" w:hAnsi="Calibri"/>
          <w:sz w:val="20"/>
          <w:szCs w:val="20"/>
        </w:rPr>
        <w:t xml:space="preserve">150 Stamford Street, London  SE1 9NH, </w:t>
      </w:r>
      <w:r w:rsidRPr="00EF6B1B">
        <w:rPr>
          <w:sz w:val="20"/>
          <w:szCs w:val="20"/>
        </w:rPr>
        <w:t>UK</w:t>
      </w:r>
      <w:r w:rsidR="00BB65F2">
        <w:rPr>
          <w:sz w:val="20"/>
          <w:szCs w:val="20"/>
        </w:rPr>
        <w:t xml:space="preserve">, e-mail:  </w:t>
      </w:r>
      <w:r w:rsidR="00BB65F2" w:rsidRPr="00BB65F2">
        <w:rPr>
          <w:sz w:val="20"/>
          <w:szCs w:val="20"/>
        </w:rPr>
        <w:t>david.a.cowan@kcl.ac.uk</w:t>
      </w:r>
    </w:p>
    <w:p w14:paraId="621B33DD" w14:textId="38B6B836" w:rsidR="00BB65F2" w:rsidRDefault="00BB65F2" w:rsidP="00BB65F2">
      <w:pPr>
        <w:spacing w:after="0"/>
        <w:rPr>
          <w:sz w:val="20"/>
          <w:szCs w:val="20"/>
        </w:rPr>
      </w:pPr>
      <w:r>
        <w:rPr>
          <w:sz w:val="20"/>
          <w:szCs w:val="20"/>
          <w:vertAlign w:val="superscript"/>
        </w:rPr>
        <w:t>5</w:t>
      </w:r>
      <w:r>
        <w:rPr>
          <w:sz w:val="20"/>
          <w:szCs w:val="20"/>
        </w:rPr>
        <w:t xml:space="preserve"> </w:t>
      </w:r>
      <w:r w:rsidRPr="00EF6B1B">
        <w:rPr>
          <w:sz w:val="20"/>
          <w:szCs w:val="20"/>
        </w:rPr>
        <w:t xml:space="preserve">Department of Pharmacy and Forensic Science, Drug Control Centre, King's College London, </w:t>
      </w:r>
      <w:r w:rsidRPr="00EF6B1B">
        <w:rPr>
          <w:rFonts w:ascii="Calibri" w:hAnsi="Calibri"/>
          <w:sz w:val="20"/>
          <w:szCs w:val="20"/>
        </w:rPr>
        <w:t xml:space="preserve">150 Stamford </w:t>
      </w:r>
      <w:r w:rsidRPr="00BB65F2">
        <w:rPr>
          <w:rFonts w:ascii="Calibri" w:hAnsi="Calibri"/>
          <w:sz w:val="20"/>
          <w:szCs w:val="20"/>
        </w:rPr>
        <w:t>Street</w:t>
      </w:r>
      <w:r w:rsidRPr="00EF6B1B">
        <w:rPr>
          <w:rFonts w:ascii="Calibri" w:hAnsi="Calibri"/>
          <w:sz w:val="20"/>
          <w:szCs w:val="20"/>
        </w:rPr>
        <w:t xml:space="preserve">, London  SE1 9NH, </w:t>
      </w:r>
      <w:r w:rsidRPr="00EF6B1B">
        <w:rPr>
          <w:sz w:val="20"/>
          <w:szCs w:val="20"/>
        </w:rPr>
        <w:t>UK</w:t>
      </w:r>
      <w:r>
        <w:rPr>
          <w:sz w:val="20"/>
          <w:szCs w:val="20"/>
        </w:rPr>
        <w:t xml:space="preserve">, e-mail: </w:t>
      </w:r>
      <w:r w:rsidRPr="00BB65F2">
        <w:rPr>
          <w:sz w:val="20"/>
          <w:szCs w:val="20"/>
        </w:rPr>
        <w:t>christiaan.bartlett@kcl.ac.uk</w:t>
      </w:r>
    </w:p>
    <w:p w14:paraId="6662A838" w14:textId="5214BB0D" w:rsidR="00BB65F2" w:rsidRDefault="00BB65F2" w:rsidP="00BB65F2">
      <w:pPr>
        <w:spacing w:after="0"/>
        <w:rPr>
          <w:sz w:val="20"/>
          <w:szCs w:val="20"/>
        </w:rPr>
      </w:pPr>
      <w:r>
        <w:rPr>
          <w:sz w:val="20"/>
          <w:szCs w:val="20"/>
          <w:vertAlign w:val="superscript"/>
        </w:rPr>
        <w:t xml:space="preserve">6 </w:t>
      </w:r>
      <w:r w:rsidRPr="00EF6B1B">
        <w:rPr>
          <w:sz w:val="20"/>
          <w:szCs w:val="20"/>
        </w:rPr>
        <w:t>Human Development and Health Academic Unit, University of Southampton,  Faculty of Medicine,  Southampton General Hospital, Southampton, SO16 6YD,  UK</w:t>
      </w:r>
      <w:r>
        <w:rPr>
          <w:sz w:val="20"/>
          <w:szCs w:val="20"/>
        </w:rPr>
        <w:t>, e-mail:</w:t>
      </w:r>
      <w:r w:rsidRPr="00EF6B1B">
        <w:t xml:space="preserve"> </w:t>
      </w:r>
      <w:r>
        <w:rPr>
          <w:sz w:val="20"/>
          <w:szCs w:val="20"/>
        </w:rPr>
        <w:t>phsonksen@aol.com</w:t>
      </w:r>
    </w:p>
    <w:p w14:paraId="499C4809" w14:textId="700CAE51" w:rsidR="00BB65F2" w:rsidRPr="00EF6B1B" w:rsidRDefault="00BB65F2" w:rsidP="00BB65F2">
      <w:pPr>
        <w:spacing w:after="0"/>
        <w:rPr>
          <w:sz w:val="20"/>
          <w:szCs w:val="20"/>
        </w:rPr>
      </w:pPr>
      <w:r>
        <w:rPr>
          <w:vertAlign w:val="superscript"/>
        </w:rPr>
        <w:t>7</w:t>
      </w:r>
      <w:r w:rsidRPr="00EF6B1B">
        <w:t xml:space="preserve"> </w:t>
      </w:r>
      <w:r w:rsidRPr="00EF6B1B">
        <w:rPr>
          <w:sz w:val="20"/>
          <w:szCs w:val="20"/>
        </w:rPr>
        <w:t>Human Development and Health Academic Unit, University of Southampton,  Faculty of Medicine,  Southampton General Hospital, Southampton, SO16 6YD,  UK</w:t>
      </w:r>
      <w:r>
        <w:rPr>
          <w:sz w:val="20"/>
          <w:szCs w:val="20"/>
        </w:rPr>
        <w:t>, e-mail:</w:t>
      </w:r>
      <w:r w:rsidRPr="00EF6B1B">
        <w:t xml:space="preserve"> </w:t>
      </w:r>
      <w:r w:rsidRPr="00EF6B1B">
        <w:rPr>
          <w:sz w:val="20"/>
          <w:szCs w:val="20"/>
        </w:rPr>
        <w:t>R.I.G.Holt@soton.ac.uk</w:t>
      </w:r>
    </w:p>
    <w:p w14:paraId="5F5A7A8D" w14:textId="77777777" w:rsidR="00BB65F2" w:rsidRPr="00BB65F2" w:rsidRDefault="00BB65F2" w:rsidP="00BB65F2">
      <w:pPr>
        <w:rPr>
          <w:sz w:val="20"/>
          <w:szCs w:val="20"/>
        </w:rPr>
      </w:pPr>
    </w:p>
    <w:p w14:paraId="60395782" w14:textId="10DCE91F" w:rsidR="00EF6B1B" w:rsidRPr="00EF6B1B" w:rsidRDefault="00EF6B1B" w:rsidP="00EF6B1B">
      <w:pPr>
        <w:pStyle w:val="PlainText"/>
        <w:rPr>
          <w:rFonts w:asciiTheme="minorHAnsi" w:hAnsiTheme="minorHAnsi"/>
          <w:sz w:val="20"/>
          <w:szCs w:val="20"/>
        </w:rPr>
      </w:pPr>
    </w:p>
    <w:p w14:paraId="7E41C1C9" w14:textId="0E939025" w:rsidR="00EF6B1B" w:rsidRPr="00EF6B1B" w:rsidRDefault="00EF6B1B" w:rsidP="00EF6B1B">
      <w:pPr>
        <w:spacing w:after="0"/>
        <w:rPr>
          <w:sz w:val="20"/>
          <w:szCs w:val="20"/>
        </w:rPr>
      </w:pPr>
    </w:p>
    <w:p w14:paraId="45E84393" w14:textId="37EA1EFA" w:rsidR="00EF6B1B" w:rsidRPr="00F760FF" w:rsidRDefault="009B763B" w:rsidP="00EF6B1B">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1779B"/>
    <w:multiLevelType w:val="hybridMultilevel"/>
    <w:tmpl w:val="A7C0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50113"/>
    <w:multiLevelType w:val="hybridMultilevel"/>
    <w:tmpl w:val="34121DA8"/>
    <w:lvl w:ilvl="0" w:tplc="A6BAC3FC">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A96487"/>
    <w:multiLevelType w:val="hybridMultilevel"/>
    <w:tmpl w:val="4F0CF7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D12D62"/>
    <w:multiLevelType w:val="hybridMultilevel"/>
    <w:tmpl w:val="E31A0F70"/>
    <w:lvl w:ilvl="0" w:tplc="0E426AB4">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880625"/>
    <w:multiLevelType w:val="hybridMultilevel"/>
    <w:tmpl w:val="ACE6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Growth Hormone&lt;/item&gt;&lt;/Libraries&gt;&lt;/ENLibraries&gt;"/>
  </w:docVars>
  <w:rsids>
    <w:rsidRoot w:val="00A97717"/>
    <w:rsid w:val="00000436"/>
    <w:rsid w:val="00003A53"/>
    <w:rsid w:val="0002137F"/>
    <w:rsid w:val="00027344"/>
    <w:rsid w:val="00030F87"/>
    <w:rsid w:val="0003143B"/>
    <w:rsid w:val="0003672B"/>
    <w:rsid w:val="00037F2A"/>
    <w:rsid w:val="0004486D"/>
    <w:rsid w:val="000455A7"/>
    <w:rsid w:val="000A1B48"/>
    <w:rsid w:val="000A718A"/>
    <w:rsid w:val="000B3BA5"/>
    <w:rsid w:val="000C4124"/>
    <w:rsid w:val="000E09BD"/>
    <w:rsid w:val="00111C16"/>
    <w:rsid w:val="00147083"/>
    <w:rsid w:val="00172EBE"/>
    <w:rsid w:val="00180609"/>
    <w:rsid w:val="0018492F"/>
    <w:rsid w:val="00191345"/>
    <w:rsid w:val="001A288F"/>
    <w:rsid w:val="001A5258"/>
    <w:rsid w:val="001C6670"/>
    <w:rsid w:val="001F79A1"/>
    <w:rsid w:val="00236BD8"/>
    <w:rsid w:val="002412C4"/>
    <w:rsid w:val="00241393"/>
    <w:rsid w:val="00250B85"/>
    <w:rsid w:val="00280E05"/>
    <w:rsid w:val="002A7343"/>
    <w:rsid w:val="002C1D10"/>
    <w:rsid w:val="002C6282"/>
    <w:rsid w:val="002D7933"/>
    <w:rsid w:val="002E1210"/>
    <w:rsid w:val="002F1541"/>
    <w:rsid w:val="00301D8C"/>
    <w:rsid w:val="0031241E"/>
    <w:rsid w:val="003127F3"/>
    <w:rsid w:val="003269B4"/>
    <w:rsid w:val="00340620"/>
    <w:rsid w:val="0034177C"/>
    <w:rsid w:val="00351B34"/>
    <w:rsid w:val="00355A2C"/>
    <w:rsid w:val="00370EF1"/>
    <w:rsid w:val="00383327"/>
    <w:rsid w:val="00385353"/>
    <w:rsid w:val="003910E0"/>
    <w:rsid w:val="00391A59"/>
    <w:rsid w:val="00393361"/>
    <w:rsid w:val="003A4557"/>
    <w:rsid w:val="003B2F3C"/>
    <w:rsid w:val="003B609F"/>
    <w:rsid w:val="00413115"/>
    <w:rsid w:val="004172A3"/>
    <w:rsid w:val="00436AF2"/>
    <w:rsid w:val="00451036"/>
    <w:rsid w:val="004524DC"/>
    <w:rsid w:val="00476C5E"/>
    <w:rsid w:val="004842BF"/>
    <w:rsid w:val="0049465B"/>
    <w:rsid w:val="004A03CB"/>
    <w:rsid w:val="004A0981"/>
    <w:rsid w:val="004A4EE6"/>
    <w:rsid w:val="004A5669"/>
    <w:rsid w:val="004D44AA"/>
    <w:rsid w:val="004E27DE"/>
    <w:rsid w:val="004E45BC"/>
    <w:rsid w:val="00507D92"/>
    <w:rsid w:val="0052171F"/>
    <w:rsid w:val="005241D7"/>
    <w:rsid w:val="00533662"/>
    <w:rsid w:val="00536723"/>
    <w:rsid w:val="005463CF"/>
    <w:rsid w:val="0055348F"/>
    <w:rsid w:val="0055438C"/>
    <w:rsid w:val="00561DBC"/>
    <w:rsid w:val="00565B20"/>
    <w:rsid w:val="00575789"/>
    <w:rsid w:val="00582D6C"/>
    <w:rsid w:val="005A194F"/>
    <w:rsid w:val="005B504A"/>
    <w:rsid w:val="005B7217"/>
    <w:rsid w:val="005F2A56"/>
    <w:rsid w:val="005F7A9D"/>
    <w:rsid w:val="00602F92"/>
    <w:rsid w:val="00606114"/>
    <w:rsid w:val="006523F2"/>
    <w:rsid w:val="0065497C"/>
    <w:rsid w:val="0067441A"/>
    <w:rsid w:val="006766B5"/>
    <w:rsid w:val="00682367"/>
    <w:rsid w:val="00686021"/>
    <w:rsid w:val="00687623"/>
    <w:rsid w:val="00696E1E"/>
    <w:rsid w:val="006C03A4"/>
    <w:rsid w:val="006D1093"/>
    <w:rsid w:val="006D47D7"/>
    <w:rsid w:val="006D53CC"/>
    <w:rsid w:val="006D5EE9"/>
    <w:rsid w:val="006E0941"/>
    <w:rsid w:val="006E1596"/>
    <w:rsid w:val="006E3EF0"/>
    <w:rsid w:val="006F42D7"/>
    <w:rsid w:val="006F5051"/>
    <w:rsid w:val="00712D7E"/>
    <w:rsid w:val="00731195"/>
    <w:rsid w:val="00731BAD"/>
    <w:rsid w:val="007334F7"/>
    <w:rsid w:val="00736778"/>
    <w:rsid w:val="00745260"/>
    <w:rsid w:val="007477B6"/>
    <w:rsid w:val="0075043C"/>
    <w:rsid w:val="007608D2"/>
    <w:rsid w:val="007707ED"/>
    <w:rsid w:val="00770EF2"/>
    <w:rsid w:val="00773273"/>
    <w:rsid w:val="007732BC"/>
    <w:rsid w:val="007959AE"/>
    <w:rsid w:val="0079713C"/>
    <w:rsid w:val="007A24BA"/>
    <w:rsid w:val="007A605E"/>
    <w:rsid w:val="007B54D7"/>
    <w:rsid w:val="007C16EA"/>
    <w:rsid w:val="007C5BF8"/>
    <w:rsid w:val="007D26BE"/>
    <w:rsid w:val="007D5E6E"/>
    <w:rsid w:val="007E2EDD"/>
    <w:rsid w:val="007E61C9"/>
    <w:rsid w:val="007F3949"/>
    <w:rsid w:val="007F64FE"/>
    <w:rsid w:val="00807E1B"/>
    <w:rsid w:val="00821D1F"/>
    <w:rsid w:val="008372EE"/>
    <w:rsid w:val="00837E2A"/>
    <w:rsid w:val="00846667"/>
    <w:rsid w:val="008558F7"/>
    <w:rsid w:val="00866E6F"/>
    <w:rsid w:val="0086711C"/>
    <w:rsid w:val="00867146"/>
    <w:rsid w:val="008A1783"/>
    <w:rsid w:val="008D1F1F"/>
    <w:rsid w:val="00915814"/>
    <w:rsid w:val="0091634F"/>
    <w:rsid w:val="00931AAB"/>
    <w:rsid w:val="009563CD"/>
    <w:rsid w:val="00973974"/>
    <w:rsid w:val="00975A11"/>
    <w:rsid w:val="009A229B"/>
    <w:rsid w:val="009A3E8F"/>
    <w:rsid w:val="009A5420"/>
    <w:rsid w:val="009B763B"/>
    <w:rsid w:val="00A00EDD"/>
    <w:rsid w:val="00A027B1"/>
    <w:rsid w:val="00A36151"/>
    <w:rsid w:val="00A377E1"/>
    <w:rsid w:val="00A51452"/>
    <w:rsid w:val="00A5342F"/>
    <w:rsid w:val="00A57487"/>
    <w:rsid w:val="00A6624E"/>
    <w:rsid w:val="00A700E9"/>
    <w:rsid w:val="00A92351"/>
    <w:rsid w:val="00A971E7"/>
    <w:rsid w:val="00A97717"/>
    <w:rsid w:val="00AB136B"/>
    <w:rsid w:val="00AD6DEB"/>
    <w:rsid w:val="00AE7EC3"/>
    <w:rsid w:val="00AF18EA"/>
    <w:rsid w:val="00AF34F7"/>
    <w:rsid w:val="00AF4BF2"/>
    <w:rsid w:val="00B07AB4"/>
    <w:rsid w:val="00B10A79"/>
    <w:rsid w:val="00B23A05"/>
    <w:rsid w:val="00B24517"/>
    <w:rsid w:val="00B25288"/>
    <w:rsid w:val="00B36C6E"/>
    <w:rsid w:val="00B43A87"/>
    <w:rsid w:val="00B63DC1"/>
    <w:rsid w:val="00B703A0"/>
    <w:rsid w:val="00B755F9"/>
    <w:rsid w:val="00B7618E"/>
    <w:rsid w:val="00B82169"/>
    <w:rsid w:val="00B966E5"/>
    <w:rsid w:val="00BB47D5"/>
    <w:rsid w:val="00BB65F2"/>
    <w:rsid w:val="00BD48BF"/>
    <w:rsid w:val="00BE3F09"/>
    <w:rsid w:val="00BE4377"/>
    <w:rsid w:val="00BF158A"/>
    <w:rsid w:val="00BF7AC2"/>
    <w:rsid w:val="00C20C32"/>
    <w:rsid w:val="00C35F5F"/>
    <w:rsid w:val="00C37390"/>
    <w:rsid w:val="00CA3925"/>
    <w:rsid w:val="00CA43A7"/>
    <w:rsid w:val="00CA7377"/>
    <w:rsid w:val="00CB38F2"/>
    <w:rsid w:val="00CB773A"/>
    <w:rsid w:val="00CC0C1C"/>
    <w:rsid w:val="00CC19F9"/>
    <w:rsid w:val="00CC662B"/>
    <w:rsid w:val="00CE041B"/>
    <w:rsid w:val="00CF3B37"/>
    <w:rsid w:val="00D00A36"/>
    <w:rsid w:val="00D036C4"/>
    <w:rsid w:val="00D05167"/>
    <w:rsid w:val="00D136E4"/>
    <w:rsid w:val="00D379B8"/>
    <w:rsid w:val="00D558A5"/>
    <w:rsid w:val="00D6647A"/>
    <w:rsid w:val="00D671AC"/>
    <w:rsid w:val="00D7360F"/>
    <w:rsid w:val="00D82A01"/>
    <w:rsid w:val="00D874BA"/>
    <w:rsid w:val="00D90639"/>
    <w:rsid w:val="00D91E26"/>
    <w:rsid w:val="00DA0477"/>
    <w:rsid w:val="00DA14E1"/>
    <w:rsid w:val="00DB03A6"/>
    <w:rsid w:val="00DC3CBA"/>
    <w:rsid w:val="00DD7837"/>
    <w:rsid w:val="00DE1C26"/>
    <w:rsid w:val="00DE2A60"/>
    <w:rsid w:val="00DE5C14"/>
    <w:rsid w:val="00DE6104"/>
    <w:rsid w:val="00DF7339"/>
    <w:rsid w:val="00E102AF"/>
    <w:rsid w:val="00E17AF7"/>
    <w:rsid w:val="00E2766C"/>
    <w:rsid w:val="00E27DF4"/>
    <w:rsid w:val="00E40657"/>
    <w:rsid w:val="00E44B9E"/>
    <w:rsid w:val="00E51225"/>
    <w:rsid w:val="00E5721E"/>
    <w:rsid w:val="00E62F19"/>
    <w:rsid w:val="00E71ED5"/>
    <w:rsid w:val="00E80619"/>
    <w:rsid w:val="00E81BD7"/>
    <w:rsid w:val="00E84518"/>
    <w:rsid w:val="00E94D5B"/>
    <w:rsid w:val="00EA295A"/>
    <w:rsid w:val="00EB2378"/>
    <w:rsid w:val="00EB77D2"/>
    <w:rsid w:val="00EC7AAC"/>
    <w:rsid w:val="00EF068C"/>
    <w:rsid w:val="00EF6B1B"/>
    <w:rsid w:val="00F05BAB"/>
    <w:rsid w:val="00F07B26"/>
    <w:rsid w:val="00F07BB0"/>
    <w:rsid w:val="00F70577"/>
    <w:rsid w:val="00F760FF"/>
    <w:rsid w:val="00F84D2F"/>
    <w:rsid w:val="00F97B50"/>
    <w:rsid w:val="00FA63CD"/>
    <w:rsid w:val="00FA6470"/>
    <w:rsid w:val="00FA6575"/>
    <w:rsid w:val="00FD0D90"/>
    <w:rsid w:val="00FD0DEF"/>
    <w:rsid w:val="00FD3B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1ED5F58"/>
  <w15:docId w15:val="{04AACAE6-6B47-4962-8806-2635EC67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933"/>
  </w:style>
  <w:style w:type="paragraph" w:styleId="Heading1">
    <w:name w:val="heading 1"/>
    <w:basedOn w:val="Normal"/>
    <w:next w:val="Normal"/>
    <w:link w:val="Heading1Char"/>
    <w:uiPriority w:val="9"/>
    <w:qFormat/>
    <w:rsid w:val="00D66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8492F"/>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18492F"/>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377"/>
    <w:rPr>
      <w:color w:val="808080"/>
    </w:rPr>
  </w:style>
  <w:style w:type="table" w:styleId="TableGrid">
    <w:name w:val="Table Grid"/>
    <w:basedOn w:val="TableNormal"/>
    <w:uiPriority w:val="39"/>
    <w:rsid w:val="0075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1C9"/>
  </w:style>
  <w:style w:type="paragraph" w:styleId="Footer">
    <w:name w:val="footer"/>
    <w:basedOn w:val="Normal"/>
    <w:link w:val="FooterChar"/>
    <w:uiPriority w:val="99"/>
    <w:unhideWhenUsed/>
    <w:rsid w:val="007E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1C9"/>
  </w:style>
  <w:style w:type="paragraph" w:styleId="BalloonText">
    <w:name w:val="Balloon Text"/>
    <w:basedOn w:val="Normal"/>
    <w:link w:val="BalloonTextChar"/>
    <w:uiPriority w:val="99"/>
    <w:semiHidden/>
    <w:unhideWhenUsed/>
    <w:rsid w:val="00867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1C"/>
    <w:rPr>
      <w:rFonts w:ascii="Tahoma" w:hAnsi="Tahoma" w:cs="Tahoma"/>
      <w:sz w:val="16"/>
      <w:szCs w:val="16"/>
    </w:rPr>
  </w:style>
  <w:style w:type="character" w:styleId="CommentReference">
    <w:name w:val="annotation reference"/>
    <w:basedOn w:val="DefaultParagraphFont"/>
    <w:uiPriority w:val="99"/>
    <w:semiHidden/>
    <w:unhideWhenUsed/>
    <w:rsid w:val="0034177C"/>
    <w:rPr>
      <w:sz w:val="16"/>
      <w:szCs w:val="16"/>
    </w:rPr>
  </w:style>
  <w:style w:type="paragraph" w:styleId="CommentText">
    <w:name w:val="annotation text"/>
    <w:basedOn w:val="Normal"/>
    <w:link w:val="CommentTextChar"/>
    <w:uiPriority w:val="99"/>
    <w:unhideWhenUsed/>
    <w:rsid w:val="0034177C"/>
    <w:pPr>
      <w:spacing w:line="240" w:lineRule="auto"/>
    </w:pPr>
    <w:rPr>
      <w:sz w:val="20"/>
      <w:szCs w:val="20"/>
    </w:rPr>
  </w:style>
  <w:style w:type="character" w:customStyle="1" w:styleId="CommentTextChar">
    <w:name w:val="Comment Text Char"/>
    <w:basedOn w:val="DefaultParagraphFont"/>
    <w:link w:val="CommentText"/>
    <w:uiPriority w:val="99"/>
    <w:rsid w:val="0034177C"/>
    <w:rPr>
      <w:sz w:val="20"/>
      <w:szCs w:val="20"/>
    </w:rPr>
  </w:style>
  <w:style w:type="paragraph" w:styleId="CommentSubject">
    <w:name w:val="annotation subject"/>
    <w:basedOn w:val="CommentText"/>
    <w:next w:val="CommentText"/>
    <w:link w:val="CommentSubjectChar"/>
    <w:uiPriority w:val="99"/>
    <w:semiHidden/>
    <w:unhideWhenUsed/>
    <w:rsid w:val="0034177C"/>
    <w:rPr>
      <w:b/>
      <w:bCs/>
    </w:rPr>
  </w:style>
  <w:style w:type="character" w:customStyle="1" w:styleId="CommentSubjectChar">
    <w:name w:val="Comment Subject Char"/>
    <w:basedOn w:val="CommentTextChar"/>
    <w:link w:val="CommentSubject"/>
    <w:uiPriority w:val="99"/>
    <w:semiHidden/>
    <w:rsid w:val="0034177C"/>
    <w:rPr>
      <w:b/>
      <w:bCs/>
      <w:sz w:val="20"/>
      <w:szCs w:val="20"/>
    </w:rPr>
  </w:style>
  <w:style w:type="paragraph" w:customStyle="1" w:styleId="ColorfulList-Accent11">
    <w:name w:val="Colorful List - Accent 11"/>
    <w:basedOn w:val="Normal"/>
    <w:uiPriority w:val="99"/>
    <w:rsid w:val="0034177C"/>
    <w:pPr>
      <w:spacing w:after="200" w:line="276" w:lineRule="auto"/>
      <w:ind w:left="720"/>
      <w:jc w:val="both"/>
    </w:pPr>
    <w:rPr>
      <w:rFonts w:ascii="Calibri" w:eastAsia="SimSun" w:hAnsi="Calibri" w:cs="Calibri"/>
      <w:sz w:val="20"/>
      <w:szCs w:val="20"/>
    </w:rPr>
  </w:style>
  <w:style w:type="paragraph" w:customStyle="1" w:styleId="MTDisplayEquation">
    <w:name w:val="MTDisplayEquation"/>
    <w:basedOn w:val="Normal"/>
    <w:next w:val="Normal"/>
    <w:link w:val="MTDisplayEquationChar"/>
    <w:rsid w:val="006D47D7"/>
    <w:pPr>
      <w:tabs>
        <w:tab w:val="center" w:pos="4520"/>
        <w:tab w:val="right" w:pos="9020"/>
      </w:tabs>
      <w:jc w:val="both"/>
      <w:outlineLvl w:val="0"/>
    </w:pPr>
    <w:rPr>
      <w:i/>
      <w:iCs/>
    </w:rPr>
  </w:style>
  <w:style w:type="character" w:customStyle="1" w:styleId="MTDisplayEquationChar">
    <w:name w:val="MTDisplayEquation Char"/>
    <w:basedOn w:val="DefaultParagraphFont"/>
    <w:link w:val="MTDisplayEquation"/>
    <w:rsid w:val="006D47D7"/>
    <w:rPr>
      <w:i/>
      <w:iCs/>
    </w:rPr>
  </w:style>
  <w:style w:type="character" w:customStyle="1" w:styleId="Heading2Char">
    <w:name w:val="Heading 2 Char"/>
    <w:basedOn w:val="DefaultParagraphFont"/>
    <w:link w:val="Heading2"/>
    <w:uiPriority w:val="9"/>
    <w:rsid w:val="0018492F"/>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18492F"/>
    <w:rPr>
      <w:rFonts w:ascii="Times New Roman" w:eastAsia="Times New Roman" w:hAnsi="Times New Roman" w:cs="Times New Roman"/>
      <w:b/>
      <w:bCs/>
      <w:sz w:val="27"/>
      <w:szCs w:val="27"/>
      <w:lang w:eastAsia="zh-CN"/>
    </w:rPr>
  </w:style>
  <w:style w:type="paragraph" w:customStyle="1" w:styleId="simplepara">
    <w:name w:val="simplepara"/>
    <w:basedOn w:val="Normal"/>
    <w:rsid w:val="0018492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tionref">
    <w:name w:val="citationref"/>
    <w:basedOn w:val="DefaultParagraphFont"/>
    <w:rsid w:val="0018492F"/>
  </w:style>
  <w:style w:type="character" w:styleId="Hyperlink">
    <w:name w:val="Hyperlink"/>
    <w:basedOn w:val="DefaultParagraphFont"/>
    <w:uiPriority w:val="99"/>
    <w:unhideWhenUsed/>
    <w:rsid w:val="0018492F"/>
    <w:rPr>
      <w:color w:val="0000FF"/>
      <w:u w:val="single"/>
    </w:rPr>
  </w:style>
  <w:style w:type="character" w:styleId="Strong">
    <w:name w:val="Strong"/>
    <w:basedOn w:val="DefaultParagraphFont"/>
    <w:uiPriority w:val="22"/>
    <w:qFormat/>
    <w:rsid w:val="0018492F"/>
    <w:rPr>
      <w:b/>
      <w:bCs/>
    </w:rPr>
  </w:style>
  <w:style w:type="character" w:customStyle="1" w:styleId="externalref">
    <w:name w:val="externalref"/>
    <w:basedOn w:val="DefaultParagraphFont"/>
    <w:rsid w:val="0018492F"/>
  </w:style>
  <w:style w:type="character" w:customStyle="1" w:styleId="refsource">
    <w:name w:val="refsource"/>
    <w:basedOn w:val="DefaultParagraphFont"/>
    <w:rsid w:val="0018492F"/>
  </w:style>
  <w:style w:type="paragraph" w:styleId="FootnoteText">
    <w:name w:val="footnote text"/>
    <w:basedOn w:val="Normal"/>
    <w:link w:val="FootnoteTextChar"/>
    <w:uiPriority w:val="99"/>
    <w:semiHidden/>
    <w:unhideWhenUsed/>
    <w:rsid w:val="00F76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0FF"/>
    <w:rPr>
      <w:sz w:val="20"/>
      <w:szCs w:val="20"/>
    </w:rPr>
  </w:style>
  <w:style w:type="character" w:styleId="FootnoteReference">
    <w:name w:val="footnote reference"/>
    <w:basedOn w:val="DefaultParagraphFont"/>
    <w:uiPriority w:val="99"/>
    <w:semiHidden/>
    <w:unhideWhenUsed/>
    <w:rsid w:val="00F760FF"/>
    <w:rPr>
      <w:vertAlign w:val="superscript"/>
    </w:rPr>
  </w:style>
  <w:style w:type="character" w:customStyle="1" w:styleId="jrnl">
    <w:name w:val="jrnl"/>
    <w:basedOn w:val="DefaultParagraphFont"/>
    <w:rsid w:val="004A0981"/>
  </w:style>
  <w:style w:type="character" w:customStyle="1" w:styleId="Heading1Char">
    <w:name w:val="Heading 1 Char"/>
    <w:basedOn w:val="DefaultParagraphFont"/>
    <w:link w:val="Heading1"/>
    <w:uiPriority w:val="9"/>
    <w:rsid w:val="00D6647A"/>
    <w:rPr>
      <w:rFonts w:asciiTheme="majorHAnsi" w:eastAsiaTheme="majorEastAsia" w:hAnsiTheme="majorHAnsi" w:cstheme="majorBidi"/>
      <w:color w:val="2E74B5" w:themeColor="accent1" w:themeShade="BF"/>
      <w:sz w:val="32"/>
      <w:szCs w:val="32"/>
    </w:rPr>
  </w:style>
  <w:style w:type="character" w:customStyle="1" w:styleId="highlight2">
    <w:name w:val="highlight2"/>
    <w:basedOn w:val="DefaultParagraphFont"/>
    <w:rsid w:val="00D6647A"/>
  </w:style>
  <w:style w:type="paragraph" w:styleId="Revision">
    <w:name w:val="Revision"/>
    <w:hidden/>
    <w:uiPriority w:val="99"/>
    <w:semiHidden/>
    <w:rsid w:val="0065497C"/>
    <w:pPr>
      <w:spacing w:after="0" w:line="240" w:lineRule="auto"/>
    </w:pPr>
  </w:style>
  <w:style w:type="paragraph" w:styleId="PlainText">
    <w:name w:val="Plain Text"/>
    <w:basedOn w:val="Normal"/>
    <w:link w:val="PlainTextChar"/>
    <w:uiPriority w:val="99"/>
    <w:semiHidden/>
    <w:unhideWhenUsed/>
    <w:rsid w:val="00E5721E"/>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E5721E"/>
    <w:rPr>
      <w:rFonts w:ascii="Calibri" w:eastAsiaTheme="minorEastAsia" w:hAnsi="Calibri"/>
      <w:szCs w:val="21"/>
      <w:lang w:eastAsia="zh-CN"/>
    </w:rPr>
  </w:style>
  <w:style w:type="paragraph" w:styleId="Title">
    <w:name w:val="Title"/>
    <w:link w:val="TitleChar"/>
    <w:rsid w:val="003A4557"/>
    <w:pPr>
      <w:pBdr>
        <w:top w:val="nil"/>
        <w:left w:val="nil"/>
        <w:bottom w:val="nil"/>
        <w:right w:val="nil"/>
        <w:between w:val="nil"/>
        <w:bar w:val="nil"/>
      </w:pBdr>
      <w:spacing w:after="0" w:line="240" w:lineRule="auto"/>
      <w:jc w:val="center"/>
    </w:pPr>
    <w:rPr>
      <w:rFonts w:ascii="Arial Bold" w:eastAsia="Arial Bold" w:hAnsi="Arial Bold" w:cs="Arial Bold"/>
      <w:color w:val="000000"/>
      <w:sz w:val="24"/>
      <w:szCs w:val="24"/>
      <w:u w:color="000000"/>
      <w:bdr w:val="nil"/>
      <w:lang w:val="en-US" w:eastAsia="en-GB"/>
    </w:rPr>
  </w:style>
  <w:style w:type="character" w:customStyle="1" w:styleId="TitleChar">
    <w:name w:val="Title Char"/>
    <w:basedOn w:val="DefaultParagraphFont"/>
    <w:link w:val="Title"/>
    <w:rsid w:val="003A4557"/>
    <w:rPr>
      <w:rFonts w:ascii="Arial Bold" w:eastAsia="Arial Bold" w:hAnsi="Arial Bold" w:cs="Arial Bold"/>
      <w:color w:val="000000"/>
      <w:sz w:val="24"/>
      <w:szCs w:val="24"/>
      <w:u w:color="000000"/>
      <w:bdr w:val="nil"/>
      <w:lang w:val="en-US" w:eastAsia="en-GB"/>
    </w:rPr>
  </w:style>
  <w:style w:type="character" w:customStyle="1" w:styleId="spelle">
    <w:name w:val="spelle"/>
    <w:basedOn w:val="DefaultParagraphFont"/>
    <w:rsid w:val="00837E2A"/>
  </w:style>
  <w:style w:type="character" w:customStyle="1" w:styleId="authorname">
    <w:name w:val="authorname"/>
    <w:basedOn w:val="DefaultParagraphFont"/>
    <w:rsid w:val="00837E2A"/>
  </w:style>
  <w:style w:type="character" w:customStyle="1" w:styleId="grame">
    <w:name w:val="grame"/>
    <w:basedOn w:val="DefaultParagraphFont"/>
    <w:rsid w:val="00837E2A"/>
  </w:style>
  <w:style w:type="character" w:customStyle="1" w:styleId="articlecitationvolume">
    <w:name w:val="articlecitationvolume"/>
    <w:basedOn w:val="DefaultParagraphFont"/>
    <w:rsid w:val="0083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9943">
      <w:bodyDiv w:val="1"/>
      <w:marLeft w:val="0"/>
      <w:marRight w:val="0"/>
      <w:marTop w:val="0"/>
      <w:marBottom w:val="0"/>
      <w:divBdr>
        <w:top w:val="none" w:sz="0" w:space="0" w:color="auto"/>
        <w:left w:val="none" w:sz="0" w:space="0" w:color="auto"/>
        <w:bottom w:val="none" w:sz="0" w:space="0" w:color="auto"/>
        <w:right w:val="none" w:sz="0" w:space="0" w:color="auto"/>
      </w:divBdr>
    </w:div>
    <w:div w:id="951209752">
      <w:bodyDiv w:val="1"/>
      <w:marLeft w:val="0"/>
      <w:marRight w:val="0"/>
      <w:marTop w:val="0"/>
      <w:marBottom w:val="0"/>
      <w:divBdr>
        <w:top w:val="none" w:sz="0" w:space="0" w:color="auto"/>
        <w:left w:val="none" w:sz="0" w:space="0" w:color="auto"/>
        <w:bottom w:val="none" w:sz="0" w:space="0" w:color="auto"/>
        <w:right w:val="none" w:sz="0" w:space="0" w:color="auto"/>
      </w:divBdr>
      <w:divsChild>
        <w:div w:id="1636250478">
          <w:marLeft w:val="0"/>
          <w:marRight w:val="0"/>
          <w:marTop w:val="0"/>
          <w:marBottom w:val="0"/>
          <w:divBdr>
            <w:top w:val="none" w:sz="0" w:space="0" w:color="auto"/>
            <w:left w:val="none" w:sz="0" w:space="0" w:color="auto"/>
            <w:bottom w:val="none" w:sz="0" w:space="0" w:color="auto"/>
            <w:right w:val="none" w:sz="0" w:space="0" w:color="auto"/>
          </w:divBdr>
        </w:div>
        <w:div w:id="521170950">
          <w:marLeft w:val="0"/>
          <w:marRight w:val="0"/>
          <w:marTop w:val="0"/>
          <w:marBottom w:val="0"/>
          <w:divBdr>
            <w:top w:val="none" w:sz="0" w:space="0" w:color="auto"/>
            <w:left w:val="none" w:sz="0" w:space="0" w:color="auto"/>
            <w:bottom w:val="none" w:sz="0" w:space="0" w:color="auto"/>
            <w:right w:val="none" w:sz="0" w:space="0" w:color="auto"/>
          </w:divBdr>
        </w:div>
        <w:div w:id="1362166593">
          <w:marLeft w:val="0"/>
          <w:marRight w:val="0"/>
          <w:marTop w:val="0"/>
          <w:marBottom w:val="0"/>
          <w:divBdr>
            <w:top w:val="none" w:sz="0" w:space="0" w:color="auto"/>
            <w:left w:val="none" w:sz="0" w:space="0" w:color="auto"/>
            <w:bottom w:val="none" w:sz="0" w:space="0" w:color="auto"/>
            <w:right w:val="none" w:sz="0" w:space="0" w:color="auto"/>
          </w:divBdr>
        </w:div>
        <w:div w:id="1343584875">
          <w:marLeft w:val="0"/>
          <w:marRight w:val="0"/>
          <w:marTop w:val="0"/>
          <w:marBottom w:val="0"/>
          <w:divBdr>
            <w:top w:val="none" w:sz="0" w:space="0" w:color="auto"/>
            <w:left w:val="none" w:sz="0" w:space="0" w:color="auto"/>
            <w:bottom w:val="none" w:sz="0" w:space="0" w:color="auto"/>
            <w:right w:val="none" w:sz="0" w:space="0" w:color="auto"/>
          </w:divBdr>
        </w:div>
        <w:div w:id="334263944">
          <w:marLeft w:val="0"/>
          <w:marRight w:val="0"/>
          <w:marTop w:val="0"/>
          <w:marBottom w:val="0"/>
          <w:divBdr>
            <w:top w:val="none" w:sz="0" w:space="0" w:color="auto"/>
            <w:left w:val="none" w:sz="0" w:space="0" w:color="auto"/>
            <w:bottom w:val="none" w:sz="0" w:space="0" w:color="auto"/>
            <w:right w:val="none" w:sz="0" w:space="0" w:color="auto"/>
          </w:divBdr>
        </w:div>
        <w:div w:id="1965305558">
          <w:marLeft w:val="0"/>
          <w:marRight w:val="0"/>
          <w:marTop w:val="0"/>
          <w:marBottom w:val="0"/>
          <w:divBdr>
            <w:top w:val="none" w:sz="0" w:space="0" w:color="auto"/>
            <w:left w:val="none" w:sz="0" w:space="0" w:color="auto"/>
            <w:bottom w:val="none" w:sz="0" w:space="0" w:color="auto"/>
            <w:right w:val="none" w:sz="0" w:space="0" w:color="auto"/>
          </w:divBdr>
        </w:div>
        <w:div w:id="1758748792">
          <w:marLeft w:val="0"/>
          <w:marRight w:val="0"/>
          <w:marTop w:val="0"/>
          <w:marBottom w:val="0"/>
          <w:divBdr>
            <w:top w:val="none" w:sz="0" w:space="0" w:color="auto"/>
            <w:left w:val="none" w:sz="0" w:space="0" w:color="auto"/>
            <w:bottom w:val="none" w:sz="0" w:space="0" w:color="auto"/>
            <w:right w:val="none" w:sz="0" w:space="0" w:color="auto"/>
          </w:divBdr>
        </w:div>
        <w:div w:id="1934164541">
          <w:marLeft w:val="0"/>
          <w:marRight w:val="0"/>
          <w:marTop w:val="0"/>
          <w:marBottom w:val="0"/>
          <w:divBdr>
            <w:top w:val="none" w:sz="0" w:space="0" w:color="auto"/>
            <w:left w:val="none" w:sz="0" w:space="0" w:color="auto"/>
            <w:bottom w:val="none" w:sz="0" w:space="0" w:color="auto"/>
            <w:right w:val="none" w:sz="0" w:space="0" w:color="auto"/>
          </w:divBdr>
        </w:div>
        <w:div w:id="1437822057">
          <w:marLeft w:val="0"/>
          <w:marRight w:val="0"/>
          <w:marTop w:val="0"/>
          <w:marBottom w:val="0"/>
          <w:divBdr>
            <w:top w:val="none" w:sz="0" w:space="0" w:color="auto"/>
            <w:left w:val="none" w:sz="0" w:space="0" w:color="auto"/>
            <w:bottom w:val="none" w:sz="0" w:space="0" w:color="auto"/>
            <w:right w:val="none" w:sz="0" w:space="0" w:color="auto"/>
          </w:divBdr>
        </w:div>
        <w:div w:id="525824638">
          <w:marLeft w:val="0"/>
          <w:marRight w:val="0"/>
          <w:marTop w:val="0"/>
          <w:marBottom w:val="0"/>
          <w:divBdr>
            <w:top w:val="none" w:sz="0" w:space="0" w:color="auto"/>
            <w:left w:val="none" w:sz="0" w:space="0" w:color="auto"/>
            <w:bottom w:val="none" w:sz="0" w:space="0" w:color="auto"/>
            <w:right w:val="none" w:sz="0" w:space="0" w:color="auto"/>
          </w:divBdr>
        </w:div>
        <w:div w:id="1970164547">
          <w:marLeft w:val="0"/>
          <w:marRight w:val="0"/>
          <w:marTop w:val="0"/>
          <w:marBottom w:val="0"/>
          <w:divBdr>
            <w:top w:val="none" w:sz="0" w:space="0" w:color="auto"/>
            <w:left w:val="none" w:sz="0" w:space="0" w:color="auto"/>
            <w:bottom w:val="none" w:sz="0" w:space="0" w:color="auto"/>
            <w:right w:val="none" w:sz="0" w:space="0" w:color="auto"/>
          </w:divBdr>
        </w:div>
        <w:div w:id="1652053494">
          <w:marLeft w:val="0"/>
          <w:marRight w:val="0"/>
          <w:marTop w:val="0"/>
          <w:marBottom w:val="0"/>
          <w:divBdr>
            <w:top w:val="none" w:sz="0" w:space="0" w:color="auto"/>
            <w:left w:val="none" w:sz="0" w:space="0" w:color="auto"/>
            <w:bottom w:val="none" w:sz="0" w:space="0" w:color="auto"/>
            <w:right w:val="none" w:sz="0" w:space="0" w:color="auto"/>
          </w:divBdr>
        </w:div>
        <w:div w:id="1730835767">
          <w:marLeft w:val="0"/>
          <w:marRight w:val="0"/>
          <w:marTop w:val="0"/>
          <w:marBottom w:val="0"/>
          <w:divBdr>
            <w:top w:val="none" w:sz="0" w:space="0" w:color="auto"/>
            <w:left w:val="none" w:sz="0" w:space="0" w:color="auto"/>
            <w:bottom w:val="none" w:sz="0" w:space="0" w:color="auto"/>
            <w:right w:val="none" w:sz="0" w:space="0" w:color="auto"/>
          </w:divBdr>
        </w:div>
        <w:div w:id="1973705629">
          <w:marLeft w:val="0"/>
          <w:marRight w:val="0"/>
          <w:marTop w:val="0"/>
          <w:marBottom w:val="0"/>
          <w:divBdr>
            <w:top w:val="none" w:sz="0" w:space="0" w:color="auto"/>
            <w:left w:val="none" w:sz="0" w:space="0" w:color="auto"/>
            <w:bottom w:val="none" w:sz="0" w:space="0" w:color="auto"/>
            <w:right w:val="none" w:sz="0" w:space="0" w:color="auto"/>
          </w:divBdr>
        </w:div>
        <w:div w:id="1177035453">
          <w:marLeft w:val="0"/>
          <w:marRight w:val="0"/>
          <w:marTop w:val="0"/>
          <w:marBottom w:val="0"/>
          <w:divBdr>
            <w:top w:val="none" w:sz="0" w:space="0" w:color="auto"/>
            <w:left w:val="none" w:sz="0" w:space="0" w:color="auto"/>
            <w:bottom w:val="none" w:sz="0" w:space="0" w:color="auto"/>
            <w:right w:val="none" w:sz="0" w:space="0" w:color="auto"/>
          </w:divBdr>
        </w:div>
        <w:div w:id="960037349">
          <w:marLeft w:val="0"/>
          <w:marRight w:val="0"/>
          <w:marTop w:val="0"/>
          <w:marBottom w:val="0"/>
          <w:divBdr>
            <w:top w:val="none" w:sz="0" w:space="0" w:color="auto"/>
            <w:left w:val="none" w:sz="0" w:space="0" w:color="auto"/>
            <w:bottom w:val="none" w:sz="0" w:space="0" w:color="auto"/>
            <w:right w:val="none" w:sz="0" w:space="0" w:color="auto"/>
          </w:divBdr>
        </w:div>
      </w:divsChild>
    </w:div>
    <w:div w:id="1129662795">
      <w:bodyDiv w:val="1"/>
      <w:marLeft w:val="0"/>
      <w:marRight w:val="0"/>
      <w:marTop w:val="0"/>
      <w:marBottom w:val="0"/>
      <w:divBdr>
        <w:top w:val="none" w:sz="0" w:space="0" w:color="auto"/>
        <w:left w:val="none" w:sz="0" w:space="0" w:color="auto"/>
        <w:bottom w:val="none" w:sz="0" w:space="0" w:color="auto"/>
        <w:right w:val="none" w:sz="0" w:space="0" w:color="auto"/>
      </w:divBdr>
    </w:div>
    <w:div w:id="1153448814">
      <w:bodyDiv w:val="1"/>
      <w:marLeft w:val="0"/>
      <w:marRight w:val="0"/>
      <w:marTop w:val="0"/>
      <w:marBottom w:val="0"/>
      <w:divBdr>
        <w:top w:val="none" w:sz="0" w:space="0" w:color="auto"/>
        <w:left w:val="none" w:sz="0" w:space="0" w:color="auto"/>
        <w:bottom w:val="none" w:sz="0" w:space="0" w:color="auto"/>
        <w:right w:val="none" w:sz="0" w:space="0" w:color="auto"/>
      </w:divBdr>
    </w:div>
    <w:div w:id="1234466415">
      <w:bodyDiv w:val="1"/>
      <w:marLeft w:val="0"/>
      <w:marRight w:val="0"/>
      <w:marTop w:val="0"/>
      <w:marBottom w:val="0"/>
      <w:divBdr>
        <w:top w:val="none" w:sz="0" w:space="0" w:color="auto"/>
        <w:left w:val="none" w:sz="0" w:space="0" w:color="auto"/>
        <w:bottom w:val="none" w:sz="0" w:space="0" w:color="auto"/>
        <w:right w:val="none" w:sz="0" w:space="0" w:color="auto"/>
      </w:divBdr>
      <w:divsChild>
        <w:div w:id="1405688435">
          <w:marLeft w:val="0"/>
          <w:marRight w:val="0"/>
          <w:marTop w:val="0"/>
          <w:marBottom w:val="0"/>
          <w:divBdr>
            <w:top w:val="none" w:sz="0" w:space="0" w:color="auto"/>
            <w:left w:val="none" w:sz="0" w:space="0" w:color="auto"/>
            <w:bottom w:val="none" w:sz="0" w:space="0" w:color="auto"/>
            <w:right w:val="none" w:sz="0" w:space="0" w:color="auto"/>
          </w:divBdr>
          <w:divsChild>
            <w:div w:id="341400252">
              <w:marLeft w:val="0"/>
              <w:marRight w:val="0"/>
              <w:marTop w:val="0"/>
              <w:marBottom w:val="0"/>
              <w:divBdr>
                <w:top w:val="none" w:sz="0" w:space="0" w:color="auto"/>
                <w:left w:val="none" w:sz="0" w:space="0" w:color="auto"/>
                <w:bottom w:val="none" w:sz="0" w:space="0" w:color="auto"/>
                <w:right w:val="none" w:sz="0" w:space="0" w:color="auto"/>
              </w:divBdr>
            </w:div>
            <w:div w:id="18785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7278">
      <w:bodyDiv w:val="1"/>
      <w:marLeft w:val="0"/>
      <w:marRight w:val="0"/>
      <w:marTop w:val="0"/>
      <w:marBottom w:val="0"/>
      <w:divBdr>
        <w:top w:val="none" w:sz="0" w:space="0" w:color="auto"/>
        <w:left w:val="none" w:sz="0" w:space="0" w:color="auto"/>
        <w:bottom w:val="none" w:sz="0" w:space="0" w:color="auto"/>
        <w:right w:val="none" w:sz="0" w:space="0" w:color="auto"/>
      </w:divBdr>
      <w:divsChild>
        <w:div w:id="395399569">
          <w:marLeft w:val="0"/>
          <w:marRight w:val="0"/>
          <w:marTop w:val="0"/>
          <w:marBottom w:val="0"/>
          <w:divBdr>
            <w:top w:val="none" w:sz="0" w:space="0" w:color="auto"/>
            <w:left w:val="none" w:sz="0" w:space="0" w:color="auto"/>
            <w:bottom w:val="none" w:sz="0" w:space="0" w:color="auto"/>
            <w:right w:val="none" w:sz="0" w:space="0" w:color="auto"/>
          </w:divBdr>
        </w:div>
        <w:div w:id="1081294350">
          <w:marLeft w:val="0"/>
          <w:marRight w:val="0"/>
          <w:marTop w:val="0"/>
          <w:marBottom w:val="0"/>
          <w:divBdr>
            <w:top w:val="none" w:sz="0" w:space="0" w:color="auto"/>
            <w:left w:val="none" w:sz="0" w:space="0" w:color="auto"/>
            <w:bottom w:val="none" w:sz="0" w:space="0" w:color="auto"/>
            <w:right w:val="none" w:sz="0" w:space="0" w:color="auto"/>
          </w:divBdr>
        </w:div>
      </w:divsChild>
    </w:div>
    <w:div w:id="1374620621">
      <w:bodyDiv w:val="1"/>
      <w:marLeft w:val="0"/>
      <w:marRight w:val="0"/>
      <w:marTop w:val="0"/>
      <w:marBottom w:val="0"/>
      <w:divBdr>
        <w:top w:val="none" w:sz="0" w:space="0" w:color="auto"/>
        <w:left w:val="none" w:sz="0" w:space="0" w:color="auto"/>
        <w:bottom w:val="none" w:sz="0" w:space="0" w:color="auto"/>
        <w:right w:val="none" w:sz="0" w:space="0" w:color="auto"/>
      </w:divBdr>
    </w:div>
    <w:div w:id="1406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3724837">
          <w:marLeft w:val="0"/>
          <w:marRight w:val="1"/>
          <w:marTop w:val="0"/>
          <w:marBottom w:val="0"/>
          <w:divBdr>
            <w:top w:val="none" w:sz="0" w:space="0" w:color="auto"/>
            <w:left w:val="none" w:sz="0" w:space="0" w:color="auto"/>
            <w:bottom w:val="none" w:sz="0" w:space="0" w:color="auto"/>
            <w:right w:val="none" w:sz="0" w:space="0" w:color="auto"/>
          </w:divBdr>
          <w:divsChild>
            <w:div w:id="1821342301">
              <w:marLeft w:val="0"/>
              <w:marRight w:val="0"/>
              <w:marTop w:val="0"/>
              <w:marBottom w:val="0"/>
              <w:divBdr>
                <w:top w:val="none" w:sz="0" w:space="0" w:color="auto"/>
                <w:left w:val="none" w:sz="0" w:space="0" w:color="auto"/>
                <w:bottom w:val="none" w:sz="0" w:space="0" w:color="auto"/>
                <w:right w:val="none" w:sz="0" w:space="0" w:color="auto"/>
              </w:divBdr>
              <w:divsChild>
                <w:div w:id="982807716">
                  <w:marLeft w:val="0"/>
                  <w:marRight w:val="1"/>
                  <w:marTop w:val="0"/>
                  <w:marBottom w:val="0"/>
                  <w:divBdr>
                    <w:top w:val="none" w:sz="0" w:space="0" w:color="auto"/>
                    <w:left w:val="none" w:sz="0" w:space="0" w:color="auto"/>
                    <w:bottom w:val="none" w:sz="0" w:space="0" w:color="auto"/>
                    <w:right w:val="none" w:sz="0" w:space="0" w:color="auto"/>
                  </w:divBdr>
                  <w:divsChild>
                    <w:div w:id="893808759">
                      <w:marLeft w:val="0"/>
                      <w:marRight w:val="0"/>
                      <w:marTop w:val="0"/>
                      <w:marBottom w:val="0"/>
                      <w:divBdr>
                        <w:top w:val="none" w:sz="0" w:space="0" w:color="auto"/>
                        <w:left w:val="none" w:sz="0" w:space="0" w:color="auto"/>
                        <w:bottom w:val="none" w:sz="0" w:space="0" w:color="auto"/>
                        <w:right w:val="none" w:sz="0" w:space="0" w:color="auto"/>
                      </w:divBdr>
                      <w:divsChild>
                        <w:div w:id="1221018580">
                          <w:marLeft w:val="0"/>
                          <w:marRight w:val="0"/>
                          <w:marTop w:val="0"/>
                          <w:marBottom w:val="0"/>
                          <w:divBdr>
                            <w:top w:val="none" w:sz="0" w:space="0" w:color="auto"/>
                            <w:left w:val="none" w:sz="0" w:space="0" w:color="auto"/>
                            <w:bottom w:val="none" w:sz="0" w:space="0" w:color="auto"/>
                            <w:right w:val="none" w:sz="0" w:space="0" w:color="auto"/>
                          </w:divBdr>
                          <w:divsChild>
                            <w:div w:id="801117854">
                              <w:marLeft w:val="0"/>
                              <w:marRight w:val="0"/>
                              <w:marTop w:val="120"/>
                              <w:marBottom w:val="360"/>
                              <w:divBdr>
                                <w:top w:val="none" w:sz="0" w:space="0" w:color="auto"/>
                                <w:left w:val="none" w:sz="0" w:space="0" w:color="auto"/>
                                <w:bottom w:val="none" w:sz="0" w:space="0" w:color="auto"/>
                                <w:right w:val="none" w:sz="0" w:space="0" w:color="auto"/>
                              </w:divBdr>
                              <w:divsChild>
                                <w:div w:id="1729064237">
                                  <w:marLeft w:val="0"/>
                                  <w:marRight w:val="0"/>
                                  <w:marTop w:val="0"/>
                                  <w:marBottom w:val="0"/>
                                  <w:divBdr>
                                    <w:top w:val="none" w:sz="0" w:space="0" w:color="auto"/>
                                    <w:left w:val="none" w:sz="0" w:space="0" w:color="auto"/>
                                    <w:bottom w:val="none" w:sz="0" w:space="0" w:color="auto"/>
                                    <w:right w:val="none" w:sz="0" w:space="0" w:color="auto"/>
                                  </w:divBdr>
                                </w:div>
                                <w:div w:id="626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931709">
      <w:bodyDiv w:val="1"/>
      <w:marLeft w:val="0"/>
      <w:marRight w:val="0"/>
      <w:marTop w:val="0"/>
      <w:marBottom w:val="0"/>
      <w:divBdr>
        <w:top w:val="none" w:sz="0" w:space="0" w:color="auto"/>
        <w:left w:val="none" w:sz="0" w:space="0" w:color="auto"/>
        <w:bottom w:val="none" w:sz="0" w:space="0" w:color="auto"/>
        <w:right w:val="none" w:sz="0" w:space="0" w:color="auto"/>
      </w:divBdr>
    </w:div>
    <w:div w:id="1746947790">
      <w:bodyDiv w:val="1"/>
      <w:marLeft w:val="0"/>
      <w:marRight w:val="0"/>
      <w:marTop w:val="0"/>
      <w:marBottom w:val="0"/>
      <w:divBdr>
        <w:top w:val="none" w:sz="0" w:space="0" w:color="auto"/>
        <w:left w:val="none" w:sz="0" w:space="0" w:color="auto"/>
        <w:bottom w:val="none" w:sz="0" w:space="0" w:color="auto"/>
        <w:right w:val="none" w:sz="0" w:space="0" w:color="auto"/>
      </w:divBdr>
      <w:divsChild>
        <w:div w:id="101536530">
          <w:marLeft w:val="0"/>
          <w:marRight w:val="1"/>
          <w:marTop w:val="0"/>
          <w:marBottom w:val="0"/>
          <w:divBdr>
            <w:top w:val="none" w:sz="0" w:space="0" w:color="auto"/>
            <w:left w:val="none" w:sz="0" w:space="0" w:color="auto"/>
            <w:bottom w:val="none" w:sz="0" w:space="0" w:color="auto"/>
            <w:right w:val="none" w:sz="0" w:space="0" w:color="auto"/>
          </w:divBdr>
          <w:divsChild>
            <w:div w:id="1065103300">
              <w:marLeft w:val="0"/>
              <w:marRight w:val="0"/>
              <w:marTop w:val="0"/>
              <w:marBottom w:val="0"/>
              <w:divBdr>
                <w:top w:val="none" w:sz="0" w:space="0" w:color="auto"/>
                <w:left w:val="none" w:sz="0" w:space="0" w:color="auto"/>
                <w:bottom w:val="none" w:sz="0" w:space="0" w:color="auto"/>
                <w:right w:val="none" w:sz="0" w:space="0" w:color="auto"/>
              </w:divBdr>
              <w:divsChild>
                <w:div w:id="1019552188">
                  <w:marLeft w:val="0"/>
                  <w:marRight w:val="1"/>
                  <w:marTop w:val="0"/>
                  <w:marBottom w:val="0"/>
                  <w:divBdr>
                    <w:top w:val="none" w:sz="0" w:space="0" w:color="auto"/>
                    <w:left w:val="none" w:sz="0" w:space="0" w:color="auto"/>
                    <w:bottom w:val="none" w:sz="0" w:space="0" w:color="auto"/>
                    <w:right w:val="none" w:sz="0" w:space="0" w:color="auto"/>
                  </w:divBdr>
                  <w:divsChild>
                    <w:div w:id="1279752272">
                      <w:marLeft w:val="0"/>
                      <w:marRight w:val="0"/>
                      <w:marTop w:val="0"/>
                      <w:marBottom w:val="0"/>
                      <w:divBdr>
                        <w:top w:val="none" w:sz="0" w:space="0" w:color="auto"/>
                        <w:left w:val="none" w:sz="0" w:space="0" w:color="auto"/>
                        <w:bottom w:val="none" w:sz="0" w:space="0" w:color="auto"/>
                        <w:right w:val="none" w:sz="0" w:space="0" w:color="auto"/>
                      </w:divBdr>
                      <w:divsChild>
                        <w:div w:id="1944612483">
                          <w:marLeft w:val="0"/>
                          <w:marRight w:val="0"/>
                          <w:marTop w:val="0"/>
                          <w:marBottom w:val="0"/>
                          <w:divBdr>
                            <w:top w:val="none" w:sz="0" w:space="0" w:color="auto"/>
                            <w:left w:val="none" w:sz="0" w:space="0" w:color="auto"/>
                            <w:bottom w:val="none" w:sz="0" w:space="0" w:color="auto"/>
                            <w:right w:val="none" w:sz="0" w:space="0" w:color="auto"/>
                          </w:divBdr>
                          <w:divsChild>
                            <w:div w:id="988174699">
                              <w:marLeft w:val="0"/>
                              <w:marRight w:val="0"/>
                              <w:marTop w:val="120"/>
                              <w:marBottom w:val="360"/>
                              <w:divBdr>
                                <w:top w:val="none" w:sz="0" w:space="0" w:color="auto"/>
                                <w:left w:val="none" w:sz="0" w:space="0" w:color="auto"/>
                                <w:bottom w:val="none" w:sz="0" w:space="0" w:color="auto"/>
                                <w:right w:val="none" w:sz="0" w:space="0" w:color="auto"/>
                              </w:divBdr>
                              <w:divsChild>
                                <w:div w:id="119568398">
                                  <w:marLeft w:val="0"/>
                                  <w:marRight w:val="0"/>
                                  <w:marTop w:val="0"/>
                                  <w:marBottom w:val="0"/>
                                  <w:divBdr>
                                    <w:top w:val="none" w:sz="0" w:space="0" w:color="auto"/>
                                    <w:left w:val="none" w:sz="0" w:space="0" w:color="auto"/>
                                    <w:bottom w:val="none" w:sz="0" w:space="0" w:color="auto"/>
                                    <w:right w:val="none" w:sz="0" w:space="0" w:color="auto"/>
                                  </w:divBdr>
                                </w:div>
                                <w:div w:id="15932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ada-main-prod.s3.amazonaws.com/resources/files/wada-2016-prohibited-list-en.pdf" TargetMode="Externa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1300C-1A5D-4B9E-9E2B-EBC219B2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Walailuck</dc:creator>
  <cp:lastModifiedBy>de Montfalcon S.P.</cp:lastModifiedBy>
  <cp:revision>2</cp:revision>
  <cp:lastPrinted>2016-01-31T16:04:00Z</cp:lastPrinted>
  <dcterms:created xsi:type="dcterms:W3CDTF">2018-08-30T14:17:00Z</dcterms:created>
  <dcterms:modified xsi:type="dcterms:W3CDTF">2018-08-30T14:17:00Z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