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A8708" w14:textId="6A844D01" w:rsidR="004D20DC" w:rsidRPr="008D26F3" w:rsidRDefault="001B63F6" w:rsidP="00273753">
      <w:pPr>
        <w:pStyle w:val="Heading1"/>
      </w:pPr>
      <w:bookmarkStart w:id="0" w:name="_GoBack"/>
      <w:bookmarkEnd w:id="0"/>
      <w:r>
        <w:t>LANTH</w:t>
      </w:r>
      <w:r w:rsidR="00273753">
        <w:t>A</w:t>
      </w:r>
      <w:r>
        <w:t>NIDE-DOPED PHOTONIC CIRCUITS</w:t>
      </w:r>
    </w:p>
    <w:p w14:paraId="04BB046B" w14:textId="5DB6B8EA" w:rsidR="002A37C1" w:rsidRPr="008D26F3" w:rsidRDefault="00073C62" w:rsidP="008D26F3">
      <w:pPr>
        <w:pStyle w:val="Subtitle"/>
      </w:pPr>
      <w:r>
        <w:rPr>
          <w:u w:val="single"/>
        </w:rPr>
        <w:t>James S Wilkinson</w:t>
      </w:r>
    </w:p>
    <w:p w14:paraId="7CCC7D0B" w14:textId="25711F49" w:rsidR="002A37C1" w:rsidRDefault="00073C62" w:rsidP="008D26F3">
      <w:pPr>
        <w:pStyle w:val="Subtitle"/>
      </w:pPr>
      <w:r>
        <w:t>Optoelectronics Research Centre, University of Southampton, Highfield, Southampton, Hampshire, SO17 1BJ, UK</w:t>
      </w:r>
    </w:p>
    <w:p w14:paraId="0141B5D5" w14:textId="2C009EF7" w:rsidR="002A37C1" w:rsidRPr="008D26F3" w:rsidRDefault="00273753" w:rsidP="009F7034">
      <w:pPr>
        <w:jc w:val="both"/>
        <w:rPr>
          <w:rStyle w:val="Emphasis"/>
        </w:rPr>
      </w:pPr>
      <w:r>
        <w:rPr>
          <w:rFonts w:cstheme="minorHAnsi"/>
          <w:sz w:val="20"/>
          <w:lang w:val="en-GB"/>
        </w:rPr>
        <w:t xml:space="preserve">Silicon photonic circuits </w:t>
      </w:r>
      <w:r w:rsidR="00C251B1">
        <w:rPr>
          <w:rFonts w:cstheme="minorHAnsi"/>
          <w:sz w:val="20"/>
          <w:lang w:val="en-GB"/>
        </w:rPr>
        <w:t xml:space="preserve">exploit microelectronic </w:t>
      </w:r>
      <w:r w:rsidR="00C251B1" w:rsidRPr="00C251B1">
        <w:rPr>
          <w:rFonts w:cstheme="minorHAnsi"/>
          <w:sz w:val="20"/>
          <w:lang w:val="en-GB"/>
        </w:rPr>
        <w:t xml:space="preserve">processing technology </w:t>
      </w:r>
      <w:r w:rsidR="009F7034">
        <w:rPr>
          <w:rFonts w:cstheme="minorHAnsi"/>
          <w:sz w:val="20"/>
          <w:lang w:val="en-GB"/>
        </w:rPr>
        <w:t>to enable</w:t>
      </w:r>
      <w:r>
        <w:rPr>
          <w:rFonts w:cstheme="minorHAnsi"/>
          <w:sz w:val="20"/>
          <w:lang w:val="en-GB"/>
        </w:rPr>
        <w:t xml:space="preserve"> </w:t>
      </w:r>
      <w:r w:rsidR="00C251B1" w:rsidRPr="00C251B1">
        <w:rPr>
          <w:rFonts w:cstheme="minorHAnsi"/>
          <w:sz w:val="20"/>
          <w:lang w:val="en-GB"/>
        </w:rPr>
        <w:t>a re</w:t>
      </w:r>
      <w:r w:rsidR="00C251B1">
        <w:rPr>
          <w:rFonts w:cstheme="minorHAnsi"/>
          <w:sz w:val="20"/>
          <w:lang w:val="en-GB"/>
        </w:rPr>
        <w:t xml:space="preserve">volution in mass-manufacture of </w:t>
      </w:r>
      <w:r>
        <w:rPr>
          <w:rFonts w:cstheme="minorHAnsi"/>
          <w:sz w:val="20"/>
          <w:lang w:val="en-GB"/>
        </w:rPr>
        <w:t>photonic</w:t>
      </w:r>
      <w:r w:rsidR="00C251B1" w:rsidRPr="00C251B1">
        <w:rPr>
          <w:rFonts w:cstheme="minorHAnsi"/>
          <w:sz w:val="20"/>
          <w:lang w:val="en-GB"/>
        </w:rPr>
        <w:t xml:space="preserve"> systems</w:t>
      </w:r>
      <w:r w:rsidR="00C251B1">
        <w:rPr>
          <w:rFonts w:cstheme="minorHAnsi"/>
          <w:sz w:val="20"/>
          <w:lang w:val="en-GB"/>
        </w:rPr>
        <w:t xml:space="preserve">, building on the earlier revolution in electronic systems which enabled complex electronic functionality </w:t>
      </w:r>
      <w:r w:rsidR="00C251B1" w:rsidRPr="00C251B1">
        <w:rPr>
          <w:rFonts w:cstheme="minorHAnsi"/>
          <w:sz w:val="20"/>
          <w:lang w:val="en-GB"/>
        </w:rPr>
        <w:t>at low cost</w:t>
      </w:r>
      <w:r w:rsidR="00C251B1">
        <w:rPr>
          <w:rFonts w:cstheme="minorHAnsi"/>
          <w:sz w:val="20"/>
          <w:lang w:val="en-GB"/>
        </w:rPr>
        <w:t xml:space="preserve">. To provide full </w:t>
      </w:r>
      <w:r>
        <w:rPr>
          <w:rFonts w:cstheme="minorHAnsi"/>
          <w:sz w:val="20"/>
          <w:lang w:val="en-GB"/>
        </w:rPr>
        <w:t xml:space="preserve">photonic </w:t>
      </w:r>
      <w:r w:rsidR="00C251B1">
        <w:rPr>
          <w:rFonts w:cstheme="minorHAnsi"/>
          <w:sz w:val="20"/>
          <w:lang w:val="en-GB"/>
        </w:rPr>
        <w:t>functionality, in terms of amplification, switching, filtering, all-optical processing, delay and storage, new</w:t>
      </w:r>
      <w:r w:rsidR="00C251B1" w:rsidRPr="00C251B1">
        <w:rPr>
          <w:rFonts w:cstheme="minorHAnsi"/>
          <w:sz w:val="20"/>
          <w:lang w:val="en-GB"/>
        </w:rPr>
        <w:t xml:space="preserve"> fabrication processes </w:t>
      </w:r>
      <w:r w:rsidR="00C251B1">
        <w:rPr>
          <w:rFonts w:cstheme="minorHAnsi"/>
          <w:sz w:val="20"/>
          <w:lang w:val="en-GB"/>
        </w:rPr>
        <w:t>and new CMOS compatible complementary materials systems must be developed</w:t>
      </w:r>
      <w:r w:rsidR="00C251B1" w:rsidRPr="00C251B1">
        <w:rPr>
          <w:rFonts w:cstheme="minorHAnsi"/>
          <w:sz w:val="20"/>
          <w:lang w:val="en-GB"/>
        </w:rPr>
        <w:t>. Silic</w:t>
      </w:r>
      <w:r w:rsidR="00C251B1">
        <w:rPr>
          <w:rFonts w:cstheme="minorHAnsi"/>
          <w:sz w:val="20"/>
          <w:lang w:val="en-GB"/>
        </w:rPr>
        <w:t>on dioxide</w:t>
      </w:r>
      <w:r w:rsidR="00C251B1" w:rsidRPr="00C251B1">
        <w:rPr>
          <w:rFonts w:cstheme="minorHAnsi"/>
          <w:sz w:val="20"/>
          <w:lang w:val="en-GB"/>
        </w:rPr>
        <w:t xml:space="preserve"> is ideal for many photonic applications but its small nonlinearity, low r</w:t>
      </w:r>
      <w:r w:rsidR="00C251B1">
        <w:rPr>
          <w:rFonts w:cstheme="minorHAnsi"/>
          <w:sz w:val="20"/>
          <w:lang w:val="en-GB"/>
        </w:rPr>
        <w:t xml:space="preserve">efractive index, poor </w:t>
      </w:r>
      <w:r>
        <w:rPr>
          <w:rFonts w:cstheme="minorHAnsi"/>
          <w:sz w:val="20"/>
          <w:lang w:val="en-GB"/>
        </w:rPr>
        <w:t>lantha</w:t>
      </w:r>
      <w:r w:rsidR="00C251B1">
        <w:rPr>
          <w:rFonts w:cstheme="minorHAnsi"/>
          <w:sz w:val="20"/>
          <w:lang w:val="en-GB"/>
        </w:rPr>
        <w:t>nide</w:t>
      </w:r>
      <w:r w:rsidR="00C251B1" w:rsidRPr="00C251B1">
        <w:rPr>
          <w:rFonts w:cstheme="minorHAnsi"/>
          <w:sz w:val="20"/>
          <w:lang w:val="en-GB"/>
        </w:rPr>
        <w:t xml:space="preserve"> solubility and limited IR transmission precludes its application to high-density all-optical circuits or new wavelength windows. Silicon </w:t>
      </w:r>
      <w:r w:rsidR="00C251B1">
        <w:rPr>
          <w:rFonts w:cstheme="minorHAnsi"/>
          <w:sz w:val="20"/>
          <w:lang w:val="en-GB"/>
        </w:rPr>
        <w:t xml:space="preserve">itself </w:t>
      </w:r>
      <w:r w:rsidR="00C251B1" w:rsidRPr="00C251B1">
        <w:rPr>
          <w:rFonts w:cstheme="minorHAnsi"/>
          <w:sz w:val="20"/>
          <w:lang w:val="en-GB"/>
        </w:rPr>
        <w:t xml:space="preserve">has exhibited remarkable performance for compact linear and nonlinear optical devices and while waveguiding in silicon is attractive at wavelengths beyond 1.1μm, the </w:t>
      </w:r>
      <w:r w:rsidR="00C251B1">
        <w:rPr>
          <w:rFonts w:cstheme="minorHAnsi"/>
          <w:sz w:val="20"/>
          <w:lang w:val="en-GB"/>
        </w:rPr>
        <w:t>u</w:t>
      </w:r>
      <w:r w:rsidR="00C251B1" w:rsidRPr="00C251B1">
        <w:rPr>
          <w:rFonts w:cstheme="minorHAnsi"/>
          <w:sz w:val="20"/>
          <w:lang w:val="en-GB"/>
        </w:rPr>
        <w:t>se of Si</w:t>
      </w:r>
      <w:r w:rsidR="00C251B1" w:rsidRPr="00C251B1">
        <w:rPr>
          <w:rFonts w:cstheme="minorHAnsi"/>
          <w:sz w:val="20"/>
          <w:vertAlign w:val="subscript"/>
          <w:lang w:val="en-GB"/>
        </w:rPr>
        <w:t>3</w:t>
      </w:r>
      <w:r w:rsidR="00C251B1" w:rsidRPr="00C251B1">
        <w:rPr>
          <w:rFonts w:cstheme="minorHAnsi"/>
          <w:sz w:val="20"/>
          <w:lang w:val="en-GB"/>
        </w:rPr>
        <w:t>N</w:t>
      </w:r>
      <w:r w:rsidR="00C251B1" w:rsidRPr="00C251B1">
        <w:rPr>
          <w:rFonts w:cstheme="minorHAnsi"/>
          <w:sz w:val="20"/>
          <w:vertAlign w:val="subscript"/>
          <w:lang w:val="en-GB"/>
        </w:rPr>
        <w:t>4</w:t>
      </w:r>
      <w:r w:rsidR="00C251B1" w:rsidRPr="00C251B1">
        <w:rPr>
          <w:rFonts w:cstheme="minorHAnsi"/>
          <w:sz w:val="20"/>
          <w:lang w:val="en-GB"/>
        </w:rPr>
        <w:t xml:space="preserve"> for optical parametric oscillators [</w:t>
      </w:r>
      <w:r w:rsidR="00C251B1">
        <w:rPr>
          <w:rFonts w:cstheme="minorHAnsi"/>
          <w:sz w:val="20"/>
          <w:lang w:val="en-GB"/>
        </w:rPr>
        <w:t>1</w:t>
      </w:r>
      <w:r w:rsidR="00C251B1" w:rsidRPr="00C251B1">
        <w:rPr>
          <w:rFonts w:cstheme="minorHAnsi"/>
          <w:sz w:val="20"/>
          <w:lang w:val="en-GB"/>
        </w:rPr>
        <w:t>] has emphasised that si</w:t>
      </w:r>
      <w:r w:rsidR="00C251B1">
        <w:rPr>
          <w:rFonts w:cstheme="minorHAnsi"/>
          <w:sz w:val="20"/>
          <w:lang w:val="en-GB"/>
        </w:rPr>
        <w:t>licon does not meet every need. More recently, lanthanide-doped Al</w:t>
      </w:r>
      <w:r w:rsidR="00C251B1" w:rsidRPr="00C251B1">
        <w:rPr>
          <w:rFonts w:cstheme="minorHAnsi"/>
          <w:sz w:val="20"/>
          <w:vertAlign w:val="subscript"/>
          <w:lang w:val="en-GB"/>
        </w:rPr>
        <w:t>2</w:t>
      </w:r>
      <w:r w:rsidR="00C251B1">
        <w:rPr>
          <w:rFonts w:cstheme="minorHAnsi"/>
          <w:sz w:val="20"/>
          <w:lang w:val="en-GB"/>
        </w:rPr>
        <w:t>O</w:t>
      </w:r>
      <w:r w:rsidR="00C251B1" w:rsidRPr="00C251B1">
        <w:rPr>
          <w:rFonts w:cstheme="minorHAnsi"/>
          <w:sz w:val="20"/>
          <w:vertAlign w:val="subscript"/>
          <w:lang w:val="en-GB"/>
        </w:rPr>
        <w:t>3</w:t>
      </w:r>
      <w:r w:rsidR="00C251B1">
        <w:rPr>
          <w:rFonts w:cstheme="minorHAnsi"/>
          <w:sz w:val="20"/>
          <w:lang w:val="en-GB"/>
        </w:rPr>
        <w:t xml:space="preserve"> has been combined with </w:t>
      </w:r>
      <w:r w:rsidR="00C251B1" w:rsidRPr="00C251B1">
        <w:rPr>
          <w:rFonts w:cstheme="minorHAnsi"/>
          <w:sz w:val="20"/>
          <w:lang w:val="en-GB"/>
        </w:rPr>
        <w:t>Si</w:t>
      </w:r>
      <w:r w:rsidR="00C251B1" w:rsidRPr="00C251B1">
        <w:rPr>
          <w:rFonts w:cstheme="minorHAnsi"/>
          <w:sz w:val="20"/>
          <w:vertAlign w:val="subscript"/>
          <w:lang w:val="en-GB"/>
        </w:rPr>
        <w:t>3</w:t>
      </w:r>
      <w:r w:rsidR="00C251B1" w:rsidRPr="00C251B1">
        <w:rPr>
          <w:rFonts w:cstheme="minorHAnsi"/>
          <w:sz w:val="20"/>
          <w:lang w:val="en-GB"/>
        </w:rPr>
        <w:t>N</w:t>
      </w:r>
      <w:r w:rsidR="00C251B1" w:rsidRPr="00C251B1">
        <w:rPr>
          <w:rFonts w:cstheme="minorHAnsi"/>
          <w:sz w:val="20"/>
          <w:vertAlign w:val="subscript"/>
          <w:lang w:val="en-GB"/>
        </w:rPr>
        <w:t>4</w:t>
      </w:r>
      <w:r w:rsidR="00C251B1" w:rsidRPr="00C251B1">
        <w:rPr>
          <w:rFonts w:cstheme="minorHAnsi"/>
          <w:sz w:val="20"/>
          <w:lang w:val="en-GB"/>
        </w:rPr>
        <w:t xml:space="preserve"> </w:t>
      </w:r>
      <w:r w:rsidR="00C251B1">
        <w:rPr>
          <w:rFonts w:cstheme="minorHAnsi"/>
          <w:sz w:val="20"/>
          <w:lang w:val="en-GB"/>
        </w:rPr>
        <w:t>waveguides on silicon as an alternative route to providing gain in Si/</w:t>
      </w:r>
      <w:r w:rsidR="00C251B1" w:rsidRPr="00C251B1">
        <w:rPr>
          <w:rFonts w:cstheme="minorHAnsi"/>
          <w:sz w:val="20"/>
          <w:lang w:val="en-GB"/>
        </w:rPr>
        <w:t>Si</w:t>
      </w:r>
      <w:r w:rsidR="00C251B1" w:rsidRPr="00C251B1">
        <w:rPr>
          <w:rFonts w:cstheme="minorHAnsi"/>
          <w:sz w:val="20"/>
          <w:vertAlign w:val="subscript"/>
          <w:lang w:val="en-GB"/>
        </w:rPr>
        <w:t>3</w:t>
      </w:r>
      <w:r w:rsidR="00C251B1" w:rsidRPr="00C251B1">
        <w:rPr>
          <w:rFonts w:cstheme="minorHAnsi"/>
          <w:sz w:val="20"/>
          <w:lang w:val="en-GB"/>
        </w:rPr>
        <w:t>N</w:t>
      </w:r>
      <w:r w:rsidR="00C251B1" w:rsidRPr="00C251B1">
        <w:rPr>
          <w:rFonts w:cstheme="minorHAnsi"/>
          <w:sz w:val="20"/>
          <w:vertAlign w:val="subscript"/>
          <w:lang w:val="en-GB"/>
        </w:rPr>
        <w:t>4</w:t>
      </w:r>
      <w:r w:rsidR="00C251B1" w:rsidRPr="00C251B1">
        <w:rPr>
          <w:rFonts w:cstheme="minorHAnsi"/>
          <w:sz w:val="20"/>
          <w:lang w:val="en-GB"/>
        </w:rPr>
        <w:t xml:space="preserve"> </w:t>
      </w:r>
      <w:r w:rsidR="00C251B1">
        <w:rPr>
          <w:rFonts w:cstheme="minorHAnsi"/>
          <w:sz w:val="20"/>
          <w:lang w:val="en-GB"/>
        </w:rPr>
        <w:t xml:space="preserve">photonic circuits [2]. </w:t>
      </w:r>
      <w:r w:rsidR="00C251B1" w:rsidRPr="00C251B1">
        <w:rPr>
          <w:rFonts w:cstheme="minorHAnsi"/>
          <w:sz w:val="20"/>
          <w:lang w:val="en-GB"/>
        </w:rPr>
        <w:t>Tantalum pentoxide (Ta</w:t>
      </w:r>
      <w:r w:rsidR="00C251B1" w:rsidRPr="009F7034">
        <w:rPr>
          <w:rFonts w:cstheme="minorHAnsi"/>
          <w:sz w:val="20"/>
          <w:vertAlign w:val="subscript"/>
          <w:lang w:val="en-GB"/>
        </w:rPr>
        <w:t>2</w:t>
      </w:r>
      <w:r w:rsidR="00C251B1" w:rsidRPr="00C251B1">
        <w:rPr>
          <w:rFonts w:cstheme="minorHAnsi"/>
          <w:sz w:val="20"/>
          <w:lang w:val="en-GB"/>
        </w:rPr>
        <w:t>O</w:t>
      </w:r>
      <w:r w:rsidR="00C251B1" w:rsidRPr="009F7034">
        <w:rPr>
          <w:rFonts w:cstheme="minorHAnsi"/>
          <w:sz w:val="20"/>
          <w:vertAlign w:val="subscript"/>
          <w:lang w:val="en-GB"/>
        </w:rPr>
        <w:t>5</w:t>
      </w:r>
      <w:r w:rsidR="00C251B1" w:rsidRPr="00C251B1">
        <w:rPr>
          <w:rFonts w:cstheme="minorHAnsi"/>
          <w:sz w:val="20"/>
          <w:lang w:val="en-GB"/>
        </w:rPr>
        <w:t>) is an alternative CMOS-compatible waveguide material and several important properties and functions for high-density photonic circuits have been demonstrated. These include suitability as a host for rare-earth ions</w:t>
      </w:r>
      <w:r w:rsidR="009F7034">
        <w:rPr>
          <w:rFonts w:cstheme="minorHAnsi"/>
          <w:sz w:val="20"/>
          <w:lang w:val="en-GB"/>
        </w:rPr>
        <w:t>,</w:t>
      </w:r>
      <w:r w:rsidR="00C251B1" w:rsidRPr="00C251B1">
        <w:rPr>
          <w:rFonts w:cstheme="minorHAnsi"/>
          <w:sz w:val="20"/>
          <w:lang w:val="en-GB"/>
        </w:rPr>
        <w:t xml:space="preserve"> with amplification and lasing </w:t>
      </w:r>
      <w:r w:rsidR="009F7034">
        <w:rPr>
          <w:rFonts w:cstheme="minorHAnsi"/>
          <w:sz w:val="20"/>
          <w:lang w:val="en-GB"/>
        </w:rPr>
        <w:t xml:space="preserve">demonstrated </w:t>
      </w:r>
      <w:r w:rsidR="00C251B1" w:rsidRPr="00C251B1">
        <w:rPr>
          <w:rFonts w:cstheme="minorHAnsi"/>
          <w:sz w:val="20"/>
          <w:lang w:val="en-GB"/>
        </w:rPr>
        <w:t>at 1.5μm [</w:t>
      </w:r>
      <w:r w:rsidR="006C4CBA">
        <w:rPr>
          <w:rFonts w:cstheme="minorHAnsi"/>
          <w:sz w:val="20"/>
          <w:lang w:val="en-GB"/>
        </w:rPr>
        <w:t>3</w:t>
      </w:r>
      <w:r w:rsidR="00C251B1" w:rsidRPr="00C251B1">
        <w:rPr>
          <w:rFonts w:cstheme="minorHAnsi"/>
          <w:sz w:val="20"/>
          <w:lang w:val="en-GB"/>
        </w:rPr>
        <w:t>]</w:t>
      </w:r>
      <w:r w:rsidR="008032C3">
        <w:rPr>
          <w:rFonts w:cstheme="minorHAnsi"/>
          <w:sz w:val="20"/>
          <w:lang w:val="en-GB"/>
        </w:rPr>
        <w:t xml:space="preserve"> and</w:t>
      </w:r>
      <w:r w:rsidR="006C4CBA">
        <w:rPr>
          <w:rFonts w:cstheme="minorHAnsi"/>
          <w:sz w:val="20"/>
          <w:lang w:val="en-GB"/>
        </w:rPr>
        <w:t xml:space="preserve"> 1.02</w:t>
      </w:r>
      <w:r w:rsidR="006C4CBA" w:rsidRPr="006C4CBA">
        <w:rPr>
          <w:rFonts w:cstheme="minorHAnsi"/>
          <w:sz w:val="20"/>
          <w:lang w:val="en-GB"/>
        </w:rPr>
        <w:t>μm</w:t>
      </w:r>
      <w:r w:rsidR="00C251B1" w:rsidRPr="00C251B1">
        <w:rPr>
          <w:rFonts w:cstheme="minorHAnsi"/>
          <w:sz w:val="20"/>
          <w:lang w:val="en-GB"/>
        </w:rPr>
        <w:t xml:space="preserve"> </w:t>
      </w:r>
      <w:r w:rsidR="008032C3">
        <w:rPr>
          <w:rFonts w:cstheme="minorHAnsi"/>
          <w:sz w:val="20"/>
          <w:lang w:val="en-GB"/>
        </w:rPr>
        <w:t>[4]</w:t>
      </w:r>
      <w:r w:rsidR="009F7034">
        <w:rPr>
          <w:rFonts w:cstheme="minorHAnsi"/>
          <w:sz w:val="20"/>
          <w:lang w:val="en-GB"/>
        </w:rPr>
        <w:t xml:space="preserve"> for example,</w:t>
      </w:r>
      <w:r w:rsidR="008032C3">
        <w:rPr>
          <w:rFonts w:cstheme="minorHAnsi"/>
          <w:sz w:val="20"/>
          <w:lang w:val="en-GB"/>
        </w:rPr>
        <w:t xml:space="preserve"> </w:t>
      </w:r>
      <w:r w:rsidR="00C251B1" w:rsidRPr="00C251B1">
        <w:rPr>
          <w:rFonts w:cstheme="minorHAnsi"/>
          <w:sz w:val="20"/>
          <w:lang w:val="en-GB"/>
        </w:rPr>
        <w:t xml:space="preserve">and third-order nonlinearity </w:t>
      </w:r>
      <w:r w:rsidR="009F7034">
        <w:rPr>
          <w:rFonts w:cstheme="minorHAnsi"/>
          <w:sz w:val="20"/>
          <w:lang w:val="en-GB"/>
        </w:rPr>
        <w:t xml:space="preserve">at least </w:t>
      </w:r>
      <w:r w:rsidR="00C251B1" w:rsidRPr="00C251B1">
        <w:rPr>
          <w:rFonts w:cstheme="minorHAnsi"/>
          <w:sz w:val="20"/>
          <w:lang w:val="en-GB"/>
        </w:rPr>
        <w:t>30 times that of silica</w:t>
      </w:r>
      <w:r w:rsidR="006C4CBA">
        <w:rPr>
          <w:rFonts w:cstheme="minorHAnsi"/>
          <w:sz w:val="20"/>
          <w:lang w:val="en-GB"/>
        </w:rPr>
        <w:t xml:space="preserve"> </w:t>
      </w:r>
      <w:r w:rsidR="00C251B1" w:rsidRPr="00C251B1">
        <w:rPr>
          <w:rFonts w:cstheme="minorHAnsi"/>
          <w:sz w:val="20"/>
          <w:lang w:val="en-GB"/>
        </w:rPr>
        <w:t>[</w:t>
      </w:r>
      <w:r w:rsidR="006C4CBA">
        <w:rPr>
          <w:rFonts w:cstheme="minorHAnsi"/>
          <w:sz w:val="20"/>
          <w:lang w:val="en-GB"/>
        </w:rPr>
        <w:t>5</w:t>
      </w:r>
      <w:r w:rsidR="009F7034">
        <w:rPr>
          <w:rFonts w:cstheme="minorHAnsi"/>
          <w:sz w:val="20"/>
          <w:lang w:val="en-GB"/>
        </w:rPr>
        <w:t>,6</w:t>
      </w:r>
      <w:r w:rsidR="00C251B1" w:rsidRPr="00C251B1">
        <w:rPr>
          <w:rFonts w:cstheme="minorHAnsi"/>
          <w:sz w:val="20"/>
          <w:lang w:val="en-GB"/>
        </w:rPr>
        <w:t>]. Ta</w:t>
      </w:r>
      <w:r w:rsidR="00C251B1" w:rsidRPr="006C4CBA">
        <w:rPr>
          <w:rFonts w:cstheme="minorHAnsi"/>
          <w:sz w:val="20"/>
          <w:vertAlign w:val="subscript"/>
          <w:lang w:val="en-GB"/>
        </w:rPr>
        <w:t>2</w:t>
      </w:r>
      <w:r w:rsidR="00C251B1" w:rsidRPr="00C251B1">
        <w:rPr>
          <w:rFonts w:cstheme="minorHAnsi"/>
          <w:sz w:val="20"/>
          <w:lang w:val="en-GB"/>
        </w:rPr>
        <w:t>O</w:t>
      </w:r>
      <w:r w:rsidR="00C251B1" w:rsidRPr="006C4CBA">
        <w:rPr>
          <w:rFonts w:cstheme="minorHAnsi"/>
          <w:sz w:val="20"/>
          <w:vertAlign w:val="subscript"/>
          <w:lang w:val="en-GB"/>
        </w:rPr>
        <w:t>5</w:t>
      </w:r>
      <w:r w:rsidR="00C251B1" w:rsidRPr="00C251B1">
        <w:rPr>
          <w:rFonts w:cstheme="minorHAnsi"/>
          <w:sz w:val="20"/>
          <w:lang w:val="en-GB"/>
        </w:rPr>
        <w:t xml:space="preserve"> has a large bandgap (4-2 – 5.2 eV) so that, at a conservative estimate, two-photon absorption (TPA) is no</w:t>
      </w:r>
      <w:r w:rsidR="009F7034">
        <w:rPr>
          <w:rFonts w:cstheme="minorHAnsi"/>
          <w:sz w:val="20"/>
          <w:lang w:val="en-GB"/>
        </w:rPr>
        <w:t>t evident for wavelengths longer than</w:t>
      </w:r>
      <w:r w:rsidR="00C251B1" w:rsidRPr="00C251B1">
        <w:rPr>
          <w:rFonts w:cstheme="minorHAnsi"/>
          <w:sz w:val="20"/>
          <w:lang w:val="en-GB"/>
        </w:rPr>
        <w:t xml:space="preserve"> 700nm, while in the case of Si, TPA is signific</w:t>
      </w:r>
      <w:r w:rsidR="006C4CBA">
        <w:rPr>
          <w:rFonts w:cstheme="minorHAnsi"/>
          <w:sz w:val="20"/>
          <w:lang w:val="en-GB"/>
        </w:rPr>
        <w:t>ant at wavelengths below 2.25μm.</w:t>
      </w:r>
      <w:r w:rsidR="00C251B1" w:rsidRPr="00C251B1">
        <w:rPr>
          <w:rFonts w:cstheme="minorHAnsi"/>
          <w:sz w:val="20"/>
          <w:lang w:val="en-GB"/>
        </w:rPr>
        <w:t xml:space="preserve"> The CMOS compatibility of these materials allows combination in a multilayer configuration with silicon photonics to offer </w:t>
      </w:r>
      <w:r w:rsidR="006C4CBA">
        <w:rPr>
          <w:rFonts w:cstheme="minorHAnsi"/>
          <w:sz w:val="20"/>
          <w:lang w:val="en-GB"/>
        </w:rPr>
        <w:t>complementary functionality within</w:t>
      </w:r>
      <w:r w:rsidR="00C251B1" w:rsidRPr="00C251B1">
        <w:rPr>
          <w:rFonts w:cstheme="minorHAnsi"/>
          <w:sz w:val="20"/>
          <w:lang w:val="en-GB"/>
        </w:rPr>
        <w:t xml:space="preserve"> silicon photonic circuits. </w:t>
      </w:r>
      <w:r w:rsidR="009F7034" w:rsidRPr="00C251B1">
        <w:rPr>
          <w:rFonts w:cstheme="minorHAnsi"/>
          <w:sz w:val="20"/>
          <w:lang w:val="en-GB"/>
        </w:rPr>
        <w:t>Ta</w:t>
      </w:r>
      <w:r w:rsidR="009F7034" w:rsidRPr="006C4CBA">
        <w:rPr>
          <w:rFonts w:cstheme="minorHAnsi"/>
          <w:sz w:val="20"/>
          <w:vertAlign w:val="subscript"/>
          <w:lang w:val="en-GB"/>
        </w:rPr>
        <w:t>2</w:t>
      </w:r>
      <w:r w:rsidR="009F7034" w:rsidRPr="00C251B1">
        <w:rPr>
          <w:rFonts w:cstheme="minorHAnsi"/>
          <w:sz w:val="20"/>
          <w:lang w:val="en-GB"/>
        </w:rPr>
        <w:t>O</w:t>
      </w:r>
      <w:r w:rsidR="009F7034" w:rsidRPr="006C4CBA">
        <w:rPr>
          <w:rFonts w:cstheme="minorHAnsi"/>
          <w:sz w:val="20"/>
          <w:vertAlign w:val="subscript"/>
          <w:lang w:val="en-GB"/>
        </w:rPr>
        <w:t>5</w:t>
      </w:r>
      <w:r w:rsidR="009F7034" w:rsidRPr="00C251B1">
        <w:rPr>
          <w:rFonts w:cstheme="minorHAnsi"/>
          <w:sz w:val="20"/>
          <w:lang w:val="en-GB"/>
        </w:rPr>
        <w:t xml:space="preserve"> exhibits good transmission at wavelengths between 350nm and 8μm</w:t>
      </w:r>
      <w:r w:rsidR="009F7034">
        <w:rPr>
          <w:rFonts w:cstheme="minorHAnsi"/>
          <w:sz w:val="20"/>
          <w:lang w:val="en-GB"/>
        </w:rPr>
        <w:t>, opening up the potential for mid-infrared devices</w:t>
      </w:r>
      <w:r w:rsidR="009F7034" w:rsidRPr="00C251B1">
        <w:rPr>
          <w:rFonts w:cstheme="minorHAnsi"/>
          <w:sz w:val="20"/>
          <w:lang w:val="en-GB"/>
        </w:rPr>
        <w:t xml:space="preserve">. </w:t>
      </w:r>
      <w:r w:rsidR="006C4CBA">
        <w:rPr>
          <w:rFonts w:cstheme="minorHAnsi"/>
          <w:sz w:val="20"/>
          <w:lang w:val="en-GB"/>
        </w:rPr>
        <w:t>Progress in lanthanide-doped CMOS compatible photonic circuits will be reviewed and recent results discussed.</w:t>
      </w:r>
    </w:p>
    <w:p w14:paraId="50E96B51" w14:textId="77777777" w:rsidR="002A37C1" w:rsidRPr="00C251B1" w:rsidRDefault="002A37C1" w:rsidP="008D26F3">
      <w:pPr>
        <w:pStyle w:val="Heading2"/>
        <w:rPr>
          <w:lang w:val="fr-FR"/>
        </w:rPr>
      </w:pPr>
      <w:r w:rsidRPr="00C251B1">
        <w:rPr>
          <w:lang w:val="fr-FR"/>
        </w:rPr>
        <w:t>References</w:t>
      </w:r>
    </w:p>
    <w:p w14:paraId="25C6F272" w14:textId="433CBDC0" w:rsidR="002A37C1" w:rsidRPr="00273753" w:rsidRDefault="002A37C1" w:rsidP="006C4CBA">
      <w:pPr>
        <w:pStyle w:val="Subtitle"/>
        <w:spacing w:after="0"/>
        <w:rPr>
          <w:szCs w:val="20"/>
        </w:rPr>
      </w:pPr>
      <w:r w:rsidRPr="006C4CBA">
        <w:rPr>
          <w:szCs w:val="20"/>
        </w:rPr>
        <w:t>1</w:t>
      </w:r>
      <w:r w:rsidR="00C251B1" w:rsidRPr="006C4CBA">
        <w:rPr>
          <w:szCs w:val="20"/>
        </w:rPr>
        <w:t xml:space="preserve"> J.S. Levy et al., </w:t>
      </w:r>
      <w:r w:rsidR="006C4CBA">
        <w:rPr>
          <w:szCs w:val="20"/>
        </w:rPr>
        <w:t>“</w:t>
      </w:r>
      <w:r w:rsidR="006C4CBA" w:rsidRPr="006C4CBA">
        <w:rPr>
          <w:szCs w:val="20"/>
        </w:rPr>
        <w:t>CMOS-compatible multiple-wavelength oscillator for on-chip optical interconnects</w:t>
      </w:r>
      <w:r w:rsidR="006C4CBA">
        <w:rPr>
          <w:szCs w:val="20"/>
        </w:rPr>
        <w:t>”</w:t>
      </w:r>
      <w:r w:rsidR="009F7034">
        <w:rPr>
          <w:szCs w:val="20"/>
        </w:rPr>
        <w:t>,</w:t>
      </w:r>
      <w:r w:rsidR="00273753" w:rsidRPr="006C4CBA">
        <w:rPr>
          <w:szCs w:val="20"/>
        </w:rPr>
        <w:t xml:space="preserve"> </w:t>
      </w:r>
      <w:r w:rsidR="00C251B1" w:rsidRPr="006C4CBA">
        <w:rPr>
          <w:szCs w:val="20"/>
        </w:rPr>
        <w:t xml:space="preserve">Nat. </w:t>
      </w:r>
      <w:r w:rsidR="00C251B1" w:rsidRPr="00273753">
        <w:rPr>
          <w:szCs w:val="20"/>
        </w:rPr>
        <w:t>Photon., 4, 37-40 (2010)</w:t>
      </w:r>
      <w:r w:rsidR="00273753" w:rsidRPr="00273753">
        <w:rPr>
          <w:szCs w:val="20"/>
        </w:rPr>
        <w:t>.</w:t>
      </w:r>
    </w:p>
    <w:p w14:paraId="582EAF27" w14:textId="0C4837BC" w:rsidR="00273753" w:rsidRPr="00273753" w:rsidRDefault="00C251B1" w:rsidP="00273753">
      <w:pPr>
        <w:spacing w:after="0"/>
        <w:rPr>
          <w:sz w:val="20"/>
          <w:szCs w:val="20"/>
          <w:lang w:val="en"/>
        </w:rPr>
      </w:pPr>
      <w:r w:rsidRPr="00273753">
        <w:rPr>
          <w:sz w:val="20"/>
          <w:szCs w:val="20"/>
          <w:lang w:val="en-GB"/>
        </w:rPr>
        <w:t>2</w:t>
      </w:r>
      <w:r w:rsidR="00273753" w:rsidRPr="00273753">
        <w:rPr>
          <w:sz w:val="20"/>
          <w:szCs w:val="20"/>
          <w:lang w:val="en-GB"/>
        </w:rPr>
        <w:t xml:space="preserve"> Purnawirman et al., </w:t>
      </w:r>
      <w:r w:rsidR="00273753">
        <w:rPr>
          <w:sz w:val="20"/>
          <w:szCs w:val="20"/>
          <w:lang w:val="en-GB"/>
        </w:rPr>
        <w:t>“</w:t>
      </w:r>
      <w:r w:rsidR="00273753" w:rsidRPr="00273753">
        <w:rPr>
          <w:sz w:val="20"/>
          <w:szCs w:val="20"/>
          <w:lang w:val="en"/>
        </w:rPr>
        <w:t>Ultra-narrow-linewidth Al</w:t>
      </w:r>
      <w:r w:rsidR="00273753" w:rsidRPr="00273753">
        <w:rPr>
          <w:sz w:val="20"/>
          <w:szCs w:val="20"/>
          <w:vertAlign w:val="subscript"/>
          <w:lang w:val="en"/>
        </w:rPr>
        <w:t>2</w:t>
      </w:r>
      <w:r w:rsidR="00273753" w:rsidRPr="00273753">
        <w:rPr>
          <w:sz w:val="20"/>
          <w:szCs w:val="20"/>
          <w:lang w:val="en"/>
        </w:rPr>
        <w:t>O</w:t>
      </w:r>
      <w:r w:rsidR="00273753" w:rsidRPr="00273753">
        <w:rPr>
          <w:sz w:val="20"/>
          <w:szCs w:val="20"/>
          <w:vertAlign w:val="subscript"/>
          <w:lang w:val="en"/>
        </w:rPr>
        <w:t>3</w:t>
      </w:r>
      <w:r w:rsidR="00273753" w:rsidRPr="00273753">
        <w:rPr>
          <w:sz w:val="20"/>
          <w:szCs w:val="20"/>
          <w:lang w:val="en"/>
        </w:rPr>
        <w:t>:Er</w:t>
      </w:r>
      <w:r w:rsidR="00273753" w:rsidRPr="00273753">
        <w:rPr>
          <w:sz w:val="20"/>
          <w:szCs w:val="20"/>
          <w:vertAlign w:val="superscript"/>
          <w:lang w:val="en"/>
        </w:rPr>
        <w:t>3+</w:t>
      </w:r>
      <w:r w:rsidR="00273753" w:rsidRPr="00273753">
        <w:rPr>
          <w:sz w:val="20"/>
          <w:szCs w:val="20"/>
          <w:lang w:val="en"/>
        </w:rPr>
        <w:t xml:space="preserve"> lasers with a wavelength-insensitive waveguide design on a wafer-scale silicon nitride platform</w:t>
      </w:r>
      <w:r w:rsidR="00273753">
        <w:rPr>
          <w:sz w:val="20"/>
          <w:szCs w:val="20"/>
          <w:lang w:val="en"/>
        </w:rPr>
        <w:t>”</w:t>
      </w:r>
      <w:r w:rsidR="009F7034">
        <w:rPr>
          <w:sz w:val="20"/>
          <w:szCs w:val="20"/>
          <w:lang w:val="en"/>
        </w:rPr>
        <w:t>,</w:t>
      </w:r>
      <w:r w:rsidR="00273753" w:rsidRPr="00273753">
        <w:rPr>
          <w:sz w:val="20"/>
          <w:szCs w:val="20"/>
          <w:lang w:val="en-GB"/>
        </w:rPr>
        <w:t xml:space="preserve"> Opt. Express, </w:t>
      </w:r>
      <w:r w:rsidR="00273753" w:rsidRPr="00273753">
        <w:rPr>
          <w:sz w:val="20"/>
          <w:szCs w:val="20"/>
          <w:lang w:val="en"/>
        </w:rPr>
        <w:t>25</w:t>
      </w:r>
      <w:r w:rsidR="00273753">
        <w:rPr>
          <w:sz w:val="20"/>
          <w:szCs w:val="20"/>
          <w:lang w:val="en"/>
        </w:rPr>
        <w:t xml:space="preserve">, </w:t>
      </w:r>
      <w:r w:rsidR="00273753" w:rsidRPr="00273753">
        <w:rPr>
          <w:sz w:val="20"/>
          <w:szCs w:val="20"/>
          <w:lang w:val="en"/>
        </w:rPr>
        <w:t xml:space="preserve">13705-13713 </w:t>
      </w:r>
      <w:r w:rsidR="00273753">
        <w:rPr>
          <w:sz w:val="20"/>
          <w:szCs w:val="20"/>
          <w:lang w:val="en"/>
        </w:rPr>
        <w:t>(2017).</w:t>
      </w:r>
      <w:r w:rsidR="00273753" w:rsidRPr="00273753">
        <w:rPr>
          <w:sz w:val="20"/>
          <w:szCs w:val="20"/>
          <w:lang w:val="en"/>
        </w:rPr>
        <w:t xml:space="preserve"> </w:t>
      </w:r>
    </w:p>
    <w:p w14:paraId="51D7D32C" w14:textId="498ED7A0" w:rsidR="00C251B1" w:rsidRPr="006C4CBA" w:rsidRDefault="006C4CBA" w:rsidP="00273753">
      <w:pPr>
        <w:spacing w:after="0"/>
        <w:rPr>
          <w:sz w:val="20"/>
          <w:szCs w:val="20"/>
          <w:lang w:val="fr-FR"/>
        </w:rPr>
      </w:pPr>
      <w:r w:rsidRPr="006C4CBA">
        <w:rPr>
          <w:sz w:val="20"/>
          <w:szCs w:val="20"/>
          <w:lang w:val="fr-FR"/>
        </w:rPr>
        <w:t xml:space="preserve">3 </w:t>
      </w:r>
      <w:r w:rsidRPr="006C4CBA">
        <w:rPr>
          <w:rFonts w:cstheme="minorHAnsi"/>
          <w:sz w:val="20"/>
          <w:lang w:val="fr-FR"/>
        </w:rPr>
        <w:t xml:space="preserve">A.Z. Subramanian et al., </w:t>
      </w:r>
      <w:r w:rsidR="008032C3">
        <w:rPr>
          <w:sz w:val="20"/>
          <w:szCs w:val="20"/>
          <w:lang w:val="en-GB"/>
        </w:rPr>
        <w:t>“</w:t>
      </w:r>
      <w:r w:rsidR="008032C3">
        <w:rPr>
          <w:rFonts w:cstheme="minorHAnsi"/>
          <w:sz w:val="20"/>
          <w:lang w:val="fr-FR"/>
        </w:rPr>
        <w:t>Erbium-doped waveguide laser in tantalum p</w:t>
      </w:r>
      <w:r w:rsidR="008032C3" w:rsidRPr="008032C3">
        <w:rPr>
          <w:rFonts w:cstheme="minorHAnsi"/>
          <w:sz w:val="20"/>
          <w:lang w:val="fr-FR"/>
        </w:rPr>
        <w:t>entoxide”</w:t>
      </w:r>
      <w:r w:rsidR="009F7034">
        <w:rPr>
          <w:rFonts w:cstheme="minorHAnsi"/>
          <w:sz w:val="20"/>
          <w:lang w:val="fr-FR"/>
        </w:rPr>
        <w:t>,</w:t>
      </w:r>
      <w:r w:rsidR="008032C3">
        <w:rPr>
          <w:rFonts w:cstheme="minorHAnsi"/>
          <w:sz w:val="20"/>
          <w:lang w:val="fr-FR"/>
        </w:rPr>
        <w:t xml:space="preserve"> </w:t>
      </w:r>
      <w:r w:rsidRPr="006C4CBA">
        <w:rPr>
          <w:rFonts w:cstheme="minorHAnsi"/>
          <w:sz w:val="20"/>
          <w:lang w:val="fr-FR"/>
        </w:rPr>
        <w:t>IEEE Photon. Technol. Lett., 22, 1571-1573 (2010).</w:t>
      </w:r>
    </w:p>
    <w:p w14:paraId="32AC94BD" w14:textId="07F2F509" w:rsidR="008032C3" w:rsidRPr="008032C3" w:rsidRDefault="006C4CBA" w:rsidP="008032C3">
      <w:pPr>
        <w:spacing w:after="0"/>
        <w:rPr>
          <w:sz w:val="20"/>
          <w:szCs w:val="20"/>
          <w:lang w:val="en-GB"/>
        </w:rPr>
      </w:pPr>
      <w:r w:rsidRPr="008032C3">
        <w:rPr>
          <w:sz w:val="20"/>
          <w:szCs w:val="20"/>
          <w:lang w:val="en-GB"/>
        </w:rPr>
        <w:t xml:space="preserve">4 </w:t>
      </w:r>
      <w:r w:rsidR="008032C3" w:rsidRPr="008032C3">
        <w:rPr>
          <w:sz w:val="20"/>
          <w:szCs w:val="20"/>
          <w:lang w:val="en-GB"/>
        </w:rPr>
        <w:t>A. Aghajani et al., “Waveguide lasers in ytterbium-doped tantalum pentoxide on silicon”</w:t>
      </w:r>
      <w:r w:rsidR="009F7034">
        <w:rPr>
          <w:sz w:val="20"/>
          <w:szCs w:val="20"/>
          <w:lang w:val="en-GB"/>
        </w:rPr>
        <w:t>,</w:t>
      </w:r>
      <w:r w:rsidR="008032C3" w:rsidRPr="008032C3">
        <w:rPr>
          <w:sz w:val="20"/>
          <w:szCs w:val="20"/>
          <w:lang w:val="en-GB"/>
        </w:rPr>
        <w:t xml:space="preserve"> Opt. </w:t>
      </w:r>
      <w:r w:rsidR="008032C3">
        <w:rPr>
          <w:sz w:val="20"/>
          <w:szCs w:val="20"/>
          <w:lang w:val="en-GB"/>
        </w:rPr>
        <w:t xml:space="preserve">Lett., </w:t>
      </w:r>
      <w:r w:rsidR="008032C3" w:rsidRPr="008032C3">
        <w:rPr>
          <w:sz w:val="20"/>
          <w:szCs w:val="20"/>
          <w:lang w:val="en-GB"/>
        </w:rPr>
        <w:t>40</w:t>
      </w:r>
      <w:r w:rsidR="008032C3">
        <w:rPr>
          <w:sz w:val="20"/>
          <w:szCs w:val="20"/>
          <w:lang w:val="en-GB"/>
        </w:rPr>
        <w:t xml:space="preserve">, </w:t>
      </w:r>
      <w:r w:rsidR="008032C3" w:rsidRPr="008032C3">
        <w:rPr>
          <w:sz w:val="20"/>
          <w:szCs w:val="20"/>
          <w:lang w:val="en-GB"/>
        </w:rPr>
        <w:t xml:space="preserve">2549-2552 </w:t>
      </w:r>
      <w:r w:rsidR="008032C3">
        <w:rPr>
          <w:sz w:val="20"/>
          <w:szCs w:val="20"/>
          <w:lang w:val="en-GB"/>
        </w:rPr>
        <w:t>(2015).</w:t>
      </w:r>
    </w:p>
    <w:p w14:paraId="385B8525" w14:textId="0EAF20EE" w:rsidR="006C4CBA" w:rsidRDefault="006C4CBA" w:rsidP="002D3BA1">
      <w:pPr>
        <w:spacing w:after="0"/>
        <w:rPr>
          <w:rFonts w:cstheme="minorHAnsi"/>
          <w:sz w:val="20"/>
          <w:lang w:val="en-GB"/>
        </w:rPr>
      </w:pPr>
      <w:r w:rsidRPr="002D3BA1">
        <w:rPr>
          <w:sz w:val="20"/>
          <w:szCs w:val="20"/>
          <w:lang w:val="en-GB"/>
        </w:rPr>
        <w:t xml:space="preserve">5 </w:t>
      </w:r>
      <w:r w:rsidRPr="002D3BA1">
        <w:rPr>
          <w:rFonts w:cstheme="minorHAnsi"/>
          <w:sz w:val="20"/>
          <w:lang w:val="en-GB"/>
        </w:rPr>
        <w:t xml:space="preserve">C.-Y. Tai et al., </w:t>
      </w:r>
      <w:r w:rsidR="002D3BA1" w:rsidRPr="002D3BA1">
        <w:rPr>
          <w:rFonts w:cstheme="minorHAnsi"/>
          <w:sz w:val="20"/>
          <w:lang w:val="en-GB"/>
        </w:rPr>
        <w:t>“Determination of nonlinear refractive index in a Ta</w:t>
      </w:r>
      <w:r w:rsidR="002D3BA1" w:rsidRPr="002D3BA1">
        <w:rPr>
          <w:rFonts w:cstheme="minorHAnsi"/>
          <w:sz w:val="20"/>
          <w:vertAlign w:val="subscript"/>
          <w:lang w:val="en-GB"/>
        </w:rPr>
        <w:t>2</w:t>
      </w:r>
      <w:r w:rsidR="002D3BA1" w:rsidRPr="002D3BA1">
        <w:rPr>
          <w:rFonts w:cstheme="minorHAnsi"/>
          <w:sz w:val="20"/>
          <w:lang w:val="en-GB"/>
        </w:rPr>
        <w:t>O</w:t>
      </w:r>
      <w:r w:rsidR="002D3BA1" w:rsidRPr="002D3BA1">
        <w:rPr>
          <w:rFonts w:cstheme="minorHAnsi"/>
          <w:sz w:val="20"/>
          <w:vertAlign w:val="subscript"/>
          <w:lang w:val="en-GB"/>
        </w:rPr>
        <w:t>5</w:t>
      </w:r>
      <w:r w:rsidR="002D3BA1" w:rsidRPr="002D3BA1">
        <w:rPr>
          <w:rFonts w:cstheme="minorHAnsi"/>
          <w:sz w:val="20"/>
          <w:lang w:val="en-GB"/>
        </w:rPr>
        <w:t xml:space="preserve"> rib waveguide using self-phase modulation”</w:t>
      </w:r>
      <w:r w:rsidR="009F7034">
        <w:rPr>
          <w:rFonts w:cstheme="minorHAnsi"/>
          <w:sz w:val="20"/>
          <w:lang w:val="en-GB"/>
        </w:rPr>
        <w:t>,</w:t>
      </w:r>
      <w:r w:rsidR="002D3BA1" w:rsidRPr="002D3BA1">
        <w:rPr>
          <w:rFonts w:cstheme="minorHAnsi"/>
          <w:sz w:val="20"/>
          <w:lang w:val="en-GB"/>
        </w:rPr>
        <w:t xml:space="preserve"> </w:t>
      </w:r>
      <w:r w:rsidRPr="002D3BA1">
        <w:rPr>
          <w:rFonts w:cstheme="minorHAnsi"/>
          <w:sz w:val="20"/>
          <w:lang w:val="en-GB"/>
        </w:rPr>
        <w:t>Opt. Exp</w:t>
      </w:r>
      <w:r w:rsidR="002D3BA1">
        <w:rPr>
          <w:rFonts w:cstheme="minorHAnsi"/>
          <w:sz w:val="20"/>
          <w:lang w:val="en-GB"/>
        </w:rPr>
        <w:t>ress</w:t>
      </w:r>
      <w:r w:rsidRPr="002D3BA1">
        <w:rPr>
          <w:rFonts w:cstheme="minorHAnsi"/>
          <w:sz w:val="20"/>
          <w:lang w:val="en-GB"/>
        </w:rPr>
        <w:t xml:space="preserve"> 12, 5110-5116 (2004).</w:t>
      </w:r>
    </w:p>
    <w:p w14:paraId="25BF6539" w14:textId="7AFA298D" w:rsidR="00E911AF" w:rsidRPr="00E911AF" w:rsidRDefault="009F7034" w:rsidP="00E911AF">
      <w:pPr>
        <w:spacing w:after="0"/>
        <w:rPr>
          <w:rFonts w:cstheme="minorHAnsi"/>
          <w:sz w:val="20"/>
          <w:lang w:val="en"/>
        </w:rPr>
      </w:pPr>
      <w:r>
        <w:rPr>
          <w:rFonts w:cstheme="minorHAnsi"/>
          <w:sz w:val="20"/>
          <w:lang w:val="en-GB"/>
        </w:rPr>
        <w:t>6 C. Lacava et al., “</w:t>
      </w:r>
      <w:r w:rsidRPr="009F7034">
        <w:rPr>
          <w:rFonts w:cstheme="minorHAnsi"/>
          <w:sz w:val="20"/>
          <w:lang w:val="en-GB"/>
        </w:rPr>
        <w:t>Nonlinear optical properties of ytterbium-doped tantalum pentoxide rib waveguides on silicon at telecom wavelengths</w:t>
      </w:r>
      <w:r w:rsidR="00E911AF">
        <w:rPr>
          <w:rFonts w:cstheme="minorHAnsi"/>
          <w:sz w:val="20"/>
          <w:lang w:val="en-GB"/>
        </w:rPr>
        <w:t xml:space="preserve">”, </w:t>
      </w:r>
      <w:r w:rsidR="00E911AF" w:rsidRPr="00E911AF">
        <w:rPr>
          <w:rFonts w:cstheme="minorHAnsi"/>
          <w:sz w:val="20"/>
          <w:lang w:val="en-GB"/>
        </w:rPr>
        <w:t>O</w:t>
      </w:r>
      <w:r w:rsidR="00E911AF">
        <w:rPr>
          <w:rFonts w:cstheme="minorHAnsi"/>
          <w:sz w:val="20"/>
          <w:lang w:val="en-GB"/>
        </w:rPr>
        <w:t xml:space="preserve">ptical </w:t>
      </w:r>
      <w:r w:rsidR="00E911AF" w:rsidRPr="00E911AF">
        <w:rPr>
          <w:rFonts w:cstheme="minorHAnsi"/>
          <w:sz w:val="20"/>
          <w:lang w:val="en-GB"/>
        </w:rPr>
        <w:t>F</w:t>
      </w:r>
      <w:r w:rsidR="00E911AF">
        <w:rPr>
          <w:rFonts w:cstheme="minorHAnsi"/>
          <w:sz w:val="20"/>
          <w:lang w:val="en-GB"/>
        </w:rPr>
        <w:t>iber</w:t>
      </w:r>
      <w:r w:rsidR="00E911AF" w:rsidRPr="00E911AF">
        <w:rPr>
          <w:rFonts w:cstheme="minorHAnsi"/>
          <w:sz w:val="20"/>
          <w:lang w:val="en-GB"/>
        </w:rPr>
        <w:t xml:space="preserve"> C</w:t>
      </w:r>
      <w:r w:rsidR="00E911AF">
        <w:rPr>
          <w:rFonts w:cstheme="minorHAnsi"/>
          <w:sz w:val="20"/>
          <w:lang w:val="en-GB"/>
        </w:rPr>
        <w:t>ommunications</w:t>
      </w:r>
      <w:r w:rsidR="00E911AF" w:rsidRPr="00E911AF">
        <w:rPr>
          <w:rFonts w:cstheme="minorHAnsi"/>
          <w:sz w:val="20"/>
          <w:lang w:val="en-GB"/>
        </w:rPr>
        <w:t xml:space="preserve"> C</w:t>
      </w:r>
      <w:r w:rsidR="00E911AF">
        <w:rPr>
          <w:rFonts w:cstheme="minorHAnsi"/>
          <w:sz w:val="20"/>
          <w:lang w:val="en-GB"/>
        </w:rPr>
        <w:t>onference</w:t>
      </w:r>
      <w:r w:rsidR="00E911AF" w:rsidRPr="00E911AF">
        <w:rPr>
          <w:rFonts w:cstheme="minorHAnsi"/>
          <w:sz w:val="20"/>
          <w:lang w:val="en-GB"/>
        </w:rPr>
        <w:t xml:space="preserve"> </w:t>
      </w:r>
      <w:r w:rsidR="00E911AF">
        <w:rPr>
          <w:rFonts w:cstheme="minorHAnsi"/>
          <w:sz w:val="20"/>
          <w:lang w:val="en-GB"/>
        </w:rPr>
        <w:t xml:space="preserve">(ECOC), </w:t>
      </w:r>
      <w:r w:rsidR="00E911AF">
        <w:rPr>
          <w:rFonts w:cstheme="minorHAnsi"/>
          <w:sz w:val="20"/>
          <w:lang w:val="en"/>
        </w:rPr>
        <w:t>Anaheim, CA, Mar 20-24, 2016.</w:t>
      </w:r>
    </w:p>
    <w:p w14:paraId="6F8F08F3" w14:textId="006E742A" w:rsidR="009F7034" w:rsidRPr="002D3BA1" w:rsidRDefault="009F7034" w:rsidP="00E911AF">
      <w:pPr>
        <w:spacing w:after="0"/>
        <w:rPr>
          <w:sz w:val="20"/>
          <w:szCs w:val="20"/>
          <w:lang w:val="en-GB"/>
        </w:rPr>
      </w:pPr>
    </w:p>
    <w:sectPr w:rsidR="009F7034" w:rsidRPr="002D3BA1" w:rsidSect="00B827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226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EAAB7" w14:textId="77777777" w:rsidR="00AF6BB7" w:rsidRDefault="00AF6BB7" w:rsidP="002A37C1">
      <w:pPr>
        <w:spacing w:after="0" w:line="240" w:lineRule="auto"/>
      </w:pPr>
      <w:r>
        <w:separator/>
      </w:r>
    </w:p>
  </w:endnote>
  <w:endnote w:type="continuationSeparator" w:id="0">
    <w:p w14:paraId="7BFB9FE9" w14:textId="77777777" w:rsidR="00AF6BB7" w:rsidRDefault="00AF6BB7" w:rsidP="002A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5C332" w14:textId="77777777" w:rsidR="009B7E14" w:rsidRDefault="009B7E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3A56B" w14:textId="77777777" w:rsidR="009B7E14" w:rsidRDefault="009B7E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2E405" w14:textId="77777777" w:rsidR="009B7E14" w:rsidRDefault="009B7E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326B8" w14:textId="77777777" w:rsidR="00AF6BB7" w:rsidRDefault="00AF6BB7" w:rsidP="002A37C1">
      <w:pPr>
        <w:spacing w:after="0" w:line="240" w:lineRule="auto"/>
      </w:pPr>
      <w:r>
        <w:separator/>
      </w:r>
    </w:p>
  </w:footnote>
  <w:footnote w:type="continuationSeparator" w:id="0">
    <w:p w14:paraId="55D96399" w14:textId="77777777" w:rsidR="00AF6BB7" w:rsidRDefault="00AF6BB7" w:rsidP="002A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59F5" w14:textId="77777777" w:rsidR="002A37C1" w:rsidRPr="009E05E5" w:rsidRDefault="002A37C1" w:rsidP="009E05E5">
    <w:pPr>
      <w:pStyle w:val="Header"/>
      <w:jc w:val="center"/>
      <w:rPr>
        <w:rFonts w:asciiTheme="majorHAnsi" w:hAnsiTheme="majorHAnsi" w:cstheme="majorHAnsi"/>
        <w:b/>
        <w:sz w:val="72"/>
        <w:lang w:val="en-US"/>
      </w:rPr>
    </w:pPr>
    <w:r w:rsidRPr="009E05E5">
      <w:rPr>
        <w:rFonts w:asciiTheme="majorHAnsi" w:hAnsiTheme="majorHAnsi" w:cstheme="majorHAnsi"/>
        <w:b/>
        <w:sz w:val="72"/>
        <w:lang w:val="en-US"/>
      </w:rPr>
      <w:t>THIS ABSTRACT IS NOW OVER LENGTH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E652A" w14:textId="7B1F4F7A" w:rsidR="002A37C1" w:rsidRPr="002A37C1" w:rsidRDefault="002A37C1" w:rsidP="002A37C1">
    <w:pPr>
      <w:pStyle w:val="Header"/>
      <w:tabs>
        <w:tab w:val="clear" w:pos="4819"/>
        <w:tab w:val="clear" w:pos="9638"/>
        <w:tab w:val="left" w:pos="0"/>
        <w:tab w:val="center" w:pos="3686"/>
        <w:tab w:val="right" w:pos="737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IC</w:t>
    </w:r>
    <w:r>
      <w:rPr>
        <w:rFonts w:ascii="Times New Roman" w:hAnsi="Times New Roman" w:cs="Times New Roman"/>
        <w:i/>
      </w:rPr>
      <w:t>f</w:t>
    </w:r>
    <w:r>
      <w:rPr>
        <w:rFonts w:ascii="Times New Roman" w:hAnsi="Times New Roman" w:cs="Times New Roman"/>
      </w:rPr>
      <w:t>E 201</w:t>
    </w:r>
    <w:r w:rsidR="00E464BB">
      <w:rPr>
        <w:rFonts w:ascii="Times New Roman" w:hAnsi="Times New Roman" w:cs="Times New Roman"/>
      </w:rPr>
      <w:t>8</w:t>
    </w:r>
    <w:r>
      <w:rPr>
        <w:rFonts w:ascii="Times New Roman" w:hAnsi="Times New Roman" w:cs="Times New Roman"/>
      </w:rPr>
      <w:tab/>
    </w:r>
    <w:r w:rsidR="008D26F3" w:rsidRPr="008D26F3">
      <w:rPr>
        <w:rFonts w:ascii="Times New Roman" w:hAnsi="Times New Roman" w:cs="Times New Roman"/>
      </w:rPr>
      <w:fldChar w:fldCharType="begin"/>
    </w:r>
    <w:r w:rsidR="008D26F3" w:rsidRPr="008D26F3">
      <w:rPr>
        <w:rFonts w:ascii="Times New Roman" w:hAnsi="Times New Roman" w:cs="Times New Roman"/>
      </w:rPr>
      <w:instrText xml:space="preserve"> PAGE   \* MERGEFORMAT </w:instrText>
    </w:r>
    <w:r w:rsidR="008D26F3" w:rsidRPr="008D26F3">
      <w:rPr>
        <w:rFonts w:ascii="Times New Roman" w:hAnsi="Times New Roman" w:cs="Times New Roman"/>
      </w:rPr>
      <w:fldChar w:fldCharType="separate"/>
    </w:r>
    <w:r w:rsidR="003A6925">
      <w:rPr>
        <w:rFonts w:ascii="Times New Roman" w:hAnsi="Times New Roman" w:cs="Times New Roman"/>
        <w:noProof/>
      </w:rPr>
      <w:t>1</w:t>
    </w:r>
    <w:r w:rsidR="008D26F3" w:rsidRPr="008D26F3">
      <w:rPr>
        <w:rFonts w:ascii="Times New Roman" w:hAnsi="Times New Roman" w:cs="Times New Roman"/>
        <w:noProof/>
      </w:rPr>
      <w:fldChar w:fldCharType="end"/>
    </w:r>
    <w:r w:rsidR="008D26F3">
      <w:rPr>
        <w:rFonts w:ascii="Times New Roman" w:hAnsi="Times New Roman" w:cs="Times New Roman"/>
        <w:noProof/>
      </w:rPr>
      <w:tab/>
    </w:r>
    <w:r w:rsidR="00E464BB">
      <w:rPr>
        <w:rFonts w:ascii="Times New Roman" w:hAnsi="Times New Roman" w:cs="Times New Roman"/>
        <w:noProof/>
      </w:rPr>
      <w:t>3-6</w:t>
    </w:r>
    <w:r w:rsidR="009B7E14">
      <w:rPr>
        <w:rFonts w:ascii="Times New Roman" w:hAnsi="Times New Roman" w:cs="Times New Roman"/>
        <w:noProof/>
      </w:rPr>
      <w:t xml:space="preserve"> </w:t>
    </w:r>
    <w:r w:rsidR="00E464BB">
      <w:rPr>
        <w:rFonts w:ascii="Times New Roman" w:hAnsi="Times New Roman" w:cs="Times New Roman"/>
        <w:noProof/>
      </w:rPr>
      <w:t>Sept. EPFL, Lausanne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00541" w14:textId="77777777" w:rsidR="009B7E14" w:rsidRDefault="009B7E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95D"/>
    <w:rsid w:val="00012617"/>
    <w:rsid w:val="000162B5"/>
    <w:rsid w:val="0001792A"/>
    <w:rsid w:val="00033FC7"/>
    <w:rsid w:val="000431F4"/>
    <w:rsid w:val="000547F9"/>
    <w:rsid w:val="00062CD3"/>
    <w:rsid w:val="0006420F"/>
    <w:rsid w:val="00065298"/>
    <w:rsid w:val="000665AB"/>
    <w:rsid w:val="00067CFC"/>
    <w:rsid w:val="00073C62"/>
    <w:rsid w:val="00076DE6"/>
    <w:rsid w:val="00083A43"/>
    <w:rsid w:val="00084E89"/>
    <w:rsid w:val="000873E7"/>
    <w:rsid w:val="000A3BAE"/>
    <w:rsid w:val="000A5150"/>
    <w:rsid w:val="000B573F"/>
    <w:rsid w:val="000B6761"/>
    <w:rsid w:val="000F15E1"/>
    <w:rsid w:val="00110823"/>
    <w:rsid w:val="001376C2"/>
    <w:rsid w:val="00146A71"/>
    <w:rsid w:val="00151316"/>
    <w:rsid w:val="001546E2"/>
    <w:rsid w:val="001670EA"/>
    <w:rsid w:val="001703BF"/>
    <w:rsid w:val="00173406"/>
    <w:rsid w:val="0017414A"/>
    <w:rsid w:val="00182044"/>
    <w:rsid w:val="0018482E"/>
    <w:rsid w:val="00192969"/>
    <w:rsid w:val="00194547"/>
    <w:rsid w:val="001B63F6"/>
    <w:rsid w:val="001B7574"/>
    <w:rsid w:val="001C1C38"/>
    <w:rsid w:val="001C1FDD"/>
    <w:rsid w:val="001C342F"/>
    <w:rsid w:val="002103CF"/>
    <w:rsid w:val="002106B4"/>
    <w:rsid w:val="002169F3"/>
    <w:rsid w:val="00222465"/>
    <w:rsid w:val="002361DB"/>
    <w:rsid w:val="00242F97"/>
    <w:rsid w:val="00244DFC"/>
    <w:rsid w:val="002470A0"/>
    <w:rsid w:val="0025136F"/>
    <w:rsid w:val="00253D8D"/>
    <w:rsid w:val="0026150F"/>
    <w:rsid w:val="00264D00"/>
    <w:rsid w:val="00266DA1"/>
    <w:rsid w:val="00273753"/>
    <w:rsid w:val="0027622A"/>
    <w:rsid w:val="00281E70"/>
    <w:rsid w:val="00295095"/>
    <w:rsid w:val="002A37C1"/>
    <w:rsid w:val="002C0AE0"/>
    <w:rsid w:val="002C3CF5"/>
    <w:rsid w:val="002C65F1"/>
    <w:rsid w:val="002D3BA1"/>
    <w:rsid w:val="002D4DF7"/>
    <w:rsid w:val="00314793"/>
    <w:rsid w:val="00321C2F"/>
    <w:rsid w:val="00324830"/>
    <w:rsid w:val="00331F54"/>
    <w:rsid w:val="003456BA"/>
    <w:rsid w:val="003518A1"/>
    <w:rsid w:val="00353116"/>
    <w:rsid w:val="003664F1"/>
    <w:rsid w:val="00366C12"/>
    <w:rsid w:val="003776D8"/>
    <w:rsid w:val="00381D16"/>
    <w:rsid w:val="00381DCE"/>
    <w:rsid w:val="003879B0"/>
    <w:rsid w:val="00394699"/>
    <w:rsid w:val="00395470"/>
    <w:rsid w:val="003A6925"/>
    <w:rsid w:val="003B4CEE"/>
    <w:rsid w:val="003D57ED"/>
    <w:rsid w:val="003E7948"/>
    <w:rsid w:val="00400642"/>
    <w:rsid w:val="0041510C"/>
    <w:rsid w:val="00422BAA"/>
    <w:rsid w:val="0042597E"/>
    <w:rsid w:val="00437D88"/>
    <w:rsid w:val="00440B66"/>
    <w:rsid w:val="00442F7C"/>
    <w:rsid w:val="00460FA7"/>
    <w:rsid w:val="00470253"/>
    <w:rsid w:val="00486989"/>
    <w:rsid w:val="004876C6"/>
    <w:rsid w:val="0049206E"/>
    <w:rsid w:val="004A105A"/>
    <w:rsid w:val="004A5346"/>
    <w:rsid w:val="004C7278"/>
    <w:rsid w:val="004D20DC"/>
    <w:rsid w:val="004D3325"/>
    <w:rsid w:val="004D64BC"/>
    <w:rsid w:val="004E01A6"/>
    <w:rsid w:val="004E4CEE"/>
    <w:rsid w:val="004F1F74"/>
    <w:rsid w:val="00500216"/>
    <w:rsid w:val="00501335"/>
    <w:rsid w:val="00510084"/>
    <w:rsid w:val="00510485"/>
    <w:rsid w:val="0051686F"/>
    <w:rsid w:val="00522CFD"/>
    <w:rsid w:val="005367E0"/>
    <w:rsid w:val="00565B6B"/>
    <w:rsid w:val="00567FFD"/>
    <w:rsid w:val="005816D2"/>
    <w:rsid w:val="005909CB"/>
    <w:rsid w:val="00591AC6"/>
    <w:rsid w:val="0059262C"/>
    <w:rsid w:val="00597E49"/>
    <w:rsid w:val="005A6AC2"/>
    <w:rsid w:val="005C0C8D"/>
    <w:rsid w:val="005C3AC0"/>
    <w:rsid w:val="005D3389"/>
    <w:rsid w:val="005D3D65"/>
    <w:rsid w:val="005E23B8"/>
    <w:rsid w:val="005F0AD6"/>
    <w:rsid w:val="005F6E4F"/>
    <w:rsid w:val="006046A7"/>
    <w:rsid w:val="006076B4"/>
    <w:rsid w:val="00626DD2"/>
    <w:rsid w:val="00645867"/>
    <w:rsid w:val="00675BC6"/>
    <w:rsid w:val="006A4939"/>
    <w:rsid w:val="006B2B4E"/>
    <w:rsid w:val="006C4CBA"/>
    <w:rsid w:val="006C5589"/>
    <w:rsid w:val="006D0112"/>
    <w:rsid w:val="006D2E21"/>
    <w:rsid w:val="006F47B8"/>
    <w:rsid w:val="006F6CBF"/>
    <w:rsid w:val="00706345"/>
    <w:rsid w:val="007117F5"/>
    <w:rsid w:val="007127C7"/>
    <w:rsid w:val="00712D4F"/>
    <w:rsid w:val="007244C7"/>
    <w:rsid w:val="007258BC"/>
    <w:rsid w:val="00745144"/>
    <w:rsid w:val="00777E15"/>
    <w:rsid w:val="007828EA"/>
    <w:rsid w:val="007A3C56"/>
    <w:rsid w:val="007B2B4E"/>
    <w:rsid w:val="007B2B8A"/>
    <w:rsid w:val="007B784A"/>
    <w:rsid w:val="007C4400"/>
    <w:rsid w:val="007C4E36"/>
    <w:rsid w:val="007D2B1F"/>
    <w:rsid w:val="007D2D0B"/>
    <w:rsid w:val="007D5C70"/>
    <w:rsid w:val="007D6617"/>
    <w:rsid w:val="007E1B15"/>
    <w:rsid w:val="007F4A35"/>
    <w:rsid w:val="007F6B1A"/>
    <w:rsid w:val="008032C3"/>
    <w:rsid w:val="00803306"/>
    <w:rsid w:val="00806F3F"/>
    <w:rsid w:val="00814CAC"/>
    <w:rsid w:val="008500B8"/>
    <w:rsid w:val="00864148"/>
    <w:rsid w:val="00865CE3"/>
    <w:rsid w:val="00872A82"/>
    <w:rsid w:val="00890695"/>
    <w:rsid w:val="008911DC"/>
    <w:rsid w:val="008B395D"/>
    <w:rsid w:val="008C272A"/>
    <w:rsid w:val="008D26F3"/>
    <w:rsid w:val="008E0A76"/>
    <w:rsid w:val="008E39D2"/>
    <w:rsid w:val="008E75A4"/>
    <w:rsid w:val="008F11FF"/>
    <w:rsid w:val="00904F8F"/>
    <w:rsid w:val="0091494F"/>
    <w:rsid w:val="0093222B"/>
    <w:rsid w:val="009326BB"/>
    <w:rsid w:val="00942DAA"/>
    <w:rsid w:val="00950D70"/>
    <w:rsid w:val="0095635D"/>
    <w:rsid w:val="009603B1"/>
    <w:rsid w:val="009706A8"/>
    <w:rsid w:val="009767D5"/>
    <w:rsid w:val="00976C99"/>
    <w:rsid w:val="0098785F"/>
    <w:rsid w:val="009A10D8"/>
    <w:rsid w:val="009A2A2D"/>
    <w:rsid w:val="009B04B3"/>
    <w:rsid w:val="009B3A55"/>
    <w:rsid w:val="009B7E14"/>
    <w:rsid w:val="009C5B6A"/>
    <w:rsid w:val="009E05E5"/>
    <w:rsid w:val="009E08F0"/>
    <w:rsid w:val="009E41C9"/>
    <w:rsid w:val="009F3180"/>
    <w:rsid w:val="009F396C"/>
    <w:rsid w:val="009F7034"/>
    <w:rsid w:val="00A020FC"/>
    <w:rsid w:val="00A12828"/>
    <w:rsid w:val="00A12F7C"/>
    <w:rsid w:val="00A138DE"/>
    <w:rsid w:val="00A34DF3"/>
    <w:rsid w:val="00A44812"/>
    <w:rsid w:val="00A83A9E"/>
    <w:rsid w:val="00AA10C8"/>
    <w:rsid w:val="00AA5283"/>
    <w:rsid w:val="00AA6CF9"/>
    <w:rsid w:val="00AB6454"/>
    <w:rsid w:val="00AC29B7"/>
    <w:rsid w:val="00AC714B"/>
    <w:rsid w:val="00AD3ABF"/>
    <w:rsid w:val="00AE71D2"/>
    <w:rsid w:val="00AF6BB7"/>
    <w:rsid w:val="00AF7638"/>
    <w:rsid w:val="00B007CA"/>
    <w:rsid w:val="00B04B5B"/>
    <w:rsid w:val="00B11841"/>
    <w:rsid w:val="00B25859"/>
    <w:rsid w:val="00B4571D"/>
    <w:rsid w:val="00B563BF"/>
    <w:rsid w:val="00B713A6"/>
    <w:rsid w:val="00B72693"/>
    <w:rsid w:val="00B8270B"/>
    <w:rsid w:val="00BC451A"/>
    <w:rsid w:val="00BD2963"/>
    <w:rsid w:val="00BE76C9"/>
    <w:rsid w:val="00C02FA7"/>
    <w:rsid w:val="00C157E0"/>
    <w:rsid w:val="00C17D0C"/>
    <w:rsid w:val="00C251B1"/>
    <w:rsid w:val="00C347CC"/>
    <w:rsid w:val="00C36094"/>
    <w:rsid w:val="00C57622"/>
    <w:rsid w:val="00C57F96"/>
    <w:rsid w:val="00C6651A"/>
    <w:rsid w:val="00C7380E"/>
    <w:rsid w:val="00C93248"/>
    <w:rsid w:val="00C94311"/>
    <w:rsid w:val="00C95ADE"/>
    <w:rsid w:val="00CA48C4"/>
    <w:rsid w:val="00CB229B"/>
    <w:rsid w:val="00CB280D"/>
    <w:rsid w:val="00CC1CFA"/>
    <w:rsid w:val="00CC2E6B"/>
    <w:rsid w:val="00CE51F3"/>
    <w:rsid w:val="00D0160A"/>
    <w:rsid w:val="00D31622"/>
    <w:rsid w:val="00D354FA"/>
    <w:rsid w:val="00D37629"/>
    <w:rsid w:val="00D41371"/>
    <w:rsid w:val="00D42905"/>
    <w:rsid w:val="00D43B00"/>
    <w:rsid w:val="00D43FA8"/>
    <w:rsid w:val="00D4619D"/>
    <w:rsid w:val="00D46272"/>
    <w:rsid w:val="00D635B5"/>
    <w:rsid w:val="00D67CF2"/>
    <w:rsid w:val="00DA6139"/>
    <w:rsid w:val="00DA7A18"/>
    <w:rsid w:val="00DB3467"/>
    <w:rsid w:val="00DB5AEF"/>
    <w:rsid w:val="00DB613B"/>
    <w:rsid w:val="00DD03F2"/>
    <w:rsid w:val="00DE1CEB"/>
    <w:rsid w:val="00DF426E"/>
    <w:rsid w:val="00E01A8B"/>
    <w:rsid w:val="00E20E0E"/>
    <w:rsid w:val="00E3603E"/>
    <w:rsid w:val="00E3742A"/>
    <w:rsid w:val="00E440D9"/>
    <w:rsid w:val="00E464BB"/>
    <w:rsid w:val="00E5512D"/>
    <w:rsid w:val="00E62408"/>
    <w:rsid w:val="00E911AF"/>
    <w:rsid w:val="00EA78A2"/>
    <w:rsid w:val="00EB7733"/>
    <w:rsid w:val="00EC35E0"/>
    <w:rsid w:val="00EC52BE"/>
    <w:rsid w:val="00ED4C38"/>
    <w:rsid w:val="00F02BB5"/>
    <w:rsid w:val="00F13884"/>
    <w:rsid w:val="00F15629"/>
    <w:rsid w:val="00F35276"/>
    <w:rsid w:val="00F3536C"/>
    <w:rsid w:val="00F5394A"/>
    <w:rsid w:val="00F756AA"/>
    <w:rsid w:val="00FA34FB"/>
    <w:rsid w:val="00FB6E3D"/>
    <w:rsid w:val="00FC6445"/>
    <w:rsid w:val="00FD6F1C"/>
    <w:rsid w:val="00FE4397"/>
    <w:rsid w:val="00FF090A"/>
    <w:rsid w:val="00FF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5E52F"/>
  <w15:docId w15:val="{20092D77-C7B5-4D88-9DD6-D63B9A4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itle"/>
    <w:basedOn w:val="Normal"/>
    <w:next w:val="Normal"/>
    <w:link w:val="Heading1Char"/>
    <w:uiPriority w:val="9"/>
    <w:qFormat/>
    <w:rsid w:val="008D26F3"/>
    <w:pPr>
      <w:jc w:val="center"/>
      <w:outlineLvl w:val="0"/>
    </w:pPr>
    <w:rPr>
      <w:rFonts w:asciiTheme="majorHAnsi" w:hAnsiTheme="majorHAnsi" w:cstheme="majorHAnsi"/>
      <w:sz w:val="32"/>
      <w:lang w:val="en-GB"/>
    </w:rPr>
  </w:style>
  <w:style w:type="paragraph" w:styleId="Heading2">
    <w:name w:val="heading 2"/>
    <w:aliases w:val="refrence title"/>
    <w:basedOn w:val="Normal"/>
    <w:next w:val="Normal"/>
    <w:link w:val="Heading2Char"/>
    <w:uiPriority w:val="9"/>
    <w:unhideWhenUsed/>
    <w:qFormat/>
    <w:rsid w:val="008D26F3"/>
    <w:pPr>
      <w:outlineLvl w:val="1"/>
    </w:pPr>
    <w:rPr>
      <w:rFonts w:asciiTheme="majorHAnsi" w:hAnsiTheme="majorHAnsi" w:cstheme="majorHAnsi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7C1"/>
  </w:style>
  <w:style w:type="paragraph" w:styleId="Footer">
    <w:name w:val="footer"/>
    <w:basedOn w:val="Normal"/>
    <w:link w:val="FooterChar"/>
    <w:uiPriority w:val="99"/>
    <w:unhideWhenUsed/>
    <w:rsid w:val="002A3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7C1"/>
  </w:style>
  <w:style w:type="paragraph" w:styleId="BalloonText">
    <w:name w:val="Balloon Text"/>
    <w:basedOn w:val="Normal"/>
    <w:link w:val="BalloonTextChar"/>
    <w:uiPriority w:val="99"/>
    <w:semiHidden/>
    <w:unhideWhenUsed/>
    <w:rsid w:val="008D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6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8D26F3"/>
    <w:rPr>
      <w:rFonts w:asciiTheme="majorHAnsi" w:hAnsiTheme="majorHAnsi" w:cstheme="majorHAnsi"/>
      <w:sz w:val="32"/>
      <w:lang w:val="en-GB"/>
    </w:rPr>
  </w:style>
  <w:style w:type="paragraph" w:styleId="Subtitle">
    <w:name w:val="Subtitle"/>
    <w:aliases w:val="authors and address"/>
    <w:basedOn w:val="Normal"/>
    <w:next w:val="Normal"/>
    <w:link w:val="SubtitleChar"/>
    <w:uiPriority w:val="11"/>
    <w:qFormat/>
    <w:rsid w:val="008D26F3"/>
    <w:rPr>
      <w:rFonts w:cstheme="minorHAnsi"/>
      <w:sz w:val="20"/>
      <w:lang w:val="en-GB"/>
    </w:rPr>
  </w:style>
  <w:style w:type="character" w:customStyle="1" w:styleId="SubtitleChar">
    <w:name w:val="Subtitle Char"/>
    <w:aliases w:val="authors and address Char"/>
    <w:basedOn w:val="DefaultParagraphFont"/>
    <w:link w:val="Subtitle"/>
    <w:uiPriority w:val="11"/>
    <w:rsid w:val="008D26F3"/>
    <w:rPr>
      <w:rFonts w:cstheme="minorHAnsi"/>
      <w:sz w:val="20"/>
      <w:lang w:val="en-GB"/>
    </w:rPr>
  </w:style>
  <w:style w:type="character" w:styleId="SubtleEmphasis">
    <w:name w:val="Subtle Emphasis"/>
    <w:aliases w:val="figure"/>
    <w:uiPriority w:val="19"/>
    <w:qFormat/>
    <w:rsid w:val="008D26F3"/>
    <w:rPr>
      <w:rFonts w:cstheme="minorHAnsi"/>
      <w:noProof/>
      <w:sz w:val="20"/>
      <w:lang w:val="en-GB" w:eastAsia="en-GB"/>
    </w:rPr>
  </w:style>
  <w:style w:type="character" w:styleId="Emphasis">
    <w:name w:val="Emphasis"/>
    <w:aliases w:val="figure text"/>
    <w:uiPriority w:val="20"/>
    <w:qFormat/>
    <w:rsid w:val="008D26F3"/>
    <w:rPr>
      <w:rFonts w:cstheme="minorHAnsi"/>
      <w:sz w:val="18"/>
      <w:lang w:val="en-GB"/>
    </w:rPr>
  </w:style>
  <w:style w:type="character" w:customStyle="1" w:styleId="Heading2Char">
    <w:name w:val="Heading 2 Char"/>
    <w:aliases w:val="refrence title Char"/>
    <w:basedOn w:val="DefaultParagraphFont"/>
    <w:link w:val="Heading2"/>
    <w:uiPriority w:val="9"/>
    <w:rsid w:val="008D26F3"/>
    <w:rPr>
      <w:rFonts w:asciiTheme="majorHAnsi" w:hAnsiTheme="majorHAnsi" w:cstheme="majorHAnsi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13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1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8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37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12785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4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7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D3D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87021">
                                      <w:marLeft w:val="330"/>
                                      <w:marRight w:val="33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Just Sørensen</dc:creator>
  <cp:lastModifiedBy>Windows User</cp:lastModifiedBy>
  <cp:revision>2</cp:revision>
  <cp:lastPrinted>2018-05-31T15:47:00Z</cp:lastPrinted>
  <dcterms:created xsi:type="dcterms:W3CDTF">2018-09-12T15:09:00Z</dcterms:created>
  <dcterms:modified xsi:type="dcterms:W3CDTF">2018-09-12T15:09:00Z</dcterms:modified>
</cp:coreProperties>
</file>