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52BCC" w14:textId="05F613B7" w:rsidR="00BB1606" w:rsidRPr="0063717D" w:rsidRDefault="00191BBF" w:rsidP="00F70214">
      <w:pPr>
        <w:spacing w:before="100" w:beforeAutospacing="1" w:after="100" w:afterAutospacing="1"/>
        <w:jc w:val="center"/>
        <w:textAlignment w:val="top"/>
        <w:rPr>
          <w:rFonts w:ascii="Arial" w:hAnsi="Arial" w:cs="Arial"/>
          <w:b/>
          <w:color w:val="000000" w:themeColor="text1"/>
          <w:lang w:eastAsia="en-GB"/>
        </w:rPr>
      </w:pPr>
      <w:r>
        <w:rPr>
          <w:rFonts w:ascii="Arial" w:hAnsi="Arial" w:cs="Arial"/>
          <w:b/>
          <w:color w:val="000000" w:themeColor="text1"/>
          <w:lang w:eastAsia="en-GB"/>
        </w:rPr>
        <w:t>Providing m</w:t>
      </w:r>
      <w:r w:rsidR="00BB1606" w:rsidRPr="0063717D">
        <w:rPr>
          <w:rFonts w:ascii="Arial" w:hAnsi="Arial" w:cs="Arial"/>
          <w:b/>
          <w:color w:val="000000" w:themeColor="text1"/>
          <w:lang w:eastAsia="en-GB"/>
        </w:rPr>
        <w:t xml:space="preserve">edicines in emergency and urgent care: a survey of specialist paramedics’ </w:t>
      </w:r>
      <w:r w:rsidR="00BB1606">
        <w:rPr>
          <w:rFonts w:ascii="Arial" w:hAnsi="Arial" w:cs="Arial"/>
          <w:b/>
          <w:color w:val="000000" w:themeColor="text1"/>
          <w:lang w:eastAsia="en-GB"/>
        </w:rPr>
        <w:t>experiences</w:t>
      </w:r>
      <w:r w:rsidR="00A30B0A">
        <w:rPr>
          <w:rFonts w:ascii="Arial" w:hAnsi="Arial" w:cs="Arial"/>
          <w:b/>
          <w:color w:val="000000" w:themeColor="text1"/>
          <w:lang w:eastAsia="en-GB"/>
        </w:rPr>
        <w:t xml:space="preserve"> of medication supply and </w:t>
      </w:r>
      <w:r>
        <w:rPr>
          <w:rFonts w:ascii="Arial" w:hAnsi="Arial" w:cs="Arial"/>
          <w:b/>
          <w:color w:val="000000" w:themeColor="text1"/>
          <w:lang w:eastAsia="en-GB"/>
        </w:rPr>
        <w:t xml:space="preserve">views on </w:t>
      </w:r>
      <w:r w:rsidR="00A30B0A">
        <w:rPr>
          <w:rFonts w:ascii="Arial" w:hAnsi="Arial" w:cs="Arial"/>
          <w:b/>
          <w:color w:val="000000" w:themeColor="text1"/>
          <w:lang w:eastAsia="en-GB"/>
        </w:rPr>
        <w:t>paramedic independent prescribing</w:t>
      </w:r>
    </w:p>
    <w:p w14:paraId="1DBAEDFA" w14:textId="77777777" w:rsidR="007D14D5" w:rsidRPr="0063717D" w:rsidRDefault="007D14D5" w:rsidP="00F70214">
      <w:pPr>
        <w:spacing w:before="100" w:beforeAutospacing="1" w:after="100" w:afterAutospacing="1"/>
        <w:jc w:val="center"/>
        <w:textAlignment w:val="top"/>
        <w:rPr>
          <w:rFonts w:ascii="Arial" w:hAnsi="Arial" w:cs="Arial"/>
          <w:b/>
          <w:color w:val="000000" w:themeColor="text1"/>
          <w:lang w:eastAsia="en-GB"/>
        </w:rPr>
      </w:pPr>
    </w:p>
    <w:p w14:paraId="274855BB" w14:textId="77777777" w:rsidR="007D14D5" w:rsidRPr="0063717D" w:rsidRDefault="007D14D5" w:rsidP="00F70214">
      <w:pPr>
        <w:spacing w:before="100" w:beforeAutospacing="1" w:after="100" w:afterAutospacing="1"/>
        <w:jc w:val="center"/>
        <w:textAlignment w:val="top"/>
        <w:rPr>
          <w:rFonts w:ascii="Arial" w:hAnsi="Arial" w:cs="Arial"/>
          <w:b/>
          <w:color w:val="000000" w:themeColor="text1"/>
          <w:lang w:eastAsia="en-GB"/>
        </w:rPr>
      </w:pPr>
      <w:r w:rsidRPr="0063717D">
        <w:rPr>
          <w:rFonts w:ascii="Arial" w:hAnsi="Arial" w:cs="Arial"/>
          <w:b/>
          <w:color w:val="000000" w:themeColor="text1"/>
          <w:lang w:eastAsia="en-GB"/>
        </w:rPr>
        <w:t>Corresponding Author</w:t>
      </w:r>
    </w:p>
    <w:p w14:paraId="1D0DAC78" w14:textId="77777777" w:rsidR="007D14D5" w:rsidRPr="0063717D" w:rsidRDefault="007D14D5" w:rsidP="00F70214">
      <w:pPr>
        <w:spacing w:before="100" w:beforeAutospacing="1" w:after="100" w:afterAutospacing="1"/>
        <w:jc w:val="center"/>
        <w:textAlignment w:val="top"/>
        <w:rPr>
          <w:rFonts w:ascii="Arial" w:hAnsi="Arial" w:cs="Arial"/>
          <w:b/>
          <w:color w:val="000000" w:themeColor="text1"/>
          <w:lang w:eastAsia="en-GB"/>
        </w:rPr>
      </w:pPr>
      <w:r w:rsidRPr="0063717D">
        <w:rPr>
          <w:rFonts w:ascii="Arial" w:hAnsi="Arial" w:cs="Arial"/>
          <w:b/>
          <w:color w:val="000000" w:themeColor="text1"/>
          <w:lang w:eastAsia="en-GB"/>
        </w:rPr>
        <w:t>Mr Adam M BEDSON</w:t>
      </w:r>
    </w:p>
    <w:p w14:paraId="309E40A6" w14:textId="60F9E0BA" w:rsidR="00EA2E8C" w:rsidRDefault="00EA2E8C" w:rsidP="00F70214">
      <w:pPr>
        <w:spacing w:before="100" w:beforeAutospacing="1" w:after="100" w:afterAutospacing="1"/>
        <w:jc w:val="center"/>
        <w:textAlignment w:val="top"/>
        <w:rPr>
          <w:rFonts w:ascii="Arial" w:hAnsi="Arial" w:cs="Arial"/>
          <w:b/>
          <w:color w:val="000000" w:themeColor="text1"/>
          <w:lang w:eastAsia="en-GB"/>
        </w:rPr>
      </w:pPr>
      <w:r>
        <w:rPr>
          <w:rFonts w:ascii="Arial" w:hAnsi="Arial" w:cs="Arial"/>
          <w:b/>
          <w:color w:val="000000" w:themeColor="text1"/>
          <w:lang w:eastAsia="en-GB"/>
        </w:rPr>
        <w:t>South Western Ambulance Service NHS Foundation Trust</w:t>
      </w:r>
    </w:p>
    <w:p w14:paraId="4222FDF7" w14:textId="18F3B113" w:rsidR="00EA2E8C" w:rsidRDefault="000A62FA" w:rsidP="00F70214">
      <w:pPr>
        <w:spacing w:before="100" w:beforeAutospacing="1" w:after="100" w:afterAutospacing="1"/>
        <w:jc w:val="center"/>
        <w:textAlignment w:val="top"/>
        <w:rPr>
          <w:rFonts w:ascii="Arial" w:hAnsi="Arial" w:cs="Arial"/>
          <w:b/>
          <w:color w:val="000000" w:themeColor="text1"/>
          <w:lang w:eastAsia="en-GB"/>
        </w:rPr>
      </w:pPr>
      <w:r>
        <w:rPr>
          <w:rFonts w:ascii="Arial" w:hAnsi="Arial" w:cs="Arial"/>
          <w:b/>
          <w:color w:val="000000" w:themeColor="text1"/>
          <w:lang w:eastAsia="en-GB"/>
        </w:rPr>
        <w:t>East</w:t>
      </w:r>
      <w:r w:rsidR="00EA2E8C">
        <w:rPr>
          <w:rFonts w:ascii="Arial" w:hAnsi="Arial" w:cs="Arial"/>
          <w:b/>
          <w:color w:val="000000" w:themeColor="text1"/>
          <w:lang w:eastAsia="en-GB"/>
        </w:rPr>
        <w:t xml:space="preserve"> </w:t>
      </w:r>
      <w:r>
        <w:rPr>
          <w:rFonts w:ascii="Arial" w:hAnsi="Arial" w:cs="Arial"/>
          <w:b/>
          <w:color w:val="000000" w:themeColor="text1"/>
          <w:lang w:eastAsia="en-GB"/>
        </w:rPr>
        <w:t>Division</w:t>
      </w:r>
      <w:r w:rsidR="00EA2E8C">
        <w:rPr>
          <w:rFonts w:ascii="Arial" w:hAnsi="Arial" w:cs="Arial"/>
          <w:b/>
          <w:color w:val="000000" w:themeColor="text1"/>
          <w:lang w:eastAsia="en-GB"/>
        </w:rPr>
        <w:t xml:space="preserve"> Headquarters</w:t>
      </w:r>
    </w:p>
    <w:p w14:paraId="5375C884" w14:textId="0442679F" w:rsidR="00EA2E8C" w:rsidRDefault="000A62FA" w:rsidP="00F70214">
      <w:pPr>
        <w:spacing w:before="100" w:beforeAutospacing="1" w:after="100" w:afterAutospacing="1"/>
        <w:jc w:val="center"/>
        <w:textAlignment w:val="top"/>
        <w:rPr>
          <w:rFonts w:ascii="Arial" w:hAnsi="Arial" w:cs="Arial"/>
          <w:b/>
          <w:color w:val="000000" w:themeColor="text1"/>
          <w:lang w:eastAsia="en-GB"/>
        </w:rPr>
      </w:pPr>
      <w:r>
        <w:rPr>
          <w:rFonts w:ascii="Arial" w:hAnsi="Arial" w:cs="Arial"/>
          <w:b/>
          <w:color w:val="000000" w:themeColor="text1"/>
          <w:lang w:eastAsia="en-GB"/>
        </w:rPr>
        <w:t>Lufton Way</w:t>
      </w:r>
      <w:r w:rsidR="00EA2E8C" w:rsidRPr="00EA2E8C">
        <w:rPr>
          <w:rFonts w:ascii="Arial" w:hAnsi="Arial" w:cs="Arial"/>
          <w:b/>
          <w:color w:val="000000" w:themeColor="text1"/>
          <w:lang w:eastAsia="en-GB"/>
        </w:rPr>
        <w:t xml:space="preserve"> </w:t>
      </w:r>
    </w:p>
    <w:p w14:paraId="689A5D59" w14:textId="565F475E" w:rsidR="00EA2E8C" w:rsidRDefault="000A62FA" w:rsidP="00F70214">
      <w:pPr>
        <w:spacing w:before="100" w:beforeAutospacing="1" w:after="100" w:afterAutospacing="1"/>
        <w:jc w:val="center"/>
        <w:textAlignment w:val="top"/>
        <w:rPr>
          <w:rFonts w:ascii="Arial" w:hAnsi="Arial" w:cs="Arial"/>
          <w:b/>
          <w:color w:val="000000" w:themeColor="text1"/>
          <w:lang w:eastAsia="en-GB"/>
        </w:rPr>
      </w:pPr>
      <w:r>
        <w:rPr>
          <w:rFonts w:ascii="Arial" w:hAnsi="Arial" w:cs="Arial"/>
          <w:b/>
          <w:color w:val="000000" w:themeColor="text1"/>
          <w:lang w:eastAsia="en-GB"/>
        </w:rPr>
        <w:t>Yeovil BA22 8HR</w:t>
      </w:r>
    </w:p>
    <w:p w14:paraId="04FC00AB" w14:textId="15E27F12" w:rsidR="007D14D5" w:rsidRDefault="0025274A" w:rsidP="00F70214">
      <w:pPr>
        <w:spacing w:before="100" w:beforeAutospacing="1" w:after="100" w:afterAutospacing="1"/>
        <w:jc w:val="center"/>
        <w:textAlignment w:val="top"/>
        <w:rPr>
          <w:rFonts w:ascii="Arial" w:hAnsi="Arial" w:cs="Arial"/>
          <w:b/>
          <w:color w:val="000000" w:themeColor="text1"/>
          <w:lang w:eastAsia="en-GB"/>
        </w:rPr>
      </w:pPr>
      <w:hyperlink r:id="rId8" w:history="1">
        <w:r w:rsidR="00AC1D53" w:rsidRPr="00E47B99">
          <w:rPr>
            <w:rStyle w:val="Hyperlink"/>
            <w:rFonts w:ascii="Arial" w:hAnsi="Arial" w:cs="Arial"/>
            <w:b/>
            <w:lang w:eastAsia="en-GB"/>
          </w:rPr>
          <w:t>adam.bedson@swast.nhs.uk</w:t>
        </w:r>
      </w:hyperlink>
    </w:p>
    <w:p w14:paraId="4403502E" w14:textId="336B6D71" w:rsidR="00AC1D53" w:rsidRPr="0063717D" w:rsidRDefault="00AC1D53" w:rsidP="00F70214">
      <w:pPr>
        <w:spacing w:before="100" w:beforeAutospacing="1" w:after="100" w:afterAutospacing="1"/>
        <w:jc w:val="center"/>
        <w:textAlignment w:val="top"/>
        <w:rPr>
          <w:rFonts w:ascii="Arial" w:hAnsi="Arial" w:cs="Arial"/>
          <w:b/>
          <w:color w:val="000000" w:themeColor="text1"/>
          <w:lang w:eastAsia="en-GB"/>
        </w:rPr>
      </w:pPr>
      <w:r>
        <w:rPr>
          <w:rFonts w:ascii="Arial" w:hAnsi="Arial" w:cs="Arial"/>
          <w:b/>
          <w:color w:val="000000" w:themeColor="text1"/>
          <w:lang w:eastAsia="en-GB"/>
        </w:rPr>
        <w:t>Tel: 07743066970</w:t>
      </w:r>
    </w:p>
    <w:p w14:paraId="52B251B9" w14:textId="77777777" w:rsidR="007D14D5" w:rsidRPr="00C27F15" w:rsidRDefault="007D14D5" w:rsidP="00F70214">
      <w:pPr>
        <w:spacing w:before="100" w:beforeAutospacing="1" w:after="100" w:afterAutospacing="1"/>
        <w:jc w:val="center"/>
        <w:textAlignment w:val="top"/>
        <w:rPr>
          <w:rFonts w:ascii="Arial" w:hAnsi="Arial" w:cs="Arial"/>
          <w:b/>
          <w:color w:val="000000" w:themeColor="text1"/>
          <w:lang w:eastAsia="en-GB"/>
        </w:rPr>
      </w:pPr>
      <w:r w:rsidRPr="00C27F15">
        <w:rPr>
          <w:rFonts w:ascii="Arial" w:hAnsi="Arial" w:cs="Arial"/>
          <w:b/>
          <w:color w:val="000000" w:themeColor="text1"/>
          <w:lang w:eastAsia="en-GB"/>
        </w:rPr>
        <w:t>Co-author</w:t>
      </w:r>
    </w:p>
    <w:p w14:paraId="1DF6097D" w14:textId="3D1E8F1D" w:rsidR="007D14D5" w:rsidRDefault="00AC1D53" w:rsidP="00F70214">
      <w:pPr>
        <w:spacing w:before="100" w:beforeAutospacing="1" w:after="100" w:afterAutospacing="1"/>
        <w:jc w:val="center"/>
        <w:textAlignment w:val="top"/>
        <w:rPr>
          <w:rFonts w:ascii="Arial" w:hAnsi="Arial" w:cs="Arial"/>
          <w:b/>
          <w:color w:val="000000" w:themeColor="text1"/>
          <w:lang w:eastAsia="en-GB"/>
        </w:rPr>
      </w:pPr>
      <w:r w:rsidRPr="00C27F15">
        <w:rPr>
          <w:rFonts w:ascii="Arial" w:hAnsi="Arial" w:cs="Arial"/>
          <w:b/>
          <w:color w:val="000000" w:themeColor="text1"/>
          <w:lang w:eastAsia="en-GB"/>
        </w:rPr>
        <w:t>Prof</w:t>
      </w:r>
      <w:r>
        <w:rPr>
          <w:rFonts w:ascii="Arial" w:hAnsi="Arial" w:cs="Arial"/>
          <w:b/>
          <w:color w:val="000000" w:themeColor="text1"/>
          <w:lang w:eastAsia="en-GB"/>
        </w:rPr>
        <w:t>essor</w:t>
      </w:r>
      <w:r w:rsidR="007D14D5" w:rsidRPr="00C27F15">
        <w:rPr>
          <w:rFonts w:ascii="Arial" w:hAnsi="Arial" w:cs="Arial"/>
          <w:b/>
          <w:color w:val="000000" w:themeColor="text1"/>
          <w:lang w:eastAsia="en-GB"/>
        </w:rPr>
        <w:t xml:space="preserve"> Sue</w:t>
      </w:r>
      <w:r w:rsidR="007D14D5" w:rsidRPr="0063717D">
        <w:rPr>
          <w:rFonts w:ascii="Arial" w:hAnsi="Arial" w:cs="Arial"/>
          <w:b/>
          <w:color w:val="000000" w:themeColor="text1"/>
          <w:lang w:eastAsia="en-GB"/>
        </w:rPr>
        <w:t xml:space="preserve"> </w:t>
      </w:r>
      <w:r w:rsidR="00494579">
        <w:rPr>
          <w:rFonts w:ascii="Arial" w:hAnsi="Arial" w:cs="Arial"/>
          <w:b/>
          <w:color w:val="000000" w:themeColor="text1"/>
          <w:lang w:eastAsia="en-GB"/>
        </w:rPr>
        <w:t xml:space="preserve">M </w:t>
      </w:r>
      <w:r w:rsidR="007D14D5" w:rsidRPr="0063717D">
        <w:rPr>
          <w:rFonts w:ascii="Arial" w:hAnsi="Arial" w:cs="Arial"/>
          <w:b/>
          <w:color w:val="000000" w:themeColor="text1"/>
          <w:lang w:eastAsia="en-GB"/>
        </w:rPr>
        <w:t>LATTER</w:t>
      </w:r>
    </w:p>
    <w:p w14:paraId="58651D35" w14:textId="11A6C993" w:rsidR="00AC1D53" w:rsidRDefault="00AC1D53" w:rsidP="00F70214">
      <w:pPr>
        <w:spacing w:before="100" w:beforeAutospacing="1" w:after="100" w:afterAutospacing="1"/>
        <w:jc w:val="center"/>
        <w:textAlignment w:val="top"/>
        <w:rPr>
          <w:rFonts w:ascii="Arial" w:hAnsi="Arial" w:cs="Arial"/>
          <w:b/>
          <w:color w:val="000000" w:themeColor="text1"/>
          <w:lang w:eastAsia="en-GB"/>
        </w:rPr>
      </w:pPr>
      <w:r>
        <w:rPr>
          <w:rFonts w:ascii="Arial" w:hAnsi="Arial" w:cs="Arial"/>
          <w:b/>
          <w:color w:val="000000" w:themeColor="text1"/>
          <w:lang w:eastAsia="en-GB"/>
        </w:rPr>
        <w:t>The University of Southampton</w:t>
      </w:r>
    </w:p>
    <w:p w14:paraId="468FB89C" w14:textId="7926F44B" w:rsidR="00AC1D53" w:rsidRDefault="00AC1D53" w:rsidP="00F70214">
      <w:pPr>
        <w:spacing w:before="100" w:beforeAutospacing="1" w:after="100" w:afterAutospacing="1"/>
        <w:jc w:val="center"/>
        <w:textAlignment w:val="top"/>
        <w:rPr>
          <w:rFonts w:ascii="Arial" w:hAnsi="Arial" w:cs="Arial"/>
          <w:b/>
          <w:color w:val="000000" w:themeColor="text1"/>
          <w:lang w:eastAsia="en-GB"/>
        </w:rPr>
      </w:pPr>
      <w:r>
        <w:rPr>
          <w:rFonts w:ascii="Arial" w:hAnsi="Arial" w:cs="Arial"/>
          <w:b/>
          <w:color w:val="000000" w:themeColor="text1"/>
          <w:lang w:eastAsia="en-GB"/>
        </w:rPr>
        <w:t>Faculty of Health Sciences</w:t>
      </w:r>
    </w:p>
    <w:p w14:paraId="6676D515" w14:textId="599DC859" w:rsidR="00AC1D53" w:rsidRDefault="00AC1D53" w:rsidP="00F70214">
      <w:pPr>
        <w:spacing w:before="100" w:beforeAutospacing="1" w:after="100" w:afterAutospacing="1"/>
        <w:jc w:val="center"/>
        <w:textAlignment w:val="top"/>
        <w:rPr>
          <w:rFonts w:ascii="Arial" w:hAnsi="Arial" w:cs="Arial"/>
          <w:b/>
          <w:color w:val="000000" w:themeColor="text1"/>
          <w:lang w:eastAsia="en-GB"/>
        </w:rPr>
      </w:pPr>
      <w:r>
        <w:rPr>
          <w:rFonts w:ascii="Arial" w:hAnsi="Arial" w:cs="Arial"/>
          <w:b/>
          <w:color w:val="000000" w:themeColor="text1"/>
          <w:lang w:eastAsia="en-GB"/>
        </w:rPr>
        <w:t>Southampton</w:t>
      </w:r>
    </w:p>
    <w:p w14:paraId="151BD986" w14:textId="755B1C7C" w:rsidR="00AC1D53" w:rsidRDefault="00AC1D53" w:rsidP="00F70214">
      <w:pPr>
        <w:spacing w:before="100" w:beforeAutospacing="1" w:after="100" w:afterAutospacing="1"/>
        <w:jc w:val="center"/>
        <w:textAlignment w:val="top"/>
        <w:rPr>
          <w:rFonts w:ascii="Arial" w:hAnsi="Arial" w:cs="Arial"/>
          <w:b/>
          <w:color w:val="000000" w:themeColor="text1"/>
          <w:lang w:eastAsia="en-GB"/>
        </w:rPr>
      </w:pPr>
      <w:r>
        <w:rPr>
          <w:rFonts w:ascii="Arial" w:hAnsi="Arial" w:cs="Arial"/>
          <w:b/>
          <w:color w:val="000000" w:themeColor="text1"/>
          <w:lang w:eastAsia="en-GB"/>
        </w:rPr>
        <w:t>England</w:t>
      </w:r>
    </w:p>
    <w:p w14:paraId="6062F1F1" w14:textId="41FC9FC4" w:rsidR="00AC1D53" w:rsidRPr="0063717D" w:rsidRDefault="00AC1D53" w:rsidP="00F70214">
      <w:pPr>
        <w:spacing w:before="100" w:beforeAutospacing="1" w:after="100" w:afterAutospacing="1"/>
        <w:jc w:val="center"/>
        <w:textAlignment w:val="top"/>
        <w:rPr>
          <w:rFonts w:ascii="Arial" w:hAnsi="Arial" w:cs="Arial"/>
          <w:b/>
          <w:color w:val="000000" w:themeColor="text1"/>
          <w:lang w:eastAsia="en-GB"/>
        </w:rPr>
      </w:pPr>
    </w:p>
    <w:p w14:paraId="0F4C4E7A" w14:textId="77777777" w:rsidR="00AC1D53" w:rsidRDefault="00AC1D53" w:rsidP="00F70214">
      <w:pPr>
        <w:rPr>
          <w:rFonts w:ascii="Arial" w:hAnsi="Arial" w:cs="Arial"/>
          <w:b/>
          <w:color w:val="000000" w:themeColor="text1"/>
          <w:lang w:eastAsia="en-GB"/>
        </w:rPr>
      </w:pPr>
    </w:p>
    <w:p w14:paraId="68412869" w14:textId="7045C84C" w:rsidR="00EC44CA" w:rsidRDefault="00AC1D53" w:rsidP="00F70214">
      <w:pPr>
        <w:rPr>
          <w:rFonts w:ascii="Arial" w:hAnsi="Arial" w:cs="Arial"/>
        </w:rPr>
      </w:pPr>
      <w:r>
        <w:rPr>
          <w:rFonts w:ascii="Arial" w:hAnsi="Arial" w:cs="Arial"/>
        </w:rPr>
        <w:t>Word Count: 3</w:t>
      </w:r>
      <w:r w:rsidR="00B610F6">
        <w:rPr>
          <w:rFonts w:ascii="Arial" w:hAnsi="Arial" w:cs="Arial"/>
        </w:rPr>
        <w:t>572</w:t>
      </w:r>
    </w:p>
    <w:p w14:paraId="50A7EC1E" w14:textId="77777777" w:rsidR="004653F9" w:rsidRPr="0063717D" w:rsidRDefault="004653F9" w:rsidP="00F70214">
      <w:pPr>
        <w:rPr>
          <w:rFonts w:ascii="Arial" w:hAnsi="Arial" w:cs="Arial"/>
        </w:rPr>
      </w:pPr>
    </w:p>
    <w:p w14:paraId="382955B2" w14:textId="77777777" w:rsidR="00074DED" w:rsidRDefault="00074DED" w:rsidP="00F70214">
      <w:pPr>
        <w:pStyle w:val="Heading1"/>
        <w:rPr>
          <w:rFonts w:ascii="Arial" w:hAnsi="Arial" w:cs="Arial"/>
          <w:sz w:val="24"/>
          <w:szCs w:val="24"/>
          <w:lang w:eastAsia="en-GB"/>
        </w:rPr>
      </w:pPr>
      <w:bookmarkStart w:id="0" w:name="_Toc493942353"/>
    </w:p>
    <w:p w14:paraId="5DC28F77" w14:textId="77777777" w:rsidR="00074DED" w:rsidRDefault="00074DED" w:rsidP="00F70214">
      <w:pPr>
        <w:pStyle w:val="Heading1"/>
        <w:rPr>
          <w:rFonts w:ascii="Arial" w:hAnsi="Arial" w:cs="Arial"/>
          <w:sz w:val="24"/>
          <w:szCs w:val="24"/>
          <w:lang w:eastAsia="en-GB"/>
        </w:rPr>
      </w:pPr>
    </w:p>
    <w:p w14:paraId="37C1FF0D" w14:textId="3AB50AF5" w:rsidR="009F14BA" w:rsidRDefault="009F14BA" w:rsidP="00BB52E8">
      <w:pPr>
        <w:pStyle w:val="NormalWeb"/>
        <w:rPr>
          <w:rFonts w:ascii="Helvetica" w:hAnsi="Helvetica"/>
          <w:color w:val="000000"/>
          <w:sz w:val="18"/>
          <w:szCs w:val="18"/>
        </w:rPr>
      </w:pPr>
    </w:p>
    <w:p w14:paraId="4E7239D0" w14:textId="77777777" w:rsidR="009F14BA" w:rsidRDefault="009F14BA" w:rsidP="00BB52E8">
      <w:pPr>
        <w:pStyle w:val="NormalWeb"/>
        <w:rPr>
          <w:rFonts w:ascii="Helvetica" w:hAnsi="Helvetica"/>
          <w:color w:val="000000"/>
          <w:sz w:val="18"/>
          <w:szCs w:val="18"/>
        </w:rPr>
      </w:pPr>
    </w:p>
    <w:p w14:paraId="794756F6" w14:textId="070B6807" w:rsidR="00BD0E8A" w:rsidRDefault="00BD0E8A" w:rsidP="00BB52E8">
      <w:pPr>
        <w:pStyle w:val="NormalWeb"/>
        <w:rPr>
          <w:rFonts w:ascii="Helvetica" w:hAnsi="Helvetica"/>
          <w:color w:val="000000"/>
          <w:sz w:val="18"/>
          <w:szCs w:val="18"/>
        </w:rPr>
      </w:pPr>
    </w:p>
    <w:p w14:paraId="5BA28ED6" w14:textId="77777777" w:rsidR="00BD0E8A" w:rsidRPr="00BB52E8" w:rsidRDefault="00BD0E8A" w:rsidP="00BB52E8">
      <w:pPr>
        <w:pStyle w:val="NormalWeb"/>
        <w:rPr>
          <w:rFonts w:ascii="Helvetica" w:hAnsi="Helvetica"/>
          <w:color w:val="000000"/>
          <w:sz w:val="18"/>
          <w:szCs w:val="18"/>
        </w:rPr>
      </w:pPr>
    </w:p>
    <w:p w14:paraId="2A6C386C" w14:textId="271FE96C" w:rsidR="007D14D5" w:rsidRDefault="007D14D5" w:rsidP="00BB52E8">
      <w:pPr>
        <w:pStyle w:val="NormalWeb"/>
        <w:rPr>
          <w:rFonts w:ascii="Arial" w:hAnsi="Arial" w:cs="Arial"/>
          <w:lang w:eastAsia="en-GB"/>
        </w:rPr>
      </w:pPr>
      <w:r w:rsidRPr="0063717D">
        <w:rPr>
          <w:rFonts w:ascii="Arial" w:hAnsi="Arial" w:cs="Arial"/>
          <w:lang w:eastAsia="en-GB"/>
        </w:rPr>
        <w:lastRenderedPageBreak/>
        <w:t>Abstract</w:t>
      </w:r>
      <w:bookmarkEnd w:id="0"/>
    </w:p>
    <w:p w14:paraId="3FDA833C" w14:textId="0B45DEA6" w:rsidR="007D14D5" w:rsidRPr="00C27F15" w:rsidRDefault="00A929EF" w:rsidP="00F70214">
      <w:pPr>
        <w:spacing w:before="100" w:beforeAutospacing="1" w:after="100" w:afterAutospacing="1"/>
        <w:textAlignment w:val="top"/>
        <w:rPr>
          <w:rFonts w:ascii="Arial" w:hAnsi="Arial" w:cs="Arial"/>
          <w:b/>
          <w:color w:val="000000" w:themeColor="text1"/>
          <w:lang w:eastAsia="en-GB"/>
        </w:rPr>
      </w:pPr>
      <w:r>
        <w:rPr>
          <w:rFonts w:ascii="Arial" w:hAnsi="Arial" w:cs="Arial"/>
          <w:b/>
          <w:color w:val="000000" w:themeColor="text1"/>
          <w:lang w:eastAsia="en-GB"/>
        </w:rPr>
        <w:t>Introduction</w:t>
      </w:r>
    </w:p>
    <w:p w14:paraId="3CE96007" w14:textId="6B43BEE1" w:rsidR="007D14D5" w:rsidRPr="00C27F15" w:rsidRDefault="001571DC" w:rsidP="00F70214">
      <w:pPr>
        <w:rPr>
          <w:rFonts w:ascii="Arial" w:hAnsi="Arial" w:cs="Arial"/>
        </w:rPr>
      </w:pPr>
      <w:r>
        <w:rPr>
          <w:rFonts w:ascii="Arial" w:hAnsi="Arial" w:cs="Arial"/>
        </w:rPr>
        <w:t>Specialist p</w:t>
      </w:r>
      <w:r w:rsidR="00F93CEE">
        <w:rPr>
          <w:rFonts w:ascii="Arial" w:hAnsi="Arial" w:cs="Arial"/>
        </w:rPr>
        <w:t>aramedics</w:t>
      </w:r>
      <w:r w:rsidR="008344AF">
        <w:rPr>
          <w:rFonts w:ascii="Arial" w:hAnsi="Arial" w:cs="Arial"/>
        </w:rPr>
        <w:t xml:space="preserve"> in the United Kingdom</w:t>
      </w:r>
      <w:r w:rsidR="00F93CEE">
        <w:rPr>
          <w:rFonts w:ascii="Arial" w:hAnsi="Arial" w:cs="Arial"/>
        </w:rPr>
        <w:t xml:space="preserve"> are able to undertake additional</w:t>
      </w:r>
      <w:r w:rsidR="00C11163">
        <w:rPr>
          <w:rFonts w:ascii="Arial" w:hAnsi="Arial" w:cs="Arial"/>
        </w:rPr>
        <w:t xml:space="preserve"> </w:t>
      </w:r>
      <w:r w:rsidR="00F93CEE">
        <w:rPr>
          <w:rFonts w:ascii="Arial" w:hAnsi="Arial" w:cs="Arial"/>
        </w:rPr>
        <w:t>training and education</w:t>
      </w:r>
      <w:r w:rsidR="008344AF">
        <w:rPr>
          <w:rFonts w:ascii="Arial" w:hAnsi="Arial" w:cs="Arial"/>
        </w:rPr>
        <w:t xml:space="preserve"> in the assessment and treatment of minor illness and injuries</w:t>
      </w:r>
      <w:r>
        <w:rPr>
          <w:rFonts w:ascii="Arial" w:hAnsi="Arial" w:cs="Arial"/>
        </w:rPr>
        <w:t>. The p</w:t>
      </w:r>
      <w:r w:rsidR="00DD0FB8">
        <w:rPr>
          <w:rFonts w:ascii="Arial" w:hAnsi="Arial" w:cs="Arial"/>
        </w:rPr>
        <w:t>rovision</w:t>
      </w:r>
      <w:r w:rsidR="00FD5D05">
        <w:rPr>
          <w:rFonts w:ascii="Arial" w:hAnsi="Arial" w:cs="Arial"/>
        </w:rPr>
        <w:t xml:space="preserve"> of </w:t>
      </w:r>
      <w:r w:rsidR="00DD0FB8">
        <w:rPr>
          <w:rFonts w:ascii="Arial" w:hAnsi="Arial" w:cs="Arial"/>
        </w:rPr>
        <w:t xml:space="preserve">medication often forms </w:t>
      </w:r>
      <w:r>
        <w:rPr>
          <w:rFonts w:ascii="Arial" w:hAnsi="Arial" w:cs="Arial"/>
        </w:rPr>
        <w:t>a</w:t>
      </w:r>
      <w:r w:rsidR="00DD0FB8">
        <w:rPr>
          <w:rFonts w:ascii="Arial" w:hAnsi="Arial" w:cs="Arial"/>
        </w:rPr>
        <w:t xml:space="preserve"> part of specialist paramedic care</w:t>
      </w:r>
      <w:r>
        <w:rPr>
          <w:rFonts w:ascii="Arial" w:hAnsi="Arial" w:cs="Arial"/>
        </w:rPr>
        <w:t xml:space="preserve">, but </w:t>
      </w:r>
      <w:r w:rsidR="00DD0FB8">
        <w:rPr>
          <w:rFonts w:ascii="Arial" w:hAnsi="Arial" w:cs="Arial"/>
        </w:rPr>
        <w:t>the</w:t>
      </w:r>
      <w:r w:rsidR="00FD5D05">
        <w:rPr>
          <w:rFonts w:ascii="Arial" w:hAnsi="Arial" w:cs="Arial"/>
        </w:rPr>
        <w:t>re</w:t>
      </w:r>
      <w:r w:rsidR="00DD0FB8">
        <w:rPr>
          <w:rFonts w:ascii="Arial" w:hAnsi="Arial" w:cs="Arial"/>
        </w:rPr>
        <w:t xml:space="preserve"> is currently no research into the perceived </w:t>
      </w:r>
      <w:r w:rsidR="00FD5D05">
        <w:rPr>
          <w:rFonts w:ascii="Arial" w:hAnsi="Arial" w:cs="Arial"/>
        </w:rPr>
        <w:t>usefulness or</w:t>
      </w:r>
      <w:r w:rsidR="001F52C4">
        <w:rPr>
          <w:rFonts w:ascii="Arial" w:hAnsi="Arial" w:cs="Arial"/>
        </w:rPr>
        <w:t xml:space="preserve"> impact of the use of</w:t>
      </w:r>
      <w:r w:rsidR="00DD0FB8">
        <w:rPr>
          <w:rFonts w:ascii="Arial" w:hAnsi="Arial" w:cs="Arial"/>
        </w:rPr>
        <w:t xml:space="preserve"> </w:t>
      </w:r>
      <w:r>
        <w:rPr>
          <w:rFonts w:ascii="Arial" w:hAnsi="Arial" w:cs="Arial"/>
        </w:rPr>
        <w:t xml:space="preserve">patient group directions (PGD) or on their preparedness to undertake </w:t>
      </w:r>
      <w:r w:rsidR="00DD0FB8">
        <w:rPr>
          <w:rFonts w:ascii="Arial" w:hAnsi="Arial" w:cs="Arial"/>
        </w:rPr>
        <w:t>paramedic independent and supplementary prescribing (PISP)</w:t>
      </w:r>
      <w:r>
        <w:rPr>
          <w:rFonts w:ascii="Arial" w:hAnsi="Arial" w:cs="Arial"/>
        </w:rPr>
        <w:t xml:space="preserve">. </w:t>
      </w:r>
      <w:r w:rsidR="007D14D5" w:rsidRPr="00C27F15">
        <w:rPr>
          <w:rFonts w:ascii="Arial" w:hAnsi="Arial" w:cs="Arial"/>
        </w:rPr>
        <w:t xml:space="preserve">The aim of this study was to </w:t>
      </w:r>
      <w:r w:rsidR="00726A01">
        <w:rPr>
          <w:rFonts w:ascii="Arial" w:hAnsi="Arial" w:cs="Arial"/>
        </w:rPr>
        <w:t xml:space="preserve">(i) </w:t>
      </w:r>
      <w:r w:rsidR="007D14D5" w:rsidRPr="00C27F15">
        <w:rPr>
          <w:rFonts w:ascii="Arial" w:hAnsi="Arial" w:cs="Arial"/>
        </w:rPr>
        <w:t xml:space="preserve">investigate </w:t>
      </w:r>
      <w:r w:rsidR="00594832">
        <w:rPr>
          <w:rFonts w:ascii="Arial" w:hAnsi="Arial" w:cs="Arial"/>
        </w:rPr>
        <w:t>the ways in which</w:t>
      </w:r>
      <w:r w:rsidR="007D14D5" w:rsidRPr="00C27F15">
        <w:rPr>
          <w:rFonts w:ascii="Arial" w:hAnsi="Arial" w:cs="Arial"/>
        </w:rPr>
        <w:t xml:space="preserve"> </w:t>
      </w:r>
      <w:r w:rsidR="00494579">
        <w:rPr>
          <w:rFonts w:ascii="Arial" w:hAnsi="Arial" w:cs="Arial"/>
        </w:rPr>
        <w:t>medicines</w:t>
      </w:r>
      <w:r w:rsidR="007D14D5" w:rsidRPr="00C27F15">
        <w:rPr>
          <w:rFonts w:ascii="Arial" w:hAnsi="Arial" w:cs="Arial"/>
        </w:rPr>
        <w:t xml:space="preserve"> </w:t>
      </w:r>
      <w:r w:rsidR="00594832">
        <w:rPr>
          <w:rFonts w:ascii="Arial" w:hAnsi="Arial" w:cs="Arial"/>
        </w:rPr>
        <w:t>are</w:t>
      </w:r>
      <w:r w:rsidR="00921745">
        <w:rPr>
          <w:rFonts w:ascii="Arial" w:hAnsi="Arial" w:cs="Arial"/>
        </w:rPr>
        <w:t xml:space="preserve"> currently</w:t>
      </w:r>
      <w:r w:rsidR="00594832">
        <w:rPr>
          <w:rFonts w:ascii="Arial" w:hAnsi="Arial" w:cs="Arial"/>
        </w:rPr>
        <w:t xml:space="preserve"> supplied</w:t>
      </w:r>
      <w:r w:rsidR="00494579">
        <w:rPr>
          <w:rFonts w:ascii="Arial" w:hAnsi="Arial" w:cs="Arial"/>
        </w:rPr>
        <w:t xml:space="preserve"> </w:t>
      </w:r>
      <w:r w:rsidR="007D14D5" w:rsidRPr="00C27F15">
        <w:rPr>
          <w:rFonts w:ascii="Arial" w:hAnsi="Arial" w:cs="Arial"/>
        </w:rPr>
        <w:t>by specialist paramedic</w:t>
      </w:r>
      <w:r w:rsidR="003D54C4" w:rsidRPr="00C27F15">
        <w:rPr>
          <w:rFonts w:ascii="Arial" w:hAnsi="Arial" w:cs="Arial"/>
        </w:rPr>
        <w:t>s</w:t>
      </w:r>
      <w:r w:rsidR="007D14D5" w:rsidRPr="00C27F15">
        <w:rPr>
          <w:rFonts w:ascii="Arial" w:hAnsi="Arial" w:cs="Arial"/>
        </w:rPr>
        <w:t xml:space="preserve"> and </w:t>
      </w:r>
      <w:r w:rsidR="00726A01">
        <w:rPr>
          <w:rFonts w:ascii="Arial" w:hAnsi="Arial" w:cs="Arial"/>
        </w:rPr>
        <w:t xml:space="preserve">(ii) establish </w:t>
      </w:r>
      <w:r w:rsidR="00594832">
        <w:rPr>
          <w:rFonts w:ascii="Arial" w:hAnsi="Arial" w:cs="Arial"/>
        </w:rPr>
        <w:t>views on the introduction of</w:t>
      </w:r>
      <w:r w:rsidR="00556D02">
        <w:rPr>
          <w:rFonts w:ascii="Arial" w:hAnsi="Arial" w:cs="Arial"/>
        </w:rPr>
        <w:t xml:space="preserve"> </w:t>
      </w:r>
      <w:r w:rsidR="00E227CE">
        <w:rPr>
          <w:rFonts w:ascii="Arial" w:hAnsi="Arial" w:cs="Arial"/>
        </w:rPr>
        <w:t>PIS</w:t>
      </w:r>
      <w:r w:rsidR="007F7454">
        <w:rPr>
          <w:rFonts w:ascii="Arial" w:hAnsi="Arial" w:cs="Arial"/>
        </w:rPr>
        <w:t>P</w:t>
      </w:r>
      <w:r w:rsidR="00494579">
        <w:rPr>
          <w:rFonts w:ascii="Arial" w:hAnsi="Arial" w:cs="Arial"/>
        </w:rPr>
        <w:t xml:space="preserve">, including </w:t>
      </w:r>
      <w:r w:rsidR="00594832">
        <w:rPr>
          <w:rFonts w:ascii="Arial" w:hAnsi="Arial" w:cs="Arial"/>
        </w:rPr>
        <w:t xml:space="preserve">practitioner preparedness and </w:t>
      </w:r>
      <w:r w:rsidR="00494579">
        <w:rPr>
          <w:rFonts w:ascii="Arial" w:hAnsi="Arial" w:cs="Arial"/>
        </w:rPr>
        <w:t>potential i</w:t>
      </w:r>
      <w:r w:rsidR="007D14D5" w:rsidRPr="00C27F15">
        <w:rPr>
          <w:rFonts w:ascii="Arial" w:hAnsi="Arial" w:cs="Arial"/>
        </w:rPr>
        <w:t xml:space="preserve">mpact on practice. </w:t>
      </w:r>
    </w:p>
    <w:p w14:paraId="6015AE1B" w14:textId="77777777" w:rsidR="007D14D5" w:rsidRPr="003A3124" w:rsidRDefault="007D14D5" w:rsidP="00F70214">
      <w:pPr>
        <w:spacing w:before="100" w:beforeAutospacing="1" w:after="100" w:afterAutospacing="1"/>
        <w:textAlignment w:val="top"/>
        <w:rPr>
          <w:rFonts w:ascii="Arial" w:hAnsi="Arial" w:cs="Arial"/>
          <w:b/>
          <w:color w:val="000000" w:themeColor="text1"/>
          <w:lang w:eastAsia="en-GB"/>
        </w:rPr>
      </w:pPr>
      <w:r w:rsidRPr="003A3124">
        <w:rPr>
          <w:rFonts w:ascii="Arial" w:hAnsi="Arial" w:cs="Arial"/>
          <w:b/>
          <w:color w:val="000000" w:themeColor="text1"/>
          <w:lang w:eastAsia="en-GB"/>
        </w:rPr>
        <w:t>Methods</w:t>
      </w:r>
    </w:p>
    <w:p w14:paraId="28515B51" w14:textId="20FEB241" w:rsidR="0054429E" w:rsidRDefault="007D14D5" w:rsidP="00F70214">
      <w:pPr>
        <w:spacing w:before="100" w:beforeAutospacing="1" w:after="100" w:afterAutospacing="1"/>
        <w:textAlignment w:val="top"/>
        <w:rPr>
          <w:rFonts w:ascii="Arial" w:hAnsi="Arial" w:cs="Arial"/>
          <w:b/>
          <w:color w:val="000000" w:themeColor="text1"/>
          <w:lang w:eastAsia="en-GB"/>
        </w:rPr>
      </w:pPr>
      <w:r w:rsidRPr="00F24EE7">
        <w:rPr>
          <w:rFonts w:ascii="Arial" w:hAnsi="Arial" w:cs="Arial"/>
          <w:color w:val="000000" w:themeColor="text1"/>
          <w:lang w:eastAsia="en-GB"/>
        </w:rPr>
        <w:t>An online questionnaire was sent to 268</w:t>
      </w:r>
      <w:r w:rsidR="003D54C4" w:rsidRPr="00F24EE7">
        <w:rPr>
          <w:rFonts w:ascii="Arial" w:hAnsi="Arial" w:cs="Arial"/>
          <w:color w:val="000000" w:themeColor="text1"/>
          <w:lang w:eastAsia="en-GB"/>
        </w:rPr>
        <w:t xml:space="preserve"> specialist paramedics</w:t>
      </w:r>
      <w:r w:rsidRPr="0063717D">
        <w:rPr>
          <w:rFonts w:ascii="Arial" w:hAnsi="Arial" w:cs="Arial"/>
          <w:color w:val="000000" w:themeColor="text1"/>
          <w:lang w:eastAsia="en-GB"/>
        </w:rPr>
        <w:t xml:space="preserve"> employed by two NHS ambulance Trusts in England</w:t>
      </w:r>
      <w:r w:rsidR="00622266">
        <w:rPr>
          <w:rFonts w:ascii="Arial" w:hAnsi="Arial" w:cs="Arial"/>
          <w:color w:val="000000" w:themeColor="text1"/>
          <w:lang w:eastAsia="en-GB"/>
        </w:rPr>
        <w:t xml:space="preserve"> who</w:t>
      </w:r>
      <w:r w:rsidR="001613AC">
        <w:rPr>
          <w:rFonts w:ascii="Arial" w:hAnsi="Arial" w:cs="Arial"/>
          <w:color w:val="000000" w:themeColor="text1"/>
          <w:lang w:eastAsia="en-GB"/>
        </w:rPr>
        <w:t xml:space="preserve"> </w:t>
      </w:r>
      <w:r w:rsidR="00622266">
        <w:rPr>
          <w:rFonts w:ascii="Arial" w:hAnsi="Arial" w:cs="Arial"/>
          <w:color w:val="000000" w:themeColor="text1"/>
          <w:lang w:eastAsia="en-GB"/>
        </w:rPr>
        <w:t>jointly employed</w:t>
      </w:r>
      <w:r w:rsidR="001613AC">
        <w:rPr>
          <w:rFonts w:ascii="Arial" w:hAnsi="Arial" w:cs="Arial"/>
          <w:color w:val="000000" w:themeColor="text1"/>
          <w:lang w:eastAsia="en-GB"/>
        </w:rPr>
        <w:t xml:space="preserve"> 54% of the national population (n=495) of specialist paramedics</w:t>
      </w:r>
      <w:r w:rsidRPr="0063717D">
        <w:rPr>
          <w:rFonts w:ascii="Arial" w:hAnsi="Arial" w:cs="Arial"/>
          <w:color w:val="000000" w:themeColor="text1"/>
          <w:lang w:eastAsia="en-GB"/>
        </w:rPr>
        <w:t>.</w:t>
      </w:r>
      <w:r w:rsidRPr="00C27F15" w:rsidDel="00191426">
        <w:rPr>
          <w:rFonts w:ascii="Arial" w:hAnsi="Arial" w:cs="Arial"/>
          <w:color w:val="000000" w:themeColor="text1"/>
          <w:lang w:eastAsia="en-GB"/>
        </w:rPr>
        <w:t xml:space="preserve"> </w:t>
      </w:r>
      <w:r w:rsidRPr="00C27F15">
        <w:rPr>
          <w:rFonts w:ascii="Arial" w:hAnsi="Arial" w:cs="Arial"/>
          <w:color w:val="000000" w:themeColor="text1"/>
          <w:lang w:eastAsia="en-GB"/>
        </w:rPr>
        <w:t>Data w</w:t>
      </w:r>
      <w:r w:rsidR="00594832">
        <w:rPr>
          <w:rFonts w:ascii="Arial" w:hAnsi="Arial" w:cs="Arial"/>
          <w:color w:val="000000" w:themeColor="text1"/>
          <w:lang w:eastAsia="en-GB"/>
        </w:rPr>
        <w:t>ere</w:t>
      </w:r>
      <w:r w:rsidRPr="00C27F15">
        <w:rPr>
          <w:rFonts w:ascii="Arial" w:hAnsi="Arial" w:cs="Arial"/>
          <w:color w:val="000000" w:themeColor="text1"/>
          <w:lang w:eastAsia="en-GB"/>
        </w:rPr>
        <w:t xml:space="preserve"> analysed using descriptive statistics</w:t>
      </w:r>
      <w:r w:rsidRPr="003A3124">
        <w:rPr>
          <w:rFonts w:ascii="Arial" w:hAnsi="Arial" w:cs="Arial"/>
          <w:color w:val="000000" w:themeColor="text1"/>
          <w:lang w:eastAsia="en-GB"/>
        </w:rPr>
        <w:t xml:space="preserve"> and a framework </w:t>
      </w:r>
      <w:r w:rsidR="00594832">
        <w:rPr>
          <w:rFonts w:ascii="Arial" w:hAnsi="Arial" w:cs="Arial"/>
          <w:color w:val="000000" w:themeColor="text1"/>
          <w:lang w:eastAsia="en-GB"/>
        </w:rPr>
        <w:t xml:space="preserve">analysis </w:t>
      </w:r>
      <w:r w:rsidRPr="003A3124">
        <w:rPr>
          <w:rFonts w:ascii="Arial" w:hAnsi="Arial" w:cs="Arial"/>
          <w:color w:val="000000" w:themeColor="text1"/>
          <w:lang w:eastAsia="en-GB"/>
        </w:rPr>
        <w:t>approach.</w:t>
      </w:r>
    </w:p>
    <w:p w14:paraId="3663A53F" w14:textId="604A9560" w:rsidR="007D14D5" w:rsidRPr="0063717D" w:rsidRDefault="007D14D5" w:rsidP="00F70214">
      <w:pPr>
        <w:spacing w:before="100" w:beforeAutospacing="1" w:after="100" w:afterAutospacing="1"/>
        <w:textAlignment w:val="top"/>
        <w:rPr>
          <w:rFonts w:ascii="Arial" w:hAnsi="Arial" w:cs="Arial"/>
          <w:b/>
          <w:color w:val="000000" w:themeColor="text1"/>
          <w:lang w:eastAsia="en-GB"/>
        </w:rPr>
      </w:pPr>
      <w:r w:rsidRPr="0063717D">
        <w:rPr>
          <w:rFonts w:ascii="Arial" w:hAnsi="Arial" w:cs="Arial"/>
          <w:b/>
          <w:color w:val="000000" w:themeColor="text1"/>
          <w:lang w:eastAsia="en-GB"/>
        </w:rPr>
        <w:t>Results</w:t>
      </w:r>
    </w:p>
    <w:p w14:paraId="27C729D2" w14:textId="60FD8F97" w:rsidR="005063A9" w:rsidRPr="008D3690" w:rsidRDefault="004860F5" w:rsidP="00F70214">
      <w:pPr>
        <w:spacing w:before="100" w:beforeAutospacing="1" w:after="100" w:afterAutospacing="1"/>
        <w:textAlignment w:val="top"/>
        <w:rPr>
          <w:rFonts w:ascii="Arial" w:hAnsi="Arial" w:cs="Arial"/>
          <w:color w:val="000000" w:themeColor="text1"/>
          <w:lang w:eastAsia="en-GB"/>
        </w:rPr>
      </w:pPr>
      <w:r>
        <w:rPr>
          <w:rFonts w:ascii="Arial" w:hAnsi="Arial" w:cs="Arial"/>
          <w:color w:val="000000" w:themeColor="text1"/>
          <w:lang w:eastAsia="en-GB"/>
        </w:rPr>
        <w:t xml:space="preserve">PGDs were </w:t>
      </w:r>
      <w:r w:rsidR="00EF61FD">
        <w:rPr>
          <w:rFonts w:ascii="Arial" w:hAnsi="Arial" w:cs="Arial"/>
          <w:color w:val="000000" w:themeColor="text1"/>
          <w:lang w:eastAsia="en-GB"/>
        </w:rPr>
        <w:t xml:space="preserve">reported to be </w:t>
      </w:r>
      <w:r>
        <w:rPr>
          <w:rFonts w:ascii="Arial" w:hAnsi="Arial" w:cs="Arial"/>
          <w:color w:val="000000" w:themeColor="text1"/>
          <w:lang w:eastAsia="en-GB"/>
        </w:rPr>
        <w:t>used regularly</w:t>
      </w:r>
      <w:r w:rsidR="00DC6A7B">
        <w:rPr>
          <w:rFonts w:ascii="Arial" w:hAnsi="Arial" w:cs="Arial"/>
          <w:color w:val="000000" w:themeColor="text1"/>
          <w:lang w:eastAsia="en-GB"/>
        </w:rPr>
        <w:t xml:space="preserve"> and</w:t>
      </w:r>
      <w:r w:rsidR="007B6166">
        <w:rPr>
          <w:rFonts w:ascii="Arial" w:hAnsi="Arial" w:cs="Arial"/>
          <w:color w:val="000000" w:themeColor="text1"/>
          <w:lang w:eastAsia="en-GB"/>
        </w:rPr>
        <w:t xml:space="preserve"> </w:t>
      </w:r>
      <w:r w:rsidR="005063A9" w:rsidRPr="0063717D">
        <w:rPr>
          <w:rFonts w:ascii="Arial" w:hAnsi="Arial" w:cs="Arial"/>
          <w:color w:val="000000" w:themeColor="text1"/>
          <w:lang w:eastAsia="en-GB"/>
        </w:rPr>
        <w:t>infections, pain and exacerbations of respiratory conditions</w:t>
      </w:r>
      <w:r w:rsidR="00DC6A7B">
        <w:rPr>
          <w:rFonts w:ascii="Arial" w:hAnsi="Arial" w:cs="Arial"/>
          <w:color w:val="000000" w:themeColor="text1"/>
          <w:lang w:eastAsia="en-GB"/>
        </w:rPr>
        <w:t xml:space="preserve"> were </w:t>
      </w:r>
      <w:r w:rsidR="007E1D94">
        <w:rPr>
          <w:rFonts w:ascii="Arial" w:hAnsi="Arial" w:cs="Arial"/>
          <w:color w:val="000000" w:themeColor="text1"/>
          <w:lang w:eastAsia="en-GB"/>
        </w:rPr>
        <w:t xml:space="preserve">the </w:t>
      </w:r>
      <w:r w:rsidR="007B6166">
        <w:rPr>
          <w:rFonts w:ascii="Arial" w:hAnsi="Arial" w:cs="Arial"/>
          <w:color w:val="000000" w:themeColor="text1"/>
          <w:lang w:eastAsia="en-GB"/>
        </w:rPr>
        <w:t>most frequently treated</w:t>
      </w:r>
      <w:r w:rsidR="00DC6A7B">
        <w:rPr>
          <w:rFonts w:ascii="Arial" w:hAnsi="Arial" w:cs="Arial"/>
          <w:color w:val="000000" w:themeColor="text1"/>
          <w:lang w:eastAsia="en-GB"/>
        </w:rPr>
        <w:t xml:space="preserve"> conditions by specialist paramedics.</w:t>
      </w:r>
    </w:p>
    <w:p w14:paraId="571AD65C" w14:textId="10CF76FD" w:rsidR="00146DED" w:rsidRDefault="00837E7B" w:rsidP="00F70214">
      <w:pPr>
        <w:spacing w:before="100" w:beforeAutospacing="1" w:after="100" w:afterAutospacing="1"/>
        <w:textAlignment w:val="top"/>
        <w:rPr>
          <w:rFonts w:ascii="Arial" w:hAnsi="Arial" w:cs="Arial"/>
        </w:rPr>
      </w:pPr>
      <w:r>
        <w:rPr>
          <w:rFonts w:ascii="Arial" w:hAnsi="Arial" w:cs="Arial"/>
          <w:color w:val="000000" w:themeColor="text1"/>
          <w:lang w:eastAsia="en-GB"/>
        </w:rPr>
        <w:t>Although just over half</w:t>
      </w:r>
      <w:r w:rsidR="008823B6" w:rsidRPr="00C27F15">
        <w:rPr>
          <w:rFonts w:ascii="Arial" w:hAnsi="Arial" w:cs="Arial"/>
          <w:color w:val="000000" w:themeColor="text1"/>
          <w:lang w:eastAsia="en-GB"/>
        </w:rPr>
        <w:t xml:space="preserve"> </w:t>
      </w:r>
      <w:r w:rsidR="008823B6">
        <w:rPr>
          <w:rFonts w:ascii="Arial" w:hAnsi="Arial" w:cs="Arial"/>
          <w:color w:val="000000" w:themeColor="text1"/>
          <w:lang w:eastAsia="en-GB"/>
        </w:rPr>
        <w:t xml:space="preserve">of participants </w:t>
      </w:r>
      <w:r w:rsidR="009F21B0">
        <w:rPr>
          <w:rFonts w:ascii="Arial" w:hAnsi="Arial" w:cs="Arial"/>
        </w:rPr>
        <w:t xml:space="preserve">reported PGDs did not </w:t>
      </w:r>
      <w:r w:rsidR="0064744C">
        <w:rPr>
          <w:rFonts w:ascii="Arial" w:hAnsi="Arial" w:cs="Arial"/>
        </w:rPr>
        <w:t xml:space="preserve">restrict </w:t>
      </w:r>
      <w:r w:rsidR="009F21B0">
        <w:rPr>
          <w:rFonts w:ascii="Arial" w:hAnsi="Arial" w:cs="Arial"/>
        </w:rPr>
        <w:t>the</w:t>
      </w:r>
      <w:r w:rsidR="005D2307">
        <w:rPr>
          <w:rFonts w:ascii="Arial" w:hAnsi="Arial" w:cs="Arial"/>
        </w:rPr>
        <w:t>ir</w:t>
      </w:r>
      <w:r w:rsidR="009F21B0">
        <w:rPr>
          <w:rFonts w:ascii="Arial" w:hAnsi="Arial" w:cs="Arial"/>
        </w:rPr>
        <w:t xml:space="preserve"> ability to supply med</w:t>
      </w:r>
      <w:r w:rsidR="005D2307">
        <w:rPr>
          <w:rFonts w:ascii="Arial" w:hAnsi="Arial" w:cs="Arial"/>
        </w:rPr>
        <w:t>ication</w:t>
      </w:r>
      <w:r w:rsidR="009F21B0">
        <w:rPr>
          <w:rFonts w:ascii="Arial" w:hAnsi="Arial" w:cs="Arial"/>
        </w:rPr>
        <w:t xml:space="preserve"> to patients</w:t>
      </w:r>
      <w:r>
        <w:rPr>
          <w:rFonts w:ascii="Arial" w:hAnsi="Arial" w:cs="Arial"/>
        </w:rPr>
        <w:t>, a</w:t>
      </w:r>
      <w:r w:rsidR="00921745">
        <w:rPr>
          <w:rFonts w:ascii="Arial" w:hAnsi="Arial" w:cs="Arial"/>
        </w:rPr>
        <w:t xml:space="preserve"> significant minority</w:t>
      </w:r>
      <w:r w:rsidR="008E35E7">
        <w:rPr>
          <w:rFonts w:ascii="Arial" w:hAnsi="Arial" w:cs="Arial"/>
        </w:rPr>
        <w:t xml:space="preserve"> </w:t>
      </w:r>
      <w:r>
        <w:rPr>
          <w:rFonts w:ascii="Arial" w:hAnsi="Arial" w:cs="Arial"/>
        </w:rPr>
        <w:t>found</w:t>
      </w:r>
      <w:r w:rsidR="004860F5">
        <w:rPr>
          <w:rFonts w:ascii="Arial" w:hAnsi="Arial" w:cs="Arial"/>
        </w:rPr>
        <w:t xml:space="preserve"> them too restrictive</w:t>
      </w:r>
      <w:r w:rsidR="00B443A0">
        <w:rPr>
          <w:rFonts w:ascii="Arial" w:hAnsi="Arial" w:cs="Arial"/>
        </w:rPr>
        <w:t xml:space="preserve">. </w:t>
      </w:r>
      <w:r w:rsidR="004860F5">
        <w:rPr>
          <w:rFonts w:ascii="Arial" w:hAnsi="Arial" w:cs="Arial"/>
        </w:rPr>
        <w:t>Examples of restrictions included</w:t>
      </w:r>
      <w:r w:rsidR="000F1FEF">
        <w:rPr>
          <w:rFonts w:ascii="Arial" w:hAnsi="Arial" w:cs="Arial"/>
        </w:rPr>
        <w:t xml:space="preserve"> </w:t>
      </w:r>
      <w:r w:rsidR="004860F5">
        <w:rPr>
          <w:rFonts w:ascii="Arial" w:hAnsi="Arial" w:cs="Arial"/>
        </w:rPr>
        <w:t xml:space="preserve">contradictions to </w:t>
      </w:r>
      <w:r w:rsidR="00B443A0">
        <w:rPr>
          <w:rFonts w:ascii="Arial" w:hAnsi="Arial" w:cs="Arial"/>
        </w:rPr>
        <w:t xml:space="preserve">local anti-microbial guidance and </w:t>
      </w:r>
      <w:r w:rsidR="004860F5">
        <w:rPr>
          <w:rFonts w:ascii="Arial" w:hAnsi="Arial" w:cs="Arial"/>
        </w:rPr>
        <w:t>being unable to supply</w:t>
      </w:r>
      <w:r w:rsidR="008823B6">
        <w:rPr>
          <w:rFonts w:ascii="Arial" w:hAnsi="Arial" w:cs="Arial"/>
        </w:rPr>
        <w:t xml:space="preserve"> </w:t>
      </w:r>
      <w:r w:rsidR="004860F5">
        <w:rPr>
          <w:rFonts w:ascii="Arial" w:hAnsi="Arial" w:cs="Arial"/>
        </w:rPr>
        <w:t xml:space="preserve">sufficiently </w:t>
      </w:r>
      <w:r w:rsidR="000F1FEF">
        <w:rPr>
          <w:rFonts w:ascii="Arial" w:hAnsi="Arial" w:cs="Arial"/>
        </w:rPr>
        <w:t xml:space="preserve">strong </w:t>
      </w:r>
      <w:r w:rsidR="008823B6">
        <w:rPr>
          <w:rFonts w:ascii="Arial" w:hAnsi="Arial" w:cs="Arial"/>
        </w:rPr>
        <w:t>analgesia</w:t>
      </w:r>
      <w:r w:rsidR="00B443A0">
        <w:rPr>
          <w:rFonts w:ascii="Arial" w:hAnsi="Arial" w:cs="Arial"/>
        </w:rPr>
        <w:t>.</w:t>
      </w:r>
      <w:r w:rsidR="004860F5">
        <w:rPr>
          <w:rFonts w:ascii="Arial" w:hAnsi="Arial" w:cs="Arial"/>
        </w:rPr>
        <w:t xml:space="preserve"> </w:t>
      </w:r>
    </w:p>
    <w:p w14:paraId="2C14090B" w14:textId="5E528D29" w:rsidR="007D14D5" w:rsidRPr="00C27F15" w:rsidRDefault="008823B6" w:rsidP="00F70214">
      <w:pPr>
        <w:spacing w:before="100" w:beforeAutospacing="1" w:after="100" w:afterAutospacing="1"/>
        <w:textAlignment w:val="top"/>
        <w:rPr>
          <w:rFonts w:ascii="Arial" w:hAnsi="Arial" w:cs="Arial"/>
          <w:color w:val="000000" w:themeColor="text1"/>
          <w:lang w:eastAsia="en-GB"/>
        </w:rPr>
      </w:pPr>
      <w:r w:rsidRPr="00C27F15">
        <w:rPr>
          <w:rFonts w:ascii="Arial" w:hAnsi="Arial" w:cs="Arial"/>
          <w:color w:val="000000" w:themeColor="text1"/>
          <w:lang w:eastAsia="en-GB"/>
        </w:rPr>
        <w:t xml:space="preserve">The majority of participants </w:t>
      </w:r>
      <w:r w:rsidR="0064744C" w:rsidRPr="003A3124">
        <w:rPr>
          <w:rFonts w:ascii="Arial" w:hAnsi="Arial" w:cs="Arial"/>
          <w:color w:val="000000" w:themeColor="text1"/>
          <w:lang w:eastAsia="en-GB"/>
        </w:rPr>
        <w:t>(</w:t>
      </w:r>
      <w:r w:rsidR="00DE0966">
        <w:rPr>
          <w:rFonts w:ascii="Arial" w:hAnsi="Arial" w:cs="Arial"/>
          <w:color w:val="000000" w:themeColor="text1"/>
          <w:lang w:eastAsia="en-GB"/>
        </w:rPr>
        <w:t xml:space="preserve">66/78 </w:t>
      </w:r>
      <w:r w:rsidR="0064744C" w:rsidRPr="003A3124">
        <w:rPr>
          <w:rFonts w:ascii="Arial" w:hAnsi="Arial" w:cs="Arial"/>
          <w:color w:val="000000" w:themeColor="text1"/>
          <w:lang w:eastAsia="en-GB"/>
        </w:rPr>
        <w:t>84.6%</w:t>
      </w:r>
      <w:r w:rsidR="00DE0966">
        <w:rPr>
          <w:rFonts w:ascii="Arial" w:hAnsi="Arial" w:cs="Arial"/>
          <w:color w:val="000000" w:themeColor="text1"/>
          <w:lang w:eastAsia="en-GB"/>
        </w:rPr>
        <w:t xml:space="preserve">) </w:t>
      </w:r>
      <w:r w:rsidRPr="00C27F15">
        <w:rPr>
          <w:rFonts w:ascii="Arial" w:hAnsi="Arial" w:cs="Arial"/>
          <w:color w:val="000000" w:themeColor="text1"/>
          <w:lang w:eastAsia="en-GB"/>
        </w:rPr>
        <w:t>felt</w:t>
      </w:r>
      <w:r w:rsidR="00D46D57">
        <w:rPr>
          <w:rFonts w:ascii="Arial" w:hAnsi="Arial" w:cs="Arial"/>
          <w:color w:val="000000" w:themeColor="text1"/>
          <w:lang w:eastAsia="en-GB"/>
        </w:rPr>
        <w:t xml:space="preserve"> confident to undertake </w:t>
      </w:r>
      <w:r w:rsidR="00E227CE">
        <w:rPr>
          <w:rFonts w:ascii="Arial" w:hAnsi="Arial" w:cs="Arial"/>
          <w:color w:val="000000" w:themeColor="text1"/>
          <w:lang w:eastAsia="en-GB"/>
        </w:rPr>
        <w:t>PISP</w:t>
      </w:r>
      <w:r w:rsidR="00D46D57">
        <w:rPr>
          <w:rFonts w:ascii="Arial" w:hAnsi="Arial" w:cs="Arial"/>
          <w:color w:val="000000" w:themeColor="text1"/>
          <w:lang w:eastAsia="en-GB"/>
        </w:rPr>
        <w:t xml:space="preserve"> and</w:t>
      </w:r>
      <w:r>
        <w:rPr>
          <w:rFonts w:ascii="Arial" w:hAnsi="Arial" w:cs="Arial"/>
          <w:color w:val="000000" w:themeColor="text1"/>
          <w:lang w:eastAsia="en-GB"/>
        </w:rPr>
        <w:t xml:space="preserve"> that </w:t>
      </w:r>
      <w:r w:rsidR="00D46D57">
        <w:rPr>
          <w:rFonts w:ascii="Arial" w:hAnsi="Arial" w:cs="Arial"/>
          <w:color w:val="000000" w:themeColor="text1"/>
          <w:lang w:eastAsia="en-GB"/>
        </w:rPr>
        <w:t xml:space="preserve">it would </w:t>
      </w:r>
      <w:r w:rsidRPr="00C27F15">
        <w:rPr>
          <w:rFonts w:ascii="Arial" w:hAnsi="Arial" w:cs="Arial"/>
          <w:color w:val="000000" w:themeColor="text1"/>
          <w:lang w:eastAsia="en-GB"/>
        </w:rPr>
        <w:t>enhance both the</w:t>
      </w:r>
      <w:r>
        <w:rPr>
          <w:rFonts w:ascii="Arial" w:hAnsi="Arial" w:cs="Arial"/>
          <w:color w:val="000000" w:themeColor="text1"/>
          <w:lang w:eastAsia="en-GB"/>
        </w:rPr>
        <w:t>ir</w:t>
      </w:r>
      <w:r w:rsidRPr="00C27F15">
        <w:rPr>
          <w:rFonts w:ascii="Arial" w:hAnsi="Arial" w:cs="Arial"/>
          <w:color w:val="000000" w:themeColor="text1"/>
          <w:lang w:eastAsia="en-GB"/>
        </w:rPr>
        <w:t xml:space="preserve"> scope of practice</w:t>
      </w:r>
      <w:r w:rsidR="0064744C">
        <w:rPr>
          <w:rFonts w:ascii="Arial" w:hAnsi="Arial" w:cs="Arial"/>
          <w:color w:val="000000" w:themeColor="text1"/>
          <w:lang w:eastAsia="en-GB"/>
        </w:rPr>
        <w:t xml:space="preserve"> (</w:t>
      </w:r>
      <w:r w:rsidR="00DE0966">
        <w:rPr>
          <w:rFonts w:ascii="Arial" w:hAnsi="Arial" w:cs="Arial"/>
          <w:color w:val="000000" w:themeColor="text1"/>
          <w:lang w:eastAsia="en-GB"/>
        </w:rPr>
        <w:t xml:space="preserve">70/72 </w:t>
      </w:r>
      <w:r w:rsidR="0064744C" w:rsidRPr="00C27F15">
        <w:rPr>
          <w:rFonts w:ascii="Arial" w:hAnsi="Arial" w:cs="Arial"/>
          <w:color w:val="000000" w:themeColor="text1"/>
          <w:lang w:eastAsia="en-GB"/>
        </w:rPr>
        <w:t>97.2%</w:t>
      </w:r>
      <w:r w:rsidR="0064744C">
        <w:rPr>
          <w:rFonts w:ascii="Arial" w:hAnsi="Arial" w:cs="Arial"/>
          <w:color w:val="000000" w:themeColor="text1"/>
          <w:lang w:eastAsia="en-GB"/>
        </w:rPr>
        <w:t>)</w:t>
      </w:r>
      <w:r w:rsidRPr="00C27F15">
        <w:rPr>
          <w:rFonts w:ascii="Arial" w:hAnsi="Arial" w:cs="Arial"/>
          <w:color w:val="000000" w:themeColor="text1"/>
          <w:lang w:eastAsia="en-GB"/>
        </w:rPr>
        <w:t xml:space="preserve"> </w:t>
      </w:r>
      <w:r w:rsidR="004860F5">
        <w:rPr>
          <w:rFonts w:ascii="Arial" w:hAnsi="Arial" w:cs="Arial"/>
          <w:color w:val="000000" w:themeColor="text1"/>
          <w:lang w:eastAsia="en-GB"/>
        </w:rPr>
        <w:t>and patient care</w:t>
      </w:r>
      <w:r w:rsidR="0064744C">
        <w:rPr>
          <w:rFonts w:ascii="Arial" w:hAnsi="Arial" w:cs="Arial"/>
          <w:color w:val="000000" w:themeColor="text1"/>
          <w:lang w:eastAsia="en-GB"/>
        </w:rPr>
        <w:t xml:space="preserve"> (</w:t>
      </w:r>
      <w:r w:rsidR="00DE0966">
        <w:rPr>
          <w:rFonts w:ascii="Arial" w:hAnsi="Arial" w:cs="Arial"/>
          <w:color w:val="000000" w:themeColor="text1"/>
          <w:lang w:eastAsia="en-GB"/>
        </w:rPr>
        <w:t>67/72 93%</w:t>
      </w:r>
      <w:r w:rsidR="0064744C">
        <w:rPr>
          <w:rFonts w:ascii="Arial" w:hAnsi="Arial" w:cs="Arial"/>
          <w:color w:val="000000" w:themeColor="text1"/>
          <w:lang w:eastAsia="en-GB"/>
        </w:rPr>
        <w:t>)</w:t>
      </w:r>
      <w:r w:rsidR="004860F5">
        <w:rPr>
          <w:rFonts w:ascii="Arial" w:hAnsi="Arial" w:cs="Arial"/>
          <w:color w:val="000000" w:themeColor="text1"/>
          <w:lang w:eastAsia="en-GB"/>
        </w:rPr>
        <w:t>.</w:t>
      </w:r>
      <w:r w:rsidRPr="00C27F15">
        <w:rPr>
          <w:rFonts w:ascii="Arial" w:hAnsi="Arial" w:cs="Arial"/>
          <w:color w:val="000000" w:themeColor="text1"/>
          <w:lang w:eastAsia="en-GB"/>
        </w:rPr>
        <w:t xml:space="preserve"> </w:t>
      </w:r>
      <w:r w:rsidR="007D14D5" w:rsidRPr="00C27F15">
        <w:rPr>
          <w:rFonts w:ascii="Arial" w:hAnsi="Arial" w:cs="Arial"/>
          <w:color w:val="000000" w:themeColor="text1"/>
          <w:lang w:eastAsia="en-GB"/>
        </w:rPr>
        <w:t xml:space="preserve">However, </w:t>
      </w:r>
      <w:r w:rsidR="00166E06">
        <w:rPr>
          <w:rFonts w:ascii="Arial" w:hAnsi="Arial" w:cs="Arial"/>
          <w:color w:val="000000" w:themeColor="text1"/>
          <w:lang w:eastAsia="en-GB"/>
        </w:rPr>
        <w:t>participants had concerns regarding</w:t>
      </w:r>
      <w:r w:rsidR="00146DED">
        <w:rPr>
          <w:rFonts w:ascii="Arial" w:hAnsi="Arial" w:cs="Arial"/>
          <w:color w:val="000000" w:themeColor="text1"/>
          <w:lang w:eastAsia="en-GB"/>
        </w:rPr>
        <w:t xml:space="preserve"> organisational readiness </w:t>
      </w:r>
      <w:r w:rsidR="006358D4">
        <w:rPr>
          <w:rFonts w:ascii="Arial" w:hAnsi="Arial" w:cs="Arial"/>
          <w:color w:val="000000" w:themeColor="text1"/>
          <w:lang w:eastAsia="en-GB"/>
        </w:rPr>
        <w:t xml:space="preserve">for </w:t>
      </w:r>
      <w:r w:rsidR="00E227CE">
        <w:rPr>
          <w:rFonts w:ascii="Arial" w:hAnsi="Arial" w:cs="Arial"/>
          <w:color w:val="000000" w:themeColor="text1"/>
          <w:lang w:eastAsia="en-GB"/>
        </w:rPr>
        <w:t>PISP</w:t>
      </w:r>
      <w:r w:rsidR="0064744C">
        <w:rPr>
          <w:rFonts w:ascii="Arial" w:hAnsi="Arial" w:cs="Arial"/>
          <w:color w:val="000000" w:themeColor="text1"/>
          <w:lang w:eastAsia="en-GB"/>
        </w:rPr>
        <w:t xml:space="preserve"> (</w:t>
      </w:r>
      <w:r w:rsidR="00DE0966">
        <w:rPr>
          <w:rFonts w:ascii="Arial" w:hAnsi="Arial" w:cs="Arial"/>
          <w:color w:val="000000" w:themeColor="text1"/>
          <w:lang w:eastAsia="en-GB"/>
        </w:rPr>
        <w:t xml:space="preserve">50/72 </w:t>
      </w:r>
      <w:r w:rsidR="00415EB8">
        <w:rPr>
          <w:rFonts w:ascii="Arial" w:hAnsi="Arial" w:cs="Arial"/>
          <w:color w:val="000000" w:themeColor="text1"/>
          <w:lang w:eastAsia="en-GB"/>
        </w:rPr>
        <w:t>69.4%</w:t>
      </w:r>
      <w:r w:rsidR="0064744C" w:rsidRPr="0063717D">
        <w:rPr>
          <w:rFonts w:ascii="Arial" w:hAnsi="Arial" w:cs="Arial"/>
          <w:color w:val="000000" w:themeColor="text1"/>
          <w:lang w:eastAsia="en-GB"/>
        </w:rPr>
        <w:t>)</w:t>
      </w:r>
      <w:r w:rsidR="00E74A11">
        <w:rPr>
          <w:rFonts w:ascii="Arial" w:hAnsi="Arial" w:cs="Arial"/>
          <w:color w:val="000000" w:themeColor="text1"/>
          <w:lang w:eastAsia="en-GB"/>
        </w:rPr>
        <w:t>,</w:t>
      </w:r>
      <w:r w:rsidR="006358D4">
        <w:rPr>
          <w:rFonts w:ascii="Arial" w:hAnsi="Arial" w:cs="Arial"/>
          <w:color w:val="000000" w:themeColor="text1"/>
          <w:lang w:eastAsia="en-GB"/>
        </w:rPr>
        <w:t xml:space="preserve"> including</w:t>
      </w:r>
      <w:r w:rsidR="00146DED">
        <w:rPr>
          <w:rFonts w:ascii="Arial" w:hAnsi="Arial" w:cs="Arial"/>
          <w:color w:val="000000" w:themeColor="text1"/>
          <w:lang w:eastAsia="en-GB"/>
        </w:rPr>
        <w:t xml:space="preserve"> </w:t>
      </w:r>
      <w:r w:rsidR="00E74A11">
        <w:rPr>
          <w:rFonts w:ascii="Arial" w:hAnsi="Arial" w:cs="Arial"/>
          <w:color w:val="000000" w:themeColor="text1"/>
          <w:lang w:eastAsia="en-GB"/>
        </w:rPr>
        <w:t xml:space="preserve">provision of paramedic </w:t>
      </w:r>
      <w:r w:rsidR="00146DED">
        <w:rPr>
          <w:rFonts w:ascii="Arial" w:hAnsi="Arial" w:cs="Arial"/>
          <w:color w:val="000000" w:themeColor="text1"/>
          <w:lang w:eastAsia="en-GB"/>
        </w:rPr>
        <w:t>access to patient records</w:t>
      </w:r>
      <w:r w:rsidR="0064744C">
        <w:rPr>
          <w:rFonts w:ascii="Arial" w:hAnsi="Arial" w:cs="Arial"/>
          <w:color w:val="000000" w:themeColor="text1"/>
          <w:lang w:eastAsia="en-GB"/>
        </w:rPr>
        <w:t xml:space="preserve"> (</w:t>
      </w:r>
      <w:r w:rsidR="0064744C" w:rsidRPr="0063717D">
        <w:rPr>
          <w:rFonts w:ascii="Arial" w:hAnsi="Arial" w:cs="Arial"/>
          <w:color w:val="000000" w:themeColor="text1"/>
          <w:lang w:eastAsia="en-GB"/>
        </w:rPr>
        <w:t>65/72</w:t>
      </w:r>
      <w:r w:rsidR="00DE0966">
        <w:rPr>
          <w:rFonts w:ascii="Arial" w:hAnsi="Arial" w:cs="Arial"/>
          <w:color w:val="000000" w:themeColor="text1"/>
          <w:lang w:eastAsia="en-GB"/>
        </w:rPr>
        <w:t xml:space="preserve"> 90.2%</w:t>
      </w:r>
      <w:r w:rsidR="0064744C" w:rsidRPr="0063717D">
        <w:rPr>
          <w:rFonts w:ascii="Arial" w:hAnsi="Arial" w:cs="Arial"/>
          <w:color w:val="000000" w:themeColor="text1"/>
          <w:lang w:eastAsia="en-GB"/>
        </w:rPr>
        <w:t>)</w:t>
      </w:r>
      <w:r w:rsidR="00146DED">
        <w:rPr>
          <w:rFonts w:ascii="Arial" w:hAnsi="Arial" w:cs="Arial"/>
          <w:color w:val="000000" w:themeColor="text1"/>
          <w:lang w:eastAsia="en-GB"/>
        </w:rPr>
        <w:t xml:space="preserve"> and</w:t>
      </w:r>
      <w:r w:rsidR="006358D4">
        <w:rPr>
          <w:rFonts w:ascii="Arial" w:hAnsi="Arial" w:cs="Arial"/>
          <w:color w:val="000000" w:themeColor="text1"/>
          <w:lang w:eastAsia="en-GB"/>
        </w:rPr>
        <w:t xml:space="preserve"> </w:t>
      </w:r>
      <w:r w:rsidR="0064744C">
        <w:rPr>
          <w:rFonts w:ascii="Arial" w:hAnsi="Arial" w:cs="Arial"/>
          <w:color w:val="000000" w:themeColor="text1"/>
          <w:lang w:eastAsia="en-GB"/>
        </w:rPr>
        <w:t xml:space="preserve">obtaining </w:t>
      </w:r>
      <w:r w:rsidR="006358D4">
        <w:rPr>
          <w:rFonts w:ascii="Arial" w:hAnsi="Arial" w:cs="Arial"/>
          <w:color w:val="000000" w:themeColor="text1"/>
          <w:lang w:eastAsia="en-GB"/>
        </w:rPr>
        <w:t>sufficient</w:t>
      </w:r>
      <w:r w:rsidR="00146DED">
        <w:rPr>
          <w:rFonts w:ascii="Arial" w:hAnsi="Arial" w:cs="Arial"/>
          <w:color w:val="000000" w:themeColor="text1"/>
          <w:lang w:eastAsia="en-GB"/>
        </w:rPr>
        <w:t xml:space="preserve"> clinical support</w:t>
      </w:r>
      <w:r w:rsidR="0064744C">
        <w:rPr>
          <w:rFonts w:ascii="Arial" w:hAnsi="Arial" w:cs="Arial"/>
          <w:color w:val="000000" w:themeColor="text1"/>
          <w:lang w:eastAsia="en-GB"/>
        </w:rPr>
        <w:t xml:space="preserve"> (</w:t>
      </w:r>
      <w:r w:rsidR="0064744C" w:rsidRPr="0063717D">
        <w:rPr>
          <w:rFonts w:ascii="Arial" w:hAnsi="Arial" w:cs="Arial"/>
          <w:color w:val="000000" w:themeColor="text1"/>
          <w:lang w:eastAsia="en-GB"/>
        </w:rPr>
        <w:t>39/72</w:t>
      </w:r>
      <w:r w:rsidR="00DE0966">
        <w:rPr>
          <w:rFonts w:ascii="Arial" w:hAnsi="Arial" w:cs="Arial"/>
          <w:color w:val="000000" w:themeColor="text1"/>
          <w:lang w:eastAsia="en-GB"/>
        </w:rPr>
        <w:t xml:space="preserve"> 54.1%</w:t>
      </w:r>
      <w:r w:rsidR="0064744C" w:rsidRPr="0063717D">
        <w:rPr>
          <w:rFonts w:ascii="Arial" w:hAnsi="Arial" w:cs="Arial"/>
          <w:color w:val="000000" w:themeColor="text1"/>
          <w:lang w:eastAsia="en-GB"/>
        </w:rPr>
        <w:t>)</w:t>
      </w:r>
      <w:r w:rsidR="007C140D">
        <w:rPr>
          <w:rFonts w:ascii="Arial" w:hAnsi="Arial" w:cs="Arial"/>
          <w:color w:val="000000" w:themeColor="text1"/>
          <w:lang w:eastAsia="en-GB"/>
        </w:rPr>
        <w:t>.</w:t>
      </w:r>
    </w:p>
    <w:p w14:paraId="5D750EC0" w14:textId="1BC725B9" w:rsidR="007D14D5" w:rsidRDefault="007D14D5" w:rsidP="00F70214">
      <w:pPr>
        <w:spacing w:before="100" w:beforeAutospacing="1" w:after="100" w:afterAutospacing="1"/>
        <w:textAlignment w:val="top"/>
        <w:rPr>
          <w:rFonts w:ascii="Arial" w:hAnsi="Arial" w:cs="Arial"/>
          <w:b/>
          <w:color w:val="000000" w:themeColor="text1"/>
          <w:lang w:eastAsia="en-GB"/>
        </w:rPr>
      </w:pPr>
      <w:r w:rsidRPr="0063717D">
        <w:rPr>
          <w:rFonts w:ascii="Arial" w:hAnsi="Arial" w:cs="Arial"/>
          <w:b/>
          <w:color w:val="000000" w:themeColor="text1"/>
          <w:lang w:eastAsia="en-GB"/>
        </w:rPr>
        <w:t>Conclusions</w:t>
      </w:r>
    </w:p>
    <w:p w14:paraId="6EC3CC4A" w14:textId="7A1BE577" w:rsidR="00095086" w:rsidRPr="00642EBF" w:rsidRDefault="003375B2" w:rsidP="00F70214">
      <w:pPr>
        <w:spacing w:before="100" w:beforeAutospacing="1" w:after="100" w:afterAutospacing="1"/>
        <w:textAlignment w:val="top"/>
        <w:rPr>
          <w:rFonts w:ascii="Arial" w:hAnsi="Arial" w:cs="Arial"/>
          <w:color w:val="000000" w:themeColor="text1"/>
          <w:lang w:eastAsia="en-GB"/>
        </w:rPr>
      </w:pPr>
      <w:r w:rsidRPr="003375B2">
        <w:rPr>
          <w:rFonts w:ascii="Arial" w:hAnsi="Arial" w:cs="Arial"/>
          <w:color w:val="000000" w:themeColor="text1"/>
          <w:lang w:eastAsia="en-GB"/>
        </w:rPr>
        <w:t>PGDs do enable</w:t>
      </w:r>
      <w:r w:rsidR="00CA46CA" w:rsidRPr="00642EBF">
        <w:rPr>
          <w:rFonts w:ascii="Arial" w:hAnsi="Arial" w:cs="Arial"/>
          <w:color w:val="000000" w:themeColor="text1"/>
          <w:lang w:eastAsia="en-GB"/>
        </w:rPr>
        <w:t xml:space="preserve"> specialist paramedics to supply medication to patients</w:t>
      </w:r>
      <w:r>
        <w:rPr>
          <w:rFonts w:ascii="Arial" w:hAnsi="Arial" w:cs="Arial"/>
          <w:color w:val="000000" w:themeColor="text1"/>
          <w:lang w:eastAsia="en-GB"/>
        </w:rPr>
        <w:t xml:space="preserve"> in order to treat a range of conditions</w:t>
      </w:r>
      <w:r w:rsidR="00E74A11">
        <w:rPr>
          <w:rFonts w:ascii="Arial" w:hAnsi="Arial" w:cs="Arial"/>
          <w:color w:val="000000" w:themeColor="text1"/>
          <w:lang w:eastAsia="en-GB"/>
        </w:rPr>
        <w:t>,</w:t>
      </w:r>
      <w:r>
        <w:rPr>
          <w:rFonts w:ascii="Arial" w:hAnsi="Arial" w:cs="Arial"/>
          <w:color w:val="000000" w:themeColor="text1"/>
          <w:lang w:eastAsia="en-GB"/>
        </w:rPr>
        <w:t xml:space="preserve"> but </w:t>
      </w:r>
      <w:r w:rsidR="00DB5365">
        <w:rPr>
          <w:rFonts w:ascii="Arial" w:hAnsi="Arial" w:cs="Arial"/>
          <w:color w:val="000000" w:themeColor="text1"/>
          <w:lang w:eastAsia="en-GB"/>
        </w:rPr>
        <w:t xml:space="preserve">at times </w:t>
      </w:r>
      <w:r w:rsidR="0064762A">
        <w:rPr>
          <w:rFonts w:ascii="Arial" w:hAnsi="Arial" w:cs="Arial"/>
          <w:color w:val="000000" w:themeColor="text1"/>
          <w:lang w:eastAsia="en-GB"/>
        </w:rPr>
        <w:t>the paramedics felt that the PGDs</w:t>
      </w:r>
      <w:r w:rsidR="00DB5365">
        <w:rPr>
          <w:rFonts w:ascii="Arial" w:hAnsi="Arial" w:cs="Arial"/>
          <w:color w:val="000000" w:themeColor="text1"/>
          <w:lang w:eastAsia="en-GB"/>
        </w:rPr>
        <w:t xml:space="preserve"> restrict</w:t>
      </w:r>
      <w:r w:rsidR="0064762A">
        <w:rPr>
          <w:rFonts w:ascii="Arial" w:hAnsi="Arial" w:cs="Arial"/>
          <w:color w:val="000000" w:themeColor="text1"/>
          <w:lang w:eastAsia="en-GB"/>
        </w:rPr>
        <w:t>ed</w:t>
      </w:r>
      <w:r w:rsidR="00DB5365">
        <w:rPr>
          <w:rFonts w:ascii="Arial" w:hAnsi="Arial" w:cs="Arial"/>
          <w:color w:val="000000" w:themeColor="text1"/>
          <w:lang w:eastAsia="en-GB"/>
        </w:rPr>
        <w:t xml:space="preserve"> autonomous practice</w:t>
      </w:r>
      <w:r w:rsidR="00CA46CA" w:rsidRPr="00642EBF">
        <w:rPr>
          <w:rFonts w:ascii="Arial" w:hAnsi="Arial" w:cs="Arial"/>
          <w:color w:val="000000" w:themeColor="text1"/>
          <w:lang w:eastAsia="en-GB"/>
        </w:rPr>
        <w:t xml:space="preserve">. </w:t>
      </w:r>
      <w:r w:rsidR="00921745">
        <w:rPr>
          <w:rFonts w:ascii="Arial" w:hAnsi="Arial" w:cs="Arial"/>
          <w:color w:val="000000" w:themeColor="text1"/>
          <w:lang w:eastAsia="en-GB"/>
        </w:rPr>
        <w:t xml:space="preserve">The majority of participants felt </w:t>
      </w:r>
      <w:r w:rsidR="00E74A11">
        <w:rPr>
          <w:rFonts w:ascii="Arial" w:hAnsi="Arial" w:cs="Arial"/>
          <w:color w:val="000000" w:themeColor="text1"/>
          <w:lang w:eastAsia="en-GB"/>
        </w:rPr>
        <w:t xml:space="preserve">confident to undertake </w:t>
      </w:r>
      <w:r w:rsidR="00E227CE">
        <w:rPr>
          <w:rFonts w:ascii="Arial" w:hAnsi="Arial" w:cs="Arial"/>
          <w:color w:val="000000" w:themeColor="text1"/>
          <w:lang w:eastAsia="en-GB"/>
        </w:rPr>
        <w:t>PISP</w:t>
      </w:r>
      <w:r w:rsidR="00921745">
        <w:rPr>
          <w:rFonts w:ascii="Arial" w:hAnsi="Arial" w:cs="Arial"/>
          <w:color w:val="000000" w:themeColor="text1"/>
          <w:lang w:eastAsia="en-GB"/>
        </w:rPr>
        <w:t xml:space="preserve"> </w:t>
      </w:r>
      <w:r w:rsidR="00E74A11">
        <w:rPr>
          <w:rFonts w:ascii="Arial" w:hAnsi="Arial" w:cs="Arial"/>
          <w:color w:val="000000" w:themeColor="text1"/>
          <w:lang w:eastAsia="en-GB"/>
        </w:rPr>
        <w:t xml:space="preserve">and </w:t>
      </w:r>
      <w:r w:rsidR="007E1D94">
        <w:rPr>
          <w:rFonts w:ascii="Arial" w:hAnsi="Arial" w:cs="Arial"/>
          <w:color w:val="000000" w:themeColor="text1"/>
          <w:lang w:eastAsia="en-GB"/>
        </w:rPr>
        <w:t xml:space="preserve">anticipated </w:t>
      </w:r>
      <w:r w:rsidR="00E74A11">
        <w:rPr>
          <w:rFonts w:ascii="Arial" w:hAnsi="Arial" w:cs="Arial"/>
          <w:color w:val="000000" w:themeColor="text1"/>
          <w:lang w:eastAsia="en-GB"/>
        </w:rPr>
        <w:t xml:space="preserve">that it </w:t>
      </w:r>
      <w:r w:rsidR="00921745">
        <w:rPr>
          <w:rFonts w:ascii="Arial" w:hAnsi="Arial" w:cs="Arial"/>
          <w:color w:val="000000" w:themeColor="text1"/>
          <w:lang w:eastAsia="en-GB"/>
        </w:rPr>
        <w:t>wou</w:t>
      </w:r>
      <w:r w:rsidR="00E74A11">
        <w:rPr>
          <w:rFonts w:ascii="Arial" w:hAnsi="Arial" w:cs="Arial"/>
          <w:color w:val="000000" w:themeColor="text1"/>
          <w:lang w:eastAsia="en-GB"/>
        </w:rPr>
        <w:t xml:space="preserve">ld </w:t>
      </w:r>
      <w:r w:rsidR="0065217F">
        <w:rPr>
          <w:rFonts w:ascii="Arial" w:hAnsi="Arial" w:cs="Arial"/>
          <w:color w:val="000000" w:themeColor="text1"/>
          <w:lang w:eastAsia="en-GB"/>
        </w:rPr>
        <w:t>enhance</w:t>
      </w:r>
      <w:r w:rsidR="00921745">
        <w:rPr>
          <w:rFonts w:ascii="Arial" w:hAnsi="Arial" w:cs="Arial"/>
          <w:color w:val="000000" w:themeColor="text1"/>
          <w:lang w:eastAsia="en-GB"/>
        </w:rPr>
        <w:t xml:space="preserve"> patient care</w:t>
      </w:r>
      <w:r w:rsidR="0065217F">
        <w:rPr>
          <w:rFonts w:ascii="Arial" w:hAnsi="Arial" w:cs="Arial"/>
          <w:color w:val="000000" w:themeColor="text1"/>
          <w:lang w:eastAsia="en-GB"/>
        </w:rPr>
        <w:t xml:space="preserve">. </w:t>
      </w:r>
    </w:p>
    <w:p w14:paraId="368B2A07" w14:textId="13D80E29" w:rsidR="00337C1D" w:rsidRDefault="00337C1D" w:rsidP="00BB52E8"/>
    <w:p w14:paraId="62A3F689" w14:textId="4735D616" w:rsidR="00337C1D" w:rsidRDefault="00337C1D" w:rsidP="00BB52E8"/>
    <w:p w14:paraId="7762EE8B" w14:textId="77777777" w:rsidR="00337C1D" w:rsidRPr="00BB52E8" w:rsidRDefault="00337C1D" w:rsidP="00BB52E8"/>
    <w:p w14:paraId="3ABA83EA" w14:textId="466F4B6B" w:rsidR="007D14D5" w:rsidRDefault="007D14D5" w:rsidP="00F70214">
      <w:pPr>
        <w:pStyle w:val="Heading1"/>
        <w:rPr>
          <w:rFonts w:ascii="Arial" w:hAnsi="Arial" w:cs="Arial"/>
          <w:sz w:val="24"/>
          <w:szCs w:val="24"/>
        </w:rPr>
      </w:pPr>
      <w:r w:rsidRPr="0063717D">
        <w:rPr>
          <w:rFonts w:ascii="Arial" w:hAnsi="Arial" w:cs="Arial"/>
          <w:sz w:val="24"/>
          <w:szCs w:val="24"/>
        </w:rPr>
        <w:lastRenderedPageBreak/>
        <w:t>Text</w:t>
      </w:r>
    </w:p>
    <w:p w14:paraId="2C252CB0" w14:textId="77422A57" w:rsidR="00AC1D53" w:rsidRPr="00AC1D53" w:rsidRDefault="00AC1D53" w:rsidP="00F70214"/>
    <w:p w14:paraId="7639FB10" w14:textId="7D35E923" w:rsidR="002C1A0A" w:rsidRDefault="00AC1D53" w:rsidP="00F70214">
      <w:pPr>
        <w:rPr>
          <w:rFonts w:ascii="Arial" w:hAnsi="Arial" w:cs="Arial"/>
          <w:b/>
        </w:rPr>
      </w:pPr>
      <w:r>
        <w:rPr>
          <w:rFonts w:ascii="Arial" w:hAnsi="Arial" w:cs="Arial"/>
          <w:b/>
        </w:rPr>
        <w:t>INTRODUCTION</w:t>
      </w:r>
    </w:p>
    <w:p w14:paraId="30F06319" w14:textId="77777777" w:rsidR="0027568A" w:rsidRDefault="0027568A" w:rsidP="00F70214">
      <w:pPr>
        <w:rPr>
          <w:rFonts w:ascii="Arial" w:hAnsi="Arial" w:cs="Arial"/>
          <w:b/>
        </w:rPr>
      </w:pPr>
    </w:p>
    <w:p w14:paraId="296190E5" w14:textId="0A2FC5EB" w:rsidR="002C1A0A" w:rsidRDefault="002C1A0A" w:rsidP="00F70214">
      <w:pPr>
        <w:rPr>
          <w:rFonts w:ascii="Arial" w:eastAsia="Calibri" w:hAnsi="Arial" w:cs="Arial"/>
        </w:rPr>
      </w:pPr>
      <w:r w:rsidRPr="00F70CD6">
        <w:rPr>
          <w:rFonts w:ascii="Arial" w:eastAsia="Calibri" w:hAnsi="Arial" w:cs="Arial"/>
        </w:rPr>
        <w:t>The provision of emergency and urgent care and reducing the number of patients treated in the emergency department (ED) continue to represent a signif</w:t>
      </w:r>
      <w:r w:rsidR="00722BDB">
        <w:rPr>
          <w:rFonts w:ascii="Arial" w:eastAsia="Calibri" w:hAnsi="Arial" w:cs="Arial"/>
        </w:rPr>
        <w:t xml:space="preserve">icant challenge for the NHS (NHS England, 2017). </w:t>
      </w:r>
      <w:r w:rsidRPr="00F70CD6">
        <w:rPr>
          <w:rFonts w:ascii="Arial" w:eastAsia="Calibri" w:hAnsi="Arial" w:cs="Arial"/>
        </w:rPr>
        <w:t xml:space="preserve">Enhancements to paramedic training </w:t>
      </w:r>
      <w:r w:rsidR="006D0814">
        <w:rPr>
          <w:rFonts w:ascii="Arial" w:eastAsia="Calibri" w:hAnsi="Arial" w:cs="Arial"/>
        </w:rPr>
        <w:t xml:space="preserve">which enable them to treat patients in the community </w:t>
      </w:r>
      <w:r w:rsidRPr="00F70CD6">
        <w:rPr>
          <w:rFonts w:ascii="Arial" w:eastAsia="Calibri" w:hAnsi="Arial" w:cs="Arial"/>
        </w:rPr>
        <w:t>are</w:t>
      </w:r>
      <w:r w:rsidR="00EC44CA">
        <w:rPr>
          <w:rFonts w:ascii="Arial" w:eastAsia="Calibri" w:hAnsi="Arial" w:cs="Arial"/>
        </w:rPr>
        <w:t xml:space="preserve"> therefore important</w:t>
      </w:r>
      <w:r w:rsidR="00722BDB">
        <w:rPr>
          <w:rFonts w:ascii="Arial" w:eastAsia="Calibri" w:hAnsi="Arial" w:cs="Arial"/>
        </w:rPr>
        <w:t xml:space="preserve"> (NHS England, 2017</w:t>
      </w:r>
      <w:r w:rsidR="008F1993">
        <w:rPr>
          <w:rFonts w:ascii="Arial" w:eastAsia="Calibri" w:hAnsi="Arial" w:cs="Arial"/>
        </w:rPr>
        <w:t>;</w:t>
      </w:r>
      <w:r w:rsidR="00722BDB">
        <w:rPr>
          <w:rFonts w:ascii="Arial" w:eastAsia="Calibri" w:hAnsi="Arial" w:cs="Arial"/>
        </w:rPr>
        <w:t xml:space="preserve"> National Institute of Healthcare and Clinical Excellence (NICE), 2017).</w:t>
      </w:r>
      <w:r>
        <w:rPr>
          <w:rFonts w:ascii="Arial" w:eastAsia="Calibri" w:hAnsi="Arial" w:cs="Arial"/>
        </w:rPr>
        <w:t xml:space="preserve"> </w:t>
      </w:r>
    </w:p>
    <w:p w14:paraId="1F00733D" w14:textId="77777777" w:rsidR="002C1A0A" w:rsidRDefault="002C1A0A" w:rsidP="00F70214">
      <w:pPr>
        <w:rPr>
          <w:rFonts w:ascii="Arial" w:eastAsia="Calibri" w:hAnsi="Arial" w:cs="Arial"/>
        </w:rPr>
      </w:pPr>
    </w:p>
    <w:p w14:paraId="6F51C107" w14:textId="5A20B2EC" w:rsidR="002A35EE" w:rsidRDefault="002C1A0A" w:rsidP="00F70214">
      <w:pPr>
        <w:rPr>
          <w:rFonts w:ascii="Arial" w:eastAsia="Calibri" w:hAnsi="Arial" w:cs="Arial"/>
        </w:rPr>
      </w:pPr>
      <w:r>
        <w:rPr>
          <w:rFonts w:ascii="Arial" w:eastAsia="Calibri" w:hAnsi="Arial" w:cs="Arial"/>
        </w:rPr>
        <w:t xml:space="preserve">Previous research has demonstrated that </w:t>
      </w:r>
      <w:r w:rsidR="006D0814">
        <w:rPr>
          <w:rFonts w:ascii="Arial" w:eastAsia="Calibri" w:hAnsi="Arial" w:cs="Arial"/>
        </w:rPr>
        <w:t>the</w:t>
      </w:r>
      <w:r w:rsidR="0067742A">
        <w:rPr>
          <w:rFonts w:ascii="Arial" w:eastAsia="Calibri" w:hAnsi="Arial" w:cs="Arial"/>
        </w:rPr>
        <w:t xml:space="preserve"> initial</w:t>
      </w:r>
      <w:r w:rsidR="006D0814">
        <w:rPr>
          <w:rFonts w:ascii="Arial" w:eastAsia="Calibri" w:hAnsi="Arial" w:cs="Arial"/>
        </w:rPr>
        <w:t xml:space="preserve"> extended paramedic role of </w:t>
      </w:r>
      <w:r w:rsidR="00455256">
        <w:rPr>
          <w:rFonts w:ascii="Arial" w:eastAsia="Calibri" w:hAnsi="Arial" w:cs="Arial"/>
        </w:rPr>
        <w:t xml:space="preserve">the </w:t>
      </w:r>
      <w:r w:rsidR="002A35EE">
        <w:rPr>
          <w:rFonts w:ascii="Arial" w:eastAsia="Calibri" w:hAnsi="Arial" w:cs="Arial"/>
        </w:rPr>
        <w:t>emergency care practitioner (ECP</w:t>
      </w:r>
      <w:r>
        <w:rPr>
          <w:rFonts w:ascii="Arial" w:eastAsia="Calibri" w:hAnsi="Arial" w:cs="Arial"/>
        </w:rPr>
        <w:t>)</w:t>
      </w:r>
      <w:r w:rsidR="006D0814">
        <w:rPr>
          <w:rFonts w:ascii="Arial" w:eastAsia="Calibri" w:hAnsi="Arial" w:cs="Arial"/>
        </w:rPr>
        <w:t>,</w:t>
      </w:r>
      <w:r>
        <w:rPr>
          <w:rFonts w:ascii="Arial" w:eastAsia="Calibri" w:hAnsi="Arial" w:cs="Arial"/>
        </w:rPr>
        <w:t xml:space="preserve"> </w:t>
      </w:r>
      <w:r w:rsidR="00F2289E">
        <w:rPr>
          <w:rFonts w:ascii="Arial" w:eastAsia="Calibri" w:hAnsi="Arial" w:cs="Arial"/>
        </w:rPr>
        <w:t>which included, for the first time, the ability to supply</w:t>
      </w:r>
      <w:r w:rsidR="00715308">
        <w:rPr>
          <w:rFonts w:ascii="Arial" w:eastAsia="Calibri" w:hAnsi="Arial" w:cs="Arial"/>
        </w:rPr>
        <w:t xml:space="preserve"> a range of</w:t>
      </w:r>
      <w:r w:rsidR="00F2289E">
        <w:rPr>
          <w:rFonts w:ascii="Arial" w:eastAsia="Calibri" w:hAnsi="Arial" w:cs="Arial"/>
        </w:rPr>
        <w:t xml:space="preserve"> medicines </w:t>
      </w:r>
      <w:r w:rsidR="00715308">
        <w:rPr>
          <w:rFonts w:ascii="Arial" w:eastAsia="Calibri" w:hAnsi="Arial" w:cs="Arial"/>
        </w:rPr>
        <w:t>using</w:t>
      </w:r>
      <w:r w:rsidR="00F2289E">
        <w:rPr>
          <w:rFonts w:ascii="Arial" w:eastAsia="Calibri" w:hAnsi="Arial" w:cs="Arial"/>
        </w:rPr>
        <w:t xml:space="preserve"> </w:t>
      </w:r>
      <w:r w:rsidR="00C64E72">
        <w:rPr>
          <w:rFonts w:ascii="Arial" w:eastAsia="Calibri" w:hAnsi="Arial" w:cs="Arial"/>
        </w:rPr>
        <w:t>patient group directions (PGDs)</w:t>
      </w:r>
      <w:r w:rsidR="00F2289E">
        <w:rPr>
          <w:rFonts w:ascii="Arial" w:eastAsia="Calibri" w:hAnsi="Arial" w:cs="Arial"/>
        </w:rPr>
        <w:t xml:space="preserve"> </w:t>
      </w:r>
      <w:r w:rsidR="002A35EE">
        <w:rPr>
          <w:rFonts w:ascii="Arial" w:eastAsia="Calibri" w:hAnsi="Arial" w:cs="Arial"/>
        </w:rPr>
        <w:t>resulted in</w:t>
      </w:r>
      <w:r>
        <w:rPr>
          <w:rFonts w:ascii="Arial" w:eastAsia="Calibri" w:hAnsi="Arial" w:cs="Arial"/>
        </w:rPr>
        <w:t xml:space="preserve"> significantly more patients </w:t>
      </w:r>
      <w:r w:rsidR="002A35EE">
        <w:rPr>
          <w:rFonts w:ascii="Arial" w:eastAsia="Calibri" w:hAnsi="Arial" w:cs="Arial"/>
        </w:rPr>
        <w:t xml:space="preserve">being treated </w:t>
      </w:r>
      <w:r>
        <w:rPr>
          <w:rFonts w:ascii="Arial" w:eastAsia="Calibri" w:hAnsi="Arial" w:cs="Arial"/>
        </w:rPr>
        <w:t>i</w:t>
      </w:r>
      <w:r w:rsidR="002A35EE">
        <w:rPr>
          <w:rFonts w:ascii="Arial" w:eastAsia="Calibri" w:hAnsi="Arial" w:cs="Arial"/>
        </w:rPr>
        <w:t>n the community than when</w:t>
      </w:r>
      <w:r>
        <w:rPr>
          <w:rFonts w:ascii="Arial" w:eastAsia="Calibri" w:hAnsi="Arial" w:cs="Arial"/>
        </w:rPr>
        <w:t xml:space="preserve"> </w:t>
      </w:r>
      <w:r w:rsidR="002A35EE">
        <w:rPr>
          <w:rFonts w:ascii="Arial" w:eastAsia="Calibri" w:hAnsi="Arial" w:cs="Arial"/>
        </w:rPr>
        <w:t>attended by</w:t>
      </w:r>
      <w:r>
        <w:rPr>
          <w:rFonts w:ascii="Arial" w:eastAsia="Calibri" w:hAnsi="Arial" w:cs="Arial"/>
        </w:rPr>
        <w:t xml:space="preserve"> non-s</w:t>
      </w:r>
      <w:r w:rsidR="009D0367">
        <w:rPr>
          <w:rFonts w:ascii="Arial" w:eastAsia="Calibri" w:hAnsi="Arial" w:cs="Arial"/>
        </w:rPr>
        <w:t>pecialist paramedics (NSPs) (Tohira, Williams, Jacobs, Bremner and Finn, 2014).</w:t>
      </w:r>
    </w:p>
    <w:p w14:paraId="2E670987" w14:textId="77777777" w:rsidR="002A35EE" w:rsidRDefault="002A35EE" w:rsidP="00F70214">
      <w:pPr>
        <w:rPr>
          <w:rFonts w:ascii="Arial" w:eastAsia="Calibri" w:hAnsi="Arial" w:cs="Arial"/>
        </w:rPr>
      </w:pPr>
    </w:p>
    <w:p w14:paraId="41E54DBE" w14:textId="5A4942B7" w:rsidR="002C1A0A" w:rsidRPr="00F70CD6" w:rsidRDefault="00D22E11" w:rsidP="00F70214">
      <w:pPr>
        <w:rPr>
          <w:rFonts w:ascii="Arial" w:eastAsia="Calibri" w:hAnsi="Arial" w:cs="Arial"/>
        </w:rPr>
      </w:pPr>
      <w:r>
        <w:rPr>
          <w:rFonts w:ascii="Arial" w:eastAsia="Calibri" w:hAnsi="Arial" w:cs="Arial"/>
        </w:rPr>
        <w:t>In the UK, t</w:t>
      </w:r>
      <w:r w:rsidR="006D0814">
        <w:rPr>
          <w:rFonts w:ascii="Arial" w:eastAsia="Calibri" w:hAnsi="Arial" w:cs="Arial"/>
        </w:rPr>
        <w:t>he</w:t>
      </w:r>
      <w:r w:rsidR="00EC44CA">
        <w:rPr>
          <w:rFonts w:ascii="Arial" w:eastAsia="Calibri" w:hAnsi="Arial" w:cs="Arial"/>
        </w:rPr>
        <w:t xml:space="preserve"> role </w:t>
      </w:r>
      <w:r w:rsidR="0067742A">
        <w:rPr>
          <w:rFonts w:ascii="Arial" w:eastAsia="Calibri" w:hAnsi="Arial" w:cs="Arial"/>
        </w:rPr>
        <w:t>of</w:t>
      </w:r>
      <w:r w:rsidR="002C1A0A">
        <w:rPr>
          <w:rFonts w:ascii="Arial" w:eastAsia="Calibri" w:hAnsi="Arial" w:cs="Arial"/>
        </w:rPr>
        <w:t xml:space="preserve"> specialist paramedic (emergency and urgent care) (SPEUC)</w:t>
      </w:r>
      <w:r w:rsidR="00EC44CA">
        <w:rPr>
          <w:rFonts w:ascii="Arial" w:eastAsia="Calibri" w:hAnsi="Arial" w:cs="Arial"/>
        </w:rPr>
        <w:t xml:space="preserve"> has since replaced the ECP role</w:t>
      </w:r>
      <w:r w:rsidR="0036246B">
        <w:rPr>
          <w:rFonts w:ascii="Arial" w:eastAsia="Calibri" w:hAnsi="Arial" w:cs="Arial"/>
        </w:rPr>
        <w:t xml:space="preserve">. </w:t>
      </w:r>
      <w:r w:rsidR="00E87AFE">
        <w:rPr>
          <w:rFonts w:ascii="Arial" w:eastAsia="Calibri" w:hAnsi="Arial" w:cs="Arial"/>
        </w:rPr>
        <w:t>T</w:t>
      </w:r>
      <w:r w:rsidR="002C1A0A" w:rsidRPr="00F70CD6">
        <w:rPr>
          <w:rFonts w:ascii="Arial" w:eastAsia="Calibri" w:hAnsi="Arial" w:cs="Arial"/>
        </w:rPr>
        <w:t xml:space="preserve">he College of Paramedics (CoP) </w:t>
      </w:r>
      <w:r w:rsidR="006D0814">
        <w:rPr>
          <w:rFonts w:ascii="Arial" w:eastAsia="Calibri" w:hAnsi="Arial" w:cs="Arial"/>
        </w:rPr>
        <w:t xml:space="preserve">have </w:t>
      </w:r>
      <w:r w:rsidR="00455256">
        <w:rPr>
          <w:rFonts w:ascii="Arial" w:eastAsia="Calibri" w:hAnsi="Arial" w:cs="Arial"/>
        </w:rPr>
        <w:t xml:space="preserve">also </w:t>
      </w:r>
      <w:r w:rsidR="006D0814">
        <w:rPr>
          <w:rFonts w:ascii="Arial" w:eastAsia="Calibri" w:hAnsi="Arial" w:cs="Arial"/>
        </w:rPr>
        <w:t>recommended</w:t>
      </w:r>
      <w:r w:rsidR="00E87AFE">
        <w:rPr>
          <w:rFonts w:ascii="Arial" w:eastAsia="Calibri" w:hAnsi="Arial" w:cs="Arial"/>
        </w:rPr>
        <w:t xml:space="preserve"> </w:t>
      </w:r>
      <w:r w:rsidR="006D0814">
        <w:rPr>
          <w:rFonts w:ascii="Arial" w:eastAsia="Calibri" w:hAnsi="Arial" w:cs="Arial"/>
        </w:rPr>
        <w:t>that the level of education for SPEUCs</w:t>
      </w:r>
      <w:r w:rsidR="00E87AFE">
        <w:rPr>
          <w:rFonts w:ascii="Arial" w:eastAsia="Calibri" w:hAnsi="Arial" w:cs="Arial"/>
        </w:rPr>
        <w:t xml:space="preserve"> </w:t>
      </w:r>
      <w:r w:rsidR="006D0814">
        <w:rPr>
          <w:rFonts w:ascii="Arial" w:eastAsia="Calibri" w:hAnsi="Arial" w:cs="Arial"/>
        </w:rPr>
        <w:t xml:space="preserve">should be </w:t>
      </w:r>
      <w:r w:rsidR="0067742A">
        <w:rPr>
          <w:rFonts w:ascii="Arial" w:eastAsia="Calibri" w:hAnsi="Arial" w:cs="Arial"/>
        </w:rPr>
        <w:t>increased from degree to</w:t>
      </w:r>
      <w:r w:rsidR="009D0367">
        <w:rPr>
          <w:rFonts w:ascii="Arial" w:eastAsia="Calibri" w:hAnsi="Arial" w:cs="Arial"/>
        </w:rPr>
        <w:t xml:space="preserve"> post-graduate level</w:t>
      </w:r>
      <w:r w:rsidR="00455256">
        <w:rPr>
          <w:rFonts w:ascii="Arial" w:eastAsia="Calibri" w:hAnsi="Arial" w:cs="Arial"/>
        </w:rPr>
        <w:t xml:space="preserve">. Additionally, specialist paramedics who go on to develop into advanced paramedics should be educated at masters level </w:t>
      </w:r>
      <w:r w:rsidR="009D0367">
        <w:rPr>
          <w:rFonts w:ascii="Arial" w:eastAsia="Calibri" w:hAnsi="Arial" w:cs="Arial"/>
        </w:rPr>
        <w:t>(Co</w:t>
      </w:r>
      <w:r w:rsidR="008F1993">
        <w:rPr>
          <w:rFonts w:ascii="Arial" w:eastAsia="Calibri" w:hAnsi="Arial" w:cs="Arial"/>
        </w:rPr>
        <w:t>llege of Paramedics</w:t>
      </w:r>
      <w:r w:rsidR="009D0367">
        <w:rPr>
          <w:rFonts w:ascii="Arial" w:eastAsia="Calibri" w:hAnsi="Arial" w:cs="Arial"/>
        </w:rPr>
        <w:t>, 2017).</w:t>
      </w:r>
    </w:p>
    <w:p w14:paraId="7E1C398E" w14:textId="77777777" w:rsidR="00F2289E" w:rsidRDefault="00F2289E" w:rsidP="00F70214">
      <w:pPr>
        <w:rPr>
          <w:rFonts w:ascii="Arial" w:hAnsi="Arial" w:cs="Arial"/>
        </w:rPr>
      </w:pPr>
    </w:p>
    <w:p w14:paraId="3B5B221E" w14:textId="4CBA7087" w:rsidR="00C01614" w:rsidRDefault="00F2289E" w:rsidP="00F70214">
      <w:pPr>
        <w:rPr>
          <w:rFonts w:ascii="Arial" w:hAnsi="Arial" w:cs="Arial"/>
        </w:rPr>
      </w:pPr>
      <w:r>
        <w:rPr>
          <w:rFonts w:ascii="Arial" w:hAnsi="Arial" w:cs="Arial"/>
        </w:rPr>
        <w:t>U</w:t>
      </w:r>
      <w:r w:rsidR="002C1A0A" w:rsidRPr="00EB3EA5">
        <w:rPr>
          <w:rFonts w:ascii="Arial" w:hAnsi="Arial" w:cs="Arial"/>
        </w:rPr>
        <w:t>nder current medicines legislation</w:t>
      </w:r>
      <w:r w:rsidR="002A35EE">
        <w:rPr>
          <w:rFonts w:ascii="Arial" w:hAnsi="Arial" w:cs="Arial"/>
        </w:rPr>
        <w:t xml:space="preserve"> exemptions</w:t>
      </w:r>
      <w:r w:rsidR="00DE0451">
        <w:rPr>
          <w:rFonts w:ascii="Arial" w:hAnsi="Arial" w:cs="Arial"/>
        </w:rPr>
        <w:t>,</w:t>
      </w:r>
      <w:r w:rsidR="002C1A0A" w:rsidRPr="00EB3EA5">
        <w:rPr>
          <w:rFonts w:ascii="Arial" w:hAnsi="Arial" w:cs="Arial"/>
        </w:rPr>
        <w:t xml:space="preserve"> </w:t>
      </w:r>
      <w:r w:rsidR="002A35EE">
        <w:rPr>
          <w:rFonts w:ascii="Arial" w:hAnsi="Arial" w:cs="Arial"/>
        </w:rPr>
        <w:t>all</w:t>
      </w:r>
      <w:r w:rsidR="002C1A0A" w:rsidRPr="00EB3EA5">
        <w:rPr>
          <w:rFonts w:ascii="Arial" w:hAnsi="Arial" w:cs="Arial"/>
        </w:rPr>
        <w:t xml:space="preserve"> paramedics can administer a range of medicines on their own initia</w:t>
      </w:r>
      <w:r w:rsidR="007D542F">
        <w:rPr>
          <w:rFonts w:ascii="Arial" w:hAnsi="Arial" w:cs="Arial"/>
        </w:rPr>
        <w:t>tive to provide emergency</w:t>
      </w:r>
      <w:r w:rsidR="002C1A0A" w:rsidRPr="00EB3EA5">
        <w:rPr>
          <w:rFonts w:ascii="Arial" w:hAnsi="Arial" w:cs="Arial"/>
        </w:rPr>
        <w:t xml:space="preserve"> treatment</w:t>
      </w:r>
      <w:r w:rsidR="000A62FA">
        <w:rPr>
          <w:rFonts w:ascii="Arial" w:hAnsi="Arial" w:cs="Arial"/>
        </w:rPr>
        <w:t xml:space="preserve">. </w:t>
      </w:r>
      <w:r w:rsidR="00C12F35">
        <w:rPr>
          <w:rFonts w:ascii="Arial" w:hAnsi="Arial" w:cs="Arial"/>
        </w:rPr>
        <w:t>Medicines legislation also permits NHS Trusts to authorise healthcare professionals such as</w:t>
      </w:r>
      <w:r w:rsidR="00C12F35" w:rsidRPr="00EB3EA5">
        <w:rPr>
          <w:rFonts w:ascii="Arial" w:hAnsi="Arial" w:cs="Arial"/>
        </w:rPr>
        <w:t xml:space="preserve"> </w:t>
      </w:r>
      <w:r w:rsidR="002C1A0A" w:rsidRPr="00EB3EA5">
        <w:rPr>
          <w:rFonts w:ascii="Arial" w:hAnsi="Arial" w:cs="Arial"/>
        </w:rPr>
        <w:t xml:space="preserve">SPEUCs </w:t>
      </w:r>
      <w:r w:rsidR="00C12F35">
        <w:rPr>
          <w:rFonts w:ascii="Arial" w:hAnsi="Arial" w:cs="Arial"/>
        </w:rPr>
        <w:t xml:space="preserve">to </w:t>
      </w:r>
      <w:r w:rsidR="002C1A0A" w:rsidRPr="00EB3EA5">
        <w:rPr>
          <w:rFonts w:ascii="Arial" w:hAnsi="Arial" w:cs="Arial"/>
        </w:rPr>
        <w:t>suppl</w:t>
      </w:r>
      <w:r w:rsidR="00C12F35">
        <w:rPr>
          <w:rFonts w:ascii="Arial" w:hAnsi="Arial" w:cs="Arial"/>
        </w:rPr>
        <w:t xml:space="preserve">y </w:t>
      </w:r>
      <w:r w:rsidR="002C1A0A" w:rsidRPr="00EB3EA5">
        <w:rPr>
          <w:rFonts w:ascii="Arial" w:hAnsi="Arial" w:cs="Arial"/>
        </w:rPr>
        <w:t>an additional range of medication such as antibiotics and analgesia</w:t>
      </w:r>
      <w:r w:rsidR="00E04BFE">
        <w:rPr>
          <w:rFonts w:ascii="Arial" w:hAnsi="Arial" w:cs="Arial"/>
        </w:rPr>
        <w:t xml:space="preserve"> </w:t>
      </w:r>
      <w:r w:rsidR="00C12F35">
        <w:rPr>
          <w:rFonts w:ascii="Arial" w:hAnsi="Arial" w:cs="Arial"/>
        </w:rPr>
        <w:t>or</w:t>
      </w:r>
      <w:r w:rsidR="00E04BFE">
        <w:rPr>
          <w:rFonts w:ascii="Arial" w:hAnsi="Arial" w:cs="Arial"/>
        </w:rPr>
        <w:t xml:space="preserve"> administer medications to treat </w:t>
      </w:r>
      <w:r w:rsidR="00373F1D">
        <w:rPr>
          <w:rFonts w:ascii="Arial" w:hAnsi="Arial" w:cs="Arial"/>
        </w:rPr>
        <w:t xml:space="preserve">conditions such as </w:t>
      </w:r>
      <w:r w:rsidR="00E04BFE">
        <w:rPr>
          <w:rFonts w:ascii="Arial" w:hAnsi="Arial" w:cs="Arial"/>
        </w:rPr>
        <w:t xml:space="preserve">vomiting </w:t>
      </w:r>
      <w:r w:rsidR="00373F1D">
        <w:rPr>
          <w:rFonts w:ascii="Arial" w:hAnsi="Arial" w:cs="Arial"/>
        </w:rPr>
        <w:t>or</w:t>
      </w:r>
      <w:r w:rsidR="00E04BFE">
        <w:rPr>
          <w:rFonts w:ascii="Arial" w:hAnsi="Arial" w:cs="Arial"/>
        </w:rPr>
        <w:t xml:space="preserve"> acute pain, </w:t>
      </w:r>
      <w:r w:rsidR="002C1A0A" w:rsidRPr="00EB3EA5">
        <w:rPr>
          <w:rFonts w:ascii="Arial" w:hAnsi="Arial" w:cs="Arial"/>
        </w:rPr>
        <w:t xml:space="preserve">using locally-determined </w:t>
      </w:r>
      <w:r w:rsidR="00C64E72">
        <w:rPr>
          <w:rFonts w:ascii="Arial" w:hAnsi="Arial" w:cs="Arial"/>
        </w:rPr>
        <w:t>PGDs. These</w:t>
      </w:r>
      <w:r w:rsidR="002C1A0A" w:rsidRPr="00EB3EA5">
        <w:rPr>
          <w:rFonts w:ascii="Arial" w:hAnsi="Arial" w:cs="Arial"/>
        </w:rPr>
        <w:t xml:space="preserve"> </w:t>
      </w:r>
      <w:r w:rsidR="00C12F35">
        <w:rPr>
          <w:rFonts w:ascii="Arial" w:hAnsi="Arial" w:cs="Arial"/>
        </w:rPr>
        <w:t>provide a legal mechanism for the</w:t>
      </w:r>
      <w:r w:rsidR="002C1A0A" w:rsidRPr="00EB3EA5">
        <w:rPr>
          <w:rFonts w:ascii="Arial" w:hAnsi="Arial" w:cs="Arial"/>
        </w:rPr>
        <w:t xml:space="preserve"> supply and/or administration of a medicine </w:t>
      </w:r>
      <w:r w:rsidR="00C01614">
        <w:rPr>
          <w:rFonts w:ascii="Arial" w:hAnsi="Arial" w:cs="Arial"/>
        </w:rPr>
        <w:t xml:space="preserve">to patients who meet pre-determined </w:t>
      </w:r>
      <w:r w:rsidR="005843F7">
        <w:rPr>
          <w:rFonts w:ascii="Arial" w:hAnsi="Arial" w:cs="Arial"/>
        </w:rPr>
        <w:t xml:space="preserve">clinical </w:t>
      </w:r>
      <w:r w:rsidR="00C01614">
        <w:rPr>
          <w:rFonts w:ascii="Arial" w:hAnsi="Arial" w:cs="Arial"/>
        </w:rPr>
        <w:t>inclusion</w:t>
      </w:r>
      <w:r w:rsidR="005843F7">
        <w:rPr>
          <w:rFonts w:ascii="Arial" w:hAnsi="Arial" w:cs="Arial"/>
        </w:rPr>
        <w:t xml:space="preserve"> </w:t>
      </w:r>
      <w:r w:rsidR="00C01614">
        <w:rPr>
          <w:rFonts w:ascii="Arial" w:hAnsi="Arial" w:cs="Arial"/>
        </w:rPr>
        <w:t xml:space="preserve">criteria detailed within </w:t>
      </w:r>
      <w:r w:rsidR="005843F7">
        <w:rPr>
          <w:rFonts w:ascii="Arial" w:hAnsi="Arial" w:cs="Arial"/>
        </w:rPr>
        <w:t xml:space="preserve">a </w:t>
      </w:r>
      <w:r w:rsidR="00C01614">
        <w:rPr>
          <w:rFonts w:ascii="Arial" w:hAnsi="Arial" w:cs="Arial"/>
        </w:rPr>
        <w:t xml:space="preserve">PGD document. If these criteria are not met however, the PGD cannot be used to legally supply or administer </w:t>
      </w:r>
      <w:r w:rsidR="005843F7">
        <w:rPr>
          <w:rFonts w:ascii="Arial" w:hAnsi="Arial" w:cs="Arial"/>
        </w:rPr>
        <w:t xml:space="preserve">the </w:t>
      </w:r>
      <w:r w:rsidR="00C01614">
        <w:rPr>
          <w:rFonts w:ascii="Arial" w:hAnsi="Arial" w:cs="Arial"/>
        </w:rPr>
        <w:t xml:space="preserve">medication to a patient. </w:t>
      </w:r>
    </w:p>
    <w:p w14:paraId="3238BBF4" w14:textId="77777777" w:rsidR="00C01614" w:rsidRDefault="00C01614" w:rsidP="00F70214">
      <w:pPr>
        <w:rPr>
          <w:rFonts w:ascii="Arial" w:hAnsi="Arial" w:cs="Arial"/>
        </w:rPr>
      </w:pPr>
    </w:p>
    <w:p w14:paraId="5B88D64B" w14:textId="407899D5" w:rsidR="002C1A0A" w:rsidRDefault="002C1A0A" w:rsidP="00F70214">
      <w:pPr>
        <w:rPr>
          <w:rFonts w:ascii="Arial" w:hAnsi="Arial" w:cs="Arial"/>
        </w:rPr>
      </w:pPr>
      <w:r>
        <w:rPr>
          <w:rFonts w:ascii="Arial" w:hAnsi="Arial" w:cs="Arial"/>
        </w:rPr>
        <w:t xml:space="preserve">Recently, independent </w:t>
      </w:r>
      <w:r w:rsidR="004B036C">
        <w:rPr>
          <w:rFonts w:ascii="Arial" w:hAnsi="Arial" w:cs="Arial"/>
        </w:rPr>
        <w:t xml:space="preserve">and supplementary </w:t>
      </w:r>
      <w:r>
        <w:rPr>
          <w:rFonts w:ascii="Arial" w:hAnsi="Arial" w:cs="Arial"/>
        </w:rPr>
        <w:t xml:space="preserve">prescribing </w:t>
      </w:r>
      <w:r w:rsidR="00657ADA">
        <w:rPr>
          <w:rFonts w:ascii="Arial" w:hAnsi="Arial" w:cs="Arial"/>
        </w:rPr>
        <w:t>authority for</w:t>
      </w:r>
      <w:r w:rsidR="004B036C">
        <w:rPr>
          <w:rFonts w:ascii="Arial" w:hAnsi="Arial" w:cs="Arial"/>
        </w:rPr>
        <w:t xml:space="preserve"> paramedics </w:t>
      </w:r>
      <w:r>
        <w:rPr>
          <w:rFonts w:ascii="Arial" w:hAnsi="Arial" w:cs="Arial"/>
        </w:rPr>
        <w:t xml:space="preserve">has been approved </w:t>
      </w:r>
      <w:r w:rsidR="00754043">
        <w:rPr>
          <w:rFonts w:ascii="Arial" w:hAnsi="Arial" w:cs="Arial"/>
        </w:rPr>
        <w:t xml:space="preserve">in England </w:t>
      </w:r>
      <w:r>
        <w:rPr>
          <w:rFonts w:ascii="Arial" w:hAnsi="Arial" w:cs="Arial"/>
        </w:rPr>
        <w:t xml:space="preserve">and </w:t>
      </w:r>
      <w:r w:rsidR="00657ADA">
        <w:rPr>
          <w:rFonts w:ascii="Arial" w:hAnsi="Arial" w:cs="Arial"/>
        </w:rPr>
        <w:t xml:space="preserve">will be </w:t>
      </w:r>
      <w:r w:rsidR="007A7BDC">
        <w:rPr>
          <w:rFonts w:ascii="Arial" w:hAnsi="Arial" w:cs="Arial"/>
        </w:rPr>
        <w:t>permissible</w:t>
      </w:r>
      <w:r>
        <w:rPr>
          <w:rFonts w:ascii="Arial" w:hAnsi="Arial" w:cs="Arial"/>
        </w:rPr>
        <w:t xml:space="preserve"> </w:t>
      </w:r>
      <w:r w:rsidR="00657ADA">
        <w:rPr>
          <w:rFonts w:ascii="Arial" w:hAnsi="Arial" w:cs="Arial"/>
        </w:rPr>
        <w:t xml:space="preserve">by </w:t>
      </w:r>
      <w:r>
        <w:rPr>
          <w:rFonts w:ascii="Arial" w:hAnsi="Arial" w:cs="Arial"/>
        </w:rPr>
        <w:t>advanced</w:t>
      </w:r>
      <w:r w:rsidR="00715308">
        <w:rPr>
          <w:rFonts w:ascii="Arial" w:hAnsi="Arial" w:cs="Arial"/>
        </w:rPr>
        <w:t xml:space="preserve"> level</w:t>
      </w:r>
      <w:r>
        <w:rPr>
          <w:rFonts w:ascii="Arial" w:hAnsi="Arial" w:cs="Arial"/>
        </w:rPr>
        <w:t xml:space="preserve"> paramedics</w:t>
      </w:r>
      <w:r w:rsidR="009D0367">
        <w:rPr>
          <w:rFonts w:ascii="Arial" w:hAnsi="Arial" w:cs="Arial"/>
        </w:rPr>
        <w:t xml:space="preserve"> (NHS England, 2016, Commission on Human Medicines, 2017). </w:t>
      </w:r>
      <w:r w:rsidR="00715308">
        <w:rPr>
          <w:rFonts w:ascii="Arial" w:hAnsi="Arial" w:cs="Arial"/>
        </w:rPr>
        <w:t xml:space="preserve"> </w:t>
      </w:r>
      <w:r w:rsidR="0036246B">
        <w:rPr>
          <w:rFonts w:ascii="Arial" w:hAnsi="Arial" w:cs="Arial"/>
        </w:rPr>
        <w:t>At the time of this study</w:t>
      </w:r>
      <w:r w:rsidR="00160E79">
        <w:rPr>
          <w:rFonts w:ascii="Arial" w:hAnsi="Arial" w:cs="Arial"/>
        </w:rPr>
        <w:t>,</w:t>
      </w:r>
      <w:r w:rsidRPr="00EB3EA5">
        <w:rPr>
          <w:rFonts w:ascii="Arial" w:hAnsi="Arial" w:cs="Arial"/>
        </w:rPr>
        <w:t xml:space="preserve"> </w:t>
      </w:r>
      <w:r w:rsidR="00A9698F">
        <w:rPr>
          <w:rFonts w:ascii="Arial" w:hAnsi="Arial" w:cs="Arial"/>
        </w:rPr>
        <w:t>advanced paramedic roles had not been implemented</w:t>
      </w:r>
      <w:r w:rsidR="00CA6AB4">
        <w:rPr>
          <w:rFonts w:ascii="Arial" w:hAnsi="Arial" w:cs="Arial"/>
        </w:rPr>
        <w:t xml:space="preserve"> by ambulance Trusts</w:t>
      </w:r>
      <w:r w:rsidR="00B02FA3">
        <w:rPr>
          <w:rFonts w:ascii="Arial" w:hAnsi="Arial" w:cs="Arial"/>
        </w:rPr>
        <w:t xml:space="preserve"> in England</w:t>
      </w:r>
      <w:r w:rsidR="0065637F">
        <w:rPr>
          <w:rFonts w:ascii="Arial" w:hAnsi="Arial" w:cs="Arial"/>
        </w:rPr>
        <w:t>. H</w:t>
      </w:r>
      <w:r w:rsidR="00A9698F">
        <w:rPr>
          <w:rFonts w:ascii="Arial" w:hAnsi="Arial" w:cs="Arial"/>
        </w:rPr>
        <w:t>owever</w:t>
      </w:r>
      <w:r w:rsidR="0065637F">
        <w:rPr>
          <w:rFonts w:ascii="Arial" w:hAnsi="Arial" w:cs="Arial"/>
        </w:rPr>
        <w:t>,</w:t>
      </w:r>
      <w:r w:rsidR="00571855">
        <w:rPr>
          <w:rFonts w:ascii="Arial" w:hAnsi="Arial" w:cs="Arial"/>
        </w:rPr>
        <w:t xml:space="preserve"> f</w:t>
      </w:r>
      <w:r w:rsidR="006F7268">
        <w:rPr>
          <w:rFonts w:ascii="Arial" w:hAnsi="Arial" w:cs="Arial"/>
        </w:rPr>
        <w:t xml:space="preserve">reedom of information requests </w:t>
      </w:r>
      <w:r w:rsidR="00657ADA">
        <w:rPr>
          <w:rFonts w:ascii="Arial" w:hAnsi="Arial" w:cs="Arial"/>
        </w:rPr>
        <w:t xml:space="preserve">by the author </w:t>
      </w:r>
      <w:r w:rsidR="006F7268">
        <w:rPr>
          <w:rFonts w:ascii="Arial" w:hAnsi="Arial" w:cs="Arial"/>
        </w:rPr>
        <w:t>revealed that</w:t>
      </w:r>
      <w:r w:rsidR="00A9698F">
        <w:rPr>
          <w:rFonts w:ascii="Arial" w:hAnsi="Arial" w:cs="Arial"/>
        </w:rPr>
        <w:t xml:space="preserve"> most ambulance </w:t>
      </w:r>
      <w:r w:rsidR="0065637F">
        <w:rPr>
          <w:rFonts w:ascii="Arial" w:hAnsi="Arial" w:cs="Arial"/>
        </w:rPr>
        <w:t>Trusts employed SPEUCs</w:t>
      </w:r>
      <w:r w:rsidR="000B5E4D">
        <w:rPr>
          <w:rFonts w:ascii="Arial" w:hAnsi="Arial" w:cs="Arial"/>
        </w:rPr>
        <w:t xml:space="preserve"> </w:t>
      </w:r>
      <w:r w:rsidR="0065637F">
        <w:rPr>
          <w:rFonts w:ascii="Arial" w:hAnsi="Arial" w:cs="Arial"/>
        </w:rPr>
        <w:t xml:space="preserve">eligible to develop into advanced paramedic roles and adopt </w:t>
      </w:r>
      <w:r w:rsidR="004B036C">
        <w:rPr>
          <w:rFonts w:ascii="Arial" w:hAnsi="Arial" w:cs="Arial"/>
        </w:rPr>
        <w:t>PISP</w:t>
      </w:r>
      <w:r w:rsidR="0065637F">
        <w:rPr>
          <w:rFonts w:ascii="Arial" w:hAnsi="Arial" w:cs="Arial"/>
        </w:rPr>
        <w:t>.</w:t>
      </w:r>
    </w:p>
    <w:p w14:paraId="2B91DD7B" w14:textId="77777777" w:rsidR="002C1A0A" w:rsidRDefault="002C1A0A" w:rsidP="00F70214">
      <w:pPr>
        <w:rPr>
          <w:rFonts w:ascii="Arial" w:hAnsi="Arial" w:cs="Arial"/>
        </w:rPr>
      </w:pPr>
    </w:p>
    <w:p w14:paraId="15EA702F" w14:textId="39AF3E85" w:rsidR="002C1A0A" w:rsidRDefault="00953C13" w:rsidP="00F70214">
      <w:pPr>
        <w:rPr>
          <w:rFonts w:ascii="Arial" w:eastAsia="Calibri" w:hAnsi="Arial" w:cs="Arial"/>
        </w:rPr>
      </w:pPr>
      <w:r>
        <w:rPr>
          <w:rFonts w:ascii="Arial" w:hAnsi="Arial" w:cs="Arial"/>
        </w:rPr>
        <w:t>However,</w:t>
      </w:r>
      <w:r w:rsidR="00D54BC0">
        <w:rPr>
          <w:rFonts w:ascii="Arial" w:eastAsia="Calibri" w:hAnsi="Arial" w:cs="Arial"/>
        </w:rPr>
        <w:t xml:space="preserve"> </w:t>
      </w:r>
      <w:r>
        <w:rPr>
          <w:rFonts w:ascii="Arial" w:eastAsia="Calibri" w:hAnsi="Arial" w:cs="Arial"/>
        </w:rPr>
        <w:t>d</w:t>
      </w:r>
      <w:r w:rsidR="00B02FA3">
        <w:rPr>
          <w:rFonts w:ascii="Arial" w:eastAsia="Calibri" w:hAnsi="Arial" w:cs="Arial"/>
        </w:rPr>
        <w:t xml:space="preserve">espite the potential importance of </w:t>
      </w:r>
      <w:r w:rsidR="00F2289E">
        <w:rPr>
          <w:rFonts w:ascii="Arial" w:eastAsia="Calibri" w:hAnsi="Arial" w:cs="Arial"/>
        </w:rPr>
        <w:t xml:space="preserve">medication underpinning </w:t>
      </w:r>
      <w:r w:rsidR="00867C66">
        <w:rPr>
          <w:rFonts w:ascii="Arial" w:eastAsia="Calibri" w:hAnsi="Arial" w:cs="Arial"/>
        </w:rPr>
        <w:t>the provision of community treatment by paramedics</w:t>
      </w:r>
      <w:r w:rsidR="00F2289E">
        <w:rPr>
          <w:rFonts w:ascii="Arial" w:eastAsia="Calibri" w:hAnsi="Arial" w:cs="Arial"/>
        </w:rPr>
        <w:t xml:space="preserve">, </w:t>
      </w:r>
      <w:r w:rsidR="002425B1">
        <w:rPr>
          <w:rFonts w:ascii="Arial" w:eastAsia="Calibri" w:hAnsi="Arial" w:cs="Arial"/>
        </w:rPr>
        <w:t xml:space="preserve">to our knowledge, </w:t>
      </w:r>
      <w:r w:rsidR="00D73BD4">
        <w:rPr>
          <w:rFonts w:ascii="Arial" w:eastAsia="Calibri" w:hAnsi="Arial" w:cs="Arial"/>
        </w:rPr>
        <w:t>no</w:t>
      </w:r>
      <w:r w:rsidR="002C1A0A" w:rsidRPr="00F70CD6">
        <w:rPr>
          <w:rFonts w:ascii="Arial" w:eastAsia="Calibri" w:hAnsi="Arial" w:cs="Arial"/>
        </w:rPr>
        <w:t xml:space="preserve"> previous research </w:t>
      </w:r>
      <w:r w:rsidR="00D73BD4">
        <w:rPr>
          <w:rFonts w:ascii="Arial" w:eastAsia="Calibri" w:hAnsi="Arial" w:cs="Arial"/>
        </w:rPr>
        <w:t>has been undertaken</w:t>
      </w:r>
      <w:r w:rsidR="002C1A0A" w:rsidRPr="00F70CD6">
        <w:rPr>
          <w:rFonts w:ascii="Arial" w:eastAsia="Calibri" w:hAnsi="Arial" w:cs="Arial"/>
        </w:rPr>
        <w:t xml:space="preserve"> into </w:t>
      </w:r>
      <w:r w:rsidR="00D73BD4">
        <w:rPr>
          <w:rFonts w:ascii="Arial" w:eastAsia="Calibri" w:hAnsi="Arial" w:cs="Arial"/>
        </w:rPr>
        <w:t xml:space="preserve">either the </w:t>
      </w:r>
      <w:r w:rsidR="002C1A0A" w:rsidRPr="00F70CD6">
        <w:rPr>
          <w:rFonts w:ascii="Arial" w:eastAsia="Calibri" w:hAnsi="Arial" w:cs="Arial"/>
        </w:rPr>
        <w:t xml:space="preserve">current practice </w:t>
      </w:r>
      <w:r w:rsidR="00D73BD4">
        <w:rPr>
          <w:rFonts w:ascii="Arial" w:eastAsia="Calibri" w:hAnsi="Arial" w:cs="Arial"/>
        </w:rPr>
        <w:t>of medication supply by</w:t>
      </w:r>
      <w:r w:rsidR="0067742A">
        <w:rPr>
          <w:rFonts w:ascii="Arial" w:eastAsia="Calibri" w:hAnsi="Arial" w:cs="Arial"/>
        </w:rPr>
        <w:t xml:space="preserve"> </w:t>
      </w:r>
      <w:r w:rsidR="00F2289E">
        <w:rPr>
          <w:rFonts w:ascii="Arial" w:eastAsia="Calibri" w:hAnsi="Arial" w:cs="Arial"/>
        </w:rPr>
        <w:t>SPEUCs</w:t>
      </w:r>
      <w:r w:rsidR="00D73BD4">
        <w:rPr>
          <w:rFonts w:ascii="Arial" w:eastAsia="Calibri" w:hAnsi="Arial" w:cs="Arial"/>
        </w:rPr>
        <w:t xml:space="preserve"> or their</w:t>
      </w:r>
      <w:r w:rsidR="00F2289E">
        <w:rPr>
          <w:rFonts w:ascii="Arial" w:eastAsia="Calibri" w:hAnsi="Arial" w:cs="Arial"/>
        </w:rPr>
        <w:t xml:space="preserve"> </w:t>
      </w:r>
      <w:r w:rsidR="0067742A">
        <w:rPr>
          <w:rFonts w:ascii="Arial" w:eastAsia="Calibri" w:hAnsi="Arial" w:cs="Arial"/>
        </w:rPr>
        <w:t xml:space="preserve">views regarding </w:t>
      </w:r>
      <w:r w:rsidR="004B036C">
        <w:rPr>
          <w:rFonts w:ascii="Arial" w:eastAsia="Calibri" w:hAnsi="Arial" w:cs="Arial"/>
        </w:rPr>
        <w:t>PISP</w:t>
      </w:r>
      <w:r w:rsidR="0067742A">
        <w:rPr>
          <w:rFonts w:ascii="Arial" w:eastAsia="Calibri" w:hAnsi="Arial" w:cs="Arial"/>
        </w:rPr>
        <w:t>,</w:t>
      </w:r>
      <w:r w:rsidR="002C1A0A" w:rsidRPr="00F70CD6">
        <w:rPr>
          <w:rFonts w:ascii="Arial" w:eastAsia="Calibri" w:hAnsi="Arial" w:cs="Arial"/>
        </w:rPr>
        <w:t xml:space="preserve"> including its potential impact on practice. It is not known for example, how frequently medication supply forms part of SPEUC practice, </w:t>
      </w:r>
      <w:r w:rsidR="00CF4353">
        <w:rPr>
          <w:rFonts w:ascii="Arial" w:eastAsia="Calibri" w:hAnsi="Arial" w:cs="Arial"/>
        </w:rPr>
        <w:t>if</w:t>
      </w:r>
      <w:r w:rsidR="002C1A0A" w:rsidRPr="00F70CD6">
        <w:rPr>
          <w:rFonts w:ascii="Arial" w:eastAsia="Calibri" w:hAnsi="Arial" w:cs="Arial"/>
        </w:rPr>
        <w:t xml:space="preserve"> care </w:t>
      </w:r>
      <w:r w:rsidR="002C1A0A" w:rsidRPr="00F70CD6">
        <w:rPr>
          <w:rFonts w:ascii="Arial" w:eastAsia="Calibri" w:hAnsi="Arial" w:cs="Arial"/>
        </w:rPr>
        <w:lastRenderedPageBreak/>
        <w:t>delivery is restricted by PGDs and whether SPEUCs feel they and their</w:t>
      </w:r>
      <w:r w:rsidR="00177FA9">
        <w:rPr>
          <w:rFonts w:ascii="Arial" w:eastAsia="Calibri" w:hAnsi="Arial" w:cs="Arial"/>
        </w:rPr>
        <w:t xml:space="preserve"> employing T</w:t>
      </w:r>
      <w:r w:rsidR="002C1A0A" w:rsidRPr="00F70CD6">
        <w:rPr>
          <w:rFonts w:ascii="Arial" w:eastAsia="Calibri" w:hAnsi="Arial" w:cs="Arial"/>
        </w:rPr>
        <w:t>rusts are prepared for prescribing roles.</w:t>
      </w:r>
      <w:r w:rsidR="00444C7A">
        <w:rPr>
          <w:rFonts w:ascii="Arial" w:eastAsia="Calibri" w:hAnsi="Arial" w:cs="Arial"/>
        </w:rPr>
        <w:t xml:space="preserve"> </w:t>
      </w:r>
    </w:p>
    <w:p w14:paraId="5DDE6CE6" w14:textId="26F61F9C" w:rsidR="002C1A0A" w:rsidRDefault="002C1A0A" w:rsidP="00F70214">
      <w:pPr>
        <w:rPr>
          <w:rFonts w:ascii="Arial" w:eastAsia="Calibri" w:hAnsi="Arial" w:cs="Arial"/>
        </w:rPr>
      </w:pPr>
    </w:p>
    <w:p w14:paraId="2B12B35E" w14:textId="5C16653A" w:rsidR="00074DED" w:rsidRDefault="00074DED" w:rsidP="00F70214">
      <w:pPr>
        <w:rPr>
          <w:rFonts w:ascii="Arial" w:hAnsi="Arial" w:cs="Arial"/>
        </w:rPr>
      </w:pPr>
    </w:p>
    <w:p w14:paraId="3904ABBE" w14:textId="0777EF93" w:rsidR="002C1A0A" w:rsidRPr="00EB3EA5" w:rsidRDefault="002C1A0A" w:rsidP="00F70214">
      <w:pPr>
        <w:rPr>
          <w:rFonts w:ascii="Arial" w:hAnsi="Arial" w:cs="Arial"/>
        </w:rPr>
      </w:pPr>
      <w:r w:rsidRPr="00EB3EA5">
        <w:rPr>
          <w:rFonts w:ascii="Arial" w:hAnsi="Arial" w:cs="Arial"/>
        </w:rPr>
        <w:t xml:space="preserve">The objectives of this study were </w:t>
      </w:r>
      <w:r w:rsidR="00A9698F">
        <w:rPr>
          <w:rFonts w:ascii="Arial" w:hAnsi="Arial" w:cs="Arial"/>
        </w:rPr>
        <w:t xml:space="preserve">therefore </w:t>
      </w:r>
      <w:r w:rsidRPr="00EB3EA5">
        <w:rPr>
          <w:rFonts w:ascii="Arial" w:hAnsi="Arial" w:cs="Arial"/>
        </w:rPr>
        <w:t>to:</w:t>
      </w:r>
    </w:p>
    <w:p w14:paraId="638BA7E4" w14:textId="38384161" w:rsidR="002C1A0A" w:rsidRPr="00EB3EA5" w:rsidRDefault="002C1A0A" w:rsidP="00F70214">
      <w:pPr>
        <w:rPr>
          <w:rFonts w:ascii="Arial" w:hAnsi="Arial" w:cs="Arial"/>
        </w:rPr>
      </w:pPr>
    </w:p>
    <w:p w14:paraId="7FB4C8B1" w14:textId="61310612" w:rsidR="002C1A0A" w:rsidRPr="00EB3EA5" w:rsidRDefault="005F0174" w:rsidP="00F70214">
      <w:pPr>
        <w:rPr>
          <w:rFonts w:ascii="Arial" w:hAnsi="Arial" w:cs="Arial"/>
        </w:rPr>
      </w:pPr>
      <w:r>
        <w:rPr>
          <w:rFonts w:ascii="Arial" w:hAnsi="Arial" w:cs="Arial"/>
        </w:rPr>
        <w:t>1)</w:t>
      </w:r>
      <w:r w:rsidR="000B5E4D">
        <w:rPr>
          <w:rFonts w:ascii="Arial" w:hAnsi="Arial" w:cs="Arial"/>
        </w:rPr>
        <w:t xml:space="preserve"> </w:t>
      </w:r>
      <w:r w:rsidR="002C1A0A" w:rsidRPr="00EB3EA5">
        <w:rPr>
          <w:rFonts w:ascii="Arial" w:hAnsi="Arial" w:cs="Arial"/>
        </w:rPr>
        <w:t>Expl</w:t>
      </w:r>
      <w:r w:rsidR="0067742A">
        <w:rPr>
          <w:rFonts w:ascii="Arial" w:hAnsi="Arial" w:cs="Arial"/>
        </w:rPr>
        <w:t>ore SPEUCs</w:t>
      </w:r>
      <w:r w:rsidR="00F2289E">
        <w:rPr>
          <w:rFonts w:ascii="Arial" w:hAnsi="Arial" w:cs="Arial"/>
        </w:rPr>
        <w:t>’</w:t>
      </w:r>
      <w:r w:rsidR="0067742A">
        <w:rPr>
          <w:rFonts w:ascii="Arial" w:hAnsi="Arial" w:cs="Arial"/>
        </w:rPr>
        <w:t xml:space="preserve"> views regarding</w:t>
      </w:r>
      <w:r w:rsidR="002C1A0A" w:rsidRPr="00EB3EA5">
        <w:rPr>
          <w:rFonts w:ascii="Arial" w:hAnsi="Arial" w:cs="Arial"/>
        </w:rPr>
        <w:t xml:space="preserve"> current practice of </w:t>
      </w:r>
      <w:r w:rsidR="00E87AFE">
        <w:rPr>
          <w:rFonts w:ascii="Arial" w:hAnsi="Arial" w:cs="Arial"/>
        </w:rPr>
        <w:t>medication supply using PGDs</w:t>
      </w:r>
      <w:r w:rsidR="00870BFD">
        <w:rPr>
          <w:rFonts w:ascii="Arial" w:hAnsi="Arial" w:cs="Arial"/>
        </w:rPr>
        <w:t>,</w:t>
      </w:r>
      <w:r w:rsidR="00E87AFE">
        <w:rPr>
          <w:rFonts w:ascii="Arial" w:hAnsi="Arial" w:cs="Arial"/>
        </w:rPr>
        <w:t xml:space="preserve"> alongside</w:t>
      </w:r>
      <w:r w:rsidR="002C1A0A" w:rsidRPr="00EB3EA5">
        <w:rPr>
          <w:rFonts w:ascii="Arial" w:hAnsi="Arial" w:cs="Arial"/>
        </w:rPr>
        <w:t xml:space="preserve"> any benefits or barriers to patient care from the</w:t>
      </w:r>
      <w:r w:rsidR="00E87AFE">
        <w:rPr>
          <w:rFonts w:ascii="Arial" w:hAnsi="Arial" w:cs="Arial"/>
        </w:rPr>
        <w:t>ir use</w:t>
      </w:r>
      <w:r w:rsidR="002C1A0A" w:rsidRPr="00EB3EA5">
        <w:rPr>
          <w:rFonts w:ascii="Arial" w:hAnsi="Arial" w:cs="Arial"/>
        </w:rPr>
        <w:t xml:space="preserve">. </w:t>
      </w:r>
    </w:p>
    <w:p w14:paraId="683E653C" w14:textId="77777777" w:rsidR="00740905" w:rsidRDefault="00740905" w:rsidP="00F70214">
      <w:pPr>
        <w:rPr>
          <w:rFonts w:ascii="Arial" w:hAnsi="Arial" w:cs="Arial"/>
        </w:rPr>
      </w:pPr>
    </w:p>
    <w:p w14:paraId="5584309A" w14:textId="0C86EC37" w:rsidR="002C1A0A" w:rsidRPr="00766559" w:rsidRDefault="005F0174" w:rsidP="00F70214">
      <w:pPr>
        <w:rPr>
          <w:rFonts w:ascii="Arial" w:hAnsi="Arial" w:cs="Arial"/>
        </w:rPr>
      </w:pPr>
      <w:r>
        <w:rPr>
          <w:rFonts w:ascii="Arial" w:hAnsi="Arial" w:cs="Arial"/>
        </w:rPr>
        <w:t>2</w:t>
      </w:r>
      <w:r w:rsidR="000B5E4D">
        <w:rPr>
          <w:rFonts w:ascii="Arial" w:hAnsi="Arial" w:cs="Arial"/>
        </w:rPr>
        <w:t xml:space="preserve">) </w:t>
      </w:r>
      <w:r w:rsidR="002C1A0A" w:rsidRPr="00EB3EA5">
        <w:rPr>
          <w:rFonts w:ascii="Arial" w:hAnsi="Arial" w:cs="Arial"/>
        </w:rPr>
        <w:t>Ascertain SPEUCs</w:t>
      </w:r>
      <w:r w:rsidR="00F2289E">
        <w:rPr>
          <w:rFonts w:ascii="Arial" w:hAnsi="Arial" w:cs="Arial"/>
        </w:rPr>
        <w:t>’</w:t>
      </w:r>
      <w:r w:rsidR="002C1A0A" w:rsidRPr="00EB3EA5">
        <w:rPr>
          <w:rFonts w:ascii="Arial" w:hAnsi="Arial" w:cs="Arial"/>
        </w:rPr>
        <w:t xml:space="preserve"> views regarding individual and organisa</w:t>
      </w:r>
      <w:r w:rsidR="000B5E4D">
        <w:rPr>
          <w:rFonts w:ascii="Arial" w:hAnsi="Arial" w:cs="Arial"/>
        </w:rPr>
        <w:t xml:space="preserve">tional preparedness for </w:t>
      </w:r>
      <w:r w:rsidR="004B036C">
        <w:rPr>
          <w:rFonts w:ascii="Arial" w:hAnsi="Arial" w:cs="Arial"/>
        </w:rPr>
        <w:t>PISP</w:t>
      </w:r>
      <w:r w:rsidR="000B5E4D">
        <w:rPr>
          <w:rFonts w:ascii="Arial" w:hAnsi="Arial" w:cs="Arial"/>
        </w:rPr>
        <w:t>, alongside</w:t>
      </w:r>
      <w:r w:rsidR="002C1A0A" w:rsidRPr="00EB3EA5">
        <w:rPr>
          <w:rFonts w:ascii="Arial" w:hAnsi="Arial" w:cs="Arial"/>
        </w:rPr>
        <w:t xml:space="preserve"> potential benefits, drawbacks and barriers to using </w:t>
      </w:r>
      <w:r w:rsidR="004B036C">
        <w:rPr>
          <w:rFonts w:ascii="Arial" w:hAnsi="Arial" w:cs="Arial"/>
        </w:rPr>
        <w:t>PISP</w:t>
      </w:r>
      <w:r w:rsidR="002C1A0A" w:rsidRPr="00EB3EA5">
        <w:rPr>
          <w:rFonts w:ascii="Arial" w:hAnsi="Arial" w:cs="Arial"/>
        </w:rPr>
        <w:t xml:space="preserve"> in practice.</w:t>
      </w:r>
    </w:p>
    <w:p w14:paraId="2F6AC5F5" w14:textId="77777777" w:rsidR="00D15849" w:rsidRDefault="00D15849" w:rsidP="00F70214">
      <w:pPr>
        <w:rPr>
          <w:rFonts w:ascii="Arial" w:hAnsi="Arial" w:cs="Arial"/>
          <w:b/>
        </w:rPr>
      </w:pPr>
    </w:p>
    <w:p w14:paraId="63254682" w14:textId="77777777" w:rsidR="00FA5831" w:rsidRDefault="00FA5831" w:rsidP="00F70214">
      <w:pPr>
        <w:rPr>
          <w:rFonts w:ascii="Arial" w:hAnsi="Arial" w:cs="Arial"/>
          <w:b/>
        </w:rPr>
      </w:pPr>
    </w:p>
    <w:p w14:paraId="2E3908F8" w14:textId="2F20B88C" w:rsidR="007D14D5" w:rsidRPr="0063717D" w:rsidRDefault="0054202D" w:rsidP="00F70214">
      <w:pPr>
        <w:rPr>
          <w:rFonts w:ascii="Arial" w:hAnsi="Arial" w:cs="Arial"/>
          <w:b/>
        </w:rPr>
      </w:pPr>
      <w:r>
        <w:rPr>
          <w:rFonts w:ascii="Arial" w:hAnsi="Arial" w:cs="Arial"/>
          <w:b/>
        </w:rPr>
        <w:t>METHODS</w:t>
      </w:r>
    </w:p>
    <w:p w14:paraId="5D19D813" w14:textId="59D2B58F" w:rsidR="007D14D5" w:rsidRPr="00642EBF" w:rsidRDefault="00416DE2" w:rsidP="00F70214">
      <w:pPr>
        <w:spacing w:before="100" w:beforeAutospacing="1" w:after="100" w:afterAutospacing="1"/>
        <w:textAlignment w:val="top"/>
        <w:rPr>
          <w:rFonts w:ascii="Arial" w:eastAsiaTheme="minorEastAsia" w:hAnsi="Arial" w:cs="Arial"/>
        </w:rPr>
      </w:pPr>
      <w:r>
        <w:rPr>
          <w:rFonts w:ascii="Arial" w:hAnsi="Arial" w:cs="Arial"/>
          <w:color w:val="000000" w:themeColor="text1"/>
          <w:lang w:eastAsia="en-GB"/>
        </w:rPr>
        <w:t xml:space="preserve">The </w:t>
      </w:r>
      <w:r w:rsidR="00177FA9">
        <w:rPr>
          <w:rFonts w:ascii="Arial" w:hAnsi="Arial" w:cs="Arial"/>
          <w:color w:val="000000" w:themeColor="text1"/>
          <w:lang w:eastAsia="en-GB"/>
        </w:rPr>
        <w:t>study was conducted using an on</w:t>
      </w:r>
      <w:r>
        <w:rPr>
          <w:rFonts w:ascii="Arial" w:hAnsi="Arial" w:cs="Arial"/>
          <w:color w:val="000000" w:themeColor="text1"/>
          <w:lang w:eastAsia="en-GB"/>
        </w:rPr>
        <w:t xml:space="preserve">line questionnaire survey. </w:t>
      </w:r>
      <w:r w:rsidR="007D14D5" w:rsidRPr="0063717D">
        <w:rPr>
          <w:rFonts w:ascii="Arial" w:hAnsi="Arial" w:cs="Arial"/>
          <w:color w:val="000000" w:themeColor="text1"/>
          <w:lang w:eastAsia="en-GB"/>
        </w:rPr>
        <w:t>The Checklist for Reporting Results of Internet E-Surveys (CHERRIES)</w:t>
      </w:r>
      <w:r w:rsidR="00FA5831">
        <w:rPr>
          <w:rFonts w:ascii="Arial" w:eastAsiaTheme="minorEastAsia" w:hAnsi="Arial" w:cs="Arial"/>
        </w:rPr>
        <w:t xml:space="preserve"> </w:t>
      </w:r>
      <w:r w:rsidR="007D14D5" w:rsidRPr="0063717D">
        <w:rPr>
          <w:rFonts w:ascii="Arial" w:eastAsiaTheme="minorEastAsia" w:hAnsi="Arial" w:cs="Arial"/>
        </w:rPr>
        <w:t xml:space="preserve">has been used to report the methods of this study </w:t>
      </w:r>
      <w:r w:rsidR="00F40365" w:rsidRPr="0063717D">
        <w:rPr>
          <w:rFonts w:ascii="Arial" w:eastAsiaTheme="minorEastAsia" w:hAnsi="Arial" w:cs="Arial"/>
        </w:rPr>
        <w:t>(</w:t>
      </w:r>
      <w:r w:rsidR="00E66EBC">
        <w:rPr>
          <w:rFonts w:ascii="Arial" w:eastAsiaTheme="minorEastAsia" w:hAnsi="Arial" w:cs="Arial"/>
        </w:rPr>
        <w:t>Supplementary 1</w:t>
      </w:r>
      <w:r w:rsidR="00F40365" w:rsidRPr="0063717D">
        <w:rPr>
          <w:rFonts w:ascii="Arial" w:eastAsiaTheme="minorEastAsia" w:hAnsi="Arial" w:cs="Arial"/>
        </w:rPr>
        <w:t>)</w:t>
      </w:r>
      <w:r w:rsidR="009D0367">
        <w:rPr>
          <w:rFonts w:ascii="Arial" w:eastAsiaTheme="minorEastAsia" w:hAnsi="Arial" w:cs="Arial"/>
        </w:rPr>
        <w:t xml:space="preserve"> (Eysenbach, 2004)</w:t>
      </w:r>
    </w:p>
    <w:p w14:paraId="1DCBA181" w14:textId="038C1A8D" w:rsidR="00F40365" w:rsidRPr="0063717D" w:rsidRDefault="00416DE2" w:rsidP="00F70214">
      <w:pPr>
        <w:spacing w:before="100" w:beforeAutospacing="1" w:after="100" w:afterAutospacing="1"/>
        <w:textAlignment w:val="top"/>
        <w:rPr>
          <w:rFonts w:ascii="Arial" w:hAnsi="Arial" w:cs="Arial"/>
          <w:color w:val="000000" w:themeColor="text1"/>
          <w:lang w:eastAsia="en-GB"/>
        </w:rPr>
      </w:pPr>
      <w:r>
        <w:rPr>
          <w:rFonts w:ascii="Arial" w:hAnsi="Arial" w:cs="Arial"/>
          <w:color w:val="000000" w:themeColor="text1"/>
          <w:lang w:eastAsia="en-GB"/>
        </w:rPr>
        <w:t>A convenience sample of t</w:t>
      </w:r>
      <w:r w:rsidR="00F40365" w:rsidRPr="0037120A">
        <w:rPr>
          <w:rFonts w:ascii="Arial" w:hAnsi="Arial" w:cs="Arial"/>
          <w:color w:val="000000" w:themeColor="text1"/>
          <w:lang w:eastAsia="en-GB"/>
        </w:rPr>
        <w:t>wo</w:t>
      </w:r>
      <w:r w:rsidR="001D3095" w:rsidRPr="0037120A">
        <w:rPr>
          <w:rFonts w:ascii="Arial" w:hAnsi="Arial" w:cs="Arial"/>
          <w:color w:val="000000" w:themeColor="text1"/>
          <w:lang w:eastAsia="en-GB"/>
        </w:rPr>
        <w:t xml:space="preserve"> large NHS ambulance</w:t>
      </w:r>
      <w:r w:rsidR="00F40365" w:rsidRPr="0037120A">
        <w:rPr>
          <w:rFonts w:ascii="Arial" w:hAnsi="Arial" w:cs="Arial"/>
          <w:color w:val="000000" w:themeColor="text1"/>
          <w:lang w:eastAsia="en-GB"/>
        </w:rPr>
        <w:t xml:space="preserve"> Trusts</w:t>
      </w:r>
      <w:r w:rsidR="001D3095" w:rsidRPr="0037120A">
        <w:rPr>
          <w:rFonts w:ascii="Arial" w:hAnsi="Arial" w:cs="Arial"/>
          <w:color w:val="000000" w:themeColor="text1"/>
          <w:lang w:eastAsia="en-GB"/>
        </w:rPr>
        <w:t xml:space="preserve"> </w:t>
      </w:r>
      <w:r w:rsidR="00F2289E">
        <w:rPr>
          <w:rFonts w:ascii="Arial" w:hAnsi="Arial" w:cs="Arial"/>
          <w:color w:val="000000" w:themeColor="text1"/>
          <w:lang w:eastAsia="en-GB"/>
        </w:rPr>
        <w:t xml:space="preserve">in England </w:t>
      </w:r>
      <w:r w:rsidR="001D3095" w:rsidRPr="0037120A">
        <w:rPr>
          <w:rFonts w:ascii="Arial" w:hAnsi="Arial" w:cs="Arial"/>
          <w:color w:val="000000" w:themeColor="text1"/>
          <w:lang w:eastAsia="en-GB"/>
        </w:rPr>
        <w:t>were</w:t>
      </w:r>
      <w:r w:rsidR="00F40365" w:rsidRPr="003A3124">
        <w:rPr>
          <w:rFonts w:ascii="Arial" w:hAnsi="Arial" w:cs="Arial"/>
          <w:color w:val="000000" w:themeColor="text1"/>
          <w:lang w:eastAsia="en-GB"/>
        </w:rPr>
        <w:t xml:space="preserve"> </w:t>
      </w:r>
      <w:r w:rsidR="00F40365" w:rsidRPr="00F24EE7">
        <w:rPr>
          <w:rFonts w:ascii="Arial" w:hAnsi="Arial" w:cs="Arial"/>
          <w:color w:val="000000" w:themeColor="text1"/>
          <w:lang w:eastAsia="en-GB"/>
        </w:rPr>
        <w:t>selected for inclusion in this study</w:t>
      </w:r>
      <w:r>
        <w:rPr>
          <w:rFonts w:ascii="Arial" w:hAnsi="Arial" w:cs="Arial"/>
          <w:color w:val="000000" w:themeColor="text1"/>
          <w:lang w:eastAsia="en-GB"/>
        </w:rPr>
        <w:t>; the</w:t>
      </w:r>
      <w:r w:rsidR="00AC346B">
        <w:rPr>
          <w:rFonts w:ascii="Arial" w:hAnsi="Arial" w:cs="Arial"/>
          <w:color w:val="000000" w:themeColor="text1"/>
          <w:lang w:eastAsia="en-GB"/>
        </w:rPr>
        <w:t>se</w:t>
      </w:r>
      <w:r>
        <w:rPr>
          <w:rFonts w:ascii="Arial" w:hAnsi="Arial" w:cs="Arial"/>
          <w:color w:val="000000" w:themeColor="text1"/>
          <w:lang w:eastAsia="en-GB"/>
        </w:rPr>
        <w:t xml:space="preserve"> two Trusts </w:t>
      </w:r>
      <w:r w:rsidR="0037120A" w:rsidRPr="00F24EE7">
        <w:rPr>
          <w:rFonts w:ascii="Arial" w:hAnsi="Arial" w:cs="Arial"/>
          <w:color w:val="000000" w:themeColor="text1"/>
          <w:lang w:eastAsia="en-GB"/>
        </w:rPr>
        <w:t>jointly employed</w:t>
      </w:r>
      <w:r w:rsidR="001D3095" w:rsidRPr="0063717D">
        <w:rPr>
          <w:rFonts w:ascii="Arial" w:hAnsi="Arial" w:cs="Arial"/>
          <w:color w:val="000000" w:themeColor="text1"/>
          <w:lang w:eastAsia="en-GB"/>
        </w:rPr>
        <w:t xml:space="preserve"> over half of the estimated national population (n= 495) of</w:t>
      </w:r>
      <w:r w:rsidR="00F40365" w:rsidRPr="0063717D">
        <w:rPr>
          <w:rFonts w:ascii="Arial" w:hAnsi="Arial" w:cs="Arial"/>
          <w:color w:val="000000" w:themeColor="text1"/>
          <w:lang w:eastAsia="en-GB"/>
        </w:rPr>
        <w:t xml:space="preserve"> SPEUCs (286</w:t>
      </w:r>
      <w:r w:rsidR="00DA072D">
        <w:rPr>
          <w:rFonts w:ascii="Arial" w:hAnsi="Arial" w:cs="Arial"/>
          <w:color w:val="000000" w:themeColor="text1"/>
          <w:lang w:eastAsia="en-GB"/>
        </w:rPr>
        <w:t>/495</w:t>
      </w:r>
      <w:r w:rsidR="00F40365" w:rsidRPr="0063717D">
        <w:rPr>
          <w:rFonts w:ascii="Arial" w:hAnsi="Arial" w:cs="Arial"/>
          <w:color w:val="000000" w:themeColor="text1"/>
          <w:lang w:eastAsia="en-GB"/>
        </w:rPr>
        <w:t xml:space="preserve"> 54.1%).</w:t>
      </w:r>
    </w:p>
    <w:p w14:paraId="71BD59A7" w14:textId="08147AC7" w:rsidR="007D14D5" w:rsidRPr="0063717D" w:rsidRDefault="007D14D5" w:rsidP="00F70214">
      <w:pPr>
        <w:spacing w:before="100" w:beforeAutospacing="1" w:after="100" w:afterAutospacing="1"/>
        <w:textAlignment w:val="top"/>
        <w:rPr>
          <w:rFonts w:ascii="Arial" w:hAnsi="Arial" w:cs="Arial"/>
          <w:color w:val="000000" w:themeColor="text1"/>
          <w:lang w:eastAsia="en-GB"/>
        </w:rPr>
      </w:pPr>
      <w:r w:rsidRPr="0063717D">
        <w:rPr>
          <w:rFonts w:ascii="Arial" w:hAnsi="Arial" w:cs="Arial"/>
          <w:color w:val="000000" w:themeColor="text1"/>
          <w:lang w:eastAsia="en-GB"/>
        </w:rPr>
        <w:t xml:space="preserve">Inclusion criteria for the study were that participants were employed by either of the two participating Trusts </w:t>
      </w:r>
      <w:r w:rsidR="009F10AD" w:rsidRPr="0063717D">
        <w:rPr>
          <w:rFonts w:ascii="Arial" w:hAnsi="Arial" w:cs="Arial"/>
          <w:color w:val="000000" w:themeColor="text1"/>
          <w:lang w:eastAsia="en-GB"/>
        </w:rPr>
        <w:t>as a</w:t>
      </w:r>
      <w:r w:rsidR="00E87AFE">
        <w:rPr>
          <w:rFonts w:ascii="Arial" w:hAnsi="Arial" w:cs="Arial"/>
          <w:color w:val="000000" w:themeColor="text1"/>
          <w:lang w:eastAsia="en-GB"/>
        </w:rPr>
        <w:t xml:space="preserve"> registered paramedic</w:t>
      </w:r>
      <w:r w:rsidR="000D3CD5">
        <w:rPr>
          <w:rFonts w:ascii="Arial" w:hAnsi="Arial" w:cs="Arial"/>
          <w:color w:val="000000" w:themeColor="text1"/>
          <w:lang w:eastAsia="en-GB"/>
        </w:rPr>
        <w:t>,</w:t>
      </w:r>
      <w:r w:rsidR="00E87AFE">
        <w:rPr>
          <w:rFonts w:ascii="Arial" w:hAnsi="Arial" w:cs="Arial"/>
          <w:color w:val="000000" w:themeColor="text1"/>
          <w:lang w:eastAsia="en-GB"/>
        </w:rPr>
        <w:t xml:space="preserve"> a</w:t>
      </w:r>
      <w:r w:rsidR="00870BFD">
        <w:rPr>
          <w:rFonts w:ascii="Arial" w:hAnsi="Arial" w:cs="Arial"/>
          <w:color w:val="000000" w:themeColor="text1"/>
          <w:lang w:eastAsia="en-GB"/>
        </w:rPr>
        <w:t>s an</w:t>
      </w:r>
      <w:r w:rsidR="009F10AD" w:rsidRPr="0063717D">
        <w:rPr>
          <w:rFonts w:ascii="Arial" w:hAnsi="Arial" w:cs="Arial"/>
          <w:color w:val="000000" w:themeColor="text1"/>
          <w:lang w:eastAsia="en-GB"/>
        </w:rPr>
        <w:t xml:space="preserve"> SPEUC </w:t>
      </w:r>
      <w:r w:rsidRPr="0063717D">
        <w:rPr>
          <w:rFonts w:ascii="Arial" w:hAnsi="Arial" w:cs="Arial"/>
          <w:color w:val="000000" w:themeColor="text1"/>
          <w:lang w:eastAsia="en-GB"/>
        </w:rPr>
        <w:t xml:space="preserve">and </w:t>
      </w:r>
      <w:r w:rsidR="00F773A9">
        <w:rPr>
          <w:rFonts w:ascii="Arial" w:hAnsi="Arial" w:cs="Arial"/>
          <w:color w:val="000000" w:themeColor="text1"/>
          <w:lang w:eastAsia="en-GB"/>
        </w:rPr>
        <w:t xml:space="preserve">also </w:t>
      </w:r>
      <w:r w:rsidRPr="0063717D">
        <w:rPr>
          <w:rFonts w:ascii="Arial" w:hAnsi="Arial" w:cs="Arial"/>
          <w:color w:val="000000" w:themeColor="text1"/>
          <w:lang w:eastAsia="en-GB"/>
        </w:rPr>
        <w:t>authorised to use SPEUC PGDs.</w:t>
      </w:r>
      <w:r w:rsidR="00625CDD">
        <w:rPr>
          <w:rFonts w:ascii="Arial" w:hAnsi="Arial" w:cs="Arial"/>
          <w:color w:val="000000" w:themeColor="text1"/>
          <w:lang w:eastAsia="en-GB"/>
        </w:rPr>
        <w:t xml:space="preserve"> Eligible participants were identified using staff lists held by each Trust and recruited by Trust research staff by sending an invitation email which contained </w:t>
      </w:r>
      <w:r w:rsidR="009D356B">
        <w:rPr>
          <w:rFonts w:ascii="Arial" w:hAnsi="Arial" w:cs="Arial"/>
          <w:color w:val="000000" w:themeColor="text1"/>
          <w:lang w:eastAsia="en-GB"/>
        </w:rPr>
        <w:t xml:space="preserve">a </w:t>
      </w:r>
      <w:r w:rsidR="00625CDD">
        <w:rPr>
          <w:rFonts w:ascii="Arial" w:hAnsi="Arial" w:cs="Arial"/>
          <w:color w:val="000000" w:themeColor="text1"/>
          <w:lang w:eastAsia="en-GB"/>
        </w:rPr>
        <w:t xml:space="preserve">participant information </w:t>
      </w:r>
      <w:r w:rsidR="009D356B">
        <w:rPr>
          <w:rFonts w:ascii="Arial" w:hAnsi="Arial" w:cs="Arial"/>
          <w:color w:val="000000" w:themeColor="text1"/>
          <w:lang w:eastAsia="en-GB"/>
        </w:rPr>
        <w:t xml:space="preserve">sheet </w:t>
      </w:r>
      <w:r w:rsidR="00625CDD">
        <w:rPr>
          <w:rFonts w:ascii="Arial" w:hAnsi="Arial" w:cs="Arial"/>
          <w:color w:val="000000" w:themeColor="text1"/>
          <w:lang w:eastAsia="en-GB"/>
        </w:rPr>
        <w:t>and a link to the online survey.</w:t>
      </w:r>
    </w:p>
    <w:p w14:paraId="08254865" w14:textId="6A8C568E" w:rsidR="007D14D5" w:rsidRPr="0063717D" w:rsidRDefault="007D14D5" w:rsidP="00F70214">
      <w:pPr>
        <w:spacing w:before="100" w:beforeAutospacing="1" w:after="100" w:afterAutospacing="1"/>
        <w:textAlignment w:val="top"/>
        <w:rPr>
          <w:rFonts w:ascii="Arial" w:hAnsi="Arial" w:cs="Arial"/>
          <w:color w:val="000000" w:themeColor="text1"/>
          <w:lang w:eastAsia="en-GB"/>
        </w:rPr>
      </w:pPr>
      <w:r w:rsidRPr="0063717D">
        <w:rPr>
          <w:rFonts w:ascii="Arial" w:hAnsi="Arial" w:cs="Arial"/>
          <w:color w:val="000000" w:themeColor="text1"/>
          <w:lang w:eastAsia="en-GB"/>
        </w:rPr>
        <w:t>An online pilot questionnaire was developed</w:t>
      </w:r>
      <w:r w:rsidR="007518DE">
        <w:rPr>
          <w:rFonts w:ascii="Arial" w:hAnsi="Arial" w:cs="Arial"/>
          <w:color w:val="000000" w:themeColor="text1"/>
          <w:lang w:eastAsia="en-GB"/>
        </w:rPr>
        <w:t xml:space="preserve"> </w:t>
      </w:r>
      <w:r w:rsidRPr="0063717D">
        <w:rPr>
          <w:rFonts w:ascii="Arial" w:hAnsi="Arial" w:cs="Arial"/>
          <w:color w:val="000000" w:themeColor="text1"/>
          <w:lang w:eastAsia="en-GB"/>
        </w:rPr>
        <w:t>using a previously validated</w:t>
      </w:r>
      <w:r w:rsidR="00A970CD">
        <w:rPr>
          <w:rFonts w:ascii="Arial" w:hAnsi="Arial" w:cs="Arial"/>
          <w:color w:val="000000" w:themeColor="text1"/>
          <w:lang w:eastAsia="en-GB"/>
        </w:rPr>
        <w:t xml:space="preserve"> nurse independent and supplementary prescribing</w:t>
      </w:r>
      <w:r w:rsidRPr="0063717D">
        <w:rPr>
          <w:rFonts w:ascii="Arial" w:hAnsi="Arial" w:cs="Arial"/>
          <w:color w:val="000000" w:themeColor="text1"/>
          <w:lang w:eastAsia="en-GB"/>
        </w:rPr>
        <w:t xml:space="preserve"> </w:t>
      </w:r>
      <w:r w:rsidR="00A970CD">
        <w:rPr>
          <w:rFonts w:ascii="Arial" w:hAnsi="Arial" w:cs="Arial"/>
          <w:color w:val="000000" w:themeColor="text1"/>
          <w:lang w:eastAsia="en-GB"/>
        </w:rPr>
        <w:t>(</w:t>
      </w:r>
      <w:r w:rsidR="004B036C">
        <w:rPr>
          <w:rFonts w:ascii="Arial" w:hAnsi="Arial" w:cs="Arial"/>
          <w:color w:val="000000" w:themeColor="text1"/>
          <w:lang w:eastAsia="en-GB"/>
        </w:rPr>
        <w:t>NISP</w:t>
      </w:r>
      <w:r w:rsidR="00A970CD">
        <w:rPr>
          <w:rFonts w:ascii="Arial" w:hAnsi="Arial" w:cs="Arial"/>
          <w:color w:val="000000" w:themeColor="text1"/>
          <w:lang w:eastAsia="en-GB"/>
        </w:rPr>
        <w:t>)</w:t>
      </w:r>
      <w:r w:rsidRPr="0063717D">
        <w:rPr>
          <w:rFonts w:ascii="Arial" w:hAnsi="Arial" w:cs="Arial"/>
          <w:color w:val="000000" w:themeColor="text1"/>
          <w:lang w:eastAsia="en-GB"/>
        </w:rPr>
        <w:t xml:space="preserve"> questionnaire</w:t>
      </w:r>
      <w:r w:rsidR="00E03679">
        <w:rPr>
          <w:rFonts w:ascii="Arial" w:hAnsi="Arial" w:cs="Arial"/>
          <w:color w:val="000000" w:themeColor="text1"/>
          <w:lang w:eastAsia="en-GB"/>
        </w:rPr>
        <w:t xml:space="preserve"> (Latter et al. 2010)</w:t>
      </w:r>
      <w:r w:rsidRPr="0063717D">
        <w:rPr>
          <w:rFonts w:ascii="Arial" w:hAnsi="Arial" w:cs="Arial"/>
          <w:color w:val="000000" w:themeColor="text1"/>
          <w:lang w:eastAsia="en-GB"/>
        </w:rPr>
        <w:t xml:space="preserve"> and from researcher </w:t>
      </w:r>
      <w:r w:rsidR="00736CCE">
        <w:rPr>
          <w:rFonts w:ascii="Arial" w:hAnsi="Arial" w:cs="Arial"/>
          <w:color w:val="000000" w:themeColor="text1"/>
          <w:lang w:eastAsia="en-GB"/>
        </w:rPr>
        <w:t xml:space="preserve">(AB) </w:t>
      </w:r>
      <w:r w:rsidRPr="0063717D">
        <w:rPr>
          <w:rFonts w:ascii="Arial" w:hAnsi="Arial" w:cs="Arial"/>
          <w:color w:val="000000" w:themeColor="text1"/>
          <w:lang w:eastAsia="en-GB"/>
        </w:rPr>
        <w:t>insight as a practicing SPEUC.</w:t>
      </w:r>
      <w:r w:rsidR="00177FA9" w:rsidRPr="0063717D">
        <w:rPr>
          <w:rFonts w:ascii="Arial" w:hAnsi="Arial" w:cs="Arial"/>
          <w:color w:val="000000" w:themeColor="text1"/>
          <w:lang w:eastAsia="en-GB"/>
        </w:rPr>
        <w:t xml:space="preserve"> </w:t>
      </w:r>
      <w:r w:rsidR="00177FA9">
        <w:rPr>
          <w:rFonts w:ascii="Arial" w:hAnsi="Arial" w:cs="Arial"/>
          <w:color w:val="000000" w:themeColor="text1"/>
          <w:lang w:eastAsia="en-GB"/>
        </w:rPr>
        <w:t>T</w:t>
      </w:r>
      <w:r w:rsidR="00471B7E">
        <w:rPr>
          <w:rFonts w:ascii="Arial" w:hAnsi="Arial" w:cs="Arial"/>
          <w:color w:val="000000" w:themeColor="text1"/>
          <w:lang w:eastAsia="en-GB"/>
        </w:rPr>
        <w:t>he final questionnaire comprised</w:t>
      </w:r>
      <w:r w:rsidR="001B22F0">
        <w:rPr>
          <w:rFonts w:ascii="Arial" w:hAnsi="Arial" w:cs="Arial"/>
          <w:color w:val="000000" w:themeColor="text1"/>
          <w:lang w:eastAsia="en-GB"/>
        </w:rPr>
        <w:t xml:space="preserve"> of 37</w:t>
      </w:r>
      <w:r w:rsidR="00471B7E">
        <w:rPr>
          <w:rFonts w:ascii="Arial" w:hAnsi="Arial" w:cs="Arial"/>
          <w:color w:val="000000" w:themeColor="text1"/>
          <w:lang w:eastAsia="en-GB"/>
        </w:rPr>
        <w:t xml:space="preserve"> items, including a mix of closed–ended, Likert and open-ended response questions.</w:t>
      </w:r>
    </w:p>
    <w:p w14:paraId="70403420" w14:textId="192A9D91" w:rsidR="0065637F" w:rsidRDefault="007D14D5" w:rsidP="00F70214">
      <w:pPr>
        <w:spacing w:before="100" w:beforeAutospacing="1" w:after="100" w:afterAutospacing="1"/>
        <w:textAlignment w:val="top"/>
        <w:rPr>
          <w:rFonts w:ascii="Arial" w:hAnsi="Arial" w:cs="Arial"/>
          <w:color w:val="000000" w:themeColor="text1"/>
          <w:lang w:eastAsia="en-GB"/>
        </w:rPr>
      </w:pPr>
      <w:r w:rsidRPr="0063717D">
        <w:rPr>
          <w:rFonts w:ascii="Arial" w:hAnsi="Arial" w:cs="Arial"/>
          <w:color w:val="000000" w:themeColor="text1"/>
          <w:lang w:eastAsia="en-GB"/>
        </w:rPr>
        <w:t>The pilot questionnaire was completed</w:t>
      </w:r>
      <w:r w:rsidR="009F10AD" w:rsidRPr="0063717D">
        <w:rPr>
          <w:rFonts w:ascii="Arial" w:hAnsi="Arial" w:cs="Arial"/>
          <w:color w:val="000000" w:themeColor="text1"/>
          <w:lang w:eastAsia="en-GB"/>
        </w:rPr>
        <w:t xml:space="preserve"> </w:t>
      </w:r>
      <w:r w:rsidRPr="0063717D">
        <w:rPr>
          <w:rFonts w:ascii="Arial" w:hAnsi="Arial" w:cs="Arial"/>
          <w:color w:val="000000" w:themeColor="text1"/>
          <w:lang w:eastAsia="en-GB"/>
        </w:rPr>
        <w:t>by 8 participants (4 from each participating Trust). The questionnaire was subsequently refined based on this feedback before the final version (</w:t>
      </w:r>
      <w:r w:rsidR="00E66EBC">
        <w:rPr>
          <w:rFonts w:ascii="Arial" w:hAnsi="Arial" w:cs="Arial"/>
          <w:color w:val="000000" w:themeColor="text1"/>
          <w:lang w:eastAsia="en-GB"/>
        </w:rPr>
        <w:t>Supplementary 2</w:t>
      </w:r>
      <w:r w:rsidRPr="0063717D">
        <w:rPr>
          <w:rFonts w:ascii="Arial" w:hAnsi="Arial" w:cs="Arial"/>
          <w:color w:val="000000" w:themeColor="text1"/>
          <w:lang w:eastAsia="en-GB"/>
        </w:rPr>
        <w:t>) was sent to all eligible participants</w:t>
      </w:r>
      <w:r w:rsidR="009F10AD" w:rsidRPr="0063717D">
        <w:rPr>
          <w:rFonts w:ascii="Arial" w:hAnsi="Arial" w:cs="Arial"/>
          <w:color w:val="000000" w:themeColor="text1"/>
          <w:lang w:eastAsia="en-GB"/>
        </w:rPr>
        <w:t xml:space="preserve"> and was available for a period of ten weeks</w:t>
      </w:r>
      <w:r w:rsidRPr="0063717D">
        <w:rPr>
          <w:rFonts w:ascii="Arial" w:hAnsi="Arial" w:cs="Arial"/>
          <w:color w:val="000000" w:themeColor="text1"/>
          <w:lang w:eastAsia="en-GB"/>
        </w:rPr>
        <w:t xml:space="preserve">. </w:t>
      </w:r>
      <w:r w:rsidR="0067742A">
        <w:rPr>
          <w:rFonts w:ascii="Arial" w:hAnsi="Arial" w:cs="Arial"/>
          <w:color w:val="000000" w:themeColor="text1"/>
          <w:lang w:eastAsia="en-GB"/>
        </w:rPr>
        <w:t>Both</w:t>
      </w:r>
      <w:r w:rsidR="001B7063" w:rsidRPr="001B7063">
        <w:rPr>
          <w:rFonts w:ascii="Arial" w:hAnsi="Arial" w:cs="Arial"/>
          <w:color w:val="000000" w:themeColor="text1"/>
          <w:lang w:eastAsia="en-GB"/>
        </w:rPr>
        <w:t xml:space="preserve"> questionnaire</w:t>
      </w:r>
      <w:r w:rsidR="0067742A">
        <w:rPr>
          <w:rFonts w:ascii="Arial" w:hAnsi="Arial" w:cs="Arial"/>
          <w:color w:val="000000" w:themeColor="text1"/>
          <w:lang w:eastAsia="en-GB"/>
        </w:rPr>
        <w:t>s</w:t>
      </w:r>
      <w:r w:rsidR="001B7063" w:rsidRPr="001B7063">
        <w:rPr>
          <w:rFonts w:ascii="Arial" w:hAnsi="Arial" w:cs="Arial"/>
          <w:color w:val="000000" w:themeColor="text1"/>
          <w:lang w:eastAsia="en-GB"/>
        </w:rPr>
        <w:t xml:space="preserve"> wer</w:t>
      </w:r>
      <w:r w:rsidR="0067742A">
        <w:rPr>
          <w:rFonts w:ascii="Arial" w:hAnsi="Arial" w:cs="Arial"/>
          <w:color w:val="000000" w:themeColor="text1"/>
          <w:lang w:eastAsia="en-GB"/>
        </w:rPr>
        <w:t>e</w:t>
      </w:r>
      <w:r w:rsidR="001B7063" w:rsidRPr="001B7063">
        <w:rPr>
          <w:rFonts w:ascii="Arial" w:hAnsi="Arial" w:cs="Arial"/>
          <w:color w:val="000000" w:themeColor="text1"/>
          <w:lang w:eastAsia="en-GB"/>
        </w:rPr>
        <w:t xml:space="preserve"> </w:t>
      </w:r>
      <w:r w:rsidR="00BF7258">
        <w:rPr>
          <w:rFonts w:ascii="Arial" w:hAnsi="Arial" w:cs="Arial"/>
          <w:color w:val="000000" w:themeColor="text1"/>
          <w:lang w:eastAsia="en-GB"/>
        </w:rPr>
        <w:t xml:space="preserve">distributed </w:t>
      </w:r>
      <w:r w:rsidR="001B7063" w:rsidRPr="001B7063">
        <w:rPr>
          <w:rFonts w:ascii="Arial" w:hAnsi="Arial" w:cs="Arial"/>
          <w:color w:val="000000" w:themeColor="text1"/>
          <w:lang w:eastAsia="en-GB"/>
        </w:rPr>
        <w:t xml:space="preserve">by research and audit </w:t>
      </w:r>
      <w:r w:rsidR="0067742A">
        <w:rPr>
          <w:rFonts w:ascii="Arial" w:hAnsi="Arial" w:cs="Arial"/>
          <w:color w:val="000000" w:themeColor="text1"/>
          <w:lang w:eastAsia="en-GB"/>
        </w:rPr>
        <w:t>staff</w:t>
      </w:r>
      <w:r w:rsidR="0065637F">
        <w:rPr>
          <w:rFonts w:ascii="Arial" w:hAnsi="Arial" w:cs="Arial"/>
          <w:color w:val="000000" w:themeColor="text1"/>
          <w:lang w:eastAsia="en-GB"/>
        </w:rPr>
        <w:t xml:space="preserve"> to maintain participant anonymity.</w:t>
      </w:r>
      <w:r w:rsidR="001B7063" w:rsidRPr="001B7063">
        <w:rPr>
          <w:rFonts w:ascii="Arial" w:hAnsi="Arial" w:cs="Arial"/>
          <w:color w:val="000000" w:themeColor="text1"/>
          <w:lang w:eastAsia="en-GB"/>
        </w:rPr>
        <w:t xml:space="preserve"> </w:t>
      </w:r>
    </w:p>
    <w:p w14:paraId="66C0AA25" w14:textId="5B805AF4" w:rsidR="007D14D5" w:rsidRPr="00F11200" w:rsidRDefault="00247680" w:rsidP="00F70214">
      <w:pPr>
        <w:spacing w:before="100" w:beforeAutospacing="1" w:after="100" w:afterAutospacing="1"/>
        <w:textAlignment w:val="top"/>
        <w:rPr>
          <w:rFonts w:ascii="Arial" w:hAnsi="Arial" w:cs="Arial"/>
        </w:rPr>
      </w:pPr>
      <w:r>
        <w:rPr>
          <w:rFonts w:ascii="Arial" w:hAnsi="Arial" w:cs="Arial"/>
          <w:color w:val="000000" w:themeColor="text1"/>
          <w:lang w:eastAsia="en-GB"/>
        </w:rPr>
        <w:t>Responses to closed-</w:t>
      </w:r>
      <w:r w:rsidR="007D14D5" w:rsidRPr="0063717D">
        <w:rPr>
          <w:rFonts w:ascii="Arial" w:hAnsi="Arial" w:cs="Arial"/>
          <w:color w:val="000000" w:themeColor="text1"/>
          <w:lang w:eastAsia="en-GB"/>
        </w:rPr>
        <w:t xml:space="preserve">ended items were </w:t>
      </w:r>
      <w:r w:rsidR="00471B7E">
        <w:rPr>
          <w:rFonts w:ascii="Arial" w:hAnsi="Arial" w:cs="Arial"/>
          <w:color w:val="000000" w:themeColor="text1"/>
          <w:lang w:eastAsia="en-GB"/>
        </w:rPr>
        <w:t xml:space="preserve">entered into </w:t>
      </w:r>
      <w:r w:rsidR="001B7063">
        <w:rPr>
          <w:rFonts w:ascii="Arial" w:hAnsi="Arial" w:cs="Arial"/>
          <w:color w:val="000000" w:themeColor="text1"/>
          <w:lang w:eastAsia="en-GB"/>
        </w:rPr>
        <w:t xml:space="preserve">Microsoft Excel </w:t>
      </w:r>
      <w:r w:rsidR="00471B7E">
        <w:rPr>
          <w:rFonts w:ascii="Arial" w:hAnsi="Arial" w:cs="Arial"/>
          <w:color w:val="000000" w:themeColor="text1"/>
          <w:lang w:eastAsia="en-GB"/>
        </w:rPr>
        <w:t xml:space="preserve">and </w:t>
      </w:r>
      <w:r w:rsidR="007D14D5" w:rsidRPr="0063717D">
        <w:rPr>
          <w:rFonts w:ascii="Arial" w:hAnsi="Arial" w:cs="Arial"/>
          <w:color w:val="000000" w:themeColor="text1"/>
          <w:lang w:eastAsia="en-GB"/>
        </w:rPr>
        <w:t>analysed</w:t>
      </w:r>
      <w:r w:rsidR="00293E3E">
        <w:rPr>
          <w:rFonts w:ascii="Arial" w:hAnsi="Arial" w:cs="Arial"/>
          <w:color w:val="000000" w:themeColor="text1"/>
          <w:lang w:eastAsia="en-GB"/>
        </w:rPr>
        <w:t xml:space="preserve"> </w:t>
      </w:r>
      <w:r w:rsidR="007D14D5" w:rsidRPr="0063717D">
        <w:rPr>
          <w:rFonts w:ascii="Arial" w:hAnsi="Arial" w:cs="Arial"/>
          <w:color w:val="000000" w:themeColor="text1"/>
          <w:lang w:eastAsia="en-GB"/>
        </w:rPr>
        <w:t>using descriptive statistic</w:t>
      </w:r>
      <w:r w:rsidR="001B7063">
        <w:rPr>
          <w:rFonts w:ascii="Arial" w:hAnsi="Arial" w:cs="Arial"/>
          <w:color w:val="000000" w:themeColor="text1"/>
          <w:lang w:eastAsia="en-GB"/>
        </w:rPr>
        <w:t>s</w:t>
      </w:r>
      <w:r>
        <w:rPr>
          <w:rFonts w:ascii="Arial" w:hAnsi="Arial" w:cs="Arial"/>
          <w:color w:val="000000" w:themeColor="text1"/>
          <w:lang w:eastAsia="en-GB"/>
        </w:rPr>
        <w:t xml:space="preserve">. Responses to open-ended </w:t>
      </w:r>
      <w:r w:rsidR="007D14D5" w:rsidRPr="0063717D">
        <w:rPr>
          <w:rFonts w:ascii="Arial" w:hAnsi="Arial" w:cs="Arial"/>
          <w:color w:val="000000" w:themeColor="text1"/>
          <w:lang w:eastAsia="en-GB"/>
        </w:rPr>
        <w:t xml:space="preserve">questions were analysed using a framework approach to qualitative data analysis, whereby a coding framework was developed and applied to the dataset in order to </w:t>
      </w:r>
      <w:r w:rsidR="00471B7E">
        <w:rPr>
          <w:rFonts w:ascii="Arial" w:hAnsi="Arial" w:cs="Arial"/>
          <w:color w:val="000000" w:themeColor="text1"/>
          <w:lang w:eastAsia="en-GB"/>
        </w:rPr>
        <w:t xml:space="preserve">identify </w:t>
      </w:r>
      <w:r w:rsidR="00B20ABB">
        <w:rPr>
          <w:rFonts w:ascii="Arial" w:hAnsi="Arial" w:cs="Arial"/>
          <w:color w:val="000000" w:themeColor="text1"/>
          <w:lang w:eastAsia="en-GB"/>
        </w:rPr>
        <w:t>resulting themes</w:t>
      </w:r>
      <w:r w:rsidR="00F11200">
        <w:rPr>
          <w:rFonts w:ascii="Arial" w:hAnsi="Arial" w:cs="Arial"/>
          <w:color w:val="000000" w:themeColor="text1"/>
          <w:lang w:eastAsia="en-GB"/>
        </w:rPr>
        <w:t xml:space="preserve"> (Ritchie, </w:t>
      </w:r>
      <w:r w:rsidR="008C0B4E">
        <w:rPr>
          <w:rFonts w:ascii="Arial" w:hAnsi="Arial" w:cs="Arial"/>
          <w:color w:val="000000" w:themeColor="text1"/>
          <w:lang w:eastAsia="en-GB"/>
        </w:rPr>
        <w:t>Lewis,</w:t>
      </w:r>
      <w:r w:rsidR="00F11200">
        <w:rPr>
          <w:rFonts w:ascii="Arial" w:hAnsi="Arial" w:cs="Arial"/>
          <w:color w:val="000000" w:themeColor="text1"/>
          <w:lang w:eastAsia="en-GB"/>
        </w:rPr>
        <w:t xml:space="preserve"> </w:t>
      </w:r>
      <w:r w:rsidR="00F11200" w:rsidRPr="0063717D">
        <w:rPr>
          <w:rFonts w:ascii="Arial" w:hAnsi="Arial" w:cs="Arial"/>
        </w:rPr>
        <w:t>McNaughton</w:t>
      </w:r>
      <w:r w:rsidR="00F11200">
        <w:rPr>
          <w:rFonts w:ascii="Arial" w:hAnsi="Arial" w:cs="Arial"/>
        </w:rPr>
        <w:t>-Nicholls and</w:t>
      </w:r>
      <w:r w:rsidR="00F11200" w:rsidRPr="0063717D">
        <w:rPr>
          <w:rFonts w:ascii="Arial" w:hAnsi="Arial" w:cs="Arial"/>
        </w:rPr>
        <w:t xml:space="preserve"> Ormston</w:t>
      </w:r>
      <w:r w:rsidR="00F11200">
        <w:rPr>
          <w:rFonts w:ascii="Arial" w:hAnsi="Arial" w:cs="Arial"/>
        </w:rPr>
        <w:t>,</w:t>
      </w:r>
      <w:r w:rsidR="008C0B4E">
        <w:rPr>
          <w:rFonts w:ascii="Arial" w:hAnsi="Arial" w:cs="Arial"/>
          <w:color w:val="000000" w:themeColor="text1"/>
          <w:lang w:eastAsia="en-GB"/>
        </w:rPr>
        <w:t xml:space="preserve"> 2013).</w:t>
      </w:r>
      <w:r w:rsidR="007D14D5" w:rsidRPr="0063717D">
        <w:rPr>
          <w:rFonts w:ascii="Arial" w:hAnsi="Arial" w:cs="Arial"/>
          <w:color w:val="000000" w:themeColor="text1"/>
          <w:lang w:eastAsia="en-GB"/>
        </w:rPr>
        <w:t xml:space="preserve"> </w:t>
      </w:r>
    </w:p>
    <w:p w14:paraId="2DBBADFA" w14:textId="77777777" w:rsidR="00443CD8" w:rsidRPr="0063717D" w:rsidRDefault="00443CD8" w:rsidP="00F70214">
      <w:pPr>
        <w:rPr>
          <w:rFonts w:ascii="Arial" w:hAnsi="Arial" w:cs="Arial"/>
          <w:b/>
        </w:rPr>
      </w:pPr>
    </w:p>
    <w:p w14:paraId="585B6B7B" w14:textId="77777777" w:rsidR="005F0174" w:rsidRDefault="005F0174" w:rsidP="00F70214">
      <w:pPr>
        <w:rPr>
          <w:rFonts w:ascii="Arial" w:hAnsi="Arial" w:cs="Arial"/>
          <w:b/>
        </w:rPr>
      </w:pPr>
    </w:p>
    <w:p w14:paraId="73480D2D" w14:textId="33A267AA" w:rsidR="007D14D5" w:rsidRPr="0063717D" w:rsidRDefault="0054202D" w:rsidP="00F70214">
      <w:pPr>
        <w:rPr>
          <w:rFonts w:ascii="Arial" w:hAnsi="Arial" w:cs="Arial"/>
          <w:b/>
        </w:rPr>
      </w:pPr>
      <w:r>
        <w:rPr>
          <w:rFonts w:ascii="Arial" w:hAnsi="Arial" w:cs="Arial"/>
          <w:b/>
        </w:rPr>
        <w:lastRenderedPageBreak/>
        <w:t>RESULTS</w:t>
      </w:r>
    </w:p>
    <w:p w14:paraId="2E2E7A19" w14:textId="77777777" w:rsidR="007D14D5" w:rsidRPr="0063717D" w:rsidRDefault="007D14D5" w:rsidP="00F70214">
      <w:pPr>
        <w:rPr>
          <w:rFonts w:ascii="Arial" w:hAnsi="Arial" w:cs="Arial"/>
          <w:b/>
        </w:rPr>
      </w:pPr>
    </w:p>
    <w:p w14:paraId="480EE992" w14:textId="77777777" w:rsidR="007D14D5" w:rsidRPr="00573FC9" w:rsidRDefault="007D14D5" w:rsidP="00F70214">
      <w:pPr>
        <w:rPr>
          <w:rFonts w:ascii="Arial" w:hAnsi="Arial" w:cs="Arial"/>
          <w:b/>
        </w:rPr>
      </w:pPr>
      <w:r w:rsidRPr="00573FC9">
        <w:rPr>
          <w:rFonts w:ascii="Arial" w:hAnsi="Arial" w:cs="Arial"/>
          <w:b/>
        </w:rPr>
        <w:t>Sample demographics</w:t>
      </w:r>
    </w:p>
    <w:p w14:paraId="7F2373BB" w14:textId="77777777" w:rsidR="007D14D5" w:rsidRPr="0063717D" w:rsidRDefault="007D14D5" w:rsidP="00F70214">
      <w:pPr>
        <w:rPr>
          <w:rFonts w:ascii="Arial" w:hAnsi="Arial" w:cs="Arial"/>
        </w:rPr>
      </w:pPr>
    </w:p>
    <w:p w14:paraId="053E882A" w14:textId="43966DB4" w:rsidR="0061686C" w:rsidRPr="0063717D" w:rsidRDefault="007D14D5" w:rsidP="00BB52E8">
      <w:pPr>
        <w:rPr>
          <w:rFonts w:ascii="Arial" w:hAnsi="Arial" w:cs="Arial"/>
        </w:rPr>
      </w:pPr>
      <w:r w:rsidRPr="0063717D">
        <w:rPr>
          <w:rFonts w:ascii="Arial" w:hAnsi="Arial" w:cs="Arial"/>
        </w:rPr>
        <w:t>A total of 78</w:t>
      </w:r>
      <w:r w:rsidR="002A563E" w:rsidRPr="0063717D">
        <w:rPr>
          <w:rFonts w:ascii="Arial" w:hAnsi="Arial" w:cs="Arial"/>
        </w:rPr>
        <w:t>/268 (29</w:t>
      </w:r>
      <w:r w:rsidR="006869BB">
        <w:rPr>
          <w:rFonts w:ascii="Arial" w:hAnsi="Arial" w:cs="Arial"/>
        </w:rPr>
        <w:t>.0</w:t>
      </w:r>
      <w:r w:rsidR="002A563E" w:rsidRPr="0063717D">
        <w:rPr>
          <w:rFonts w:ascii="Arial" w:hAnsi="Arial" w:cs="Arial"/>
        </w:rPr>
        <w:t>%) of</w:t>
      </w:r>
      <w:r w:rsidRPr="0063717D">
        <w:rPr>
          <w:rFonts w:ascii="Arial" w:hAnsi="Arial" w:cs="Arial"/>
        </w:rPr>
        <w:t xml:space="preserve"> SPEUCs completed the questionnaire</w:t>
      </w:r>
      <w:r w:rsidR="00BB52E8">
        <w:rPr>
          <w:rFonts w:ascii="Arial" w:hAnsi="Arial" w:cs="Arial"/>
        </w:rPr>
        <w:t>, including 6 participants who took part in the pilot</w:t>
      </w:r>
      <w:r w:rsidR="001613AC">
        <w:rPr>
          <w:rFonts w:ascii="Arial" w:hAnsi="Arial" w:cs="Arial"/>
        </w:rPr>
        <w:t>.</w:t>
      </w:r>
      <w:r w:rsidR="00726187">
        <w:rPr>
          <w:rFonts w:ascii="Arial" w:hAnsi="Arial" w:cs="Arial"/>
        </w:rPr>
        <w:t xml:space="preserve"> </w:t>
      </w:r>
      <w:r w:rsidR="006352A8">
        <w:rPr>
          <w:rFonts w:ascii="Arial" w:hAnsi="Arial" w:cs="Arial"/>
        </w:rPr>
        <w:t xml:space="preserve">65/78 (83.3%) </w:t>
      </w:r>
      <w:r w:rsidRPr="0063717D">
        <w:rPr>
          <w:rFonts w:ascii="Arial" w:hAnsi="Arial" w:cs="Arial"/>
        </w:rPr>
        <w:t xml:space="preserve">of participants held a degree level qualification and </w:t>
      </w:r>
      <w:r w:rsidR="00AD780D">
        <w:rPr>
          <w:rFonts w:ascii="Arial" w:hAnsi="Arial" w:cs="Arial"/>
        </w:rPr>
        <w:t>7</w:t>
      </w:r>
      <w:r w:rsidR="006352A8">
        <w:rPr>
          <w:rFonts w:ascii="Arial" w:hAnsi="Arial" w:cs="Arial"/>
        </w:rPr>
        <w:t>/78</w:t>
      </w:r>
      <w:r w:rsidR="00AD780D">
        <w:rPr>
          <w:rFonts w:ascii="Arial" w:hAnsi="Arial" w:cs="Arial"/>
        </w:rPr>
        <w:t xml:space="preserve"> (</w:t>
      </w:r>
      <w:r w:rsidRPr="0063717D">
        <w:rPr>
          <w:rFonts w:ascii="Arial" w:hAnsi="Arial" w:cs="Arial"/>
        </w:rPr>
        <w:t>8.9%</w:t>
      </w:r>
      <w:r w:rsidR="00AD780D">
        <w:rPr>
          <w:rFonts w:ascii="Arial" w:hAnsi="Arial" w:cs="Arial"/>
        </w:rPr>
        <w:t>)</w:t>
      </w:r>
      <w:r w:rsidRPr="0063717D">
        <w:rPr>
          <w:rFonts w:ascii="Arial" w:hAnsi="Arial" w:cs="Arial"/>
        </w:rPr>
        <w:t xml:space="preserve"> </w:t>
      </w:r>
      <w:r w:rsidR="00471B7E">
        <w:rPr>
          <w:rFonts w:ascii="Arial" w:hAnsi="Arial" w:cs="Arial"/>
        </w:rPr>
        <w:t xml:space="preserve">had also obtained </w:t>
      </w:r>
      <w:r w:rsidRPr="0063717D">
        <w:rPr>
          <w:rFonts w:ascii="Arial" w:hAnsi="Arial" w:cs="Arial"/>
        </w:rPr>
        <w:t xml:space="preserve">a master’s level qualification. A further </w:t>
      </w:r>
      <w:r w:rsidR="00AD780D">
        <w:rPr>
          <w:rFonts w:ascii="Arial" w:hAnsi="Arial" w:cs="Arial"/>
        </w:rPr>
        <w:t>25</w:t>
      </w:r>
      <w:r w:rsidR="006352A8">
        <w:rPr>
          <w:rFonts w:ascii="Arial" w:hAnsi="Arial" w:cs="Arial"/>
        </w:rPr>
        <w:t>/78</w:t>
      </w:r>
      <w:r w:rsidR="00AD780D">
        <w:rPr>
          <w:rFonts w:ascii="Arial" w:hAnsi="Arial" w:cs="Arial"/>
        </w:rPr>
        <w:t xml:space="preserve"> (</w:t>
      </w:r>
      <w:r w:rsidRPr="0063717D">
        <w:rPr>
          <w:rFonts w:ascii="Arial" w:hAnsi="Arial" w:cs="Arial"/>
        </w:rPr>
        <w:t>32</w:t>
      </w:r>
      <w:r w:rsidR="006869BB">
        <w:rPr>
          <w:rFonts w:ascii="Arial" w:hAnsi="Arial" w:cs="Arial"/>
        </w:rPr>
        <w:t>.0</w:t>
      </w:r>
      <w:r w:rsidRPr="0063717D">
        <w:rPr>
          <w:rFonts w:ascii="Arial" w:hAnsi="Arial" w:cs="Arial"/>
        </w:rPr>
        <w:t>%</w:t>
      </w:r>
      <w:r w:rsidR="00AD780D">
        <w:rPr>
          <w:rFonts w:ascii="Arial" w:hAnsi="Arial" w:cs="Arial"/>
        </w:rPr>
        <w:t>)</w:t>
      </w:r>
      <w:r w:rsidRPr="0063717D">
        <w:rPr>
          <w:rFonts w:ascii="Arial" w:hAnsi="Arial" w:cs="Arial"/>
        </w:rPr>
        <w:t xml:space="preserve"> were working towards a post</w:t>
      </w:r>
      <w:r w:rsidR="00471B7E">
        <w:rPr>
          <w:rFonts w:ascii="Arial" w:hAnsi="Arial" w:cs="Arial"/>
        </w:rPr>
        <w:t>-</w:t>
      </w:r>
      <w:r w:rsidRPr="0063717D">
        <w:rPr>
          <w:rFonts w:ascii="Arial" w:hAnsi="Arial" w:cs="Arial"/>
        </w:rPr>
        <w:t>graduate level qualification</w:t>
      </w:r>
      <w:r w:rsidRPr="00494579">
        <w:rPr>
          <w:rStyle w:val="CommentReference"/>
          <w:rFonts w:ascii="Arial" w:hAnsi="Arial" w:cs="Arial"/>
          <w:sz w:val="24"/>
          <w:szCs w:val="24"/>
        </w:rPr>
        <w:t>.</w:t>
      </w:r>
      <w:r w:rsidR="0061686C" w:rsidRPr="0061686C">
        <w:rPr>
          <w:rFonts w:ascii="Arial" w:hAnsi="Arial" w:cs="Arial"/>
        </w:rPr>
        <w:t xml:space="preserve"> </w:t>
      </w:r>
    </w:p>
    <w:p w14:paraId="4AFA6B61" w14:textId="77777777" w:rsidR="0061686C" w:rsidRDefault="0061686C" w:rsidP="00F70214">
      <w:pPr>
        <w:pStyle w:val="FootnoteText"/>
      </w:pPr>
    </w:p>
    <w:p w14:paraId="772E7710" w14:textId="77777777" w:rsidR="007D14D5" w:rsidRPr="00C27F15" w:rsidRDefault="007D14D5" w:rsidP="00F70214">
      <w:pPr>
        <w:rPr>
          <w:rFonts w:ascii="Arial" w:hAnsi="Arial" w:cs="Arial"/>
        </w:rPr>
      </w:pPr>
    </w:p>
    <w:p w14:paraId="4C9A86CA" w14:textId="77777777" w:rsidR="007D14D5" w:rsidRPr="00573FC9" w:rsidRDefault="007D14D5" w:rsidP="00F70214">
      <w:pPr>
        <w:rPr>
          <w:rFonts w:ascii="Arial" w:hAnsi="Arial" w:cs="Arial"/>
          <w:b/>
          <w:color w:val="000000" w:themeColor="text1"/>
          <w:lang w:eastAsia="en-GB"/>
        </w:rPr>
      </w:pPr>
      <w:r w:rsidRPr="00573FC9">
        <w:rPr>
          <w:rFonts w:ascii="Arial" w:hAnsi="Arial" w:cs="Arial"/>
          <w:b/>
          <w:color w:val="000000" w:themeColor="text1"/>
          <w:lang w:eastAsia="en-GB"/>
        </w:rPr>
        <w:t>Medication</w:t>
      </w:r>
      <w:r w:rsidRPr="00573FC9">
        <w:rPr>
          <w:rStyle w:val="CommentReference"/>
          <w:rFonts w:ascii="Arial" w:hAnsi="Arial" w:cs="Arial"/>
          <w:b/>
          <w:sz w:val="24"/>
          <w:szCs w:val="24"/>
        </w:rPr>
        <w:t xml:space="preserve"> </w:t>
      </w:r>
      <w:r w:rsidRPr="00573FC9">
        <w:rPr>
          <w:rFonts w:ascii="Arial" w:hAnsi="Arial" w:cs="Arial"/>
          <w:b/>
          <w:color w:val="000000" w:themeColor="text1"/>
          <w:lang w:eastAsia="en-GB"/>
        </w:rPr>
        <w:t>supplied/administered and conditions treated by SPEUCs</w:t>
      </w:r>
    </w:p>
    <w:p w14:paraId="5F31D576" w14:textId="77777777" w:rsidR="007D14D5" w:rsidRPr="0054202D" w:rsidRDefault="007D14D5" w:rsidP="00F70214">
      <w:pPr>
        <w:rPr>
          <w:rFonts w:ascii="Arial" w:hAnsi="Arial" w:cs="Arial"/>
          <w:b/>
          <w:color w:val="000000" w:themeColor="text1"/>
          <w:lang w:eastAsia="en-GB"/>
        </w:rPr>
      </w:pPr>
    </w:p>
    <w:p w14:paraId="0E58B5F6" w14:textId="7CC99742" w:rsidR="00AD780D" w:rsidRDefault="007D14D5" w:rsidP="00F70214">
      <w:pPr>
        <w:rPr>
          <w:rFonts w:ascii="Arial" w:hAnsi="Arial" w:cs="Arial"/>
        </w:rPr>
      </w:pPr>
      <w:r w:rsidRPr="00C27F15">
        <w:rPr>
          <w:rFonts w:ascii="Arial" w:hAnsi="Arial" w:cs="Arial"/>
        </w:rPr>
        <w:t>Participants reported using SPEUC PGDs regularly (Table 1</w:t>
      </w:r>
      <w:r w:rsidRPr="0063717D">
        <w:rPr>
          <w:rFonts w:ascii="Arial" w:hAnsi="Arial" w:cs="Arial"/>
        </w:rPr>
        <w:t>)</w:t>
      </w:r>
      <w:r w:rsidR="00166B2C">
        <w:rPr>
          <w:rFonts w:ascii="Arial" w:hAnsi="Arial" w:cs="Arial"/>
        </w:rPr>
        <w:t xml:space="preserve"> with over three quarters of the sample supplying or administering</w:t>
      </w:r>
      <w:r w:rsidR="005F0174">
        <w:rPr>
          <w:rFonts w:ascii="Arial" w:hAnsi="Arial" w:cs="Arial"/>
        </w:rPr>
        <w:t xml:space="preserve"> </w:t>
      </w:r>
      <w:r w:rsidR="00166B2C">
        <w:rPr>
          <w:rFonts w:ascii="Arial" w:hAnsi="Arial" w:cs="Arial"/>
        </w:rPr>
        <w:t>medicines on average at least once a week. Approximately one fifth of the sample reported using PGDs an average of over three times per week</w:t>
      </w:r>
      <w:r w:rsidRPr="0063717D">
        <w:rPr>
          <w:rFonts w:ascii="Arial" w:hAnsi="Arial" w:cs="Arial"/>
        </w:rPr>
        <w:t>. Antibiotics were the most frequently supplied medicine followed by analgesia and steroids (</w:t>
      </w:r>
      <w:r w:rsidRPr="00C27F15">
        <w:rPr>
          <w:rFonts w:ascii="Arial" w:hAnsi="Arial" w:cs="Arial"/>
        </w:rPr>
        <w:t>Figure 1</w:t>
      </w:r>
      <w:r w:rsidR="0065637F">
        <w:rPr>
          <w:rFonts w:ascii="Arial" w:hAnsi="Arial" w:cs="Arial"/>
        </w:rPr>
        <w:t xml:space="preserve">). </w:t>
      </w:r>
      <w:r w:rsidR="0071080C">
        <w:rPr>
          <w:rFonts w:ascii="Arial" w:hAnsi="Arial" w:cs="Arial"/>
        </w:rPr>
        <w:t>Th</w:t>
      </w:r>
      <w:r w:rsidR="00D813F7">
        <w:rPr>
          <w:rFonts w:ascii="Arial" w:hAnsi="Arial" w:cs="Arial"/>
        </w:rPr>
        <w:t>ese findings were also reflective of frequency data in the pharmaceutical usage records supplied by each Trust</w:t>
      </w:r>
      <w:r w:rsidR="0071080C">
        <w:rPr>
          <w:rFonts w:ascii="Arial" w:hAnsi="Arial" w:cs="Arial"/>
        </w:rPr>
        <w:t xml:space="preserve">. </w:t>
      </w:r>
      <w:r w:rsidRPr="00C27F15">
        <w:rPr>
          <w:rFonts w:ascii="Arial" w:hAnsi="Arial" w:cs="Arial"/>
        </w:rPr>
        <w:t>The conditions frequently supplied for are shown in Table 2 and those less frequently in Table 3.</w:t>
      </w:r>
      <w:r w:rsidR="0071080C">
        <w:rPr>
          <w:rFonts w:ascii="Arial" w:hAnsi="Arial" w:cs="Arial"/>
        </w:rPr>
        <w:t xml:space="preserve"> </w:t>
      </w:r>
    </w:p>
    <w:p w14:paraId="216C60D6" w14:textId="6D3709D7" w:rsidR="00140D7F" w:rsidRDefault="00140D7F" w:rsidP="00F70214">
      <w:pPr>
        <w:rPr>
          <w:rFonts w:ascii="Arial" w:hAnsi="Arial" w:cs="Arial"/>
        </w:rPr>
      </w:pPr>
    </w:p>
    <w:p w14:paraId="7DDD63E9" w14:textId="54617867" w:rsidR="00BD3749" w:rsidRDefault="00BD3749" w:rsidP="00F70214">
      <w:pPr>
        <w:rPr>
          <w:rFonts w:ascii="Arial" w:hAnsi="Arial" w:cs="Arial"/>
        </w:rPr>
      </w:pPr>
    </w:p>
    <w:p w14:paraId="3EF83013" w14:textId="77777777" w:rsidR="00BD3749" w:rsidRPr="0063717D" w:rsidRDefault="00BD3749" w:rsidP="00F70214">
      <w:pPr>
        <w:rPr>
          <w:rFonts w:ascii="Arial" w:hAnsi="Arial" w:cs="Arial"/>
          <w:b/>
        </w:rPr>
      </w:pPr>
      <w:r w:rsidRPr="0063717D">
        <w:rPr>
          <w:rFonts w:ascii="Arial" w:hAnsi="Arial" w:cs="Arial"/>
          <w:b/>
        </w:rPr>
        <w:t>Table 1 – Number of times PGDs used per month</w:t>
      </w:r>
    </w:p>
    <w:p w14:paraId="52590ECF" w14:textId="77777777" w:rsidR="00BD3749" w:rsidRPr="0063717D" w:rsidRDefault="00BD3749" w:rsidP="00F70214">
      <w:pPr>
        <w:rPr>
          <w:rFonts w:ascii="Arial" w:hAnsi="Arial" w:cs="Arial"/>
          <w:b/>
        </w:rPr>
      </w:pPr>
    </w:p>
    <w:p w14:paraId="3A0CEB84" w14:textId="32DB4411" w:rsidR="00074DED" w:rsidRDefault="00074DED" w:rsidP="00F70214">
      <w:pPr>
        <w:rPr>
          <w:rFonts w:ascii="Arial" w:hAnsi="Arial" w:cs="Arial"/>
        </w:rPr>
      </w:pPr>
    </w:p>
    <w:p w14:paraId="20CF0197" w14:textId="77777777" w:rsidR="000D3CD5" w:rsidRDefault="000D3CD5" w:rsidP="00F70214">
      <w:pPr>
        <w:rPr>
          <w:rFonts w:ascii="Arial" w:hAnsi="Arial" w:cs="Arial"/>
          <w:b/>
        </w:rPr>
      </w:pPr>
    </w:p>
    <w:tbl>
      <w:tblPr>
        <w:tblStyle w:val="TableGrid"/>
        <w:tblW w:w="0" w:type="auto"/>
        <w:tblLook w:val="04A0" w:firstRow="1" w:lastRow="0" w:firstColumn="1" w:lastColumn="0" w:noHBand="0" w:noVBand="1"/>
      </w:tblPr>
      <w:tblGrid>
        <w:gridCol w:w="3057"/>
        <w:gridCol w:w="2041"/>
        <w:gridCol w:w="2268"/>
      </w:tblGrid>
      <w:tr w:rsidR="00A7330B" w:rsidRPr="00A7330B" w14:paraId="5833E4D7" w14:textId="77777777" w:rsidTr="00E4693D">
        <w:tc>
          <w:tcPr>
            <w:tcW w:w="3057" w:type="dxa"/>
          </w:tcPr>
          <w:p w14:paraId="28EE0124" w14:textId="77777777" w:rsidR="00A7330B" w:rsidRPr="00A7330B" w:rsidRDefault="00A7330B" w:rsidP="00A7330B">
            <w:pPr>
              <w:rPr>
                <w:rFonts w:ascii="Arial" w:hAnsi="Arial" w:cs="Arial"/>
                <w:b/>
              </w:rPr>
            </w:pPr>
            <w:r w:rsidRPr="00A7330B">
              <w:rPr>
                <w:rFonts w:ascii="Arial" w:hAnsi="Arial" w:cs="Arial"/>
                <w:b/>
              </w:rPr>
              <w:t>Number of times PGDs used per month</w:t>
            </w:r>
          </w:p>
        </w:tc>
        <w:tc>
          <w:tcPr>
            <w:tcW w:w="2041" w:type="dxa"/>
          </w:tcPr>
          <w:p w14:paraId="4DAE84FD" w14:textId="77777777" w:rsidR="00A7330B" w:rsidRPr="00A7330B" w:rsidRDefault="00A7330B" w:rsidP="00A7330B">
            <w:pPr>
              <w:rPr>
                <w:rFonts w:ascii="Arial" w:hAnsi="Arial" w:cs="Arial"/>
                <w:b/>
              </w:rPr>
            </w:pPr>
            <w:r w:rsidRPr="00A7330B">
              <w:rPr>
                <w:rFonts w:ascii="Arial" w:hAnsi="Arial" w:cs="Arial"/>
                <w:b/>
              </w:rPr>
              <w:t>Number of respondents</w:t>
            </w:r>
          </w:p>
        </w:tc>
        <w:tc>
          <w:tcPr>
            <w:tcW w:w="2268" w:type="dxa"/>
          </w:tcPr>
          <w:p w14:paraId="3B30BF9E" w14:textId="77777777" w:rsidR="00A7330B" w:rsidRPr="00A7330B" w:rsidRDefault="00A7330B" w:rsidP="00A7330B">
            <w:pPr>
              <w:rPr>
                <w:rFonts w:ascii="Arial" w:hAnsi="Arial" w:cs="Arial"/>
                <w:b/>
              </w:rPr>
            </w:pPr>
            <w:r w:rsidRPr="00A7330B">
              <w:rPr>
                <w:rFonts w:ascii="Arial" w:hAnsi="Arial" w:cs="Arial"/>
                <w:b/>
              </w:rPr>
              <w:t>% of respondents</w:t>
            </w:r>
          </w:p>
        </w:tc>
      </w:tr>
      <w:tr w:rsidR="00A7330B" w:rsidRPr="00A7330B" w14:paraId="46D882EE" w14:textId="77777777" w:rsidTr="00E4693D">
        <w:tc>
          <w:tcPr>
            <w:tcW w:w="3057" w:type="dxa"/>
          </w:tcPr>
          <w:p w14:paraId="59DF0124" w14:textId="77777777" w:rsidR="00A7330B" w:rsidRPr="00A7330B" w:rsidRDefault="00A7330B" w:rsidP="00A7330B">
            <w:pPr>
              <w:rPr>
                <w:rFonts w:ascii="Arial" w:hAnsi="Arial" w:cs="Arial"/>
                <w:b/>
              </w:rPr>
            </w:pPr>
            <w:r w:rsidRPr="00A7330B">
              <w:rPr>
                <w:rFonts w:ascii="Arial" w:hAnsi="Arial" w:cs="Arial"/>
                <w:b/>
              </w:rPr>
              <w:t>0-3</w:t>
            </w:r>
          </w:p>
        </w:tc>
        <w:tc>
          <w:tcPr>
            <w:tcW w:w="2041" w:type="dxa"/>
          </w:tcPr>
          <w:p w14:paraId="5B3BB7A4" w14:textId="77777777" w:rsidR="00A7330B" w:rsidRPr="00A7330B" w:rsidRDefault="00A7330B" w:rsidP="00A7330B">
            <w:pPr>
              <w:rPr>
                <w:rFonts w:ascii="Arial" w:hAnsi="Arial" w:cs="Arial"/>
                <w:b/>
              </w:rPr>
            </w:pPr>
            <w:r w:rsidRPr="00A7330B">
              <w:rPr>
                <w:rFonts w:ascii="Arial" w:hAnsi="Arial" w:cs="Arial"/>
                <w:b/>
              </w:rPr>
              <w:t xml:space="preserve">18 </w:t>
            </w:r>
          </w:p>
        </w:tc>
        <w:tc>
          <w:tcPr>
            <w:tcW w:w="2268" w:type="dxa"/>
          </w:tcPr>
          <w:p w14:paraId="1D00E832" w14:textId="77777777" w:rsidR="00A7330B" w:rsidRPr="00A7330B" w:rsidRDefault="00A7330B" w:rsidP="00A7330B">
            <w:pPr>
              <w:rPr>
                <w:rFonts w:ascii="Arial" w:hAnsi="Arial" w:cs="Arial"/>
                <w:b/>
              </w:rPr>
            </w:pPr>
            <w:r w:rsidRPr="00A7330B">
              <w:rPr>
                <w:rFonts w:ascii="Arial" w:hAnsi="Arial" w:cs="Arial"/>
                <w:b/>
              </w:rPr>
              <w:t>23.0</w:t>
            </w:r>
          </w:p>
        </w:tc>
      </w:tr>
      <w:tr w:rsidR="00A7330B" w:rsidRPr="00A7330B" w14:paraId="2C6BCB37" w14:textId="77777777" w:rsidTr="00E4693D">
        <w:tc>
          <w:tcPr>
            <w:tcW w:w="3057" w:type="dxa"/>
          </w:tcPr>
          <w:p w14:paraId="7B23CA36" w14:textId="77777777" w:rsidR="00A7330B" w:rsidRPr="00A7330B" w:rsidRDefault="00A7330B" w:rsidP="00A7330B">
            <w:pPr>
              <w:rPr>
                <w:rFonts w:ascii="Arial" w:hAnsi="Arial" w:cs="Arial"/>
                <w:b/>
              </w:rPr>
            </w:pPr>
            <w:r w:rsidRPr="00A7330B">
              <w:rPr>
                <w:rFonts w:ascii="Arial" w:hAnsi="Arial" w:cs="Arial"/>
                <w:b/>
              </w:rPr>
              <w:t>4-6</w:t>
            </w:r>
          </w:p>
        </w:tc>
        <w:tc>
          <w:tcPr>
            <w:tcW w:w="2041" w:type="dxa"/>
          </w:tcPr>
          <w:p w14:paraId="27116D15" w14:textId="77777777" w:rsidR="00A7330B" w:rsidRPr="00A7330B" w:rsidRDefault="00A7330B" w:rsidP="00A7330B">
            <w:pPr>
              <w:rPr>
                <w:rFonts w:ascii="Arial" w:hAnsi="Arial" w:cs="Arial"/>
                <w:b/>
              </w:rPr>
            </w:pPr>
            <w:r w:rsidRPr="00A7330B">
              <w:rPr>
                <w:rFonts w:ascii="Arial" w:hAnsi="Arial" w:cs="Arial"/>
                <w:b/>
              </w:rPr>
              <w:t>18</w:t>
            </w:r>
          </w:p>
        </w:tc>
        <w:tc>
          <w:tcPr>
            <w:tcW w:w="2268" w:type="dxa"/>
          </w:tcPr>
          <w:p w14:paraId="62929505" w14:textId="77777777" w:rsidR="00A7330B" w:rsidRPr="00A7330B" w:rsidRDefault="00A7330B" w:rsidP="00A7330B">
            <w:pPr>
              <w:rPr>
                <w:rFonts w:ascii="Arial" w:hAnsi="Arial" w:cs="Arial"/>
                <w:b/>
              </w:rPr>
            </w:pPr>
            <w:r w:rsidRPr="00A7330B">
              <w:rPr>
                <w:rFonts w:ascii="Arial" w:hAnsi="Arial" w:cs="Arial"/>
                <w:b/>
              </w:rPr>
              <w:t>23.0</w:t>
            </w:r>
          </w:p>
        </w:tc>
      </w:tr>
      <w:tr w:rsidR="00A7330B" w:rsidRPr="00A7330B" w14:paraId="5E3B367A" w14:textId="77777777" w:rsidTr="00E4693D">
        <w:tc>
          <w:tcPr>
            <w:tcW w:w="3057" w:type="dxa"/>
          </w:tcPr>
          <w:p w14:paraId="3E5FD41F" w14:textId="77777777" w:rsidR="00A7330B" w:rsidRPr="00A7330B" w:rsidRDefault="00A7330B" w:rsidP="00A7330B">
            <w:pPr>
              <w:rPr>
                <w:rFonts w:ascii="Arial" w:hAnsi="Arial" w:cs="Arial"/>
                <w:b/>
              </w:rPr>
            </w:pPr>
            <w:r w:rsidRPr="00A7330B">
              <w:rPr>
                <w:rFonts w:ascii="Arial" w:hAnsi="Arial" w:cs="Arial"/>
                <w:b/>
              </w:rPr>
              <w:t>7-9</w:t>
            </w:r>
          </w:p>
        </w:tc>
        <w:tc>
          <w:tcPr>
            <w:tcW w:w="2041" w:type="dxa"/>
          </w:tcPr>
          <w:p w14:paraId="7D598C9D" w14:textId="77777777" w:rsidR="00A7330B" w:rsidRPr="00A7330B" w:rsidRDefault="00A7330B" w:rsidP="00A7330B">
            <w:pPr>
              <w:rPr>
                <w:rFonts w:ascii="Arial" w:hAnsi="Arial" w:cs="Arial"/>
                <w:b/>
              </w:rPr>
            </w:pPr>
            <w:r w:rsidRPr="00A7330B">
              <w:rPr>
                <w:rFonts w:ascii="Arial" w:hAnsi="Arial" w:cs="Arial"/>
                <w:b/>
              </w:rPr>
              <w:t>15</w:t>
            </w:r>
          </w:p>
        </w:tc>
        <w:tc>
          <w:tcPr>
            <w:tcW w:w="2268" w:type="dxa"/>
          </w:tcPr>
          <w:p w14:paraId="6F745DB1" w14:textId="77777777" w:rsidR="00A7330B" w:rsidRPr="00A7330B" w:rsidRDefault="00A7330B" w:rsidP="00A7330B">
            <w:pPr>
              <w:rPr>
                <w:rFonts w:ascii="Arial" w:hAnsi="Arial" w:cs="Arial"/>
                <w:b/>
              </w:rPr>
            </w:pPr>
            <w:r w:rsidRPr="00A7330B">
              <w:rPr>
                <w:rFonts w:ascii="Arial" w:hAnsi="Arial" w:cs="Arial"/>
                <w:b/>
              </w:rPr>
              <w:t>19.2</w:t>
            </w:r>
          </w:p>
        </w:tc>
      </w:tr>
      <w:tr w:rsidR="00A7330B" w:rsidRPr="00A7330B" w14:paraId="11D070FA" w14:textId="77777777" w:rsidTr="00E4693D">
        <w:tc>
          <w:tcPr>
            <w:tcW w:w="3057" w:type="dxa"/>
          </w:tcPr>
          <w:p w14:paraId="20A5C4CF" w14:textId="77777777" w:rsidR="00A7330B" w:rsidRPr="00A7330B" w:rsidRDefault="00A7330B" w:rsidP="00A7330B">
            <w:pPr>
              <w:rPr>
                <w:rFonts w:ascii="Arial" w:hAnsi="Arial" w:cs="Arial"/>
                <w:b/>
              </w:rPr>
            </w:pPr>
            <w:r w:rsidRPr="00A7330B">
              <w:rPr>
                <w:rFonts w:ascii="Arial" w:hAnsi="Arial" w:cs="Arial"/>
                <w:b/>
              </w:rPr>
              <w:t>10-12</w:t>
            </w:r>
          </w:p>
        </w:tc>
        <w:tc>
          <w:tcPr>
            <w:tcW w:w="2041" w:type="dxa"/>
          </w:tcPr>
          <w:p w14:paraId="127BEE8D" w14:textId="77777777" w:rsidR="00A7330B" w:rsidRPr="00A7330B" w:rsidRDefault="00A7330B" w:rsidP="00A7330B">
            <w:pPr>
              <w:rPr>
                <w:rFonts w:ascii="Arial" w:hAnsi="Arial" w:cs="Arial"/>
                <w:b/>
              </w:rPr>
            </w:pPr>
            <w:r w:rsidRPr="00A7330B">
              <w:rPr>
                <w:rFonts w:ascii="Arial" w:hAnsi="Arial" w:cs="Arial"/>
                <w:b/>
              </w:rPr>
              <w:t>11</w:t>
            </w:r>
          </w:p>
        </w:tc>
        <w:tc>
          <w:tcPr>
            <w:tcW w:w="2268" w:type="dxa"/>
          </w:tcPr>
          <w:p w14:paraId="377B574A" w14:textId="77777777" w:rsidR="00A7330B" w:rsidRPr="00A7330B" w:rsidRDefault="00A7330B" w:rsidP="00A7330B">
            <w:pPr>
              <w:rPr>
                <w:rFonts w:ascii="Arial" w:hAnsi="Arial" w:cs="Arial"/>
                <w:b/>
              </w:rPr>
            </w:pPr>
            <w:r w:rsidRPr="00A7330B">
              <w:rPr>
                <w:rFonts w:ascii="Arial" w:hAnsi="Arial" w:cs="Arial"/>
                <w:b/>
              </w:rPr>
              <w:t>14.1</w:t>
            </w:r>
          </w:p>
        </w:tc>
      </w:tr>
      <w:tr w:rsidR="00A7330B" w:rsidRPr="00A7330B" w14:paraId="01217901" w14:textId="77777777" w:rsidTr="00E4693D">
        <w:trPr>
          <w:trHeight w:val="395"/>
        </w:trPr>
        <w:tc>
          <w:tcPr>
            <w:tcW w:w="3057" w:type="dxa"/>
          </w:tcPr>
          <w:p w14:paraId="048AD80D" w14:textId="77777777" w:rsidR="00A7330B" w:rsidRPr="00A7330B" w:rsidRDefault="00A7330B" w:rsidP="00A7330B">
            <w:pPr>
              <w:rPr>
                <w:rFonts w:ascii="Arial" w:hAnsi="Arial" w:cs="Arial"/>
                <w:b/>
              </w:rPr>
            </w:pPr>
            <w:r w:rsidRPr="00A7330B">
              <w:rPr>
                <w:rFonts w:ascii="Arial" w:hAnsi="Arial" w:cs="Arial"/>
                <w:b/>
              </w:rPr>
              <w:t>12+</w:t>
            </w:r>
          </w:p>
        </w:tc>
        <w:tc>
          <w:tcPr>
            <w:tcW w:w="2041" w:type="dxa"/>
          </w:tcPr>
          <w:p w14:paraId="5D8F2B29" w14:textId="77777777" w:rsidR="00A7330B" w:rsidRPr="00A7330B" w:rsidRDefault="00A7330B" w:rsidP="00A7330B">
            <w:pPr>
              <w:rPr>
                <w:rFonts w:ascii="Arial" w:hAnsi="Arial" w:cs="Arial"/>
                <w:b/>
              </w:rPr>
            </w:pPr>
            <w:r w:rsidRPr="00A7330B">
              <w:rPr>
                <w:rFonts w:ascii="Arial" w:hAnsi="Arial" w:cs="Arial"/>
                <w:b/>
              </w:rPr>
              <w:t>15</w:t>
            </w:r>
          </w:p>
        </w:tc>
        <w:tc>
          <w:tcPr>
            <w:tcW w:w="2268" w:type="dxa"/>
          </w:tcPr>
          <w:p w14:paraId="5877A5D3" w14:textId="77777777" w:rsidR="00A7330B" w:rsidRPr="00A7330B" w:rsidRDefault="00A7330B" w:rsidP="00A7330B">
            <w:pPr>
              <w:rPr>
                <w:rFonts w:ascii="Arial" w:hAnsi="Arial" w:cs="Arial"/>
                <w:b/>
              </w:rPr>
            </w:pPr>
            <w:r w:rsidRPr="00A7330B">
              <w:rPr>
                <w:rFonts w:ascii="Arial" w:hAnsi="Arial" w:cs="Arial"/>
                <w:b/>
              </w:rPr>
              <w:t>19.2</w:t>
            </w:r>
          </w:p>
        </w:tc>
      </w:tr>
      <w:tr w:rsidR="00A7330B" w:rsidRPr="00A7330B" w14:paraId="61EF3F47" w14:textId="77777777" w:rsidTr="00E4693D">
        <w:trPr>
          <w:trHeight w:val="395"/>
        </w:trPr>
        <w:tc>
          <w:tcPr>
            <w:tcW w:w="3057" w:type="dxa"/>
          </w:tcPr>
          <w:p w14:paraId="0BDB2500" w14:textId="55EB0864" w:rsidR="00A7330B" w:rsidRPr="00A7330B" w:rsidRDefault="00B23787" w:rsidP="00A7330B">
            <w:pPr>
              <w:rPr>
                <w:rFonts w:ascii="Arial" w:hAnsi="Arial" w:cs="Arial"/>
                <w:b/>
              </w:rPr>
            </w:pPr>
            <w:r>
              <w:rPr>
                <w:rFonts w:ascii="Arial" w:hAnsi="Arial" w:cs="Arial"/>
                <w:b/>
              </w:rPr>
              <w:t>Question not answered</w:t>
            </w:r>
          </w:p>
        </w:tc>
        <w:tc>
          <w:tcPr>
            <w:tcW w:w="2041" w:type="dxa"/>
          </w:tcPr>
          <w:p w14:paraId="71271A82" w14:textId="6ED80B64" w:rsidR="00A7330B" w:rsidRPr="00A7330B" w:rsidRDefault="00A7330B" w:rsidP="00A7330B">
            <w:pPr>
              <w:rPr>
                <w:rFonts w:ascii="Arial" w:hAnsi="Arial" w:cs="Arial"/>
                <w:b/>
              </w:rPr>
            </w:pPr>
            <w:r>
              <w:rPr>
                <w:rFonts w:ascii="Arial" w:hAnsi="Arial" w:cs="Arial"/>
                <w:b/>
              </w:rPr>
              <w:t>1</w:t>
            </w:r>
          </w:p>
        </w:tc>
        <w:tc>
          <w:tcPr>
            <w:tcW w:w="2268" w:type="dxa"/>
          </w:tcPr>
          <w:p w14:paraId="0430DF32" w14:textId="018F0B28" w:rsidR="00A7330B" w:rsidRPr="00A7330B" w:rsidRDefault="00A7330B" w:rsidP="00A7330B">
            <w:pPr>
              <w:rPr>
                <w:rFonts w:ascii="Arial" w:hAnsi="Arial" w:cs="Arial"/>
                <w:b/>
              </w:rPr>
            </w:pPr>
            <w:r>
              <w:rPr>
                <w:rFonts w:ascii="Arial" w:hAnsi="Arial" w:cs="Arial"/>
                <w:b/>
              </w:rPr>
              <w:t>1.2</w:t>
            </w:r>
          </w:p>
        </w:tc>
      </w:tr>
    </w:tbl>
    <w:p w14:paraId="1DD74B7E" w14:textId="2B2AF3BF" w:rsidR="00DE31E5" w:rsidRDefault="00DE31E5" w:rsidP="00F70214">
      <w:pPr>
        <w:rPr>
          <w:rFonts w:ascii="Arial" w:hAnsi="Arial" w:cs="Arial"/>
          <w:b/>
        </w:rPr>
      </w:pPr>
    </w:p>
    <w:p w14:paraId="29D5AC99" w14:textId="27402FCE" w:rsidR="00F70214" w:rsidRDefault="00F70214" w:rsidP="00F70214">
      <w:pPr>
        <w:rPr>
          <w:rFonts w:ascii="Arial" w:hAnsi="Arial" w:cs="Arial"/>
          <w:b/>
        </w:rPr>
      </w:pPr>
    </w:p>
    <w:p w14:paraId="6476C83A" w14:textId="1FE68525" w:rsidR="00F70214" w:rsidRDefault="00F70214" w:rsidP="00F70214">
      <w:pPr>
        <w:rPr>
          <w:rFonts w:ascii="Arial" w:hAnsi="Arial" w:cs="Arial"/>
          <w:b/>
        </w:rPr>
      </w:pPr>
    </w:p>
    <w:p w14:paraId="698E9E00" w14:textId="405C6C10" w:rsidR="00F70214" w:rsidRDefault="00F70214" w:rsidP="00F70214">
      <w:pPr>
        <w:rPr>
          <w:rFonts w:ascii="Arial" w:hAnsi="Arial" w:cs="Arial"/>
          <w:b/>
        </w:rPr>
      </w:pPr>
    </w:p>
    <w:p w14:paraId="34AA6EC4" w14:textId="37516421" w:rsidR="008A41B6" w:rsidRDefault="008A41B6" w:rsidP="00F70214">
      <w:pPr>
        <w:rPr>
          <w:rFonts w:ascii="Arial" w:hAnsi="Arial" w:cs="Arial"/>
          <w:b/>
        </w:rPr>
      </w:pPr>
    </w:p>
    <w:p w14:paraId="487B108B" w14:textId="34367412" w:rsidR="008A41B6" w:rsidRDefault="008A41B6" w:rsidP="00F70214">
      <w:pPr>
        <w:rPr>
          <w:rFonts w:ascii="Arial" w:hAnsi="Arial" w:cs="Arial"/>
          <w:b/>
        </w:rPr>
      </w:pPr>
    </w:p>
    <w:p w14:paraId="280FACA2" w14:textId="640473CA" w:rsidR="008A41B6" w:rsidRDefault="008A41B6" w:rsidP="00F70214">
      <w:pPr>
        <w:rPr>
          <w:rFonts w:ascii="Arial" w:hAnsi="Arial" w:cs="Arial"/>
          <w:b/>
        </w:rPr>
      </w:pPr>
    </w:p>
    <w:p w14:paraId="19DAF044" w14:textId="7F40190C" w:rsidR="008A41B6" w:rsidRDefault="008A41B6" w:rsidP="00F70214">
      <w:pPr>
        <w:rPr>
          <w:rFonts w:ascii="Arial" w:hAnsi="Arial" w:cs="Arial"/>
          <w:b/>
        </w:rPr>
      </w:pPr>
    </w:p>
    <w:p w14:paraId="590DD1FA" w14:textId="067EA07F" w:rsidR="008A41B6" w:rsidRDefault="008A41B6" w:rsidP="00F70214">
      <w:pPr>
        <w:rPr>
          <w:rFonts w:ascii="Arial" w:hAnsi="Arial" w:cs="Arial"/>
          <w:b/>
        </w:rPr>
      </w:pPr>
    </w:p>
    <w:p w14:paraId="42DFD53E" w14:textId="4B26B998" w:rsidR="008A41B6" w:rsidRDefault="008A41B6" w:rsidP="00F70214">
      <w:pPr>
        <w:rPr>
          <w:rFonts w:ascii="Arial" w:hAnsi="Arial" w:cs="Arial"/>
          <w:b/>
        </w:rPr>
      </w:pPr>
    </w:p>
    <w:p w14:paraId="27AAE08D" w14:textId="66B3756A" w:rsidR="008A41B6" w:rsidRDefault="008A41B6" w:rsidP="00F70214">
      <w:pPr>
        <w:rPr>
          <w:rFonts w:ascii="Arial" w:hAnsi="Arial" w:cs="Arial"/>
          <w:b/>
        </w:rPr>
      </w:pPr>
    </w:p>
    <w:p w14:paraId="0DAC5EEB" w14:textId="5F5DBE13" w:rsidR="008A41B6" w:rsidRDefault="008A41B6" w:rsidP="00F70214">
      <w:pPr>
        <w:rPr>
          <w:rFonts w:ascii="Arial" w:hAnsi="Arial" w:cs="Arial"/>
          <w:b/>
        </w:rPr>
      </w:pPr>
    </w:p>
    <w:p w14:paraId="2A51B958" w14:textId="543D3688" w:rsidR="008A41B6" w:rsidRDefault="008A41B6" w:rsidP="00F70214">
      <w:pPr>
        <w:rPr>
          <w:rFonts w:ascii="Arial" w:hAnsi="Arial" w:cs="Arial"/>
          <w:b/>
        </w:rPr>
      </w:pPr>
    </w:p>
    <w:p w14:paraId="4B61E755" w14:textId="77777777" w:rsidR="008A41B6" w:rsidRDefault="008A41B6" w:rsidP="00F70214">
      <w:pPr>
        <w:rPr>
          <w:rFonts w:ascii="Arial" w:hAnsi="Arial" w:cs="Arial"/>
          <w:b/>
        </w:rPr>
      </w:pPr>
    </w:p>
    <w:p w14:paraId="5CD2CAE0" w14:textId="77777777" w:rsidR="00F70214" w:rsidRDefault="00F70214" w:rsidP="00F70214">
      <w:pPr>
        <w:rPr>
          <w:rFonts w:ascii="Arial" w:hAnsi="Arial" w:cs="Arial"/>
          <w:b/>
        </w:rPr>
      </w:pPr>
    </w:p>
    <w:p w14:paraId="5B58F813" w14:textId="77777777" w:rsidR="00DE31E5" w:rsidRDefault="00DE31E5" w:rsidP="00F70214">
      <w:pPr>
        <w:rPr>
          <w:rFonts w:ascii="Arial" w:hAnsi="Arial" w:cs="Arial"/>
          <w:b/>
        </w:rPr>
      </w:pPr>
    </w:p>
    <w:p w14:paraId="35346432" w14:textId="43DEF48F" w:rsidR="00BD3749" w:rsidRPr="0063717D" w:rsidRDefault="00BD3749" w:rsidP="00F70214">
      <w:pPr>
        <w:rPr>
          <w:rFonts w:ascii="Arial" w:hAnsi="Arial" w:cs="Arial"/>
          <w:b/>
        </w:rPr>
      </w:pPr>
      <w:r w:rsidRPr="0063717D">
        <w:rPr>
          <w:rFonts w:ascii="Arial" w:hAnsi="Arial" w:cs="Arial"/>
          <w:b/>
        </w:rPr>
        <w:t>Table 2 – Conditions supplied/administered for frequently</w:t>
      </w:r>
    </w:p>
    <w:p w14:paraId="35F4A915" w14:textId="77777777" w:rsidR="00BD3749" w:rsidRPr="0063717D" w:rsidRDefault="00BD3749" w:rsidP="00F70214">
      <w:pPr>
        <w:rPr>
          <w:rFonts w:ascii="Arial" w:hAnsi="Arial" w:cs="Arial"/>
        </w:rPr>
      </w:pPr>
    </w:p>
    <w:tbl>
      <w:tblPr>
        <w:tblStyle w:val="TableGrid"/>
        <w:tblW w:w="0" w:type="auto"/>
        <w:tblLook w:val="04A0" w:firstRow="1" w:lastRow="0" w:firstColumn="1" w:lastColumn="0" w:noHBand="0" w:noVBand="1"/>
      </w:tblPr>
      <w:tblGrid>
        <w:gridCol w:w="3053"/>
        <w:gridCol w:w="2551"/>
        <w:gridCol w:w="3406"/>
      </w:tblGrid>
      <w:tr w:rsidR="006869BB" w:rsidRPr="0063717D" w14:paraId="5A8827B6" w14:textId="77777777" w:rsidTr="007D74AE">
        <w:trPr>
          <w:trHeight w:val="438"/>
        </w:trPr>
        <w:tc>
          <w:tcPr>
            <w:tcW w:w="3186" w:type="dxa"/>
          </w:tcPr>
          <w:p w14:paraId="06075915" w14:textId="77777777" w:rsidR="006869BB" w:rsidRPr="00642EBF" w:rsidRDefault="006869BB" w:rsidP="00F70214">
            <w:pPr>
              <w:rPr>
                <w:rFonts w:ascii="Arial" w:hAnsi="Arial" w:cs="Arial"/>
              </w:rPr>
            </w:pPr>
            <w:r w:rsidRPr="0063717D">
              <w:rPr>
                <w:rFonts w:ascii="Arial" w:hAnsi="Arial" w:cs="Arial"/>
              </w:rPr>
              <w:t>Condition</w:t>
            </w:r>
          </w:p>
        </w:tc>
        <w:tc>
          <w:tcPr>
            <w:tcW w:w="2317" w:type="dxa"/>
          </w:tcPr>
          <w:p w14:paraId="0E7822E0" w14:textId="791DF8C5" w:rsidR="006869BB" w:rsidRPr="0063717D" w:rsidRDefault="006869BB" w:rsidP="00F70214">
            <w:pPr>
              <w:rPr>
                <w:rFonts w:ascii="Arial" w:hAnsi="Arial" w:cs="Arial"/>
              </w:rPr>
            </w:pPr>
            <w:r>
              <w:rPr>
                <w:rFonts w:ascii="Arial" w:hAnsi="Arial" w:cs="Arial"/>
              </w:rPr>
              <w:t xml:space="preserve">Number of respondents </w:t>
            </w:r>
            <w:r w:rsidRPr="0063717D">
              <w:rPr>
                <w:rFonts w:ascii="Arial" w:hAnsi="Arial" w:cs="Arial"/>
              </w:rPr>
              <w:t xml:space="preserve">who </w:t>
            </w:r>
            <w:r>
              <w:rPr>
                <w:rFonts w:ascii="Arial" w:hAnsi="Arial" w:cs="Arial"/>
              </w:rPr>
              <w:t>reported</w:t>
            </w:r>
            <w:r w:rsidRPr="0063717D">
              <w:rPr>
                <w:rFonts w:ascii="Arial" w:hAnsi="Arial" w:cs="Arial"/>
              </w:rPr>
              <w:t xml:space="preserve"> conditi</w:t>
            </w:r>
            <w:r>
              <w:rPr>
                <w:rFonts w:ascii="Arial" w:hAnsi="Arial" w:cs="Arial"/>
              </w:rPr>
              <w:t xml:space="preserve">on one of the most </w:t>
            </w:r>
            <w:r w:rsidRPr="0063717D">
              <w:rPr>
                <w:rFonts w:ascii="Arial" w:hAnsi="Arial" w:cs="Arial"/>
              </w:rPr>
              <w:t>frequently supplied/administered for</w:t>
            </w:r>
          </w:p>
        </w:tc>
        <w:tc>
          <w:tcPr>
            <w:tcW w:w="3507" w:type="dxa"/>
          </w:tcPr>
          <w:p w14:paraId="62F134EC" w14:textId="7CFB5AB2" w:rsidR="006869BB" w:rsidRPr="00642EBF" w:rsidRDefault="006869BB" w:rsidP="00F70214">
            <w:pPr>
              <w:rPr>
                <w:rFonts w:ascii="Arial" w:hAnsi="Arial" w:cs="Arial"/>
              </w:rPr>
            </w:pPr>
            <w:r w:rsidRPr="0063717D">
              <w:rPr>
                <w:rFonts w:ascii="Arial" w:hAnsi="Arial" w:cs="Arial"/>
              </w:rPr>
              <w:t xml:space="preserve">% of respondents who </w:t>
            </w:r>
            <w:r>
              <w:rPr>
                <w:rFonts w:ascii="Arial" w:hAnsi="Arial" w:cs="Arial"/>
              </w:rPr>
              <w:t>reported</w:t>
            </w:r>
            <w:r w:rsidRPr="0063717D">
              <w:rPr>
                <w:rFonts w:ascii="Arial" w:hAnsi="Arial" w:cs="Arial"/>
              </w:rPr>
              <w:t xml:space="preserve"> conditi</w:t>
            </w:r>
            <w:r>
              <w:rPr>
                <w:rFonts w:ascii="Arial" w:hAnsi="Arial" w:cs="Arial"/>
              </w:rPr>
              <w:t xml:space="preserve">on one of the most </w:t>
            </w:r>
            <w:r w:rsidRPr="0063717D">
              <w:rPr>
                <w:rFonts w:ascii="Arial" w:hAnsi="Arial" w:cs="Arial"/>
              </w:rPr>
              <w:t>frequently supplied/administered for</w:t>
            </w:r>
          </w:p>
        </w:tc>
      </w:tr>
      <w:tr w:rsidR="006869BB" w:rsidRPr="0063717D" w14:paraId="24D45E52" w14:textId="77777777" w:rsidTr="007D74AE">
        <w:tc>
          <w:tcPr>
            <w:tcW w:w="3186" w:type="dxa"/>
          </w:tcPr>
          <w:p w14:paraId="34685320" w14:textId="77777777" w:rsidR="006869BB" w:rsidRPr="0063717D" w:rsidRDefault="006869BB" w:rsidP="00F70214">
            <w:pPr>
              <w:rPr>
                <w:rFonts w:ascii="Arial" w:hAnsi="Arial" w:cs="Arial"/>
              </w:rPr>
            </w:pPr>
            <w:r w:rsidRPr="0063717D">
              <w:rPr>
                <w:rFonts w:ascii="Arial" w:hAnsi="Arial" w:cs="Arial"/>
              </w:rPr>
              <w:t>Lower respiratory tract infections</w:t>
            </w:r>
          </w:p>
        </w:tc>
        <w:tc>
          <w:tcPr>
            <w:tcW w:w="2317" w:type="dxa"/>
          </w:tcPr>
          <w:p w14:paraId="46D6C7F8" w14:textId="07CCB968" w:rsidR="006869BB" w:rsidRPr="00C27F15" w:rsidRDefault="006869BB" w:rsidP="00F70214">
            <w:pPr>
              <w:rPr>
                <w:rFonts w:ascii="Arial" w:hAnsi="Arial" w:cs="Arial"/>
              </w:rPr>
            </w:pPr>
            <w:r>
              <w:rPr>
                <w:rFonts w:ascii="Arial" w:hAnsi="Arial" w:cs="Arial"/>
              </w:rPr>
              <w:t>65</w:t>
            </w:r>
          </w:p>
        </w:tc>
        <w:tc>
          <w:tcPr>
            <w:tcW w:w="3507" w:type="dxa"/>
          </w:tcPr>
          <w:p w14:paraId="2149BC95" w14:textId="0CA85B2E" w:rsidR="006869BB" w:rsidRPr="00C27F15" w:rsidRDefault="006869BB" w:rsidP="00F70214">
            <w:pPr>
              <w:rPr>
                <w:rFonts w:ascii="Arial" w:hAnsi="Arial" w:cs="Arial"/>
              </w:rPr>
            </w:pPr>
            <w:r w:rsidRPr="00C27F15">
              <w:rPr>
                <w:rFonts w:ascii="Arial" w:hAnsi="Arial" w:cs="Arial"/>
              </w:rPr>
              <w:t>83.3</w:t>
            </w:r>
          </w:p>
        </w:tc>
      </w:tr>
      <w:tr w:rsidR="006869BB" w:rsidRPr="0063717D" w14:paraId="7405C29F" w14:textId="77777777" w:rsidTr="007D74AE">
        <w:tc>
          <w:tcPr>
            <w:tcW w:w="3186" w:type="dxa"/>
          </w:tcPr>
          <w:p w14:paraId="0233407E" w14:textId="77777777" w:rsidR="006869BB" w:rsidRPr="0063717D" w:rsidRDefault="006869BB" w:rsidP="00F70214">
            <w:pPr>
              <w:rPr>
                <w:rFonts w:ascii="Arial" w:hAnsi="Arial" w:cs="Arial"/>
              </w:rPr>
            </w:pPr>
            <w:r w:rsidRPr="0063717D">
              <w:rPr>
                <w:rFonts w:ascii="Arial" w:hAnsi="Arial" w:cs="Arial"/>
              </w:rPr>
              <w:t>Urinary tract infections</w:t>
            </w:r>
          </w:p>
        </w:tc>
        <w:tc>
          <w:tcPr>
            <w:tcW w:w="2317" w:type="dxa"/>
          </w:tcPr>
          <w:p w14:paraId="0F4FD009" w14:textId="7293DB00" w:rsidR="006869BB" w:rsidRPr="00C27F15" w:rsidRDefault="006869BB" w:rsidP="00F70214">
            <w:pPr>
              <w:rPr>
                <w:rFonts w:ascii="Arial" w:hAnsi="Arial" w:cs="Arial"/>
              </w:rPr>
            </w:pPr>
            <w:r>
              <w:rPr>
                <w:rFonts w:ascii="Arial" w:hAnsi="Arial" w:cs="Arial"/>
              </w:rPr>
              <w:t>65</w:t>
            </w:r>
          </w:p>
        </w:tc>
        <w:tc>
          <w:tcPr>
            <w:tcW w:w="3507" w:type="dxa"/>
          </w:tcPr>
          <w:p w14:paraId="033DC6F1" w14:textId="69544F01" w:rsidR="006869BB" w:rsidRPr="00C27F15" w:rsidRDefault="006869BB" w:rsidP="00F70214">
            <w:pPr>
              <w:rPr>
                <w:rFonts w:ascii="Arial" w:hAnsi="Arial" w:cs="Arial"/>
              </w:rPr>
            </w:pPr>
            <w:r w:rsidRPr="00C27F15">
              <w:rPr>
                <w:rFonts w:ascii="Arial" w:hAnsi="Arial" w:cs="Arial"/>
              </w:rPr>
              <w:t>83.3</w:t>
            </w:r>
          </w:p>
        </w:tc>
      </w:tr>
      <w:tr w:rsidR="006869BB" w:rsidRPr="0063717D" w14:paraId="342A642E" w14:textId="77777777" w:rsidTr="007D74AE">
        <w:tc>
          <w:tcPr>
            <w:tcW w:w="3186" w:type="dxa"/>
          </w:tcPr>
          <w:p w14:paraId="1C085202" w14:textId="77777777" w:rsidR="006869BB" w:rsidRPr="0063717D" w:rsidRDefault="006869BB" w:rsidP="00F70214">
            <w:pPr>
              <w:rPr>
                <w:rFonts w:ascii="Arial" w:hAnsi="Arial" w:cs="Arial"/>
              </w:rPr>
            </w:pPr>
            <w:r w:rsidRPr="0063717D">
              <w:rPr>
                <w:rFonts w:ascii="Arial" w:hAnsi="Arial" w:cs="Arial"/>
              </w:rPr>
              <w:t>Exacerbation of COPD</w:t>
            </w:r>
          </w:p>
        </w:tc>
        <w:tc>
          <w:tcPr>
            <w:tcW w:w="2317" w:type="dxa"/>
          </w:tcPr>
          <w:p w14:paraId="2A5F795E" w14:textId="5D6BD40D" w:rsidR="006869BB" w:rsidRPr="0063717D" w:rsidRDefault="006869BB" w:rsidP="00F70214">
            <w:pPr>
              <w:rPr>
                <w:rFonts w:ascii="Arial" w:hAnsi="Arial" w:cs="Arial"/>
              </w:rPr>
            </w:pPr>
            <w:r>
              <w:rPr>
                <w:rFonts w:ascii="Arial" w:hAnsi="Arial" w:cs="Arial"/>
              </w:rPr>
              <w:t>60</w:t>
            </w:r>
          </w:p>
        </w:tc>
        <w:tc>
          <w:tcPr>
            <w:tcW w:w="3507" w:type="dxa"/>
          </w:tcPr>
          <w:p w14:paraId="063ED97E" w14:textId="16D115FA" w:rsidR="006869BB" w:rsidRPr="0063717D" w:rsidRDefault="006869BB" w:rsidP="00F70214">
            <w:pPr>
              <w:rPr>
                <w:rFonts w:ascii="Arial" w:hAnsi="Arial" w:cs="Arial"/>
              </w:rPr>
            </w:pPr>
            <w:r w:rsidRPr="0063717D">
              <w:rPr>
                <w:rFonts w:ascii="Arial" w:hAnsi="Arial" w:cs="Arial"/>
              </w:rPr>
              <w:t>76.9</w:t>
            </w:r>
          </w:p>
        </w:tc>
      </w:tr>
      <w:tr w:rsidR="006869BB" w:rsidRPr="0063717D" w14:paraId="059DEE6E" w14:textId="77777777" w:rsidTr="007D74AE">
        <w:tc>
          <w:tcPr>
            <w:tcW w:w="3186" w:type="dxa"/>
          </w:tcPr>
          <w:p w14:paraId="59521565" w14:textId="77777777" w:rsidR="006869BB" w:rsidRPr="0063717D" w:rsidRDefault="006869BB" w:rsidP="00F70214">
            <w:pPr>
              <w:rPr>
                <w:rFonts w:ascii="Arial" w:hAnsi="Arial" w:cs="Arial"/>
              </w:rPr>
            </w:pPr>
            <w:r w:rsidRPr="0063717D">
              <w:rPr>
                <w:rFonts w:ascii="Arial" w:hAnsi="Arial" w:cs="Arial"/>
              </w:rPr>
              <w:t>Musculoskeletal pain</w:t>
            </w:r>
          </w:p>
        </w:tc>
        <w:tc>
          <w:tcPr>
            <w:tcW w:w="2317" w:type="dxa"/>
          </w:tcPr>
          <w:p w14:paraId="77F4FB4B" w14:textId="460E726B" w:rsidR="006869BB" w:rsidRPr="00C27F15" w:rsidRDefault="006869BB" w:rsidP="00F70214">
            <w:pPr>
              <w:rPr>
                <w:rFonts w:ascii="Arial" w:hAnsi="Arial" w:cs="Arial"/>
              </w:rPr>
            </w:pPr>
            <w:r>
              <w:rPr>
                <w:rFonts w:ascii="Arial" w:hAnsi="Arial" w:cs="Arial"/>
              </w:rPr>
              <w:t>57</w:t>
            </w:r>
          </w:p>
        </w:tc>
        <w:tc>
          <w:tcPr>
            <w:tcW w:w="3507" w:type="dxa"/>
          </w:tcPr>
          <w:p w14:paraId="3D0BB7FB" w14:textId="78B4BCAC" w:rsidR="006869BB" w:rsidRPr="00C27F15" w:rsidRDefault="006869BB" w:rsidP="00F70214">
            <w:pPr>
              <w:rPr>
                <w:rFonts w:ascii="Arial" w:hAnsi="Arial" w:cs="Arial"/>
              </w:rPr>
            </w:pPr>
            <w:r w:rsidRPr="00C27F15">
              <w:rPr>
                <w:rFonts w:ascii="Arial" w:hAnsi="Arial" w:cs="Arial"/>
              </w:rPr>
              <w:t>73</w:t>
            </w:r>
            <w:r>
              <w:rPr>
                <w:rFonts w:ascii="Arial" w:hAnsi="Arial" w:cs="Arial"/>
              </w:rPr>
              <w:t>.0</w:t>
            </w:r>
          </w:p>
        </w:tc>
      </w:tr>
      <w:tr w:rsidR="006869BB" w:rsidRPr="0063717D" w14:paraId="7BFA9BFB" w14:textId="77777777" w:rsidTr="007D74AE">
        <w:trPr>
          <w:trHeight w:val="450"/>
        </w:trPr>
        <w:tc>
          <w:tcPr>
            <w:tcW w:w="3186" w:type="dxa"/>
          </w:tcPr>
          <w:p w14:paraId="16D0A810" w14:textId="77777777" w:rsidR="006869BB" w:rsidRPr="0063717D" w:rsidRDefault="006869BB" w:rsidP="00F70214">
            <w:pPr>
              <w:rPr>
                <w:rFonts w:ascii="Arial" w:hAnsi="Arial" w:cs="Arial"/>
              </w:rPr>
            </w:pPr>
            <w:r w:rsidRPr="0063717D">
              <w:rPr>
                <w:rFonts w:ascii="Arial" w:hAnsi="Arial" w:cs="Arial"/>
              </w:rPr>
              <w:t>Acute pain</w:t>
            </w:r>
          </w:p>
        </w:tc>
        <w:tc>
          <w:tcPr>
            <w:tcW w:w="2317" w:type="dxa"/>
          </w:tcPr>
          <w:p w14:paraId="59977815" w14:textId="7A45F62C" w:rsidR="006869BB" w:rsidRPr="00C27F15" w:rsidRDefault="006869BB" w:rsidP="00F70214">
            <w:pPr>
              <w:rPr>
                <w:rFonts w:ascii="Arial" w:hAnsi="Arial" w:cs="Arial"/>
              </w:rPr>
            </w:pPr>
            <w:r>
              <w:rPr>
                <w:rFonts w:ascii="Arial" w:hAnsi="Arial" w:cs="Arial"/>
              </w:rPr>
              <w:t>54</w:t>
            </w:r>
          </w:p>
        </w:tc>
        <w:tc>
          <w:tcPr>
            <w:tcW w:w="3507" w:type="dxa"/>
          </w:tcPr>
          <w:p w14:paraId="5DCC26D5" w14:textId="58838B00" w:rsidR="006869BB" w:rsidRPr="00C27F15" w:rsidRDefault="006869BB" w:rsidP="00F70214">
            <w:pPr>
              <w:rPr>
                <w:rFonts w:ascii="Arial" w:hAnsi="Arial" w:cs="Arial"/>
              </w:rPr>
            </w:pPr>
            <w:r w:rsidRPr="00C27F15">
              <w:rPr>
                <w:rFonts w:ascii="Arial" w:hAnsi="Arial" w:cs="Arial"/>
              </w:rPr>
              <w:t>69.2</w:t>
            </w:r>
          </w:p>
        </w:tc>
      </w:tr>
      <w:tr w:rsidR="006869BB" w:rsidRPr="0063717D" w14:paraId="7E216349" w14:textId="77777777" w:rsidTr="007D74AE">
        <w:tc>
          <w:tcPr>
            <w:tcW w:w="3186" w:type="dxa"/>
          </w:tcPr>
          <w:p w14:paraId="583EEDE2" w14:textId="77777777" w:rsidR="006869BB" w:rsidRPr="0063717D" w:rsidRDefault="006869BB" w:rsidP="00F70214">
            <w:pPr>
              <w:rPr>
                <w:rFonts w:ascii="Arial" w:hAnsi="Arial" w:cs="Arial"/>
              </w:rPr>
            </w:pPr>
            <w:r w:rsidRPr="0063717D">
              <w:rPr>
                <w:rFonts w:ascii="Arial" w:hAnsi="Arial" w:cs="Arial"/>
              </w:rPr>
              <w:t>Nausea or vomiting</w:t>
            </w:r>
          </w:p>
        </w:tc>
        <w:tc>
          <w:tcPr>
            <w:tcW w:w="2317" w:type="dxa"/>
          </w:tcPr>
          <w:p w14:paraId="0264D2BF" w14:textId="07CAA9BE" w:rsidR="006869BB" w:rsidRPr="00C27F15" w:rsidRDefault="006869BB" w:rsidP="00F70214">
            <w:pPr>
              <w:rPr>
                <w:rFonts w:ascii="Arial" w:hAnsi="Arial" w:cs="Arial"/>
              </w:rPr>
            </w:pPr>
            <w:r>
              <w:rPr>
                <w:rFonts w:ascii="Arial" w:hAnsi="Arial" w:cs="Arial"/>
              </w:rPr>
              <w:t>36</w:t>
            </w:r>
          </w:p>
        </w:tc>
        <w:tc>
          <w:tcPr>
            <w:tcW w:w="3507" w:type="dxa"/>
          </w:tcPr>
          <w:p w14:paraId="0138E121" w14:textId="005FC5E5" w:rsidR="006869BB" w:rsidRPr="00C27F15" w:rsidRDefault="006869BB" w:rsidP="00F70214">
            <w:pPr>
              <w:rPr>
                <w:rFonts w:ascii="Arial" w:hAnsi="Arial" w:cs="Arial"/>
              </w:rPr>
            </w:pPr>
            <w:r w:rsidRPr="00C27F15">
              <w:rPr>
                <w:rFonts w:ascii="Arial" w:hAnsi="Arial" w:cs="Arial"/>
              </w:rPr>
              <w:t>50</w:t>
            </w:r>
            <w:r>
              <w:rPr>
                <w:rFonts w:ascii="Arial" w:hAnsi="Arial" w:cs="Arial"/>
              </w:rPr>
              <w:t>.0</w:t>
            </w:r>
          </w:p>
        </w:tc>
      </w:tr>
    </w:tbl>
    <w:p w14:paraId="61EADF7B" w14:textId="77777777" w:rsidR="00BD3749" w:rsidRPr="0063717D" w:rsidRDefault="00BD3749" w:rsidP="00F70214">
      <w:pPr>
        <w:rPr>
          <w:rFonts w:ascii="Arial" w:hAnsi="Arial" w:cs="Arial"/>
          <w:b/>
        </w:rPr>
      </w:pPr>
    </w:p>
    <w:p w14:paraId="0A8C4FB9" w14:textId="77777777" w:rsidR="00BD3749" w:rsidRPr="00C27F15" w:rsidRDefault="00BD3749" w:rsidP="00F70214">
      <w:pPr>
        <w:rPr>
          <w:rFonts w:ascii="Arial" w:hAnsi="Arial" w:cs="Arial"/>
          <w:b/>
        </w:rPr>
      </w:pPr>
    </w:p>
    <w:p w14:paraId="76A584B6" w14:textId="7C4929CB" w:rsidR="00BD3749" w:rsidRDefault="00BD3749" w:rsidP="00F70214">
      <w:pPr>
        <w:rPr>
          <w:rFonts w:ascii="Arial" w:hAnsi="Arial" w:cs="Arial"/>
          <w:b/>
        </w:rPr>
      </w:pPr>
      <w:r w:rsidRPr="0063717D">
        <w:rPr>
          <w:rFonts w:ascii="Arial" w:hAnsi="Arial" w:cs="Arial"/>
          <w:b/>
        </w:rPr>
        <w:t>Table 3 – Conditions supplied/administered for less frequently</w:t>
      </w:r>
    </w:p>
    <w:p w14:paraId="46E14243" w14:textId="77777777" w:rsidR="00BD3749" w:rsidRPr="0063717D" w:rsidRDefault="00BD3749" w:rsidP="00F70214">
      <w:pPr>
        <w:rPr>
          <w:rFonts w:ascii="Arial" w:hAnsi="Arial" w:cs="Arial"/>
          <w:b/>
        </w:rPr>
      </w:pPr>
    </w:p>
    <w:tbl>
      <w:tblPr>
        <w:tblStyle w:val="TableGrid"/>
        <w:tblW w:w="0" w:type="auto"/>
        <w:tblLook w:val="04A0" w:firstRow="1" w:lastRow="0" w:firstColumn="1" w:lastColumn="0" w:noHBand="0" w:noVBand="1"/>
      </w:tblPr>
      <w:tblGrid>
        <w:gridCol w:w="2929"/>
        <w:gridCol w:w="2551"/>
        <w:gridCol w:w="3530"/>
      </w:tblGrid>
      <w:tr w:rsidR="006869BB" w:rsidRPr="0063717D" w14:paraId="63990E95" w14:textId="77777777" w:rsidTr="007D74AE">
        <w:tc>
          <w:tcPr>
            <w:tcW w:w="2991" w:type="dxa"/>
          </w:tcPr>
          <w:p w14:paraId="4AB7DFD4" w14:textId="77777777" w:rsidR="006869BB" w:rsidRPr="00642EBF" w:rsidRDefault="006869BB" w:rsidP="00F70214">
            <w:pPr>
              <w:rPr>
                <w:rFonts w:ascii="Arial" w:hAnsi="Arial" w:cs="Arial"/>
              </w:rPr>
            </w:pPr>
            <w:r w:rsidRPr="0063717D">
              <w:rPr>
                <w:rFonts w:ascii="Arial" w:hAnsi="Arial" w:cs="Arial"/>
              </w:rPr>
              <w:t>Condition</w:t>
            </w:r>
          </w:p>
        </w:tc>
        <w:tc>
          <w:tcPr>
            <w:tcW w:w="2451" w:type="dxa"/>
          </w:tcPr>
          <w:p w14:paraId="0A142298" w14:textId="42595370" w:rsidR="006869BB" w:rsidRPr="0063717D" w:rsidRDefault="006869BB" w:rsidP="00F70214">
            <w:pPr>
              <w:rPr>
                <w:rFonts w:ascii="Arial" w:hAnsi="Arial" w:cs="Arial"/>
              </w:rPr>
            </w:pPr>
            <w:r>
              <w:rPr>
                <w:rFonts w:ascii="Arial" w:hAnsi="Arial" w:cs="Arial"/>
              </w:rPr>
              <w:t xml:space="preserve">Number </w:t>
            </w:r>
            <w:r w:rsidRPr="0063717D">
              <w:rPr>
                <w:rFonts w:ascii="Arial" w:hAnsi="Arial" w:cs="Arial"/>
              </w:rPr>
              <w:t xml:space="preserve">of respondents who </w:t>
            </w:r>
            <w:r>
              <w:rPr>
                <w:rFonts w:ascii="Arial" w:hAnsi="Arial" w:cs="Arial"/>
              </w:rPr>
              <w:t>reported</w:t>
            </w:r>
            <w:r w:rsidRPr="0063717D">
              <w:rPr>
                <w:rFonts w:ascii="Arial" w:hAnsi="Arial" w:cs="Arial"/>
              </w:rPr>
              <w:t xml:space="preserve"> conditi</w:t>
            </w:r>
            <w:r>
              <w:rPr>
                <w:rFonts w:ascii="Arial" w:hAnsi="Arial" w:cs="Arial"/>
              </w:rPr>
              <w:t xml:space="preserve">on was one of the least </w:t>
            </w:r>
            <w:r w:rsidRPr="0063717D">
              <w:rPr>
                <w:rFonts w:ascii="Arial" w:hAnsi="Arial" w:cs="Arial"/>
              </w:rPr>
              <w:t>frequently supplied/administered for</w:t>
            </w:r>
          </w:p>
        </w:tc>
        <w:tc>
          <w:tcPr>
            <w:tcW w:w="3568" w:type="dxa"/>
          </w:tcPr>
          <w:p w14:paraId="0B12998B" w14:textId="75379A4F" w:rsidR="006869BB" w:rsidRPr="00642EBF" w:rsidRDefault="006869BB" w:rsidP="00F70214">
            <w:pPr>
              <w:rPr>
                <w:rFonts w:ascii="Arial" w:hAnsi="Arial" w:cs="Arial"/>
              </w:rPr>
            </w:pPr>
            <w:r w:rsidRPr="0063717D">
              <w:rPr>
                <w:rFonts w:ascii="Arial" w:hAnsi="Arial" w:cs="Arial"/>
              </w:rPr>
              <w:t xml:space="preserve">% of respondents who </w:t>
            </w:r>
            <w:r>
              <w:rPr>
                <w:rFonts w:ascii="Arial" w:hAnsi="Arial" w:cs="Arial"/>
              </w:rPr>
              <w:t>reported</w:t>
            </w:r>
            <w:r w:rsidRPr="0063717D">
              <w:rPr>
                <w:rFonts w:ascii="Arial" w:hAnsi="Arial" w:cs="Arial"/>
              </w:rPr>
              <w:t xml:space="preserve"> conditi</w:t>
            </w:r>
            <w:r>
              <w:rPr>
                <w:rFonts w:ascii="Arial" w:hAnsi="Arial" w:cs="Arial"/>
              </w:rPr>
              <w:t xml:space="preserve">on was one of the least </w:t>
            </w:r>
            <w:r w:rsidRPr="0063717D">
              <w:rPr>
                <w:rFonts w:ascii="Arial" w:hAnsi="Arial" w:cs="Arial"/>
              </w:rPr>
              <w:t>frequently supplied/administered for</w:t>
            </w:r>
          </w:p>
        </w:tc>
      </w:tr>
      <w:tr w:rsidR="006869BB" w:rsidRPr="0063717D" w14:paraId="7ACC2D88" w14:textId="77777777" w:rsidTr="007D74AE">
        <w:tc>
          <w:tcPr>
            <w:tcW w:w="2991" w:type="dxa"/>
          </w:tcPr>
          <w:p w14:paraId="01D166F7" w14:textId="77777777" w:rsidR="006869BB" w:rsidRPr="0063717D" w:rsidRDefault="006869BB" w:rsidP="00F70214">
            <w:pPr>
              <w:rPr>
                <w:rFonts w:ascii="Arial" w:hAnsi="Arial" w:cs="Arial"/>
              </w:rPr>
            </w:pPr>
            <w:r w:rsidRPr="0063717D">
              <w:rPr>
                <w:rFonts w:ascii="Arial" w:hAnsi="Arial" w:cs="Arial"/>
              </w:rPr>
              <w:t>Infected bite wounds</w:t>
            </w:r>
          </w:p>
        </w:tc>
        <w:tc>
          <w:tcPr>
            <w:tcW w:w="2451" w:type="dxa"/>
          </w:tcPr>
          <w:p w14:paraId="6299251B" w14:textId="540EFE0E" w:rsidR="006869BB" w:rsidRPr="00C27F15" w:rsidRDefault="006869BB" w:rsidP="00F70214">
            <w:pPr>
              <w:rPr>
                <w:rFonts w:ascii="Arial" w:hAnsi="Arial" w:cs="Arial"/>
              </w:rPr>
            </w:pPr>
            <w:r>
              <w:rPr>
                <w:rFonts w:ascii="Arial" w:hAnsi="Arial" w:cs="Arial"/>
              </w:rPr>
              <w:t>58</w:t>
            </w:r>
          </w:p>
        </w:tc>
        <w:tc>
          <w:tcPr>
            <w:tcW w:w="3568" w:type="dxa"/>
          </w:tcPr>
          <w:p w14:paraId="5967B65F" w14:textId="3BC513C2" w:rsidR="006869BB" w:rsidRPr="00C27F15" w:rsidRDefault="006869BB" w:rsidP="00F70214">
            <w:pPr>
              <w:rPr>
                <w:rFonts w:ascii="Arial" w:hAnsi="Arial" w:cs="Arial"/>
              </w:rPr>
            </w:pPr>
            <w:r w:rsidRPr="00C27F15">
              <w:rPr>
                <w:rFonts w:ascii="Arial" w:hAnsi="Arial" w:cs="Arial"/>
              </w:rPr>
              <w:t>74</w:t>
            </w:r>
            <w:r>
              <w:rPr>
                <w:rFonts w:ascii="Arial" w:hAnsi="Arial" w:cs="Arial"/>
              </w:rPr>
              <w:t>.0</w:t>
            </w:r>
          </w:p>
        </w:tc>
      </w:tr>
      <w:tr w:rsidR="006869BB" w:rsidRPr="0063717D" w14:paraId="3594CB15" w14:textId="77777777" w:rsidTr="007D74AE">
        <w:tc>
          <w:tcPr>
            <w:tcW w:w="2991" w:type="dxa"/>
          </w:tcPr>
          <w:p w14:paraId="05FBB525" w14:textId="77777777" w:rsidR="006869BB" w:rsidRPr="0063717D" w:rsidRDefault="006869BB" w:rsidP="00F70214">
            <w:pPr>
              <w:rPr>
                <w:rFonts w:ascii="Arial" w:hAnsi="Arial" w:cs="Arial"/>
              </w:rPr>
            </w:pPr>
            <w:r w:rsidRPr="0063717D">
              <w:rPr>
                <w:rFonts w:ascii="Arial" w:hAnsi="Arial" w:cs="Arial"/>
              </w:rPr>
              <w:t>Allergies</w:t>
            </w:r>
          </w:p>
        </w:tc>
        <w:tc>
          <w:tcPr>
            <w:tcW w:w="2451" w:type="dxa"/>
          </w:tcPr>
          <w:p w14:paraId="0BEC40E8" w14:textId="6A9AA7DD" w:rsidR="006869BB" w:rsidRPr="00C27F15" w:rsidRDefault="006869BB" w:rsidP="00F70214">
            <w:pPr>
              <w:rPr>
                <w:rFonts w:ascii="Arial" w:hAnsi="Arial" w:cs="Arial"/>
              </w:rPr>
            </w:pPr>
            <w:r>
              <w:rPr>
                <w:rFonts w:ascii="Arial" w:hAnsi="Arial" w:cs="Arial"/>
              </w:rPr>
              <w:t>43</w:t>
            </w:r>
          </w:p>
        </w:tc>
        <w:tc>
          <w:tcPr>
            <w:tcW w:w="3568" w:type="dxa"/>
          </w:tcPr>
          <w:p w14:paraId="2460EDF0" w14:textId="493BDD56" w:rsidR="006869BB" w:rsidRPr="00C27F15" w:rsidRDefault="006869BB" w:rsidP="00F70214">
            <w:pPr>
              <w:rPr>
                <w:rFonts w:ascii="Arial" w:hAnsi="Arial" w:cs="Arial"/>
              </w:rPr>
            </w:pPr>
            <w:r w:rsidRPr="00C27F15">
              <w:rPr>
                <w:rFonts w:ascii="Arial" w:hAnsi="Arial" w:cs="Arial"/>
              </w:rPr>
              <w:t>55.1</w:t>
            </w:r>
          </w:p>
        </w:tc>
      </w:tr>
      <w:tr w:rsidR="006869BB" w:rsidRPr="0063717D" w14:paraId="1E92E1FF" w14:textId="77777777" w:rsidTr="007D74AE">
        <w:tc>
          <w:tcPr>
            <w:tcW w:w="2991" w:type="dxa"/>
          </w:tcPr>
          <w:p w14:paraId="283FB5A1" w14:textId="77777777" w:rsidR="006869BB" w:rsidRPr="0063717D" w:rsidRDefault="006869BB" w:rsidP="00F70214">
            <w:pPr>
              <w:rPr>
                <w:rFonts w:ascii="Arial" w:hAnsi="Arial" w:cs="Arial"/>
              </w:rPr>
            </w:pPr>
            <w:r w:rsidRPr="0063717D">
              <w:rPr>
                <w:rFonts w:ascii="Arial" w:hAnsi="Arial" w:cs="Arial"/>
              </w:rPr>
              <w:t>Upper respiratory tract infections</w:t>
            </w:r>
          </w:p>
        </w:tc>
        <w:tc>
          <w:tcPr>
            <w:tcW w:w="2451" w:type="dxa"/>
          </w:tcPr>
          <w:p w14:paraId="0E29A6A7" w14:textId="49101FFE" w:rsidR="006869BB" w:rsidRPr="00C27F15" w:rsidRDefault="006869BB" w:rsidP="00F70214">
            <w:pPr>
              <w:rPr>
                <w:rFonts w:ascii="Arial" w:hAnsi="Arial" w:cs="Arial"/>
              </w:rPr>
            </w:pPr>
            <w:r>
              <w:rPr>
                <w:rFonts w:ascii="Arial" w:hAnsi="Arial" w:cs="Arial"/>
              </w:rPr>
              <w:t>35</w:t>
            </w:r>
          </w:p>
        </w:tc>
        <w:tc>
          <w:tcPr>
            <w:tcW w:w="3568" w:type="dxa"/>
          </w:tcPr>
          <w:p w14:paraId="2F27A287" w14:textId="584E2012" w:rsidR="006869BB" w:rsidRPr="00C27F15" w:rsidRDefault="006869BB" w:rsidP="00F70214">
            <w:pPr>
              <w:rPr>
                <w:rFonts w:ascii="Arial" w:hAnsi="Arial" w:cs="Arial"/>
              </w:rPr>
            </w:pPr>
            <w:r w:rsidRPr="00C27F15">
              <w:rPr>
                <w:rFonts w:ascii="Arial" w:hAnsi="Arial" w:cs="Arial"/>
              </w:rPr>
              <w:t>44.8</w:t>
            </w:r>
          </w:p>
        </w:tc>
      </w:tr>
      <w:tr w:rsidR="006869BB" w:rsidRPr="0063717D" w14:paraId="7EAC9323" w14:textId="77777777" w:rsidTr="007D74AE">
        <w:tc>
          <w:tcPr>
            <w:tcW w:w="2991" w:type="dxa"/>
          </w:tcPr>
          <w:p w14:paraId="03F4BC05" w14:textId="77777777" w:rsidR="006869BB" w:rsidRPr="0063717D" w:rsidRDefault="006869BB" w:rsidP="00F70214">
            <w:pPr>
              <w:rPr>
                <w:rFonts w:ascii="Arial" w:hAnsi="Arial" w:cs="Arial"/>
              </w:rPr>
            </w:pPr>
            <w:r w:rsidRPr="0063717D">
              <w:rPr>
                <w:rFonts w:ascii="Arial" w:hAnsi="Arial" w:cs="Arial"/>
              </w:rPr>
              <w:t>Chronic pain</w:t>
            </w:r>
          </w:p>
        </w:tc>
        <w:tc>
          <w:tcPr>
            <w:tcW w:w="2451" w:type="dxa"/>
          </w:tcPr>
          <w:p w14:paraId="4AE64221" w14:textId="718C9B0F" w:rsidR="006869BB" w:rsidRPr="0063717D" w:rsidRDefault="006869BB" w:rsidP="00F70214">
            <w:pPr>
              <w:rPr>
                <w:rFonts w:ascii="Arial" w:hAnsi="Arial" w:cs="Arial"/>
              </w:rPr>
            </w:pPr>
            <w:r>
              <w:rPr>
                <w:rFonts w:ascii="Arial" w:hAnsi="Arial" w:cs="Arial"/>
              </w:rPr>
              <w:t>35</w:t>
            </w:r>
          </w:p>
        </w:tc>
        <w:tc>
          <w:tcPr>
            <w:tcW w:w="3568" w:type="dxa"/>
          </w:tcPr>
          <w:p w14:paraId="5EDDD120" w14:textId="5D349375" w:rsidR="006869BB" w:rsidRPr="0063717D" w:rsidRDefault="006869BB" w:rsidP="00F70214">
            <w:pPr>
              <w:rPr>
                <w:rFonts w:ascii="Arial" w:hAnsi="Arial" w:cs="Arial"/>
              </w:rPr>
            </w:pPr>
            <w:r w:rsidRPr="0063717D">
              <w:rPr>
                <w:rFonts w:ascii="Arial" w:hAnsi="Arial" w:cs="Arial"/>
              </w:rPr>
              <w:t>44.8</w:t>
            </w:r>
          </w:p>
        </w:tc>
      </w:tr>
    </w:tbl>
    <w:p w14:paraId="3D958FBD" w14:textId="77777777" w:rsidR="00BD3749" w:rsidRPr="0063717D" w:rsidRDefault="00BD3749" w:rsidP="00F70214">
      <w:pPr>
        <w:rPr>
          <w:rFonts w:ascii="Arial" w:hAnsi="Arial" w:cs="Arial"/>
        </w:rPr>
      </w:pPr>
    </w:p>
    <w:p w14:paraId="5D1F85C1" w14:textId="7C874BE1" w:rsidR="007D14D5" w:rsidRPr="00573FC9" w:rsidRDefault="007D14D5" w:rsidP="00F70214">
      <w:pPr>
        <w:spacing w:before="100" w:beforeAutospacing="1" w:after="100" w:afterAutospacing="1"/>
        <w:textAlignment w:val="top"/>
        <w:rPr>
          <w:rFonts w:ascii="Arial" w:hAnsi="Arial" w:cs="Arial"/>
          <w:b/>
        </w:rPr>
      </w:pPr>
      <w:r w:rsidRPr="00573FC9">
        <w:rPr>
          <w:rFonts w:ascii="Arial" w:hAnsi="Arial" w:cs="Arial"/>
          <w:b/>
        </w:rPr>
        <w:t>Advantages and disadvantages of PGDs</w:t>
      </w:r>
    </w:p>
    <w:p w14:paraId="1753242B" w14:textId="062272B7" w:rsidR="00CB79CF" w:rsidRDefault="00E74A26" w:rsidP="00F70214">
      <w:pPr>
        <w:spacing w:before="100" w:beforeAutospacing="1" w:after="100" w:afterAutospacing="1"/>
        <w:textAlignment w:val="top"/>
        <w:rPr>
          <w:rFonts w:ascii="Arial" w:hAnsi="Arial" w:cs="Arial"/>
        </w:rPr>
      </w:pPr>
      <w:r>
        <w:rPr>
          <w:rFonts w:ascii="Arial" w:hAnsi="Arial" w:cs="Arial"/>
        </w:rPr>
        <w:t>P</w:t>
      </w:r>
      <w:r w:rsidR="007D14D5" w:rsidRPr="0063717D">
        <w:rPr>
          <w:rFonts w:ascii="Arial" w:hAnsi="Arial" w:cs="Arial"/>
        </w:rPr>
        <w:t xml:space="preserve">articipants </w:t>
      </w:r>
      <w:r>
        <w:rPr>
          <w:rFonts w:ascii="Arial" w:hAnsi="Arial" w:cs="Arial"/>
        </w:rPr>
        <w:t>were asked</w:t>
      </w:r>
      <w:r w:rsidR="00860BF0">
        <w:rPr>
          <w:rFonts w:ascii="Arial" w:hAnsi="Arial" w:cs="Arial"/>
        </w:rPr>
        <w:t>,</w:t>
      </w:r>
      <w:r>
        <w:rPr>
          <w:rFonts w:ascii="Arial" w:hAnsi="Arial" w:cs="Arial"/>
        </w:rPr>
        <w:t xml:space="preserve"> using Likert rating scales, if they felt </w:t>
      </w:r>
      <w:r w:rsidR="007D14D5" w:rsidRPr="0063717D">
        <w:rPr>
          <w:rFonts w:ascii="Arial" w:hAnsi="Arial" w:cs="Arial"/>
        </w:rPr>
        <w:t>able to supply the most appropriate medication to patients using PGD</w:t>
      </w:r>
      <w:r>
        <w:rPr>
          <w:rFonts w:ascii="Arial" w:hAnsi="Arial" w:cs="Arial"/>
        </w:rPr>
        <w:t xml:space="preserve">s, if </w:t>
      </w:r>
      <w:r w:rsidR="007D14D5" w:rsidRPr="0063717D">
        <w:rPr>
          <w:rFonts w:ascii="Arial" w:hAnsi="Arial" w:cs="Arial"/>
        </w:rPr>
        <w:t xml:space="preserve">PGDs allowed them to confidently supply medications to patients </w:t>
      </w:r>
      <w:r>
        <w:rPr>
          <w:rFonts w:ascii="Arial" w:hAnsi="Arial" w:cs="Arial"/>
        </w:rPr>
        <w:t xml:space="preserve">and if </w:t>
      </w:r>
      <w:r w:rsidR="007D14D5" w:rsidRPr="0063717D">
        <w:rPr>
          <w:rFonts w:ascii="Arial" w:hAnsi="Arial" w:cs="Arial"/>
        </w:rPr>
        <w:t>PGDs promoted safe medication supply</w:t>
      </w:r>
      <w:r w:rsidR="00CB79CF">
        <w:rPr>
          <w:rFonts w:ascii="Arial" w:hAnsi="Arial" w:cs="Arial"/>
        </w:rPr>
        <w:t xml:space="preserve"> (Figure 2)</w:t>
      </w:r>
      <w:r w:rsidR="007D14D5" w:rsidRPr="0063717D">
        <w:rPr>
          <w:rFonts w:ascii="Arial" w:hAnsi="Arial" w:cs="Arial"/>
        </w:rPr>
        <w:t xml:space="preserve">. </w:t>
      </w:r>
    </w:p>
    <w:p w14:paraId="139659CA" w14:textId="6E5A3FEC" w:rsidR="00F25179" w:rsidRDefault="008C5A70" w:rsidP="00F70214">
      <w:pPr>
        <w:spacing w:before="100" w:beforeAutospacing="1" w:after="100" w:afterAutospacing="1"/>
        <w:textAlignment w:val="top"/>
        <w:rPr>
          <w:rFonts w:ascii="Arial" w:hAnsi="Arial" w:cs="Arial"/>
          <w:color w:val="000000" w:themeColor="text1"/>
          <w:lang w:eastAsia="en-GB"/>
        </w:rPr>
      </w:pPr>
      <w:r w:rsidRPr="00C27F15">
        <w:rPr>
          <w:rFonts w:ascii="Arial" w:hAnsi="Arial" w:cs="Arial"/>
          <w:color w:val="000000" w:themeColor="text1"/>
          <w:lang w:eastAsia="en-GB"/>
        </w:rPr>
        <w:t xml:space="preserve">Participants also reported </w:t>
      </w:r>
      <w:r>
        <w:rPr>
          <w:rFonts w:ascii="Arial" w:hAnsi="Arial" w:cs="Arial"/>
          <w:color w:val="000000" w:themeColor="text1"/>
          <w:lang w:eastAsia="en-GB"/>
        </w:rPr>
        <w:t>in open comment items</w:t>
      </w:r>
      <w:r w:rsidRPr="00C27F15">
        <w:rPr>
          <w:rFonts w:ascii="Arial" w:hAnsi="Arial" w:cs="Arial"/>
          <w:color w:val="000000" w:themeColor="text1"/>
          <w:lang w:eastAsia="en-GB"/>
        </w:rPr>
        <w:t xml:space="preserve"> that PGDs could often be used successfully and that they catered well for the range of conditions encountered.</w:t>
      </w:r>
      <w:r w:rsidR="004653F9">
        <w:rPr>
          <w:rFonts w:ascii="Arial" w:hAnsi="Arial" w:cs="Arial"/>
          <w:color w:val="000000" w:themeColor="text1"/>
          <w:lang w:eastAsia="en-GB"/>
        </w:rPr>
        <w:t xml:space="preserve"> </w:t>
      </w:r>
      <w:r w:rsidR="00F25179" w:rsidRPr="00C27F15">
        <w:rPr>
          <w:rFonts w:ascii="Arial" w:hAnsi="Arial" w:cs="Arial"/>
          <w:color w:val="000000" w:themeColor="text1"/>
          <w:lang w:eastAsia="en-GB"/>
        </w:rPr>
        <w:t xml:space="preserve">Furthermore, participants reported that despite the cost and increased work involved in maintaining stock levels, a clear </w:t>
      </w:r>
      <w:r w:rsidR="00D06DDF" w:rsidRPr="00C27F15">
        <w:rPr>
          <w:rFonts w:ascii="Arial" w:hAnsi="Arial" w:cs="Arial"/>
          <w:color w:val="000000" w:themeColor="text1"/>
          <w:lang w:eastAsia="en-GB"/>
        </w:rPr>
        <w:t>benefit</w:t>
      </w:r>
      <w:r w:rsidR="00F25179" w:rsidRPr="00C27F15">
        <w:rPr>
          <w:rFonts w:ascii="Arial" w:hAnsi="Arial" w:cs="Arial"/>
          <w:color w:val="000000" w:themeColor="text1"/>
          <w:lang w:eastAsia="en-GB"/>
        </w:rPr>
        <w:t xml:space="preserve"> to usin</w:t>
      </w:r>
      <w:r w:rsidR="00F25179" w:rsidRPr="003A3124">
        <w:rPr>
          <w:rFonts w:ascii="Arial" w:hAnsi="Arial" w:cs="Arial"/>
          <w:color w:val="000000" w:themeColor="text1"/>
          <w:lang w:eastAsia="en-GB"/>
        </w:rPr>
        <w:t xml:space="preserve">g PGDs </w:t>
      </w:r>
      <w:r w:rsidR="0067061C">
        <w:rPr>
          <w:rFonts w:ascii="Arial" w:hAnsi="Arial" w:cs="Arial"/>
          <w:color w:val="000000" w:themeColor="text1"/>
          <w:lang w:eastAsia="en-GB"/>
        </w:rPr>
        <w:t>is</w:t>
      </w:r>
      <w:r w:rsidR="00F25179" w:rsidRPr="003A3124">
        <w:rPr>
          <w:rFonts w:ascii="Arial" w:hAnsi="Arial" w:cs="Arial"/>
          <w:color w:val="000000" w:themeColor="text1"/>
          <w:lang w:eastAsia="en-GB"/>
        </w:rPr>
        <w:t xml:space="preserve"> the ability to supply medication to patients who might find it difficult to access a prescription due to being housebound or frail. </w:t>
      </w:r>
    </w:p>
    <w:p w14:paraId="5D2BD7CF" w14:textId="5B954ABB" w:rsidR="00794778" w:rsidRDefault="00636385" w:rsidP="00F70214">
      <w:pPr>
        <w:rPr>
          <w:rFonts w:ascii="Arial" w:hAnsi="Arial" w:cs="Arial"/>
        </w:rPr>
      </w:pPr>
      <w:r w:rsidRPr="00715308">
        <w:rPr>
          <w:rFonts w:ascii="Arial" w:hAnsi="Arial" w:cs="Arial"/>
        </w:rPr>
        <w:lastRenderedPageBreak/>
        <w:t xml:space="preserve">Whilst the majority of participants felt that </w:t>
      </w:r>
      <w:r w:rsidR="00CB79CF">
        <w:rPr>
          <w:rFonts w:ascii="Arial" w:hAnsi="Arial" w:cs="Arial"/>
        </w:rPr>
        <w:t xml:space="preserve">PGDs enabled them to confidently and safely supply medication to patients, </w:t>
      </w:r>
      <w:r w:rsidRPr="00715308">
        <w:rPr>
          <w:rFonts w:ascii="Arial" w:hAnsi="Arial" w:cs="Arial"/>
        </w:rPr>
        <w:t>a significant minority</w:t>
      </w:r>
      <w:r w:rsidR="00E23F6D">
        <w:rPr>
          <w:rFonts w:ascii="Arial" w:hAnsi="Arial" w:cs="Arial"/>
        </w:rPr>
        <w:t xml:space="preserve"> </w:t>
      </w:r>
      <w:r w:rsidRPr="00715308">
        <w:rPr>
          <w:rFonts w:ascii="Arial" w:hAnsi="Arial" w:cs="Arial"/>
        </w:rPr>
        <w:t>considered that PGDs were restrictive and did not always allow them to supply the most appropriate medicatio</w:t>
      </w:r>
      <w:r w:rsidR="0056152D">
        <w:rPr>
          <w:rFonts w:ascii="Arial" w:hAnsi="Arial" w:cs="Arial"/>
        </w:rPr>
        <w:t>n</w:t>
      </w:r>
      <w:r w:rsidR="00CB79CF">
        <w:rPr>
          <w:rFonts w:ascii="Arial" w:hAnsi="Arial" w:cs="Arial"/>
        </w:rPr>
        <w:t>, suggesting that</w:t>
      </w:r>
      <w:r w:rsidR="00833177">
        <w:rPr>
          <w:rFonts w:ascii="Arial" w:hAnsi="Arial" w:cs="Arial"/>
        </w:rPr>
        <w:t xml:space="preserve"> restrictions imposed by PGDs to ensure safe medication supply may at times inhibit autonomous practice</w:t>
      </w:r>
      <w:r w:rsidR="00CB79CF">
        <w:rPr>
          <w:rFonts w:ascii="Arial" w:hAnsi="Arial" w:cs="Arial"/>
        </w:rPr>
        <w:t xml:space="preserve"> (Figure 2)</w:t>
      </w:r>
      <w:r w:rsidR="00833177">
        <w:rPr>
          <w:rFonts w:ascii="Arial" w:hAnsi="Arial" w:cs="Arial"/>
        </w:rPr>
        <w:t xml:space="preserve">. </w:t>
      </w:r>
    </w:p>
    <w:p w14:paraId="5BCB49E5" w14:textId="77777777" w:rsidR="005010D0" w:rsidRDefault="005010D0" w:rsidP="00F70214">
      <w:pPr>
        <w:rPr>
          <w:rFonts w:ascii="Arial" w:hAnsi="Arial" w:cs="Arial"/>
        </w:rPr>
      </w:pPr>
    </w:p>
    <w:p w14:paraId="39D9C04A" w14:textId="77777777" w:rsidR="00BB52E8" w:rsidRDefault="00BB52E8" w:rsidP="00F70214">
      <w:pPr>
        <w:rPr>
          <w:rFonts w:ascii="Arial" w:hAnsi="Arial" w:cs="Arial"/>
        </w:rPr>
      </w:pPr>
    </w:p>
    <w:p w14:paraId="6EED7DFB" w14:textId="77777777" w:rsidR="00BB52E8" w:rsidRDefault="00BB52E8" w:rsidP="00F70214">
      <w:pPr>
        <w:rPr>
          <w:rFonts w:ascii="Arial" w:hAnsi="Arial" w:cs="Arial"/>
        </w:rPr>
      </w:pPr>
    </w:p>
    <w:p w14:paraId="2E14722A" w14:textId="77777777" w:rsidR="00BB52E8" w:rsidRDefault="00BB52E8" w:rsidP="00F70214">
      <w:pPr>
        <w:rPr>
          <w:rFonts w:ascii="Arial" w:hAnsi="Arial" w:cs="Arial"/>
        </w:rPr>
      </w:pPr>
    </w:p>
    <w:p w14:paraId="1B9830D1" w14:textId="77777777" w:rsidR="00BB52E8" w:rsidRDefault="00BB52E8" w:rsidP="00F70214">
      <w:pPr>
        <w:rPr>
          <w:rFonts w:ascii="Arial" w:hAnsi="Arial" w:cs="Arial"/>
        </w:rPr>
      </w:pPr>
    </w:p>
    <w:p w14:paraId="5D96EA9C" w14:textId="13151D55" w:rsidR="00BB52E8" w:rsidRDefault="00BB52E8" w:rsidP="00F70214">
      <w:pPr>
        <w:rPr>
          <w:rFonts w:ascii="Arial" w:hAnsi="Arial" w:cs="Arial"/>
        </w:rPr>
      </w:pPr>
      <w:r>
        <w:rPr>
          <w:rFonts w:ascii="Arial" w:hAnsi="Arial" w:cs="Arial"/>
          <w:noProof/>
        </w:rPr>
        <w:drawing>
          <wp:inline distT="0" distB="0" distL="0" distR="0" wp14:anchorId="16E96A7D" wp14:editId="1B7DBBED">
            <wp:extent cx="5727700" cy="2863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2.pdf"/>
                    <pic:cNvPicPr/>
                  </pic:nvPicPr>
                  <pic:blipFill>
                    <a:blip r:embed="rId9"/>
                    <a:stretch>
                      <a:fillRect/>
                    </a:stretch>
                  </pic:blipFill>
                  <pic:spPr>
                    <a:xfrm>
                      <a:off x="0" y="0"/>
                      <a:ext cx="5727700" cy="2863850"/>
                    </a:xfrm>
                    <a:prstGeom prst="rect">
                      <a:avLst/>
                    </a:prstGeom>
                  </pic:spPr>
                </pic:pic>
              </a:graphicData>
            </a:graphic>
          </wp:inline>
        </w:drawing>
      </w:r>
      <w:r>
        <w:rPr>
          <w:rFonts w:ascii="Arial" w:hAnsi="Arial" w:cs="Arial"/>
        </w:rPr>
        <w:t xml:space="preserve">Figure 2: </w:t>
      </w:r>
      <w:r w:rsidR="00A7330B">
        <w:rPr>
          <w:rFonts w:ascii="Arial" w:hAnsi="Arial" w:cs="Arial"/>
        </w:rPr>
        <w:t>Likert rating scale data regarding the use of SPEUC PGDs in practice.</w:t>
      </w:r>
    </w:p>
    <w:p w14:paraId="53986599" w14:textId="77777777" w:rsidR="00BB52E8" w:rsidRDefault="00BB52E8" w:rsidP="00F70214">
      <w:pPr>
        <w:rPr>
          <w:rFonts w:ascii="Arial" w:hAnsi="Arial" w:cs="Arial"/>
        </w:rPr>
      </w:pPr>
    </w:p>
    <w:p w14:paraId="25AD9C51" w14:textId="01B338D8" w:rsidR="00145D7C" w:rsidRDefault="00636385" w:rsidP="00F70214">
      <w:pPr>
        <w:rPr>
          <w:rFonts w:ascii="Arial" w:hAnsi="Arial" w:cs="Arial"/>
        </w:rPr>
      </w:pPr>
      <w:r w:rsidRPr="00715308">
        <w:rPr>
          <w:rFonts w:ascii="Arial" w:hAnsi="Arial" w:cs="Arial"/>
        </w:rPr>
        <w:t>Qualitative data also highlighted that PGD specifications did not allow the application of SPEUCs’ expertise to individual pa</w:t>
      </w:r>
      <w:r w:rsidR="004C00DC">
        <w:rPr>
          <w:rFonts w:ascii="Arial" w:hAnsi="Arial" w:cs="Arial"/>
        </w:rPr>
        <w:t>t</w:t>
      </w:r>
      <w:r w:rsidRPr="00715308">
        <w:rPr>
          <w:rFonts w:ascii="Arial" w:hAnsi="Arial" w:cs="Arial"/>
        </w:rPr>
        <w:t xml:space="preserve">ients’ needs, were not always sufficiently comprehensive, or in line with good practice. </w:t>
      </w:r>
    </w:p>
    <w:p w14:paraId="1103B39D" w14:textId="77777777" w:rsidR="005010D0" w:rsidRPr="00642EBF" w:rsidRDefault="005010D0" w:rsidP="00F70214">
      <w:pPr>
        <w:rPr>
          <w:rFonts w:ascii="Arial" w:hAnsi="Arial" w:cs="Arial"/>
        </w:rPr>
      </w:pPr>
    </w:p>
    <w:p w14:paraId="10528A3F" w14:textId="5FB73EB1" w:rsidR="00145D7C" w:rsidRPr="0063717D" w:rsidRDefault="00145D7C" w:rsidP="00F70214">
      <w:pPr>
        <w:rPr>
          <w:rFonts w:ascii="Arial" w:eastAsia="Times New Roman" w:hAnsi="Arial" w:cs="Arial"/>
          <w:lang w:eastAsia="en-GB"/>
        </w:rPr>
      </w:pPr>
      <w:r w:rsidRPr="0063717D">
        <w:rPr>
          <w:rFonts w:ascii="Arial" w:eastAsia="Times New Roman" w:hAnsi="Arial" w:cs="Arial"/>
          <w:i/>
          <w:lang w:eastAsia="en-GB"/>
        </w:rPr>
        <w:t>“The PGD's are restrictive and patient co-morbidities and allergies etc interfere with the ideal presentation and so the PGD one size fits all doesn't always work…thus reducing the autonomy of the SPUEC in situations where knowledge and experience suggest benefits for a particular medication which is available but not within indications on PGD”</w:t>
      </w:r>
      <w:r w:rsidRPr="0063717D">
        <w:rPr>
          <w:rFonts w:ascii="Arial" w:eastAsia="Times New Roman" w:hAnsi="Arial" w:cs="Arial"/>
          <w:lang w:eastAsia="en-GB"/>
        </w:rPr>
        <w:t xml:space="preserve"> (ID</w:t>
      </w:r>
      <w:r w:rsidRPr="00D044FF">
        <w:rPr>
          <w:rFonts w:ascii="Arial" w:hAnsi="Arial" w:cs="Arial"/>
        </w:rPr>
        <w:t xml:space="preserve"> </w:t>
      </w:r>
      <w:r w:rsidRPr="0063717D">
        <w:rPr>
          <w:rFonts w:ascii="Arial" w:eastAsia="Times New Roman" w:hAnsi="Arial" w:cs="Arial"/>
          <w:lang w:eastAsia="en-GB"/>
        </w:rPr>
        <w:t>6085607027).</w:t>
      </w:r>
    </w:p>
    <w:p w14:paraId="13676120" w14:textId="5200236C" w:rsidR="005D3707" w:rsidRDefault="00145D7C" w:rsidP="00F70214">
      <w:pPr>
        <w:spacing w:before="100" w:beforeAutospacing="1" w:after="100" w:afterAutospacing="1"/>
        <w:textAlignment w:val="top"/>
        <w:rPr>
          <w:rFonts w:ascii="Arial" w:hAnsi="Arial" w:cs="Arial"/>
          <w:lang w:eastAsia="en-GB"/>
        </w:rPr>
      </w:pPr>
      <w:r w:rsidRPr="00642EBF">
        <w:rPr>
          <w:rFonts w:ascii="Arial" w:hAnsi="Arial" w:cs="Arial"/>
        </w:rPr>
        <w:t xml:space="preserve">Closed response data revealed that </w:t>
      </w:r>
      <w:r w:rsidR="00B304D3">
        <w:rPr>
          <w:rFonts w:ascii="Arial" w:hAnsi="Arial" w:cs="Arial"/>
        </w:rPr>
        <w:t>37/78 (</w:t>
      </w:r>
      <w:r w:rsidR="00636385" w:rsidRPr="00642EBF">
        <w:rPr>
          <w:rFonts w:ascii="Arial" w:hAnsi="Arial" w:cs="Arial"/>
          <w:lang w:eastAsia="en-GB"/>
        </w:rPr>
        <w:t>47.4%</w:t>
      </w:r>
      <w:r w:rsidR="00B304D3">
        <w:rPr>
          <w:rFonts w:ascii="Arial" w:hAnsi="Arial" w:cs="Arial"/>
          <w:lang w:eastAsia="en-GB"/>
        </w:rPr>
        <w:t xml:space="preserve">) </w:t>
      </w:r>
      <w:r w:rsidR="00636385" w:rsidRPr="00642EBF">
        <w:rPr>
          <w:rFonts w:ascii="Arial" w:hAnsi="Arial" w:cs="Arial"/>
          <w:lang w:eastAsia="en-GB"/>
        </w:rPr>
        <w:t xml:space="preserve">of participants occasionally and </w:t>
      </w:r>
      <w:r w:rsidR="00B304D3">
        <w:rPr>
          <w:rFonts w:ascii="Arial" w:hAnsi="Arial" w:cs="Arial"/>
          <w:lang w:eastAsia="en-GB"/>
        </w:rPr>
        <w:t>16/78 (</w:t>
      </w:r>
      <w:r w:rsidR="00636385" w:rsidRPr="00642EBF">
        <w:rPr>
          <w:rFonts w:ascii="Arial" w:hAnsi="Arial" w:cs="Arial"/>
          <w:lang w:eastAsia="en-GB"/>
        </w:rPr>
        <w:t>21.7%</w:t>
      </w:r>
      <w:r w:rsidR="00B304D3">
        <w:rPr>
          <w:rFonts w:ascii="Arial" w:hAnsi="Arial" w:cs="Arial"/>
          <w:lang w:eastAsia="en-GB"/>
        </w:rPr>
        <w:t>)</w:t>
      </w:r>
      <w:r w:rsidR="00636385" w:rsidRPr="00642EBF">
        <w:rPr>
          <w:rFonts w:ascii="Arial" w:hAnsi="Arial" w:cs="Arial"/>
          <w:lang w:eastAsia="en-GB"/>
        </w:rPr>
        <w:t xml:space="preserve"> frequently </w:t>
      </w:r>
      <w:r w:rsidRPr="00642EBF">
        <w:rPr>
          <w:rFonts w:ascii="Arial" w:hAnsi="Arial" w:cs="Arial"/>
          <w:lang w:eastAsia="en-GB"/>
        </w:rPr>
        <w:t>disagreed</w:t>
      </w:r>
      <w:r w:rsidR="00636385" w:rsidRPr="00642EBF">
        <w:rPr>
          <w:rFonts w:ascii="Arial" w:hAnsi="Arial" w:cs="Arial"/>
          <w:lang w:eastAsia="en-GB"/>
        </w:rPr>
        <w:t xml:space="preserve"> with either the inclusion or exclusion criteria of PGDs.</w:t>
      </w:r>
      <w:r w:rsidR="005D3707">
        <w:rPr>
          <w:rFonts w:ascii="Arial" w:hAnsi="Arial" w:cs="Arial"/>
          <w:lang w:eastAsia="en-GB"/>
        </w:rPr>
        <w:t xml:space="preserve"> </w:t>
      </w:r>
    </w:p>
    <w:p w14:paraId="480600D9" w14:textId="46049E7C" w:rsidR="007F4D77" w:rsidRPr="008D3690" w:rsidRDefault="00636385" w:rsidP="00F70214">
      <w:pPr>
        <w:rPr>
          <w:rFonts w:ascii="Times New Roman" w:eastAsia="Times New Roman" w:hAnsi="Times New Roman" w:cs="Times New Roman"/>
        </w:rPr>
      </w:pPr>
      <w:r w:rsidRPr="00642EBF">
        <w:rPr>
          <w:rFonts w:ascii="Arial" w:hAnsi="Arial" w:cs="Arial"/>
          <w:lang w:eastAsia="en-GB"/>
        </w:rPr>
        <w:t xml:space="preserve">Participants </w:t>
      </w:r>
      <w:r w:rsidR="005D3707">
        <w:rPr>
          <w:rFonts w:ascii="Arial" w:hAnsi="Arial" w:cs="Arial"/>
          <w:lang w:eastAsia="en-GB"/>
        </w:rPr>
        <w:t xml:space="preserve">reported disagreeing with PGD </w:t>
      </w:r>
      <w:r w:rsidRPr="00642EBF">
        <w:rPr>
          <w:rFonts w:ascii="Arial" w:hAnsi="Arial" w:cs="Arial"/>
          <w:lang w:eastAsia="en-GB"/>
        </w:rPr>
        <w:t>criteria most frequently when using PGDs to supply antibiotics (</w:t>
      </w:r>
      <w:r w:rsidR="00640B83">
        <w:rPr>
          <w:rFonts w:ascii="Arial" w:hAnsi="Arial" w:cs="Arial"/>
          <w:lang w:eastAsia="en-GB"/>
        </w:rPr>
        <w:t xml:space="preserve">49/78 </w:t>
      </w:r>
      <w:r w:rsidRPr="00642EBF">
        <w:rPr>
          <w:rFonts w:ascii="Arial" w:hAnsi="Arial" w:cs="Arial"/>
          <w:lang w:eastAsia="en-GB"/>
        </w:rPr>
        <w:t>62.8%), opioid analgesia (</w:t>
      </w:r>
      <w:r w:rsidR="00640B83">
        <w:rPr>
          <w:rFonts w:ascii="Arial" w:hAnsi="Arial" w:cs="Arial"/>
          <w:lang w:eastAsia="en-GB"/>
        </w:rPr>
        <w:t xml:space="preserve">26/78 </w:t>
      </w:r>
      <w:r w:rsidRPr="00642EBF">
        <w:rPr>
          <w:rFonts w:ascii="Arial" w:hAnsi="Arial" w:cs="Arial"/>
          <w:lang w:eastAsia="en-GB"/>
        </w:rPr>
        <w:t>33.3%) and steroids (</w:t>
      </w:r>
      <w:r w:rsidR="007F043F">
        <w:rPr>
          <w:rFonts w:ascii="Arial" w:hAnsi="Arial" w:cs="Arial"/>
          <w:lang w:eastAsia="en-GB"/>
        </w:rPr>
        <w:t xml:space="preserve">24/78 </w:t>
      </w:r>
      <w:r w:rsidRPr="00642EBF">
        <w:rPr>
          <w:rFonts w:ascii="Arial" w:hAnsi="Arial" w:cs="Arial"/>
          <w:lang w:eastAsia="en-GB"/>
        </w:rPr>
        <w:t xml:space="preserve">30.7%). </w:t>
      </w:r>
      <w:r w:rsidR="00145D7C" w:rsidRPr="00642EBF">
        <w:rPr>
          <w:rFonts w:ascii="Arial" w:hAnsi="Arial" w:cs="Arial"/>
          <w:lang w:eastAsia="en-GB"/>
        </w:rPr>
        <w:t>Some participants described that antibiotic PGDs were too generic and</w:t>
      </w:r>
      <w:r w:rsidR="00AB1C3A">
        <w:rPr>
          <w:rFonts w:ascii="Arial" w:hAnsi="Arial" w:cs="Arial"/>
          <w:lang w:eastAsia="en-GB"/>
        </w:rPr>
        <w:t xml:space="preserve"> sometimes</w:t>
      </w:r>
      <w:r w:rsidR="00BA7123">
        <w:rPr>
          <w:rFonts w:ascii="Arial" w:hAnsi="Arial" w:cs="Arial"/>
          <w:lang w:eastAsia="en-GB"/>
        </w:rPr>
        <w:t xml:space="preserve"> </w:t>
      </w:r>
      <w:r w:rsidR="00145D7C" w:rsidRPr="00642EBF">
        <w:rPr>
          <w:rFonts w:ascii="Arial" w:hAnsi="Arial" w:cs="Arial"/>
          <w:lang w:eastAsia="en-GB"/>
        </w:rPr>
        <w:t>prevented the</w:t>
      </w:r>
      <w:r w:rsidR="001408D8">
        <w:rPr>
          <w:rFonts w:ascii="Arial" w:hAnsi="Arial" w:cs="Arial"/>
          <w:lang w:eastAsia="en-GB"/>
        </w:rPr>
        <w:t>m from</w:t>
      </w:r>
      <w:r w:rsidR="00145D7C" w:rsidRPr="00642EBF">
        <w:rPr>
          <w:rFonts w:ascii="Arial" w:hAnsi="Arial" w:cs="Arial"/>
          <w:lang w:eastAsia="en-GB"/>
        </w:rPr>
        <w:t xml:space="preserve"> supply</w:t>
      </w:r>
      <w:r w:rsidR="001408D8">
        <w:rPr>
          <w:rFonts w:ascii="Arial" w:hAnsi="Arial" w:cs="Arial"/>
          <w:lang w:eastAsia="en-GB"/>
        </w:rPr>
        <w:t>ing</w:t>
      </w:r>
      <w:r w:rsidR="00145D7C" w:rsidRPr="00642EBF">
        <w:rPr>
          <w:rFonts w:ascii="Arial" w:hAnsi="Arial" w:cs="Arial"/>
          <w:lang w:eastAsia="en-GB"/>
        </w:rPr>
        <w:t xml:space="preserve"> </w:t>
      </w:r>
      <w:r w:rsidR="00AB1C3A">
        <w:rPr>
          <w:rFonts w:ascii="Arial" w:hAnsi="Arial" w:cs="Arial"/>
          <w:lang w:eastAsia="en-GB"/>
        </w:rPr>
        <w:t xml:space="preserve">the </w:t>
      </w:r>
      <w:r w:rsidR="00BA7123">
        <w:rPr>
          <w:rFonts w:ascii="Arial" w:hAnsi="Arial" w:cs="Arial"/>
          <w:lang w:eastAsia="en-GB"/>
        </w:rPr>
        <w:t xml:space="preserve">antimicrobial medication </w:t>
      </w:r>
      <w:r w:rsidR="00AB1C3A">
        <w:rPr>
          <w:rFonts w:ascii="Arial" w:hAnsi="Arial" w:cs="Arial"/>
          <w:lang w:eastAsia="en-GB"/>
        </w:rPr>
        <w:t>recommended by</w:t>
      </w:r>
      <w:r w:rsidR="00BA7123">
        <w:rPr>
          <w:rFonts w:ascii="Arial" w:hAnsi="Arial" w:cs="Arial"/>
          <w:lang w:eastAsia="en-GB"/>
        </w:rPr>
        <w:t xml:space="preserve"> local </w:t>
      </w:r>
      <w:r w:rsidR="00AB1C3A">
        <w:rPr>
          <w:rFonts w:ascii="Arial" w:hAnsi="Arial" w:cs="Arial"/>
          <w:lang w:eastAsia="en-GB"/>
        </w:rPr>
        <w:t xml:space="preserve">prescribing </w:t>
      </w:r>
      <w:r w:rsidR="00BA7123">
        <w:rPr>
          <w:rFonts w:ascii="Arial" w:hAnsi="Arial" w:cs="Arial"/>
          <w:lang w:eastAsia="en-GB"/>
        </w:rPr>
        <w:t>guidance</w:t>
      </w:r>
      <w:r w:rsidR="00AB1C3A">
        <w:rPr>
          <w:rFonts w:ascii="Arial" w:hAnsi="Arial" w:cs="Arial"/>
          <w:lang w:eastAsia="en-GB"/>
        </w:rPr>
        <w:t xml:space="preserve">. </w:t>
      </w:r>
      <w:r w:rsidR="00145D7C" w:rsidRPr="00642EBF">
        <w:rPr>
          <w:rFonts w:ascii="Arial" w:hAnsi="Arial" w:cs="Arial"/>
          <w:lang w:eastAsia="en-GB"/>
        </w:rPr>
        <w:t>Some participants also reported PGDs restricted their ability to supply sufficiently strong analgesia</w:t>
      </w:r>
      <w:r w:rsidR="006E5C21" w:rsidRPr="00642EBF">
        <w:rPr>
          <w:rFonts w:ascii="Arial" w:hAnsi="Arial" w:cs="Arial"/>
          <w:lang w:eastAsia="en-GB"/>
        </w:rPr>
        <w:t>.</w:t>
      </w:r>
      <w:r w:rsidR="00145D7C" w:rsidRPr="00642EBF">
        <w:rPr>
          <w:rFonts w:ascii="Arial" w:hAnsi="Arial" w:cs="Arial"/>
          <w:lang w:eastAsia="en-GB"/>
        </w:rPr>
        <w:t xml:space="preserve"> </w:t>
      </w:r>
      <w:r w:rsidR="006E5C21" w:rsidRPr="00642EBF">
        <w:rPr>
          <w:rFonts w:ascii="Arial" w:hAnsi="Arial" w:cs="Arial"/>
          <w:lang w:eastAsia="en-GB"/>
        </w:rPr>
        <w:t>For example, SPEUC PGDs only permit</w:t>
      </w:r>
      <w:r w:rsidR="00145D7C" w:rsidRPr="00642EBF">
        <w:rPr>
          <w:rFonts w:ascii="Arial" w:hAnsi="Arial" w:cs="Arial"/>
          <w:lang w:eastAsia="en-GB"/>
        </w:rPr>
        <w:t xml:space="preserve"> the supply of </w:t>
      </w:r>
      <w:r w:rsidR="006E5C21" w:rsidRPr="00642EBF">
        <w:rPr>
          <w:rFonts w:ascii="Arial" w:hAnsi="Arial" w:cs="Arial"/>
          <w:lang w:eastAsia="en-GB"/>
        </w:rPr>
        <w:t xml:space="preserve">weak opioids such as </w:t>
      </w:r>
      <w:r w:rsidR="00145D7C" w:rsidRPr="00642EBF">
        <w:rPr>
          <w:rFonts w:ascii="Arial" w:hAnsi="Arial" w:cs="Arial"/>
          <w:lang w:eastAsia="en-GB"/>
        </w:rPr>
        <w:t>c</w:t>
      </w:r>
      <w:r w:rsidR="006E5C21" w:rsidRPr="00642EBF">
        <w:rPr>
          <w:rFonts w:ascii="Arial" w:hAnsi="Arial" w:cs="Arial"/>
          <w:lang w:eastAsia="en-GB"/>
        </w:rPr>
        <w:t>odeine. Consequentl</w:t>
      </w:r>
      <w:r w:rsidR="000D3CD5">
        <w:rPr>
          <w:rFonts w:ascii="Arial" w:hAnsi="Arial" w:cs="Arial"/>
          <w:lang w:eastAsia="en-GB"/>
        </w:rPr>
        <w:t>y, SPEUCs could only administer</w:t>
      </w:r>
      <w:r w:rsidR="006E5C21" w:rsidRPr="00642EBF">
        <w:rPr>
          <w:rFonts w:ascii="Arial" w:hAnsi="Arial" w:cs="Arial"/>
          <w:lang w:eastAsia="en-GB"/>
        </w:rPr>
        <w:t xml:space="preserve"> </w:t>
      </w:r>
      <w:r w:rsidR="00145D7C" w:rsidRPr="00642EBF">
        <w:rPr>
          <w:rFonts w:ascii="Arial" w:hAnsi="Arial" w:cs="Arial"/>
          <w:lang w:eastAsia="en-GB"/>
        </w:rPr>
        <w:t>morphine</w:t>
      </w:r>
      <w:r w:rsidR="006E5C21" w:rsidRPr="00642EBF">
        <w:rPr>
          <w:rFonts w:ascii="Arial" w:hAnsi="Arial" w:cs="Arial"/>
          <w:lang w:eastAsia="en-GB"/>
        </w:rPr>
        <w:t xml:space="preserve"> (using legislative exemptions</w:t>
      </w:r>
      <w:r w:rsidR="00E41FC3" w:rsidRPr="00642EBF">
        <w:rPr>
          <w:rFonts w:ascii="Arial" w:hAnsi="Arial" w:cs="Arial"/>
          <w:lang w:eastAsia="en-GB"/>
        </w:rPr>
        <w:t>) and</w:t>
      </w:r>
      <w:r w:rsidR="006E5C21" w:rsidRPr="00642EBF">
        <w:rPr>
          <w:rFonts w:ascii="Arial" w:hAnsi="Arial" w:cs="Arial"/>
          <w:lang w:eastAsia="en-GB"/>
        </w:rPr>
        <w:t xml:space="preserve"> were </w:t>
      </w:r>
      <w:r w:rsidR="00E41FC3" w:rsidRPr="00642EBF">
        <w:rPr>
          <w:rFonts w:ascii="Arial" w:hAnsi="Arial" w:cs="Arial"/>
          <w:lang w:eastAsia="en-GB"/>
        </w:rPr>
        <w:lastRenderedPageBreak/>
        <w:t>prevented from</w:t>
      </w:r>
      <w:r w:rsidR="006E5C21" w:rsidRPr="00642EBF">
        <w:rPr>
          <w:rFonts w:ascii="Arial" w:hAnsi="Arial" w:cs="Arial"/>
          <w:lang w:eastAsia="en-GB"/>
        </w:rPr>
        <w:t xml:space="preserve"> supply</w:t>
      </w:r>
      <w:r w:rsidR="00E41FC3" w:rsidRPr="00642EBF">
        <w:rPr>
          <w:rFonts w:ascii="Arial" w:hAnsi="Arial" w:cs="Arial"/>
          <w:lang w:eastAsia="en-GB"/>
        </w:rPr>
        <w:t>ing</w:t>
      </w:r>
      <w:r w:rsidR="006E5C21" w:rsidRPr="00642EBF">
        <w:rPr>
          <w:rFonts w:ascii="Arial" w:hAnsi="Arial" w:cs="Arial"/>
          <w:lang w:eastAsia="en-GB"/>
        </w:rPr>
        <w:t xml:space="preserve"> sufficiently strong analgesia on some occasions</w:t>
      </w:r>
      <w:r w:rsidR="00145D7C" w:rsidRPr="00642EBF">
        <w:rPr>
          <w:rFonts w:ascii="Arial" w:hAnsi="Arial" w:cs="Arial"/>
          <w:lang w:eastAsia="en-GB"/>
        </w:rPr>
        <w:t>. As a result,</w:t>
      </w:r>
      <w:r w:rsidRPr="00715308">
        <w:rPr>
          <w:rFonts w:ascii="Arial" w:hAnsi="Arial" w:cs="Arial"/>
        </w:rPr>
        <w:t xml:space="preserve"> </w:t>
      </w:r>
      <w:r w:rsidR="00A56FDA" w:rsidRPr="00642EBF">
        <w:rPr>
          <w:rFonts w:ascii="Arial" w:hAnsi="Arial" w:cs="Arial"/>
        </w:rPr>
        <w:t xml:space="preserve">it was reported that </w:t>
      </w:r>
      <w:r w:rsidRPr="00715308">
        <w:rPr>
          <w:rFonts w:ascii="Arial" w:hAnsi="Arial" w:cs="Arial"/>
        </w:rPr>
        <w:t>some conditions therefore needed to be escalated to</w:t>
      </w:r>
      <w:r w:rsidR="00F7755E">
        <w:rPr>
          <w:rFonts w:ascii="Arial" w:hAnsi="Arial" w:cs="Arial"/>
        </w:rPr>
        <w:t xml:space="preserve"> a</w:t>
      </w:r>
      <w:r w:rsidRPr="00715308">
        <w:rPr>
          <w:rFonts w:ascii="Arial" w:hAnsi="Arial" w:cs="Arial"/>
        </w:rPr>
        <w:t xml:space="preserve"> prescriber.  </w:t>
      </w:r>
    </w:p>
    <w:p w14:paraId="121C09B6" w14:textId="547BE49B" w:rsidR="00DE31E5" w:rsidRPr="0063717D" w:rsidRDefault="00DE31E5" w:rsidP="00F70214">
      <w:pPr>
        <w:spacing w:before="100" w:beforeAutospacing="1" w:after="100" w:afterAutospacing="1"/>
        <w:textAlignment w:val="top"/>
        <w:rPr>
          <w:rFonts w:ascii="Arial" w:hAnsi="Arial" w:cs="Arial"/>
        </w:rPr>
      </w:pPr>
      <w:r>
        <w:rPr>
          <w:rFonts w:ascii="Arial" w:hAnsi="Arial" w:cs="Arial"/>
        </w:rPr>
        <w:t>W</w:t>
      </w:r>
      <w:r w:rsidRPr="0063717D">
        <w:rPr>
          <w:rFonts w:ascii="Arial" w:hAnsi="Arial" w:cs="Arial"/>
        </w:rPr>
        <w:t xml:space="preserve">hen asked how they overcame barriers to medication supply </w:t>
      </w:r>
      <w:r w:rsidR="00860BF0">
        <w:rPr>
          <w:rFonts w:ascii="Arial" w:hAnsi="Arial" w:cs="Arial"/>
        </w:rPr>
        <w:t xml:space="preserve">imposed by </w:t>
      </w:r>
      <w:r w:rsidRPr="0063717D">
        <w:rPr>
          <w:rFonts w:ascii="Arial" w:hAnsi="Arial" w:cs="Arial"/>
        </w:rPr>
        <w:t>using PGDs, the majority of participants (</w:t>
      </w:r>
      <w:r>
        <w:rPr>
          <w:rFonts w:ascii="Arial" w:hAnsi="Arial" w:cs="Arial"/>
        </w:rPr>
        <w:t>66/78 84.6%</w:t>
      </w:r>
      <w:r w:rsidRPr="0063717D">
        <w:rPr>
          <w:rFonts w:ascii="Arial" w:hAnsi="Arial" w:cs="Arial"/>
        </w:rPr>
        <w:t>) stated they would refer the patient to a medical prescriber or would also seek a verbal order from a medical prescriber (</w:t>
      </w:r>
      <w:r>
        <w:rPr>
          <w:rFonts w:ascii="Arial" w:hAnsi="Arial" w:cs="Arial"/>
        </w:rPr>
        <w:t>61/78 78.2%</w:t>
      </w:r>
      <w:r w:rsidRPr="0063717D">
        <w:rPr>
          <w:rFonts w:ascii="Arial" w:hAnsi="Arial" w:cs="Arial"/>
        </w:rPr>
        <w:t xml:space="preserve">). </w:t>
      </w:r>
      <w:r>
        <w:rPr>
          <w:rFonts w:ascii="Arial" w:hAnsi="Arial" w:cs="Arial"/>
        </w:rPr>
        <w:t>39/78 (</w:t>
      </w:r>
      <w:r w:rsidRPr="0063717D">
        <w:rPr>
          <w:rFonts w:ascii="Arial" w:hAnsi="Arial" w:cs="Arial"/>
        </w:rPr>
        <w:t>50</w:t>
      </w:r>
      <w:r>
        <w:rPr>
          <w:rFonts w:ascii="Arial" w:hAnsi="Arial" w:cs="Arial"/>
        </w:rPr>
        <w:t>.0</w:t>
      </w:r>
      <w:r w:rsidRPr="0063717D">
        <w:rPr>
          <w:rFonts w:ascii="Arial" w:hAnsi="Arial" w:cs="Arial"/>
        </w:rPr>
        <w:t>%</w:t>
      </w:r>
      <w:r>
        <w:rPr>
          <w:rFonts w:ascii="Arial" w:hAnsi="Arial" w:cs="Arial"/>
        </w:rPr>
        <w:t>)</w:t>
      </w:r>
      <w:r w:rsidRPr="0063717D">
        <w:rPr>
          <w:rFonts w:ascii="Arial" w:hAnsi="Arial" w:cs="Arial"/>
        </w:rPr>
        <w:t xml:space="preserve"> also stated they would seek a verbal order from a non-medical prescriber and </w:t>
      </w:r>
      <w:r>
        <w:rPr>
          <w:rFonts w:ascii="Arial" w:hAnsi="Arial" w:cs="Arial"/>
        </w:rPr>
        <w:t>37/78 (</w:t>
      </w:r>
      <w:r w:rsidRPr="0063717D">
        <w:rPr>
          <w:rFonts w:ascii="Arial" w:hAnsi="Arial" w:cs="Arial"/>
        </w:rPr>
        <w:t>47.4%</w:t>
      </w:r>
      <w:r>
        <w:rPr>
          <w:rFonts w:ascii="Arial" w:hAnsi="Arial" w:cs="Arial"/>
        </w:rPr>
        <w:t>)</w:t>
      </w:r>
      <w:r w:rsidRPr="0063717D">
        <w:rPr>
          <w:rFonts w:ascii="Arial" w:hAnsi="Arial" w:cs="Arial"/>
        </w:rPr>
        <w:t xml:space="preserve"> stated they would refer the patient to a non-medical prescriber. </w:t>
      </w:r>
    </w:p>
    <w:p w14:paraId="281A4150" w14:textId="3A40E05A" w:rsidR="007D14D5" w:rsidRDefault="007D14D5" w:rsidP="00F70214">
      <w:pPr>
        <w:spacing w:before="100" w:beforeAutospacing="1" w:after="100" w:afterAutospacing="1"/>
        <w:textAlignment w:val="top"/>
        <w:rPr>
          <w:rFonts w:ascii="Arial" w:hAnsi="Arial" w:cs="Arial"/>
          <w:color w:val="000000" w:themeColor="text1"/>
          <w:lang w:eastAsia="en-GB"/>
        </w:rPr>
      </w:pPr>
      <w:r w:rsidRPr="0063717D">
        <w:rPr>
          <w:rFonts w:ascii="Arial" w:hAnsi="Arial" w:cs="Arial"/>
          <w:color w:val="000000" w:themeColor="text1"/>
          <w:lang w:eastAsia="en-GB"/>
        </w:rPr>
        <w:t xml:space="preserve">Some participants </w:t>
      </w:r>
      <w:r w:rsidR="009643BB">
        <w:rPr>
          <w:rFonts w:ascii="Arial" w:hAnsi="Arial" w:cs="Arial"/>
          <w:color w:val="000000" w:themeColor="text1"/>
          <w:lang w:eastAsia="en-GB"/>
        </w:rPr>
        <w:t>considered</w:t>
      </w:r>
      <w:r w:rsidRPr="0063717D">
        <w:rPr>
          <w:rFonts w:ascii="Arial" w:hAnsi="Arial" w:cs="Arial"/>
          <w:color w:val="000000" w:themeColor="text1"/>
          <w:lang w:eastAsia="en-GB"/>
        </w:rPr>
        <w:t xml:space="preserve"> that th</w:t>
      </w:r>
      <w:r w:rsidR="00B27183">
        <w:rPr>
          <w:rFonts w:ascii="Arial" w:hAnsi="Arial" w:cs="Arial"/>
          <w:color w:val="000000" w:themeColor="text1"/>
          <w:lang w:eastAsia="en-GB"/>
        </w:rPr>
        <w:t>ese</w:t>
      </w:r>
      <w:r w:rsidRPr="0063717D">
        <w:rPr>
          <w:rFonts w:ascii="Arial" w:hAnsi="Arial" w:cs="Arial"/>
          <w:color w:val="000000" w:themeColor="text1"/>
          <w:lang w:eastAsia="en-GB"/>
        </w:rPr>
        <w:t xml:space="preserve"> process</w:t>
      </w:r>
      <w:r w:rsidR="00B27183">
        <w:rPr>
          <w:rFonts w:ascii="Arial" w:hAnsi="Arial" w:cs="Arial"/>
          <w:color w:val="000000" w:themeColor="text1"/>
          <w:lang w:eastAsia="en-GB"/>
        </w:rPr>
        <w:t>es</w:t>
      </w:r>
      <w:r w:rsidRPr="0063717D">
        <w:rPr>
          <w:rFonts w:ascii="Arial" w:hAnsi="Arial" w:cs="Arial"/>
          <w:color w:val="000000" w:themeColor="text1"/>
          <w:lang w:eastAsia="en-GB"/>
        </w:rPr>
        <w:t xml:space="preserve"> work well and provide effective method</w:t>
      </w:r>
      <w:r w:rsidR="00B27183">
        <w:rPr>
          <w:rFonts w:ascii="Arial" w:hAnsi="Arial" w:cs="Arial"/>
          <w:color w:val="000000" w:themeColor="text1"/>
          <w:lang w:eastAsia="en-GB"/>
        </w:rPr>
        <w:t>s</w:t>
      </w:r>
      <w:r w:rsidRPr="0063717D">
        <w:rPr>
          <w:rFonts w:ascii="Arial" w:hAnsi="Arial" w:cs="Arial"/>
          <w:color w:val="000000" w:themeColor="text1"/>
          <w:lang w:eastAsia="en-GB"/>
        </w:rPr>
        <w:t xml:space="preserve"> of overcoming PGD restrictions.  Others however, felt the</w:t>
      </w:r>
      <w:r w:rsidR="00B27183">
        <w:rPr>
          <w:rFonts w:ascii="Arial" w:hAnsi="Arial" w:cs="Arial"/>
          <w:color w:val="000000" w:themeColor="text1"/>
          <w:lang w:eastAsia="en-GB"/>
        </w:rPr>
        <w:t>se</w:t>
      </w:r>
      <w:r w:rsidRPr="0063717D">
        <w:rPr>
          <w:rFonts w:ascii="Arial" w:hAnsi="Arial" w:cs="Arial"/>
          <w:color w:val="000000" w:themeColor="text1"/>
          <w:lang w:eastAsia="en-GB"/>
        </w:rPr>
        <w:t xml:space="preserve"> process</w:t>
      </w:r>
      <w:r w:rsidR="00B27183">
        <w:rPr>
          <w:rFonts w:ascii="Arial" w:hAnsi="Arial" w:cs="Arial"/>
          <w:color w:val="000000" w:themeColor="text1"/>
          <w:lang w:eastAsia="en-GB"/>
        </w:rPr>
        <w:t>es</w:t>
      </w:r>
      <w:r w:rsidRPr="0063717D">
        <w:rPr>
          <w:rFonts w:ascii="Arial" w:hAnsi="Arial" w:cs="Arial"/>
          <w:color w:val="000000" w:themeColor="text1"/>
          <w:lang w:eastAsia="en-GB"/>
        </w:rPr>
        <w:t xml:space="preserve"> </w:t>
      </w:r>
      <w:r w:rsidR="00B27183">
        <w:rPr>
          <w:rFonts w:ascii="Arial" w:hAnsi="Arial" w:cs="Arial"/>
          <w:color w:val="000000" w:themeColor="text1"/>
          <w:lang w:eastAsia="en-GB"/>
        </w:rPr>
        <w:t>are</w:t>
      </w:r>
      <w:r w:rsidRPr="0063717D">
        <w:rPr>
          <w:rFonts w:ascii="Arial" w:hAnsi="Arial" w:cs="Arial"/>
          <w:color w:val="000000" w:themeColor="text1"/>
          <w:lang w:eastAsia="en-GB"/>
        </w:rPr>
        <w:t xml:space="preserve"> often unnecessary</w:t>
      </w:r>
      <w:r w:rsidR="00495F5C">
        <w:rPr>
          <w:rFonts w:ascii="Arial" w:hAnsi="Arial" w:cs="Arial"/>
          <w:color w:val="000000" w:themeColor="text1"/>
          <w:lang w:eastAsia="en-GB"/>
        </w:rPr>
        <w:t xml:space="preserve">, </w:t>
      </w:r>
      <w:r w:rsidR="002E5277">
        <w:rPr>
          <w:rFonts w:ascii="Arial" w:hAnsi="Arial" w:cs="Arial"/>
          <w:color w:val="000000" w:themeColor="text1"/>
          <w:lang w:eastAsia="en-GB"/>
        </w:rPr>
        <w:t>cause delays</w:t>
      </w:r>
      <w:r w:rsidRPr="0063717D">
        <w:rPr>
          <w:rFonts w:ascii="Arial" w:hAnsi="Arial" w:cs="Arial"/>
          <w:color w:val="000000" w:themeColor="text1"/>
          <w:lang w:eastAsia="en-GB"/>
        </w:rPr>
        <w:t xml:space="preserve"> and d</w:t>
      </w:r>
      <w:r w:rsidR="00B27183">
        <w:rPr>
          <w:rFonts w:ascii="Arial" w:hAnsi="Arial" w:cs="Arial"/>
          <w:color w:val="000000" w:themeColor="text1"/>
          <w:lang w:eastAsia="en-GB"/>
        </w:rPr>
        <w:t>o</w:t>
      </w:r>
      <w:r w:rsidRPr="0063717D">
        <w:rPr>
          <w:rFonts w:ascii="Arial" w:hAnsi="Arial" w:cs="Arial"/>
          <w:color w:val="000000" w:themeColor="text1"/>
          <w:lang w:eastAsia="en-GB"/>
        </w:rPr>
        <w:t xml:space="preserve"> not allow for the supply of controlled drugs, for which a verbal order cannot be given. </w:t>
      </w:r>
      <w:r w:rsidR="00D35992">
        <w:rPr>
          <w:rFonts w:ascii="Arial" w:hAnsi="Arial" w:cs="Arial"/>
          <w:color w:val="000000" w:themeColor="text1"/>
          <w:lang w:eastAsia="en-GB"/>
        </w:rPr>
        <w:t>P</w:t>
      </w:r>
      <w:r w:rsidR="00D35992" w:rsidRPr="00D35992">
        <w:rPr>
          <w:rFonts w:ascii="Arial" w:hAnsi="Arial" w:cs="Arial"/>
          <w:color w:val="000000" w:themeColor="text1"/>
          <w:lang w:eastAsia="en-GB"/>
        </w:rPr>
        <w:t xml:space="preserve">articipants also highlighted </w:t>
      </w:r>
      <w:r w:rsidR="002E5277">
        <w:rPr>
          <w:rFonts w:ascii="Arial" w:hAnsi="Arial" w:cs="Arial"/>
          <w:color w:val="000000" w:themeColor="text1"/>
          <w:lang w:eastAsia="en-GB"/>
        </w:rPr>
        <w:t>difficulties in accessing</w:t>
      </w:r>
      <w:r w:rsidR="002724BB">
        <w:rPr>
          <w:rFonts w:ascii="Arial" w:hAnsi="Arial" w:cs="Arial"/>
          <w:color w:val="000000" w:themeColor="text1"/>
          <w:lang w:eastAsia="en-GB"/>
        </w:rPr>
        <w:t xml:space="preserve"> medical</w:t>
      </w:r>
      <w:r w:rsidR="002E5277">
        <w:rPr>
          <w:rFonts w:ascii="Arial" w:hAnsi="Arial" w:cs="Arial"/>
          <w:color w:val="000000" w:themeColor="text1"/>
          <w:lang w:eastAsia="en-GB"/>
        </w:rPr>
        <w:t xml:space="preserve"> support</w:t>
      </w:r>
      <w:r w:rsidR="002724BB">
        <w:rPr>
          <w:rFonts w:ascii="Arial" w:hAnsi="Arial" w:cs="Arial"/>
          <w:color w:val="000000" w:themeColor="text1"/>
          <w:lang w:eastAsia="en-GB"/>
        </w:rPr>
        <w:t xml:space="preserve"> </w:t>
      </w:r>
      <w:r w:rsidR="002E5277">
        <w:rPr>
          <w:rFonts w:ascii="Arial" w:hAnsi="Arial" w:cs="Arial"/>
          <w:color w:val="000000" w:themeColor="text1"/>
          <w:lang w:eastAsia="en-GB"/>
        </w:rPr>
        <w:t>in order to</w:t>
      </w:r>
      <w:r w:rsidR="002724BB">
        <w:rPr>
          <w:rFonts w:ascii="Arial" w:hAnsi="Arial" w:cs="Arial"/>
          <w:color w:val="000000" w:themeColor="text1"/>
          <w:lang w:eastAsia="en-GB"/>
        </w:rPr>
        <w:t xml:space="preserve"> either refer a patient who did not meet PGD inclusion criteria or to seek a verbal order where able to do so.</w:t>
      </w:r>
    </w:p>
    <w:p w14:paraId="715254F4" w14:textId="65EBA659" w:rsidR="002E5277" w:rsidRPr="009508E4" w:rsidRDefault="002E5277" w:rsidP="00F70214">
      <w:pPr>
        <w:spacing w:before="100" w:beforeAutospacing="1" w:after="100" w:afterAutospacing="1"/>
        <w:textAlignment w:val="top"/>
        <w:rPr>
          <w:rFonts w:ascii="Arial" w:hAnsi="Arial" w:cs="Arial"/>
          <w:color w:val="000000" w:themeColor="text1"/>
          <w:lang w:eastAsia="en-GB"/>
        </w:rPr>
      </w:pPr>
      <w:r>
        <w:rPr>
          <w:rFonts w:ascii="Arial" w:eastAsia="Times New Roman" w:hAnsi="Arial" w:cs="Arial"/>
          <w:i/>
        </w:rPr>
        <w:t xml:space="preserve"> “</w:t>
      </w:r>
      <w:r w:rsidRPr="00642EBF">
        <w:rPr>
          <w:rFonts w:ascii="Arial" w:eastAsia="Times New Roman" w:hAnsi="Arial" w:cs="Arial"/>
          <w:i/>
        </w:rPr>
        <w:t xml:space="preserve">I think it </w:t>
      </w:r>
      <w:r w:rsidR="004C00DC">
        <w:rPr>
          <w:rFonts w:ascii="Arial" w:eastAsia="Times New Roman" w:hAnsi="Arial" w:cs="Arial"/>
          <w:i/>
        </w:rPr>
        <w:t>[the use of PGDs</w:t>
      </w:r>
      <w:r w:rsidR="004C2435">
        <w:rPr>
          <w:rFonts w:ascii="Arial" w:eastAsia="Times New Roman" w:hAnsi="Arial" w:cs="Arial"/>
          <w:i/>
        </w:rPr>
        <w:t xml:space="preserve">] </w:t>
      </w:r>
      <w:r w:rsidRPr="00642EBF">
        <w:rPr>
          <w:rFonts w:ascii="Arial" w:eastAsia="Times New Roman" w:hAnsi="Arial" w:cs="Arial"/>
          <w:i/>
        </w:rPr>
        <w:t xml:space="preserve">is safer than </w:t>
      </w:r>
      <w:r w:rsidRPr="002E5277">
        <w:rPr>
          <w:rFonts w:ascii="Arial" w:eastAsia="Times New Roman" w:hAnsi="Arial" w:cs="Arial"/>
          <w:i/>
        </w:rPr>
        <w:t>non-medical</w:t>
      </w:r>
      <w:r w:rsidRPr="00642EBF">
        <w:rPr>
          <w:rFonts w:ascii="Arial" w:eastAsia="Times New Roman" w:hAnsi="Arial" w:cs="Arial"/>
          <w:i/>
        </w:rPr>
        <w:t xml:space="preserve"> prescribing as there is limited peer support which is difficult to access at certain times</w:t>
      </w:r>
      <w:r>
        <w:rPr>
          <w:rFonts w:ascii="Arial" w:eastAsia="Times New Roman" w:hAnsi="Arial" w:cs="Arial"/>
          <w:i/>
        </w:rPr>
        <w:t>”</w:t>
      </w:r>
      <w:r w:rsidR="009508E4">
        <w:rPr>
          <w:rFonts w:ascii="Arial" w:eastAsia="Times New Roman" w:hAnsi="Arial" w:cs="Arial"/>
          <w:i/>
        </w:rPr>
        <w:t xml:space="preserve"> </w:t>
      </w:r>
      <w:r w:rsidR="009508E4">
        <w:rPr>
          <w:rFonts w:ascii="Arial" w:eastAsia="Times New Roman" w:hAnsi="Arial" w:cs="Arial"/>
        </w:rPr>
        <w:t xml:space="preserve">(ID </w:t>
      </w:r>
      <w:r w:rsidR="009508E4" w:rsidRPr="009508E4">
        <w:rPr>
          <w:rFonts w:ascii="Arial" w:eastAsia="Times New Roman" w:hAnsi="Arial" w:cs="Arial"/>
        </w:rPr>
        <w:t>6109832319</w:t>
      </w:r>
      <w:r w:rsidR="009508E4">
        <w:rPr>
          <w:rFonts w:ascii="Arial" w:eastAsia="Times New Roman" w:hAnsi="Arial" w:cs="Arial"/>
        </w:rPr>
        <w:t>).</w:t>
      </w:r>
    </w:p>
    <w:p w14:paraId="12486E49" w14:textId="77777777" w:rsidR="007D14D5" w:rsidRPr="0063717D" w:rsidRDefault="007D14D5" w:rsidP="00F70214">
      <w:pPr>
        <w:rPr>
          <w:rFonts w:ascii="Arial" w:eastAsia="Times New Roman" w:hAnsi="Arial" w:cs="Arial"/>
          <w:lang w:eastAsia="en-GB"/>
        </w:rPr>
      </w:pPr>
      <w:r w:rsidRPr="0063717D">
        <w:rPr>
          <w:rFonts w:ascii="Arial" w:hAnsi="Arial" w:cs="Arial"/>
          <w:i/>
          <w:color w:val="000000" w:themeColor="text1"/>
          <w:lang w:eastAsia="en-GB"/>
        </w:rPr>
        <w:t>“</w:t>
      </w:r>
      <w:r w:rsidRPr="0063717D">
        <w:rPr>
          <w:rFonts w:ascii="Arial" w:eastAsia="Times New Roman" w:hAnsi="Arial" w:cs="Arial"/>
          <w:i/>
          <w:lang w:eastAsia="en-GB"/>
        </w:rPr>
        <w:t>Exclusion criteria is frequently too restrictive for the effective management of a patient and lead to numerous hours lost waiting for GP contact to gain a verbal order, when appropriate, for the supply of medication"</w:t>
      </w:r>
      <w:r w:rsidRPr="0063717D">
        <w:rPr>
          <w:rFonts w:ascii="Arial" w:eastAsia="Times New Roman" w:hAnsi="Arial" w:cs="Arial"/>
          <w:lang w:eastAsia="en-GB"/>
        </w:rPr>
        <w:t xml:space="preserve"> (ID</w:t>
      </w:r>
      <w:r w:rsidRPr="00642EBF">
        <w:rPr>
          <w:rFonts w:ascii="Arial" w:hAnsi="Arial" w:cs="Arial"/>
        </w:rPr>
        <w:t xml:space="preserve"> </w:t>
      </w:r>
      <w:r w:rsidRPr="0063717D">
        <w:rPr>
          <w:rFonts w:ascii="Arial" w:eastAsia="Times New Roman" w:hAnsi="Arial" w:cs="Arial"/>
          <w:lang w:eastAsia="en-GB"/>
        </w:rPr>
        <w:t>6083204746).</w:t>
      </w:r>
    </w:p>
    <w:p w14:paraId="302D780E" w14:textId="53DFF44D" w:rsidR="007D14D5" w:rsidRPr="00C27F15" w:rsidRDefault="007D14D5" w:rsidP="00F70214">
      <w:pPr>
        <w:spacing w:before="100" w:beforeAutospacing="1" w:after="100" w:afterAutospacing="1"/>
        <w:textAlignment w:val="top"/>
        <w:rPr>
          <w:rFonts w:ascii="Arial" w:hAnsi="Arial" w:cs="Arial"/>
          <w:color w:val="000000" w:themeColor="text1"/>
          <w:lang w:eastAsia="en-GB"/>
        </w:rPr>
      </w:pPr>
      <w:r w:rsidRPr="008A70B5">
        <w:rPr>
          <w:rFonts w:ascii="Arial" w:hAnsi="Arial" w:cs="Arial"/>
          <w:color w:val="000000" w:themeColor="text1"/>
          <w:lang w:eastAsia="en-GB"/>
        </w:rPr>
        <w:t>Some</w:t>
      </w:r>
      <w:r w:rsidRPr="0063717D">
        <w:rPr>
          <w:rFonts w:ascii="Arial" w:hAnsi="Arial" w:cs="Arial"/>
          <w:color w:val="000000" w:themeColor="text1"/>
          <w:lang w:eastAsia="en-GB"/>
        </w:rPr>
        <w:t xml:space="preserve"> participants commented </w:t>
      </w:r>
      <w:r w:rsidR="00B27183">
        <w:rPr>
          <w:rFonts w:ascii="Arial" w:hAnsi="Arial" w:cs="Arial"/>
          <w:color w:val="000000" w:themeColor="text1"/>
          <w:lang w:eastAsia="en-GB"/>
        </w:rPr>
        <w:t xml:space="preserve">however </w:t>
      </w:r>
      <w:r w:rsidRPr="0063717D">
        <w:rPr>
          <w:rFonts w:ascii="Arial" w:hAnsi="Arial" w:cs="Arial"/>
          <w:color w:val="000000" w:themeColor="text1"/>
          <w:lang w:eastAsia="en-GB"/>
        </w:rPr>
        <w:t xml:space="preserve">that they felt the restrictions applied by PGDs had a positive impact on practice. Most of these comments described how PGDs allowed for very safe practice and protected patients. </w:t>
      </w:r>
    </w:p>
    <w:p w14:paraId="5B63865A" w14:textId="77777777" w:rsidR="007D14D5" w:rsidRPr="0063717D" w:rsidRDefault="007D14D5" w:rsidP="00F70214">
      <w:pPr>
        <w:rPr>
          <w:rFonts w:ascii="Arial" w:eastAsia="Times New Roman" w:hAnsi="Arial" w:cs="Arial"/>
          <w:lang w:eastAsia="en-GB"/>
        </w:rPr>
      </w:pPr>
      <w:r w:rsidRPr="00C27F15">
        <w:rPr>
          <w:rFonts w:ascii="Arial" w:hAnsi="Arial" w:cs="Arial"/>
          <w:i/>
          <w:color w:val="000000" w:themeColor="text1"/>
          <w:lang w:eastAsia="en-GB"/>
        </w:rPr>
        <w:t>“</w:t>
      </w:r>
      <w:r w:rsidRPr="009C5525">
        <w:rPr>
          <w:rFonts w:ascii="Arial" w:eastAsia="Times New Roman" w:hAnsi="Arial" w:cs="Arial"/>
          <w:i/>
          <w:lang w:eastAsia="en-GB"/>
        </w:rPr>
        <w:t>Although autonomy is a component of S</w:t>
      </w:r>
      <w:r w:rsidRPr="002D2D83">
        <w:rPr>
          <w:rFonts w:ascii="Arial" w:eastAsia="Times New Roman" w:hAnsi="Arial" w:cs="Arial"/>
          <w:i/>
          <w:lang w:eastAsia="en-GB"/>
        </w:rPr>
        <w:t>PUEC operation, inc/exclusions on PGDs are a useful reminder of the limits of some treatments, and in the occasional case of the patient's best interests being hindered by these, bypassing them using GP or Consultant referral can be a safe alternative"</w:t>
      </w:r>
      <w:r w:rsidRPr="0037120A">
        <w:rPr>
          <w:rFonts w:ascii="Arial" w:eastAsia="Times New Roman" w:hAnsi="Arial" w:cs="Arial"/>
          <w:lang w:eastAsia="en-GB"/>
        </w:rPr>
        <w:t xml:space="preserve"> (ID</w:t>
      </w:r>
      <w:r w:rsidRPr="00642EBF">
        <w:rPr>
          <w:rFonts w:ascii="Arial" w:hAnsi="Arial" w:cs="Arial"/>
        </w:rPr>
        <w:t xml:space="preserve"> </w:t>
      </w:r>
      <w:r w:rsidRPr="0063717D">
        <w:rPr>
          <w:rFonts w:ascii="Arial" w:eastAsia="Times New Roman" w:hAnsi="Arial" w:cs="Arial"/>
          <w:lang w:eastAsia="en-GB"/>
        </w:rPr>
        <w:t>6084534565).</w:t>
      </w:r>
    </w:p>
    <w:p w14:paraId="14261FA9" w14:textId="1EE3C15F" w:rsidR="007D14D5" w:rsidRPr="00C27F15" w:rsidRDefault="007D14D5" w:rsidP="00F70214">
      <w:pPr>
        <w:spacing w:before="100" w:beforeAutospacing="1" w:after="100" w:afterAutospacing="1"/>
        <w:textAlignment w:val="top"/>
        <w:rPr>
          <w:rFonts w:ascii="Arial" w:hAnsi="Arial" w:cs="Arial"/>
          <w:color w:val="000000" w:themeColor="text1"/>
          <w:lang w:eastAsia="en-GB"/>
        </w:rPr>
      </w:pPr>
      <w:r w:rsidRPr="008A70B5">
        <w:rPr>
          <w:rFonts w:ascii="Arial" w:hAnsi="Arial" w:cs="Arial"/>
          <w:lang w:eastAsia="en-GB"/>
        </w:rPr>
        <w:t>Som</w:t>
      </w:r>
      <w:r w:rsidR="008A70B5">
        <w:rPr>
          <w:rFonts w:ascii="Arial" w:hAnsi="Arial" w:cs="Arial"/>
          <w:color w:val="000000" w:themeColor="text1"/>
          <w:lang w:eastAsia="en-GB"/>
        </w:rPr>
        <w:t xml:space="preserve">e </w:t>
      </w:r>
      <w:r w:rsidRPr="00C27F15">
        <w:rPr>
          <w:rFonts w:ascii="Arial" w:hAnsi="Arial" w:cs="Arial"/>
          <w:color w:val="000000" w:themeColor="text1"/>
          <w:lang w:eastAsia="en-GB"/>
        </w:rPr>
        <w:t xml:space="preserve">participants commented that PGDs were well suited to the SPEUC role based on current level of knowledge and training. </w:t>
      </w:r>
    </w:p>
    <w:p w14:paraId="15995EA1" w14:textId="77777777" w:rsidR="007D14D5" w:rsidRPr="0063717D" w:rsidRDefault="007D14D5" w:rsidP="00F70214">
      <w:pPr>
        <w:rPr>
          <w:rFonts w:ascii="Arial" w:eastAsia="Times New Roman" w:hAnsi="Arial" w:cs="Arial"/>
          <w:lang w:eastAsia="en-GB"/>
        </w:rPr>
      </w:pPr>
      <w:r w:rsidRPr="003A3124">
        <w:rPr>
          <w:rFonts w:ascii="Arial" w:hAnsi="Arial" w:cs="Arial"/>
          <w:i/>
          <w:color w:val="000000" w:themeColor="text1"/>
          <w:lang w:eastAsia="en-GB"/>
        </w:rPr>
        <w:t>“</w:t>
      </w:r>
      <w:r w:rsidRPr="00F24EE7">
        <w:rPr>
          <w:rFonts w:ascii="Arial" w:eastAsia="Times New Roman" w:hAnsi="Arial" w:cs="Arial"/>
          <w:i/>
          <w:lang w:eastAsia="en-GB"/>
        </w:rPr>
        <w:t>I feel our assessment skills allow me to work safely within my scope of practice and the PGDs reflect this"</w:t>
      </w:r>
      <w:r w:rsidRPr="00F24EE7">
        <w:rPr>
          <w:rFonts w:ascii="Arial" w:eastAsia="Times New Roman" w:hAnsi="Arial" w:cs="Arial"/>
          <w:lang w:eastAsia="en-GB"/>
        </w:rPr>
        <w:t xml:space="preserve"> (ID</w:t>
      </w:r>
      <w:r w:rsidRPr="00642EBF">
        <w:rPr>
          <w:rFonts w:ascii="Arial" w:hAnsi="Arial" w:cs="Arial"/>
        </w:rPr>
        <w:t xml:space="preserve"> </w:t>
      </w:r>
      <w:r w:rsidRPr="0063717D">
        <w:rPr>
          <w:rFonts w:ascii="Arial" w:eastAsia="Times New Roman" w:hAnsi="Arial" w:cs="Arial"/>
          <w:lang w:eastAsia="en-GB"/>
        </w:rPr>
        <w:t>6086532410).</w:t>
      </w:r>
    </w:p>
    <w:p w14:paraId="37CFFDDC" w14:textId="77777777" w:rsidR="007D14D5" w:rsidRPr="00C27F15" w:rsidRDefault="007D14D5" w:rsidP="00F70214">
      <w:pPr>
        <w:rPr>
          <w:rFonts w:ascii="Arial" w:eastAsia="Times New Roman" w:hAnsi="Arial" w:cs="Arial"/>
          <w:lang w:eastAsia="en-GB"/>
        </w:rPr>
      </w:pPr>
    </w:p>
    <w:p w14:paraId="414AC3AD" w14:textId="77777777" w:rsidR="007D14D5" w:rsidRPr="0063717D" w:rsidRDefault="007D14D5" w:rsidP="00F70214">
      <w:pPr>
        <w:rPr>
          <w:rFonts w:ascii="Arial" w:eastAsia="Times New Roman" w:hAnsi="Arial" w:cs="Arial"/>
          <w:lang w:eastAsia="en-GB"/>
        </w:rPr>
      </w:pPr>
      <w:r w:rsidRPr="003A3124">
        <w:rPr>
          <w:rFonts w:ascii="Arial" w:hAnsi="Arial" w:cs="Arial"/>
          <w:i/>
          <w:color w:val="000000" w:themeColor="text1"/>
          <w:lang w:eastAsia="en-GB"/>
        </w:rPr>
        <w:t>“</w:t>
      </w:r>
      <w:r w:rsidRPr="00F24EE7">
        <w:rPr>
          <w:rFonts w:ascii="Arial" w:eastAsia="Times New Roman" w:hAnsi="Arial" w:cs="Arial"/>
          <w:i/>
          <w:lang w:eastAsia="en-GB"/>
        </w:rPr>
        <w:t>I feel that currently with the pharmacological training given to SPEUCs PGDs are an appropriate means of supplying drugs to specific patient sets"</w:t>
      </w:r>
      <w:r w:rsidRPr="00F24EE7">
        <w:rPr>
          <w:rFonts w:ascii="Arial" w:eastAsia="Times New Roman" w:hAnsi="Arial" w:cs="Arial"/>
          <w:lang w:eastAsia="en-GB"/>
        </w:rPr>
        <w:t xml:space="preserve"> (ID</w:t>
      </w:r>
      <w:r w:rsidRPr="00642EBF">
        <w:rPr>
          <w:rFonts w:ascii="Arial" w:hAnsi="Arial" w:cs="Arial"/>
        </w:rPr>
        <w:t xml:space="preserve"> </w:t>
      </w:r>
      <w:r w:rsidRPr="0063717D">
        <w:rPr>
          <w:rFonts w:ascii="Arial" w:eastAsia="Times New Roman" w:hAnsi="Arial" w:cs="Arial"/>
          <w:lang w:eastAsia="en-GB"/>
        </w:rPr>
        <w:t>6071601665)</w:t>
      </w:r>
    </w:p>
    <w:p w14:paraId="6C41AD1F" w14:textId="5E8E07E2" w:rsidR="007D14D5" w:rsidRPr="0063717D" w:rsidRDefault="007D14D5" w:rsidP="00F70214">
      <w:pPr>
        <w:spacing w:before="100" w:beforeAutospacing="1" w:after="100" w:afterAutospacing="1"/>
        <w:textAlignment w:val="top"/>
        <w:rPr>
          <w:rFonts w:ascii="Arial" w:hAnsi="Arial" w:cs="Arial"/>
          <w:color w:val="000000" w:themeColor="text1"/>
          <w:lang w:eastAsia="en-GB"/>
        </w:rPr>
      </w:pPr>
      <w:r w:rsidRPr="008A70B5">
        <w:rPr>
          <w:rFonts w:ascii="Arial" w:hAnsi="Arial" w:cs="Arial"/>
          <w:color w:val="000000" w:themeColor="text1"/>
          <w:lang w:eastAsia="en-GB"/>
        </w:rPr>
        <w:t>Participants</w:t>
      </w:r>
      <w:r w:rsidRPr="00C27F15">
        <w:rPr>
          <w:rFonts w:ascii="Arial" w:hAnsi="Arial" w:cs="Arial"/>
          <w:color w:val="000000" w:themeColor="text1"/>
          <w:lang w:eastAsia="en-GB"/>
        </w:rPr>
        <w:t xml:space="preserve"> also described how PGDs provided a safe method of medication supply fo</w:t>
      </w:r>
      <w:r w:rsidRPr="003A3124">
        <w:rPr>
          <w:rFonts w:ascii="Arial" w:hAnsi="Arial" w:cs="Arial"/>
          <w:color w:val="000000" w:themeColor="text1"/>
          <w:lang w:eastAsia="en-GB"/>
        </w:rPr>
        <w:t xml:space="preserve">r newly qualified SPEUCs as they gained confidence in the role but that more senior staff should be afforded more autonomy through the introduction of </w:t>
      </w:r>
      <w:r w:rsidR="004B036C">
        <w:rPr>
          <w:rFonts w:ascii="Arial" w:hAnsi="Arial" w:cs="Arial"/>
          <w:color w:val="000000" w:themeColor="text1"/>
          <w:lang w:eastAsia="en-GB"/>
        </w:rPr>
        <w:t>PISP</w:t>
      </w:r>
      <w:r w:rsidRPr="003A3124">
        <w:rPr>
          <w:rFonts w:ascii="Arial" w:hAnsi="Arial" w:cs="Arial"/>
          <w:color w:val="000000" w:themeColor="text1"/>
          <w:lang w:eastAsia="en-GB"/>
        </w:rPr>
        <w:t>.</w:t>
      </w:r>
      <w:r w:rsidRPr="0063717D" w:rsidDel="00534F39">
        <w:rPr>
          <w:rFonts w:ascii="Arial" w:hAnsi="Arial" w:cs="Arial"/>
          <w:color w:val="000000" w:themeColor="text1"/>
          <w:lang w:eastAsia="en-GB"/>
        </w:rPr>
        <w:t xml:space="preserve"> </w:t>
      </w:r>
    </w:p>
    <w:p w14:paraId="19BD818A" w14:textId="3CD10620" w:rsidR="007D14D5" w:rsidRPr="0063717D" w:rsidRDefault="00E25024" w:rsidP="00F70214">
      <w:pPr>
        <w:rPr>
          <w:rFonts w:ascii="Arial" w:eastAsia="Times New Roman" w:hAnsi="Arial" w:cs="Arial"/>
          <w:lang w:eastAsia="en-GB"/>
        </w:rPr>
      </w:pPr>
      <w:r w:rsidRPr="00C27F15">
        <w:rPr>
          <w:rFonts w:ascii="Arial" w:hAnsi="Arial" w:cs="Arial"/>
          <w:i/>
          <w:color w:val="000000" w:themeColor="text1"/>
          <w:lang w:eastAsia="en-GB"/>
        </w:rPr>
        <w:t xml:space="preserve"> </w:t>
      </w:r>
      <w:r w:rsidR="007D14D5" w:rsidRPr="00C27F15">
        <w:rPr>
          <w:rFonts w:ascii="Arial" w:hAnsi="Arial" w:cs="Arial"/>
          <w:i/>
          <w:color w:val="000000" w:themeColor="text1"/>
          <w:lang w:eastAsia="en-GB"/>
        </w:rPr>
        <w:t>“</w:t>
      </w:r>
      <w:r w:rsidR="007D14D5" w:rsidRPr="00C27F15">
        <w:rPr>
          <w:rFonts w:ascii="Arial" w:eastAsia="Times New Roman" w:hAnsi="Arial" w:cs="Arial"/>
          <w:i/>
          <w:lang w:eastAsia="en-GB"/>
        </w:rPr>
        <w:t>PGDs are a great and safe starting point, but as soon as one develops there is the need to move to very broad PGDs, which removes the point of them</w:t>
      </w:r>
      <w:r w:rsidR="007D14D5" w:rsidRPr="003A3124">
        <w:rPr>
          <w:rFonts w:ascii="Arial" w:eastAsia="Times New Roman" w:hAnsi="Arial" w:cs="Arial"/>
          <w:i/>
          <w:lang w:eastAsia="en-GB"/>
        </w:rPr>
        <w:t xml:space="preserve"> and progresses towards independent prescribing"</w:t>
      </w:r>
      <w:r w:rsidR="007D14D5" w:rsidRPr="00F24EE7">
        <w:rPr>
          <w:rFonts w:ascii="Arial" w:eastAsia="Times New Roman" w:hAnsi="Arial" w:cs="Arial"/>
          <w:lang w:eastAsia="en-GB"/>
        </w:rPr>
        <w:t xml:space="preserve"> (ID</w:t>
      </w:r>
      <w:r w:rsidR="007D14D5" w:rsidRPr="00642EBF">
        <w:rPr>
          <w:rFonts w:ascii="Arial" w:hAnsi="Arial" w:cs="Arial"/>
        </w:rPr>
        <w:t xml:space="preserve"> </w:t>
      </w:r>
      <w:r w:rsidR="007D14D5" w:rsidRPr="0063717D">
        <w:rPr>
          <w:rFonts w:ascii="Arial" w:eastAsia="Times New Roman" w:hAnsi="Arial" w:cs="Arial"/>
          <w:lang w:eastAsia="en-GB"/>
        </w:rPr>
        <w:t>6082124689).</w:t>
      </w:r>
    </w:p>
    <w:p w14:paraId="161F59CF" w14:textId="77777777" w:rsidR="007D14D5" w:rsidRPr="00C27F15" w:rsidRDefault="007D14D5" w:rsidP="00F70214">
      <w:pPr>
        <w:rPr>
          <w:rFonts w:ascii="Arial" w:eastAsia="Times New Roman" w:hAnsi="Arial" w:cs="Arial"/>
          <w:i/>
          <w:lang w:eastAsia="en-GB"/>
        </w:rPr>
      </w:pPr>
    </w:p>
    <w:p w14:paraId="4BC52966" w14:textId="77777777" w:rsidR="007D14D5" w:rsidRDefault="007D14D5" w:rsidP="00F70214">
      <w:pPr>
        <w:rPr>
          <w:rFonts w:ascii="Arial" w:eastAsia="Times New Roman" w:hAnsi="Arial" w:cs="Arial"/>
          <w:lang w:eastAsia="en-GB"/>
        </w:rPr>
      </w:pPr>
      <w:r w:rsidRPr="003A3124">
        <w:rPr>
          <w:rFonts w:ascii="Arial" w:hAnsi="Arial" w:cs="Arial"/>
          <w:i/>
          <w:color w:val="000000" w:themeColor="text1"/>
          <w:lang w:eastAsia="en-GB"/>
        </w:rPr>
        <w:t>“</w:t>
      </w:r>
      <w:r w:rsidRPr="00F24EE7">
        <w:rPr>
          <w:rFonts w:ascii="Arial" w:eastAsia="Times New Roman" w:hAnsi="Arial" w:cs="Arial"/>
          <w:i/>
          <w:lang w:eastAsia="en-GB"/>
        </w:rPr>
        <w:t>This plethora of patient needs and medical conditions requires a judicial yet well informed Practitioner who is able to have broader prescribing powers than current PGDs allow"</w:t>
      </w:r>
      <w:r w:rsidRPr="00F24EE7">
        <w:rPr>
          <w:rFonts w:ascii="Arial" w:eastAsia="Times New Roman" w:hAnsi="Arial" w:cs="Arial"/>
          <w:lang w:eastAsia="en-GB"/>
        </w:rPr>
        <w:t xml:space="preserve"> (ID</w:t>
      </w:r>
      <w:r w:rsidRPr="00642EBF">
        <w:rPr>
          <w:rFonts w:ascii="Arial" w:hAnsi="Arial" w:cs="Arial"/>
        </w:rPr>
        <w:t xml:space="preserve"> </w:t>
      </w:r>
      <w:r w:rsidRPr="0063717D">
        <w:rPr>
          <w:rFonts w:ascii="Arial" w:eastAsia="Times New Roman" w:hAnsi="Arial" w:cs="Arial"/>
          <w:lang w:eastAsia="en-GB"/>
        </w:rPr>
        <w:t>6136023209).</w:t>
      </w:r>
    </w:p>
    <w:p w14:paraId="0FDE7B8D" w14:textId="77777777" w:rsidR="00F83C84" w:rsidRDefault="00F83C84" w:rsidP="00F70214">
      <w:pPr>
        <w:rPr>
          <w:rFonts w:ascii="Arial" w:eastAsia="Times New Roman" w:hAnsi="Arial" w:cs="Arial"/>
          <w:lang w:eastAsia="en-GB"/>
        </w:rPr>
      </w:pPr>
    </w:p>
    <w:p w14:paraId="639019A0" w14:textId="743CD8C8" w:rsidR="007D14D5" w:rsidRPr="00573FC9" w:rsidRDefault="007D14D5" w:rsidP="00F70214">
      <w:pPr>
        <w:rPr>
          <w:rFonts w:ascii="Arial" w:hAnsi="Arial" w:cs="Arial"/>
          <w:b/>
          <w:color w:val="000000" w:themeColor="text1"/>
          <w:lang w:eastAsia="en-GB"/>
        </w:rPr>
      </w:pPr>
      <w:r w:rsidRPr="00573FC9">
        <w:rPr>
          <w:rFonts w:ascii="Arial" w:hAnsi="Arial" w:cs="Arial"/>
          <w:b/>
          <w:color w:val="000000" w:themeColor="text1"/>
          <w:lang w:eastAsia="en-GB"/>
        </w:rPr>
        <w:t>Views on Paramedic Independent</w:t>
      </w:r>
      <w:r w:rsidR="00A970CD">
        <w:rPr>
          <w:rFonts w:ascii="Arial" w:hAnsi="Arial" w:cs="Arial"/>
          <w:b/>
          <w:color w:val="000000" w:themeColor="text1"/>
          <w:lang w:eastAsia="en-GB"/>
        </w:rPr>
        <w:t xml:space="preserve"> and Supplementary</w:t>
      </w:r>
      <w:r w:rsidRPr="00573FC9">
        <w:rPr>
          <w:rFonts w:ascii="Arial" w:hAnsi="Arial" w:cs="Arial"/>
          <w:b/>
          <w:color w:val="000000" w:themeColor="text1"/>
          <w:lang w:eastAsia="en-GB"/>
        </w:rPr>
        <w:t xml:space="preserve"> Prescribing (</w:t>
      </w:r>
      <w:r w:rsidR="004B036C">
        <w:rPr>
          <w:rFonts w:ascii="Arial" w:hAnsi="Arial" w:cs="Arial"/>
          <w:b/>
          <w:color w:val="000000" w:themeColor="text1"/>
          <w:lang w:eastAsia="en-GB"/>
        </w:rPr>
        <w:t>PISP</w:t>
      </w:r>
      <w:r w:rsidRPr="00573FC9">
        <w:rPr>
          <w:rFonts w:ascii="Arial" w:hAnsi="Arial" w:cs="Arial"/>
          <w:b/>
          <w:color w:val="000000" w:themeColor="text1"/>
          <w:lang w:eastAsia="en-GB"/>
        </w:rPr>
        <w:t>)</w:t>
      </w:r>
    </w:p>
    <w:p w14:paraId="2A340DAE" w14:textId="1C91039F" w:rsidR="007D14D5" w:rsidRPr="00D4652B" w:rsidRDefault="007D14D5" w:rsidP="00F70214">
      <w:pPr>
        <w:spacing w:before="100" w:beforeAutospacing="1" w:after="100" w:afterAutospacing="1"/>
        <w:textAlignment w:val="top"/>
        <w:rPr>
          <w:rFonts w:ascii="Arial" w:hAnsi="Arial" w:cs="Arial"/>
        </w:rPr>
      </w:pPr>
      <w:r w:rsidRPr="0063717D">
        <w:rPr>
          <w:rFonts w:ascii="Arial" w:hAnsi="Arial" w:cs="Arial"/>
          <w:color w:val="000000" w:themeColor="text1"/>
          <w:lang w:eastAsia="en-GB"/>
        </w:rPr>
        <w:t>The majority (</w:t>
      </w:r>
      <w:r w:rsidR="00975192">
        <w:rPr>
          <w:rFonts w:ascii="Arial" w:hAnsi="Arial" w:cs="Arial"/>
          <w:color w:val="000000" w:themeColor="text1"/>
          <w:lang w:eastAsia="en-GB"/>
        </w:rPr>
        <w:t xml:space="preserve">64/78 </w:t>
      </w:r>
      <w:r w:rsidRPr="0063717D">
        <w:rPr>
          <w:rFonts w:ascii="Arial" w:hAnsi="Arial" w:cs="Arial"/>
          <w:color w:val="000000" w:themeColor="text1"/>
          <w:lang w:eastAsia="en-GB"/>
        </w:rPr>
        <w:t>82</w:t>
      </w:r>
      <w:r w:rsidR="00975192">
        <w:rPr>
          <w:rFonts w:ascii="Arial" w:hAnsi="Arial" w:cs="Arial"/>
          <w:color w:val="000000" w:themeColor="text1"/>
          <w:lang w:eastAsia="en-GB"/>
        </w:rPr>
        <w:t>.0</w:t>
      </w:r>
      <w:r w:rsidRPr="0063717D">
        <w:rPr>
          <w:rFonts w:ascii="Arial" w:hAnsi="Arial" w:cs="Arial"/>
          <w:color w:val="000000" w:themeColor="text1"/>
          <w:lang w:eastAsia="en-GB"/>
        </w:rPr>
        <w:t>%) of participants appear</w:t>
      </w:r>
      <w:r w:rsidR="00C26865">
        <w:rPr>
          <w:rFonts w:ascii="Arial" w:hAnsi="Arial" w:cs="Arial"/>
          <w:color w:val="000000" w:themeColor="text1"/>
          <w:lang w:eastAsia="en-GB"/>
        </w:rPr>
        <w:t>ed</w:t>
      </w:r>
      <w:r w:rsidRPr="0063717D">
        <w:rPr>
          <w:rFonts w:ascii="Arial" w:hAnsi="Arial" w:cs="Arial"/>
          <w:color w:val="000000" w:themeColor="text1"/>
          <w:lang w:eastAsia="en-GB"/>
        </w:rPr>
        <w:t xml:space="preserve"> to be very interested in undertaking </w:t>
      </w:r>
      <w:r w:rsidR="004B036C">
        <w:rPr>
          <w:rFonts w:ascii="Arial" w:hAnsi="Arial" w:cs="Arial"/>
          <w:color w:val="000000" w:themeColor="text1"/>
          <w:lang w:eastAsia="en-GB"/>
        </w:rPr>
        <w:t>PISP</w:t>
      </w:r>
      <w:r w:rsidR="00D4652B">
        <w:rPr>
          <w:rFonts w:ascii="Arial" w:hAnsi="Arial" w:cs="Arial"/>
          <w:color w:val="000000" w:themeColor="text1"/>
          <w:lang w:eastAsia="en-GB"/>
        </w:rPr>
        <w:t xml:space="preserve"> </w:t>
      </w:r>
      <w:r w:rsidRPr="00D4652B">
        <w:rPr>
          <w:rFonts w:ascii="Arial" w:hAnsi="Arial" w:cs="Arial"/>
          <w:color w:val="000000" w:themeColor="text1"/>
          <w:lang w:eastAsia="en-GB"/>
        </w:rPr>
        <w:t xml:space="preserve">training. When asked how likely they would be to undertake </w:t>
      </w:r>
      <w:r w:rsidR="004B036C">
        <w:rPr>
          <w:rFonts w:ascii="Arial" w:hAnsi="Arial" w:cs="Arial"/>
          <w:color w:val="000000" w:themeColor="text1"/>
          <w:lang w:eastAsia="en-GB"/>
        </w:rPr>
        <w:t>PISP</w:t>
      </w:r>
      <w:r w:rsidRPr="00D4652B">
        <w:rPr>
          <w:rFonts w:ascii="Arial" w:hAnsi="Arial" w:cs="Arial"/>
          <w:color w:val="000000" w:themeColor="text1"/>
          <w:lang w:eastAsia="en-GB"/>
        </w:rPr>
        <w:t xml:space="preserve"> training</w:t>
      </w:r>
      <w:r w:rsidR="00975192">
        <w:rPr>
          <w:rFonts w:ascii="Arial" w:hAnsi="Arial" w:cs="Arial"/>
          <w:color w:val="000000" w:themeColor="text1"/>
          <w:lang w:eastAsia="en-GB"/>
        </w:rPr>
        <w:t xml:space="preserve"> 39/78</w:t>
      </w:r>
      <w:r w:rsidRPr="00D4652B">
        <w:rPr>
          <w:rFonts w:ascii="Arial" w:hAnsi="Arial" w:cs="Arial"/>
          <w:color w:val="000000" w:themeColor="text1"/>
          <w:lang w:eastAsia="en-GB"/>
        </w:rPr>
        <w:t xml:space="preserve"> </w:t>
      </w:r>
      <w:r w:rsidR="00975192">
        <w:rPr>
          <w:rFonts w:ascii="Arial" w:hAnsi="Arial" w:cs="Arial"/>
          <w:color w:val="000000" w:themeColor="text1"/>
          <w:lang w:eastAsia="en-GB"/>
        </w:rPr>
        <w:t>(</w:t>
      </w:r>
      <w:r w:rsidRPr="00D4652B">
        <w:rPr>
          <w:rFonts w:ascii="Arial" w:hAnsi="Arial" w:cs="Arial"/>
          <w:color w:val="000000" w:themeColor="text1"/>
          <w:lang w:eastAsia="en-GB"/>
        </w:rPr>
        <w:t>50</w:t>
      </w:r>
      <w:r w:rsidR="00975192">
        <w:rPr>
          <w:rFonts w:ascii="Arial" w:hAnsi="Arial" w:cs="Arial"/>
          <w:color w:val="000000" w:themeColor="text1"/>
          <w:lang w:eastAsia="en-GB"/>
        </w:rPr>
        <w:t>.0</w:t>
      </w:r>
      <w:r w:rsidRPr="00D4652B">
        <w:rPr>
          <w:rFonts w:ascii="Arial" w:hAnsi="Arial" w:cs="Arial"/>
          <w:color w:val="000000" w:themeColor="text1"/>
          <w:lang w:eastAsia="en-GB"/>
        </w:rPr>
        <w:t>%</w:t>
      </w:r>
      <w:r w:rsidR="00975192">
        <w:rPr>
          <w:rFonts w:ascii="Arial" w:hAnsi="Arial" w:cs="Arial"/>
          <w:color w:val="000000" w:themeColor="text1"/>
          <w:lang w:eastAsia="en-GB"/>
        </w:rPr>
        <w:t>)</w:t>
      </w:r>
      <w:r w:rsidRPr="00D4652B">
        <w:rPr>
          <w:rFonts w:ascii="Arial" w:hAnsi="Arial" w:cs="Arial"/>
          <w:color w:val="000000" w:themeColor="text1"/>
          <w:lang w:eastAsia="en-GB"/>
        </w:rPr>
        <w:t xml:space="preserve"> replied definitely </w:t>
      </w:r>
      <w:r w:rsidR="00C26865">
        <w:rPr>
          <w:rFonts w:ascii="Arial" w:hAnsi="Arial" w:cs="Arial"/>
          <w:color w:val="000000" w:themeColor="text1"/>
          <w:lang w:eastAsia="en-GB"/>
        </w:rPr>
        <w:t xml:space="preserve">yes </w:t>
      </w:r>
      <w:r w:rsidRPr="00D4652B">
        <w:rPr>
          <w:rFonts w:ascii="Arial" w:hAnsi="Arial" w:cs="Arial"/>
          <w:color w:val="000000" w:themeColor="text1"/>
          <w:lang w:eastAsia="en-GB"/>
        </w:rPr>
        <w:t xml:space="preserve">and a further </w:t>
      </w:r>
      <w:r w:rsidR="00975192">
        <w:rPr>
          <w:rFonts w:ascii="Arial" w:hAnsi="Arial" w:cs="Arial"/>
          <w:color w:val="000000" w:themeColor="text1"/>
          <w:lang w:eastAsia="en-GB"/>
        </w:rPr>
        <w:t>25/78 (</w:t>
      </w:r>
      <w:r w:rsidRPr="00D4652B">
        <w:rPr>
          <w:rFonts w:ascii="Arial" w:hAnsi="Arial" w:cs="Arial"/>
          <w:color w:val="000000" w:themeColor="text1"/>
          <w:lang w:eastAsia="en-GB"/>
        </w:rPr>
        <w:t>32</w:t>
      </w:r>
      <w:r w:rsidR="00975192">
        <w:rPr>
          <w:rFonts w:ascii="Arial" w:hAnsi="Arial" w:cs="Arial"/>
          <w:color w:val="000000" w:themeColor="text1"/>
          <w:lang w:eastAsia="en-GB"/>
        </w:rPr>
        <w:t>.0</w:t>
      </w:r>
      <w:r w:rsidRPr="00D4652B">
        <w:rPr>
          <w:rFonts w:ascii="Arial" w:hAnsi="Arial" w:cs="Arial"/>
          <w:color w:val="000000" w:themeColor="text1"/>
          <w:lang w:eastAsia="en-GB"/>
        </w:rPr>
        <w:t>%</w:t>
      </w:r>
      <w:r w:rsidR="00975192">
        <w:rPr>
          <w:rFonts w:ascii="Arial" w:hAnsi="Arial" w:cs="Arial"/>
          <w:color w:val="000000" w:themeColor="text1"/>
          <w:lang w:eastAsia="en-GB"/>
        </w:rPr>
        <w:t>)</w:t>
      </w:r>
      <w:r w:rsidRPr="00D4652B">
        <w:rPr>
          <w:rFonts w:ascii="Arial" w:hAnsi="Arial" w:cs="Arial"/>
          <w:color w:val="000000" w:themeColor="text1"/>
          <w:lang w:eastAsia="en-GB"/>
        </w:rPr>
        <w:t xml:space="preserve"> replied highly likely.</w:t>
      </w:r>
      <w:r w:rsidRPr="00D4652B">
        <w:rPr>
          <w:rFonts w:ascii="Arial" w:hAnsi="Arial" w:cs="Arial"/>
        </w:rPr>
        <w:t xml:space="preserve"> </w:t>
      </w:r>
    </w:p>
    <w:p w14:paraId="01A4803D" w14:textId="1C599361" w:rsidR="007D14D5" w:rsidRPr="0063717D" w:rsidRDefault="007D14D5" w:rsidP="00F70214">
      <w:pPr>
        <w:spacing w:before="100" w:beforeAutospacing="1" w:after="100" w:afterAutospacing="1"/>
        <w:textAlignment w:val="top"/>
        <w:rPr>
          <w:rFonts w:ascii="Arial" w:hAnsi="Arial" w:cs="Arial"/>
        </w:rPr>
      </w:pPr>
      <w:r w:rsidRPr="0063717D">
        <w:rPr>
          <w:rFonts w:ascii="Arial" w:hAnsi="Arial" w:cs="Arial"/>
        </w:rPr>
        <w:t>The majority of participants (59/72</w:t>
      </w:r>
      <w:r w:rsidR="00E1183C">
        <w:rPr>
          <w:rFonts w:ascii="Arial" w:hAnsi="Arial" w:cs="Arial"/>
        </w:rPr>
        <w:t xml:space="preserve"> 81.9%</w:t>
      </w:r>
      <w:r w:rsidRPr="0063717D">
        <w:rPr>
          <w:rFonts w:ascii="Arial" w:hAnsi="Arial" w:cs="Arial"/>
        </w:rPr>
        <w:t>)</w:t>
      </w:r>
      <w:r w:rsidR="00B40AA3">
        <w:rPr>
          <w:rFonts w:ascii="Arial" w:hAnsi="Arial" w:cs="Arial"/>
        </w:rPr>
        <w:t xml:space="preserve"> agreed with recommendations regarding eligibility for </w:t>
      </w:r>
      <w:r w:rsidR="004B036C">
        <w:rPr>
          <w:rFonts w:ascii="Arial" w:hAnsi="Arial" w:cs="Arial"/>
        </w:rPr>
        <w:t>PISP</w:t>
      </w:r>
      <w:r w:rsidR="00B40AA3">
        <w:rPr>
          <w:rFonts w:ascii="Arial" w:hAnsi="Arial" w:cs="Arial"/>
        </w:rPr>
        <w:t xml:space="preserve"> and</w:t>
      </w:r>
      <w:r w:rsidRPr="0063717D">
        <w:rPr>
          <w:rFonts w:ascii="Arial" w:hAnsi="Arial" w:cs="Arial"/>
        </w:rPr>
        <w:t xml:space="preserve"> felt only existing SPEUCs rather than other paramedics who had not trained and practiced as an SPEUC should be eligible to train as </w:t>
      </w:r>
      <w:r w:rsidR="004B036C">
        <w:rPr>
          <w:rFonts w:ascii="Arial" w:hAnsi="Arial" w:cs="Arial"/>
        </w:rPr>
        <w:t>PISP</w:t>
      </w:r>
      <w:r w:rsidRPr="0063717D">
        <w:rPr>
          <w:rFonts w:ascii="Arial" w:hAnsi="Arial" w:cs="Arial"/>
        </w:rPr>
        <w:t>s</w:t>
      </w:r>
      <w:r w:rsidR="00B40AA3">
        <w:rPr>
          <w:rFonts w:ascii="Arial" w:hAnsi="Arial" w:cs="Arial"/>
        </w:rPr>
        <w:t>.</w:t>
      </w:r>
    </w:p>
    <w:p w14:paraId="69AD1C28" w14:textId="775C5AC5" w:rsidR="00216D36" w:rsidRPr="003A3124" w:rsidRDefault="00216D36" w:rsidP="00F70214">
      <w:pPr>
        <w:spacing w:before="100" w:beforeAutospacing="1" w:after="100" w:afterAutospacing="1"/>
        <w:textAlignment w:val="top"/>
        <w:rPr>
          <w:rFonts w:ascii="Arial" w:hAnsi="Arial" w:cs="Arial"/>
          <w:color w:val="000000" w:themeColor="text1"/>
          <w:lang w:eastAsia="en-GB"/>
        </w:rPr>
      </w:pPr>
      <w:r w:rsidRPr="0063717D">
        <w:rPr>
          <w:rFonts w:ascii="Arial" w:hAnsi="Arial" w:cs="Arial"/>
          <w:color w:val="000000" w:themeColor="text1"/>
          <w:lang w:eastAsia="en-GB"/>
        </w:rPr>
        <w:t>The majority of participants felt their current level of knowledge was sufficient in history taking (</w:t>
      </w:r>
      <w:r w:rsidR="00E1183C">
        <w:rPr>
          <w:rFonts w:ascii="Arial" w:hAnsi="Arial" w:cs="Arial"/>
          <w:color w:val="000000" w:themeColor="text1"/>
          <w:lang w:eastAsia="en-GB"/>
        </w:rPr>
        <w:t xml:space="preserve">65/78 </w:t>
      </w:r>
      <w:r w:rsidRPr="0063717D">
        <w:rPr>
          <w:rFonts w:ascii="Arial" w:hAnsi="Arial" w:cs="Arial"/>
          <w:color w:val="000000" w:themeColor="text1"/>
          <w:lang w:eastAsia="en-GB"/>
        </w:rPr>
        <w:t>83.3%), patient assessment (</w:t>
      </w:r>
      <w:r w:rsidR="00E1183C">
        <w:rPr>
          <w:rFonts w:ascii="Arial" w:hAnsi="Arial" w:cs="Arial"/>
          <w:color w:val="000000" w:themeColor="text1"/>
          <w:lang w:eastAsia="en-GB"/>
        </w:rPr>
        <w:t xml:space="preserve">58/78 </w:t>
      </w:r>
      <w:r w:rsidRPr="0063717D">
        <w:rPr>
          <w:rFonts w:ascii="Arial" w:hAnsi="Arial" w:cs="Arial"/>
          <w:color w:val="000000" w:themeColor="text1"/>
          <w:lang w:eastAsia="en-GB"/>
        </w:rPr>
        <w:t>74.3%), and in their ability to make a diagnosis (</w:t>
      </w:r>
      <w:r w:rsidR="00E1183C">
        <w:rPr>
          <w:rFonts w:ascii="Arial" w:hAnsi="Arial" w:cs="Arial"/>
          <w:color w:val="000000" w:themeColor="text1"/>
          <w:lang w:eastAsia="en-GB"/>
        </w:rPr>
        <w:t xml:space="preserve">57/78 </w:t>
      </w:r>
      <w:r w:rsidRPr="0063717D">
        <w:rPr>
          <w:rFonts w:ascii="Arial" w:hAnsi="Arial" w:cs="Arial"/>
          <w:color w:val="000000" w:themeColor="text1"/>
          <w:lang w:eastAsia="en-GB"/>
        </w:rPr>
        <w:t xml:space="preserve">73%) to undertake </w:t>
      </w:r>
      <w:r w:rsidR="004B036C">
        <w:rPr>
          <w:rFonts w:ascii="Arial" w:hAnsi="Arial" w:cs="Arial"/>
          <w:color w:val="000000" w:themeColor="text1"/>
          <w:lang w:eastAsia="en-GB"/>
        </w:rPr>
        <w:t>PISP</w:t>
      </w:r>
      <w:r w:rsidRPr="0063717D">
        <w:rPr>
          <w:rFonts w:ascii="Arial" w:hAnsi="Arial" w:cs="Arial"/>
          <w:color w:val="000000" w:themeColor="text1"/>
          <w:lang w:eastAsia="en-GB"/>
        </w:rPr>
        <w:t xml:space="preserve"> training. A significant minority (14</w:t>
      </w:r>
      <w:r w:rsidR="00E1183C">
        <w:rPr>
          <w:rFonts w:ascii="Arial" w:hAnsi="Arial" w:cs="Arial"/>
          <w:color w:val="000000" w:themeColor="text1"/>
          <w:lang w:eastAsia="en-GB"/>
        </w:rPr>
        <w:t>/78</w:t>
      </w:r>
      <w:r w:rsidRPr="0063717D">
        <w:rPr>
          <w:rFonts w:ascii="Arial" w:hAnsi="Arial" w:cs="Arial"/>
          <w:color w:val="000000" w:themeColor="text1"/>
          <w:lang w:eastAsia="en-GB"/>
        </w:rPr>
        <w:t xml:space="preserve"> 17.9%) however reported they did not feel</w:t>
      </w:r>
      <w:r>
        <w:rPr>
          <w:rFonts w:ascii="Arial" w:hAnsi="Arial" w:cs="Arial"/>
          <w:color w:val="000000" w:themeColor="text1"/>
          <w:lang w:eastAsia="en-GB"/>
        </w:rPr>
        <w:t xml:space="preserve"> their</w:t>
      </w:r>
      <w:r w:rsidRPr="00062C2B">
        <w:rPr>
          <w:rFonts w:ascii="Arial" w:hAnsi="Arial" w:cs="Arial"/>
          <w:color w:val="000000" w:themeColor="text1"/>
          <w:lang w:eastAsia="en-GB"/>
        </w:rPr>
        <w:t xml:space="preserve"> ability to make a diagnosis was sufficient. </w:t>
      </w:r>
      <w:r>
        <w:rPr>
          <w:rFonts w:ascii="Arial" w:hAnsi="Arial" w:cs="Arial"/>
          <w:color w:val="000000" w:themeColor="text1"/>
          <w:lang w:eastAsia="en-GB"/>
        </w:rPr>
        <w:t>Nonetheless,</w:t>
      </w:r>
      <w:r w:rsidR="006900C7">
        <w:rPr>
          <w:rFonts w:ascii="Arial" w:hAnsi="Arial" w:cs="Arial"/>
          <w:color w:val="000000" w:themeColor="text1"/>
          <w:lang w:eastAsia="en-GB"/>
        </w:rPr>
        <w:t xml:space="preserve"> t</w:t>
      </w:r>
      <w:r w:rsidRPr="003A3124">
        <w:rPr>
          <w:rFonts w:ascii="Arial" w:hAnsi="Arial" w:cs="Arial"/>
          <w:color w:val="000000" w:themeColor="text1"/>
          <w:lang w:eastAsia="en-GB"/>
        </w:rPr>
        <w:t>he majority of participants (</w:t>
      </w:r>
      <w:r w:rsidR="00E1183C">
        <w:rPr>
          <w:rFonts w:ascii="Arial" w:hAnsi="Arial" w:cs="Arial"/>
          <w:color w:val="000000" w:themeColor="text1"/>
          <w:lang w:eastAsia="en-GB"/>
        </w:rPr>
        <w:t xml:space="preserve">66/78 </w:t>
      </w:r>
      <w:r w:rsidRPr="003A3124">
        <w:rPr>
          <w:rFonts w:ascii="Arial" w:hAnsi="Arial" w:cs="Arial"/>
          <w:color w:val="000000" w:themeColor="text1"/>
          <w:lang w:eastAsia="en-GB"/>
        </w:rPr>
        <w:t>84.6%) agreed or strongly agreed that they would feel confident to prescribe independently following the required training.</w:t>
      </w:r>
    </w:p>
    <w:p w14:paraId="311E2155" w14:textId="1A1E4907" w:rsidR="007D14D5" w:rsidRPr="0063717D" w:rsidRDefault="007D14D5" w:rsidP="00F70214">
      <w:pPr>
        <w:spacing w:before="100" w:beforeAutospacing="1" w:after="100" w:afterAutospacing="1"/>
        <w:textAlignment w:val="top"/>
        <w:rPr>
          <w:rFonts w:ascii="Arial" w:hAnsi="Arial" w:cs="Arial"/>
        </w:rPr>
      </w:pPr>
      <w:r w:rsidRPr="0063717D">
        <w:rPr>
          <w:rFonts w:ascii="Arial" w:hAnsi="Arial" w:cs="Arial"/>
        </w:rPr>
        <w:t xml:space="preserve">Participants were asked to indicate </w:t>
      </w:r>
      <w:r w:rsidR="00C26865">
        <w:rPr>
          <w:rFonts w:ascii="Arial" w:hAnsi="Arial" w:cs="Arial"/>
        </w:rPr>
        <w:t>to what extent</w:t>
      </w:r>
      <w:r w:rsidRPr="0063717D">
        <w:rPr>
          <w:rFonts w:ascii="Arial" w:hAnsi="Arial" w:cs="Arial"/>
        </w:rPr>
        <w:t xml:space="preserve"> they agreed with a number of </w:t>
      </w:r>
      <w:r w:rsidR="00C26865" w:rsidRPr="0063717D">
        <w:rPr>
          <w:rFonts w:ascii="Arial" w:hAnsi="Arial" w:cs="Arial"/>
        </w:rPr>
        <w:t>p</w:t>
      </w:r>
      <w:r w:rsidR="00C26865">
        <w:rPr>
          <w:rFonts w:ascii="Arial" w:hAnsi="Arial" w:cs="Arial"/>
        </w:rPr>
        <w:t>otential</w:t>
      </w:r>
      <w:r w:rsidR="00C26865" w:rsidRPr="0063717D">
        <w:rPr>
          <w:rFonts w:ascii="Arial" w:hAnsi="Arial" w:cs="Arial"/>
        </w:rPr>
        <w:t xml:space="preserve"> </w:t>
      </w:r>
      <w:r w:rsidRPr="0063717D">
        <w:rPr>
          <w:rFonts w:ascii="Arial" w:hAnsi="Arial" w:cs="Arial"/>
        </w:rPr>
        <w:t>benefits</w:t>
      </w:r>
      <w:r w:rsidR="003427D0">
        <w:rPr>
          <w:rFonts w:ascii="Arial" w:hAnsi="Arial" w:cs="Arial"/>
        </w:rPr>
        <w:t xml:space="preserve"> and </w:t>
      </w:r>
      <w:r w:rsidRPr="0063717D">
        <w:rPr>
          <w:rFonts w:ascii="Arial" w:hAnsi="Arial" w:cs="Arial"/>
        </w:rPr>
        <w:t>drawbacks</w:t>
      </w:r>
      <w:r w:rsidR="003427D0">
        <w:rPr>
          <w:rFonts w:ascii="Arial" w:hAnsi="Arial" w:cs="Arial"/>
        </w:rPr>
        <w:t xml:space="preserve"> associated with PISP</w:t>
      </w:r>
      <w:r w:rsidR="00C26865">
        <w:rPr>
          <w:rFonts w:ascii="Arial" w:hAnsi="Arial" w:cs="Arial"/>
        </w:rPr>
        <w:t xml:space="preserve">. </w:t>
      </w:r>
      <w:r w:rsidR="00F07A10">
        <w:rPr>
          <w:rFonts w:ascii="Arial" w:hAnsi="Arial" w:cs="Arial"/>
        </w:rPr>
        <w:t xml:space="preserve">These results illustrate that the majority of participants felt PISP would lead to a wider scope of practice, </w:t>
      </w:r>
      <w:r w:rsidR="00F07A10" w:rsidRPr="00642EBF">
        <w:rPr>
          <w:rFonts w:ascii="Arial" w:hAnsi="Arial" w:cs="Arial"/>
        </w:rPr>
        <w:t>increased knowledge</w:t>
      </w:r>
      <w:r w:rsidR="00F07A10">
        <w:rPr>
          <w:rFonts w:ascii="Arial" w:hAnsi="Arial" w:cs="Arial"/>
        </w:rPr>
        <w:t>, i</w:t>
      </w:r>
      <w:r w:rsidR="00F07A10" w:rsidRPr="00BC3D9C">
        <w:rPr>
          <w:rFonts w:ascii="Arial" w:hAnsi="Arial" w:cs="Arial"/>
        </w:rPr>
        <w:t xml:space="preserve">ncreased </w:t>
      </w:r>
      <w:r w:rsidR="00F07A10">
        <w:rPr>
          <w:rFonts w:ascii="Arial" w:hAnsi="Arial" w:cs="Arial"/>
        </w:rPr>
        <w:t>autonomy, would enhance patient care and enable them to work in a wider range of practice settings</w:t>
      </w:r>
      <w:r w:rsidR="003427D0">
        <w:rPr>
          <w:rFonts w:ascii="Arial" w:hAnsi="Arial" w:cs="Arial"/>
        </w:rPr>
        <w:t xml:space="preserve"> (Figure 3)</w:t>
      </w:r>
      <w:r w:rsidR="00F07A10">
        <w:rPr>
          <w:rFonts w:ascii="Arial" w:hAnsi="Arial" w:cs="Arial"/>
        </w:rPr>
        <w:t>.</w:t>
      </w:r>
      <w:r w:rsidR="005B294F">
        <w:rPr>
          <w:rFonts w:ascii="Arial" w:hAnsi="Arial" w:cs="Arial"/>
        </w:rPr>
        <w:t xml:space="preserve"> </w:t>
      </w:r>
      <w:r w:rsidR="003427D0">
        <w:rPr>
          <w:rFonts w:ascii="Arial" w:hAnsi="Arial" w:cs="Arial"/>
        </w:rPr>
        <w:t>However,</w:t>
      </w:r>
      <w:r w:rsidR="005B294F">
        <w:rPr>
          <w:rFonts w:ascii="Arial" w:hAnsi="Arial" w:cs="Arial"/>
        </w:rPr>
        <w:t xml:space="preserve"> the majority of participants also</w:t>
      </w:r>
      <w:r w:rsidR="003427D0">
        <w:rPr>
          <w:rFonts w:ascii="Arial" w:hAnsi="Arial" w:cs="Arial"/>
        </w:rPr>
        <w:t xml:space="preserve"> felt</w:t>
      </w:r>
      <w:r w:rsidR="005B294F">
        <w:rPr>
          <w:rFonts w:ascii="Arial" w:hAnsi="Arial" w:cs="Arial"/>
        </w:rPr>
        <w:t xml:space="preserve"> that </w:t>
      </w:r>
      <w:r w:rsidR="003427D0">
        <w:rPr>
          <w:rFonts w:ascii="Arial" w:hAnsi="Arial" w:cs="Arial"/>
        </w:rPr>
        <w:t xml:space="preserve">PISP would lead to increased risk and professional responsibility (Figure 4). The majority of participants also felt a lack of organisational support and </w:t>
      </w:r>
      <w:r w:rsidR="005B294F" w:rsidRPr="00642EBF">
        <w:rPr>
          <w:rFonts w:ascii="Arial" w:hAnsi="Arial" w:cs="Arial"/>
        </w:rPr>
        <w:t>difficulties accessing patient</w:t>
      </w:r>
      <w:r w:rsidR="003427D0">
        <w:rPr>
          <w:rFonts w:ascii="Arial" w:hAnsi="Arial" w:cs="Arial"/>
        </w:rPr>
        <w:t xml:space="preserve"> records would be encountered (Figure 5). </w:t>
      </w:r>
      <w:r w:rsidR="005B294F" w:rsidRPr="00642EBF">
        <w:rPr>
          <w:rFonts w:ascii="Arial" w:hAnsi="Arial" w:cs="Arial"/>
        </w:rPr>
        <w:t xml:space="preserve"> </w:t>
      </w:r>
    </w:p>
    <w:p w14:paraId="0696EFF9" w14:textId="5F9A2773" w:rsidR="007D14D5" w:rsidRDefault="007D14D5" w:rsidP="00F70214">
      <w:pPr>
        <w:spacing w:before="100" w:beforeAutospacing="1" w:after="100" w:afterAutospacing="1"/>
        <w:textAlignment w:val="top"/>
        <w:rPr>
          <w:rFonts w:ascii="Arial" w:hAnsi="Arial" w:cs="Arial"/>
          <w:color w:val="000000" w:themeColor="text1"/>
          <w:lang w:eastAsia="en-GB"/>
        </w:rPr>
      </w:pPr>
      <w:r w:rsidRPr="00BA1FF7">
        <w:rPr>
          <w:rFonts w:ascii="Arial" w:hAnsi="Arial" w:cs="Arial"/>
          <w:color w:val="000000" w:themeColor="text1"/>
          <w:lang w:eastAsia="en-GB"/>
        </w:rPr>
        <w:t>Participants anticipated that the most likely source</w:t>
      </w:r>
      <w:r w:rsidR="00691F26">
        <w:rPr>
          <w:rFonts w:ascii="Arial" w:hAnsi="Arial" w:cs="Arial"/>
          <w:color w:val="000000" w:themeColor="text1"/>
          <w:lang w:eastAsia="en-GB"/>
        </w:rPr>
        <w:t>s</w:t>
      </w:r>
      <w:r w:rsidRPr="00BA1FF7">
        <w:rPr>
          <w:rFonts w:ascii="Arial" w:hAnsi="Arial" w:cs="Arial"/>
          <w:color w:val="000000" w:themeColor="text1"/>
          <w:lang w:eastAsia="en-GB"/>
        </w:rPr>
        <w:t xml:space="preserve"> of support</w:t>
      </w:r>
      <w:r w:rsidR="00691F26">
        <w:rPr>
          <w:rFonts w:ascii="Arial" w:hAnsi="Arial" w:cs="Arial"/>
          <w:color w:val="000000" w:themeColor="text1"/>
          <w:lang w:eastAsia="en-GB"/>
        </w:rPr>
        <w:t xml:space="preserve"> for prescribing decisions</w:t>
      </w:r>
      <w:r w:rsidRPr="00BA1FF7">
        <w:rPr>
          <w:rFonts w:ascii="Arial" w:hAnsi="Arial" w:cs="Arial"/>
          <w:color w:val="000000" w:themeColor="text1"/>
          <w:lang w:eastAsia="en-GB"/>
        </w:rPr>
        <w:t xml:space="preserve"> would be from a GP (</w:t>
      </w:r>
      <w:r w:rsidR="005F1C3C">
        <w:rPr>
          <w:rFonts w:ascii="Arial" w:hAnsi="Arial" w:cs="Arial"/>
          <w:color w:val="000000" w:themeColor="text1"/>
          <w:lang w:eastAsia="en-GB"/>
        </w:rPr>
        <w:t xml:space="preserve">74/78 </w:t>
      </w:r>
      <w:r w:rsidRPr="00BA1FF7">
        <w:rPr>
          <w:rFonts w:ascii="Arial" w:hAnsi="Arial" w:cs="Arial"/>
          <w:color w:val="000000" w:themeColor="text1"/>
          <w:lang w:eastAsia="en-GB"/>
        </w:rPr>
        <w:t>95.8%)</w:t>
      </w:r>
      <w:r w:rsidR="00691F26">
        <w:rPr>
          <w:rFonts w:ascii="Arial" w:hAnsi="Arial" w:cs="Arial"/>
          <w:color w:val="000000" w:themeColor="text1"/>
          <w:lang w:eastAsia="en-GB"/>
        </w:rPr>
        <w:t xml:space="preserve">, </w:t>
      </w:r>
      <w:r w:rsidRPr="003A3124">
        <w:rPr>
          <w:rFonts w:ascii="Arial" w:hAnsi="Arial" w:cs="Arial"/>
          <w:color w:val="000000" w:themeColor="text1"/>
          <w:lang w:eastAsia="en-GB"/>
        </w:rPr>
        <w:t xml:space="preserve">another </w:t>
      </w:r>
      <w:r w:rsidR="004B036C">
        <w:rPr>
          <w:rFonts w:ascii="Arial" w:hAnsi="Arial" w:cs="Arial"/>
          <w:color w:val="000000" w:themeColor="text1"/>
          <w:lang w:eastAsia="en-GB"/>
        </w:rPr>
        <w:t>PISP</w:t>
      </w:r>
      <w:r w:rsidRPr="003A3124">
        <w:rPr>
          <w:rFonts w:ascii="Arial" w:hAnsi="Arial" w:cs="Arial"/>
          <w:color w:val="000000" w:themeColor="text1"/>
          <w:lang w:eastAsia="en-GB"/>
        </w:rPr>
        <w:t xml:space="preserve"> (</w:t>
      </w:r>
      <w:r w:rsidR="005F1C3C">
        <w:rPr>
          <w:rFonts w:ascii="Arial" w:hAnsi="Arial" w:cs="Arial"/>
          <w:color w:val="000000" w:themeColor="text1"/>
          <w:lang w:eastAsia="en-GB"/>
        </w:rPr>
        <w:t xml:space="preserve">60/78 </w:t>
      </w:r>
      <w:r w:rsidRPr="003A3124">
        <w:rPr>
          <w:rFonts w:ascii="Arial" w:hAnsi="Arial" w:cs="Arial"/>
          <w:color w:val="000000" w:themeColor="text1"/>
          <w:lang w:eastAsia="en-GB"/>
        </w:rPr>
        <w:t>76.9%)</w:t>
      </w:r>
      <w:r w:rsidR="00691F26">
        <w:rPr>
          <w:rFonts w:ascii="Arial" w:hAnsi="Arial" w:cs="Arial"/>
          <w:color w:val="000000" w:themeColor="text1"/>
          <w:lang w:eastAsia="en-GB"/>
        </w:rPr>
        <w:t>,</w:t>
      </w:r>
      <w:r w:rsidRPr="003A3124">
        <w:rPr>
          <w:rFonts w:ascii="Arial" w:hAnsi="Arial" w:cs="Arial"/>
          <w:color w:val="000000" w:themeColor="text1"/>
          <w:lang w:eastAsia="en-GB"/>
        </w:rPr>
        <w:t xml:space="preserve"> </w:t>
      </w:r>
      <w:r w:rsidR="00691F26" w:rsidRPr="003A3124">
        <w:rPr>
          <w:rFonts w:ascii="Arial" w:hAnsi="Arial" w:cs="Arial"/>
          <w:color w:val="000000" w:themeColor="text1"/>
          <w:lang w:eastAsia="en-GB"/>
        </w:rPr>
        <w:t xml:space="preserve">a doctor in the </w:t>
      </w:r>
      <w:r w:rsidR="009156EA">
        <w:rPr>
          <w:rFonts w:ascii="Arial" w:hAnsi="Arial" w:cs="Arial"/>
          <w:color w:val="000000" w:themeColor="text1"/>
          <w:lang w:eastAsia="en-GB"/>
        </w:rPr>
        <w:t>ED</w:t>
      </w:r>
      <w:r w:rsidR="00691F26" w:rsidRPr="003A3124">
        <w:rPr>
          <w:rFonts w:ascii="Arial" w:hAnsi="Arial" w:cs="Arial"/>
          <w:color w:val="000000" w:themeColor="text1"/>
          <w:lang w:eastAsia="en-GB"/>
        </w:rPr>
        <w:t xml:space="preserve"> </w:t>
      </w:r>
      <w:r w:rsidR="00691F26">
        <w:rPr>
          <w:rFonts w:ascii="Arial" w:hAnsi="Arial" w:cs="Arial"/>
          <w:color w:val="000000" w:themeColor="text1"/>
          <w:lang w:eastAsia="en-GB"/>
        </w:rPr>
        <w:t>(</w:t>
      </w:r>
      <w:r w:rsidR="005F1C3C">
        <w:rPr>
          <w:rFonts w:ascii="Arial" w:hAnsi="Arial" w:cs="Arial"/>
          <w:color w:val="000000" w:themeColor="text1"/>
          <w:lang w:eastAsia="en-GB"/>
        </w:rPr>
        <w:t xml:space="preserve">43/78 </w:t>
      </w:r>
      <w:r w:rsidRPr="003A3124">
        <w:rPr>
          <w:rFonts w:ascii="Arial" w:hAnsi="Arial" w:cs="Arial"/>
          <w:color w:val="000000" w:themeColor="text1"/>
          <w:lang w:eastAsia="en-GB"/>
        </w:rPr>
        <w:t xml:space="preserve">55.1%) </w:t>
      </w:r>
      <w:r w:rsidR="00691F26">
        <w:rPr>
          <w:rFonts w:ascii="Arial" w:hAnsi="Arial" w:cs="Arial"/>
          <w:color w:val="000000" w:themeColor="text1"/>
          <w:lang w:eastAsia="en-GB"/>
        </w:rPr>
        <w:t xml:space="preserve"> or another non-medical prescriber (</w:t>
      </w:r>
      <w:r w:rsidR="005F1C3C">
        <w:rPr>
          <w:rFonts w:ascii="Arial" w:hAnsi="Arial" w:cs="Arial"/>
          <w:color w:val="000000" w:themeColor="text1"/>
          <w:lang w:eastAsia="en-GB"/>
        </w:rPr>
        <w:t xml:space="preserve">33/78 </w:t>
      </w:r>
      <w:r w:rsidRPr="003A3124">
        <w:rPr>
          <w:rFonts w:ascii="Arial" w:hAnsi="Arial" w:cs="Arial"/>
          <w:color w:val="000000" w:themeColor="text1"/>
          <w:lang w:eastAsia="en-GB"/>
        </w:rPr>
        <w:t>42.3%).</w:t>
      </w:r>
    </w:p>
    <w:p w14:paraId="7D10B414" w14:textId="4A3C6573" w:rsidR="003F4D33" w:rsidRDefault="00B626E3" w:rsidP="00F70214">
      <w:pPr>
        <w:spacing w:before="100" w:beforeAutospacing="1" w:after="100" w:afterAutospacing="1"/>
        <w:textAlignment w:val="top"/>
        <w:rPr>
          <w:rFonts w:ascii="Arial" w:hAnsi="Arial" w:cs="Arial"/>
          <w:color w:val="000000" w:themeColor="text1"/>
          <w:lang w:eastAsia="en-GB"/>
        </w:rPr>
      </w:pPr>
      <w:r>
        <w:rPr>
          <w:rFonts w:ascii="Arial" w:hAnsi="Arial" w:cs="Arial"/>
          <w:noProof/>
          <w:color w:val="000000" w:themeColor="text1"/>
          <w:lang w:eastAsia="en-GB"/>
        </w:rPr>
        <w:lastRenderedPageBreak/>
        <w:drawing>
          <wp:inline distT="0" distB="0" distL="0" distR="0" wp14:anchorId="7A823702" wp14:editId="4BF3936E">
            <wp:extent cx="5727700" cy="2772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3.pdf"/>
                    <pic:cNvPicPr/>
                  </pic:nvPicPr>
                  <pic:blipFill>
                    <a:blip r:embed="rId10"/>
                    <a:stretch>
                      <a:fillRect/>
                    </a:stretch>
                  </pic:blipFill>
                  <pic:spPr>
                    <a:xfrm>
                      <a:off x="0" y="0"/>
                      <a:ext cx="5727700" cy="2772410"/>
                    </a:xfrm>
                    <a:prstGeom prst="rect">
                      <a:avLst/>
                    </a:prstGeom>
                  </pic:spPr>
                </pic:pic>
              </a:graphicData>
            </a:graphic>
          </wp:inline>
        </w:drawing>
      </w:r>
    </w:p>
    <w:p w14:paraId="20B8DC24" w14:textId="366BEBB8" w:rsidR="003F4D33" w:rsidRDefault="003F4D33" w:rsidP="00F70214">
      <w:pPr>
        <w:spacing w:before="100" w:beforeAutospacing="1" w:after="100" w:afterAutospacing="1"/>
        <w:textAlignment w:val="top"/>
        <w:rPr>
          <w:rFonts w:ascii="Arial" w:hAnsi="Arial" w:cs="Arial"/>
          <w:color w:val="000000" w:themeColor="text1"/>
          <w:lang w:eastAsia="en-GB"/>
        </w:rPr>
      </w:pPr>
      <w:r>
        <w:rPr>
          <w:rFonts w:ascii="Arial" w:hAnsi="Arial" w:cs="Arial"/>
          <w:color w:val="000000" w:themeColor="text1"/>
          <w:lang w:eastAsia="en-GB"/>
        </w:rPr>
        <w:t xml:space="preserve">Figure 3: </w:t>
      </w:r>
      <w:r w:rsidR="0055736B">
        <w:rPr>
          <w:rFonts w:ascii="Arial" w:hAnsi="Arial" w:cs="Arial"/>
          <w:color w:val="000000" w:themeColor="text1"/>
          <w:lang w:eastAsia="en-GB"/>
        </w:rPr>
        <w:t>Participant responses to the question: Which of the following do you consider might be the benefits of PI</w:t>
      </w:r>
      <w:r w:rsidR="005B294F">
        <w:rPr>
          <w:rFonts w:ascii="Arial" w:hAnsi="Arial" w:cs="Arial"/>
          <w:color w:val="000000" w:themeColor="text1"/>
          <w:lang w:eastAsia="en-GB"/>
        </w:rPr>
        <w:t>S</w:t>
      </w:r>
      <w:r w:rsidR="0055736B">
        <w:rPr>
          <w:rFonts w:ascii="Arial" w:hAnsi="Arial" w:cs="Arial"/>
          <w:color w:val="000000" w:themeColor="text1"/>
          <w:lang w:eastAsia="en-GB"/>
        </w:rPr>
        <w:t>P?</w:t>
      </w:r>
      <w:r w:rsidR="000D026E">
        <w:rPr>
          <w:rFonts w:ascii="Arial" w:hAnsi="Arial" w:cs="Arial"/>
          <w:color w:val="000000" w:themeColor="text1"/>
          <w:lang w:eastAsia="en-GB"/>
        </w:rPr>
        <w:t xml:space="preserve"> (n=72</w:t>
      </w:r>
      <w:r w:rsidR="00A7330B">
        <w:rPr>
          <w:rFonts w:ascii="Arial" w:hAnsi="Arial" w:cs="Arial"/>
          <w:color w:val="000000" w:themeColor="text1"/>
          <w:lang w:eastAsia="en-GB"/>
        </w:rPr>
        <w:t xml:space="preserve"> – data not collected during pilot questionnaire)</w:t>
      </w:r>
    </w:p>
    <w:p w14:paraId="1CFE16B4" w14:textId="481968A3" w:rsidR="00B626E3" w:rsidRDefault="00B626E3" w:rsidP="00F70214">
      <w:pPr>
        <w:spacing w:before="100" w:beforeAutospacing="1" w:after="100" w:afterAutospacing="1"/>
        <w:textAlignment w:val="top"/>
        <w:rPr>
          <w:rFonts w:ascii="Arial" w:hAnsi="Arial" w:cs="Arial"/>
          <w:color w:val="000000" w:themeColor="text1"/>
          <w:lang w:eastAsia="en-GB"/>
        </w:rPr>
      </w:pPr>
      <w:r>
        <w:rPr>
          <w:rFonts w:ascii="Arial" w:hAnsi="Arial" w:cs="Arial"/>
          <w:noProof/>
          <w:color w:val="000000" w:themeColor="text1"/>
          <w:lang w:eastAsia="en-GB"/>
        </w:rPr>
        <w:drawing>
          <wp:inline distT="0" distB="0" distL="0" distR="0" wp14:anchorId="11D00910" wp14:editId="43B166BA">
            <wp:extent cx="5727700" cy="277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4.pdf"/>
                    <pic:cNvPicPr/>
                  </pic:nvPicPr>
                  <pic:blipFill>
                    <a:blip r:embed="rId11"/>
                    <a:stretch>
                      <a:fillRect/>
                    </a:stretch>
                  </pic:blipFill>
                  <pic:spPr>
                    <a:xfrm>
                      <a:off x="0" y="0"/>
                      <a:ext cx="5727700" cy="2772410"/>
                    </a:xfrm>
                    <a:prstGeom prst="rect">
                      <a:avLst/>
                    </a:prstGeom>
                  </pic:spPr>
                </pic:pic>
              </a:graphicData>
            </a:graphic>
          </wp:inline>
        </w:drawing>
      </w:r>
    </w:p>
    <w:p w14:paraId="3764B3C8" w14:textId="77777777" w:rsidR="00A7330B" w:rsidRDefault="00B626E3" w:rsidP="00A7330B">
      <w:pPr>
        <w:spacing w:before="100" w:beforeAutospacing="1" w:after="100" w:afterAutospacing="1"/>
        <w:textAlignment w:val="top"/>
        <w:rPr>
          <w:rFonts w:ascii="Arial" w:hAnsi="Arial" w:cs="Arial"/>
          <w:color w:val="000000" w:themeColor="text1"/>
          <w:lang w:eastAsia="en-GB"/>
        </w:rPr>
      </w:pPr>
      <w:r>
        <w:rPr>
          <w:rFonts w:ascii="Arial" w:hAnsi="Arial" w:cs="Arial"/>
          <w:color w:val="000000" w:themeColor="text1"/>
          <w:lang w:eastAsia="en-GB"/>
        </w:rPr>
        <w:t>Figure 4:</w:t>
      </w:r>
      <w:r w:rsidR="0055736B">
        <w:rPr>
          <w:rFonts w:ascii="Arial" w:hAnsi="Arial" w:cs="Arial"/>
          <w:color w:val="000000" w:themeColor="text1"/>
          <w:lang w:eastAsia="en-GB"/>
        </w:rPr>
        <w:t xml:space="preserve"> Participant responses to the question: </w:t>
      </w:r>
      <w:r w:rsidR="0055736B" w:rsidRPr="0055736B">
        <w:rPr>
          <w:rFonts w:ascii="Arial" w:hAnsi="Arial" w:cs="Arial"/>
          <w:color w:val="000000" w:themeColor="text1"/>
          <w:lang w:eastAsia="en-GB"/>
        </w:rPr>
        <w:t>Which of the following do you consider might be the drawbacks to PI</w:t>
      </w:r>
      <w:r w:rsidR="005B294F">
        <w:rPr>
          <w:rFonts w:ascii="Arial" w:hAnsi="Arial" w:cs="Arial"/>
          <w:color w:val="000000" w:themeColor="text1"/>
          <w:lang w:eastAsia="en-GB"/>
        </w:rPr>
        <w:t>S</w:t>
      </w:r>
      <w:r w:rsidR="0055736B" w:rsidRPr="0055736B">
        <w:rPr>
          <w:rFonts w:ascii="Arial" w:hAnsi="Arial" w:cs="Arial"/>
          <w:color w:val="000000" w:themeColor="text1"/>
          <w:lang w:eastAsia="en-GB"/>
        </w:rPr>
        <w:t>P?</w:t>
      </w:r>
      <w:r w:rsidR="000D026E">
        <w:rPr>
          <w:rFonts w:ascii="Arial" w:hAnsi="Arial" w:cs="Arial"/>
          <w:color w:val="000000" w:themeColor="text1"/>
          <w:lang w:eastAsia="en-GB"/>
        </w:rPr>
        <w:t xml:space="preserve"> (n=72</w:t>
      </w:r>
      <w:r w:rsidR="00A7330B">
        <w:rPr>
          <w:rFonts w:ascii="Arial" w:hAnsi="Arial" w:cs="Arial"/>
          <w:color w:val="000000" w:themeColor="text1"/>
          <w:lang w:eastAsia="en-GB"/>
        </w:rPr>
        <w:t xml:space="preserve"> – data not collected during pilot questionnaire)</w:t>
      </w:r>
    </w:p>
    <w:p w14:paraId="23CDCAEE" w14:textId="3AE65BDD" w:rsidR="00B626E3" w:rsidRDefault="00B626E3" w:rsidP="00F70214">
      <w:pPr>
        <w:spacing w:before="100" w:beforeAutospacing="1" w:after="100" w:afterAutospacing="1"/>
        <w:textAlignment w:val="top"/>
        <w:rPr>
          <w:rFonts w:ascii="Arial" w:hAnsi="Arial" w:cs="Arial"/>
          <w:color w:val="000000" w:themeColor="text1"/>
          <w:lang w:eastAsia="en-GB"/>
        </w:rPr>
      </w:pPr>
    </w:p>
    <w:p w14:paraId="28421DD3" w14:textId="0B7EFBF3" w:rsidR="00B626E3" w:rsidRDefault="00B626E3" w:rsidP="00F70214">
      <w:pPr>
        <w:spacing w:before="100" w:beforeAutospacing="1" w:after="100" w:afterAutospacing="1"/>
        <w:textAlignment w:val="top"/>
        <w:rPr>
          <w:rFonts w:ascii="Arial" w:hAnsi="Arial" w:cs="Arial"/>
          <w:color w:val="000000" w:themeColor="text1"/>
          <w:lang w:eastAsia="en-GB"/>
        </w:rPr>
      </w:pPr>
    </w:p>
    <w:p w14:paraId="21945A04" w14:textId="5EADD947" w:rsidR="00B626E3" w:rsidRDefault="00B626E3" w:rsidP="00F70214">
      <w:pPr>
        <w:spacing w:before="100" w:beforeAutospacing="1" w:after="100" w:afterAutospacing="1"/>
        <w:textAlignment w:val="top"/>
        <w:rPr>
          <w:rFonts w:ascii="Arial" w:hAnsi="Arial" w:cs="Arial"/>
          <w:color w:val="000000" w:themeColor="text1"/>
          <w:lang w:eastAsia="en-GB"/>
        </w:rPr>
      </w:pPr>
      <w:r>
        <w:rPr>
          <w:rFonts w:ascii="Arial" w:hAnsi="Arial" w:cs="Arial"/>
          <w:noProof/>
          <w:color w:val="000000" w:themeColor="text1"/>
          <w:lang w:eastAsia="en-GB"/>
        </w:rPr>
        <w:lastRenderedPageBreak/>
        <w:drawing>
          <wp:inline distT="0" distB="0" distL="0" distR="0" wp14:anchorId="4E7556AD" wp14:editId="1D8960E2">
            <wp:extent cx="5727700" cy="28638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5.pdf"/>
                    <pic:cNvPicPr/>
                  </pic:nvPicPr>
                  <pic:blipFill>
                    <a:blip r:embed="rId12"/>
                    <a:stretch>
                      <a:fillRect/>
                    </a:stretch>
                  </pic:blipFill>
                  <pic:spPr>
                    <a:xfrm>
                      <a:off x="0" y="0"/>
                      <a:ext cx="5727700" cy="2863850"/>
                    </a:xfrm>
                    <a:prstGeom prst="rect">
                      <a:avLst/>
                    </a:prstGeom>
                  </pic:spPr>
                </pic:pic>
              </a:graphicData>
            </a:graphic>
          </wp:inline>
        </w:drawing>
      </w:r>
    </w:p>
    <w:p w14:paraId="1766E972" w14:textId="1BC64BCD" w:rsidR="002B3A47" w:rsidRDefault="00B626E3" w:rsidP="002B3A47">
      <w:pPr>
        <w:spacing w:before="100" w:beforeAutospacing="1" w:after="100" w:afterAutospacing="1"/>
        <w:textAlignment w:val="top"/>
        <w:rPr>
          <w:rFonts w:ascii="Arial" w:hAnsi="Arial" w:cs="Arial"/>
          <w:color w:val="000000" w:themeColor="text1"/>
          <w:lang w:eastAsia="en-GB"/>
        </w:rPr>
      </w:pPr>
      <w:r>
        <w:rPr>
          <w:rFonts w:ascii="Arial" w:hAnsi="Arial" w:cs="Arial"/>
          <w:color w:val="000000" w:themeColor="text1"/>
          <w:lang w:eastAsia="en-GB"/>
        </w:rPr>
        <w:t>Figure 5:</w:t>
      </w:r>
      <w:r w:rsidR="0055736B" w:rsidRPr="0055736B">
        <w:rPr>
          <w:rFonts w:ascii="Arial" w:hAnsi="Arial" w:cs="Arial"/>
          <w:color w:val="000000" w:themeColor="text1"/>
          <w:lang w:eastAsia="en-GB"/>
        </w:rPr>
        <w:t xml:space="preserve"> </w:t>
      </w:r>
      <w:r w:rsidR="0055736B">
        <w:rPr>
          <w:rFonts w:ascii="Arial" w:hAnsi="Arial" w:cs="Arial"/>
          <w:color w:val="000000" w:themeColor="text1"/>
          <w:lang w:eastAsia="en-GB"/>
        </w:rPr>
        <w:t xml:space="preserve">Participant responses to the question: </w:t>
      </w:r>
      <w:r w:rsidR="0055736B" w:rsidRPr="0055736B">
        <w:rPr>
          <w:rFonts w:ascii="Arial" w:hAnsi="Arial" w:cs="Arial"/>
          <w:color w:val="000000" w:themeColor="text1"/>
          <w:lang w:eastAsia="en-GB"/>
        </w:rPr>
        <w:t>Which of the following do you consider might occur if PI</w:t>
      </w:r>
      <w:r w:rsidR="005B294F">
        <w:rPr>
          <w:rFonts w:ascii="Arial" w:hAnsi="Arial" w:cs="Arial"/>
          <w:color w:val="000000" w:themeColor="text1"/>
          <w:lang w:eastAsia="en-GB"/>
        </w:rPr>
        <w:t>S</w:t>
      </w:r>
      <w:r w:rsidR="0055736B" w:rsidRPr="0055736B">
        <w:rPr>
          <w:rFonts w:ascii="Arial" w:hAnsi="Arial" w:cs="Arial"/>
          <w:color w:val="000000" w:themeColor="text1"/>
          <w:lang w:eastAsia="en-GB"/>
        </w:rPr>
        <w:t>P was introduced?</w:t>
      </w:r>
      <w:r w:rsidR="000D026E">
        <w:rPr>
          <w:rFonts w:ascii="Arial" w:hAnsi="Arial" w:cs="Arial"/>
          <w:color w:val="000000" w:themeColor="text1"/>
          <w:lang w:eastAsia="en-GB"/>
        </w:rPr>
        <w:t xml:space="preserve"> (n=72</w:t>
      </w:r>
      <w:r w:rsidR="002B3A47">
        <w:rPr>
          <w:rFonts w:ascii="Arial" w:hAnsi="Arial" w:cs="Arial"/>
          <w:color w:val="000000" w:themeColor="text1"/>
          <w:lang w:eastAsia="en-GB"/>
        </w:rPr>
        <w:t xml:space="preserve"> – data not collected during pilot questionnaire)</w:t>
      </w:r>
    </w:p>
    <w:p w14:paraId="3C97FC33" w14:textId="77777777" w:rsidR="00166284" w:rsidRPr="0063717D" w:rsidRDefault="00166284" w:rsidP="007D74AE">
      <w:pPr>
        <w:spacing w:before="100" w:beforeAutospacing="1" w:after="100" w:afterAutospacing="1"/>
        <w:textAlignment w:val="top"/>
        <w:rPr>
          <w:rFonts w:ascii="Arial" w:hAnsi="Arial" w:cs="Arial"/>
        </w:rPr>
      </w:pPr>
    </w:p>
    <w:p w14:paraId="29A8EA5D" w14:textId="5ECBDC57" w:rsidR="00196197" w:rsidRDefault="0054202D" w:rsidP="00F70214">
      <w:pPr>
        <w:spacing w:before="100" w:beforeAutospacing="1" w:after="100" w:afterAutospacing="1"/>
        <w:textAlignment w:val="top"/>
        <w:rPr>
          <w:rFonts w:ascii="Arial" w:hAnsi="Arial" w:cs="Arial"/>
          <w:b/>
        </w:rPr>
      </w:pPr>
      <w:r>
        <w:rPr>
          <w:rFonts w:ascii="Arial" w:hAnsi="Arial" w:cs="Arial"/>
          <w:b/>
        </w:rPr>
        <w:t>DISCUSSION</w:t>
      </w:r>
    </w:p>
    <w:p w14:paraId="5033B0A6" w14:textId="4E8CD19F" w:rsidR="00A14AE6" w:rsidRDefault="00196197" w:rsidP="00F70214">
      <w:pPr>
        <w:spacing w:before="100" w:beforeAutospacing="1" w:after="100" w:afterAutospacing="1"/>
        <w:textAlignment w:val="top"/>
        <w:rPr>
          <w:rFonts w:ascii="Arial" w:hAnsi="Arial" w:cs="Arial"/>
        </w:rPr>
      </w:pPr>
      <w:r w:rsidRPr="00642EBF">
        <w:rPr>
          <w:rFonts w:ascii="Arial" w:hAnsi="Arial" w:cs="Arial"/>
        </w:rPr>
        <w:t>The results from this study illustrate that the supply and administration of medicines forms a regular part of SPEUC practice</w:t>
      </w:r>
      <w:r w:rsidR="00F83C84">
        <w:rPr>
          <w:rFonts w:ascii="Arial" w:hAnsi="Arial" w:cs="Arial"/>
        </w:rPr>
        <w:t xml:space="preserve"> </w:t>
      </w:r>
      <w:r w:rsidR="00443CD8">
        <w:rPr>
          <w:rFonts w:ascii="Arial" w:hAnsi="Arial" w:cs="Arial"/>
        </w:rPr>
        <w:t xml:space="preserve">in order </w:t>
      </w:r>
      <w:r w:rsidR="00F83C84">
        <w:rPr>
          <w:rFonts w:ascii="Arial" w:hAnsi="Arial" w:cs="Arial"/>
        </w:rPr>
        <w:t xml:space="preserve">to </w:t>
      </w:r>
      <w:r w:rsidRPr="00642EBF">
        <w:rPr>
          <w:rFonts w:ascii="Arial" w:hAnsi="Arial" w:cs="Arial"/>
        </w:rPr>
        <w:t xml:space="preserve">treat a range of </w:t>
      </w:r>
      <w:r w:rsidR="00A14AE6">
        <w:rPr>
          <w:rFonts w:ascii="Arial" w:hAnsi="Arial" w:cs="Arial"/>
        </w:rPr>
        <w:t>healthcare requirements</w:t>
      </w:r>
      <w:r w:rsidR="00F83C84">
        <w:rPr>
          <w:rFonts w:ascii="Arial" w:hAnsi="Arial" w:cs="Arial"/>
        </w:rPr>
        <w:t xml:space="preserve"> in the community</w:t>
      </w:r>
      <w:r w:rsidR="00D35992">
        <w:rPr>
          <w:rFonts w:ascii="Arial" w:hAnsi="Arial" w:cs="Arial"/>
        </w:rPr>
        <w:t xml:space="preserve">. The </w:t>
      </w:r>
      <w:r w:rsidR="00133CE5">
        <w:rPr>
          <w:rFonts w:ascii="Arial" w:hAnsi="Arial" w:cs="Arial"/>
        </w:rPr>
        <w:t>treatment of pain, infection</w:t>
      </w:r>
      <w:r w:rsidR="00D35992">
        <w:rPr>
          <w:rFonts w:ascii="Arial" w:hAnsi="Arial" w:cs="Arial"/>
        </w:rPr>
        <w:t>s</w:t>
      </w:r>
      <w:r w:rsidR="00133CE5">
        <w:rPr>
          <w:rFonts w:ascii="Arial" w:hAnsi="Arial" w:cs="Arial"/>
        </w:rPr>
        <w:t xml:space="preserve"> and exacerbation</w:t>
      </w:r>
      <w:r w:rsidR="00D35992">
        <w:rPr>
          <w:rFonts w:ascii="Arial" w:hAnsi="Arial" w:cs="Arial"/>
        </w:rPr>
        <w:t>s</w:t>
      </w:r>
      <w:r w:rsidR="00133CE5">
        <w:rPr>
          <w:rFonts w:ascii="Arial" w:hAnsi="Arial" w:cs="Arial"/>
        </w:rPr>
        <w:t xml:space="preserve"> of respiratory conditions at home by SPEUCs, may potentially preven</w:t>
      </w:r>
      <w:r w:rsidR="00F83C84">
        <w:rPr>
          <w:rFonts w:ascii="Arial" w:hAnsi="Arial" w:cs="Arial"/>
        </w:rPr>
        <w:t>t ED attendance or hospital admission</w:t>
      </w:r>
      <w:r w:rsidR="00A14AE6">
        <w:rPr>
          <w:rFonts w:ascii="Arial" w:hAnsi="Arial" w:cs="Arial"/>
        </w:rPr>
        <w:t xml:space="preserve">. </w:t>
      </w:r>
    </w:p>
    <w:p w14:paraId="77A761C6" w14:textId="07FED335" w:rsidR="007E515C" w:rsidRDefault="00196197" w:rsidP="00F70214">
      <w:pPr>
        <w:spacing w:before="100" w:beforeAutospacing="1" w:after="100" w:afterAutospacing="1"/>
        <w:textAlignment w:val="top"/>
        <w:rPr>
          <w:rFonts w:ascii="Arial" w:hAnsi="Arial" w:cs="Arial"/>
        </w:rPr>
      </w:pPr>
      <w:r w:rsidRPr="00642EBF">
        <w:rPr>
          <w:rFonts w:ascii="Arial" w:hAnsi="Arial" w:cs="Arial"/>
        </w:rPr>
        <w:t>Several positive aspects of PGDs were cited such as</w:t>
      </w:r>
      <w:r w:rsidR="00133CE5">
        <w:rPr>
          <w:rFonts w:ascii="Arial" w:hAnsi="Arial" w:cs="Arial"/>
        </w:rPr>
        <w:t xml:space="preserve"> </w:t>
      </w:r>
      <w:r w:rsidRPr="00642EBF">
        <w:rPr>
          <w:rFonts w:ascii="Arial" w:hAnsi="Arial" w:cs="Arial"/>
        </w:rPr>
        <w:t>supporting the practice of less experienced SPEUCs and enabling the immediate supply of medication to patients. However,</w:t>
      </w:r>
      <w:r w:rsidR="00F05143">
        <w:rPr>
          <w:rFonts w:ascii="Arial" w:hAnsi="Arial" w:cs="Arial"/>
        </w:rPr>
        <w:t xml:space="preserve"> the </w:t>
      </w:r>
      <w:r w:rsidRPr="00642EBF">
        <w:rPr>
          <w:rFonts w:ascii="Arial" w:hAnsi="Arial" w:cs="Arial"/>
        </w:rPr>
        <w:t xml:space="preserve">results also highlighted how PGDs do not </w:t>
      </w:r>
      <w:r w:rsidR="00133CE5">
        <w:rPr>
          <w:rFonts w:ascii="Arial" w:hAnsi="Arial" w:cs="Arial"/>
        </w:rPr>
        <w:t xml:space="preserve">always </w:t>
      </w:r>
      <w:r w:rsidRPr="00642EBF">
        <w:rPr>
          <w:rFonts w:ascii="Arial" w:hAnsi="Arial" w:cs="Arial"/>
        </w:rPr>
        <w:t>allow for practitioner judgement in the application of medicines, despite a high degree of confidence and training. Importantly, PGDs do appear to</w:t>
      </w:r>
      <w:r w:rsidR="00BC3D9C">
        <w:rPr>
          <w:rFonts w:ascii="Arial" w:hAnsi="Arial" w:cs="Arial"/>
        </w:rPr>
        <w:t xml:space="preserve"> </w:t>
      </w:r>
      <w:r w:rsidR="00084087">
        <w:rPr>
          <w:rFonts w:ascii="Arial" w:hAnsi="Arial" w:cs="Arial"/>
        </w:rPr>
        <w:t xml:space="preserve">sometimes restrict </w:t>
      </w:r>
      <w:r w:rsidR="009402CD">
        <w:rPr>
          <w:rFonts w:ascii="Arial" w:hAnsi="Arial" w:cs="Arial"/>
        </w:rPr>
        <w:t xml:space="preserve">best </w:t>
      </w:r>
      <w:r w:rsidR="00084087">
        <w:rPr>
          <w:rFonts w:ascii="Arial" w:hAnsi="Arial" w:cs="Arial"/>
        </w:rPr>
        <w:t>practice</w:t>
      </w:r>
      <w:r w:rsidR="00356D4A">
        <w:rPr>
          <w:rFonts w:ascii="Arial" w:hAnsi="Arial" w:cs="Arial"/>
        </w:rPr>
        <w:t xml:space="preserve"> when dealing with</w:t>
      </w:r>
      <w:r w:rsidR="005A564D">
        <w:rPr>
          <w:rFonts w:ascii="Arial" w:hAnsi="Arial" w:cs="Arial"/>
        </w:rPr>
        <w:t xml:space="preserve"> some of the most commonly </w:t>
      </w:r>
      <w:r w:rsidR="00356D4A">
        <w:rPr>
          <w:rFonts w:ascii="Arial" w:hAnsi="Arial" w:cs="Arial"/>
        </w:rPr>
        <w:t>reported</w:t>
      </w:r>
      <w:r w:rsidR="005A564D">
        <w:rPr>
          <w:rFonts w:ascii="Arial" w:hAnsi="Arial" w:cs="Arial"/>
        </w:rPr>
        <w:t xml:space="preserve"> conditions</w:t>
      </w:r>
      <w:r w:rsidR="00356D4A">
        <w:rPr>
          <w:rFonts w:ascii="Arial" w:hAnsi="Arial" w:cs="Arial"/>
        </w:rPr>
        <w:t>.</w:t>
      </w:r>
      <w:r w:rsidR="005A564D">
        <w:rPr>
          <w:rFonts w:ascii="Arial" w:hAnsi="Arial" w:cs="Arial"/>
        </w:rPr>
        <w:t xml:space="preserve"> </w:t>
      </w:r>
      <w:r w:rsidR="00356D4A">
        <w:rPr>
          <w:rFonts w:ascii="Arial" w:hAnsi="Arial" w:cs="Arial"/>
        </w:rPr>
        <w:t>This included</w:t>
      </w:r>
      <w:r w:rsidR="005A564D">
        <w:rPr>
          <w:rFonts w:ascii="Arial" w:hAnsi="Arial" w:cs="Arial"/>
        </w:rPr>
        <w:t xml:space="preserve"> </w:t>
      </w:r>
      <w:r w:rsidR="00356D4A">
        <w:rPr>
          <w:rFonts w:ascii="Arial" w:hAnsi="Arial" w:cs="Arial"/>
        </w:rPr>
        <w:t xml:space="preserve">PGDs not </w:t>
      </w:r>
      <w:r w:rsidR="00084087">
        <w:rPr>
          <w:rFonts w:ascii="Arial" w:hAnsi="Arial" w:cs="Arial"/>
        </w:rPr>
        <w:t>enabling SPEUCS to follow</w:t>
      </w:r>
      <w:r w:rsidR="00084087" w:rsidRPr="00642EBF">
        <w:rPr>
          <w:rFonts w:ascii="Arial" w:hAnsi="Arial" w:cs="Arial"/>
        </w:rPr>
        <w:t xml:space="preserve"> </w:t>
      </w:r>
      <w:r w:rsidRPr="00642EBF">
        <w:rPr>
          <w:rFonts w:ascii="Arial" w:hAnsi="Arial" w:cs="Arial"/>
        </w:rPr>
        <w:t xml:space="preserve">local </w:t>
      </w:r>
      <w:r w:rsidR="00084087">
        <w:rPr>
          <w:rFonts w:ascii="Arial" w:hAnsi="Arial" w:cs="Arial"/>
        </w:rPr>
        <w:t xml:space="preserve">prescribing guidance based on </w:t>
      </w:r>
      <w:r w:rsidRPr="00642EBF">
        <w:rPr>
          <w:rFonts w:ascii="Arial" w:hAnsi="Arial" w:cs="Arial"/>
        </w:rPr>
        <w:t>antimicrobial resistance patter</w:t>
      </w:r>
      <w:r w:rsidR="0067742A">
        <w:rPr>
          <w:rFonts w:ascii="Arial" w:hAnsi="Arial" w:cs="Arial"/>
        </w:rPr>
        <w:t>n</w:t>
      </w:r>
      <w:r w:rsidRPr="00642EBF">
        <w:rPr>
          <w:rFonts w:ascii="Arial" w:hAnsi="Arial" w:cs="Arial"/>
        </w:rPr>
        <w:t>s</w:t>
      </w:r>
      <w:r w:rsidR="00356D4A">
        <w:rPr>
          <w:rFonts w:ascii="Arial" w:hAnsi="Arial" w:cs="Arial"/>
        </w:rPr>
        <w:t xml:space="preserve"> when supplying antibiotics</w:t>
      </w:r>
      <w:r w:rsidR="009C5BF4">
        <w:rPr>
          <w:rFonts w:ascii="Arial" w:hAnsi="Arial" w:cs="Arial"/>
        </w:rPr>
        <w:t>. This is of concern in light of growing antimicrobial resistance.</w:t>
      </w:r>
      <w:r w:rsidR="00933506">
        <w:rPr>
          <w:rFonts w:ascii="Arial" w:hAnsi="Arial" w:cs="Arial"/>
        </w:rPr>
        <w:t xml:space="preserve"> </w:t>
      </w:r>
      <w:r w:rsidR="006075D0">
        <w:rPr>
          <w:rFonts w:ascii="Arial" w:hAnsi="Arial" w:cs="Arial"/>
        </w:rPr>
        <w:t xml:space="preserve">NICE </w:t>
      </w:r>
      <w:r w:rsidR="00C4377E">
        <w:rPr>
          <w:rFonts w:ascii="Arial" w:hAnsi="Arial" w:cs="Arial"/>
        </w:rPr>
        <w:t>lend support to this, outlining</w:t>
      </w:r>
      <w:r w:rsidR="006075D0">
        <w:rPr>
          <w:rFonts w:ascii="Arial" w:hAnsi="Arial" w:cs="Arial"/>
        </w:rPr>
        <w:t xml:space="preserve"> how PGDs should not</w:t>
      </w:r>
      <w:r w:rsidR="006075D0" w:rsidRPr="006075D0">
        <w:rPr>
          <w:rFonts w:ascii="Arial" w:hAnsi="Arial" w:cs="Arial"/>
        </w:rPr>
        <w:t xml:space="preserve"> jeopardise local and national strategies to combat antimicrobial resistance and healthcare</w:t>
      </w:r>
      <w:r w:rsidR="006075D0" w:rsidRPr="006075D0">
        <w:rPr>
          <w:rFonts w:ascii="Cambria Math" w:hAnsi="Cambria Math" w:cs="Cambria Math"/>
        </w:rPr>
        <w:t>‑</w:t>
      </w:r>
      <w:r w:rsidR="006075D0" w:rsidRPr="006075D0">
        <w:rPr>
          <w:rFonts w:ascii="Arial" w:hAnsi="Arial" w:cs="Arial"/>
        </w:rPr>
        <w:t>associated infections</w:t>
      </w:r>
      <w:r w:rsidR="00C4377E">
        <w:rPr>
          <w:rFonts w:ascii="Arial" w:hAnsi="Arial" w:cs="Arial"/>
        </w:rPr>
        <w:t xml:space="preserve"> (NI</w:t>
      </w:r>
      <w:r w:rsidR="006075D0">
        <w:rPr>
          <w:rFonts w:ascii="Arial" w:hAnsi="Arial" w:cs="Arial"/>
        </w:rPr>
        <w:t>CE</w:t>
      </w:r>
      <w:r w:rsidR="00C4377E">
        <w:rPr>
          <w:rFonts w:ascii="Arial" w:hAnsi="Arial" w:cs="Arial"/>
        </w:rPr>
        <w:t>,</w:t>
      </w:r>
      <w:r w:rsidR="006075D0">
        <w:rPr>
          <w:rFonts w:ascii="Arial" w:hAnsi="Arial" w:cs="Arial"/>
        </w:rPr>
        <w:t xml:space="preserve"> 2017</w:t>
      </w:r>
      <w:r w:rsidR="00ED2B2C">
        <w:rPr>
          <w:rFonts w:ascii="Arial" w:hAnsi="Arial" w:cs="Arial"/>
        </w:rPr>
        <w:t>b</w:t>
      </w:r>
      <w:r w:rsidR="006075D0">
        <w:rPr>
          <w:rFonts w:ascii="Arial" w:hAnsi="Arial" w:cs="Arial"/>
        </w:rPr>
        <w:t xml:space="preserve">). </w:t>
      </w:r>
    </w:p>
    <w:p w14:paraId="29AF7D80" w14:textId="1EC95378" w:rsidR="001B4DF5" w:rsidRDefault="00196197" w:rsidP="00F70214">
      <w:pPr>
        <w:spacing w:before="100" w:beforeAutospacing="1" w:after="100" w:afterAutospacing="1"/>
        <w:textAlignment w:val="top"/>
        <w:rPr>
          <w:rFonts w:ascii="Arial" w:hAnsi="Arial" w:cs="Arial"/>
        </w:rPr>
      </w:pPr>
      <w:r w:rsidRPr="00642EBF">
        <w:rPr>
          <w:rFonts w:ascii="Arial" w:hAnsi="Arial" w:cs="Arial"/>
        </w:rPr>
        <w:t>SPEUCs</w:t>
      </w:r>
      <w:r w:rsidR="009C5BF4">
        <w:rPr>
          <w:rFonts w:ascii="Arial" w:hAnsi="Arial" w:cs="Arial"/>
        </w:rPr>
        <w:t xml:space="preserve"> in this study also reported being unable</w:t>
      </w:r>
      <w:r w:rsidRPr="00642EBF">
        <w:rPr>
          <w:rFonts w:ascii="Arial" w:hAnsi="Arial" w:cs="Arial"/>
        </w:rPr>
        <w:t xml:space="preserve"> to autonomously </w:t>
      </w:r>
      <w:r w:rsidR="00AD174B">
        <w:rPr>
          <w:rFonts w:ascii="Arial" w:hAnsi="Arial" w:cs="Arial"/>
        </w:rPr>
        <w:t>supply sufficiently strong analgesia</w:t>
      </w:r>
      <w:r w:rsidR="00356D4A">
        <w:rPr>
          <w:rFonts w:ascii="Arial" w:hAnsi="Arial" w:cs="Arial"/>
        </w:rPr>
        <w:t xml:space="preserve"> for some patients in pain</w:t>
      </w:r>
      <w:r w:rsidRPr="00642EBF">
        <w:rPr>
          <w:rFonts w:ascii="Arial" w:hAnsi="Arial" w:cs="Arial"/>
        </w:rPr>
        <w:t>.</w:t>
      </w:r>
      <w:r w:rsidR="00133CE5">
        <w:rPr>
          <w:rFonts w:ascii="Arial" w:hAnsi="Arial" w:cs="Arial"/>
        </w:rPr>
        <w:t xml:space="preserve"> These restrictions sometimes led to delays in medicines supply, whilst a SPEUC sought </w:t>
      </w:r>
      <w:r w:rsidR="001C2EB3">
        <w:rPr>
          <w:rFonts w:ascii="Arial" w:hAnsi="Arial" w:cs="Arial"/>
        </w:rPr>
        <w:t xml:space="preserve">the assistance of </w:t>
      </w:r>
      <w:r w:rsidR="00133CE5">
        <w:rPr>
          <w:rFonts w:ascii="Arial" w:hAnsi="Arial" w:cs="Arial"/>
        </w:rPr>
        <w:t>a</w:t>
      </w:r>
      <w:r w:rsidR="00784B82">
        <w:rPr>
          <w:rFonts w:ascii="Arial" w:hAnsi="Arial" w:cs="Arial"/>
        </w:rPr>
        <w:t xml:space="preserve"> </w:t>
      </w:r>
      <w:r w:rsidR="00133CE5">
        <w:rPr>
          <w:rFonts w:ascii="Arial" w:hAnsi="Arial" w:cs="Arial"/>
        </w:rPr>
        <w:t>prescriber</w:t>
      </w:r>
      <w:r w:rsidR="001B4DF5">
        <w:rPr>
          <w:rFonts w:ascii="Arial" w:hAnsi="Arial" w:cs="Arial"/>
        </w:rPr>
        <w:t>.</w:t>
      </w:r>
      <w:r w:rsidR="0053263F" w:rsidRPr="008D3690">
        <w:rPr>
          <w:rFonts w:ascii="Arial" w:hAnsi="Arial" w:cs="Arial"/>
        </w:rPr>
        <w:t xml:space="preserve"> </w:t>
      </w:r>
      <w:r w:rsidR="001B4DF5" w:rsidRPr="0053263F">
        <w:rPr>
          <w:rFonts w:ascii="Arial" w:hAnsi="Arial" w:cs="Arial"/>
        </w:rPr>
        <w:t>This</w:t>
      </w:r>
      <w:r w:rsidR="001B4DF5" w:rsidRPr="00642EBF">
        <w:rPr>
          <w:rFonts w:ascii="Arial" w:hAnsi="Arial" w:cs="Arial"/>
        </w:rPr>
        <w:t xml:space="preserve"> has resource implications as well as implications for patient experience with regards to speed of access to medicines and continuity of care. It could also provoke unnecessary admission to hospital as participants also highlighted long delays and difficulties in </w:t>
      </w:r>
      <w:r w:rsidR="007E515C">
        <w:rPr>
          <w:rFonts w:ascii="Arial" w:hAnsi="Arial" w:cs="Arial"/>
        </w:rPr>
        <w:t xml:space="preserve">referring a patient to a medical </w:t>
      </w:r>
      <w:r w:rsidR="001B4DF5" w:rsidRPr="00642EBF">
        <w:rPr>
          <w:rFonts w:ascii="Arial" w:hAnsi="Arial" w:cs="Arial"/>
        </w:rPr>
        <w:t>prescriber</w:t>
      </w:r>
      <w:r w:rsidR="007E515C">
        <w:rPr>
          <w:rFonts w:ascii="Arial" w:hAnsi="Arial" w:cs="Arial"/>
        </w:rPr>
        <w:t>.</w:t>
      </w:r>
      <w:r w:rsidR="00433D9F">
        <w:rPr>
          <w:rFonts w:ascii="Arial" w:hAnsi="Arial" w:cs="Arial"/>
        </w:rPr>
        <w:t xml:space="preserve"> </w:t>
      </w:r>
      <w:bookmarkStart w:id="1" w:name="_GoBack"/>
      <w:r w:rsidR="00433D9F">
        <w:rPr>
          <w:rFonts w:ascii="Arial" w:hAnsi="Arial" w:cs="Arial"/>
        </w:rPr>
        <w:t>Furthermore,</w:t>
      </w:r>
      <w:r w:rsidR="00581AA8">
        <w:rPr>
          <w:rFonts w:ascii="Arial" w:hAnsi="Arial" w:cs="Arial"/>
        </w:rPr>
        <w:t xml:space="preserve"> whilst the use </w:t>
      </w:r>
      <w:r w:rsidR="00433D9F">
        <w:rPr>
          <w:rFonts w:ascii="Arial" w:hAnsi="Arial" w:cs="Arial"/>
        </w:rPr>
        <w:lastRenderedPageBreak/>
        <w:t>verbal orders</w:t>
      </w:r>
      <w:r w:rsidR="00581AA8">
        <w:rPr>
          <w:rFonts w:ascii="Arial" w:hAnsi="Arial" w:cs="Arial"/>
        </w:rPr>
        <w:t xml:space="preserve"> from a prescriber</w:t>
      </w:r>
      <w:r w:rsidR="00433D9F">
        <w:rPr>
          <w:rFonts w:ascii="Arial" w:hAnsi="Arial" w:cs="Arial"/>
        </w:rPr>
        <w:t xml:space="preserve"> to overcome PGD restrictions</w:t>
      </w:r>
      <w:r w:rsidR="00581AA8">
        <w:rPr>
          <w:rFonts w:ascii="Arial" w:hAnsi="Arial" w:cs="Arial"/>
        </w:rPr>
        <w:t xml:space="preserve"> is not prohibited by legislation, this practice is not </w:t>
      </w:r>
      <w:r w:rsidR="00433D9F">
        <w:rPr>
          <w:rFonts w:ascii="Arial" w:hAnsi="Arial" w:cs="Arial"/>
        </w:rPr>
        <w:t xml:space="preserve">supported by all NHS ambulance Trusts. Consequently, </w:t>
      </w:r>
      <w:r w:rsidR="00581AA8">
        <w:rPr>
          <w:rFonts w:ascii="Arial" w:hAnsi="Arial" w:cs="Arial"/>
        </w:rPr>
        <w:t>not all SPEUCs are</w:t>
      </w:r>
      <w:r w:rsidR="00433D9F">
        <w:rPr>
          <w:rFonts w:ascii="Arial" w:hAnsi="Arial" w:cs="Arial"/>
        </w:rPr>
        <w:t xml:space="preserve"> able to overcome PGD restrictions in this way.</w:t>
      </w:r>
      <w:r w:rsidR="001B4DF5" w:rsidRPr="00642EBF">
        <w:rPr>
          <w:rFonts w:ascii="Arial" w:hAnsi="Arial" w:cs="Arial"/>
        </w:rPr>
        <w:t xml:space="preserve"> </w:t>
      </w:r>
      <w:r w:rsidR="00122E39">
        <w:rPr>
          <w:rFonts w:ascii="Arial" w:hAnsi="Arial" w:cs="Arial"/>
        </w:rPr>
        <w:t xml:space="preserve">  </w:t>
      </w:r>
      <w:bookmarkEnd w:id="1"/>
    </w:p>
    <w:p w14:paraId="35F0D78F" w14:textId="55F95D90" w:rsidR="00904508" w:rsidRPr="00642EBF" w:rsidRDefault="00642D27" w:rsidP="00F70214">
      <w:pPr>
        <w:spacing w:before="100" w:beforeAutospacing="1" w:after="100" w:afterAutospacing="1"/>
        <w:textAlignment w:val="top"/>
        <w:rPr>
          <w:rFonts w:ascii="Arial" w:hAnsi="Arial" w:cs="Arial"/>
        </w:rPr>
      </w:pPr>
      <w:r>
        <w:rPr>
          <w:rFonts w:ascii="Arial" w:hAnsi="Arial" w:cs="Arial"/>
        </w:rPr>
        <w:t xml:space="preserve">The results of this study illustrate that </w:t>
      </w:r>
      <w:r w:rsidR="00B573E6">
        <w:rPr>
          <w:rFonts w:ascii="Arial" w:hAnsi="Arial" w:cs="Arial"/>
        </w:rPr>
        <w:t xml:space="preserve">PGDs </w:t>
      </w:r>
      <w:r w:rsidR="00443CD8">
        <w:rPr>
          <w:rFonts w:ascii="Arial" w:hAnsi="Arial" w:cs="Arial"/>
        </w:rPr>
        <w:t>provide</w:t>
      </w:r>
      <w:r w:rsidR="00B573E6">
        <w:rPr>
          <w:rFonts w:ascii="Arial" w:hAnsi="Arial" w:cs="Arial"/>
        </w:rPr>
        <w:t xml:space="preserve"> a method by which SPEUCs can</w:t>
      </w:r>
      <w:r>
        <w:rPr>
          <w:rFonts w:ascii="Arial" w:hAnsi="Arial" w:cs="Arial"/>
        </w:rPr>
        <w:t xml:space="preserve"> supply</w:t>
      </w:r>
      <w:r w:rsidR="002515FA">
        <w:rPr>
          <w:rFonts w:ascii="Arial" w:hAnsi="Arial" w:cs="Arial"/>
        </w:rPr>
        <w:t xml:space="preserve"> and administer</w:t>
      </w:r>
      <w:r>
        <w:rPr>
          <w:rFonts w:ascii="Arial" w:hAnsi="Arial" w:cs="Arial"/>
        </w:rPr>
        <w:t xml:space="preserve"> medication to patients in order to facilitate community treatment. Whilst a number of restrictions </w:t>
      </w:r>
      <w:r w:rsidR="00443CD8">
        <w:rPr>
          <w:rFonts w:ascii="Arial" w:hAnsi="Arial" w:cs="Arial"/>
        </w:rPr>
        <w:t xml:space="preserve">associated with PGDs </w:t>
      </w:r>
      <w:r w:rsidR="005263B0">
        <w:rPr>
          <w:rFonts w:ascii="Arial" w:hAnsi="Arial" w:cs="Arial"/>
        </w:rPr>
        <w:t>were highlighted by participants</w:t>
      </w:r>
      <w:r>
        <w:rPr>
          <w:rFonts w:ascii="Arial" w:hAnsi="Arial" w:cs="Arial"/>
        </w:rPr>
        <w:t xml:space="preserve">, </w:t>
      </w:r>
      <w:r w:rsidR="005263B0">
        <w:rPr>
          <w:rFonts w:ascii="Arial" w:hAnsi="Arial" w:cs="Arial"/>
        </w:rPr>
        <w:t>PGDs are required to be rigid and inflexible</w:t>
      </w:r>
      <w:r w:rsidR="00443CD8">
        <w:rPr>
          <w:rFonts w:ascii="Arial" w:hAnsi="Arial" w:cs="Arial"/>
        </w:rPr>
        <w:t xml:space="preserve"> to ensure patient safety and </w:t>
      </w:r>
      <w:r w:rsidR="00097ECA">
        <w:rPr>
          <w:rFonts w:ascii="Arial" w:hAnsi="Arial" w:cs="Arial"/>
        </w:rPr>
        <w:t xml:space="preserve">in order to </w:t>
      </w:r>
      <w:r w:rsidR="00443CD8">
        <w:rPr>
          <w:rFonts w:ascii="Arial" w:hAnsi="Arial" w:cs="Arial"/>
        </w:rPr>
        <w:t>comply with medicines legislation (NICE 2017b)</w:t>
      </w:r>
      <w:r w:rsidR="005263B0">
        <w:rPr>
          <w:rFonts w:ascii="Arial" w:hAnsi="Arial" w:cs="Arial"/>
        </w:rPr>
        <w:t>.</w:t>
      </w:r>
      <w:r w:rsidR="00097ECA" w:rsidRPr="00097ECA">
        <w:t xml:space="preserve"> </w:t>
      </w:r>
      <w:r w:rsidR="005719B4">
        <w:rPr>
          <w:rFonts w:ascii="Arial" w:hAnsi="Arial" w:cs="Arial"/>
        </w:rPr>
        <w:t>When developing PGDs</w:t>
      </w:r>
      <w:r w:rsidR="00097ECA" w:rsidRPr="00097ECA">
        <w:rPr>
          <w:rFonts w:ascii="Arial" w:hAnsi="Arial" w:cs="Arial"/>
        </w:rPr>
        <w:t xml:space="preserve"> however, NHS Trusts are advised to consider the views of relevant stakeholders, including clinicians and local medicines decision-making groups (NICE, 2017b)</w:t>
      </w:r>
      <w:r w:rsidR="002515FA">
        <w:rPr>
          <w:rFonts w:ascii="Arial" w:hAnsi="Arial" w:cs="Arial"/>
        </w:rPr>
        <w:t>.</w:t>
      </w:r>
      <w:r w:rsidR="00097ECA" w:rsidRPr="00097ECA">
        <w:rPr>
          <w:rFonts w:ascii="Arial" w:hAnsi="Arial" w:cs="Arial"/>
        </w:rPr>
        <w:t xml:space="preserve"> </w:t>
      </w:r>
      <w:r w:rsidR="00183D00">
        <w:rPr>
          <w:rFonts w:ascii="Arial" w:hAnsi="Arial" w:cs="Arial"/>
        </w:rPr>
        <w:t xml:space="preserve"> Additionally, some less experienced SPEUCs reported that </w:t>
      </w:r>
      <w:r w:rsidR="002D587D">
        <w:rPr>
          <w:rFonts w:ascii="Arial" w:hAnsi="Arial" w:cs="Arial"/>
        </w:rPr>
        <w:t>the restrictive nature of</w:t>
      </w:r>
      <w:r w:rsidR="00183D00">
        <w:rPr>
          <w:rFonts w:ascii="Arial" w:hAnsi="Arial" w:cs="Arial"/>
        </w:rPr>
        <w:t xml:space="preserve"> PGDs promoted safe</w:t>
      </w:r>
      <w:r w:rsidR="002D587D">
        <w:rPr>
          <w:rFonts w:ascii="Arial" w:hAnsi="Arial" w:cs="Arial"/>
        </w:rPr>
        <w:t xml:space="preserve"> clinical</w:t>
      </w:r>
      <w:r w:rsidR="00183D00">
        <w:rPr>
          <w:rFonts w:ascii="Arial" w:hAnsi="Arial" w:cs="Arial"/>
        </w:rPr>
        <w:t xml:space="preserve"> practice as they gained confidence and experience in using the additional range of SPEUC medications.</w:t>
      </w:r>
      <w:r w:rsidR="00A60B25">
        <w:rPr>
          <w:rFonts w:ascii="Arial" w:hAnsi="Arial" w:cs="Arial"/>
        </w:rPr>
        <w:t xml:space="preserve"> The findings from this study do</w:t>
      </w:r>
      <w:r w:rsidR="005263B0">
        <w:rPr>
          <w:rFonts w:ascii="Arial" w:hAnsi="Arial" w:cs="Arial"/>
        </w:rPr>
        <w:t xml:space="preserve"> however emphasise</w:t>
      </w:r>
      <w:r>
        <w:rPr>
          <w:rFonts w:ascii="Arial" w:hAnsi="Arial" w:cs="Arial"/>
        </w:rPr>
        <w:t xml:space="preserve"> the benefits that could arise from the development of SPEUCs into advanced paramedics </w:t>
      </w:r>
      <w:r w:rsidR="00C45B19">
        <w:rPr>
          <w:rFonts w:ascii="Arial" w:hAnsi="Arial" w:cs="Arial"/>
        </w:rPr>
        <w:t>capable of</w:t>
      </w:r>
      <w:r w:rsidR="00122E39">
        <w:rPr>
          <w:rFonts w:ascii="Arial" w:hAnsi="Arial" w:cs="Arial"/>
        </w:rPr>
        <w:t xml:space="preserve"> </w:t>
      </w:r>
      <w:r w:rsidR="00B4504C">
        <w:rPr>
          <w:rFonts w:ascii="Arial" w:hAnsi="Arial" w:cs="Arial"/>
        </w:rPr>
        <w:t>PISP</w:t>
      </w:r>
      <w:r>
        <w:rPr>
          <w:rFonts w:ascii="Arial" w:hAnsi="Arial" w:cs="Arial"/>
        </w:rPr>
        <w:t xml:space="preserve">. </w:t>
      </w:r>
      <w:r w:rsidR="009354BE">
        <w:rPr>
          <w:rFonts w:ascii="Arial" w:hAnsi="Arial" w:cs="Arial"/>
        </w:rPr>
        <w:t xml:space="preserve">Indeed, NICE outline that NHS Trusts </w:t>
      </w:r>
      <w:r w:rsidR="00CC24E1">
        <w:rPr>
          <w:rFonts w:ascii="Arial" w:hAnsi="Arial" w:cs="Arial"/>
        </w:rPr>
        <w:t>should</w:t>
      </w:r>
      <w:r w:rsidR="00605A9B">
        <w:rPr>
          <w:rFonts w:ascii="Arial" w:hAnsi="Arial" w:cs="Arial"/>
        </w:rPr>
        <w:t xml:space="preserve"> </w:t>
      </w:r>
      <w:r w:rsidR="009354BE">
        <w:rPr>
          <w:rFonts w:ascii="Arial" w:hAnsi="Arial" w:cs="Arial"/>
        </w:rPr>
        <w:t>c</w:t>
      </w:r>
      <w:r w:rsidR="00097ECA">
        <w:rPr>
          <w:rFonts w:ascii="Arial" w:hAnsi="Arial" w:cs="Arial"/>
        </w:rPr>
        <w:t xml:space="preserve">onsider </w:t>
      </w:r>
      <w:r w:rsidR="009354BE" w:rsidRPr="009354BE">
        <w:rPr>
          <w:rFonts w:ascii="Arial" w:hAnsi="Arial" w:cs="Arial"/>
        </w:rPr>
        <w:t>investing in the training of add</w:t>
      </w:r>
      <w:r w:rsidR="00CC24E1">
        <w:rPr>
          <w:rFonts w:ascii="Arial" w:hAnsi="Arial" w:cs="Arial"/>
        </w:rPr>
        <w:t>itional non-medical prescribers</w:t>
      </w:r>
      <w:r w:rsidR="00605A9B">
        <w:rPr>
          <w:rFonts w:ascii="Arial" w:hAnsi="Arial" w:cs="Arial"/>
        </w:rPr>
        <w:t xml:space="preserve"> as an alternative to using PGDs</w:t>
      </w:r>
      <w:r w:rsidR="00CC24E1">
        <w:rPr>
          <w:rFonts w:ascii="Arial" w:hAnsi="Arial" w:cs="Arial"/>
        </w:rPr>
        <w:t xml:space="preserve"> </w:t>
      </w:r>
      <w:r w:rsidR="009354BE">
        <w:rPr>
          <w:rFonts w:ascii="Arial" w:hAnsi="Arial" w:cs="Arial"/>
        </w:rPr>
        <w:t>(NICE 2017b).</w:t>
      </w:r>
      <w:r w:rsidR="005263B0">
        <w:rPr>
          <w:rFonts w:ascii="Arial" w:hAnsi="Arial" w:cs="Arial"/>
        </w:rPr>
        <w:t xml:space="preserve"> </w:t>
      </w:r>
    </w:p>
    <w:p w14:paraId="052FA4DD" w14:textId="269BC905" w:rsidR="00196197" w:rsidRPr="00642EBF" w:rsidRDefault="00196197" w:rsidP="00F70214">
      <w:pPr>
        <w:spacing w:before="100" w:beforeAutospacing="1" w:after="100" w:afterAutospacing="1"/>
        <w:textAlignment w:val="top"/>
        <w:rPr>
          <w:rFonts w:ascii="Arial" w:hAnsi="Arial" w:cs="Arial"/>
        </w:rPr>
      </w:pPr>
      <w:r w:rsidRPr="00642EBF">
        <w:rPr>
          <w:rFonts w:ascii="Arial" w:hAnsi="Arial" w:cs="Arial"/>
        </w:rPr>
        <w:t xml:space="preserve">A </w:t>
      </w:r>
      <w:r w:rsidR="00133CE5">
        <w:rPr>
          <w:rFonts w:ascii="Arial" w:hAnsi="Arial" w:cs="Arial"/>
        </w:rPr>
        <w:t>strong likelihood of</w:t>
      </w:r>
      <w:r w:rsidRPr="00642EBF">
        <w:rPr>
          <w:rFonts w:ascii="Arial" w:hAnsi="Arial" w:cs="Arial"/>
        </w:rPr>
        <w:t xml:space="preserve"> undertak</w:t>
      </w:r>
      <w:r w:rsidR="00133CE5">
        <w:rPr>
          <w:rFonts w:ascii="Arial" w:hAnsi="Arial" w:cs="Arial"/>
        </w:rPr>
        <w:t>ing</w:t>
      </w:r>
      <w:r w:rsidRPr="00642EBF">
        <w:rPr>
          <w:rFonts w:ascii="Arial" w:hAnsi="Arial" w:cs="Arial"/>
        </w:rPr>
        <w:t xml:space="preserve"> </w:t>
      </w:r>
      <w:r w:rsidR="004B036C">
        <w:rPr>
          <w:rFonts w:ascii="Arial" w:hAnsi="Arial" w:cs="Arial"/>
        </w:rPr>
        <w:t>PISP</w:t>
      </w:r>
      <w:r w:rsidRPr="00642EBF">
        <w:rPr>
          <w:rFonts w:ascii="Arial" w:hAnsi="Arial" w:cs="Arial"/>
        </w:rPr>
        <w:t xml:space="preserve"> </w:t>
      </w:r>
      <w:r w:rsidR="00133CE5">
        <w:rPr>
          <w:rFonts w:ascii="Arial" w:hAnsi="Arial" w:cs="Arial"/>
        </w:rPr>
        <w:t xml:space="preserve">training </w:t>
      </w:r>
      <w:r w:rsidRPr="00642EBF">
        <w:rPr>
          <w:rFonts w:ascii="Arial" w:hAnsi="Arial" w:cs="Arial"/>
        </w:rPr>
        <w:t xml:space="preserve">was reported by the majority of SPEUCs who participated in the study, alongside a high degree of reported readiness of skills and knowledge. This may be linked to the significant number of participants who had either completed or were </w:t>
      </w:r>
      <w:r w:rsidR="00356D4A">
        <w:rPr>
          <w:rFonts w:ascii="Arial" w:hAnsi="Arial" w:cs="Arial"/>
        </w:rPr>
        <w:t>undertaking</w:t>
      </w:r>
      <w:r w:rsidRPr="00642EBF">
        <w:rPr>
          <w:rFonts w:ascii="Arial" w:hAnsi="Arial" w:cs="Arial"/>
        </w:rPr>
        <w:t xml:space="preserve"> post-graduate level education. The majority of SPEUCs in this study agreed with cu</w:t>
      </w:r>
      <w:r w:rsidR="001B2F2C">
        <w:rPr>
          <w:rFonts w:ascii="Arial" w:hAnsi="Arial" w:cs="Arial"/>
        </w:rPr>
        <w:t xml:space="preserve">rrent policy recommendations </w:t>
      </w:r>
      <w:r w:rsidRPr="00642EBF">
        <w:rPr>
          <w:rFonts w:ascii="Arial" w:hAnsi="Arial" w:cs="Arial"/>
        </w:rPr>
        <w:t>a</w:t>
      </w:r>
      <w:r w:rsidR="00BE7B33">
        <w:rPr>
          <w:rFonts w:ascii="Arial" w:hAnsi="Arial" w:cs="Arial"/>
        </w:rPr>
        <w:t xml:space="preserve">nd previous research findings </w:t>
      </w:r>
      <w:r w:rsidRPr="00642EBF">
        <w:rPr>
          <w:rFonts w:ascii="Arial" w:hAnsi="Arial" w:cs="Arial"/>
        </w:rPr>
        <w:t xml:space="preserve">that </w:t>
      </w:r>
      <w:r w:rsidR="004B036C">
        <w:rPr>
          <w:rFonts w:ascii="Arial" w:hAnsi="Arial" w:cs="Arial"/>
        </w:rPr>
        <w:t>PISP</w:t>
      </w:r>
      <w:r w:rsidRPr="00642EBF">
        <w:rPr>
          <w:rFonts w:ascii="Arial" w:hAnsi="Arial" w:cs="Arial"/>
        </w:rPr>
        <w:t xml:space="preserve"> should only be undertaken by experienced advanced level paramedics</w:t>
      </w:r>
      <w:r w:rsidR="00D70139">
        <w:rPr>
          <w:rFonts w:ascii="Arial" w:hAnsi="Arial" w:cs="Arial"/>
        </w:rPr>
        <w:t xml:space="preserve"> (NHS England, 2016</w:t>
      </w:r>
      <w:r w:rsidR="008F1993">
        <w:rPr>
          <w:rFonts w:ascii="Arial" w:hAnsi="Arial" w:cs="Arial"/>
        </w:rPr>
        <w:t>;</w:t>
      </w:r>
      <w:r w:rsidR="00D70139">
        <w:rPr>
          <w:rFonts w:ascii="Arial" w:hAnsi="Arial" w:cs="Arial"/>
        </w:rPr>
        <w:t xml:space="preserve"> CHM, 2017</w:t>
      </w:r>
      <w:r w:rsidR="008F1993">
        <w:rPr>
          <w:rFonts w:ascii="Arial" w:hAnsi="Arial" w:cs="Arial"/>
        </w:rPr>
        <w:t>;</w:t>
      </w:r>
      <w:r w:rsidR="00D70139">
        <w:rPr>
          <w:rFonts w:ascii="Arial" w:hAnsi="Arial" w:cs="Arial"/>
        </w:rPr>
        <w:t xml:space="preserve"> Duffy and Jones, 2017)</w:t>
      </w:r>
      <w:r w:rsidRPr="00642EBF">
        <w:rPr>
          <w:rFonts w:ascii="Arial" w:hAnsi="Arial" w:cs="Arial"/>
        </w:rPr>
        <w:t>.</w:t>
      </w:r>
      <w:r w:rsidR="00D70139">
        <w:rPr>
          <w:rFonts w:ascii="Arial" w:hAnsi="Arial" w:cs="Arial"/>
        </w:rPr>
        <w:t xml:space="preserve"> </w:t>
      </w:r>
      <w:r w:rsidRPr="00642EBF">
        <w:rPr>
          <w:rFonts w:ascii="Arial" w:hAnsi="Arial" w:cs="Arial"/>
        </w:rPr>
        <w:t>A recent study</w:t>
      </w:r>
      <w:r w:rsidR="00BE7B33">
        <w:rPr>
          <w:rFonts w:ascii="Arial" w:hAnsi="Arial" w:cs="Arial"/>
        </w:rPr>
        <w:t xml:space="preserve"> of nurse independent</w:t>
      </w:r>
      <w:r w:rsidR="00A970CD">
        <w:rPr>
          <w:rFonts w:ascii="Arial" w:hAnsi="Arial" w:cs="Arial"/>
        </w:rPr>
        <w:t xml:space="preserve"> and supplementary</w:t>
      </w:r>
      <w:r w:rsidR="00BE7B33">
        <w:rPr>
          <w:rFonts w:ascii="Arial" w:hAnsi="Arial" w:cs="Arial"/>
        </w:rPr>
        <w:t xml:space="preserve"> prescribers (</w:t>
      </w:r>
      <w:r w:rsidR="004B036C">
        <w:rPr>
          <w:rFonts w:ascii="Arial" w:hAnsi="Arial" w:cs="Arial"/>
        </w:rPr>
        <w:t>NISP</w:t>
      </w:r>
      <w:r w:rsidR="00BE7B33">
        <w:rPr>
          <w:rFonts w:ascii="Arial" w:hAnsi="Arial" w:cs="Arial"/>
        </w:rPr>
        <w:t>s)</w:t>
      </w:r>
      <w:r w:rsidRPr="00642EBF">
        <w:rPr>
          <w:rFonts w:ascii="Arial" w:hAnsi="Arial" w:cs="Arial"/>
        </w:rPr>
        <w:t xml:space="preserve"> lends further support to this, outlining how </w:t>
      </w:r>
      <w:r w:rsidR="004B036C">
        <w:rPr>
          <w:rFonts w:ascii="Arial" w:hAnsi="Arial" w:cs="Arial"/>
        </w:rPr>
        <w:t>NISP</w:t>
      </w:r>
      <w:r w:rsidRPr="00642EBF">
        <w:rPr>
          <w:rFonts w:ascii="Arial" w:hAnsi="Arial" w:cs="Arial"/>
        </w:rPr>
        <w:t>s described the importance of both clinical experience and advanced clin</w:t>
      </w:r>
      <w:r w:rsidR="00BE7B33">
        <w:rPr>
          <w:rFonts w:ascii="Arial" w:hAnsi="Arial" w:cs="Arial"/>
        </w:rPr>
        <w:t xml:space="preserve">ical skills training for </w:t>
      </w:r>
      <w:r w:rsidR="004B036C">
        <w:rPr>
          <w:rFonts w:ascii="Arial" w:hAnsi="Arial" w:cs="Arial"/>
        </w:rPr>
        <w:t>NISP</w:t>
      </w:r>
      <w:r w:rsidR="00D70139">
        <w:rPr>
          <w:rFonts w:ascii="Arial" w:hAnsi="Arial" w:cs="Arial"/>
        </w:rPr>
        <w:t xml:space="preserve"> (Abuzour, Lewis and Tully, 2018)</w:t>
      </w:r>
    </w:p>
    <w:p w14:paraId="0FD46CBC" w14:textId="2BA7F960" w:rsidR="00196197" w:rsidRPr="00642EBF" w:rsidRDefault="00196197" w:rsidP="00F70214">
      <w:pPr>
        <w:spacing w:before="100" w:beforeAutospacing="1" w:after="100" w:afterAutospacing="1"/>
        <w:textAlignment w:val="top"/>
        <w:rPr>
          <w:rFonts w:ascii="Arial" w:hAnsi="Arial" w:cs="Arial"/>
        </w:rPr>
      </w:pPr>
      <w:r w:rsidRPr="00642EBF">
        <w:rPr>
          <w:rFonts w:ascii="Arial" w:hAnsi="Arial" w:cs="Arial"/>
        </w:rPr>
        <w:t xml:space="preserve">Previous research has </w:t>
      </w:r>
      <w:r w:rsidR="00A970CD">
        <w:rPr>
          <w:rFonts w:ascii="Arial" w:hAnsi="Arial" w:cs="Arial"/>
        </w:rPr>
        <w:t xml:space="preserve">also </w:t>
      </w:r>
      <w:r w:rsidRPr="00642EBF">
        <w:rPr>
          <w:rFonts w:ascii="Arial" w:hAnsi="Arial" w:cs="Arial"/>
        </w:rPr>
        <w:t xml:space="preserve">demonstrated high levels of confidence and ability </w:t>
      </w:r>
      <w:r w:rsidR="00EC44CA">
        <w:rPr>
          <w:rFonts w:ascii="Arial" w:hAnsi="Arial" w:cs="Arial"/>
        </w:rPr>
        <w:t xml:space="preserve">by </w:t>
      </w:r>
      <w:r w:rsidR="004B036C">
        <w:rPr>
          <w:rFonts w:ascii="Arial" w:hAnsi="Arial" w:cs="Arial"/>
        </w:rPr>
        <w:t>NISP</w:t>
      </w:r>
      <w:r w:rsidR="00EC44CA">
        <w:rPr>
          <w:rFonts w:ascii="Arial" w:hAnsi="Arial" w:cs="Arial"/>
        </w:rPr>
        <w:t xml:space="preserve">s </w:t>
      </w:r>
      <w:r w:rsidRPr="00642EBF">
        <w:rPr>
          <w:rFonts w:ascii="Arial" w:hAnsi="Arial" w:cs="Arial"/>
        </w:rPr>
        <w:t>when prescribing</w:t>
      </w:r>
      <w:r w:rsidR="00997455">
        <w:rPr>
          <w:rFonts w:ascii="Arial" w:hAnsi="Arial" w:cs="Arial"/>
        </w:rPr>
        <w:t xml:space="preserve"> (Latter et al. 2010)</w:t>
      </w:r>
      <w:r w:rsidR="001E22A9">
        <w:rPr>
          <w:rFonts w:ascii="Arial" w:hAnsi="Arial" w:cs="Arial"/>
        </w:rPr>
        <w:t>.</w:t>
      </w:r>
      <w:r w:rsidRPr="00642EBF">
        <w:rPr>
          <w:rFonts w:ascii="Arial" w:hAnsi="Arial" w:cs="Arial"/>
        </w:rPr>
        <w:t xml:space="preserve"> A range of benefits</w:t>
      </w:r>
      <w:r w:rsidR="001E22A9">
        <w:rPr>
          <w:rFonts w:ascii="Arial" w:hAnsi="Arial" w:cs="Arial"/>
        </w:rPr>
        <w:t xml:space="preserve"> and limitations</w:t>
      </w:r>
      <w:r w:rsidRPr="00642EBF">
        <w:rPr>
          <w:rFonts w:ascii="Arial" w:hAnsi="Arial" w:cs="Arial"/>
        </w:rPr>
        <w:t xml:space="preserve"> to </w:t>
      </w:r>
      <w:r w:rsidR="00BE7B33">
        <w:rPr>
          <w:rFonts w:ascii="Arial" w:hAnsi="Arial" w:cs="Arial"/>
        </w:rPr>
        <w:t xml:space="preserve">prescribing were reported </w:t>
      </w:r>
      <w:r w:rsidRPr="00642EBF">
        <w:rPr>
          <w:rFonts w:ascii="Arial" w:hAnsi="Arial" w:cs="Arial"/>
        </w:rPr>
        <w:t>and results from th</w:t>
      </w:r>
      <w:r w:rsidR="00133CE5">
        <w:rPr>
          <w:rFonts w:ascii="Arial" w:hAnsi="Arial" w:cs="Arial"/>
        </w:rPr>
        <w:t>e</w:t>
      </w:r>
      <w:r w:rsidRPr="00642EBF">
        <w:rPr>
          <w:rFonts w:ascii="Arial" w:hAnsi="Arial" w:cs="Arial"/>
        </w:rPr>
        <w:t xml:space="preserve"> study </w:t>
      </w:r>
      <w:r w:rsidR="00133CE5">
        <w:rPr>
          <w:rFonts w:ascii="Arial" w:hAnsi="Arial" w:cs="Arial"/>
        </w:rPr>
        <w:t xml:space="preserve">reported here </w:t>
      </w:r>
      <w:r w:rsidRPr="00642EBF">
        <w:rPr>
          <w:rFonts w:ascii="Arial" w:hAnsi="Arial" w:cs="Arial"/>
        </w:rPr>
        <w:t xml:space="preserve">indicate </w:t>
      </w:r>
      <w:r w:rsidR="00D35992" w:rsidRPr="00D35992">
        <w:rPr>
          <w:rFonts w:ascii="Arial" w:hAnsi="Arial" w:cs="Arial"/>
        </w:rPr>
        <w:t xml:space="preserve">that a </w:t>
      </w:r>
      <w:r w:rsidRPr="00642EBF">
        <w:rPr>
          <w:rFonts w:ascii="Arial" w:hAnsi="Arial" w:cs="Arial"/>
        </w:rPr>
        <w:t xml:space="preserve">similar range of potential benefits </w:t>
      </w:r>
      <w:r w:rsidR="001E22A9">
        <w:rPr>
          <w:rFonts w:ascii="Arial" w:hAnsi="Arial" w:cs="Arial"/>
        </w:rPr>
        <w:t xml:space="preserve">and limitations </w:t>
      </w:r>
      <w:r w:rsidR="00133CE5">
        <w:rPr>
          <w:rFonts w:ascii="Arial" w:hAnsi="Arial" w:cs="Arial"/>
        </w:rPr>
        <w:t xml:space="preserve">are anticipated </w:t>
      </w:r>
      <w:r w:rsidRPr="00642EBF">
        <w:rPr>
          <w:rFonts w:ascii="Arial" w:hAnsi="Arial" w:cs="Arial"/>
        </w:rPr>
        <w:t xml:space="preserve">from the introduction </w:t>
      </w:r>
      <w:r w:rsidR="00133CE5">
        <w:rPr>
          <w:rFonts w:ascii="Arial" w:hAnsi="Arial" w:cs="Arial"/>
        </w:rPr>
        <w:t xml:space="preserve">of </w:t>
      </w:r>
      <w:r w:rsidR="004B036C">
        <w:rPr>
          <w:rFonts w:ascii="Arial" w:hAnsi="Arial" w:cs="Arial"/>
        </w:rPr>
        <w:t>PISP</w:t>
      </w:r>
      <w:r w:rsidR="00997455">
        <w:rPr>
          <w:rFonts w:ascii="Arial" w:hAnsi="Arial" w:cs="Arial"/>
        </w:rPr>
        <w:t xml:space="preserve"> (Latter et al. 2010</w:t>
      </w:r>
      <w:r w:rsidR="008F1993">
        <w:rPr>
          <w:rFonts w:ascii="Arial" w:hAnsi="Arial" w:cs="Arial"/>
        </w:rPr>
        <w:t>;</w:t>
      </w:r>
      <w:r w:rsidR="00997455">
        <w:rPr>
          <w:rFonts w:ascii="Arial" w:hAnsi="Arial" w:cs="Arial"/>
        </w:rPr>
        <w:t xml:space="preserve"> Stenner</w:t>
      </w:r>
      <w:r w:rsidR="001B2F2C">
        <w:rPr>
          <w:rFonts w:ascii="Arial" w:hAnsi="Arial" w:cs="Arial"/>
        </w:rPr>
        <w:t>,</w:t>
      </w:r>
      <w:r w:rsidR="00997455">
        <w:rPr>
          <w:rFonts w:ascii="Arial" w:hAnsi="Arial" w:cs="Arial"/>
        </w:rPr>
        <w:t xml:space="preserve"> Carey and Courtenay, 2012</w:t>
      </w:r>
      <w:r w:rsidR="008F1993">
        <w:rPr>
          <w:rFonts w:ascii="Arial" w:hAnsi="Arial" w:cs="Arial"/>
        </w:rPr>
        <w:t>;</w:t>
      </w:r>
      <w:r w:rsidR="00997455">
        <w:rPr>
          <w:rFonts w:ascii="Arial" w:hAnsi="Arial" w:cs="Arial"/>
        </w:rPr>
        <w:t xml:space="preserve"> Herklots, Baileff and Latter, 2015</w:t>
      </w:r>
      <w:r w:rsidR="008F1993">
        <w:rPr>
          <w:rFonts w:ascii="Arial" w:hAnsi="Arial" w:cs="Arial"/>
        </w:rPr>
        <w:t xml:space="preserve">; </w:t>
      </w:r>
      <w:r w:rsidR="00997455">
        <w:rPr>
          <w:rFonts w:ascii="Arial" w:hAnsi="Arial" w:cs="Arial"/>
        </w:rPr>
        <w:t>Courtenay, Carey and Stenner, 2012.)</w:t>
      </w:r>
      <w:r w:rsidR="001B2F2C" w:rsidRPr="00642EBF">
        <w:rPr>
          <w:rFonts w:ascii="Arial" w:hAnsi="Arial" w:cs="Arial"/>
        </w:rPr>
        <w:t xml:space="preserve"> </w:t>
      </w:r>
      <w:r w:rsidR="001E22A9">
        <w:rPr>
          <w:rFonts w:ascii="Arial" w:hAnsi="Arial" w:cs="Arial"/>
        </w:rPr>
        <w:t xml:space="preserve"> Associated benefits</w:t>
      </w:r>
      <w:r w:rsidRPr="00642EBF">
        <w:rPr>
          <w:rFonts w:ascii="Arial" w:hAnsi="Arial" w:cs="Arial"/>
        </w:rPr>
        <w:t xml:space="preserve"> inclu</w:t>
      </w:r>
      <w:r w:rsidR="00BC3D9C" w:rsidRPr="00BC3D9C">
        <w:rPr>
          <w:rFonts w:ascii="Arial" w:hAnsi="Arial" w:cs="Arial"/>
        </w:rPr>
        <w:t>ded increased job satisfaction</w:t>
      </w:r>
      <w:r w:rsidRPr="00642EBF">
        <w:rPr>
          <w:rFonts w:ascii="Arial" w:hAnsi="Arial" w:cs="Arial"/>
        </w:rPr>
        <w:t>, the ability to provide holistic care, increased knowledge, confid</w:t>
      </w:r>
      <w:r w:rsidR="00BC3D9C" w:rsidRPr="00BC3D9C">
        <w:rPr>
          <w:rFonts w:ascii="Arial" w:hAnsi="Arial" w:cs="Arial"/>
        </w:rPr>
        <w:t>ence and decis</w:t>
      </w:r>
      <w:r w:rsidR="00BC3D9C">
        <w:rPr>
          <w:rFonts w:ascii="Arial" w:hAnsi="Arial" w:cs="Arial"/>
        </w:rPr>
        <w:t>ion-making skills</w:t>
      </w:r>
      <w:r w:rsidRPr="00642EBF">
        <w:rPr>
          <w:rFonts w:ascii="Arial" w:hAnsi="Arial" w:cs="Arial"/>
        </w:rPr>
        <w:t>, alongside enhancem</w:t>
      </w:r>
      <w:r w:rsidR="00F5456C">
        <w:rPr>
          <w:rFonts w:ascii="Arial" w:hAnsi="Arial" w:cs="Arial"/>
        </w:rPr>
        <w:t>ents to their professional role to develop into well informed practitioners capable of treating the plethora of medical conditions encountered in practice.</w:t>
      </w:r>
      <w:r w:rsidR="002F3FC2">
        <w:rPr>
          <w:rFonts w:ascii="Arial" w:hAnsi="Arial" w:cs="Arial"/>
        </w:rPr>
        <w:t xml:space="preserve"> Whilst an increased range of medication was also cited as a potential benefit of PISP, advanced paramedics adopting PISP w</w:t>
      </w:r>
      <w:r w:rsidR="00531CB2">
        <w:rPr>
          <w:rFonts w:ascii="Arial" w:hAnsi="Arial" w:cs="Arial"/>
        </w:rPr>
        <w:t>ill</w:t>
      </w:r>
      <w:r w:rsidR="002515FA">
        <w:rPr>
          <w:rFonts w:ascii="Arial" w:hAnsi="Arial" w:cs="Arial"/>
        </w:rPr>
        <w:t xml:space="preserve"> </w:t>
      </w:r>
      <w:r w:rsidR="002F3FC2">
        <w:rPr>
          <w:rFonts w:ascii="Arial" w:hAnsi="Arial" w:cs="Arial"/>
        </w:rPr>
        <w:t>develop</w:t>
      </w:r>
      <w:r w:rsidR="00DF548E">
        <w:rPr>
          <w:rFonts w:ascii="Arial" w:hAnsi="Arial" w:cs="Arial"/>
        </w:rPr>
        <w:t xml:space="preserve"> a personal formulary and</w:t>
      </w:r>
      <w:r w:rsidR="002F3FC2">
        <w:rPr>
          <w:rFonts w:ascii="Arial" w:hAnsi="Arial" w:cs="Arial"/>
        </w:rPr>
        <w:t xml:space="preserve"> only prescribe within their scope </w:t>
      </w:r>
      <w:r w:rsidR="00A72519">
        <w:rPr>
          <w:rFonts w:ascii="Arial" w:hAnsi="Arial" w:cs="Arial"/>
        </w:rPr>
        <w:t>of knowledge and confidence (</w:t>
      </w:r>
      <w:r w:rsidR="00932A13">
        <w:rPr>
          <w:rFonts w:ascii="Arial" w:hAnsi="Arial" w:cs="Arial"/>
        </w:rPr>
        <w:t>College of Paramedics,</w:t>
      </w:r>
      <w:r w:rsidR="00A72519">
        <w:rPr>
          <w:rFonts w:ascii="Arial" w:hAnsi="Arial" w:cs="Arial"/>
        </w:rPr>
        <w:t xml:space="preserve"> 2018</w:t>
      </w:r>
      <w:r w:rsidR="002F3FC2">
        <w:rPr>
          <w:rFonts w:ascii="Arial" w:hAnsi="Arial" w:cs="Arial"/>
        </w:rPr>
        <w:t>).</w:t>
      </w:r>
    </w:p>
    <w:p w14:paraId="635C0F7C" w14:textId="6E52EB2E" w:rsidR="00BC3D9C" w:rsidRDefault="005719B4" w:rsidP="00F70214">
      <w:pPr>
        <w:spacing w:before="100" w:beforeAutospacing="1" w:after="100" w:afterAutospacing="1"/>
        <w:textAlignment w:val="top"/>
        <w:rPr>
          <w:rFonts w:ascii="Arial" w:hAnsi="Arial" w:cs="Arial"/>
        </w:rPr>
      </w:pPr>
      <w:r>
        <w:rPr>
          <w:rFonts w:ascii="Arial" w:hAnsi="Arial" w:cs="Arial"/>
        </w:rPr>
        <w:t xml:space="preserve">The </w:t>
      </w:r>
      <w:r w:rsidR="00196197" w:rsidRPr="00642EBF">
        <w:rPr>
          <w:rFonts w:ascii="Arial" w:hAnsi="Arial" w:cs="Arial"/>
        </w:rPr>
        <w:t xml:space="preserve">majority of SPEUCs in this study also </w:t>
      </w:r>
      <w:r w:rsidR="00133CE5">
        <w:rPr>
          <w:rFonts w:ascii="Arial" w:hAnsi="Arial" w:cs="Arial"/>
        </w:rPr>
        <w:t>held views which were in accord</w:t>
      </w:r>
      <w:r w:rsidR="00196197" w:rsidRPr="00642EBF">
        <w:rPr>
          <w:rFonts w:ascii="Arial" w:hAnsi="Arial" w:cs="Arial"/>
        </w:rPr>
        <w:t xml:space="preserve"> with findings from research regarding </w:t>
      </w:r>
      <w:r w:rsidR="004B036C">
        <w:rPr>
          <w:rFonts w:ascii="Arial" w:hAnsi="Arial" w:cs="Arial"/>
        </w:rPr>
        <w:t>NISP</w:t>
      </w:r>
      <w:r w:rsidR="00196197" w:rsidRPr="00642EBF">
        <w:rPr>
          <w:rFonts w:ascii="Arial" w:hAnsi="Arial" w:cs="Arial"/>
        </w:rPr>
        <w:t xml:space="preserve">s </w:t>
      </w:r>
      <w:r w:rsidR="00BE7B33">
        <w:rPr>
          <w:rFonts w:ascii="Arial" w:hAnsi="Arial" w:cs="Arial"/>
        </w:rPr>
        <w:t xml:space="preserve">and </w:t>
      </w:r>
      <w:r w:rsidR="00196197" w:rsidRPr="00642EBF">
        <w:rPr>
          <w:rFonts w:ascii="Arial" w:hAnsi="Arial" w:cs="Arial"/>
        </w:rPr>
        <w:t xml:space="preserve">that the introduction of </w:t>
      </w:r>
      <w:r w:rsidR="004B036C">
        <w:rPr>
          <w:rFonts w:ascii="Arial" w:hAnsi="Arial" w:cs="Arial"/>
        </w:rPr>
        <w:t>PISP</w:t>
      </w:r>
      <w:r w:rsidR="00196197" w:rsidRPr="00642EBF">
        <w:rPr>
          <w:rFonts w:ascii="Arial" w:hAnsi="Arial" w:cs="Arial"/>
        </w:rPr>
        <w:t xml:space="preserve"> might</w:t>
      </w:r>
      <w:r w:rsidR="00EC44CA">
        <w:rPr>
          <w:rFonts w:ascii="Arial" w:hAnsi="Arial" w:cs="Arial"/>
        </w:rPr>
        <w:t xml:space="preserve"> also</w:t>
      </w:r>
      <w:r w:rsidR="00196197" w:rsidRPr="00642EBF">
        <w:rPr>
          <w:rFonts w:ascii="Arial" w:hAnsi="Arial" w:cs="Arial"/>
        </w:rPr>
        <w:t xml:space="preserve"> involve </w:t>
      </w:r>
      <w:r w:rsidR="00133CE5">
        <w:rPr>
          <w:rFonts w:ascii="Arial" w:hAnsi="Arial" w:cs="Arial"/>
        </w:rPr>
        <w:t xml:space="preserve">negotiating </w:t>
      </w:r>
      <w:r w:rsidR="00196197" w:rsidRPr="00642EBF">
        <w:rPr>
          <w:rFonts w:ascii="Arial" w:hAnsi="Arial" w:cs="Arial"/>
        </w:rPr>
        <w:t xml:space="preserve">several </w:t>
      </w:r>
      <w:r w:rsidR="00133CE5">
        <w:rPr>
          <w:rFonts w:ascii="Arial" w:hAnsi="Arial" w:cs="Arial"/>
        </w:rPr>
        <w:t>challenges</w:t>
      </w:r>
      <w:r w:rsidR="001E22A9">
        <w:rPr>
          <w:rFonts w:ascii="Arial" w:hAnsi="Arial" w:cs="Arial"/>
        </w:rPr>
        <w:t>.</w:t>
      </w:r>
      <w:r w:rsidR="001B2F2C">
        <w:rPr>
          <w:rFonts w:ascii="Arial" w:hAnsi="Arial" w:cs="Arial"/>
        </w:rPr>
        <w:t xml:space="preserve"> </w:t>
      </w:r>
      <w:r w:rsidR="00BC3D9C">
        <w:rPr>
          <w:rFonts w:ascii="Arial" w:hAnsi="Arial" w:cs="Arial"/>
        </w:rPr>
        <w:t>These</w:t>
      </w:r>
      <w:r w:rsidR="00BC3D9C" w:rsidRPr="00BC3D9C">
        <w:rPr>
          <w:rFonts w:ascii="Arial" w:hAnsi="Arial" w:cs="Arial"/>
        </w:rPr>
        <w:t xml:space="preserve"> includ</w:t>
      </w:r>
      <w:r w:rsidR="00BC3D9C">
        <w:rPr>
          <w:rFonts w:ascii="Arial" w:hAnsi="Arial" w:cs="Arial"/>
        </w:rPr>
        <w:t>ed</w:t>
      </w:r>
      <w:r w:rsidR="00196197" w:rsidRPr="00642EBF">
        <w:rPr>
          <w:rFonts w:ascii="Arial" w:hAnsi="Arial" w:cs="Arial"/>
        </w:rPr>
        <w:t xml:space="preserve"> a lack of organisational readiness, difficulties accessing patient records to support prescribing, </w:t>
      </w:r>
      <w:r w:rsidR="00BC3D9C" w:rsidRPr="00BC3D9C">
        <w:rPr>
          <w:rFonts w:ascii="Arial" w:hAnsi="Arial" w:cs="Arial"/>
        </w:rPr>
        <w:t>increase</w:t>
      </w:r>
      <w:r w:rsidR="00BC3D9C">
        <w:rPr>
          <w:rFonts w:ascii="Arial" w:hAnsi="Arial" w:cs="Arial"/>
        </w:rPr>
        <w:t>d</w:t>
      </w:r>
      <w:r w:rsidR="00196197" w:rsidRPr="00642EBF">
        <w:rPr>
          <w:rFonts w:ascii="Arial" w:hAnsi="Arial" w:cs="Arial"/>
        </w:rPr>
        <w:t xml:space="preserve"> responsibility, risk of litigatio</w:t>
      </w:r>
      <w:r w:rsidR="004653F9" w:rsidRPr="004653F9">
        <w:rPr>
          <w:rFonts w:ascii="Arial" w:hAnsi="Arial" w:cs="Arial"/>
        </w:rPr>
        <w:t>n and professional consequences</w:t>
      </w:r>
      <w:r w:rsidR="004653F9">
        <w:rPr>
          <w:rFonts w:ascii="Arial" w:hAnsi="Arial" w:cs="Arial"/>
        </w:rPr>
        <w:t xml:space="preserve"> </w:t>
      </w:r>
      <w:r w:rsidR="00D30136" w:rsidRPr="001B2F2C">
        <w:rPr>
          <w:rFonts w:ascii="Arial" w:hAnsi="Arial" w:cs="Arial"/>
        </w:rPr>
        <w:t>alongside</w:t>
      </w:r>
      <w:r w:rsidR="00196197" w:rsidRPr="00642EBF">
        <w:rPr>
          <w:rFonts w:ascii="Arial" w:hAnsi="Arial" w:cs="Arial"/>
        </w:rPr>
        <w:t xml:space="preserve"> </w:t>
      </w:r>
      <w:r w:rsidR="004653F9">
        <w:rPr>
          <w:rFonts w:ascii="Arial" w:hAnsi="Arial" w:cs="Arial"/>
        </w:rPr>
        <w:t>d</w:t>
      </w:r>
      <w:r w:rsidR="001B4DF5" w:rsidRPr="00CC5791">
        <w:rPr>
          <w:rFonts w:ascii="Arial" w:hAnsi="Arial" w:cs="Arial"/>
        </w:rPr>
        <w:t xml:space="preserve">ifficulties </w:t>
      </w:r>
      <w:r w:rsidR="001B4DF5" w:rsidRPr="00CC5791">
        <w:rPr>
          <w:rFonts w:ascii="Arial" w:hAnsi="Arial" w:cs="Arial"/>
        </w:rPr>
        <w:lastRenderedPageBreak/>
        <w:t xml:space="preserve">accessing </w:t>
      </w:r>
      <w:r w:rsidR="001B4DF5">
        <w:rPr>
          <w:rFonts w:ascii="Arial" w:hAnsi="Arial" w:cs="Arial"/>
        </w:rPr>
        <w:t>supervision</w:t>
      </w:r>
      <w:r w:rsidR="004653F9">
        <w:rPr>
          <w:rFonts w:ascii="Arial" w:hAnsi="Arial" w:cs="Arial"/>
        </w:rPr>
        <w:t xml:space="preserve"> from the medical</w:t>
      </w:r>
      <w:r w:rsidR="00D30136">
        <w:rPr>
          <w:rFonts w:ascii="Arial" w:hAnsi="Arial" w:cs="Arial"/>
        </w:rPr>
        <w:t xml:space="preserve"> </w:t>
      </w:r>
      <w:r w:rsidR="00D30136" w:rsidRPr="001B2F2C">
        <w:rPr>
          <w:rFonts w:ascii="Arial" w:hAnsi="Arial" w:cs="Arial"/>
        </w:rPr>
        <w:t>profession</w:t>
      </w:r>
      <w:r w:rsidR="004653F9">
        <w:rPr>
          <w:rFonts w:ascii="Arial" w:hAnsi="Arial" w:cs="Arial"/>
        </w:rPr>
        <w:t>. P</w:t>
      </w:r>
      <w:r w:rsidR="008C7083" w:rsidRPr="00725EC9">
        <w:rPr>
          <w:rFonts w:ascii="Arial" w:hAnsi="Arial" w:cs="Arial"/>
        </w:rPr>
        <w:t>eer support for prescribi</w:t>
      </w:r>
      <w:r w:rsidR="008C7083" w:rsidRPr="005A564D">
        <w:rPr>
          <w:rFonts w:ascii="Arial" w:hAnsi="Arial" w:cs="Arial"/>
        </w:rPr>
        <w:t>ng post-qualification has</w:t>
      </w:r>
      <w:r w:rsidR="004653F9">
        <w:rPr>
          <w:rFonts w:ascii="Arial" w:hAnsi="Arial" w:cs="Arial"/>
        </w:rPr>
        <w:t xml:space="preserve"> also</w:t>
      </w:r>
      <w:r w:rsidR="008C7083" w:rsidRPr="005A564D">
        <w:rPr>
          <w:rFonts w:ascii="Arial" w:hAnsi="Arial" w:cs="Arial"/>
        </w:rPr>
        <w:t xml:space="preserve"> been </w:t>
      </w:r>
      <w:r w:rsidR="004653F9">
        <w:rPr>
          <w:rFonts w:ascii="Arial" w:hAnsi="Arial" w:cs="Arial"/>
        </w:rPr>
        <w:t>found</w:t>
      </w:r>
      <w:r w:rsidR="004653F9" w:rsidRPr="00725EC9">
        <w:rPr>
          <w:rFonts w:ascii="Arial" w:hAnsi="Arial" w:cs="Arial"/>
        </w:rPr>
        <w:t xml:space="preserve"> </w:t>
      </w:r>
      <w:r w:rsidR="008C7083" w:rsidRPr="00725EC9">
        <w:rPr>
          <w:rFonts w:ascii="Arial" w:hAnsi="Arial" w:cs="Arial"/>
        </w:rPr>
        <w:t xml:space="preserve">to be highly important to </w:t>
      </w:r>
      <w:r w:rsidR="004B036C">
        <w:rPr>
          <w:rFonts w:ascii="Arial" w:hAnsi="Arial" w:cs="Arial"/>
        </w:rPr>
        <w:t>NISP</w:t>
      </w:r>
      <w:r w:rsidR="008C7083" w:rsidRPr="00725EC9">
        <w:rPr>
          <w:rFonts w:ascii="Arial" w:hAnsi="Arial" w:cs="Arial"/>
        </w:rPr>
        <w:t>s con</w:t>
      </w:r>
      <w:r w:rsidR="00BE7B33">
        <w:rPr>
          <w:rFonts w:ascii="Arial" w:hAnsi="Arial" w:cs="Arial"/>
        </w:rPr>
        <w:t>fidence</w:t>
      </w:r>
      <w:r w:rsidR="001E22A9">
        <w:rPr>
          <w:rFonts w:ascii="Arial" w:hAnsi="Arial" w:cs="Arial"/>
        </w:rPr>
        <w:t xml:space="preserve"> (Latter et al. 2010</w:t>
      </w:r>
      <w:r w:rsidR="008F1993">
        <w:rPr>
          <w:rFonts w:ascii="Arial" w:hAnsi="Arial" w:cs="Arial"/>
        </w:rPr>
        <w:t>;</w:t>
      </w:r>
      <w:r w:rsidR="001E22A9">
        <w:rPr>
          <w:rFonts w:ascii="Arial" w:hAnsi="Arial" w:cs="Arial"/>
        </w:rPr>
        <w:t xml:space="preserve"> Herklots, Baileff and Latter, 2015</w:t>
      </w:r>
      <w:r w:rsidR="008F1993">
        <w:rPr>
          <w:rFonts w:ascii="Arial" w:hAnsi="Arial" w:cs="Arial"/>
        </w:rPr>
        <w:t xml:space="preserve">; </w:t>
      </w:r>
      <w:r w:rsidR="001E22A9">
        <w:rPr>
          <w:rFonts w:ascii="Arial" w:hAnsi="Arial" w:cs="Arial"/>
        </w:rPr>
        <w:t>Courtenay, Carey and Stenner, 2012)</w:t>
      </w:r>
      <w:r w:rsidR="001B2F2C">
        <w:rPr>
          <w:rFonts w:ascii="Arial" w:hAnsi="Arial" w:cs="Arial"/>
        </w:rPr>
        <w:t>.</w:t>
      </w:r>
    </w:p>
    <w:p w14:paraId="5DCAE1CF" w14:textId="13F36E8A" w:rsidR="00196197" w:rsidRPr="00642EBF" w:rsidRDefault="00196197" w:rsidP="00F70214">
      <w:pPr>
        <w:spacing w:before="100" w:beforeAutospacing="1" w:after="100" w:afterAutospacing="1"/>
        <w:textAlignment w:val="top"/>
        <w:rPr>
          <w:rFonts w:ascii="Arial" w:hAnsi="Arial" w:cs="Arial"/>
        </w:rPr>
      </w:pPr>
      <w:r w:rsidRPr="00642EBF">
        <w:rPr>
          <w:rFonts w:ascii="Arial" w:hAnsi="Arial" w:cs="Arial"/>
        </w:rPr>
        <w:t>SPEUCs also anticipated a lack of organisation</w:t>
      </w:r>
      <w:r w:rsidR="001B4DF5">
        <w:rPr>
          <w:rFonts w:ascii="Arial" w:hAnsi="Arial" w:cs="Arial"/>
        </w:rPr>
        <w:t>al</w:t>
      </w:r>
      <w:r w:rsidRPr="00642EBF">
        <w:rPr>
          <w:rFonts w:ascii="Arial" w:hAnsi="Arial" w:cs="Arial"/>
        </w:rPr>
        <w:t xml:space="preserve"> support for </w:t>
      </w:r>
      <w:r w:rsidR="004B036C">
        <w:rPr>
          <w:rFonts w:ascii="Arial" w:hAnsi="Arial" w:cs="Arial"/>
        </w:rPr>
        <w:t>PISP</w:t>
      </w:r>
      <w:r w:rsidRPr="00642EBF">
        <w:rPr>
          <w:rFonts w:ascii="Arial" w:hAnsi="Arial" w:cs="Arial"/>
        </w:rPr>
        <w:t xml:space="preserve">. This has </w:t>
      </w:r>
      <w:r w:rsidR="00BE7B33">
        <w:rPr>
          <w:rFonts w:ascii="Arial" w:hAnsi="Arial" w:cs="Arial"/>
        </w:rPr>
        <w:t xml:space="preserve">also been reported by </w:t>
      </w:r>
      <w:r w:rsidR="004B036C">
        <w:rPr>
          <w:rFonts w:ascii="Arial" w:hAnsi="Arial" w:cs="Arial"/>
        </w:rPr>
        <w:t>NISP</w:t>
      </w:r>
      <w:r w:rsidR="00BE7B33">
        <w:rPr>
          <w:rFonts w:ascii="Arial" w:hAnsi="Arial" w:cs="Arial"/>
        </w:rPr>
        <w:t xml:space="preserve">s </w:t>
      </w:r>
      <w:r w:rsidRPr="00642EBF">
        <w:rPr>
          <w:rFonts w:ascii="Arial" w:hAnsi="Arial" w:cs="Arial"/>
        </w:rPr>
        <w:t>and that nurse in</w:t>
      </w:r>
      <w:r w:rsidR="00EC44CA" w:rsidRPr="00EC44CA">
        <w:rPr>
          <w:rFonts w:ascii="Arial" w:hAnsi="Arial" w:cs="Arial"/>
        </w:rPr>
        <w:t xml:space="preserve">dependent prescribing </w:t>
      </w:r>
      <w:r w:rsidR="00EC44CA">
        <w:rPr>
          <w:rFonts w:ascii="Arial" w:hAnsi="Arial" w:cs="Arial"/>
        </w:rPr>
        <w:t>is often</w:t>
      </w:r>
      <w:r w:rsidRPr="00642EBF">
        <w:rPr>
          <w:rFonts w:ascii="Arial" w:hAnsi="Arial" w:cs="Arial"/>
        </w:rPr>
        <w:t xml:space="preserve"> driven by individual practitioners rather than at an organisational leve</w:t>
      </w:r>
      <w:r w:rsidR="001B2F2C">
        <w:rPr>
          <w:rFonts w:ascii="Arial" w:hAnsi="Arial" w:cs="Arial"/>
        </w:rPr>
        <w:t>l</w:t>
      </w:r>
      <w:r w:rsidR="00FB449F">
        <w:rPr>
          <w:rFonts w:ascii="Arial" w:hAnsi="Arial" w:cs="Arial"/>
        </w:rPr>
        <w:t xml:space="preserve"> (Latter et al. 2010</w:t>
      </w:r>
      <w:r w:rsidR="008F1993">
        <w:rPr>
          <w:rFonts w:ascii="Arial" w:hAnsi="Arial" w:cs="Arial"/>
        </w:rPr>
        <w:t xml:space="preserve">; </w:t>
      </w:r>
      <w:r w:rsidR="00FB449F">
        <w:rPr>
          <w:rFonts w:ascii="Arial" w:hAnsi="Arial" w:cs="Arial"/>
        </w:rPr>
        <w:t>Stenner, Carey and Courtenay</w:t>
      </w:r>
      <w:r w:rsidR="00FA2607">
        <w:rPr>
          <w:rFonts w:ascii="Arial" w:hAnsi="Arial" w:cs="Arial"/>
        </w:rPr>
        <w:t>,</w:t>
      </w:r>
      <w:r w:rsidR="00FB449F">
        <w:rPr>
          <w:rFonts w:ascii="Arial" w:hAnsi="Arial" w:cs="Arial"/>
        </w:rPr>
        <w:t xml:space="preserve"> 2012</w:t>
      </w:r>
      <w:r w:rsidR="008F1993">
        <w:rPr>
          <w:rFonts w:ascii="Arial" w:hAnsi="Arial" w:cs="Arial"/>
        </w:rPr>
        <w:t>;</w:t>
      </w:r>
      <w:r w:rsidR="00FB449F">
        <w:rPr>
          <w:rFonts w:ascii="Arial" w:hAnsi="Arial" w:cs="Arial"/>
        </w:rPr>
        <w:t xml:space="preserve"> Courtenay, Carey and Stenner, 2012).</w:t>
      </w:r>
    </w:p>
    <w:p w14:paraId="4B45B344" w14:textId="7CE4568E" w:rsidR="00196197" w:rsidRPr="00642EBF" w:rsidRDefault="008C7083" w:rsidP="00F70214">
      <w:pPr>
        <w:spacing w:before="100" w:beforeAutospacing="1" w:after="100" w:afterAutospacing="1"/>
        <w:textAlignment w:val="top"/>
        <w:rPr>
          <w:rFonts w:ascii="Arial" w:hAnsi="Arial" w:cs="Arial"/>
        </w:rPr>
      </w:pPr>
      <w:r>
        <w:rPr>
          <w:rFonts w:ascii="Arial" w:hAnsi="Arial" w:cs="Arial"/>
        </w:rPr>
        <w:t>T</w:t>
      </w:r>
      <w:r w:rsidR="00196197" w:rsidRPr="00642EBF">
        <w:rPr>
          <w:rFonts w:ascii="Arial" w:hAnsi="Arial" w:cs="Arial"/>
        </w:rPr>
        <w:t>h</w:t>
      </w:r>
      <w:r>
        <w:rPr>
          <w:rFonts w:ascii="Arial" w:hAnsi="Arial" w:cs="Arial"/>
        </w:rPr>
        <w:t>ese findings</w:t>
      </w:r>
      <w:r w:rsidR="00196197" w:rsidRPr="00642EBF">
        <w:rPr>
          <w:rFonts w:ascii="Arial" w:hAnsi="Arial" w:cs="Arial"/>
        </w:rPr>
        <w:t xml:space="preserve"> highlight how in the period leading up to implementation of </w:t>
      </w:r>
      <w:r w:rsidR="004B036C">
        <w:rPr>
          <w:rFonts w:ascii="Arial" w:hAnsi="Arial" w:cs="Arial"/>
        </w:rPr>
        <w:t>PISP</w:t>
      </w:r>
      <w:r w:rsidR="00196197" w:rsidRPr="00642EBF">
        <w:rPr>
          <w:rFonts w:ascii="Arial" w:hAnsi="Arial" w:cs="Arial"/>
        </w:rPr>
        <w:t>, ways of enabling access to both patient records and professional prescriber support will need to be addressed in order to support safe and confident prescribing by advanced paramedics.</w:t>
      </w:r>
    </w:p>
    <w:p w14:paraId="37F64278" w14:textId="5B55B7E3" w:rsidR="00AD780D" w:rsidRDefault="00196197" w:rsidP="00F70214">
      <w:pPr>
        <w:spacing w:before="100" w:beforeAutospacing="1" w:after="100" w:afterAutospacing="1"/>
        <w:textAlignment w:val="top"/>
        <w:rPr>
          <w:rFonts w:ascii="Arial" w:hAnsi="Arial" w:cs="Arial"/>
          <w:b/>
        </w:rPr>
      </w:pPr>
      <w:r w:rsidRPr="00642EBF">
        <w:rPr>
          <w:rFonts w:ascii="Arial" w:hAnsi="Arial" w:cs="Arial"/>
        </w:rPr>
        <w:t xml:space="preserve">This study has some important limitations. It is acknowledged that a response bias may exist in this study and the small sample size may not be </w:t>
      </w:r>
      <w:r w:rsidR="00AD145D">
        <w:rPr>
          <w:rFonts w:ascii="Arial" w:hAnsi="Arial" w:cs="Arial"/>
        </w:rPr>
        <w:t xml:space="preserve">fully </w:t>
      </w:r>
      <w:r w:rsidRPr="00642EBF">
        <w:rPr>
          <w:rFonts w:ascii="Arial" w:hAnsi="Arial" w:cs="Arial"/>
        </w:rPr>
        <w:t xml:space="preserve">representative of the SPEUC population. Respondents who participated may have been those who were more favourably disposed towards </w:t>
      </w:r>
      <w:r w:rsidR="004B036C">
        <w:rPr>
          <w:rFonts w:ascii="Arial" w:hAnsi="Arial" w:cs="Arial"/>
        </w:rPr>
        <w:t>PISP</w:t>
      </w:r>
      <w:r w:rsidRPr="00642EBF">
        <w:rPr>
          <w:rFonts w:ascii="Arial" w:hAnsi="Arial" w:cs="Arial"/>
        </w:rPr>
        <w:t xml:space="preserve">. </w:t>
      </w:r>
    </w:p>
    <w:p w14:paraId="431836A7" w14:textId="012F4952" w:rsidR="00196197" w:rsidRPr="0054202D" w:rsidRDefault="0054202D" w:rsidP="00F70214">
      <w:pPr>
        <w:spacing w:before="100" w:beforeAutospacing="1" w:after="100" w:afterAutospacing="1"/>
        <w:textAlignment w:val="top"/>
        <w:rPr>
          <w:rFonts w:ascii="Arial" w:hAnsi="Arial" w:cs="Arial"/>
          <w:b/>
        </w:rPr>
      </w:pPr>
      <w:r w:rsidRPr="0054202D">
        <w:rPr>
          <w:rFonts w:ascii="Arial" w:hAnsi="Arial" w:cs="Arial"/>
          <w:b/>
        </w:rPr>
        <w:t>CONCLUSIONS</w:t>
      </w:r>
    </w:p>
    <w:p w14:paraId="12F58567" w14:textId="5A8737D3" w:rsidR="00196197" w:rsidRPr="00642EBF" w:rsidRDefault="00196197" w:rsidP="00F70214">
      <w:pPr>
        <w:spacing w:before="100" w:beforeAutospacing="1" w:after="100" w:afterAutospacing="1"/>
        <w:textAlignment w:val="top"/>
        <w:rPr>
          <w:rFonts w:ascii="Arial" w:hAnsi="Arial" w:cs="Arial"/>
        </w:rPr>
      </w:pPr>
      <w:r w:rsidRPr="00642EBF">
        <w:rPr>
          <w:rFonts w:ascii="Arial" w:hAnsi="Arial" w:cs="Arial"/>
        </w:rPr>
        <w:t xml:space="preserve">The use of PGDs enable SPEUCs to </w:t>
      </w:r>
      <w:r w:rsidR="008C7083">
        <w:rPr>
          <w:rFonts w:ascii="Arial" w:hAnsi="Arial" w:cs="Arial"/>
        </w:rPr>
        <w:t>deliver</w:t>
      </w:r>
      <w:r w:rsidRPr="00642EBF">
        <w:rPr>
          <w:rFonts w:ascii="Arial" w:hAnsi="Arial" w:cs="Arial"/>
        </w:rPr>
        <w:t xml:space="preserve"> </w:t>
      </w:r>
      <w:r w:rsidR="008C7083">
        <w:rPr>
          <w:rFonts w:ascii="Arial" w:hAnsi="Arial" w:cs="Arial"/>
        </w:rPr>
        <w:t xml:space="preserve">important </w:t>
      </w:r>
      <w:r w:rsidRPr="00642EBF">
        <w:rPr>
          <w:rFonts w:ascii="Arial" w:hAnsi="Arial" w:cs="Arial"/>
        </w:rPr>
        <w:t xml:space="preserve">treatment to patients in the community and </w:t>
      </w:r>
      <w:r w:rsidR="008C7083">
        <w:rPr>
          <w:rFonts w:ascii="Arial" w:hAnsi="Arial" w:cs="Arial"/>
        </w:rPr>
        <w:t xml:space="preserve">thus potentially </w:t>
      </w:r>
      <w:r w:rsidR="008C6299">
        <w:rPr>
          <w:rFonts w:ascii="Arial" w:hAnsi="Arial" w:cs="Arial"/>
        </w:rPr>
        <w:t>e</w:t>
      </w:r>
      <w:r w:rsidRPr="00642EBF">
        <w:rPr>
          <w:rFonts w:ascii="Arial" w:hAnsi="Arial" w:cs="Arial"/>
        </w:rPr>
        <w:t xml:space="preserve">nable them to contribute to a reduction in </w:t>
      </w:r>
      <w:r w:rsidR="008C7083">
        <w:rPr>
          <w:rFonts w:ascii="Arial" w:hAnsi="Arial" w:cs="Arial"/>
        </w:rPr>
        <w:t xml:space="preserve">the number of </w:t>
      </w:r>
      <w:r w:rsidRPr="00642EBF">
        <w:rPr>
          <w:rFonts w:ascii="Arial" w:hAnsi="Arial" w:cs="Arial"/>
        </w:rPr>
        <w:t>patient</w:t>
      </w:r>
      <w:r w:rsidR="008C7083">
        <w:rPr>
          <w:rFonts w:ascii="Arial" w:hAnsi="Arial" w:cs="Arial"/>
        </w:rPr>
        <w:t>s</w:t>
      </w:r>
      <w:r w:rsidRPr="00642EBF">
        <w:rPr>
          <w:rFonts w:ascii="Arial" w:hAnsi="Arial" w:cs="Arial"/>
        </w:rPr>
        <w:t xml:space="preserve"> requiring hospital treatment. They </w:t>
      </w:r>
      <w:r w:rsidR="008C7083">
        <w:rPr>
          <w:rFonts w:ascii="Arial" w:hAnsi="Arial" w:cs="Arial"/>
        </w:rPr>
        <w:t xml:space="preserve">were </w:t>
      </w:r>
      <w:r w:rsidRPr="00642EBF">
        <w:rPr>
          <w:rFonts w:ascii="Arial" w:hAnsi="Arial" w:cs="Arial"/>
        </w:rPr>
        <w:t xml:space="preserve">also </w:t>
      </w:r>
      <w:r w:rsidR="008C7083">
        <w:rPr>
          <w:rFonts w:ascii="Arial" w:hAnsi="Arial" w:cs="Arial"/>
        </w:rPr>
        <w:t xml:space="preserve">reported to </w:t>
      </w:r>
      <w:r w:rsidRPr="00642EBF">
        <w:rPr>
          <w:rFonts w:ascii="Arial" w:hAnsi="Arial" w:cs="Arial"/>
        </w:rPr>
        <w:t xml:space="preserve">provide a safe and </w:t>
      </w:r>
      <w:r w:rsidR="008C7083">
        <w:rPr>
          <w:rFonts w:ascii="Arial" w:hAnsi="Arial" w:cs="Arial"/>
        </w:rPr>
        <w:t>frequently</w:t>
      </w:r>
      <w:r w:rsidRPr="00642EBF">
        <w:rPr>
          <w:rFonts w:ascii="Arial" w:hAnsi="Arial" w:cs="Arial"/>
        </w:rPr>
        <w:t xml:space="preserve"> effective</w:t>
      </w:r>
      <w:r w:rsidR="0065637F">
        <w:rPr>
          <w:rFonts w:ascii="Arial" w:hAnsi="Arial" w:cs="Arial"/>
        </w:rPr>
        <w:t xml:space="preserve"> method of medication supply</w:t>
      </w:r>
      <w:r w:rsidRPr="00642EBF">
        <w:rPr>
          <w:rFonts w:ascii="Arial" w:hAnsi="Arial" w:cs="Arial"/>
        </w:rPr>
        <w:t xml:space="preserve">. </w:t>
      </w:r>
      <w:r w:rsidR="008C7083">
        <w:rPr>
          <w:rFonts w:ascii="Arial" w:hAnsi="Arial" w:cs="Arial"/>
        </w:rPr>
        <w:t>Nonetheless</w:t>
      </w:r>
      <w:r w:rsidRPr="00642EBF">
        <w:rPr>
          <w:rFonts w:ascii="Arial" w:hAnsi="Arial" w:cs="Arial"/>
        </w:rPr>
        <w:t xml:space="preserve">, it would seem that due to the </w:t>
      </w:r>
      <w:r w:rsidR="009A629A">
        <w:rPr>
          <w:rFonts w:ascii="Arial" w:hAnsi="Arial" w:cs="Arial"/>
        </w:rPr>
        <w:t xml:space="preserve">highlighted </w:t>
      </w:r>
      <w:r w:rsidRPr="00642EBF">
        <w:rPr>
          <w:rFonts w:ascii="Arial" w:hAnsi="Arial" w:cs="Arial"/>
        </w:rPr>
        <w:t>restrictions</w:t>
      </w:r>
      <w:r w:rsidR="008C6299">
        <w:rPr>
          <w:rFonts w:ascii="Arial" w:hAnsi="Arial" w:cs="Arial"/>
        </w:rPr>
        <w:t xml:space="preserve"> associated with a reliance </w:t>
      </w:r>
      <w:r w:rsidRPr="00642EBF">
        <w:rPr>
          <w:rFonts w:ascii="Arial" w:hAnsi="Arial" w:cs="Arial"/>
        </w:rPr>
        <w:t>o</w:t>
      </w:r>
      <w:r w:rsidR="008C6299">
        <w:rPr>
          <w:rFonts w:ascii="Arial" w:hAnsi="Arial" w:cs="Arial"/>
        </w:rPr>
        <w:t>n</w:t>
      </w:r>
      <w:r w:rsidRPr="00642EBF">
        <w:rPr>
          <w:rFonts w:ascii="Arial" w:hAnsi="Arial" w:cs="Arial"/>
        </w:rPr>
        <w:t xml:space="preserve"> </w:t>
      </w:r>
      <w:r w:rsidR="009A629A">
        <w:rPr>
          <w:rFonts w:ascii="Arial" w:hAnsi="Arial" w:cs="Arial"/>
        </w:rPr>
        <w:t>PGDs</w:t>
      </w:r>
      <w:r w:rsidR="008C6299">
        <w:rPr>
          <w:rFonts w:ascii="Arial" w:hAnsi="Arial" w:cs="Arial"/>
        </w:rPr>
        <w:t xml:space="preserve"> as a primary method of SPEUC medication supply</w:t>
      </w:r>
      <w:r w:rsidRPr="00642EBF">
        <w:rPr>
          <w:rFonts w:ascii="Arial" w:hAnsi="Arial" w:cs="Arial"/>
        </w:rPr>
        <w:t>, both patient care and the professional role of SPEUCs w</w:t>
      </w:r>
      <w:r w:rsidR="005719B4">
        <w:rPr>
          <w:rFonts w:ascii="Arial" w:hAnsi="Arial" w:cs="Arial"/>
        </w:rPr>
        <w:t>ill</w:t>
      </w:r>
      <w:r w:rsidRPr="00642EBF">
        <w:rPr>
          <w:rFonts w:ascii="Arial" w:hAnsi="Arial" w:cs="Arial"/>
        </w:rPr>
        <w:t xml:space="preserve"> be enhanced through the introduction of </w:t>
      </w:r>
      <w:r w:rsidR="004B036C">
        <w:rPr>
          <w:rFonts w:ascii="Arial" w:hAnsi="Arial" w:cs="Arial"/>
        </w:rPr>
        <w:t>PISP</w:t>
      </w:r>
      <w:r w:rsidRPr="00642EBF">
        <w:rPr>
          <w:rFonts w:ascii="Arial" w:hAnsi="Arial" w:cs="Arial"/>
        </w:rPr>
        <w:t xml:space="preserve">. </w:t>
      </w:r>
      <w:r w:rsidR="009A629A">
        <w:rPr>
          <w:rFonts w:ascii="Arial" w:hAnsi="Arial" w:cs="Arial"/>
        </w:rPr>
        <w:t>However, f</w:t>
      </w:r>
      <w:r w:rsidRPr="00642EBF">
        <w:rPr>
          <w:rFonts w:ascii="Arial" w:hAnsi="Arial" w:cs="Arial"/>
        </w:rPr>
        <w:t xml:space="preserve">or </w:t>
      </w:r>
      <w:r w:rsidR="004B036C">
        <w:rPr>
          <w:rFonts w:ascii="Arial" w:hAnsi="Arial" w:cs="Arial"/>
        </w:rPr>
        <w:t>PISP</w:t>
      </w:r>
      <w:r w:rsidRPr="00642EBF">
        <w:rPr>
          <w:rFonts w:ascii="Arial" w:hAnsi="Arial" w:cs="Arial"/>
        </w:rPr>
        <w:t xml:space="preserve"> to be successfully introduced a number of contextual issues will need to be addressed</w:t>
      </w:r>
      <w:r w:rsidR="008C7083">
        <w:rPr>
          <w:rFonts w:ascii="Arial" w:hAnsi="Arial" w:cs="Arial"/>
        </w:rPr>
        <w:t>,</w:t>
      </w:r>
      <w:r w:rsidRPr="00642EBF">
        <w:rPr>
          <w:rFonts w:ascii="Arial" w:hAnsi="Arial" w:cs="Arial"/>
        </w:rPr>
        <w:t xml:space="preserve"> such as providing support and improving organisational readiness.</w:t>
      </w:r>
    </w:p>
    <w:p w14:paraId="05D49B27" w14:textId="77777777" w:rsidR="00C32B6A" w:rsidRPr="00D15849" w:rsidRDefault="00C32B6A" w:rsidP="00F70214">
      <w:pPr>
        <w:rPr>
          <w:rFonts w:ascii="Arial" w:hAnsi="Arial" w:cs="Arial"/>
        </w:rPr>
      </w:pPr>
    </w:p>
    <w:p w14:paraId="3C367EB4" w14:textId="77777777" w:rsidR="007D14D5" w:rsidRPr="0063717D" w:rsidRDefault="004152AC" w:rsidP="00F70214">
      <w:pPr>
        <w:rPr>
          <w:rFonts w:ascii="Arial" w:hAnsi="Arial" w:cs="Arial"/>
          <w:b/>
        </w:rPr>
      </w:pPr>
      <w:r w:rsidRPr="00642EBF">
        <w:rPr>
          <w:rFonts w:ascii="Arial" w:hAnsi="Arial" w:cs="Arial"/>
          <w:b/>
        </w:rPr>
        <w:t>Acknowledgements</w:t>
      </w:r>
    </w:p>
    <w:p w14:paraId="11A7981C" w14:textId="658C8EEA" w:rsidR="004152AC" w:rsidRDefault="004152AC" w:rsidP="00F70214">
      <w:pPr>
        <w:rPr>
          <w:rFonts w:ascii="Arial" w:hAnsi="Arial" w:cs="Arial"/>
        </w:rPr>
      </w:pPr>
      <w:r w:rsidRPr="00C27F15">
        <w:rPr>
          <w:rFonts w:ascii="Arial" w:hAnsi="Arial" w:cs="Arial"/>
        </w:rPr>
        <w:t>The authors would like to acknowled</w:t>
      </w:r>
      <w:r w:rsidR="0041317E" w:rsidRPr="00C27F15">
        <w:rPr>
          <w:rFonts w:ascii="Arial" w:hAnsi="Arial" w:cs="Arial"/>
        </w:rPr>
        <w:t>ge the hard work and assistance from the</w:t>
      </w:r>
      <w:r w:rsidRPr="009C5525">
        <w:rPr>
          <w:rFonts w:ascii="Arial" w:hAnsi="Arial" w:cs="Arial"/>
        </w:rPr>
        <w:t xml:space="preserve"> staff </w:t>
      </w:r>
      <w:r w:rsidR="0041317E" w:rsidRPr="002D2D83">
        <w:rPr>
          <w:rFonts w:ascii="Arial" w:hAnsi="Arial" w:cs="Arial"/>
        </w:rPr>
        <w:t xml:space="preserve">in </w:t>
      </w:r>
      <w:r w:rsidRPr="002D2D83">
        <w:rPr>
          <w:rFonts w:ascii="Arial" w:hAnsi="Arial" w:cs="Arial"/>
        </w:rPr>
        <w:t xml:space="preserve">both participating ambulance </w:t>
      </w:r>
      <w:r w:rsidR="0041317E" w:rsidRPr="002B79E7">
        <w:rPr>
          <w:rFonts w:ascii="Arial" w:hAnsi="Arial" w:cs="Arial"/>
        </w:rPr>
        <w:t xml:space="preserve">Trusts and thank them </w:t>
      </w:r>
      <w:r w:rsidR="0041317E" w:rsidRPr="00062C2B">
        <w:rPr>
          <w:rFonts w:ascii="Arial" w:hAnsi="Arial" w:cs="Arial"/>
        </w:rPr>
        <w:t>for their help</w:t>
      </w:r>
      <w:r w:rsidRPr="00A055C4">
        <w:rPr>
          <w:rFonts w:ascii="Arial" w:hAnsi="Arial" w:cs="Arial"/>
        </w:rPr>
        <w:t xml:space="preserve"> during the </w:t>
      </w:r>
      <w:r w:rsidR="0041317E" w:rsidRPr="00A055C4">
        <w:rPr>
          <w:rFonts w:ascii="Arial" w:hAnsi="Arial" w:cs="Arial"/>
        </w:rPr>
        <w:t>study.</w:t>
      </w:r>
    </w:p>
    <w:p w14:paraId="5C539A9F" w14:textId="0E5FAA05" w:rsidR="0054202D" w:rsidRDefault="0054202D" w:rsidP="00F70214">
      <w:pPr>
        <w:rPr>
          <w:rFonts w:ascii="Arial" w:hAnsi="Arial" w:cs="Arial"/>
        </w:rPr>
      </w:pPr>
    </w:p>
    <w:p w14:paraId="4F91DA7A" w14:textId="216ED066" w:rsidR="004A6D16" w:rsidRDefault="004A6D16" w:rsidP="00F70214">
      <w:pPr>
        <w:rPr>
          <w:rFonts w:ascii="Arial" w:hAnsi="Arial" w:cs="Arial"/>
          <w:b/>
        </w:rPr>
      </w:pPr>
      <w:r>
        <w:rPr>
          <w:rFonts w:ascii="Arial" w:hAnsi="Arial" w:cs="Arial"/>
          <w:b/>
        </w:rPr>
        <w:t>Contributors</w:t>
      </w:r>
    </w:p>
    <w:p w14:paraId="333D99CB" w14:textId="4DAD0D98" w:rsidR="004A6D16" w:rsidRPr="004A6D16" w:rsidRDefault="004A6D16" w:rsidP="00F70214">
      <w:pPr>
        <w:rPr>
          <w:rFonts w:ascii="Arial" w:hAnsi="Arial" w:cs="Arial"/>
        </w:rPr>
      </w:pPr>
      <w:r>
        <w:rPr>
          <w:rFonts w:ascii="Arial" w:hAnsi="Arial" w:cs="Arial"/>
        </w:rPr>
        <w:t>AB and SL were equally involved in the design of the pilot and final questionnaire</w:t>
      </w:r>
      <w:r w:rsidR="002C2FB2">
        <w:rPr>
          <w:rFonts w:ascii="Arial" w:hAnsi="Arial" w:cs="Arial"/>
        </w:rPr>
        <w:t xml:space="preserve">, </w:t>
      </w:r>
      <w:r>
        <w:rPr>
          <w:rFonts w:ascii="Arial" w:hAnsi="Arial" w:cs="Arial"/>
        </w:rPr>
        <w:t xml:space="preserve">data analysis, interpretation and in </w:t>
      </w:r>
      <w:r w:rsidR="002C2FB2">
        <w:rPr>
          <w:rFonts w:ascii="Arial" w:hAnsi="Arial" w:cs="Arial"/>
        </w:rPr>
        <w:t>writing</w:t>
      </w:r>
      <w:r>
        <w:rPr>
          <w:rFonts w:ascii="Arial" w:hAnsi="Arial" w:cs="Arial"/>
        </w:rPr>
        <w:t xml:space="preserve"> this paper. </w:t>
      </w:r>
    </w:p>
    <w:p w14:paraId="6362C95D" w14:textId="77777777" w:rsidR="004A6D16" w:rsidRDefault="004A6D16" w:rsidP="00F70214">
      <w:pPr>
        <w:rPr>
          <w:rFonts w:ascii="Arial" w:hAnsi="Arial" w:cs="Arial"/>
          <w:b/>
        </w:rPr>
      </w:pPr>
    </w:p>
    <w:p w14:paraId="0DD993D4" w14:textId="77777777" w:rsidR="004A6D16" w:rsidRDefault="004A6D16" w:rsidP="00F70214">
      <w:pPr>
        <w:rPr>
          <w:rFonts w:ascii="Arial" w:hAnsi="Arial" w:cs="Arial"/>
          <w:b/>
        </w:rPr>
      </w:pPr>
      <w:r>
        <w:rPr>
          <w:rFonts w:ascii="Arial" w:hAnsi="Arial" w:cs="Arial"/>
          <w:b/>
        </w:rPr>
        <w:t>Funding</w:t>
      </w:r>
    </w:p>
    <w:p w14:paraId="6F08F2E5" w14:textId="212E3197" w:rsidR="004A6D16" w:rsidRPr="0063717D" w:rsidRDefault="004A6D16" w:rsidP="00F70214">
      <w:pPr>
        <w:rPr>
          <w:rFonts w:ascii="Arial" w:hAnsi="Arial" w:cs="Arial"/>
          <w:b/>
        </w:rPr>
      </w:pPr>
      <w:r>
        <w:rPr>
          <w:rFonts w:ascii="Arial" w:hAnsi="Arial" w:cs="Arial"/>
        </w:rPr>
        <w:t>AB received funding from the National Institute for Health Research (NIHR)</w:t>
      </w:r>
      <w:r w:rsidR="00F50274">
        <w:rPr>
          <w:rFonts w:ascii="Arial" w:hAnsi="Arial" w:cs="Arial"/>
        </w:rPr>
        <w:t xml:space="preserve"> to complete a Master of Research (MRes), this study was completed as an empirical dissertation </w:t>
      </w:r>
      <w:r w:rsidR="006B5485">
        <w:rPr>
          <w:rFonts w:ascii="Arial" w:hAnsi="Arial" w:cs="Arial"/>
        </w:rPr>
        <w:t>project for this</w:t>
      </w:r>
      <w:r w:rsidR="00F50274">
        <w:rPr>
          <w:rFonts w:ascii="Arial" w:hAnsi="Arial" w:cs="Arial"/>
        </w:rPr>
        <w:t xml:space="preserve"> MRes.</w:t>
      </w:r>
      <w:r w:rsidR="007948F4">
        <w:rPr>
          <w:rFonts w:ascii="Arial" w:hAnsi="Arial" w:cs="Arial"/>
        </w:rPr>
        <w:t xml:space="preserve"> </w:t>
      </w:r>
    </w:p>
    <w:p w14:paraId="570B2E8F" w14:textId="77777777" w:rsidR="004A6D16" w:rsidRDefault="004A6D16" w:rsidP="00F70214">
      <w:pPr>
        <w:rPr>
          <w:rFonts w:ascii="Arial" w:hAnsi="Arial" w:cs="Arial"/>
          <w:b/>
        </w:rPr>
      </w:pPr>
    </w:p>
    <w:p w14:paraId="070A36A5" w14:textId="455B34F3" w:rsidR="0054202D" w:rsidRDefault="0054202D" w:rsidP="00F70214">
      <w:pPr>
        <w:rPr>
          <w:rFonts w:ascii="Arial" w:hAnsi="Arial" w:cs="Arial"/>
          <w:b/>
        </w:rPr>
      </w:pPr>
      <w:r w:rsidRPr="0054202D">
        <w:rPr>
          <w:rFonts w:ascii="Arial" w:hAnsi="Arial" w:cs="Arial"/>
          <w:b/>
        </w:rPr>
        <w:t xml:space="preserve">Competing Interests </w:t>
      </w:r>
    </w:p>
    <w:p w14:paraId="131A9169" w14:textId="02EF5BB6" w:rsidR="0054202D" w:rsidRDefault="0054202D" w:rsidP="00F70214">
      <w:pPr>
        <w:rPr>
          <w:rFonts w:ascii="Arial" w:hAnsi="Arial" w:cs="Arial"/>
        </w:rPr>
      </w:pPr>
      <w:r>
        <w:rPr>
          <w:rFonts w:ascii="Arial" w:hAnsi="Arial" w:cs="Arial"/>
        </w:rPr>
        <w:t>None declared</w:t>
      </w:r>
    </w:p>
    <w:p w14:paraId="339E0047" w14:textId="77777777" w:rsidR="002C2FB2" w:rsidRDefault="002C2FB2" w:rsidP="00F70214">
      <w:pPr>
        <w:rPr>
          <w:rFonts w:ascii="Arial" w:hAnsi="Arial" w:cs="Arial"/>
        </w:rPr>
      </w:pPr>
    </w:p>
    <w:p w14:paraId="18307900" w14:textId="77777777" w:rsidR="00600A4B" w:rsidRDefault="00600A4B" w:rsidP="00F70214">
      <w:pPr>
        <w:rPr>
          <w:rFonts w:ascii="Arial" w:hAnsi="Arial" w:cs="Arial"/>
          <w:b/>
        </w:rPr>
      </w:pPr>
    </w:p>
    <w:p w14:paraId="169EBB23" w14:textId="77777777" w:rsidR="00600A4B" w:rsidRDefault="00600A4B" w:rsidP="00F70214">
      <w:pPr>
        <w:rPr>
          <w:rFonts w:ascii="Arial" w:hAnsi="Arial" w:cs="Arial"/>
          <w:b/>
        </w:rPr>
      </w:pPr>
    </w:p>
    <w:p w14:paraId="17E2FF08" w14:textId="2ED08392" w:rsidR="007948F4" w:rsidRDefault="007948F4" w:rsidP="00F70214">
      <w:pPr>
        <w:rPr>
          <w:rFonts w:ascii="Arial" w:hAnsi="Arial" w:cs="Arial"/>
          <w:b/>
        </w:rPr>
      </w:pPr>
      <w:r w:rsidRPr="007948F4">
        <w:rPr>
          <w:rFonts w:ascii="Arial" w:hAnsi="Arial" w:cs="Arial"/>
          <w:b/>
        </w:rPr>
        <w:t>Data Sharing</w:t>
      </w:r>
    </w:p>
    <w:p w14:paraId="10543C74" w14:textId="3F926676" w:rsidR="007948F4" w:rsidRDefault="007948F4" w:rsidP="00F70214">
      <w:pPr>
        <w:rPr>
          <w:rFonts w:ascii="Arial" w:hAnsi="Arial" w:cs="Arial"/>
        </w:rPr>
      </w:pPr>
      <w:r>
        <w:rPr>
          <w:rFonts w:ascii="Arial" w:hAnsi="Arial" w:cs="Arial"/>
        </w:rPr>
        <w:t>Data from this study is held</w:t>
      </w:r>
      <w:r w:rsidR="00A1676E">
        <w:rPr>
          <w:rFonts w:ascii="Arial" w:hAnsi="Arial" w:cs="Arial"/>
        </w:rPr>
        <w:t xml:space="preserve"> securely</w:t>
      </w:r>
      <w:r>
        <w:rPr>
          <w:rFonts w:ascii="Arial" w:hAnsi="Arial" w:cs="Arial"/>
        </w:rPr>
        <w:t xml:space="preserve"> by the University of Southampton</w:t>
      </w:r>
      <w:r w:rsidR="00A1676E">
        <w:rPr>
          <w:rFonts w:ascii="Arial" w:hAnsi="Arial" w:cs="Arial"/>
        </w:rPr>
        <w:t xml:space="preserve"> and is not available to be accessed.</w:t>
      </w:r>
    </w:p>
    <w:p w14:paraId="1A21B15C" w14:textId="142888F7" w:rsidR="002C2FB2" w:rsidRDefault="002C2FB2" w:rsidP="00F70214">
      <w:pPr>
        <w:rPr>
          <w:rFonts w:ascii="Arial" w:hAnsi="Arial" w:cs="Arial"/>
          <w:b/>
        </w:rPr>
      </w:pPr>
    </w:p>
    <w:p w14:paraId="0723059B" w14:textId="4F7D6F3F" w:rsidR="00A1676E" w:rsidRDefault="00A1676E" w:rsidP="00F70214">
      <w:pPr>
        <w:rPr>
          <w:rFonts w:ascii="Arial" w:hAnsi="Arial" w:cs="Arial"/>
          <w:b/>
        </w:rPr>
      </w:pPr>
      <w:r>
        <w:rPr>
          <w:rFonts w:ascii="Arial" w:hAnsi="Arial" w:cs="Arial"/>
          <w:b/>
        </w:rPr>
        <w:t>Patient consent</w:t>
      </w:r>
    </w:p>
    <w:p w14:paraId="4A562E6D" w14:textId="199DD85D" w:rsidR="00A1676E" w:rsidRDefault="00A1676E" w:rsidP="00F70214">
      <w:pPr>
        <w:rPr>
          <w:rFonts w:ascii="Arial" w:hAnsi="Arial" w:cs="Arial"/>
        </w:rPr>
      </w:pPr>
      <w:r>
        <w:rPr>
          <w:rFonts w:ascii="Arial" w:hAnsi="Arial" w:cs="Arial"/>
        </w:rPr>
        <w:t>Not applicable.</w:t>
      </w:r>
    </w:p>
    <w:p w14:paraId="71507663" w14:textId="36DAB5BE" w:rsidR="00A1676E" w:rsidRDefault="00A1676E" w:rsidP="00F70214">
      <w:pPr>
        <w:rPr>
          <w:rFonts w:ascii="Arial" w:hAnsi="Arial" w:cs="Arial"/>
        </w:rPr>
      </w:pPr>
    </w:p>
    <w:p w14:paraId="23EDD401" w14:textId="77777777" w:rsidR="00433D9F" w:rsidRDefault="00433D9F" w:rsidP="00F70214">
      <w:pPr>
        <w:rPr>
          <w:rFonts w:ascii="Arial" w:hAnsi="Arial" w:cs="Arial"/>
          <w:b/>
        </w:rPr>
      </w:pPr>
    </w:p>
    <w:p w14:paraId="53ED6AB3" w14:textId="77777777" w:rsidR="00433D9F" w:rsidRDefault="00433D9F" w:rsidP="00F70214">
      <w:pPr>
        <w:rPr>
          <w:rFonts w:ascii="Arial" w:hAnsi="Arial" w:cs="Arial"/>
          <w:b/>
        </w:rPr>
      </w:pPr>
    </w:p>
    <w:p w14:paraId="0ECA8983" w14:textId="77777777" w:rsidR="00433D9F" w:rsidRDefault="00433D9F" w:rsidP="00F70214">
      <w:pPr>
        <w:rPr>
          <w:rFonts w:ascii="Arial" w:hAnsi="Arial" w:cs="Arial"/>
          <w:b/>
        </w:rPr>
      </w:pPr>
    </w:p>
    <w:p w14:paraId="4ABCD435" w14:textId="329EBD22" w:rsidR="00FB1A6E" w:rsidRDefault="00A1676E" w:rsidP="00F70214">
      <w:pPr>
        <w:rPr>
          <w:rFonts w:ascii="Arial" w:hAnsi="Arial" w:cs="Arial"/>
          <w:b/>
        </w:rPr>
      </w:pPr>
      <w:r>
        <w:rPr>
          <w:rFonts w:ascii="Arial" w:hAnsi="Arial" w:cs="Arial"/>
          <w:b/>
        </w:rPr>
        <w:t>Ethical approval</w:t>
      </w:r>
    </w:p>
    <w:p w14:paraId="39B89031" w14:textId="77777777" w:rsidR="00E66EBC" w:rsidRPr="00C27F15" w:rsidRDefault="00E66EBC" w:rsidP="00F70214">
      <w:pPr>
        <w:spacing w:before="100" w:beforeAutospacing="1" w:after="100" w:afterAutospacing="1"/>
        <w:textAlignment w:val="top"/>
        <w:rPr>
          <w:rFonts w:ascii="Arial" w:hAnsi="Arial" w:cs="Arial"/>
          <w:color w:val="000000" w:themeColor="text1"/>
          <w:lang w:eastAsia="en-GB"/>
        </w:rPr>
      </w:pPr>
      <w:r w:rsidRPr="0063717D">
        <w:rPr>
          <w:rFonts w:ascii="Arial" w:hAnsi="Arial" w:cs="Arial"/>
          <w:color w:val="000000" w:themeColor="text1"/>
          <w:lang w:eastAsia="en-GB"/>
        </w:rPr>
        <w:t xml:space="preserve">Ethical approval was granted from the University of Southampton Faculty of Health Sciences Ethics </w:t>
      </w:r>
      <w:r w:rsidRPr="00C27F15">
        <w:rPr>
          <w:rFonts w:ascii="Arial" w:hAnsi="Arial" w:cs="Arial"/>
          <w:color w:val="000000" w:themeColor="text1"/>
          <w:lang w:eastAsia="en-GB"/>
        </w:rPr>
        <w:t>Committee (ERGO ID 20044). The study was also approved by the Health Research Authority (HRA) (IRAS ID 205342).</w:t>
      </w:r>
    </w:p>
    <w:p w14:paraId="14E70096" w14:textId="7D0E372E" w:rsidR="0054202D" w:rsidRDefault="0054202D" w:rsidP="00F70214">
      <w:pPr>
        <w:rPr>
          <w:rFonts w:ascii="Arial" w:hAnsi="Arial" w:cs="Arial"/>
        </w:rPr>
      </w:pPr>
    </w:p>
    <w:p w14:paraId="727136D6" w14:textId="0A720815" w:rsidR="007D14D5" w:rsidRDefault="007D14D5" w:rsidP="00F70214">
      <w:pPr>
        <w:rPr>
          <w:rFonts w:ascii="Arial" w:hAnsi="Arial" w:cs="Arial"/>
          <w:b/>
        </w:rPr>
      </w:pPr>
    </w:p>
    <w:p w14:paraId="44EE1818" w14:textId="77777777" w:rsidR="00074DED" w:rsidRDefault="00074DED" w:rsidP="00F70214">
      <w:pPr>
        <w:pStyle w:val="Heading1"/>
      </w:pPr>
    </w:p>
    <w:p w14:paraId="1761C6A9" w14:textId="61B821FA" w:rsidR="00573FC9" w:rsidRDefault="00573FC9" w:rsidP="00F70214">
      <w:pPr>
        <w:pStyle w:val="Heading1"/>
      </w:pPr>
    </w:p>
    <w:p w14:paraId="6FFC500E" w14:textId="1E050C3F" w:rsidR="00573FC9" w:rsidRDefault="00573FC9" w:rsidP="00F70214"/>
    <w:p w14:paraId="42B39C29" w14:textId="7F7AB179" w:rsidR="006E3B35" w:rsidRDefault="006E3B35" w:rsidP="00F70214"/>
    <w:p w14:paraId="20F77455" w14:textId="5036A0A4" w:rsidR="006E3B35" w:rsidRDefault="006E3B35" w:rsidP="00F70214"/>
    <w:p w14:paraId="5ABDA385" w14:textId="38370D65" w:rsidR="006E3B35" w:rsidRDefault="006E3B35" w:rsidP="00F70214"/>
    <w:p w14:paraId="33099AA2" w14:textId="127E0282" w:rsidR="006E3B35" w:rsidRDefault="006E3B35" w:rsidP="00F70214"/>
    <w:p w14:paraId="0732FDE9" w14:textId="4A438E77" w:rsidR="006E3B35" w:rsidRDefault="006E3B35" w:rsidP="00F70214"/>
    <w:p w14:paraId="1CBD3543" w14:textId="21B11080" w:rsidR="006E3B35" w:rsidRDefault="006E3B35" w:rsidP="00F70214"/>
    <w:p w14:paraId="20D2CB14" w14:textId="51C58A2B" w:rsidR="006E3B35" w:rsidRDefault="006E3B35" w:rsidP="00F70214"/>
    <w:p w14:paraId="22526D8A" w14:textId="4F40F969" w:rsidR="006E3B35" w:rsidRDefault="006E3B35" w:rsidP="00F70214"/>
    <w:p w14:paraId="0AAD066B" w14:textId="2ADBDF1C" w:rsidR="006E3B35" w:rsidRDefault="006E3B35" w:rsidP="00F70214"/>
    <w:p w14:paraId="500AFD67" w14:textId="50A83627" w:rsidR="006E3B35" w:rsidRDefault="006E3B35" w:rsidP="00F70214"/>
    <w:p w14:paraId="603258EC" w14:textId="068A3F03" w:rsidR="006E3B35" w:rsidRDefault="006E3B35" w:rsidP="00F70214"/>
    <w:p w14:paraId="00A01170" w14:textId="17C9A3C5" w:rsidR="006E3B35" w:rsidRDefault="006E3B35" w:rsidP="00F70214"/>
    <w:p w14:paraId="2D9C8B3E" w14:textId="6996A439" w:rsidR="006E3B35" w:rsidRDefault="006E3B35" w:rsidP="00F70214"/>
    <w:p w14:paraId="532706F8" w14:textId="1B433B9A" w:rsidR="006E3B35" w:rsidRDefault="006E3B35" w:rsidP="00F70214"/>
    <w:p w14:paraId="7D523ECF" w14:textId="5740906C" w:rsidR="006E3B35" w:rsidRDefault="006E3B35" w:rsidP="00F70214"/>
    <w:p w14:paraId="62F15793" w14:textId="5FB98229" w:rsidR="006E3B35" w:rsidRDefault="006E3B35" w:rsidP="00F70214"/>
    <w:p w14:paraId="6AC33DFA" w14:textId="5F2D8CEA" w:rsidR="006E3B35" w:rsidRDefault="006E3B35" w:rsidP="00F70214"/>
    <w:p w14:paraId="7183D8D4" w14:textId="6A222577" w:rsidR="006E3B35" w:rsidRDefault="006E3B35" w:rsidP="00F70214"/>
    <w:p w14:paraId="3B04282A" w14:textId="2985963F" w:rsidR="006E3B35" w:rsidRDefault="006E3B35" w:rsidP="00F70214"/>
    <w:p w14:paraId="04E1B134" w14:textId="6157C1D9" w:rsidR="006E3B35" w:rsidRDefault="006E3B35" w:rsidP="00F70214"/>
    <w:p w14:paraId="7EB4973E" w14:textId="711B1790" w:rsidR="006E3B35" w:rsidRDefault="006E3B35" w:rsidP="00F70214"/>
    <w:p w14:paraId="3763DAD6" w14:textId="0CCF1066" w:rsidR="006E3B35" w:rsidRDefault="006E3B35" w:rsidP="00F70214"/>
    <w:p w14:paraId="7EB4C58F" w14:textId="780BFB1A" w:rsidR="006E3B35" w:rsidRDefault="006E3B35" w:rsidP="00F70214"/>
    <w:p w14:paraId="7EAD13E5" w14:textId="50E13758" w:rsidR="006E3B35" w:rsidRDefault="006E3B35" w:rsidP="00F70214"/>
    <w:p w14:paraId="6B150E3F" w14:textId="21D07A94" w:rsidR="006E3B35" w:rsidRDefault="006E3B35" w:rsidP="00F70214"/>
    <w:p w14:paraId="55FB44A0" w14:textId="23848532" w:rsidR="006E3B35" w:rsidRDefault="006E3B35" w:rsidP="00F70214"/>
    <w:p w14:paraId="2DF68530" w14:textId="65605ADA" w:rsidR="006E3B35" w:rsidRDefault="006E3B35" w:rsidP="00F70214"/>
    <w:p w14:paraId="3C8A43EC" w14:textId="1F5C8FB3" w:rsidR="006E3B35" w:rsidRDefault="006E3B35" w:rsidP="00F70214"/>
    <w:p w14:paraId="3D018D23" w14:textId="7F9039A6" w:rsidR="006E3B35" w:rsidRDefault="006E3B35" w:rsidP="00F70214"/>
    <w:p w14:paraId="5B008F83" w14:textId="3F8E7852" w:rsidR="006E3B35" w:rsidRDefault="006E3B35" w:rsidP="00F70214"/>
    <w:p w14:paraId="57AAB290" w14:textId="4A9110CF" w:rsidR="006E3B35" w:rsidRDefault="006E3B35" w:rsidP="00F70214"/>
    <w:p w14:paraId="3A3EAE84" w14:textId="77777777" w:rsidR="006E3B35" w:rsidRDefault="006E3B35" w:rsidP="00F70214"/>
    <w:p w14:paraId="0F278838" w14:textId="77777777" w:rsidR="00573FC9" w:rsidRPr="00573FC9" w:rsidRDefault="00573FC9" w:rsidP="00F70214"/>
    <w:p w14:paraId="1B3435EC" w14:textId="4DA03D70" w:rsidR="00BE7B33" w:rsidRPr="003A3124" w:rsidRDefault="00BE7B33" w:rsidP="00F70214">
      <w:pPr>
        <w:pStyle w:val="Heading1"/>
      </w:pPr>
      <w:r w:rsidRPr="003A3124">
        <w:t xml:space="preserve">References </w:t>
      </w:r>
    </w:p>
    <w:p w14:paraId="3D05513D" w14:textId="77777777" w:rsidR="00BE7B33" w:rsidRPr="0063717D" w:rsidRDefault="00BE7B33" w:rsidP="00F70214">
      <w:pPr>
        <w:rPr>
          <w:rFonts w:ascii="Arial" w:hAnsi="Arial" w:cs="Arial"/>
          <w:b/>
          <w:bCs/>
          <w:color w:val="000000" w:themeColor="text1"/>
        </w:rPr>
      </w:pPr>
    </w:p>
    <w:p w14:paraId="12629172" w14:textId="682F315A" w:rsidR="000A6043" w:rsidRPr="000E5D7B" w:rsidRDefault="000A6043" w:rsidP="00F70214">
      <w:pPr>
        <w:rPr>
          <w:rFonts w:ascii="Arial" w:eastAsiaTheme="majorEastAsia" w:hAnsi="Arial" w:cs="Arial"/>
          <w:color w:val="000000" w:themeColor="text1"/>
        </w:rPr>
      </w:pPr>
      <w:r>
        <w:rPr>
          <w:rFonts w:ascii="Arial" w:eastAsiaTheme="majorEastAsia" w:hAnsi="Arial" w:cs="Arial"/>
          <w:color w:val="000000" w:themeColor="text1"/>
        </w:rPr>
        <w:t>Abuzour, A.,</w:t>
      </w:r>
      <w:r w:rsidRPr="000E5D7B">
        <w:rPr>
          <w:rFonts w:ascii="Arial" w:eastAsiaTheme="majorEastAsia" w:hAnsi="Arial" w:cs="Arial"/>
          <w:color w:val="000000" w:themeColor="text1"/>
        </w:rPr>
        <w:t xml:space="preserve"> Lewis</w:t>
      </w:r>
      <w:r>
        <w:rPr>
          <w:rFonts w:ascii="Arial" w:eastAsiaTheme="majorEastAsia" w:hAnsi="Arial" w:cs="Arial"/>
          <w:color w:val="000000" w:themeColor="text1"/>
        </w:rPr>
        <w:t>, P.,&amp; Tully, M. (2018).</w:t>
      </w:r>
      <w:r w:rsidRPr="000E5D7B">
        <w:rPr>
          <w:rFonts w:ascii="Arial" w:eastAsiaTheme="majorEastAsia" w:hAnsi="Arial" w:cs="Arial"/>
          <w:color w:val="000000" w:themeColor="text1"/>
        </w:rPr>
        <w:t> Factors influencing secondary care pharmacist and nurse independent prescribers’ clinical reasoning</w:t>
      </w:r>
      <w:r>
        <w:rPr>
          <w:rFonts w:ascii="Arial" w:eastAsiaTheme="majorEastAsia" w:hAnsi="Arial" w:cs="Arial"/>
          <w:color w:val="000000" w:themeColor="text1"/>
        </w:rPr>
        <w:t xml:space="preserve">: An interprofessional analysis. </w:t>
      </w:r>
      <w:r w:rsidRPr="000E5D7B">
        <w:rPr>
          <w:rFonts w:ascii="Arial" w:eastAsiaTheme="majorEastAsia" w:hAnsi="Arial" w:cs="Arial"/>
          <w:i/>
          <w:color w:val="000000" w:themeColor="text1"/>
        </w:rPr>
        <w:t>J Interprof Care</w:t>
      </w:r>
      <w:r>
        <w:rPr>
          <w:rFonts w:ascii="Arial" w:eastAsiaTheme="majorEastAsia" w:hAnsi="Arial" w:cs="Arial"/>
          <w:color w:val="000000" w:themeColor="text1"/>
        </w:rPr>
        <w:t>, 32 (</w:t>
      </w:r>
      <w:r w:rsidRPr="000E5D7B">
        <w:rPr>
          <w:rFonts w:ascii="Arial" w:eastAsiaTheme="majorEastAsia" w:hAnsi="Arial" w:cs="Arial"/>
          <w:color w:val="000000" w:themeColor="text1"/>
        </w:rPr>
        <w:t>2</w:t>
      </w:r>
      <w:r>
        <w:rPr>
          <w:rFonts w:ascii="Arial" w:eastAsiaTheme="majorEastAsia" w:hAnsi="Arial" w:cs="Arial"/>
          <w:color w:val="000000" w:themeColor="text1"/>
        </w:rPr>
        <w:t>)</w:t>
      </w:r>
      <w:r w:rsidRPr="000E5D7B">
        <w:rPr>
          <w:rFonts w:ascii="Arial" w:eastAsiaTheme="majorEastAsia" w:hAnsi="Arial" w:cs="Arial"/>
          <w:color w:val="000000" w:themeColor="text1"/>
        </w:rPr>
        <w:t>,160</w:t>
      </w:r>
      <w:r>
        <w:rPr>
          <w:rFonts w:ascii="Arial" w:eastAsiaTheme="majorEastAsia" w:hAnsi="Arial" w:cs="Arial"/>
          <w:color w:val="000000" w:themeColor="text1"/>
        </w:rPr>
        <w:t>-</w:t>
      </w:r>
      <w:r w:rsidRPr="000E5D7B">
        <w:rPr>
          <w:rFonts w:ascii="Arial" w:eastAsiaTheme="majorEastAsia" w:hAnsi="Arial" w:cs="Arial"/>
          <w:color w:val="000000" w:themeColor="text1"/>
        </w:rPr>
        <w:t>168</w:t>
      </w:r>
      <w:r>
        <w:rPr>
          <w:rFonts w:ascii="Arial" w:eastAsiaTheme="majorEastAsia" w:hAnsi="Arial" w:cs="Arial"/>
          <w:color w:val="000000" w:themeColor="text1"/>
        </w:rPr>
        <w:t>.</w:t>
      </w:r>
    </w:p>
    <w:p w14:paraId="11579D6F" w14:textId="77777777" w:rsidR="000A6043" w:rsidRDefault="000A6043" w:rsidP="00F70214"/>
    <w:p w14:paraId="6FEB4CFC" w14:textId="77777777" w:rsidR="00B03FDF" w:rsidRPr="0063717D" w:rsidRDefault="00B03FDF" w:rsidP="00F70214">
      <w:pPr>
        <w:rPr>
          <w:rFonts w:ascii="Arial" w:hAnsi="Arial" w:cs="Arial"/>
        </w:rPr>
      </w:pPr>
      <w:r w:rsidRPr="0063717D">
        <w:rPr>
          <w:rFonts w:ascii="Arial" w:hAnsi="Arial" w:cs="Arial"/>
        </w:rPr>
        <w:t>College of Paramedics.</w:t>
      </w:r>
      <w:r>
        <w:rPr>
          <w:rFonts w:ascii="Arial" w:hAnsi="Arial" w:cs="Arial"/>
        </w:rPr>
        <w:t xml:space="preserve"> (2017).</w:t>
      </w:r>
      <w:r w:rsidRPr="0063717D">
        <w:rPr>
          <w:rFonts w:ascii="Arial" w:hAnsi="Arial" w:cs="Arial"/>
        </w:rPr>
        <w:t xml:space="preserve"> </w:t>
      </w:r>
      <w:r w:rsidRPr="0015407F">
        <w:rPr>
          <w:rFonts w:ascii="Arial" w:hAnsi="Arial" w:cs="Arial"/>
          <w:i/>
        </w:rPr>
        <w:t>Post graduate Curriculum Guidance. College of Paramedics</w:t>
      </w:r>
      <w:r w:rsidRPr="0063717D">
        <w:rPr>
          <w:rFonts w:ascii="Arial" w:hAnsi="Arial" w:cs="Arial"/>
        </w:rPr>
        <w:t xml:space="preserve">. </w:t>
      </w:r>
      <w:r>
        <w:rPr>
          <w:rFonts w:ascii="Arial" w:hAnsi="Arial" w:cs="Arial"/>
        </w:rPr>
        <w:t>Retrieved 1</w:t>
      </w:r>
      <w:r w:rsidRPr="0015407F">
        <w:rPr>
          <w:rFonts w:ascii="Arial" w:hAnsi="Arial" w:cs="Arial"/>
          <w:vertAlign w:val="superscript"/>
        </w:rPr>
        <w:t>st</w:t>
      </w:r>
      <w:r>
        <w:rPr>
          <w:rFonts w:ascii="Arial" w:hAnsi="Arial" w:cs="Arial"/>
        </w:rPr>
        <w:t xml:space="preserve"> March 2018 from</w:t>
      </w:r>
      <w:r w:rsidRPr="0063717D">
        <w:rPr>
          <w:rFonts w:ascii="Arial" w:hAnsi="Arial" w:cs="Arial"/>
        </w:rPr>
        <w:t xml:space="preserve"> https://www.collegeofparamedics.co.uk/publications/pos</w:t>
      </w:r>
      <w:r>
        <w:rPr>
          <w:rFonts w:ascii="Arial" w:hAnsi="Arial" w:cs="Arial"/>
        </w:rPr>
        <w:t>t-graduate-curriculum-guidance.</w:t>
      </w:r>
    </w:p>
    <w:p w14:paraId="30F54394" w14:textId="77777777" w:rsidR="00B03FDF" w:rsidRDefault="00B03FDF" w:rsidP="00F70214">
      <w:pPr>
        <w:rPr>
          <w:rFonts w:ascii="Arial" w:hAnsi="Arial" w:cs="Arial"/>
        </w:rPr>
      </w:pPr>
    </w:p>
    <w:p w14:paraId="6A7280D4" w14:textId="75852E8C" w:rsidR="000A6043" w:rsidRPr="008D3690" w:rsidRDefault="000A6043" w:rsidP="00F70214">
      <w:pPr>
        <w:rPr>
          <w:rFonts w:ascii="Arial" w:hAnsi="Arial" w:cs="Arial"/>
        </w:rPr>
      </w:pPr>
      <w:r w:rsidRPr="008D3690">
        <w:rPr>
          <w:rFonts w:ascii="Arial" w:hAnsi="Arial" w:cs="Arial"/>
        </w:rPr>
        <w:t>College of Paramedics (2018) Practice Guidance for Paramedic Independent and Supplementary Prescribers. Retrieved 13</w:t>
      </w:r>
      <w:r w:rsidRPr="008D3690">
        <w:rPr>
          <w:rFonts w:ascii="Arial" w:hAnsi="Arial" w:cs="Arial"/>
          <w:vertAlign w:val="superscript"/>
        </w:rPr>
        <w:t>th</w:t>
      </w:r>
      <w:r w:rsidRPr="008D3690">
        <w:rPr>
          <w:rFonts w:ascii="Arial" w:hAnsi="Arial" w:cs="Arial"/>
        </w:rPr>
        <w:t xml:space="preserve"> June 2018 from https://collegeofparamedics.co.uk/publications/independent-prescribing</w:t>
      </w:r>
    </w:p>
    <w:p w14:paraId="230227AD" w14:textId="77777777" w:rsidR="000A6043" w:rsidRDefault="000A6043" w:rsidP="00F70214">
      <w:pPr>
        <w:rPr>
          <w:rFonts w:ascii="Arial" w:hAnsi="Arial" w:cs="Arial"/>
        </w:rPr>
      </w:pPr>
    </w:p>
    <w:p w14:paraId="3800D4ED" w14:textId="601A120F" w:rsidR="000A6043" w:rsidRDefault="000A6043" w:rsidP="00F70214">
      <w:pPr>
        <w:rPr>
          <w:rFonts w:ascii="Arial" w:hAnsi="Arial" w:cs="Arial"/>
        </w:rPr>
      </w:pPr>
      <w:r w:rsidRPr="0063717D">
        <w:rPr>
          <w:rFonts w:ascii="Arial" w:hAnsi="Arial" w:cs="Arial"/>
        </w:rPr>
        <w:t>Com</w:t>
      </w:r>
      <w:r>
        <w:rPr>
          <w:rFonts w:ascii="Arial" w:hAnsi="Arial" w:cs="Arial"/>
        </w:rPr>
        <w:t>mission on Human Medicines. (2015).</w:t>
      </w:r>
      <w:r w:rsidRPr="0063717D">
        <w:rPr>
          <w:rFonts w:ascii="Arial" w:hAnsi="Arial" w:cs="Arial"/>
        </w:rPr>
        <w:t xml:space="preserve"> </w:t>
      </w:r>
      <w:r w:rsidRPr="0015407F">
        <w:rPr>
          <w:rFonts w:ascii="Arial" w:hAnsi="Arial" w:cs="Arial"/>
          <w:i/>
        </w:rPr>
        <w:t>Summary of the Commission on Human Medicines Meeting Held on Thursday 15 October and Friday 16 October 2015.</w:t>
      </w:r>
      <w:r>
        <w:rPr>
          <w:rFonts w:ascii="Arial" w:hAnsi="Arial" w:cs="Arial"/>
        </w:rPr>
        <w:t xml:space="preserve"> Retrieved 18</w:t>
      </w:r>
      <w:r w:rsidRPr="0015407F">
        <w:rPr>
          <w:rFonts w:ascii="Arial" w:hAnsi="Arial" w:cs="Arial"/>
          <w:vertAlign w:val="superscript"/>
        </w:rPr>
        <w:t>th</w:t>
      </w:r>
      <w:r>
        <w:rPr>
          <w:rFonts w:ascii="Arial" w:hAnsi="Arial" w:cs="Arial"/>
        </w:rPr>
        <w:t xml:space="preserve"> March 2018 from </w:t>
      </w:r>
      <w:r w:rsidRPr="00EF50B5">
        <w:rPr>
          <w:rFonts w:ascii="Arial" w:hAnsi="Arial" w:cs="Arial"/>
        </w:rPr>
        <w:t>https://www.collegeofparamedics.co.uk/downloads/CHM_7_Sept_2017_-_Final_Summary_Minutes.pdf</w:t>
      </w:r>
      <w:r>
        <w:rPr>
          <w:rFonts w:ascii="Arial" w:hAnsi="Arial" w:cs="Arial"/>
        </w:rPr>
        <w:t>.</w:t>
      </w:r>
    </w:p>
    <w:p w14:paraId="2574FACB" w14:textId="77777777" w:rsidR="000A6043" w:rsidRDefault="000A6043" w:rsidP="00F70214">
      <w:pPr>
        <w:rPr>
          <w:rFonts w:ascii="Arial" w:hAnsi="Arial" w:cs="Arial"/>
        </w:rPr>
      </w:pPr>
    </w:p>
    <w:p w14:paraId="12F566A9" w14:textId="08AB0F42" w:rsidR="000A6043" w:rsidRDefault="000A6043" w:rsidP="00F70214">
      <w:pPr>
        <w:rPr>
          <w:rFonts w:ascii="Arial" w:hAnsi="Arial" w:cs="Arial"/>
        </w:rPr>
      </w:pPr>
      <w:r w:rsidRPr="0063717D">
        <w:rPr>
          <w:rFonts w:ascii="Arial" w:hAnsi="Arial" w:cs="Arial"/>
        </w:rPr>
        <w:t>Com</w:t>
      </w:r>
      <w:r>
        <w:rPr>
          <w:rFonts w:ascii="Arial" w:hAnsi="Arial" w:cs="Arial"/>
        </w:rPr>
        <w:t>mission on Human Medicines. (2017).</w:t>
      </w:r>
      <w:r w:rsidRPr="0063717D">
        <w:rPr>
          <w:rFonts w:ascii="Arial" w:hAnsi="Arial" w:cs="Arial"/>
        </w:rPr>
        <w:t xml:space="preserve"> </w:t>
      </w:r>
      <w:r w:rsidRPr="0015407F">
        <w:rPr>
          <w:rFonts w:ascii="Arial" w:hAnsi="Arial" w:cs="Arial"/>
          <w:i/>
        </w:rPr>
        <w:t>Summary of the Commission on Human Medicines Meeting held on Thursday 7</w:t>
      </w:r>
      <w:r w:rsidRPr="0015407F">
        <w:rPr>
          <w:rFonts w:ascii="Arial" w:hAnsi="Arial" w:cs="Arial"/>
          <w:i/>
          <w:vertAlign w:val="superscript"/>
        </w:rPr>
        <w:t>th</w:t>
      </w:r>
      <w:r w:rsidRPr="0015407F">
        <w:rPr>
          <w:rFonts w:ascii="Arial" w:hAnsi="Arial" w:cs="Arial"/>
          <w:i/>
        </w:rPr>
        <w:t xml:space="preserve"> September 2017</w:t>
      </w:r>
      <w:r w:rsidRPr="0063717D">
        <w:rPr>
          <w:rFonts w:ascii="Arial" w:hAnsi="Arial" w:cs="Arial"/>
        </w:rPr>
        <w:t xml:space="preserve">. </w:t>
      </w:r>
      <w:r>
        <w:rPr>
          <w:rFonts w:ascii="Arial" w:hAnsi="Arial" w:cs="Arial"/>
        </w:rPr>
        <w:t>Retrieved 14</w:t>
      </w:r>
      <w:r w:rsidRPr="0015407F">
        <w:rPr>
          <w:rFonts w:ascii="Arial" w:hAnsi="Arial" w:cs="Arial"/>
          <w:vertAlign w:val="superscript"/>
        </w:rPr>
        <w:t>th</w:t>
      </w:r>
      <w:r>
        <w:rPr>
          <w:rFonts w:ascii="Arial" w:hAnsi="Arial" w:cs="Arial"/>
        </w:rPr>
        <w:t xml:space="preserve"> March 2018 from</w:t>
      </w:r>
      <w:r w:rsidRPr="0063717D">
        <w:rPr>
          <w:rFonts w:ascii="Arial" w:hAnsi="Arial" w:cs="Arial"/>
        </w:rPr>
        <w:t xml:space="preserve"> </w:t>
      </w:r>
      <w:r w:rsidRPr="00EF50B5">
        <w:rPr>
          <w:rFonts w:ascii="Arial" w:hAnsi="Arial" w:cs="Arial"/>
        </w:rPr>
        <w:t>https://www.collegeofparamedics.co.uk/downloads/CHM_7_Sept_2017_-_Final_Summary_Minutes.pdf</w:t>
      </w:r>
      <w:r>
        <w:rPr>
          <w:rFonts w:ascii="Arial" w:hAnsi="Arial" w:cs="Arial"/>
        </w:rPr>
        <w:t>.</w:t>
      </w:r>
    </w:p>
    <w:p w14:paraId="72850621" w14:textId="77777777" w:rsidR="000A6043" w:rsidRDefault="000A6043" w:rsidP="00F70214">
      <w:pPr>
        <w:rPr>
          <w:rFonts w:ascii="Arial" w:hAnsi="Arial" w:cs="Arial"/>
        </w:rPr>
      </w:pPr>
    </w:p>
    <w:p w14:paraId="6B701DB6" w14:textId="4E035FF5" w:rsidR="000A6043" w:rsidRPr="0063717D" w:rsidRDefault="000A6043" w:rsidP="00F70214">
      <w:pPr>
        <w:rPr>
          <w:rFonts w:ascii="Arial" w:hAnsi="Arial" w:cs="Arial"/>
        </w:rPr>
      </w:pPr>
      <w:r w:rsidRPr="0063717D">
        <w:rPr>
          <w:rFonts w:ascii="Arial" w:hAnsi="Arial" w:cs="Arial"/>
        </w:rPr>
        <w:t>Courtenay</w:t>
      </w:r>
      <w:r>
        <w:rPr>
          <w:rFonts w:ascii="Arial" w:hAnsi="Arial" w:cs="Arial"/>
        </w:rPr>
        <w:t>,</w:t>
      </w:r>
      <w:r w:rsidRPr="0063717D">
        <w:rPr>
          <w:rFonts w:ascii="Arial" w:hAnsi="Arial" w:cs="Arial"/>
        </w:rPr>
        <w:t xml:space="preserve"> M</w:t>
      </w:r>
      <w:r>
        <w:rPr>
          <w:rFonts w:ascii="Arial" w:hAnsi="Arial" w:cs="Arial"/>
        </w:rPr>
        <w:t>.</w:t>
      </w:r>
      <w:r w:rsidRPr="0063717D">
        <w:rPr>
          <w:rFonts w:ascii="Arial" w:hAnsi="Arial" w:cs="Arial"/>
        </w:rPr>
        <w:t>, Carey</w:t>
      </w:r>
      <w:r>
        <w:rPr>
          <w:rFonts w:ascii="Arial" w:hAnsi="Arial" w:cs="Arial"/>
        </w:rPr>
        <w:t>,</w:t>
      </w:r>
      <w:r w:rsidRPr="0063717D">
        <w:rPr>
          <w:rFonts w:ascii="Arial" w:hAnsi="Arial" w:cs="Arial"/>
        </w:rPr>
        <w:t xml:space="preserve"> N</w:t>
      </w:r>
      <w:r>
        <w:rPr>
          <w:rFonts w:ascii="Arial" w:hAnsi="Arial" w:cs="Arial"/>
        </w:rPr>
        <w:t>.</w:t>
      </w:r>
      <w:r w:rsidRPr="0063717D">
        <w:rPr>
          <w:rFonts w:ascii="Arial" w:hAnsi="Arial" w:cs="Arial"/>
        </w:rPr>
        <w:t>,</w:t>
      </w:r>
      <w:r>
        <w:rPr>
          <w:rFonts w:ascii="Arial" w:hAnsi="Arial" w:cs="Arial"/>
        </w:rPr>
        <w:t xml:space="preserve"> &amp;</w:t>
      </w:r>
      <w:r w:rsidRPr="0063717D">
        <w:rPr>
          <w:rFonts w:ascii="Arial" w:hAnsi="Arial" w:cs="Arial"/>
        </w:rPr>
        <w:t xml:space="preserve"> Stenner</w:t>
      </w:r>
      <w:r>
        <w:rPr>
          <w:rFonts w:ascii="Arial" w:hAnsi="Arial" w:cs="Arial"/>
        </w:rPr>
        <w:t>,</w:t>
      </w:r>
      <w:r w:rsidRPr="0063717D">
        <w:rPr>
          <w:rFonts w:ascii="Arial" w:hAnsi="Arial" w:cs="Arial"/>
        </w:rPr>
        <w:t xml:space="preserve"> K. </w:t>
      </w:r>
      <w:r>
        <w:rPr>
          <w:rFonts w:ascii="Arial" w:hAnsi="Arial" w:cs="Arial"/>
        </w:rPr>
        <w:t xml:space="preserve">(2012). </w:t>
      </w:r>
      <w:r w:rsidRPr="0063717D">
        <w:rPr>
          <w:rFonts w:ascii="Arial" w:hAnsi="Arial" w:cs="Arial"/>
        </w:rPr>
        <w:t xml:space="preserve">An overview of non medical prescribing across one strategic health authority: a questionnaire survey. </w:t>
      </w:r>
      <w:r w:rsidRPr="005A1C32">
        <w:rPr>
          <w:rFonts w:ascii="Arial" w:hAnsi="Arial" w:cs="Arial"/>
          <w:i/>
        </w:rPr>
        <w:t>BMC Health Serv Res</w:t>
      </w:r>
      <w:r>
        <w:rPr>
          <w:rFonts w:ascii="Arial" w:hAnsi="Arial" w:cs="Arial"/>
        </w:rPr>
        <w:t>,(</w:t>
      </w:r>
      <w:r w:rsidRPr="0063717D">
        <w:rPr>
          <w:rFonts w:ascii="Arial" w:hAnsi="Arial" w:cs="Arial"/>
        </w:rPr>
        <w:t>12</w:t>
      </w:r>
      <w:r>
        <w:rPr>
          <w:rFonts w:ascii="Arial" w:hAnsi="Arial" w:cs="Arial"/>
        </w:rPr>
        <w:t>)</w:t>
      </w:r>
      <w:r w:rsidRPr="0063717D">
        <w:rPr>
          <w:rFonts w:ascii="Arial" w:hAnsi="Arial" w:cs="Arial"/>
        </w:rPr>
        <w:t>:138.</w:t>
      </w:r>
    </w:p>
    <w:p w14:paraId="061A4AEF" w14:textId="77777777" w:rsidR="000A6043" w:rsidRDefault="000A6043" w:rsidP="00F70214">
      <w:pPr>
        <w:rPr>
          <w:rFonts w:ascii="Arial" w:hAnsi="Arial" w:cs="Arial"/>
        </w:rPr>
      </w:pPr>
    </w:p>
    <w:p w14:paraId="4730B16C" w14:textId="53A54379" w:rsidR="000A6043" w:rsidRPr="0063717D" w:rsidRDefault="000A6043" w:rsidP="00F70214">
      <w:pPr>
        <w:rPr>
          <w:rFonts w:ascii="Arial" w:hAnsi="Arial" w:cs="Arial"/>
        </w:rPr>
      </w:pPr>
      <w:r>
        <w:rPr>
          <w:rFonts w:ascii="Arial" w:hAnsi="Arial" w:cs="Arial"/>
        </w:rPr>
        <w:t>Duffy, I.,&amp; Jones,</w:t>
      </w:r>
      <w:r w:rsidRPr="003A3124">
        <w:rPr>
          <w:rFonts w:ascii="Arial" w:hAnsi="Arial" w:cs="Arial"/>
        </w:rPr>
        <w:t xml:space="preserve"> C.</w:t>
      </w:r>
      <w:r>
        <w:rPr>
          <w:rFonts w:ascii="Arial" w:hAnsi="Arial" w:cs="Arial"/>
        </w:rPr>
        <w:t xml:space="preserve"> (2017)</w:t>
      </w:r>
      <w:r w:rsidRPr="003A3124">
        <w:rPr>
          <w:rFonts w:ascii="Arial" w:hAnsi="Arial" w:cs="Arial"/>
        </w:rPr>
        <w:t xml:space="preserve"> Exploratory study into the views of paramedics on paramedic prescribing. </w:t>
      </w:r>
      <w:r w:rsidRPr="005A1C32">
        <w:rPr>
          <w:rFonts w:ascii="Arial" w:hAnsi="Arial" w:cs="Arial"/>
          <w:i/>
        </w:rPr>
        <w:t>Journal of Paramedic Practice</w:t>
      </w:r>
      <w:r>
        <w:rPr>
          <w:rFonts w:ascii="Arial" w:hAnsi="Arial" w:cs="Arial"/>
        </w:rPr>
        <w:t xml:space="preserve">,  </w:t>
      </w:r>
      <w:r w:rsidRPr="00435BA1">
        <w:rPr>
          <w:rFonts w:ascii="Arial" w:hAnsi="Arial" w:cs="Arial"/>
        </w:rPr>
        <w:t>9</w:t>
      </w:r>
      <w:r>
        <w:rPr>
          <w:rFonts w:ascii="Arial" w:hAnsi="Arial" w:cs="Arial"/>
        </w:rPr>
        <w:t xml:space="preserve"> (</w:t>
      </w:r>
      <w:r w:rsidRPr="0063717D">
        <w:rPr>
          <w:rFonts w:ascii="Arial" w:hAnsi="Arial" w:cs="Arial"/>
        </w:rPr>
        <w:t>7</w:t>
      </w:r>
      <w:r>
        <w:rPr>
          <w:rFonts w:ascii="Arial" w:hAnsi="Arial" w:cs="Arial"/>
        </w:rPr>
        <w:t>)</w:t>
      </w:r>
      <w:r w:rsidRPr="0063717D">
        <w:rPr>
          <w:rFonts w:ascii="Arial" w:hAnsi="Arial" w:cs="Arial"/>
        </w:rPr>
        <w:t>, 296-301</w:t>
      </w:r>
      <w:r>
        <w:rPr>
          <w:rFonts w:ascii="Arial" w:hAnsi="Arial" w:cs="Arial"/>
        </w:rPr>
        <w:t>.</w:t>
      </w:r>
    </w:p>
    <w:p w14:paraId="7FDF565A" w14:textId="77777777" w:rsidR="000A6043" w:rsidRDefault="000A6043" w:rsidP="00F70214">
      <w:pPr>
        <w:rPr>
          <w:rFonts w:ascii="Arial" w:hAnsi="Arial" w:cs="Arial"/>
        </w:rPr>
      </w:pPr>
    </w:p>
    <w:p w14:paraId="32136210" w14:textId="1EC4D2FF" w:rsidR="000A6043" w:rsidRPr="0063717D" w:rsidRDefault="000A6043" w:rsidP="00F70214">
      <w:pPr>
        <w:rPr>
          <w:rFonts w:ascii="Arial" w:hAnsi="Arial" w:cs="Arial"/>
        </w:rPr>
      </w:pPr>
      <w:r w:rsidRPr="0063717D">
        <w:rPr>
          <w:rFonts w:ascii="Arial" w:hAnsi="Arial" w:cs="Arial"/>
        </w:rPr>
        <w:t>Eysenbach</w:t>
      </w:r>
      <w:r>
        <w:rPr>
          <w:rFonts w:ascii="Arial" w:hAnsi="Arial" w:cs="Arial"/>
        </w:rPr>
        <w:t>,</w:t>
      </w:r>
      <w:r w:rsidRPr="0063717D">
        <w:rPr>
          <w:rFonts w:ascii="Arial" w:hAnsi="Arial" w:cs="Arial"/>
        </w:rPr>
        <w:t xml:space="preserve"> G</w:t>
      </w:r>
      <w:r>
        <w:rPr>
          <w:rFonts w:ascii="Arial" w:hAnsi="Arial" w:cs="Arial"/>
        </w:rPr>
        <w:t>. (2004)</w:t>
      </w:r>
      <w:r w:rsidRPr="0063717D">
        <w:rPr>
          <w:rFonts w:ascii="Arial" w:hAnsi="Arial" w:cs="Arial"/>
        </w:rPr>
        <w:t xml:space="preserve"> Improving the Quality of Web Surveys: The Checklist for Reporting Results of Internet E-Surveys (CHERRIES) </w:t>
      </w:r>
      <w:r w:rsidRPr="00C21F41">
        <w:rPr>
          <w:rFonts w:ascii="Arial" w:hAnsi="Arial" w:cs="Arial"/>
          <w:i/>
        </w:rPr>
        <w:t>J Med Internet Res</w:t>
      </w:r>
      <w:r>
        <w:rPr>
          <w:rFonts w:ascii="Arial" w:hAnsi="Arial" w:cs="Arial"/>
        </w:rPr>
        <w:t>,</w:t>
      </w:r>
      <w:r w:rsidRPr="0063717D">
        <w:rPr>
          <w:rFonts w:ascii="Arial" w:hAnsi="Arial" w:cs="Arial"/>
        </w:rPr>
        <w:t xml:space="preserve"> 6:e34</w:t>
      </w:r>
      <w:r>
        <w:rPr>
          <w:rFonts w:ascii="Arial" w:hAnsi="Arial" w:cs="Arial"/>
        </w:rPr>
        <w:t>.</w:t>
      </w:r>
    </w:p>
    <w:p w14:paraId="4972CF1E" w14:textId="77777777" w:rsidR="000A6043" w:rsidRDefault="000A6043" w:rsidP="00F70214">
      <w:pPr>
        <w:rPr>
          <w:rFonts w:ascii="Arial" w:hAnsi="Arial" w:cs="Arial"/>
        </w:rPr>
      </w:pPr>
    </w:p>
    <w:p w14:paraId="2CA5D3E2" w14:textId="3B8070C3" w:rsidR="000A6043" w:rsidRPr="0063717D" w:rsidRDefault="000A6043" w:rsidP="00F70214">
      <w:pPr>
        <w:rPr>
          <w:rFonts w:ascii="Arial" w:hAnsi="Arial" w:cs="Arial"/>
        </w:rPr>
      </w:pPr>
      <w:r w:rsidRPr="0063717D">
        <w:rPr>
          <w:rFonts w:ascii="Arial" w:hAnsi="Arial" w:cs="Arial"/>
        </w:rPr>
        <w:t>Herklots</w:t>
      </w:r>
      <w:r>
        <w:rPr>
          <w:rFonts w:ascii="Arial" w:hAnsi="Arial" w:cs="Arial"/>
        </w:rPr>
        <w:t>,</w:t>
      </w:r>
      <w:r w:rsidRPr="0063717D">
        <w:rPr>
          <w:rFonts w:ascii="Arial" w:hAnsi="Arial" w:cs="Arial"/>
        </w:rPr>
        <w:t xml:space="preserve"> A</w:t>
      </w:r>
      <w:r>
        <w:rPr>
          <w:rFonts w:ascii="Arial" w:hAnsi="Arial" w:cs="Arial"/>
        </w:rPr>
        <w:t>.</w:t>
      </w:r>
      <w:r w:rsidRPr="0063717D">
        <w:rPr>
          <w:rFonts w:ascii="Arial" w:hAnsi="Arial" w:cs="Arial"/>
        </w:rPr>
        <w:t>, Baileff</w:t>
      </w:r>
      <w:r>
        <w:rPr>
          <w:rFonts w:ascii="Arial" w:hAnsi="Arial" w:cs="Arial"/>
        </w:rPr>
        <w:t>,</w:t>
      </w:r>
      <w:r w:rsidRPr="0063717D">
        <w:rPr>
          <w:rFonts w:ascii="Arial" w:hAnsi="Arial" w:cs="Arial"/>
        </w:rPr>
        <w:t xml:space="preserve"> A</w:t>
      </w:r>
      <w:r>
        <w:rPr>
          <w:rFonts w:ascii="Arial" w:hAnsi="Arial" w:cs="Arial"/>
        </w:rPr>
        <w:t>.</w:t>
      </w:r>
      <w:r w:rsidRPr="0063717D">
        <w:rPr>
          <w:rFonts w:ascii="Arial" w:hAnsi="Arial" w:cs="Arial"/>
        </w:rPr>
        <w:t xml:space="preserve">, </w:t>
      </w:r>
      <w:r>
        <w:rPr>
          <w:rFonts w:ascii="Arial" w:hAnsi="Arial" w:cs="Arial"/>
        </w:rPr>
        <w:t xml:space="preserve">&amp; </w:t>
      </w:r>
      <w:r w:rsidRPr="0063717D">
        <w:rPr>
          <w:rFonts w:ascii="Arial" w:hAnsi="Arial" w:cs="Arial"/>
        </w:rPr>
        <w:t>Latter</w:t>
      </w:r>
      <w:r>
        <w:rPr>
          <w:rFonts w:ascii="Arial" w:hAnsi="Arial" w:cs="Arial"/>
        </w:rPr>
        <w:t>,</w:t>
      </w:r>
      <w:r w:rsidRPr="0063717D">
        <w:rPr>
          <w:rFonts w:ascii="Arial" w:hAnsi="Arial" w:cs="Arial"/>
        </w:rPr>
        <w:t xml:space="preserve"> S.</w:t>
      </w:r>
      <w:r>
        <w:rPr>
          <w:rFonts w:ascii="Arial" w:hAnsi="Arial" w:cs="Arial"/>
        </w:rPr>
        <w:t xml:space="preserve"> (2015)</w:t>
      </w:r>
      <w:r w:rsidRPr="0063717D">
        <w:rPr>
          <w:rFonts w:ascii="Arial" w:hAnsi="Arial" w:cs="Arial"/>
        </w:rPr>
        <w:t xml:space="preserve"> Community matrons' experience as independent prescribers. </w:t>
      </w:r>
      <w:r w:rsidRPr="005A1C32">
        <w:rPr>
          <w:rFonts w:ascii="Arial" w:hAnsi="Arial" w:cs="Arial"/>
          <w:i/>
        </w:rPr>
        <w:t>Br J Community Nurs</w:t>
      </w:r>
      <w:r>
        <w:rPr>
          <w:rFonts w:ascii="Arial" w:hAnsi="Arial" w:cs="Arial"/>
          <w:i/>
        </w:rPr>
        <w:t>,</w:t>
      </w:r>
      <w:r w:rsidRPr="0063717D">
        <w:rPr>
          <w:rFonts w:ascii="Arial" w:hAnsi="Arial" w:cs="Arial"/>
        </w:rPr>
        <w:t xml:space="preserve"> </w:t>
      </w:r>
      <w:r>
        <w:rPr>
          <w:rFonts w:ascii="Arial" w:hAnsi="Arial" w:cs="Arial"/>
        </w:rPr>
        <w:t>(</w:t>
      </w:r>
      <w:r w:rsidRPr="0063717D">
        <w:rPr>
          <w:rFonts w:ascii="Arial" w:hAnsi="Arial" w:cs="Arial"/>
        </w:rPr>
        <w:t>20</w:t>
      </w:r>
      <w:r>
        <w:rPr>
          <w:rFonts w:ascii="Arial" w:hAnsi="Arial" w:cs="Arial"/>
        </w:rPr>
        <w:t xml:space="preserve">), </w:t>
      </w:r>
      <w:r w:rsidRPr="0063717D">
        <w:rPr>
          <w:rFonts w:ascii="Arial" w:hAnsi="Arial" w:cs="Arial"/>
        </w:rPr>
        <w:t>217-23</w:t>
      </w:r>
      <w:r>
        <w:rPr>
          <w:rFonts w:ascii="Arial" w:hAnsi="Arial" w:cs="Arial"/>
        </w:rPr>
        <w:t>.</w:t>
      </w:r>
    </w:p>
    <w:p w14:paraId="70BE574C" w14:textId="77777777" w:rsidR="000A6043" w:rsidRDefault="000A6043" w:rsidP="00F70214">
      <w:pPr>
        <w:rPr>
          <w:rFonts w:ascii="Arial" w:hAnsi="Arial" w:cs="Arial"/>
        </w:rPr>
      </w:pPr>
      <w:r w:rsidRPr="00EF50B5">
        <w:rPr>
          <w:rFonts w:ascii="Arial" w:hAnsi="Arial" w:cs="Arial"/>
        </w:rPr>
        <w:lastRenderedPageBreak/>
        <w:t xml:space="preserve">https://www.gov.uk/government/uploads/system/uploads/attachment_data/file/215605/dh_126436.pdf. </w:t>
      </w:r>
    </w:p>
    <w:p w14:paraId="501C0539" w14:textId="77777777" w:rsidR="000A6043" w:rsidRDefault="000A6043" w:rsidP="00F70214">
      <w:pPr>
        <w:rPr>
          <w:rFonts w:ascii="Arial" w:hAnsi="Arial" w:cs="Arial"/>
        </w:rPr>
      </w:pPr>
    </w:p>
    <w:p w14:paraId="5127E26A" w14:textId="0D3F4A8F" w:rsidR="000A6043" w:rsidRPr="0063717D" w:rsidRDefault="000A6043" w:rsidP="00F70214">
      <w:pPr>
        <w:rPr>
          <w:rFonts w:ascii="Arial" w:hAnsi="Arial" w:cs="Arial"/>
        </w:rPr>
      </w:pPr>
      <w:r w:rsidRPr="0063717D">
        <w:rPr>
          <w:rFonts w:ascii="Arial" w:hAnsi="Arial" w:cs="Arial"/>
        </w:rPr>
        <w:t>Latter</w:t>
      </w:r>
      <w:r>
        <w:rPr>
          <w:rFonts w:ascii="Arial" w:hAnsi="Arial" w:cs="Arial"/>
        </w:rPr>
        <w:t>,</w:t>
      </w:r>
      <w:r w:rsidRPr="0063717D">
        <w:rPr>
          <w:rFonts w:ascii="Arial" w:hAnsi="Arial" w:cs="Arial"/>
        </w:rPr>
        <w:t xml:space="preserve"> S</w:t>
      </w:r>
      <w:r>
        <w:rPr>
          <w:rFonts w:ascii="Arial" w:hAnsi="Arial" w:cs="Arial"/>
        </w:rPr>
        <w:t>.</w:t>
      </w:r>
      <w:r w:rsidRPr="0063717D">
        <w:rPr>
          <w:rFonts w:ascii="Arial" w:hAnsi="Arial" w:cs="Arial"/>
        </w:rPr>
        <w:t>, Blenkinsopp</w:t>
      </w:r>
      <w:r>
        <w:rPr>
          <w:rFonts w:ascii="Arial" w:hAnsi="Arial" w:cs="Arial"/>
        </w:rPr>
        <w:t>,</w:t>
      </w:r>
      <w:r w:rsidRPr="0063717D">
        <w:rPr>
          <w:rFonts w:ascii="Arial" w:hAnsi="Arial" w:cs="Arial"/>
        </w:rPr>
        <w:t xml:space="preserve"> A</w:t>
      </w:r>
      <w:r>
        <w:rPr>
          <w:rFonts w:ascii="Arial" w:hAnsi="Arial" w:cs="Arial"/>
        </w:rPr>
        <w:t>.</w:t>
      </w:r>
      <w:r w:rsidRPr="0063717D">
        <w:rPr>
          <w:rFonts w:ascii="Arial" w:hAnsi="Arial" w:cs="Arial"/>
        </w:rPr>
        <w:t>, Smith</w:t>
      </w:r>
      <w:r>
        <w:rPr>
          <w:rFonts w:ascii="Arial" w:hAnsi="Arial" w:cs="Arial"/>
        </w:rPr>
        <w:t>,</w:t>
      </w:r>
      <w:r w:rsidRPr="0063717D">
        <w:rPr>
          <w:rFonts w:ascii="Arial" w:hAnsi="Arial" w:cs="Arial"/>
        </w:rPr>
        <w:t xml:space="preserve"> A</w:t>
      </w:r>
      <w:r>
        <w:rPr>
          <w:rFonts w:ascii="Arial" w:hAnsi="Arial" w:cs="Arial"/>
        </w:rPr>
        <w:t>., Chapman, S., Tinelli, M.,… Dorer, G</w:t>
      </w:r>
      <w:r w:rsidRPr="0063717D">
        <w:rPr>
          <w:rFonts w:ascii="Arial" w:hAnsi="Arial" w:cs="Arial"/>
        </w:rPr>
        <w:t>.</w:t>
      </w:r>
      <w:r>
        <w:rPr>
          <w:rFonts w:ascii="Arial" w:hAnsi="Arial" w:cs="Arial"/>
        </w:rPr>
        <w:t xml:space="preserve"> (2010).</w:t>
      </w:r>
      <w:r w:rsidRPr="0063717D">
        <w:rPr>
          <w:rFonts w:ascii="Arial" w:hAnsi="Arial" w:cs="Arial"/>
        </w:rPr>
        <w:t xml:space="preserve"> Evaluation of nurse and pharmacist independent prescribing. </w:t>
      </w:r>
      <w:r w:rsidRPr="00BB48DA">
        <w:rPr>
          <w:rFonts w:ascii="Arial" w:hAnsi="Arial" w:cs="Arial"/>
          <w:i/>
        </w:rPr>
        <w:t>Department of Health</w:t>
      </w:r>
      <w:r w:rsidRPr="0063717D">
        <w:rPr>
          <w:rFonts w:ascii="Arial" w:hAnsi="Arial" w:cs="Arial"/>
        </w:rPr>
        <w:t xml:space="preserve">. </w:t>
      </w:r>
      <w:r>
        <w:rPr>
          <w:rFonts w:ascii="Arial" w:hAnsi="Arial" w:cs="Arial"/>
        </w:rPr>
        <w:t>Retrieved 28</w:t>
      </w:r>
      <w:r w:rsidRPr="00F11200">
        <w:rPr>
          <w:rFonts w:ascii="Arial" w:hAnsi="Arial" w:cs="Arial"/>
          <w:vertAlign w:val="superscript"/>
        </w:rPr>
        <w:t>th</w:t>
      </w:r>
      <w:r>
        <w:rPr>
          <w:rFonts w:ascii="Arial" w:hAnsi="Arial" w:cs="Arial"/>
        </w:rPr>
        <w:t xml:space="preserve"> March 2018 from</w:t>
      </w:r>
    </w:p>
    <w:p w14:paraId="035F62B1" w14:textId="77777777" w:rsidR="000A6043" w:rsidRDefault="000A6043" w:rsidP="00F70214">
      <w:pPr>
        <w:rPr>
          <w:rFonts w:ascii="Arial" w:hAnsi="Arial" w:cs="Arial"/>
        </w:rPr>
      </w:pPr>
    </w:p>
    <w:p w14:paraId="0225D441" w14:textId="7A5E038A" w:rsidR="000A6043" w:rsidRDefault="000A6043" w:rsidP="00F70214">
      <w:pPr>
        <w:rPr>
          <w:rFonts w:ascii="Arial" w:hAnsi="Arial" w:cs="Arial"/>
        </w:rPr>
      </w:pPr>
      <w:r w:rsidRPr="0063717D">
        <w:rPr>
          <w:rFonts w:ascii="Arial" w:hAnsi="Arial" w:cs="Arial"/>
        </w:rPr>
        <w:t>National Institute of Healthcare</w:t>
      </w:r>
      <w:r>
        <w:rPr>
          <w:rFonts w:ascii="Arial" w:hAnsi="Arial" w:cs="Arial"/>
        </w:rPr>
        <w:t xml:space="preserve"> and Clinical Excellence (NICE). (2017</w:t>
      </w:r>
      <w:r w:rsidR="00ED2B2C">
        <w:rPr>
          <w:rFonts w:ascii="Arial" w:hAnsi="Arial" w:cs="Arial"/>
        </w:rPr>
        <w:t>a</w:t>
      </w:r>
      <w:r>
        <w:rPr>
          <w:rFonts w:ascii="Arial" w:hAnsi="Arial" w:cs="Arial"/>
        </w:rPr>
        <w:t>).</w:t>
      </w:r>
      <w:r w:rsidRPr="0063717D">
        <w:rPr>
          <w:rFonts w:ascii="Arial" w:hAnsi="Arial" w:cs="Arial"/>
        </w:rPr>
        <w:t xml:space="preserve"> </w:t>
      </w:r>
      <w:r w:rsidRPr="008416E8">
        <w:rPr>
          <w:rFonts w:ascii="Arial" w:hAnsi="Arial" w:cs="Arial"/>
          <w:i/>
        </w:rPr>
        <w:t>Draft consultation guideline Paramedics with enhanced competencies</w:t>
      </w:r>
      <w:r w:rsidRPr="0063717D">
        <w:rPr>
          <w:rFonts w:ascii="Arial" w:hAnsi="Arial" w:cs="Arial"/>
        </w:rPr>
        <w:t xml:space="preserve">. </w:t>
      </w:r>
      <w:r>
        <w:rPr>
          <w:rFonts w:ascii="Arial" w:hAnsi="Arial" w:cs="Arial"/>
        </w:rPr>
        <w:t>Retrived 8</w:t>
      </w:r>
      <w:r w:rsidRPr="008416E8">
        <w:rPr>
          <w:rFonts w:ascii="Arial" w:hAnsi="Arial" w:cs="Arial"/>
          <w:vertAlign w:val="superscript"/>
        </w:rPr>
        <w:t>th</w:t>
      </w:r>
      <w:r>
        <w:rPr>
          <w:rFonts w:ascii="Arial" w:hAnsi="Arial" w:cs="Arial"/>
        </w:rPr>
        <w:t xml:space="preserve"> March 2018 from</w:t>
      </w:r>
      <w:r w:rsidRPr="0063717D">
        <w:rPr>
          <w:rFonts w:ascii="Arial" w:hAnsi="Arial" w:cs="Arial"/>
        </w:rPr>
        <w:t xml:space="preserve"> https://www.nice.org.uk/guidance/gid-cgwave0734/documents/draft-guideline-3. </w:t>
      </w:r>
    </w:p>
    <w:p w14:paraId="78F17874" w14:textId="42439017" w:rsidR="00F22B61" w:rsidRDefault="00F22B61" w:rsidP="00F70214">
      <w:pPr>
        <w:rPr>
          <w:rFonts w:ascii="Arial" w:hAnsi="Arial" w:cs="Arial"/>
        </w:rPr>
      </w:pPr>
    </w:p>
    <w:p w14:paraId="34FBAAF5" w14:textId="03BABEAC" w:rsidR="00F22B61" w:rsidRPr="0063717D" w:rsidRDefault="00F22B61" w:rsidP="00F70214">
      <w:pPr>
        <w:rPr>
          <w:rFonts w:ascii="Arial" w:hAnsi="Arial" w:cs="Arial"/>
        </w:rPr>
      </w:pPr>
      <w:r w:rsidRPr="0063717D">
        <w:rPr>
          <w:rFonts w:ascii="Arial" w:hAnsi="Arial" w:cs="Arial"/>
        </w:rPr>
        <w:t>National Institute of Healthcare</w:t>
      </w:r>
      <w:r>
        <w:rPr>
          <w:rFonts w:ascii="Arial" w:hAnsi="Arial" w:cs="Arial"/>
        </w:rPr>
        <w:t xml:space="preserve"> and Clinical Excellence (NICE). (2017</w:t>
      </w:r>
      <w:r w:rsidR="00ED2B2C">
        <w:rPr>
          <w:rFonts w:ascii="Arial" w:hAnsi="Arial" w:cs="Arial"/>
        </w:rPr>
        <w:t>b</w:t>
      </w:r>
      <w:r>
        <w:rPr>
          <w:rFonts w:ascii="Arial" w:hAnsi="Arial" w:cs="Arial"/>
        </w:rPr>
        <w:t xml:space="preserve">) Patient Group Directions </w:t>
      </w:r>
      <w:r w:rsidRPr="00F22B61">
        <w:rPr>
          <w:rFonts w:ascii="Arial" w:hAnsi="Arial" w:cs="Arial"/>
        </w:rPr>
        <w:t>Medicines practice guideline [MPG2]</w:t>
      </w:r>
      <w:r>
        <w:rPr>
          <w:rFonts w:ascii="Arial" w:hAnsi="Arial" w:cs="Arial"/>
        </w:rPr>
        <w:t>. Retrieved 21</w:t>
      </w:r>
      <w:r w:rsidRPr="008D3690">
        <w:rPr>
          <w:rFonts w:ascii="Arial" w:hAnsi="Arial" w:cs="Arial"/>
          <w:vertAlign w:val="superscript"/>
        </w:rPr>
        <w:t>st</w:t>
      </w:r>
      <w:r>
        <w:rPr>
          <w:rFonts w:ascii="Arial" w:hAnsi="Arial" w:cs="Arial"/>
        </w:rPr>
        <w:t xml:space="preserve"> June 2018 from </w:t>
      </w:r>
      <w:r w:rsidRPr="00F22B61">
        <w:rPr>
          <w:rFonts w:ascii="Arial" w:hAnsi="Arial" w:cs="Arial"/>
        </w:rPr>
        <w:t>https://www.nice.org.uk/guidance/mpg2/chapter/Recommendations</w:t>
      </w:r>
    </w:p>
    <w:p w14:paraId="38F60F62" w14:textId="77777777" w:rsidR="000A6043" w:rsidRDefault="000A6043" w:rsidP="00F70214">
      <w:pPr>
        <w:rPr>
          <w:rFonts w:ascii="Arial" w:hAnsi="Arial" w:cs="Arial"/>
        </w:rPr>
      </w:pPr>
    </w:p>
    <w:p w14:paraId="71008DA4" w14:textId="77777777" w:rsidR="000A6043" w:rsidRDefault="000A6043" w:rsidP="00F70214">
      <w:pPr>
        <w:rPr>
          <w:rFonts w:ascii="Arial" w:hAnsi="Arial" w:cs="Arial"/>
        </w:rPr>
      </w:pPr>
      <w:r w:rsidRPr="0063717D">
        <w:rPr>
          <w:rFonts w:ascii="Arial" w:hAnsi="Arial" w:cs="Arial"/>
        </w:rPr>
        <w:t>NHS England.</w:t>
      </w:r>
      <w:r>
        <w:rPr>
          <w:rFonts w:ascii="Arial" w:hAnsi="Arial" w:cs="Arial"/>
        </w:rPr>
        <w:t xml:space="preserve"> (2015).</w:t>
      </w:r>
      <w:r w:rsidRPr="0063717D">
        <w:rPr>
          <w:rFonts w:ascii="Arial" w:hAnsi="Arial" w:cs="Arial"/>
        </w:rPr>
        <w:t xml:space="preserve"> </w:t>
      </w:r>
      <w:r w:rsidRPr="008416E8">
        <w:rPr>
          <w:rFonts w:ascii="Arial" w:hAnsi="Arial" w:cs="Arial"/>
          <w:i/>
        </w:rPr>
        <w:t>Transforming urgent and emergency care services in England Safer, faster, better: good practice in delivering urgent and emergency care A guide for local health and social care communities</w:t>
      </w:r>
      <w:r w:rsidRPr="0063717D">
        <w:rPr>
          <w:rFonts w:ascii="Arial" w:hAnsi="Arial" w:cs="Arial"/>
        </w:rPr>
        <w:t xml:space="preserve">. </w:t>
      </w:r>
      <w:r>
        <w:rPr>
          <w:rFonts w:ascii="Arial" w:hAnsi="Arial" w:cs="Arial"/>
        </w:rPr>
        <w:t>Retrieved 5</w:t>
      </w:r>
      <w:r w:rsidRPr="008416E8">
        <w:rPr>
          <w:rFonts w:ascii="Arial" w:hAnsi="Arial" w:cs="Arial"/>
          <w:vertAlign w:val="superscript"/>
        </w:rPr>
        <w:t>th</w:t>
      </w:r>
      <w:r>
        <w:rPr>
          <w:rFonts w:ascii="Arial" w:hAnsi="Arial" w:cs="Arial"/>
        </w:rPr>
        <w:t xml:space="preserve"> March 2018 from </w:t>
      </w:r>
      <w:r w:rsidRPr="0063717D">
        <w:rPr>
          <w:rFonts w:ascii="Arial" w:hAnsi="Arial" w:cs="Arial"/>
        </w:rPr>
        <w:t xml:space="preserve">http://www.nhs.uk/NHSEngland/keogh-review/Documents/safer-faster-better.pdf. </w:t>
      </w:r>
    </w:p>
    <w:p w14:paraId="602AE667" w14:textId="77777777" w:rsidR="000A6043" w:rsidRDefault="000A6043" w:rsidP="00F70214">
      <w:pPr>
        <w:rPr>
          <w:rFonts w:ascii="Arial" w:hAnsi="Arial" w:cs="Arial"/>
        </w:rPr>
      </w:pPr>
    </w:p>
    <w:p w14:paraId="0E7CF8D2" w14:textId="3D46CCC8" w:rsidR="000A6043" w:rsidRDefault="000A6043" w:rsidP="00F70214">
      <w:pPr>
        <w:rPr>
          <w:rFonts w:ascii="Arial" w:hAnsi="Arial" w:cs="Arial"/>
        </w:rPr>
      </w:pPr>
      <w:r w:rsidRPr="0063717D">
        <w:rPr>
          <w:rFonts w:ascii="Arial" w:hAnsi="Arial" w:cs="Arial"/>
        </w:rPr>
        <w:t xml:space="preserve">NHS England. </w:t>
      </w:r>
      <w:r>
        <w:rPr>
          <w:rFonts w:ascii="Arial" w:hAnsi="Arial" w:cs="Arial"/>
        </w:rPr>
        <w:t xml:space="preserve">(2016). </w:t>
      </w:r>
      <w:r w:rsidRPr="0015407F">
        <w:rPr>
          <w:rFonts w:ascii="Arial" w:hAnsi="Arial" w:cs="Arial"/>
          <w:i/>
        </w:rPr>
        <w:t>Summary of the responses to the public consultation on proposals to introduce independent prescribing by paramedics across the United Kingdom.</w:t>
      </w:r>
      <w:r w:rsidRPr="0063717D">
        <w:rPr>
          <w:rFonts w:ascii="Arial" w:hAnsi="Arial" w:cs="Arial"/>
        </w:rPr>
        <w:t xml:space="preserve"> </w:t>
      </w:r>
      <w:r>
        <w:rPr>
          <w:rFonts w:ascii="Arial" w:hAnsi="Arial" w:cs="Arial"/>
        </w:rPr>
        <w:t>Retrieved 10</w:t>
      </w:r>
      <w:r w:rsidRPr="0015407F">
        <w:rPr>
          <w:rFonts w:ascii="Arial" w:hAnsi="Arial" w:cs="Arial"/>
          <w:vertAlign w:val="superscript"/>
        </w:rPr>
        <w:t>th</w:t>
      </w:r>
      <w:r>
        <w:rPr>
          <w:rFonts w:ascii="Arial" w:hAnsi="Arial" w:cs="Arial"/>
        </w:rPr>
        <w:t xml:space="preserve"> March 2018 from</w:t>
      </w:r>
      <w:r w:rsidRPr="0063717D">
        <w:rPr>
          <w:rFonts w:ascii="Arial" w:hAnsi="Arial" w:cs="Arial"/>
        </w:rPr>
        <w:t xml:space="preserve"> </w:t>
      </w:r>
      <w:r w:rsidRPr="0015407F">
        <w:rPr>
          <w:rFonts w:ascii="Arial" w:hAnsi="Arial" w:cs="Arial"/>
        </w:rPr>
        <w:t>https://www.england.nhs.uk/wp-content/uploads/2016/02/Paramedics-summary-consult-responses.pdf</w:t>
      </w:r>
      <w:r>
        <w:rPr>
          <w:rFonts w:ascii="Arial" w:hAnsi="Arial" w:cs="Arial"/>
        </w:rPr>
        <w:t>.</w:t>
      </w:r>
    </w:p>
    <w:p w14:paraId="263BF822" w14:textId="77777777" w:rsidR="000A6043" w:rsidRDefault="000A6043" w:rsidP="00F70214">
      <w:pPr>
        <w:rPr>
          <w:rFonts w:ascii="Arial" w:hAnsi="Arial" w:cs="Arial"/>
        </w:rPr>
      </w:pPr>
    </w:p>
    <w:p w14:paraId="6B6244A8" w14:textId="68F1FB20" w:rsidR="000A6043" w:rsidRPr="003A3124" w:rsidRDefault="000A6043" w:rsidP="00F70214">
      <w:pPr>
        <w:rPr>
          <w:rFonts w:ascii="Arial" w:hAnsi="Arial" w:cs="Arial"/>
        </w:rPr>
      </w:pPr>
      <w:r>
        <w:rPr>
          <w:rFonts w:ascii="Arial" w:hAnsi="Arial" w:cs="Arial"/>
        </w:rPr>
        <w:t>NHS England. (2017).</w:t>
      </w:r>
      <w:r w:rsidRPr="00C27F15">
        <w:rPr>
          <w:rFonts w:ascii="Arial" w:hAnsi="Arial" w:cs="Arial"/>
        </w:rPr>
        <w:t xml:space="preserve"> </w:t>
      </w:r>
      <w:r w:rsidRPr="00F851FE">
        <w:rPr>
          <w:rFonts w:ascii="Arial" w:hAnsi="Arial" w:cs="Arial"/>
          <w:i/>
        </w:rPr>
        <w:t>Next steps on the NHS five year forward view. NHS England</w:t>
      </w:r>
      <w:r>
        <w:rPr>
          <w:rFonts w:ascii="Arial" w:hAnsi="Arial" w:cs="Arial"/>
        </w:rPr>
        <w:t>. Retrieved 1</w:t>
      </w:r>
      <w:r w:rsidRPr="00F851FE">
        <w:rPr>
          <w:rFonts w:ascii="Arial" w:hAnsi="Arial" w:cs="Arial"/>
          <w:vertAlign w:val="superscript"/>
        </w:rPr>
        <w:t>st</w:t>
      </w:r>
      <w:r>
        <w:rPr>
          <w:rFonts w:ascii="Arial" w:hAnsi="Arial" w:cs="Arial"/>
        </w:rPr>
        <w:t xml:space="preserve"> March 2018 from</w:t>
      </w:r>
      <w:r w:rsidRPr="00C27F15">
        <w:rPr>
          <w:rFonts w:ascii="Arial" w:hAnsi="Arial" w:cs="Arial"/>
        </w:rPr>
        <w:t xml:space="preserve"> https://www.england.nhs.u</w:t>
      </w:r>
      <w:r w:rsidRPr="003A3124">
        <w:rPr>
          <w:rFonts w:ascii="Arial" w:hAnsi="Arial" w:cs="Arial"/>
        </w:rPr>
        <w:t>k/wp-content/uploads/2017/03/NEXT-STEPS-ON-THE-NHS-FIVE-YEAR-FORWARD-VIEW.pdf.</w:t>
      </w:r>
    </w:p>
    <w:p w14:paraId="744833C5" w14:textId="77777777" w:rsidR="000A6043" w:rsidRDefault="000A6043" w:rsidP="00F70214">
      <w:pPr>
        <w:rPr>
          <w:rFonts w:ascii="Arial" w:hAnsi="Arial" w:cs="Arial"/>
        </w:rPr>
      </w:pPr>
    </w:p>
    <w:p w14:paraId="33F0CFB4" w14:textId="73CF56F7" w:rsidR="000A6043" w:rsidRDefault="000A6043" w:rsidP="00F70214">
      <w:pPr>
        <w:rPr>
          <w:rFonts w:ascii="Arial" w:hAnsi="Arial" w:cs="Arial"/>
        </w:rPr>
      </w:pPr>
      <w:r w:rsidRPr="0063717D">
        <w:rPr>
          <w:rFonts w:ascii="Arial" w:hAnsi="Arial" w:cs="Arial"/>
        </w:rPr>
        <w:t>Ritchie J</w:t>
      </w:r>
      <w:r>
        <w:rPr>
          <w:rFonts w:ascii="Arial" w:hAnsi="Arial" w:cs="Arial"/>
        </w:rPr>
        <w:t>,</w:t>
      </w:r>
      <w:r w:rsidRPr="0063717D">
        <w:rPr>
          <w:rFonts w:ascii="Arial" w:hAnsi="Arial" w:cs="Arial"/>
        </w:rPr>
        <w:t xml:space="preserve"> Lewis J</w:t>
      </w:r>
      <w:r>
        <w:rPr>
          <w:rFonts w:ascii="Arial" w:hAnsi="Arial" w:cs="Arial"/>
        </w:rPr>
        <w:t>,</w:t>
      </w:r>
      <w:r w:rsidRPr="0063717D">
        <w:rPr>
          <w:rFonts w:ascii="Arial" w:hAnsi="Arial" w:cs="Arial"/>
        </w:rPr>
        <w:t xml:space="preserve"> McNaughton Nicholls C</w:t>
      </w:r>
      <w:r>
        <w:rPr>
          <w:rFonts w:ascii="Arial" w:hAnsi="Arial" w:cs="Arial"/>
        </w:rPr>
        <w:t>,</w:t>
      </w:r>
      <w:r w:rsidRPr="0063717D">
        <w:rPr>
          <w:rFonts w:ascii="Arial" w:hAnsi="Arial" w:cs="Arial"/>
        </w:rPr>
        <w:t xml:space="preserve"> Ormston R.</w:t>
      </w:r>
      <w:r>
        <w:rPr>
          <w:rFonts w:ascii="Arial" w:hAnsi="Arial" w:cs="Arial"/>
        </w:rPr>
        <w:t xml:space="preserve"> (2013)</w:t>
      </w:r>
      <w:r w:rsidRPr="0063717D">
        <w:rPr>
          <w:rFonts w:ascii="Arial" w:hAnsi="Arial" w:cs="Arial"/>
        </w:rPr>
        <w:t xml:space="preserve"> </w:t>
      </w:r>
      <w:r w:rsidRPr="00435BA1">
        <w:rPr>
          <w:rFonts w:ascii="Arial" w:hAnsi="Arial" w:cs="Arial"/>
          <w:i/>
        </w:rPr>
        <w:t>Qualitative Research Practice</w:t>
      </w:r>
      <w:r>
        <w:rPr>
          <w:rFonts w:ascii="Arial" w:hAnsi="Arial" w:cs="Arial"/>
        </w:rPr>
        <w:t>. London: SAGE.</w:t>
      </w:r>
    </w:p>
    <w:p w14:paraId="09197BC4" w14:textId="77777777" w:rsidR="000A6043" w:rsidRDefault="000A6043" w:rsidP="00F70214">
      <w:pPr>
        <w:rPr>
          <w:rFonts w:ascii="Arial" w:hAnsi="Arial" w:cs="Arial"/>
        </w:rPr>
      </w:pPr>
    </w:p>
    <w:p w14:paraId="385CEACF" w14:textId="6F6176DA" w:rsidR="000A6043" w:rsidRPr="0063717D" w:rsidRDefault="000A6043" w:rsidP="00F70214">
      <w:pPr>
        <w:rPr>
          <w:rFonts w:ascii="Arial" w:hAnsi="Arial" w:cs="Arial"/>
        </w:rPr>
      </w:pPr>
      <w:r w:rsidRPr="0063717D">
        <w:rPr>
          <w:rFonts w:ascii="Arial" w:hAnsi="Arial" w:cs="Arial"/>
        </w:rPr>
        <w:t>Stenner</w:t>
      </w:r>
      <w:r>
        <w:rPr>
          <w:rFonts w:ascii="Arial" w:hAnsi="Arial" w:cs="Arial"/>
        </w:rPr>
        <w:t>,</w:t>
      </w:r>
      <w:r w:rsidRPr="0063717D">
        <w:rPr>
          <w:rFonts w:ascii="Arial" w:hAnsi="Arial" w:cs="Arial"/>
        </w:rPr>
        <w:t xml:space="preserve"> K</w:t>
      </w:r>
      <w:r>
        <w:rPr>
          <w:rFonts w:ascii="Arial" w:hAnsi="Arial" w:cs="Arial"/>
        </w:rPr>
        <w:t>.,</w:t>
      </w:r>
      <w:r w:rsidRPr="0063717D">
        <w:rPr>
          <w:rFonts w:ascii="Arial" w:hAnsi="Arial" w:cs="Arial"/>
        </w:rPr>
        <w:t xml:space="preserve"> Carey</w:t>
      </w:r>
      <w:r>
        <w:rPr>
          <w:rFonts w:ascii="Arial" w:hAnsi="Arial" w:cs="Arial"/>
        </w:rPr>
        <w:t>,</w:t>
      </w:r>
      <w:r w:rsidRPr="0063717D">
        <w:rPr>
          <w:rFonts w:ascii="Arial" w:hAnsi="Arial" w:cs="Arial"/>
        </w:rPr>
        <w:t xml:space="preserve"> N</w:t>
      </w:r>
      <w:r>
        <w:rPr>
          <w:rFonts w:ascii="Arial" w:hAnsi="Arial" w:cs="Arial"/>
        </w:rPr>
        <w:t>.</w:t>
      </w:r>
      <w:r w:rsidRPr="0063717D">
        <w:rPr>
          <w:rFonts w:ascii="Arial" w:hAnsi="Arial" w:cs="Arial"/>
        </w:rPr>
        <w:t>,</w:t>
      </w:r>
      <w:r>
        <w:rPr>
          <w:rFonts w:ascii="Arial" w:hAnsi="Arial" w:cs="Arial"/>
        </w:rPr>
        <w:t xml:space="preserve"> &amp; </w:t>
      </w:r>
      <w:r w:rsidRPr="0063717D">
        <w:rPr>
          <w:rFonts w:ascii="Arial" w:hAnsi="Arial" w:cs="Arial"/>
        </w:rPr>
        <w:t>Courtenay</w:t>
      </w:r>
      <w:r>
        <w:rPr>
          <w:rFonts w:ascii="Arial" w:hAnsi="Arial" w:cs="Arial"/>
        </w:rPr>
        <w:t>,</w:t>
      </w:r>
      <w:r w:rsidRPr="0063717D">
        <w:rPr>
          <w:rFonts w:ascii="Arial" w:hAnsi="Arial" w:cs="Arial"/>
        </w:rPr>
        <w:t xml:space="preserve"> M.</w:t>
      </w:r>
      <w:r>
        <w:rPr>
          <w:rFonts w:ascii="Arial" w:hAnsi="Arial" w:cs="Arial"/>
        </w:rPr>
        <w:t xml:space="preserve"> (2012).</w:t>
      </w:r>
      <w:r w:rsidRPr="0063717D">
        <w:rPr>
          <w:rFonts w:ascii="Arial" w:hAnsi="Arial" w:cs="Arial"/>
        </w:rPr>
        <w:t xml:space="preserve"> Prescribing for pain–how do nurses contribute? A national questionnaire survey. </w:t>
      </w:r>
      <w:r w:rsidRPr="005A1C32">
        <w:rPr>
          <w:rFonts w:ascii="Arial" w:hAnsi="Arial" w:cs="Arial"/>
          <w:i/>
        </w:rPr>
        <w:t>J Clin Nurs</w:t>
      </w:r>
      <w:r>
        <w:rPr>
          <w:rFonts w:ascii="Arial" w:hAnsi="Arial" w:cs="Arial"/>
        </w:rPr>
        <w:t>,</w:t>
      </w:r>
      <w:r w:rsidRPr="0063717D">
        <w:rPr>
          <w:rFonts w:ascii="Arial" w:hAnsi="Arial" w:cs="Arial"/>
        </w:rPr>
        <w:t xml:space="preserve"> </w:t>
      </w:r>
      <w:r w:rsidRPr="006B16D5">
        <w:rPr>
          <w:rFonts w:ascii="Arial" w:hAnsi="Arial" w:cs="Arial"/>
        </w:rPr>
        <w:t>21</w:t>
      </w:r>
      <w:r w:rsidRPr="0063717D">
        <w:rPr>
          <w:rFonts w:ascii="Arial" w:hAnsi="Arial" w:cs="Arial"/>
        </w:rPr>
        <w:t>:1365-2702.</w:t>
      </w:r>
    </w:p>
    <w:p w14:paraId="512362A9" w14:textId="77777777" w:rsidR="000A6043" w:rsidRDefault="000A6043" w:rsidP="00F70214">
      <w:pPr>
        <w:rPr>
          <w:rFonts w:ascii="Arial" w:hAnsi="Arial" w:cs="Arial"/>
        </w:rPr>
      </w:pPr>
    </w:p>
    <w:p w14:paraId="5FA8C670" w14:textId="24AB0D21" w:rsidR="000A6043" w:rsidRPr="00FD69E1" w:rsidRDefault="000A6043" w:rsidP="00F70214">
      <w:pPr>
        <w:rPr>
          <w:rFonts w:ascii="Arial" w:hAnsi="Arial" w:cs="Arial"/>
        </w:rPr>
      </w:pPr>
      <w:r>
        <w:rPr>
          <w:rFonts w:ascii="Arial" w:eastAsia="Calibri" w:hAnsi="Arial" w:cs="Arial"/>
        </w:rPr>
        <w:t>Tohira, H., Williams, T., Jacobs, I., Bremner, A &amp; Finn, J. (2014).</w:t>
      </w:r>
      <w:r w:rsidRPr="00FD69E1">
        <w:rPr>
          <w:rFonts w:ascii="Arial" w:hAnsi="Arial" w:cs="Arial"/>
        </w:rPr>
        <w:t xml:space="preserve"> The impact of new prehospital practitioners on ambulance transportation to the emergency department: a systematic review and meta-analysis</w:t>
      </w:r>
      <w:r>
        <w:rPr>
          <w:rFonts w:ascii="Arial" w:hAnsi="Arial" w:cs="Arial"/>
        </w:rPr>
        <w:t xml:space="preserve">. </w:t>
      </w:r>
      <w:r w:rsidRPr="00FD69E1">
        <w:rPr>
          <w:rFonts w:ascii="Arial" w:hAnsi="Arial" w:cs="Arial"/>
          <w:i/>
          <w:iCs/>
        </w:rPr>
        <w:t>Emerg Med J</w:t>
      </w:r>
      <w:r>
        <w:rPr>
          <w:rFonts w:ascii="Arial" w:hAnsi="Arial" w:cs="Arial"/>
        </w:rPr>
        <w:t>, (</w:t>
      </w:r>
      <w:r w:rsidRPr="00FD69E1">
        <w:rPr>
          <w:rFonts w:ascii="Arial" w:hAnsi="Arial" w:cs="Arial"/>
          <w:bCs/>
        </w:rPr>
        <w:t>31</w:t>
      </w:r>
      <w:r>
        <w:rPr>
          <w:rFonts w:ascii="Arial" w:hAnsi="Arial" w:cs="Arial"/>
          <w:bCs/>
        </w:rPr>
        <w:t>)</w:t>
      </w:r>
      <w:r>
        <w:rPr>
          <w:rFonts w:ascii="Arial" w:hAnsi="Arial" w:cs="Arial"/>
          <w:b/>
          <w:bCs/>
        </w:rPr>
        <w:t xml:space="preserve">, </w:t>
      </w:r>
      <w:r>
        <w:rPr>
          <w:rFonts w:ascii="Arial" w:hAnsi="Arial" w:cs="Arial"/>
        </w:rPr>
        <w:t>88-</w:t>
      </w:r>
      <w:r w:rsidRPr="00FD69E1">
        <w:rPr>
          <w:rFonts w:ascii="Arial" w:hAnsi="Arial" w:cs="Arial"/>
        </w:rPr>
        <w:t>94.</w:t>
      </w:r>
    </w:p>
    <w:p w14:paraId="18FD6E1F" w14:textId="1E5D9416" w:rsidR="003A3124" w:rsidRDefault="003A3124" w:rsidP="00F70214">
      <w:pPr>
        <w:rPr>
          <w:rFonts w:ascii="Arial" w:hAnsi="Arial" w:cs="Arial"/>
          <w:b/>
        </w:rPr>
      </w:pPr>
    </w:p>
    <w:p w14:paraId="66380238" w14:textId="0DB9FEC8" w:rsidR="00BE7B33" w:rsidRDefault="00BE7B33" w:rsidP="00F70214">
      <w:pPr>
        <w:rPr>
          <w:rFonts w:ascii="Arial" w:hAnsi="Arial" w:cs="Arial"/>
          <w:b/>
        </w:rPr>
      </w:pPr>
    </w:p>
    <w:p w14:paraId="336FE95E" w14:textId="67588327" w:rsidR="00BE7B33" w:rsidRDefault="00BE7B33" w:rsidP="00F70214">
      <w:pPr>
        <w:rPr>
          <w:rFonts w:ascii="Arial" w:hAnsi="Arial" w:cs="Arial"/>
          <w:b/>
        </w:rPr>
      </w:pPr>
    </w:p>
    <w:p w14:paraId="49AC5E5C" w14:textId="74ACDE8A" w:rsidR="00BE7B33" w:rsidRDefault="00BE7B33" w:rsidP="00F70214">
      <w:pPr>
        <w:rPr>
          <w:rFonts w:ascii="Arial" w:hAnsi="Arial" w:cs="Arial"/>
          <w:b/>
        </w:rPr>
      </w:pPr>
    </w:p>
    <w:p w14:paraId="26E23C49" w14:textId="7987C017" w:rsidR="00BE7B33" w:rsidRDefault="00BE7B33" w:rsidP="00F70214">
      <w:pPr>
        <w:rPr>
          <w:rFonts w:ascii="Arial" w:hAnsi="Arial" w:cs="Arial"/>
          <w:b/>
        </w:rPr>
      </w:pPr>
    </w:p>
    <w:p w14:paraId="67E13554" w14:textId="45C7C4D6" w:rsidR="004454E1" w:rsidRDefault="004454E1" w:rsidP="00F70214">
      <w:pPr>
        <w:rPr>
          <w:rFonts w:ascii="Arial" w:hAnsi="Arial" w:cs="Arial"/>
          <w:b/>
        </w:rPr>
      </w:pPr>
    </w:p>
    <w:p w14:paraId="1BD7201C" w14:textId="26F787E6" w:rsidR="004454E1" w:rsidRDefault="004454E1" w:rsidP="00F70214">
      <w:pPr>
        <w:rPr>
          <w:rFonts w:ascii="Arial" w:hAnsi="Arial" w:cs="Arial"/>
          <w:b/>
        </w:rPr>
      </w:pPr>
    </w:p>
    <w:p w14:paraId="01253F1A" w14:textId="0CF272EF" w:rsidR="004454E1" w:rsidRDefault="004454E1" w:rsidP="00F70214">
      <w:pPr>
        <w:rPr>
          <w:rFonts w:ascii="Arial" w:hAnsi="Arial" w:cs="Arial"/>
          <w:b/>
        </w:rPr>
      </w:pPr>
    </w:p>
    <w:p w14:paraId="4C2FEDED" w14:textId="65C77DCA" w:rsidR="004454E1" w:rsidRDefault="004454E1" w:rsidP="00F70214">
      <w:pPr>
        <w:rPr>
          <w:rFonts w:ascii="Arial" w:hAnsi="Arial" w:cs="Arial"/>
          <w:b/>
        </w:rPr>
      </w:pPr>
    </w:p>
    <w:p w14:paraId="3131AB11" w14:textId="77777777" w:rsidR="004454E1" w:rsidRDefault="004454E1" w:rsidP="00F70214">
      <w:pPr>
        <w:rPr>
          <w:rFonts w:ascii="Arial" w:hAnsi="Arial" w:cs="Arial"/>
          <w:b/>
        </w:rPr>
      </w:pPr>
    </w:p>
    <w:p w14:paraId="6EF4A45D" w14:textId="77777777" w:rsidR="00F769FD" w:rsidRPr="0063717D" w:rsidRDefault="00F769FD" w:rsidP="00F70214">
      <w:pPr>
        <w:rPr>
          <w:rFonts w:ascii="Arial" w:hAnsi="Arial" w:cs="Arial"/>
        </w:rPr>
      </w:pPr>
    </w:p>
    <w:p w14:paraId="0C2B2698" w14:textId="77777777" w:rsidR="00074DED" w:rsidRPr="00642EBF" w:rsidRDefault="00074DED" w:rsidP="007D74AE">
      <w:pPr>
        <w:pStyle w:val="Heading1"/>
      </w:pPr>
    </w:p>
    <w:p w14:paraId="7AD4BF9F" w14:textId="096C359B" w:rsidR="00074DED" w:rsidRDefault="00074DED" w:rsidP="007D74AE">
      <w:pPr>
        <w:rPr>
          <w:rFonts w:ascii="Arial" w:hAnsi="Arial" w:cs="Arial"/>
        </w:rPr>
      </w:pPr>
    </w:p>
    <w:p w14:paraId="17514378" w14:textId="07CEC4FE" w:rsidR="00433D9F" w:rsidRDefault="00433D9F" w:rsidP="007D74AE">
      <w:pPr>
        <w:rPr>
          <w:rFonts w:ascii="Arial" w:hAnsi="Arial" w:cs="Arial"/>
        </w:rPr>
      </w:pPr>
    </w:p>
    <w:p w14:paraId="2267EEAF" w14:textId="034B021C" w:rsidR="00433D9F" w:rsidRDefault="00433D9F" w:rsidP="007D74AE">
      <w:pPr>
        <w:rPr>
          <w:rFonts w:ascii="Arial" w:hAnsi="Arial" w:cs="Arial"/>
        </w:rPr>
      </w:pPr>
    </w:p>
    <w:p w14:paraId="6F9C9322" w14:textId="42EA1E99" w:rsidR="00433D9F" w:rsidRDefault="00433D9F" w:rsidP="007D74AE">
      <w:pPr>
        <w:rPr>
          <w:rFonts w:ascii="Arial" w:hAnsi="Arial" w:cs="Arial"/>
        </w:rPr>
      </w:pPr>
    </w:p>
    <w:p w14:paraId="2AA4BCB5" w14:textId="77777777" w:rsidR="00433D9F" w:rsidRDefault="00433D9F" w:rsidP="007D74AE">
      <w:pPr>
        <w:rPr>
          <w:rFonts w:ascii="Arial" w:hAnsi="Arial" w:cs="Arial"/>
        </w:rPr>
      </w:pPr>
    </w:p>
    <w:p w14:paraId="769A967A" w14:textId="77777777" w:rsidR="00A63BDD" w:rsidRDefault="00A63BDD" w:rsidP="007D74AE">
      <w:pPr>
        <w:rPr>
          <w:rFonts w:ascii="Arial" w:hAnsi="Arial" w:cs="Arial"/>
        </w:rPr>
      </w:pPr>
    </w:p>
    <w:p w14:paraId="6E745EDF" w14:textId="569A4DE9" w:rsidR="00074DED" w:rsidRPr="0063717D" w:rsidRDefault="00074DED" w:rsidP="007D74AE">
      <w:pPr>
        <w:rPr>
          <w:rFonts w:ascii="Arial" w:hAnsi="Arial" w:cs="Arial"/>
        </w:rPr>
      </w:pPr>
      <w:r w:rsidRPr="003A3124">
        <w:rPr>
          <w:rFonts w:ascii="Arial" w:hAnsi="Arial" w:cs="Arial"/>
        </w:rPr>
        <w:t>Figure 1 –</w:t>
      </w:r>
      <w:r w:rsidRPr="0063717D">
        <w:rPr>
          <w:rFonts w:ascii="Arial" w:hAnsi="Arial" w:cs="Arial"/>
        </w:rPr>
        <w:t xml:space="preserve"> Frequently supplied/administered medication categories</w:t>
      </w:r>
    </w:p>
    <w:p w14:paraId="0168800F" w14:textId="77777777" w:rsidR="00074DED" w:rsidRPr="0063717D" w:rsidRDefault="00074DED" w:rsidP="007D74AE">
      <w:pPr>
        <w:rPr>
          <w:rFonts w:ascii="Arial" w:hAnsi="Arial" w:cs="Arial"/>
        </w:rPr>
      </w:pPr>
    </w:p>
    <w:p w14:paraId="21057A6C" w14:textId="77777777" w:rsidR="00074DED" w:rsidRPr="0063717D" w:rsidRDefault="00074DED" w:rsidP="007D74AE">
      <w:pPr>
        <w:rPr>
          <w:rFonts w:ascii="Arial" w:hAnsi="Arial" w:cs="Arial"/>
        </w:rPr>
      </w:pPr>
    </w:p>
    <w:p w14:paraId="6A3632D6" w14:textId="77777777" w:rsidR="00074DED" w:rsidRPr="0063717D" w:rsidRDefault="00074DED" w:rsidP="007D74AE">
      <w:pPr>
        <w:rPr>
          <w:rFonts w:ascii="Arial" w:hAnsi="Arial" w:cs="Arial"/>
        </w:rPr>
      </w:pPr>
      <w:r w:rsidRPr="00642EBF">
        <w:rPr>
          <w:rFonts w:ascii="Arial" w:hAnsi="Arial" w:cs="Arial"/>
          <w:noProof/>
          <w:lang w:val="en-US"/>
        </w:rPr>
        <w:drawing>
          <wp:inline distT="0" distB="0" distL="0" distR="0" wp14:anchorId="718B88B2" wp14:editId="1108013D">
            <wp:extent cx="5727700" cy="2717165"/>
            <wp:effectExtent l="0" t="0" r="1270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27700" cy="2717165"/>
                    </a:xfrm>
                    <a:prstGeom prst="rect">
                      <a:avLst/>
                    </a:prstGeom>
                  </pic:spPr>
                </pic:pic>
              </a:graphicData>
            </a:graphic>
          </wp:inline>
        </w:drawing>
      </w:r>
    </w:p>
    <w:p w14:paraId="3C492A86" w14:textId="77777777" w:rsidR="00074DED" w:rsidRPr="00C27F15" w:rsidRDefault="00074DED" w:rsidP="007D74AE">
      <w:pPr>
        <w:rPr>
          <w:rFonts w:ascii="Arial" w:hAnsi="Arial" w:cs="Arial"/>
        </w:rPr>
      </w:pPr>
    </w:p>
    <w:p w14:paraId="5DF132B1" w14:textId="77777777" w:rsidR="00074DED" w:rsidRPr="003A3124" w:rsidRDefault="00074DED" w:rsidP="007D74AE">
      <w:pPr>
        <w:rPr>
          <w:rFonts w:ascii="Arial" w:hAnsi="Arial" w:cs="Arial"/>
        </w:rPr>
      </w:pPr>
    </w:p>
    <w:p w14:paraId="09328C3E" w14:textId="77777777" w:rsidR="00074DED" w:rsidRPr="003A3124" w:rsidRDefault="00074DED" w:rsidP="007D74AE">
      <w:pPr>
        <w:rPr>
          <w:rFonts w:ascii="Arial" w:hAnsi="Arial" w:cs="Arial"/>
        </w:rPr>
      </w:pPr>
    </w:p>
    <w:p w14:paraId="733AD520" w14:textId="77777777" w:rsidR="00074DED" w:rsidRPr="0063717D" w:rsidRDefault="00074DED" w:rsidP="007D74AE">
      <w:pPr>
        <w:rPr>
          <w:rFonts w:ascii="Arial" w:hAnsi="Arial" w:cs="Arial"/>
        </w:rPr>
      </w:pPr>
    </w:p>
    <w:p w14:paraId="330F2C14" w14:textId="77777777" w:rsidR="00074DED" w:rsidRPr="0063717D" w:rsidRDefault="00074DED" w:rsidP="007D74AE">
      <w:pPr>
        <w:rPr>
          <w:rFonts w:ascii="Arial" w:hAnsi="Arial" w:cs="Arial"/>
        </w:rPr>
      </w:pPr>
    </w:p>
    <w:p w14:paraId="681AD40E" w14:textId="77777777" w:rsidR="00074DED" w:rsidRPr="0063717D" w:rsidRDefault="00074DED" w:rsidP="007D74AE">
      <w:pPr>
        <w:rPr>
          <w:rFonts w:ascii="Arial" w:hAnsi="Arial" w:cs="Arial"/>
        </w:rPr>
      </w:pPr>
    </w:p>
    <w:p w14:paraId="6846004A" w14:textId="77777777" w:rsidR="00074DED" w:rsidRPr="0063717D" w:rsidRDefault="00074DED" w:rsidP="007D74AE">
      <w:pPr>
        <w:rPr>
          <w:rFonts w:ascii="Arial" w:hAnsi="Arial" w:cs="Arial"/>
        </w:rPr>
      </w:pPr>
    </w:p>
    <w:p w14:paraId="6086039A" w14:textId="77777777" w:rsidR="00074DED" w:rsidRPr="0063717D" w:rsidRDefault="00074DED" w:rsidP="007D74AE">
      <w:pPr>
        <w:rPr>
          <w:rFonts w:ascii="Arial" w:hAnsi="Arial" w:cs="Arial"/>
        </w:rPr>
      </w:pPr>
    </w:p>
    <w:p w14:paraId="10451A4B" w14:textId="77777777" w:rsidR="00074DED" w:rsidRPr="0063717D" w:rsidRDefault="00074DED" w:rsidP="007D74AE">
      <w:pPr>
        <w:rPr>
          <w:rFonts w:ascii="Arial" w:hAnsi="Arial" w:cs="Arial"/>
        </w:rPr>
      </w:pPr>
    </w:p>
    <w:p w14:paraId="460E5F93" w14:textId="77777777" w:rsidR="00074DED" w:rsidRPr="0063717D" w:rsidRDefault="00074DED" w:rsidP="007D74AE">
      <w:pPr>
        <w:rPr>
          <w:rFonts w:ascii="Arial" w:hAnsi="Arial" w:cs="Arial"/>
        </w:rPr>
      </w:pPr>
    </w:p>
    <w:p w14:paraId="30756A50" w14:textId="77777777" w:rsidR="00074DED" w:rsidRPr="0063717D" w:rsidRDefault="00074DED" w:rsidP="007D74AE">
      <w:pPr>
        <w:rPr>
          <w:rFonts w:ascii="Arial" w:hAnsi="Arial" w:cs="Arial"/>
        </w:rPr>
      </w:pPr>
    </w:p>
    <w:p w14:paraId="237C45B9" w14:textId="77777777" w:rsidR="00074DED" w:rsidRDefault="00074DED" w:rsidP="00F70214"/>
    <w:p w14:paraId="3A5280D7" w14:textId="77777777" w:rsidR="00F769FD" w:rsidRPr="0063717D" w:rsidRDefault="00F769FD" w:rsidP="00F70214">
      <w:pPr>
        <w:rPr>
          <w:rFonts w:ascii="Arial" w:hAnsi="Arial" w:cs="Arial"/>
        </w:rPr>
      </w:pPr>
    </w:p>
    <w:p w14:paraId="0A259818" w14:textId="77777777" w:rsidR="00F769FD" w:rsidRPr="0063717D" w:rsidRDefault="00F769FD" w:rsidP="00F70214">
      <w:pPr>
        <w:rPr>
          <w:rFonts w:ascii="Arial" w:hAnsi="Arial" w:cs="Arial"/>
        </w:rPr>
      </w:pPr>
    </w:p>
    <w:p w14:paraId="5F4877FB" w14:textId="77777777" w:rsidR="00F769FD" w:rsidRPr="0063717D" w:rsidRDefault="00F769FD" w:rsidP="00F70214">
      <w:pPr>
        <w:rPr>
          <w:rFonts w:ascii="Arial" w:hAnsi="Arial" w:cs="Arial"/>
        </w:rPr>
      </w:pPr>
    </w:p>
    <w:p w14:paraId="7A2FB8EA" w14:textId="77777777" w:rsidR="00F769FD" w:rsidRPr="0063717D" w:rsidRDefault="00F769FD" w:rsidP="00F70214">
      <w:pPr>
        <w:rPr>
          <w:rFonts w:ascii="Arial" w:hAnsi="Arial" w:cs="Arial"/>
        </w:rPr>
      </w:pPr>
    </w:p>
    <w:p w14:paraId="18033239" w14:textId="195B4934" w:rsidR="00DB0350" w:rsidRPr="00473462" w:rsidRDefault="00DB0350" w:rsidP="00F70214">
      <w:pPr>
        <w:spacing w:before="100" w:beforeAutospacing="1" w:after="100" w:afterAutospacing="1"/>
        <w:rPr>
          <w:rFonts w:ascii="Arial" w:hAnsi="Arial" w:cs="Arial"/>
          <w:color w:val="000000" w:themeColor="text1"/>
          <w:lang w:val="en" w:eastAsia="en-GB"/>
        </w:rPr>
      </w:pPr>
    </w:p>
    <w:p w14:paraId="4DAA821C" w14:textId="77777777" w:rsidR="00DB0350" w:rsidRPr="00473462" w:rsidRDefault="00DB0350" w:rsidP="00F70214">
      <w:pPr>
        <w:spacing w:before="100" w:beforeAutospacing="1" w:after="100" w:afterAutospacing="1"/>
        <w:rPr>
          <w:rFonts w:ascii="Arial" w:hAnsi="Arial" w:cs="Arial"/>
          <w:color w:val="000000" w:themeColor="text1"/>
          <w:lang w:val="en" w:eastAsia="en-GB"/>
        </w:rPr>
      </w:pPr>
    </w:p>
    <w:p w14:paraId="214E3800" w14:textId="77777777" w:rsidR="008B7B4B" w:rsidRDefault="008B7B4B" w:rsidP="00F70214">
      <w:pPr>
        <w:spacing w:before="100" w:beforeAutospacing="1" w:after="100" w:afterAutospacing="1"/>
        <w:rPr>
          <w:rFonts w:ascii="Arial" w:hAnsi="Arial" w:cs="Arial"/>
          <w:b/>
          <w:color w:val="000000" w:themeColor="text1"/>
          <w:lang w:val="en" w:eastAsia="en-GB"/>
        </w:rPr>
      </w:pPr>
    </w:p>
    <w:p w14:paraId="36134006" w14:textId="6081F5DF" w:rsidR="00BC37C2" w:rsidRPr="0063717D" w:rsidRDefault="00BC37C2" w:rsidP="00F70214">
      <w:pPr>
        <w:rPr>
          <w:rFonts w:ascii="Arial" w:hAnsi="Arial" w:cs="Arial"/>
        </w:rPr>
      </w:pPr>
    </w:p>
    <w:sectPr w:rsidR="00BC37C2" w:rsidRPr="0063717D" w:rsidSect="00A77636">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282CC" w14:textId="77777777" w:rsidR="0025274A" w:rsidRDefault="0025274A" w:rsidP="007D14D5">
      <w:r>
        <w:separator/>
      </w:r>
    </w:p>
  </w:endnote>
  <w:endnote w:type="continuationSeparator" w:id="0">
    <w:p w14:paraId="6DA82DDF" w14:textId="77777777" w:rsidR="0025274A" w:rsidRDefault="0025274A" w:rsidP="007D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D1771" w14:textId="77777777" w:rsidR="00B27183" w:rsidRDefault="00B27183" w:rsidP="00642E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594349" w14:textId="77777777" w:rsidR="00B27183" w:rsidRDefault="00B27183" w:rsidP="00642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21ED2" w14:textId="77777777" w:rsidR="00B27183" w:rsidRDefault="00B27183" w:rsidP="00642E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6D41">
      <w:rPr>
        <w:rStyle w:val="PageNumber"/>
        <w:noProof/>
      </w:rPr>
      <w:t>16</w:t>
    </w:r>
    <w:r>
      <w:rPr>
        <w:rStyle w:val="PageNumber"/>
      </w:rPr>
      <w:fldChar w:fldCharType="end"/>
    </w:r>
  </w:p>
  <w:p w14:paraId="785527CA" w14:textId="77777777" w:rsidR="00B27183" w:rsidRDefault="00B27183" w:rsidP="00642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AC68D" w14:textId="77777777" w:rsidR="0025274A" w:rsidRDefault="0025274A" w:rsidP="007D14D5">
      <w:r>
        <w:separator/>
      </w:r>
    </w:p>
  </w:footnote>
  <w:footnote w:type="continuationSeparator" w:id="0">
    <w:p w14:paraId="62F60D47" w14:textId="77777777" w:rsidR="0025274A" w:rsidRDefault="0025274A" w:rsidP="007D1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890"/>
    <w:multiLevelType w:val="multilevel"/>
    <w:tmpl w:val="47FC0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765DF"/>
    <w:multiLevelType w:val="hybridMultilevel"/>
    <w:tmpl w:val="A77E187E"/>
    <w:lvl w:ilvl="0" w:tplc="282EDF36">
      <w:start w:val="1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C40772"/>
    <w:multiLevelType w:val="hybridMultilevel"/>
    <w:tmpl w:val="5F96930A"/>
    <w:lvl w:ilvl="0" w:tplc="3AB221D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3C7CE7"/>
    <w:multiLevelType w:val="hybridMultilevel"/>
    <w:tmpl w:val="EEE21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A7"/>
    <w:rsid w:val="00001BB3"/>
    <w:rsid w:val="00011582"/>
    <w:rsid w:val="0001606A"/>
    <w:rsid w:val="0001767A"/>
    <w:rsid w:val="000257C3"/>
    <w:rsid w:val="00027CA2"/>
    <w:rsid w:val="000333AA"/>
    <w:rsid w:val="00035D8B"/>
    <w:rsid w:val="00037CAE"/>
    <w:rsid w:val="00041D3A"/>
    <w:rsid w:val="00043D1C"/>
    <w:rsid w:val="00046916"/>
    <w:rsid w:val="00055CD1"/>
    <w:rsid w:val="00061339"/>
    <w:rsid w:val="00062C2B"/>
    <w:rsid w:val="00062FFE"/>
    <w:rsid w:val="0007374A"/>
    <w:rsid w:val="00074DED"/>
    <w:rsid w:val="00077D8F"/>
    <w:rsid w:val="00084087"/>
    <w:rsid w:val="00092D0F"/>
    <w:rsid w:val="00092E69"/>
    <w:rsid w:val="00092E9C"/>
    <w:rsid w:val="00094741"/>
    <w:rsid w:val="00094838"/>
    <w:rsid w:val="00095086"/>
    <w:rsid w:val="00096343"/>
    <w:rsid w:val="00097ECA"/>
    <w:rsid w:val="000A474C"/>
    <w:rsid w:val="000A6043"/>
    <w:rsid w:val="000A62FA"/>
    <w:rsid w:val="000B1D51"/>
    <w:rsid w:val="000B3C22"/>
    <w:rsid w:val="000B5E4D"/>
    <w:rsid w:val="000C0A0D"/>
    <w:rsid w:val="000C3E82"/>
    <w:rsid w:val="000C536F"/>
    <w:rsid w:val="000D026E"/>
    <w:rsid w:val="000D1D17"/>
    <w:rsid w:val="000D2C61"/>
    <w:rsid w:val="000D3CD5"/>
    <w:rsid w:val="000E04C3"/>
    <w:rsid w:val="000E2F0A"/>
    <w:rsid w:val="000E5D7B"/>
    <w:rsid w:val="000F1FEF"/>
    <w:rsid w:val="000F246E"/>
    <w:rsid w:val="0010176D"/>
    <w:rsid w:val="00105094"/>
    <w:rsid w:val="001107F0"/>
    <w:rsid w:val="001122F0"/>
    <w:rsid w:val="00112403"/>
    <w:rsid w:val="00113E1D"/>
    <w:rsid w:val="00116B13"/>
    <w:rsid w:val="00122E39"/>
    <w:rsid w:val="00124FAF"/>
    <w:rsid w:val="00130AEB"/>
    <w:rsid w:val="00130D6E"/>
    <w:rsid w:val="00133CE5"/>
    <w:rsid w:val="00134FDD"/>
    <w:rsid w:val="00136469"/>
    <w:rsid w:val="00136527"/>
    <w:rsid w:val="001408D8"/>
    <w:rsid w:val="00140BC5"/>
    <w:rsid w:val="00140D7F"/>
    <w:rsid w:val="00144BE6"/>
    <w:rsid w:val="00145D7C"/>
    <w:rsid w:val="00146DED"/>
    <w:rsid w:val="00152069"/>
    <w:rsid w:val="001522F9"/>
    <w:rsid w:val="0015407F"/>
    <w:rsid w:val="001571DC"/>
    <w:rsid w:val="00160E79"/>
    <w:rsid w:val="001613AC"/>
    <w:rsid w:val="0016621A"/>
    <w:rsid w:val="00166284"/>
    <w:rsid w:val="00166B2C"/>
    <w:rsid w:val="00166E06"/>
    <w:rsid w:val="00170F13"/>
    <w:rsid w:val="00175542"/>
    <w:rsid w:val="00177FA9"/>
    <w:rsid w:val="00182832"/>
    <w:rsid w:val="00182B5C"/>
    <w:rsid w:val="00183D00"/>
    <w:rsid w:val="00184390"/>
    <w:rsid w:val="00187367"/>
    <w:rsid w:val="001917EC"/>
    <w:rsid w:val="00191BBF"/>
    <w:rsid w:val="00196197"/>
    <w:rsid w:val="001A271C"/>
    <w:rsid w:val="001A2B39"/>
    <w:rsid w:val="001B22F0"/>
    <w:rsid w:val="001B2F2C"/>
    <w:rsid w:val="001B4DF5"/>
    <w:rsid w:val="001B612B"/>
    <w:rsid w:val="001B7063"/>
    <w:rsid w:val="001C0D12"/>
    <w:rsid w:val="001C219E"/>
    <w:rsid w:val="001C2EB3"/>
    <w:rsid w:val="001C312B"/>
    <w:rsid w:val="001C6044"/>
    <w:rsid w:val="001C6C8C"/>
    <w:rsid w:val="001D11C9"/>
    <w:rsid w:val="001D3095"/>
    <w:rsid w:val="001D55A6"/>
    <w:rsid w:val="001E07FB"/>
    <w:rsid w:val="001E22A9"/>
    <w:rsid w:val="001F52C4"/>
    <w:rsid w:val="00211D4D"/>
    <w:rsid w:val="00213911"/>
    <w:rsid w:val="00216D36"/>
    <w:rsid w:val="0022347D"/>
    <w:rsid w:val="002256D0"/>
    <w:rsid w:val="0023343B"/>
    <w:rsid w:val="00234EFD"/>
    <w:rsid w:val="00235589"/>
    <w:rsid w:val="002359E0"/>
    <w:rsid w:val="002411CD"/>
    <w:rsid w:val="002425B1"/>
    <w:rsid w:val="0024331E"/>
    <w:rsid w:val="00245CB2"/>
    <w:rsid w:val="00247680"/>
    <w:rsid w:val="002515FA"/>
    <w:rsid w:val="0025274A"/>
    <w:rsid w:val="002530A8"/>
    <w:rsid w:val="002539E7"/>
    <w:rsid w:val="00262934"/>
    <w:rsid w:val="00263050"/>
    <w:rsid w:val="002672CC"/>
    <w:rsid w:val="002714FA"/>
    <w:rsid w:val="002724BB"/>
    <w:rsid w:val="00273233"/>
    <w:rsid w:val="0027568A"/>
    <w:rsid w:val="00281B74"/>
    <w:rsid w:val="00283C85"/>
    <w:rsid w:val="002861CD"/>
    <w:rsid w:val="002938C3"/>
    <w:rsid w:val="00293E3E"/>
    <w:rsid w:val="002A345C"/>
    <w:rsid w:val="002A35EE"/>
    <w:rsid w:val="002A563E"/>
    <w:rsid w:val="002B06A2"/>
    <w:rsid w:val="002B3A47"/>
    <w:rsid w:val="002B79E7"/>
    <w:rsid w:val="002C07CE"/>
    <w:rsid w:val="002C1A0A"/>
    <w:rsid w:val="002C2FB2"/>
    <w:rsid w:val="002C32D7"/>
    <w:rsid w:val="002C41F2"/>
    <w:rsid w:val="002D2D83"/>
    <w:rsid w:val="002D2DCA"/>
    <w:rsid w:val="002D4E17"/>
    <w:rsid w:val="002D587D"/>
    <w:rsid w:val="002D69EB"/>
    <w:rsid w:val="002D6E34"/>
    <w:rsid w:val="002E28DE"/>
    <w:rsid w:val="002E5277"/>
    <w:rsid w:val="002E7ECE"/>
    <w:rsid w:val="002F0056"/>
    <w:rsid w:val="002F110F"/>
    <w:rsid w:val="002F29DB"/>
    <w:rsid w:val="002F2EB2"/>
    <w:rsid w:val="002F3FC2"/>
    <w:rsid w:val="002F5210"/>
    <w:rsid w:val="002F610C"/>
    <w:rsid w:val="00300668"/>
    <w:rsid w:val="00304FB6"/>
    <w:rsid w:val="00305D42"/>
    <w:rsid w:val="0031027B"/>
    <w:rsid w:val="00310947"/>
    <w:rsid w:val="00313BDE"/>
    <w:rsid w:val="00314EAE"/>
    <w:rsid w:val="00316B26"/>
    <w:rsid w:val="00316E1F"/>
    <w:rsid w:val="00317116"/>
    <w:rsid w:val="00320A63"/>
    <w:rsid w:val="00332DCA"/>
    <w:rsid w:val="003375B2"/>
    <w:rsid w:val="00337C1D"/>
    <w:rsid w:val="003427D0"/>
    <w:rsid w:val="003453B4"/>
    <w:rsid w:val="00345687"/>
    <w:rsid w:val="00346668"/>
    <w:rsid w:val="00356D4A"/>
    <w:rsid w:val="00357168"/>
    <w:rsid w:val="003575E0"/>
    <w:rsid w:val="0036246B"/>
    <w:rsid w:val="003624A4"/>
    <w:rsid w:val="00362B1B"/>
    <w:rsid w:val="00363C9B"/>
    <w:rsid w:val="003654DF"/>
    <w:rsid w:val="0037120A"/>
    <w:rsid w:val="00373F1D"/>
    <w:rsid w:val="00381A2B"/>
    <w:rsid w:val="0038233B"/>
    <w:rsid w:val="003827B4"/>
    <w:rsid w:val="00385AFB"/>
    <w:rsid w:val="0038673D"/>
    <w:rsid w:val="0039120C"/>
    <w:rsid w:val="003940FA"/>
    <w:rsid w:val="003945C8"/>
    <w:rsid w:val="003A2BAD"/>
    <w:rsid w:val="003A3124"/>
    <w:rsid w:val="003A3DD1"/>
    <w:rsid w:val="003A4F0A"/>
    <w:rsid w:val="003A7164"/>
    <w:rsid w:val="003B2E64"/>
    <w:rsid w:val="003C05BA"/>
    <w:rsid w:val="003C3B66"/>
    <w:rsid w:val="003C6824"/>
    <w:rsid w:val="003C700A"/>
    <w:rsid w:val="003C7C14"/>
    <w:rsid w:val="003D362C"/>
    <w:rsid w:val="003D54C4"/>
    <w:rsid w:val="003E2A2C"/>
    <w:rsid w:val="003E41AD"/>
    <w:rsid w:val="003E6DA3"/>
    <w:rsid w:val="003E72F3"/>
    <w:rsid w:val="003F0219"/>
    <w:rsid w:val="003F2918"/>
    <w:rsid w:val="003F4D33"/>
    <w:rsid w:val="003F4F6C"/>
    <w:rsid w:val="00403F89"/>
    <w:rsid w:val="00407ADB"/>
    <w:rsid w:val="0041030C"/>
    <w:rsid w:val="00410D40"/>
    <w:rsid w:val="0041317E"/>
    <w:rsid w:val="004152AC"/>
    <w:rsid w:val="00415B6D"/>
    <w:rsid w:val="00415EB8"/>
    <w:rsid w:val="00416DE2"/>
    <w:rsid w:val="004233E7"/>
    <w:rsid w:val="004261DC"/>
    <w:rsid w:val="00427D94"/>
    <w:rsid w:val="00431D5E"/>
    <w:rsid w:val="00433D9F"/>
    <w:rsid w:val="00435BA1"/>
    <w:rsid w:val="00443CD8"/>
    <w:rsid w:val="00444C7A"/>
    <w:rsid w:val="004454E1"/>
    <w:rsid w:val="00451860"/>
    <w:rsid w:val="00455256"/>
    <w:rsid w:val="00457FA0"/>
    <w:rsid w:val="004653F9"/>
    <w:rsid w:val="00471B7E"/>
    <w:rsid w:val="00477097"/>
    <w:rsid w:val="00480982"/>
    <w:rsid w:val="004860F5"/>
    <w:rsid w:val="00487EA3"/>
    <w:rsid w:val="00494579"/>
    <w:rsid w:val="00495F5C"/>
    <w:rsid w:val="00495FE5"/>
    <w:rsid w:val="004A2912"/>
    <w:rsid w:val="004A2CAF"/>
    <w:rsid w:val="004A4F13"/>
    <w:rsid w:val="004A61C6"/>
    <w:rsid w:val="004A6D16"/>
    <w:rsid w:val="004A7B97"/>
    <w:rsid w:val="004B036C"/>
    <w:rsid w:val="004C00DC"/>
    <w:rsid w:val="004C2435"/>
    <w:rsid w:val="004C2AD7"/>
    <w:rsid w:val="004C465F"/>
    <w:rsid w:val="004D0026"/>
    <w:rsid w:val="004D2527"/>
    <w:rsid w:val="004D6EE3"/>
    <w:rsid w:val="004F68E1"/>
    <w:rsid w:val="00500952"/>
    <w:rsid w:val="005010D0"/>
    <w:rsid w:val="00501288"/>
    <w:rsid w:val="0050383B"/>
    <w:rsid w:val="005059C3"/>
    <w:rsid w:val="005063A9"/>
    <w:rsid w:val="00514965"/>
    <w:rsid w:val="005263B0"/>
    <w:rsid w:val="00531C60"/>
    <w:rsid w:val="00531CB2"/>
    <w:rsid w:val="00532359"/>
    <w:rsid w:val="0053263F"/>
    <w:rsid w:val="00533131"/>
    <w:rsid w:val="0054202D"/>
    <w:rsid w:val="0054429E"/>
    <w:rsid w:val="0055161C"/>
    <w:rsid w:val="00553F09"/>
    <w:rsid w:val="00556D02"/>
    <w:rsid w:val="0055736B"/>
    <w:rsid w:val="0056012A"/>
    <w:rsid w:val="005602A6"/>
    <w:rsid w:val="0056092B"/>
    <w:rsid w:val="0056152D"/>
    <w:rsid w:val="00562859"/>
    <w:rsid w:val="00565B5F"/>
    <w:rsid w:val="00566308"/>
    <w:rsid w:val="005708F6"/>
    <w:rsid w:val="00571855"/>
    <w:rsid w:val="005719B4"/>
    <w:rsid w:val="005720A7"/>
    <w:rsid w:val="00573FC9"/>
    <w:rsid w:val="00581AA8"/>
    <w:rsid w:val="005843F7"/>
    <w:rsid w:val="00592D92"/>
    <w:rsid w:val="00594832"/>
    <w:rsid w:val="005A1C32"/>
    <w:rsid w:val="005A3715"/>
    <w:rsid w:val="005A5451"/>
    <w:rsid w:val="005A564D"/>
    <w:rsid w:val="005A565C"/>
    <w:rsid w:val="005B294F"/>
    <w:rsid w:val="005B42AC"/>
    <w:rsid w:val="005C6976"/>
    <w:rsid w:val="005C7B33"/>
    <w:rsid w:val="005D2307"/>
    <w:rsid w:val="005D3707"/>
    <w:rsid w:val="005E0A8B"/>
    <w:rsid w:val="005E4CD0"/>
    <w:rsid w:val="005E6090"/>
    <w:rsid w:val="005E7A9F"/>
    <w:rsid w:val="005F0174"/>
    <w:rsid w:val="005F1C3C"/>
    <w:rsid w:val="005F6A89"/>
    <w:rsid w:val="00600A4B"/>
    <w:rsid w:val="006020E0"/>
    <w:rsid w:val="00605A9B"/>
    <w:rsid w:val="006075D0"/>
    <w:rsid w:val="0061194F"/>
    <w:rsid w:val="00612637"/>
    <w:rsid w:val="00614002"/>
    <w:rsid w:val="0061686C"/>
    <w:rsid w:val="00622266"/>
    <w:rsid w:val="0062522F"/>
    <w:rsid w:val="00625264"/>
    <w:rsid w:val="00625CDD"/>
    <w:rsid w:val="00631708"/>
    <w:rsid w:val="006325A7"/>
    <w:rsid w:val="006352A8"/>
    <w:rsid w:val="006358D4"/>
    <w:rsid w:val="00636385"/>
    <w:rsid w:val="0063717D"/>
    <w:rsid w:val="00637CDD"/>
    <w:rsid w:val="00640B83"/>
    <w:rsid w:val="00642D27"/>
    <w:rsid w:val="00642EBF"/>
    <w:rsid w:val="0064744C"/>
    <w:rsid w:val="0064762A"/>
    <w:rsid w:val="0065217F"/>
    <w:rsid w:val="00653E94"/>
    <w:rsid w:val="00654A57"/>
    <w:rsid w:val="00654C1D"/>
    <w:rsid w:val="00654EC3"/>
    <w:rsid w:val="0065637F"/>
    <w:rsid w:val="00657ADA"/>
    <w:rsid w:val="006644AB"/>
    <w:rsid w:val="00665117"/>
    <w:rsid w:val="0067061C"/>
    <w:rsid w:val="00671E9D"/>
    <w:rsid w:val="0067214A"/>
    <w:rsid w:val="00672653"/>
    <w:rsid w:val="00673212"/>
    <w:rsid w:val="00674539"/>
    <w:rsid w:val="00674DBF"/>
    <w:rsid w:val="0067742A"/>
    <w:rsid w:val="006802FC"/>
    <w:rsid w:val="006869BB"/>
    <w:rsid w:val="006900C7"/>
    <w:rsid w:val="00691F26"/>
    <w:rsid w:val="00692D64"/>
    <w:rsid w:val="00693ECB"/>
    <w:rsid w:val="006962F6"/>
    <w:rsid w:val="006A2765"/>
    <w:rsid w:val="006B16D5"/>
    <w:rsid w:val="006B3438"/>
    <w:rsid w:val="006B5485"/>
    <w:rsid w:val="006B74E8"/>
    <w:rsid w:val="006C6D69"/>
    <w:rsid w:val="006C6EA3"/>
    <w:rsid w:val="006D0814"/>
    <w:rsid w:val="006D0FF7"/>
    <w:rsid w:val="006D1ABE"/>
    <w:rsid w:val="006D64F5"/>
    <w:rsid w:val="006E3B35"/>
    <w:rsid w:val="006E5C21"/>
    <w:rsid w:val="006F7268"/>
    <w:rsid w:val="0071080C"/>
    <w:rsid w:val="00710A28"/>
    <w:rsid w:val="00713C09"/>
    <w:rsid w:val="00715308"/>
    <w:rsid w:val="0071685D"/>
    <w:rsid w:val="007204AA"/>
    <w:rsid w:val="00722BDB"/>
    <w:rsid w:val="00726187"/>
    <w:rsid w:val="007261FB"/>
    <w:rsid w:val="00726A01"/>
    <w:rsid w:val="00727258"/>
    <w:rsid w:val="00736CCE"/>
    <w:rsid w:val="00740905"/>
    <w:rsid w:val="00740B51"/>
    <w:rsid w:val="0074210A"/>
    <w:rsid w:val="00745F35"/>
    <w:rsid w:val="007518DE"/>
    <w:rsid w:val="00752338"/>
    <w:rsid w:val="00754043"/>
    <w:rsid w:val="00754F91"/>
    <w:rsid w:val="00761F26"/>
    <w:rsid w:val="007670C4"/>
    <w:rsid w:val="0077079E"/>
    <w:rsid w:val="00773CBA"/>
    <w:rsid w:val="00784606"/>
    <w:rsid w:val="00784B82"/>
    <w:rsid w:val="0079476A"/>
    <w:rsid w:val="00794778"/>
    <w:rsid w:val="007948F4"/>
    <w:rsid w:val="007A5D86"/>
    <w:rsid w:val="007A7BD6"/>
    <w:rsid w:val="007A7BDC"/>
    <w:rsid w:val="007B4FF3"/>
    <w:rsid w:val="007B5E0F"/>
    <w:rsid w:val="007B6166"/>
    <w:rsid w:val="007C04CB"/>
    <w:rsid w:val="007C140D"/>
    <w:rsid w:val="007D14D5"/>
    <w:rsid w:val="007D3651"/>
    <w:rsid w:val="007D40ED"/>
    <w:rsid w:val="007D542F"/>
    <w:rsid w:val="007D74AE"/>
    <w:rsid w:val="007D7BF1"/>
    <w:rsid w:val="007E1D94"/>
    <w:rsid w:val="007E3210"/>
    <w:rsid w:val="007E4028"/>
    <w:rsid w:val="007E515C"/>
    <w:rsid w:val="007F043F"/>
    <w:rsid w:val="007F4D77"/>
    <w:rsid w:val="007F7454"/>
    <w:rsid w:val="007F7640"/>
    <w:rsid w:val="00802387"/>
    <w:rsid w:val="0080277A"/>
    <w:rsid w:val="00805521"/>
    <w:rsid w:val="00805BFE"/>
    <w:rsid w:val="00807146"/>
    <w:rsid w:val="0080767C"/>
    <w:rsid w:val="00815FC2"/>
    <w:rsid w:val="00821A7C"/>
    <w:rsid w:val="00833177"/>
    <w:rsid w:val="008344AF"/>
    <w:rsid w:val="008353A1"/>
    <w:rsid w:val="008360F2"/>
    <w:rsid w:val="00837E7B"/>
    <w:rsid w:val="00840573"/>
    <w:rsid w:val="008416E8"/>
    <w:rsid w:val="00843C14"/>
    <w:rsid w:val="0085232A"/>
    <w:rsid w:val="008529A6"/>
    <w:rsid w:val="00853491"/>
    <w:rsid w:val="008571D8"/>
    <w:rsid w:val="00860BF0"/>
    <w:rsid w:val="00861254"/>
    <w:rsid w:val="00865456"/>
    <w:rsid w:val="008669AF"/>
    <w:rsid w:val="008674A6"/>
    <w:rsid w:val="008679C0"/>
    <w:rsid w:val="00867C66"/>
    <w:rsid w:val="00867E48"/>
    <w:rsid w:val="00870BFD"/>
    <w:rsid w:val="0087107F"/>
    <w:rsid w:val="00871D6E"/>
    <w:rsid w:val="00873A2B"/>
    <w:rsid w:val="008823B6"/>
    <w:rsid w:val="008833DF"/>
    <w:rsid w:val="0089077C"/>
    <w:rsid w:val="00890EDC"/>
    <w:rsid w:val="008A2CE7"/>
    <w:rsid w:val="008A41B6"/>
    <w:rsid w:val="008A70B5"/>
    <w:rsid w:val="008B2588"/>
    <w:rsid w:val="008B47C7"/>
    <w:rsid w:val="008B7B4B"/>
    <w:rsid w:val="008C0B4E"/>
    <w:rsid w:val="008C5A70"/>
    <w:rsid w:val="008C6299"/>
    <w:rsid w:val="008C7083"/>
    <w:rsid w:val="008D1E54"/>
    <w:rsid w:val="008D3690"/>
    <w:rsid w:val="008D6AAB"/>
    <w:rsid w:val="008E35E7"/>
    <w:rsid w:val="008E57AD"/>
    <w:rsid w:val="008E6AAE"/>
    <w:rsid w:val="008F1993"/>
    <w:rsid w:val="008F3E7C"/>
    <w:rsid w:val="008F5A87"/>
    <w:rsid w:val="00904508"/>
    <w:rsid w:val="0090453C"/>
    <w:rsid w:val="00905EC8"/>
    <w:rsid w:val="00911703"/>
    <w:rsid w:val="009154A3"/>
    <w:rsid w:val="009156EA"/>
    <w:rsid w:val="0091588C"/>
    <w:rsid w:val="009210CC"/>
    <w:rsid w:val="00921745"/>
    <w:rsid w:val="00932A13"/>
    <w:rsid w:val="00933506"/>
    <w:rsid w:val="00933EF9"/>
    <w:rsid w:val="0093404D"/>
    <w:rsid w:val="009354BE"/>
    <w:rsid w:val="009402CD"/>
    <w:rsid w:val="009508E4"/>
    <w:rsid w:val="009528E3"/>
    <w:rsid w:val="0095373D"/>
    <w:rsid w:val="00953C13"/>
    <w:rsid w:val="009643BB"/>
    <w:rsid w:val="00972A6E"/>
    <w:rsid w:val="00975192"/>
    <w:rsid w:val="00977182"/>
    <w:rsid w:val="00983343"/>
    <w:rsid w:val="00984898"/>
    <w:rsid w:val="00987177"/>
    <w:rsid w:val="00991657"/>
    <w:rsid w:val="009928C0"/>
    <w:rsid w:val="00996E51"/>
    <w:rsid w:val="00997455"/>
    <w:rsid w:val="009A422D"/>
    <w:rsid w:val="009A45CA"/>
    <w:rsid w:val="009A5486"/>
    <w:rsid w:val="009A60A4"/>
    <w:rsid w:val="009A629A"/>
    <w:rsid w:val="009A635E"/>
    <w:rsid w:val="009B07B1"/>
    <w:rsid w:val="009B1EB3"/>
    <w:rsid w:val="009B29DC"/>
    <w:rsid w:val="009B39AD"/>
    <w:rsid w:val="009C3621"/>
    <w:rsid w:val="009C41B9"/>
    <w:rsid w:val="009C5525"/>
    <w:rsid w:val="009C5BF4"/>
    <w:rsid w:val="009D0367"/>
    <w:rsid w:val="009D356B"/>
    <w:rsid w:val="009D48E2"/>
    <w:rsid w:val="009D5DE7"/>
    <w:rsid w:val="009F10AD"/>
    <w:rsid w:val="009F14BA"/>
    <w:rsid w:val="009F21B0"/>
    <w:rsid w:val="009F6322"/>
    <w:rsid w:val="00A01E1F"/>
    <w:rsid w:val="00A055C4"/>
    <w:rsid w:val="00A078B7"/>
    <w:rsid w:val="00A11507"/>
    <w:rsid w:val="00A11581"/>
    <w:rsid w:val="00A14AE6"/>
    <w:rsid w:val="00A15C6F"/>
    <w:rsid w:val="00A1676E"/>
    <w:rsid w:val="00A17D0D"/>
    <w:rsid w:val="00A215BD"/>
    <w:rsid w:val="00A26E8A"/>
    <w:rsid w:val="00A30B0A"/>
    <w:rsid w:val="00A32273"/>
    <w:rsid w:val="00A47C36"/>
    <w:rsid w:val="00A5315A"/>
    <w:rsid w:val="00A53633"/>
    <w:rsid w:val="00A56FDA"/>
    <w:rsid w:val="00A57260"/>
    <w:rsid w:val="00A578EC"/>
    <w:rsid w:val="00A60B25"/>
    <w:rsid w:val="00A63BDD"/>
    <w:rsid w:val="00A64465"/>
    <w:rsid w:val="00A67490"/>
    <w:rsid w:val="00A72519"/>
    <w:rsid w:val="00A72623"/>
    <w:rsid w:val="00A7330B"/>
    <w:rsid w:val="00A77636"/>
    <w:rsid w:val="00A81D56"/>
    <w:rsid w:val="00A929EF"/>
    <w:rsid w:val="00A9698F"/>
    <w:rsid w:val="00A970CD"/>
    <w:rsid w:val="00AA3421"/>
    <w:rsid w:val="00AB0A34"/>
    <w:rsid w:val="00AB15A6"/>
    <w:rsid w:val="00AB1C3A"/>
    <w:rsid w:val="00AB3D83"/>
    <w:rsid w:val="00AB6FAF"/>
    <w:rsid w:val="00AC0037"/>
    <w:rsid w:val="00AC1D53"/>
    <w:rsid w:val="00AC346B"/>
    <w:rsid w:val="00AD1142"/>
    <w:rsid w:val="00AD145D"/>
    <w:rsid w:val="00AD174B"/>
    <w:rsid w:val="00AD5F1E"/>
    <w:rsid w:val="00AD780D"/>
    <w:rsid w:val="00AD7A19"/>
    <w:rsid w:val="00AE048F"/>
    <w:rsid w:val="00AE3AA3"/>
    <w:rsid w:val="00AE7676"/>
    <w:rsid w:val="00AF194F"/>
    <w:rsid w:val="00AF49BE"/>
    <w:rsid w:val="00B01778"/>
    <w:rsid w:val="00B02FA3"/>
    <w:rsid w:val="00B03FDF"/>
    <w:rsid w:val="00B11604"/>
    <w:rsid w:val="00B12DD7"/>
    <w:rsid w:val="00B147BF"/>
    <w:rsid w:val="00B201B1"/>
    <w:rsid w:val="00B20ABB"/>
    <w:rsid w:val="00B21E16"/>
    <w:rsid w:val="00B2338E"/>
    <w:rsid w:val="00B23787"/>
    <w:rsid w:val="00B27183"/>
    <w:rsid w:val="00B304D3"/>
    <w:rsid w:val="00B30C45"/>
    <w:rsid w:val="00B31E7B"/>
    <w:rsid w:val="00B322C8"/>
    <w:rsid w:val="00B33A54"/>
    <w:rsid w:val="00B3404C"/>
    <w:rsid w:val="00B40AA3"/>
    <w:rsid w:val="00B443A0"/>
    <w:rsid w:val="00B4504C"/>
    <w:rsid w:val="00B47132"/>
    <w:rsid w:val="00B5484D"/>
    <w:rsid w:val="00B55979"/>
    <w:rsid w:val="00B55E6E"/>
    <w:rsid w:val="00B573E6"/>
    <w:rsid w:val="00B57903"/>
    <w:rsid w:val="00B610F6"/>
    <w:rsid w:val="00B626E3"/>
    <w:rsid w:val="00B71438"/>
    <w:rsid w:val="00B74091"/>
    <w:rsid w:val="00B77DC2"/>
    <w:rsid w:val="00B8459E"/>
    <w:rsid w:val="00B86705"/>
    <w:rsid w:val="00B9212D"/>
    <w:rsid w:val="00B93517"/>
    <w:rsid w:val="00BA1FF7"/>
    <w:rsid w:val="00BA5C39"/>
    <w:rsid w:val="00BA6D3A"/>
    <w:rsid w:val="00BA7123"/>
    <w:rsid w:val="00BA7F8F"/>
    <w:rsid w:val="00BB1606"/>
    <w:rsid w:val="00BB1F03"/>
    <w:rsid w:val="00BB48DA"/>
    <w:rsid w:val="00BB52E8"/>
    <w:rsid w:val="00BC37C2"/>
    <w:rsid w:val="00BC3D9C"/>
    <w:rsid w:val="00BC5994"/>
    <w:rsid w:val="00BC7FB2"/>
    <w:rsid w:val="00BD0E8A"/>
    <w:rsid w:val="00BD133F"/>
    <w:rsid w:val="00BD34BF"/>
    <w:rsid w:val="00BD3749"/>
    <w:rsid w:val="00BD4E0E"/>
    <w:rsid w:val="00BD5671"/>
    <w:rsid w:val="00BE4F6B"/>
    <w:rsid w:val="00BE6DD7"/>
    <w:rsid w:val="00BE7B33"/>
    <w:rsid w:val="00BF282F"/>
    <w:rsid w:val="00BF7258"/>
    <w:rsid w:val="00C01614"/>
    <w:rsid w:val="00C05212"/>
    <w:rsid w:val="00C054F7"/>
    <w:rsid w:val="00C11163"/>
    <w:rsid w:val="00C12515"/>
    <w:rsid w:val="00C12B5B"/>
    <w:rsid w:val="00C12F35"/>
    <w:rsid w:val="00C16B8B"/>
    <w:rsid w:val="00C21F41"/>
    <w:rsid w:val="00C260AE"/>
    <w:rsid w:val="00C26865"/>
    <w:rsid w:val="00C27F15"/>
    <w:rsid w:val="00C32B6A"/>
    <w:rsid w:val="00C41327"/>
    <w:rsid w:val="00C424CB"/>
    <w:rsid w:val="00C436EE"/>
    <w:rsid w:val="00C4377E"/>
    <w:rsid w:val="00C45B19"/>
    <w:rsid w:val="00C47AD7"/>
    <w:rsid w:val="00C570CB"/>
    <w:rsid w:val="00C61657"/>
    <w:rsid w:val="00C64E72"/>
    <w:rsid w:val="00C72333"/>
    <w:rsid w:val="00C75808"/>
    <w:rsid w:val="00C76ACF"/>
    <w:rsid w:val="00C833F3"/>
    <w:rsid w:val="00C859A5"/>
    <w:rsid w:val="00C8685A"/>
    <w:rsid w:val="00C86B4C"/>
    <w:rsid w:val="00C87250"/>
    <w:rsid w:val="00C910B9"/>
    <w:rsid w:val="00C91A02"/>
    <w:rsid w:val="00C93373"/>
    <w:rsid w:val="00C94935"/>
    <w:rsid w:val="00CA24B1"/>
    <w:rsid w:val="00CA302D"/>
    <w:rsid w:val="00CA46CA"/>
    <w:rsid w:val="00CA5701"/>
    <w:rsid w:val="00CA6AB4"/>
    <w:rsid w:val="00CA71A7"/>
    <w:rsid w:val="00CB0664"/>
    <w:rsid w:val="00CB0882"/>
    <w:rsid w:val="00CB16B4"/>
    <w:rsid w:val="00CB79CF"/>
    <w:rsid w:val="00CC24E1"/>
    <w:rsid w:val="00CC2E89"/>
    <w:rsid w:val="00CC47DC"/>
    <w:rsid w:val="00CC5B0B"/>
    <w:rsid w:val="00CD4CC1"/>
    <w:rsid w:val="00CD7A7C"/>
    <w:rsid w:val="00CE6D6E"/>
    <w:rsid w:val="00CF1D76"/>
    <w:rsid w:val="00CF3B17"/>
    <w:rsid w:val="00CF4353"/>
    <w:rsid w:val="00CF6323"/>
    <w:rsid w:val="00D018AE"/>
    <w:rsid w:val="00D0393E"/>
    <w:rsid w:val="00D061DB"/>
    <w:rsid w:val="00D06D41"/>
    <w:rsid w:val="00D06DDF"/>
    <w:rsid w:val="00D11CAB"/>
    <w:rsid w:val="00D14A34"/>
    <w:rsid w:val="00D15849"/>
    <w:rsid w:val="00D16B34"/>
    <w:rsid w:val="00D22E11"/>
    <w:rsid w:val="00D239A7"/>
    <w:rsid w:val="00D27353"/>
    <w:rsid w:val="00D30136"/>
    <w:rsid w:val="00D30354"/>
    <w:rsid w:val="00D32084"/>
    <w:rsid w:val="00D35992"/>
    <w:rsid w:val="00D4506E"/>
    <w:rsid w:val="00D4652B"/>
    <w:rsid w:val="00D46C5B"/>
    <w:rsid w:val="00D46D57"/>
    <w:rsid w:val="00D54BC0"/>
    <w:rsid w:val="00D63B21"/>
    <w:rsid w:val="00D63CCD"/>
    <w:rsid w:val="00D654E8"/>
    <w:rsid w:val="00D67C14"/>
    <w:rsid w:val="00D70139"/>
    <w:rsid w:val="00D738D2"/>
    <w:rsid w:val="00D73BD4"/>
    <w:rsid w:val="00D813F7"/>
    <w:rsid w:val="00D93180"/>
    <w:rsid w:val="00D9475E"/>
    <w:rsid w:val="00D96A65"/>
    <w:rsid w:val="00DA072D"/>
    <w:rsid w:val="00DA16FE"/>
    <w:rsid w:val="00DA1CEA"/>
    <w:rsid w:val="00DA59E1"/>
    <w:rsid w:val="00DB0350"/>
    <w:rsid w:val="00DB1837"/>
    <w:rsid w:val="00DB3214"/>
    <w:rsid w:val="00DB5365"/>
    <w:rsid w:val="00DC6A7B"/>
    <w:rsid w:val="00DD0FB8"/>
    <w:rsid w:val="00DD3650"/>
    <w:rsid w:val="00DE0451"/>
    <w:rsid w:val="00DE0966"/>
    <w:rsid w:val="00DE1546"/>
    <w:rsid w:val="00DE31E5"/>
    <w:rsid w:val="00DE38AE"/>
    <w:rsid w:val="00DE71D5"/>
    <w:rsid w:val="00DF548E"/>
    <w:rsid w:val="00DF5766"/>
    <w:rsid w:val="00E03679"/>
    <w:rsid w:val="00E04BFE"/>
    <w:rsid w:val="00E109C2"/>
    <w:rsid w:val="00E10BB9"/>
    <w:rsid w:val="00E1183C"/>
    <w:rsid w:val="00E1673B"/>
    <w:rsid w:val="00E1693D"/>
    <w:rsid w:val="00E16A6D"/>
    <w:rsid w:val="00E20A7A"/>
    <w:rsid w:val="00E215C2"/>
    <w:rsid w:val="00E22398"/>
    <w:rsid w:val="00E227CE"/>
    <w:rsid w:val="00E23F6D"/>
    <w:rsid w:val="00E25024"/>
    <w:rsid w:val="00E25EAE"/>
    <w:rsid w:val="00E34ED2"/>
    <w:rsid w:val="00E35F01"/>
    <w:rsid w:val="00E41FC3"/>
    <w:rsid w:val="00E47244"/>
    <w:rsid w:val="00E5076A"/>
    <w:rsid w:val="00E540C1"/>
    <w:rsid w:val="00E5656E"/>
    <w:rsid w:val="00E56C99"/>
    <w:rsid w:val="00E611B6"/>
    <w:rsid w:val="00E617C1"/>
    <w:rsid w:val="00E61C01"/>
    <w:rsid w:val="00E62FC8"/>
    <w:rsid w:val="00E64FBD"/>
    <w:rsid w:val="00E66C89"/>
    <w:rsid w:val="00E66EBC"/>
    <w:rsid w:val="00E6768E"/>
    <w:rsid w:val="00E74A11"/>
    <w:rsid w:val="00E74A26"/>
    <w:rsid w:val="00E80236"/>
    <w:rsid w:val="00E81611"/>
    <w:rsid w:val="00E818DA"/>
    <w:rsid w:val="00E855AB"/>
    <w:rsid w:val="00E87AFE"/>
    <w:rsid w:val="00E928B2"/>
    <w:rsid w:val="00E96BD3"/>
    <w:rsid w:val="00EA2E8C"/>
    <w:rsid w:val="00EB0CB1"/>
    <w:rsid w:val="00EC42C9"/>
    <w:rsid w:val="00EC44CA"/>
    <w:rsid w:val="00EC5309"/>
    <w:rsid w:val="00EC5E69"/>
    <w:rsid w:val="00EC7645"/>
    <w:rsid w:val="00ED2B2C"/>
    <w:rsid w:val="00EE1B59"/>
    <w:rsid w:val="00EE1E5E"/>
    <w:rsid w:val="00EE374E"/>
    <w:rsid w:val="00EE4DDF"/>
    <w:rsid w:val="00EE747E"/>
    <w:rsid w:val="00EF1743"/>
    <w:rsid w:val="00EF50B5"/>
    <w:rsid w:val="00EF61FD"/>
    <w:rsid w:val="00EF7BF7"/>
    <w:rsid w:val="00F0503C"/>
    <w:rsid w:val="00F05143"/>
    <w:rsid w:val="00F07A10"/>
    <w:rsid w:val="00F11200"/>
    <w:rsid w:val="00F114E7"/>
    <w:rsid w:val="00F11D6B"/>
    <w:rsid w:val="00F12FFD"/>
    <w:rsid w:val="00F13D21"/>
    <w:rsid w:val="00F17703"/>
    <w:rsid w:val="00F17FAF"/>
    <w:rsid w:val="00F21881"/>
    <w:rsid w:val="00F2289E"/>
    <w:rsid w:val="00F22B61"/>
    <w:rsid w:val="00F24EE7"/>
    <w:rsid w:val="00F25179"/>
    <w:rsid w:val="00F251B1"/>
    <w:rsid w:val="00F27180"/>
    <w:rsid w:val="00F31CFA"/>
    <w:rsid w:val="00F33C19"/>
    <w:rsid w:val="00F364D2"/>
    <w:rsid w:val="00F40365"/>
    <w:rsid w:val="00F4393E"/>
    <w:rsid w:val="00F50274"/>
    <w:rsid w:val="00F50BF5"/>
    <w:rsid w:val="00F5244B"/>
    <w:rsid w:val="00F525DC"/>
    <w:rsid w:val="00F52B0F"/>
    <w:rsid w:val="00F5456C"/>
    <w:rsid w:val="00F6475F"/>
    <w:rsid w:val="00F6630D"/>
    <w:rsid w:val="00F70214"/>
    <w:rsid w:val="00F745A3"/>
    <w:rsid w:val="00F769FD"/>
    <w:rsid w:val="00F773A9"/>
    <w:rsid w:val="00F7755E"/>
    <w:rsid w:val="00F7772E"/>
    <w:rsid w:val="00F77815"/>
    <w:rsid w:val="00F83C84"/>
    <w:rsid w:val="00F84D90"/>
    <w:rsid w:val="00F851FE"/>
    <w:rsid w:val="00F877CB"/>
    <w:rsid w:val="00F91D44"/>
    <w:rsid w:val="00F93CEE"/>
    <w:rsid w:val="00F94A28"/>
    <w:rsid w:val="00F95E09"/>
    <w:rsid w:val="00FA2607"/>
    <w:rsid w:val="00FA5831"/>
    <w:rsid w:val="00FA6BB4"/>
    <w:rsid w:val="00FB1A6E"/>
    <w:rsid w:val="00FB3BC8"/>
    <w:rsid w:val="00FB449F"/>
    <w:rsid w:val="00FB46BD"/>
    <w:rsid w:val="00FB5DC3"/>
    <w:rsid w:val="00FC1B5B"/>
    <w:rsid w:val="00FC7A12"/>
    <w:rsid w:val="00FD15CD"/>
    <w:rsid w:val="00FD5A40"/>
    <w:rsid w:val="00FD5D05"/>
    <w:rsid w:val="00FD69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78D3E"/>
  <w15:docId w15:val="{8E0A2AC1-CA17-F74A-B10E-562CDD64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1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31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F22B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7D14D5"/>
    <w:rPr>
      <w:sz w:val="18"/>
      <w:szCs w:val="18"/>
    </w:rPr>
  </w:style>
  <w:style w:type="paragraph" w:styleId="CommentText">
    <w:name w:val="annotation text"/>
    <w:basedOn w:val="Normal"/>
    <w:link w:val="CommentTextChar"/>
    <w:uiPriority w:val="99"/>
    <w:unhideWhenUsed/>
    <w:rsid w:val="007D14D5"/>
  </w:style>
  <w:style w:type="character" w:customStyle="1" w:styleId="CommentTextChar">
    <w:name w:val="Comment Text Char"/>
    <w:basedOn w:val="DefaultParagraphFont"/>
    <w:link w:val="CommentText"/>
    <w:uiPriority w:val="99"/>
    <w:rsid w:val="007D14D5"/>
  </w:style>
  <w:style w:type="paragraph" w:styleId="Header">
    <w:name w:val="header"/>
    <w:basedOn w:val="Normal"/>
    <w:link w:val="HeaderChar"/>
    <w:uiPriority w:val="99"/>
    <w:unhideWhenUsed/>
    <w:rsid w:val="007D14D5"/>
    <w:pPr>
      <w:tabs>
        <w:tab w:val="center" w:pos="4513"/>
        <w:tab w:val="right" w:pos="9026"/>
      </w:tabs>
    </w:pPr>
  </w:style>
  <w:style w:type="character" w:customStyle="1" w:styleId="HeaderChar">
    <w:name w:val="Header Char"/>
    <w:basedOn w:val="DefaultParagraphFont"/>
    <w:link w:val="Header"/>
    <w:uiPriority w:val="99"/>
    <w:rsid w:val="007D14D5"/>
  </w:style>
  <w:style w:type="paragraph" w:styleId="Footer">
    <w:name w:val="footer"/>
    <w:basedOn w:val="Normal"/>
    <w:link w:val="FooterChar"/>
    <w:uiPriority w:val="99"/>
    <w:unhideWhenUsed/>
    <w:rsid w:val="007D14D5"/>
    <w:pPr>
      <w:tabs>
        <w:tab w:val="center" w:pos="4513"/>
        <w:tab w:val="right" w:pos="9026"/>
      </w:tabs>
    </w:pPr>
  </w:style>
  <w:style w:type="character" w:customStyle="1" w:styleId="FooterChar">
    <w:name w:val="Footer Char"/>
    <w:basedOn w:val="DefaultParagraphFont"/>
    <w:link w:val="Footer"/>
    <w:uiPriority w:val="99"/>
    <w:rsid w:val="007D14D5"/>
  </w:style>
  <w:style w:type="character" w:customStyle="1" w:styleId="Heading1Char">
    <w:name w:val="Heading 1 Char"/>
    <w:basedOn w:val="DefaultParagraphFont"/>
    <w:link w:val="Heading1"/>
    <w:uiPriority w:val="9"/>
    <w:rsid w:val="003A31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D14D5"/>
    <w:pPr>
      <w:ind w:left="720"/>
      <w:contextualSpacing/>
    </w:pPr>
  </w:style>
  <w:style w:type="table" w:styleId="TableGrid">
    <w:name w:val="Table Grid"/>
    <w:basedOn w:val="TableNormal"/>
    <w:uiPriority w:val="39"/>
    <w:rsid w:val="007D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4F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4FF3"/>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565B5F"/>
    <w:rPr>
      <w:b/>
      <w:bCs/>
      <w:sz w:val="20"/>
      <w:szCs w:val="20"/>
    </w:rPr>
  </w:style>
  <w:style w:type="character" w:customStyle="1" w:styleId="CommentSubjectChar">
    <w:name w:val="Comment Subject Char"/>
    <w:basedOn w:val="CommentTextChar"/>
    <w:link w:val="CommentSubject"/>
    <w:uiPriority w:val="99"/>
    <w:semiHidden/>
    <w:rsid w:val="00565B5F"/>
    <w:rPr>
      <w:b/>
      <w:bCs/>
      <w:sz w:val="20"/>
      <w:szCs w:val="20"/>
    </w:rPr>
  </w:style>
  <w:style w:type="character" w:styleId="Strong">
    <w:name w:val="Strong"/>
    <w:basedOn w:val="DefaultParagraphFont"/>
    <w:uiPriority w:val="22"/>
    <w:qFormat/>
    <w:rsid w:val="0061194F"/>
    <w:rPr>
      <w:b/>
      <w:bCs/>
    </w:rPr>
  </w:style>
  <w:style w:type="character" w:customStyle="1" w:styleId="apple-converted-space">
    <w:name w:val="apple-converted-space"/>
    <w:basedOn w:val="DefaultParagraphFont"/>
    <w:rsid w:val="0061194F"/>
  </w:style>
  <w:style w:type="character" w:styleId="Hyperlink">
    <w:name w:val="Hyperlink"/>
    <w:basedOn w:val="DefaultParagraphFont"/>
    <w:uiPriority w:val="99"/>
    <w:unhideWhenUsed/>
    <w:rsid w:val="00840573"/>
    <w:rPr>
      <w:color w:val="0563C1" w:themeColor="hyperlink"/>
      <w:u w:val="single"/>
    </w:rPr>
  </w:style>
  <w:style w:type="character" w:styleId="PageNumber">
    <w:name w:val="page number"/>
    <w:basedOn w:val="DefaultParagraphFont"/>
    <w:uiPriority w:val="99"/>
    <w:semiHidden/>
    <w:unhideWhenUsed/>
    <w:rsid w:val="008529A6"/>
  </w:style>
  <w:style w:type="character" w:customStyle="1" w:styleId="Heading2Char">
    <w:name w:val="Heading 2 Char"/>
    <w:basedOn w:val="DefaultParagraphFont"/>
    <w:link w:val="Heading2"/>
    <w:uiPriority w:val="9"/>
    <w:rsid w:val="003A3124"/>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562859"/>
  </w:style>
  <w:style w:type="paragraph" w:styleId="FootnoteText">
    <w:name w:val="footnote text"/>
    <w:basedOn w:val="Normal"/>
    <w:link w:val="FootnoteTextChar"/>
    <w:uiPriority w:val="99"/>
    <w:unhideWhenUsed/>
    <w:rsid w:val="00EC5E69"/>
  </w:style>
  <w:style w:type="character" w:customStyle="1" w:styleId="FootnoteTextChar">
    <w:name w:val="Footnote Text Char"/>
    <w:basedOn w:val="DefaultParagraphFont"/>
    <w:link w:val="FootnoteText"/>
    <w:uiPriority w:val="99"/>
    <w:rsid w:val="00EC5E69"/>
  </w:style>
  <w:style w:type="character" w:styleId="FootnoteReference">
    <w:name w:val="footnote reference"/>
    <w:basedOn w:val="DefaultParagraphFont"/>
    <w:uiPriority w:val="99"/>
    <w:unhideWhenUsed/>
    <w:rsid w:val="00EC5E69"/>
    <w:rPr>
      <w:vertAlign w:val="superscript"/>
    </w:rPr>
  </w:style>
  <w:style w:type="character" w:customStyle="1" w:styleId="UnresolvedMention1">
    <w:name w:val="Unresolved Mention1"/>
    <w:basedOn w:val="DefaultParagraphFont"/>
    <w:uiPriority w:val="99"/>
    <w:rsid w:val="00AC1D53"/>
    <w:rPr>
      <w:color w:val="808080"/>
      <w:shd w:val="clear" w:color="auto" w:fill="E6E6E6"/>
    </w:rPr>
  </w:style>
  <w:style w:type="character" w:styleId="FollowedHyperlink">
    <w:name w:val="FollowedHyperlink"/>
    <w:basedOn w:val="DefaultParagraphFont"/>
    <w:uiPriority w:val="99"/>
    <w:semiHidden/>
    <w:unhideWhenUsed/>
    <w:rsid w:val="00EF50B5"/>
    <w:rPr>
      <w:color w:val="954F72" w:themeColor="followedHyperlink"/>
      <w:u w:val="single"/>
    </w:rPr>
  </w:style>
  <w:style w:type="character" w:customStyle="1" w:styleId="Heading4Char">
    <w:name w:val="Heading 4 Char"/>
    <w:basedOn w:val="DefaultParagraphFont"/>
    <w:link w:val="Heading4"/>
    <w:uiPriority w:val="9"/>
    <w:semiHidden/>
    <w:rsid w:val="00F22B61"/>
    <w:rPr>
      <w:rFonts w:asciiTheme="majorHAnsi" w:eastAsiaTheme="majorEastAsia" w:hAnsiTheme="majorHAnsi" w:cstheme="majorBidi"/>
      <w:i/>
      <w:iCs/>
      <w:color w:val="2E74B5" w:themeColor="accent1" w:themeShade="BF"/>
    </w:rPr>
  </w:style>
  <w:style w:type="paragraph" w:styleId="DocumentMap">
    <w:name w:val="Document Map"/>
    <w:basedOn w:val="Normal"/>
    <w:link w:val="DocumentMapChar"/>
    <w:uiPriority w:val="99"/>
    <w:semiHidden/>
    <w:unhideWhenUsed/>
    <w:rsid w:val="005F0174"/>
    <w:rPr>
      <w:rFonts w:ascii="Times New Roman" w:hAnsi="Times New Roman" w:cs="Times New Roman"/>
    </w:rPr>
  </w:style>
  <w:style w:type="character" w:customStyle="1" w:styleId="DocumentMapChar">
    <w:name w:val="Document Map Char"/>
    <w:basedOn w:val="DefaultParagraphFont"/>
    <w:link w:val="DocumentMap"/>
    <w:uiPriority w:val="99"/>
    <w:semiHidden/>
    <w:rsid w:val="005F0174"/>
    <w:rPr>
      <w:rFonts w:ascii="Times New Roman" w:hAnsi="Times New Roman" w:cs="Times New Roman"/>
    </w:rPr>
  </w:style>
  <w:style w:type="paragraph" w:styleId="NormalWeb">
    <w:name w:val="Normal (Web)"/>
    <w:basedOn w:val="Normal"/>
    <w:uiPriority w:val="99"/>
    <w:unhideWhenUsed/>
    <w:rsid w:val="002C07C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8164">
      <w:bodyDiv w:val="1"/>
      <w:marLeft w:val="0"/>
      <w:marRight w:val="0"/>
      <w:marTop w:val="0"/>
      <w:marBottom w:val="0"/>
      <w:divBdr>
        <w:top w:val="none" w:sz="0" w:space="0" w:color="auto"/>
        <w:left w:val="none" w:sz="0" w:space="0" w:color="auto"/>
        <w:bottom w:val="none" w:sz="0" w:space="0" w:color="auto"/>
        <w:right w:val="none" w:sz="0" w:space="0" w:color="auto"/>
      </w:divBdr>
      <w:divsChild>
        <w:div w:id="1757288870">
          <w:marLeft w:val="0"/>
          <w:marRight w:val="0"/>
          <w:marTop w:val="0"/>
          <w:marBottom w:val="0"/>
          <w:divBdr>
            <w:top w:val="none" w:sz="0" w:space="0" w:color="auto"/>
            <w:left w:val="none" w:sz="0" w:space="0" w:color="auto"/>
            <w:bottom w:val="none" w:sz="0" w:space="0" w:color="auto"/>
            <w:right w:val="none" w:sz="0" w:space="0" w:color="auto"/>
          </w:divBdr>
          <w:divsChild>
            <w:div w:id="1689679509">
              <w:marLeft w:val="0"/>
              <w:marRight w:val="0"/>
              <w:marTop w:val="0"/>
              <w:marBottom w:val="0"/>
              <w:divBdr>
                <w:top w:val="none" w:sz="0" w:space="0" w:color="auto"/>
                <w:left w:val="none" w:sz="0" w:space="0" w:color="auto"/>
                <w:bottom w:val="none" w:sz="0" w:space="0" w:color="auto"/>
                <w:right w:val="none" w:sz="0" w:space="0" w:color="auto"/>
              </w:divBdr>
              <w:divsChild>
                <w:div w:id="1305500776">
                  <w:marLeft w:val="0"/>
                  <w:marRight w:val="0"/>
                  <w:marTop w:val="0"/>
                  <w:marBottom w:val="0"/>
                  <w:divBdr>
                    <w:top w:val="none" w:sz="0" w:space="0" w:color="auto"/>
                    <w:left w:val="none" w:sz="0" w:space="0" w:color="auto"/>
                    <w:bottom w:val="none" w:sz="0" w:space="0" w:color="auto"/>
                    <w:right w:val="none" w:sz="0" w:space="0" w:color="auto"/>
                  </w:divBdr>
                </w:div>
                <w:div w:id="645623657">
                  <w:marLeft w:val="0"/>
                  <w:marRight w:val="0"/>
                  <w:marTop w:val="0"/>
                  <w:marBottom w:val="0"/>
                  <w:divBdr>
                    <w:top w:val="none" w:sz="0" w:space="0" w:color="auto"/>
                    <w:left w:val="none" w:sz="0" w:space="0" w:color="auto"/>
                    <w:bottom w:val="none" w:sz="0" w:space="0" w:color="auto"/>
                    <w:right w:val="none" w:sz="0" w:space="0" w:color="auto"/>
                  </w:divBdr>
                </w:div>
                <w:div w:id="116754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1380">
      <w:bodyDiv w:val="1"/>
      <w:marLeft w:val="0"/>
      <w:marRight w:val="0"/>
      <w:marTop w:val="0"/>
      <w:marBottom w:val="0"/>
      <w:divBdr>
        <w:top w:val="none" w:sz="0" w:space="0" w:color="auto"/>
        <w:left w:val="none" w:sz="0" w:space="0" w:color="auto"/>
        <w:bottom w:val="none" w:sz="0" w:space="0" w:color="auto"/>
        <w:right w:val="none" w:sz="0" w:space="0" w:color="auto"/>
      </w:divBdr>
    </w:div>
    <w:div w:id="41442209">
      <w:bodyDiv w:val="1"/>
      <w:marLeft w:val="0"/>
      <w:marRight w:val="0"/>
      <w:marTop w:val="0"/>
      <w:marBottom w:val="0"/>
      <w:divBdr>
        <w:top w:val="none" w:sz="0" w:space="0" w:color="auto"/>
        <w:left w:val="none" w:sz="0" w:space="0" w:color="auto"/>
        <w:bottom w:val="none" w:sz="0" w:space="0" w:color="auto"/>
        <w:right w:val="none" w:sz="0" w:space="0" w:color="auto"/>
      </w:divBdr>
      <w:divsChild>
        <w:div w:id="999041090">
          <w:marLeft w:val="0"/>
          <w:marRight w:val="0"/>
          <w:marTop w:val="0"/>
          <w:marBottom w:val="0"/>
          <w:divBdr>
            <w:top w:val="none" w:sz="0" w:space="0" w:color="auto"/>
            <w:left w:val="none" w:sz="0" w:space="0" w:color="auto"/>
            <w:bottom w:val="none" w:sz="0" w:space="0" w:color="auto"/>
            <w:right w:val="none" w:sz="0" w:space="0" w:color="auto"/>
          </w:divBdr>
          <w:divsChild>
            <w:div w:id="793985797">
              <w:marLeft w:val="0"/>
              <w:marRight w:val="0"/>
              <w:marTop w:val="0"/>
              <w:marBottom w:val="0"/>
              <w:divBdr>
                <w:top w:val="none" w:sz="0" w:space="0" w:color="auto"/>
                <w:left w:val="none" w:sz="0" w:space="0" w:color="auto"/>
                <w:bottom w:val="none" w:sz="0" w:space="0" w:color="auto"/>
                <w:right w:val="none" w:sz="0" w:space="0" w:color="auto"/>
              </w:divBdr>
              <w:divsChild>
                <w:div w:id="12343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5036">
      <w:bodyDiv w:val="1"/>
      <w:marLeft w:val="0"/>
      <w:marRight w:val="0"/>
      <w:marTop w:val="0"/>
      <w:marBottom w:val="0"/>
      <w:divBdr>
        <w:top w:val="none" w:sz="0" w:space="0" w:color="auto"/>
        <w:left w:val="none" w:sz="0" w:space="0" w:color="auto"/>
        <w:bottom w:val="none" w:sz="0" w:space="0" w:color="auto"/>
        <w:right w:val="none" w:sz="0" w:space="0" w:color="auto"/>
      </w:divBdr>
    </w:div>
    <w:div w:id="292562232">
      <w:bodyDiv w:val="1"/>
      <w:marLeft w:val="0"/>
      <w:marRight w:val="0"/>
      <w:marTop w:val="0"/>
      <w:marBottom w:val="0"/>
      <w:divBdr>
        <w:top w:val="none" w:sz="0" w:space="0" w:color="auto"/>
        <w:left w:val="none" w:sz="0" w:space="0" w:color="auto"/>
        <w:bottom w:val="none" w:sz="0" w:space="0" w:color="auto"/>
        <w:right w:val="none" w:sz="0" w:space="0" w:color="auto"/>
      </w:divBdr>
    </w:div>
    <w:div w:id="770321063">
      <w:bodyDiv w:val="1"/>
      <w:marLeft w:val="0"/>
      <w:marRight w:val="0"/>
      <w:marTop w:val="0"/>
      <w:marBottom w:val="0"/>
      <w:divBdr>
        <w:top w:val="none" w:sz="0" w:space="0" w:color="auto"/>
        <w:left w:val="none" w:sz="0" w:space="0" w:color="auto"/>
        <w:bottom w:val="none" w:sz="0" w:space="0" w:color="auto"/>
        <w:right w:val="none" w:sz="0" w:space="0" w:color="auto"/>
      </w:divBdr>
      <w:divsChild>
        <w:div w:id="1858230416">
          <w:marLeft w:val="0"/>
          <w:marRight w:val="0"/>
          <w:marTop w:val="0"/>
          <w:marBottom w:val="0"/>
          <w:divBdr>
            <w:top w:val="none" w:sz="0" w:space="0" w:color="auto"/>
            <w:left w:val="none" w:sz="0" w:space="0" w:color="auto"/>
            <w:bottom w:val="none" w:sz="0" w:space="0" w:color="auto"/>
            <w:right w:val="none" w:sz="0" w:space="0" w:color="auto"/>
          </w:divBdr>
          <w:divsChild>
            <w:div w:id="2120641810">
              <w:marLeft w:val="0"/>
              <w:marRight w:val="0"/>
              <w:marTop w:val="0"/>
              <w:marBottom w:val="0"/>
              <w:divBdr>
                <w:top w:val="none" w:sz="0" w:space="0" w:color="auto"/>
                <w:left w:val="none" w:sz="0" w:space="0" w:color="auto"/>
                <w:bottom w:val="none" w:sz="0" w:space="0" w:color="auto"/>
                <w:right w:val="none" w:sz="0" w:space="0" w:color="auto"/>
              </w:divBdr>
              <w:divsChild>
                <w:div w:id="20851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03781">
      <w:bodyDiv w:val="1"/>
      <w:marLeft w:val="0"/>
      <w:marRight w:val="0"/>
      <w:marTop w:val="0"/>
      <w:marBottom w:val="0"/>
      <w:divBdr>
        <w:top w:val="none" w:sz="0" w:space="0" w:color="auto"/>
        <w:left w:val="none" w:sz="0" w:space="0" w:color="auto"/>
        <w:bottom w:val="none" w:sz="0" w:space="0" w:color="auto"/>
        <w:right w:val="none" w:sz="0" w:space="0" w:color="auto"/>
      </w:divBdr>
    </w:div>
    <w:div w:id="872575692">
      <w:bodyDiv w:val="1"/>
      <w:marLeft w:val="0"/>
      <w:marRight w:val="0"/>
      <w:marTop w:val="0"/>
      <w:marBottom w:val="0"/>
      <w:divBdr>
        <w:top w:val="none" w:sz="0" w:space="0" w:color="auto"/>
        <w:left w:val="none" w:sz="0" w:space="0" w:color="auto"/>
        <w:bottom w:val="none" w:sz="0" w:space="0" w:color="auto"/>
        <w:right w:val="none" w:sz="0" w:space="0" w:color="auto"/>
      </w:divBdr>
      <w:divsChild>
        <w:div w:id="1830948002">
          <w:marLeft w:val="0"/>
          <w:marRight w:val="0"/>
          <w:marTop w:val="0"/>
          <w:marBottom w:val="0"/>
          <w:divBdr>
            <w:top w:val="none" w:sz="0" w:space="0" w:color="auto"/>
            <w:left w:val="none" w:sz="0" w:space="0" w:color="auto"/>
            <w:bottom w:val="none" w:sz="0" w:space="0" w:color="auto"/>
            <w:right w:val="none" w:sz="0" w:space="0" w:color="auto"/>
          </w:divBdr>
          <w:divsChild>
            <w:div w:id="501749551">
              <w:marLeft w:val="0"/>
              <w:marRight w:val="0"/>
              <w:marTop w:val="0"/>
              <w:marBottom w:val="0"/>
              <w:divBdr>
                <w:top w:val="none" w:sz="0" w:space="0" w:color="auto"/>
                <w:left w:val="none" w:sz="0" w:space="0" w:color="auto"/>
                <w:bottom w:val="none" w:sz="0" w:space="0" w:color="auto"/>
                <w:right w:val="none" w:sz="0" w:space="0" w:color="auto"/>
              </w:divBdr>
              <w:divsChild>
                <w:div w:id="1930575246">
                  <w:marLeft w:val="0"/>
                  <w:marRight w:val="0"/>
                  <w:marTop w:val="0"/>
                  <w:marBottom w:val="0"/>
                  <w:divBdr>
                    <w:top w:val="none" w:sz="0" w:space="0" w:color="auto"/>
                    <w:left w:val="none" w:sz="0" w:space="0" w:color="auto"/>
                    <w:bottom w:val="none" w:sz="0" w:space="0" w:color="auto"/>
                    <w:right w:val="none" w:sz="0" w:space="0" w:color="auto"/>
                  </w:divBdr>
                </w:div>
                <w:div w:id="47847440">
                  <w:marLeft w:val="0"/>
                  <w:marRight w:val="0"/>
                  <w:marTop w:val="0"/>
                  <w:marBottom w:val="0"/>
                  <w:divBdr>
                    <w:top w:val="none" w:sz="0" w:space="0" w:color="auto"/>
                    <w:left w:val="none" w:sz="0" w:space="0" w:color="auto"/>
                    <w:bottom w:val="none" w:sz="0" w:space="0" w:color="auto"/>
                    <w:right w:val="none" w:sz="0" w:space="0" w:color="auto"/>
                  </w:divBdr>
                </w:div>
                <w:div w:id="5066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88634">
      <w:bodyDiv w:val="1"/>
      <w:marLeft w:val="0"/>
      <w:marRight w:val="0"/>
      <w:marTop w:val="0"/>
      <w:marBottom w:val="0"/>
      <w:divBdr>
        <w:top w:val="none" w:sz="0" w:space="0" w:color="auto"/>
        <w:left w:val="none" w:sz="0" w:space="0" w:color="auto"/>
        <w:bottom w:val="none" w:sz="0" w:space="0" w:color="auto"/>
        <w:right w:val="none" w:sz="0" w:space="0" w:color="auto"/>
      </w:divBdr>
      <w:divsChild>
        <w:div w:id="792098018">
          <w:marLeft w:val="960"/>
          <w:marRight w:val="0"/>
          <w:marTop w:val="0"/>
          <w:marBottom w:val="0"/>
          <w:divBdr>
            <w:top w:val="none" w:sz="0" w:space="0" w:color="auto"/>
            <w:left w:val="none" w:sz="0" w:space="0" w:color="auto"/>
            <w:bottom w:val="none" w:sz="0" w:space="0" w:color="auto"/>
            <w:right w:val="none" w:sz="0" w:space="0" w:color="auto"/>
          </w:divBdr>
        </w:div>
      </w:divsChild>
    </w:div>
    <w:div w:id="1029835247">
      <w:bodyDiv w:val="1"/>
      <w:marLeft w:val="0"/>
      <w:marRight w:val="0"/>
      <w:marTop w:val="0"/>
      <w:marBottom w:val="0"/>
      <w:divBdr>
        <w:top w:val="none" w:sz="0" w:space="0" w:color="auto"/>
        <w:left w:val="none" w:sz="0" w:space="0" w:color="auto"/>
        <w:bottom w:val="none" w:sz="0" w:space="0" w:color="auto"/>
        <w:right w:val="none" w:sz="0" w:space="0" w:color="auto"/>
      </w:divBdr>
    </w:div>
    <w:div w:id="1062942332">
      <w:bodyDiv w:val="1"/>
      <w:marLeft w:val="0"/>
      <w:marRight w:val="0"/>
      <w:marTop w:val="0"/>
      <w:marBottom w:val="0"/>
      <w:divBdr>
        <w:top w:val="none" w:sz="0" w:space="0" w:color="auto"/>
        <w:left w:val="none" w:sz="0" w:space="0" w:color="auto"/>
        <w:bottom w:val="none" w:sz="0" w:space="0" w:color="auto"/>
        <w:right w:val="none" w:sz="0" w:space="0" w:color="auto"/>
      </w:divBdr>
      <w:divsChild>
        <w:div w:id="1604535165">
          <w:marLeft w:val="0"/>
          <w:marRight w:val="0"/>
          <w:marTop w:val="0"/>
          <w:marBottom w:val="0"/>
          <w:divBdr>
            <w:top w:val="none" w:sz="0" w:space="0" w:color="auto"/>
            <w:left w:val="none" w:sz="0" w:space="0" w:color="auto"/>
            <w:bottom w:val="none" w:sz="0" w:space="0" w:color="auto"/>
            <w:right w:val="none" w:sz="0" w:space="0" w:color="auto"/>
          </w:divBdr>
          <w:divsChild>
            <w:div w:id="1577090089">
              <w:marLeft w:val="0"/>
              <w:marRight w:val="0"/>
              <w:marTop w:val="0"/>
              <w:marBottom w:val="0"/>
              <w:divBdr>
                <w:top w:val="none" w:sz="0" w:space="0" w:color="auto"/>
                <w:left w:val="none" w:sz="0" w:space="0" w:color="auto"/>
                <w:bottom w:val="none" w:sz="0" w:space="0" w:color="auto"/>
                <w:right w:val="none" w:sz="0" w:space="0" w:color="auto"/>
              </w:divBdr>
              <w:divsChild>
                <w:div w:id="1808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17711">
      <w:bodyDiv w:val="1"/>
      <w:marLeft w:val="0"/>
      <w:marRight w:val="0"/>
      <w:marTop w:val="0"/>
      <w:marBottom w:val="0"/>
      <w:divBdr>
        <w:top w:val="none" w:sz="0" w:space="0" w:color="auto"/>
        <w:left w:val="none" w:sz="0" w:space="0" w:color="auto"/>
        <w:bottom w:val="none" w:sz="0" w:space="0" w:color="auto"/>
        <w:right w:val="none" w:sz="0" w:space="0" w:color="auto"/>
      </w:divBdr>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
    <w:div w:id="1104879291">
      <w:bodyDiv w:val="1"/>
      <w:marLeft w:val="0"/>
      <w:marRight w:val="0"/>
      <w:marTop w:val="0"/>
      <w:marBottom w:val="0"/>
      <w:divBdr>
        <w:top w:val="none" w:sz="0" w:space="0" w:color="auto"/>
        <w:left w:val="none" w:sz="0" w:space="0" w:color="auto"/>
        <w:bottom w:val="none" w:sz="0" w:space="0" w:color="auto"/>
        <w:right w:val="none" w:sz="0" w:space="0" w:color="auto"/>
      </w:divBdr>
      <w:divsChild>
        <w:div w:id="439880826">
          <w:marLeft w:val="0"/>
          <w:marRight w:val="0"/>
          <w:marTop w:val="0"/>
          <w:marBottom w:val="0"/>
          <w:divBdr>
            <w:top w:val="none" w:sz="0" w:space="0" w:color="auto"/>
            <w:left w:val="none" w:sz="0" w:space="0" w:color="auto"/>
            <w:bottom w:val="none" w:sz="0" w:space="0" w:color="auto"/>
            <w:right w:val="none" w:sz="0" w:space="0" w:color="auto"/>
          </w:divBdr>
        </w:div>
      </w:divsChild>
    </w:div>
    <w:div w:id="1116676768">
      <w:bodyDiv w:val="1"/>
      <w:marLeft w:val="0"/>
      <w:marRight w:val="0"/>
      <w:marTop w:val="0"/>
      <w:marBottom w:val="0"/>
      <w:divBdr>
        <w:top w:val="none" w:sz="0" w:space="0" w:color="auto"/>
        <w:left w:val="none" w:sz="0" w:space="0" w:color="auto"/>
        <w:bottom w:val="none" w:sz="0" w:space="0" w:color="auto"/>
        <w:right w:val="none" w:sz="0" w:space="0" w:color="auto"/>
      </w:divBdr>
    </w:div>
    <w:div w:id="1223760275">
      <w:bodyDiv w:val="1"/>
      <w:marLeft w:val="0"/>
      <w:marRight w:val="0"/>
      <w:marTop w:val="0"/>
      <w:marBottom w:val="0"/>
      <w:divBdr>
        <w:top w:val="none" w:sz="0" w:space="0" w:color="auto"/>
        <w:left w:val="none" w:sz="0" w:space="0" w:color="auto"/>
        <w:bottom w:val="none" w:sz="0" w:space="0" w:color="auto"/>
        <w:right w:val="none" w:sz="0" w:space="0" w:color="auto"/>
      </w:divBdr>
    </w:div>
    <w:div w:id="1372992262">
      <w:bodyDiv w:val="1"/>
      <w:marLeft w:val="0"/>
      <w:marRight w:val="0"/>
      <w:marTop w:val="0"/>
      <w:marBottom w:val="0"/>
      <w:divBdr>
        <w:top w:val="none" w:sz="0" w:space="0" w:color="auto"/>
        <w:left w:val="none" w:sz="0" w:space="0" w:color="auto"/>
        <w:bottom w:val="none" w:sz="0" w:space="0" w:color="auto"/>
        <w:right w:val="none" w:sz="0" w:space="0" w:color="auto"/>
      </w:divBdr>
      <w:divsChild>
        <w:div w:id="2060397596">
          <w:marLeft w:val="0"/>
          <w:marRight w:val="0"/>
          <w:marTop w:val="0"/>
          <w:marBottom w:val="0"/>
          <w:divBdr>
            <w:top w:val="none" w:sz="0" w:space="0" w:color="auto"/>
            <w:left w:val="none" w:sz="0" w:space="0" w:color="auto"/>
            <w:bottom w:val="none" w:sz="0" w:space="0" w:color="auto"/>
            <w:right w:val="none" w:sz="0" w:space="0" w:color="auto"/>
          </w:divBdr>
          <w:divsChild>
            <w:div w:id="681007784">
              <w:marLeft w:val="0"/>
              <w:marRight w:val="0"/>
              <w:marTop w:val="0"/>
              <w:marBottom w:val="0"/>
              <w:divBdr>
                <w:top w:val="none" w:sz="0" w:space="0" w:color="auto"/>
                <w:left w:val="none" w:sz="0" w:space="0" w:color="auto"/>
                <w:bottom w:val="none" w:sz="0" w:space="0" w:color="auto"/>
                <w:right w:val="none" w:sz="0" w:space="0" w:color="auto"/>
              </w:divBdr>
              <w:divsChild>
                <w:div w:id="11123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565272">
      <w:bodyDiv w:val="1"/>
      <w:marLeft w:val="0"/>
      <w:marRight w:val="0"/>
      <w:marTop w:val="0"/>
      <w:marBottom w:val="0"/>
      <w:divBdr>
        <w:top w:val="none" w:sz="0" w:space="0" w:color="auto"/>
        <w:left w:val="none" w:sz="0" w:space="0" w:color="auto"/>
        <w:bottom w:val="none" w:sz="0" w:space="0" w:color="auto"/>
        <w:right w:val="none" w:sz="0" w:space="0" w:color="auto"/>
      </w:divBdr>
    </w:div>
    <w:div w:id="1392188822">
      <w:bodyDiv w:val="1"/>
      <w:marLeft w:val="0"/>
      <w:marRight w:val="0"/>
      <w:marTop w:val="0"/>
      <w:marBottom w:val="0"/>
      <w:divBdr>
        <w:top w:val="none" w:sz="0" w:space="0" w:color="auto"/>
        <w:left w:val="none" w:sz="0" w:space="0" w:color="auto"/>
        <w:bottom w:val="none" w:sz="0" w:space="0" w:color="auto"/>
        <w:right w:val="none" w:sz="0" w:space="0" w:color="auto"/>
      </w:divBdr>
    </w:div>
    <w:div w:id="1935818610">
      <w:bodyDiv w:val="1"/>
      <w:marLeft w:val="0"/>
      <w:marRight w:val="0"/>
      <w:marTop w:val="0"/>
      <w:marBottom w:val="0"/>
      <w:divBdr>
        <w:top w:val="none" w:sz="0" w:space="0" w:color="auto"/>
        <w:left w:val="none" w:sz="0" w:space="0" w:color="auto"/>
        <w:bottom w:val="none" w:sz="0" w:space="0" w:color="auto"/>
        <w:right w:val="none" w:sz="0" w:space="0" w:color="auto"/>
      </w:divBdr>
      <w:divsChild>
        <w:div w:id="2112314714">
          <w:marLeft w:val="0"/>
          <w:marRight w:val="0"/>
          <w:marTop w:val="0"/>
          <w:marBottom w:val="0"/>
          <w:divBdr>
            <w:top w:val="none" w:sz="0" w:space="0" w:color="auto"/>
            <w:left w:val="none" w:sz="0" w:space="0" w:color="auto"/>
            <w:bottom w:val="none" w:sz="0" w:space="0" w:color="auto"/>
            <w:right w:val="none" w:sz="0" w:space="0" w:color="auto"/>
          </w:divBdr>
        </w:div>
      </w:divsChild>
    </w:div>
    <w:div w:id="2004241872">
      <w:bodyDiv w:val="1"/>
      <w:marLeft w:val="0"/>
      <w:marRight w:val="0"/>
      <w:marTop w:val="0"/>
      <w:marBottom w:val="0"/>
      <w:divBdr>
        <w:top w:val="none" w:sz="0" w:space="0" w:color="auto"/>
        <w:left w:val="none" w:sz="0" w:space="0" w:color="auto"/>
        <w:bottom w:val="none" w:sz="0" w:space="0" w:color="auto"/>
        <w:right w:val="none" w:sz="0" w:space="0" w:color="auto"/>
      </w:divBdr>
    </w:div>
    <w:div w:id="2014989165">
      <w:bodyDiv w:val="1"/>
      <w:marLeft w:val="0"/>
      <w:marRight w:val="0"/>
      <w:marTop w:val="0"/>
      <w:marBottom w:val="0"/>
      <w:divBdr>
        <w:top w:val="none" w:sz="0" w:space="0" w:color="auto"/>
        <w:left w:val="none" w:sz="0" w:space="0" w:color="auto"/>
        <w:bottom w:val="none" w:sz="0" w:space="0" w:color="auto"/>
        <w:right w:val="none" w:sz="0" w:space="0" w:color="auto"/>
      </w:divBdr>
    </w:div>
    <w:div w:id="2093773219">
      <w:bodyDiv w:val="1"/>
      <w:marLeft w:val="0"/>
      <w:marRight w:val="0"/>
      <w:marTop w:val="0"/>
      <w:marBottom w:val="0"/>
      <w:divBdr>
        <w:top w:val="none" w:sz="0" w:space="0" w:color="auto"/>
        <w:left w:val="none" w:sz="0" w:space="0" w:color="auto"/>
        <w:bottom w:val="none" w:sz="0" w:space="0" w:color="auto"/>
        <w:right w:val="none" w:sz="0" w:space="0" w:color="auto"/>
      </w:divBdr>
      <w:divsChild>
        <w:div w:id="1595237286">
          <w:marLeft w:val="0"/>
          <w:marRight w:val="0"/>
          <w:marTop w:val="0"/>
          <w:marBottom w:val="0"/>
          <w:divBdr>
            <w:top w:val="none" w:sz="0" w:space="0" w:color="auto"/>
            <w:left w:val="none" w:sz="0" w:space="0" w:color="auto"/>
            <w:bottom w:val="none" w:sz="0" w:space="0" w:color="auto"/>
            <w:right w:val="none" w:sz="0" w:space="0" w:color="auto"/>
          </w:divBdr>
          <w:divsChild>
            <w:div w:id="1319188443">
              <w:marLeft w:val="0"/>
              <w:marRight w:val="0"/>
              <w:marTop w:val="0"/>
              <w:marBottom w:val="0"/>
              <w:divBdr>
                <w:top w:val="none" w:sz="0" w:space="0" w:color="auto"/>
                <w:left w:val="none" w:sz="0" w:space="0" w:color="auto"/>
                <w:bottom w:val="none" w:sz="0" w:space="0" w:color="auto"/>
                <w:right w:val="none" w:sz="0" w:space="0" w:color="auto"/>
              </w:divBdr>
              <w:divsChild>
                <w:div w:id="189241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bedson@swast.nhs.uk"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C9D4F1D-9FFD-E64E-A7AA-786BFBC3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4599</Words>
  <Characters>26217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bedson a. (ab11e15)</dc:creator>
  <cp:keywords/>
  <dc:description/>
  <cp:lastModifiedBy>bedson a. (ab11e15)</cp:lastModifiedBy>
  <cp:revision>2</cp:revision>
  <dcterms:created xsi:type="dcterms:W3CDTF">2018-09-06T10:48:00Z</dcterms:created>
  <dcterms:modified xsi:type="dcterms:W3CDTF">2018-09-06T10:48:00Z</dcterms:modified>
</cp:coreProperties>
</file>