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C075A" w14:textId="2953BECB" w:rsidR="00AC3B78" w:rsidRDefault="00AC3B78" w:rsidP="008A3461">
      <w:pPr>
        <w:spacing w:line="480" w:lineRule="auto"/>
        <w:rPr>
          <w:rFonts w:ascii="Arial" w:hAnsi="Arial" w:cs="Arial"/>
        </w:rPr>
      </w:pPr>
      <w:bookmarkStart w:id="0" w:name="_GoBack"/>
      <w:bookmarkEnd w:id="0"/>
      <w:r w:rsidRPr="000E6468">
        <w:rPr>
          <w:rFonts w:ascii="Arial" w:hAnsi="Arial" w:cs="Arial"/>
        </w:rPr>
        <w:t xml:space="preserve">Title: Group B </w:t>
      </w:r>
      <w:r w:rsidR="002B3575">
        <w:rPr>
          <w:rFonts w:ascii="Arial" w:hAnsi="Arial" w:cs="Arial"/>
        </w:rPr>
        <w:t>s</w:t>
      </w:r>
      <w:r w:rsidRPr="000E6468">
        <w:rPr>
          <w:rFonts w:ascii="Arial" w:hAnsi="Arial" w:cs="Arial"/>
        </w:rPr>
        <w:t xml:space="preserve">treptococcal (GBS) disease in UK and Irish infants younger </w:t>
      </w:r>
      <w:r w:rsidRPr="003C5A97">
        <w:rPr>
          <w:rFonts w:ascii="Arial" w:hAnsi="Arial" w:cs="Arial"/>
        </w:rPr>
        <w:t>than 90 days, 2014-2015</w:t>
      </w:r>
      <w:r w:rsidR="005C1306">
        <w:rPr>
          <w:rFonts w:ascii="Arial" w:hAnsi="Arial" w:cs="Arial"/>
        </w:rPr>
        <w:t xml:space="preserve">: </w:t>
      </w:r>
      <w:r w:rsidR="005C1306">
        <w:rPr>
          <w:rFonts w:ascii="Arial" w:hAnsi="Arial" w:cs="Arial"/>
          <w:color w:val="000000"/>
        </w:rPr>
        <w:t>results from prospective surveillance.</w:t>
      </w:r>
    </w:p>
    <w:p w14:paraId="1C009103" w14:textId="77777777" w:rsidR="00C64573" w:rsidRDefault="00C64573" w:rsidP="008A3461">
      <w:pPr>
        <w:spacing w:line="480" w:lineRule="auto"/>
        <w:rPr>
          <w:rFonts w:ascii="Arial" w:hAnsi="Arial" w:cs="Arial"/>
        </w:rPr>
      </w:pPr>
    </w:p>
    <w:p w14:paraId="65DAE46A" w14:textId="4650F544" w:rsidR="00BE6C9D" w:rsidRPr="000E6468" w:rsidRDefault="00BE6C9D" w:rsidP="00BE6C9D">
      <w:pPr>
        <w:spacing w:line="480" w:lineRule="auto"/>
        <w:rPr>
          <w:rFonts w:ascii="Arial" w:hAnsi="Arial" w:cs="Arial"/>
        </w:rPr>
      </w:pPr>
      <w:r>
        <w:rPr>
          <w:rFonts w:ascii="Arial" w:hAnsi="Arial" w:cs="Arial"/>
        </w:rPr>
        <w:t xml:space="preserve">Authors: </w:t>
      </w:r>
      <w:r w:rsidRPr="00674E1F">
        <w:rPr>
          <w:rFonts w:ascii="Arial" w:hAnsi="Arial" w:cs="Arial"/>
          <w:bCs/>
        </w:rPr>
        <w:t>C</w:t>
      </w:r>
      <w:r>
        <w:rPr>
          <w:rFonts w:ascii="Arial" w:hAnsi="Arial" w:cs="Arial"/>
          <w:bCs/>
        </w:rPr>
        <w:t>.P.</w:t>
      </w:r>
      <w:r w:rsidRPr="00674E1F">
        <w:rPr>
          <w:rFonts w:ascii="Arial" w:hAnsi="Arial" w:cs="Arial"/>
          <w:bCs/>
        </w:rPr>
        <w:t xml:space="preserve"> O’Sullivan</w:t>
      </w:r>
      <w:r w:rsidRPr="00ED32D1">
        <w:rPr>
          <w:rFonts w:ascii="Arial" w:hAnsi="Arial" w:cs="Arial"/>
          <w:bCs/>
          <w:vertAlign w:val="superscript"/>
        </w:rPr>
        <w:t>1</w:t>
      </w:r>
      <w:r w:rsidRPr="00674E1F">
        <w:rPr>
          <w:rFonts w:ascii="Arial" w:hAnsi="Arial" w:cs="Arial"/>
        </w:rPr>
        <w:t>,</w:t>
      </w:r>
      <w:r w:rsidRPr="00C64573">
        <w:rPr>
          <w:rFonts w:ascii="Arial" w:hAnsi="Arial" w:cs="Arial"/>
        </w:rPr>
        <w:t xml:space="preserve"> T Lamagni</w:t>
      </w:r>
      <w:r w:rsidRPr="00ED32D1">
        <w:rPr>
          <w:rFonts w:ascii="Arial" w:hAnsi="Arial" w:cs="Arial"/>
          <w:vertAlign w:val="superscript"/>
        </w:rPr>
        <w:t>2</w:t>
      </w:r>
      <w:r w:rsidRPr="00C64573">
        <w:rPr>
          <w:rFonts w:ascii="Arial" w:hAnsi="Arial" w:cs="Arial"/>
        </w:rPr>
        <w:t>, D Patel</w:t>
      </w:r>
      <w:r>
        <w:rPr>
          <w:rFonts w:ascii="Arial" w:hAnsi="Arial" w:cs="Arial"/>
          <w:vertAlign w:val="superscript"/>
        </w:rPr>
        <w:t>2</w:t>
      </w:r>
      <w:r w:rsidRPr="00C64573">
        <w:rPr>
          <w:rFonts w:ascii="Arial" w:hAnsi="Arial" w:cs="Arial"/>
        </w:rPr>
        <w:t>, A Efstratiou</w:t>
      </w:r>
      <w:r w:rsidRPr="00ED32D1">
        <w:rPr>
          <w:rFonts w:ascii="Arial" w:hAnsi="Arial" w:cs="Arial"/>
          <w:vertAlign w:val="superscript"/>
        </w:rPr>
        <w:t>2</w:t>
      </w:r>
      <w:r w:rsidRPr="00C64573">
        <w:rPr>
          <w:rFonts w:ascii="Arial" w:hAnsi="Arial" w:cs="Arial"/>
        </w:rPr>
        <w:t>, R Cunney</w:t>
      </w:r>
      <w:r w:rsidRPr="00ED32D1">
        <w:rPr>
          <w:rFonts w:ascii="Arial" w:hAnsi="Arial" w:cs="Arial"/>
          <w:vertAlign w:val="superscript"/>
        </w:rPr>
        <w:t>4</w:t>
      </w:r>
      <w:r w:rsidR="001B1058">
        <w:rPr>
          <w:rFonts w:ascii="Arial" w:hAnsi="Arial" w:cs="Arial"/>
          <w:vertAlign w:val="superscript"/>
        </w:rPr>
        <w:t>,5</w:t>
      </w:r>
      <w:r w:rsidRPr="00C64573">
        <w:rPr>
          <w:rFonts w:ascii="Arial" w:hAnsi="Arial" w:cs="Arial"/>
        </w:rPr>
        <w:t xml:space="preserve">, </w:t>
      </w:r>
      <w:r>
        <w:rPr>
          <w:rFonts w:ascii="Arial" w:hAnsi="Arial" w:cs="Arial"/>
        </w:rPr>
        <w:t>M Meehan</w:t>
      </w:r>
      <w:r w:rsidRPr="005855AF">
        <w:rPr>
          <w:rFonts w:ascii="Arial" w:hAnsi="Arial" w:cs="Arial"/>
          <w:vertAlign w:val="superscript"/>
        </w:rPr>
        <w:t>5</w:t>
      </w:r>
      <w:r>
        <w:rPr>
          <w:rFonts w:ascii="Arial" w:hAnsi="Arial" w:cs="Arial"/>
        </w:rPr>
        <w:t xml:space="preserve">, </w:t>
      </w:r>
      <w:r w:rsidRPr="00C64573">
        <w:rPr>
          <w:rFonts w:ascii="Arial" w:hAnsi="Arial" w:cs="Arial"/>
        </w:rPr>
        <w:t>S Ladhani</w:t>
      </w:r>
      <w:r w:rsidRPr="00757C3E">
        <w:rPr>
          <w:rFonts w:ascii="Arial" w:hAnsi="Arial" w:cs="Arial"/>
          <w:vertAlign w:val="superscript"/>
        </w:rPr>
        <w:t>3</w:t>
      </w:r>
      <w:r w:rsidRPr="00C64573">
        <w:rPr>
          <w:rFonts w:ascii="Arial" w:hAnsi="Arial" w:cs="Arial"/>
        </w:rPr>
        <w:t>, A</w:t>
      </w:r>
      <w:r>
        <w:rPr>
          <w:rFonts w:ascii="Arial" w:hAnsi="Arial" w:cs="Arial"/>
        </w:rPr>
        <w:t>.J.</w:t>
      </w:r>
      <w:r w:rsidRPr="00C64573">
        <w:rPr>
          <w:rFonts w:ascii="Arial" w:hAnsi="Arial" w:cs="Arial"/>
        </w:rPr>
        <w:t xml:space="preserve"> Reynolds</w:t>
      </w:r>
      <w:r w:rsidRPr="00757C3E">
        <w:rPr>
          <w:rFonts w:ascii="Arial" w:hAnsi="Arial" w:cs="Arial"/>
          <w:vertAlign w:val="superscript"/>
        </w:rPr>
        <w:t>6</w:t>
      </w:r>
      <w:r w:rsidRPr="00C64573">
        <w:rPr>
          <w:rFonts w:ascii="Arial" w:hAnsi="Arial" w:cs="Arial"/>
        </w:rPr>
        <w:t>, R Campbell</w:t>
      </w:r>
      <w:r w:rsidRPr="00757C3E">
        <w:rPr>
          <w:rFonts w:ascii="Arial" w:hAnsi="Arial" w:cs="Arial"/>
          <w:vertAlign w:val="superscript"/>
        </w:rPr>
        <w:t>7</w:t>
      </w:r>
      <w:r w:rsidRPr="00C64573">
        <w:rPr>
          <w:rFonts w:ascii="Arial" w:hAnsi="Arial" w:cs="Arial"/>
        </w:rPr>
        <w:t>, L Doherty</w:t>
      </w:r>
      <w:r w:rsidRPr="00757C3E">
        <w:rPr>
          <w:rFonts w:ascii="Arial" w:hAnsi="Arial" w:cs="Arial"/>
          <w:vertAlign w:val="superscript"/>
        </w:rPr>
        <w:t>7</w:t>
      </w:r>
      <w:r w:rsidRPr="00C64573">
        <w:rPr>
          <w:rFonts w:ascii="Arial" w:hAnsi="Arial" w:cs="Arial"/>
        </w:rPr>
        <w:t xml:space="preserve">, </w:t>
      </w:r>
      <w:r w:rsidR="00703995">
        <w:rPr>
          <w:rFonts w:ascii="Arial" w:hAnsi="Arial" w:cs="Arial"/>
        </w:rPr>
        <w:t>M Boyle</w:t>
      </w:r>
      <w:r w:rsidR="00703995" w:rsidRPr="00120A36">
        <w:rPr>
          <w:rFonts w:ascii="Arial" w:hAnsi="Arial" w:cs="Arial"/>
          <w:vertAlign w:val="superscript"/>
        </w:rPr>
        <w:t>8</w:t>
      </w:r>
      <w:r w:rsidR="00703995">
        <w:rPr>
          <w:rFonts w:ascii="Arial" w:hAnsi="Arial" w:cs="Arial"/>
        </w:rPr>
        <w:t xml:space="preserve">, </w:t>
      </w:r>
      <w:r>
        <w:rPr>
          <w:rFonts w:ascii="Arial" w:hAnsi="Arial" w:cs="Arial"/>
        </w:rPr>
        <w:t>G Kapatai</w:t>
      </w:r>
      <w:r w:rsidRPr="00757C3E">
        <w:rPr>
          <w:rFonts w:ascii="Arial" w:hAnsi="Arial" w:cs="Arial"/>
          <w:vertAlign w:val="superscript"/>
        </w:rPr>
        <w:t>3</w:t>
      </w:r>
      <w:r>
        <w:rPr>
          <w:rFonts w:ascii="Arial" w:hAnsi="Arial" w:cs="Arial"/>
        </w:rPr>
        <w:t>, V Chalker</w:t>
      </w:r>
      <w:r w:rsidRPr="00757C3E">
        <w:rPr>
          <w:rFonts w:ascii="Arial" w:hAnsi="Arial" w:cs="Arial"/>
          <w:vertAlign w:val="superscript"/>
        </w:rPr>
        <w:t>3</w:t>
      </w:r>
      <w:r>
        <w:rPr>
          <w:rFonts w:ascii="Arial" w:hAnsi="Arial" w:cs="Arial"/>
        </w:rPr>
        <w:t>, D Lindsay</w:t>
      </w:r>
      <w:r w:rsidR="00C61C58">
        <w:rPr>
          <w:rFonts w:ascii="Arial" w:hAnsi="Arial" w:cs="Arial"/>
          <w:vertAlign w:val="superscript"/>
        </w:rPr>
        <w:t>11</w:t>
      </w:r>
      <w:r>
        <w:rPr>
          <w:rFonts w:ascii="Arial" w:hAnsi="Arial" w:cs="Arial"/>
        </w:rPr>
        <w:t>, A Smith</w:t>
      </w:r>
      <w:r w:rsidR="00C61C58">
        <w:rPr>
          <w:rFonts w:ascii="Arial" w:hAnsi="Arial" w:cs="Arial"/>
          <w:vertAlign w:val="superscript"/>
        </w:rPr>
        <w:t>11,12</w:t>
      </w:r>
      <w:r>
        <w:rPr>
          <w:rFonts w:ascii="Arial" w:hAnsi="Arial" w:cs="Arial"/>
        </w:rPr>
        <w:t xml:space="preserve">, </w:t>
      </w:r>
      <w:r w:rsidRPr="00C64573">
        <w:rPr>
          <w:rFonts w:ascii="Arial" w:hAnsi="Arial" w:cs="Arial"/>
        </w:rPr>
        <w:t>E Davies</w:t>
      </w:r>
      <w:r w:rsidR="00703995">
        <w:rPr>
          <w:rFonts w:ascii="Arial" w:hAnsi="Arial" w:cs="Arial"/>
          <w:vertAlign w:val="superscript"/>
        </w:rPr>
        <w:t>9</w:t>
      </w:r>
      <w:r w:rsidRPr="00C64573">
        <w:rPr>
          <w:rFonts w:ascii="Arial" w:hAnsi="Arial" w:cs="Arial"/>
        </w:rPr>
        <w:t>, C</w:t>
      </w:r>
      <w:r>
        <w:rPr>
          <w:rFonts w:ascii="Arial" w:hAnsi="Arial" w:cs="Arial"/>
        </w:rPr>
        <w:t>. E.</w:t>
      </w:r>
      <w:r w:rsidRPr="00C64573">
        <w:rPr>
          <w:rFonts w:ascii="Arial" w:hAnsi="Arial" w:cs="Arial"/>
        </w:rPr>
        <w:t xml:space="preserve"> Jon</w:t>
      </w:r>
      <w:r w:rsidR="00C61C58">
        <w:rPr>
          <w:rFonts w:ascii="Arial" w:hAnsi="Arial" w:cs="Arial"/>
        </w:rPr>
        <w:t>es</w:t>
      </w:r>
      <w:r w:rsidR="00703995">
        <w:rPr>
          <w:rFonts w:ascii="Arial" w:hAnsi="Arial" w:cs="Arial"/>
          <w:vertAlign w:val="superscript"/>
        </w:rPr>
        <w:t>10</w:t>
      </w:r>
      <w:r w:rsidRPr="00C64573">
        <w:rPr>
          <w:rFonts w:ascii="Arial" w:hAnsi="Arial" w:cs="Arial"/>
        </w:rPr>
        <w:t>,</w:t>
      </w:r>
      <w:r w:rsidR="00C61C58">
        <w:rPr>
          <w:rFonts w:ascii="Arial" w:hAnsi="Arial" w:cs="Arial"/>
        </w:rPr>
        <w:t xml:space="preserve"> </w:t>
      </w:r>
      <w:r w:rsidRPr="00C64573">
        <w:rPr>
          <w:rFonts w:ascii="Arial" w:hAnsi="Arial" w:cs="Arial"/>
        </w:rPr>
        <w:t>P</w:t>
      </w:r>
      <w:r>
        <w:rPr>
          <w:rFonts w:ascii="Arial" w:hAnsi="Arial" w:cs="Arial"/>
        </w:rPr>
        <w:t>.T.</w:t>
      </w:r>
      <w:r w:rsidRPr="00C64573">
        <w:rPr>
          <w:rFonts w:ascii="Arial" w:hAnsi="Arial" w:cs="Arial"/>
        </w:rPr>
        <w:t xml:space="preserve"> Heath</w:t>
      </w:r>
      <w:r w:rsidRPr="00757C3E">
        <w:rPr>
          <w:rFonts w:ascii="Arial" w:hAnsi="Arial" w:cs="Arial"/>
          <w:vertAlign w:val="superscript"/>
        </w:rPr>
        <w:t>1</w:t>
      </w:r>
    </w:p>
    <w:p w14:paraId="1979ABB3" w14:textId="77777777" w:rsidR="00BE6C9D" w:rsidRDefault="00BE6C9D" w:rsidP="00BE6C9D">
      <w:pPr>
        <w:spacing w:line="480" w:lineRule="auto"/>
        <w:rPr>
          <w:rFonts w:ascii="Arial" w:hAnsi="Arial" w:cs="Arial"/>
        </w:rPr>
      </w:pPr>
    </w:p>
    <w:p w14:paraId="6BBCA8CC" w14:textId="77777777" w:rsidR="00BE6C9D" w:rsidRDefault="00BE6C9D" w:rsidP="00BE6C9D">
      <w:pPr>
        <w:spacing w:line="480" w:lineRule="auto"/>
        <w:rPr>
          <w:rFonts w:ascii="Arial" w:hAnsi="Arial" w:cs="Arial"/>
        </w:rPr>
      </w:pPr>
      <w:r>
        <w:rPr>
          <w:rFonts w:ascii="Arial" w:hAnsi="Arial" w:cs="Arial"/>
        </w:rPr>
        <w:t>Affiliations:</w:t>
      </w:r>
    </w:p>
    <w:p w14:paraId="3FA491D8" w14:textId="2ADE0327" w:rsidR="00BE6C9D" w:rsidRPr="00ED32D1" w:rsidRDefault="00BE6C9D" w:rsidP="00BE6C9D">
      <w:pPr>
        <w:pStyle w:val="ListParagraph"/>
        <w:numPr>
          <w:ilvl w:val="0"/>
          <w:numId w:val="10"/>
        </w:numPr>
        <w:spacing w:line="480" w:lineRule="auto"/>
        <w:rPr>
          <w:rFonts w:ascii="Arial" w:hAnsi="Arial" w:cs="Arial"/>
        </w:rPr>
      </w:pPr>
      <w:r w:rsidRPr="00ED32D1">
        <w:rPr>
          <w:rFonts w:ascii="Arial" w:hAnsi="Arial" w:cs="Arial"/>
        </w:rPr>
        <w:t>Paediatric Infectious Diseases Research Group</w:t>
      </w:r>
      <w:r>
        <w:rPr>
          <w:rFonts w:ascii="Arial" w:hAnsi="Arial" w:cs="Arial"/>
        </w:rPr>
        <w:t xml:space="preserve"> &amp; Vaccine Institute, </w:t>
      </w:r>
      <w:r w:rsidRPr="00ED32D1">
        <w:rPr>
          <w:rFonts w:ascii="Arial" w:hAnsi="Arial" w:cs="Arial"/>
        </w:rPr>
        <w:t>St. George’s University of London</w:t>
      </w:r>
      <w:r>
        <w:rPr>
          <w:rFonts w:ascii="Arial" w:hAnsi="Arial" w:cs="Arial"/>
        </w:rPr>
        <w:t xml:space="preserve"> and St Georges University Hospitals NHS Trust, London</w:t>
      </w:r>
      <w:r w:rsidR="00AA1F86">
        <w:rPr>
          <w:rFonts w:ascii="Arial" w:hAnsi="Arial" w:cs="Arial"/>
        </w:rPr>
        <w:t>, England</w:t>
      </w:r>
      <w:r w:rsidR="00C61C58">
        <w:rPr>
          <w:rFonts w:ascii="Arial" w:hAnsi="Arial" w:cs="Arial"/>
        </w:rPr>
        <w:t xml:space="preserve"> </w:t>
      </w:r>
      <w:r w:rsidR="00F81F3F">
        <w:rPr>
          <w:rFonts w:ascii="Arial" w:hAnsi="Arial" w:cs="Arial"/>
        </w:rPr>
        <w:t>(</w:t>
      </w:r>
      <w:r w:rsidR="00991649">
        <w:rPr>
          <w:rFonts w:ascii="Arial" w:hAnsi="Arial" w:cs="Arial"/>
        </w:rPr>
        <w:t>Prof PT Heath FRCPCH</w:t>
      </w:r>
      <w:r w:rsidR="00482A67">
        <w:rPr>
          <w:rFonts w:ascii="Arial" w:hAnsi="Arial" w:cs="Arial"/>
        </w:rPr>
        <w:t>, CP O’Sullivan M</w:t>
      </w:r>
      <w:r w:rsidR="00F805C6">
        <w:rPr>
          <w:rFonts w:ascii="Arial" w:hAnsi="Arial" w:cs="Arial"/>
        </w:rPr>
        <w:t>RCPCH</w:t>
      </w:r>
      <w:r w:rsidR="00482A67">
        <w:rPr>
          <w:rFonts w:ascii="Arial" w:hAnsi="Arial" w:cs="Arial"/>
        </w:rPr>
        <w:t xml:space="preserve">) </w:t>
      </w:r>
    </w:p>
    <w:p w14:paraId="277BEF80" w14:textId="0ED420F2" w:rsidR="00BE6C9D" w:rsidRPr="0048582A" w:rsidRDefault="00BE6C9D" w:rsidP="00BE6C9D">
      <w:pPr>
        <w:pStyle w:val="ListParagraph"/>
        <w:numPr>
          <w:ilvl w:val="0"/>
          <w:numId w:val="10"/>
        </w:numPr>
        <w:spacing w:line="480" w:lineRule="auto"/>
        <w:rPr>
          <w:rFonts w:ascii="Arial" w:hAnsi="Arial" w:cs="Arial"/>
        </w:rPr>
      </w:pPr>
      <w:r w:rsidRPr="0048582A">
        <w:rPr>
          <w:rFonts w:ascii="Arial" w:hAnsi="Arial" w:cs="Arial"/>
        </w:rPr>
        <w:t>National Infection Service, Public Health England</w:t>
      </w:r>
      <w:r>
        <w:rPr>
          <w:rFonts w:ascii="Arial" w:hAnsi="Arial" w:cs="Arial"/>
        </w:rPr>
        <w:t>, London</w:t>
      </w:r>
      <w:r w:rsidR="00AA1F86">
        <w:rPr>
          <w:rFonts w:ascii="Arial" w:hAnsi="Arial" w:cs="Arial"/>
        </w:rPr>
        <w:t>, England</w:t>
      </w:r>
      <w:r w:rsidR="000F3CB0">
        <w:rPr>
          <w:rFonts w:ascii="Arial" w:hAnsi="Arial" w:cs="Arial"/>
        </w:rPr>
        <w:t xml:space="preserve"> (A Efstratiou PhD, T Lamagni PhD, D Patel PhD)</w:t>
      </w:r>
    </w:p>
    <w:p w14:paraId="589FC7C8" w14:textId="316CC8CD" w:rsidR="00BE6C9D" w:rsidRPr="0048582A" w:rsidRDefault="00BE6C9D" w:rsidP="00BE6C9D">
      <w:pPr>
        <w:pStyle w:val="ListParagraph"/>
        <w:numPr>
          <w:ilvl w:val="0"/>
          <w:numId w:val="10"/>
        </w:numPr>
        <w:spacing w:line="480" w:lineRule="auto"/>
        <w:rPr>
          <w:rFonts w:ascii="Arial" w:hAnsi="Arial" w:cs="Arial"/>
        </w:rPr>
      </w:pPr>
      <w:r w:rsidRPr="00571ECD">
        <w:rPr>
          <w:rFonts w:ascii="Arial" w:hAnsi="Arial" w:cs="Arial"/>
        </w:rPr>
        <w:t xml:space="preserve">Immunisation, Hepatitis and Blood Safety Department, </w:t>
      </w:r>
      <w:r w:rsidRPr="0048582A">
        <w:rPr>
          <w:rFonts w:ascii="Arial" w:hAnsi="Arial" w:cs="Arial"/>
        </w:rPr>
        <w:t>Public Health England</w:t>
      </w:r>
      <w:r>
        <w:rPr>
          <w:rFonts w:ascii="Arial" w:hAnsi="Arial" w:cs="Arial"/>
        </w:rPr>
        <w:t>, London</w:t>
      </w:r>
      <w:r w:rsidR="00AA1F86">
        <w:rPr>
          <w:rFonts w:ascii="Arial" w:hAnsi="Arial" w:cs="Arial"/>
        </w:rPr>
        <w:t>, England</w:t>
      </w:r>
      <w:r w:rsidR="000A6F43">
        <w:rPr>
          <w:rFonts w:ascii="Arial" w:hAnsi="Arial" w:cs="Arial"/>
        </w:rPr>
        <w:t xml:space="preserve"> (S Ladhani MRCPCH</w:t>
      </w:r>
      <w:r w:rsidR="00DB49FB">
        <w:rPr>
          <w:rFonts w:ascii="Arial" w:hAnsi="Arial" w:cs="Arial"/>
        </w:rPr>
        <w:t>, G Kapatai PhD</w:t>
      </w:r>
      <w:r w:rsidR="00363634">
        <w:rPr>
          <w:rFonts w:ascii="Arial" w:hAnsi="Arial" w:cs="Arial"/>
        </w:rPr>
        <w:t>, V Chalker PhD</w:t>
      </w:r>
      <w:r w:rsidR="000A6F43">
        <w:rPr>
          <w:rFonts w:ascii="Arial" w:hAnsi="Arial" w:cs="Arial"/>
        </w:rPr>
        <w:t xml:space="preserve">) </w:t>
      </w:r>
    </w:p>
    <w:p w14:paraId="6AAEFBE7" w14:textId="3210E8A2" w:rsidR="001B1058" w:rsidRPr="00120A36" w:rsidRDefault="001B1058" w:rsidP="001B1058">
      <w:pPr>
        <w:pStyle w:val="ListParagraph"/>
        <w:numPr>
          <w:ilvl w:val="0"/>
          <w:numId w:val="10"/>
        </w:numPr>
        <w:rPr>
          <w:rFonts w:ascii="Arial" w:hAnsi="Arial" w:cs="Arial"/>
        </w:rPr>
      </w:pPr>
      <w:r w:rsidRPr="00120A36">
        <w:rPr>
          <w:rFonts w:ascii="Arial" w:hAnsi="Arial" w:cs="Arial"/>
        </w:rPr>
        <w:t>Health Services Executive Health Protection Surveillance Centre, Dublin</w:t>
      </w:r>
      <w:r w:rsidR="00AA1F86">
        <w:rPr>
          <w:rFonts w:ascii="Arial" w:hAnsi="Arial" w:cs="Arial"/>
        </w:rPr>
        <w:t>, Ireland</w:t>
      </w:r>
      <w:r w:rsidR="000A6F43">
        <w:rPr>
          <w:rFonts w:ascii="Arial" w:hAnsi="Arial" w:cs="Arial"/>
        </w:rPr>
        <w:t xml:space="preserve"> (</w:t>
      </w:r>
      <w:r w:rsidR="001B24FC">
        <w:rPr>
          <w:rFonts w:ascii="Arial" w:hAnsi="Arial" w:cs="Arial"/>
        </w:rPr>
        <w:t>R Cunney MB</w:t>
      </w:r>
      <w:r w:rsidR="0032536F">
        <w:rPr>
          <w:rFonts w:ascii="Arial" w:hAnsi="Arial" w:cs="Arial"/>
        </w:rPr>
        <w:t xml:space="preserve">) </w:t>
      </w:r>
    </w:p>
    <w:p w14:paraId="50E4EE67" w14:textId="77777777" w:rsidR="001B1058" w:rsidRDefault="001B1058" w:rsidP="00120A36">
      <w:pPr>
        <w:pStyle w:val="ListParagraph"/>
        <w:spacing w:line="480" w:lineRule="auto"/>
        <w:rPr>
          <w:rFonts w:ascii="Arial" w:hAnsi="Arial" w:cs="Arial"/>
        </w:rPr>
      </w:pPr>
    </w:p>
    <w:p w14:paraId="5B6609B8" w14:textId="5752CF4C" w:rsidR="00BE6C9D" w:rsidRDefault="00BE6C9D" w:rsidP="00BE6C9D">
      <w:pPr>
        <w:pStyle w:val="ListParagraph"/>
        <w:numPr>
          <w:ilvl w:val="0"/>
          <w:numId w:val="10"/>
        </w:numPr>
        <w:spacing w:line="480" w:lineRule="auto"/>
        <w:rPr>
          <w:rFonts w:ascii="Arial" w:hAnsi="Arial" w:cs="Arial"/>
        </w:rPr>
      </w:pPr>
      <w:r>
        <w:rPr>
          <w:rFonts w:ascii="Arial" w:hAnsi="Arial" w:cs="Arial"/>
        </w:rPr>
        <w:t>Irish Meningitis and Sepsis Reference Laboratory, Temple Street Children’s University Hospital, Dublin</w:t>
      </w:r>
      <w:r w:rsidR="00AA1F86">
        <w:rPr>
          <w:rFonts w:ascii="Arial" w:hAnsi="Arial" w:cs="Arial"/>
        </w:rPr>
        <w:t>, Ireland</w:t>
      </w:r>
      <w:r w:rsidR="00DB49FB">
        <w:rPr>
          <w:rFonts w:ascii="Arial" w:hAnsi="Arial" w:cs="Arial"/>
        </w:rPr>
        <w:t xml:space="preserve"> (R Cunney, M Meehan PhD) </w:t>
      </w:r>
    </w:p>
    <w:p w14:paraId="748FB760" w14:textId="35601EE4" w:rsidR="00BE6C9D" w:rsidRDefault="00BE6C9D" w:rsidP="00BE6C9D">
      <w:pPr>
        <w:pStyle w:val="ListParagraph"/>
        <w:numPr>
          <w:ilvl w:val="0"/>
          <w:numId w:val="10"/>
        </w:numPr>
        <w:spacing w:line="480" w:lineRule="auto"/>
        <w:rPr>
          <w:rFonts w:ascii="Arial" w:hAnsi="Arial" w:cs="Arial"/>
        </w:rPr>
      </w:pPr>
      <w:r>
        <w:rPr>
          <w:rFonts w:ascii="Arial" w:hAnsi="Arial" w:cs="Arial"/>
        </w:rPr>
        <w:t>Health Protection Scotland, Glasgow</w:t>
      </w:r>
      <w:r w:rsidR="00AA1F86">
        <w:rPr>
          <w:rFonts w:ascii="Arial" w:hAnsi="Arial" w:cs="Arial"/>
        </w:rPr>
        <w:t>, Scotland</w:t>
      </w:r>
      <w:r w:rsidR="00363634">
        <w:rPr>
          <w:rFonts w:ascii="Arial" w:hAnsi="Arial" w:cs="Arial"/>
        </w:rPr>
        <w:t xml:space="preserve"> (A Reynolds PhD) </w:t>
      </w:r>
    </w:p>
    <w:p w14:paraId="487ACE6B" w14:textId="4DB953DC" w:rsidR="00BE6C9D" w:rsidRDefault="00BE6C9D" w:rsidP="00BE6C9D">
      <w:pPr>
        <w:pStyle w:val="ListParagraph"/>
        <w:numPr>
          <w:ilvl w:val="0"/>
          <w:numId w:val="10"/>
        </w:numPr>
        <w:spacing w:line="480" w:lineRule="auto"/>
        <w:rPr>
          <w:rFonts w:ascii="Arial" w:hAnsi="Arial" w:cs="Arial"/>
        </w:rPr>
      </w:pPr>
      <w:r>
        <w:rPr>
          <w:rFonts w:ascii="Arial" w:hAnsi="Arial" w:cs="Arial"/>
        </w:rPr>
        <w:t>Public Health Agency Northern Ireland, Belfast</w:t>
      </w:r>
      <w:r w:rsidR="00AA1F86">
        <w:rPr>
          <w:rFonts w:ascii="Arial" w:hAnsi="Arial" w:cs="Arial"/>
        </w:rPr>
        <w:t>, Northern Ireland</w:t>
      </w:r>
      <w:r w:rsidR="001B24FC">
        <w:rPr>
          <w:rFonts w:ascii="Arial" w:hAnsi="Arial" w:cs="Arial"/>
        </w:rPr>
        <w:t xml:space="preserve"> (L Doherty MPH, R Campbell) </w:t>
      </w:r>
    </w:p>
    <w:p w14:paraId="2B998EC3" w14:textId="0F4A6F3F" w:rsidR="00703995" w:rsidRDefault="00703995" w:rsidP="00BE6C9D">
      <w:pPr>
        <w:pStyle w:val="ListParagraph"/>
        <w:numPr>
          <w:ilvl w:val="0"/>
          <w:numId w:val="10"/>
        </w:numPr>
        <w:spacing w:line="480" w:lineRule="auto"/>
        <w:rPr>
          <w:rFonts w:ascii="Arial" w:hAnsi="Arial" w:cs="Arial"/>
        </w:rPr>
      </w:pPr>
      <w:r>
        <w:rPr>
          <w:rFonts w:ascii="Arial" w:hAnsi="Arial" w:cs="Arial"/>
        </w:rPr>
        <w:t>Department of Health Northern Ireland, Belfast</w:t>
      </w:r>
      <w:r w:rsidR="00AA1F86">
        <w:rPr>
          <w:rFonts w:ascii="Arial" w:hAnsi="Arial" w:cs="Arial"/>
        </w:rPr>
        <w:t>, Northern Ireland</w:t>
      </w:r>
      <w:r w:rsidR="001B24FC">
        <w:rPr>
          <w:rFonts w:ascii="Arial" w:hAnsi="Arial" w:cs="Arial"/>
        </w:rPr>
        <w:t xml:space="preserve"> (M Boyle MSc)</w:t>
      </w:r>
    </w:p>
    <w:p w14:paraId="2A4DB21E" w14:textId="01C81DA0" w:rsidR="00BE6C9D" w:rsidRDefault="00BE6C9D" w:rsidP="00BE6C9D">
      <w:pPr>
        <w:pStyle w:val="ListParagraph"/>
        <w:numPr>
          <w:ilvl w:val="0"/>
          <w:numId w:val="10"/>
        </w:numPr>
        <w:spacing w:line="480" w:lineRule="auto"/>
        <w:rPr>
          <w:rFonts w:ascii="Arial" w:hAnsi="Arial" w:cs="Arial"/>
        </w:rPr>
      </w:pPr>
      <w:r>
        <w:rPr>
          <w:rFonts w:ascii="Arial" w:hAnsi="Arial" w:cs="Arial"/>
        </w:rPr>
        <w:t>Public Health Wales, Cardiff</w:t>
      </w:r>
      <w:r w:rsidR="00AA1F86">
        <w:rPr>
          <w:rFonts w:ascii="Arial" w:hAnsi="Arial" w:cs="Arial"/>
        </w:rPr>
        <w:t>, Wales</w:t>
      </w:r>
      <w:r w:rsidR="001B24FC">
        <w:rPr>
          <w:rFonts w:ascii="Arial" w:hAnsi="Arial" w:cs="Arial"/>
        </w:rPr>
        <w:t xml:space="preserve"> (E Davies MBBS) </w:t>
      </w:r>
    </w:p>
    <w:p w14:paraId="01B6FB2D" w14:textId="4EC26EDA" w:rsidR="00BE6C9D" w:rsidRDefault="00BE6C9D" w:rsidP="00120A36">
      <w:pPr>
        <w:pStyle w:val="ListParagraph"/>
        <w:numPr>
          <w:ilvl w:val="0"/>
          <w:numId w:val="10"/>
        </w:numPr>
        <w:spacing w:line="480" w:lineRule="auto"/>
        <w:ind w:left="714" w:hanging="357"/>
        <w:rPr>
          <w:rFonts w:ascii="Arial" w:hAnsi="Arial" w:cs="Arial"/>
        </w:rPr>
      </w:pPr>
      <w:r>
        <w:rPr>
          <w:rFonts w:ascii="Arial" w:hAnsi="Arial" w:cs="Arial"/>
        </w:rPr>
        <w:t>Faculty of Medicine and Institute for Life Sciences, University of Southampton and University Hospital Southampton NHS Foundation Trust</w:t>
      </w:r>
      <w:r w:rsidR="00C61C58">
        <w:rPr>
          <w:rFonts w:ascii="Arial" w:hAnsi="Arial" w:cs="Arial"/>
        </w:rPr>
        <w:t>, Southampton</w:t>
      </w:r>
      <w:r w:rsidR="00AA1F86">
        <w:rPr>
          <w:rFonts w:ascii="Arial" w:hAnsi="Arial" w:cs="Arial"/>
        </w:rPr>
        <w:t>, England</w:t>
      </w:r>
      <w:r w:rsidR="001B24FC">
        <w:rPr>
          <w:rFonts w:ascii="Arial" w:hAnsi="Arial" w:cs="Arial"/>
        </w:rPr>
        <w:t xml:space="preserve"> (CE Jones PhD) </w:t>
      </w:r>
    </w:p>
    <w:p w14:paraId="00F6D9BE" w14:textId="0AAD2C83" w:rsidR="00C61C58" w:rsidRPr="00ED32D1" w:rsidRDefault="00C61C58" w:rsidP="00120A36">
      <w:pPr>
        <w:pStyle w:val="ListParagraph"/>
        <w:numPr>
          <w:ilvl w:val="0"/>
          <w:numId w:val="10"/>
        </w:numPr>
        <w:spacing w:line="480" w:lineRule="auto"/>
        <w:ind w:left="714" w:hanging="357"/>
        <w:rPr>
          <w:rFonts w:ascii="Arial" w:hAnsi="Arial" w:cs="Arial"/>
        </w:rPr>
      </w:pPr>
      <w:r>
        <w:rPr>
          <w:rFonts w:ascii="Arial" w:hAnsi="Arial" w:cs="Arial"/>
        </w:rPr>
        <w:lastRenderedPageBreak/>
        <w:t xml:space="preserve">Scottish </w:t>
      </w:r>
      <w:r w:rsidRPr="009F738E">
        <w:rPr>
          <w:rFonts w:ascii="Arial" w:hAnsi="Arial" w:cs="Arial"/>
          <w:i/>
        </w:rPr>
        <w:t>Haemophilus</w:t>
      </w:r>
      <w:r>
        <w:rPr>
          <w:rFonts w:ascii="Arial" w:hAnsi="Arial" w:cs="Arial"/>
          <w:i/>
        </w:rPr>
        <w:t>,</w:t>
      </w:r>
      <w:r>
        <w:rPr>
          <w:rFonts w:ascii="Arial" w:hAnsi="Arial" w:cs="Arial"/>
        </w:rPr>
        <w:t xml:space="preserve"> </w:t>
      </w:r>
      <w:r w:rsidRPr="009F738E">
        <w:rPr>
          <w:rFonts w:ascii="Arial" w:hAnsi="Arial" w:cs="Arial"/>
          <w:i/>
        </w:rPr>
        <w:t>Legionella</w:t>
      </w:r>
      <w:r>
        <w:rPr>
          <w:rFonts w:ascii="Arial" w:hAnsi="Arial" w:cs="Arial"/>
          <w:i/>
        </w:rPr>
        <w:t>,</w:t>
      </w:r>
      <w:r>
        <w:rPr>
          <w:rFonts w:ascii="Arial" w:hAnsi="Arial" w:cs="Arial"/>
        </w:rPr>
        <w:t xml:space="preserve"> meningococcal, pneumococcal Reference Laboratory, Glasgow</w:t>
      </w:r>
      <w:r w:rsidR="00AA1F86">
        <w:rPr>
          <w:rFonts w:ascii="Arial" w:hAnsi="Arial" w:cs="Arial"/>
        </w:rPr>
        <w:t>, Scotland</w:t>
      </w:r>
      <w:r w:rsidR="001B24FC">
        <w:rPr>
          <w:rFonts w:ascii="Arial" w:hAnsi="Arial" w:cs="Arial"/>
        </w:rPr>
        <w:t xml:space="preserve"> </w:t>
      </w:r>
      <w:r w:rsidR="00F805C6">
        <w:rPr>
          <w:rFonts w:ascii="Arial" w:hAnsi="Arial" w:cs="Arial"/>
        </w:rPr>
        <w:t>(A Smith FRCPath, D Lindsay PhD)</w:t>
      </w:r>
    </w:p>
    <w:p w14:paraId="1B872F76" w14:textId="30BDD3BC" w:rsidR="00C61C58" w:rsidRPr="00120A36" w:rsidRDefault="00C61C58" w:rsidP="00120A36">
      <w:pPr>
        <w:pStyle w:val="ListParagraph"/>
        <w:numPr>
          <w:ilvl w:val="0"/>
          <w:numId w:val="10"/>
        </w:numPr>
        <w:spacing w:line="480" w:lineRule="auto"/>
        <w:ind w:left="714" w:hanging="357"/>
        <w:rPr>
          <w:rFonts w:ascii="Arial" w:eastAsia="Times New Roman" w:hAnsi="Arial" w:cs="Arial"/>
        </w:rPr>
      </w:pPr>
      <w:r w:rsidRPr="00120A36">
        <w:rPr>
          <w:rFonts w:ascii="Arial" w:eastAsia="Times New Roman" w:hAnsi="Arial" w:cs="Arial"/>
          <w:color w:val="000000"/>
        </w:rPr>
        <w:t>College of Medical, Veterinary &amp; Life Sciences, Glasgow Dental Hospital &amp; School, University of Glasgow &amp; Scottish Microbiology Reference Laboratory, Glasgow Royal Infirmary, Glasgow</w:t>
      </w:r>
      <w:r w:rsidR="00AA1F86">
        <w:rPr>
          <w:rFonts w:ascii="Arial" w:eastAsia="Times New Roman" w:hAnsi="Arial" w:cs="Arial"/>
          <w:color w:val="000000"/>
        </w:rPr>
        <w:t xml:space="preserve">, Scotland </w:t>
      </w:r>
      <w:r w:rsidR="000D2032">
        <w:rPr>
          <w:rFonts w:ascii="Arial" w:eastAsia="Times New Roman" w:hAnsi="Arial" w:cs="Arial"/>
          <w:color w:val="000000"/>
        </w:rPr>
        <w:t>(</w:t>
      </w:r>
      <w:r w:rsidR="000D2032">
        <w:rPr>
          <w:rFonts w:ascii="Arial" w:hAnsi="Arial" w:cs="Arial"/>
        </w:rPr>
        <w:t>A Smith FRCPath)</w:t>
      </w:r>
    </w:p>
    <w:p w14:paraId="4F0DBE48" w14:textId="77777777" w:rsidR="00757C3E" w:rsidRDefault="00757C3E" w:rsidP="008A3461">
      <w:pPr>
        <w:spacing w:line="480" w:lineRule="auto"/>
        <w:rPr>
          <w:rFonts w:ascii="Arial" w:hAnsi="Arial" w:cs="Arial"/>
        </w:rPr>
      </w:pPr>
    </w:p>
    <w:p w14:paraId="23FEE931" w14:textId="3EEFE97C" w:rsidR="000D3EA0" w:rsidRDefault="000D3EA0" w:rsidP="008A3461">
      <w:pPr>
        <w:spacing w:line="480" w:lineRule="auto"/>
        <w:rPr>
          <w:rFonts w:ascii="Arial" w:hAnsi="Arial" w:cs="Arial"/>
        </w:rPr>
      </w:pPr>
      <w:r>
        <w:rPr>
          <w:rFonts w:ascii="Arial" w:hAnsi="Arial" w:cs="Arial"/>
        </w:rPr>
        <w:t>Corresponding author:</w:t>
      </w:r>
      <w:r w:rsidR="00A84A47">
        <w:rPr>
          <w:rFonts w:ascii="Arial" w:hAnsi="Arial" w:cs="Arial"/>
        </w:rPr>
        <w:t xml:space="preserve"> C. P. O’Sullivan</w:t>
      </w:r>
    </w:p>
    <w:p w14:paraId="4926F405" w14:textId="617E76A3" w:rsidR="000D3EA0" w:rsidRDefault="00757C3E" w:rsidP="008A3461">
      <w:pPr>
        <w:spacing w:line="480" w:lineRule="auto"/>
        <w:rPr>
          <w:rFonts w:ascii="Arial" w:hAnsi="Arial" w:cs="Arial"/>
        </w:rPr>
      </w:pPr>
      <w:r>
        <w:rPr>
          <w:rFonts w:ascii="Arial" w:hAnsi="Arial" w:cs="Arial"/>
        </w:rPr>
        <w:t xml:space="preserve">Paediatric Infectious Diseases Research Group, St. George’s, </w:t>
      </w:r>
      <w:r w:rsidR="0048582A">
        <w:rPr>
          <w:rFonts w:ascii="Arial" w:hAnsi="Arial" w:cs="Arial"/>
        </w:rPr>
        <w:t>U</w:t>
      </w:r>
      <w:r>
        <w:rPr>
          <w:rFonts w:ascii="Arial" w:hAnsi="Arial" w:cs="Arial"/>
        </w:rPr>
        <w:t>niversity of London, Jenner Wing, Mail Point J2C, Level 2, Cranmer Terrace, London, SW17 0RE</w:t>
      </w:r>
    </w:p>
    <w:p w14:paraId="433ACFCB" w14:textId="0634BE9C" w:rsidR="00757C3E" w:rsidRDefault="00130F2F" w:rsidP="008A3461">
      <w:pPr>
        <w:spacing w:line="480" w:lineRule="auto"/>
        <w:rPr>
          <w:rFonts w:ascii="Arial" w:hAnsi="Arial" w:cs="Arial"/>
        </w:rPr>
      </w:pPr>
      <w:hyperlink r:id="rId8" w:history="1">
        <w:r w:rsidR="00757C3E" w:rsidRPr="00947277">
          <w:rPr>
            <w:rStyle w:val="Hyperlink"/>
            <w:rFonts w:ascii="Arial" w:hAnsi="Arial" w:cs="Arial"/>
          </w:rPr>
          <w:t>cosulliv@sgul.ac.uk</w:t>
        </w:r>
      </w:hyperlink>
    </w:p>
    <w:p w14:paraId="4C4DD404" w14:textId="77777777" w:rsidR="00757C3E" w:rsidRPr="000E6468" w:rsidRDefault="00757C3E" w:rsidP="008A3461">
      <w:pPr>
        <w:spacing w:line="480" w:lineRule="auto"/>
        <w:rPr>
          <w:rFonts w:ascii="Arial" w:hAnsi="Arial" w:cs="Arial"/>
        </w:rPr>
      </w:pPr>
    </w:p>
    <w:p w14:paraId="502A4F4E" w14:textId="77777777" w:rsidR="00757C3E" w:rsidRDefault="00757C3E" w:rsidP="008A3461">
      <w:pPr>
        <w:spacing w:line="480" w:lineRule="auto"/>
        <w:rPr>
          <w:rFonts w:ascii="Arial" w:hAnsi="Arial" w:cs="Arial"/>
        </w:rPr>
      </w:pPr>
    </w:p>
    <w:p w14:paraId="0FB9C543" w14:textId="77777777" w:rsidR="006A376A" w:rsidRDefault="006A376A" w:rsidP="008A3461">
      <w:pPr>
        <w:spacing w:line="480" w:lineRule="auto"/>
        <w:rPr>
          <w:rFonts w:ascii="Arial" w:hAnsi="Arial" w:cs="Arial"/>
        </w:rPr>
      </w:pPr>
    </w:p>
    <w:p w14:paraId="64D14CB7" w14:textId="77777777" w:rsidR="006A376A" w:rsidRDefault="006A376A" w:rsidP="008A3461">
      <w:pPr>
        <w:spacing w:line="480" w:lineRule="auto"/>
        <w:rPr>
          <w:rFonts w:ascii="Arial" w:hAnsi="Arial" w:cs="Arial"/>
        </w:rPr>
      </w:pPr>
    </w:p>
    <w:p w14:paraId="4C78FD38" w14:textId="77777777" w:rsidR="006A376A" w:rsidRDefault="006A376A" w:rsidP="008A3461">
      <w:pPr>
        <w:spacing w:line="480" w:lineRule="auto"/>
        <w:rPr>
          <w:rFonts w:ascii="Arial" w:hAnsi="Arial" w:cs="Arial"/>
        </w:rPr>
      </w:pPr>
    </w:p>
    <w:p w14:paraId="58972708" w14:textId="77777777" w:rsidR="006A376A" w:rsidRDefault="006A376A" w:rsidP="008A3461">
      <w:pPr>
        <w:spacing w:line="480" w:lineRule="auto"/>
        <w:rPr>
          <w:rFonts w:ascii="Arial" w:hAnsi="Arial" w:cs="Arial"/>
        </w:rPr>
      </w:pPr>
    </w:p>
    <w:p w14:paraId="39C14801" w14:textId="77777777" w:rsidR="006A376A" w:rsidRDefault="006A376A" w:rsidP="008A3461">
      <w:pPr>
        <w:spacing w:line="480" w:lineRule="auto"/>
        <w:rPr>
          <w:rFonts w:ascii="Arial" w:hAnsi="Arial" w:cs="Arial"/>
        </w:rPr>
      </w:pPr>
    </w:p>
    <w:p w14:paraId="46F42FFF" w14:textId="77777777" w:rsidR="006A376A" w:rsidRDefault="006A376A" w:rsidP="008A3461">
      <w:pPr>
        <w:spacing w:line="480" w:lineRule="auto"/>
        <w:rPr>
          <w:rFonts w:ascii="Arial" w:hAnsi="Arial" w:cs="Arial"/>
        </w:rPr>
      </w:pPr>
    </w:p>
    <w:p w14:paraId="20E2171D" w14:textId="77777777" w:rsidR="006A376A" w:rsidRDefault="006A376A" w:rsidP="008A3461">
      <w:pPr>
        <w:spacing w:line="480" w:lineRule="auto"/>
        <w:rPr>
          <w:rFonts w:ascii="Arial" w:hAnsi="Arial" w:cs="Arial"/>
        </w:rPr>
      </w:pPr>
    </w:p>
    <w:p w14:paraId="1C9D8655" w14:textId="77777777" w:rsidR="006A376A" w:rsidRDefault="006A376A" w:rsidP="008A3461">
      <w:pPr>
        <w:spacing w:line="480" w:lineRule="auto"/>
        <w:rPr>
          <w:rFonts w:ascii="Arial" w:hAnsi="Arial" w:cs="Arial"/>
        </w:rPr>
      </w:pPr>
    </w:p>
    <w:p w14:paraId="623739B4" w14:textId="77777777" w:rsidR="006A376A" w:rsidRDefault="006A376A" w:rsidP="008A3461">
      <w:pPr>
        <w:spacing w:line="480" w:lineRule="auto"/>
        <w:rPr>
          <w:rFonts w:ascii="Arial" w:hAnsi="Arial" w:cs="Arial"/>
        </w:rPr>
      </w:pPr>
    </w:p>
    <w:p w14:paraId="7BAD8B86" w14:textId="77777777" w:rsidR="006A376A" w:rsidRDefault="006A376A" w:rsidP="008A3461">
      <w:pPr>
        <w:spacing w:line="480" w:lineRule="auto"/>
        <w:rPr>
          <w:rFonts w:ascii="Arial" w:hAnsi="Arial" w:cs="Arial"/>
        </w:rPr>
      </w:pPr>
    </w:p>
    <w:p w14:paraId="4BCE8B6A" w14:textId="77777777" w:rsidR="006A376A" w:rsidRDefault="006A376A" w:rsidP="008A3461">
      <w:pPr>
        <w:spacing w:line="480" w:lineRule="auto"/>
        <w:rPr>
          <w:rFonts w:ascii="Arial" w:hAnsi="Arial" w:cs="Arial"/>
        </w:rPr>
      </w:pPr>
    </w:p>
    <w:p w14:paraId="4DC74589" w14:textId="77777777" w:rsidR="006A376A" w:rsidRDefault="006A376A" w:rsidP="008A3461">
      <w:pPr>
        <w:spacing w:line="480" w:lineRule="auto"/>
        <w:rPr>
          <w:rFonts w:ascii="Arial" w:hAnsi="Arial" w:cs="Arial"/>
        </w:rPr>
      </w:pPr>
    </w:p>
    <w:p w14:paraId="70C3856A" w14:textId="77777777" w:rsidR="006A376A" w:rsidRDefault="006A376A" w:rsidP="008A3461">
      <w:pPr>
        <w:spacing w:line="480" w:lineRule="auto"/>
        <w:rPr>
          <w:rFonts w:ascii="Arial" w:hAnsi="Arial" w:cs="Arial"/>
        </w:rPr>
      </w:pPr>
    </w:p>
    <w:p w14:paraId="17E21BE3" w14:textId="77777777" w:rsidR="006A376A" w:rsidRDefault="006A376A" w:rsidP="008A3461">
      <w:pPr>
        <w:spacing w:line="480" w:lineRule="auto"/>
        <w:rPr>
          <w:rFonts w:ascii="Arial" w:hAnsi="Arial" w:cs="Arial"/>
        </w:rPr>
      </w:pPr>
    </w:p>
    <w:p w14:paraId="02313BD5" w14:textId="77777777" w:rsidR="00757C3E" w:rsidRDefault="00757C3E" w:rsidP="008A3461">
      <w:pPr>
        <w:spacing w:line="480" w:lineRule="auto"/>
        <w:rPr>
          <w:rFonts w:ascii="Arial" w:hAnsi="Arial" w:cs="Arial"/>
        </w:rPr>
      </w:pPr>
    </w:p>
    <w:p w14:paraId="0FA46B60" w14:textId="77777777" w:rsidR="008561B5" w:rsidRDefault="00F828FA" w:rsidP="008A3461">
      <w:pPr>
        <w:spacing w:line="480" w:lineRule="auto"/>
        <w:rPr>
          <w:rFonts w:ascii="Arial" w:hAnsi="Arial" w:cs="Arial"/>
        </w:rPr>
      </w:pPr>
      <w:r w:rsidRPr="000E6468">
        <w:rPr>
          <w:rFonts w:ascii="Arial" w:hAnsi="Arial" w:cs="Arial"/>
        </w:rPr>
        <w:t xml:space="preserve">Background: </w:t>
      </w:r>
    </w:p>
    <w:p w14:paraId="6622ECD4" w14:textId="4D28B50D" w:rsidR="000C101F" w:rsidRPr="000E6468" w:rsidRDefault="00F828FA" w:rsidP="008A3461">
      <w:pPr>
        <w:spacing w:line="480" w:lineRule="auto"/>
        <w:rPr>
          <w:rFonts w:ascii="Arial" w:hAnsi="Arial" w:cs="Arial"/>
        </w:rPr>
      </w:pPr>
      <w:r w:rsidRPr="000E6468">
        <w:rPr>
          <w:rFonts w:ascii="Arial" w:hAnsi="Arial" w:cs="Arial"/>
        </w:rPr>
        <w:t xml:space="preserve">Group B </w:t>
      </w:r>
      <w:r w:rsidR="009850BE" w:rsidRPr="009850BE">
        <w:rPr>
          <w:rFonts w:ascii="Arial" w:hAnsi="Arial" w:cs="Arial"/>
          <w:i/>
        </w:rPr>
        <w:t>S</w:t>
      </w:r>
      <w:r w:rsidRPr="009850BE">
        <w:rPr>
          <w:rFonts w:ascii="Arial" w:hAnsi="Arial" w:cs="Arial"/>
          <w:i/>
        </w:rPr>
        <w:t>treptococcus</w:t>
      </w:r>
      <w:r w:rsidRPr="000E6468">
        <w:rPr>
          <w:rFonts w:ascii="Arial" w:hAnsi="Arial" w:cs="Arial"/>
        </w:rPr>
        <w:t xml:space="preserve"> (GBS) is </w:t>
      </w:r>
      <w:r w:rsidR="00354602">
        <w:rPr>
          <w:rFonts w:ascii="Arial" w:hAnsi="Arial" w:cs="Arial"/>
        </w:rPr>
        <w:t>a leading</w:t>
      </w:r>
      <w:r w:rsidRPr="000E6468">
        <w:rPr>
          <w:rFonts w:ascii="Arial" w:hAnsi="Arial" w:cs="Arial"/>
        </w:rPr>
        <w:t xml:space="preserve"> cause of serious infection in </w:t>
      </w:r>
      <w:r w:rsidR="0048582A">
        <w:rPr>
          <w:rFonts w:ascii="Arial" w:hAnsi="Arial" w:cs="Arial"/>
        </w:rPr>
        <w:t>young</w:t>
      </w:r>
      <w:r w:rsidR="00A46D30">
        <w:rPr>
          <w:rFonts w:ascii="Arial" w:hAnsi="Arial" w:cs="Arial"/>
        </w:rPr>
        <w:t xml:space="preserve"> </w:t>
      </w:r>
      <w:r w:rsidRPr="000E6468">
        <w:rPr>
          <w:rFonts w:ascii="Arial" w:hAnsi="Arial" w:cs="Arial"/>
        </w:rPr>
        <w:t>infants</w:t>
      </w:r>
      <w:r w:rsidR="000D3EA0">
        <w:rPr>
          <w:rFonts w:ascii="Arial" w:hAnsi="Arial" w:cs="Arial"/>
        </w:rPr>
        <w:t xml:space="preserve">. </w:t>
      </w:r>
      <w:r w:rsidR="002B4D33">
        <w:rPr>
          <w:rFonts w:ascii="Arial" w:hAnsi="Arial" w:cs="Arial"/>
        </w:rPr>
        <w:t>We aimed to define the current burden and clinical features of invasive GBS disease in infants younger than 90 days</w:t>
      </w:r>
      <w:r w:rsidR="007825AA">
        <w:rPr>
          <w:rFonts w:ascii="Arial" w:hAnsi="Arial" w:cs="Arial"/>
        </w:rPr>
        <w:t xml:space="preserve"> in the UK and the Republic of Ireland (ROI), </w:t>
      </w:r>
      <w:r w:rsidR="002B4D33">
        <w:rPr>
          <w:rFonts w:ascii="Arial" w:hAnsi="Arial" w:cs="Arial"/>
        </w:rPr>
        <w:t xml:space="preserve">together with the </w:t>
      </w:r>
      <w:r w:rsidR="0048582A">
        <w:rPr>
          <w:rFonts w:ascii="Arial" w:hAnsi="Arial" w:cs="Arial"/>
        </w:rPr>
        <w:t>characteristics</w:t>
      </w:r>
      <w:r w:rsidR="002B4D33">
        <w:rPr>
          <w:rFonts w:ascii="Arial" w:hAnsi="Arial" w:cs="Arial"/>
        </w:rPr>
        <w:t xml:space="preserve"> of disease-causing isolates. </w:t>
      </w:r>
    </w:p>
    <w:p w14:paraId="64E4777A" w14:textId="77777777" w:rsidR="00AC3B78" w:rsidRPr="000E6468" w:rsidRDefault="00AC3B78" w:rsidP="008A3461">
      <w:pPr>
        <w:spacing w:line="480" w:lineRule="auto"/>
        <w:rPr>
          <w:rFonts w:ascii="Arial" w:hAnsi="Arial" w:cs="Arial"/>
        </w:rPr>
      </w:pPr>
    </w:p>
    <w:p w14:paraId="1431F773" w14:textId="77777777" w:rsidR="00AC3B78" w:rsidRPr="000E6468" w:rsidRDefault="00AC3B78" w:rsidP="008A3461">
      <w:pPr>
        <w:spacing w:line="480" w:lineRule="auto"/>
        <w:rPr>
          <w:rFonts w:ascii="Arial" w:hAnsi="Arial" w:cs="Arial"/>
        </w:rPr>
      </w:pPr>
      <w:r w:rsidRPr="000E6468">
        <w:rPr>
          <w:rFonts w:ascii="Arial" w:hAnsi="Arial" w:cs="Arial"/>
        </w:rPr>
        <w:t>Methods:</w:t>
      </w:r>
    </w:p>
    <w:p w14:paraId="7A5B43E1" w14:textId="009C51D3" w:rsidR="00113FE6" w:rsidRDefault="00AC3B78" w:rsidP="008A3461">
      <w:pPr>
        <w:spacing w:line="480" w:lineRule="auto"/>
        <w:rPr>
          <w:rFonts w:ascii="Arial" w:hAnsi="Arial" w:cs="Arial"/>
        </w:rPr>
      </w:pPr>
      <w:r w:rsidRPr="000E6468">
        <w:rPr>
          <w:rFonts w:ascii="Arial" w:hAnsi="Arial" w:cs="Arial"/>
        </w:rPr>
        <w:t xml:space="preserve">Prospective, active </w:t>
      </w:r>
      <w:r w:rsidR="000C101F" w:rsidRPr="000E6468">
        <w:rPr>
          <w:rFonts w:ascii="Arial" w:hAnsi="Arial" w:cs="Arial"/>
        </w:rPr>
        <w:t xml:space="preserve">national </w:t>
      </w:r>
      <w:r w:rsidRPr="000E6468">
        <w:rPr>
          <w:rFonts w:ascii="Arial" w:hAnsi="Arial" w:cs="Arial"/>
        </w:rPr>
        <w:t xml:space="preserve">surveillance was undertaken </w:t>
      </w:r>
      <w:r w:rsidR="00C16D50" w:rsidRPr="008425B5">
        <w:rPr>
          <w:rFonts w:ascii="Arial" w:hAnsi="Arial" w:cs="Arial"/>
        </w:rPr>
        <w:t xml:space="preserve">from April 2014 </w:t>
      </w:r>
      <w:r w:rsidR="00C16D50">
        <w:rPr>
          <w:rFonts w:ascii="Arial" w:hAnsi="Arial" w:cs="Arial"/>
        </w:rPr>
        <w:t xml:space="preserve">to May 2015 </w:t>
      </w:r>
      <w:r w:rsidRPr="000E6468">
        <w:rPr>
          <w:rFonts w:ascii="Arial" w:hAnsi="Arial" w:cs="Arial"/>
        </w:rPr>
        <w:t>through the British Paediatric Surveillance Unit (BPSU), microbiology reference laboratories and national public health agencies.</w:t>
      </w:r>
      <w:r w:rsidR="000C101F" w:rsidRPr="000E6468">
        <w:rPr>
          <w:rFonts w:ascii="Arial" w:hAnsi="Arial" w:cs="Arial"/>
        </w:rPr>
        <w:t xml:space="preserve"> </w:t>
      </w:r>
      <w:r w:rsidR="00834DD1">
        <w:rPr>
          <w:rFonts w:ascii="Arial" w:hAnsi="Arial" w:cs="Arial"/>
        </w:rPr>
        <w:t xml:space="preserve">Results were compared with those obtained from surveillance undertaken using the same methodology in 2000-2001. </w:t>
      </w:r>
      <w:r w:rsidRPr="000E6468">
        <w:rPr>
          <w:rFonts w:ascii="Arial" w:hAnsi="Arial" w:cs="Arial"/>
        </w:rPr>
        <w:t>Isolates were characterised by serotyping</w:t>
      </w:r>
      <w:r w:rsidR="000C101F" w:rsidRPr="000E6468">
        <w:rPr>
          <w:rFonts w:ascii="Arial" w:hAnsi="Arial" w:cs="Arial"/>
        </w:rPr>
        <w:t>, multi</w:t>
      </w:r>
      <w:r w:rsidR="00E60B42" w:rsidRPr="000E6468">
        <w:rPr>
          <w:rFonts w:ascii="Arial" w:hAnsi="Arial" w:cs="Arial"/>
        </w:rPr>
        <w:t>-</w:t>
      </w:r>
      <w:r w:rsidR="000C101F" w:rsidRPr="000E6468">
        <w:rPr>
          <w:rFonts w:ascii="Arial" w:hAnsi="Arial" w:cs="Arial"/>
        </w:rPr>
        <w:t xml:space="preserve">locus sequence typing, </w:t>
      </w:r>
      <w:r w:rsidRPr="000E6468">
        <w:rPr>
          <w:rFonts w:ascii="Arial" w:hAnsi="Arial" w:cs="Arial"/>
        </w:rPr>
        <w:t>and antimicrobial susceptibility testing.</w:t>
      </w:r>
      <w:r w:rsidR="0048582A">
        <w:rPr>
          <w:rFonts w:ascii="Arial" w:hAnsi="Arial" w:cs="Arial"/>
        </w:rPr>
        <w:t xml:space="preserve"> </w:t>
      </w:r>
    </w:p>
    <w:p w14:paraId="4CD84976" w14:textId="77777777" w:rsidR="00E76779" w:rsidRPr="000E6468" w:rsidRDefault="00E76779" w:rsidP="008A3461">
      <w:pPr>
        <w:spacing w:line="480" w:lineRule="auto"/>
        <w:rPr>
          <w:rFonts w:ascii="Arial" w:hAnsi="Arial" w:cs="Arial"/>
          <w:b/>
        </w:rPr>
      </w:pPr>
    </w:p>
    <w:p w14:paraId="1A993F00" w14:textId="77777777" w:rsidR="00AC3B78" w:rsidRPr="000E6468" w:rsidRDefault="00AC3B78" w:rsidP="008A3461">
      <w:pPr>
        <w:spacing w:line="480" w:lineRule="auto"/>
        <w:rPr>
          <w:rFonts w:ascii="Arial" w:eastAsia="Times New Roman" w:hAnsi="Arial" w:cs="Arial"/>
          <w:bCs/>
        </w:rPr>
      </w:pPr>
      <w:r w:rsidRPr="000E6468">
        <w:rPr>
          <w:rFonts w:ascii="Arial" w:eastAsia="Times New Roman" w:hAnsi="Arial" w:cs="Arial"/>
          <w:bCs/>
        </w:rPr>
        <w:t xml:space="preserve">Findings: </w:t>
      </w:r>
    </w:p>
    <w:p w14:paraId="432DBA23" w14:textId="19C19D46" w:rsidR="0057786B" w:rsidRDefault="0043116D" w:rsidP="008A3461">
      <w:pPr>
        <w:spacing w:line="480" w:lineRule="auto"/>
        <w:rPr>
          <w:rFonts w:ascii="Arial" w:hAnsi="Arial" w:cs="Arial"/>
        </w:rPr>
      </w:pPr>
      <w:r w:rsidRPr="008425B5">
        <w:rPr>
          <w:rFonts w:ascii="Arial" w:hAnsi="Arial" w:cs="Arial"/>
        </w:rPr>
        <w:t xml:space="preserve">Eight hundred and </w:t>
      </w:r>
      <w:r w:rsidR="00CF6674" w:rsidRPr="008425B5">
        <w:rPr>
          <w:rFonts w:ascii="Arial" w:hAnsi="Arial" w:cs="Arial"/>
        </w:rPr>
        <w:t>fifty</w:t>
      </w:r>
      <w:r w:rsidR="00897EB2">
        <w:rPr>
          <w:rFonts w:ascii="Arial" w:hAnsi="Arial" w:cs="Arial"/>
        </w:rPr>
        <w:t>-</w:t>
      </w:r>
      <w:r w:rsidR="00CF6674" w:rsidRPr="008425B5">
        <w:rPr>
          <w:rFonts w:ascii="Arial" w:hAnsi="Arial" w:cs="Arial"/>
        </w:rPr>
        <w:t xml:space="preserve">six </w:t>
      </w:r>
      <w:r w:rsidRPr="008425B5">
        <w:rPr>
          <w:rFonts w:ascii="Arial" w:hAnsi="Arial" w:cs="Arial"/>
        </w:rPr>
        <w:t>cases were identified</w:t>
      </w:r>
      <w:r w:rsidR="0048582A">
        <w:rPr>
          <w:rFonts w:ascii="Arial" w:hAnsi="Arial" w:cs="Arial"/>
        </w:rPr>
        <w:t>,</w:t>
      </w:r>
      <w:r w:rsidR="00161BF5">
        <w:rPr>
          <w:rFonts w:ascii="Arial" w:hAnsi="Arial" w:cs="Arial"/>
        </w:rPr>
        <w:t xml:space="preserve"> </w:t>
      </w:r>
      <w:r w:rsidR="00767A6A">
        <w:rPr>
          <w:rFonts w:ascii="Arial" w:hAnsi="Arial" w:cs="Arial"/>
        </w:rPr>
        <w:t xml:space="preserve">an </w:t>
      </w:r>
      <w:r w:rsidR="00767A6A" w:rsidRPr="008425B5">
        <w:rPr>
          <w:rFonts w:ascii="Arial" w:hAnsi="Arial" w:cs="Arial"/>
        </w:rPr>
        <w:t xml:space="preserve">incidence </w:t>
      </w:r>
      <w:r w:rsidR="00767A6A">
        <w:rPr>
          <w:rFonts w:ascii="Arial" w:hAnsi="Arial" w:cs="Arial"/>
        </w:rPr>
        <w:t xml:space="preserve">rate of </w:t>
      </w:r>
      <w:r w:rsidR="00767A6A" w:rsidRPr="008425B5">
        <w:rPr>
          <w:rFonts w:ascii="Arial" w:hAnsi="Arial" w:cs="Arial"/>
        </w:rPr>
        <w:t>0</w:t>
      </w:r>
      <w:r w:rsidR="00767A6A">
        <w:rPr>
          <w:rFonts w:ascii="Arial" w:hAnsi="Arial" w:cs="Arial"/>
        </w:rPr>
        <w:t>·</w:t>
      </w:r>
      <w:r w:rsidR="00767A6A" w:rsidRPr="008425B5">
        <w:rPr>
          <w:rFonts w:ascii="Arial" w:hAnsi="Arial" w:cs="Arial"/>
        </w:rPr>
        <w:t>94/1000 live</w:t>
      </w:r>
      <w:r w:rsidR="00464523">
        <w:rPr>
          <w:rFonts w:ascii="Arial" w:hAnsi="Arial" w:cs="Arial"/>
        </w:rPr>
        <w:t>-</w:t>
      </w:r>
      <w:r w:rsidR="00767A6A" w:rsidRPr="008425B5">
        <w:rPr>
          <w:rFonts w:ascii="Arial" w:hAnsi="Arial" w:cs="Arial"/>
        </w:rPr>
        <w:t>births. E</w:t>
      </w:r>
      <w:r w:rsidR="00767A6A">
        <w:rPr>
          <w:rFonts w:ascii="Arial" w:hAnsi="Arial" w:cs="Arial"/>
        </w:rPr>
        <w:t xml:space="preserve">arly onset </w:t>
      </w:r>
      <w:r w:rsidR="00767A6A" w:rsidRPr="008425B5">
        <w:rPr>
          <w:rFonts w:ascii="Arial" w:hAnsi="Arial" w:cs="Arial"/>
        </w:rPr>
        <w:t xml:space="preserve">disease </w:t>
      </w:r>
      <w:r w:rsidR="00767A6A">
        <w:rPr>
          <w:rFonts w:ascii="Arial" w:hAnsi="Arial" w:cs="Arial"/>
        </w:rPr>
        <w:t>(EOD)</w:t>
      </w:r>
      <w:r w:rsidR="00767A6A" w:rsidRPr="008425B5">
        <w:rPr>
          <w:rFonts w:ascii="Arial" w:hAnsi="Arial" w:cs="Arial"/>
        </w:rPr>
        <w:t xml:space="preserve"> represented </w:t>
      </w:r>
      <w:r w:rsidR="00767A6A">
        <w:rPr>
          <w:rFonts w:ascii="Arial" w:hAnsi="Arial" w:cs="Arial"/>
        </w:rPr>
        <w:t>60</w:t>
      </w:r>
      <w:r w:rsidR="00767A6A" w:rsidRPr="008425B5">
        <w:rPr>
          <w:rFonts w:ascii="Arial" w:hAnsi="Arial" w:cs="Arial"/>
        </w:rPr>
        <w:t xml:space="preserve">% of </w:t>
      </w:r>
      <w:r w:rsidR="00594042">
        <w:rPr>
          <w:rFonts w:ascii="Arial" w:hAnsi="Arial" w:cs="Arial"/>
        </w:rPr>
        <w:t xml:space="preserve">cases </w:t>
      </w:r>
      <w:r w:rsidR="00767A6A">
        <w:rPr>
          <w:rFonts w:ascii="Arial" w:hAnsi="Arial" w:cs="Arial"/>
        </w:rPr>
        <w:t>(</w:t>
      </w:r>
      <w:r w:rsidR="00767A6A" w:rsidRPr="008425B5">
        <w:rPr>
          <w:rFonts w:ascii="Arial" w:hAnsi="Arial" w:cs="Arial"/>
        </w:rPr>
        <w:t>0</w:t>
      </w:r>
      <w:r w:rsidR="00767A6A">
        <w:rPr>
          <w:rFonts w:ascii="Arial" w:hAnsi="Arial" w:cs="Arial"/>
        </w:rPr>
        <w:t>·</w:t>
      </w:r>
      <w:r w:rsidR="00767A6A" w:rsidRPr="008425B5">
        <w:rPr>
          <w:rFonts w:ascii="Arial" w:hAnsi="Arial" w:cs="Arial"/>
        </w:rPr>
        <w:t>5</w:t>
      </w:r>
      <w:r w:rsidR="00767A6A">
        <w:rPr>
          <w:rFonts w:ascii="Arial" w:hAnsi="Arial" w:cs="Arial"/>
        </w:rPr>
        <w:t>7</w:t>
      </w:r>
      <w:r w:rsidR="00767A6A" w:rsidRPr="008425B5">
        <w:rPr>
          <w:rFonts w:ascii="Arial" w:hAnsi="Arial" w:cs="Arial"/>
        </w:rPr>
        <w:t>/1000</w:t>
      </w:r>
      <w:r w:rsidR="00767A6A">
        <w:rPr>
          <w:rFonts w:ascii="Arial" w:hAnsi="Arial" w:cs="Arial"/>
        </w:rPr>
        <w:t>)</w:t>
      </w:r>
      <w:r w:rsidR="0048582A">
        <w:rPr>
          <w:rFonts w:ascii="Arial" w:hAnsi="Arial" w:cs="Arial"/>
        </w:rPr>
        <w:t xml:space="preserve"> and </w:t>
      </w:r>
      <w:r w:rsidR="00FB0552">
        <w:rPr>
          <w:rFonts w:ascii="Arial" w:hAnsi="Arial" w:cs="Arial"/>
        </w:rPr>
        <w:t xml:space="preserve">was higher than in </w:t>
      </w:r>
      <w:r w:rsidR="00767A6A" w:rsidRPr="008425B5">
        <w:rPr>
          <w:rFonts w:ascii="Arial" w:hAnsi="Arial" w:cs="Arial"/>
        </w:rPr>
        <w:t>2000-2001 (0</w:t>
      </w:r>
      <w:r w:rsidR="00767A6A">
        <w:rPr>
          <w:rFonts w:ascii="Arial" w:hAnsi="Arial" w:cs="Arial"/>
        </w:rPr>
        <w:t>·</w:t>
      </w:r>
      <w:r w:rsidR="00767A6A" w:rsidRPr="008425B5">
        <w:rPr>
          <w:rFonts w:ascii="Arial" w:hAnsi="Arial" w:cs="Arial"/>
        </w:rPr>
        <w:t xml:space="preserve">48/1000). </w:t>
      </w:r>
      <w:r w:rsidR="0048582A">
        <w:rPr>
          <w:rFonts w:ascii="Arial" w:hAnsi="Arial" w:cs="Arial"/>
        </w:rPr>
        <w:t>The incidence of l</w:t>
      </w:r>
      <w:r w:rsidR="00767A6A">
        <w:rPr>
          <w:rFonts w:ascii="Arial" w:hAnsi="Arial" w:cs="Arial"/>
        </w:rPr>
        <w:t xml:space="preserve">ate onset </w:t>
      </w:r>
      <w:r w:rsidR="00767A6A" w:rsidRPr="008425B5">
        <w:rPr>
          <w:rFonts w:ascii="Arial" w:hAnsi="Arial" w:cs="Arial"/>
        </w:rPr>
        <w:t xml:space="preserve">disease </w:t>
      </w:r>
      <w:r w:rsidR="00767A6A">
        <w:rPr>
          <w:rFonts w:ascii="Arial" w:hAnsi="Arial" w:cs="Arial"/>
        </w:rPr>
        <w:t>(LOD)</w:t>
      </w:r>
      <w:r w:rsidR="00767A6A" w:rsidRPr="008425B5">
        <w:rPr>
          <w:rFonts w:ascii="Arial" w:hAnsi="Arial" w:cs="Arial"/>
        </w:rPr>
        <w:t xml:space="preserve"> </w:t>
      </w:r>
      <w:r w:rsidR="00FB0552">
        <w:rPr>
          <w:rFonts w:ascii="Arial" w:hAnsi="Arial" w:cs="Arial"/>
        </w:rPr>
        <w:t xml:space="preserve">was also higher </w:t>
      </w:r>
      <w:r w:rsidR="0048582A">
        <w:rPr>
          <w:rFonts w:ascii="Arial" w:hAnsi="Arial" w:cs="Arial"/>
        </w:rPr>
        <w:t>(</w:t>
      </w:r>
      <w:r w:rsidR="0048582A" w:rsidRPr="008425B5">
        <w:rPr>
          <w:rFonts w:ascii="Arial" w:hAnsi="Arial" w:cs="Arial"/>
        </w:rPr>
        <w:t>0</w:t>
      </w:r>
      <w:r w:rsidR="0048582A">
        <w:rPr>
          <w:rFonts w:ascii="Arial" w:hAnsi="Arial" w:cs="Arial"/>
        </w:rPr>
        <w:t>·</w:t>
      </w:r>
      <w:r w:rsidR="0048582A" w:rsidRPr="008425B5">
        <w:rPr>
          <w:rFonts w:ascii="Arial" w:hAnsi="Arial" w:cs="Arial"/>
        </w:rPr>
        <w:t>3</w:t>
      </w:r>
      <w:r w:rsidR="0048582A">
        <w:rPr>
          <w:rFonts w:ascii="Arial" w:hAnsi="Arial" w:cs="Arial"/>
        </w:rPr>
        <w:t>7</w:t>
      </w:r>
      <w:r w:rsidR="0048582A" w:rsidRPr="008425B5">
        <w:rPr>
          <w:rFonts w:ascii="Arial" w:hAnsi="Arial" w:cs="Arial"/>
        </w:rPr>
        <w:t>/1000</w:t>
      </w:r>
      <w:r w:rsidR="0048582A">
        <w:rPr>
          <w:rFonts w:ascii="Arial" w:hAnsi="Arial" w:cs="Arial"/>
        </w:rPr>
        <w:t xml:space="preserve">  vs. </w:t>
      </w:r>
      <w:r w:rsidR="00767A6A" w:rsidRPr="008425B5">
        <w:rPr>
          <w:rFonts w:ascii="Arial" w:hAnsi="Arial" w:cs="Arial"/>
        </w:rPr>
        <w:t>0</w:t>
      </w:r>
      <w:r w:rsidR="00767A6A">
        <w:rPr>
          <w:rFonts w:ascii="Arial" w:hAnsi="Arial" w:cs="Arial"/>
        </w:rPr>
        <w:t>·</w:t>
      </w:r>
      <w:r w:rsidR="00767A6A" w:rsidRPr="008425B5">
        <w:rPr>
          <w:rFonts w:ascii="Arial" w:hAnsi="Arial" w:cs="Arial"/>
        </w:rPr>
        <w:t>24/1000</w:t>
      </w:r>
      <w:r w:rsidR="00767A6A">
        <w:rPr>
          <w:rFonts w:ascii="Arial" w:hAnsi="Arial" w:cs="Arial"/>
        </w:rPr>
        <w:t>)</w:t>
      </w:r>
      <w:r w:rsidR="00767A6A" w:rsidRPr="008425B5">
        <w:rPr>
          <w:rFonts w:ascii="Arial" w:hAnsi="Arial" w:cs="Arial"/>
        </w:rPr>
        <w:t xml:space="preserve">. </w:t>
      </w:r>
      <w:r w:rsidR="00767A6A" w:rsidRPr="0026418C">
        <w:rPr>
          <w:rFonts w:ascii="Arial" w:hAnsi="Arial" w:cs="Arial"/>
        </w:rPr>
        <w:t xml:space="preserve">The overall case fatality rate (CFR) was 6·2% (n=53), a decline since 2000-2001 </w:t>
      </w:r>
      <w:r w:rsidR="00767A6A" w:rsidRPr="0026418C">
        <w:rPr>
          <w:rFonts w:ascii="Arial" w:hAnsi="Arial" w:cs="Arial"/>
        </w:rPr>
        <w:lastRenderedPageBreak/>
        <w:t>(</w:t>
      </w:r>
      <w:r w:rsidR="005A7E69" w:rsidRPr="0026418C">
        <w:rPr>
          <w:rFonts w:ascii="Arial" w:hAnsi="Arial" w:cs="Arial"/>
        </w:rPr>
        <w:t>9·7</w:t>
      </w:r>
      <w:r w:rsidR="00767A6A" w:rsidRPr="0026418C">
        <w:rPr>
          <w:rFonts w:ascii="Arial" w:hAnsi="Arial" w:cs="Arial"/>
        </w:rPr>
        <w:t>%)</w:t>
      </w:r>
      <w:r w:rsidR="0048582A">
        <w:rPr>
          <w:rFonts w:ascii="Arial" w:hAnsi="Arial" w:cs="Arial"/>
        </w:rPr>
        <w:t>,</w:t>
      </w:r>
      <w:r w:rsidR="00767A6A" w:rsidRPr="0026418C">
        <w:rPr>
          <w:rFonts w:ascii="Arial" w:hAnsi="Arial" w:cs="Arial"/>
        </w:rPr>
        <w:t xml:space="preserve"> reflecting a reduction in </w:t>
      </w:r>
      <w:r w:rsidR="002B44EB" w:rsidRPr="0026418C">
        <w:rPr>
          <w:rFonts w:ascii="Arial" w:hAnsi="Arial" w:cs="Arial"/>
        </w:rPr>
        <w:t>EOD CFR (10·6%</w:t>
      </w:r>
      <w:r w:rsidR="002B44EB">
        <w:rPr>
          <w:rFonts w:ascii="Arial" w:hAnsi="Arial" w:cs="Arial"/>
        </w:rPr>
        <w:t>(n=38)</w:t>
      </w:r>
      <w:r w:rsidR="002B44EB" w:rsidRPr="0026418C">
        <w:rPr>
          <w:rFonts w:ascii="Arial" w:hAnsi="Arial" w:cs="Arial"/>
        </w:rPr>
        <w:t xml:space="preserve"> to 5·2%</w:t>
      </w:r>
      <w:r w:rsidR="002B44EB">
        <w:rPr>
          <w:rFonts w:ascii="Arial" w:hAnsi="Arial" w:cs="Arial"/>
        </w:rPr>
        <w:t>(n=27)</w:t>
      </w:r>
      <w:r w:rsidR="002B44EB" w:rsidRPr="0026418C">
        <w:rPr>
          <w:rFonts w:ascii="Arial" w:hAnsi="Arial" w:cs="Arial"/>
        </w:rPr>
        <w:t>) but not LOD CFR (8·</w:t>
      </w:r>
      <w:r w:rsidR="002B44EB">
        <w:rPr>
          <w:rFonts w:ascii="Arial" w:hAnsi="Arial" w:cs="Arial"/>
        </w:rPr>
        <w:t>0</w:t>
      </w:r>
      <w:r w:rsidR="002B44EB" w:rsidRPr="0026418C">
        <w:rPr>
          <w:rFonts w:ascii="Arial" w:hAnsi="Arial" w:cs="Arial"/>
        </w:rPr>
        <w:t>%</w:t>
      </w:r>
      <w:r w:rsidR="002B44EB">
        <w:rPr>
          <w:rFonts w:ascii="Arial" w:hAnsi="Arial" w:cs="Arial"/>
        </w:rPr>
        <w:t>(n=15) to 7·7%(n=26)).</w:t>
      </w:r>
    </w:p>
    <w:p w14:paraId="53334BBF" w14:textId="33BB52EF" w:rsidR="00767A6A" w:rsidRDefault="00310881" w:rsidP="008A3461">
      <w:pPr>
        <w:spacing w:line="480" w:lineRule="auto"/>
        <w:rPr>
          <w:rFonts w:ascii="Arial" w:hAnsi="Arial" w:cs="Arial"/>
        </w:rPr>
      </w:pPr>
      <w:r w:rsidRPr="00D341D3">
        <w:rPr>
          <w:rFonts w:ascii="Arial" w:hAnsi="Arial" w:cs="Arial"/>
        </w:rPr>
        <w:t xml:space="preserve">The predominant serotypes were III (n=258, 60%) and Ia (n=73, 17%); five serotypes (Ia, Ib, II, III, V) comprised 94% </w:t>
      </w:r>
      <w:r w:rsidR="00DB6494">
        <w:rPr>
          <w:rFonts w:ascii="Arial" w:hAnsi="Arial" w:cs="Arial"/>
        </w:rPr>
        <w:t xml:space="preserve">(n=377) </w:t>
      </w:r>
      <w:r w:rsidRPr="00D341D3">
        <w:rPr>
          <w:rFonts w:ascii="Arial" w:hAnsi="Arial" w:cs="Arial"/>
        </w:rPr>
        <w:t xml:space="preserve">of </w:t>
      </w:r>
      <w:r w:rsidR="00216C68">
        <w:rPr>
          <w:rFonts w:ascii="Arial" w:hAnsi="Arial" w:cs="Arial"/>
        </w:rPr>
        <w:t xml:space="preserve">serotyped </w:t>
      </w:r>
      <w:r w:rsidRPr="00D341D3">
        <w:rPr>
          <w:rFonts w:ascii="Arial" w:hAnsi="Arial" w:cs="Arial"/>
        </w:rPr>
        <w:t>isolates</w:t>
      </w:r>
      <w:r w:rsidR="00DB6494">
        <w:rPr>
          <w:rFonts w:ascii="Arial" w:hAnsi="Arial" w:cs="Arial"/>
        </w:rPr>
        <w:t xml:space="preserve"> (n=402)</w:t>
      </w:r>
      <w:r>
        <w:rPr>
          <w:rFonts w:ascii="Arial" w:hAnsi="Arial" w:cs="Arial"/>
        </w:rPr>
        <w:t>.</w:t>
      </w:r>
    </w:p>
    <w:p w14:paraId="1CD3AEAB" w14:textId="77777777" w:rsidR="006177D2" w:rsidRPr="008425B5" w:rsidRDefault="006177D2" w:rsidP="008A3461">
      <w:pPr>
        <w:spacing w:line="480" w:lineRule="auto"/>
        <w:rPr>
          <w:rFonts w:ascii="Arial" w:hAnsi="Arial" w:cs="Arial"/>
        </w:rPr>
      </w:pPr>
    </w:p>
    <w:p w14:paraId="69EEDB65" w14:textId="77777777" w:rsidR="00AC3B78" w:rsidRPr="000E6468" w:rsidRDefault="00AC3B78" w:rsidP="008A3461">
      <w:pPr>
        <w:spacing w:line="480" w:lineRule="auto"/>
        <w:rPr>
          <w:rFonts w:ascii="Arial" w:hAnsi="Arial" w:cs="Arial"/>
        </w:rPr>
      </w:pPr>
      <w:r w:rsidRPr="000E6468">
        <w:rPr>
          <w:rFonts w:ascii="Arial" w:hAnsi="Arial" w:cs="Arial"/>
        </w:rPr>
        <w:t>Interpretation:</w:t>
      </w:r>
    </w:p>
    <w:p w14:paraId="0B6392CD" w14:textId="0E3F3918" w:rsidR="00AC3B78" w:rsidRPr="000E6468" w:rsidRDefault="00216C68" w:rsidP="008A3461">
      <w:pPr>
        <w:spacing w:line="480" w:lineRule="auto"/>
        <w:rPr>
          <w:rFonts w:ascii="Arial" w:hAnsi="Arial" w:cs="Arial"/>
        </w:rPr>
      </w:pPr>
      <w:r>
        <w:rPr>
          <w:rFonts w:ascii="Arial" w:hAnsi="Arial" w:cs="Arial"/>
        </w:rPr>
        <w:t>T</w:t>
      </w:r>
      <w:r w:rsidR="005D6C98" w:rsidRPr="000E6468">
        <w:rPr>
          <w:rFonts w:ascii="Arial" w:hAnsi="Arial" w:cs="Arial"/>
        </w:rPr>
        <w:t xml:space="preserve">he </w:t>
      </w:r>
      <w:r w:rsidR="00AC3B78" w:rsidRPr="000E6468">
        <w:rPr>
          <w:rFonts w:ascii="Arial" w:hAnsi="Arial" w:cs="Arial"/>
        </w:rPr>
        <w:t xml:space="preserve">incidence of invasive </w:t>
      </w:r>
      <w:r w:rsidR="005F6E72">
        <w:rPr>
          <w:rFonts w:ascii="Arial" w:hAnsi="Arial" w:cs="Arial"/>
        </w:rPr>
        <w:t xml:space="preserve">infant </w:t>
      </w:r>
      <w:r w:rsidR="00AC3B78" w:rsidRPr="000E6468">
        <w:rPr>
          <w:rFonts w:ascii="Arial" w:hAnsi="Arial" w:cs="Arial"/>
        </w:rPr>
        <w:t>GBS disease</w:t>
      </w:r>
      <w:r w:rsidR="00157ACE">
        <w:rPr>
          <w:rFonts w:ascii="Arial" w:hAnsi="Arial" w:cs="Arial"/>
        </w:rPr>
        <w:t xml:space="preserve"> </w:t>
      </w:r>
      <w:r w:rsidR="000D3EA0">
        <w:rPr>
          <w:rFonts w:ascii="Arial" w:hAnsi="Arial" w:cs="Arial"/>
        </w:rPr>
        <w:t>in the UK and Ireland</w:t>
      </w:r>
      <w:r w:rsidR="00594042">
        <w:rPr>
          <w:rFonts w:ascii="Arial" w:hAnsi="Arial" w:cs="Arial"/>
        </w:rPr>
        <w:t xml:space="preserve"> has increased</w:t>
      </w:r>
      <w:r>
        <w:rPr>
          <w:rFonts w:ascii="Arial" w:hAnsi="Arial" w:cs="Arial"/>
        </w:rPr>
        <w:t xml:space="preserve"> since 2000-2001</w:t>
      </w:r>
      <w:r w:rsidR="00157ACE">
        <w:rPr>
          <w:rFonts w:ascii="Arial" w:hAnsi="Arial" w:cs="Arial"/>
        </w:rPr>
        <w:t xml:space="preserve">. The burden of </w:t>
      </w:r>
      <w:r w:rsidR="00AC3B78" w:rsidRPr="000E6468">
        <w:rPr>
          <w:rFonts w:ascii="Arial" w:hAnsi="Arial" w:cs="Arial"/>
        </w:rPr>
        <w:t>EO</w:t>
      </w:r>
      <w:r w:rsidR="00F41B82">
        <w:rPr>
          <w:rFonts w:ascii="Arial" w:hAnsi="Arial" w:cs="Arial"/>
        </w:rPr>
        <w:t>D</w:t>
      </w:r>
      <w:r w:rsidR="00AC3B78" w:rsidRPr="000E6468">
        <w:rPr>
          <w:rFonts w:ascii="Arial" w:hAnsi="Arial" w:cs="Arial"/>
        </w:rPr>
        <w:t xml:space="preserve"> incidence</w:t>
      </w:r>
      <w:r w:rsidR="00157ACE">
        <w:rPr>
          <w:rFonts w:ascii="Arial" w:hAnsi="Arial" w:cs="Arial"/>
        </w:rPr>
        <w:t xml:space="preserve"> has not declined </w:t>
      </w:r>
      <w:r w:rsidR="00AC3B78" w:rsidRPr="000E6468">
        <w:rPr>
          <w:rFonts w:ascii="Arial" w:hAnsi="Arial" w:cs="Arial"/>
        </w:rPr>
        <w:t xml:space="preserve">despite the </w:t>
      </w:r>
      <w:r w:rsidR="00834DD1">
        <w:rPr>
          <w:rFonts w:ascii="Arial" w:hAnsi="Arial" w:cs="Arial"/>
        </w:rPr>
        <w:t>introduction</w:t>
      </w:r>
      <w:r w:rsidR="00834DD1" w:rsidRPr="000E6468">
        <w:rPr>
          <w:rFonts w:ascii="Arial" w:hAnsi="Arial" w:cs="Arial"/>
        </w:rPr>
        <w:t xml:space="preserve"> </w:t>
      </w:r>
      <w:r w:rsidR="00AC3B78" w:rsidRPr="000E6468">
        <w:rPr>
          <w:rFonts w:ascii="Arial" w:hAnsi="Arial" w:cs="Arial"/>
        </w:rPr>
        <w:t xml:space="preserve">of national prevention guidelines. </w:t>
      </w:r>
      <w:r w:rsidR="00157ACE">
        <w:rPr>
          <w:rFonts w:ascii="Arial" w:hAnsi="Arial" w:cs="Arial"/>
        </w:rPr>
        <w:t>N</w:t>
      </w:r>
      <w:r w:rsidR="00AC3B78" w:rsidRPr="000E6468">
        <w:rPr>
          <w:rFonts w:ascii="Arial" w:hAnsi="Arial" w:cs="Arial"/>
        </w:rPr>
        <w:t xml:space="preserve">ew strategies for </w:t>
      </w:r>
      <w:r w:rsidR="00594042">
        <w:rPr>
          <w:rFonts w:ascii="Arial" w:hAnsi="Arial" w:cs="Arial"/>
        </w:rPr>
        <w:t xml:space="preserve">prevention </w:t>
      </w:r>
      <w:r w:rsidR="00533275">
        <w:rPr>
          <w:rFonts w:ascii="Arial" w:hAnsi="Arial" w:cs="Arial"/>
        </w:rPr>
        <w:t xml:space="preserve">are </w:t>
      </w:r>
      <w:r w:rsidR="00157ACE">
        <w:rPr>
          <w:rFonts w:ascii="Arial" w:hAnsi="Arial" w:cs="Arial"/>
        </w:rPr>
        <w:t>required</w:t>
      </w:r>
      <w:r w:rsidR="001E0E27" w:rsidRPr="000E6468">
        <w:rPr>
          <w:rFonts w:ascii="Arial" w:hAnsi="Arial" w:cs="Arial"/>
        </w:rPr>
        <w:t xml:space="preserve">. </w:t>
      </w:r>
      <w:r w:rsidR="00AC3B78" w:rsidRPr="000E6468">
        <w:rPr>
          <w:rFonts w:ascii="Arial" w:hAnsi="Arial" w:cs="Arial"/>
        </w:rPr>
        <w:t xml:space="preserve"> </w:t>
      </w:r>
    </w:p>
    <w:p w14:paraId="152C41BD" w14:textId="77777777" w:rsidR="000D3EA0" w:rsidRPr="000E6468" w:rsidRDefault="000D3EA0" w:rsidP="008A3461">
      <w:pPr>
        <w:spacing w:line="480" w:lineRule="auto"/>
        <w:rPr>
          <w:rFonts w:ascii="Arial" w:hAnsi="Arial" w:cs="Arial"/>
          <w:b/>
          <w:bCs/>
        </w:rPr>
      </w:pPr>
    </w:p>
    <w:p w14:paraId="5026A20C" w14:textId="77777777" w:rsidR="00AC3B78" w:rsidRPr="000E6468" w:rsidRDefault="00AC3B78" w:rsidP="008A3461">
      <w:pPr>
        <w:spacing w:line="480" w:lineRule="auto"/>
        <w:rPr>
          <w:rFonts w:ascii="Arial" w:hAnsi="Arial" w:cs="Arial"/>
        </w:rPr>
      </w:pPr>
      <w:r w:rsidRPr="000E6468">
        <w:rPr>
          <w:rFonts w:ascii="Arial" w:hAnsi="Arial" w:cs="Arial"/>
        </w:rPr>
        <w:t>Funding:</w:t>
      </w:r>
    </w:p>
    <w:p w14:paraId="34608E4C" w14:textId="3E1AB72F" w:rsidR="000F395C" w:rsidRDefault="000F395C" w:rsidP="008A3461">
      <w:pPr>
        <w:spacing w:line="480" w:lineRule="auto"/>
        <w:rPr>
          <w:rFonts w:ascii="Arial" w:hAnsi="Arial" w:cs="Arial"/>
        </w:rPr>
      </w:pPr>
      <w:r w:rsidRPr="000E6468">
        <w:rPr>
          <w:rFonts w:ascii="Arial" w:hAnsi="Arial" w:cs="Arial"/>
        </w:rPr>
        <w:t xml:space="preserve">Meningitis Now </w:t>
      </w:r>
    </w:p>
    <w:p w14:paraId="372252E6" w14:textId="77777777" w:rsidR="00F41B82" w:rsidRDefault="00F41B82" w:rsidP="008A3461">
      <w:pPr>
        <w:spacing w:line="480" w:lineRule="auto"/>
        <w:rPr>
          <w:rFonts w:ascii="Arial" w:hAnsi="Arial" w:cs="Arial"/>
        </w:rPr>
      </w:pPr>
    </w:p>
    <w:p w14:paraId="0BA72F0C" w14:textId="77777777" w:rsidR="00CA78B6" w:rsidRDefault="00CA78B6" w:rsidP="008A3461">
      <w:pPr>
        <w:spacing w:line="480" w:lineRule="auto"/>
        <w:rPr>
          <w:rFonts w:ascii="Arial" w:hAnsi="Arial" w:cs="Arial"/>
        </w:rPr>
      </w:pPr>
    </w:p>
    <w:p w14:paraId="27C497C8" w14:textId="77777777" w:rsidR="00CA78B6" w:rsidRDefault="00CA78B6" w:rsidP="008A3461">
      <w:pPr>
        <w:spacing w:line="480" w:lineRule="auto"/>
        <w:rPr>
          <w:rFonts w:ascii="Arial" w:hAnsi="Arial" w:cs="Arial"/>
        </w:rPr>
      </w:pPr>
    </w:p>
    <w:p w14:paraId="3BFFA4E1" w14:textId="77777777" w:rsidR="00CA78B6" w:rsidRDefault="00CA78B6" w:rsidP="008A3461">
      <w:pPr>
        <w:spacing w:line="480" w:lineRule="auto"/>
        <w:rPr>
          <w:rFonts w:ascii="Arial" w:hAnsi="Arial" w:cs="Arial"/>
        </w:rPr>
      </w:pPr>
    </w:p>
    <w:p w14:paraId="596521AE" w14:textId="77777777" w:rsidR="00CA78B6" w:rsidRDefault="00CA78B6" w:rsidP="008A3461">
      <w:pPr>
        <w:spacing w:line="480" w:lineRule="auto"/>
        <w:rPr>
          <w:rFonts w:ascii="Arial" w:hAnsi="Arial" w:cs="Arial"/>
        </w:rPr>
      </w:pPr>
    </w:p>
    <w:p w14:paraId="17C9F72A" w14:textId="77777777" w:rsidR="00CA78B6" w:rsidRDefault="00CA78B6" w:rsidP="008A3461">
      <w:pPr>
        <w:spacing w:line="480" w:lineRule="auto"/>
        <w:rPr>
          <w:rFonts w:ascii="Arial" w:hAnsi="Arial" w:cs="Arial"/>
        </w:rPr>
      </w:pPr>
    </w:p>
    <w:p w14:paraId="3A1BCFC3" w14:textId="77777777" w:rsidR="00CA78B6" w:rsidRDefault="00CA78B6" w:rsidP="008A3461">
      <w:pPr>
        <w:spacing w:line="480" w:lineRule="auto"/>
        <w:rPr>
          <w:rFonts w:ascii="Arial" w:hAnsi="Arial" w:cs="Arial"/>
        </w:rPr>
      </w:pPr>
    </w:p>
    <w:p w14:paraId="57FE4CF2" w14:textId="77777777" w:rsidR="00CA78B6" w:rsidRDefault="00CA78B6" w:rsidP="008A3461">
      <w:pPr>
        <w:spacing w:line="480" w:lineRule="auto"/>
        <w:rPr>
          <w:rFonts w:ascii="Arial" w:hAnsi="Arial" w:cs="Arial"/>
        </w:rPr>
      </w:pPr>
    </w:p>
    <w:p w14:paraId="51DAC956" w14:textId="77777777" w:rsidR="00CA78B6" w:rsidRDefault="00CA78B6" w:rsidP="008A3461">
      <w:pPr>
        <w:spacing w:line="480" w:lineRule="auto"/>
        <w:rPr>
          <w:rFonts w:ascii="Arial" w:hAnsi="Arial" w:cs="Arial"/>
        </w:rPr>
      </w:pPr>
    </w:p>
    <w:p w14:paraId="516AD7E2" w14:textId="77777777" w:rsidR="00CA78B6" w:rsidRDefault="00CA78B6" w:rsidP="008A3461">
      <w:pPr>
        <w:spacing w:line="480" w:lineRule="auto"/>
        <w:rPr>
          <w:rFonts w:ascii="Arial" w:hAnsi="Arial" w:cs="Arial"/>
        </w:rPr>
      </w:pPr>
    </w:p>
    <w:p w14:paraId="0AE8EBAC" w14:textId="77777777" w:rsidR="00CA78B6" w:rsidRDefault="00CA78B6" w:rsidP="008A3461">
      <w:pPr>
        <w:spacing w:line="480" w:lineRule="auto"/>
        <w:rPr>
          <w:rFonts w:ascii="Arial" w:hAnsi="Arial" w:cs="Arial"/>
        </w:rPr>
      </w:pPr>
    </w:p>
    <w:p w14:paraId="585487FD" w14:textId="77777777" w:rsidR="006A376A" w:rsidRDefault="006A376A" w:rsidP="008A3461">
      <w:pPr>
        <w:spacing w:line="480" w:lineRule="auto"/>
        <w:rPr>
          <w:rFonts w:ascii="Arial" w:hAnsi="Arial" w:cs="Arial"/>
        </w:rPr>
      </w:pPr>
    </w:p>
    <w:p w14:paraId="24A5CE8C" w14:textId="77777777" w:rsidR="00CA78B6" w:rsidRDefault="00CA78B6" w:rsidP="008A3461">
      <w:pPr>
        <w:spacing w:line="480" w:lineRule="auto"/>
        <w:rPr>
          <w:rFonts w:ascii="Arial" w:hAnsi="Arial" w:cs="Arial"/>
        </w:rPr>
      </w:pPr>
    </w:p>
    <w:p w14:paraId="2BA4ADD6" w14:textId="0644457C" w:rsidR="00AC3B78" w:rsidRPr="00A56437" w:rsidRDefault="00AC3B78" w:rsidP="00216C68">
      <w:pPr>
        <w:spacing w:line="360" w:lineRule="auto"/>
        <w:rPr>
          <w:rFonts w:ascii="Arial" w:hAnsi="Arial" w:cs="Arial"/>
          <w:b/>
          <w:sz w:val="32"/>
        </w:rPr>
      </w:pPr>
      <w:r w:rsidRPr="00A56437">
        <w:rPr>
          <w:rFonts w:ascii="Arial" w:hAnsi="Arial" w:cs="Arial"/>
          <w:b/>
          <w:sz w:val="32"/>
        </w:rPr>
        <w:t xml:space="preserve">Introduction </w:t>
      </w:r>
    </w:p>
    <w:p w14:paraId="463B5B4A" w14:textId="450C73C9" w:rsidR="00CA78B6" w:rsidRDefault="00F828FA" w:rsidP="00216C68">
      <w:pPr>
        <w:spacing w:line="360" w:lineRule="auto"/>
        <w:rPr>
          <w:rFonts w:eastAsia="Times New Roman"/>
          <w:sz w:val="20"/>
          <w:szCs w:val="20"/>
        </w:rPr>
      </w:pPr>
      <w:r w:rsidRPr="00A56437">
        <w:rPr>
          <w:rFonts w:ascii="Arial" w:hAnsi="Arial" w:cs="Arial"/>
          <w:i/>
        </w:rPr>
        <w:t>Streptococcus agalactiae</w:t>
      </w:r>
      <w:r w:rsidRPr="00A56437">
        <w:rPr>
          <w:rFonts w:ascii="Arial" w:hAnsi="Arial" w:cs="Arial"/>
        </w:rPr>
        <w:t xml:space="preserve"> (group B </w:t>
      </w:r>
      <w:r w:rsidR="00F84D1D" w:rsidRPr="00F84D1D">
        <w:rPr>
          <w:rFonts w:ascii="Arial" w:hAnsi="Arial" w:cs="Arial"/>
          <w:i/>
        </w:rPr>
        <w:t>S</w:t>
      </w:r>
      <w:r w:rsidRPr="00F84D1D">
        <w:rPr>
          <w:rFonts w:ascii="Arial" w:hAnsi="Arial" w:cs="Arial"/>
          <w:i/>
        </w:rPr>
        <w:t>treptococcus</w:t>
      </w:r>
      <w:r w:rsidRPr="00A56437">
        <w:rPr>
          <w:rFonts w:ascii="Arial" w:hAnsi="Arial" w:cs="Arial"/>
        </w:rPr>
        <w:t>, GBS) is an important cause of</w:t>
      </w:r>
      <w:r w:rsidR="00216C68">
        <w:rPr>
          <w:rFonts w:ascii="Arial" w:hAnsi="Arial" w:cs="Arial"/>
        </w:rPr>
        <w:t xml:space="preserve"> </w:t>
      </w:r>
      <w:r w:rsidR="00EE7A36" w:rsidRPr="00A56437">
        <w:rPr>
          <w:rFonts w:ascii="Arial" w:hAnsi="Arial" w:cs="Arial"/>
        </w:rPr>
        <w:t>disease</w:t>
      </w:r>
      <w:r w:rsidRPr="00A56437">
        <w:rPr>
          <w:rFonts w:ascii="Arial" w:hAnsi="Arial" w:cs="Arial"/>
        </w:rPr>
        <w:t xml:space="preserve"> in neonates</w:t>
      </w:r>
      <w:r w:rsidR="00533275" w:rsidRPr="00A56437">
        <w:rPr>
          <w:rFonts w:ascii="Arial" w:hAnsi="Arial" w:cs="Arial"/>
        </w:rPr>
        <w:t xml:space="preserve"> and</w:t>
      </w:r>
      <w:r w:rsidRPr="00A56437">
        <w:rPr>
          <w:rFonts w:ascii="Arial" w:hAnsi="Arial" w:cs="Arial"/>
        </w:rPr>
        <w:t xml:space="preserve"> </w:t>
      </w:r>
      <w:r w:rsidR="005E0E99" w:rsidRPr="00A56437">
        <w:rPr>
          <w:rFonts w:ascii="Arial" w:hAnsi="Arial" w:cs="Arial"/>
        </w:rPr>
        <w:t xml:space="preserve">young </w:t>
      </w:r>
      <w:r w:rsidRPr="00A56437">
        <w:rPr>
          <w:rFonts w:ascii="Arial" w:hAnsi="Arial" w:cs="Arial"/>
        </w:rPr>
        <w:t>infants.</w:t>
      </w:r>
      <w:r w:rsidR="00EE7A36" w:rsidRPr="00A56437">
        <w:rPr>
          <w:rFonts w:ascii="Arial" w:hAnsi="Arial" w:cs="Arial"/>
        </w:rPr>
        <w:t xml:space="preserve"> It </w:t>
      </w:r>
      <w:r w:rsidRPr="00A56437">
        <w:rPr>
          <w:rFonts w:ascii="Arial" w:hAnsi="Arial" w:cs="Arial"/>
        </w:rPr>
        <w:t>is the most common cause of serious bacterial infections (septicaemia, pneumonia) in the first week of life and of meningitis in the first three months of life.</w:t>
      </w:r>
      <w:r w:rsidR="00657350" w:rsidRPr="00A56437">
        <w:rPr>
          <w:rFonts w:ascii="Arial" w:hAnsi="Arial" w:cs="Arial"/>
          <w:vertAlign w:val="superscript"/>
        </w:rPr>
        <w:t>1</w:t>
      </w:r>
      <w:r w:rsidR="0027684C">
        <w:rPr>
          <w:rFonts w:ascii="Arial" w:hAnsi="Arial" w:cs="Arial"/>
          <w:vertAlign w:val="superscript"/>
        </w:rPr>
        <w:t>-2</w:t>
      </w:r>
      <w:r w:rsidR="00A71E64" w:rsidRPr="00A56437">
        <w:rPr>
          <w:rFonts w:ascii="Arial" w:hAnsi="Arial" w:cs="Arial"/>
        </w:rPr>
        <w:t xml:space="preserve"> </w:t>
      </w:r>
      <w:r w:rsidR="00F84D1D">
        <w:rPr>
          <w:rFonts w:ascii="Arial" w:hAnsi="Arial" w:cs="Arial"/>
        </w:rPr>
        <w:t xml:space="preserve">GBS meningitis </w:t>
      </w:r>
      <w:r w:rsidR="00CA78B6">
        <w:rPr>
          <w:rFonts w:ascii="Arial" w:hAnsi="Arial" w:cs="Arial"/>
        </w:rPr>
        <w:t xml:space="preserve">is associated with significant </w:t>
      </w:r>
      <w:r w:rsidR="005E0E99" w:rsidRPr="00A56437">
        <w:rPr>
          <w:rFonts w:ascii="Arial" w:hAnsi="Arial" w:cs="Arial"/>
        </w:rPr>
        <w:t xml:space="preserve">long-term </w:t>
      </w:r>
      <w:r w:rsidRPr="00A56437">
        <w:rPr>
          <w:rFonts w:ascii="Arial" w:hAnsi="Arial" w:cs="Arial"/>
        </w:rPr>
        <w:t>neurodisability</w:t>
      </w:r>
      <w:r w:rsidR="00A71E64" w:rsidRPr="00A56437">
        <w:rPr>
          <w:rFonts w:ascii="Arial" w:hAnsi="Arial" w:cs="Arial"/>
        </w:rPr>
        <w:t>.</w:t>
      </w:r>
      <w:r w:rsidR="009A5697" w:rsidRPr="00A56437">
        <w:rPr>
          <w:rFonts w:ascii="Arial" w:hAnsi="Arial" w:cs="Arial"/>
          <w:vertAlign w:val="superscript"/>
        </w:rPr>
        <w:t xml:space="preserve">3 </w:t>
      </w:r>
      <w:r w:rsidR="00A71E64" w:rsidRPr="00A56437">
        <w:rPr>
          <w:rFonts w:ascii="Arial" w:hAnsi="Arial" w:cs="Arial"/>
          <w:vertAlign w:val="superscript"/>
        </w:rPr>
        <w:t xml:space="preserve"> </w:t>
      </w:r>
      <w:r w:rsidR="00910B09" w:rsidRPr="00216C68">
        <w:rPr>
          <w:rFonts w:ascii="Arial" w:hAnsi="Arial" w:cs="Arial"/>
        </w:rPr>
        <w:t>In a recent systematic review and meta</w:t>
      </w:r>
      <w:r w:rsidR="00FE2F72" w:rsidRPr="00216C68">
        <w:rPr>
          <w:rFonts w:ascii="Arial" w:hAnsi="Arial" w:cs="Arial"/>
        </w:rPr>
        <w:t>-a</w:t>
      </w:r>
      <w:r w:rsidR="00910B09" w:rsidRPr="00216C68">
        <w:rPr>
          <w:rFonts w:ascii="Arial" w:hAnsi="Arial" w:cs="Arial"/>
        </w:rPr>
        <w:t>nalysis</w:t>
      </w:r>
      <w:r w:rsidR="00216C68">
        <w:rPr>
          <w:rFonts w:ascii="Arial" w:hAnsi="Arial" w:cs="Arial"/>
        </w:rPr>
        <w:t>,</w:t>
      </w:r>
      <w:r w:rsidR="00910B09" w:rsidRPr="00216C68">
        <w:rPr>
          <w:rFonts w:ascii="Arial" w:hAnsi="Arial" w:cs="Arial"/>
        </w:rPr>
        <w:t xml:space="preserve"> the mean case fatality ratio </w:t>
      </w:r>
      <w:r w:rsidR="00216C68">
        <w:rPr>
          <w:rFonts w:ascii="Arial" w:hAnsi="Arial" w:cs="Arial"/>
        </w:rPr>
        <w:t>for</w:t>
      </w:r>
      <w:r w:rsidR="00910B09" w:rsidRPr="00216C68">
        <w:rPr>
          <w:rFonts w:ascii="Arial" w:hAnsi="Arial" w:cs="Arial"/>
        </w:rPr>
        <w:t xml:space="preserve"> invasive GBS disease </w:t>
      </w:r>
      <w:r w:rsidR="00216C68">
        <w:rPr>
          <w:rFonts w:ascii="Arial" w:hAnsi="Arial" w:cs="Arial"/>
        </w:rPr>
        <w:t xml:space="preserve">in infants </w:t>
      </w:r>
      <w:r w:rsidR="00910B09" w:rsidRPr="00216C68">
        <w:rPr>
          <w:rFonts w:ascii="Arial" w:hAnsi="Arial" w:cs="Arial"/>
        </w:rPr>
        <w:t>was 9·6%</w:t>
      </w:r>
      <w:r w:rsidR="00CA78B6">
        <w:rPr>
          <w:rFonts w:ascii="Arial" w:hAnsi="Arial" w:cs="Arial"/>
        </w:rPr>
        <w:t xml:space="preserve">, </w:t>
      </w:r>
      <w:r w:rsidR="00910B09" w:rsidRPr="00216C68">
        <w:rPr>
          <w:rFonts w:ascii="Arial" w:hAnsi="Arial" w:cs="Arial"/>
        </w:rPr>
        <w:t>three times higher in low-income countries (12·6%) than in high-income countries (4·6%).</w:t>
      </w:r>
      <w:r w:rsidR="00FE2F72" w:rsidRPr="00FE2F72">
        <w:rPr>
          <w:rFonts w:ascii="Arial" w:hAnsi="Arial" w:cs="Arial"/>
          <w:vertAlign w:val="superscript"/>
        </w:rPr>
        <w:t>4</w:t>
      </w:r>
      <w:r w:rsidR="00FE2F72" w:rsidRPr="00A56437">
        <w:rPr>
          <w:rFonts w:ascii="Arial" w:hAnsi="Arial" w:cs="Arial"/>
          <w:vertAlign w:val="superscript"/>
        </w:rPr>
        <w:t xml:space="preserve"> </w:t>
      </w:r>
      <w:r w:rsidR="00910B09">
        <w:rPr>
          <w:rFonts w:eastAsia="Times New Roman"/>
          <w:sz w:val="20"/>
          <w:szCs w:val="20"/>
        </w:rPr>
        <w:t xml:space="preserve"> </w:t>
      </w:r>
    </w:p>
    <w:p w14:paraId="5C35CE86" w14:textId="77777777" w:rsidR="00CA78B6" w:rsidRDefault="00CA78B6" w:rsidP="00216C68">
      <w:pPr>
        <w:spacing w:line="360" w:lineRule="auto"/>
        <w:rPr>
          <w:rFonts w:eastAsia="Times New Roman"/>
          <w:sz w:val="20"/>
          <w:szCs w:val="20"/>
        </w:rPr>
      </w:pPr>
    </w:p>
    <w:p w14:paraId="0DE35319" w14:textId="1F2DD5D1" w:rsidR="00F828FA" w:rsidRDefault="00F828FA" w:rsidP="00216C68">
      <w:pPr>
        <w:spacing w:line="360" w:lineRule="auto"/>
        <w:rPr>
          <w:rFonts w:ascii="Arial" w:hAnsi="Arial" w:cs="Arial"/>
        </w:rPr>
      </w:pPr>
      <w:r w:rsidRPr="000E6468">
        <w:rPr>
          <w:rFonts w:ascii="Arial" w:hAnsi="Arial" w:cs="Arial"/>
        </w:rPr>
        <w:t xml:space="preserve">GBS </w:t>
      </w:r>
      <w:r w:rsidR="005E0E99" w:rsidRPr="00620E01">
        <w:rPr>
          <w:rFonts w:ascii="Arial" w:hAnsi="Arial" w:cs="Arial"/>
        </w:rPr>
        <w:t>colonises</w:t>
      </w:r>
      <w:r w:rsidRPr="00620E01">
        <w:rPr>
          <w:rFonts w:ascii="Arial" w:hAnsi="Arial" w:cs="Arial"/>
        </w:rPr>
        <w:t xml:space="preserve"> the gastrointestinal and genital tracts of </w:t>
      </w:r>
      <w:r w:rsidR="00801102" w:rsidRPr="00620E01">
        <w:rPr>
          <w:rFonts w:ascii="Arial" w:hAnsi="Arial" w:cs="Arial"/>
        </w:rPr>
        <w:t xml:space="preserve">around </w:t>
      </w:r>
      <w:r w:rsidRPr="00620E01">
        <w:rPr>
          <w:rFonts w:ascii="Arial" w:hAnsi="Arial" w:cs="Arial"/>
        </w:rPr>
        <w:t>2</w:t>
      </w:r>
      <w:r w:rsidR="00801102" w:rsidRPr="00620E01">
        <w:rPr>
          <w:rFonts w:ascii="Arial" w:hAnsi="Arial" w:cs="Arial"/>
        </w:rPr>
        <w:t>0</w:t>
      </w:r>
      <w:r w:rsidRPr="00620E01">
        <w:rPr>
          <w:rFonts w:ascii="Arial" w:hAnsi="Arial" w:cs="Arial"/>
        </w:rPr>
        <w:t>% of pregnant women</w:t>
      </w:r>
      <w:r w:rsidR="00113FE6" w:rsidRPr="00620E01">
        <w:rPr>
          <w:rFonts w:ascii="Arial" w:hAnsi="Arial" w:cs="Arial"/>
        </w:rPr>
        <w:t>.</w:t>
      </w:r>
      <w:r w:rsidR="00C24B2D">
        <w:rPr>
          <w:rFonts w:ascii="Arial" w:hAnsi="Arial" w:cs="Arial"/>
          <w:vertAlign w:val="superscript"/>
        </w:rPr>
        <w:t>5</w:t>
      </w:r>
      <w:r w:rsidRPr="00620E01">
        <w:rPr>
          <w:rFonts w:ascii="Arial" w:hAnsi="Arial" w:cs="Arial"/>
        </w:rPr>
        <w:t xml:space="preserve"> Transmission from colonised mothers to their infants can occur prior to or during birth</w:t>
      </w:r>
      <w:r w:rsidR="00216C68">
        <w:rPr>
          <w:rFonts w:ascii="Arial" w:hAnsi="Arial" w:cs="Arial"/>
        </w:rPr>
        <w:t>,</w:t>
      </w:r>
      <w:r w:rsidRPr="00620E01">
        <w:rPr>
          <w:rFonts w:ascii="Arial" w:hAnsi="Arial" w:cs="Arial"/>
        </w:rPr>
        <w:t xml:space="preserve"> and this may result in </w:t>
      </w:r>
      <w:r w:rsidR="00CA78B6" w:rsidRPr="00A56437">
        <w:rPr>
          <w:rFonts w:ascii="Arial" w:hAnsi="Arial" w:cs="Arial"/>
        </w:rPr>
        <w:t>early onset disease</w:t>
      </w:r>
      <w:r w:rsidR="00CA78B6">
        <w:rPr>
          <w:rFonts w:ascii="Arial" w:hAnsi="Arial" w:cs="Arial"/>
        </w:rPr>
        <w:t xml:space="preserve"> (in the first 6 days of life</w:t>
      </w:r>
      <w:r w:rsidR="00CA78B6" w:rsidRPr="00A56437">
        <w:rPr>
          <w:rFonts w:ascii="Arial" w:hAnsi="Arial" w:cs="Arial"/>
        </w:rPr>
        <w:t>, EOD</w:t>
      </w:r>
      <w:r w:rsidR="00CA78B6">
        <w:rPr>
          <w:rFonts w:ascii="Arial" w:hAnsi="Arial" w:cs="Arial"/>
        </w:rPr>
        <w:t>)</w:t>
      </w:r>
      <w:r w:rsidRPr="00620E01">
        <w:rPr>
          <w:rFonts w:ascii="Arial" w:hAnsi="Arial" w:cs="Arial"/>
        </w:rPr>
        <w:t xml:space="preserve">. </w:t>
      </w:r>
      <w:r w:rsidR="00801102" w:rsidRPr="00620E01">
        <w:rPr>
          <w:rFonts w:ascii="Arial" w:hAnsi="Arial" w:cs="Arial"/>
        </w:rPr>
        <w:t>Late onset disease (LO</w:t>
      </w:r>
      <w:r w:rsidR="00B362D2" w:rsidRPr="00620E01">
        <w:rPr>
          <w:rFonts w:ascii="Arial" w:hAnsi="Arial" w:cs="Arial"/>
        </w:rPr>
        <w:t>D</w:t>
      </w:r>
      <w:r w:rsidR="00801102" w:rsidRPr="00620E01">
        <w:rPr>
          <w:rFonts w:ascii="Arial" w:hAnsi="Arial" w:cs="Arial"/>
        </w:rPr>
        <w:t xml:space="preserve">) </w:t>
      </w:r>
      <w:r w:rsidRPr="00620E01">
        <w:rPr>
          <w:rFonts w:ascii="Arial" w:hAnsi="Arial" w:cs="Arial"/>
        </w:rPr>
        <w:t>(7-89 days of age</w:t>
      </w:r>
      <w:r w:rsidR="000609FC" w:rsidRPr="00620E01">
        <w:rPr>
          <w:rFonts w:ascii="Arial" w:hAnsi="Arial" w:cs="Arial"/>
        </w:rPr>
        <w:t xml:space="preserve">) </w:t>
      </w:r>
      <w:r w:rsidR="00801102" w:rsidRPr="00620E01">
        <w:rPr>
          <w:rFonts w:ascii="Arial" w:hAnsi="Arial" w:cs="Arial"/>
        </w:rPr>
        <w:t xml:space="preserve">can </w:t>
      </w:r>
      <w:r w:rsidR="00EE7A36" w:rsidRPr="00620E01">
        <w:rPr>
          <w:rFonts w:ascii="Arial" w:hAnsi="Arial" w:cs="Arial"/>
        </w:rPr>
        <w:t>also result from vertical transmission</w:t>
      </w:r>
      <w:r w:rsidRPr="00620E01">
        <w:rPr>
          <w:rFonts w:ascii="Arial" w:hAnsi="Arial" w:cs="Arial"/>
        </w:rPr>
        <w:t xml:space="preserve"> </w:t>
      </w:r>
      <w:r w:rsidR="00CA78B6">
        <w:rPr>
          <w:rFonts w:ascii="Arial" w:hAnsi="Arial" w:cs="Arial"/>
        </w:rPr>
        <w:t xml:space="preserve">but also </w:t>
      </w:r>
      <w:r w:rsidRPr="00620E01">
        <w:rPr>
          <w:rFonts w:ascii="Arial" w:hAnsi="Arial" w:cs="Arial"/>
        </w:rPr>
        <w:t xml:space="preserve">from </w:t>
      </w:r>
      <w:r w:rsidR="00EE7A36" w:rsidRPr="00620E01">
        <w:rPr>
          <w:rFonts w:ascii="Arial" w:hAnsi="Arial" w:cs="Arial"/>
        </w:rPr>
        <w:t xml:space="preserve">nosocomial or community </w:t>
      </w:r>
      <w:r w:rsidRPr="00620E01">
        <w:rPr>
          <w:rFonts w:ascii="Arial" w:hAnsi="Arial" w:cs="Arial"/>
        </w:rPr>
        <w:t xml:space="preserve">transmission. </w:t>
      </w:r>
      <w:r w:rsidR="00533275" w:rsidRPr="00620E01">
        <w:rPr>
          <w:rFonts w:ascii="Arial" w:hAnsi="Arial" w:cs="Arial"/>
        </w:rPr>
        <w:t>Intravenous antibiotics given to the mother during labour may prevent EO</w:t>
      </w:r>
      <w:r w:rsidR="002518AB" w:rsidRPr="00620E01">
        <w:rPr>
          <w:rFonts w:ascii="Arial" w:hAnsi="Arial" w:cs="Arial"/>
        </w:rPr>
        <w:t>D</w:t>
      </w:r>
      <w:r w:rsidR="00533275" w:rsidRPr="00620E01">
        <w:rPr>
          <w:rFonts w:ascii="Arial" w:hAnsi="Arial" w:cs="Arial"/>
        </w:rPr>
        <w:t xml:space="preserve"> and</w:t>
      </w:r>
      <w:r w:rsidR="00EE7A36" w:rsidRPr="00620E01">
        <w:rPr>
          <w:rFonts w:ascii="Arial" w:hAnsi="Arial" w:cs="Arial"/>
        </w:rPr>
        <w:t xml:space="preserve"> </w:t>
      </w:r>
      <w:r w:rsidR="00801102" w:rsidRPr="00620E01">
        <w:rPr>
          <w:rFonts w:ascii="Arial" w:hAnsi="Arial" w:cs="Arial"/>
        </w:rPr>
        <w:t xml:space="preserve">intrapartum antibiotic prophylaxis (IAP) </w:t>
      </w:r>
      <w:r w:rsidR="00EE7A36" w:rsidRPr="00620E01">
        <w:rPr>
          <w:rFonts w:ascii="Arial" w:hAnsi="Arial" w:cs="Arial"/>
        </w:rPr>
        <w:t xml:space="preserve">strategies have been adopted in </w:t>
      </w:r>
      <w:r w:rsidR="00775D31">
        <w:rPr>
          <w:rFonts w:ascii="Arial" w:hAnsi="Arial" w:cs="Arial"/>
        </w:rPr>
        <w:t>many</w:t>
      </w:r>
      <w:r w:rsidR="00775D31" w:rsidRPr="00620E01">
        <w:rPr>
          <w:rFonts w:ascii="Arial" w:hAnsi="Arial" w:cs="Arial"/>
        </w:rPr>
        <w:t xml:space="preserve"> </w:t>
      </w:r>
      <w:r w:rsidR="00670D48" w:rsidRPr="00620E01">
        <w:rPr>
          <w:rFonts w:ascii="Arial" w:hAnsi="Arial" w:cs="Arial"/>
        </w:rPr>
        <w:t>countries.</w:t>
      </w:r>
      <w:r w:rsidR="00C24B2D">
        <w:rPr>
          <w:rFonts w:ascii="Arial" w:hAnsi="Arial" w:cs="Arial"/>
          <w:vertAlign w:val="superscript"/>
        </w:rPr>
        <w:t>6</w:t>
      </w:r>
      <w:r w:rsidR="00620E01" w:rsidRPr="00620E01">
        <w:rPr>
          <w:rFonts w:ascii="Arial" w:hAnsi="Arial" w:cs="Arial"/>
          <w:vertAlign w:val="superscript"/>
        </w:rPr>
        <w:t>–</w:t>
      </w:r>
      <w:r w:rsidR="00C24B2D">
        <w:rPr>
          <w:rFonts w:ascii="Arial" w:hAnsi="Arial" w:cs="Arial"/>
          <w:vertAlign w:val="superscript"/>
        </w:rPr>
        <w:t>8</w:t>
      </w:r>
      <w:r w:rsidR="006D3565">
        <w:rPr>
          <w:rFonts w:ascii="Arial" w:hAnsi="Arial" w:cs="Arial"/>
          <w:vertAlign w:val="superscript"/>
        </w:rPr>
        <w:t xml:space="preserve"> </w:t>
      </w:r>
      <w:r w:rsidR="00801102" w:rsidRPr="00620E01">
        <w:rPr>
          <w:rFonts w:ascii="Arial" w:hAnsi="Arial" w:cs="Arial"/>
        </w:rPr>
        <w:t xml:space="preserve">Such strategies </w:t>
      </w:r>
      <w:r w:rsidR="00252E84" w:rsidRPr="00620E01">
        <w:rPr>
          <w:rFonts w:ascii="Arial" w:hAnsi="Arial" w:cs="Arial"/>
        </w:rPr>
        <w:t xml:space="preserve">are based </w:t>
      </w:r>
      <w:r w:rsidR="00533275" w:rsidRPr="00620E01">
        <w:rPr>
          <w:rFonts w:ascii="Arial" w:hAnsi="Arial" w:cs="Arial"/>
        </w:rPr>
        <w:t xml:space="preserve">either </w:t>
      </w:r>
      <w:r w:rsidR="00252E84" w:rsidRPr="00620E01">
        <w:rPr>
          <w:rFonts w:ascii="Arial" w:hAnsi="Arial" w:cs="Arial"/>
        </w:rPr>
        <w:t xml:space="preserve">on identifying at-risk women using swab-based screening or on the presence of </w:t>
      </w:r>
      <w:r w:rsidR="00F30DE6">
        <w:rPr>
          <w:rFonts w:ascii="Arial" w:hAnsi="Arial" w:cs="Arial"/>
        </w:rPr>
        <w:t xml:space="preserve">clinical </w:t>
      </w:r>
      <w:r w:rsidR="00252E84" w:rsidRPr="00620E01">
        <w:rPr>
          <w:rFonts w:ascii="Arial" w:hAnsi="Arial" w:cs="Arial"/>
        </w:rPr>
        <w:t>risk factors</w:t>
      </w:r>
      <w:r w:rsidR="005813F1">
        <w:rPr>
          <w:rFonts w:ascii="Arial" w:hAnsi="Arial" w:cs="Arial"/>
        </w:rPr>
        <w:t>.</w:t>
      </w:r>
      <w:r w:rsidR="00C24B2D">
        <w:rPr>
          <w:rFonts w:ascii="Arial" w:hAnsi="Arial" w:cs="Arial"/>
          <w:vertAlign w:val="superscript"/>
        </w:rPr>
        <w:t>9</w:t>
      </w:r>
      <w:r w:rsidR="005813F1">
        <w:rPr>
          <w:rFonts w:ascii="Arial" w:hAnsi="Arial" w:cs="Arial"/>
        </w:rPr>
        <w:t xml:space="preserve"> </w:t>
      </w:r>
      <w:r w:rsidR="00FB30BF">
        <w:rPr>
          <w:rFonts w:ascii="Arial" w:hAnsi="Arial" w:cs="Arial"/>
        </w:rPr>
        <w:t xml:space="preserve">IAP-based </w:t>
      </w:r>
      <w:r w:rsidR="00801102">
        <w:rPr>
          <w:rFonts w:ascii="Arial" w:hAnsi="Arial" w:cs="Arial"/>
        </w:rPr>
        <w:t xml:space="preserve">strategies, however, do not prevent </w:t>
      </w:r>
      <w:r w:rsidRPr="000E6468">
        <w:rPr>
          <w:rFonts w:ascii="Arial" w:hAnsi="Arial" w:cs="Arial"/>
        </w:rPr>
        <w:t>LO</w:t>
      </w:r>
      <w:r w:rsidR="00620E01">
        <w:rPr>
          <w:rFonts w:ascii="Arial" w:hAnsi="Arial" w:cs="Arial"/>
        </w:rPr>
        <w:t>D</w:t>
      </w:r>
      <w:r w:rsidR="00801102">
        <w:rPr>
          <w:rFonts w:ascii="Arial" w:hAnsi="Arial" w:cs="Arial"/>
        </w:rPr>
        <w:t xml:space="preserve">. </w:t>
      </w:r>
    </w:p>
    <w:p w14:paraId="478044E5" w14:textId="77777777" w:rsidR="00CA78B6" w:rsidRDefault="00CA78B6" w:rsidP="00CA78B6">
      <w:pPr>
        <w:spacing w:line="360" w:lineRule="auto"/>
        <w:rPr>
          <w:rFonts w:ascii="Arial" w:hAnsi="Arial" w:cs="Arial"/>
        </w:rPr>
      </w:pPr>
    </w:p>
    <w:p w14:paraId="62F154AF" w14:textId="2E6076F6" w:rsidR="00CA78B6" w:rsidRPr="001B694F" w:rsidRDefault="00CA78B6" w:rsidP="00CA78B6">
      <w:pPr>
        <w:spacing w:line="360" w:lineRule="auto"/>
        <w:rPr>
          <w:rFonts w:ascii="Arial" w:hAnsi="Arial" w:cs="Arial"/>
          <w:vertAlign w:val="superscript"/>
        </w:rPr>
      </w:pPr>
      <w:r w:rsidRPr="00A56437">
        <w:rPr>
          <w:rFonts w:ascii="Arial" w:hAnsi="Arial" w:cs="Arial"/>
        </w:rPr>
        <w:t xml:space="preserve">In 2000-2001, we conducted the first </w:t>
      </w:r>
      <w:r>
        <w:rPr>
          <w:rFonts w:ascii="Arial" w:hAnsi="Arial" w:cs="Arial"/>
        </w:rPr>
        <w:t>enhanced</w:t>
      </w:r>
      <w:r w:rsidRPr="00A56437">
        <w:rPr>
          <w:rFonts w:ascii="Arial" w:hAnsi="Arial" w:cs="Arial"/>
        </w:rPr>
        <w:t xml:space="preserve"> national surveillance of GBS in the UK and Ireland</w:t>
      </w:r>
      <w:r w:rsidR="00216C68">
        <w:rPr>
          <w:rFonts w:ascii="Arial" w:hAnsi="Arial" w:cs="Arial"/>
        </w:rPr>
        <w:t>.</w:t>
      </w:r>
      <w:r w:rsidR="00216C68">
        <w:rPr>
          <w:rFonts w:ascii="Arial" w:hAnsi="Arial" w:cs="Arial"/>
          <w:vertAlign w:val="superscript"/>
        </w:rPr>
        <w:t>10</w:t>
      </w:r>
      <w:r w:rsidR="00216C68" w:rsidRPr="00A56437">
        <w:rPr>
          <w:rFonts w:ascii="Arial" w:hAnsi="Arial" w:cs="Arial"/>
        </w:rPr>
        <w:t xml:space="preserve"> </w:t>
      </w:r>
      <w:r w:rsidR="00216C68">
        <w:rPr>
          <w:rFonts w:ascii="Arial" w:hAnsi="Arial" w:cs="Arial"/>
        </w:rPr>
        <w:t xml:space="preserve">We </w:t>
      </w:r>
      <w:r w:rsidRPr="00A56437">
        <w:rPr>
          <w:rFonts w:ascii="Arial" w:hAnsi="Arial" w:cs="Arial"/>
        </w:rPr>
        <w:t xml:space="preserve">identified 568 </w:t>
      </w:r>
      <w:r w:rsidRPr="006D3565">
        <w:rPr>
          <w:rFonts w:ascii="Arial" w:hAnsi="Arial" w:cs="Arial"/>
        </w:rPr>
        <w:t xml:space="preserve">cases </w:t>
      </w:r>
      <w:r w:rsidR="00216C68" w:rsidRPr="006D3565">
        <w:rPr>
          <w:rFonts w:ascii="Arial" w:hAnsi="Arial" w:cs="Arial"/>
        </w:rPr>
        <w:t xml:space="preserve">(incidence, </w:t>
      </w:r>
      <w:r w:rsidR="006D3565" w:rsidRPr="00120A36">
        <w:rPr>
          <w:rFonts w:ascii="Arial" w:hAnsi="Arial" w:cs="Arial"/>
        </w:rPr>
        <w:t>0</w:t>
      </w:r>
      <w:r w:rsidR="00BE6C9D" w:rsidRPr="0026418C">
        <w:rPr>
          <w:rFonts w:ascii="Arial" w:hAnsi="Arial" w:cs="Arial"/>
        </w:rPr>
        <w:t>·</w:t>
      </w:r>
      <w:r w:rsidR="006D3565" w:rsidRPr="00120A36">
        <w:rPr>
          <w:rFonts w:ascii="Arial" w:hAnsi="Arial" w:cs="Arial"/>
        </w:rPr>
        <w:t>72</w:t>
      </w:r>
      <w:r w:rsidR="00216C68" w:rsidRPr="006D3565">
        <w:rPr>
          <w:rFonts w:ascii="Arial" w:hAnsi="Arial" w:cs="Arial"/>
        </w:rPr>
        <w:t xml:space="preserve">/1,000 live-births) </w:t>
      </w:r>
      <w:r w:rsidRPr="006D3565">
        <w:rPr>
          <w:rFonts w:ascii="Arial" w:hAnsi="Arial" w:cs="Arial"/>
        </w:rPr>
        <w:t>in the first three months of life, including 3</w:t>
      </w:r>
      <w:r w:rsidRPr="00A56437">
        <w:rPr>
          <w:rFonts w:ascii="Arial" w:hAnsi="Arial" w:cs="Arial"/>
        </w:rPr>
        <w:t xml:space="preserve">77 </w:t>
      </w:r>
      <w:r w:rsidR="006D3565">
        <w:rPr>
          <w:rFonts w:ascii="Arial" w:hAnsi="Arial" w:cs="Arial"/>
        </w:rPr>
        <w:t xml:space="preserve">EOD </w:t>
      </w:r>
      <w:r w:rsidRPr="00A56437">
        <w:rPr>
          <w:rFonts w:ascii="Arial" w:hAnsi="Arial" w:cs="Arial"/>
        </w:rPr>
        <w:t xml:space="preserve">cases </w:t>
      </w:r>
      <w:r w:rsidR="006D3565">
        <w:rPr>
          <w:rFonts w:ascii="Arial" w:hAnsi="Arial" w:cs="Arial"/>
        </w:rPr>
        <w:t>(</w:t>
      </w:r>
      <w:r w:rsidR="00216C68">
        <w:rPr>
          <w:rFonts w:ascii="Arial" w:hAnsi="Arial" w:cs="Arial"/>
        </w:rPr>
        <w:t xml:space="preserve">incidence </w:t>
      </w:r>
      <w:r w:rsidRPr="00A56437">
        <w:rPr>
          <w:rFonts w:ascii="Arial" w:hAnsi="Arial" w:cs="Arial"/>
        </w:rPr>
        <w:t>0·48/1,000 live</w:t>
      </w:r>
      <w:r w:rsidR="00216C68">
        <w:rPr>
          <w:rFonts w:ascii="Arial" w:hAnsi="Arial" w:cs="Arial"/>
        </w:rPr>
        <w:t>-</w:t>
      </w:r>
      <w:r w:rsidRPr="00A56437">
        <w:rPr>
          <w:rFonts w:ascii="Arial" w:hAnsi="Arial" w:cs="Arial"/>
        </w:rPr>
        <w:t xml:space="preserve">births). </w:t>
      </w:r>
    </w:p>
    <w:p w14:paraId="65C8A743" w14:textId="77777777" w:rsidR="004602F8" w:rsidRDefault="004602F8" w:rsidP="008A3461">
      <w:pPr>
        <w:spacing w:line="480" w:lineRule="auto"/>
        <w:rPr>
          <w:rFonts w:ascii="Arial" w:hAnsi="Arial" w:cs="Arial"/>
        </w:rPr>
      </w:pPr>
    </w:p>
    <w:p w14:paraId="61B0C268" w14:textId="563064E0" w:rsidR="00252E84" w:rsidRDefault="001A0AB4" w:rsidP="008A3461">
      <w:pPr>
        <w:spacing w:line="480" w:lineRule="auto"/>
        <w:rPr>
          <w:rFonts w:ascii="Arial" w:hAnsi="Arial" w:cs="Arial"/>
        </w:rPr>
      </w:pPr>
      <w:r>
        <w:rPr>
          <w:rFonts w:ascii="Arial" w:hAnsi="Arial" w:cs="Arial"/>
        </w:rPr>
        <w:t xml:space="preserve">Several initiatives have </w:t>
      </w:r>
      <w:r w:rsidR="00CA78B6">
        <w:rPr>
          <w:rFonts w:ascii="Arial" w:hAnsi="Arial" w:cs="Arial"/>
        </w:rPr>
        <w:t xml:space="preserve">subsequently </w:t>
      </w:r>
      <w:r>
        <w:rPr>
          <w:rFonts w:ascii="Arial" w:hAnsi="Arial" w:cs="Arial"/>
        </w:rPr>
        <w:t xml:space="preserve">been implemented </w:t>
      </w:r>
      <w:r w:rsidR="000609FC">
        <w:rPr>
          <w:rFonts w:ascii="Arial" w:hAnsi="Arial" w:cs="Arial"/>
        </w:rPr>
        <w:t>in the UK and Ireland</w:t>
      </w:r>
      <w:r w:rsidR="006A376A">
        <w:rPr>
          <w:rFonts w:ascii="Arial" w:hAnsi="Arial" w:cs="Arial"/>
        </w:rPr>
        <w:t xml:space="preserve"> </w:t>
      </w:r>
      <w:r w:rsidR="00EE19C0">
        <w:rPr>
          <w:rFonts w:ascii="Arial" w:hAnsi="Arial" w:cs="Arial"/>
        </w:rPr>
        <w:t>which</w:t>
      </w:r>
      <w:r w:rsidR="00F828FA" w:rsidRPr="000E6468">
        <w:rPr>
          <w:rFonts w:ascii="Arial" w:hAnsi="Arial" w:cs="Arial"/>
        </w:rPr>
        <w:t xml:space="preserve"> </w:t>
      </w:r>
      <w:r w:rsidR="00A856FD">
        <w:rPr>
          <w:rFonts w:ascii="Arial" w:hAnsi="Arial" w:cs="Arial"/>
        </w:rPr>
        <w:t xml:space="preserve">may </w:t>
      </w:r>
      <w:r w:rsidR="00F828FA" w:rsidRPr="000E6468">
        <w:rPr>
          <w:rFonts w:ascii="Arial" w:hAnsi="Arial" w:cs="Arial"/>
        </w:rPr>
        <w:t xml:space="preserve">have </w:t>
      </w:r>
      <w:r w:rsidR="00EE19C0">
        <w:rPr>
          <w:rFonts w:ascii="Arial" w:hAnsi="Arial" w:cs="Arial"/>
        </w:rPr>
        <w:t xml:space="preserve">had </w:t>
      </w:r>
      <w:r w:rsidR="000609FC">
        <w:rPr>
          <w:rFonts w:ascii="Arial" w:hAnsi="Arial" w:cs="Arial"/>
        </w:rPr>
        <w:t xml:space="preserve">an </w:t>
      </w:r>
      <w:r w:rsidR="00EE19C0">
        <w:rPr>
          <w:rFonts w:ascii="Arial" w:hAnsi="Arial" w:cs="Arial"/>
        </w:rPr>
        <w:t>impact on the burden of disease</w:t>
      </w:r>
      <w:r w:rsidR="004E097C">
        <w:rPr>
          <w:rFonts w:ascii="Arial" w:hAnsi="Arial" w:cs="Arial"/>
        </w:rPr>
        <w:t xml:space="preserve"> in young infants</w:t>
      </w:r>
      <w:r w:rsidR="00F828FA" w:rsidRPr="000E6468">
        <w:rPr>
          <w:rFonts w:ascii="Arial" w:hAnsi="Arial" w:cs="Arial"/>
        </w:rPr>
        <w:t xml:space="preserve">. </w:t>
      </w:r>
      <w:r>
        <w:rPr>
          <w:rFonts w:ascii="Arial" w:hAnsi="Arial" w:cs="Arial"/>
        </w:rPr>
        <w:t>In 2003, t</w:t>
      </w:r>
      <w:r w:rsidR="00F828FA" w:rsidRPr="000E6468">
        <w:rPr>
          <w:rFonts w:ascii="Arial" w:hAnsi="Arial" w:cs="Arial"/>
        </w:rPr>
        <w:t xml:space="preserve">he Royal College of Obstetricians </w:t>
      </w:r>
      <w:r w:rsidR="00F828FA" w:rsidRPr="00620E01">
        <w:rPr>
          <w:rFonts w:ascii="Arial" w:hAnsi="Arial" w:cs="Arial"/>
        </w:rPr>
        <w:t xml:space="preserve">and Gynaecologists (RCOG) </w:t>
      </w:r>
      <w:r w:rsidR="00F828FA" w:rsidRPr="00620E01">
        <w:rPr>
          <w:rFonts w:ascii="Arial" w:hAnsi="Arial" w:cs="Arial"/>
        </w:rPr>
        <w:lastRenderedPageBreak/>
        <w:t xml:space="preserve">published </w:t>
      </w:r>
      <w:r w:rsidR="00FB30BF" w:rsidRPr="00620E01">
        <w:rPr>
          <w:rFonts w:ascii="Arial" w:hAnsi="Arial" w:cs="Arial"/>
        </w:rPr>
        <w:t xml:space="preserve">risk-based </w:t>
      </w:r>
      <w:r w:rsidR="00F828FA" w:rsidRPr="00620E01">
        <w:rPr>
          <w:rFonts w:ascii="Arial" w:hAnsi="Arial" w:cs="Arial"/>
        </w:rPr>
        <w:t xml:space="preserve">guidelines </w:t>
      </w:r>
      <w:r w:rsidR="00FB30BF" w:rsidRPr="00620E01">
        <w:rPr>
          <w:rFonts w:ascii="Arial" w:hAnsi="Arial" w:cs="Arial"/>
        </w:rPr>
        <w:t xml:space="preserve">for </w:t>
      </w:r>
      <w:r w:rsidR="00F828FA" w:rsidRPr="00620E01">
        <w:rPr>
          <w:rFonts w:ascii="Arial" w:hAnsi="Arial" w:cs="Arial"/>
        </w:rPr>
        <w:t>the prevention of EO</w:t>
      </w:r>
      <w:r w:rsidRPr="00620E01">
        <w:rPr>
          <w:rFonts w:ascii="Arial" w:hAnsi="Arial" w:cs="Arial"/>
        </w:rPr>
        <w:t>-</w:t>
      </w:r>
      <w:r w:rsidR="00F828FA" w:rsidRPr="00620E01">
        <w:rPr>
          <w:rFonts w:ascii="Arial" w:hAnsi="Arial" w:cs="Arial"/>
        </w:rPr>
        <w:t>GBS</w:t>
      </w:r>
      <w:r w:rsidR="00FB30BF" w:rsidRPr="00620E01">
        <w:rPr>
          <w:rFonts w:ascii="Arial" w:hAnsi="Arial" w:cs="Arial"/>
        </w:rPr>
        <w:t xml:space="preserve"> (</w:t>
      </w:r>
      <w:r w:rsidR="008A7CAE" w:rsidRPr="00620E01">
        <w:rPr>
          <w:rFonts w:ascii="Arial" w:hAnsi="Arial" w:cs="Arial"/>
        </w:rPr>
        <w:t>updated in 2012</w:t>
      </w:r>
      <w:r w:rsidR="00FB30BF" w:rsidRPr="00620E01">
        <w:rPr>
          <w:rFonts w:ascii="Arial" w:hAnsi="Arial" w:cs="Arial"/>
        </w:rPr>
        <w:t>)</w:t>
      </w:r>
      <w:r w:rsidR="004602F8" w:rsidRPr="00620E01">
        <w:rPr>
          <w:rFonts w:ascii="Arial" w:hAnsi="Arial" w:cs="Arial"/>
        </w:rPr>
        <w:t>.</w:t>
      </w:r>
      <w:r w:rsidR="00FE2F72">
        <w:rPr>
          <w:rFonts w:ascii="Arial" w:hAnsi="Arial" w:cs="Arial"/>
          <w:vertAlign w:val="superscript"/>
        </w:rPr>
        <w:t>7</w:t>
      </w:r>
      <w:r w:rsidR="00A71E64" w:rsidRPr="00620E01">
        <w:rPr>
          <w:rFonts w:ascii="Arial" w:hAnsi="Arial" w:cs="Arial"/>
        </w:rPr>
        <w:t xml:space="preserve"> </w:t>
      </w:r>
      <w:r w:rsidR="00FB30BF" w:rsidRPr="00620E01">
        <w:rPr>
          <w:rFonts w:ascii="Arial" w:hAnsi="Arial" w:cs="Arial"/>
        </w:rPr>
        <w:t>I</w:t>
      </w:r>
      <w:r w:rsidR="00EE19C0" w:rsidRPr="00620E01">
        <w:rPr>
          <w:rFonts w:ascii="Arial" w:hAnsi="Arial" w:cs="Arial"/>
        </w:rPr>
        <w:t>n</w:t>
      </w:r>
      <w:r w:rsidR="00EE19C0" w:rsidRPr="00A71C01">
        <w:rPr>
          <w:rFonts w:ascii="Arial" w:hAnsi="Arial" w:cs="Arial"/>
        </w:rPr>
        <w:t xml:space="preserve"> 20</w:t>
      </w:r>
      <w:r w:rsidR="00A71C01" w:rsidRPr="00A71C01">
        <w:rPr>
          <w:rFonts w:ascii="Arial" w:hAnsi="Arial" w:cs="Arial"/>
        </w:rPr>
        <w:t>12</w:t>
      </w:r>
      <w:r w:rsidR="00F828FA" w:rsidRPr="00A71C01">
        <w:rPr>
          <w:rFonts w:ascii="Arial" w:hAnsi="Arial" w:cs="Arial"/>
        </w:rPr>
        <w:t xml:space="preserve">, </w:t>
      </w:r>
      <w:r w:rsidR="00FB30BF">
        <w:rPr>
          <w:rFonts w:ascii="Arial" w:hAnsi="Arial" w:cs="Arial"/>
        </w:rPr>
        <w:t xml:space="preserve">the </w:t>
      </w:r>
      <w:r w:rsidR="00EE47E9">
        <w:rPr>
          <w:rFonts w:ascii="Arial" w:hAnsi="Arial" w:cs="Arial"/>
        </w:rPr>
        <w:t>National Institute for Health and Care Excellence</w:t>
      </w:r>
      <w:r w:rsidR="00FB30BF">
        <w:rPr>
          <w:rFonts w:ascii="Arial" w:hAnsi="Arial" w:cs="Arial"/>
        </w:rPr>
        <w:t xml:space="preserve"> (NICE)</w:t>
      </w:r>
      <w:r w:rsidR="00EE47E9">
        <w:rPr>
          <w:rFonts w:ascii="Arial" w:hAnsi="Arial" w:cs="Arial"/>
        </w:rPr>
        <w:t xml:space="preserve"> </w:t>
      </w:r>
      <w:r w:rsidR="00FB30BF">
        <w:rPr>
          <w:rFonts w:ascii="Arial" w:hAnsi="Arial" w:cs="Arial"/>
        </w:rPr>
        <w:t xml:space="preserve">published </w:t>
      </w:r>
      <w:r w:rsidR="00F828FA" w:rsidRPr="00A71C01">
        <w:rPr>
          <w:rFonts w:ascii="Arial" w:hAnsi="Arial" w:cs="Arial"/>
        </w:rPr>
        <w:t>guidelines on the prevention and treatment of early</w:t>
      </w:r>
      <w:r w:rsidR="00F828FA" w:rsidRPr="000E6468">
        <w:rPr>
          <w:rFonts w:ascii="Arial" w:hAnsi="Arial" w:cs="Arial"/>
        </w:rPr>
        <w:t xml:space="preserve"> onset </w:t>
      </w:r>
      <w:r w:rsidR="00113FE6">
        <w:rPr>
          <w:rFonts w:ascii="Arial" w:hAnsi="Arial" w:cs="Arial"/>
        </w:rPr>
        <w:t xml:space="preserve">neonatal </w:t>
      </w:r>
      <w:r w:rsidR="00F828FA" w:rsidRPr="000E6468">
        <w:rPr>
          <w:rFonts w:ascii="Arial" w:hAnsi="Arial" w:cs="Arial"/>
        </w:rPr>
        <w:t>infection</w:t>
      </w:r>
      <w:r w:rsidR="00C53D42">
        <w:rPr>
          <w:rFonts w:ascii="Arial" w:hAnsi="Arial" w:cs="Arial"/>
        </w:rPr>
        <w:t>,</w:t>
      </w:r>
      <w:r w:rsidR="00EE19C0">
        <w:rPr>
          <w:rFonts w:ascii="Arial" w:hAnsi="Arial" w:cs="Arial"/>
        </w:rPr>
        <w:t xml:space="preserve"> which extended the risk factor</w:t>
      </w:r>
      <w:r w:rsidR="00C53D42">
        <w:rPr>
          <w:rFonts w:ascii="Arial" w:hAnsi="Arial" w:cs="Arial"/>
        </w:rPr>
        <w:t>-</w:t>
      </w:r>
      <w:r w:rsidR="00EE19C0">
        <w:rPr>
          <w:rFonts w:ascii="Arial" w:hAnsi="Arial" w:cs="Arial"/>
        </w:rPr>
        <w:t>based approach</w:t>
      </w:r>
      <w:r w:rsidR="00E35C7A">
        <w:rPr>
          <w:rFonts w:ascii="Arial" w:hAnsi="Arial" w:cs="Arial"/>
        </w:rPr>
        <w:t xml:space="preserve"> to include </w:t>
      </w:r>
      <w:r w:rsidR="00E35C7A" w:rsidRPr="00530E4D">
        <w:rPr>
          <w:rFonts w:ascii="Arial" w:hAnsi="Arial" w:cs="Arial"/>
        </w:rPr>
        <w:t>premature p</w:t>
      </w:r>
      <w:r w:rsidR="00E35C7A">
        <w:rPr>
          <w:rFonts w:ascii="Arial" w:hAnsi="Arial" w:cs="Arial"/>
        </w:rPr>
        <w:t xml:space="preserve">re-labour rupture of membranes and </w:t>
      </w:r>
      <w:r w:rsidR="00E35C7A" w:rsidRPr="00530E4D">
        <w:rPr>
          <w:rFonts w:ascii="Arial" w:hAnsi="Arial" w:cs="Arial"/>
        </w:rPr>
        <w:t>premature rupture of membranes &gt;18 hours</w:t>
      </w:r>
      <w:r w:rsidR="00E35C7A">
        <w:rPr>
          <w:rFonts w:ascii="Arial" w:hAnsi="Arial" w:cs="Arial"/>
        </w:rPr>
        <w:t>.</w:t>
      </w:r>
      <w:r w:rsidR="005813F1">
        <w:rPr>
          <w:rFonts w:ascii="Arial" w:hAnsi="Arial" w:cs="Arial"/>
          <w:vertAlign w:val="superscript"/>
        </w:rPr>
        <w:t>1</w:t>
      </w:r>
      <w:r w:rsidR="00FE2F72">
        <w:rPr>
          <w:rFonts w:ascii="Arial" w:hAnsi="Arial" w:cs="Arial"/>
          <w:vertAlign w:val="superscript"/>
        </w:rPr>
        <w:t>1</w:t>
      </w:r>
      <w:r w:rsidR="00A74047" w:rsidRPr="00A74047">
        <w:rPr>
          <w:rFonts w:ascii="Arial" w:hAnsi="Arial" w:cs="Arial"/>
          <w:vertAlign w:val="superscript"/>
        </w:rPr>
        <w:t xml:space="preserve"> </w:t>
      </w:r>
    </w:p>
    <w:p w14:paraId="72DD0185" w14:textId="77777777" w:rsidR="003001A7" w:rsidRDefault="003001A7" w:rsidP="008A3461">
      <w:pPr>
        <w:spacing w:line="480" w:lineRule="auto"/>
        <w:rPr>
          <w:rFonts w:ascii="Arial" w:hAnsi="Arial" w:cs="Arial"/>
        </w:rPr>
      </w:pPr>
    </w:p>
    <w:p w14:paraId="4DBEB10F" w14:textId="5F8CBF53" w:rsidR="00C53D42" w:rsidRDefault="00FB30BF" w:rsidP="008A3461">
      <w:pPr>
        <w:spacing w:line="480" w:lineRule="auto"/>
        <w:rPr>
          <w:rFonts w:ascii="Arial" w:hAnsi="Arial" w:cs="Arial"/>
        </w:rPr>
      </w:pPr>
      <w:r>
        <w:rPr>
          <w:rFonts w:ascii="Arial" w:hAnsi="Arial" w:cs="Arial"/>
        </w:rPr>
        <w:t>V</w:t>
      </w:r>
      <w:r w:rsidR="00C53D42" w:rsidRPr="000E6468">
        <w:rPr>
          <w:rFonts w:ascii="Arial" w:hAnsi="Arial" w:cs="Arial"/>
        </w:rPr>
        <w:t>accine</w:t>
      </w:r>
      <w:r w:rsidR="00C53D42">
        <w:rPr>
          <w:rFonts w:ascii="Arial" w:hAnsi="Arial" w:cs="Arial"/>
        </w:rPr>
        <w:t>s</w:t>
      </w:r>
      <w:r w:rsidR="00C53D42" w:rsidRPr="000E6468">
        <w:rPr>
          <w:rFonts w:ascii="Arial" w:hAnsi="Arial" w:cs="Arial"/>
        </w:rPr>
        <w:t xml:space="preserve"> agai</w:t>
      </w:r>
      <w:r w:rsidR="00C53D42">
        <w:rPr>
          <w:rFonts w:ascii="Arial" w:hAnsi="Arial" w:cs="Arial"/>
        </w:rPr>
        <w:t xml:space="preserve">nst GBS are </w:t>
      </w:r>
      <w:r w:rsidR="00C53D42" w:rsidRPr="000E6468">
        <w:rPr>
          <w:rFonts w:ascii="Arial" w:hAnsi="Arial" w:cs="Arial"/>
        </w:rPr>
        <w:t xml:space="preserve">currently </w:t>
      </w:r>
      <w:r w:rsidR="00C53D42">
        <w:rPr>
          <w:rFonts w:ascii="Arial" w:hAnsi="Arial" w:cs="Arial"/>
        </w:rPr>
        <w:t xml:space="preserve">undergoing clinical trials </w:t>
      </w:r>
      <w:r w:rsidR="00C53D42" w:rsidRPr="000E6468">
        <w:rPr>
          <w:rFonts w:ascii="Arial" w:hAnsi="Arial" w:cs="Arial"/>
        </w:rPr>
        <w:t>in pregnant women</w:t>
      </w:r>
      <w:r w:rsidR="00C53D42">
        <w:rPr>
          <w:rFonts w:ascii="Arial" w:hAnsi="Arial" w:cs="Arial"/>
        </w:rPr>
        <w:t>.</w:t>
      </w:r>
      <w:r w:rsidR="00464A3B" w:rsidRPr="00464A3B">
        <w:rPr>
          <w:rFonts w:ascii="Arial" w:hAnsi="Arial" w:cs="Arial"/>
          <w:vertAlign w:val="superscript"/>
        </w:rPr>
        <w:t>1</w:t>
      </w:r>
      <w:r w:rsidR="00FE2F72">
        <w:rPr>
          <w:rFonts w:ascii="Arial" w:hAnsi="Arial" w:cs="Arial"/>
          <w:vertAlign w:val="superscript"/>
        </w:rPr>
        <w:t>2</w:t>
      </w:r>
      <w:r w:rsidR="00C53D42">
        <w:rPr>
          <w:rFonts w:ascii="Arial" w:hAnsi="Arial" w:cs="Arial"/>
          <w:color w:val="FF0000"/>
        </w:rPr>
        <w:t xml:space="preserve"> </w:t>
      </w:r>
      <w:r w:rsidR="00C53D42" w:rsidRPr="0043116D">
        <w:rPr>
          <w:rFonts w:ascii="Arial" w:hAnsi="Arial" w:cs="Arial"/>
        </w:rPr>
        <w:t>K</w:t>
      </w:r>
      <w:r w:rsidR="00EE19C0" w:rsidRPr="0043116D">
        <w:rPr>
          <w:rFonts w:ascii="Arial" w:hAnsi="Arial" w:cs="Arial"/>
        </w:rPr>
        <w:t>now</w:t>
      </w:r>
      <w:r w:rsidR="00EE19C0">
        <w:rPr>
          <w:rFonts w:ascii="Arial" w:hAnsi="Arial" w:cs="Arial"/>
        </w:rPr>
        <w:t xml:space="preserve">ledge of the current burden </w:t>
      </w:r>
      <w:r w:rsidR="00C53D42">
        <w:rPr>
          <w:rFonts w:ascii="Arial" w:hAnsi="Arial" w:cs="Arial"/>
        </w:rPr>
        <w:t xml:space="preserve">of GBS disease </w:t>
      </w:r>
      <w:r w:rsidR="00EE19C0">
        <w:rPr>
          <w:rFonts w:ascii="Arial" w:hAnsi="Arial" w:cs="Arial"/>
        </w:rPr>
        <w:t xml:space="preserve">and </w:t>
      </w:r>
      <w:r w:rsidR="00C53D42">
        <w:rPr>
          <w:rFonts w:ascii="Arial" w:hAnsi="Arial" w:cs="Arial"/>
        </w:rPr>
        <w:t xml:space="preserve">the responsible serotypes is critical </w:t>
      </w:r>
      <w:r>
        <w:rPr>
          <w:rFonts w:ascii="Arial" w:hAnsi="Arial" w:cs="Arial"/>
        </w:rPr>
        <w:t xml:space="preserve">for </w:t>
      </w:r>
      <w:r w:rsidR="00EE19C0">
        <w:rPr>
          <w:rFonts w:ascii="Arial" w:hAnsi="Arial" w:cs="Arial"/>
        </w:rPr>
        <w:t xml:space="preserve">evaluating </w:t>
      </w:r>
      <w:r w:rsidR="00F30DE6">
        <w:rPr>
          <w:rFonts w:ascii="Arial" w:hAnsi="Arial" w:cs="Arial"/>
        </w:rPr>
        <w:t xml:space="preserve">both </w:t>
      </w:r>
      <w:r w:rsidR="00C53D42">
        <w:rPr>
          <w:rFonts w:ascii="Arial" w:hAnsi="Arial" w:cs="Arial"/>
        </w:rPr>
        <w:t xml:space="preserve">the </w:t>
      </w:r>
      <w:r w:rsidR="00510B9F">
        <w:rPr>
          <w:rFonts w:ascii="Arial" w:hAnsi="Arial" w:cs="Arial"/>
        </w:rPr>
        <w:t xml:space="preserve">success of </w:t>
      </w:r>
      <w:r>
        <w:rPr>
          <w:rFonts w:ascii="Arial" w:hAnsi="Arial" w:cs="Arial"/>
        </w:rPr>
        <w:t xml:space="preserve">current </w:t>
      </w:r>
      <w:r w:rsidR="00510B9F">
        <w:rPr>
          <w:rFonts w:ascii="Arial" w:hAnsi="Arial" w:cs="Arial"/>
        </w:rPr>
        <w:t xml:space="preserve">guidelines </w:t>
      </w:r>
      <w:r>
        <w:rPr>
          <w:rFonts w:ascii="Arial" w:hAnsi="Arial" w:cs="Arial"/>
        </w:rPr>
        <w:t xml:space="preserve">as well as </w:t>
      </w:r>
      <w:r w:rsidR="00510B9F">
        <w:rPr>
          <w:rFonts w:ascii="Arial" w:hAnsi="Arial" w:cs="Arial"/>
        </w:rPr>
        <w:t xml:space="preserve">the </w:t>
      </w:r>
      <w:r w:rsidR="00C53D42">
        <w:rPr>
          <w:rFonts w:ascii="Arial" w:hAnsi="Arial" w:cs="Arial"/>
        </w:rPr>
        <w:t xml:space="preserve">potential impact of a GBS </w:t>
      </w:r>
      <w:r w:rsidR="00C03AB4">
        <w:rPr>
          <w:rFonts w:ascii="Arial" w:hAnsi="Arial" w:cs="Arial"/>
        </w:rPr>
        <w:t xml:space="preserve">vaccination </w:t>
      </w:r>
      <w:r w:rsidR="00C53D42">
        <w:rPr>
          <w:rFonts w:ascii="Arial" w:hAnsi="Arial" w:cs="Arial"/>
        </w:rPr>
        <w:t>programme</w:t>
      </w:r>
      <w:r w:rsidR="00C03AB4">
        <w:rPr>
          <w:rFonts w:ascii="Arial" w:hAnsi="Arial" w:cs="Arial"/>
        </w:rPr>
        <w:t xml:space="preserve"> in pregnancy.</w:t>
      </w:r>
    </w:p>
    <w:p w14:paraId="239034BE" w14:textId="77777777" w:rsidR="003001A7" w:rsidRDefault="003001A7" w:rsidP="008A3461">
      <w:pPr>
        <w:spacing w:line="480" w:lineRule="auto"/>
        <w:rPr>
          <w:rFonts w:ascii="Arial" w:hAnsi="Arial" w:cs="Arial"/>
        </w:rPr>
      </w:pPr>
    </w:p>
    <w:p w14:paraId="364EF3BB" w14:textId="6323A387" w:rsidR="0096368D" w:rsidRDefault="00C53D42" w:rsidP="008A3461">
      <w:pPr>
        <w:spacing w:line="480" w:lineRule="auto"/>
        <w:rPr>
          <w:rFonts w:ascii="Arial" w:hAnsi="Arial" w:cs="Arial"/>
        </w:rPr>
      </w:pPr>
      <w:r>
        <w:rPr>
          <w:rFonts w:ascii="Arial" w:hAnsi="Arial" w:cs="Arial"/>
        </w:rPr>
        <w:t>W</w:t>
      </w:r>
      <w:r w:rsidR="00C75625" w:rsidRPr="000E6468">
        <w:rPr>
          <w:rFonts w:ascii="Arial" w:hAnsi="Arial" w:cs="Arial"/>
        </w:rPr>
        <w:t>e</w:t>
      </w:r>
      <w:r>
        <w:rPr>
          <w:rFonts w:ascii="Arial" w:hAnsi="Arial" w:cs="Arial"/>
        </w:rPr>
        <w:t xml:space="preserve"> </w:t>
      </w:r>
      <w:r w:rsidR="006D4546" w:rsidRPr="000E6468">
        <w:rPr>
          <w:rFonts w:ascii="Arial" w:hAnsi="Arial" w:cs="Arial"/>
        </w:rPr>
        <w:t xml:space="preserve">undertook an enhanced, prospective, population-based surveillance study </w:t>
      </w:r>
      <w:r w:rsidR="00EE19C0">
        <w:rPr>
          <w:rFonts w:ascii="Arial" w:hAnsi="Arial" w:cs="Arial"/>
        </w:rPr>
        <w:t xml:space="preserve">of GBS in young infants </w:t>
      </w:r>
      <w:r w:rsidR="006D4546" w:rsidRPr="000E6468">
        <w:rPr>
          <w:rFonts w:ascii="Arial" w:hAnsi="Arial" w:cs="Arial"/>
        </w:rPr>
        <w:t xml:space="preserve">in the </w:t>
      </w:r>
      <w:r w:rsidR="00BC1847">
        <w:rPr>
          <w:rFonts w:ascii="Arial" w:hAnsi="Arial" w:cs="Arial"/>
        </w:rPr>
        <w:t>UK and ROI</w:t>
      </w:r>
      <w:r w:rsidR="006D4546" w:rsidRPr="000E6468">
        <w:rPr>
          <w:rFonts w:ascii="Arial" w:hAnsi="Arial" w:cs="Arial"/>
        </w:rPr>
        <w:t xml:space="preserve">. </w:t>
      </w:r>
      <w:r w:rsidR="00533275">
        <w:rPr>
          <w:rFonts w:ascii="Arial" w:hAnsi="Arial" w:cs="Arial"/>
        </w:rPr>
        <w:t>As the same methodology</w:t>
      </w:r>
      <w:r w:rsidR="008D6F35">
        <w:rPr>
          <w:rFonts w:ascii="Arial" w:hAnsi="Arial" w:cs="Arial"/>
        </w:rPr>
        <w:t xml:space="preserve"> </w:t>
      </w:r>
      <w:r w:rsidR="00533275">
        <w:rPr>
          <w:rFonts w:ascii="Arial" w:hAnsi="Arial" w:cs="Arial"/>
        </w:rPr>
        <w:t xml:space="preserve">was used for the </w:t>
      </w:r>
      <w:r w:rsidR="008D6F35">
        <w:rPr>
          <w:rFonts w:ascii="Arial" w:hAnsi="Arial" w:cs="Arial"/>
        </w:rPr>
        <w:t>2000-</w:t>
      </w:r>
      <w:r w:rsidR="00533275">
        <w:rPr>
          <w:rFonts w:ascii="Arial" w:hAnsi="Arial" w:cs="Arial"/>
        </w:rPr>
        <w:t>2001</w:t>
      </w:r>
      <w:r w:rsidR="008D6F35">
        <w:rPr>
          <w:rFonts w:ascii="Arial" w:hAnsi="Arial" w:cs="Arial"/>
        </w:rPr>
        <w:t xml:space="preserve"> surveillance</w:t>
      </w:r>
      <w:r w:rsidR="000437F2">
        <w:rPr>
          <w:rFonts w:ascii="Arial" w:hAnsi="Arial" w:cs="Arial"/>
        </w:rPr>
        <w:t>, we</w:t>
      </w:r>
      <w:r w:rsidR="00144815">
        <w:rPr>
          <w:rFonts w:ascii="Arial" w:hAnsi="Arial" w:cs="Arial"/>
        </w:rPr>
        <w:t xml:space="preserve"> directly compare</w:t>
      </w:r>
      <w:r w:rsidR="008601EE">
        <w:rPr>
          <w:rFonts w:ascii="Arial" w:hAnsi="Arial" w:cs="Arial"/>
        </w:rPr>
        <w:t>d</w:t>
      </w:r>
      <w:r w:rsidR="00144815">
        <w:rPr>
          <w:rFonts w:ascii="Arial" w:hAnsi="Arial" w:cs="Arial"/>
        </w:rPr>
        <w:t xml:space="preserve"> </w:t>
      </w:r>
      <w:r w:rsidR="00137167">
        <w:rPr>
          <w:rFonts w:ascii="Arial" w:hAnsi="Arial" w:cs="Arial"/>
        </w:rPr>
        <w:t xml:space="preserve">results </w:t>
      </w:r>
      <w:r w:rsidR="008D6F35">
        <w:rPr>
          <w:rFonts w:ascii="Arial" w:hAnsi="Arial" w:cs="Arial"/>
        </w:rPr>
        <w:t>between the two time</w:t>
      </w:r>
      <w:r w:rsidR="008601EE">
        <w:rPr>
          <w:rFonts w:ascii="Arial" w:hAnsi="Arial" w:cs="Arial"/>
        </w:rPr>
        <w:t>-</w:t>
      </w:r>
      <w:r w:rsidR="008D6F35">
        <w:rPr>
          <w:rFonts w:ascii="Arial" w:hAnsi="Arial" w:cs="Arial"/>
        </w:rPr>
        <w:t>periods</w:t>
      </w:r>
      <w:r w:rsidR="00144815">
        <w:rPr>
          <w:rFonts w:ascii="Arial" w:hAnsi="Arial" w:cs="Arial"/>
        </w:rPr>
        <w:t>.</w:t>
      </w:r>
      <w:r w:rsidR="007E317E">
        <w:rPr>
          <w:rFonts w:ascii="Arial" w:hAnsi="Arial" w:cs="Arial"/>
          <w:vertAlign w:val="superscript"/>
        </w:rPr>
        <w:t>10</w:t>
      </w:r>
    </w:p>
    <w:p w14:paraId="75FFF1BF" w14:textId="77777777" w:rsidR="000437F2" w:rsidRDefault="000437F2" w:rsidP="008A3461">
      <w:pPr>
        <w:spacing w:line="480" w:lineRule="auto"/>
        <w:rPr>
          <w:rFonts w:ascii="Arial" w:hAnsi="Arial" w:cs="Arial"/>
        </w:rPr>
      </w:pPr>
    </w:p>
    <w:p w14:paraId="1CA17B80" w14:textId="76EA228C" w:rsidR="00AC3B78" w:rsidRPr="000437F2" w:rsidRDefault="00AC3B78" w:rsidP="008A3461">
      <w:pPr>
        <w:spacing w:line="480" w:lineRule="auto"/>
        <w:rPr>
          <w:rFonts w:ascii="Arial" w:hAnsi="Arial" w:cs="Arial"/>
          <w:b/>
          <w:sz w:val="32"/>
        </w:rPr>
      </w:pPr>
      <w:r w:rsidRPr="000437F2">
        <w:rPr>
          <w:rFonts w:ascii="Arial" w:hAnsi="Arial" w:cs="Arial"/>
          <w:b/>
          <w:sz w:val="32"/>
        </w:rPr>
        <w:t>Methods</w:t>
      </w:r>
    </w:p>
    <w:p w14:paraId="11DF1F31" w14:textId="7B9E3CE9" w:rsidR="00F431C6" w:rsidRDefault="004A0767" w:rsidP="008A3461">
      <w:pPr>
        <w:spacing w:line="480" w:lineRule="auto"/>
        <w:rPr>
          <w:rFonts w:ascii="Arial" w:hAnsi="Arial" w:cs="Arial"/>
        </w:rPr>
      </w:pPr>
      <w:r w:rsidRPr="000E6468">
        <w:rPr>
          <w:rFonts w:ascii="Arial" w:hAnsi="Arial" w:cs="Arial"/>
        </w:rPr>
        <w:t>Enhanced national surveillance of invasive GBS disease in infants younger than 90 days was undertaken between</w:t>
      </w:r>
      <w:r w:rsidR="00C03AB4">
        <w:rPr>
          <w:rFonts w:ascii="Arial" w:hAnsi="Arial" w:cs="Arial"/>
        </w:rPr>
        <w:t xml:space="preserve"> 1st</w:t>
      </w:r>
      <w:r w:rsidRPr="000E6468">
        <w:rPr>
          <w:rFonts w:ascii="Arial" w:hAnsi="Arial" w:cs="Arial"/>
        </w:rPr>
        <w:t xml:space="preserve"> Apr</w:t>
      </w:r>
      <w:r w:rsidR="00F431C6" w:rsidRPr="000E6468">
        <w:rPr>
          <w:rFonts w:ascii="Arial" w:hAnsi="Arial" w:cs="Arial"/>
        </w:rPr>
        <w:t xml:space="preserve">il 2014 and </w:t>
      </w:r>
      <w:r w:rsidR="00C03AB4">
        <w:rPr>
          <w:rFonts w:ascii="Arial" w:hAnsi="Arial" w:cs="Arial"/>
        </w:rPr>
        <w:t>30</w:t>
      </w:r>
      <w:r w:rsidR="00C03AB4" w:rsidRPr="00E41254">
        <w:rPr>
          <w:rFonts w:ascii="Arial" w:hAnsi="Arial" w:cs="Arial"/>
          <w:vertAlign w:val="superscript"/>
        </w:rPr>
        <w:t>th</w:t>
      </w:r>
      <w:r w:rsidR="00C03AB4">
        <w:rPr>
          <w:rFonts w:ascii="Arial" w:hAnsi="Arial" w:cs="Arial"/>
        </w:rPr>
        <w:t xml:space="preserve"> </w:t>
      </w:r>
      <w:r w:rsidR="00F431C6" w:rsidRPr="000E6468">
        <w:rPr>
          <w:rFonts w:ascii="Arial" w:hAnsi="Arial" w:cs="Arial"/>
        </w:rPr>
        <w:t>April 2015 through the British P</w:t>
      </w:r>
      <w:r w:rsidR="00F431C6" w:rsidRPr="00DB40F9">
        <w:rPr>
          <w:rFonts w:ascii="Arial" w:hAnsi="Arial" w:cs="Arial"/>
        </w:rPr>
        <w:t>aediatric Surveillance Unit (BPSU)</w:t>
      </w:r>
      <w:r w:rsidR="00CC75BC" w:rsidRPr="00DB40F9">
        <w:rPr>
          <w:rFonts w:ascii="Arial" w:hAnsi="Arial" w:cs="Arial"/>
        </w:rPr>
        <w:t xml:space="preserve">, </w:t>
      </w:r>
      <w:r w:rsidR="005813F1">
        <w:rPr>
          <w:rFonts w:ascii="Arial" w:hAnsi="Arial" w:cs="Arial"/>
          <w:vertAlign w:val="superscript"/>
        </w:rPr>
        <w:t>1</w:t>
      </w:r>
      <w:r w:rsidR="009A33DB">
        <w:rPr>
          <w:rFonts w:ascii="Arial" w:hAnsi="Arial" w:cs="Arial"/>
          <w:vertAlign w:val="superscript"/>
        </w:rPr>
        <w:t>3</w:t>
      </w:r>
      <w:r w:rsidR="005813F1">
        <w:rPr>
          <w:rFonts w:ascii="Arial" w:hAnsi="Arial" w:cs="Arial"/>
          <w:vertAlign w:val="superscript"/>
        </w:rPr>
        <w:t>,1</w:t>
      </w:r>
      <w:r w:rsidR="009A33DB">
        <w:rPr>
          <w:rFonts w:ascii="Arial" w:hAnsi="Arial" w:cs="Arial"/>
          <w:vertAlign w:val="superscript"/>
        </w:rPr>
        <w:t>4</w:t>
      </w:r>
      <w:r w:rsidR="00F431C6" w:rsidRPr="00DB40F9">
        <w:rPr>
          <w:rFonts w:ascii="Arial" w:hAnsi="Arial" w:cs="Arial"/>
        </w:rPr>
        <w:t xml:space="preserve"> </w:t>
      </w:r>
      <w:r w:rsidR="0077012D" w:rsidRPr="00DB40F9">
        <w:rPr>
          <w:rFonts w:ascii="Arial" w:hAnsi="Arial" w:cs="Arial"/>
        </w:rPr>
        <w:t xml:space="preserve">in collaboration with microbiology </w:t>
      </w:r>
      <w:r w:rsidR="005D462E" w:rsidRPr="00DB40F9">
        <w:rPr>
          <w:rFonts w:ascii="Arial" w:hAnsi="Arial" w:cs="Arial"/>
        </w:rPr>
        <w:t>reference laboratories</w:t>
      </w:r>
      <w:r w:rsidR="00136313" w:rsidRPr="00DB40F9">
        <w:rPr>
          <w:rFonts w:ascii="Arial" w:hAnsi="Arial" w:cs="Arial"/>
        </w:rPr>
        <w:t xml:space="preserve">, </w:t>
      </w:r>
      <w:r w:rsidR="005D462E" w:rsidRPr="00DB40F9">
        <w:rPr>
          <w:rFonts w:ascii="Arial" w:hAnsi="Arial" w:cs="Arial"/>
        </w:rPr>
        <w:t xml:space="preserve">microbiology laboratory surveillance </w:t>
      </w:r>
      <w:r w:rsidR="00136313" w:rsidRPr="00DB40F9">
        <w:rPr>
          <w:rFonts w:ascii="Arial" w:hAnsi="Arial" w:cs="Arial"/>
        </w:rPr>
        <w:t xml:space="preserve">and Public Health agencies </w:t>
      </w:r>
      <w:r w:rsidR="00FD54BE" w:rsidRPr="00DB40F9">
        <w:rPr>
          <w:rFonts w:ascii="Arial" w:hAnsi="Arial" w:cs="Arial"/>
        </w:rPr>
        <w:t xml:space="preserve">in </w:t>
      </w:r>
      <w:r w:rsidR="0096368D" w:rsidRPr="00DB40F9">
        <w:rPr>
          <w:rFonts w:ascii="Arial" w:hAnsi="Arial" w:cs="Arial"/>
        </w:rPr>
        <w:t>England, Wales, Scotland, Northern Ireland</w:t>
      </w:r>
      <w:r w:rsidR="005B21D1" w:rsidRPr="00DB40F9">
        <w:rPr>
          <w:rFonts w:ascii="Arial" w:hAnsi="Arial" w:cs="Arial"/>
        </w:rPr>
        <w:t xml:space="preserve"> (NI)</w:t>
      </w:r>
      <w:r w:rsidR="0096368D" w:rsidRPr="00DB40F9">
        <w:rPr>
          <w:rFonts w:ascii="Arial" w:hAnsi="Arial" w:cs="Arial"/>
        </w:rPr>
        <w:t xml:space="preserve">, and </w:t>
      </w:r>
      <w:r w:rsidR="005B21D1" w:rsidRPr="00DB40F9">
        <w:rPr>
          <w:rFonts w:ascii="Arial" w:hAnsi="Arial" w:cs="Arial"/>
        </w:rPr>
        <w:t>R</w:t>
      </w:r>
      <w:r w:rsidR="00EB1160" w:rsidRPr="00DB40F9">
        <w:rPr>
          <w:rFonts w:ascii="Arial" w:hAnsi="Arial" w:cs="Arial"/>
        </w:rPr>
        <w:t>O</w:t>
      </w:r>
      <w:r w:rsidR="005B21D1" w:rsidRPr="00DB40F9">
        <w:rPr>
          <w:rFonts w:ascii="Arial" w:hAnsi="Arial" w:cs="Arial"/>
        </w:rPr>
        <w:t>I</w:t>
      </w:r>
      <w:r w:rsidR="0096368D" w:rsidRPr="00DB40F9">
        <w:rPr>
          <w:rFonts w:ascii="Arial" w:hAnsi="Arial" w:cs="Arial"/>
        </w:rPr>
        <w:t xml:space="preserve">. </w:t>
      </w:r>
    </w:p>
    <w:p w14:paraId="56CEC1D7" w14:textId="77777777" w:rsidR="00113FE6" w:rsidRPr="000E6468" w:rsidRDefault="00113FE6" w:rsidP="008A3461">
      <w:pPr>
        <w:spacing w:line="480" w:lineRule="auto"/>
        <w:rPr>
          <w:rFonts w:ascii="Arial" w:hAnsi="Arial" w:cs="Arial"/>
        </w:rPr>
      </w:pPr>
    </w:p>
    <w:p w14:paraId="6BBD56C4" w14:textId="1917CD5B" w:rsidR="00136313" w:rsidRDefault="00277464" w:rsidP="00136313">
      <w:pPr>
        <w:spacing w:line="480" w:lineRule="auto"/>
        <w:rPr>
          <w:rFonts w:ascii="Arial" w:hAnsi="Arial" w:cs="Arial"/>
        </w:rPr>
      </w:pPr>
      <w:r>
        <w:rPr>
          <w:rFonts w:ascii="Arial" w:hAnsi="Arial" w:cs="Arial"/>
        </w:rPr>
        <w:t>BPSU</w:t>
      </w:r>
      <w:r w:rsidRPr="000E6468">
        <w:rPr>
          <w:rFonts w:ascii="Arial" w:hAnsi="Arial" w:cs="Arial"/>
        </w:rPr>
        <w:t xml:space="preserve"> </w:t>
      </w:r>
      <w:r w:rsidR="00F431C6" w:rsidRPr="000E6468">
        <w:rPr>
          <w:rFonts w:ascii="Arial" w:hAnsi="Arial" w:cs="Arial"/>
        </w:rPr>
        <w:t xml:space="preserve">reports were made using </w:t>
      </w:r>
      <w:r w:rsidR="008C40D6">
        <w:rPr>
          <w:rFonts w:ascii="Arial" w:hAnsi="Arial" w:cs="Arial"/>
        </w:rPr>
        <w:t xml:space="preserve">the </w:t>
      </w:r>
      <w:r w:rsidR="00F431C6" w:rsidRPr="000E6468">
        <w:rPr>
          <w:rFonts w:ascii="Arial" w:hAnsi="Arial" w:cs="Arial"/>
        </w:rPr>
        <w:t xml:space="preserve">“orange card” system, in which an email and/or card </w:t>
      </w:r>
      <w:r w:rsidR="00E061D3">
        <w:rPr>
          <w:rFonts w:ascii="Arial" w:hAnsi="Arial" w:cs="Arial"/>
        </w:rPr>
        <w:t>wa</w:t>
      </w:r>
      <w:r w:rsidR="00F431C6" w:rsidRPr="000E6468">
        <w:rPr>
          <w:rFonts w:ascii="Arial" w:hAnsi="Arial" w:cs="Arial"/>
        </w:rPr>
        <w:t>s sent on a monthly basis to all consultant paediatricians in the British Isles</w:t>
      </w:r>
      <w:r w:rsidR="008C40D6">
        <w:rPr>
          <w:rFonts w:ascii="Arial" w:hAnsi="Arial" w:cs="Arial"/>
        </w:rPr>
        <w:t xml:space="preserve">, asking them </w:t>
      </w:r>
      <w:r w:rsidR="00F431C6" w:rsidRPr="000E6468">
        <w:rPr>
          <w:rFonts w:ascii="Arial" w:hAnsi="Arial" w:cs="Arial"/>
        </w:rPr>
        <w:t xml:space="preserve">to notify </w:t>
      </w:r>
      <w:r w:rsidR="008C40D6">
        <w:rPr>
          <w:rFonts w:ascii="Arial" w:hAnsi="Arial" w:cs="Arial"/>
        </w:rPr>
        <w:t xml:space="preserve">any case with </w:t>
      </w:r>
      <w:r w:rsidR="008C40D6" w:rsidRPr="000E6468">
        <w:rPr>
          <w:rFonts w:ascii="Arial" w:hAnsi="Arial" w:cs="Arial"/>
        </w:rPr>
        <w:t xml:space="preserve">a positive sterile site culture for </w:t>
      </w:r>
      <w:r w:rsidR="008C40D6">
        <w:rPr>
          <w:rFonts w:ascii="Arial" w:hAnsi="Arial" w:cs="Arial"/>
        </w:rPr>
        <w:t xml:space="preserve">GBS in an infant younger than three months of age. </w:t>
      </w:r>
      <w:r w:rsidR="009914F3" w:rsidRPr="000E6468">
        <w:rPr>
          <w:rFonts w:ascii="Arial" w:hAnsi="Arial" w:cs="Arial"/>
        </w:rPr>
        <w:t>Laboratory</w:t>
      </w:r>
      <w:r w:rsidR="008C40D6">
        <w:rPr>
          <w:rFonts w:ascii="Arial" w:hAnsi="Arial" w:cs="Arial"/>
        </w:rPr>
        <w:t>-</w:t>
      </w:r>
      <w:r w:rsidR="009914F3" w:rsidRPr="000E6468">
        <w:rPr>
          <w:rFonts w:ascii="Arial" w:hAnsi="Arial" w:cs="Arial"/>
        </w:rPr>
        <w:t xml:space="preserve">confirmed cases were </w:t>
      </w:r>
      <w:r w:rsidR="008C40D6">
        <w:rPr>
          <w:rFonts w:ascii="Arial" w:hAnsi="Arial" w:cs="Arial"/>
        </w:rPr>
        <w:t xml:space="preserve">also </w:t>
      </w:r>
      <w:r w:rsidR="009914F3" w:rsidRPr="000E6468">
        <w:rPr>
          <w:rFonts w:ascii="Arial" w:hAnsi="Arial" w:cs="Arial"/>
        </w:rPr>
        <w:t xml:space="preserve">identified by interrogation of the </w:t>
      </w:r>
      <w:r w:rsidR="00FD54BE">
        <w:rPr>
          <w:rFonts w:ascii="Arial" w:hAnsi="Arial" w:cs="Arial"/>
        </w:rPr>
        <w:t xml:space="preserve">Public Health England (PHE) </w:t>
      </w:r>
      <w:r w:rsidR="009914F3" w:rsidRPr="000E6468">
        <w:rPr>
          <w:rFonts w:ascii="Arial" w:hAnsi="Arial" w:cs="Arial"/>
        </w:rPr>
        <w:t xml:space="preserve">national </w:t>
      </w:r>
      <w:r w:rsidR="00FD54BE">
        <w:rPr>
          <w:rFonts w:ascii="Arial" w:hAnsi="Arial" w:cs="Arial"/>
        </w:rPr>
        <w:t xml:space="preserve">electronic </w:t>
      </w:r>
      <w:r w:rsidR="009914F3" w:rsidRPr="000E6468">
        <w:rPr>
          <w:rFonts w:ascii="Arial" w:hAnsi="Arial" w:cs="Arial"/>
        </w:rPr>
        <w:t xml:space="preserve">surveillance database </w:t>
      </w:r>
      <w:r w:rsidR="00FF1FBE" w:rsidRPr="000E6468">
        <w:rPr>
          <w:rFonts w:ascii="Arial" w:hAnsi="Arial" w:cs="Arial"/>
        </w:rPr>
        <w:t xml:space="preserve">routinely </w:t>
      </w:r>
      <w:r w:rsidR="009914F3" w:rsidRPr="000E6468">
        <w:rPr>
          <w:rFonts w:ascii="Arial" w:hAnsi="Arial" w:cs="Arial"/>
        </w:rPr>
        <w:t>used by hospital laboratories in England</w:t>
      </w:r>
      <w:r w:rsidR="001134E1">
        <w:rPr>
          <w:rFonts w:ascii="Arial" w:hAnsi="Arial" w:cs="Arial"/>
        </w:rPr>
        <w:t xml:space="preserve">, </w:t>
      </w:r>
      <w:r w:rsidR="009914F3" w:rsidRPr="000E6468">
        <w:rPr>
          <w:rFonts w:ascii="Arial" w:hAnsi="Arial" w:cs="Arial"/>
        </w:rPr>
        <w:t>Wales</w:t>
      </w:r>
      <w:r w:rsidR="001134E1">
        <w:rPr>
          <w:rFonts w:ascii="Arial" w:hAnsi="Arial" w:cs="Arial"/>
        </w:rPr>
        <w:t>, and NI</w:t>
      </w:r>
      <w:r w:rsidR="00136313">
        <w:rPr>
          <w:rFonts w:ascii="Arial" w:hAnsi="Arial" w:cs="Arial"/>
          <w:color w:val="FF0000"/>
        </w:rPr>
        <w:t>.</w:t>
      </w:r>
      <w:r w:rsidR="00FD54BE">
        <w:rPr>
          <w:rFonts w:ascii="Arial" w:hAnsi="Arial" w:cs="Arial"/>
          <w:color w:val="FF0000"/>
        </w:rPr>
        <w:t xml:space="preserve"> </w:t>
      </w:r>
      <w:r w:rsidR="008C40D6">
        <w:rPr>
          <w:rFonts w:ascii="Arial" w:hAnsi="Arial" w:cs="Arial"/>
        </w:rPr>
        <w:t xml:space="preserve">Cases were also </w:t>
      </w:r>
      <w:r w:rsidR="008C40D6" w:rsidRPr="00384B83">
        <w:rPr>
          <w:rFonts w:ascii="Arial" w:hAnsi="Arial" w:cs="Arial"/>
        </w:rPr>
        <w:t xml:space="preserve">identified through </w:t>
      </w:r>
      <w:r w:rsidR="00697F9B" w:rsidRPr="00384B83">
        <w:rPr>
          <w:rFonts w:ascii="Arial" w:hAnsi="Arial" w:cs="Arial"/>
        </w:rPr>
        <w:t xml:space="preserve">reference laboratories of </w:t>
      </w:r>
      <w:r w:rsidR="005B21D1" w:rsidRPr="00384B83">
        <w:rPr>
          <w:rFonts w:ascii="Arial" w:hAnsi="Arial" w:cs="Arial"/>
        </w:rPr>
        <w:t>PHE</w:t>
      </w:r>
      <w:r w:rsidR="00697F9B" w:rsidRPr="00384B83">
        <w:rPr>
          <w:rFonts w:ascii="Arial" w:hAnsi="Arial" w:cs="Arial"/>
        </w:rPr>
        <w:t xml:space="preserve">, </w:t>
      </w:r>
      <w:r w:rsidR="00384B83" w:rsidRPr="00384B83">
        <w:rPr>
          <w:rFonts w:ascii="Arial" w:hAnsi="Arial" w:cs="Arial"/>
          <w:vertAlign w:val="superscript"/>
        </w:rPr>
        <w:t>1</w:t>
      </w:r>
      <w:r w:rsidR="009A33DB">
        <w:rPr>
          <w:rFonts w:ascii="Arial" w:hAnsi="Arial" w:cs="Arial"/>
          <w:vertAlign w:val="superscript"/>
        </w:rPr>
        <w:t>5</w:t>
      </w:r>
      <w:r w:rsidR="00384B83" w:rsidRPr="00384B83">
        <w:rPr>
          <w:rFonts w:ascii="Arial" w:hAnsi="Arial" w:cs="Arial"/>
        </w:rPr>
        <w:t xml:space="preserve"> </w:t>
      </w:r>
      <w:r w:rsidR="00697F9B" w:rsidRPr="00384B83">
        <w:rPr>
          <w:rFonts w:ascii="Arial" w:hAnsi="Arial" w:cs="Arial"/>
        </w:rPr>
        <w:t xml:space="preserve">Health Protection Scotland, </w:t>
      </w:r>
      <w:r w:rsidR="00384B83" w:rsidRPr="00384B83">
        <w:rPr>
          <w:rFonts w:ascii="Arial" w:hAnsi="Arial" w:cs="Arial"/>
          <w:vertAlign w:val="superscript"/>
        </w:rPr>
        <w:t>1</w:t>
      </w:r>
      <w:r w:rsidR="009A33DB">
        <w:rPr>
          <w:rFonts w:ascii="Arial" w:hAnsi="Arial" w:cs="Arial"/>
          <w:vertAlign w:val="superscript"/>
        </w:rPr>
        <w:t>6</w:t>
      </w:r>
      <w:r w:rsidR="00384B83" w:rsidRPr="00384B83">
        <w:rPr>
          <w:rFonts w:ascii="Arial" w:hAnsi="Arial" w:cs="Arial"/>
        </w:rPr>
        <w:t xml:space="preserve"> </w:t>
      </w:r>
      <w:r w:rsidR="00697F9B" w:rsidRPr="00384B83">
        <w:rPr>
          <w:rFonts w:ascii="Arial" w:hAnsi="Arial" w:cs="Arial"/>
        </w:rPr>
        <w:t xml:space="preserve">Public Health Agency </w:t>
      </w:r>
      <w:r w:rsidR="008C40D6" w:rsidRPr="00384B83">
        <w:rPr>
          <w:rFonts w:ascii="Arial" w:hAnsi="Arial" w:cs="Arial"/>
        </w:rPr>
        <w:t>NI</w:t>
      </w:r>
      <w:r w:rsidR="00384B83" w:rsidRPr="00384B83">
        <w:rPr>
          <w:rFonts w:ascii="Arial" w:hAnsi="Arial" w:cs="Arial"/>
        </w:rPr>
        <w:t>,</w:t>
      </w:r>
      <w:r w:rsidR="005B21D1" w:rsidRPr="00384B83">
        <w:rPr>
          <w:rFonts w:ascii="Arial" w:hAnsi="Arial" w:cs="Arial"/>
        </w:rPr>
        <w:t xml:space="preserve"> </w:t>
      </w:r>
      <w:r w:rsidR="00384B83" w:rsidRPr="00384B83">
        <w:rPr>
          <w:rFonts w:ascii="Arial" w:hAnsi="Arial" w:cs="Arial"/>
          <w:vertAlign w:val="superscript"/>
        </w:rPr>
        <w:t>1</w:t>
      </w:r>
      <w:r w:rsidR="009A33DB">
        <w:rPr>
          <w:rFonts w:ascii="Arial" w:hAnsi="Arial" w:cs="Arial"/>
          <w:vertAlign w:val="superscript"/>
        </w:rPr>
        <w:t>7</w:t>
      </w:r>
      <w:r w:rsidR="00384B83" w:rsidRPr="00384B83">
        <w:rPr>
          <w:rFonts w:ascii="Arial" w:hAnsi="Arial" w:cs="Arial"/>
        </w:rPr>
        <w:t xml:space="preserve"> </w:t>
      </w:r>
      <w:r w:rsidR="00697F9B" w:rsidRPr="00384B83">
        <w:rPr>
          <w:rFonts w:ascii="Arial" w:hAnsi="Arial" w:cs="Arial"/>
        </w:rPr>
        <w:t xml:space="preserve">and </w:t>
      </w:r>
      <w:r w:rsidRPr="00384B83">
        <w:rPr>
          <w:rFonts w:ascii="Arial" w:hAnsi="Arial" w:cs="Arial"/>
        </w:rPr>
        <w:t>the Irish Meningitis and Sepsis Reference Laboratory (IMSRL</w:t>
      </w:r>
      <w:r w:rsidR="00022AD9" w:rsidRPr="00384B83">
        <w:rPr>
          <w:rFonts w:ascii="Arial" w:hAnsi="Arial" w:cs="Arial"/>
        </w:rPr>
        <w:t>),</w:t>
      </w:r>
      <w:r w:rsidR="00384B83" w:rsidRPr="00384B83">
        <w:rPr>
          <w:rFonts w:ascii="Arial" w:hAnsi="Arial" w:cs="Arial"/>
        </w:rPr>
        <w:t xml:space="preserve"> </w:t>
      </w:r>
      <w:r w:rsidR="00384B83" w:rsidRPr="00384B83">
        <w:rPr>
          <w:rFonts w:ascii="Arial" w:hAnsi="Arial" w:cs="Arial"/>
          <w:vertAlign w:val="superscript"/>
        </w:rPr>
        <w:t>1</w:t>
      </w:r>
      <w:r w:rsidR="009A33DB">
        <w:rPr>
          <w:rFonts w:ascii="Arial" w:hAnsi="Arial" w:cs="Arial"/>
          <w:vertAlign w:val="superscript"/>
        </w:rPr>
        <w:t>8</w:t>
      </w:r>
      <w:r w:rsidR="00022AD9" w:rsidRPr="00384B83">
        <w:rPr>
          <w:rFonts w:ascii="Arial" w:hAnsi="Arial" w:cs="Arial"/>
        </w:rPr>
        <w:t xml:space="preserve"> which</w:t>
      </w:r>
      <w:r w:rsidR="00A856FD" w:rsidRPr="00384B83">
        <w:rPr>
          <w:rFonts w:ascii="Arial" w:hAnsi="Arial" w:cs="Arial"/>
        </w:rPr>
        <w:t xml:space="preserve"> receive</w:t>
      </w:r>
      <w:r w:rsidR="008C40D6">
        <w:rPr>
          <w:rFonts w:ascii="Arial" w:hAnsi="Arial" w:cs="Arial"/>
        </w:rPr>
        <w:t xml:space="preserve"> GBS </w:t>
      </w:r>
      <w:r w:rsidR="00697F9B" w:rsidRPr="000E6468">
        <w:rPr>
          <w:rFonts w:ascii="Arial" w:hAnsi="Arial" w:cs="Arial"/>
        </w:rPr>
        <w:t xml:space="preserve">isolates </w:t>
      </w:r>
      <w:r w:rsidR="008C40D6">
        <w:rPr>
          <w:rFonts w:ascii="Arial" w:hAnsi="Arial" w:cs="Arial"/>
        </w:rPr>
        <w:t>for confirmation and serotyping</w:t>
      </w:r>
      <w:r w:rsidR="004018D4" w:rsidRPr="000E6468">
        <w:rPr>
          <w:rFonts w:ascii="Arial" w:hAnsi="Arial" w:cs="Arial"/>
        </w:rPr>
        <w:t xml:space="preserve">. </w:t>
      </w:r>
      <w:r w:rsidR="008C40D6">
        <w:rPr>
          <w:rFonts w:ascii="Arial" w:hAnsi="Arial" w:cs="Arial"/>
        </w:rPr>
        <w:t>All hospital l</w:t>
      </w:r>
      <w:r w:rsidR="00FF1FBE" w:rsidRPr="000E6468">
        <w:rPr>
          <w:rFonts w:ascii="Arial" w:hAnsi="Arial" w:cs="Arial"/>
        </w:rPr>
        <w:t>aboratories were encouraged to submit isolates to the</w:t>
      </w:r>
      <w:r w:rsidR="008C40D6">
        <w:rPr>
          <w:rFonts w:ascii="Arial" w:hAnsi="Arial" w:cs="Arial"/>
        </w:rPr>
        <w:t>ir respective</w:t>
      </w:r>
      <w:r w:rsidR="00FF1FBE" w:rsidRPr="000E6468">
        <w:rPr>
          <w:rFonts w:ascii="Arial" w:hAnsi="Arial" w:cs="Arial"/>
        </w:rPr>
        <w:t xml:space="preserve"> reference laboratories</w:t>
      </w:r>
      <w:r w:rsidR="008C40D6">
        <w:rPr>
          <w:rFonts w:ascii="Arial" w:hAnsi="Arial" w:cs="Arial"/>
        </w:rPr>
        <w:t xml:space="preserve"> during the surveillance</w:t>
      </w:r>
      <w:r w:rsidR="00FF1FBE" w:rsidRPr="000E6468">
        <w:rPr>
          <w:rFonts w:ascii="Arial" w:hAnsi="Arial" w:cs="Arial"/>
        </w:rPr>
        <w:t xml:space="preserve">. </w:t>
      </w:r>
      <w:r w:rsidR="00A6680A">
        <w:rPr>
          <w:rFonts w:ascii="Arial" w:hAnsi="Arial" w:cs="Arial"/>
        </w:rPr>
        <w:t xml:space="preserve">At the end of the surveillance period, all </w:t>
      </w:r>
      <w:r w:rsidR="00FD54BE">
        <w:rPr>
          <w:rFonts w:ascii="Arial" w:hAnsi="Arial" w:cs="Arial"/>
        </w:rPr>
        <w:t xml:space="preserve">hospital </w:t>
      </w:r>
      <w:r w:rsidR="00A6680A" w:rsidRPr="000E6468">
        <w:rPr>
          <w:rFonts w:ascii="Arial" w:hAnsi="Arial" w:cs="Arial"/>
        </w:rPr>
        <w:t>laborator</w:t>
      </w:r>
      <w:r w:rsidR="00A6680A">
        <w:rPr>
          <w:rFonts w:ascii="Arial" w:hAnsi="Arial" w:cs="Arial"/>
        </w:rPr>
        <w:t xml:space="preserve">ies were individually </w:t>
      </w:r>
      <w:r w:rsidR="00A6680A" w:rsidRPr="000E6468">
        <w:rPr>
          <w:rFonts w:ascii="Arial" w:hAnsi="Arial" w:cs="Arial"/>
        </w:rPr>
        <w:t>contacted to confirm the completeness of the</w:t>
      </w:r>
      <w:r w:rsidR="00A6680A">
        <w:rPr>
          <w:rFonts w:ascii="Arial" w:hAnsi="Arial" w:cs="Arial"/>
        </w:rPr>
        <w:t>ir</w:t>
      </w:r>
      <w:r w:rsidR="00A6680A" w:rsidRPr="000E6468">
        <w:rPr>
          <w:rFonts w:ascii="Arial" w:hAnsi="Arial" w:cs="Arial"/>
        </w:rPr>
        <w:t xml:space="preserve"> surveillance. </w:t>
      </w:r>
    </w:p>
    <w:p w14:paraId="4B4ECCB8" w14:textId="77777777" w:rsidR="00136313" w:rsidRDefault="00136313" w:rsidP="00136313">
      <w:pPr>
        <w:spacing w:line="480" w:lineRule="auto"/>
        <w:rPr>
          <w:rFonts w:ascii="Arial" w:hAnsi="Arial" w:cs="Arial"/>
        </w:rPr>
      </w:pPr>
    </w:p>
    <w:p w14:paraId="22427D48" w14:textId="1B26859F" w:rsidR="00136313" w:rsidRPr="000E6468" w:rsidRDefault="00136313" w:rsidP="00136313">
      <w:pPr>
        <w:spacing w:line="480" w:lineRule="auto"/>
        <w:rPr>
          <w:rFonts w:ascii="Arial" w:hAnsi="Arial" w:cs="Arial"/>
          <w:color w:val="FF0000"/>
        </w:rPr>
      </w:pPr>
      <w:r>
        <w:rPr>
          <w:rFonts w:ascii="Arial" w:hAnsi="Arial" w:cs="Arial"/>
        </w:rPr>
        <w:t>Finally, c</w:t>
      </w:r>
      <w:r w:rsidRPr="000E6468">
        <w:rPr>
          <w:rFonts w:ascii="Arial" w:hAnsi="Arial" w:cs="Arial"/>
        </w:rPr>
        <w:t xml:space="preserve">ases were ascertained </w:t>
      </w:r>
      <w:r>
        <w:rPr>
          <w:rFonts w:ascii="Arial" w:hAnsi="Arial" w:cs="Arial"/>
        </w:rPr>
        <w:t xml:space="preserve">directly </w:t>
      </w:r>
      <w:r w:rsidRPr="000E6468">
        <w:rPr>
          <w:rFonts w:ascii="Arial" w:hAnsi="Arial" w:cs="Arial"/>
        </w:rPr>
        <w:t xml:space="preserve">from the public health agencies of Scotland, NI, and ROI. In </w:t>
      </w:r>
      <w:r>
        <w:rPr>
          <w:rFonts w:ascii="Arial" w:hAnsi="Arial" w:cs="Arial"/>
        </w:rPr>
        <w:t>ROI</w:t>
      </w:r>
      <w:r w:rsidRPr="000E6468">
        <w:rPr>
          <w:rFonts w:ascii="Arial" w:hAnsi="Arial" w:cs="Arial"/>
        </w:rPr>
        <w:t xml:space="preserve"> and </w:t>
      </w:r>
      <w:r>
        <w:rPr>
          <w:rFonts w:ascii="Arial" w:hAnsi="Arial" w:cs="Arial"/>
        </w:rPr>
        <w:t>NI</w:t>
      </w:r>
      <w:r w:rsidRPr="000E6468">
        <w:rPr>
          <w:rFonts w:ascii="Arial" w:hAnsi="Arial" w:cs="Arial"/>
        </w:rPr>
        <w:t xml:space="preserve"> invasive GBS disease </w:t>
      </w:r>
      <w:r>
        <w:rPr>
          <w:rFonts w:ascii="Arial" w:hAnsi="Arial" w:cs="Arial"/>
        </w:rPr>
        <w:t>has been</w:t>
      </w:r>
      <w:r w:rsidRPr="000E6468">
        <w:rPr>
          <w:rFonts w:ascii="Arial" w:hAnsi="Arial" w:cs="Arial"/>
        </w:rPr>
        <w:t xml:space="preserve"> a notifiable condition</w:t>
      </w:r>
      <w:r>
        <w:rPr>
          <w:rFonts w:ascii="Arial" w:hAnsi="Arial" w:cs="Arial"/>
          <w:color w:val="FF0000"/>
        </w:rPr>
        <w:t xml:space="preserve"> </w:t>
      </w:r>
      <w:r w:rsidRPr="00C9282A">
        <w:rPr>
          <w:rFonts w:ascii="Arial" w:hAnsi="Arial" w:cs="Arial"/>
        </w:rPr>
        <w:t>since 2012 and 2013 respectively.</w:t>
      </w:r>
    </w:p>
    <w:p w14:paraId="602E2198" w14:textId="52CA1DA7" w:rsidR="0009614D" w:rsidRDefault="0009614D" w:rsidP="008A3461">
      <w:pPr>
        <w:spacing w:line="480" w:lineRule="auto"/>
        <w:rPr>
          <w:rFonts w:ascii="Arial" w:hAnsi="Arial" w:cs="Arial"/>
        </w:rPr>
      </w:pPr>
    </w:p>
    <w:p w14:paraId="7DBAC63C" w14:textId="76AB4E56" w:rsidR="0009614D" w:rsidRDefault="0009614D" w:rsidP="008A3461">
      <w:pPr>
        <w:spacing w:line="480" w:lineRule="auto"/>
        <w:rPr>
          <w:rFonts w:ascii="Arial" w:hAnsi="Arial" w:cs="Arial"/>
        </w:rPr>
      </w:pPr>
      <w:r w:rsidRPr="000E6468">
        <w:rPr>
          <w:rFonts w:ascii="Arial" w:hAnsi="Arial" w:cs="Arial"/>
        </w:rPr>
        <w:t xml:space="preserve">Serotyping and </w:t>
      </w:r>
      <w:r>
        <w:rPr>
          <w:rFonts w:ascii="Arial" w:hAnsi="Arial" w:cs="Arial"/>
        </w:rPr>
        <w:t>multi-locus sequence typing (MLST)</w:t>
      </w:r>
      <w:r w:rsidRPr="000E6468">
        <w:rPr>
          <w:rFonts w:ascii="Arial" w:hAnsi="Arial" w:cs="Arial"/>
        </w:rPr>
        <w:t xml:space="preserve"> </w:t>
      </w:r>
      <w:r w:rsidR="00277464">
        <w:rPr>
          <w:rFonts w:ascii="Arial" w:hAnsi="Arial" w:cs="Arial"/>
        </w:rPr>
        <w:t xml:space="preserve">of GBS isolates </w:t>
      </w:r>
      <w:r w:rsidRPr="000E6468">
        <w:rPr>
          <w:rFonts w:ascii="Arial" w:hAnsi="Arial" w:cs="Arial"/>
        </w:rPr>
        <w:t xml:space="preserve">was performed by </w:t>
      </w:r>
      <w:r>
        <w:rPr>
          <w:rFonts w:ascii="Arial" w:hAnsi="Arial" w:cs="Arial"/>
        </w:rPr>
        <w:t>PHE</w:t>
      </w:r>
      <w:r w:rsidRPr="000E6468">
        <w:rPr>
          <w:rFonts w:ascii="Arial" w:hAnsi="Arial" w:cs="Arial"/>
        </w:rPr>
        <w:t xml:space="preserve"> and </w:t>
      </w:r>
      <w:r w:rsidR="00277464">
        <w:rPr>
          <w:rFonts w:ascii="Arial" w:hAnsi="Arial" w:cs="Arial"/>
        </w:rPr>
        <w:t>IMSRL</w:t>
      </w:r>
      <w:r>
        <w:rPr>
          <w:rFonts w:ascii="Arial" w:hAnsi="Arial" w:cs="Arial"/>
        </w:rPr>
        <w:t>.</w:t>
      </w:r>
      <w:r w:rsidR="00136313">
        <w:rPr>
          <w:rFonts w:ascii="Arial" w:hAnsi="Arial" w:cs="Arial"/>
        </w:rPr>
        <w:t xml:space="preserve"> Briefly, i</w:t>
      </w:r>
      <w:r w:rsidRPr="00092E8A">
        <w:rPr>
          <w:rFonts w:ascii="Arial" w:hAnsi="Arial" w:cs="Arial"/>
        </w:rPr>
        <w:t>solates were cultured on</w:t>
      </w:r>
      <w:r>
        <w:rPr>
          <w:rFonts w:ascii="Arial" w:hAnsi="Arial" w:cs="Arial"/>
        </w:rPr>
        <w:t>to</w:t>
      </w:r>
      <w:r w:rsidRPr="00092E8A">
        <w:rPr>
          <w:rFonts w:ascii="Arial" w:hAnsi="Arial" w:cs="Arial"/>
        </w:rPr>
        <w:t xml:space="preserve"> Columbia agar plates supplemented with horse blood (Oxoid, Thermo Scientific, UK) and incubated aerobically at 37°C for 24 h. Serological classification based on capsular polysaccharide types Ia, Ib and II to IX was performed using latex </w:t>
      </w:r>
      <w:r w:rsidRPr="00092E8A">
        <w:rPr>
          <w:rFonts w:ascii="Arial" w:hAnsi="Arial" w:cs="Arial"/>
        </w:rPr>
        <w:lastRenderedPageBreak/>
        <w:t xml:space="preserve">agglutination according to the manufacturer’s </w:t>
      </w:r>
      <w:r w:rsidR="00277464">
        <w:rPr>
          <w:rFonts w:ascii="Arial" w:hAnsi="Arial" w:cs="Arial"/>
        </w:rPr>
        <w:t>instructions</w:t>
      </w:r>
      <w:r w:rsidRPr="00092E8A">
        <w:rPr>
          <w:rFonts w:ascii="Arial" w:hAnsi="Arial" w:cs="Arial"/>
        </w:rPr>
        <w:t xml:space="preserve"> (Statens Serum Institut, Copenhagen, Denmark).</w:t>
      </w:r>
      <w:r w:rsidR="00136313">
        <w:rPr>
          <w:rFonts w:ascii="Arial" w:hAnsi="Arial" w:cs="Arial"/>
        </w:rPr>
        <w:t xml:space="preserve"> </w:t>
      </w:r>
      <w:r w:rsidR="00277464">
        <w:rPr>
          <w:rFonts w:ascii="Arial" w:hAnsi="Arial" w:cs="Arial"/>
        </w:rPr>
        <w:t>Bacterial cells were re</w:t>
      </w:r>
      <w:r w:rsidR="00A74574">
        <w:rPr>
          <w:rFonts w:ascii="Arial" w:hAnsi="Arial" w:cs="Arial"/>
        </w:rPr>
        <w:t>-</w:t>
      </w:r>
      <w:r w:rsidR="00277464">
        <w:rPr>
          <w:rFonts w:ascii="Arial" w:hAnsi="Arial" w:cs="Arial"/>
        </w:rPr>
        <w:t>suspended in a pre-lysis</w:t>
      </w:r>
      <w:r w:rsidRPr="00BE223A">
        <w:rPr>
          <w:rFonts w:ascii="Arial" w:hAnsi="Arial" w:cs="Arial"/>
        </w:rPr>
        <w:t xml:space="preserve"> buffer composed of 2 mg lysozyme (Sigma-Aldrich, UK), 120 U mutanolysin (Sigma</w:t>
      </w:r>
      <w:r w:rsidRPr="00BE223A">
        <w:rPr>
          <w:rFonts w:ascii="Arial" w:hAnsi="Arial" w:cs="Arial"/>
        </w:rPr>
        <w:noBreakHyphen/>
        <w:t xml:space="preserve">Aldrich, UK), 400 µg RNase A (Qiagen, </w:t>
      </w:r>
      <w:r w:rsidR="00277464">
        <w:rPr>
          <w:rFonts w:ascii="Arial" w:hAnsi="Arial" w:cs="Arial"/>
        </w:rPr>
        <w:t>Germany</w:t>
      </w:r>
      <w:r w:rsidRPr="00BE223A">
        <w:rPr>
          <w:rFonts w:ascii="Arial" w:hAnsi="Arial" w:cs="Arial"/>
        </w:rPr>
        <w:t>) and 20 µl proteinase K (&gt;600 mAU/mL)</w:t>
      </w:r>
      <w:r w:rsidR="00277464">
        <w:rPr>
          <w:rFonts w:ascii="Arial" w:hAnsi="Arial" w:cs="Arial"/>
        </w:rPr>
        <w:t xml:space="preserve"> and </w:t>
      </w:r>
      <w:r w:rsidRPr="00BE223A">
        <w:rPr>
          <w:rFonts w:ascii="Arial" w:hAnsi="Arial" w:cs="Arial"/>
        </w:rPr>
        <w:t xml:space="preserve">incubated for 1 h at 37°C, 2 h at 56°C followed by 1h at 80°C. DNA was </w:t>
      </w:r>
      <w:r w:rsidR="00277464">
        <w:rPr>
          <w:rFonts w:ascii="Arial" w:hAnsi="Arial" w:cs="Arial"/>
        </w:rPr>
        <w:t xml:space="preserve">then </w:t>
      </w:r>
      <w:r w:rsidRPr="00BE223A">
        <w:rPr>
          <w:rFonts w:ascii="Arial" w:hAnsi="Arial" w:cs="Arial"/>
        </w:rPr>
        <w:t xml:space="preserve">extracted using the QIAsymphony SP system and the QIAsymphony DSP mini kit (Qiagen, </w:t>
      </w:r>
      <w:r w:rsidR="00277464">
        <w:rPr>
          <w:rFonts w:ascii="Arial" w:hAnsi="Arial" w:cs="Arial"/>
        </w:rPr>
        <w:t>Germany</w:t>
      </w:r>
      <w:r w:rsidRPr="00BE223A">
        <w:rPr>
          <w:rFonts w:ascii="Arial" w:hAnsi="Arial" w:cs="Arial"/>
        </w:rPr>
        <w:t xml:space="preserve">) according to the manufacturers’ </w:t>
      </w:r>
      <w:r w:rsidR="00277464">
        <w:rPr>
          <w:rFonts w:ascii="Arial" w:hAnsi="Arial" w:cs="Arial"/>
        </w:rPr>
        <w:t>instructions</w:t>
      </w:r>
      <w:r w:rsidRPr="00BE223A">
        <w:rPr>
          <w:rFonts w:ascii="Arial" w:hAnsi="Arial" w:cs="Arial"/>
        </w:rPr>
        <w:t>.</w:t>
      </w:r>
      <w:r w:rsidR="00136313">
        <w:rPr>
          <w:rFonts w:ascii="Arial" w:hAnsi="Arial" w:cs="Arial"/>
        </w:rPr>
        <w:t xml:space="preserve"> </w:t>
      </w:r>
      <w:r w:rsidRPr="004D6460">
        <w:rPr>
          <w:rFonts w:ascii="Arial" w:hAnsi="Arial" w:cs="Arial"/>
        </w:rPr>
        <w:t xml:space="preserve">The sequencing reads were trimmed for quality by removing end nucleotides of Phred quality score of less than 30. The </w:t>
      </w:r>
      <w:r w:rsidR="00B40409">
        <w:rPr>
          <w:rFonts w:ascii="Arial" w:hAnsi="Arial" w:cs="Arial"/>
        </w:rPr>
        <w:t xml:space="preserve">MLST sequence types </w:t>
      </w:r>
      <w:r w:rsidRPr="004D6460">
        <w:rPr>
          <w:rFonts w:ascii="Arial" w:hAnsi="Arial" w:cs="Arial"/>
        </w:rPr>
        <w:t>of isolates were determined from processed sequencing reads using in</w:t>
      </w:r>
      <w:r w:rsidRPr="004D6460">
        <w:rPr>
          <w:rFonts w:ascii="Arial" w:hAnsi="Arial" w:cs="Arial"/>
        </w:rPr>
        <w:noBreakHyphen/>
        <w:t>house bioinformatics pipelines developed in PHE and an external database (</w:t>
      </w:r>
      <w:hyperlink r:id="rId9" w:history="1">
        <w:r w:rsidR="00BE6C9D" w:rsidRPr="00BE6C9D">
          <w:rPr>
            <w:rStyle w:val="Hyperlink"/>
            <w:rFonts w:ascii="Arial" w:hAnsi="Arial" w:cs="Arial"/>
          </w:rPr>
          <w:t>http://pubmlst.org/sagalactiae/</w:t>
        </w:r>
        <w:r w:rsidR="00BE6C9D" w:rsidRPr="00F74434">
          <w:rPr>
            <w:rStyle w:val="Hyperlink"/>
            <w:rFonts w:ascii="Arial" w:hAnsi="Arial" w:cs="Arial"/>
          </w:rPr>
          <w:t>)</w:t>
        </w:r>
      </w:hyperlink>
      <w:r w:rsidR="00BE6C9D">
        <w:rPr>
          <w:rFonts w:ascii="Arial" w:hAnsi="Arial" w:cs="Arial"/>
        </w:rPr>
        <w:t xml:space="preserve">. </w:t>
      </w:r>
      <w:r w:rsidR="00897EB2" w:rsidRPr="00897EB2">
        <w:rPr>
          <w:rFonts w:ascii="Arial" w:hAnsi="Arial" w:cs="Arial"/>
          <w:vertAlign w:val="superscript"/>
        </w:rPr>
        <w:t>1</w:t>
      </w:r>
      <w:r w:rsidR="009A33DB">
        <w:rPr>
          <w:rFonts w:ascii="Arial" w:hAnsi="Arial" w:cs="Arial"/>
          <w:vertAlign w:val="superscript"/>
        </w:rPr>
        <w:t>9</w:t>
      </w:r>
    </w:p>
    <w:p w14:paraId="0153EE8D" w14:textId="77777777" w:rsidR="0009614D" w:rsidRPr="00251A31" w:rsidRDefault="0009614D" w:rsidP="008A3461">
      <w:pPr>
        <w:spacing w:line="480" w:lineRule="auto"/>
        <w:rPr>
          <w:rFonts w:ascii="Arial" w:hAnsi="Arial" w:cs="Arial"/>
        </w:rPr>
      </w:pPr>
    </w:p>
    <w:p w14:paraId="0BF3495A" w14:textId="128E0483" w:rsidR="0009614D" w:rsidRDefault="00136313" w:rsidP="002D4FDB">
      <w:pPr>
        <w:spacing w:line="480" w:lineRule="auto"/>
        <w:rPr>
          <w:rFonts w:ascii="Arial" w:hAnsi="Arial" w:cs="Arial"/>
        </w:rPr>
      </w:pPr>
      <w:r>
        <w:rPr>
          <w:rFonts w:ascii="Arial" w:hAnsi="Arial" w:cs="Arial"/>
        </w:rPr>
        <w:t>To test for antimicrobial susceptibility m</w:t>
      </w:r>
      <w:r w:rsidR="0009614D" w:rsidRPr="00671F1C">
        <w:rPr>
          <w:rFonts w:ascii="Arial" w:hAnsi="Arial" w:cs="Arial"/>
        </w:rPr>
        <w:t>inimum inhibitory concentrations to erythromycin</w:t>
      </w:r>
      <w:r w:rsidR="006A376A">
        <w:rPr>
          <w:rFonts w:ascii="Arial" w:hAnsi="Arial" w:cs="Arial"/>
        </w:rPr>
        <w:t xml:space="preserve">, </w:t>
      </w:r>
      <w:r w:rsidR="0009614D" w:rsidRPr="00671F1C">
        <w:rPr>
          <w:rFonts w:ascii="Arial" w:hAnsi="Arial" w:cs="Arial"/>
        </w:rPr>
        <w:t>clindamycin</w:t>
      </w:r>
      <w:r w:rsidR="002F7169">
        <w:rPr>
          <w:rFonts w:ascii="Arial" w:hAnsi="Arial" w:cs="Arial"/>
        </w:rPr>
        <w:t>,</w:t>
      </w:r>
      <w:r w:rsidR="0009614D" w:rsidRPr="00671F1C">
        <w:rPr>
          <w:rFonts w:ascii="Arial" w:hAnsi="Arial" w:cs="Arial"/>
        </w:rPr>
        <w:t xml:space="preserve"> </w:t>
      </w:r>
      <w:r w:rsidR="0078337A">
        <w:rPr>
          <w:rFonts w:ascii="Arial" w:hAnsi="Arial" w:cs="Arial"/>
        </w:rPr>
        <w:t xml:space="preserve">and penicillin </w:t>
      </w:r>
      <w:r w:rsidR="0009614D" w:rsidRPr="00671F1C">
        <w:rPr>
          <w:rFonts w:ascii="Arial" w:hAnsi="Arial" w:cs="Arial"/>
        </w:rPr>
        <w:t xml:space="preserve">were determined </w:t>
      </w:r>
      <w:r>
        <w:rPr>
          <w:rFonts w:ascii="Arial" w:hAnsi="Arial" w:cs="Arial"/>
        </w:rPr>
        <w:t xml:space="preserve">at PHE </w:t>
      </w:r>
      <w:r w:rsidR="0009614D" w:rsidRPr="00671F1C">
        <w:rPr>
          <w:rFonts w:ascii="Arial" w:hAnsi="Arial" w:cs="Arial"/>
        </w:rPr>
        <w:t>via agar dilution. For erythromycin and clindamycin, a 0</w:t>
      </w:r>
      <w:r w:rsidR="00CA22BB">
        <w:rPr>
          <w:rFonts w:ascii="Arial" w:hAnsi="Arial" w:cs="Arial"/>
        </w:rPr>
        <w:t>·</w:t>
      </w:r>
      <w:r w:rsidR="0009614D" w:rsidRPr="00671F1C">
        <w:rPr>
          <w:rFonts w:ascii="Arial" w:hAnsi="Arial" w:cs="Arial"/>
        </w:rPr>
        <w:t xml:space="preserve">06 to 128 </w:t>
      </w:r>
      <w:r w:rsidR="0009614D" w:rsidRPr="00671F1C">
        <w:rPr>
          <w:rFonts w:ascii="Arial" w:hAnsi="Arial" w:cs="Arial"/>
          <w:i/>
        </w:rPr>
        <w:t>µ</w:t>
      </w:r>
      <w:r w:rsidR="0009614D" w:rsidRPr="00671F1C">
        <w:rPr>
          <w:rFonts w:ascii="Arial" w:hAnsi="Arial" w:cs="Arial"/>
        </w:rPr>
        <w:t>g/mL range of antibiotic concentrations were tested</w:t>
      </w:r>
      <w:r w:rsidR="006A376A">
        <w:rPr>
          <w:rFonts w:ascii="Arial" w:hAnsi="Arial" w:cs="Arial"/>
        </w:rPr>
        <w:t xml:space="preserve"> and </w:t>
      </w:r>
      <w:r w:rsidR="0078337A">
        <w:rPr>
          <w:rFonts w:ascii="Arial" w:hAnsi="Arial" w:cs="Arial"/>
        </w:rPr>
        <w:t>for penic</w:t>
      </w:r>
      <w:r w:rsidR="006A376A">
        <w:rPr>
          <w:rFonts w:ascii="Arial" w:hAnsi="Arial" w:cs="Arial"/>
        </w:rPr>
        <w:t>i</w:t>
      </w:r>
      <w:r w:rsidR="0078337A">
        <w:rPr>
          <w:rFonts w:ascii="Arial" w:hAnsi="Arial" w:cs="Arial"/>
        </w:rPr>
        <w:t xml:space="preserve">llin </w:t>
      </w:r>
      <w:r w:rsidR="006A376A">
        <w:rPr>
          <w:rFonts w:ascii="Arial" w:hAnsi="Arial" w:cs="Arial"/>
        </w:rPr>
        <w:t xml:space="preserve">a range of </w:t>
      </w:r>
      <w:r w:rsidR="0078337A">
        <w:rPr>
          <w:rFonts w:ascii="Arial" w:hAnsi="Arial" w:cs="Arial"/>
        </w:rPr>
        <w:t xml:space="preserve">0.015 to 0.5 </w:t>
      </w:r>
      <w:r w:rsidR="0078337A" w:rsidRPr="00671F1C">
        <w:rPr>
          <w:rFonts w:ascii="Arial" w:hAnsi="Arial" w:cs="Arial"/>
          <w:i/>
        </w:rPr>
        <w:t>µ</w:t>
      </w:r>
      <w:r w:rsidR="0078337A" w:rsidRPr="00671F1C">
        <w:rPr>
          <w:rFonts w:ascii="Arial" w:hAnsi="Arial" w:cs="Arial"/>
        </w:rPr>
        <w:t>g/mL</w:t>
      </w:r>
      <w:r w:rsidR="0078337A">
        <w:rPr>
          <w:rFonts w:ascii="Arial" w:hAnsi="Arial" w:cs="Arial"/>
        </w:rPr>
        <w:t xml:space="preserve"> were tested</w:t>
      </w:r>
      <w:r w:rsidR="0009614D" w:rsidRPr="00671F1C">
        <w:rPr>
          <w:rFonts w:ascii="Arial" w:hAnsi="Arial" w:cs="Arial"/>
        </w:rPr>
        <w:t>.  Iso</w:t>
      </w:r>
      <w:r w:rsidR="0009614D" w:rsidRPr="00671F1C">
        <w:rPr>
          <w:rFonts w:ascii="Arial" w:hAnsi="Arial" w:cs="Arial"/>
        </w:rPr>
        <w:noBreakHyphen/>
        <w:t>Sensitest agar containing 5% horse blood (</w:t>
      </w:r>
      <w:r w:rsidR="0009614D" w:rsidRPr="00D9204B">
        <w:rPr>
          <w:rFonts w:ascii="Arial" w:hAnsi="Arial" w:cs="Arial"/>
        </w:rPr>
        <w:t>Oxoid, Thermo Scientific, UK</w:t>
      </w:r>
      <w:r w:rsidR="0009614D" w:rsidRPr="00671F1C">
        <w:rPr>
          <w:rFonts w:ascii="Arial" w:hAnsi="Arial" w:cs="Arial"/>
        </w:rPr>
        <w:t>) was inoculated with 1</w:t>
      </w:r>
      <w:r w:rsidR="00CA22BB">
        <w:rPr>
          <w:rFonts w:ascii="Arial" w:hAnsi="Arial" w:cs="Arial"/>
        </w:rPr>
        <w:t>·</w:t>
      </w:r>
      <w:r w:rsidR="0009614D" w:rsidRPr="00671F1C">
        <w:rPr>
          <w:rFonts w:ascii="Arial" w:hAnsi="Arial" w:cs="Arial"/>
        </w:rPr>
        <w:t>5x10</w:t>
      </w:r>
      <w:r w:rsidR="0009614D" w:rsidRPr="00671F1C">
        <w:rPr>
          <w:rFonts w:ascii="Arial" w:hAnsi="Arial" w:cs="Arial"/>
          <w:vertAlign w:val="superscript"/>
        </w:rPr>
        <w:t>8</w:t>
      </w:r>
      <w:r w:rsidR="0009614D" w:rsidRPr="00671F1C">
        <w:rPr>
          <w:rFonts w:ascii="Arial" w:hAnsi="Arial" w:cs="Arial"/>
        </w:rPr>
        <w:t xml:space="preserve"> CFU/spot of sample using a multipoint inoculator and incubated </w:t>
      </w:r>
      <w:r w:rsidR="0009614D">
        <w:rPr>
          <w:rFonts w:ascii="Arial" w:hAnsi="Arial" w:cs="Arial"/>
        </w:rPr>
        <w:t xml:space="preserve">aerobically </w:t>
      </w:r>
      <w:r w:rsidR="0009614D" w:rsidRPr="00671F1C">
        <w:rPr>
          <w:rFonts w:ascii="Arial" w:hAnsi="Arial" w:cs="Arial"/>
        </w:rPr>
        <w:t>overnight at 37°C</w:t>
      </w:r>
      <w:r w:rsidR="0009614D">
        <w:rPr>
          <w:rFonts w:ascii="Arial" w:hAnsi="Arial" w:cs="Arial"/>
        </w:rPr>
        <w:t>.</w:t>
      </w:r>
      <w:r w:rsidR="00387DFF">
        <w:rPr>
          <w:rFonts w:ascii="Arial" w:hAnsi="Arial" w:cs="Arial"/>
        </w:rPr>
        <w:t xml:space="preserve"> </w:t>
      </w:r>
      <w:r w:rsidR="0009614D" w:rsidRPr="00671F1C">
        <w:rPr>
          <w:rFonts w:ascii="Arial" w:hAnsi="Arial" w:cs="Arial"/>
        </w:rPr>
        <w:t xml:space="preserve">British Society of Antimicrobial Chemotherapy </w:t>
      </w:r>
      <w:r w:rsidR="00E061D3">
        <w:rPr>
          <w:rFonts w:ascii="Arial" w:hAnsi="Arial" w:cs="Arial"/>
        </w:rPr>
        <w:t xml:space="preserve">(BSAC) </w:t>
      </w:r>
      <w:r w:rsidR="0009614D" w:rsidRPr="00671F1C">
        <w:rPr>
          <w:rFonts w:ascii="Arial" w:hAnsi="Arial" w:cs="Arial"/>
        </w:rPr>
        <w:t>criteria were used to determine whether isolates were resistant or susceptible to erythromycin (susceptibility and resistance, ≤0</w:t>
      </w:r>
      <w:r w:rsidR="00602EB0">
        <w:rPr>
          <w:rFonts w:ascii="Arial" w:hAnsi="Arial" w:cs="Arial"/>
        </w:rPr>
        <w:t>·</w:t>
      </w:r>
      <w:r w:rsidR="0009614D" w:rsidRPr="00671F1C">
        <w:rPr>
          <w:rFonts w:ascii="Arial" w:hAnsi="Arial" w:cs="Arial"/>
        </w:rPr>
        <w:t xml:space="preserve">25 </w:t>
      </w:r>
      <w:r w:rsidR="0009614D" w:rsidRPr="00671F1C">
        <w:rPr>
          <w:rFonts w:ascii="Arial" w:hAnsi="Arial" w:cs="Arial"/>
          <w:i/>
        </w:rPr>
        <w:t>µ</w:t>
      </w:r>
      <w:r w:rsidR="0009614D" w:rsidRPr="00671F1C">
        <w:rPr>
          <w:rFonts w:ascii="Arial" w:hAnsi="Arial" w:cs="Arial"/>
        </w:rPr>
        <w:t>g/mL and &gt;0</w:t>
      </w:r>
      <w:r w:rsidR="00602EB0">
        <w:rPr>
          <w:rFonts w:ascii="Arial" w:hAnsi="Arial" w:cs="Arial"/>
        </w:rPr>
        <w:t>·</w:t>
      </w:r>
      <w:r w:rsidR="0009614D" w:rsidRPr="00671F1C">
        <w:rPr>
          <w:rFonts w:ascii="Arial" w:hAnsi="Arial" w:cs="Arial"/>
        </w:rPr>
        <w:t xml:space="preserve">5 </w:t>
      </w:r>
      <w:r w:rsidR="0009614D" w:rsidRPr="00671F1C">
        <w:rPr>
          <w:rFonts w:ascii="Arial" w:hAnsi="Arial" w:cs="Arial"/>
          <w:i/>
        </w:rPr>
        <w:t>µ</w:t>
      </w:r>
      <w:r w:rsidR="0009614D" w:rsidRPr="00671F1C">
        <w:rPr>
          <w:rFonts w:ascii="Arial" w:hAnsi="Arial" w:cs="Arial"/>
        </w:rPr>
        <w:t>g/mL)</w:t>
      </w:r>
      <w:r w:rsidR="0078337A">
        <w:rPr>
          <w:rFonts w:ascii="Arial" w:hAnsi="Arial" w:cs="Arial"/>
        </w:rPr>
        <w:t xml:space="preserve">, </w:t>
      </w:r>
      <w:r w:rsidR="0009614D" w:rsidRPr="00671F1C">
        <w:rPr>
          <w:rFonts w:ascii="Arial" w:hAnsi="Arial" w:cs="Arial"/>
        </w:rPr>
        <w:t>clindamycin (susceptibility, ≤0</w:t>
      </w:r>
      <w:r w:rsidR="00602EB0">
        <w:rPr>
          <w:rFonts w:ascii="Arial" w:hAnsi="Arial" w:cs="Arial"/>
        </w:rPr>
        <w:t>·</w:t>
      </w:r>
      <w:r w:rsidR="0009614D" w:rsidRPr="00671F1C">
        <w:rPr>
          <w:rFonts w:ascii="Arial" w:hAnsi="Arial" w:cs="Arial"/>
        </w:rPr>
        <w:t xml:space="preserve">5 </w:t>
      </w:r>
      <w:r w:rsidR="0009614D" w:rsidRPr="00671F1C">
        <w:rPr>
          <w:rFonts w:ascii="Arial" w:hAnsi="Arial" w:cs="Arial"/>
          <w:i/>
        </w:rPr>
        <w:t>µ</w:t>
      </w:r>
      <w:r w:rsidR="0009614D" w:rsidRPr="00671F1C">
        <w:rPr>
          <w:rFonts w:ascii="Arial" w:hAnsi="Arial" w:cs="Arial"/>
        </w:rPr>
        <w:t>g/mL</w:t>
      </w:r>
      <w:r w:rsidR="00BE223A" w:rsidRPr="005F1892">
        <w:rPr>
          <w:rFonts w:ascii="Arial" w:hAnsi="Arial" w:cs="Arial"/>
        </w:rPr>
        <w:t>)</w:t>
      </w:r>
      <w:r w:rsidR="0078337A">
        <w:rPr>
          <w:rFonts w:ascii="Arial" w:hAnsi="Arial" w:cs="Arial"/>
        </w:rPr>
        <w:t xml:space="preserve"> and penicillin (</w:t>
      </w:r>
      <w:r w:rsidR="0078337A" w:rsidRPr="00671F1C">
        <w:rPr>
          <w:rFonts w:ascii="Arial" w:hAnsi="Arial" w:cs="Arial"/>
        </w:rPr>
        <w:t>susceptibility, ≤0</w:t>
      </w:r>
      <w:r w:rsidR="0078337A">
        <w:rPr>
          <w:rFonts w:ascii="Arial" w:hAnsi="Arial" w:cs="Arial"/>
        </w:rPr>
        <w:t>·25</w:t>
      </w:r>
      <w:r w:rsidR="0078337A" w:rsidRPr="00671F1C">
        <w:rPr>
          <w:rFonts w:ascii="Arial" w:hAnsi="Arial" w:cs="Arial"/>
        </w:rPr>
        <w:t xml:space="preserve"> </w:t>
      </w:r>
      <w:r w:rsidR="0078337A" w:rsidRPr="00671F1C">
        <w:rPr>
          <w:rFonts w:ascii="Arial" w:hAnsi="Arial" w:cs="Arial"/>
          <w:i/>
        </w:rPr>
        <w:t>µ</w:t>
      </w:r>
      <w:r w:rsidR="0078337A" w:rsidRPr="00671F1C">
        <w:rPr>
          <w:rFonts w:ascii="Arial" w:hAnsi="Arial" w:cs="Arial"/>
        </w:rPr>
        <w:t>g/mL</w:t>
      </w:r>
      <w:r w:rsidR="0078337A">
        <w:rPr>
          <w:rFonts w:ascii="Arial" w:hAnsi="Arial" w:cs="Arial"/>
        </w:rPr>
        <w:t>)</w:t>
      </w:r>
      <w:r w:rsidR="00BE6C9D">
        <w:rPr>
          <w:rFonts w:ascii="Arial" w:hAnsi="Arial" w:cs="Arial"/>
        </w:rPr>
        <w:t>.</w:t>
      </w:r>
      <w:r w:rsidR="00BE223A" w:rsidRPr="005F1892">
        <w:rPr>
          <w:rFonts w:ascii="Arial" w:hAnsi="Arial" w:cs="Arial"/>
        </w:rPr>
        <w:t xml:space="preserve"> </w:t>
      </w:r>
      <w:r w:rsidR="009A33DB" w:rsidRPr="00342949">
        <w:rPr>
          <w:rFonts w:ascii="Arial" w:hAnsi="Arial" w:cs="Arial"/>
          <w:color w:val="FF0000"/>
          <w:vertAlign w:val="superscript"/>
        </w:rPr>
        <w:t>20</w:t>
      </w:r>
    </w:p>
    <w:p w14:paraId="3E3BC12D" w14:textId="77777777" w:rsidR="00DE47AB" w:rsidRPr="000E6468" w:rsidRDefault="00DE47AB" w:rsidP="00285249">
      <w:pPr>
        <w:spacing w:line="480" w:lineRule="auto"/>
        <w:rPr>
          <w:rFonts w:ascii="Arial" w:hAnsi="Arial" w:cs="Arial"/>
        </w:rPr>
      </w:pPr>
    </w:p>
    <w:p w14:paraId="1A27A422" w14:textId="369E5137" w:rsidR="00697F9B" w:rsidRDefault="00A6680A" w:rsidP="00285249">
      <w:pPr>
        <w:spacing w:line="480" w:lineRule="auto"/>
        <w:rPr>
          <w:rFonts w:ascii="Arial" w:hAnsi="Arial" w:cs="Arial"/>
        </w:rPr>
      </w:pPr>
      <w:r>
        <w:rPr>
          <w:rFonts w:ascii="Arial" w:hAnsi="Arial" w:cs="Arial"/>
        </w:rPr>
        <w:lastRenderedPageBreak/>
        <w:t xml:space="preserve">Data from all sources were entered into a single Excel database and de-duplicated at regular intervals. </w:t>
      </w:r>
      <w:r w:rsidR="006F0AC9">
        <w:rPr>
          <w:rFonts w:ascii="Arial" w:hAnsi="Arial" w:cs="Arial"/>
        </w:rPr>
        <w:t xml:space="preserve">The responsible paediatricians </w:t>
      </w:r>
      <w:r w:rsidR="00697F9B" w:rsidRPr="000E6468">
        <w:rPr>
          <w:rFonts w:ascii="Arial" w:hAnsi="Arial" w:cs="Arial"/>
        </w:rPr>
        <w:t xml:space="preserve">were sent a link to a </w:t>
      </w:r>
      <w:r w:rsidR="003C06E9">
        <w:rPr>
          <w:rFonts w:ascii="Arial" w:hAnsi="Arial" w:cs="Arial"/>
        </w:rPr>
        <w:t>secure web-based</w:t>
      </w:r>
      <w:r w:rsidR="006F0AC9" w:rsidRPr="000E6468">
        <w:rPr>
          <w:rFonts w:ascii="Arial" w:hAnsi="Arial" w:cs="Arial"/>
        </w:rPr>
        <w:t xml:space="preserve"> </w:t>
      </w:r>
      <w:r w:rsidR="00697F9B" w:rsidRPr="000E6468">
        <w:rPr>
          <w:rFonts w:ascii="Arial" w:hAnsi="Arial" w:cs="Arial"/>
        </w:rPr>
        <w:t>electronic questionnaire, or a paper version of the same questionnaire</w:t>
      </w:r>
      <w:r w:rsidR="006F0AC9">
        <w:rPr>
          <w:rFonts w:ascii="Arial" w:hAnsi="Arial" w:cs="Arial"/>
        </w:rPr>
        <w:t xml:space="preserve">, which </w:t>
      </w:r>
      <w:r w:rsidR="00697F9B" w:rsidRPr="000E6468">
        <w:rPr>
          <w:rFonts w:ascii="Arial" w:hAnsi="Arial" w:cs="Arial"/>
        </w:rPr>
        <w:t xml:space="preserve">requested information on demographics, </w:t>
      </w:r>
      <w:r w:rsidR="00A856FD">
        <w:rPr>
          <w:rFonts w:ascii="Arial" w:hAnsi="Arial" w:cs="Arial"/>
        </w:rPr>
        <w:t xml:space="preserve">antenatal and intrapartum </w:t>
      </w:r>
      <w:r w:rsidR="00697F9B" w:rsidRPr="000E6468">
        <w:rPr>
          <w:rFonts w:ascii="Arial" w:hAnsi="Arial" w:cs="Arial"/>
        </w:rPr>
        <w:t>risk factors (in EO</w:t>
      </w:r>
      <w:r w:rsidR="00930D09">
        <w:rPr>
          <w:rFonts w:ascii="Arial" w:hAnsi="Arial" w:cs="Arial"/>
        </w:rPr>
        <w:t>D</w:t>
      </w:r>
      <w:r w:rsidR="00697F9B" w:rsidRPr="000E6468">
        <w:rPr>
          <w:rFonts w:ascii="Arial" w:hAnsi="Arial" w:cs="Arial"/>
        </w:rPr>
        <w:t xml:space="preserve"> cases), disease presentation and management, and outcome</w:t>
      </w:r>
      <w:r w:rsidR="006F0AC9">
        <w:rPr>
          <w:rFonts w:ascii="Arial" w:hAnsi="Arial" w:cs="Arial"/>
        </w:rPr>
        <w:t>s</w:t>
      </w:r>
      <w:r w:rsidR="00697F9B" w:rsidRPr="000E6468">
        <w:rPr>
          <w:rFonts w:ascii="Arial" w:hAnsi="Arial" w:cs="Arial"/>
        </w:rPr>
        <w:t xml:space="preserve"> at hospital discharge. </w:t>
      </w:r>
      <w:r w:rsidR="001F08DB">
        <w:rPr>
          <w:rFonts w:ascii="Arial" w:hAnsi="Arial" w:cs="Arial"/>
        </w:rPr>
        <w:t xml:space="preserve">Clinical presentation was defined as meningitis, if the CSF culture was positive and / or if the paediatrician indicated it was treated as meningitis; bacteraemic pneumonia, if the blood culture was positive and there were chest x-ray changes </w:t>
      </w:r>
      <w:r w:rsidR="002C1639">
        <w:rPr>
          <w:rFonts w:ascii="Arial" w:hAnsi="Arial" w:cs="Arial"/>
        </w:rPr>
        <w:t>compatible with pneumonia;</w:t>
      </w:r>
      <w:r w:rsidR="001F08DB">
        <w:rPr>
          <w:rFonts w:ascii="Arial" w:hAnsi="Arial" w:cs="Arial"/>
        </w:rPr>
        <w:t xml:space="preserve"> focal infection, if the blood culture was positive and there were clinical features of a focal infection (typically, septic arthritis or osteomyelitis)</w:t>
      </w:r>
      <w:r w:rsidR="002C1639">
        <w:rPr>
          <w:rFonts w:ascii="Arial" w:hAnsi="Arial" w:cs="Arial"/>
        </w:rPr>
        <w:t>;</w:t>
      </w:r>
      <w:r w:rsidR="001F08DB">
        <w:rPr>
          <w:rFonts w:ascii="Arial" w:hAnsi="Arial" w:cs="Arial"/>
        </w:rPr>
        <w:t xml:space="preserve"> and septicaemia, if the blood culture was positive and there were no </w:t>
      </w:r>
      <w:r w:rsidR="002C1639">
        <w:rPr>
          <w:rFonts w:ascii="Arial" w:hAnsi="Arial" w:cs="Arial"/>
        </w:rPr>
        <w:t xml:space="preserve">clinical features of a focal infection. </w:t>
      </w:r>
      <w:r w:rsidR="00DC0EE3">
        <w:rPr>
          <w:rFonts w:ascii="Arial" w:hAnsi="Arial" w:cs="Arial"/>
        </w:rPr>
        <w:t xml:space="preserve">Poor outcome was defined </w:t>
      </w:r>
      <w:r w:rsidR="00342949">
        <w:rPr>
          <w:rFonts w:ascii="Arial" w:hAnsi="Arial" w:cs="Arial"/>
        </w:rPr>
        <w:t xml:space="preserve">as </w:t>
      </w:r>
      <w:r w:rsidR="00DC0EE3">
        <w:rPr>
          <w:rFonts w:ascii="Arial" w:hAnsi="Arial" w:cs="Arial"/>
        </w:rPr>
        <w:t xml:space="preserve">any </w:t>
      </w:r>
      <w:r w:rsidR="00342949">
        <w:rPr>
          <w:rFonts w:ascii="Arial" w:hAnsi="Arial" w:cs="Arial"/>
        </w:rPr>
        <w:t xml:space="preserve">major or minor </w:t>
      </w:r>
      <w:r w:rsidR="00DC0EE3">
        <w:rPr>
          <w:rFonts w:ascii="Arial" w:hAnsi="Arial" w:cs="Arial"/>
        </w:rPr>
        <w:t xml:space="preserve">disability identified </w:t>
      </w:r>
      <w:r w:rsidR="00CA1C83">
        <w:rPr>
          <w:rFonts w:ascii="Arial" w:hAnsi="Arial" w:cs="Arial"/>
        </w:rPr>
        <w:t xml:space="preserve">by the clinician </w:t>
      </w:r>
      <w:r w:rsidR="00342949">
        <w:rPr>
          <w:rFonts w:ascii="Arial" w:hAnsi="Arial" w:cs="Arial"/>
        </w:rPr>
        <w:t>at hospital discharge</w:t>
      </w:r>
      <w:r w:rsidR="00DC0EE3">
        <w:rPr>
          <w:rFonts w:ascii="Arial" w:hAnsi="Arial" w:cs="Arial"/>
        </w:rPr>
        <w:t xml:space="preserve">. </w:t>
      </w:r>
      <w:r w:rsidR="006F0AC9">
        <w:rPr>
          <w:rFonts w:ascii="Arial" w:hAnsi="Arial" w:cs="Arial"/>
        </w:rPr>
        <w:t xml:space="preserve">For cases </w:t>
      </w:r>
      <w:r w:rsidR="00CF6BA1">
        <w:rPr>
          <w:rFonts w:ascii="Arial" w:hAnsi="Arial" w:cs="Arial"/>
        </w:rPr>
        <w:t xml:space="preserve">where antenatal </w:t>
      </w:r>
      <w:r w:rsidR="00A856FD">
        <w:rPr>
          <w:rFonts w:ascii="Arial" w:hAnsi="Arial" w:cs="Arial"/>
        </w:rPr>
        <w:t xml:space="preserve">and intrapartum </w:t>
      </w:r>
      <w:r w:rsidR="00CF6BA1">
        <w:rPr>
          <w:rFonts w:ascii="Arial" w:hAnsi="Arial" w:cs="Arial"/>
        </w:rPr>
        <w:t xml:space="preserve">information was not available, with the named paediatrician’s permission, we sought the assistance of the UK Obstetric Surveillance </w:t>
      </w:r>
      <w:r w:rsidR="005B21D1">
        <w:rPr>
          <w:rFonts w:ascii="Arial" w:hAnsi="Arial" w:cs="Arial"/>
        </w:rPr>
        <w:t xml:space="preserve">System </w:t>
      </w:r>
      <w:r w:rsidR="00CF6BA1">
        <w:rPr>
          <w:rFonts w:ascii="Arial" w:hAnsi="Arial" w:cs="Arial"/>
        </w:rPr>
        <w:t>(UKOSS) to obtain the information</w:t>
      </w:r>
      <w:r w:rsidR="00E77C43">
        <w:rPr>
          <w:rFonts w:ascii="Arial" w:hAnsi="Arial" w:cs="Arial"/>
        </w:rPr>
        <w:t xml:space="preserve">. </w:t>
      </w:r>
      <w:r w:rsidR="00E77C43" w:rsidRPr="00FC05EF">
        <w:rPr>
          <w:rFonts w:ascii="Arial" w:hAnsi="Arial" w:cs="Arial"/>
          <w:vertAlign w:val="superscript"/>
        </w:rPr>
        <w:t>2</w:t>
      </w:r>
      <w:r w:rsidR="009A33DB">
        <w:rPr>
          <w:rFonts w:ascii="Arial" w:hAnsi="Arial" w:cs="Arial"/>
          <w:vertAlign w:val="superscript"/>
        </w:rPr>
        <w:t>1</w:t>
      </w:r>
      <w:r w:rsidR="00CF6BA1">
        <w:rPr>
          <w:rFonts w:ascii="Arial" w:hAnsi="Arial" w:cs="Arial"/>
        </w:rPr>
        <w:t xml:space="preserve">. </w:t>
      </w:r>
      <w:r w:rsidR="00EE19C0">
        <w:rPr>
          <w:rFonts w:ascii="Arial" w:hAnsi="Arial" w:cs="Arial"/>
        </w:rPr>
        <w:t xml:space="preserve">UKOSS has a </w:t>
      </w:r>
      <w:r w:rsidR="00EC0FC4">
        <w:rPr>
          <w:rFonts w:ascii="Arial" w:hAnsi="Arial" w:cs="Arial"/>
        </w:rPr>
        <w:t>nominated reporter</w:t>
      </w:r>
      <w:r w:rsidR="007F2BAF">
        <w:rPr>
          <w:rFonts w:ascii="Arial" w:hAnsi="Arial" w:cs="Arial"/>
        </w:rPr>
        <w:t xml:space="preserve"> i</w:t>
      </w:r>
      <w:r w:rsidR="00EC0FC4">
        <w:rPr>
          <w:rFonts w:ascii="Arial" w:hAnsi="Arial" w:cs="Arial"/>
        </w:rPr>
        <w:t xml:space="preserve">n each NHS Trust who has access to maternity and perinatal data. </w:t>
      </w:r>
    </w:p>
    <w:p w14:paraId="04D60821" w14:textId="77777777" w:rsidR="00113FE6" w:rsidRPr="00530E4D" w:rsidRDefault="00113FE6" w:rsidP="00A44CF1">
      <w:pPr>
        <w:spacing w:line="480" w:lineRule="auto"/>
        <w:rPr>
          <w:rFonts w:ascii="Arial" w:hAnsi="Arial" w:cs="Arial"/>
        </w:rPr>
      </w:pPr>
    </w:p>
    <w:p w14:paraId="1F216238" w14:textId="33A97B72" w:rsidR="006D13A4" w:rsidRPr="00530E4D" w:rsidRDefault="006D13A4" w:rsidP="00A44CF1">
      <w:pPr>
        <w:spacing w:line="480" w:lineRule="auto"/>
        <w:rPr>
          <w:rFonts w:ascii="Arial" w:hAnsi="Arial" w:cs="Arial"/>
        </w:rPr>
      </w:pPr>
      <w:r w:rsidRPr="00530E4D">
        <w:rPr>
          <w:rFonts w:ascii="Arial" w:hAnsi="Arial" w:cs="Arial"/>
        </w:rPr>
        <w:t xml:space="preserve">Risk </w:t>
      </w:r>
      <w:r w:rsidR="004E70AD" w:rsidRPr="00530E4D">
        <w:rPr>
          <w:rFonts w:ascii="Arial" w:hAnsi="Arial" w:cs="Arial"/>
        </w:rPr>
        <w:t>factors that were sought in EO</w:t>
      </w:r>
      <w:r w:rsidR="00A44CF1" w:rsidRPr="00530E4D">
        <w:rPr>
          <w:rFonts w:ascii="Arial" w:hAnsi="Arial" w:cs="Arial"/>
        </w:rPr>
        <w:t>D</w:t>
      </w:r>
      <w:r w:rsidR="004E70AD" w:rsidRPr="00530E4D">
        <w:rPr>
          <w:rFonts w:ascii="Arial" w:hAnsi="Arial" w:cs="Arial"/>
        </w:rPr>
        <w:t xml:space="preserve"> cases</w:t>
      </w:r>
      <w:r w:rsidRPr="00530E4D">
        <w:rPr>
          <w:rFonts w:ascii="Arial" w:hAnsi="Arial" w:cs="Arial"/>
        </w:rPr>
        <w:t xml:space="preserve"> were </w:t>
      </w:r>
      <w:r w:rsidR="00E061D3" w:rsidRPr="00530E4D">
        <w:rPr>
          <w:rFonts w:ascii="Arial" w:hAnsi="Arial" w:cs="Arial"/>
        </w:rPr>
        <w:t xml:space="preserve">those specified in </w:t>
      </w:r>
      <w:r w:rsidRPr="00530E4D">
        <w:rPr>
          <w:rFonts w:ascii="Arial" w:hAnsi="Arial" w:cs="Arial"/>
        </w:rPr>
        <w:t xml:space="preserve">the RCOG guideline </w:t>
      </w:r>
      <w:r w:rsidR="00E061D3" w:rsidRPr="00530E4D">
        <w:rPr>
          <w:rFonts w:ascii="Arial" w:hAnsi="Arial" w:cs="Arial"/>
        </w:rPr>
        <w:t xml:space="preserve">for prevention of </w:t>
      </w:r>
      <w:r w:rsidR="00CA1C83">
        <w:rPr>
          <w:rFonts w:ascii="Arial" w:hAnsi="Arial" w:cs="Arial"/>
        </w:rPr>
        <w:t>early-onset</w:t>
      </w:r>
      <w:r w:rsidR="00CA1C83" w:rsidRPr="00530E4D">
        <w:rPr>
          <w:rFonts w:ascii="Arial" w:hAnsi="Arial" w:cs="Arial"/>
        </w:rPr>
        <w:t xml:space="preserve"> </w:t>
      </w:r>
      <w:r w:rsidR="00E061D3" w:rsidRPr="00530E4D">
        <w:rPr>
          <w:rFonts w:ascii="Arial" w:hAnsi="Arial" w:cs="Arial"/>
        </w:rPr>
        <w:t xml:space="preserve">GBS disease </w:t>
      </w:r>
      <w:r w:rsidRPr="00530E4D">
        <w:rPr>
          <w:rFonts w:ascii="Arial" w:hAnsi="Arial" w:cs="Arial"/>
        </w:rPr>
        <w:t xml:space="preserve">(maternal fever during labour, known maternal GBS carriage, previous baby with invasive GBS, GBS bacteriuria, suspected chorioamnionitis), </w:t>
      </w:r>
      <w:r w:rsidR="007E317E">
        <w:rPr>
          <w:rFonts w:ascii="Arial" w:hAnsi="Arial" w:cs="Arial"/>
          <w:vertAlign w:val="superscript"/>
        </w:rPr>
        <w:t>6</w:t>
      </w:r>
      <w:r w:rsidR="00530E4D" w:rsidRPr="00530E4D">
        <w:rPr>
          <w:rFonts w:ascii="Arial" w:hAnsi="Arial" w:cs="Arial"/>
        </w:rPr>
        <w:t xml:space="preserve"> </w:t>
      </w:r>
      <w:r w:rsidRPr="00530E4D">
        <w:rPr>
          <w:rFonts w:ascii="Arial" w:hAnsi="Arial" w:cs="Arial"/>
        </w:rPr>
        <w:t xml:space="preserve">the NICE </w:t>
      </w:r>
      <w:r w:rsidR="00E061D3" w:rsidRPr="00530E4D">
        <w:rPr>
          <w:rFonts w:ascii="Arial" w:hAnsi="Arial" w:cs="Arial"/>
        </w:rPr>
        <w:t xml:space="preserve">antibiotics for early onset infection </w:t>
      </w:r>
      <w:r w:rsidRPr="00530E4D">
        <w:rPr>
          <w:rFonts w:ascii="Arial" w:hAnsi="Arial" w:cs="Arial"/>
        </w:rPr>
        <w:t>guideline (</w:t>
      </w:r>
      <w:r w:rsidR="00E061D3" w:rsidRPr="00530E4D">
        <w:rPr>
          <w:rFonts w:ascii="Arial" w:hAnsi="Arial" w:cs="Arial"/>
        </w:rPr>
        <w:t xml:space="preserve">as above plus </w:t>
      </w:r>
      <w:r w:rsidRPr="00530E4D">
        <w:rPr>
          <w:rFonts w:ascii="Arial" w:hAnsi="Arial" w:cs="Arial"/>
        </w:rPr>
        <w:t xml:space="preserve">premature pre-labour rupture of </w:t>
      </w:r>
      <w:r w:rsidRPr="00530E4D">
        <w:rPr>
          <w:rFonts w:ascii="Arial" w:hAnsi="Arial" w:cs="Arial"/>
        </w:rPr>
        <w:lastRenderedPageBreak/>
        <w:t>membranes, premature rupture of membranes &gt;18 hours</w:t>
      </w:r>
      <w:r w:rsidR="00530E4D" w:rsidRPr="00530E4D">
        <w:rPr>
          <w:rFonts w:ascii="Arial" w:hAnsi="Arial" w:cs="Arial"/>
        </w:rPr>
        <w:t xml:space="preserve">), </w:t>
      </w:r>
      <w:r w:rsidR="00E77C43">
        <w:rPr>
          <w:rFonts w:ascii="Arial" w:hAnsi="Arial" w:cs="Arial"/>
          <w:vertAlign w:val="superscript"/>
        </w:rPr>
        <w:t>1</w:t>
      </w:r>
      <w:r w:rsidR="009A33DB">
        <w:rPr>
          <w:rFonts w:ascii="Arial" w:hAnsi="Arial" w:cs="Arial"/>
          <w:vertAlign w:val="superscript"/>
        </w:rPr>
        <w:t>1</w:t>
      </w:r>
      <w:r w:rsidRPr="00530E4D">
        <w:rPr>
          <w:rFonts w:ascii="Arial" w:hAnsi="Arial" w:cs="Arial"/>
        </w:rPr>
        <w:t xml:space="preserve"> and the CDC </w:t>
      </w:r>
      <w:r w:rsidR="00E061D3" w:rsidRPr="00530E4D">
        <w:rPr>
          <w:rFonts w:ascii="Arial" w:hAnsi="Arial" w:cs="Arial"/>
        </w:rPr>
        <w:t xml:space="preserve">Guidelines for the Prevention of Perinatal Group B Streptococcal (GBS) Disease </w:t>
      </w:r>
      <w:r w:rsidRPr="00530E4D">
        <w:rPr>
          <w:rFonts w:ascii="Arial" w:hAnsi="Arial" w:cs="Arial"/>
        </w:rPr>
        <w:t>(</w:t>
      </w:r>
      <w:r w:rsidR="00E061D3" w:rsidRPr="00530E4D">
        <w:rPr>
          <w:rFonts w:ascii="Arial" w:hAnsi="Arial" w:cs="Arial"/>
        </w:rPr>
        <w:t xml:space="preserve">as above plus </w:t>
      </w:r>
      <w:r w:rsidRPr="00530E4D">
        <w:rPr>
          <w:rFonts w:ascii="Arial" w:hAnsi="Arial" w:cs="Arial"/>
        </w:rPr>
        <w:t>rupture of membranes ≥ 18 hours and prematurity</w:t>
      </w:r>
      <w:r w:rsidR="00F94E13">
        <w:rPr>
          <w:rFonts w:ascii="Arial" w:hAnsi="Arial" w:cs="Arial"/>
        </w:rPr>
        <w:t xml:space="preserve"> &lt; 37 weeks</w:t>
      </w:r>
      <w:r w:rsidRPr="00530E4D">
        <w:rPr>
          <w:rFonts w:ascii="Arial" w:hAnsi="Arial" w:cs="Arial"/>
        </w:rPr>
        <w:t>)</w:t>
      </w:r>
      <w:r w:rsidR="00E061D3" w:rsidRPr="00530E4D">
        <w:rPr>
          <w:rFonts w:ascii="Arial" w:hAnsi="Arial" w:cs="Arial"/>
        </w:rPr>
        <w:t>.</w:t>
      </w:r>
      <w:r w:rsidRPr="00530E4D">
        <w:rPr>
          <w:rFonts w:ascii="Arial" w:hAnsi="Arial" w:cs="Arial"/>
        </w:rPr>
        <w:t xml:space="preserve"> </w:t>
      </w:r>
      <w:r w:rsidR="007E317E">
        <w:rPr>
          <w:rFonts w:ascii="Arial" w:hAnsi="Arial" w:cs="Arial"/>
          <w:vertAlign w:val="superscript"/>
        </w:rPr>
        <w:t>9</w:t>
      </w:r>
    </w:p>
    <w:p w14:paraId="2526E95C" w14:textId="60D32438" w:rsidR="006D13A4" w:rsidRDefault="006D13A4" w:rsidP="00C8043A">
      <w:pPr>
        <w:spacing w:line="480" w:lineRule="auto"/>
        <w:rPr>
          <w:rFonts w:ascii="Arial" w:hAnsi="Arial" w:cs="Arial"/>
        </w:rPr>
      </w:pPr>
    </w:p>
    <w:p w14:paraId="152DD3EB" w14:textId="31E9A10A" w:rsidR="00697F9B" w:rsidRPr="000E6468" w:rsidRDefault="00FF1FBE" w:rsidP="00C8043A">
      <w:pPr>
        <w:spacing w:line="480" w:lineRule="auto"/>
        <w:rPr>
          <w:rFonts w:ascii="Arial" w:hAnsi="Arial" w:cs="Arial"/>
        </w:rPr>
      </w:pPr>
      <w:r w:rsidRPr="000E6468">
        <w:rPr>
          <w:rFonts w:ascii="Arial" w:hAnsi="Arial" w:cs="Arial"/>
        </w:rPr>
        <w:t xml:space="preserve">Data </w:t>
      </w:r>
      <w:r w:rsidR="00E061D3">
        <w:rPr>
          <w:rFonts w:ascii="Arial" w:hAnsi="Arial" w:cs="Arial"/>
        </w:rPr>
        <w:t>were</w:t>
      </w:r>
      <w:r w:rsidR="00E061D3" w:rsidRPr="000E6468">
        <w:rPr>
          <w:rFonts w:ascii="Arial" w:hAnsi="Arial" w:cs="Arial"/>
        </w:rPr>
        <w:t xml:space="preserve"> </w:t>
      </w:r>
      <w:r w:rsidRPr="000E6468">
        <w:rPr>
          <w:rFonts w:ascii="Arial" w:hAnsi="Arial" w:cs="Arial"/>
        </w:rPr>
        <w:t>analysed using Stata version 13</w:t>
      </w:r>
      <w:r w:rsidR="00926553">
        <w:rPr>
          <w:rFonts w:ascii="Arial" w:hAnsi="Arial" w:cs="Arial"/>
        </w:rPr>
        <w:t>·</w:t>
      </w:r>
      <w:r w:rsidRPr="000E6468">
        <w:rPr>
          <w:rFonts w:ascii="Arial" w:hAnsi="Arial" w:cs="Arial"/>
        </w:rPr>
        <w:t xml:space="preserve">1 (StataCorp, College Station, Texas). </w:t>
      </w:r>
      <w:r w:rsidR="00221BE4" w:rsidRPr="000E6468">
        <w:rPr>
          <w:rFonts w:ascii="Arial" w:hAnsi="Arial" w:cs="Arial"/>
        </w:rPr>
        <w:t xml:space="preserve"> </w:t>
      </w:r>
      <w:r w:rsidRPr="000E6468">
        <w:rPr>
          <w:rFonts w:ascii="Arial" w:hAnsi="Arial" w:cs="Arial"/>
        </w:rPr>
        <w:t xml:space="preserve">Cases were classified as early </w:t>
      </w:r>
      <w:r w:rsidR="00BD3577">
        <w:rPr>
          <w:rFonts w:ascii="Arial" w:hAnsi="Arial" w:cs="Arial"/>
        </w:rPr>
        <w:t>or late onset</w:t>
      </w:r>
      <w:r w:rsidRPr="000E6468">
        <w:rPr>
          <w:rFonts w:ascii="Arial" w:hAnsi="Arial" w:cs="Arial"/>
        </w:rPr>
        <w:t xml:space="preserve"> and term (</w:t>
      </w:r>
      <w:r w:rsidRPr="000E6468">
        <w:rPr>
          <w:rFonts w:ascii="Arial" w:eastAsia="MS Gothic" w:hAnsi="Arial" w:cs="Arial"/>
          <w:color w:val="000000"/>
        </w:rPr>
        <w:t>≥</w:t>
      </w:r>
      <w:r w:rsidRPr="000E6468">
        <w:rPr>
          <w:rFonts w:ascii="Arial" w:hAnsi="Arial" w:cs="Arial"/>
        </w:rPr>
        <w:t>37 weeks) or premature (&lt;37</w:t>
      </w:r>
      <w:r w:rsidR="00A57D73">
        <w:rPr>
          <w:rFonts w:ascii="Arial" w:hAnsi="Arial" w:cs="Arial"/>
        </w:rPr>
        <w:t xml:space="preserve"> weeks</w:t>
      </w:r>
      <w:r w:rsidRPr="000E6468">
        <w:rPr>
          <w:rFonts w:ascii="Arial" w:hAnsi="Arial" w:cs="Arial"/>
        </w:rPr>
        <w:t xml:space="preserve">). Incidence was calculated using </w:t>
      </w:r>
      <w:r w:rsidR="00E1621D" w:rsidRPr="000E6468">
        <w:rPr>
          <w:rFonts w:ascii="Arial" w:hAnsi="Arial" w:cs="Arial"/>
        </w:rPr>
        <w:t>live</w:t>
      </w:r>
      <w:r w:rsidR="00CA1C83">
        <w:rPr>
          <w:rFonts w:ascii="Arial" w:hAnsi="Arial" w:cs="Arial"/>
        </w:rPr>
        <w:t>-</w:t>
      </w:r>
      <w:r w:rsidR="00E1621D">
        <w:rPr>
          <w:rFonts w:ascii="Arial" w:hAnsi="Arial" w:cs="Arial"/>
        </w:rPr>
        <w:t>births</w:t>
      </w:r>
      <w:r w:rsidRPr="000E6468">
        <w:rPr>
          <w:rFonts w:ascii="Arial" w:hAnsi="Arial" w:cs="Arial"/>
        </w:rPr>
        <w:t xml:space="preserve"> in 2014 (after adjustment for the 13</w:t>
      </w:r>
      <w:r w:rsidR="00A57D73">
        <w:rPr>
          <w:rFonts w:ascii="Arial" w:hAnsi="Arial" w:cs="Arial"/>
        </w:rPr>
        <w:t>-</w:t>
      </w:r>
      <w:r w:rsidRPr="000E6468">
        <w:rPr>
          <w:rFonts w:ascii="Arial" w:hAnsi="Arial" w:cs="Arial"/>
        </w:rPr>
        <w:t>month surveillance period). Live</w:t>
      </w:r>
      <w:r w:rsidR="00A57D73">
        <w:rPr>
          <w:rFonts w:ascii="Arial" w:hAnsi="Arial" w:cs="Arial"/>
        </w:rPr>
        <w:t>-</w:t>
      </w:r>
      <w:r w:rsidRPr="000E6468">
        <w:rPr>
          <w:rFonts w:ascii="Arial" w:hAnsi="Arial" w:cs="Arial"/>
        </w:rPr>
        <w:t>birth</w:t>
      </w:r>
      <w:r w:rsidR="00A57D73">
        <w:rPr>
          <w:rFonts w:ascii="Arial" w:hAnsi="Arial" w:cs="Arial"/>
        </w:rPr>
        <w:t>s</w:t>
      </w:r>
      <w:r w:rsidRPr="000E6468">
        <w:rPr>
          <w:rFonts w:ascii="Arial" w:hAnsi="Arial" w:cs="Arial"/>
        </w:rPr>
        <w:t xml:space="preserve"> data were obtained from </w:t>
      </w:r>
      <w:r w:rsidR="006469AC">
        <w:rPr>
          <w:rFonts w:ascii="Arial" w:hAnsi="Arial" w:cs="Arial"/>
        </w:rPr>
        <w:t>the Office for National Statistics (</w:t>
      </w:r>
      <w:r w:rsidRPr="00384B83">
        <w:rPr>
          <w:rFonts w:ascii="Arial" w:hAnsi="Arial" w:cs="Arial"/>
        </w:rPr>
        <w:t>ONS</w:t>
      </w:r>
      <w:r w:rsidR="006469AC" w:rsidRPr="00384B83">
        <w:rPr>
          <w:rFonts w:ascii="Arial" w:hAnsi="Arial" w:cs="Arial"/>
        </w:rPr>
        <w:t>)</w:t>
      </w:r>
      <w:r w:rsidR="00384B83" w:rsidRPr="00384B83">
        <w:rPr>
          <w:rFonts w:ascii="Arial" w:hAnsi="Arial" w:cs="Arial"/>
        </w:rPr>
        <w:t xml:space="preserve">, </w:t>
      </w:r>
      <w:r w:rsidR="00897EB2">
        <w:rPr>
          <w:rFonts w:ascii="Arial" w:hAnsi="Arial" w:cs="Arial"/>
          <w:vertAlign w:val="superscript"/>
        </w:rPr>
        <w:t>2</w:t>
      </w:r>
      <w:r w:rsidR="007E317E">
        <w:rPr>
          <w:rFonts w:ascii="Arial" w:hAnsi="Arial" w:cs="Arial"/>
          <w:vertAlign w:val="superscript"/>
        </w:rPr>
        <w:t>2</w:t>
      </w:r>
      <w:r w:rsidR="00221BE4" w:rsidRPr="00384B83">
        <w:rPr>
          <w:rFonts w:ascii="Arial" w:hAnsi="Arial" w:cs="Arial"/>
        </w:rPr>
        <w:t xml:space="preserve"> National Records of Scotland</w:t>
      </w:r>
      <w:r w:rsidR="00384B83" w:rsidRPr="007F168D">
        <w:rPr>
          <w:rFonts w:ascii="Arial" w:hAnsi="Arial" w:cs="Arial"/>
        </w:rPr>
        <w:t xml:space="preserve">, </w:t>
      </w:r>
      <w:r w:rsidR="00897EB2">
        <w:rPr>
          <w:rFonts w:ascii="Arial" w:hAnsi="Arial" w:cs="Arial"/>
          <w:vertAlign w:val="superscript"/>
        </w:rPr>
        <w:t>2</w:t>
      </w:r>
      <w:r w:rsidR="007E317E">
        <w:rPr>
          <w:rFonts w:ascii="Arial" w:hAnsi="Arial" w:cs="Arial"/>
          <w:vertAlign w:val="superscript"/>
        </w:rPr>
        <w:t>3</w:t>
      </w:r>
      <w:r w:rsidR="00221BE4" w:rsidRPr="00384B83">
        <w:rPr>
          <w:rFonts w:ascii="Arial" w:hAnsi="Arial" w:cs="Arial"/>
        </w:rPr>
        <w:t xml:space="preserve"> Republic of Ireland Central Statistics Office</w:t>
      </w:r>
      <w:r w:rsidR="00384B83" w:rsidRPr="00384B83">
        <w:rPr>
          <w:rFonts w:ascii="Arial" w:hAnsi="Arial" w:cs="Arial"/>
        </w:rPr>
        <w:t xml:space="preserve">, </w:t>
      </w:r>
      <w:r w:rsidR="00384B83" w:rsidRPr="00384B83">
        <w:rPr>
          <w:rFonts w:ascii="Arial" w:hAnsi="Arial" w:cs="Arial"/>
          <w:vertAlign w:val="superscript"/>
        </w:rPr>
        <w:t>2</w:t>
      </w:r>
      <w:r w:rsidR="007E317E">
        <w:rPr>
          <w:rFonts w:ascii="Arial" w:hAnsi="Arial" w:cs="Arial"/>
          <w:vertAlign w:val="superscript"/>
        </w:rPr>
        <w:t>4</w:t>
      </w:r>
      <w:r w:rsidR="00221BE4" w:rsidRPr="00384B83">
        <w:rPr>
          <w:rFonts w:ascii="Arial" w:hAnsi="Arial" w:cs="Arial"/>
        </w:rPr>
        <w:t xml:space="preserve"> and Northern Ireland Statistics and Research Agency</w:t>
      </w:r>
      <w:r w:rsidR="00384B83" w:rsidRPr="00384B83">
        <w:rPr>
          <w:rFonts w:ascii="Arial" w:hAnsi="Arial" w:cs="Arial"/>
        </w:rPr>
        <w:t xml:space="preserve">. </w:t>
      </w:r>
      <w:r w:rsidR="00384B83" w:rsidRPr="00384B83">
        <w:rPr>
          <w:rFonts w:ascii="Arial" w:hAnsi="Arial" w:cs="Arial"/>
          <w:vertAlign w:val="superscript"/>
        </w:rPr>
        <w:t>2</w:t>
      </w:r>
      <w:r w:rsidR="007E317E">
        <w:rPr>
          <w:rFonts w:ascii="Arial" w:hAnsi="Arial" w:cs="Arial"/>
          <w:vertAlign w:val="superscript"/>
        </w:rPr>
        <w:t>5</w:t>
      </w:r>
      <w:r w:rsidR="00384B83" w:rsidRPr="00384B83">
        <w:rPr>
          <w:rFonts w:ascii="Arial" w:hAnsi="Arial" w:cs="Arial"/>
        </w:rPr>
        <w:t xml:space="preserve"> </w:t>
      </w:r>
      <w:r w:rsidR="00221BE4" w:rsidRPr="00384B83">
        <w:rPr>
          <w:rFonts w:ascii="Arial" w:hAnsi="Arial" w:cs="Arial"/>
        </w:rPr>
        <w:t>Incidence by birth</w:t>
      </w:r>
      <w:r w:rsidR="00CA1C83">
        <w:rPr>
          <w:rFonts w:ascii="Arial" w:hAnsi="Arial" w:cs="Arial"/>
        </w:rPr>
        <w:t>-</w:t>
      </w:r>
      <w:r w:rsidR="00221BE4" w:rsidRPr="00384B83">
        <w:rPr>
          <w:rFonts w:ascii="Arial" w:hAnsi="Arial" w:cs="Arial"/>
        </w:rPr>
        <w:t>weight</w:t>
      </w:r>
      <w:r w:rsidR="00221BE4" w:rsidRPr="000E6468">
        <w:rPr>
          <w:rFonts w:ascii="Arial" w:hAnsi="Arial" w:cs="Arial"/>
        </w:rPr>
        <w:t xml:space="preserve"> was calculated for England and Wales, using ONS data. </w:t>
      </w:r>
      <w:r w:rsidR="00A57D73" w:rsidRPr="000E6468">
        <w:rPr>
          <w:rFonts w:ascii="Arial" w:hAnsi="Arial" w:cs="Arial"/>
        </w:rPr>
        <w:t xml:space="preserve">The binomial method was used to calculate 95% confidence intervals (CI). </w:t>
      </w:r>
      <w:r w:rsidR="00221BE4" w:rsidRPr="000E6468">
        <w:rPr>
          <w:rFonts w:ascii="Arial" w:hAnsi="Arial" w:cs="Arial"/>
        </w:rPr>
        <w:t>Seven</w:t>
      </w:r>
      <w:r w:rsidR="00A57D73">
        <w:rPr>
          <w:rFonts w:ascii="Arial" w:hAnsi="Arial" w:cs="Arial"/>
        </w:rPr>
        <w:t>-</w:t>
      </w:r>
      <w:r w:rsidR="00221BE4" w:rsidRPr="000E6468">
        <w:rPr>
          <w:rFonts w:ascii="Arial" w:hAnsi="Arial" w:cs="Arial"/>
        </w:rPr>
        <w:t>day and 28</w:t>
      </w:r>
      <w:r w:rsidR="00A57D73">
        <w:rPr>
          <w:rFonts w:ascii="Arial" w:hAnsi="Arial" w:cs="Arial"/>
        </w:rPr>
        <w:t>-</w:t>
      </w:r>
      <w:r w:rsidR="00221BE4" w:rsidRPr="000E6468">
        <w:rPr>
          <w:rFonts w:ascii="Arial" w:hAnsi="Arial" w:cs="Arial"/>
        </w:rPr>
        <w:t xml:space="preserve">day case fatality rates </w:t>
      </w:r>
      <w:r w:rsidR="00A57D73">
        <w:rPr>
          <w:rFonts w:ascii="Arial" w:hAnsi="Arial" w:cs="Arial"/>
        </w:rPr>
        <w:t>(CFR)</w:t>
      </w:r>
      <w:r w:rsidR="00E1621D">
        <w:rPr>
          <w:rFonts w:ascii="Arial" w:hAnsi="Arial" w:cs="Arial"/>
        </w:rPr>
        <w:t xml:space="preserve"> </w:t>
      </w:r>
      <w:r w:rsidR="005B21D1">
        <w:rPr>
          <w:rFonts w:ascii="Arial" w:hAnsi="Arial" w:cs="Arial"/>
        </w:rPr>
        <w:t>based on the</w:t>
      </w:r>
      <w:r w:rsidR="00221BE4" w:rsidRPr="000E6468">
        <w:rPr>
          <w:rFonts w:ascii="Arial" w:hAnsi="Arial" w:cs="Arial"/>
        </w:rPr>
        <w:t xml:space="preserve"> date of diagnosis were calculated. </w:t>
      </w:r>
    </w:p>
    <w:p w14:paraId="6114A23E" w14:textId="77777777" w:rsidR="00C55267" w:rsidRDefault="00C55267" w:rsidP="00072394">
      <w:pPr>
        <w:spacing w:line="480" w:lineRule="auto"/>
        <w:rPr>
          <w:rFonts w:ascii="Arial" w:hAnsi="Arial" w:cs="Arial"/>
        </w:rPr>
      </w:pPr>
    </w:p>
    <w:p w14:paraId="02FB81D8" w14:textId="59AE57CB" w:rsidR="00221BE4" w:rsidRPr="00CA1C83" w:rsidRDefault="00221BE4" w:rsidP="00072394">
      <w:pPr>
        <w:spacing w:line="480" w:lineRule="auto"/>
        <w:rPr>
          <w:rFonts w:ascii="Arial" w:hAnsi="Arial" w:cs="Arial"/>
          <w:strike/>
          <w:color w:val="FF0000"/>
        </w:rPr>
      </w:pPr>
      <w:r w:rsidRPr="000C3E56">
        <w:rPr>
          <w:rFonts w:ascii="Arial" w:hAnsi="Arial" w:cs="Arial"/>
        </w:rPr>
        <w:t xml:space="preserve">Continuous data that </w:t>
      </w:r>
      <w:r w:rsidR="006469AC" w:rsidRPr="000C3E56">
        <w:rPr>
          <w:rFonts w:ascii="Arial" w:hAnsi="Arial" w:cs="Arial"/>
        </w:rPr>
        <w:t xml:space="preserve">were non-normally distributed </w:t>
      </w:r>
      <w:r w:rsidRPr="000C3E56">
        <w:rPr>
          <w:rFonts w:ascii="Arial" w:hAnsi="Arial" w:cs="Arial"/>
        </w:rPr>
        <w:t xml:space="preserve">were described as median with interquartile ranges (IQRs). </w:t>
      </w:r>
    </w:p>
    <w:p w14:paraId="156EAD3F" w14:textId="77777777" w:rsidR="00DE47AB" w:rsidRPr="000E6468" w:rsidRDefault="00DE47AB" w:rsidP="00072394">
      <w:pPr>
        <w:spacing w:line="480" w:lineRule="auto"/>
        <w:rPr>
          <w:rFonts w:ascii="Arial" w:hAnsi="Arial" w:cs="Arial"/>
        </w:rPr>
      </w:pPr>
    </w:p>
    <w:p w14:paraId="2929E6AB" w14:textId="4E16F2C0" w:rsidR="0009497C" w:rsidRPr="000E6468" w:rsidRDefault="0009497C" w:rsidP="00072394">
      <w:pPr>
        <w:pStyle w:val="NoSpacing"/>
        <w:spacing w:line="480" w:lineRule="auto"/>
        <w:rPr>
          <w:rFonts w:ascii="Arial" w:hAnsi="Arial" w:cs="Arial"/>
          <w:sz w:val="24"/>
          <w:szCs w:val="24"/>
        </w:rPr>
      </w:pPr>
      <w:r w:rsidRPr="000E6468">
        <w:rPr>
          <w:rFonts w:ascii="Arial" w:hAnsi="Arial" w:cs="Arial"/>
          <w:sz w:val="24"/>
          <w:szCs w:val="24"/>
        </w:rPr>
        <w:t xml:space="preserve">The study was approved by the South East Coast – Brighton and Sussex Research Ethics Committee (REC Reference: 13/LO/19112).  </w:t>
      </w:r>
      <w:r w:rsidR="001A2D69">
        <w:rPr>
          <w:rFonts w:ascii="Arial" w:hAnsi="Arial" w:cs="Arial"/>
          <w:sz w:val="24"/>
          <w:szCs w:val="24"/>
        </w:rPr>
        <w:t xml:space="preserve">The public health agencies in the UK and Ireland have </w:t>
      </w:r>
      <w:r w:rsidRPr="000E6468">
        <w:rPr>
          <w:rFonts w:ascii="Arial" w:hAnsi="Arial" w:cs="Arial"/>
          <w:sz w:val="24"/>
          <w:szCs w:val="24"/>
        </w:rPr>
        <w:t xml:space="preserve">legal permission to collect </w:t>
      </w:r>
      <w:r w:rsidR="001A2D69">
        <w:rPr>
          <w:rFonts w:ascii="Arial" w:hAnsi="Arial" w:cs="Arial"/>
          <w:sz w:val="24"/>
          <w:szCs w:val="24"/>
        </w:rPr>
        <w:t xml:space="preserve">laboratory </w:t>
      </w:r>
      <w:r w:rsidRPr="000E6468">
        <w:rPr>
          <w:rFonts w:ascii="Arial" w:hAnsi="Arial" w:cs="Arial"/>
          <w:sz w:val="24"/>
          <w:szCs w:val="24"/>
        </w:rPr>
        <w:t xml:space="preserve">data for infectious disease surveillance </w:t>
      </w:r>
      <w:r w:rsidR="001A2D69">
        <w:rPr>
          <w:rFonts w:ascii="Arial" w:hAnsi="Arial" w:cs="Arial"/>
          <w:sz w:val="24"/>
          <w:szCs w:val="24"/>
        </w:rPr>
        <w:t>and control</w:t>
      </w:r>
      <w:r w:rsidRPr="000E6468">
        <w:rPr>
          <w:rFonts w:ascii="Arial" w:hAnsi="Arial" w:cs="Arial"/>
          <w:sz w:val="24"/>
          <w:szCs w:val="24"/>
        </w:rPr>
        <w:t xml:space="preserve">. </w:t>
      </w:r>
    </w:p>
    <w:p w14:paraId="03CB32C1" w14:textId="49D6003B" w:rsidR="00E1621D" w:rsidRDefault="00E1621D" w:rsidP="009C195B">
      <w:pPr>
        <w:spacing w:line="480" w:lineRule="auto"/>
        <w:rPr>
          <w:rFonts w:ascii="Arial" w:hAnsi="Arial" w:cs="Arial"/>
        </w:rPr>
      </w:pPr>
    </w:p>
    <w:p w14:paraId="5D4A6070" w14:textId="77777777" w:rsidR="005101D2" w:rsidRDefault="005101D2" w:rsidP="009C195B">
      <w:pPr>
        <w:spacing w:line="480" w:lineRule="auto"/>
        <w:rPr>
          <w:rFonts w:ascii="Arial" w:hAnsi="Arial" w:cs="Arial"/>
        </w:rPr>
      </w:pPr>
    </w:p>
    <w:p w14:paraId="30FF47FC" w14:textId="77777777" w:rsidR="00330550" w:rsidRPr="00120A36" w:rsidRDefault="00330550" w:rsidP="009C195B">
      <w:pPr>
        <w:spacing w:line="480" w:lineRule="auto"/>
        <w:rPr>
          <w:rFonts w:ascii="Arial" w:hAnsi="Arial" w:cs="Arial"/>
          <w:color w:val="000000"/>
        </w:rPr>
      </w:pPr>
      <w:r w:rsidRPr="00120A36">
        <w:rPr>
          <w:rFonts w:ascii="Arial" w:hAnsi="Arial" w:cs="Arial"/>
          <w:color w:val="000000"/>
        </w:rPr>
        <w:lastRenderedPageBreak/>
        <w:t xml:space="preserve">Role of the funding source. </w:t>
      </w:r>
    </w:p>
    <w:p w14:paraId="74CB1B3F" w14:textId="39E641EC" w:rsidR="00330550" w:rsidRPr="00330550" w:rsidRDefault="00330550" w:rsidP="009C195B">
      <w:pPr>
        <w:spacing w:line="480" w:lineRule="auto"/>
        <w:rPr>
          <w:rFonts w:ascii="Arial" w:hAnsi="Arial" w:cs="Arial"/>
        </w:rPr>
      </w:pPr>
      <w:r w:rsidRPr="00120A36">
        <w:rPr>
          <w:rFonts w:ascii="Arial" w:hAnsi="Arial" w:cs="Arial"/>
          <w:color w:val="000000"/>
        </w:rPr>
        <w:t xml:space="preserve">The </w:t>
      </w:r>
      <w:r w:rsidR="006A376A">
        <w:rPr>
          <w:rFonts w:ascii="Arial" w:hAnsi="Arial" w:cs="Arial"/>
          <w:color w:val="000000"/>
        </w:rPr>
        <w:t>funders</w:t>
      </w:r>
      <w:r w:rsidRPr="00120A36">
        <w:rPr>
          <w:rFonts w:ascii="Arial" w:hAnsi="Arial" w:cs="Arial"/>
          <w:color w:val="000000"/>
        </w:rPr>
        <w:t xml:space="preserve"> of the study had no role in study design, data collection, data analysis, data interpretation, or writing of the report. The corresponding author had full access to all the data in the study and had final responsibility for the decision to submit for publication.</w:t>
      </w:r>
    </w:p>
    <w:p w14:paraId="3936136A" w14:textId="77777777" w:rsidR="006A376A" w:rsidRDefault="006A376A" w:rsidP="009C195B">
      <w:pPr>
        <w:spacing w:line="480" w:lineRule="auto"/>
        <w:rPr>
          <w:rFonts w:ascii="Arial" w:hAnsi="Arial" w:cs="Arial"/>
        </w:rPr>
      </w:pPr>
    </w:p>
    <w:p w14:paraId="4CC78EF6" w14:textId="75615FBA" w:rsidR="00AC3B78" w:rsidRPr="00E1621D" w:rsidRDefault="00AC3B78" w:rsidP="009C195B">
      <w:pPr>
        <w:spacing w:line="480" w:lineRule="auto"/>
        <w:rPr>
          <w:rFonts w:ascii="Arial" w:hAnsi="Arial" w:cs="Arial"/>
          <w:b/>
        </w:rPr>
      </w:pPr>
      <w:r w:rsidRPr="00E1621D">
        <w:rPr>
          <w:rFonts w:ascii="Arial" w:hAnsi="Arial" w:cs="Arial"/>
          <w:b/>
          <w:sz w:val="32"/>
        </w:rPr>
        <w:t>Results</w:t>
      </w:r>
    </w:p>
    <w:p w14:paraId="498BAE7D" w14:textId="106AE456" w:rsidR="00D567D8" w:rsidRPr="00EE066F" w:rsidRDefault="0096368D" w:rsidP="009C195B">
      <w:pPr>
        <w:spacing w:line="480" w:lineRule="auto"/>
        <w:rPr>
          <w:rFonts w:ascii="Arial" w:hAnsi="Arial" w:cs="Arial"/>
        </w:rPr>
      </w:pPr>
      <w:r w:rsidRPr="000E6468">
        <w:rPr>
          <w:rFonts w:ascii="Arial" w:hAnsi="Arial" w:cs="Arial"/>
        </w:rPr>
        <w:t xml:space="preserve">There were </w:t>
      </w:r>
      <w:r w:rsidR="004E70AD">
        <w:rPr>
          <w:rFonts w:ascii="Arial" w:hAnsi="Arial" w:cs="Arial"/>
        </w:rPr>
        <w:t>856</w:t>
      </w:r>
      <w:r w:rsidR="004E70AD" w:rsidRPr="000E6468">
        <w:rPr>
          <w:rFonts w:ascii="Arial" w:hAnsi="Arial" w:cs="Arial"/>
        </w:rPr>
        <w:t xml:space="preserve"> </w:t>
      </w:r>
      <w:r w:rsidRPr="000E6468">
        <w:rPr>
          <w:rFonts w:ascii="Arial" w:hAnsi="Arial" w:cs="Arial"/>
        </w:rPr>
        <w:t xml:space="preserve">cases of invasive GBS in infants &lt;3 months of age over the </w:t>
      </w:r>
      <w:r w:rsidR="00FD7CF1" w:rsidRPr="000E6468">
        <w:rPr>
          <w:rFonts w:ascii="Arial" w:hAnsi="Arial" w:cs="Arial"/>
        </w:rPr>
        <w:t>13-month</w:t>
      </w:r>
      <w:r w:rsidRPr="000E6468">
        <w:rPr>
          <w:rFonts w:ascii="Arial" w:hAnsi="Arial" w:cs="Arial"/>
        </w:rPr>
        <w:t xml:space="preserve"> surveillance period</w:t>
      </w:r>
      <w:r w:rsidR="003D6972">
        <w:rPr>
          <w:rFonts w:ascii="Arial" w:hAnsi="Arial" w:cs="Arial"/>
        </w:rPr>
        <w:t xml:space="preserve"> (</w:t>
      </w:r>
      <w:r w:rsidR="003D6972" w:rsidRPr="000E6468">
        <w:rPr>
          <w:rFonts w:ascii="Arial" w:hAnsi="Arial" w:cs="Arial"/>
        </w:rPr>
        <w:t>5</w:t>
      </w:r>
      <w:r w:rsidR="004E70AD">
        <w:rPr>
          <w:rFonts w:ascii="Arial" w:hAnsi="Arial" w:cs="Arial"/>
        </w:rPr>
        <w:t>4</w:t>
      </w:r>
      <w:r w:rsidR="00604330">
        <w:rPr>
          <w:rFonts w:ascii="Arial" w:hAnsi="Arial" w:cs="Arial"/>
        </w:rPr>
        <w:t>·</w:t>
      </w:r>
      <w:r w:rsidR="004E70AD">
        <w:rPr>
          <w:rFonts w:ascii="Arial" w:hAnsi="Arial" w:cs="Arial"/>
        </w:rPr>
        <w:t>2</w:t>
      </w:r>
      <w:r w:rsidR="003D6972" w:rsidRPr="000E6468">
        <w:rPr>
          <w:rFonts w:ascii="Arial" w:hAnsi="Arial" w:cs="Arial"/>
        </w:rPr>
        <w:t xml:space="preserve">% </w:t>
      </w:r>
      <w:r w:rsidR="003D6972">
        <w:rPr>
          <w:rFonts w:ascii="Arial" w:hAnsi="Arial" w:cs="Arial"/>
        </w:rPr>
        <w:t>male)</w:t>
      </w:r>
      <w:r w:rsidRPr="000E6468">
        <w:rPr>
          <w:rFonts w:ascii="Arial" w:hAnsi="Arial" w:cs="Arial"/>
        </w:rPr>
        <w:t xml:space="preserve">. </w:t>
      </w:r>
      <w:r w:rsidR="00E968E1">
        <w:rPr>
          <w:rFonts w:ascii="Arial" w:hAnsi="Arial" w:cs="Arial"/>
        </w:rPr>
        <w:t>I</w:t>
      </w:r>
      <w:r w:rsidR="002148A3" w:rsidRPr="000E6468">
        <w:rPr>
          <w:rFonts w:ascii="Arial" w:hAnsi="Arial" w:cs="Arial"/>
        </w:rPr>
        <w:t xml:space="preserve">nformation from </w:t>
      </w:r>
      <w:r w:rsidR="002148A3">
        <w:rPr>
          <w:rFonts w:ascii="Arial" w:hAnsi="Arial" w:cs="Arial"/>
        </w:rPr>
        <w:t xml:space="preserve">both </w:t>
      </w:r>
      <w:r w:rsidR="00E968E1">
        <w:rPr>
          <w:rFonts w:ascii="Arial" w:hAnsi="Arial" w:cs="Arial"/>
        </w:rPr>
        <w:t>paediatricians</w:t>
      </w:r>
      <w:r w:rsidR="00253EF2">
        <w:rPr>
          <w:rFonts w:ascii="Arial" w:hAnsi="Arial" w:cs="Arial"/>
        </w:rPr>
        <w:t xml:space="preserve"> </w:t>
      </w:r>
      <w:r w:rsidR="002148A3" w:rsidRPr="000E6468">
        <w:rPr>
          <w:rFonts w:ascii="Arial" w:hAnsi="Arial" w:cs="Arial"/>
        </w:rPr>
        <w:t xml:space="preserve">and microbiology laboratories was available </w:t>
      </w:r>
      <w:r w:rsidR="002148A3">
        <w:rPr>
          <w:rFonts w:ascii="Arial" w:hAnsi="Arial" w:cs="Arial"/>
        </w:rPr>
        <w:t>for</w:t>
      </w:r>
      <w:r w:rsidR="002148A3" w:rsidRPr="000E6468">
        <w:rPr>
          <w:rFonts w:ascii="Arial" w:hAnsi="Arial" w:cs="Arial"/>
        </w:rPr>
        <w:t xml:space="preserve"> </w:t>
      </w:r>
      <w:r w:rsidR="008425B5">
        <w:rPr>
          <w:rFonts w:ascii="Arial" w:hAnsi="Arial" w:cs="Arial"/>
        </w:rPr>
        <w:t>657</w:t>
      </w:r>
      <w:r w:rsidR="008425B5" w:rsidRPr="000E6468">
        <w:rPr>
          <w:rFonts w:ascii="Arial" w:hAnsi="Arial" w:cs="Arial"/>
        </w:rPr>
        <w:t xml:space="preserve"> </w:t>
      </w:r>
      <w:r w:rsidR="00FD7CF1" w:rsidRPr="000E6468">
        <w:rPr>
          <w:rFonts w:ascii="Arial" w:hAnsi="Arial" w:cs="Arial"/>
        </w:rPr>
        <w:t>(</w:t>
      </w:r>
      <w:r w:rsidR="008425B5">
        <w:rPr>
          <w:rFonts w:ascii="Arial" w:hAnsi="Arial" w:cs="Arial"/>
        </w:rPr>
        <w:t>76</w:t>
      </w:r>
      <w:r w:rsidR="00F33F26">
        <w:rPr>
          <w:rFonts w:ascii="Arial" w:hAnsi="Arial" w:cs="Arial"/>
        </w:rPr>
        <w:t>·</w:t>
      </w:r>
      <w:r w:rsidR="008425B5">
        <w:rPr>
          <w:rFonts w:ascii="Arial" w:hAnsi="Arial" w:cs="Arial"/>
        </w:rPr>
        <w:t>8</w:t>
      </w:r>
      <w:r w:rsidRPr="000E6468">
        <w:rPr>
          <w:rFonts w:ascii="Arial" w:hAnsi="Arial" w:cs="Arial"/>
        </w:rPr>
        <w:t xml:space="preserve">%) </w:t>
      </w:r>
      <w:r w:rsidR="002148A3">
        <w:rPr>
          <w:rFonts w:ascii="Arial" w:hAnsi="Arial" w:cs="Arial"/>
        </w:rPr>
        <w:t>infants</w:t>
      </w:r>
      <w:r w:rsidR="00E1621D">
        <w:rPr>
          <w:rFonts w:ascii="Arial" w:hAnsi="Arial" w:cs="Arial"/>
        </w:rPr>
        <w:t xml:space="preserve">, </w:t>
      </w:r>
      <w:r w:rsidR="00E1621D" w:rsidRPr="000E6468">
        <w:rPr>
          <w:rFonts w:ascii="Arial" w:hAnsi="Arial" w:cs="Arial"/>
        </w:rPr>
        <w:t>from</w:t>
      </w:r>
      <w:r w:rsidRPr="000E6468">
        <w:rPr>
          <w:rFonts w:ascii="Arial" w:hAnsi="Arial" w:cs="Arial"/>
        </w:rPr>
        <w:t xml:space="preserve"> microbiology laboratories</w:t>
      </w:r>
      <w:r w:rsidRPr="000E6468" w:rsidDel="006A5CA0">
        <w:rPr>
          <w:rFonts w:ascii="Arial" w:hAnsi="Arial" w:cs="Arial"/>
        </w:rPr>
        <w:t xml:space="preserve"> </w:t>
      </w:r>
      <w:r w:rsidRPr="000E6468">
        <w:rPr>
          <w:rFonts w:ascii="Arial" w:hAnsi="Arial" w:cs="Arial"/>
        </w:rPr>
        <w:t>alone</w:t>
      </w:r>
      <w:r w:rsidR="00F548CE">
        <w:rPr>
          <w:rFonts w:ascii="Arial" w:hAnsi="Arial" w:cs="Arial"/>
        </w:rPr>
        <w:t xml:space="preserve"> </w:t>
      </w:r>
      <w:r w:rsidR="002148A3">
        <w:rPr>
          <w:rFonts w:ascii="Arial" w:hAnsi="Arial" w:cs="Arial"/>
        </w:rPr>
        <w:t xml:space="preserve">for </w:t>
      </w:r>
      <w:r w:rsidR="008425B5">
        <w:rPr>
          <w:rFonts w:ascii="Arial" w:hAnsi="Arial" w:cs="Arial"/>
        </w:rPr>
        <w:t xml:space="preserve">142 </w:t>
      </w:r>
      <w:r w:rsidR="002148A3">
        <w:rPr>
          <w:rFonts w:ascii="Arial" w:hAnsi="Arial" w:cs="Arial"/>
        </w:rPr>
        <w:t>(</w:t>
      </w:r>
      <w:r w:rsidR="008425B5">
        <w:rPr>
          <w:rFonts w:ascii="Arial" w:hAnsi="Arial" w:cs="Arial"/>
        </w:rPr>
        <w:t>16</w:t>
      </w:r>
      <w:r w:rsidR="00AA6FE9">
        <w:rPr>
          <w:rFonts w:ascii="Arial" w:hAnsi="Arial" w:cs="Arial"/>
        </w:rPr>
        <w:t>·</w:t>
      </w:r>
      <w:r w:rsidR="008425B5">
        <w:rPr>
          <w:rFonts w:ascii="Arial" w:hAnsi="Arial" w:cs="Arial"/>
        </w:rPr>
        <w:t>6</w:t>
      </w:r>
      <w:r w:rsidR="002148A3">
        <w:rPr>
          <w:rFonts w:ascii="Arial" w:hAnsi="Arial" w:cs="Arial"/>
        </w:rPr>
        <w:t xml:space="preserve">%) </w:t>
      </w:r>
      <w:r w:rsidR="00F548CE">
        <w:rPr>
          <w:rFonts w:ascii="Arial" w:hAnsi="Arial" w:cs="Arial"/>
        </w:rPr>
        <w:t xml:space="preserve">and </w:t>
      </w:r>
      <w:r w:rsidR="00FD7CF1" w:rsidRPr="000E6468">
        <w:rPr>
          <w:rFonts w:ascii="Arial" w:hAnsi="Arial" w:cs="Arial"/>
        </w:rPr>
        <w:t>from paediatricians</w:t>
      </w:r>
      <w:r w:rsidR="00F548CE">
        <w:rPr>
          <w:rFonts w:ascii="Arial" w:hAnsi="Arial" w:cs="Arial"/>
        </w:rPr>
        <w:t xml:space="preserve"> alone</w:t>
      </w:r>
      <w:r w:rsidR="002148A3" w:rsidRPr="002148A3">
        <w:rPr>
          <w:rFonts w:ascii="Arial" w:hAnsi="Arial" w:cs="Arial"/>
        </w:rPr>
        <w:t xml:space="preserve"> </w:t>
      </w:r>
      <w:r w:rsidR="002148A3">
        <w:rPr>
          <w:rFonts w:ascii="Arial" w:hAnsi="Arial" w:cs="Arial"/>
        </w:rPr>
        <w:t xml:space="preserve">for </w:t>
      </w:r>
      <w:r w:rsidR="002148A3" w:rsidRPr="000E6468">
        <w:rPr>
          <w:rFonts w:ascii="Arial" w:hAnsi="Arial" w:cs="Arial"/>
        </w:rPr>
        <w:t>59 (</w:t>
      </w:r>
      <w:r w:rsidR="008425B5">
        <w:rPr>
          <w:rFonts w:ascii="Arial" w:hAnsi="Arial" w:cs="Arial"/>
        </w:rPr>
        <w:t>6</w:t>
      </w:r>
      <w:r w:rsidR="00AA6FE9">
        <w:rPr>
          <w:rFonts w:ascii="Arial" w:hAnsi="Arial" w:cs="Arial"/>
        </w:rPr>
        <w:t>·</w:t>
      </w:r>
      <w:r w:rsidR="008425B5">
        <w:rPr>
          <w:rFonts w:ascii="Arial" w:hAnsi="Arial" w:cs="Arial"/>
        </w:rPr>
        <w:t>9</w:t>
      </w:r>
      <w:r w:rsidR="002148A3" w:rsidRPr="000E6468">
        <w:rPr>
          <w:rFonts w:ascii="Arial" w:hAnsi="Arial" w:cs="Arial"/>
        </w:rPr>
        <w:t>%)</w:t>
      </w:r>
      <w:r w:rsidR="00C776F8" w:rsidRPr="000E6468">
        <w:rPr>
          <w:rFonts w:ascii="Arial" w:hAnsi="Arial" w:cs="Arial"/>
        </w:rPr>
        <w:t xml:space="preserve">. </w:t>
      </w:r>
      <w:r w:rsidR="008425B5" w:rsidRPr="00037DBD">
        <w:rPr>
          <w:rFonts w:ascii="Arial" w:hAnsi="Arial" w:cs="Arial"/>
        </w:rPr>
        <w:t>Forty-one</w:t>
      </w:r>
      <w:r w:rsidR="008425B5">
        <w:rPr>
          <w:rFonts w:ascii="Arial" w:hAnsi="Arial" w:cs="Arial"/>
        </w:rPr>
        <w:t xml:space="preserve"> </w:t>
      </w:r>
      <w:r w:rsidR="00037DBD" w:rsidRPr="00037DBD">
        <w:rPr>
          <w:rFonts w:ascii="Arial" w:hAnsi="Arial" w:cs="Arial"/>
        </w:rPr>
        <w:t>cases wer</w:t>
      </w:r>
      <w:r w:rsidR="00A603D0">
        <w:rPr>
          <w:rFonts w:ascii="Arial" w:hAnsi="Arial" w:cs="Arial"/>
        </w:rPr>
        <w:t xml:space="preserve">e </w:t>
      </w:r>
      <w:r w:rsidR="00A603D0" w:rsidRPr="00EE066F">
        <w:rPr>
          <w:rFonts w:ascii="Arial" w:hAnsi="Arial" w:cs="Arial"/>
        </w:rPr>
        <w:t xml:space="preserve">from twin </w:t>
      </w:r>
      <w:r w:rsidR="00897A8F" w:rsidRPr="00EE066F">
        <w:rPr>
          <w:rFonts w:ascii="Arial" w:hAnsi="Arial" w:cs="Arial"/>
        </w:rPr>
        <w:t xml:space="preserve">pregnancies, including </w:t>
      </w:r>
      <w:r w:rsidR="008425B5" w:rsidRPr="00EE066F">
        <w:rPr>
          <w:rFonts w:ascii="Arial" w:hAnsi="Arial" w:cs="Arial"/>
        </w:rPr>
        <w:t>s</w:t>
      </w:r>
      <w:r w:rsidR="008425B5">
        <w:rPr>
          <w:rFonts w:ascii="Arial" w:hAnsi="Arial" w:cs="Arial"/>
        </w:rPr>
        <w:t xml:space="preserve">ix </w:t>
      </w:r>
      <w:r w:rsidR="00523C27">
        <w:rPr>
          <w:rFonts w:ascii="Arial" w:hAnsi="Arial" w:cs="Arial"/>
        </w:rPr>
        <w:t xml:space="preserve">infant </w:t>
      </w:r>
      <w:r w:rsidR="00897A8F" w:rsidRPr="00EE066F">
        <w:rPr>
          <w:rFonts w:ascii="Arial" w:hAnsi="Arial" w:cs="Arial"/>
        </w:rPr>
        <w:t xml:space="preserve">pairs. </w:t>
      </w:r>
    </w:p>
    <w:p w14:paraId="0250A23D" w14:textId="77777777" w:rsidR="009137A2" w:rsidRDefault="009137A2" w:rsidP="009C195B">
      <w:pPr>
        <w:spacing w:line="480" w:lineRule="auto"/>
        <w:rPr>
          <w:rFonts w:ascii="Arial" w:hAnsi="Arial" w:cs="Arial"/>
        </w:rPr>
      </w:pPr>
    </w:p>
    <w:p w14:paraId="387D4159" w14:textId="4412E909" w:rsidR="00897A8F" w:rsidRPr="00EE066F" w:rsidRDefault="00E968E1" w:rsidP="009C195B">
      <w:pPr>
        <w:spacing w:line="480" w:lineRule="auto"/>
        <w:rPr>
          <w:rFonts w:ascii="Arial" w:hAnsi="Arial" w:cs="Arial"/>
        </w:rPr>
      </w:pPr>
      <w:r>
        <w:rPr>
          <w:rFonts w:ascii="Arial" w:hAnsi="Arial" w:cs="Arial"/>
        </w:rPr>
        <w:t xml:space="preserve">Positive GBS </w:t>
      </w:r>
      <w:r w:rsidR="00B8275A">
        <w:rPr>
          <w:rFonts w:ascii="Arial" w:hAnsi="Arial" w:cs="Arial"/>
        </w:rPr>
        <w:t>cultures were obtained from blood</w:t>
      </w:r>
      <w:r w:rsidR="00897A8F" w:rsidRPr="00EE066F">
        <w:rPr>
          <w:rFonts w:ascii="Arial" w:hAnsi="Arial" w:cs="Arial"/>
        </w:rPr>
        <w:t xml:space="preserve"> in </w:t>
      </w:r>
      <w:r w:rsidR="0078219E">
        <w:rPr>
          <w:rFonts w:ascii="Arial" w:hAnsi="Arial" w:cs="Arial"/>
        </w:rPr>
        <w:t>9</w:t>
      </w:r>
      <w:r w:rsidR="00DA08C9">
        <w:rPr>
          <w:rFonts w:ascii="Arial" w:hAnsi="Arial" w:cs="Arial"/>
        </w:rPr>
        <w:t>0</w:t>
      </w:r>
      <w:r w:rsidR="00897A8F" w:rsidRPr="00EE066F">
        <w:rPr>
          <w:rFonts w:ascii="Arial" w:hAnsi="Arial" w:cs="Arial"/>
        </w:rPr>
        <w:t>%</w:t>
      </w:r>
      <w:r w:rsidR="00B8275A">
        <w:rPr>
          <w:rFonts w:ascii="Arial" w:hAnsi="Arial" w:cs="Arial"/>
        </w:rPr>
        <w:t xml:space="preserve"> </w:t>
      </w:r>
      <w:r w:rsidR="002B5A6A">
        <w:rPr>
          <w:rFonts w:ascii="Arial" w:hAnsi="Arial" w:cs="Arial"/>
        </w:rPr>
        <w:t>(n=</w:t>
      </w:r>
      <w:r w:rsidR="00DA08C9">
        <w:rPr>
          <w:rFonts w:ascii="Arial" w:hAnsi="Arial" w:cs="Arial"/>
        </w:rPr>
        <w:t>769</w:t>
      </w:r>
      <w:r w:rsidR="002B5A6A">
        <w:rPr>
          <w:rFonts w:ascii="Arial" w:hAnsi="Arial" w:cs="Arial"/>
        </w:rPr>
        <w:t xml:space="preserve">) </w:t>
      </w:r>
      <w:r w:rsidR="00B8275A">
        <w:rPr>
          <w:rFonts w:ascii="Arial" w:hAnsi="Arial" w:cs="Arial"/>
        </w:rPr>
        <w:t>of cases</w:t>
      </w:r>
      <w:r w:rsidR="00897A8F" w:rsidRPr="00EE066F">
        <w:rPr>
          <w:rFonts w:ascii="Arial" w:hAnsi="Arial" w:cs="Arial"/>
        </w:rPr>
        <w:t xml:space="preserve">, CSF in </w:t>
      </w:r>
      <w:r w:rsidR="00DA08C9">
        <w:rPr>
          <w:rFonts w:ascii="Arial" w:hAnsi="Arial" w:cs="Arial"/>
        </w:rPr>
        <w:t>9</w:t>
      </w:r>
      <w:r w:rsidR="00AA6FE9">
        <w:rPr>
          <w:rFonts w:ascii="Arial" w:hAnsi="Arial" w:cs="Arial"/>
        </w:rPr>
        <w:t>·</w:t>
      </w:r>
      <w:r w:rsidR="00B8275A">
        <w:rPr>
          <w:rFonts w:ascii="Arial" w:hAnsi="Arial" w:cs="Arial"/>
        </w:rPr>
        <w:t>5</w:t>
      </w:r>
      <w:r w:rsidR="00445114" w:rsidRPr="00EE066F">
        <w:rPr>
          <w:rFonts w:ascii="Arial" w:hAnsi="Arial" w:cs="Arial"/>
        </w:rPr>
        <w:t>%</w:t>
      </w:r>
      <w:r w:rsidR="00496224">
        <w:rPr>
          <w:rFonts w:ascii="Arial" w:hAnsi="Arial" w:cs="Arial"/>
        </w:rPr>
        <w:t xml:space="preserve"> (</w:t>
      </w:r>
      <w:r w:rsidR="002B5A6A">
        <w:rPr>
          <w:rFonts w:ascii="Arial" w:hAnsi="Arial" w:cs="Arial"/>
        </w:rPr>
        <w:t>n=</w:t>
      </w:r>
      <w:r w:rsidR="00DA08C9">
        <w:rPr>
          <w:rFonts w:ascii="Arial" w:hAnsi="Arial" w:cs="Arial"/>
        </w:rPr>
        <w:t>81</w:t>
      </w:r>
      <w:r w:rsidR="002B5A6A">
        <w:rPr>
          <w:rFonts w:ascii="Arial" w:hAnsi="Arial" w:cs="Arial"/>
        </w:rPr>
        <w:t xml:space="preserve">; </w:t>
      </w:r>
      <w:r w:rsidR="00496224">
        <w:rPr>
          <w:rFonts w:ascii="Arial" w:hAnsi="Arial" w:cs="Arial"/>
        </w:rPr>
        <w:t xml:space="preserve">CSF alone in </w:t>
      </w:r>
      <w:r w:rsidR="00BE6C9D">
        <w:rPr>
          <w:rFonts w:ascii="Arial" w:hAnsi="Arial" w:cs="Arial"/>
        </w:rPr>
        <w:t>2</w:t>
      </w:r>
      <w:r w:rsidR="002B5A6A">
        <w:rPr>
          <w:rFonts w:ascii="Arial" w:hAnsi="Arial" w:cs="Arial"/>
        </w:rPr>
        <w:t>8 [</w:t>
      </w:r>
      <w:r w:rsidR="00496224">
        <w:rPr>
          <w:rFonts w:ascii="Arial" w:hAnsi="Arial" w:cs="Arial"/>
        </w:rPr>
        <w:t>3</w:t>
      </w:r>
      <w:r w:rsidR="00DA08C9">
        <w:rPr>
          <w:rFonts w:ascii="Arial" w:hAnsi="Arial" w:cs="Arial"/>
        </w:rPr>
        <w:t>·</w:t>
      </w:r>
      <w:r w:rsidR="00496224">
        <w:rPr>
          <w:rFonts w:ascii="Arial" w:hAnsi="Arial" w:cs="Arial"/>
        </w:rPr>
        <w:t>3%</w:t>
      </w:r>
      <w:r w:rsidR="002B5A6A">
        <w:rPr>
          <w:rFonts w:ascii="Arial" w:hAnsi="Arial" w:cs="Arial"/>
        </w:rPr>
        <w:t>] cases</w:t>
      </w:r>
      <w:r w:rsidR="00496224">
        <w:rPr>
          <w:rFonts w:ascii="Arial" w:hAnsi="Arial" w:cs="Arial"/>
        </w:rPr>
        <w:t xml:space="preserve">, CSF and blood in </w:t>
      </w:r>
      <w:r w:rsidR="00DA08C9">
        <w:rPr>
          <w:rFonts w:ascii="Arial" w:hAnsi="Arial" w:cs="Arial"/>
        </w:rPr>
        <w:t>53</w:t>
      </w:r>
      <w:r w:rsidR="002B5A6A">
        <w:rPr>
          <w:rFonts w:ascii="Arial" w:hAnsi="Arial" w:cs="Arial"/>
        </w:rPr>
        <w:t xml:space="preserve"> [</w:t>
      </w:r>
      <w:r w:rsidR="00DA08C9">
        <w:rPr>
          <w:rFonts w:ascii="Arial" w:hAnsi="Arial" w:cs="Arial"/>
        </w:rPr>
        <w:t>6·</w:t>
      </w:r>
      <w:r w:rsidR="00496224">
        <w:rPr>
          <w:rFonts w:ascii="Arial" w:hAnsi="Arial" w:cs="Arial"/>
        </w:rPr>
        <w:t>2%</w:t>
      </w:r>
      <w:r w:rsidR="002B5A6A">
        <w:rPr>
          <w:rFonts w:ascii="Arial" w:hAnsi="Arial" w:cs="Arial"/>
        </w:rPr>
        <w:t>] cases</w:t>
      </w:r>
      <w:r w:rsidR="00496224">
        <w:rPr>
          <w:rFonts w:ascii="Arial" w:hAnsi="Arial" w:cs="Arial"/>
        </w:rPr>
        <w:t xml:space="preserve">) and </w:t>
      </w:r>
      <w:r w:rsidR="00097BC2">
        <w:rPr>
          <w:rFonts w:ascii="Arial" w:hAnsi="Arial" w:cs="Arial"/>
        </w:rPr>
        <w:t xml:space="preserve">from </w:t>
      </w:r>
      <w:r w:rsidR="00B8275A">
        <w:rPr>
          <w:rFonts w:ascii="Arial" w:hAnsi="Arial" w:cs="Arial"/>
        </w:rPr>
        <w:t xml:space="preserve">joint fluid and blood </w:t>
      </w:r>
      <w:r w:rsidR="006D3565">
        <w:rPr>
          <w:rFonts w:ascii="Arial" w:hAnsi="Arial" w:cs="Arial"/>
        </w:rPr>
        <w:t>(</w:t>
      </w:r>
      <w:r w:rsidR="002B5A6A">
        <w:rPr>
          <w:rFonts w:ascii="Arial" w:hAnsi="Arial" w:cs="Arial"/>
        </w:rPr>
        <w:t>n=</w:t>
      </w:r>
      <w:r w:rsidR="00DA08C9">
        <w:rPr>
          <w:rFonts w:ascii="Arial" w:hAnsi="Arial" w:cs="Arial"/>
        </w:rPr>
        <w:t>2</w:t>
      </w:r>
      <w:r w:rsidR="002B5A6A">
        <w:rPr>
          <w:rFonts w:ascii="Arial" w:hAnsi="Arial" w:cs="Arial"/>
        </w:rPr>
        <w:t xml:space="preserve">) </w:t>
      </w:r>
      <w:r w:rsidR="00B8275A">
        <w:rPr>
          <w:rFonts w:ascii="Arial" w:hAnsi="Arial" w:cs="Arial"/>
        </w:rPr>
        <w:t>in &lt;1</w:t>
      </w:r>
      <w:r w:rsidR="002B5A6A">
        <w:rPr>
          <w:rFonts w:ascii="Arial" w:hAnsi="Arial" w:cs="Arial"/>
        </w:rPr>
        <w:t>%</w:t>
      </w:r>
      <w:r w:rsidR="00587325">
        <w:rPr>
          <w:rFonts w:ascii="Arial" w:hAnsi="Arial" w:cs="Arial"/>
        </w:rPr>
        <w:t xml:space="preserve">. </w:t>
      </w:r>
    </w:p>
    <w:p w14:paraId="2A17927B" w14:textId="44DEBFB6" w:rsidR="00CF1F23" w:rsidRDefault="00CF1F23" w:rsidP="00482554">
      <w:pPr>
        <w:spacing w:line="480" w:lineRule="auto"/>
        <w:rPr>
          <w:rFonts w:ascii="Arial" w:hAnsi="Arial" w:cs="Arial"/>
        </w:rPr>
      </w:pPr>
    </w:p>
    <w:p w14:paraId="391773F6" w14:textId="589AD86D" w:rsidR="003D6972" w:rsidRPr="00E1621D" w:rsidRDefault="00C14250" w:rsidP="00264642">
      <w:pPr>
        <w:spacing w:line="480" w:lineRule="auto"/>
        <w:rPr>
          <w:rFonts w:ascii="Arial" w:hAnsi="Arial" w:cs="Arial"/>
          <w:b/>
        </w:rPr>
      </w:pPr>
      <w:r w:rsidRPr="00E1621D">
        <w:rPr>
          <w:rFonts w:ascii="Arial" w:hAnsi="Arial" w:cs="Arial"/>
          <w:b/>
        </w:rPr>
        <w:t>Age at presentation</w:t>
      </w:r>
      <w:r w:rsidR="003D6972" w:rsidRPr="00E1621D">
        <w:rPr>
          <w:rFonts w:ascii="Arial" w:hAnsi="Arial" w:cs="Arial"/>
          <w:b/>
        </w:rPr>
        <w:t>:</w:t>
      </w:r>
    </w:p>
    <w:p w14:paraId="3FB4ECE2" w14:textId="549C69BC" w:rsidR="00CE67B9" w:rsidRDefault="007F191D" w:rsidP="00CE67B9">
      <w:pPr>
        <w:spacing w:line="480" w:lineRule="auto"/>
        <w:rPr>
          <w:rFonts w:ascii="Arial" w:hAnsi="Arial" w:cs="Arial"/>
        </w:rPr>
      </w:pPr>
      <w:r>
        <w:rPr>
          <w:rFonts w:ascii="Arial" w:hAnsi="Arial" w:cs="Arial"/>
        </w:rPr>
        <w:t xml:space="preserve">More than half the </w:t>
      </w:r>
      <w:r w:rsidR="00136711">
        <w:rPr>
          <w:rFonts w:ascii="Arial" w:hAnsi="Arial" w:cs="Arial"/>
        </w:rPr>
        <w:t>cases (</w:t>
      </w:r>
      <w:r w:rsidR="00CD7E70">
        <w:rPr>
          <w:rFonts w:ascii="Arial" w:hAnsi="Arial" w:cs="Arial"/>
        </w:rPr>
        <w:t>n</w:t>
      </w:r>
      <w:r w:rsidR="00D15EAC">
        <w:rPr>
          <w:rFonts w:ascii="Arial" w:hAnsi="Arial" w:cs="Arial"/>
        </w:rPr>
        <w:t>=517</w:t>
      </w:r>
      <w:r w:rsidR="00CD7E70">
        <w:rPr>
          <w:rFonts w:ascii="Arial" w:hAnsi="Arial" w:cs="Arial"/>
        </w:rPr>
        <w:t xml:space="preserve">, </w:t>
      </w:r>
      <w:r w:rsidR="005550DA">
        <w:rPr>
          <w:rFonts w:ascii="Arial" w:hAnsi="Arial" w:cs="Arial"/>
        </w:rPr>
        <w:t>60</w:t>
      </w:r>
      <w:r w:rsidR="00851A76">
        <w:rPr>
          <w:rFonts w:ascii="Arial" w:hAnsi="Arial" w:cs="Arial"/>
        </w:rPr>
        <w:t>·</w:t>
      </w:r>
      <w:r w:rsidR="000B648E">
        <w:rPr>
          <w:rFonts w:ascii="Arial" w:hAnsi="Arial" w:cs="Arial"/>
        </w:rPr>
        <w:t>4</w:t>
      </w:r>
      <w:r w:rsidR="00136711">
        <w:rPr>
          <w:rFonts w:ascii="Arial" w:hAnsi="Arial" w:cs="Arial"/>
        </w:rPr>
        <w:t>%)</w:t>
      </w:r>
      <w:r w:rsidR="005550DA">
        <w:rPr>
          <w:rFonts w:ascii="Arial" w:hAnsi="Arial" w:cs="Arial"/>
        </w:rPr>
        <w:t xml:space="preserve"> </w:t>
      </w:r>
      <w:r w:rsidR="00174260" w:rsidRPr="000E6468">
        <w:rPr>
          <w:rFonts w:ascii="Arial" w:hAnsi="Arial" w:cs="Arial"/>
        </w:rPr>
        <w:t>presented at 0-6 days</w:t>
      </w:r>
      <w:r w:rsidR="00CF1F23">
        <w:rPr>
          <w:rFonts w:ascii="Arial" w:hAnsi="Arial" w:cs="Arial"/>
        </w:rPr>
        <w:t xml:space="preserve"> (EO</w:t>
      </w:r>
      <w:r w:rsidR="00851A76">
        <w:rPr>
          <w:rFonts w:ascii="Arial" w:hAnsi="Arial" w:cs="Arial"/>
        </w:rPr>
        <w:t>D</w:t>
      </w:r>
      <w:r w:rsidR="00CF1F23">
        <w:rPr>
          <w:rFonts w:ascii="Arial" w:hAnsi="Arial" w:cs="Arial"/>
        </w:rPr>
        <w:t>)</w:t>
      </w:r>
      <w:r w:rsidR="00C72C42">
        <w:rPr>
          <w:rFonts w:ascii="Arial" w:hAnsi="Arial" w:cs="Arial"/>
        </w:rPr>
        <w:t xml:space="preserve">, </w:t>
      </w:r>
      <w:r w:rsidR="005550DA">
        <w:rPr>
          <w:rFonts w:ascii="Arial" w:hAnsi="Arial" w:cs="Arial"/>
        </w:rPr>
        <w:t>39</w:t>
      </w:r>
      <w:r w:rsidR="00851A76">
        <w:rPr>
          <w:rFonts w:ascii="Arial" w:hAnsi="Arial" w:cs="Arial"/>
        </w:rPr>
        <w:t>·</w:t>
      </w:r>
      <w:r w:rsidR="005550DA">
        <w:rPr>
          <w:rFonts w:ascii="Arial" w:hAnsi="Arial" w:cs="Arial"/>
        </w:rPr>
        <w:t>5</w:t>
      </w:r>
      <w:r w:rsidR="00AE3FDC">
        <w:rPr>
          <w:rFonts w:ascii="Arial" w:hAnsi="Arial" w:cs="Arial"/>
        </w:rPr>
        <w:t>%</w:t>
      </w:r>
      <w:r w:rsidR="00C14250">
        <w:rPr>
          <w:rFonts w:ascii="Arial" w:hAnsi="Arial" w:cs="Arial"/>
        </w:rPr>
        <w:t xml:space="preserve"> </w:t>
      </w:r>
      <w:r w:rsidR="00C72C42">
        <w:rPr>
          <w:rFonts w:ascii="Arial" w:hAnsi="Arial" w:cs="Arial"/>
        </w:rPr>
        <w:t xml:space="preserve">presented </w:t>
      </w:r>
      <w:r w:rsidR="001D344F">
        <w:rPr>
          <w:rFonts w:ascii="Arial" w:hAnsi="Arial" w:cs="Arial"/>
        </w:rPr>
        <w:t xml:space="preserve">at </w:t>
      </w:r>
      <w:r w:rsidR="00C14250">
        <w:rPr>
          <w:rFonts w:ascii="Arial" w:hAnsi="Arial" w:cs="Arial"/>
        </w:rPr>
        <w:t>7</w:t>
      </w:r>
      <w:r w:rsidR="001D344F">
        <w:rPr>
          <w:rFonts w:ascii="Arial" w:hAnsi="Arial" w:cs="Arial"/>
        </w:rPr>
        <w:t>-89</w:t>
      </w:r>
      <w:r w:rsidR="00E1621D">
        <w:rPr>
          <w:rFonts w:ascii="Arial" w:hAnsi="Arial" w:cs="Arial"/>
        </w:rPr>
        <w:t xml:space="preserve"> </w:t>
      </w:r>
      <w:r w:rsidR="00C14250">
        <w:rPr>
          <w:rFonts w:ascii="Arial" w:hAnsi="Arial" w:cs="Arial"/>
        </w:rPr>
        <w:t>days (</w:t>
      </w:r>
      <w:r w:rsidR="00CD7E70">
        <w:rPr>
          <w:rFonts w:ascii="Arial" w:hAnsi="Arial" w:cs="Arial"/>
        </w:rPr>
        <w:t>n</w:t>
      </w:r>
      <w:r w:rsidR="00D15EAC">
        <w:rPr>
          <w:rFonts w:ascii="Arial" w:hAnsi="Arial" w:cs="Arial"/>
        </w:rPr>
        <w:t>=339</w:t>
      </w:r>
      <w:r w:rsidR="00CD7E70">
        <w:rPr>
          <w:rFonts w:ascii="Arial" w:hAnsi="Arial" w:cs="Arial"/>
        </w:rPr>
        <w:t xml:space="preserve">, </w:t>
      </w:r>
      <w:r w:rsidR="00C14250">
        <w:rPr>
          <w:rFonts w:ascii="Arial" w:hAnsi="Arial" w:cs="Arial"/>
        </w:rPr>
        <w:t>LO</w:t>
      </w:r>
      <w:r w:rsidR="00851A76">
        <w:rPr>
          <w:rFonts w:ascii="Arial" w:hAnsi="Arial" w:cs="Arial"/>
        </w:rPr>
        <w:t>D</w:t>
      </w:r>
      <w:r w:rsidR="00BF4E3B">
        <w:rPr>
          <w:rFonts w:ascii="Arial" w:hAnsi="Arial" w:cs="Arial"/>
        </w:rPr>
        <w:t>)</w:t>
      </w:r>
      <w:r w:rsidR="00850029">
        <w:rPr>
          <w:rFonts w:ascii="Arial" w:hAnsi="Arial" w:cs="Arial"/>
        </w:rPr>
        <w:t xml:space="preserve">; </w:t>
      </w:r>
      <w:r w:rsidR="002B42EF" w:rsidRPr="000E6468">
        <w:rPr>
          <w:rFonts w:ascii="Arial" w:hAnsi="Arial" w:cs="Arial"/>
        </w:rPr>
        <w:t>1</w:t>
      </w:r>
      <w:r w:rsidR="002B42EF">
        <w:rPr>
          <w:rFonts w:ascii="Arial" w:hAnsi="Arial" w:cs="Arial"/>
        </w:rPr>
        <w:t>9</w:t>
      </w:r>
      <w:r w:rsidR="005550DA">
        <w:rPr>
          <w:rFonts w:ascii="Arial" w:hAnsi="Arial" w:cs="Arial"/>
        </w:rPr>
        <w:t>3</w:t>
      </w:r>
      <w:r w:rsidR="002B42EF" w:rsidRPr="000E6468">
        <w:rPr>
          <w:rFonts w:ascii="Arial" w:hAnsi="Arial" w:cs="Arial"/>
        </w:rPr>
        <w:t xml:space="preserve"> </w:t>
      </w:r>
      <w:r w:rsidR="00174260" w:rsidRPr="000E6468">
        <w:rPr>
          <w:rFonts w:ascii="Arial" w:hAnsi="Arial" w:cs="Arial"/>
        </w:rPr>
        <w:t>(</w:t>
      </w:r>
      <w:r w:rsidR="00990E96">
        <w:rPr>
          <w:rFonts w:ascii="Arial" w:hAnsi="Arial" w:cs="Arial"/>
        </w:rPr>
        <w:t>56</w:t>
      </w:r>
      <w:r w:rsidR="00851A76">
        <w:rPr>
          <w:rFonts w:ascii="Arial" w:hAnsi="Arial" w:cs="Arial"/>
        </w:rPr>
        <w:t>·</w:t>
      </w:r>
      <w:r w:rsidR="00990E96">
        <w:rPr>
          <w:rFonts w:ascii="Arial" w:hAnsi="Arial" w:cs="Arial"/>
        </w:rPr>
        <w:t>9</w:t>
      </w:r>
      <w:r w:rsidR="00174260" w:rsidRPr="000E6468">
        <w:rPr>
          <w:rFonts w:ascii="Arial" w:hAnsi="Arial" w:cs="Arial"/>
        </w:rPr>
        <w:t xml:space="preserve">%) </w:t>
      </w:r>
      <w:r w:rsidR="00A856FD">
        <w:rPr>
          <w:rFonts w:ascii="Arial" w:hAnsi="Arial" w:cs="Arial"/>
        </w:rPr>
        <w:t>of LO</w:t>
      </w:r>
      <w:r w:rsidR="00851A76">
        <w:rPr>
          <w:rFonts w:ascii="Arial" w:hAnsi="Arial" w:cs="Arial"/>
        </w:rPr>
        <w:t>D</w:t>
      </w:r>
      <w:r w:rsidR="00A856FD">
        <w:rPr>
          <w:rFonts w:ascii="Arial" w:hAnsi="Arial" w:cs="Arial"/>
        </w:rPr>
        <w:t xml:space="preserve"> cases presented </w:t>
      </w:r>
      <w:r w:rsidR="00174260" w:rsidRPr="000E6468">
        <w:rPr>
          <w:rFonts w:ascii="Arial" w:hAnsi="Arial" w:cs="Arial"/>
        </w:rPr>
        <w:t xml:space="preserve">at 7-28 days and </w:t>
      </w:r>
      <w:r w:rsidR="002B42EF" w:rsidRPr="000E6468">
        <w:rPr>
          <w:rFonts w:ascii="Arial" w:hAnsi="Arial" w:cs="Arial"/>
        </w:rPr>
        <w:t>1</w:t>
      </w:r>
      <w:r w:rsidR="002B42EF">
        <w:rPr>
          <w:rFonts w:ascii="Arial" w:hAnsi="Arial" w:cs="Arial"/>
        </w:rPr>
        <w:t>3</w:t>
      </w:r>
      <w:r w:rsidR="005550DA">
        <w:rPr>
          <w:rFonts w:ascii="Arial" w:hAnsi="Arial" w:cs="Arial"/>
        </w:rPr>
        <w:t>0</w:t>
      </w:r>
      <w:r w:rsidR="002B42EF" w:rsidRPr="000E6468">
        <w:rPr>
          <w:rFonts w:ascii="Arial" w:hAnsi="Arial" w:cs="Arial"/>
        </w:rPr>
        <w:t xml:space="preserve"> </w:t>
      </w:r>
      <w:r w:rsidR="00174260" w:rsidRPr="000E6468">
        <w:rPr>
          <w:rFonts w:ascii="Arial" w:hAnsi="Arial" w:cs="Arial"/>
        </w:rPr>
        <w:t>(</w:t>
      </w:r>
      <w:r w:rsidR="00990E96">
        <w:rPr>
          <w:rFonts w:ascii="Arial" w:hAnsi="Arial" w:cs="Arial"/>
        </w:rPr>
        <w:t>38</w:t>
      </w:r>
      <w:r w:rsidR="00851A76">
        <w:rPr>
          <w:rFonts w:ascii="Arial" w:hAnsi="Arial" w:cs="Arial"/>
        </w:rPr>
        <w:t>·</w:t>
      </w:r>
      <w:r w:rsidR="00990E96">
        <w:rPr>
          <w:rFonts w:ascii="Arial" w:hAnsi="Arial" w:cs="Arial"/>
        </w:rPr>
        <w:t>3</w:t>
      </w:r>
      <w:r w:rsidR="00174260" w:rsidRPr="000E6468">
        <w:rPr>
          <w:rFonts w:ascii="Arial" w:hAnsi="Arial" w:cs="Arial"/>
        </w:rPr>
        <w:t>%) at 29-89 days</w:t>
      </w:r>
      <w:r w:rsidR="00495204">
        <w:rPr>
          <w:rFonts w:ascii="Arial" w:hAnsi="Arial" w:cs="Arial"/>
        </w:rPr>
        <w:t xml:space="preserve"> (specific day not </w:t>
      </w:r>
      <w:r>
        <w:rPr>
          <w:rFonts w:ascii="Arial" w:hAnsi="Arial" w:cs="Arial"/>
        </w:rPr>
        <w:t>reported</w:t>
      </w:r>
      <w:r w:rsidR="00495204">
        <w:rPr>
          <w:rFonts w:ascii="Arial" w:hAnsi="Arial" w:cs="Arial"/>
        </w:rPr>
        <w:t xml:space="preserve"> for 16 LOD cases)</w:t>
      </w:r>
      <w:r w:rsidR="00675F52">
        <w:t xml:space="preserve"> (</w:t>
      </w:r>
      <w:r w:rsidR="00675F52" w:rsidRPr="00675F52">
        <w:rPr>
          <w:rFonts w:ascii="Arial" w:hAnsi="Arial" w:cs="Arial"/>
        </w:rPr>
        <w:t xml:space="preserve">Supplementary </w:t>
      </w:r>
      <w:r w:rsidR="00675F52">
        <w:rPr>
          <w:rFonts w:ascii="Arial" w:hAnsi="Arial" w:cs="Arial"/>
        </w:rPr>
        <w:t>Figure</w:t>
      </w:r>
      <w:r w:rsidR="00675F52" w:rsidRPr="00675F52">
        <w:rPr>
          <w:rFonts w:ascii="Arial" w:hAnsi="Arial" w:cs="Arial"/>
        </w:rPr>
        <w:t xml:space="preserve"> 1</w:t>
      </w:r>
      <w:r w:rsidR="00675F52">
        <w:rPr>
          <w:rFonts w:ascii="Arial" w:hAnsi="Arial" w:cs="Arial"/>
        </w:rPr>
        <w:t>).</w:t>
      </w:r>
      <w:r w:rsidR="00850029">
        <w:rPr>
          <w:rFonts w:ascii="Arial" w:hAnsi="Arial" w:cs="Arial"/>
        </w:rPr>
        <w:t xml:space="preserve"> </w:t>
      </w:r>
      <w:r w:rsidR="00850029" w:rsidRPr="000E6468">
        <w:rPr>
          <w:rFonts w:ascii="Arial" w:hAnsi="Arial" w:cs="Arial"/>
        </w:rPr>
        <w:t>The median age at presentation for LO</w:t>
      </w:r>
      <w:r w:rsidR="00850029">
        <w:rPr>
          <w:rFonts w:ascii="Arial" w:hAnsi="Arial" w:cs="Arial"/>
        </w:rPr>
        <w:t>D</w:t>
      </w:r>
      <w:r w:rsidR="00850029" w:rsidRPr="000E6468">
        <w:rPr>
          <w:rFonts w:ascii="Arial" w:hAnsi="Arial" w:cs="Arial"/>
        </w:rPr>
        <w:t xml:space="preserve"> disease was 2</w:t>
      </w:r>
      <w:r w:rsidR="00850029">
        <w:rPr>
          <w:rFonts w:ascii="Arial" w:hAnsi="Arial" w:cs="Arial"/>
        </w:rPr>
        <w:t>3</w:t>
      </w:r>
      <w:r w:rsidR="00850029" w:rsidRPr="000E6468">
        <w:rPr>
          <w:rFonts w:ascii="Arial" w:hAnsi="Arial" w:cs="Arial"/>
        </w:rPr>
        <w:t xml:space="preserve"> days (IQR 15-3</w:t>
      </w:r>
      <w:r w:rsidR="00850029">
        <w:rPr>
          <w:rFonts w:ascii="Arial" w:hAnsi="Arial" w:cs="Arial"/>
        </w:rPr>
        <w:t>8</w:t>
      </w:r>
      <w:r w:rsidR="00850029" w:rsidRPr="000E6468">
        <w:rPr>
          <w:rFonts w:ascii="Arial" w:hAnsi="Arial" w:cs="Arial"/>
        </w:rPr>
        <w:t>)</w:t>
      </w:r>
      <w:r w:rsidR="00850029">
        <w:rPr>
          <w:rFonts w:ascii="Arial" w:hAnsi="Arial" w:cs="Arial"/>
        </w:rPr>
        <w:t xml:space="preserve">; infants born at term presented at a median age of </w:t>
      </w:r>
      <w:r w:rsidR="00850029" w:rsidRPr="000E6468">
        <w:rPr>
          <w:rFonts w:ascii="Arial" w:hAnsi="Arial" w:cs="Arial"/>
        </w:rPr>
        <w:t>2</w:t>
      </w:r>
      <w:r w:rsidR="00850029">
        <w:rPr>
          <w:rFonts w:ascii="Arial" w:hAnsi="Arial" w:cs="Arial"/>
        </w:rPr>
        <w:t>0</w:t>
      </w:r>
      <w:r w:rsidR="00850029" w:rsidRPr="000E6468">
        <w:rPr>
          <w:rFonts w:ascii="Arial" w:hAnsi="Arial" w:cs="Arial"/>
        </w:rPr>
        <w:t xml:space="preserve"> days</w:t>
      </w:r>
      <w:r w:rsidR="00850029">
        <w:rPr>
          <w:rFonts w:ascii="Arial" w:hAnsi="Arial" w:cs="Arial"/>
        </w:rPr>
        <w:t xml:space="preserve"> </w:t>
      </w:r>
      <w:r w:rsidR="00850029" w:rsidRPr="000E6468">
        <w:rPr>
          <w:rFonts w:ascii="Arial" w:hAnsi="Arial" w:cs="Arial"/>
        </w:rPr>
        <w:t xml:space="preserve">(IQR 14-30) </w:t>
      </w:r>
      <w:r w:rsidR="00850029">
        <w:rPr>
          <w:rFonts w:ascii="Arial" w:hAnsi="Arial" w:cs="Arial"/>
        </w:rPr>
        <w:t xml:space="preserve">and those born </w:t>
      </w:r>
      <w:r w:rsidR="00850029">
        <w:rPr>
          <w:rFonts w:ascii="Arial" w:hAnsi="Arial" w:cs="Arial"/>
        </w:rPr>
        <w:lastRenderedPageBreak/>
        <w:t xml:space="preserve">prematurely </w:t>
      </w:r>
      <w:r w:rsidR="00097BC2">
        <w:rPr>
          <w:rFonts w:ascii="Arial" w:hAnsi="Arial" w:cs="Arial"/>
        </w:rPr>
        <w:t>(</w:t>
      </w:r>
      <w:r w:rsidR="00864A3E">
        <w:rPr>
          <w:rFonts w:ascii="Arial" w:hAnsi="Arial" w:cs="Arial"/>
        </w:rPr>
        <w:t xml:space="preserve">&lt;37 weeks gestation, </w:t>
      </w:r>
      <w:r w:rsidR="00097BC2">
        <w:rPr>
          <w:rFonts w:ascii="Arial" w:hAnsi="Arial" w:cs="Arial"/>
        </w:rPr>
        <w:t>representing 38·8</w:t>
      </w:r>
      <w:r w:rsidR="00097BC2" w:rsidRPr="00E968E1">
        <w:rPr>
          <w:rFonts w:ascii="Arial" w:hAnsi="Arial" w:cs="Arial"/>
        </w:rPr>
        <w:t>% (n=107) of LO</w:t>
      </w:r>
      <w:r w:rsidR="00097BC2">
        <w:rPr>
          <w:rFonts w:ascii="Arial" w:hAnsi="Arial" w:cs="Arial"/>
        </w:rPr>
        <w:t>D</w:t>
      </w:r>
      <w:r w:rsidR="00097BC2" w:rsidRPr="00E968E1">
        <w:rPr>
          <w:rFonts w:ascii="Arial" w:hAnsi="Arial" w:cs="Arial"/>
        </w:rPr>
        <w:t xml:space="preserve"> cases</w:t>
      </w:r>
      <w:r w:rsidR="00097BC2">
        <w:rPr>
          <w:rFonts w:ascii="Arial" w:hAnsi="Arial" w:cs="Arial"/>
        </w:rPr>
        <w:t>),</w:t>
      </w:r>
      <w:r w:rsidR="00097BC2" w:rsidRPr="00E968E1">
        <w:rPr>
          <w:rFonts w:ascii="Arial" w:hAnsi="Arial" w:cs="Arial"/>
        </w:rPr>
        <w:t xml:space="preserve"> </w:t>
      </w:r>
      <w:r w:rsidR="00097BC2">
        <w:rPr>
          <w:rFonts w:ascii="Arial" w:hAnsi="Arial" w:cs="Arial"/>
        </w:rPr>
        <w:t xml:space="preserve">presented </w:t>
      </w:r>
      <w:r w:rsidR="00850029">
        <w:rPr>
          <w:rFonts w:ascii="Arial" w:hAnsi="Arial" w:cs="Arial"/>
        </w:rPr>
        <w:t xml:space="preserve">at </w:t>
      </w:r>
      <w:r w:rsidR="00850029" w:rsidRPr="000E6468">
        <w:rPr>
          <w:rFonts w:ascii="Arial" w:hAnsi="Arial" w:cs="Arial"/>
        </w:rPr>
        <w:t>35 days</w:t>
      </w:r>
      <w:r w:rsidR="00850029">
        <w:rPr>
          <w:rFonts w:ascii="Arial" w:hAnsi="Arial" w:cs="Arial"/>
        </w:rPr>
        <w:t xml:space="preserve"> (IQR </w:t>
      </w:r>
      <w:r w:rsidR="00850029" w:rsidRPr="000E6468">
        <w:rPr>
          <w:rFonts w:ascii="Arial" w:hAnsi="Arial" w:cs="Arial"/>
        </w:rPr>
        <w:t>2</w:t>
      </w:r>
      <w:r w:rsidR="00850029">
        <w:rPr>
          <w:rFonts w:ascii="Arial" w:hAnsi="Arial" w:cs="Arial"/>
        </w:rPr>
        <w:t>1</w:t>
      </w:r>
      <w:r w:rsidR="00850029" w:rsidRPr="000E6468">
        <w:rPr>
          <w:rFonts w:ascii="Arial" w:hAnsi="Arial" w:cs="Arial"/>
        </w:rPr>
        <w:t>-5</w:t>
      </w:r>
      <w:r w:rsidR="00850029">
        <w:rPr>
          <w:rFonts w:ascii="Arial" w:hAnsi="Arial" w:cs="Arial"/>
        </w:rPr>
        <w:t>5).</w:t>
      </w:r>
    </w:p>
    <w:p w14:paraId="45C4020E" w14:textId="77777777" w:rsidR="003D6972" w:rsidRDefault="003D6972" w:rsidP="00440287">
      <w:pPr>
        <w:spacing w:line="480" w:lineRule="auto"/>
        <w:rPr>
          <w:rFonts w:ascii="Arial" w:hAnsi="Arial" w:cs="Arial"/>
        </w:rPr>
      </w:pPr>
    </w:p>
    <w:p w14:paraId="354568F7" w14:textId="18FFBEED" w:rsidR="00A61719" w:rsidRPr="00E1621D" w:rsidRDefault="00D57623" w:rsidP="00440287">
      <w:pPr>
        <w:spacing w:line="480" w:lineRule="auto"/>
        <w:rPr>
          <w:rFonts w:ascii="Arial" w:hAnsi="Arial" w:cs="Arial"/>
          <w:b/>
        </w:rPr>
      </w:pPr>
      <w:r w:rsidRPr="00E1621D">
        <w:rPr>
          <w:rFonts w:ascii="Arial" w:hAnsi="Arial" w:cs="Arial"/>
          <w:b/>
        </w:rPr>
        <w:t>Incidence</w:t>
      </w:r>
      <w:r w:rsidR="00EB5289" w:rsidRPr="00E1621D">
        <w:rPr>
          <w:rFonts w:ascii="Arial" w:hAnsi="Arial" w:cs="Arial"/>
          <w:b/>
        </w:rPr>
        <w:t>:</w:t>
      </w:r>
    </w:p>
    <w:p w14:paraId="12910029" w14:textId="610B5EE4" w:rsidR="00661DFD" w:rsidRPr="00675F52" w:rsidRDefault="00C55267" w:rsidP="00440287">
      <w:pPr>
        <w:spacing w:line="480" w:lineRule="auto"/>
        <w:rPr>
          <w:rFonts w:ascii="Arial" w:hAnsi="Arial" w:cs="Arial"/>
        </w:rPr>
      </w:pPr>
      <w:r>
        <w:rPr>
          <w:rFonts w:ascii="Arial" w:hAnsi="Arial" w:cs="Arial"/>
        </w:rPr>
        <w:t>T</w:t>
      </w:r>
      <w:r w:rsidR="0077012D">
        <w:rPr>
          <w:rFonts w:ascii="Arial" w:hAnsi="Arial" w:cs="Arial"/>
        </w:rPr>
        <w:t xml:space="preserve">he </w:t>
      </w:r>
      <w:r w:rsidR="0096368D" w:rsidRPr="000E6468">
        <w:rPr>
          <w:rFonts w:ascii="Arial" w:hAnsi="Arial" w:cs="Arial"/>
        </w:rPr>
        <w:t xml:space="preserve">GBS </w:t>
      </w:r>
      <w:r w:rsidR="000B147C">
        <w:rPr>
          <w:rFonts w:ascii="Arial" w:hAnsi="Arial" w:cs="Arial"/>
        </w:rPr>
        <w:t xml:space="preserve">incidence in &lt;90 day-old infants </w:t>
      </w:r>
      <w:r w:rsidR="0096368D" w:rsidRPr="000E6468">
        <w:rPr>
          <w:rFonts w:ascii="Arial" w:hAnsi="Arial" w:cs="Arial"/>
        </w:rPr>
        <w:t>was 0</w:t>
      </w:r>
      <w:r w:rsidR="00440287">
        <w:rPr>
          <w:rFonts w:ascii="Arial" w:hAnsi="Arial" w:cs="Arial"/>
        </w:rPr>
        <w:t>·</w:t>
      </w:r>
      <w:r w:rsidR="0096368D" w:rsidRPr="000E6468">
        <w:rPr>
          <w:rFonts w:ascii="Arial" w:hAnsi="Arial" w:cs="Arial"/>
        </w:rPr>
        <w:t>9</w:t>
      </w:r>
      <w:r w:rsidR="00AE7396">
        <w:rPr>
          <w:rFonts w:ascii="Arial" w:hAnsi="Arial" w:cs="Arial"/>
        </w:rPr>
        <w:t>4</w:t>
      </w:r>
      <w:r w:rsidR="000B147C">
        <w:rPr>
          <w:rFonts w:ascii="Arial" w:hAnsi="Arial" w:cs="Arial"/>
        </w:rPr>
        <w:t>/</w:t>
      </w:r>
      <w:r w:rsidR="0096368D" w:rsidRPr="000E6468">
        <w:rPr>
          <w:rFonts w:ascii="Arial" w:hAnsi="Arial" w:cs="Arial"/>
        </w:rPr>
        <w:t>1,000 live</w:t>
      </w:r>
      <w:r w:rsidR="000B147C">
        <w:rPr>
          <w:rFonts w:ascii="Arial" w:hAnsi="Arial" w:cs="Arial"/>
        </w:rPr>
        <w:t>-</w:t>
      </w:r>
      <w:r w:rsidR="0096368D" w:rsidRPr="000E6468">
        <w:rPr>
          <w:rFonts w:ascii="Arial" w:hAnsi="Arial" w:cs="Arial"/>
        </w:rPr>
        <w:t>births</w:t>
      </w:r>
      <w:r>
        <w:rPr>
          <w:rFonts w:ascii="Arial" w:hAnsi="Arial" w:cs="Arial"/>
        </w:rPr>
        <w:t xml:space="preserve">; </w:t>
      </w:r>
      <w:r w:rsidR="00D666D4" w:rsidRPr="000E6468">
        <w:rPr>
          <w:rFonts w:ascii="Arial" w:hAnsi="Arial" w:cs="Arial"/>
        </w:rPr>
        <w:t>EO</w:t>
      </w:r>
      <w:r w:rsidR="00440287">
        <w:rPr>
          <w:rFonts w:ascii="Arial" w:hAnsi="Arial" w:cs="Arial"/>
        </w:rPr>
        <w:t>D</w:t>
      </w:r>
      <w:r w:rsidR="0096368D" w:rsidRPr="000E6468">
        <w:rPr>
          <w:rFonts w:ascii="Arial" w:hAnsi="Arial" w:cs="Arial"/>
        </w:rPr>
        <w:t xml:space="preserve"> incidence 0</w:t>
      </w:r>
      <w:r w:rsidR="00440287">
        <w:rPr>
          <w:rFonts w:ascii="Arial" w:hAnsi="Arial" w:cs="Arial"/>
        </w:rPr>
        <w:t>·</w:t>
      </w:r>
      <w:r w:rsidR="00D666D4" w:rsidRPr="000E6468">
        <w:rPr>
          <w:rFonts w:ascii="Arial" w:hAnsi="Arial" w:cs="Arial"/>
        </w:rPr>
        <w:t>5</w:t>
      </w:r>
      <w:r w:rsidR="00277648">
        <w:rPr>
          <w:rFonts w:ascii="Arial" w:hAnsi="Arial" w:cs="Arial"/>
        </w:rPr>
        <w:t>7</w:t>
      </w:r>
      <w:r w:rsidR="00895D74">
        <w:rPr>
          <w:rFonts w:ascii="Arial" w:hAnsi="Arial" w:cs="Arial"/>
        </w:rPr>
        <w:t>/</w:t>
      </w:r>
      <w:r w:rsidR="00D666D4" w:rsidRPr="000E6468">
        <w:rPr>
          <w:rFonts w:ascii="Arial" w:hAnsi="Arial" w:cs="Arial"/>
        </w:rPr>
        <w:t xml:space="preserve"> 1,</w:t>
      </w:r>
      <w:r w:rsidR="00D666D4" w:rsidRPr="00776351">
        <w:rPr>
          <w:rFonts w:ascii="Arial" w:hAnsi="Arial" w:cs="Arial"/>
        </w:rPr>
        <w:t>000 live</w:t>
      </w:r>
      <w:r w:rsidR="002B42EF">
        <w:rPr>
          <w:rFonts w:ascii="Arial" w:hAnsi="Arial" w:cs="Arial"/>
        </w:rPr>
        <w:t xml:space="preserve"> </w:t>
      </w:r>
      <w:r w:rsidR="00D666D4" w:rsidRPr="00776351">
        <w:rPr>
          <w:rFonts w:ascii="Arial" w:hAnsi="Arial" w:cs="Arial"/>
        </w:rPr>
        <w:t xml:space="preserve">births </w:t>
      </w:r>
      <w:r w:rsidR="00C14250" w:rsidRPr="00776351">
        <w:rPr>
          <w:rFonts w:ascii="Arial" w:hAnsi="Arial" w:cs="Arial"/>
        </w:rPr>
        <w:t xml:space="preserve">and </w:t>
      </w:r>
      <w:r w:rsidR="004C14D2" w:rsidRPr="00776351">
        <w:rPr>
          <w:rFonts w:ascii="Arial" w:hAnsi="Arial" w:cs="Arial"/>
        </w:rPr>
        <w:t>LO</w:t>
      </w:r>
      <w:r w:rsidR="00440287">
        <w:rPr>
          <w:rFonts w:ascii="Arial" w:hAnsi="Arial" w:cs="Arial"/>
        </w:rPr>
        <w:t>D</w:t>
      </w:r>
      <w:r w:rsidR="004C14D2" w:rsidRPr="00776351">
        <w:rPr>
          <w:rFonts w:ascii="Arial" w:hAnsi="Arial" w:cs="Arial"/>
        </w:rPr>
        <w:t xml:space="preserve"> incidence 0</w:t>
      </w:r>
      <w:r w:rsidR="00440287">
        <w:rPr>
          <w:rFonts w:ascii="Arial" w:hAnsi="Arial" w:cs="Arial"/>
        </w:rPr>
        <w:t>·</w:t>
      </w:r>
      <w:r w:rsidR="004C14D2" w:rsidRPr="00776351">
        <w:rPr>
          <w:rFonts w:ascii="Arial" w:hAnsi="Arial" w:cs="Arial"/>
        </w:rPr>
        <w:t>3</w:t>
      </w:r>
      <w:r w:rsidR="00277648">
        <w:rPr>
          <w:rFonts w:ascii="Arial" w:hAnsi="Arial" w:cs="Arial"/>
        </w:rPr>
        <w:t>7</w:t>
      </w:r>
      <w:r w:rsidR="00895D74">
        <w:rPr>
          <w:rFonts w:ascii="Arial" w:hAnsi="Arial" w:cs="Arial"/>
        </w:rPr>
        <w:t>/</w:t>
      </w:r>
      <w:r w:rsidR="0096368D" w:rsidRPr="00776351">
        <w:rPr>
          <w:rFonts w:ascii="Arial" w:hAnsi="Arial" w:cs="Arial"/>
        </w:rPr>
        <w:t xml:space="preserve"> 1,000 live</w:t>
      </w:r>
      <w:r w:rsidR="00895D74">
        <w:rPr>
          <w:rFonts w:ascii="Arial" w:hAnsi="Arial" w:cs="Arial"/>
        </w:rPr>
        <w:t>-</w:t>
      </w:r>
      <w:r w:rsidR="0096368D" w:rsidRPr="00776351">
        <w:rPr>
          <w:rFonts w:ascii="Arial" w:hAnsi="Arial" w:cs="Arial"/>
        </w:rPr>
        <w:t>births</w:t>
      </w:r>
      <w:r w:rsidR="002D4D5A">
        <w:rPr>
          <w:rFonts w:ascii="Arial" w:hAnsi="Arial" w:cs="Arial"/>
        </w:rPr>
        <w:t xml:space="preserve"> </w:t>
      </w:r>
      <w:r w:rsidR="000209D1" w:rsidRPr="00776351">
        <w:rPr>
          <w:rFonts w:ascii="Arial" w:hAnsi="Arial" w:cs="Arial"/>
        </w:rPr>
        <w:t>(</w:t>
      </w:r>
      <w:r w:rsidR="005E4940">
        <w:rPr>
          <w:rFonts w:ascii="Arial" w:hAnsi="Arial" w:cs="Arial"/>
        </w:rPr>
        <w:t>Table 1</w:t>
      </w:r>
      <w:r w:rsidR="000209D1" w:rsidRPr="00776351">
        <w:rPr>
          <w:rFonts w:ascii="Arial" w:hAnsi="Arial" w:cs="Arial"/>
        </w:rPr>
        <w:t xml:space="preserve">). </w:t>
      </w:r>
      <w:r w:rsidR="00411F80" w:rsidRPr="00776351">
        <w:rPr>
          <w:rFonts w:ascii="Arial" w:hAnsi="Arial" w:cs="Arial"/>
        </w:rPr>
        <w:t xml:space="preserve">The incidence was similar across the </w:t>
      </w:r>
      <w:r w:rsidR="00776351" w:rsidRPr="00776351">
        <w:rPr>
          <w:rFonts w:ascii="Arial" w:hAnsi="Arial" w:cs="Arial"/>
        </w:rPr>
        <w:t>five</w:t>
      </w:r>
      <w:r w:rsidR="00411F80" w:rsidRPr="00776351">
        <w:rPr>
          <w:rFonts w:ascii="Arial" w:hAnsi="Arial" w:cs="Arial"/>
        </w:rPr>
        <w:t xml:space="preserve"> </w:t>
      </w:r>
      <w:r w:rsidR="00776351" w:rsidRPr="00776351">
        <w:rPr>
          <w:rFonts w:ascii="Arial" w:hAnsi="Arial" w:cs="Arial"/>
        </w:rPr>
        <w:t>countries;</w:t>
      </w:r>
      <w:r w:rsidR="00411F80" w:rsidRPr="00776351">
        <w:rPr>
          <w:rFonts w:ascii="Arial" w:hAnsi="Arial" w:cs="Arial"/>
        </w:rPr>
        <w:t xml:space="preserve"> the lowest incidence was in </w:t>
      </w:r>
      <w:r w:rsidR="00876D9D" w:rsidRPr="00776351">
        <w:rPr>
          <w:rFonts w:ascii="Arial" w:hAnsi="Arial" w:cs="Arial"/>
        </w:rPr>
        <w:t xml:space="preserve">the Republic of </w:t>
      </w:r>
      <w:r w:rsidR="00411F80" w:rsidRPr="00776351">
        <w:rPr>
          <w:rFonts w:ascii="Arial" w:hAnsi="Arial" w:cs="Arial"/>
        </w:rPr>
        <w:t>Ireland</w:t>
      </w:r>
      <w:r w:rsidR="00706A83">
        <w:rPr>
          <w:rFonts w:ascii="Arial" w:hAnsi="Arial" w:cs="Arial"/>
        </w:rPr>
        <w:t>.</w:t>
      </w:r>
      <w:r w:rsidR="00E33ADE">
        <w:rPr>
          <w:rFonts w:ascii="Arial" w:hAnsi="Arial" w:cs="Arial"/>
        </w:rPr>
        <w:t xml:space="preserve"> When categorized by birth</w:t>
      </w:r>
      <w:r w:rsidR="002D4D5A">
        <w:rPr>
          <w:rFonts w:ascii="Arial" w:hAnsi="Arial" w:cs="Arial"/>
        </w:rPr>
        <w:t>-</w:t>
      </w:r>
      <w:r w:rsidR="00E33ADE">
        <w:rPr>
          <w:rFonts w:ascii="Arial" w:hAnsi="Arial" w:cs="Arial"/>
        </w:rPr>
        <w:t>weight</w:t>
      </w:r>
      <w:r w:rsidR="002D4D5A">
        <w:rPr>
          <w:rFonts w:ascii="Arial" w:hAnsi="Arial" w:cs="Arial"/>
        </w:rPr>
        <w:t>,</w:t>
      </w:r>
      <w:r w:rsidR="00E33ADE">
        <w:rPr>
          <w:rFonts w:ascii="Arial" w:hAnsi="Arial" w:cs="Arial"/>
        </w:rPr>
        <w:t xml:space="preserve"> babies </w:t>
      </w:r>
      <w:r>
        <w:rPr>
          <w:rFonts w:ascii="Arial" w:hAnsi="Arial" w:cs="Arial"/>
        </w:rPr>
        <w:t xml:space="preserve">born at </w:t>
      </w:r>
      <w:r w:rsidR="00E33ADE">
        <w:rPr>
          <w:rFonts w:ascii="Arial" w:hAnsi="Arial" w:cs="Arial"/>
        </w:rPr>
        <w:t>&lt;1500g</w:t>
      </w:r>
      <w:r w:rsidR="002D4D5A">
        <w:rPr>
          <w:rFonts w:ascii="Arial" w:hAnsi="Arial" w:cs="Arial"/>
        </w:rPr>
        <w:t xml:space="preserve"> had the highest incidence</w:t>
      </w:r>
      <w:r w:rsidR="00E33ADE">
        <w:rPr>
          <w:rFonts w:ascii="Arial" w:hAnsi="Arial" w:cs="Arial"/>
        </w:rPr>
        <w:t>, approxi</w:t>
      </w:r>
      <w:r>
        <w:rPr>
          <w:rFonts w:ascii="Arial" w:hAnsi="Arial" w:cs="Arial"/>
        </w:rPr>
        <w:t>mately 14-</w:t>
      </w:r>
      <w:r w:rsidR="00E33ADE">
        <w:rPr>
          <w:rFonts w:ascii="Arial" w:hAnsi="Arial" w:cs="Arial"/>
        </w:rPr>
        <w:t xml:space="preserve">fold higher than </w:t>
      </w:r>
      <w:r>
        <w:rPr>
          <w:rFonts w:ascii="Arial" w:hAnsi="Arial" w:cs="Arial"/>
        </w:rPr>
        <w:t xml:space="preserve">that of </w:t>
      </w:r>
      <w:r w:rsidR="00E33ADE">
        <w:rPr>
          <w:rFonts w:ascii="Arial" w:hAnsi="Arial" w:cs="Arial"/>
        </w:rPr>
        <w:t>babies &gt;2500g (Table 2</w:t>
      </w:r>
      <w:r w:rsidR="00675F52">
        <w:rPr>
          <w:rFonts w:ascii="Arial" w:hAnsi="Arial" w:cs="Arial"/>
        </w:rPr>
        <w:t xml:space="preserve">, </w:t>
      </w:r>
      <w:r w:rsidR="00675F52" w:rsidRPr="00120A36">
        <w:rPr>
          <w:rFonts w:ascii="Arial" w:hAnsi="Arial" w:cs="Arial"/>
          <w:color w:val="1A1A1A"/>
        </w:rPr>
        <w:t xml:space="preserve">Supplementary Table </w:t>
      </w:r>
      <w:r w:rsidR="00675F52">
        <w:rPr>
          <w:rFonts w:ascii="Arial" w:hAnsi="Arial" w:cs="Arial"/>
          <w:color w:val="1A1A1A"/>
        </w:rPr>
        <w:t>1</w:t>
      </w:r>
      <w:r w:rsidR="00E33ADE" w:rsidRPr="00675F52">
        <w:rPr>
          <w:rFonts w:ascii="Arial" w:hAnsi="Arial" w:cs="Arial"/>
        </w:rPr>
        <w:t>).</w:t>
      </w:r>
      <w:r w:rsidR="00675F52">
        <w:rPr>
          <w:rFonts w:ascii="Arial" w:hAnsi="Arial" w:cs="Arial"/>
        </w:rPr>
        <w:t xml:space="preserve"> A similar trend was observed for gestational age (Supplementary Table 2). </w:t>
      </w:r>
    </w:p>
    <w:p w14:paraId="1410410B" w14:textId="6070DF29" w:rsidR="00235F77" w:rsidRDefault="00235F77" w:rsidP="00B2196A">
      <w:pPr>
        <w:spacing w:line="480" w:lineRule="auto"/>
        <w:rPr>
          <w:rFonts w:ascii="Arial" w:hAnsi="Arial" w:cs="Arial"/>
        </w:rPr>
      </w:pPr>
    </w:p>
    <w:p w14:paraId="11D8E3EE" w14:textId="126F6536" w:rsidR="00E54E2B" w:rsidRPr="001F5D6D" w:rsidRDefault="00C14250" w:rsidP="00B2196A">
      <w:pPr>
        <w:spacing w:line="480" w:lineRule="auto"/>
        <w:rPr>
          <w:rFonts w:ascii="Arial" w:hAnsi="Arial" w:cs="Arial"/>
          <w:b/>
        </w:rPr>
      </w:pPr>
      <w:r w:rsidRPr="001F5D6D">
        <w:rPr>
          <w:rFonts w:ascii="Arial" w:hAnsi="Arial" w:cs="Arial"/>
          <w:b/>
        </w:rPr>
        <w:t>Clinical presentation</w:t>
      </w:r>
      <w:r w:rsidR="000E0B20" w:rsidRPr="001F5D6D">
        <w:rPr>
          <w:rFonts w:ascii="Arial" w:hAnsi="Arial" w:cs="Arial"/>
          <w:b/>
        </w:rPr>
        <w:t>:</w:t>
      </w:r>
    </w:p>
    <w:p w14:paraId="1C089B36" w14:textId="58C33DF3" w:rsidR="00E54E2B" w:rsidRPr="00E866D3" w:rsidRDefault="00C14250" w:rsidP="00B2196A">
      <w:pPr>
        <w:spacing w:line="480" w:lineRule="auto"/>
        <w:rPr>
          <w:rFonts w:ascii="Arial" w:hAnsi="Arial" w:cs="Arial"/>
        </w:rPr>
      </w:pPr>
      <w:r>
        <w:rPr>
          <w:rFonts w:ascii="Arial" w:hAnsi="Arial" w:cs="Arial"/>
        </w:rPr>
        <w:t>The</w:t>
      </w:r>
      <w:r w:rsidRPr="000E6468">
        <w:rPr>
          <w:rFonts w:ascii="Arial" w:hAnsi="Arial" w:cs="Arial"/>
        </w:rPr>
        <w:t xml:space="preserve"> most common clinical syndrome was </w:t>
      </w:r>
      <w:r w:rsidR="00C55267">
        <w:rPr>
          <w:rFonts w:ascii="Arial" w:hAnsi="Arial" w:cs="Arial"/>
        </w:rPr>
        <w:t>sep</w:t>
      </w:r>
      <w:r w:rsidR="001D0951">
        <w:rPr>
          <w:rFonts w:ascii="Arial" w:hAnsi="Arial" w:cs="Arial"/>
        </w:rPr>
        <w:t>ticaemia</w:t>
      </w:r>
      <w:r w:rsidR="00C55267" w:rsidRPr="000E6468">
        <w:rPr>
          <w:rFonts w:ascii="Arial" w:hAnsi="Arial" w:cs="Arial"/>
        </w:rPr>
        <w:t xml:space="preserve"> </w:t>
      </w:r>
      <w:r w:rsidRPr="000E6468">
        <w:rPr>
          <w:rFonts w:ascii="Arial" w:hAnsi="Arial" w:cs="Arial"/>
        </w:rPr>
        <w:t>(n=4</w:t>
      </w:r>
      <w:r w:rsidR="00834277">
        <w:rPr>
          <w:rFonts w:ascii="Arial" w:hAnsi="Arial" w:cs="Arial"/>
        </w:rPr>
        <w:t>49</w:t>
      </w:r>
      <w:r w:rsidRPr="000E6468">
        <w:rPr>
          <w:rFonts w:ascii="Arial" w:hAnsi="Arial" w:cs="Arial"/>
        </w:rPr>
        <w:t>, 5</w:t>
      </w:r>
      <w:r>
        <w:rPr>
          <w:rFonts w:ascii="Arial" w:hAnsi="Arial" w:cs="Arial"/>
        </w:rPr>
        <w:t>2</w:t>
      </w:r>
      <w:r w:rsidR="00B2196A">
        <w:rPr>
          <w:rFonts w:ascii="Arial" w:hAnsi="Arial" w:cs="Arial"/>
        </w:rPr>
        <w:t>·</w:t>
      </w:r>
      <w:r w:rsidR="00834277">
        <w:rPr>
          <w:rFonts w:ascii="Arial" w:hAnsi="Arial" w:cs="Arial"/>
        </w:rPr>
        <w:t>5</w:t>
      </w:r>
      <w:r w:rsidRPr="000E6468">
        <w:rPr>
          <w:rFonts w:ascii="Arial" w:hAnsi="Arial" w:cs="Arial"/>
        </w:rPr>
        <w:t>%), followed by meningitis (n=15</w:t>
      </w:r>
      <w:r w:rsidR="00834277">
        <w:rPr>
          <w:rFonts w:ascii="Arial" w:hAnsi="Arial" w:cs="Arial"/>
        </w:rPr>
        <w:t>5</w:t>
      </w:r>
      <w:r w:rsidRPr="000E6468">
        <w:rPr>
          <w:rFonts w:ascii="Arial" w:hAnsi="Arial" w:cs="Arial"/>
        </w:rPr>
        <w:t>, 18</w:t>
      </w:r>
      <w:r w:rsidR="00B2196A">
        <w:rPr>
          <w:rFonts w:ascii="Arial" w:hAnsi="Arial" w:cs="Arial"/>
        </w:rPr>
        <w:t>·</w:t>
      </w:r>
      <w:r w:rsidR="00834277">
        <w:rPr>
          <w:rFonts w:ascii="Arial" w:hAnsi="Arial" w:cs="Arial"/>
        </w:rPr>
        <w:t>1</w:t>
      </w:r>
      <w:r w:rsidRPr="000E6468">
        <w:rPr>
          <w:rFonts w:ascii="Arial" w:hAnsi="Arial" w:cs="Arial"/>
        </w:rPr>
        <w:t xml:space="preserve">%), </w:t>
      </w:r>
      <w:r w:rsidR="007F1F22">
        <w:rPr>
          <w:rFonts w:ascii="Arial" w:hAnsi="Arial" w:cs="Arial"/>
        </w:rPr>
        <w:t xml:space="preserve">bacteraemic </w:t>
      </w:r>
      <w:r w:rsidRPr="000E6468">
        <w:rPr>
          <w:rFonts w:ascii="Arial" w:hAnsi="Arial" w:cs="Arial"/>
        </w:rPr>
        <w:t>pneumonia (n=10</w:t>
      </w:r>
      <w:r w:rsidR="002B42EF">
        <w:rPr>
          <w:rFonts w:ascii="Arial" w:hAnsi="Arial" w:cs="Arial"/>
        </w:rPr>
        <w:t>7</w:t>
      </w:r>
      <w:r w:rsidRPr="000E6468">
        <w:rPr>
          <w:rFonts w:ascii="Arial" w:hAnsi="Arial" w:cs="Arial"/>
        </w:rPr>
        <w:t>, 12</w:t>
      </w:r>
      <w:r w:rsidR="00B2196A">
        <w:rPr>
          <w:rFonts w:ascii="Arial" w:hAnsi="Arial" w:cs="Arial"/>
        </w:rPr>
        <w:t>·</w:t>
      </w:r>
      <w:r w:rsidR="00834277">
        <w:rPr>
          <w:rFonts w:ascii="Arial" w:hAnsi="Arial" w:cs="Arial"/>
        </w:rPr>
        <w:t>5</w:t>
      </w:r>
      <w:r w:rsidRPr="000E6468">
        <w:rPr>
          <w:rFonts w:ascii="Arial" w:hAnsi="Arial" w:cs="Arial"/>
        </w:rPr>
        <w:t>%) and focal infection</w:t>
      </w:r>
      <w:r w:rsidR="00B5449E">
        <w:rPr>
          <w:rFonts w:ascii="Arial" w:hAnsi="Arial" w:cs="Arial"/>
        </w:rPr>
        <w:t>s</w:t>
      </w:r>
      <w:r w:rsidRPr="000E6468">
        <w:rPr>
          <w:rFonts w:ascii="Arial" w:hAnsi="Arial" w:cs="Arial"/>
        </w:rPr>
        <w:t xml:space="preserve"> (n=6, 0</w:t>
      </w:r>
      <w:r w:rsidR="00B2196A">
        <w:rPr>
          <w:rFonts w:ascii="Arial" w:hAnsi="Arial" w:cs="Arial"/>
        </w:rPr>
        <w:t>·</w:t>
      </w:r>
      <w:r w:rsidRPr="00AE64F2">
        <w:rPr>
          <w:rFonts w:ascii="Arial" w:hAnsi="Arial" w:cs="Arial"/>
        </w:rPr>
        <w:t xml:space="preserve">7%). </w:t>
      </w:r>
      <w:r w:rsidR="003C68D6" w:rsidRPr="00AE64F2">
        <w:rPr>
          <w:rFonts w:ascii="Arial" w:hAnsi="Arial" w:cs="Arial"/>
        </w:rPr>
        <w:t>A lumbar puncture was performed in 8</w:t>
      </w:r>
      <w:r w:rsidR="002B42EF">
        <w:rPr>
          <w:rFonts w:ascii="Arial" w:hAnsi="Arial" w:cs="Arial"/>
        </w:rPr>
        <w:t>6</w:t>
      </w:r>
      <w:r w:rsidR="003C68D6" w:rsidRPr="00AE64F2">
        <w:rPr>
          <w:rFonts w:ascii="Arial" w:hAnsi="Arial" w:cs="Arial"/>
        </w:rPr>
        <w:t xml:space="preserve">% </w:t>
      </w:r>
      <w:r w:rsidR="00235F77">
        <w:rPr>
          <w:rFonts w:ascii="Arial" w:hAnsi="Arial" w:cs="Arial"/>
        </w:rPr>
        <w:t>(n=</w:t>
      </w:r>
      <w:r w:rsidR="002B42EF">
        <w:rPr>
          <w:rFonts w:ascii="Arial" w:hAnsi="Arial" w:cs="Arial"/>
        </w:rPr>
        <w:t>60</w:t>
      </w:r>
      <w:r w:rsidR="00834277">
        <w:rPr>
          <w:rFonts w:ascii="Arial" w:hAnsi="Arial" w:cs="Arial"/>
        </w:rPr>
        <w:t>0</w:t>
      </w:r>
      <w:r w:rsidR="002B42EF">
        <w:rPr>
          <w:rFonts w:ascii="Arial" w:hAnsi="Arial" w:cs="Arial"/>
        </w:rPr>
        <w:t>)</w:t>
      </w:r>
      <w:r w:rsidR="003249F8">
        <w:rPr>
          <w:rFonts w:ascii="Arial" w:hAnsi="Arial" w:cs="Arial"/>
        </w:rPr>
        <w:t xml:space="preserve"> of cases</w:t>
      </w:r>
      <w:r w:rsidR="002B42EF">
        <w:rPr>
          <w:rFonts w:ascii="Arial" w:hAnsi="Arial" w:cs="Arial"/>
        </w:rPr>
        <w:t>;</w:t>
      </w:r>
      <w:r w:rsidR="003C68D6" w:rsidRPr="00AE64F2">
        <w:rPr>
          <w:rFonts w:ascii="Arial" w:hAnsi="Arial" w:cs="Arial"/>
        </w:rPr>
        <w:t xml:space="preserve"> of the remaining 1</w:t>
      </w:r>
      <w:r w:rsidR="002B42EF">
        <w:rPr>
          <w:rFonts w:ascii="Arial" w:hAnsi="Arial" w:cs="Arial"/>
        </w:rPr>
        <w:t>4</w:t>
      </w:r>
      <w:r w:rsidR="003C68D6" w:rsidRPr="00AE64F2">
        <w:rPr>
          <w:rFonts w:ascii="Arial" w:hAnsi="Arial" w:cs="Arial"/>
        </w:rPr>
        <w:t>%</w:t>
      </w:r>
      <w:r w:rsidR="00235F77">
        <w:rPr>
          <w:rFonts w:ascii="Arial" w:hAnsi="Arial" w:cs="Arial"/>
        </w:rPr>
        <w:t xml:space="preserve">, either </w:t>
      </w:r>
      <w:r w:rsidR="003C68D6" w:rsidRPr="00AE64F2">
        <w:rPr>
          <w:rFonts w:ascii="Arial" w:hAnsi="Arial" w:cs="Arial"/>
        </w:rPr>
        <w:t>the procedure was unsuccessful or the baby deemed too ill</w:t>
      </w:r>
      <w:r w:rsidR="00235F77">
        <w:rPr>
          <w:rFonts w:ascii="Arial" w:hAnsi="Arial" w:cs="Arial"/>
        </w:rPr>
        <w:t xml:space="preserve"> for lumbar puncture</w:t>
      </w:r>
      <w:r w:rsidR="003C68D6" w:rsidRPr="00AE64F2">
        <w:rPr>
          <w:rFonts w:ascii="Arial" w:hAnsi="Arial" w:cs="Arial"/>
        </w:rPr>
        <w:t>.</w:t>
      </w:r>
      <w:r w:rsidR="003C68D6" w:rsidRPr="003C68D6">
        <w:rPr>
          <w:rFonts w:ascii="Arial" w:hAnsi="Arial" w:cs="Arial"/>
          <w:color w:val="0000FF"/>
        </w:rPr>
        <w:t xml:space="preserve"> </w:t>
      </w:r>
      <w:r w:rsidR="00235F77">
        <w:rPr>
          <w:rFonts w:ascii="Arial" w:hAnsi="Arial" w:cs="Arial"/>
        </w:rPr>
        <w:t xml:space="preserve">Infants with </w:t>
      </w:r>
      <w:r w:rsidR="00B37BC7" w:rsidRPr="00483380">
        <w:rPr>
          <w:rFonts w:ascii="Arial" w:hAnsi="Arial" w:cs="Arial"/>
        </w:rPr>
        <w:t>LO</w:t>
      </w:r>
      <w:r w:rsidR="00B2196A">
        <w:rPr>
          <w:rFonts w:ascii="Arial" w:hAnsi="Arial" w:cs="Arial"/>
        </w:rPr>
        <w:t>D</w:t>
      </w:r>
      <w:r w:rsidR="00B37BC7" w:rsidRPr="00483380">
        <w:rPr>
          <w:rFonts w:ascii="Arial" w:hAnsi="Arial" w:cs="Arial"/>
        </w:rPr>
        <w:t xml:space="preserve"> </w:t>
      </w:r>
      <w:r w:rsidR="00235F77">
        <w:rPr>
          <w:rFonts w:ascii="Arial" w:hAnsi="Arial" w:cs="Arial"/>
        </w:rPr>
        <w:t xml:space="preserve">were </w:t>
      </w:r>
      <w:r w:rsidR="00B37BC7" w:rsidRPr="00483380">
        <w:rPr>
          <w:rFonts w:ascii="Arial" w:hAnsi="Arial" w:cs="Arial"/>
        </w:rPr>
        <w:t xml:space="preserve">more likely to present with meningitis </w:t>
      </w:r>
      <w:r w:rsidR="00235F77" w:rsidRPr="00483380">
        <w:rPr>
          <w:rFonts w:ascii="Arial" w:hAnsi="Arial" w:cs="Arial"/>
        </w:rPr>
        <w:t xml:space="preserve">than </w:t>
      </w:r>
      <w:r w:rsidR="0077012D">
        <w:rPr>
          <w:rFonts w:ascii="Arial" w:hAnsi="Arial" w:cs="Arial"/>
        </w:rPr>
        <w:t xml:space="preserve">those with </w:t>
      </w:r>
      <w:r w:rsidR="00235F77" w:rsidRPr="00483380">
        <w:rPr>
          <w:rFonts w:ascii="Arial" w:hAnsi="Arial" w:cs="Arial"/>
        </w:rPr>
        <w:t>EO</w:t>
      </w:r>
      <w:r w:rsidR="00B2196A">
        <w:rPr>
          <w:rFonts w:ascii="Arial" w:hAnsi="Arial" w:cs="Arial"/>
        </w:rPr>
        <w:t>D</w:t>
      </w:r>
      <w:r w:rsidR="00235F77" w:rsidRPr="00483380">
        <w:rPr>
          <w:rFonts w:ascii="Arial" w:hAnsi="Arial" w:cs="Arial"/>
        </w:rPr>
        <w:t xml:space="preserve"> </w:t>
      </w:r>
      <w:r w:rsidR="00B37BC7" w:rsidRPr="00483380">
        <w:rPr>
          <w:rFonts w:ascii="Arial" w:hAnsi="Arial" w:cs="Arial"/>
        </w:rPr>
        <w:t>(</w:t>
      </w:r>
      <w:r w:rsidR="00834277">
        <w:rPr>
          <w:rFonts w:ascii="Arial" w:hAnsi="Arial" w:cs="Arial"/>
        </w:rPr>
        <w:t xml:space="preserve">98 </w:t>
      </w:r>
      <w:r w:rsidR="00B37BC7" w:rsidRPr="00483380">
        <w:rPr>
          <w:rFonts w:ascii="Arial" w:hAnsi="Arial" w:cs="Arial"/>
        </w:rPr>
        <w:t>[</w:t>
      </w:r>
      <w:r w:rsidR="00834277">
        <w:rPr>
          <w:rFonts w:ascii="Arial" w:hAnsi="Arial" w:cs="Arial"/>
        </w:rPr>
        <w:t>28</w:t>
      </w:r>
      <w:r w:rsidR="00B2196A">
        <w:rPr>
          <w:rFonts w:ascii="Arial" w:hAnsi="Arial" w:cs="Arial"/>
        </w:rPr>
        <w:t>·</w:t>
      </w:r>
      <w:r w:rsidR="00834277">
        <w:rPr>
          <w:rFonts w:ascii="Arial" w:hAnsi="Arial" w:cs="Arial"/>
        </w:rPr>
        <w:t>9</w:t>
      </w:r>
      <w:r w:rsidR="00B37BC7" w:rsidRPr="00483380">
        <w:rPr>
          <w:rFonts w:ascii="Arial" w:hAnsi="Arial" w:cs="Arial"/>
        </w:rPr>
        <w:t xml:space="preserve">%] vs. </w:t>
      </w:r>
      <w:r w:rsidR="00AE64F2" w:rsidRPr="00483380">
        <w:rPr>
          <w:rFonts w:ascii="Arial" w:hAnsi="Arial" w:cs="Arial"/>
        </w:rPr>
        <w:t>5</w:t>
      </w:r>
      <w:r w:rsidR="002B42EF">
        <w:rPr>
          <w:rFonts w:ascii="Arial" w:hAnsi="Arial" w:cs="Arial"/>
        </w:rPr>
        <w:t>7</w:t>
      </w:r>
      <w:r w:rsidR="00B5449E">
        <w:rPr>
          <w:rFonts w:ascii="Arial" w:hAnsi="Arial" w:cs="Arial"/>
        </w:rPr>
        <w:t xml:space="preserve"> </w:t>
      </w:r>
      <w:r w:rsidR="00B37BC7" w:rsidRPr="00483380">
        <w:rPr>
          <w:rFonts w:ascii="Arial" w:hAnsi="Arial" w:cs="Arial"/>
        </w:rPr>
        <w:t>[</w:t>
      </w:r>
      <w:r w:rsidR="00483380" w:rsidRPr="00483380">
        <w:rPr>
          <w:rFonts w:ascii="Arial" w:hAnsi="Arial" w:cs="Arial"/>
        </w:rPr>
        <w:t>1</w:t>
      </w:r>
      <w:r w:rsidR="00834277">
        <w:rPr>
          <w:rFonts w:ascii="Arial" w:hAnsi="Arial" w:cs="Arial"/>
        </w:rPr>
        <w:t>1</w:t>
      </w:r>
      <w:r w:rsidR="00B37BC7" w:rsidRPr="00483380">
        <w:rPr>
          <w:rFonts w:ascii="Arial" w:hAnsi="Arial" w:cs="Arial"/>
        </w:rPr>
        <w:t>%]).</w:t>
      </w:r>
      <w:r w:rsidR="00B37BC7">
        <w:rPr>
          <w:rFonts w:ascii="Arial" w:hAnsi="Arial" w:cs="Arial"/>
        </w:rPr>
        <w:t xml:space="preserve"> </w:t>
      </w:r>
      <w:r w:rsidR="00E54E2B" w:rsidRPr="000E6468">
        <w:rPr>
          <w:rFonts w:ascii="Arial" w:hAnsi="Arial" w:cs="Arial"/>
        </w:rPr>
        <w:t xml:space="preserve">The </w:t>
      </w:r>
      <w:r w:rsidR="003C68D6">
        <w:rPr>
          <w:rFonts w:ascii="Arial" w:hAnsi="Arial" w:cs="Arial"/>
        </w:rPr>
        <w:t xml:space="preserve">overall </w:t>
      </w:r>
      <w:r w:rsidR="00E54E2B" w:rsidRPr="000E6468">
        <w:rPr>
          <w:rFonts w:ascii="Arial" w:hAnsi="Arial" w:cs="Arial"/>
        </w:rPr>
        <w:t xml:space="preserve">meningitis incidence </w:t>
      </w:r>
      <w:r w:rsidR="00F04D22">
        <w:rPr>
          <w:rFonts w:ascii="Arial" w:hAnsi="Arial" w:cs="Arial"/>
        </w:rPr>
        <w:t>was</w:t>
      </w:r>
      <w:r w:rsidR="00F04D22" w:rsidRPr="000E6468">
        <w:rPr>
          <w:rFonts w:ascii="Arial" w:hAnsi="Arial" w:cs="Arial"/>
        </w:rPr>
        <w:t xml:space="preserve"> </w:t>
      </w:r>
      <w:r w:rsidR="00E54E2B" w:rsidRPr="000E6468">
        <w:rPr>
          <w:rFonts w:ascii="Arial" w:hAnsi="Arial" w:cs="Arial"/>
        </w:rPr>
        <w:t>0</w:t>
      </w:r>
      <w:r w:rsidR="00B2196A">
        <w:rPr>
          <w:rFonts w:ascii="Arial" w:hAnsi="Arial" w:cs="Arial"/>
        </w:rPr>
        <w:t>·</w:t>
      </w:r>
      <w:r w:rsidR="00E54E2B" w:rsidRPr="000E6468">
        <w:rPr>
          <w:rFonts w:ascii="Arial" w:hAnsi="Arial" w:cs="Arial"/>
        </w:rPr>
        <w:t>17 per 1,000 live births</w:t>
      </w:r>
      <w:r w:rsidR="00097BC2">
        <w:rPr>
          <w:rFonts w:ascii="Arial" w:hAnsi="Arial" w:cs="Arial"/>
        </w:rPr>
        <w:t>.</w:t>
      </w:r>
    </w:p>
    <w:p w14:paraId="1C2FA64A" w14:textId="77777777" w:rsidR="002432CF" w:rsidRPr="000E6468" w:rsidRDefault="002432CF" w:rsidP="00BC402D">
      <w:pPr>
        <w:spacing w:line="480" w:lineRule="auto"/>
        <w:rPr>
          <w:rFonts w:ascii="Arial" w:hAnsi="Arial" w:cs="Arial"/>
          <w:color w:val="0000FF"/>
        </w:rPr>
      </w:pPr>
    </w:p>
    <w:p w14:paraId="7C7B102F" w14:textId="44CCAE7A" w:rsidR="001920F4" w:rsidRPr="001F5D6D" w:rsidRDefault="001920F4" w:rsidP="00BC402D">
      <w:pPr>
        <w:spacing w:line="480" w:lineRule="auto"/>
        <w:rPr>
          <w:rFonts w:ascii="Arial" w:hAnsi="Arial" w:cs="Arial"/>
          <w:b/>
        </w:rPr>
      </w:pPr>
      <w:r w:rsidRPr="001F5D6D">
        <w:rPr>
          <w:rFonts w:ascii="Arial" w:hAnsi="Arial" w:cs="Arial"/>
          <w:b/>
        </w:rPr>
        <w:t>Risk factors</w:t>
      </w:r>
      <w:r w:rsidR="00317CA8" w:rsidRPr="001F5D6D">
        <w:rPr>
          <w:rFonts w:ascii="Arial" w:hAnsi="Arial" w:cs="Arial"/>
          <w:b/>
        </w:rPr>
        <w:t>:</w:t>
      </w:r>
    </w:p>
    <w:p w14:paraId="062DD0F3" w14:textId="76634C27" w:rsidR="00E968E1" w:rsidRDefault="00E968E1" w:rsidP="00BC402D">
      <w:pPr>
        <w:spacing w:line="480" w:lineRule="auto"/>
        <w:rPr>
          <w:rFonts w:ascii="Arial" w:hAnsi="Arial" w:cs="Arial"/>
        </w:rPr>
      </w:pPr>
      <w:r w:rsidRPr="00E968E1">
        <w:rPr>
          <w:rFonts w:ascii="Arial" w:hAnsi="Arial" w:cs="Arial"/>
        </w:rPr>
        <w:t xml:space="preserve">Overall, </w:t>
      </w:r>
      <w:r w:rsidR="00471F58">
        <w:rPr>
          <w:rFonts w:ascii="Arial" w:hAnsi="Arial" w:cs="Arial"/>
        </w:rPr>
        <w:t>22·2</w:t>
      </w:r>
      <w:r w:rsidRPr="00E968E1">
        <w:rPr>
          <w:rFonts w:ascii="Arial" w:hAnsi="Arial" w:cs="Arial"/>
        </w:rPr>
        <w:t>% (n=94) of EO</w:t>
      </w:r>
      <w:r w:rsidR="00471F58">
        <w:rPr>
          <w:rFonts w:ascii="Arial" w:hAnsi="Arial" w:cs="Arial"/>
        </w:rPr>
        <w:t>D</w:t>
      </w:r>
      <w:r w:rsidRPr="00E968E1">
        <w:rPr>
          <w:rFonts w:ascii="Arial" w:hAnsi="Arial" w:cs="Arial"/>
        </w:rPr>
        <w:t xml:space="preserve"> cases and </w:t>
      </w:r>
      <w:r w:rsidR="00471F58">
        <w:rPr>
          <w:rFonts w:ascii="Arial" w:hAnsi="Arial" w:cs="Arial"/>
        </w:rPr>
        <w:t>38·8</w:t>
      </w:r>
      <w:r w:rsidRPr="00E968E1">
        <w:rPr>
          <w:rFonts w:ascii="Arial" w:hAnsi="Arial" w:cs="Arial"/>
        </w:rPr>
        <w:t>% (n=107) of LO</w:t>
      </w:r>
      <w:r w:rsidR="00471F58">
        <w:rPr>
          <w:rFonts w:ascii="Arial" w:hAnsi="Arial" w:cs="Arial"/>
        </w:rPr>
        <w:t>D</w:t>
      </w:r>
      <w:r w:rsidRPr="00E968E1">
        <w:rPr>
          <w:rFonts w:ascii="Arial" w:hAnsi="Arial" w:cs="Arial"/>
        </w:rPr>
        <w:t xml:space="preserve"> cases </w:t>
      </w:r>
      <w:r w:rsidR="00130B4C">
        <w:rPr>
          <w:rFonts w:ascii="Arial" w:hAnsi="Arial" w:cs="Arial"/>
        </w:rPr>
        <w:t xml:space="preserve">were </w:t>
      </w:r>
      <w:r w:rsidR="00130B4C" w:rsidRPr="00E968E1">
        <w:rPr>
          <w:rFonts w:ascii="Arial" w:hAnsi="Arial" w:cs="Arial"/>
        </w:rPr>
        <w:t>born</w:t>
      </w:r>
      <w:r w:rsidRPr="00E968E1">
        <w:rPr>
          <w:rFonts w:ascii="Arial" w:hAnsi="Arial" w:cs="Arial"/>
        </w:rPr>
        <w:t xml:space="preserve"> </w:t>
      </w:r>
      <w:r w:rsidR="007C36EE">
        <w:rPr>
          <w:rFonts w:ascii="Arial" w:hAnsi="Arial" w:cs="Arial"/>
        </w:rPr>
        <w:t>prematurely</w:t>
      </w:r>
      <w:r w:rsidR="0077012D">
        <w:rPr>
          <w:rFonts w:ascii="Arial" w:hAnsi="Arial" w:cs="Arial"/>
        </w:rPr>
        <w:t xml:space="preserve"> and </w:t>
      </w:r>
      <w:r w:rsidR="00471F58">
        <w:rPr>
          <w:rFonts w:ascii="Arial" w:hAnsi="Arial" w:cs="Arial"/>
        </w:rPr>
        <w:t>14</w:t>
      </w:r>
      <w:r w:rsidR="00471F58" w:rsidRPr="002F473B">
        <w:rPr>
          <w:rFonts w:ascii="Arial" w:hAnsi="Arial" w:cs="Arial"/>
        </w:rPr>
        <w:t>·6</w:t>
      </w:r>
      <w:r w:rsidR="006D503F" w:rsidRPr="00A75549">
        <w:rPr>
          <w:rFonts w:ascii="Arial" w:hAnsi="Arial" w:cs="Arial"/>
        </w:rPr>
        <w:t xml:space="preserve">% </w:t>
      </w:r>
      <w:r w:rsidR="00471F58" w:rsidRPr="00A75549">
        <w:rPr>
          <w:rFonts w:ascii="Arial" w:hAnsi="Arial" w:cs="Arial"/>
        </w:rPr>
        <w:t xml:space="preserve">(n=62) </w:t>
      </w:r>
      <w:r w:rsidR="006D503F" w:rsidRPr="00A75549">
        <w:rPr>
          <w:rFonts w:ascii="Arial" w:hAnsi="Arial" w:cs="Arial"/>
        </w:rPr>
        <w:t xml:space="preserve">of EOD cases </w:t>
      </w:r>
      <w:r w:rsidR="00547364">
        <w:rPr>
          <w:rFonts w:ascii="Arial" w:hAnsi="Arial" w:cs="Arial"/>
        </w:rPr>
        <w:t xml:space="preserve">were born </w:t>
      </w:r>
      <w:r w:rsidR="0077012D">
        <w:rPr>
          <w:rFonts w:ascii="Arial" w:hAnsi="Arial" w:cs="Arial"/>
        </w:rPr>
        <w:t>at &lt;</w:t>
      </w:r>
      <w:r w:rsidR="006D503F" w:rsidRPr="00A75549">
        <w:rPr>
          <w:rFonts w:ascii="Arial" w:hAnsi="Arial" w:cs="Arial"/>
        </w:rPr>
        <w:t>35</w:t>
      </w:r>
      <w:r w:rsidR="00B801CA">
        <w:rPr>
          <w:rFonts w:ascii="Arial" w:hAnsi="Arial" w:cs="Arial"/>
        </w:rPr>
        <w:t xml:space="preserve"> week</w:t>
      </w:r>
      <w:r w:rsidR="006D3565">
        <w:rPr>
          <w:rFonts w:ascii="Arial" w:hAnsi="Arial" w:cs="Arial"/>
        </w:rPr>
        <w:t>s</w:t>
      </w:r>
      <w:r w:rsidR="00B801CA">
        <w:rPr>
          <w:rFonts w:ascii="Arial" w:hAnsi="Arial" w:cs="Arial"/>
        </w:rPr>
        <w:t xml:space="preserve"> gestation</w:t>
      </w:r>
      <w:r w:rsidR="0077012D">
        <w:rPr>
          <w:rFonts w:ascii="Arial" w:hAnsi="Arial" w:cs="Arial"/>
        </w:rPr>
        <w:t xml:space="preserve"> (Table </w:t>
      </w:r>
      <w:r w:rsidR="00DD1FEC">
        <w:rPr>
          <w:rFonts w:ascii="Arial" w:hAnsi="Arial" w:cs="Arial"/>
        </w:rPr>
        <w:t>3</w:t>
      </w:r>
      <w:r w:rsidR="0077012D">
        <w:rPr>
          <w:rFonts w:ascii="Arial" w:hAnsi="Arial" w:cs="Arial"/>
        </w:rPr>
        <w:t>)</w:t>
      </w:r>
      <w:r w:rsidR="006D503F" w:rsidRPr="00A75549">
        <w:rPr>
          <w:rFonts w:ascii="Arial" w:hAnsi="Arial" w:cs="Arial"/>
        </w:rPr>
        <w:t>.</w:t>
      </w:r>
      <w:r w:rsidR="006D503F" w:rsidRPr="006D503F">
        <w:rPr>
          <w:rFonts w:ascii="Arial" w:hAnsi="Arial" w:cs="Arial"/>
          <w:color w:val="FF0000"/>
        </w:rPr>
        <w:t xml:space="preserve"> </w:t>
      </w:r>
      <w:r w:rsidRPr="00E968E1">
        <w:rPr>
          <w:rFonts w:ascii="Arial" w:hAnsi="Arial" w:cs="Arial"/>
        </w:rPr>
        <w:t xml:space="preserve">Notably, 19% (n=55) of </w:t>
      </w:r>
      <w:r w:rsidR="00097BC2">
        <w:rPr>
          <w:rFonts w:ascii="Arial" w:hAnsi="Arial" w:cs="Arial"/>
        </w:rPr>
        <w:t>LOD</w:t>
      </w:r>
      <w:r w:rsidRPr="00E968E1">
        <w:rPr>
          <w:rFonts w:ascii="Arial" w:hAnsi="Arial" w:cs="Arial"/>
        </w:rPr>
        <w:t xml:space="preserve"> cases were on a neonatal </w:t>
      </w:r>
      <w:r w:rsidRPr="00E968E1">
        <w:rPr>
          <w:rFonts w:ascii="Arial" w:hAnsi="Arial" w:cs="Arial"/>
        </w:rPr>
        <w:lastRenderedPageBreak/>
        <w:t xml:space="preserve">unit at the time of </w:t>
      </w:r>
      <w:r w:rsidR="006D503F">
        <w:rPr>
          <w:rFonts w:ascii="Arial" w:hAnsi="Arial" w:cs="Arial"/>
        </w:rPr>
        <w:t xml:space="preserve">onset </w:t>
      </w:r>
      <w:r w:rsidRPr="00E968E1">
        <w:rPr>
          <w:rFonts w:ascii="Arial" w:hAnsi="Arial" w:cs="Arial"/>
        </w:rPr>
        <w:t xml:space="preserve">and 95% of these babies had been born prematurely. </w:t>
      </w:r>
      <w:r w:rsidR="002321DC">
        <w:rPr>
          <w:rFonts w:ascii="Arial" w:hAnsi="Arial" w:cs="Arial"/>
        </w:rPr>
        <w:t xml:space="preserve">Of </w:t>
      </w:r>
      <w:r w:rsidR="00097BC2">
        <w:rPr>
          <w:rFonts w:ascii="Arial" w:hAnsi="Arial" w:cs="Arial"/>
        </w:rPr>
        <w:t>the LOD</w:t>
      </w:r>
      <w:r w:rsidR="002321DC">
        <w:rPr>
          <w:rFonts w:ascii="Arial" w:hAnsi="Arial" w:cs="Arial"/>
        </w:rPr>
        <w:t xml:space="preserve"> cases </w:t>
      </w:r>
      <w:r w:rsidR="005A0083">
        <w:rPr>
          <w:rFonts w:ascii="Arial" w:hAnsi="Arial" w:cs="Arial"/>
        </w:rPr>
        <w:t>presenting</w:t>
      </w:r>
      <w:r w:rsidR="002321DC">
        <w:rPr>
          <w:rFonts w:ascii="Arial" w:hAnsi="Arial" w:cs="Arial"/>
        </w:rPr>
        <w:t xml:space="preserve"> from home</w:t>
      </w:r>
      <w:r w:rsidR="00097BC2">
        <w:rPr>
          <w:rFonts w:ascii="Arial" w:hAnsi="Arial" w:cs="Arial"/>
        </w:rPr>
        <w:t>,</w:t>
      </w:r>
      <w:r w:rsidR="002321DC">
        <w:rPr>
          <w:rFonts w:ascii="Arial" w:hAnsi="Arial" w:cs="Arial"/>
        </w:rPr>
        <w:t xml:space="preserve"> </w:t>
      </w:r>
      <w:r w:rsidR="00CF34D4">
        <w:rPr>
          <w:rFonts w:ascii="Arial" w:hAnsi="Arial" w:cs="Arial"/>
        </w:rPr>
        <w:t>24</w:t>
      </w:r>
      <w:r w:rsidR="002321DC">
        <w:rPr>
          <w:rFonts w:ascii="Arial" w:hAnsi="Arial" w:cs="Arial"/>
        </w:rPr>
        <w:t xml:space="preserve">% were born prematurely. </w:t>
      </w:r>
      <w:r w:rsidRPr="00E968E1">
        <w:rPr>
          <w:rFonts w:ascii="Arial" w:hAnsi="Arial" w:cs="Arial"/>
        </w:rPr>
        <w:t xml:space="preserve">The median gestational age </w:t>
      </w:r>
      <w:r w:rsidR="00547364">
        <w:rPr>
          <w:rFonts w:ascii="Arial" w:hAnsi="Arial" w:cs="Arial"/>
        </w:rPr>
        <w:t xml:space="preserve">of </w:t>
      </w:r>
      <w:r w:rsidRPr="00E968E1">
        <w:rPr>
          <w:rFonts w:ascii="Arial" w:hAnsi="Arial" w:cs="Arial"/>
        </w:rPr>
        <w:t xml:space="preserve">LOD babies </w:t>
      </w:r>
      <w:r w:rsidR="00547364">
        <w:rPr>
          <w:rFonts w:ascii="Arial" w:hAnsi="Arial" w:cs="Arial"/>
        </w:rPr>
        <w:t xml:space="preserve">who were resident </w:t>
      </w:r>
      <w:r w:rsidRPr="00E968E1">
        <w:rPr>
          <w:rFonts w:ascii="Arial" w:hAnsi="Arial" w:cs="Arial"/>
        </w:rPr>
        <w:t xml:space="preserve">on neonatal units </w:t>
      </w:r>
      <w:r w:rsidR="00547364">
        <w:rPr>
          <w:rFonts w:ascii="Arial" w:hAnsi="Arial" w:cs="Arial"/>
        </w:rPr>
        <w:t xml:space="preserve">at the time of presentation </w:t>
      </w:r>
      <w:r w:rsidRPr="00E968E1">
        <w:rPr>
          <w:rFonts w:ascii="Arial" w:hAnsi="Arial" w:cs="Arial"/>
        </w:rPr>
        <w:t>was 28</w:t>
      </w:r>
      <w:r w:rsidR="00F915E7">
        <w:rPr>
          <w:rFonts w:ascii="Arial" w:hAnsi="Arial" w:cs="Arial"/>
        </w:rPr>
        <w:t xml:space="preserve"> weeks</w:t>
      </w:r>
      <w:r w:rsidR="00547364">
        <w:rPr>
          <w:rFonts w:ascii="Arial" w:hAnsi="Arial" w:cs="Arial"/>
        </w:rPr>
        <w:t xml:space="preserve"> and </w:t>
      </w:r>
      <w:r w:rsidRPr="00E968E1">
        <w:rPr>
          <w:rFonts w:ascii="Arial" w:hAnsi="Arial" w:cs="Arial"/>
        </w:rPr>
        <w:t>the</w:t>
      </w:r>
      <w:r w:rsidR="00547364">
        <w:rPr>
          <w:rFonts w:ascii="Arial" w:hAnsi="Arial" w:cs="Arial"/>
        </w:rPr>
        <w:t>ir</w:t>
      </w:r>
      <w:r w:rsidRPr="00E968E1">
        <w:rPr>
          <w:rFonts w:ascii="Arial" w:hAnsi="Arial" w:cs="Arial"/>
        </w:rPr>
        <w:t xml:space="preserve"> median age at </w:t>
      </w:r>
      <w:r w:rsidR="00F915E7">
        <w:rPr>
          <w:rFonts w:ascii="Arial" w:hAnsi="Arial" w:cs="Arial"/>
        </w:rPr>
        <w:t xml:space="preserve">disease </w:t>
      </w:r>
      <w:r w:rsidR="006D503F">
        <w:rPr>
          <w:rFonts w:ascii="Arial" w:hAnsi="Arial" w:cs="Arial"/>
        </w:rPr>
        <w:t>onset</w:t>
      </w:r>
      <w:r w:rsidR="006D503F" w:rsidRPr="00E968E1">
        <w:rPr>
          <w:rFonts w:ascii="Arial" w:hAnsi="Arial" w:cs="Arial"/>
        </w:rPr>
        <w:t xml:space="preserve"> </w:t>
      </w:r>
      <w:r w:rsidRPr="00E968E1">
        <w:rPr>
          <w:rFonts w:ascii="Arial" w:hAnsi="Arial" w:cs="Arial"/>
        </w:rPr>
        <w:t xml:space="preserve">was 34 days. </w:t>
      </w:r>
    </w:p>
    <w:p w14:paraId="23EE6A3E" w14:textId="77777777" w:rsidR="00E968E1" w:rsidRDefault="00E968E1" w:rsidP="00BC402D">
      <w:pPr>
        <w:spacing w:line="480" w:lineRule="auto"/>
        <w:rPr>
          <w:rFonts w:ascii="Arial" w:hAnsi="Arial" w:cs="Arial"/>
        </w:rPr>
      </w:pPr>
    </w:p>
    <w:p w14:paraId="4A509497" w14:textId="70125EC2" w:rsidR="00E94BC5" w:rsidRDefault="003D7E74" w:rsidP="00DE09BE">
      <w:pPr>
        <w:spacing w:line="480" w:lineRule="auto"/>
        <w:rPr>
          <w:rFonts w:ascii="Arial" w:hAnsi="Arial" w:cs="Arial"/>
        </w:rPr>
      </w:pPr>
      <w:r>
        <w:rPr>
          <w:rFonts w:ascii="Arial" w:hAnsi="Arial" w:cs="Arial"/>
        </w:rPr>
        <w:t xml:space="preserve">Among 517 EOD cases, 429 (83%) had available clinical information. </w:t>
      </w:r>
      <w:r w:rsidR="0096368D" w:rsidRPr="000E6468">
        <w:rPr>
          <w:rFonts w:ascii="Arial" w:hAnsi="Arial" w:cs="Arial"/>
        </w:rPr>
        <w:t xml:space="preserve">Of </w:t>
      </w:r>
      <w:r>
        <w:rPr>
          <w:rFonts w:ascii="Arial" w:hAnsi="Arial" w:cs="Arial"/>
        </w:rPr>
        <w:t>these</w:t>
      </w:r>
      <w:r w:rsidR="00F915E7">
        <w:rPr>
          <w:rFonts w:ascii="Arial" w:hAnsi="Arial" w:cs="Arial"/>
        </w:rPr>
        <w:t>,</w:t>
      </w:r>
      <w:r w:rsidR="00706A83">
        <w:rPr>
          <w:rFonts w:ascii="Arial" w:hAnsi="Arial" w:cs="Arial"/>
        </w:rPr>
        <w:t xml:space="preserve"> </w:t>
      </w:r>
      <w:r w:rsidR="00804182">
        <w:rPr>
          <w:rFonts w:ascii="Arial" w:hAnsi="Arial" w:cs="Arial"/>
        </w:rPr>
        <w:t xml:space="preserve">152 </w:t>
      </w:r>
      <w:r w:rsidR="00F548CE">
        <w:rPr>
          <w:rFonts w:ascii="Arial" w:hAnsi="Arial" w:cs="Arial"/>
        </w:rPr>
        <w:t>(</w:t>
      </w:r>
      <w:r w:rsidR="005215E5" w:rsidRPr="005215E5">
        <w:rPr>
          <w:rFonts w:ascii="Arial" w:hAnsi="Arial" w:cs="Arial"/>
        </w:rPr>
        <w:t>3</w:t>
      </w:r>
      <w:r w:rsidR="00194EA1">
        <w:rPr>
          <w:rFonts w:ascii="Arial" w:hAnsi="Arial" w:cs="Arial"/>
        </w:rPr>
        <w:t>5</w:t>
      </w:r>
      <w:r w:rsidR="00BC402D">
        <w:rPr>
          <w:rFonts w:ascii="Arial" w:hAnsi="Arial" w:cs="Arial"/>
        </w:rPr>
        <w:t>·</w:t>
      </w:r>
      <w:r w:rsidR="00194EA1">
        <w:rPr>
          <w:rFonts w:ascii="Arial" w:hAnsi="Arial" w:cs="Arial"/>
        </w:rPr>
        <w:t>4</w:t>
      </w:r>
      <w:r w:rsidR="0096368D" w:rsidRPr="005215E5">
        <w:rPr>
          <w:rFonts w:ascii="Arial" w:hAnsi="Arial" w:cs="Arial"/>
        </w:rPr>
        <w:t>%</w:t>
      </w:r>
      <w:r w:rsidR="00F548CE">
        <w:rPr>
          <w:rFonts w:ascii="Arial" w:hAnsi="Arial" w:cs="Arial"/>
        </w:rPr>
        <w:t>)</w:t>
      </w:r>
      <w:r w:rsidR="0096368D" w:rsidRPr="005215E5">
        <w:rPr>
          <w:rFonts w:ascii="Arial" w:hAnsi="Arial" w:cs="Arial"/>
        </w:rPr>
        <w:t xml:space="preserve"> had </w:t>
      </w:r>
      <w:r w:rsidR="00E464A6">
        <w:rPr>
          <w:rFonts w:ascii="Arial" w:hAnsi="Arial" w:cs="Arial"/>
        </w:rPr>
        <w:t xml:space="preserve">≥1 </w:t>
      </w:r>
      <w:r w:rsidR="0096368D" w:rsidRPr="000E6468">
        <w:rPr>
          <w:rFonts w:ascii="Arial" w:hAnsi="Arial" w:cs="Arial"/>
        </w:rPr>
        <w:t>RCOG</w:t>
      </w:r>
      <w:r w:rsidR="00F548CE">
        <w:rPr>
          <w:rFonts w:ascii="Arial" w:hAnsi="Arial" w:cs="Arial"/>
        </w:rPr>
        <w:t xml:space="preserve"> </w:t>
      </w:r>
      <w:r w:rsidR="0096368D" w:rsidRPr="000E6468">
        <w:rPr>
          <w:rFonts w:ascii="Arial" w:hAnsi="Arial" w:cs="Arial"/>
        </w:rPr>
        <w:t xml:space="preserve">risk factor </w:t>
      </w:r>
      <w:r w:rsidR="00706A83">
        <w:rPr>
          <w:rFonts w:ascii="Arial" w:hAnsi="Arial" w:cs="Arial"/>
        </w:rPr>
        <w:t>reported</w:t>
      </w:r>
      <w:r w:rsidR="00C55267">
        <w:rPr>
          <w:rFonts w:ascii="Arial" w:hAnsi="Arial" w:cs="Arial"/>
        </w:rPr>
        <w:t xml:space="preserve"> (Table </w:t>
      </w:r>
      <w:r w:rsidR="00C10231">
        <w:rPr>
          <w:rFonts w:ascii="Arial" w:hAnsi="Arial" w:cs="Arial"/>
        </w:rPr>
        <w:t>3</w:t>
      </w:r>
      <w:r w:rsidR="00C55267">
        <w:rPr>
          <w:rFonts w:ascii="Arial" w:hAnsi="Arial" w:cs="Arial"/>
        </w:rPr>
        <w:t>)</w:t>
      </w:r>
      <w:r w:rsidR="00186700">
        <w:rPr>
          <w:rFonts w:ascii="Arial" w:hAnsi="Arial" w:cs="Arial"/>
        </w:rPr>
        <w:t xml:space="preserve">; </w:t>
      </w:r>
      <w:r w:rsidR="00E866D3">
        <w:rPr>
          <w:rFonts w:ascii="Arial" w:hAnsi="Arial" w:cs="Arial"/>
        </w:rPr>
        <w:t>44</w:t>
      </w:r>
      <w:r w:rsidR="0096368D" w:rsidRPr="005215E5">
        <w:rPr>
          <w:rFonts w:ascii="Arial" w:hAnsi="Arial" w:cs="Arial"/>
        </w:rPr>
        <w:t xml:space="preserve">% </w:t>
      </w:r>
      <w:r w:rsidR="00F548CE">
        <w:rPr>
          <w:rFonts w:ascii="Arial" w:hAnsi="Arial" w:cs="Arial"/>
        </w:rPr>
        <w:t xml:space="preserve">of those with risk factors </w:t>
      </w:r>
      <w:r w:rsidR="00022232">
        <w:rPr>
          <w:rFonts w:ascii="Arial" w:hAnsi="Arial" w:cs="Arial"/>
        </w:rPr>
        <w:t xml:space="preserve">had </w:t>
      </w:r>
      <w:r w:rsidR="0096368D" w:rsidRPr="005215E5">
        <w:rPr>
          <w:rFonts w:ascii="Arial" w:hAnsi="Arial" w:cs="Arial"/>
        </w:rPr>
        <w:t xml:space="preserve">received </w:t>
      </w:r>
      <w:r w:rsidR="00194979">
        <w:rPr>
          <w:rFonts w:ascii="Arial" w:hAnsi="Arial" w:cs="Arial"/>
        </w:rPr>
        <w:t>IAP</w:t>
      </w:r>
      <w:r w:rsidR="00A277F2">
        <w:rPr>
          <w:rFonts w:ascii="Arial" w:hAnsi="Arial" w:cs="Arial"/>
        </w:rPr>
        <w:t xml:space="preserve"> </w:t>
      </w:r>
      <w:r w:rsidR="00861065">
        <w:rPr>
          <w:rFonts w:ascii="Arial" w:hAnsi="Arial" w:cs="Arial"/>
        </w:rPr>
        <w:t>at a</w:t>
      </w:r>
      <w:r w:rsidR="00CF6BA1">
        <w:rPr>
          <w:rFonts w:ascii="Arial" w:hAnsi="Arial" w:cs="Arial"/>
        </w:rPr>
        <w:t xml:space="preserve"> median time </w:t>
      </w:r>
      <w:r w:rsidR="00861065">
        <w:rPr>
          <w:rFonts w:ascii="Arial" w:hAnsi="Arial" w:cs="Arial"/>
        </w:rPr>
        <w:t xml:space="preserve">of </w:t>
      </w:r>
      <w:r w:rsidR="00CF6BA1">
        <w:rPr>
          <w:rFonts w:ascii="Arial" w:hAnsi="Arial" w:cs="Arial"/>
        </w:rPr>
        <w:t xml:space="preserve">2 hours </w:t>
      </w:r>
      <w:r w:rsidR="00861065">
        <w:rPr>
          <w:rFonts w:ascii="Arial" w:hAnsi="Arial" w:cs="Arial"/>
        </w:rPr>
        <w:t xml:space="preserve">before delivery </w:t>
      </w:r>
      <w:r w:rsidR="00CF6BA1">
        <w:rPr>
          <w:rFonts w:ascii="Arial" w:hAnsi="Arial" w:cs="Arial"/>
        </w:rPr>
        <w:t>(IQR 1-4 hours)</w:t>
      </w:r>
      <w:r w:rsidR="0096368D" w:rsidRPr="000E6468">
        <w:rPr>
          <w:rFonts w:ascii="Arial" w:hAnsi="Arial" w:cs="Arial"/>
        </w:rPr>
        <w:t xml:space="preserve">. </w:t>
      </w:r>
      <w:r w:rsidR="00FB34CC">
        <w:rPr>
          <w:rFonts w:ascii="Arial" w:hAnsi="Arial" w:cs="Arial"/>
        </w:rPr>
        <w:t xml:space="preserve">For risk factors </w:t>
      </w:r>
      <w:r w:rsidR="00022232">
        <w:rPr>
          <w:rFonts w:ascii="Arial" w:hAnsi="Arial" w:cs="Arial"/>
        </w:rPr>
        <w:t>based on</w:t>
      </w:r>
      <w:r w:rsidR="00FB34CC">
        <w:rPr>
          <w:rFonts w:ascii="Arial" w:hAnsi="Arial" w:cs="Arial"/>
        </w:rPr>
        <w:t xml:space="preserve"> NICE and CDC guidelines</w:t>
      </w:r>
      <w:r w:rsidR="00E94BC5">
        <w:rPr>
          <w:rFonts w:ascii="Arial" w:hAnsi="Arial" w:cs="Arial"/>
        </w:rPr>
        <w:t>,</w:t>
      </w:r>
      <w:r w:rsidR="00FB34CC">
        <w:rPr>
          <w:rFonts w:ascii="Arial" w:hAnsi="Arial" w:cs="Arial"/>
        </w:rPr>
        <w:t xml:space="preserve"> the corresponding figures were 4</w:t>
      </w:r>
      <w:r w:rsidR="00194EA1">
        <w:rPr>
          <w:rFonts w:ascii="Arial" w:hAnsi="Arial" w:cs="Arial"/>
        </w:rPr>
        <w:t>1</w:t>
      </w:r>
      <w:r w:rsidR="00BC402D">
        <w:rPr>
          <w:rFonts w:ascii="Arial" w:hAnsi="Arial" w:cs="Arial"/>
        </w:rPr>
        <w:t>·</w:t>
      </w:r>
      <w:r w:rsidR="00194EA1">
        <w:rPr>
          <w:rFonts w:ascii="Arial" w:hAnsi="Arial" w:cs="Arial"/>
        </w:rPr>
        <w:t>3</w:t>
      </w:r>
      <w:r w:rsidR="00FB34CC">
        <w:rPr>
          <w:rFonts w:ascii="Arial" w:hAnsi="Arial" w:cs="Arial"/>
        </w:rPr>
        <w:t>%</w:t>
      </w:r>
      <w:r w:rsidR="00E94BC5">
        <w:rPr>
          <w:rFonts w:ascii="Arial" w:hAnsi="Arial" w:cs="Arial"/>
        </w:rPr>
        <w:t xml:space="preserve"> (n=17</w:t>
      </w:r>
      <w:r w:rsidR="00804182">
        <w:rPr>
          <w:rFonts w:ascii="Arial" w:hAnsi="Arial" w:cs="Arial"/>
        </w:rPr>
        <w:t>7</w:t>
      </w:r>
      <w:r w:rsidR="00FB34CC">
        <w:rPr>
          <w:rFonts w:ascii="Arial" w:hAnsi="Arial" w:cs="Arial"/>
        </w:rPr>
        <w:t xml:space="preserve">) and </w:t>
      </w:r>
      <w:r w:rsidR="00194EA1">
        <w:rPr>
          <w:rFonts w:ascii="Arial" w:hAnsi="Arial" w:cs="Arial"/>
        </w:rPr>
        <w:t>59</w:t>
      </w:r>
      <w:r w:rsidR="00FB34CC">
        <w:rPr>
          <w:rFonts w:ascii="Arial" w:hAnsi="Arial" w:cs="Arial"/>
        </w:rPr>
        <w:t>%</w:t>
      </w:r>
      <w:r w:rsidR="00E94BC5">
        <w:rPr>
          <w:rFonts w:ascii="Arial" w:hAnsi="Arial" w:cs="Arial"/>
        </w:rPr>
        <w:t xml:space="preserve"> (n=25</w:t>
      </w:r>
      <w:r w:rsidR="00A277F2">
        <w:rPr>
          <w:rFonts w:ascii="Arial" w:hAnsi="Arial" w:cs="Arial"/>
        </w:rPr>
        <w:t>3</w:t>
      </w:r>
      <w:r w:rsidR="00FB34CC">
        <w:rPr>
          <w:rFonts w:ascii="Arial" w:hAnsi="Arial" w:cs="Arial"/>
        </w:rPr>
        <w:t>)</w:t>
      </w:r>
      <w:r w:rsidR="00FB4707">
        <w:rPr>
          <w:rFonts w:ascii="Arial" w:hAnsi="Arial" w:cs="Arial"/>
        </w:rPr>
        <w:t xml:space="preserve">. </w:t>
      </w:r>
    </w:p>
    <w:p w14:paraId="5BC7A79C" w14:textId="77777777" w:rsidR="00310881" w:rsidRDefault="00310881" w:rsidP="00DE09BE">
      <w:pPr>
        <w:spacing w:line="480" w:lineRule="auto"/>
        <w:rPr>
          <w:rFonts w:ascii="Arial" w:hAnsi="Arial" w:cs="Arial"/>
        </w:rPr>
      </w:pPr>
    </w:p>
    <w:p w14:paraId="2F844F11" w14:textId="0ACE7C96" w:rsidR="003C001E" w:rsidRPr="00445114" w:rsidRDefault="003C001E" w:rsidP="006C7786">
      <w:pPr>
        <w:spacing w:line="480" w:lineRule="auto"/>
        <w:rPr>
          <w:rFonts w:ascii="Arial" w:hAnsi="Arial" w:cs="Arial"/>
          <w:b/>
        </w:rPr>
      </w:pPr>
      <w:r w:rsidRPr="00445114">
        <w:rPr>
          <w:rFonts w:ascii="Arial" w:hAnsi="Arial" w:cs="Arial"/>
          <w:b/>
        </w:rPr>
        <w:t>Isolates:</w:t>
      </w:r>
    </w:p>
    <w:p w14:paraId="3E50C1ED" w14:textId="52DD945B" w:rsidR="008B28CF" w:rsidRDefault="00455A5A" w:rsidP="00593229">
      <w:pPr>
        <w:widowControl w:val="0"/>
        <w:autoSpaceDE w:val="0"/>
        <w:autoSpaceDN w:val="0"/>
        <w:adjustRightInd w:val="0"/>
        <w:spacing w:line="480" w:lineRule="auto"/>
        <w:rPr>
          <w:rFonts w:ascii="Arial" w:hAnsi="Arial" w:cs="Arial"/>
        </w:rPr>
      </w:pPr>
      <w:r w:rsidRPr="00D341D3">
        <w:rPr>
          <w:rFonts w:ascii="Arial" w:hAnsi="Arial" w:cs="Arial"/>
        </w:rPr>
        <w:t xml:space="preserve">Isolates were received from </w:t>
      </w:r>
      <w:r w:rsidR="0078754F" w:rsidRPr="0078754F">
        <w:rPr>
          <w:rFonts w:ascii="Arial" w:hAnsi="Arial" w:cs="Arial"/>
        </w:rPr>
        <w:t xml:space="preserve">402 </w:t>
      </w:r>
      <w:r w:rsidRPr="0078754F">
        <w:rPr>
          <w:rFonts w:ascii="Arial" w:hAnsi="Arial" w:cs="Arial"/>
        </w:rPr>
        <w:t>(</w:t>
      </w:r>
      <w:r w:rsidR="00737A49" w:rsidRPr="0078754F">
        <w:rPr>
          <w:rFonts w:ascii="Arial" w:hAnsi="Arial" w:cs="Arial"/>
        </w:rPr>
        <w:t>47</w:t>
      </w:r>
      <w:r w:rsidRPr="0078754F">
        <w:rPr>
          <w:rFonts w:ascii="Arial" w:hAnsi="Arial" w:cs="Arial"/>
        </w:rPr>
        <w:t>%)</w:t>
      </w:r>
      <w:r w:rsidRPr="00D341D3">
        <w:rPr>
          <w:rFonts w:ascii="Arial" w:hAnsi="Arial" w:cs="Arial"/>
        </w:rPr>
        <w:t xml:space="preserve"> cases.</w:t>
      </w:r>
      <w:r w:rsidR="00494B75" w:rsidRPr="00D341D3">
        <w:rPr>
          <w:rFonts w:ascii="Arial" w:hAnsi="Arial" w:cs="Arial"/>
        </w:rPr>
        <w:t xml:space="preserve"> The</w:t>
      </w:r>
      <w:r w:rsidR="00C55267">
        <w:rPr>
          <w:rFonts w:ascii="Arial" w:hAnsi="Arial" w:cs="Arial"/>
        </w:rPr>
        <w:t xml:space="preserve"> only</w:t>
      </w:r>
      <w:r w:rsidR="00494B75" w:rsidRPr="00D341D3">
        <w:rPr>
          <w:rFonts w:ascii="Arial" w:hAnsi="Arial" w:cs="Arial"/>
        </w:rPr>
        <w:t xml:space="preserve"> significant difference between cases with and without submitted isolates </w:t>
      </w:r>
      <w:r w:rsidR="00C55267">
        <w:rPr>
          <w:rFonts w:ascii="Arial" w:hAnsi="Arial" w:cs="Arial"/>
        </w:rPr>
        <w:t>was</w:t>
      </w:r>
      <w:r w:rsidR="00544457">
        <w:rPr>
          <w:rFonts w:ascii="Arial" w:hAnsi="Arial" w:cs="Arial"/>
        </w:rPr>
        <w:t xml:space="preserve"> a </w:t>
      </w:r>
      <w:r w:rsidR="00494B75" w:rsidRPr="00D341D3">
        <w:rPr>
          <w:rFonts w:ascii="Arial" w:hAnsi="Arial" w:cs="Arial"/>
        </w:rPr>
        <w:t>higher prevalence of meningitis (</w:t>
      </w:r>
      <w:r w:rsidR="009F6B08" w:rsidRPr="00D341D3">
        <w:rPr>
          <w:rFonts w:ascii="Arial" w:hAnsi="Arial" w:cs="Arial"/>
        </w:rPr>
        <w:t xml:space="preserve">22% </w:t>
      </w:r>
      <w:r w:rsidR="0017500E" w:rsidRPr="00D341D3">
        <w:rPr>
          <w:rFonts w:ascii="Arial" w:hAnsi="Arial" w:cs="Arial"/>
        </w:rPr>
        <w:t>vs. 14</w:t>
      </w:r>
      <w:r w:rsidR="009F6B08" w:rsidRPr="00D341D3">
        <w:rPr>
          <w:rFonts w:ascii="Arial" w:hAnsi="Arial" w:cs="Arial"/>
        </w:rPr>
        <w:t>%)</w:t>
      </w:r>
      <w:r w:rsidRPr="00D341D3">
        <w:rPr>
          <w:rFonts w:ascii="Arial" w:hAnsi="Arial" w:cs="Arial"/>
        </w:rPr>
        <w:t xml:space="preserve">. </w:t>
      </w:r>
      <w:r w:rsidR="0096368D" w:rsidRPr="00D341D3">
        <w:rPr>
          <w:rFonts w:ascii="Arial" w:hAnsi="Arial" w:cs="Arial"/>
        </w:rPr>
        <w:t xml:space="preserve">The </w:t>
      </w:r>
      <w:r w:rsidR="00B04F9C" w:rsidRPr="00D341D3">
        <w:rPr>
          <w:rFonts w:ascii="Arial" w:hAnsi="Arial" w:cs="Arial"/>
        </w:rPr>
        <w:t xml:space="preserve">predominant </w:t>
      </w:r>
      <w:r w:rsidR="0096368D" w:rsidRPr="00D341D3">
        <w:rPr>
          <w:rFonts w:ascii="Arial" w:hAnsi="Arial" w:cs="Arial"/>
        </w:rPr>
        <w:t xml:space="preserve">serotypes were III </w:t>
      </w:r>
      <w:r w:rsidR="003C001E" w:rsidRPr="00D341D3">
        <w:rPr>
          <w:rFonts w:ascii="Arial" w:hAnsi="Arial" w:cs="Arial"/>
        </w:rPr>
        <w:t>(</w:t>
      </w:r>
      <w:r w:rsidR="00B04F9C" w:rsidRPr="00D341D3">
        <w:rPr>
          <w:rFonts w:ascii="Arial" w:hAnsi="Arial" w:cs="Arial"/>
        </w:rPr>
        <w:t xml:space="preserve">n=258, </w:t>
      </w:r>
      <w:r w:rsidR="002F65A0" w:rsidRPr="00D341D3">
        <w:rPr>
          <w:rFonts w:ascii="Arial" w:hAnsi="Arial" w:cs="Arial"/>
        </w:rPr>
        <w:t>60</w:t>
      </w:r>
      <w:r w:rsidR="003C001E" w:rsidRPr="00D341D3">
        <w:rPr>
          <w:rFonts w:ascii="Arial" w:hAnsi="Arial" w:cs="Arial"/>
        </w:rPr>
        <w:t xml:space="preserve">%) </w:t>
      </w:r>
      <w:r w:rsidR="0096368D" w:rsidRPr="00D341D3">
        <w:rPr>
          <w:rFonts w:ascii="Arial" w:hAnsi="Arial" w:cs="Arial"/>
        </w:rPr>
        <w:t>and Ia</w:t>
      </w:r>
      <w:r w:rsidR="003C001E" w:rsidRPr="00D341D3">
        <w:rPr>
          <w:rFonts w:ascii="Arial" w:hAnsi="Arial" w:cs="Arial"/>
        </w:rPr>
        <w:t xml:space="preserve"> (</w:t>
      </w:r>
      <w:r w:rsidR="00B04F9C" w:rsidRPr="00D341D3">
        <w:rPr>
          <w:rFonts w:ascii="Arial" w:hAnsi="Arial" w:cs="Arial"/>
        </w:rPr>
        <w:t xml:space="preserve">n=73, </w:t>
      </w:r>
      <w:r w:rsidR="002F65A0" w:rsidRPr="00D341D3">
        <w:rPr>
          <w:rFonts w:ascii="Arial" w:hAnsi="Arial" w:cs="Arial"/>
        </w:rPr>
        <w:t>17</w:t>
      </w:r>
      <w:r w:rsidR="003C001E" w:rsidRPr="00D341D3">
        <w:rPr>
          <w:rFonts w:ascii="Arial" w:hAnsi="Arial" w:cs="Arial"/>
        </w:rPr>
        <w:t>%)</w:t>
      </w:r>
      <w:r w:rsidR="00494B75" w:rsidRPr="00D341D3">
        <w:rPr>
          <w:rFonts w:ascii="Arial" w:hAnsi="Arial" w:cs="Arial"/>
        </w:rPr>
        <w:t>; five sero</w:t>
      </w:r>
      <w:r w:rsidR="00411F80" w:rsidRPr="00D341D3">
        <w:rPr>
          <w:rFonts w:ascii="Arial" w:hAnsi="Arial" w:cs="Arial"/>
        </w:rPr>
        <w:t>types</w:t>
      </w:r>
      <w:r w:rsidR="003C001E" w:rsidRPr="00D341D3">
        <w:rPr>
          <w:rFonts w:ascii="Arial" w:hAnsi="Arial" w:cs="Arial"/>
        </w:rPr>
        <w:t xml:space="preserve"> </w:t>
      </w:r>
      <w:r w:rsidR="006C3F47" w:rsidRPr="00D341D3">
        <w:rPr>
          <w:rFonts w:ascii="Arial" w:hAnsi="Arial" w:cs="Arial"/>
        </w:rPr>
        <w:t xml:space="preserve">(Ia, Ib, II, III, V) </w:t>
      </w:r>
      <w:r w:rsidR="00B04F9C" w:rsidRPr="00D341D3">
        <w:rPr>
          <w:rFonts w:ascii="Arial" w:hAnsi="Arial" w:cs="Arial"/>
        </w:rPr>
        <w:t>comprised</w:t>
      </w:r>
      <w:r w:rsidR="006C3F47" w:rsidRPr="00D341D3">
        <w:rPr>
          <w:rFonts w:ascii="Arial" w:hAnsi="Arial" w:cs="Arial"/>
        </w:rPr>
        <w:t xml:space="preserve"> 94</w:t>
      </w:r>
      <w:r w:rsidR="003C001E" w:rsidRPr="00D341D3">
        <w:rPr>
          <w:rFonts w:ascii="Arial" w:hAnsi="Arial" w:cs="Arial"/>
        </w:rPr>
        <w:t xml:space="preserve">% of </w:t>
      </w:r>
      <w:r w:rsidR="003D6972" w:rsidRPr="00D341D3">
        <w:rPr>
          <w:rFonts w:ascii="Arial" w:hAnsi="Arial" w:cs="Arial"/>
        </w:rPr>
        <w:t>all isolates</w:t>
      </w:r>
      <w:r w:rsidRPr="00D341D3">
        <w:rPr>
          <w:rFonts w:ascii="Arial" w:hAnsi="Arial" w:cs="Arial"/>
        </w:rPr>
        <w:t xml:space="preserve"> (</w:t>
      </w:r>
      <w:r w:rsidR="005E4940">
        <w:rPr>
          <w:rFonts w:ascii="Arial" w:hAnsi="Arial" w:cs="Arial"/>
        </w:rPr>
        <w:t>Figure 1</w:t>
      </w:r>
      <w:r w:rsidR="00861065">
        <w:rPr>
          <w:rFonts w:ascii="Arial" w:hAnsi="Arial" w:cs="Arial"/>
        </w:rPr>
        <w:t xml:space="preserve">, supplementary Table </w:t>
      </w:r>
      <w:r w:rsidR="00675F52">
        <w:rPr>
          <w:rFonts w:ascii="Arial" w:hAnsi="Arial" w:cs="Arial"/>
        </w:rPr>
        <w:t>3</w:t>
      </w:r>
      <w:r w:rsidRPr="00D341D3">
        <w:rPr>
          <w:rFonts w:ascii="Arial" w:hAnsi="Arial" w:cs="Arial"/>
        </w:rPr>
        <w:t>)</w:t>
      </w:r>
      <w:r w:rsidR="0096368D" w:rsidRPr="00D341D3">
        <w:rPr>
          <w:rFonts w:ascii="Arial" w:hAnsi="Arial" w:cs="Arial"/>
        </w:rPr>
        <w:t xml:space="preserve">. </w:t>
      </w:r>
      <w:r w:rsidR="006C7786" w:rsidRPr="006C7786">
        <w:rPr>
          <w:rFonts w:ascii="Arial" w:hAnsi="Arial" w:cs="Arial"/>
        </w:rPr>
        <w:t xml:space="preserve">The proportion of serotype III and Ia </w:t>
      </w:r>
      <w:r w:rsidR="004727E7" w:rsidRPr="006C7786">
        <w:rPr>
          <w:rFonts w:ascii="Arial" w:hAnsi="Arial" w:cs="Arial"/>
        </w:rPr>
        <w:t xml:space="preserve">isolates </w:t>
      </w:r>
      <w:r w:rsidR="006C7786" w:rsidRPr="006C7786">
        <w:rPr>
          <w:rFonts w:ascii="Arial" w:hAnsi="Arial" w:cs="Arial"/>
        </w:rPr>
        <w:t>differed between EOD and LOD</w:t>
      </w:r>
      <w:r w:rsidR="00097BC2">
        <w:rPr>
          <w:rFonts w:ascii="Arial" w:hAnsi="Arial" w:cs="Arial"/>
        </w:rPr>
        <w:t xml:space="preserve"> cases</w:t>
      </w:r>
      <w:r w:rsidR="006C7786" w:rsidRPr="006C7786">
        <w:rPr>
          <w:rFonts w:ascii="Arial" w:hAnsi="Arial" w:cs="Arial"/>
        </w:rPr>
        <w:t xml:space="preserve">; 50·7% (n=116) of EOD isolates were serotype III and 20·1% (n=46) </w:t>
      </w:r>
      <w:r w:rsidR="00547364">
        <w:rPr>
          <w:rFonts w:ascii="Arial" w:hAnsi="Arial" w:cs="Arial"/>
        </w:rPr>
        <w:t xml:space="preserve">were </w:t>
      </w:r>
      <w:r w:rsidR="006C7786" w:rsidRPr="006C7786">
        <w:rPr>
          <w:rFonts w:ascii="Arial" w:hAnsi="Arial" w:cs="Arial"/>
        </w:rPr>
        <w:t>Ia</w:t>
      </w:r>
      <w:r w:rsidR="00CD7E70">
        <w:rPr>
          <w:rFonts w:ascii="Arial" w:hAnsi="Arial" w:cs="Arial"/>
        </w:rPr>
        <w:t>,</w:t>
      </w:r>
      <w:r w:rsidR="006C7786" w:rsidRPr="006C7786">
        <w:rPr>
          <w:rFonts w:ascii="Arial" w:hAnsi="Arial" w:cs="Arial"/>
        </w:rPr>
        <w:t xml:space="preserve"> compared with 72·3% (n=125) and 13·3% (n=23) of </w:t>
      </w:r>
      <w:r w:rsidR="00C55267">
        <w:rPr>
          <w:rFonts w:ascii="Arial" w:hAnsi="Arial" w:cs="Arial"/>
        </w:rPr>
        <w:t>LOD</w:t>
      </w:r>
      <w:r w:rsidR="006C7786" w:rsidRPr="006C7786">
        <w:rPr>
          <w:rFonts w:ascii="Arial" w:hAnsi="Arial" w:cs="Arial"/>
        </w:rPr>
        <w:t xml:space="preserve"> isolates respectively. </w:t>
      </w:r>
      <w:r w:rsidR="00B04F9C" w:rsidRPr="00D341D3">
        <w:rPr>
          <w:rFonts w:ascii="Arial" w:hAnsi="Arial" w:cs="Arial"/>
        </w:rPr>
        <w:t xml:space="preserve">The proportion of serotype III isolates </w:t>
      </w:r>
      <w:r w:rsidR="00097BC2">
        <w:rPr>
          <w:rFonts w:ascii="Arial" w:hAnsi="Arial" w:cs="Arial"/>
        </w:rPr>
        <w:t xml:space="preserve">also </w:t>
      </w:r>
      <w:r w:rsidR="00B04F9C" w:rsidRPr="00D341D3">
        <w:rPr>
          <w:rFonts w:ascii="Arial" w:hAnsi="Arial" w:cs="Arial"/>
        </w:rPr>
        <w:t xml:space="preserve">differed </w:t>
      </w:r>
      <w:r w:rsidR="00547364">
        <w:rPr>
          <w:rFonts w:ascii="Arial" w:hAnsi="Arial" w:cs="Arial"/>
        </w:rPr>
        <w:t>according to</w:t>
      </w:r>
      <w:r w:rsidR="00B04F9C" w:rsidRPr="00D341D3">
        <w:rPr>
          <w:rFonts w:ascii="Arial" w:hAnsi="Arial" w:cs="Arial"/>
        </w:rPr>
        <w:t xml:space="preserve"> disease presentation</w:t>
      </w:r>
      <w:r w:rsidR="00097BC2">
        <w:rPr>
          <w:rFonts w:ascii="Arial" w:hAnsi="Arial" w:cs="Arial"/>
        </w:rPr>
        <w:t xml:space="preserve"> comprising </w:t>
      </w:r>
      <w:r w:rsidR="00B04F9C" w:rsidRPr="00D341D3">
        <w:rPr>
          <w:rFonts w:ascii="Arial" w:hAnsi="Arial" w:cs="Arial"/>
        </w:rPr>
        <w:t>78% (n=</w:t>
      </w:r>
      <w:r w:rsidR="008B028D">
        <w:rPr>
          <w:rFonts w:ascii="Arial" w:hAnsi="Arial" w:cs="Arial"/>
        </w:rPr>
        <w:t>45</w:t>
      </w:r>
      <w:r w:rsidR="00B04F9C" w:rsidRPr="00D341D3">
        <w:rPr>
          <w:rFonts w:ascii="Arial" w:hAnsi="Arial" w:cs="Arial"/>
        </w:rPr>
        <w:t>) of meningitis isolates, 5</w:t>
      </w:r>
      <w:r w:rsidR="008B028D">
        <w:rPr>
          <w:rFonts w:ascii="Arial" w:hAnsi="Arial" w:cs="Arial"/>
        </w:rPr>
        <w:t>3</w:t>
      </w:r>
      <w:r w:rsidR="00B04F9C" w:rsidRPr="00D341D3">
        <w:rPr>
          <w:rFonts w:ascii="Arial" w:hAnsi="Arial" w:cs="Arial"/>
        </w:rPr>
        <w:t>% (n=</w:t>
      </w:r>
      <w:r w:rsidR="008B028D">
        <w:rPr>
          <w:rFonts w:ascii="Arial" w:hAnsi="Arial" w:cs="Arial"/>
        </w:rPr>
        <w:t>107</w:t>
      </w:r>
      <w:r w:rsidR="00B04F9C" w:rsidRPr="00D341D3">
        <w:rPr>
          <w:rFonts w:ascii="Arial" w:hAnsi="Arial" w:cs="Arial"/>
        </w:rPr>
        <w:t>) of sepsis isolates and 47% (n=</w:t>
      </w:r>
      <w:r w:rsidR="008B028D">
        <w:rPr>
          <w:rFonts w:ascii="Arial" w:hAnsi="Arial" w:cs="Arial"/>
        </w:rPr>
        <w:t>25</w:t>
      </w:r>
      <w:r w:rsidR="00B04F9C" w:rsidRPr="00D341D3">
        <w:rPr>
          <w:rFonts w:ascii="Arial" w:hAnsi="Arial" w:cs="Arial"/>
        </w:rPr>
        <w:t xml:space="preserve">) of </w:t>
      </w:r>
      <w:r w:rsidR="007F1F22">
        <w:rPr>
          <w:rFonts w:ascii="Arial" w:hAnsi="Arial" w:cs="Arial"/>
        </w:rPr>
        <w:t xml:space="preserve">bacteraemic </w:t>
      </w:r>
      <w:r w:rsidR="00B04F9C" w:rsidRPr="00D341D3">
        <w:rPr>
          <w:rFonts w:ascii="Arial" w:hAnsi="Arial" w:cs="Arial"/>
        </w:rPr>
        <w:t xml:space="preserve">pneumonia isolates. </w:t>
      </w:r>
    </w:p>
    <w:p w14:paraId="55C1CCFE" w14:textId="06E207D7" w:rsidR="008B28CF" w:rsidRPr="00D341D3" w:rsidRDefault="008B28CF" w:rsidP="00FE2FBE">
      <w:pPr>
        <w:spacing w:line="480" w:lineRule="auto"/>
        <w:rPr>
          <w:rFonts w:ascii="Arial" w:hAnsi="Arial" w:cs="Arial"/>
        </w:rPr>
      </w:pPr>
    </w:p>
    <w:p w14:paraId="36B104F1" w14:textId="4FB546DA" w:rsidR="00B04F9C" w:rsidRPr="00D341D3" w:rsidRDefault="00D03EB8" w:rsidP="00FE2FBE">
      <w:pPr>
        <w:spacing w:after="200" w:line="480" w:lineRule="auto"/>
        <w:jc w:val="both"/>
        <w:rPr>
          <w:rFonts w:ascii="Arial" w:hAnsi="Arial" w:cs="Arial"/>
        </w:rPr>
      </w:pPr>
      <w:r>
        <w:rPr>
          <w:rFonts w:ascii="Arial" w:hAnsi="Arial" w:cs="Arial"/>
        </w:rPr>
        <w:lastRenderedPageBreak/>
        <w:t>MLST analysis</w:t>
      </w:r>
      <w:r w:rsidR="00B04F9C" w:rsidRPr="00D341D3">
        <w:rPr>
          <w:rFonts w:ascii="Arial" w:hAnsi="Arial" w:cs="Arial"/>
        </w:rPr>
        <w:t xml:space="preserve"> revealed 57 sequence types (ST)</w:t>
      </w:r>
      <w:r w:rsidR="00861065">
        <w:rPr>
          <w:rFonts w:ascii="Arial" w:hAnsi="Arial" w:cs="Arial"/>
        </w:rPr>
        <w:t xml:space="preserve"> (Supplementary Table </w:t>
      </w:r>
      <w:r w:rsidR="00675F52">
        <w:rPr>
          <w:rFonts w:ascii="Arial" w:hAnsi="Arial" w:cs="Arial"/>
        </w:rPr>
        <w:t>4</w:t>
      </w:r>
      <w:r w:rsidR="00861065">
        <w:rPr>
          <w:rFonts w:ascii="Arial" w:hAnsi="Arial" w:cs="Arial"/>
        </w:rPr>
        <w:t>)</w:t>
      </w:r>
      <w:r w:rsidR="00B04F9C" w:rsidRPr="00D341D3">
        <w:rPr>
          <w:rFonts w:ascii="Arial" w:hAnsi="Arial" w:cs="Arial"/>
        </w:rPr>
        <w:t>. Twenty-one of the STs were novel</w:t>
      </w:r>
      <w:r w:rsidR="00097BC2">
        <w:rPr>
          <w:rFonts w:ascii="Arial" w:hAnsi="Arial" w:cs="Arial"/>
        </w:rPr>
        <w:t>,</w:t>
      </w:r>
      <w:r w:rsidR="00B04F9C" w:rsidRPr="00D341D3">
        <w:rPr>
          <w:rFonts w:ascii="Arial" w:hAnsi="Arial" w:cs="Arial"/>
        </w:rPr>
        <w:t xml:space="preserve"> of which seven were single locus variants of ST17</w:t>
      </w:r>
      <w:r w:rsidR="005E4940">
        <w:rPr>
          <w:rFonts w:ascii="Arial" w:hAnsi="Arial" w:cs="Arial"/>
        </w:rPr>
        <w:t xml:space="preserve">. </w:t>
      </w:r>
      <w:r w:rsidR="00B04F9C" w:rsidRPr="00D341D3">
        <w:rPr>
          <w:rFonts w:ascii="Arial" w:hAnsi="Arial" w:cs="Arial"/>
        </w:rPr>
        <w:t>The prevalent STs were ST17 (n=</w:t>
      </w:r>
      <w:r w:rsidR="006B0B28">
        <w:rPr>
          <w:rFonts w:ascii="Arial" w:hAnsi="Arial" w:cs="Arial"/>
        </w:rPr>
        <w:t>185</w:t>
      </w:r>
      <w:r w:rsidR="00B04F9C" w:rsidRPr="00D341D3">
        <w:rPr>
          <w:rFonts w:ascii="Arial" w:hAnsi="Arial" w:cs="Arial"/>
        </w:rPr>
        <w:t>, 4</w:t>
      </w:r>
      <w:r w:rsidR="00DB4140">
        <w:rPr>
          <w:rFonts w:ascii="Arial" w:hAnsi="Arial" w:cs="Arial"/>
        </w:rPr>
        <w:t>3</w:t>
      </w:r>
      <w:r w:rsidR="00B04F9C" w:rsidRPr="00D341D3">
        <w:rPr>
          <w:rFonts w:ascii="Arial" w:hAnsi="Arial" w:cs="Arial"/>
        </w:rPr>
        <w:t>%) and ST23 (n=</w:t>
      </w:r>
      <w:r w:rsidR="006B0B28">
        <w:rPr>
          <w:rFonts w:ascii="Arial" w:hAnsi="Arial" w:cs="Arial"/>
        </w:rPr>
        <w:t>55</w:t>
      </w:r>
      <w:r w:rsidR="00B04F9C" w:rsidRPr="00D341D3">
        <w:rPr>
          <w:rFonts w:ascii="Arial" w:hAnsi="Arial" w:cs="Arial"/>
        </w:rPr>
        <w:t>, 1</w:t>
      </w:r>
      <w:r w:rsidR="00DB4140">
        <w:rPr>
          <w:rFonts w:ascii="Arial" w:hAnsi="Arial" w:cs="Arial"/>
        </w:rPr>
        <w:t>3</w:t>
      </w:r>
      <w:r w:rsidR="00B04F9C" w:rsidRPr="00D341D3">
        <w:rPr>
          <w:rFonts w:ascii="Arial" w:hAnsi="Arial" w:cs="Arial"/>
        </w:rPr>
        <w:t>%). The majority of serotype III (n=197, 76%) and Ia isolates (n=55, 75%) belonged to ST17 and ST23 respectively. The majority of meningitis cases were attributable to serotype III / ST17 isolates (n=5</w:t>
      </w:r>
      <w:r w:rsidR="00DB4140">
        <w:rPr>
          <w:rFonts w:ascii="Arial" w:hAnsi="Arial" w:cs="Arial"/>
        </w:rPr>
        <w:t>6</w:t>
      </w:r>
      <w:r w:rsidR="00B04F9C" w:rsidRPr="00D341D3">
        <w:rPr>
          <w:rFonts w:ascii="Arial" w:hAnsi="Arial" w:cs="Arial"/>
        </w:rPr>
        <w:t>, 6</w:t>
      </w:r>
      <w:r w:rsidR="00DB4140">
        <w:rPr>
          <w:rFonts w:ascii="Arial" w:hAnsi="Arial" w:cs="Arial"/>
        </w:rPr>
        <w:t>2</w:t>
      </w:r>
      <w:r w:rsidR="00B04F9C" w:rsidRPr="00D341D3">
        <w:rPr>
          <w:rFonts w:ascii="Arial" w:hAnsi="Arial" w:cs="Arial"/>
        </w:rPr>
        <w:t xml:space="preserve">%), of these </w:t>
      </w:r>
      <w:r w:rsidR="00875F4E" w:rsidRPr="00D341D3">
        <w:rPr>
          <w:rFonts w:ascii="Arial" w:hAnsi="Arial" w:cs="Arial"/>
        </w:rPr>
        <w:t>32</w:t>
      </w:r>
      <w:r w:rsidR="00FE2FBE">
        <w:rPr>
          <w:rFonts w:ascii="Arial" w:hAnsi="Arial" w:cs="Arial"/>
        </w:rPr>
        <w:t>·</w:t>
      </w:r>
      <w:r w:rsidR="00875F4E" w:rsidRPr="00D341D3">
        <w:rPr>
          <w:rFonts w:ascii="Arial" w:hAnsi="Arial" w:cs="Arial"/>
        </w:rPr>
        <w:t>7</w:t>
      </w:r>
      <w:r w:rsidR="00B04F9C" w:rsidRPr="00D341D3">
        <w:rPr>
          <w:rFonts w:ascii="Arial" w:hAnsi="Arial" w:cs="Arial"/>
        </w:rPr>
        <w:t>% (n=</w:t>
      </w:r>
      <w:r w:rsidR="00875F4E" w:rsidRPr="00D341D3">
        <w:rPr>
          <w:rFonts w:ascii="Arial" w:hAnsi="Arial" w:cs="Arial"/>
        </w:rPr>
        <w:t>18</w:t>
      </w:r>
      <w:r w:rsidR="00B04F9C" w:rsidRPr="00D341D3">
        <w:rPr>
          <w:rFonts w:ascii="Arial" w:hAnsi="Arial" w:cs="Arial"/>
        </w:rPr>
        <w:t>) were attributed to EO</w:t>
      </w:r>
      <w:r w:rsidR="00FE2FBE">
        <w:rPr>
          <w:rFonts w:ascii="Arial" w:hAnsi="Arial" w:cs="Arial"/>
        </w:rPr>
        <w:t>D</w:t>
      </w:r>
      <w:r w:rsidR="00B04F9C" w:rsidRPr="00D341D3">
        <w:rPr>
          <w:rFonts w:ascii="Arial" w:hAnsi="Arial" w:cs="Arial"/>
        </w:rPr>
        <w:t xml:space="preserve"> and </w:t>
      </w:r>
      <w:r w:rsidR="00875F4E" w:rsidRPr="00D341D3">
        <w:rPr>
          <w:rFonts w:ascii="Arial" w:hAnsi="Arial" w:cs="Arial"/>
        </w:rPr>
        <w:t>67</w:t>
      </w:r>
      <w:r w:rsidR="00FE2FBE">
        <w:rPr>
          <w:rFonts w:ascii="Arial" w:hAnsi="Arial" w:cs="Arial"/>
        </w:rPr>
        <w:t>·</w:t>
      </w:r>
      <w:r w:rsidR="00875F4E" w:rsidRPr="00D341D3">
        <w:rPr>
          <w:rFonts w:ascii="Arial" w:hAnsi="Arial" w:cs="Arial"/>
        </w:rPr>
        <w:t>3</w:t>
      </w:r>
      <w:r w:rsidR="00B04F9C" w:rsidRPr="00D341D3">
        <w:rPr>
          <w:rFonts w:ascii="Arial" w:hAnsi="Arial" w:cs="Arial"/>
        </w:rPr>
        <w:t>% (n=</w:t>
      </w:r>
      <w:r w:rsidR="00875F4E" w:rsidRPr="00D341D3">
        <w:rPr>
          <w:rFonts w:ascii="Arial" w:hAnsi="Arial" w:cs="Arial"/>
        </w:rPr>
        <w:t>37</w:t>
      </w:r>
      <w:r w:rsidR="00B04F9C" w:rsidRPr="00D341D3">
        <w:rPr>
          <w:rFonts w:ascii="Arial" w:hAnsi="Arial" w:cs="Arial"/>
        </w:rPr>
        <w:t>) to LO</w:t>
      </w:r>
      <w:r w:rsidR="00FE2FBE">
        <w:rPr>
          <w:rFonts w:ascii="Arial" w:hAnsi="Arial" w:cs="Arial"/>
        </w:rPr>
        <w:t>D</w:t>
      </w:r>
      <w:r w:rsidR="00B04F9C" w:rsidRPr="00D341D3">
        <w:rPr>
          <w:rFonts w:ascii="Arial" w:hAnsi="Arial" w:cs="Arial"/>
        </w:rPr>
        <w:t xml:space="preserve">. </w:t>
      </w:r>
      <w:r w:rsidR="00CD7E70">
        <w:rPr>
          <w:rFonts w:ascii="Arial" w:hAnsi="Arial" w:cs="Arial"/>
        </w:rPr>
        <w:t>A</w:t>
      </w:r>
      <w:r w:rsidR="00B04F9C" w:rsidRPr="00D341D3">
        <w:rPr>
          <w:rFonts w:ascii="Arial" w:hAnsi="Arial" w:cs="Arial"/>
        </w:rPr>
        <w:t xml:space="preserve"> greater diversity of STs were identified amongst isolates from EO</w:t>
      </w:r>
      <w:r w:rsidR="00FE2FBE">
        <w:rPr>
          <w:rFonts w:ascii="Arial" w:hAnsi="Arial" w:cs="Arial"/>
        </w:rPr>
        <w:t>D</w:t>
      </w:r>
      <w:r w:rsidR="00B04F9C" w:rsidRPr="00D341D3">
        <w:rPr>
          <w:rFonts w:ascii="Arial" w:hAnsi="Arial" w:cs="Arial"/>
        </w:rPr>
        <w:t xml:space="preserve"> (48 STs) than LO</w:t>
      </w:r>
      <w:r w:rsidR="00FE2FBE">
        <w:rPr>
          <w:rFonts w:ascii="Arial" w:hAnsi="Arial" w:cs="Arial"/>
        </w:rPr>
        <w:t>D</w:t>
      </w:r>
      <w:r w:rsidR="00B04F9C" w:rsidRPr="00D341D3">
        <w:rPr>
          <w:rFonts w:ascii="Arial" w:hAnsi="Arial" w:cs="Arial"/>
        </w:rPr>
        <w:t xml:space="preserve"> (30 STs)</w:t>
      </w:r>
      <w:r w:rsidR="00CD7E70">
        <w:rPr>
          <w:rFonts w:ascii="Arial" w:hAnsi="Arial" w:cs="Arial"/>
        </w:rPr>
        <w:t xml:space="preserve"> and </w:t>
      </w:r>
      <w:r w:rsidR="00B04F9C" w:rsidRPr="00D341D3">
        <w:rPr>
          <w:rFonts w:ascii="Arial" w:hAnsi="Arial" w:cs="Arial"/>
        </w:rPr>
        <w:t>the majority (≥91%) of ST12 and ST28 isolates were associated with EO</w:t>
      </w:r>
      <w:r w:rsidR="00FE2FBE">
        <w:rPr>
          <w:rFonts w:ascii="Arial" w:hAnsi="Arial" w:cs="Arial"/>
        </w:rPr>
        <w:t>D</w:t>
      </w:r>
      <w:r w:rsidR="00B04F9C" w:rsidRPr="00D341D3">
        <w:rPr>
          <w:rFonts w:ascii="Arial" w:hAnsi="Arial" w:cs="Arial"/>
        </w:rPr>
        <w:t xml:space="preserve"> cases.</w:t>
      </w:r>
    </w:p>
    <w:p w14:paraId="4597C3A2" w14:textId="77777777" w:rsidR="00AA6ECC" w:rsidRPr="00D341D3" w:rsidRDefault="00AA6ECC" w:rsidP="00066580">
      <w:pPr>
        <w:spacing w:line="480" w:lineRule="auto"/>
        <w:rPr>
          <w:rFonts w:ascii="Arial" w:hAnsi="Arial" w:cs="Arial"/>
        </w:rPr>
      </w:pPr>
    </w:p>
    <w:p w14:paraId="42045693" w14:textId="1CB37BB9" w:rsidR="00875F4E" w:rsidRPr="00D341D3" w:rsidRDefault="009047DF" w:rsidP="00066580">
      <w:pPr>
        <w:spacing w:line="480" w:lineRule="auto"/>
        <w:rPr>
          <w:rFonts w:ascii="Arial" w:hAnsi="Arial" w:cs="Arial"/>
        </w:rPr>
      </w:pPr>
      <w:r>
        <w:rPr>
          <w:rFonts w:ascii="Arial" w:hAnsi="Arial" w:cs="Arial"/>
        </w:rPr>
        <w:t>None of the isolates were resistant to penicillin</w:t>
      </w:r>
      <w:r w:rsidR="000241A9">
        <w:rPr>
          <w:rFonts w:ascii="Arial" w:hAnsi="Arial" w:cs="Arial"/>
        </w:rPr>
        <w:t xml:space="preserve"> while</w:t>
      </w:r>
      <w:r>
        <w:rPr>
          <w:rFonts w:ascii="Arial" w:hAnsi="Arial" w:cs="Arial"/>
        </w:rPr>
        <w:t xml:space="preserve"> </w:t>
      </w:r>
      <w:r w:rsidR="000241A9">
        <w:rPr>
          <w:rFonts w:ascii="Arial" w:hAnsi="Arial" w:cs="Arial"/>
        </w:rPr>
        <w:t>r</w:t>
      </w:r>
      <w:r w:rsidR="0096368D" w:rsidRPr="00D341D3">
        <w:rPr>
          <w:rFonts w:ascii="Arial" w:hAnsi="Arial" w:cs="Arial"/>
        </w:rPr>
        <w:t xml:space="preserve">esistance to clindamycin and erythromycin was </w:t>
      </w:r>
      <w:r w:rsidR="00494B75" w:rsidRPr="00D341D3">
        <w:rPr>
          <w:rFonts w:ascii="Arial" w:hAnsi="Arial" w:cs="Arial"/>
        </w:rPr>
        <w:t xml:space="preserve">identified </w:t>
      </w:r>
      <w:r w:rsidR="0096368D" w:rsidRPr="00D341D3">
        <w:rPr>
          <w:rFonts w:ascii="Arial" w:hAnsi="Arial" w:cs="Arial"/>
        </w:rPr>
        <w:t xml:space="preserve">in </w:t>
      </w:r>
      <w:r w:rsidR="00875F4E" w:rsidRPr="00D341D3">
        <w:rPr>
          <w:rFonts w:ascii="Arial" w:hAnsi="Arial" w:cs="Arial"/>
        </w:rPr>
        <w:t>17</w:t>
      </w:r>
      <w:r w:rsidR="0096368D" w:rsidRPr="00D341D3">
        <w:rPr>
          <w:rFonts w:ascii="Arial" w:hAnsi="Arial" w:cs="Arial"/>
        </w:rPr>
        <w:t>%</w:t>
      </w:r>
      <w:r w:rsidR="00875F4E" w:rsidRPr="00D341D3">
        <w:rPr>
          <w:rFonts w:ascii="Arial" w:hAnsi="Arial" w:cs="Arial"/>
        </w:rPr>
        <w:t xml:space="preserve"> (n=72)</w:t>
      </w:r>
      <w:r w:rsidR="0096368D" w:rsidRPr="00D341D3">
        <w:rPr>
          <w:rFonts w:ascii="Arial" w:hAnsi="Arial" w:cs="Arial"/>
        </w:rPr>
        <w:t xml:space="preserve"> and </w:t>
      </w:r>
      <w:r w:rsidR="00F27F96" w:rsidRPr="00D341D3">
        <w:rPr>
          <w:rFonts w:ascii="Arial" w:hAnsi="Arial" w:cs="Arial"/>
        </w:rPr>
        <w:t>2</w:t>
      </w:r>
      <w:r w:rsidR="00875F4E" w:rsidRPr="00D341D3">
        <w:rPr>
          <w:rFonts w:ascii="Arial" w:hAnsi="Arial" w:cs="Arial"/>
        </w:rPr>
        <w:t>4</w:t>
      </w:r>
      <w:r w:rsidR="0096368D" w:rsidRPr="00D341D3">
        <w:rPr>
          <w:rFonts w:ascii="Arial" w:hAnsi="Arial" w:cs="Arial"/>
        </w:rPr>
        <w:t>%</w:t>
      </w:r>
      <w:r w:rsidR="00875F4E" w:rsidRPr="00D341D3">
        <w:rPr>
          <w:rFonts w:ascii="Arial" w:hAnsi="Arial" w:cs="Arial"/>
        </w:rPr>
        <w:t xml:space="preserve"> (n=101) of isolates </w:t>
      </w:r>
      <w:r w:rsidR="003D6972" w:rsidRPr="00D341D3">
        <w:rPr>
          <w:rFonts w:ascii="Arial" w:hAnsi="Arial" w:cs="Arial"/>
        </w:rPr>
        <w:t>respectively</w:t>
      </w:r>
      <w:r w:rsidR="00875F4E" w:rsidRPr="00D341D3">
        <w:rPr>
          <w:rFonts w:ascii="Arial" w:hAnsi="Arial" w:cs="Arial"/>
        </w:rPr>
        <w:t xml:space="preserve">. </w:t>
      </w:r>
      <w:r w:rsidR="00E76BCD">
        <w:rPr>
          <w:rFonts w:ascii="Arial" w:hAnsi="Arial" w:cs="Arial"/>
        </w:rPr>
        <w:t>Of the 31</w:t>
      </w:r>
      <w:r w:rsidR="00A25B45">
        <w:rPr>
          <w:rFonts w:ascii="Arial" w:hAnsi="Arial" w:cs="Arial"/>
        </w:rPr>
        <w:t xml:space="preserve"> isolates which were resistant to erythromycin but sensitive to clindamycin </w:t>
      </w:r>
      <w:r w:rsidR="00CF568A">
        <w:rPr>
          <w:rFonts w:ascii="Arial" w:hAnsi="Arial" w:cs="Arial"/>
        </w:rPr>
        <w:t xml:space="preserve">15 </w:t>
      </w:r>
      <w:r w:rsidR="00A25B45">
        <w:rPr>
          <w:rFonts w:ascii="Arial" w:hAnsi="Arial" w:cs="Arial"/>
        </w:rPr>
        <w:t>(</w:t>
      </w:r>
      <w:r w:rsidR="00E76BCD">
        <w:rPr>
          <w:rFonts w:ascii="Arial" w:hAnsi="Arial" w:cs="Arial"/>
        </w:rPr>
        <w:t>48·4</w:t>
      </w:r>
      <w:r w:rsidR="00A25B45">
        <w:rPr>
          <w:rFonts w:ascii="Arial" w:hAnsi="Arial" w:cs="Arial"/>
        </w:rPr>
        <w:t xml:space="preserve">%) </w:t>
      </w:r>
      <w:r w:rsidR="00CF568A">
        <w:rPr>
          <w:rFonts w:ascii="Arial" w:hAnsi="Arial" w:cs="Arial"/>
        </w:rPr>
        <w:t xml:space="preserve">showed inducible clindamycin resistance. </w:t>
      </w:r>
      <w:r w:rsidR="00875F4E" w:rsidRPr="00D341D3">
        <w:rPr>
          <w:rFonts w:ascii="Arial" w:hAnsi="Arial" w:cs="Arial"/>
        </w:rPr>
        <w:t xml:space="preserve">A large proportion of serotype II (n=6, 33%) and V (n=12, 43%) isolates were resistant to erythromycin and clindamycin. </w:t>
      </w:r>
      <w:r w:rsidR="00242F02">
        <w:rPr>
          <w:rFonts w:ascii="Arial" w:hAnsi="Arial" w:cs="Arial"/>
        </w:rPr>
        <w:t>Sixteen percent (</w:t>
      </w:r>
      <w:r w:rsidR="00875F4E" w:rsidRPr="00D341D3">
        <w:rPr>
          <w:rFonts w:ascii="Arial" w:hAnsi="Arial" w:cs="Arial"/>
        </w:rPr>
        <w:t xml:space="preserve">n=70) of isolates were resistant to both clindamycin and erythromycin. </w:t>
      </w:r>
      <w:r w:rsidR="005540AF">
        <w:rPr>
          <w:rFonts w:ascii="Arial" w:hAnsi="Arial" w:cs="Arial"/>
        </w:rPr>
        <w:t xml:space="preserve">Only 6% (n=28) of isolates were susceptible to tetracycline; 91% (n=389) were </w:t>
      </w:r>
      <w:r w:rsidR="009B2FDC">
        <w:rPr>
          <w:rFonts w:ascii="Arial" w:hAnsi="Arial" w:cs="Arial"/>
        </w:rPr>
        <w:t xml:space="preserve">fully </w:t>
      </w:r>
      <w:r w:rsidR="005540AF">
        <w:rPr>
          <w:rFonts w:ascii="Arial" w:hAnsi="Arial" w:cs="Arial"/>
        </w:rPr>
        <w:t>resistant</w:t>
      </w:r>
      <w:r w:rsidR="00864A3E">
        <w:rPr>
          <w:rFonts w:ascii="Arial" w:hAnsi="Arial" w:cs="Arial"/>
        </w:rPr>
        <w:t xml:space="preserve"> while </w:t>
      </w:r>
      <w:r w:rsidR="005540AF">
        <w:rPr>
          <w:rFonts w:ascii="Arial" w:hAnsi="Arial" w:cs="Arial"/>
        </w:rPr>
        <w:t>3% (n=12) had intermediate resistance.</w:t>
      </w:r>
      <w:r w:rsidR="00CF568A">
        <w:rPr>
          <w:rFonts w:ascii="Arial" w:hAnsi="Arial" w:cs="Arial"/>
        </w:rPr>
        <w:t xml:space="preserve"> </w:t>
      </w:r>
    </w:p>
    <w:p w14:paraId="0A7E93E0" w14:textId="77777777" w:rsidR="002B1DFD" w:rsidRPr="000E6468" w:rsidRDefault="002B1DFD" w:rsidP="00CA7E01">
      <w:pPr>
        <w:spacing w:line="480" w:lineRule="auto"/>
        <w:rPr>
          <w:rFonts w:ascii="Arial" w:hAnsi="Arial" w:cs="Arial"/>
        </w:rPr>
      </w:pPr>
    </w:p>
    <w:p w14:paraId="12840255" w14:textId="77777777" w:rsidR="001D1472" w:rsidRPr="008B1922" w:rsidRDefault="001D1472" w:rsidP="00801EC9">
      <w:pPr>
        <w:spacing w:line="480" w:lineRule="auto"/>
        <w:rPr>
          <w:rFonts w:ascii="Arial" w:hAnsi="Arial" w:cs="Arial"/>
          <w:b/>
        </w:rPr>
      </w:pPr>
      <w:r w:rsidRPr="008B1922">
        <w:rPr>
          <w:rFonts w:ascii="Arial" w:hAnsi="Arial" w:cs="Arial"/>
          <w:b/>
        </w:rPr>
        <w:t>Outcomes:</w:t>
      </w:r>
    </w:p>
    <w:p w14:paraId="04B8D27D" w14:textId="25F71422" w:rsidR="00640F84" w:rsidRDefault="001D1472" w:rsidP="00640F84">
      <w:pPr>
        <w:spacing w:line="480" w:lineRule="auto"/>
        <w:rPr>
          <w:rFonts w:ascii="Arial" w:hAnsi="Arial" w:cs="Arial"/>
        </w:rPr>
      </w:pPr>
      <w:r w:rsidRPr="000E6468">
        <w:rPr>
          <w:rFonts w:ascii="Arial" w:hAnsi="Arial" w:cs="Arial"/>
        </w:rPr>
        <w:t>There were 5</w:t>
      </w:r>
      <w:r w:rsidR="00A217ED">
        <w:rPr>
          <w:rFonts w:ascii="Arial" w:hAnsi="Arial" w:cs="Arial"/>
        </w:rPr>
        <w:t>3</w:t>
      </w:r>
      <w:r w:rsidRPr="000E6468">
        <w:rPr>
          <w:rFonts w:ascii="Arial" w:hAnsi="Arial" w:cs="Arial"/>
        </w:rPr>
        <w:t xml:space="preserve"> deaths</w:t>
      </w:r>
      <w:r w:rsidR="003C68D6">
        <w:rPr>
          <w:rFonts w:ascii="Arial" w:hAnsi="Arial" w:cs="Arial"/>
        </w:rPr>
        <w:t xml:space="preserve"> (</w:t>
      </w:r>
      <w:r w:rsidR="002C4B43">
        <w:rPr>
          <w:rFonts w:ascii="Arial" w:hAnsi="Arial" w:cs="Arial"/>
        </w:rPr>
        <w:t>CFR</w:t>
      </w:r>
      <w:r w:rsidR="0011600C">
        <w:rPr>
          <w:rFonts w:ascii="Arial" w:hAnsi="Arial" w:cs="Arial"/>
        </w:rPr>
        <w:t>,</w:t>
      </w:r>
      <w:r w:rsidR="003C68D6">
        <w:rPr>
          <w:rFonts w:ascii="Arial" w:hAnsi="Arial" w:cs="Arial"/>
        </w:rPr>
        <w:t xml:space="preserve"> 6</w:t>
      </w:r>
      <w:r w:rsidR="00801EC9">
        <w:rPr>
          <w:rFonts w:ascii="Arial" w:hAnsi="Arial" w:cs="Arial"/>
        </w:rPr>
        <w:t>·</w:t>
      </w:r>
      <w:r w:rsidR="00A217ED">
        <w:rPr>
          <w:rFonts w:ascii="Arial" w:hAnsi="Arial" w:cs="Arial"/>
        </w:rPr>
        <w:t>2</w:t>
      </w:r>
      <w:r w:rsidR="003C68D6">
        <w:rPr>
          <w:rFonts w:ascii="Arial" w:hAnsi="Arial" w:cs="Arial"/>
        </w:rPr>
        <w:t>%)</w:t>
      </w:r>
      <w:r w:rsidRPr="000E6468">
        <w:rPr>
          <w:rFonts w:ascii="Arial" w:hAnsi="Arial" w:cs="Arial"/>
        </w:rPr>
        <w:t xml:space="preserve">, </w:t>
      </w:r>
      <w:r>
        <w:rPr>
          <w:rFonts w:ascii="Arial" w:hAnsi="Arial" w:cs="Arial"/>
        </w:rPr>
        <w:t>4</w:t>
      </w:r>
      <w:r w:rsidR="009E0DDF">
        <w:rPr>
          <w:rFonts w:ascii="Arial" w:hAnsi="Arial" w:cs="Arial"/>
        </w:rPr>
        <w:t>1</w:t>
      </w:r>
      <w:r w:rsidRPr="000E6468">
        <w:rPr>
          <w:rFonts w:ascii="Arial" w:hAnsi="Arial" w:cs="Arial"/>
        </w:rPr>
        <w:t xml:space="preserve"> </w:t>
      </w:r>
      <w:r w:rsidR="00691542">
        <w:rPr>
          <w:rFonts w:ascii="Arial" w:hAnsi="Arial" w:cs="Arial"/>
        </w:rPr>
        <w:t xml:space="preserve">died </w:t>
      </w:r>
      <w:r w:rsidRPr="000E6468">
        <w:rPr>
          <w:rFonts w:ascii="Arial" w:hAnsi="Arial" w:cs="Arial"/>
        </w:rPr>
        <w:t xml:space="preserve">within seven days of </w:t>
      </w:r>
      <w:r w:rsidR="00691542">
        <w:rPr>
          <w:rFonts w:ascii="Arial" w:hAnsi="Arial" w:cs="Arial"/>
        </w:rPr>
        <w:t xml:space="preserve">disease onset </w:t>
      </w:r>
      <w:r w:rsidR="0057786B">
        <w:rPr>
          <w:rFonts w:ascii="Arial" w:hAnsi="Arial" w:cs="Arial"/>
        </w:rPr>
        <w:t>(7</w:t>
      </w:r>
      <w:r w:rsidR="00691542">
        <w:rPr>
          <w:rFonts w:ascii="Arial" w:hAnsi="Arial" w:cs="Arial"/>
        </w:rPr>
        <w:t>-</w:t>
      </w:r>
      <w:r w:rsidR="0057786B">
        <w:rPr>
          <w:rFonts w:ascii="Arial" w:hAnsi="Arial" w:cs="Arial"/>
        </w:rPr>
        <w:t>day CFR</w:t>
      </w:r>
      <w:r w:rsidR="00691542">
        <w:rPr>
          <w:rFonts w:ascii="Arial" w:hAnsi="Arial" w:cs="Arial"/>
        </w:rPr>
        <w:t>;</w:t>
      </w:r>
      <w:r w:rsidR="0057786B">
        <w:rPr>
          <w:rFonts w:ascii="Arial" w:hAnsi="Arial" w:cs="Arial"/>
        </w:rPr>
        <w:t xml:space="preserve"> </w:t>
      </w:r>
      <w:r w:rsidR="006C35A0">
        <w:rPr>
          <w:rFonts w:ascii="Arial" w:hAnsi="Arial" w:cs="Arial"/>
        </w:rPr>
        <w:t>4</w:t>
      </w:r>
      <w:r w:rsidR="00801EC9">
        <w:rPr>
          <w:rFonts w:ascii="Arial" w:hAnsi="Arial" w:cs="Arial"/>
        </w:rPr>
        <w:t>·</w:t>
      </w:r>
      <w:r w:rsidR="009E0DDF">
        <w:rPr>
          <w:rFonts w:ascii="Arial" w:hAnsi="Arial" w:cs="Arial"/>
        </w:rPr>
        <w:t>9</w:t>
      </w:r>
      <w:r w:rsidR="0057786B">
        <w:rPr>
          <w:rFonts w:ascii="Arial" w:hAnsi="Arial" w:cs="Arial"/>
        </w:rPr>
        <w:t>%</w:t>
      </w:r>
      <w:r w:rsidR="00000C25">
        <w:rPr>
          <w:rFonts w:ascii="Arial" w:hAnsi="Arial" w:cs="Arial"/>
        </w:rPr>
        <w:t>)</w:t>
      </w:r>
      <w:r w:rsidR="00000C25" w:rsidRPr="000E6468">
        <w:rPr>
          <w:rFonts w:ascii="Arial" w:hAnsi="Arial" w:cs="Arial"/>
        </w:rPr>
        <w:t>.</w:t>
      </w:r>
      <w:r w:rsidR="00000C25">
        <w:rPr>
          <w:rFonts w:ascii="Arial" w:hAnsi="Arial" w:cs="Arial"/>
        </w:rPr>
        <w:t xml:space="preserve"> </w:t>
      </w:r>
      <w:r w:rsidRPr="000E6468">
        <w:rPr>
          <w:rFonts w:ascii="Arial" w:hAnsi="Arial" w:cs="Arial"/>
        </w:rPr>
        <w:t>2</w:t>
      </w:r>
      <w:r w:rsidR="009E0DDF">
        <w:rPr>
          <w:rFonts w:ascii="Arial" w:hAnsi="Arial" w:cs="Arial"/>
        </w:rPr>
        <w:t>1</w:t>
      </w:r>
      <w:r w:rsidRPr="000E6468">
        <w:rPr>
          <w:rFonts w:ascii="Arial" w:hAnsi="Arial" w:cs="Arial"/>
        </w:rPr>
        <w:t>% of the deaths were in infants with meningitis</w:t>
      </w:r>
      <w:r w:rsidR="00706A83">
        <w:rPr>
          <w:rFonts w:ascii="Arial" w:hAnsi="Arial" w:cs="Arial"/>
        </w:rPr>
        <w:t xml:space="preserve">; </w:t>
      </w:r>
      <w:r w:rsidR="003C68D6" w:rsidRPr="00691542">
        <w:rPr>
          <w:rFonts w:ascii="Arial" w:hAnsi="Arial" w:cs="Arial"/>
        </w:rPr>
        <w:t>3</w:t>
      </w:r>
      <w:r w:rsidR="00691542">
        <w:rPr>
          <w:rFonts w:ascii="Arial" w:hAnsi="Arial" w:cs="Arial"/>
        </w:rPr>
        <w:t>/</w:t>
      </w:r>
      <w:r w:rsidR="003C68D6" w:rsidRPr="003C68D6">
        <w:rPr>
          <w:rFonts w:ascii="Arial" w:hAnsi="Arial" w:cs="Arial"/>
        </w:rPr>
        <w:t>5</w:t>
      </w:r>
      <w:r w:rsidR="006C35A0">
        <w:rPr>
          <w:rFonts w:ascii="Arial" w:hAnsi="Arial" w:cs="Arial"/>
        </w:rPr>
        <w:t>7</w:t>
      </w:r>
      <w:r w:rsidR="003C68D6" w:rsidRPr="003C68D6">
        <w:rPr>
          <w:rFonts w:ascii="Arial" w:hAnsi="Arial" w:cs="Arial"/>
        </w:rPr>
        <w:t xml:space="preserve"> </w:t>
      </w:r>
      <w:r w:rsidR="00691542">
        <w:rPr>
          <w:rFonts w:ascii="Arial" w:hAnsi="Arial" w:cs="Arial"/>
        </w:rPr>
        <w:t>[5</w:t>
      </w:r>
      <w:r w:rsidR="00801EC9">
        <w:rPr>
          <w:rFonts w:ascii="Arial" w:hAnsi="Arial" w:cs="Arial"/>
        </w:rPr>
        <w:t>·</w:t>
      </w:r>
      <w:r w:rsidR="00691542">
        <w:rPr>
          <w:rFonts w:ascii="Arial" w:hAnsi="Arial" w:cs="Arial"/>
        </w:rPr>
        <w:t>3</w:t>
      </w:r>
      <w:r w:rsidR="00691542" w:rsidRPr="003C68D6">
        <w:rPr>
          <w:rFonts w:ascii="Arial" w:hAnsi="Arial" w:cs="Arial"/>
        </w:rPr>
        <w:t>%</w:t>
      </w:r>
      <w:r w:rsidR="00691542">
        <w:rPr>
          <w:rFonts w:ascii="Arial" w:hAnsi="Arial" w:cs="Arial"/>
        </w:rPr>
        <w:t xml:space="preserve">] </w:t>
      </w:r>
      <w:r w:rsidR="003C68D6" w:rsidRPr="003C68D6">
        <w:rPr>
          <w:rFonts w:ascii="Arial" w:hAnsi="Arial" w:cs="Arial"/>
        </w:rPr>
        <w:t xml:space="preserve">with </w:t>
      </w:r>
      <w:r w:rsidR="003C68D6">
        <w:rPr>
          <w:rFonts w:ascii="Arial" w:hAnsi="Arial" w:cs="Arial"/>
        </w:rPr>
        <w:t>EO</w:t>
      </w:r>
      <w:r w:rsidR="00801EC9">
        <w:rPr>
          <w:rFonts w:ascii="Arial" w:hAnsi="Arial" w:cs="Arial"/>
        </w:rPr>
        <w:t>D</w:t>
      </w:r>
      <w:r w:rsidR="003C68D6" w:rsidRPr="003C68D6">
        <w:rPr>
          <w:rFonts w:ascii="Arial" w:hAnsi="Arial" w:cs="Arial"/>
        </w:rPr>
        <w:t xml:space="preserve"> </w:t>
      </w:r>
      <w:r w:rsidR="00875F4E" w:rsidRPr="003C68D6">
        <w:rPr>
          <w:rFonts w:ascii="Arial" w:hAnsi="Arial" w:cs="Arial"/>
        </w:rPr>
        <w:t>meningitis and</w:t>
      </w:r>
      <w:r w:rsidR="003C68D6" w:rsidRPr="003C68D6">
        <w:rPr>
          <w:rFonts w:ascii="Arial" w:hAnsi="Arial" w:cs="Arial"/>
        </w:rPr>
        <w:t xml:space="preserve"> </w:t>
      </w:r>
      <w:r w:rsidR="003C68D6">
        <w:rPr>
          <w:rFonts w:ascii="Arial" w:hAnsi="Arial" w:cs="Arial"/>
        </w:rPr>
        <w:t>8</w:t>
      </w:r>
      <w:r w:rsidR="00691542">
        <w:rPr>
          <w:rFonts w:ascii="Arial" w:hAnsi="Arial" w:cs="Arial"/>
        </w:rPr>
        <w:t>/</w:t>
      </w:r>
      <w:r w:rsidR="009E0DDF">
        <w:rPr>
          <w:rFonts w:ascii="Arial" w:hAnsi="Arial" w:cs="Arial"/>
        </w:rPr>
        <w:t>98</w:t>
      </w:r>
      <w:r w:rsidR="009E0DDF" w:rsidRPr="003C68D6">
        <w:rPr>
          <w:rFonts w:ascii="Arial" w:hAnsi="Arial" w:cs="Arial"/>
        </w:rPr>
        <w:t xml:space="preserve"> </w:t>
      </w:r>
      <w:r w:rsidR="00691542">
        <w:rPr>
          <w:rFonts w:ascii="Arial" w:hAnsi="Arial" w:cs="Arial"/>
        </w:rPr>
        <w:t>[8</w:t>
      </w:r>
      <w:r w:rsidR="00801EC9">
        <w:rPr>
          <w:rFonts w:ascii="Arial" w:hAnsi="Arial" w:cs="Arial"/>
        </w:rPr>
        <w:t>·</w:t>
      </w:r>
      <w:r w:rsidR="009E0DDF">
        <w:rPr>
          <w:rFonts w:ascii="Arial" w:hAnsi="Arial" w:cs="Arial"/>
        </w:rPr>
        <w:t>2</w:t>
      </w:r>
      <w:r w:rsidR="00691542">
        <w:rPr>
          <w:rFonts w:ascii="Arial" w:hAnsi="Arial" w:cs="Arial"/>
        </w:rPr>
        <w:t>%]</w:t>
      </w:r>
      <w:r w:rsidR="003C68D6" w:rsidRPr="003C68D6">
        <w:rPr>
          <w:rFonts w:ascii="Arial" w:hAnsi="Arial" w:cs="Arial"/>
        </w:rPr>
        <w:t xml:space="preserve"> with </w:t>
      </w:r>
      <w:r w:rsidR="003C68D6">
        <w:rPr>
          <w:rFonts w:ascii="Arial" w:hAnsi="Arial" w:cs="Arial"/>
        </w:rPr>
        <w:t>LO</w:t>
      </w:r>
      <w:r w:rsidR="00801EC9">
        <w:rPr>
          <w:rFonts w:ascii="Arial" w:hAnsi="Arial" w:cs="Arial"/>
        </w:rPr>
        <w:t>D</w:t>
      </w:r>
      <w:r w:rsidR="003C68D6">
        <w:rPr>
          <w:rFonts w:ascii="Arial" w:hAnsi="Arial" w:cs="Arial"/>
        </w:rPr>
        <w:t xml:space="preserve"> meningitis</w:t>
      </w:r>
      <w:r w:rsidRPr="000E6468">
        <w:rPr>
          <w:rFonts w:ascii="Arial" w:hAnsi="Arial" w:cs="Arial"/>
        </w:rPr>
        <w:t xml:space="preserve">. </w:t>
      </w:r>
      <w:r w:rsidR="00017D3B" w:rsidRPr="000E6468">
        <w:rPr>
          <w:rFonts w:ascii="Arial" w:hAnsi="Arial" w:cs="Arial"/>
        </w:rPr>
        <w:t>Half</w:t>
      </w:r>
      <w:r w:rsidR="00017D3B">
        <w:rPr>
          <w:rFonts w:ascii="Arial" w:hAnsi="Arial" w:cs="Arial"/>
        </w:rPr>
        <w:t xml:space="preserve"> </w:t>
      </w:r>
      <w:r w:rsidR="00017D3B" w:rsidRPr="000E6468">
        <w:rPr>
          <w:rFonts w:ascii="Arial" w:hAnsi="Arial" w:cs="Arial"/>
        </w:rPr>
        <w:lastRenderedPageBreak/>
        <w:t xml:space="preserve">the deaths were in </w:t>
      </w:r>
      <w:r w:rsidR="00017D3B">
        <w:rPr>
          <w:rFonts w:ascii="Arial" w:hAnsi="Arial" w:cs="Arial"/>
        </w:rPr>
        <w:t xml:space="preserve">premature infants. The highest CFR was </w:t>
      </w:r>
      <w:r w:rsidR="00E10588">
        <w:rPr>
          <w:rFonts w:ascii="Arial" w:hAnsi="Arial" w:cs="Arial"/>
        </w:rPr>
        <w:t>in very preterm infants (</w:t>
      </w:r>
      <w:r w:rsidR="00412FDD">
        <w:rPr>
          <w:rFonts w:ascii="Arial" w:eastAsia="MS Mincho" w:hAnsi="Arial" w:cs="Arial"/>
          <w:b/>
        </w:rPr>
        <w:t>≤</w:t>
      </w:r>
      <w:r w:rsidR="00E10588">
        <w:rPr>
          <w:rFonts w:ascii="Arial" w:hAnsi="Arial" w:cs="Arial"/>
        </w:rPr>
        <w:t>33 weeks gestation) with EOD (</w:t>
      </w:r>
      <w:r w:rsidR="00547ABE">
        <w:rPr>
          <w:rFonts w:ascii="Arial" w:hAnsi="Arial" w:cs="Arial"/>
        </w:rPr>
        <w:t>12</w:t>
      </w:r>
      <w:r w:rsidR="009B2FDC">
        <w:rPr>
          <w:rFonts w:ascii="Arial" w:hAnsi="Arial" w:cs="Arial"/>
        </w:rPr>
        <w:t>/</w:t>
      </w:r>
      <w:r w:rsidR="00547ABE">
        <w:rPr>
          <w:rFonts w:ascii="Arial" w:hAnsi="Arial" w:cs="Arial"/>
        </w:rPr>
        <w:t xml:space="preserve">45 </w:t>
      </w:r>
      <w:r w:rsidR="009B2FDC">
        <w:rPr>
          <w:rFonts w:ascii="Arial" w:hAnsi="Arial" w:cs="Arial"/>
        </w:rPr>
        <w:t xml:space="preserve">cases, </w:t>
      </w:r>
      <w:r w:rsidR="00E10588">
        <w:rPr>
          <w:rFonts w:ascii="Arial" w:hAnsi="Arial" w:cs="Arial"/>
        </w:rPr>
        <w:t xml:space="preserve">27%), 10-fold </w:t>
      </w:r>
      <w:r w:rsidR="00A13492">
        <w:rPr>
          <w:rFonts w:ascii="Arial" w:hAnsi="Arial" w:cs="Arial"/>
        </w:rPr>
        <w:t xml:space="preserve">higher than </w:t>
      </w:r>
      <w:r w:rsidR="00E10588">
        <w:rPr>
          <w:rFonts w:ascii="Arial" w:hAnsi="Arial" w:cs="Arial"/>
        </w:rPr>
        <w:t>that of infants born at term (</w:t>
      </w:r>
      <w:r w:rsidR="00547ABE">
        <w:rPr>
          <w:rFonts w:ascii="Arial" w:hAnsi="Arial" w:cs="Arial"/>
        </w:rPr>
        <w:t>9</w:t>
      </w:r>
      <w:r w:rsidR="009B2FDC">
        <w:rPr>
          <w:rFonts w:ascii="Arial" w:hAnsi="Arial" w:cs="Arial"/>
        </w:rPr>
        <w:t>/</w:t>
      </w:r>
      <w:r w:rsidR="00547ABE">
        <w:rPr>
          <w:rFonts w:ascii="Arial" w:hAnsi="Arial" w:cs="Arial"/>
        </w:rPr>
        <w:t>330</w:t>
      </w:r>
      <w:r w:rsidR="009B2FDC">
        <w:rPr>
          <w:rFonts w:ascii="Arial" w:hAnsi="Arial" w:cs="Arial"/>
        </w:rPr>
        <w:t xml:space="preserve"> cases, </w:t>
      </w:r>
      <w:r w:rsidR="00E10588">
        <w:rPr>
          <w:rFonts w:ascii="Arial" w:hAnsi="Arial" w:cs="Arial"/>
        </w:rPr>
        <w:t xml:space="preserve">2.7%) (Table </w:t>
      </w:r>
      <w:r w:rsidR="001941B6">
        <w:rPr>
          <w:rFonts w:ascii="Arial" w:hAnsi="Arial" w:cs="Arial"/>
        </w:rPr>
        <w:t>4</w:t>
      </w:r>
      <w:r w:rsidR="00E10588">
        <w:rPr>
          <w:rFonts w:ascii="Arial" w:hAnsi="Arial" w:cs="Arial"/>
        </w:rPr>
        <w:t xml:space="preserve">). </w:t>
      </w:r>
      <w:r w:rsidR="00411F80">
        <w:rPr>
          <w:rFonts w:ascii="Arial" w:hAnsi="Arial" w:cs="Arial"/>
        </w:rPr>
        <w:t xml:space="preserve">Among </w:t>
      </w:r>
      <w:r w:rsidR="00640F84">
        <w:rPr>
          <w:rFonts w:ascii="Arial" w:hAnsi="Arial" w:cs="Arial"/>
        </w:rPr>
        <w:t xml:space="preserve">the 27 </w:t>
      </w:r>
      <w:r w:rsidR="00411F80">
        <w:rPr>
          <w:rFonts w:ascii="Arial" w:hAnsi="Arial" w:cs="Arial"/>
        </w:rPr>
        <w:t>EO</w:t>
      </w:r>
      <w:r w:rsidR="006C7786">
        <w:rPr>
          <w:rFonts w:ascii="Arial" w:hAnsi="Arial" w:cs="Arial"/>
        </w:rPr>
        <w:t>D</w:t>
      </w:r>
      <w:r w:rsidR="00411F80">
        <w:rPr>
          <w:rFonts w:ascii="Arial" w:hAnsi="Arial" w:cs="Arial"/>
        </w:rPr>
        <w:t xml:space="preserve"> deaths, </w:t>
      </w:r>
      <w:r w:rsidR="00766448">
        <w:rPr>
          <w:rFonts w:ascii="Arial" w:hAnsi="Arial" w:cs="Arial"/>
        </w:rPr>
        <w:t>37</w:t>
      </w:r>
      <w:r w:rsidR="00411F80">
        <w:rPr>
          <w:rFonts w:ascii="Arial" w:hAnsi="Arial" w:cs="Arial"/>
        </w:rPr>
        <w:t xml:space="preserve">% </w:t>
      </w:r>
      <w:r w:rsidR="002C4B43">
        <w:rPr>
          <w:rFonts w:ascii="Arial" w:hAnsi="Arial" w:cs="Arial"/>
        </w:rPr>
        <w:t xml:space="preserve">(n=10) </w:t>
      </w:r>
      <w:r w:rsidR="00411F80">
        <w:rPr>
          <w:rFonts w:ascii="Arial" w:hAnsi="Arial" w:cs="Arial"/>
        </w:rPr>
        <w:t xml:space="preserve">had </w:t>
      </w:r>
      <w:r w:rsidR="00B96D26">
        <w:rPr>
          <w:rFonts w:ascii="Arial" w:hAnsi="Arial" w:cs="Arial"/>
        </w:rPr>
        <w:t xml:space="preserve">≥1 </w:t>
      </w:r>
      <w:r w:rsidR="00411F80">
        <w:rPr>
          <w:rFonts w:ascii="Arial" w:hAnsi="Arial" w:cs="Arial"/>
        </w:rPr>
        <w:t>RCOG risk factor</w:t>
      </w:r>
      <w:r w:rsidR="009A3C0C">
        <w:rPr>
          <w:rFonts w:ascii="Arial" w:hAnsi="Arial" w:cs="Arial"/>
        </w:rPr>
        <w:t>s</w:t>
      </w:r>
      <w:r w:rsidR="00411F80">
        <w:rPr>
          <w:rFonts w:ascii="Arial" w:hAnsi="Arial" w:cs="Arial"/>
        </w:rPr>
        <w:t xml:space="preserve"> </w:t>
      </w:r>
      <w:r w:rsidR="00640F84">
        <w:rPr>
          <w:rFonts w:ascii="Arial" w:hAnsi="Arial" w:cs="Arial"/>
        </w:rPr>
        <w:t xml:space="preserve">and only one had received IAP. </w:t>
      </w:r>
    </w:p>
    <w:p w14:paraId="449A7DCA" w14:textId="77777777" w:rsidR="005B78B0" w:rsidRPr="000E6468" w:rsidRDefault="005B78B0" w:rsidP="006C7786">
      <w:pPr>
        <w:spacing w:line="480" w:lineRule="auto"/>
        <w:rPr>
          <w:rFonts w:ascii="Arial" w:hAnsi="Arial" w:cs="Arial"/>
        </w:rPr>
      </w:pPr>
    </w:p>
    <w:p w14:paraId="719E2895" w14:textId="3C19BC1D" w:rsidR="005B78B0" w:rsidRDefault="001D1472" w:rsidP="00AC04E8">
      <w:pPr>
        <w:tabs>
          <w:tab w:val="left" w:pos="2031"/>
        </w:tabs>
        <w:spacing w:line="480" w:lineRule="auto"/>
        <w:rPr>
          <w:rFonts w:ascii="Arial" w:hAnsi="Arial" w:cs="Arial"/>
        </w:rPr>
      </w:pPr>
      <w:r>
        <w:rPr>
          <w:rFonts w:ascii="Arial" w:hAnsi="Arial" w:cs="Arial"/>
        </w:rPr>
        <w:t>Of</w:t>
      </w:r>
      <w:r w:rsidRPr="000E6468">
        <w:rPr>
          <w:rFonts w:ascii="Arial" w:hAnsi="Arial" w:cs="Arial"/>
        </w:rPr>
        <w:t xml:space="preserve"> the </w:t>
      </w:r>
      <w:r w:rsidR="00B96D26">
        <w:rPr>
          <w:rFonts w:ascii="Arial" w:hAnsi="Arial" w:cs="Arial"/>
        </w:rPr>
        <w:t xml:space="preserve">infants </w:t>
      </w:r>
      <w:r w:rsidRPr="000E6468">
        <w:rPr>
          <w:rFonts w:ascii="Arial" w:hAnsi="Arial" w:cs="Arial"/>
        </w:rPr>
        <w:t xml:space="preserve">who survived and whose discharge status </w:t>
      </w:r>
      <w:r w:rsidR="00411F80">
        <w:rPr>
          <w:rFonts w:ascii="Arial" w:hAnsi="Arial" w:cs="Arial"/>
        </w:rPr>
        <w:t>wa</w:t>
      </w:r>
      <w:r w:rsidRPr="000E6468">
        <w:rPr>
          <w:rFonts w:ascii="Arial" w:hAnsi="Arial" w:cs="Arial"/>
        </w:rPr>
        <w:t>s known</w:t>
      </w:r>
      <w:r w:rsidR="007537DE">
        <w:rPr>
          <w:rFonts w:ascii="Arial" w:hAnsi="Arial" w:cs="Arial"/>
        </w:rPr>
        <w:t xml:space="preserve"> (n=</w:t>
      </w:r>
      <w:r w:rsidR="00AC04E8">
        <w:rPr>
          <w:rFonts w:ascii="Arial" w:hAnsi="Arial" w:cs="Arial"/>
        </w:rPr>
        <w:t>631</w:t>
      </w:r>
      <w:r w:rsidR="007537DE">
        <w:rPr>
          <w:rFonts w:ascii="Arial" w:hAnsi="Arial" w:cs="Arial"/>
        </w:rPr>
        <w:t>)</w:t>
      </w:r>
      <w:r w:rsidRPr="000E6468">
        <w:rPr>
          <w:rFonts w:ascii="Arial" w:hAnsi="Arial" w:cs="Arial"/>
        </w:rPr>
        <w:t xml:space="preserve">, </w:t>
      </w:r>
      <w:r>
        <w:rPr>
          <w:rFonts w:ascii="Arial" w:hAnsi="Arial" w:cs="Arial"/>
        </w:rPr>
        <w:t>90</w:t>
      </w:r>
      <w:r w:rsidR="00AC04E8">
        <w:rPr>
          <w:rFonts w:ascii="Arial" w:hAnsi="Arial" w:cs="Arial"/>
        </w:rPr>
        <w:t>·</w:t>
      </w:r>
      <w:r w:rsidR="00FD45BD">
        <w:rPr>
          <w:rFonts w:ascii="Arial" w:hAnsi="Arial" w:cs="Arial"/>
        </w:rPr>
        <w:t>6</w:t>
      </w:r>
      <w:r w:rsidRPr="000E6468">
        <w:rPr>
          <w:rFonts w:ascii="Arial" w:hAnsi="Arial" w:cs="Arial"/>
        </w:rPr>
        <w:t>% were clinically well</w:t>
      </w:r>
      <w:r w:rsidR="00B96D26">
        <w:rPr>
          <w:rFonts w:ascii="Arial" w:hAnsi="Arial" w:cs="Arial"/>
        </w:rPr>
        <w:t xml:space="preserve">, including </w:t>
      </w:r>
      <w:r>
        <w:rPr>
          <w:rFonts w:ascii="Arial" w:hAnsi="Arial" w:cs="Arial"/>
        </w:rPr>
        <w:t>9</w:t>
      </w:r>
      <w:r w:rsidR="00B96D26">
        <w:rPr>
          <w:rFonts w:ascii="Arial" w:hAnsi="Arial" w:cs="Arial"/>
        </w:rPr>
        <w:t>2</w:t>
      </w:r>
      <w:r w:rsidR="00AC04E8">
        <w:rPr>
          <w:rFonts w:ascii="Arial" w:hAnsi="Arial" w:cs="Arial"/>
        </w:rPr>
        <w:t>·</w:t>
      </w:r>
      <w:r w:rsidR="00FD45BD">
        <w:rPr>
          <w:rFonts w:ascii="Arial" w:hAnsi="Arial" w:cs="Arial"/>
        </w:rPr>
        <w:t>6</w:t>
      </w:r>
      <w:r w:rsidRPr="000E6468">
        <w:rPr>
          <w:rFonts w:ascii="Arial" w:hAnsi="Arial" w:cs="Arial"/>
        </w:rPr>
        <w:t xml:space="preserve">% of </w:t>
      </w:r>
      <w:r w:rsidR="00B96D26">
        <w:rPr>
          <w:rFonts w:ascii="Arial" w:hAnsi="Arial" w:cs="Arial"/>
        </w:rPr>
        <w:t>EO</w:t>
      </w:r>
      <w:r w:rsidR="00AC04E8">
        <w:rPr>
          <w:rFonts w:ascii="Arial" w:hAnsi="Arial" w:cs="Arial"/>
        </w:rPr>
        <w:t>D</w:t>
      </w:r>
      <w:r w:rsidR="00B96D26">
        <w:rPr>
          <w:rFonts w:ascii="Arial" w:hAnsi="Arial" w:cs="Arial"/>
        </w:rPr>
        <w:t xml:space="preserve"> and </w:t>
      </w:r>
      <w:r w:rsidR="00FD45BD">
        <w:rPr>
          <w:rFonts w:ascii="Arial" w:hAnsi="Arial" w:cs="Arial"/>
        </w:rPr>
        <w:t>87</w:t>
      </w:r>
      <w:r w:rsidR="00AC04E8">
        <w:rPr>
          <w:rFonts w:ascii="Arial" w:hAnsi="Arial" w:cs="Arial"/>
        </w:rPr>
        <w:t>·</w:t>
      </w:r>
      <w:r w:rsidR="00FD45BD">
        <w:rPr>
          <w:rFonts w:ascii="Arial" w:hAnsi="Arial" w:cs="Arial"/>
        </w:rPr>
        <w:t>6</w:t>
      </w:r>
      <w:r w:rsidRPr="000E6468">
        <w:rPr>
          <w:rFonts w:ascii="Arial" w:hAnsi="Arial" w:cs="Arial"/>
        </w:rPr>
        <w:t xml:space="preserve">% of </w:t>
      </w:r>
      <w:r w:rsidR="00B96D26">
        <w:rPr>
          <w:rFonts w:ascii="Arial" w:hAnsi="Arial" w:cs="Arial"/>
        </w:rPr>
        <w:t>LO</w:t>
      </w:r>
      <w:r w:rsidR="00AC04E8">
        <w:rPr>
          <w:rFonts w:ascii="Arial" w:hAnsi="Arial" w:cs="Arial"/>
        </w:rPr>
        <w:t>D</w:t>
      </w:r>
      <w:r w:rsidR="00B96D26">
        <w:rPr>
          <w:rFonts w:ascii="Arial" w:hAnsi="Arial" w:cs="Arial"/>
        </w:rPr>
        <w:t xml:space="preserve"> cases</w:t>
      </w:r>
      <w:r w:rsidRPr="000E6468">
        <w:rPr>
          <w:rFonts w:ascii="Arial" w:hAnsi="Arial" w:cs="Arial"/>
        </w:rPr>
        <w:t xml:space="preserve">. </w:t>
      </w:r>
    </w:p>
    <w:p w14:paraId="683D464B" w14:textId="77777777" w:rsidR="00AD5920" w:rsidRDefault="00AD5920" w:rsidP="005B78B0">
      <w:pPr>
        <w:tabs>
          <w:tab w:val="left" w:pos="2031"/>
        </w:tabs>
        <w:spacing w:line="480" w:lineRule="auto"/>
      </w:pPr>
    </w:p>
    <w:p w14:paraId="2F01D031" w14:textId="710CD770" w:rsidR="00AC3B78" w:rsidRPr="009D683E" w:rsidRDefault="005E0E99" w:rsidP="00437388">
      <w:pPr>
        <w:spacing w:line="480" w:lineRule="auto"/>
        <w:rPr>
          <w:rFonts w:ascii="Arial" w:hAnsi="Arial" w:cs="Arial"/>
          <w:b/>
          <w:sz w:val="32"/>
        </w:rPr>
      </w:pPr>
      <w:r>
        <w:rPr>
          <w:rFonts w:ascii="Arial" w:hAnsi="Arial" w:cs="Arial"/>
        </w:rPr>
        <w:br w:type="page"/>
      </w:r>
      <w:r w:rsidR="00AC3B78" w:rsidRPr="009D683E">
        <w:rPr>
          <w:rFonts w:ascii="Arial" w:hAnsi="Arial" w:cs="Arial"/>
          <w:b/>
          <w:sz w:val="32"/>
        </w:rPr>
        <w:lastRenderedPageBreak/>
        <w:t>Discussion</w:t>
      </w:r>
    </w:p>
    <w:p w14:paraId="739CAB02" w14:textId="77777777" w:rsidR="00FA2322" w:rsidRPr="000E6468" w:rsidRDefault="00FA2322" w:rsidP="00437388">
      <w:pPr>
        <w:spacing w:line="480" w:lineRule="auto"/>
        <w:rPr>
          <w:rFonts w:ascii="Arial" w:hAnsi="Arial" w:cs="Arial"/>
        </w:rPr>
      </w:pPr>
    </w:p>
    <w:p w14:paraId="04CBE1D7" w14:textId="155CDB4C" w:rsidR="00707F60" w:rsidRDefault="00C267F5" w:rsidP="00CE3933">
      <w:pPr>
        <w:spacing w:line="480" w:lineRule="auto"/>
        <w:rPr>
          <w:rFonts w:ascii="Arial" w:hAnsi="Arial" w:cs="Arial"/>
        </w:rPr>
      </w:pPr>
      <w:r w:rsidRPr="000E6468">
        <w:rPr>
          <w:rFonts w:ascii="Arial" w:hAnsi="Arial" w:cs="Arial"/>
        </w:rPr>
        <w:t xml:space="preserve">Our </w:t>
      </w:r>
      <w:r w:rsidR="00FA2322" w:rsidRPr="000E6468">
        <w:rPr>
          <w:rFonts w:ascii="Arial" w:hAnsi="Arial" w:cs="Arial"/>
        </w:rPr>
        <w:t xml:space="preserve">study </w:t>
      </w:r>
      <w:r w:rsidRPr="000E6468">
        <w:rPr>
          <w:rFonts w:ascii="Arial" w:hAnsi="Arial" w:cs="Arial"/>
        </w:rPr>
        <w:t>defines the</w:t>
      </w:r>
      <w:r w:rsidR="00FA2322" w:rsidRPr="000E6468">
        <w:rPr>
          <w:rFonts w:ascii="Arial" w:hAnsi="Arial" w:cs="Arial"/>
        </w:rPr>
        <w:t xml:space="preserve"> current burden of invasive GBS disease</w:t>
      </w:r>
      <w:r w:rsidRPr="000E6468">
        <w:rPr>
          <w:rFonts w:ascii="Arial" w:hAnsi="Arial" w:cs="Arial"/>
        </w:rPr>
        <w:t xml:space="preserve"> in infants aged &lt;90 days in the UK and Republic of Ireland. </w:t>
      </w:r>
      <w:r w:rsidR="00CF6BA1">
        <w:rPr>
          <w:rFonts w:ascii="Arial" w:hAnsi="Arial" w:cs="Arial"/>
        </w:rPr>
        <w:t xml:space="preserve">It provides information on </w:t>
      </w:r>
      <w:r w:rsidR="00CF6BA1" w:rsidRPr="000E6468">
        <w:rPr>
          <w:rFonts w:ascii="Arial" w:hAnsi="Arial" w:cs="Arial"/>
        </w:rPr>
        <w:t>the risk factors</w:t>
      </w:r>
      <w:r w:rsidR="003D6972">
        <w:rPr>
          <w:rFonts w:ascii="Arial" w:hAnsi="Arial" w:cs="Arial"/>
        </w:rPr>
        <w:t xml:space="preserve"> </w:t>
      </w:r>
      <w:r w:rsidR="00CF6BA1" w:rsidRPr="000E6468">
        <w:rPr>
          <w:rFonts w:ascii="Arial" w:hAnsi="Arial" w:cs="Arial"/>
        </w:rPr>
        <w:t>and the changes in disease incidence since the p</w:t>
      </w:r>
      <w:r w:rsidR="00AF1638">
        <w:rPr>
          <w:rFonts w:ascii="Arial" w:hAnsi="Arial" w:cs="Arial"/>
        </w:rPr>
        <w:t xml:space="preserve">revious national surveillance </w:t>
      </w:r>
      <w:r w:rsidR="006C35A0">
        <w:rPr>
          <w:rFonts w:ascii="Arial" w:hAnsi="Arial" w:cs="Arial"/>
        </w:rPr>
        <w:t>15</w:t>
      </w:r>
      <w:r w:rsidR="006C35A0" w:rsidRPr="000E6468">
        <w:rPr>
          <w:rFonts w:ascii="Arial" w:hAnsi="Arial" w:cs="Arial"/>
        </w:rPr>
        <w:t xml:space="preserve"> </w:t>
      </w:r>
      <w:r w:rsidR="00CF6BA1" w:rsidRPr="000E6468">
        <w:rPr>
          <w:rFonts w:ascii="Arial" w:hAnsi="Arial" w:cs="Arial"/>
        </w:rPr>
        <w:t>years ago.</w:t>
      </w:r>
      <w:r w:rsidR="007D7E88">
        <w:rPr>
          <w:rFonts w:ascii="Arial" w:hAnsi="Arial" w:cs="Arial"/>
          <w:vertAlign w:val="superscript"/>
        </w:rPr>
        <w:t>10</w:t>
      </w:r>
      <w:r w:rsidR="00894AA7">
        <w:rPr>
          <w:rFonts w:ascii="Arial" w:hAnsi="Arial" w:cs="Arial"/>
        </w:rPr>
        <w:t xml:space="preserve"> </w:t>
      </w:r>
      <w:r w:rsidR="009B2FDC">
        <w:rPr>
          <w:rFonts w:ascii="Arial" w:hAnsi="Arial" w:cs="Arial"/>
        </w:rPr>
        <w:t xml:space="preserve">We have defined the </w:t>
      </w:r>
      <w:r w:rsidR="00CF6BA1" w:rsidRPr="000E6468">
        <w:rPr>
          <w:rFonts w:ascii="Arial" w:hAnsi="Arial" w:cs="Arial"/>
        </w:rPr>
        <w:t xml:space="preserve">on-going burden of </w:t>
      </w:r>
      <w:r w:rsidR="00D2362E">
        <w:rPr>
          <w:rFonts w:ascii="Arial" w:hAnsi="Arial" w:cs="Arial"/>
        </w:rPr>
        <w:t xml:space="preserve">GBS in </w:t>
      </w:r>
      <w:r w:rsidR="00217A0C">
        <w:rPr>
          <w:rFonts w:ascii="Arial" w:hAnsi="Arial" w:cs="Arial"/>
        </w:rPr>
        <w:t xml:space="preserve">a </w:t>
      </w:r>
      <w:r w:rsidR="009D683E">
        <w:rPr>
          <w:rFonts w:ascii="Arial" w:hAnsi="Arial" w:cs="Arial"/>
        </w:rPr>
        <w:t>highly vulnerable</w:t>
      </w:r>
      <w:r w:rsidR="00D2362E">
        <w:rPr>
          <w:rFonts w:ascii="Arial" w:hAnsi="Arial" w:cs="Arial"/>
        </w:rPr>
        <w:t xml:space="preserve"> </w:t>
      </w:r>
      <w:r w:rsidR="00A01B8C">
        <w:rPr>
          <w:rFonts w:ascii="Arial" w:hAnsi="Arial" w:cs="Arial"/>
        </w:rPr>
        <w:t>age group</w:t>
      </w:r>
      <w:r w:rsidR="00D2362E">
        <w:rPr>
          <w:rFonts w:ascii="Arial" w:hAnsi="Arial" w:cs="Arial"/>
        </w:rPr>
        <w:t xml:space="preserve"> </w:t>
      </w:r>
      <w:r w:rsidR="00CF6BA1" w:rsidRPr="000E6468">
        <w:rPr>
          <w:rFonts w:ascii="Arial" w:hAnsi="Arial" w:cs="Arial"/>
        </w:rPr>
        <w:t xml:space="preserve">despite national </w:t>
      </w:r>
      <w:r w:rsidR="00F0670D">
        <w:rPr>
          <w:rFonts w:ascii="Arial" w:hAnsi="Arial" w:cs="Arial"/>
        </w:rPr>
        <w:t xml:space="preserve">initiatives </w:t>
      </w:r>
      <w:r w:rsidR="00431A66">
        <w:rPr>
          <w:rFonts w:ascii="Arial" w:hAnsi="Arial" w:cs="Arial"/>
        </w:rPr>
        <w:t>for</w:t>
      </w:r>
      <w:r w:rsidR="00431A66" w:rsidRPr="000E6468">
        <w:rPr>
          <w:rFonts w:ascii="Arial" w:hAnsi="Arial" w:cs="Arial"/>
        </w:rPr>
        <w:t xml:space="preserve"> </w:t>
      </w:r>
      <w:r w:rsidR="005101D2" w:rsidRPr="000E6468">
        <w:rPr>
          <w:rFonts w:ascii="Arial" w:hAnsi="Arial" w:cs="Arial"/>
        </w:rPr>
        <w:t>prevention, with</w:t>
      </w:r>
      <w:r w:rsidR="009B2FDC">
        <w:rPr>
          <w:rFonts w:ascii="Arial" w:hAnsi="Arial" w:cs="Arial"/>
        </w:rPr>
        <w:t xml:space="preserve"> </w:t>
      </w:r>
      <w:r w:rsidR="00296C52" w:rsidRPr="00E55E7D">
        <w:rPr>
          <w:rFonts w:ascii="Arial" w:hAnsi="Arial" w:cs="Arial"/>
        </w:rPr>
        <w:t>increas</w:t>
      </w:r>
      <w:r w:rsidR="00901212">
        <w:rPr>
          <w:rFonts w:ascii="Arial" w:hAnsi="Arial" w:cs="Arial"/>
        </w:rPr>
        <w:t>ed</w:t>
      </w:r>
      <w:r w:rsidR="000E36D4">
        <w:rPr>
          <w:rFonts w:ascii="Arial" w:hAnsi="Arial" w:cs="Arial"/>
        </w:rPr>
        <w:t xml:space="preserve"> </w:t>
      </w:r>
      <w:r w:rsidR="00861065">
        <w:rPr>
          <w:rFonts w:ascii="Arial" w:hAnsi="Arial" w:cs="Arial"/>
        </w:rPr>
        <w:t>incidence</w:t>
      </w:r>
      <w:r w:rsidR="00296C52" w:rsidRPr="000E6468">
        <w:rPr>
          <w:rFonts w:ascii="Arial" w:hAnsi="Arial" w:cs="Arial"/>
        </w:rPr>
        <w:t xml:space="preserve"> </w:t>
      </w:r>
      <w:r w:rsidR="000E36D4">
        <w:rPr>
          <w:rFonts w:ascii="Arial" w:hAnsi="Arial" w:cs="Arial"/>
        </w:rPr>
        <w:t xml:space="preserve">of both EO and LO disease </w:t>
      </w:r>
      <w:r w:rsidR="00217A0C">
        <w:rPr>
          <w:rFonts w:ascii="Arial" w:hAnsi="Arial" w:cs="Arial"/>
        </w:rPr>
        <w:t xml:space="preserve">across </w:t>
      </w:r>
      <w:r w:rsidR="00296C52" w:rsidRPr="000E6468">
        <w:rPr>
          <w:rFonts w:ascii="Arial" w:hAnsi="Arial" w:cs="Arial"/>
        </w:rPr>
        <w:t>all five countries of the British Isles</w:t>
      </w:r>
      <w:r w:rsidR="00A95B87">
        <w:rPr>
          <w:rFonts w:ascii="Arial" w:hAnsi="Arial" w:cs="Arial"/>
        </w:rPr>
        <w:t>.</w:t>
      </w:r>
      <w:r w:rsidR="00DE6101">
        <w:rPr>
          <w:rFonts w:ascii="Arial" w:hAnsi="Arial" w:cs="Arial"/>
        </w:rPr>
        <w:t xml:space="preserve"> </w:t>
      </w:r>
    </w:p>
    <w:p w14:paraId="76CA01BC" w14:textId="050A8DF5" w:rsidR="00DE6101" w:rsidRDefault="008A2158" w:rsidP="00437388">
      <w:pPr>
        <w:spacing w:line="480" w:lineRule="auto"/>
        <w:rPr>
          <w:rFonts w:ascii="Arial" w:hAnsi="Arial" w:cs="Arial"/>
        </w:rPr>
      </w:pPr>
      <w:r>
        <w:rPr>
          <w:rFonts w:ascii="Arial" w:hAnsi="Arial" w:cs="Arial"/>
        </w:rPr>
        <w:t xml:space="preserve"> </w:t>
      </w:r>
    </w:p>
    <w:p w14:paraId="105380F1" w14:textId="0EDF7401" w:rsidR="00875F4E" w:rsidRPr="00835CD8" w:rsidRDefault="000E36D4" w:rsidP="00437388">
      <w:pPr>
        <w:spacing w:line="480" w:lineRule="auto"/>
        <w:rPr>
          <w:rFonts w:ascii="Arial" w:hAnsi="Arial" w:cs="Arial"/>
        </w:rPr>
      </w:pPr>
      <w:r>
        <w:rPr>
          <w:rFonts w:ascii="Arial" w:hAnsi="Arial" w:cs="Arial"/>
        </w:rPr>
        <w:t xml:space="preserve">Approximately </w:t>
      </w:r>
      <w:r w:rsidR="00BC304B">
        <w:rPr>
          <w:rFonts w:ascii="Arial" w:hAnsi="Arial" w:cs="Arial"/>
        </w:rPr>
        <w:t xml:space="preserve">18% of all </w:t>
      </w:r>
      <w:r w:rsidR="00DF2D83">
        <w:rPr>
          <w:rFonts w:ascii="Arial" w:hAnsi="Arial" w:cs="Arial"/>
        </w:rPr>
        <w:t xml:space="preserve">GBS </w:t>
      </w:r>
      <w:r w:rsidR="00BC304B">
        <w:rPr>
          <w:rFonts w:ascii="Arial" w:hAnsi="Arial" w:cs="Arial"/>
        </w:rPr>
        <w:t>cases (</w:t>
      </w:r>
      <w:r>
        <w:rPr>
          <w:rFonts w:ascii="Arial" w:hAnsi="Arial" w:cs="Arial"/>
        </w:rPr>
        <w:t>30% of LO</w:t>
      </w:r>
      <w:r w:rsidR="00381D1E">
        <w:rPr>
          <w:rFonts w:ascii="Arial" w:hAnsi="Arial" w:cs="Arial"/>
        </w:rPr>
        <w:t>D</w:t>
      </w:r>
      <w:r>
        <w:rPr>
          <w:rFonts w:ascii="Arial" w:hAnsi="Arial" w:cs="Arial"/>
        </w:rPr>
        <w:t xml:space="preserve"> cases</w:t>
      </w:r>
      <w:r w:rsidR="00BC304B">
        <w:rPr>
          <w:rFonts w:ascii="Arial" w:hAnsi="Arial" w:cs="Arial"/>
        </w:rPr>
        <w:t>)</w:t>
      </w:r>
      <w:r>
        <w:rPr>
          <w:rFonts w:ascii="Arial" w:hAnsi="Arial" w:cs="Arial"/>
        </w:rPr>
        <w:t xml:space="preserve"> presented with meningitis, a </w:t>
      </w:r>
      <w:r w:rsidR="00DF2D83">
        <w:rPr>
          <w:rFonts w:ascii="Arial" w:hAnsi="Arial" w:cs="Arial"/>
        </w:rPr>
        <w:t>condition</w:t>
      </w:r>
      <w:r>
        <w:rPr>
          <w:rFonts w:ascii="Arial" w:hAnsi="Arial" w:cs="Arial"/>
        </w:rPr>
        <w:t xml:space="preserve"> associated with poor outcome</w:t>
      </w:r>
      <w:r w:rsidR="009B2FDC">
        <w:rPr>
          <w:rFonts w:ascii="Arial" w:hAnsi="Arial" w:cs="Arial"/>
        </w:rPr>
        <w:t>s</w:t>
      </w:r>
      <w:r>
        <w:rPr>
          <w:rFonts w:ascii="Arial" w:hAnsi="Arial" w:cs="Arial"/>
        </w:rPr>
        <w:t xml:space="preserve"> </w:t>
      </w:r>
      <w:r w:rsidR="009B2FDC">
        <w:rPr>
          <w:rFonts w:ascii="Arial" w:hAnsi="Arial" w:cs="Arial"/>
        </w:rPr>
        <w:t xml:space="preserve">as well as </w:t>
      </w:r>
      <w:r>
        <w:rPr>
          <w:rFonts w:ascii="Arial" w:hAnsi="Arial" w:cs="Arial"/>
        </w:rPr>
        <w:t>long-term neurodevelopmental impairment</w:t>
      </w:r>
      <w:r w:rsidR="009B2FDC">
        <w:rPr>
          <w:rFonts w:ascii="Arial" w:hAnsi="Arial" w:cs="Arial"/>
        </w:rPr>
        <w:t xml:space="preserve"> among survivors</w:t>
      </w:r>
      <w:r w:rsidR="00F36BA3">
        <w:rPr>
          <w:rFonts w:ascii="Arial" w:hAnsi="Arial" w:cs="Arial"/>
        </w:rPr>
        <w:t>.</w:t>
      </w:r>
      <w:r w:rsidR="00F36BA3" w:rsidRPr="00F36BA3">
        <w:rPr>
          <w:rFonts w:ascii="Arial" w:hAnsi="Arial" w:cs="Arial"/>
          <w:vertAlign w:val="superscript"/>
        </w:rPr>
        <w:t>2</w:t>
      </w:r>
      <w:r w:rsidR="00971D47">
        <w:rPr>
          <w:rFonts w:ascii="Arial" w:hAnsi="Arial" w:cs="Arial"/>
          <w:vertAlign w:val="superscript"/>
        </w:rPr>
        <w:t>6</w:t>
      </w:r>
      <w:r w:rsidR="009A33DB">
        <w:rPr>
          <w:rFonts w:ascii="Arial" w:hAnsi="Arial" w:cs="Arial"/>
          <w:vertAlign w:val="superscript"/>
        </w:rPr>
        <w:t xml:space="preserve"> </w:t>
      </w:r>
      <w:r w:rsidR="00835CD8">
        <w:rPr>
          <w:rFonts w:ascii="Arial" w:hAnsi="Arial" w:cs="Arial"/>
        </w:rPr>
        <w:t>The</w:t>
      </w:r>
      <w:r w:rsidR="00835CD8" w:rsidRPr="00835CD8">
        <w:rPr>
          <w:rFonts w:ascii="Arial" w:hAnsi="Arial" w:cs="Arial"/>
        </w:rPr>
        <w:t xml:space="preserve"> incidence </w:t>
      </w:r>
      <w:r w:rsidR="00835CD8">
        <w:rPr>
          <w:rFonts w:ascii="Arial" w:hAnsi="Arial" w:cs="Arial"/>
        </w:rPr>
        <w:t>of GBS</w:t>
      </w:r>
      <w:r w:rsidR="00835CD8" w:rsidRPr="00835CD8">
        <w:rPr>
          <w:rFonts w:ascii="Arial" w:hAnsi="Arial" w:cs="Arial"/>
        </w:rPr>
        <w:t xml:space="preserve"> meningitis</w:t>
      </w:r>
      <w:r w:rsidR="00835CD8">
        <w:rPr>
          <w:rFonts w:ascii="Arial" w:hAnsi="Arial" w:cs="Arial"/>
        </w:rPr>
        <w:t xml:space="preserve"> </w:t>
      </w:r>
      <w:r w:rsidR="00B37BC7">
        <w:rPr>
          <w:rFonts w:ascii="Arial" w:hAnsi="Arial" w:cs="Arial"/>
        </w:rPr>
        <w:t>in 2014-2015 (0</w:t>
      </w:r>
      <w:r w:rsidR="00437388">
        <w:rPr>
          <w:rFonts w:ascii="Arial" w:hAnsi="Arial" w:cs="Arial"/>
        </w:rPr>
        <w:t>·</w:t>
      </w:r>
      <w:r w:rsidR="00B37BC7">
        <w:rPr>
          <w:rFonts w:ascii="Arial" w:hAnsi="Arial" w:cs="Arial"/>
        </w:rPr>
        <w:t xml:space="preserve">17/1000) is similar to that found in </w:t>
      </w:r>
      <w:r w:rsidR="00640353">
        <w:rPr>
          <w:rFonts w:ascii="Arial" w:hAnsi="Arial" w:cs="Arial"/>
        </w:rPr>
        <w:t>our</w:t>
      </w:r>
      <w:r w:rsidR="00B37BC7">
        <w:rPr>
          <w:rFonts w:ascii="Arial" w:hAnsi="Arial" w:cs="Arial"/>
        </w:rPr>
        <w:t xml:space="preserve"> national meningitis surveillance study conducted in 2010-</w:t>
      </w:r>
      <w:r w:rsidR="00875F4E">
        <w:rPr>
          <w:rFonts w:ascii="Arial" w:hAnsi="Arial" w:cs="Arial"/>
        </w:rPr>
        <w:t>20</w:t>
      </w:r>
      <w:r w:rsidR="00B37BC7">
        <w:rPr>
          <w:rFonts w:ascii="Arial" w:hAnsi="Arial" w:cs="Arial"/>
        </w:rPr>
        <w:t>11 (0</w:t>
      </w:r>
      <w:r w:rsidR="00437388">
        <w:rPr>
          <w:rFonts w:ascii="Arial" w:hAnsi="Arial" w:cs="Arial"/>
        </w:rPr>
        <w:t>·</w:t>
      </w:r>
      <w:r w:rsidR="00B37BC7">
        <w:rPr>
          <w:rFonts w:ascii="Arial" w:hAnsi="Arial" w:cs="Arial"/>
        </w:rPr>
        <w:t xml:space="preserve">16/1000) and </w:t>
      </w:r>
      <w:r w:rsidR="00143D01">
        <w:rPr>
          <w:rFonts w:ascii="Arial" w:hAnsi="Arial" w:cs="Arial"/>
        </w:rPr>
        <w:t>in</w:t>
      </w:r>
      <w:r w:rsidR="00B37BC7">
        <w:rPr>
          <w:rFonts w:ascii="Arial" w:hAnsi="Arial" w:cs="Arial"/>
        </w:rPr>
        <w:t xml:space="preserve"> the previous GBS surveillance in 2000-</w:t>
      </w:r>
      <w:r w:rsidR="00875F4E">
        <w:rPr>
          <w:rFonts w:ascii="Arial" w:hAnsi="Arial" w:cs="Arial"/>
        </w:rPr>
        <w:t>200</w:t>
      </w:r>
      <w:r w:rsidR="00B37BC7">
        <w:rPr>
          <w:rFonts w:ascii="Arial" w:hAnsi="Arial" w:cs="Arial"/>
        </w:rPr>
        <w:t>1 (0</w:t>
      </w:r>
      <w:r w:rsidR="00437388">
        <w:rPr>
          <w:rFonts w:ascii="Arial" w:hAnsi="Arial" w:cs="Arial"/>
        </w:rPr>
        <w:t>·</w:t>
      </w:r>
      <w:r w:rsidR="00B37BC7">
        <w:rPr>
          <w:rFonts w:ascii="Arial" w:hAnsi="Arial" w:cs="Arial"/>
        </w:rPr>
        <w:t>15/</w:t>
      </w:r>
      <w:r w:rsidR="00B37BC7" w:rsidRPr="002130A1">
        <w:rPr>
          <w:rFonts w:ascii="Arial" w:hAnsi="Arial" w:cs="Arial"/>
        </w:rPr>
        <w:t>1000)</w:t>
      </w:r>
      <w:r w:rsidR="00875F4E" w:rsidRPr="002130A1">
        <w:rPr>
          <w:rFonts w:ascii="Arial" w:hAnsi="Arial" w:cs="Arial"/>
        </w:rPr>
        <w:t>.</w:t>
      </w:r>
      <w:r w:rsidR="002130A1" w:rsidRPr="002130A1">
        <w:rPr>
          <w:rFonts w:ascii="Arial" w:hAnsi="Arial" w:cs="Arial"/>
          <w:vertAlign w:val="superscript"/>
        </w:rPr>
        <w:t>2</w:t>
      </w:r>
      <w:r w:rsidR="00971D47">
        <w:rPr>
          <w:rFonts w:ascii="Arial" w:hAnsi="Arial" w:cs="Arial"/>
          <w:vertAlign w:val="superscript"/>
        </w:rPr>
        <w:t>7</w:t>
      </w:r>
      <w:r w:rsidR="002130A1" w:rsidRPr="002130A1">
        <w:rPr>
          <w:rFonts w:ascii="Arial" w:hAnsi="Arial" w:cs="Arial"/>
          <w:vertAlign w:val="superscript"/>
        </w:rPr>
        <w:t xml:space="preserve">, </w:t>
      </w:r>
      <w:r w:rsidR="00971D47">
        <w:rPr>
          <w:rFonts w:ascii="Arial" w:hAnsi="Arial" w:cs="Arial"/>
          <w:vertAlign w:val="superscript"/>
        </w:rPr>
        <w:t>10</w:t>
      </w:r>
      <w:r w:rsidR="00875F4E" w:rsidRPr="002130A1">
        <w:rPr>
          <w:rFonts w:ascii="Arial" w:hAnsi="Arial" w:cs="Arial"/>
        </w:rPr>
        <w:t xml:space="preserve"> The</w:t>
      </w:r>
      <w:r w:rsidR="00875F4E">
        <w:rPr>
          <w:rFonts w:ascii="Arial" w:hAnsi="Arial" w:cs="Arial"/>
        </w:rPr>
        <w:t xml:space="preserve"> burden of GBS meningitis</w:t>
      </w:r>
      <w:r w:rsidR="009B2FDC">
        <w:rPr>
          <w:rFonts w:ascii="Arial" w:hAnsi="Arial" w:cs="Arial"/>
        </w:rPr>
        <w:t xml:space="preserve"> in young infants,</w:t>
      </w:r>
      <w:r w:rsidR="00875F4E">
        <w:rPr>
          <w:rFonts w:ascii="Arial" w:hAnsi="Arial" w:cs="Arial"/>
        </w:rPr>
        <w:t xml:space="preserve"> therefore</w:t>
      </w:r>
      <w:r w:rsidR="009B2FDC">
        <w:rPr>
          <w:rFonts w:ascii="Arial" w:hAnsi="Arial" w:cs="Arial"/>
        </w:rPr>
        <w:t>,</w:t>
      </w:r>
      <w:r w:rsidR="00875F4E">
        <w:rPr>
          <w:rFonts w:ascii="Arial" w:hAnsi="Arial" w:cs="Arial"/>
        </w:rPr>
        <w:t xml:space="preserve"> </w:t>
      </w:r>
      <w:r w:rsidR="00CE478B">
        <w:rPr>
          <w:rFonts w:ascii="Arial" w:hAnsi="Arial" w:cs="Arial"/>
        </w:rPr>
        <w:t>has not</w:t>
      </w:r>
      <w:r w:rsidR="00F9301E">
        <w:rPr>
          <w:rFonts w:ascii="Arial" w:hAnsi="Arial" w:cs="Arial"/>
        </w:rPr>
        <w:t xml:space="preserve"> </w:t>
      </w:r>
      <w:r w:rsidR="00875F4E">
        <w:rPr>
          <w:rFonts w:ascii="Arial" w:hAnsi="Arial" w:cs="Arial"/>
        </w:rPr>
        <w:t xml:space="preserve">changed over the last 15 years. </w:t>
      </w:r>
      <w:r w:rsidR="00875F4E" w:rsidRPr="000E6468">
        <w:rPr>
          <w:rFonts w:ascii="Arial" w:hAnsi="Arial" w:cs="Arial"/>
        </w:rPr>
        <w:t xml:space="preserve"> </w:t>
      </w:r>
    </w:p>
    <w:p w14:paraId="5D5DC0AC" w14:textId="484B3CE5" w:rsidR="00835CD8" w:rsidRPr="00835CD8" w:rsidRDefault="00835CD8" w:rsidP="009F6F45">
      <w:pPr>
        <w:spacing w:line="480" w:lineRule="auto"/>
        <w:rPr>
          <w:rFonts w:ascii="Arial" w:hAnsi="Arial" w:cs="Arial"/>
        </w:rPr>
      </w:pPr>
    </w:p>
    <w:p w14:paraId="5121AD2E" w14:textId="68645937" w:rsidR="0034538B" w:rsidRDefault="009F6F45" w:rsidP="009F6F45">
      <w:pPr>
        <w:spacing w:line="480" w:lineRule="auto"/>
        <w:rPr>
          <w:rFonts w:ascii="Arial" w:hAnsi="Arial" w:cs="Arial"/>
        </w:rPr>
      </w:pPr>
      <w:r>
        <w:rPr>
          <w:rFonts w:ascii="Arial" w:hAnsi="Arial" w:cs="Arial"/>
        </w:rPr>
        <w:t>T</w:t>
      </w:r>
      <w:r w:rsidRPr="000E6468">
        <w:rPr>
          <w:rFonts w:ascii="Arial" w:hAnsi="Arial" w:cs="Arial"/>
        </w:rPr>
        <w:t>he</w:t>
      </w:r>
      <w:r>
        <w:rPr>
          <w:rFonts w:ascii="Arial" w:hAnsi="Arial" w:cs="Arial"/>
        </w:rPr>
        <w:t xml:space="preserve"> </w:t>
      </w:r>
      <w:r w:rsidR="008862A8">
        <w:rPr>
          <w:rFonts w:ascii="Arial" w:hAnsi="Arial" w:cs="Arial"/>
        </w:rPr>
        <w:t>relative increase in EOD incidence between</w:t>
      </w:r>
      <w:r w:rsidR="00F8657A">
        <w:rPr>
          <w:rFonts w:ascii="Arial" w:hAnsi="Arial" w:cs="Arial"/>
        </w:rPr>
        <w:t xml:space="preserve"> </w:t>
      </w:r>
      <w:r w:rsidR="00F8217A">
        <w:rPr>
          <w:rFonts w:ascii="Arial" w:hAnsi="Arial" w:cs="Arial"/>
        </w:rPr>
        <w:t xml:space="preserve">the </w:t>
      </w:r>
      <w:r w:rsidR="00E55E7D">
        <w:rPr>
          <w:rFonts w:ascii="Arial" w:hAnsi="Arial" w:cs="Arial"/>
        </w:rPr>
        <w:t>two</w:t>
      </w:r>
      <w:r w:rsidR="00F8217A">
        <w:rPr>
          <w:rFonts w:ascii="Arial" w:hAnsi="Arial" w:cs="Arial"/>
        </w:rPr>
        <w:t xml:space="preserve"> </w:t>
      </w:r>
      <w:r w:rsidR="00A91ABE">
        <w:rPr>
          <w:rFonts w:ascii="Arial" w:hAnsi="Arial" w:cs="Arial"/>
        </w:rPr>
        <w:t>surveillance periods</w:t>
      </w:r>
      <w:r w:rsidR="00DA67EA">
        <w:rPr>
          <w:rFonts w:ascii="Arial" w:hAnsi="Arial" w:cs="Arial"/>
        </w:rPr>
        <w:t xml:space="preserve"> </w:t>
      </w:r>
      <w:r w:rsidR="008862A8">
        <w:rPr>
          <w:rFonts w:ascii="Arial" w:hAnsi="Arial" w:cs="Arial"/>
        </w:rPr>
        <w:t xml:space="preserve">(0.57/1000 vs. 0.48/1000, 1.2-fold) </w:t>
      </w:r>
      <w:r w:rsidR="00DA67EA">
        <w:rPr>
          <w:rFonts w:ascii="Arial" w:hAnsi="Arial" w:cs="Arial"/>
        </w:rPr>
        <w:t xml:space="preserve">is </w:t>
      </w:r>
      <w:r w:rsidR="008862A8">
        <w:rPr>
          <w:rFonts w:ascii="Arial" w:hAnsi="Arial" w:cs="Arial"/>
        </w:rPr>
        <w:t>lower than the relative increase in LOD incidence (</w:t>
      </w:r>
      <w:r w:rsidR="004D5103">
        <w:rPr>
          <w:rFonts w:ascii="Arial" w:hAnsi="Arial" w:cs="Arial"/>
        </w:rPr>
        <w:t>0.37/1000 vs. 0.24/1000, 1.5-fold)</w:t>
      </w:r>
      <w:r w:rsidR="004C7AA1">
        <w:rPr>
          <w:rFonts w:ascii="Arial" w:hAnsi="Arial" w:cs="Arial"/>
        </w:rPr>
        <w:t xml:space="preserve">. </w:t>
      </w:r>
      <w:r w:rsidR="00DA67EA">
        <w:rPr>
          <w:rFonts w:ascii="Arial" w:hAnsi="Arial" w:cs="Arial"/>
        </w:rPr>
        <w:t xml:space="preserve">One hypothesis for </w:t>
      </w:r>
      <w:r w:rsidR="004D5103">
        <w:rPr>
          <w:rFonts w:ascii="Arial" w:hAnsi="Arial" w:cs="Arial"/>
        </w:rPr>
        <w:t>this observation could</w:t>
      </w:r>
      <w:r w:rsidR="00DA67EA">
        <w:rPr>
          <w:rFonts w:ascii="Arial" w:hAnsi="Arial" w:cs="Arial"/>
        </w:rPr>
        <w:t xml:space="preserve"> be </w:t>
      </w:r>
      <w:r w:rsidR="00A95B87">
        <w:rPr>
          <w:rFonts w:ascii="Arial" w:hAnsi="Arial" w:cs="Arial"/>
        </w:rPr>
        <w:t xml:space="preserve">an </w:t>
      </w:r>
      <w:r w:rsidR="00F8217A">
        <w:rPr>
          <w:rFonts w:ascii="Arial" w:hAnsi="Arial" w:cs="Arial"/>
        </w:rPr>
        <w:t>increased use</w:t>
      </w:r>
      <w:r w:rsidR="00A95B87">
        <w:rPr>
          <w:rFonts w:ascii="Arial" w:hAnsi="Arial" w:cs="Arial"/>
        </w:rPr>
        <w:t xml:space="preserve"> of IAP between the </w:t>
      </w:r>
      <w:r w:rsidR="005B78B0">
        <w:rPr>
          <w:rFonts w:ascii="Arial" w:hAnsi="Arial" w:cs="Arial"/>
        </w:rPr>
        <w:t>two</w:t>
      </w:r>
      <w:r w:rsidR="00A95B87">
        <w:rPr>
          <w:rFonts w:ascii="Arial" w:hAnsi="Arial" w:cs="Arial"/>
        </w:rPr>
        <w:t xml:space="preserve"> surveillance </w:t>
      </w:r>
      <w:r w:rsidR="00C02408">
        <w:rPr>
          <w:rFonts w:ascii="Arial" w:hAnsi="Arial" w:cs="Arial"/>
        </w:rPr>
        <w:t>periods,</w:t>
      </w:r>
      <w:r w:rsidR="00992A51">
        <w:rPr>
          <w:rFonts w:ascii="Arial" w:hAnsi="Arial" w:cs="Arial"/>
        </w:rPr>
        <w:t xml:space="preserve"> </w:t>
      </w:r>
      <w:r w:rsidR="008E52D8">
        <w:rPr>
          <w:rFonts w:ascii="Arial" w:hAnsi="Arial" w:cs="Arial"/>
        </w:rPr>
        <w:t>as a result of implementation of national guidelines</w:t>
      </w:r>
      <w:r w:rsidR="00864A3E">
        <w:rPr>
          <w:rFonts w:ascii="Arial" w:hAnsi="Arial" w:cs="Arial"/>
        </w:rPr>
        <w:t xml:space="preserve"> </w:t>
      </w:r>
      <w:r w:rsidR="00864A3E">
        <w:rPr>
          <w:rFonts w:ascii="Arial" w:hAnsi="Arial" w:cs="Arial"/>
          <w:vertAlign w:val="superscript"/>
        </w:rPr>
        <w:t>6</w:t>
      </w:r>
      <w:r w:rsidR="008E52D8">
        <w:rPr>
          <w:rFonts w:ascii="Arial" w:hAnsi="Arial" w:cs="Arial"/>
        </w:rPr>
        <w:t xml:space="preserve">, </w:t>
      </w:r>
      <w:r w:rsidR="000E36D4">
        <w:rPr>
          <w:rFonts w:ascii="Arial" w:hAnsi="Arial" w:cs="Arial"/>
        </w:rPr>
        <w:t xml:space="preserve">as this </w:t>
      </w:r>
      <w:r w:rsidR="00992A51">
        <w:rPr>
          <w:rFonts w:ascii="Arial" w:hAnsi="Arial" w:cs="Arial"/>
        </w:rPr>
        <w:t>will</w:t>
      </w:r>
      <w:r w:rsidR="000E36D4">
        <w:rPr>
          <w:rFonts w:ascii="Arial" w:hAnsi="Arial" w:cs="Arial"/>
        </w:rPr>
        <w:t xml:space="preserve"> </w:t>
      </w:r>
      <w:r w:rsidR="00992A51">
        <w:rPr>
          <w:rFonts w:ascii="Arial" w:hAnsi="Arial" w:cs="Arial"/>
        </w:rPr>
        <w:t>reduce</w:t>
      </w:r>
      <w:r w:rsidR="000E36D4">
        <w:rPr>
          <w:rFonts w:ascii="Arial" w:hAnsi="Arial" w:cs="Arial"/>
        </w:rPr>
        <w:t xml:space="preserve"> </w:t>
      </w:r>
      <w:r w:rsidR="00992A51">
        <w:rPr>
          <w:rFonts w:ascii="Arial" w:hAnsi="Arial" w:cs="Arial"/>
        </w:rPr>
        <w:t xml:space="preserve">the relative contribution of </w:t>
      </w:r>
      <w:r w:rsidR="000E36D4">
        <w:rPr>
          <w:rFonts w:ascii="Arial" w:hAnsi="Arial" w:cs="Arial"/>
        </w:rPr>
        <w:t xml:space="preserve">EOD </w:t>
      </w:r>
      <w:r w:rsidR="00992A51">
        <w:rPr>
          <w:rFonts w:ascii="Arial" w:hAnsi="Arial" w:cs="Arial"/>
        </w:rPr>
        <w:t>to the overall burden</w:t>
      </w:r>
      <w:r w:rsidR="000E33B7">
        <w:rPr>
          <w:rFonts w:ascii="Arial" w:hAnsi="Arial" w:cs="Arial"/>
        </w:rPr>
        <w:t xml:space="preserve">. </w:t>
      </w:r>
    </w:p>
    <w:p w14:paraId="06914106" w14:textId="77777777" w:rsidR="0034538B" w:rsidRDefault="0034538B" w:rsidP="009F6F45">
      <w:pPr>
        <w:spacing w:line="480" w:lineRule="auto"/>
        <w:rPr>
          <w:rFonts w:ascii="Arial" w:hAnsi="Arial" w:cs="Arial"/>
        </w:rPr>
      </w:pPr>
    </w:p>
    <w:p w14:paraId="615F6E19" w14:textId="733B7BE3" w:rsidR="006762A2" w:rsidRDefault="004D5103" w:rsidP="009F6F45">
      <w:pPr>
        <w:spacing w:line="480" w:lineRule="auto"/>
        <w:rPr>
          <w:rFonts w:ascii="Arial" w:hAnsi="Arial" w:cs="Arial"/>
        </w:rPr>
      </w:pPr>
      <w:r>
        <w:rPr>
          <w:rFonts w:ascii="Arial" w:hAnsi="Arial" w:cs="Arial"/>
        </w:rPr>
        <w:lastRenderedPageBreak/>
        <w:t xml:space="preserve">The </w:t>
      </w:r>
      <w:r w:rsidR="0035528B" w:rsidRPr="0035528B">
        <w:rPr>
          <w:rFonts w:ascii="Arial" w:hAnsi="Arial" w:cs="Arial"/>
        </w:rPr>
        <w:t>CFR was lower than t</w:t>
      </w:r>
      <w:r>
        <w:rPr>
          <w:rFonts w:ascii="Arial" w:hAnsi="Arial" w:cs="Arial"/>
        </w:rPr>
        <w:t>hat recorded in 2000-2001 (6</w:t>
      </w:r>
      <w:r w:rsidR="000E33B7">
        <w:rPr>
          <w:rFonts w:ascii="Arial" w:hAnsi="Arial" w:cs="Arial"/>
        </w:rPr>
        <w:t>·</w:t>
      </w:r>
      <w:r>
        <w:rPr>
          <w:rFonts w:ascii="Arial" w:hAnsi="Arial" w:cs="Arial"/>
        </w:rPr>
        <w:t>2% vs. 9·7%</w:t>
      </w:r>
      <w:r w:rsidR="0035528B" w:rsidRPr="0035528B">
        <w:rPr>
          <w:rFonts w:ascii="Arial" w:hAnsi="Arial" w:cs="Arial"/>
        </w:rPr>
        <w:t>), primarily</w:t>
      </w:r>
      <w:r>
        <w:rPr>
          <w:rFonts w:ascii="Arial" w:hAnsi="Arial" w:cs="Arial"/>
        </w:rPr>
        <w:t xml:space="preserve"> among EOD cases (10·6% vs. 5·3%) but not LOD cases (8</w:t>
      </w:r>
      <w:r w:rsidR="000E33B7">
        <w:rPr>
          <w:rFonts w:ascii="Arial" w:hAnsi="Arial" w:cs="Arial"/>
        </w:rPr>
        <w:t>·</w:t>
      </w:r>
      <w:r>
        <w:rPr>
          <w:rFonts w:ascii="Arial" w:hAnsi="Arial" w:cs="Arial"/>
        </w:rPr>
        <w:t>2% vs.7·7%</w:t>
      </w:r>
      <w:r w:rsidR="0035528B" w:rsidRPr="0035528B">
        <w:rPr>
          <w:rFonts w:ascii="Arial" w:hAnsi="Arial" w:cs="Arial"/>
        </w:rPr>
        <w:t>).</w:t>
      </w:r>
      <w:r>
        <w:rPr>
          <w:rFonts w:ascii="Arial" w:hAnsi="Arial" w:cs="Arial"/>
        </w:rPr>
        <w:t xml:space="preserve"> </w:t>
      </w:r>
      <w:r w:rsidR="00EF21A9">
        <w:rPr>
          <w:rFonts w:ascii="Arial" w:hAnsi="Arial" w:cs="Arial"/>
        </w:rPr>
        <w:t xml:space="preserve">It is possible </w:t>
      </w:r>
      <w:r w:rsidR="00084F4A">
        <w:rPr>
          <w:rFonts w:ascii="Arial" w:hAnsi="Arial" w:cs="Arial"/>
        </w:rPr>
        <w:t xml:space="preserve">that </w:t>
      </w:r>
      <w:r w:rsidR="00EF21A9">
        <w:rPr>
          <w:rFonts w:ascii="Arial" w:hAnsi="Arial" w:cs="Arial"/>
        </w:rPr>
        <w:t xml:space="preserve">this reflects the implementation of new guidelines for the management of early onset infection </w:t>
      </w:r>
      <w:r w:rsidR="008E52D8">
        <w:rPr>
          <w:rFonts w:ascii="Arial" w:hAnsi="Arial" w:cs="Arial"/>
        </w:rPr>
        <w:t>in 2012 which promote</w:t>
      </w:r>
      <w:r w:rsidR="00EF21A9">
        <w:rPr>
          <w:rFonts w:ascii="Arial" w:hAnsi="Arial" w:cs="Arial"/>
        </w:rPr>
        <w:t xml:space="preserve"> </w:t>
      </w:r>
      <w:r w:rsidR="00084F4A">
        <w:rPr>
          <w:rFonts w:ascii="Arial" w:hAnsi="Arial" w:cs="Arial"/>
        </w:rPr>
        <w:t>e</w:t>
      </w:r>
      <w:r w:rsidR="00640353">
        <w:rPr>
          <w:rFonts w:ascii="Arial" w:hAnsi="Arial" w:cs="Arial"/>
        </w:rPr>
        <w:t xml:space="preserve">arlier </w:t>
      </w:r>
      <w:r w:rsidR="00EF21A9">
        <w:rPr>
          <w:rFonts w:ascii="Arial" w:hAnsi="Arial" w:cs="Arial"/>
        </w:rPr>
        <w:t xml:space="preserve">and </w:t>
      </w:r>
      <w:r w:rsidR="00640353">
        <w:rPr>
          <w:rFonts w:ascii="Arial" w:hAnsi="Arial" w:cs="Arial"/>
        </w:rPr>
        <w:t xml:space="preserve">more appropriate use of antibiotics </w:t>
      </w:r>
      <w:r w:rsidR="00EF21A9">
        <w:rPr>
          <w:rFonts w:ascii="Arial" w:hAnsi="Arial" w:cs="Arial"/>
        </w:rPr>
        <w:t xml:space="preserve">and </w:t>
      </w:r>
      <w:r w:rsidR="00640353">
        <w:rPr>
          <w:rFonts w:ascii="Arial" w:hAnsi="Arial" w:cs="Arial"/>
        </w:rPr>
        <w:t>supportive care</w:t>
      </w:r>
      <w:r w:rsidR="00EF21A9">
        <w:rPr>
          <w:rFonts w:ascii="Arial" w:hAnsi="Arial" w:cs="Arial"/>
        </w:rPr>
        <w:t>.</w:t>
      </w:r>
      <w:r w:rsidR="00E03426">
        <w:rPr>
          <w:rFonts w:ascii="Arial" w:hAnsi="Arial" w:cs="Arial"/>
          <w:vertAlign w:val="superscript"/>
        </w:rPr>
        <w:t>6</w:t>
      </w:r>
      <w:r w:rsidR="00B17D8F">
        <w:rPr>
          <w:rFonts w:ascii="Arial" w:hAnsi="Arial" w:cs="Arial"/>
        </w:rPr>
        <w:t xml:space="preserve"> </w:t>
      </w:r>
    </w:p>
    <w:p w14:paraId="00D4471C" w14:textId="77777777" w:rsidR="004C7AA1" w:rsidRDefault="004C7AA1" w:rsidP="00593CD7">
      <w:pPr>
        <w:spacing w:line="480" w:lineRule="auto"/>
        <w:rPr>
          <w:rFonts w:ascii="Arial" w:hAnsi="Arial" w:cs="Arial"/>
        </w:rPr>
      </w:pPr>
    </w:p>
    <w:p w14:paraId="14901DA6" w14:textId="66134B9A" w:rsidR="00CF40AD" w:rsidRPr="001306B8" w:rsidDel="00DA67EA" w:rsidRDefault="00AA6ECC" w:rsidP="00593CD7">
      <w:pPr>
        <w:spacing w:line="480" w:lineRule="auto"/>
        <w:rPr>
          <w:rFonts w:ascii="Arial" w:hAnsi="Arial" w:cs="Arial"/>
        </w:rPr>
      </w:pPr>
      <w:r w:rsidRPr="001306B8">
        <w:rPr>
          <w:rFonts w:ascii="Arial" w:hAnsi="Arial" w:cs="Arial"/>
        </w:rPr>
        <w:t xml:space="preserve">It </w:t>
      </w:r>
      <w:r w:rsidR="00CD7E70" w:rsidRPr="001306B8">
        <w:rPr>
          <w:rFonts w:ascii="Arial" w:hAnsi="Arial" w:cs="Arial"/>
        </w:rPr>
        <w:t xml:space="preserve">is </w:t>
      </w:r>
      <w:r w:rsidRPr="001306B8">
        <w:rPr>
          <w:rFonts w:ascii="Arial" w:hAnsi="Arial" w:cs="Arial"/>
        </w:rPr>
        <w:t xml:space="preserve">difficult to compare </w:t>
      </w:r>
      <w:r w:rsidR="00CF40AD" w:rsidRPr="001306B8">
        <w:rPr>
          <w:rFonts w:ascii="Arial" w:hAnsi="Arial" w:cs="Arial"/>
        </w:rPr>
        <w:t xml:space="preserve">risk factors </w:t>
      </w:r>
      <w:r w:rsidRPr="001306B8">
        <w:rPr>
          <w:rFonts w:ascii="Arial" w:hAnsi="Arial" w:cs="Arial"/>
        </w:rPr>
        <w:t xml:space="preserve">for GBS between </w:t>
      </w:r>
      <w:r w:rsidR="00CF40AD" w:rsidRPr="001306B8">
        <w:rPr>
          <w:rFonts w:ascii="Arial" w:hAnsi="Arial" w:cs="Arial"/>
        </w:rPr>
        <w:t xml:space="preserve">the </w:t>
      </w:r>
      <w:r w:rsidR="007525E0" w:rsidRPr="001306B8">
        <w:rPr>
          <w:rFonts w:ascii="Arial" w:hAnsi="Arial" w:cs="Arial"/>
        </w:rPr>
        <w:t>two</w:t>
      </w:r>
      <w:r w:rsidR="00CF40AD" w:rsidRPr="001306B8">
        <w:rPr>
          <w:rFonts w:ascii="Arial" w:hAnsi="Arial" w:cs="Arial"/>
        </w:rPr>
        <w:t xml:space="preserve"> </w:t>
      </w:r>
      <w:r w:rsidR="00252E84" w:rsidRPr="001306B8">
        <w:rPr>
          <w:rFonts w:ascii="Arial" w:hAnsi="Arial" w:cs="Arial"/>
        </w:rPr>
        <w:t xml:space="preserve">surveillance </w:t>
      </w:r>
      <w:r w:rsidR="00CF40AD" w:rsidRPr="001306B8">
        <w:rPr>
          <w:rFonts w:ascii="Arial" w:hAnsi="Arial" w:cs="Arial"/>
        </w:rPr>
        <w:t xml:space="preserve">studies </w:t>
      </w:r>
      <w:r w:rsidRPr="001306B8">
        <w:rPr>
          <w:rFonts w:ascii="Arial" w:hAnsi="Arial" w:cs="Arial"/>
        </w:rPr>
        <w:t xml:space="preserve">because </w:t>
      </w:r>
      <w:r w:rsidR="00ED4A5A" w:rsidRPr="001306B8">
        <w:rPr>
          <w:rFonts w:ascii="Arial" w:hAnsi="Arial" w:cs="Arial"/>
        </w:rPr>
        <w:t>not all risk factor data were collected in the first period</w:t>
      </w:r>
      <w:r w:rsidRPr="001306B8">
        <w:rPr>
          <w:rFonts w:ascii="Arial" w:hAnsi="Arial" w:cs="Arial"/>
        </w:rPr>
        <w:t xml:space="preserve">. We did, however, observe a lower </w:t>
      </w:r>
      <w:r w:rsidR="00CF40AD" w:rsidRPr="001306B8">
        <w:rPr>
          <w:rFonts w:ascii="Arial" w:hAnsi="Arial" w:cs="Arial"/>
        </w:rPr>
        <w:t xml:space="preserve">proportion of cases </w:t>
      </w:r>
      <w:r w:rsidR="007525E0" w:rsidRPr="001306B8">
        <w:rPr>
          <w:rFonts w:ascii="Arial" w:hAnsi="Arial" w:cs="Arial"/>
        </w:rPr>
        <w:t>with two of the three</w:t>
      </w:r>
      <w:r w:rsidR="00911B6B" w:rsidRPr="001306B8">
        <w:rPr>
          <w:rFonts w:ascii="Arial" w:hAnsi="Arial" w:cs="Arial"/>
        </w:rPr>
        <w:t xml:space="preserve"> </w:t>
      </w:r>
      <w:r w:rsidR="00CF40AD" w:rsidRPr="001306B8">
        <w:rPr>
          <w:rFonts w:ascii="Arial" w:hAnsi="Arial" w:cs="Arial"/>
        </w:rPr>
        <w:t>risk factors</w:t>
      </w:r>
      <w:r w:rsidR="006762A2" w:rsidRPr="001306B8">
        <w:rPr>
          <w:rFonts w:ascii="Arial" w:hAnsi="Arial" w:cs="Arial"/>
        </w:rPr>
        <w:t xml:space="preserve"> </w:t>
      </w:r>
      <w:r w:rsidR="00A95B87">
        <w:rPr>
          <w:rFonts w:ascii="Arial" w:hAnsi="Arial" w:cs="Arial"/>
        </w:rPr>
        <w:t>collected in</w:t>
      </w:r>
      <w:r w:rsidR="00911B6B" w:rsidRPr="001306B8">
        <w:rPr>
          <w:rFonts w:ascii="Arial" w:hAnsi="Arial" w:cs="Arial"/>
        </w:rPr>
        <w:t xml:space="preserve"> both studies</w:t>
      </w:r>
      <w:r w:rsidR="0034538B">
        <w:rPr>
          <w:rFonts w:ascii="Arial" w:hAnsi="Arial" w:cs="Arial"/>
        </w:rPr>
        <w:t xml:space="preserve">, especially </w:t>
      </w:r>
      <w:r w:rsidR="001306B8" w:rsidRPr="001306B8">
        <w:rPr>
          <w:rFonts w:ascii="Arial" w:hAnsi="Arial" w:cs="Arial"/>
        </w:rPr>
        <w:t xml:space="preserve">prematurity. </w:t>
      </w:r>
      <w:r w:rsidR="00AE546E">
        <w:rPr>
          <w:rFonts w:ascii="Arial" w:hAnsi="Arial" w:cs="Arial"/>
        </w:rPr>
        <w:t>Notably</w:t>
      </w:r>
      <w:r w:rsidR="00A002B8" w:rsidRPr="001306B8">
        <w:rPr>
          <w:rFonts w:ascii="Arial" w:hAnsi="Arial" w:cs="Arial"/>
        </w:rPr>
        <w:t xml:space="preserve">, </w:t>
      </w:r>
      <w:r w:rsidR="00EF21A9">
        <w:rPr>
          <w:rFonts w:ascii="Arial" w:hAnsi="Arial" w:cs="Arial"/>
        </w:rPr>
        <w:t xml:space="preserve">the </w:t>
      </w:r>
      <w:r w:rsidR="00252E84" w:rsidRPr="001306B8">
        <w:rPr>
          <w:rFonts w:ascii="Arial" w:hAnsi="Arial" w:cs="Arial"/>
        </w:rPr>
        <w:t>EO</w:t>
      </w:r>
      <w:r w:rsidR="00593CD7" w:rsidRPr="001306B8">
        <w:rPr>
          <w:rFonts w:ascii="Arial" w:hAnsi="Arial" w:cs="Arial"/>
        </w:rPr>
        <w:t>D</w:t>
      </w:r>
      <w:r w:rsidR="00252E84" w:rsidRPr="001306B8">
        <w:rPr>
          <w:rFonts w:ascii="Arial" w:hAnsi="Arial" w:cs="Arial"/>
        </w:rPr>
        <w:t xml:space="preserve"> </w:t>
      </w:r>
      <w:r w:rsidR="00A002B8" w:rsidRPr="00342471">
        <w:rPr>
          <w:rFonts w:ascii="Arial" w:hAnsi="Arial" w:cs="Arial"/>
        </w:rPr>
        <w:t xml:space="preserve">incidence </w:t>
      </w:r>
      <w:r w:rsidR="00ED4A5A" w:rsidRPr="00342471">
        <w:rPr>
          <w:rFonts w:ascii="Arial" w:hAnsi="Arial" w:cs="Arial"/>
        </w:rPr>
        <w:t xml:space="preserve">in </w:t>
      </w:r>
      <w:r w:rsidR="00CE478B">
        <w:rPr>
          <w:rFonts w:ascii="Arial" w:hAnsi="Arial" w:cs="Arial"/>
        </w:rPr>
        <w:t xml:space="preserve">infants of low birth weight (&lt;2.5kg) </w:t>
      </w:r>
      <w:r w:rsidR="00AE546E">
        <w:rPr>
          <w:rFonts w:ascii="Arial" w:hAnsi="Arial" w:cs="Arial"/>
        </w:rPr>
        <w:t xml:space="preserve">in 2014-15 </w:t>
      </w:r>
      <w:r w:rsidR="00FB0552">
        <w:rPr>
          <w:rFonts w:ascii="Arial" w:hAnsi="Arial" w:cs="Arial"/>
        </w:rPr>
        <w:t xml:space="preserve">was </w:t>
      </w:r>
      <w:r w:rsidR="00AE546E">
        <w:rPr>
          <w:rFonts w:ascii="Arial" w:hAnsi="Arial" w:cs="Arial"/>
        </w:rPr>
        <w:t>nearly half that observed in 2000-</w:t>
      </w:r>
      <w:r w:rsidR="000E33B7">
        <w:rPr>
          <w:rFonts w:ascii="Arial" w:hAnsi="Arial" w:cs="Arial"/>
        </w:rPr>
        <w:t>0</w:t>
      </w:r>
      <w:r w:rsidR="00AE546E">
        <w:rPr>
          <w:rFonts w:ascii="Arial" w:hAnsi="Arial" w:cs="Arial"/>
        </w:rPr>
        <w:t xml:space="preserve">1. </w:t>
      </w:r>
      <w:r w:rsidR="006762A2" w:rsidRPr="00342471">
        <w:rPr>
          <w:rFonts w:ascii="Arial" w:hAnsi="Arial" w:cs="Arial"/>
        </w:rPr>
        <w:t xml:space="preserve">It </w:t>
      </w:r>
      <w:r w:rsidR="00A55BC9">
        <w:rPr>
          <w:rFonts w:ascii="Arial" w:hAnsi="Arial" w:cs="Arial"/>
        </w:rPr>
        <w:t>is possible,</w:t>
      </w:r>
      <w:r w:rsidR="00A55BC9" w:rsidRPr="001306B8">
        <w:rPr>
          <w:rFonts w:ascii="Arial" w:hAnsi="Arial" w:cs="Arial"/>
        </w:rPr>
        <w:t xml:space="preserve"> </w:t>
      </w:r>
      <w:r w:rsidR="006762A2" w:rsidRPr="001306B8">
        <w:rPr>
          <w:rFonts w:ascii="Arial" w:hAnsi="Arial" w:cs="Arial"/>
        </w:rPr>
        <w:t>therefore</w:t>
      </w:r>
      <w:r w:rsidR="00A55BC9">
        <w:rPr>
          <w:rFonts w:ascii="Arial" w:hAnsi="Arial" w:cs="Arial"/>
        </w:rPr>
        <w:t>,</w:t>
      </w:r>
      <w:r w:rsidR="006762A2" w:rsidRPr="001306B8">
        <w:rPr>
          <w:rFonts w:ascii="Arial" w:hAnsi="Arial" w:cs="Arial"/>
        </w:rPr>
        <w:t xml:space="preserve"> that clinicians have particularly targeted IAP efforts towards women in preterm labour</w:t>
      </w:r>
      <w:r w:rsidR="00A55BC9">
        <w:rPr>
          <w:rFonts w:ascii="Arial" w:hAnsi="Arial" w:cs="Arial"/>
        </w:rPr>
        <w:t xml:space="preserve">, and may also </w:t>
      </w:r>
      <w:r w:rsidR="00BC6AFB">
        <w:rPr>
          <w:rFonts w:ascii="Arial" w:hAnsi="Arial" w:cs="Arial"/>
        </w:rPr>
        <w:t xml:space="preserve">reflect the introduction of </w:t>
      </w:r>
      <w:r w:rsidR="00EF21A9">
        <w:rPr>
          <w:rFonts w:ascii="Arial" w:hAnsi="Arial" w:cs="Arial"/>
        </w:rPr>
        <w:t xml:space="preserve">the new guidelines the for the management of early onset infection </w:t>
      </w:r>
      <w:r w:rsidR="00BC6AFB">
        <w:rPr>
          <w:rFonts w:ascii="Arial" w:hAnsi="Arial" w:cs="Arial"/>
        </w:rPr>
        <w:t xml:space="preserve">in 2012 </w:t>
      </w:r>
      <w:r w:rsidR="00EF21A9">
        <w:rPr>
          <w:rFonts w:ascii="Arial" w:hAnsi="Arial" w:cs="Arial"/>
        </w:rPr>
        <w:t xml:space="preserve">which added </w:t>
      </w:r>
      <w:r w:rsidR="00BC6AFB">
        <w:rPr>
          <w:rFonts w:ascii="Arial" w:hAnsi="Arial" w:cs="Arial"/>
        </w:rPr>
        <w:t>pre</w:t>
      </w:r>
      <w:r w:rsidR="00DF2D83">
        <w:rPr>
          <w:rFonts w:ascii="Arial" w:hAnsi="Arial" w:cs="Arial"/>
        </w:rPr>
        <w:t>-</w:t>
      </w:r>
      <w:r w:rsidR="00BC6AFB">
        <w:rPr>
          <w:rFonts w:ascii="Arial" w:hAnsi="Arial" w:cs="Arial"/>
        </w:rPr>
        <w:t>labour or prolonged rupture of me</w:t>
      </w:r>
      <w:r w:rsidR="00DF2D83">
        <w:rPr>
          <w:rFonts w:ascii="Arial" w:hAnsi="Arial" w:cs="Arial"/>
        </w:rPr>
        <w:t xml:space="preserve">mbranes in premature labour </w:t>
      </w:r>
      <w:r w:rsidR="00BC6AFB">
        <w:rPr>
          <w:rFonts w:ascii="Arial" w:hAnsi="Arial" w:cs="Arial"/>
        </w:rPr>
        <w:t>as</w:t>
      </w:r>
      <w:r w:rsidR="00DF2D83">
        <w:rPr>
          <w:rFonts w:ascii="Arial" w:hAnsi="Arial" w:cs="Arial"/>
        </w:rPr>
        <w:t xml:space="preserve"> </w:t>
      </w:r>
      <w:r w:rsidR="00BC6AFB">
        <w:rPr>
          <w:rFonts w:ascii="Arial" w:hAnsi="Arial" w:cs="Arial"/>
        </w:rPr>
        <w:t>risk factor</w:t>
      </w:r>
      <w:r w:rsidR="00CE478B">
        <w:rPr>
          <w:rFonts w:ascii="Arial" w:hAnsi="Arial" w:cs="Arial"/>
        </w:rPr>
        <w:t>s</w:t>
      </w:r>
      <w:r w:rsidR="00BC6AFB">
        <w:rPr>
          <w:rFonts w:ascii="Arial" w:hAnsi="Arial" w:cs="Arial"/>
        </w:rPr>
        <w:t xml:space="preserve"> </w:t>
      </w:r>
      <w:r w:rsidR="008E52D8">
        <w:rPr>
          <w:rFonts w:ascii="Arial" w:hAnsi="Arial" w:cs="Arial"/>
        </w:rPr>
        <w:t>for the receipt of</w:t>
      </w:r>
      <w:r w:rsidR="00EF21A9">
        <w:rPr>
          <w:rFonts w:ascii="Arial" w:hAnsi="Arial" w:cs="Arial"/>
        </w:rPr>
        <w:t xml:space="preserve"> </w:t>
      </w:r>
      <w:r w:rsidR="00BC6AFB">
        <w:rPr>
          <w:rFonts w:ascii="Arial" w:hAnsi="Arial" w:cs="Arial"/>
        </w:rPr>
        <w:t>IAP</w:t>
      </w:r>
      <w:r w:rsidR="002E110A">
        <w:rPr>
          <w:rFonts w:ascii="Arial" w:hAnsi="Arial" w:cs="Arial"/>
        </w:rPr>
        <w:t>.</w:t>
      </w:r>
      <w:r w:rsidR="00E03426">
        <w:rPr>
          <w:rFonts w:ascii="Arial" w:hAnsi="Arial" w:cs="Arial"/>
          <w:vertAlign w:val="superscript"/>
        </w:rPr>
        <w:t>11</w:t>
      </w:r>
    </w:p>
    <w:p w14:paraId="1E5B780C" w14:textId="77777777" w:rsidR="000D26C9" w:rsidRDefault="000D26C9" w:rsidP="003F600A">
      <w:pPr>
        <w:spacing w:line="480" w:lineRule="auto"/>
        <w:rPr>
          <w:rFonts w:ascii="Arial" w:hAnsi="Arial" w:cs="Arial"/>
        </w:rPr>
      </w:pPr>
    </w:p>
    <w:p w14:paraId="0D1962C9" w14:textId="7E49CBC7" w:rsidR="006A1CB6" w:rsidRDefault="00C45A68" w:rsidP="008019B4">
      <w:pPr>
        <w:spacing w:line="480" w:lineRule="auto"/>
        <w:rPr>
          <w:rFonts w:ascii="Arial" w:hAnsi="Arial" w:cs="Arial"/>
        </w:rPr>
      </w:pPr>
      <w:r>
        <w:rPr>
          <w:rFonts w:ascii="Arial" w:hAnsi="Arial" w:cs="Arial"/>
        </w:rPr>
        <w:t xml:space="preserve">Despite </w:t>
      </w:r>
      <w:r w:rsidR="00630CD6">
        <w:rPr>
          <w:rFonts w:ascii="Arial" w:hAnsi="Arial" w:cs="Arial"/>
        </w:rPr>
        <w:t>th</w:t>
      </w:r>
      <w:r w:rsidR="0011067C">
        <w:rPr>
          <w:rFonts w:ascii="Arial" w:hAnsi="Arial" w:cs="Arial"/>
        </w:rPr>
        <w:t>is tentative evidence of an impact</w:t>
      </w:r>
      <w:r w:rsidR="00630CD6">
        <w:rPr>
          <w:rFonts w:ascii="Arial" w:hAnsi="Arial" w:cs="Arial"/>
        </w:rPr>
        <w:t xml:space="preserve"> </w:t>
      </w:r>
      <w:r w:rsidR="00BC6AFB">
        <w:rPr>
          <w:rFonts w:ascii="Arial" w:hAnsi="Arial" w:cs="Arial"/>
        </w:rPr>
        <w:t xml:space="preserve">of national guidelines </w:t>
      </w:r>
      <w:r w:rsidR="0011067C">
        <w:rPr>
          <w:rFonts w:ascii="Arial" w:hAnsi="Arial" w:cs="Arial"/>
        </w:rPr>
        <w:t>on subgroups of infants</w:t>
      </w:r>
      <w:r>
        <w:rPr>
          <w:rFonts w:ascii="Arial" w:hAnsi="Arial" w:cs="Arial"/>
        </w:rPr>
        <w:t xml:space="preserve">, it is clear that </w:t>
      </w:r>
      <w:r w:rsidR="0011067C">
        <w:rPr>
          <w:rFonts w:ascii="Arial" w:hAnsi="Arial" w:cs="Arial"/>
        </w:rPr>
        <w:t xml:space="preserve">overall </w:t>
      </w:r>
      <w:r w:rsidR="00B6751A">
        <w:rPr>
          <w:rFonts w:ascii="Arial" w:hAnsi="Arial" w:cs="Arial"/>
        </w:rPr>
        <w:t xml:space="preserve">the burden of </w:t>
      </w:r>
      <w:r>
        <w:rPr>
          <w:rFonts w:ascii="Arial" w:hAnsi="Arial" w:cs="Arial"/>
        </w:rPr>
        <w:t>GBS in young infants</w:t>
      </w:r>
      <w:r w:rsidR="00B6751A">
        <w:rPr>
          <w:rFonts w:ascii="Arial" w:hAnsi="Arial" w:cs="Arial"/>
        </w:rPr>
        <w:t xml:space="preserve"> in the UK and Ireland</w:t>
      </w:r>
      <w:r w:rsidR="00DF2D83">
        <w:rPr>
          <w:rFonts w:ascii="Arial" w:hAnsi="Arial" w:cs="Arial"/>
        </w:rPr>
        <w:t xml:space="preserve"> has not </w:t>
      </w:r>
      <w:r w:rsidR="006A1CB6">
        <w:rPr>
          <w:rFonts w:ascii="Arial" w:hAnsi="Arial" w:cs="Arial"/>
        </w:rPr>
        <w:t>declined</w:t>
      </w:r>
      <w:r>
        <w:rPr>
          <w:rFonts w:ascii="Arial" w:hAnsi="Arial" w:cs="Arial"/>
        </w:rPr>
        <w:t xml:space="preserve">. </w:t>
      </w:r>
      <w:r w:rsidR="00EE63F0">
        <w:rPr>
          <w:rFonts w:ascii="Arial" w:hAnsi="Arial" w:cs="Arial"/>
        </w:rPr>
        <w:t xml:space="preserve">The </w:t>
      </w:r>
      <w:r>
        <w:rPr>
          <w:rFonts w:ascii="Arial" w:hAnsi="Arial" w:cs="Arial"/>
        </w:rPr>
        <w:t xml:space="preserve">current </w:t>
      </w:r>
      <w:r w:rsidR="00EE63F0">
        <w:rPr>
          <w:rFonts w:ascii="Arial" w:hAnsi="Arial" w:cs="Arial"/>
        </w:rPr>
        <w:t xml:space="preserve">guidelines </w:t>
      </w:r>
      <w:r>
        <w:rPr>
          <w:rFonts w:ascii="Arial" w:hAnsi="Arial" w:cs="Arial"/>
        </w:rPr>
        <w:t xml:space="preserve">target </w:t>
      </w:r>
      <w:r w:rsidR="0011067C">
        <w:rPr>
          <w:rFonts w:ascii="Arial" w:hAnsi="Arial" w:cs="Arial"/>
        </w:rPr>
        <w:t xml:space="preserve">only </w:t>
      </w:r>
      <w:r>
        <w:rPr>
          <w:rFonts w:ascii="Arial" w:hAnsi="Arial" w:cs="Arial"/>
        </w:rPr>
        <w:t>EO</w:t>
      </w:r>
      <w:r w:rsidR="003F600A">
        <w:rPr>
          <w:rFonts w:ascii="Arial" w:hAnsi="Arial" w:cs="Arial"/>
        </w:rPr>
        <w:t>D</w:t>
      </w:r>
      <w:r>
        <w:rPr>
          <w:rFonts w:ascii="Arial" w:hAnsi="Arial" w:cs="Arial"/>
        </w:rPr>
        <w:t xml:space="preserve"> </w:t>
      </w:r>
      <w:r w:rsidR="005F4D6E">
        <w:rPr>
          <w:rFonts w:ascii="Arial" w:hAnsi="Arial" w:cs="Arial"/>
        </w:rPr>
        <w:t>cases</w:t>
      </w:r>
      <w:r w:rsidR="00CB3ABB">
        <w:rPr>
          <w:rFonts w:ascii="Arial" w:hAnsi="Arial" w:cs="Arial"/>
        </w:rPr>
        <w:t xml:space="preserve">, identified by the presence of risk factors, </w:t>
      </w:r>
      <w:r>
        <w:rPr>
          <w:rFonts w:ascii="Arial" w:hAnsi="Arial" w:cs="Arial"/>
        </w:rPr>
        <w:t xml:space="preserve">yet </w:t>
      </w:r>
      <w:r w:rsidR="00CB3ABB">
        <w:rPr>
          <w:rFonts w:ascii="Arial" w:hAnsi="Arial" w:cs="Arial"/>
        </w:rPr>
        <w:t xml:space="preserve">we have shown that </w:t>
      </w:r>
      <w:r w:rsidR="00CE478B">
        <w:rPr>
          <w:rFonts w:ascii="Arial" w:hAnsi="Arial" w:cs="Arial"/>
        </w:rPr>
        <w:t xml:space="preserve">one </w:t>
      </w:r>
      <w:r w:rsidR="00CE3933">
        <w:rPr>
          <w:rFonts w:ascii="Arial" w:hAnsi="Arial" w:cs="Arial"/>
        </w:rPr>
        <w:t xml:space="preserve">half </w:t>
      </w:r>
      <w:r w:rsidR="00DF35AE">
        <w:rPr>
          <w:rFonts w:ascii="Arial" w:hAnsi="Arial" w:cs="Arial"/>
        </w:rPr>
        <w:t xml:space="preserve">to </w:t>
      </w:r>
      <w:r w:rsidR="00AE78AA" w:rsidRPr="001306B8">
        <w:rPr>
          <w:rFonts w:ascii="Arial" w:hAnsi="Arial" w:cs="Arial"/>
        </w:rPr>
        <w:t xml:space="preserve">two-thirds of </w:t>
      </w:r>
      <w:r w:rsidR="0011067C">
        <w:rPr>
          <w:rFonts w:ascii="Arial" w:hAnsi="Arial" w:cs="Arial"/>
        </w:rPr>
        <w:t>EO</w:t>
      </w:r>
      <w:r w:rsidR="00381D1E">
        <w:rPr>
          <w:rFonts w:ascii="Arial" w:hAnsi="Arial" w:cs="Arial"/>
        </w:rPr>
        <w:t>D</w:t>
      </w:r>
      <w:r w:rsidR="0011067C">
        <w:rPr>
          <w:rFonts w:ascii="Arial" w:hAnsi="Arial" w:cs="Arial"/>
        </w:rPr>
        <w:t xml:space="preserve"> </w:t>
      </w:r>
      <w:r w:rsidRPr="001306B8">
        <w:rPr>
          <w:rFonts w:ascii="Arial" w:hAnsi="Arial" w:cs="Arial"/>
        </w:rPr>
        <w:t xml:space="preserve">cases </w:t>
      </w:r>
      <w:r w:rsidR="00CE3933">
        <w:rPr>
          <w:rFonts w:ascii="Arial" w:hAnsi="Arial" w:cs="Arial"/>
        </w:rPr>
        <w:t>do</w:t>
      </w:r>
      <w:r w:rsidR="00CE3933" w:rsidRPr="001306B8">
        <w:rPr>
          <w:rFonts w:ascii="Arial" w:hAnsi="Arial" w:cs="Arial"/>
        </w:rPr>
        <w:t xml:space="preserve"> </w:t>
      </w:r>
      <w:r w:rsidRPr="001306B8">
        <w:rPr>
          <w:rFonts w:ascii="Arial" w:hAnsi="Arial" w:cs="Arial"/>
        </w:rPr>
        <w:t xml:space="preserve">not have </w:t>
      </w:r>
      <w:r w:rsidR="00CB3ABB">
        <w:rPr>
          <w:rFonts w:ascii="Arial" w:hAnsi="Arial" w:cs="Arial"/>
        </w:rPr>
        <w:t>such</w:t>
      </w:r>
      <w:r w:rsidRPr="001306B8">
        <w:rPr>
          <w:rFonts w:ascii="Arial" w:hAnsi="Arial" w:cs="Arial"/>
        </w:rPr>
        <w:t xml:space="preserve"> risk factors</w:t>
      </w:r>
      <w:r w:rsidR="00DF2D83">
        <w:rPr>
          <w:rFonts w:ascii="Arial" w:hAnsi="Arial" w:cs="Arial"/>
        </w:rPr>
        <w:t xml:space="preserve"> and </w:t>
      </w:r>
      <w:r w:rsidR="0011067C">
        <w:rPr>
          <w:rFonts w:ascii="Arial" w:hAnsi="Arial" w:cs="Arial"/>
        </w:rPr>
        <w:t>are</w:t>
      </w:r>
      <w:r w:rsidR="00DF35AE">
        <w:rPr>
          <w:rFonts w:ascii="Arial" w:hAnsi="Arial" w:cs="Arial"/>
        </w:rPr>
        <w:t>, therefore,</w:t>
      </w:r>
      <w:r w:rsidR="0011067C">
        <w:rPr>
          <w:rFonts w:ascii="Arial" w:hAnsi="Arial" w:cs="Arial"/>
        </w:rPr>
        <w:t xml:space="preserve"> not preventable. </w:t>
      </w:r>
      <w:r w:rsidR="006A1CB6">
        <w:rPr>
          <w:rFonts w:ascii="Arial" w:hAnsi="Arial" w:cs="Arial"/>
        </w:rPr>
        <w:t>S</w:t>
      </w:r>
      <w:r w:rsidR="008E52D8">
        <w:rPr>
          <w:rFonts w:ascii="Arial" w:hAnsi="Arial" w:cs="Arial"/>
        </w:rPr>
        <w:t>ince this surveillance was undertaken</w:t>
      </w:r>
      <w:r w:rsidR="00DF35AE">
        <w:rPr>
          <w:rFonts w:ascii="Arial" w:hAnsi="Arial" w:cs="Arial"/>
        </w:rPr>
        <w:t>,</w:t>
      </w:r>
      <w:r w:rsidR="008E52D8">
        <w:rPr>
          <w:rFonts w:ascii="Arial" w:hAnsi="Arial" w:cs="Arial"/>
        </w:rPr>
        <w:t xml:space="preserve"> </w:t>
      </w:r>
      <w:r w:rsidR="00EF21A9">
        <w:rPr>
          <w:rFonts w:ascii="Arial" w:hAnsi="Arial" w:cs="Arial"/>
        </w:rPr>
        <w:t xml:space="preserve">the </w:t>
      </w:r>
      <w:r w:rsidR="007317BF">
        <w:rPr>
          <w:rFonts w:ascii="Arial" w:hAnsi="Arial" w:cs="Arial"/>
        </w:rPr>
        <w:t xml:space="preserve">UK </w:t>
      </w:r>
      <w:r w:rsidR="00EF21A9">
        <w:rPr>
          <w:rFonts w:ascii="Arial" w:hAnsi="Arial" w:cs="Arial"/>
        </w:rPr>
        <w:t>national guidelines have been updated again (in 201</w:t>
      </w:r>
      <w:r w:rsidR="002562EF">
        <w:rPr>
          <w:rFonts w:ascii="Arial" w:hAnsi="Arial" w:cs="Arial"/>
        </w:rPr>
        <w:t>7</w:t>
      </w:r>
      <w:r w:rsidR="00EF21A9">
        <w:rPr>
          <w:rFonts w:ascii="Arial" w:hAnsi="Arial" w:cs="Arial"/>
        </w:rPr>
        <w:t>)</w:t>
      </w:r>
      <w:r w:rsidR="00E970C0">
        <w:rPr>
          <w:rFonts w:ascii="Arial" w:hAnsi="Arial" w:cs="Arial"/>
        </w:rPr>
        <w:t xml:space="preserve"> </w:t>
      </w:r>
      <w:r w:rsidR="00EF21A9">
        <w:rPr>
          <w:rFonts w:ascii="Arial" w:hAnsi="Arial" w:cs="Arial"/>
        </w:rPr>
        <w:t xml:space="preserve">and premature labour </w:t>
      </w:r>
      <w:r w:rsidR="00714570">
        <w:rPr>
          <w:rFonts w:ascii="Arial" w:hAnsi="Arial" w:cs="Arial"/>
        </w:rPr>
        <w:t xml:space="preserve">added as an </w:t>
      </w:r>
      <w:r w:rsidR="00EF21A9">
        <w:rPr>
          <w:rFonts w:ascii="Arial" w:hAnsi="Arial" w:cs="Arial"/>
        </w:rPr>
        <w:t>additional risk factor</w:t>
      </w:r>
      <w:r w:rsidR="00E970C0">
        <w:rPr>
          <w:rFonts w:ascii="Arial" w:hAnsi="Arial" w:cs="Arial"/>
        </w:rPr>
        <w:t xml:space="preserve"> for the receipt of IAP</w:t>
      </w:r>
      <w:r w:rsidR="00EF21A9">
        <w:rPr>
          <w:rFonts w:ascii="Arial" w:hAnsi="Arial" w:cs="Arial"/>
        </w:rPr>
        <w:t>.</w:t>
      </w:r>
      <w:r w:rsidR="00D57ABC" w:rsidRPr="00D57ABC">
        <w:rPr>
          <w:rFonts w:ascii="Arial" w:hAnsi="Arial" w:cs="Arial"/>
          <w:vertAlign w:val="superscript"/>
        </w:rPr>
        <w:t>28</w:t>
      </w:r>
      <w:r w:rsidR="00EF21A9">
        <w:rPr>
          <w:rFonts w:ascii="Arial" w:hAnsi="Arial" w:cs="Arial"/>
        </w:rPr>
        <w:t xml:space="preserve"> </w:t>
      </w:r>
      <w:r w:rsidR="006A1CB6">
        <w:rPr>
          <w:rFonts w:ascii="Arial" w:hAnsi="Arial" w:cs="Arial"/>
        </w:rPr>
        <w:t>T</w:t>
      </w:r>
      <w:r w:rsidR="00E970C0">
        <w:rPr>
          <w:rFonts w:ascii="Arial" w:hAnsi="Arial" w:cs="Arial"/>
        </w:rPr>
        <w:t xml:space="preserve">his </w:t>
      </w:r>
      <w:r w:rsidR="00DF35AE">
        <w:rPr>
          <w:rFonts w:ascii="Arial" w:hAnsi="Arial" w:cs="Arial"/>
        </w:rPr>
        <w:t>cou</w:t>
      </w:r>
      <w:r w:rsidR="00627E47">
        <w:rPr>
          <w:rFonts w:ascii="Arial" w:hAnsi="Arial" w:cs="Arial"/>
        </w:rPr>
        <w:t>l</w:t>
      </w:r>
      <w:r w:rsidR="00DF35AE">
        <w:rPr>
          <w:rFonts w:ascii="Arial" w:hAnsi="Arial" w:cs="Arial"/>
        </w:rPr>
        <w:t xml:space="preserve">d </w:t>
      </w:r>
      <w:r w:rsidR="00DF35AE">
        <w:rPr>
          <w:rFonts w:ascii="Arial" w:hAnsi="Arial" w:cs="Arial"/>
        </w:rPr>
        <w:lastRenderedPageBreak/>
        <w:t xml:space="preserve">potentially </w:t>
      </w:r>
      <w:r w:rsidR="00E970C0">
        <w:rPr>
          <w:rFonts w:ascii="Arial" w:hAnsi="Arial" w:cs="Arial"/>
        </w:rPr>
        <w:t xml:space="preserve">add </w:t>
      </w:r>
      <w:r w:rsidR="00DF35AE">
        <w:rPr>
          <w:rFonts w:ascii="Arial" w:hAnsi="Arial" w:cs="Arial"/>
        </w:rPr>
        <w:t xml:space="preserve">up to </w:t>
      </w:r>
      <w:r w:rsidR="00BA0EA5">
        <w:rPr>
          <w:rFonts w:ascii="Arial" w:hAnsi="Arial" w:cs="Arial"/>
        </w:rPr>
        <w:t>12</w:t>
      </w:r>
      <w:r w:rsidR="00E970C0">
        <w:rPr>
          <w:rFonts w:ascii="Arial" w:hAnsi="Arial" w:cs="Arial"/>
        </w:rPr>
        <w:t xml:space="preserve">% </w:t>
      </w:r>
      <w:r w:rsidR="00DF35AE">
        <w:rPr>
          <w:rFonts w:ascii="Arial" w:hAnsi="Arial" w:cs="Arial"/>
        </w:rPr>
        <w:t xml:space="preserve">more </w:t>
      </w:r>
      <w:r w:rsidR="00E970C0">
        <w:rPr>
          <w:rFonts w:ascii="Arial" w:hAnsi="Arial" w:cs="Arial"/>
        </w:rPr>
        <w:t>cases to t</w:t>
      </w:r>
      <w:r w:rsidR="00714570">
        <w:rPr>
          <w:rFonts w:ascii="Arial" w:hAnsi="Arial" w:cs="Arial"/>
        </w:rPr>
        <w:t xml:space="preserve">he proportion </w:t>
      </w:r>
      <w:r w:rsidR="00DF35AE">
        <w:rPr>
          <w:rFonts w:ascii="Arial" w:hAnsi="Arial" w:cs="Arial"/>
        </w:rPr>
        <w:t>who might be offered IAP</w:t>
      </w:r>
      <w:r w:rsidR="00E970C0">
        <w:rPr>
          <w:rFonts w:ascii="Arial" w:hAnsi="Arial" w:cs="Arial"/>
        </w:rPr>
        <w:t xml:space="preserve">. </w:t>
      </w:r>
    </w:p>
    <w:p w14:paraId="0B5615AC" w14:textId="77777777" w:rsidR="00C629E9" w:rsidRDefault="00C629E9" w:rsidP="008019B4">
      <w:pPr>
        <w:spacing w:line="480" w:lineRule="auto"/>
        <w:rPr>
          <w:rFonts w:ascii="Arial" w:hAnsi="Arial" w:cs="Arial"/>
        </w:rPr>
      </w:pPr>
    </w:p>
    <w:p w14:paraId="61CE0FC9" w14:textId="7702B0BB" w:rsidR="00351758" w:rsidRPr="00120A36" w:rsidRDefault="00DF35AE" w:rsidP="008019B4">
      <w:pPr>
        <w:spacing w:line="480" w:lineRule="auto"/>
        <w:rPr>
          <w:rFonts w:eastAsia="Times New Roman"/>
          <w:lang w:eastAsia="en-US"/>
        </w:rPr>
      </w:pPr>
      <w:r w:rsidRPr="008019B4">
        <w:rPr>
          <w:rFonts w:ascii="Arial" w:hAnsi="Arial" w:cs="Arial"/>
        </w:rPr>
        <w:t>Most</w:t>
      </w:r>
      <w:r w:rsidR="006A1CB6" w:rsidRPr="008019B4">
        <w:rPr>
          <w:rFonts w:ascii="Arial" w:hAnsi="Arial" w:cs="Arial"/>
        </w:rPr>
        <w:t xml:space="preserve"> countries with </w:t>
      </w:r>
      <w:r w:rsidRPr="008019B4">
        <w:rPr>
          <w:rFonts w:ascii="Arial" w:hAnsi="Arial" w:cs="Arial"/>
        </w:rPr>
        <w:t xml:space="preserve">IAP </w:t>
      </w:r>
      <w:r w:rsidR="006A1CB6" w:rsidRPr="008019B4">
        <w:rPr>
          <w:rFonts w:ascii="Arial" w:hAnsi="Arial" w:cs="Arial"/>
        </w:rPr>
        <w:t>guidelines to prevent EO</w:t>
      </w:r>
      <w:r w:rsidRPr="008019B4">
        <w:rPr>
          <w:rFonts w:ascii="Arial" w:hAnsi="Arial" w:cs="Arial"/>
        </w:rPr>
        <w:t xml:space="preserve"> </w:t>
      </w:r>
      <w:r w:rsidR="006A1CB6" w:rsidRPr="008019B4">
        <w:rPr>
          <w:rFonts w:ascii="Arial" w:hAnsi="Arial" w:cs="Arial"/>
        </w:rPr>
        <w:t xml:space="preserve">GBS </w:t>
      </w:r>
      <w:r w:rsidRPr="008019B4">
        <w:rPr>
          <w:rFonts w:ascii="Arial" w:hAnsi="Arial" w:cs="Arial"/>
        </w:rPr>
        <w:t xml:space="preserve">disease </w:t>
      </w:r>
      <w:r w:rsidR="006A1CB6" w:rsidRPr="008019B4">
        <w:rPr>
          <w:rFonts w:ascii="Arial" w:hAnsi="Arial" w:cs="Arial"/>
        </w:rPr>
        <w:t xml:space="preserve">do so based on </w:t>
      </w:r>
      <w:r w:rsidR="0011067C" w:rsidRPr="008019B4">
        <w:rPr>
          <w:rFonts w:ascii="Arial" w:hAnsi="Arial" w:cs="Arial"/>
        </w:rPr>
        <w:t>culture-based screening at 35-37 weeks gestation</w:t>
      </w:r>
      <w:r w:rsidR="006A1CB6" w:rsidRPr="008019B4">
        <w:rPr>
          <w:rFonts w:ascii="Arial" w:hAnsi="Arial" w:cs="Arial"/>
        </w:rPr>
        <w:t>.</w:t>
      </w:r>
      <w:r w:rsidR="00D57ABC" w:rsidRPr="008019B4">
        <w:rPr>
          <w:rFonts w:ascii="Arial" w:hAnsi="Arial" w:cs="Arial"/>
          <w:vertAlign w:val="superscript"/>
        </w:rPr>
        <w:t>29</w:t>
      </w:r>
      <w:r w:rsidR="006A1CB6" w:rsidRPr="008019B4">
        <w:rPr>
          <w:rFonts w:ascii="Arial" w:hAnsi="Arial" w:cs="Arial"/>
        </w:rPr>
        <w:t xml:space="preserve"> </w:t>
      </w:r>
      <w:r w:rsidR="009B3471" w:rsidRPr="008019B4">
        <w:rPr>
          <w:rFonts w:ascii="Arial" w:hAnsi="Arial" w:cs="Arial"/>
        </w:rPr>
        <w:t xml:space="preserve">The </w:t>
      </w:r>
      <w:r w:rsidRPr="008019B4">
        <w:rPr>
          <w:rFonts w:ascii="Arial" w:hAnsi="Arial" w:cs="Arial"/>
        </w:rPr>
        <w:t xml:space="preserve">USA </w:t>
      </w:r>
      <w:r w:rsidR="009B3471" w:rsidRPr="008019B4">
        <w:rPr>
          <w:rFonts w:ascii="Arial" w:hAnsi="Arial" w:cs="Arial"/>
        </w:rPr>
        <w:t xml:space="preserve">experience provides most support for this approach with </w:t>
      </w:r>
      <w:r w:rsidR="000738ED" w:rsidRPr="008019B4">
        <w:rPr>
          <w:rFonts w:ascii="Arial" w:hAnsi="Arial" w:cs="Arial"/>
        </w:rPr>
        <w:t>notable</w:t>
      </w:r>
      <w:r w:rsidR="009B3471" w:rsidRPr="008019B4">
        <w:rPr>
          <w:rFonts w:ascii="Arial" w:hAnsi="Arial" w:cs="Arial"/>
        </w:rPr>
        <w:t xml:space="preserve"> reductions in EO disease </w:t>
      </w:r>
      <w:r w:rsidR="009B3471" w:rsidRPr="00120A36">
        <w:rPr>
          <w:rFonts w:ascii="Arial" w:hAnsi="Arial" w:cs="Arial"/>
          <w:color w:val="000000"/>
        </w:rPr>
        <w:t>from 1</w:t>
      </w:r>
      <w:r w:rsidR="000E33B7" w:rsidRPr="008019B4">
        <w:rPr>
          <w:rFonts w:ascii="Arial" w:hAnsi="Arial" w:cs="Arial"/>
        </w:rPr>
        <w:t>·</w:t>
      </w:r>
      <w:r w:rsidR="009B3471" w:rsidRPr="00120A36">
        <w:rPr>
          <w:rFonts w:ascii="Arial" w:hAnsi="Arial" w:cs="Arial"/>
          <w:color w:val="000000"/>
        </w:rPr>
        <w:t>7 per 1000 live</w:t>
      </w:r>
      <w:r w:rsidRPr="008019B4">
        <w:rPr>
          <w:rFonts w:ascii="Arial" w:hAnsi="Arial" w:cs="Arial"/>
          <w:color w:val="000000"/>
        </w:rPr>
        <w:t>-</w:t>
      </w:r>
      <w:r w:rsidR="009B3471" w:rsidRPr="00120A36">
        <w:rPr>
          <w:rFonts w:ascii="Arial" w:hAnsi="Arial" w:cs="Arial"/>
          <w:color w:val="000000"/>
        </w:rPr>
        <w:t>births in the 1990s to 0</w:t>
      </w:r>
      <w:r w:rsidR="0073261A" w:rsidRPr="008019B4">
        <w:rPr>
          <w:rFonts w:ascii="Arial" w:hAnsi="Arial" w:cs="Arial"/>
        </w:rPr>
        <w:t>·</w:t>
      </w:r>
      <w:r w:rsidR="009B3471" w:rsidRPr="00120A36">
        <w:rPr>
          <w:rFonts w:ascii="Arial" w:hAnsi="Arial" w:cs="Arial"/>
          <w:color w:val="000000"/>
        </w:rPr>
        <w:t>21 per 1000 live</w:t>
      </w:r>
      <w:r w:rsidRPr="008019B4">
        <w:rPr>
          <w:rFonts w:ascii="Arial" w:hAnsi="Arial" w:cs="Arial"/>
          <w:color w:val="000000"/>
        </w:rPr>
        <w:t>-</w:t>
      </w:r>
      <w:r w:rsidR="009B3471" w:rsidRPr="00120A36">
        <w:rPr>
          <w:rFonts w:ascii="Arial" w:hAnsi="Arial" w:cs="Arial"/>
          <w:color w:val="000000"/>
        </w:rPr>
        <w:t>births in 2015.</w:t>
      </w:r>
      <w:r w:rsidR="00D57ABC" w:rsidRPr="008019B4">
        <w:rPr>
          <w:rFonts w:ascii="Arial" w:hAnsi="Arial" w:cs="Arial"/>
          <w:color w:val="000000"/>
          <w:vertAlign w:val="superscript"/>
        </w:rPr>
        <w:t>30</w:t>
      </w:r>
      <w:r w:rsidR="009B3471" w:rsidRPr="00120A36">
        <w:rPr>
          <w:rFonts w:ascii="Arial" w:hAnsi="Arial" w:cs="Arial"/>
          <w:color w:val="000000"/>
        </w:rPr>
        <w:t xml:space="preserve"> A smaller number of countries have maintained risk-based </w:t>
      </w:r>
      <w:r w:rsidR="00351758" w:rsidRPr="008019B4">
        <w:rPr>
          <w:rFonts w:ascii="Arial" w:hAnsi="Arial" w:cs="Arial"/>
          <w:color w:val="000000"/>
        </w:rPr>
        <w:t xml:space="preserve">guidelines, </w:t>
      </w:r>
      <w:r w:rsidR="009B3471" w:rsidRPr="00120A36">
        <w:rPr>
          <w:rFonts w:ascii="Arial" w:hAnsi="Arial" w:cs="Arial"/>
          <w:color w:val="000000"/>
        </w:rPr>
        <w:t xml:space="preserve">with reductions in EOD </w:t>
      </w:r>
      <w:r w:rsidR="00351758" w:rsidRPr="008019B4">
        <w:rPr>
          <w:rFonts w:ascii="Arial" w:hAnsi="Arial" w:cs="Arial"/>
          <w:color w:val="000000"/>
        </w:rPr>
        <w:t xml:space="preserve">also </w:t>
      </w:r>
      <w:r w:rsidR="009B3471" w:rsidRPr="00120A36">
        <w:rPr>
          <w:rFonts w:ascii="Arial" w:hAnsi="Arial" w:cs="Arial"/>
          <w:color w:val="000000"/>
        </w:rPr>
        <w:t xml:space="preserve">noted in </w:t>
      </w:r>
      <w:r w:rsidR="00351758" w:rsidRPr="008019B4">
        <w:rPr>
          <w:rFonts w:ascii="Arial" w:hAnsi="Arial" w:cs="Arial"/>
          <w:color w:val="000000"/>
        </w:rPr>
        <w:t>some (</w:t>
      </w:r>
      <w:r w:rsidR="006A1CB6" w:rsidRPr="008019B4">
        <w:rPr>
          <w:rFonts w:ascii="Arial" w:hAnsi="Arial" w:cs="Arial"/>
          <w:lang w:val="en-AU"/>
        </w:rPr>
        <w:t>New Zealand</w:t>
      </w:r>
      <w:r w:rsidR="006A1CB6" w:rsidRPr="008019B4">
        <w:rPr>
          <w:rFonts w:ascii="Arial" w:hAnsi="Arial" w:cs="Arial"/>
        </w:rPr>
        <w:t xml:space="preserve"> </w:t>
      </w:r>
      <w:r w:rsidR="00E13887" w:rsidRPr="008019B4">
        <w:rPr>
          <w:rFonts w:ascii="Arial" w:hAnsi="Arial" w:cs="Arial"/>
          <w:vertAlign w:val="superscript"/>
          <w:lang w:val="en-AU"/>
        </w:rPr>
        <w:t>8</w:t>
      </w:r>
      <w:r w:rsidR="006A1CB6" w:rsidRPr="008019B4">
        <w:rPr>
          <w:rFonts w:ascii="Arial" w:hAnsi="Arial" w:cs="Arial"/>
        </w:rPr>
        <w:t xml:space="preserve"> and </w:t>
      </w:r>
      <w:r w:rsidR="006A1CB6" w:rsidRPr="008019B4">
        <w:rPr>
          <w:rFonts w:ascii="Arial" w:hAnsi="Arial" w:cs="Arial"/>
          <w:lang w:val="en-AU"/>
        </w:rPr>
        <w:t xml:space="preserve">Denmark </w:t>
      </w:r>
      <w:r w:rsidR="00D57ABC" w:rsidRPr="008019B4">
        <w:rPr>
          <w:rFonts w:ascii="Arial" w:hAnsi="Arial" w:cs="Arial"/>
          <w:vertAlign w:val="superscript"/>
          <w:lang w:val="en-AU"/>
        </w:rPr>
        <w:t>31</w:t>
      </w:r>
      <w:r w:rsidR="008019B4" w:rsidRPr="008019B4">
        <w:rPr>
          <w:rFonts w:ascii="Arial" w:hAnsi="Arial" w:cs="Arial"/>
          <w:lang w:val="en-AU"/>
        </w:rPr>
        <w:t xml:space="preserve">), </w:t>
      </w:r>
      <w:r w:rsidR="00351758" w:rsidRPr="008019B4">
        <w:rPr>
          <w:rFonts w:ascii="Arial" w:hAnsi="Arial" w:cs="Arial"/>
          <w:lang w:val="en-AU"/>
        </w:rPr>
        <w:t>but not in all</w:t>
      </w:r>
      <w:r w:rsidR="005A64A3" w:rsidRPr="008019B4">
        <w:rPr>
          <w:rFonts w:ascii="Arial" w:hAnsi="Arial" w:cs="Arial"/>
          <w:lang w:val="en-AU"/>
        </w:rPr>
        <w:t xml:space="preserve"> countries</w:t>
      </w:r>
      <w:r w:rsidR="006A1CB6" w:rsidRPr="008019B4">
        <w:rPr>
          <w:rFonts w:ascii="Arial" w:hAnsi="Arial" w:cs="Arial"/>
          <w:lang w:val="en-AU"/>
        </w:rPr>
        <w:t xml:space="preserve">. </w:t>
      </w:r>
      <w:r w:rsidR="00351758" w:rsidRPr="008019B4">
        <w:rPr>
          <w:rFonts w:ascii="Arial" w:hAnsi="Arial" w:cs="Arial"/>
          <w:lang w:val="en-AU"/>
        </w:rPr>
        <w:t xml:space="preserve">Most recently, an </w:t>
      </w:r>
      <w:r w:rsidR="0011067C" w:rsidRPr="008019B4">
        <w:rPr>
          <w:rFonts w:ascii="Arial" w:hAnsi="Arial" w:cs="Arial"/>
        </w:rPr>
        <w:t xml:space="preserve">increasing incidence of </w:t>
      </w:r>
      <w:r w:rsidR="008019B4">
        <w:rPr>
          <w:rFonts w:ascii="Arial" w:hAnsi="Arial" w:cs="Arial"/>
        </w:rPr>
        <w:t xml:space="preserve">EO </w:t>
      </w:r>
      <w:r w:rsidR="0011067C" w:rsidRPr="008019B4">
        <w:rPr>
          <w:rFonts w:ascii="Arial" w:hAnsi="Arial" w:cs="Arial"/>
        </w:rPr>
        <w:t xml:space="preserve">GBS disease </w:t>
      </w:r>
      <w:r w:rsidR="00351758" w:rsidRPr="00C61C58">
        <w:rPr>
          <w:rFonts w:ascii="Arial" w:hAnsi="Arial" w:cs="Arial"/>
        </w:rPr>
        <w:t>has been described</w:t>
      </w:r>
      <w:r w:rsidR="00CB3ABB" w:rsidRPr="008019B4">
        <w:rPr>
          <w:rFonts w:ascii="Arial" w:hAnsi="Arial" w:cs="Arial"/>
        </w:rPr>
        <w:t xml:space="preserve"> in</w:t>
      </w:r>
      <w:r w:rsidR="00EE21DA" w:rsidRPr="008019B4">
        <w:rPr>
          <w:rFonts w:ascii="Arial" w:hAnsi="Arial" w:cs="Arial"/>
        </w:rPr>
        <w:t xml:space="preserve"> the Netherlands</w:t>
      </w:r>
      <w:r w:rsidR="008019B4" w:rsidRPr="008019B4">
        <w:rPr>
          <w:rFonts w:ascii="Arial" w:eastAsia="Times New Roman" w:hAnsi="Arial" w:cs="Arial"/>
          <w:color w:val="000000"/>
          <w:shd w:val="clear" w:color="auto" w:fill="FFFFFF"/>
        </w:rPr>
        <w:t xml:space="preserve"> (</w:t>
      </w:r>
      <w:r w:rsidR="008019B4" w:rsidRPr="00120A36">
        <w:rPr>
          <w:rFonts w:ascii="Arial" w:eastAsia="Times New Roman" w:hAnsi="Arial" w:cs="Arial"/>
          <w:color w:val="000000"/>
          <w:shd w:val="clear" w:color="auto" w:fill="FFFFFF"/>
          <w:lang w:eastAsia="en-US"/>
        </w:rPr>
        <w:t xml:space="preserve">from 0·11 to 0·19 per 1000 </w:t>
      </w:r>
      <w:r w:rsidR="005101D2" w:rsidRPr="005101D2">
        <w:rPr>
          <w:rFonts w:ascii="Arial" w:eastAsia="Times New Roman" w:hAnsi="Arial" w:cs="Arial"/>
          <w:color w:val="000000"/>
          <w:shd w:val="clear" w:color="auto" w:fill="FFFFFF"/>
          <w:lang w:eastAsia="en-US"/>
        </w:rPr>
        <w:t>live births between</w:t>
      </w:r>
      <w:r w:rsidR="005101D2">
        <w:rPr>
          <w:rFonts w:ascii="Arial" w:eastAsia="Times New Roman" w:hAnsi="Arial" w:cs="Arial"/>
          <w:color w:val="000000"/>
          <w:shd w:val="clear" w:color="auto" w:fill="FFFFFF"/>
          <w:lang w:eastAsia="en-US"/>
        </w:rPr>
        <w:t xml:space="preserve"> </w:t>
      </w:r>
      <w:r w:rsidR="008019B4" w:rsidRPr="00120A36">
        <w:rPr>
          <w:rFonts w:ascii="Arial" w:eastAsia="Times New Roman" w:hAnsi="Arial" w:cs="Arial"/>
          <w:color w:val="000000"/>
          <w:shd w:val="clear" w:color="auto" w:fill="FFFFFF"/>
          <w:lang w:eastAsia="en-US"/>
        </w:rPr>
        <w:t>1987 and 2011)</w:t>
      </w:r>
      <w:r w:rsidR="00EE21DA" w:rsidRPr="008019B4">
        <w:rPr>
          <w:rFonts w:ascii="Arial" w:hAnsi="Arial" w:cs="Arial"/>
        </w:rPr>
        <w:t xml:space="preserve">, </w:t>
      </w:r>
      <w:r w:rsidR="00CE3933" w:rsidRPr="008019B4">
        <w:rPr>
          <w:rFonts w:ascii="Arial" w:hAnsi="Arial" w:cs="Arial"/>
        </w:rPr>
        <w:t>a</w:t>
      </w:r>
      <w:r w:rsidR="00351758" w:rsidRPr="008019B4">
        <w:rPr>
          <w:rFonts w:ascii="Arial" w:hAnsi="Arial" w:cs="Arial"/>
        </w:rPr>
        <w:t>nother</w:t>
      </w:r>
      <w:r w:rsidR="00CE3933" w:rsidRPr="008019B4">
        <w:rPr>
          <w:rFonts w:ascii="Arial" w:hAnsi="Arial" w:cs="Arial"/>
        </w:rPr>
        <w:t xml:space="preserve"> country with risk-based </w:t>
      </w:r>
      <w:r w:rsidR="0034538B" w:rsidRPr="008019B4">
        <w:rPr>
          <w:rFonts w:ascii="Arial" w:hAnsi="Arial" w:cs="Arial"/>
        </w:rPr>
        <w:t xml:space="preserve">prevention </w:t>
      </w:r>
      <w:r w:rsidR="00CE3933" w:rsidRPr="008019B4">
        <w:rPr>
          <w:rFonts w:ascii="Arial" w:hAnsi="Arial" w:cs="Arial"/>
        </w:rPr>
        <w:t>guidelines</w:t>
      </w:r>
      <w:r w:rsidR="0011067C" w:rsidRPr="008019B4">
        <w:rPr>
          <w:rFonts w:ascii="Arial" w:hAnsi="Arial" w:cs="Arial"/>
        </w:rPr>
        <w:t>.</w:t>
      </w:r>
      <w:r w:rsidR="004B78D3" w:rsidRPr="008019B4">
        <w:rPr>
          <w:rFonts w:ascii="Arial" w:hAnsi="Arial" w:cs="Arial"/>
          <w:vertAlign w:val="superscript"/>
        </w:rPr>
        <w:t>32</w:t>
      </w:r>
      <w:r w:rsidR="00EE21DA" w:rsidRPr="008019B4">
        <w:rPr>
          <w:rFonts w:ascii="Arial" w:hAnsi="Arial" w:cs="Arial"/>
        </w:rPr>
        <w:t xml:space="preserve"> </w:t>
      </w:r>
    </w:p>
    <w:p w14:paraId="60C54039" w14:textId="77777777" w:rsidR="00AE546E" w:rsidRDefault="00AE546E" w:rsidP="00C61C58">
      <w:pPr>
        <w:spacing w:line="480" w:lineRule="auto"/>
        <w:rPr>
          <w:rFonts w:ascii="Arial" w:hAnsi="Arial" w:cs="Arial"/>
        </w:rPr>
      </w:pPr>
    </w:p>
    <w:p w14:paraId="1C76F390" w14:textId="33D3F728" w:rsidR="00627E47" w:rsidRDefault="00351758">
      <w:pPr>
        <w:spacing w:line="480" w:lineRule="auto"/>
        <w:rPr>
          <w:rFonts w:ascii="Arial" w:hAnsi="Arial" w:cs="Arial"/>
        </w:rPr>
      </w:pPr>
      <w:r>
        <w:rPr>
          <w:rFonts w:ascii="Arial" w:hAnsi="Arial" w:cs="Arial"/>
        </w:rPr>
        <w:t>For both the UK and the Netherlands, t</w:t>
      </w:r>
      <w:r w:rsidR="00A5277F">
        <w:rPr>
          <w:rFonts w:ascii="Arial" w:hAnsi="Arial" w:cs="Arial"/>
        </w:rPr>
        <w:t xml:space="preserve">his increase </w:t>
      </w:r>
      <w:r>
        <w:rPr>
          <w:rFonts w:ascii="Arial" w:hAnsi="Arial" w:cs="Arial"/>
        </w:rPr>
        <w:t xml:space="preserve">in incidence </w:t>
      </w:r>
      <w:r w:rsidR="00CB3ABB">
        <w:rPr>
          <w:rFonts w:ascii="Arial" w:hAnsi="Arial" w:cs="Arial"/>
        </w:rPr>
        <w:t xml:space="preserve">may </w:t>
      </w:r>
      <w:r w:rsidR="000756F7">
        <w:rPr>
          <w:rFonts w:ascii="Arial" w:hAnsi="Arial" w:cs="Arial"/>
        </w:rPr>
        <w:t>reflect</w:t>
      </w:r>
      <w:r w:rsidR="00A5277F">
        <w:rPr>
          <w:rFonts w:ascii="Arial" w:hAnsi="Arial" w:cs="Arial"/>
        </w:rPr>
        <w:t xml:space="preserve"> natural secular trends; </w:t>
      </w:r>
      <w:r w:rsidR="00CB3ABB">
        <w:rPr>
          <w:rFonts w:ascii="Arial" w:hAnsi="Arial" w:cs="Arial"/>
        </w:rPr>
        <w:t xml:space="preserve">for example, </w:t>
      </w:r>
      <w:r w:rsidR="00A5277F">
        <w:rPr>
          <w:rFonts w:ascii="Arial" w:hAnsi="Arial" w:cs="Arial"/>
        </w:rPr>
        <w:t xml:space="preserve">the serotypes responsible for both EOD and LOD disease have changed </w:t>
      </w:r>
      <w:r w:rsidR="0034538B">
        <w:rPr>
          <w:rFonts w:ascii="Arial" w:hAnsi="Arial" w:cs="Arial"/>
        </w:rPr>
        <w:t>over time in both countries</w:t>
      </w:r>
      <w:r w:rsidR="00A5277F">
        <w:rPr>
          <w:rFonts w:ascii="Arial" w:hAnsi="Arial" w:cs="Arial"/>
        </w:rPr>
        <w:t xml:space="preserve">. </w:t>
      </w:r>
      <w:r w:rsidR="009D4869">
        <w:rPr>
          <w:rFonts w:ascii="Arial" w:hAnsi="Arial" w:cs="Arial"/>
        </w:rPr>
        <w:t xml:space="preserve">A particular concern </w:t>
      </w:r>
      <w:r w:rsidR="00DF2D83">
        <w:rPr>
          <w:rFonts w:ascii="Arial" w:hAnsi="Arial" w:cs="Arial"/>
        </w:rPr>
        <w:t xml:space="preserve">in this regard </w:t>
      </w:r>
      <w:r w:rsidR="009D4869">
        <w:rPr>
          <w:rFonts w:ascii="Arial" w:hAnsi="Arial" w:cs="Arial"/>
        </w:rPr>
        <w:t xml:space="preserve">is the </w:t>
      </w:r>
      <w:r w:rsidR="00B92100">
        <w:rPr>
          <w:rFonts w:ascii="Arial" w:hAnsi="Arial" w:cs="Arial"/>
        </w:rPr>
        <w:t xml:space="preserve">large number of isolates identified as </w:t>
      </w:r>
      <w:r w:rsidR="005C6EA8" w:rsidRPr="005C6EA8">
        <w:rPr>
          <w:rFonts w:ascii="Arial" w:hAnsi="Arial" w:cs="Arial"/>
        </w:rPr>
        <w:t>ST</w:t>
      </w:r>
      <w:r w:rsidR="000632BA" w:rsidRPr="005C6EA8">
        <w:rPr>
          <w:rFonts w:ascii="Arial" w:hAnsi="Arial" w:cs="Arial"/>
        </w:rPr>
        <w:t xml:space="preserve">17, </w:t>
      </w:r>
      <w:r w:rsidR="00CE3933">
        <w:rPr>
          <w:rFonts w:ascii="Arial" w:hAnsi="Arial" w:cs="Arial"/>
        </w:rPr>
        <w:t xml:space="preserve">a clone known to be </w:t>
      </w:r>
      <w:r w:rsidR="00455A5A">
        <w:rPr>
          <w:rFonts w:ascii="Arial" w:hAnsi="Arial" w:cs="Arial"/>
        </w:rPr>
        <w:t xml:space="preserve">particularly </w:t>
      </w:r>
      <w:r w:rsidR="005C6EA8" w:rsidRPr="005C6EA8">
        <w:rPr>
          <w:rFonts w:ascii="Arial" w:hAnsi="Arial" w:cs="Arial"/>
        </w:rPr>
        <w:t>associat</w:t>
      </w:r>
      <w:r w:rsidR="005913A8">
        <w:rPr>
          <w:rFonts w:ascii="Arial" w:hAnsi="Arial" w:cs="Arial"/>
        </w:rPr>
        <w:t>ed</w:t>
      </w:r>
      <w:r w:rsidR="005C6EA8" w:rsidRPr="005C6EA8">
        <w:rPr>
          <w:rFonts w:ascii="Arial" w:hAnsi="Arial" w:cs="Arial"/>
        </w:rPr>
        <w:t xml:space="preserve"> with </w:t>
      </w:r>
      <w:r w:rsidR="009D4869">
        <w:rPr>
          <w:rFonts w:ascii="Arial" w:hAnsi="Arial" w:cs="Arial"/>
        </w:rPr>
        <w:t xml:space="preserve">a high risk of </w:t>
      </w:r>
      <w:r w:rsidR="005C6EA8" w:rsidRPr="005C6EA8">
        <w:rPr>
          <w:rFonts w:ascii="Arial" w:hAnsi="Arial" w:cs="Arial"/>
        </w:rPr>
        <w:t xml:space="preserve">invasive </w:t>
      </w:r>
      <w:r w:rsidR="005913A8">
        <w:rPr>
          <w:rFonts w:ascii="Arial" w:hAnsi="Arial" w:cs="Arial"/>
        </w:rPr>
        <w:t xml:space="preserve">neonatal </w:t>
      </w:r>
      <w:r w:rsidR="005C6EA8" w:rsidRPr="005C6EA8">
        <w:rPr>
          <w:rFonts w:ascii="Arial" w:hAnsi="Arial" w:cs="Arial"/>
        </w:rPr>
        <w:t>disease</w:t>
      </w:r>
      <w:r w:rsidR="009D4869">
        <w:rPr>
          <w:rFonts w:ascii="Arial" w:hAnsi="Arial" w:cs="Arial"/>
        </w:rPr>
        <w:t xml:space="preserve"> and</w:t>
      </w:r>
      <w:r w:rsidR="00AA170D">
        <w:rPr>
          <w:rFonts w:ascii="Arial" w:hAnsi="Arial" w:cs="Arial"/>
        </w:rPr>
        <w:t xml:space="preserve"> with</w:t>
      </w:r>
      <w:r w:rsidR="009D4869">
        <w:rPr>
          <w:rFonts w:ascii="Arial" w:hAnsi="Arial" w:cs="Arial"/>
        </w:rPr>
        <w:t xml:space="preserve"> meningitis</w:t>
      </w:r>
      <w:r w:rsidR="005C6EA8" w:rsidRPr="005C6EA8">
        <w:rPr>
          <w:rFonts w:ascii="Arial" w:hAnsi="Arial" w:cs="Arial"/>
        </w:rPr>
        <w:t>.</w:t>
      </w:r>
      <w:r w:rsidR="00F36BA3">
        <w:rPr>
          <w:rFonts w:ascii="Arial" w:hAnsi="Arial" w:cs="Arial"/>
          <w:vertAlign w:val="superscript"/>
        </w:rPr>
        <w:t>3</w:t>
      </w:r>
      <w:r w:rsidR="004B78D3">
        <w:rPr>
          <w:rFonts w:ascii="Arial" w:hAnsi="Arial" w:cs="Arial"/>
          <w:vertAlign w:val="superscript"/>
        </w:rPr>
        <w:t>3</w:t>
      </w:r>
      <w:r w:rsidR="009A33DB">
        <w:rPr>
          <w:rFonts w:ascii="Arial" w:hAnsi="Arial" w:cs="Arial"/>
          <w:vertAlign w:val="superscript"/>
        </w:rPr>
        <w:t>,3</w:t>
      </w:r>
      <w:r w:rsidR="004B78D3">
        <w:rPr>
          <w:rFonts w:ascii="Arial" w:hAnsi="Arial" w:cs="Arial"/>
          <w:vertAlign w:val="superscript"/>
        </w:rPr>
        <w:t>4</w:t>
      </w:r>
      <w:r w:rsidR="005C6EA8" w:rsidRPr="005C6EA8">
        <w:rPr>
          <w:rFonts w:ascii="Arial" w:hAnsi="Arial" w:cs="Arial"/>
        </w:rPr>
        <w:t xml:space="preserve"> </w:t>
      </w:r>
      <w:r w:rsidR="005A64A3">
        <w:rPr>
          <w:rFonts w:ascii="Arial" w:hAnsi="Arial" w:cs="Arial"/>
        </w:rPr>
        <w:t xml:space="preserve"> </w:t>
      </w:r>
      <w:r>
        <w:rPr>
          <w:rFonts w:ascii="Arial" w:hAnsi="Arial" w:cs="Arial"/>
        </w:rPr>
        <w:t>W</w:t>
      </w:r>
      <w:r w:rsidR="005913A8" w:rsidRPr="00CE21B4">
        <w:rPr>
          <w:rFonts w:ascii="Arial" w:hAnsi="Arial" w:cs="Arial"/>
        </w:rPr>
        <w:t xml:space="preserve">e do not have MLST data from the previous </w:t>
      </w:r>
      <w:r w:rsidR="0034538B">
        <w:rPr>
          <w:rFonts w:ascii="Arial" w:hAnsi="Arial" w:cs="Arial"/>
        </w:rPr>
        <w:t xml:space="preserve">UK </w:t>
      </w:r>
      <w:r w:rsidR="005913A8" w:rsidRPr="00CE21B4">
        <w:rPr>
          <w:rFonts w:ascii="Arial" w:hAnsi="Arial" w:cs="Arial"/>
        </w:rPr>
        <w:t xml:space="preserve">national surveillance study </w:t>
      </w:r>
      <w:r w:rsidR="007A4089" w:rsidRPr="00CE21B4">
        <w:rPr>
          <w:rFonts w:ascii="Arial" w:hAnsi="Arial" w:cs="Arial"/>
        </w:rPr>
        <w:t>with which to compare</w:t>
      </w:r>
      <w:r w:rsidR="005A64A3">
        <w:rPr>
          <w:rFonts w:ascii="Arial" w:hAnsi="Arial" w:cs="Arial"/>
        </w:rPr>
        <w:t>;</w:t>
      </w:r>
      <w:r w:rsidR="00DF2D83">
        <w:rPr>
          <w:rFonts w:ascii="Arial" w:hAnsi="Arial" w:cs="Arial"/>
        </w:rPr>
        <w:t xml:space="preserve"> h</w:t>
      </w:r>
      <w:r w:rsidR="00A4418A">
        <w:rPr>
          <w:rFonts w:ascii="Arial" w:hAnsi="Arial" w:cs="Arial"/>
        </w:rPr>
        <w:t xml:space="preserve">owever, there has been </w:t>
      </w:r>
      <w:r w:rsidR="0084295F">
        <w:rPr>
          <w:rFonts w:ascii="Arial" w:hAnsi="Arial" w:cs="Arial"/>
        </w:rPr>
        <w:t>an increase in the proportion of cases caused by serotype III</w:t>
      </w:r>
      <w:r w:rsidR="008E52D8">
        <w:rPr>
          <w:rFonts w:ascii="Arial" w:hAnsi="Arial" w:cs="Arial"/>
        </w:rPr>
        <w:t xml:space="preserve"> between the </w:t>
      </w:r>
      <w:r w:rsidR="004B78D3">
        <w:rPr>
          <w:rFonts w:ascii="Arial" w:hAnsi="Arial" w:cs="Arial"/>
        </w:rPr>
        <w:t>two</w:t>
      </w:r>
      <w:r w:rsidR="008E52D8">
        <w:rPr>
          <w:rFonts w:ascii="Arial" w:hAnsi="Arial" w:cs="Arial"/>
        </w:rPr>
        <w:t xml:space="preserve"> surveillance studies and </w:t>
      </w:r>
      <w:r w:rsidR="009170F9">
        <w:rPr>
          <w:rFonts w:ascii="Arial" w:hAnsi="Arial" w:cs="Arial"/>
        </w:rPr>
        <w:t xml:space="preserve">many of </w:t>
      </w:r>
      <w:r w:rsidR="008E52D8">
        <w:rPr>
          <w:rFonts w:ascii="Arial" w:hAnsi="Arial" w:cs="Arial"/>
        </w:rPr>
        <w:t xml:space="preserve">these </w:t>
      </w:r>
      <w:r w:rsidR="00975C31">
        <w:rPr>
          <w:rFonts w:ascii="Arial" w:hAnsi="Arial" w:cs="Arial"/>
        </w:rPr>
        <w:t>will belong</w:t>
      </w:r>
      <w:r w:rsidR="009D4869">
        <w:rPr>
          <w:rFonts w:ascii="Arial" w:hAnsi="Arial" w:cs="Arial"/>
        </w:rPr>
        <w:t xml:space="preserve"> to</w:t>
      </w:r>
      <w:r w:rsidR="009170F9">
        <w:rPr>
          <w:rFonts w:ascii="Arial" w:hAnsi="Arial" w:cs="Arial"/>
        </w:rPr>
        <w:t xml:space="preserve"> ST17</w:t>
      </w:r>
      <w:r w:rsidR="0084295F">
        <w:rPr>
          <w:rFonts w:ascii="Arial" w:hAnsi="Arial" w:cs="Arial"/>
        </w:rPr>
        <w:t>.</w:t>
      </w:r>
      <w:r w:rsidR="008E52D8">
        <w:rPr>
          <w:rFonts w:ascii="Arial" w:hAnsi="Arial" w:cs="Arial"/>
        </w:rPr>
        <w:t xml:space="preserve"> </w:t>
      </w:r>
    </w:p>
    <w:p w14:paraId="1A6A8C18" w14:textId="77777777" w:rsidR="00627E47" w:rsidRDefault="00627E47" w:rsidP="00351758">
      <w:pPr>
        <w:spacing w:line="480" w:lineRule="auto"/>
        <w:rPr>
          <w:rFonts w:ascii="Arial" w:hAnsi="Arial" w:cs="Arial"/>
        </w:rPr>
      </w:pPr>
    </w:p>
    <w:p w14:paraId="0A3DA6F3" w14:textId="77777777" w:rsidR="00AE546E" w:rsidRPr="00CE21B4" w:rsidRDefault="00AE546E" w:rsidP="00351758">
      <w:pPr>
        <w:spacing w:line="480" w:lineRule="auto"/>
        <w:rPr>
          <w:rFonts w:ascii="Arial" w:hAnsi="Arial" w:cs="Arial"/>
        </w:rPr>
      </w:pPr>
    </w:p>
    <w:p w14:paraId="6480F012" w14:textId="77777777" w:rsidR="003E1983" w:rsidRDefault="003E1983" w:rsidP="006C1C89">
      <w:pPr>
        <w:widowControl w:val="0"/>
        <w:autoSpaceDE w:val="0"/>
        <w:autoSpaceDN w:val="0"/>
        <w:adjustRightInd w:val="0"/>
        <w:spacing w:after="240" w:line="480" w:lineRule="auto"/>
        <w:rPr>
          <w:rFonts w:ascii="Arial" w:hAnsi="Arial" w:cs="Arial"/>
        </w:rPr>
      </w:pPr>
      <w:r>
        <w:rPr>
          <w:rFonts w:ascii="Arial" w:hAnsi="Arial" w:cs="Arial"/>
        </w:rPr>
        <w:lastRenderedPageBreak/>
        <w:t xml:space="preserve">Limitations. </w:t>
      </w:r>
    </w:p>
    <w:p w14:paraId="0FBF8209" w14:textId="5169770A" w:rsidR="005C6EA8" w:rsidRDefault="005C6EA8" w:rsidP="006C1C89">
      <w:pPr>
        <w:widowControl w:val="0"/>
        <w:autoSpaceDE w:val="0"/>
        <w:autoSpaceDN w:val="0"/>
        <w:adjustRightInd w:val="0"/>
        <w:spacing w:after="240" w:line="480" w:lineRule="auto"/>
        <w:rPr>
          <w:rFonts w:ascii="Arial" w:hAnsi="Arial" w:cs="Arial"/>
        </w:rPr>
      </w:pPr>
      <w:r>
        <w:rPr>
          <w:rFonts w:ascii="Arial" w:hAnsi="Arial" w:cs="Arial"/>
        </w:rPr>
        <w:t>As with any surveillance</w:t>
      </w:r>
      <w:r w:rsidR="003E3DFA">
        <w:rPr>
          <w:rFonts w:ascii="Arial" w:hAnsi="Arial" w:cs="Arial"/>
        </w:rPr>
        <w:t>, our estimate</w:t>
      </w:r>
      <w:r w:rsidR="002D5453">
        <w:rPr>
          <w:rFonts w:ascii="Arial" w:hAnsi="Arial" w:cs="Arial"/>
        </w:rPr>
        <w:t xml:space="preserve">s of disease burden </w:t>
      </w:r>
      <w:r>
        <w:rPr>
          <w:rFonts w:ascii="Arial" w:hAnsi="Arial" w:cs="Arial"/>
        </w:rPr>
        <w:t xml:space="preserve">should be considered </w:t>
      </w:r>
      <w:r w:rsidR="003E1983">
        <w:rPr>
          <w:rFonts w:ascii="Arial" w:hAnsi="Arial" w:cs="Arial"/>
        </w:rPr>
        <w:t xml:space="preserve">a </w:t>
      </w:r>
      <w:r>
        <w:rPr>
          <w:rFonts w:ascii="Arial" w:hAnsi="Arial" w:cs="Arial"/>
        </w:rPr>
        <w:t xml:space="preserve">minimum incidence. Although we attempted to maximize our ascertainment </w:t>
      </w:r>
      <w:r w:rsidR="003E3DFA">
        <w:rPr>
          <w:rFonts w:ascii="Arial" w:hAnsi="Arial" w:cs="Arial"/>
        </w:rPr>
        <w:t xml:space="preserve">using multiple sources, </w:t>
      </w:r>
      <w:r>
        <w:rPr>
          <w:rFonts w:ascii="Arial" w:hAnsi="Arial" w:cs="Arial"/>
        </w:rPr>
        <w:t xml:space="preserve">we recognise that there will </w:t>
      </w:r>
      <w:r w:rsidR="00714570">
        <w:rPr>
          <w:rFonts w:ascii="Arial" w:hAnsi="Arial" w:cs="Arial"/>
        </w:rPr>
        <w:t xml:space="preserve">inevitably </w:t>
      </w:r>
      <w:r>
        <w:rPr>
          <w:rFonts w:ascii="Arial" w:hAnsi="Arial" w:cs="Arial"/>
        </w:rPr>
        <w:t xml:space="preserve">be underreporting of cases. </w:t>
      </w:r>
      <w:r w:rsidR="003E3DFA">
        <w:rPr>
          <w:rFonts w:ascii="Arial" w:hAnsi="Arial" w:cs="Arial"/>
        </w:rPr>
        <w:t xml:space="preserve">It is </w:t>
      </w:r>
      <w:r w:rsidR="000756F7">
        <w:rPr>
          <w:rFonts w:ascii="Arial" w:hAnsi="Arial" w:cs="Arial"/>
        </w:rPr>
        <w:t xml:space="preserve">also </w:t>
      </w:r>
      <w:r w:rsidR="003E3DFA">
        <w:rPr>
          <w:rFonts w:ascii="Arial" w:hAnsi="Arial" w:cs="Arial"/>
        </w:rPr>
        <w:t xml:space="preserve">important to </w:t>
      </w:r>
      <w:r w:rsidR="00787256">
        <w:rPr>
          <w:rFonts w:ascii="Arial" w:hAnsi="Arial" w:cs="Arial"/>
        </w:rPr>
        <w:t>emphasize</w:t>
      </w:r>
      <w:r w:rsidR="006A5A99">
        <w:rPr>
          <w:rFonts w:ascii="Arial" w:hAnsi="Arial" w:cs="Arial"/>
        </w:rPr>
        <w:t xml:space="preserve"> that we have only reported the </w:t>
      </w:r>
      <w:r>
        <w:rPr>
          <w:rFonts w:ascii="Arial" w:hAnsi="Arial" w:cs="Arial"/>
        </w:rPr>
        <w:t>burden of culture</w:t>
      </w:r>
      <w:r w:rsidR="003E3DFA">
        <w:rPr>
          <w:rFonts w:ascii="Arial" w:hAnsi="Arial" w:cs="Arial"/>
        </w:rPr>
        <w:t>-</w:t>
      </w:r>
      <w:r>
        <w:rPr>
          <w:rFonts w:ascii="Arial" w:hAnsi="Arial" w:cs="Arial"/>
        </w:rPr>
        <w:t xml:space="preserve">confirmed cases. Infants with probable </w:t>
      </w:r>
      <w:r w:rsidR="0034538B">
        <w:rPr>
          <w:rFonts w:ascii="Arial" w:hAnsi="Arial" w:cs="Arial"/>
        </w:rPr>
        <w:t>(culture</w:t>
      </w:r>
      <w:r w:rsidR="002D5453">
        <w:rPr>
          <w:rFonts w:ascii="Arial" w:hAnsi="Arial" w:cs="Arial"/>
        </w:rPr>
        <w:t>-</w:t>
      </w:r>
      <w:r w:rsidR="0034538B">
        <w:rPr>
          <w:rFonts w:ascii="Arial" w:hAnsi="Arial" w:cs="Arial"/>
        </w:rPr>
        <w:t xml:space="preserve">negative) </w:t>
      </w:r>
      <w:r>
        <w:rPr>
          <w:rFonts w:ascii="Arial" w:hAnsi="Arial" w:cs="Arial"/>
        </w:rPr>
        <w:t>invasive GBS</w:t>
      </w:r>
      <w:r w:rsidR="000A695F">
        <w:rPr>
          <w:rFonts w:ascii="Arial" w:hAnsi="Arial" w:cs="Arial"/>
        </w:rPr>
        <w:t xml:space="preserve">, </w:t>
      </w:r>
      <w:r w:rsidR="0034538B">
        <w:rPr>
          <w:rFonts w:ascii="Arial" w:hAnsi="Arial" w:cs="Arial"/>
        </w:rPr>
        <w:t>s</w:t>
      </w:r>
      <w:r w:rsidR="0084295F">
        <w:rPr>
          <w:rFonts w:ascii="Arial" w:hAnsi="Arial" w:cs="Arial"/>
        </w:rPr>
        <w:t>tillbirths</w:t>
      </w:r>
      <w:r w:rsidR="001B5B0D">
        <w:rPr>
          <w:rFonts w:ascii="Arial" w:hAnsi="Arial" w:cs="Arial"/>
        </w:rPr>
        <w:t xml:space="preserve"> and </w:t>
      </w:r>
      <w:r w:rsidR="0084295F">
        <w:rPr>
          <w:rFonts w:ascii="Arial" w:hAnsi="Arial" w:cs="Arial"/>
        </w:rPr>
        <w:t>early pregnancy losses</w:t>
      </w:r>
      <w:r w:rsidR="001B5B0D">
        <w:rPr>
          <w:rFonts w:ascii="Arial" w:hAnsi="Arial" w:cs="Arial"/>
        </w:rPr>
        <w:t xml:space="preserve"> due to maternal GBS, and the </w:t>
      </w:r>
      <w:r w:rsidR="000756F7">
        <w:rPr>
          <w:rFonts w:ascii="Arial" w:hAnsi="Arial" w:cs="Arial"/>
        </w:rPr>
        <w:t xml:space="preserve">potential </w:t>
      </w:r>
      <w:r w:rsidR="001B5B0D">
        <w:rPr>
          <w:rFonts w:ascii="Arial" w:hAnsi="Arial" w:cs="Arial"/>
        </w:rPr>
        <w:t>contribution of GBS to premature births,</w:t>
      </w:r>
      <w:r w:rsidR="0084295F">
        <w:rPr>
          <w:rFonts w:ascii="Arial" w:hAnsi="Arial" w:cs="Arial"/>
        </w:rPr>
        <w:t xml:space="preserve"> </w:t>
      </w:r>
      <w:r w:rsidR="0090576A">
        <w:rPr>
          <w:rFonts w:ascii="Arial" w:hAnsi="Arial" w:cs="Arial"/>
        </w:rPr>
        <w:t xml:space="preserve">should </w:t>
      </w:r>
      <w:r w:rsidR="0034538B">
        <w:rPr>
          <w:rFonts w:ascii="Arial" w:hAnsi="Arial" w:cs="Arial"/>
        </w:rPr>
        <w:t xml:space="preserve">all </w:t>
      </w:r>
      <w:r w:rsidR="00DD0011">
        <w:rPr>
          <w:rFonts w:ascii="Arial" w:hAnsi="Arial" w:cs="Arial"/>
        </w:rPr>
        <w:t xml:space="preserve">be considered when assessing the </w:t>
      </w:r>
      <w:r w:rsidR="0034538B">
        <w:rPr>
          <w:rFonts w:ascii="Arial" w:hAnsi="Arial" w:cs="Arial"/>
        </w:rPr>
        <w:t>burden</w:t>
      </w:r>
      <w:r w:rsidR="00DD0011">
        <w:rPr>
          <w:rFonts w:ascii="Arial" w:hAnsi="Arial" w:cs="Arial"/>
        </w:rPr>
        <w:t xml:space="preserve"> of th</w:t>
      </w:r>
      <w:r w:rsidR="0034538B">
        <w:rPr>
          <w:rFonts w:ascii="Arial" w:hAnsi="Arial" w:cs="Arial"/>
        </w:rPr>
        <w:t>is</w:t>
      </w:r>
      <w:r w:rsidR="00DD0011">
        <w:rPr>
          <w:rFonts w:ascii="Arial" w:hAnsi="Arial" w:cs="Arial"/>
        </w:rPr>
        <w:t xml:space="preserve"> </w:t>
      </w:r>
      <w:r w:rsidR="000A695F">
        <w:rPr>
          <w:rFonts w:ascii="Arial" w:hAnsi="Arial" w:cs="Arial"/>
        </w:rPr>
        <w:t xml:space="preserve">disease. </w:t>
      </w:r>
      <w:r w:rsidR="000A695F" w:rsidRPr="000A695F">
        <w:rPr>
          <w:rFonts w:ascii="Arial" w:hAnsi="Arial" w:cs="Arial"/>
          <w:vertAlign w:val="superscript"/>
        </w:rPr>
        <w:t>3</w:t>
      </w:r>
      <w:r w:rsidR="009539F0">
        <w:rPr>
          <w:rFonts w:ascii="Arial" w:hAnsi="Arial" w:cs="Arial"/>
          <w:vertAlign w:val="superscript"/>
        </w:rPr>
        <w:t>9</w:t>
      </w:r>
    </w:p>
    <w:p w14:paraId="3CA213CD" w14:textId="503DE9C9" w:rsidR="00714570" w:rsidRDefault="00714570" w:rsidP="00AC6711">
      <w:pPr>
        <w:spacing w:line="480" w:lineRule="auto"/>
        <w:rPr>
          <w:rFonts w:ascii="Arial" w:hAnsi="Arial" w:cs="Arial"/>
        </w:rPr>
      </w:pPr>
      <w:r>
        <w:rPr>
          <w:rFonts w:ascii="Arial" w:hAnsi="Arial" w:cs="Arial"/>
        </w:rPr>
        <w:t>We recogni</w:t>
      </w:r>
      <w:r w:rsidR="00B46B9C">
        <w:rPr>
          <w:rFonts w:ascii="Arial" w:hAnsi="Arial" w:cs="Arial"/>
        </w:rPr>
        <w:t>s</w:t>
      </w:r>
      <w:r>
        <w:rPr>
          <w:rFonts w:ascii="Arial" w:hAnsi="Arial" w:cs="Arial"/>
        </w:rPr>
        <w:t>e that</w:t>
      </w:r>
      <w:r w:rsidR="00B46B9C">
        <w:rPr>
          <w:rFonts w:ascii="Arial" w:hAnsi="Arial" w:cs="Arial"/>
        </w:rPr>
        <w:t>,</w:t>
      </w:r>
      <w:r>
        <w:rPr>
          <w:rFonts w:ascii="Arial" w:hAnsi="Arial" w:cs="Arial"/>
        </w:rPr>
        <w:t xml:space="preserve"> in 53% of cases</w:t>
      </w:r>
      <w:r w:rsidR="00B46B9C">
        <w:rPr>
          <w:rFonts w:ascii="Arial" w:hAnsi="Arial" w:cs="Arial"/>
        </w:rPr>
        <w:t>,</w:t>
      </w:r>
      <w:r>
        <w:rPr>
          <w:rFonts w:ascii="Arial" w:hAnsi="Arial" w:cs="Arial"/>
        </w:rPr>
        <w:t xml:space="preserve"> isolates were not submitted to their respective</w:t>
      </w:r>
      <w:r w:rsidRPr="000E6468">
        <w:rPr>
          <w:rFonts w:ascii="Arial" w:hAnsi="Arial" w:cs="Arial"/>
        </w:rPr>
        <w:t xml:space="preserve"> reference laboratories</w:t>
      </w:r>
      <w:r>
        <w:rPr>
          <w:rFonts w:ascii="Arial" w:hAnsi="Arial" w:cs="Arial"/>
        </w:rPr>
        <w:t xml:space="preserve"> for analysis and</w:t>
      </w:r>
      <w:r w:rsidR="00270437">
        <w:rPr>
          <w:rFonts w:ascii="Arial" w:hAnsi="Arial" w:cs="Arial"/>
        </w:rPr>
        <w:t>,</w:t>
      </w:r>
      <w:r>
        <w:rPr>
          <w:rFonts w:ascii="Arial" w:hAnsi="Arial" w:cs="Arial"/>
        </w:rPr>
        <w:t xml:space="preserve"> therefore</w:t>
      </w:r>
      <w:r w:rsidR="00270437">
        <w:rPr>
          <w:rFonts w:ascii="Arial" w:hAnsi="Arial" w:cs="Arial"/>
        </w:rPr>
        <w:t>,</w:t>
      </w:r>
      <w:r>
        <w:rPr>
          <w:rFonts w:ascii="Arial" w:hAnsi="Arial" w:cs="Arial"/>
        </w:rPr>
        <w:t xml:space="preserve"> </w:t>
      </w:r>
      <w:r w:rsidR="003E1983">
        <w:rPr>
          <w:rFonts w:ascii="Arial" w:hAnsi="Arial" w:cs="Arial"/>
        </w:rPr>
        <w:t xml:space="preserve">the </w:t>
      </w:r>
      <w:r>
        <w:rPr>
          <w:rFonts w:ascii="Arial" w:hAnsi="Arial" w:cs="Arial"/>
        </w:rPr>
        <w:t xml:space="preserve">microbiological </w:t>
      </w:r>
      <w:r w:rsidR="003E1983">
        <w:rPr>
          <w:rFonts w:ascii="Arial" w:hAnsi="Arial" w:cs="Arial"/>
        </w:rPr>
        <w:t xml:space="preserve">data </w:t>
      </w:r>
      <w:r w:rsidR="00270437">
        <w:rPr>
          <w:rFonts w:ascii="Arial" w:hAnsi="Arial" w:cs="Arial"/>
        </w:rPr>
        <w:t>are</w:t>
      </w:r>
      <w:r w:rsidR="007317BF">
        <w:rPr>
          <w:rFonts w:ascii="Arial" w:hAnsi="Arial" w:cs="Arial"/>
        </w:rPr>
        <w:t xml:space="preserve"> not </w:t>
      </w:r>
      <w:r w:rsidR="003E1983">
        <w:rPr>
          <w:rFonts w:ascii="Arial" w:hAnsi="Arial" w:cs="Arial"/>
        </w:rPr>
        <w:t>complete</w:t>
      </w:r>
      <w:r>
        <w:rPr>
          <w:rFonts w:ascii="Arial" w:hAnsi="Arial" w:cs="Arial"/>
        </w:rPr>
        <w:t xml:space="preserve">. </w:t>
      </w:r>
      <w:r w:rsidR="003E1983">
        <w:rPr>
          <w:rFonts w:ascii="Arial" w:hAnsi="Arial" w:cs="Arial"/>
        </w:rPr>
        <w:t>We note that i</w:t>
      </w:r>
      <w:r w:rsidR="007317BF">
        <w:rPr>
          <w:rFonts w:ascii="Arial" w:hAnsi="Arial" w:cs="Arial"/>
        </w:rPr>
        <w:t xml:space="preserve">solates from cases of meningitis were more likely to have been </w:t>
      </w:r>
      <w:r w:rsidR="007E3097">
        <w:rPr>
          <w:rFonts w:ascii="Arial" w:hAnsi="Arial" w:cs="Arial"/>
        </w:rPr>
        <w:t xml:space="preserve">submitted for confirmation and </w:t>
      </w:r>
      <w:r w:rsidR="007317BF">
        <w:rPr>
          <w:rFonts w:ascii="Arial" w:hAnsi="Arial" w:cs="Arial"/>
        </w:rPr>
        <w:t>characteri</w:t>
      </w:r>
      <w:r w:rsidR="007E3097">
        <w:rPr>
          <w:rFonts w:ascii="Arial" w:hAnsi="Arial" w:cs="Arial"/>
        </w:rPr>
        <w:t>sation</w:t>
      </w:r>
      <w:r w:rsidR="007317BF">
        <w:rPr>
          <w:rFonts w:ascii="Arial" w:hAnsi="Arial" w:cs="Arial"/>
        </w:rPr>
        <w:t xml:space="preserve"> </w:t>
      </w:r>
      <w:r w:rsidR="007E3097">
        <w:rPr>
          <w:rFonts w:ascii="Arial" w:hAnsi="Arial" w:cs="Arial"/>
        </w:rPr>
        <w:t xml:space="preserve">could </w:t>
      </w:r>
      <w:r w:rsidR="007317BF">
        <w:rPr>
          <w:rFonts w:ascii="Arial" w:hAnsi="Arial" w:cs="Arial"/>
        </w:rPr>
        <w:t xml:space="preserve">impact the serotype and sequence type profiles that we have reported. </w:t>
      </w:r>
    </w:p>
    <w:p w14:paraId="0B21F498" w14:textId="77777777" w:rsidR="002B665B" w:rsidRDefault="002B665B" w:rsidP="00AC6711">
      <w:pPr>
        <w:spacing w:line="480" w:lineRule="auto"/>
        <w:rPr>
          <w:rFonts w:ascii="Arial" w:hAnsi="Arial" w:cs="Arial"/>
        </w:rPr>
      </w:pPr>
    </w:p>
    <w:p w14:paraId="401E7957" w14:textId="4E0CA3FC" w:rsidR="006C3F47" w:rsidRDefault="003E1983" w:rsidP="00AC6711">
      <w:pPr>
        <w:spacing w:line="480" w:lineRule="auto"/>
        <w:rPr>
          <w:rFonts w:ascii="Arial" w:hAnsi="Arial" w:cs="Arial"/>
          <w:vertAlign w:val="superscript"/>
        </w:rPr>
      </w:pPr>
      <w:r>
        <w:rPr>
          <w:rFonts w:ascii="Arial" w:hAnsi="Arial" w:cs="Arial"/>
        </w:rPr>
        <w:t>An additional limit</w:t>
      </w:r>
      <w:r w:rsidR="00707F60">
        <w:rPr>
          <w:rFonts w:ascii="Arial" w:hAnsi="Arial" w:cs="Arial"/>
        </w:rPr>
        <w:t xml:space="preserve">ation </w:t>
      </w:r>
      <w:r>
        <w:rPr>
          <w:rFonts w:ascii="Arial" w:hAnsi="Arial" w:cs="Arial"/>
        </w:rPr>
        <w:t xml:space="preserve">is that the comprehensive </w:t>
      </w:r>
      <w:r w:rsidR="00707F60">
        <w:rPr>
          <w:rFonts w:ascii="Arial" w:hAnsi="Arial" w:cs="Arial"/>
        </w:rPr>
        <w:t>s</w:t>
      </w:r>
      <w:r>
        <w:rPr>
          <w:rFonts w:ascii="Arial" w:hAnsi="Arial" w:cs="Arial"/>
        </w:rPr>
        <w:t xml:space="preserve">urveillance studies were performed </w:t>
      </w:r>
      <w:r w:rsidR="00707F60">
        <w:rPr>
          <w:rFonts w:ascii="Arial" w:hAnsi="Arial" w:cs="Arial"/>
        </w:rPr>
        <w:t xml:space="preserve">at </w:t>
      </w:r>
      <w:r>
        <w:rPr>
          <w:rFonts w:ascii="Arial" w:hAnsi="Arial" w:cs="Arial"/>
        </w:rPr>
        <w:t xml:space="preserve">two </w:t>
      </w:r>
      <w:r w:rsidR="00707F60">
        <w:rPr>
          <w:rFonts w:ascii="Arial" w:hAnsi="Arial" w:cs="Arial"/>
        </w:rPr>
        <w:t xml:space="preserve">fixed </w:t>
      </w:r>
      <w:r>
        <w:rPr>
          <w:rFonts w:ascii="Arial" w:hAnsi="Arial" w:cs="Arial"/>
        </w:rPr>
        <w:t xml:space="preserve">13-month </w:t>
      </w:r>
      <w:r w:rsidR="00707F60">
        <w:rPr>
          <w:rFonts w:ascii="Arial" w:hAnsi="Arial" w:cs="Arial"/>
        </w:rPr>
        <w:t xml:space="preserve">time points </w:t>
      </w:r>
      <w:r>
        <w:rPr>
          <w:rFonts w:ascii="Arial" w:hAnsi="Arial" w:cs="Arial"/>
        </w:rPr>
        <w:t xml:space="preserve">(2000-1 and 2014-15) </w:t>
      </w:r>
      <w:r w:rsidR="00707F60">
        <w:rPr>
          <w:rFonts w:ascii="Arial" w:hAnsi="Arial" w:cs="Arial"/>
        </w:rPr>
        <w:t xml:space="preserve">and </w:t>
      </w:r>
      <w:r>
        <w:rPr>
          <w:rFonts w:ascii="Arial" w:hAnsi="Arial" w:cs="Arial"/>
        </w:rPr>
        <w:t xml:space="preserve">not </w:t>
      </w:r>
      <w:r w:rsidR="003C5335">
        <w:rPr>
          <w:rFonts w:ascii="Arial" w:hAnsi="Arial" w:cs="Arial"/>
        </w:rPr>
        <w:t xml:space="preserve">as part of a continuous surveillance over this 15 year </w:t>
      </w:r>
      <w:r w:rsidR="007E3097">
        <w:rPr>
          <w:rFonts w:ascii="Arial" w:hAnsi="Arial" w:cs="Arial"/>
        </w:rPr>
        <w:t>interval</w:t>
      </w:r>
      <w:r w:rsidR="00707F60">
        <w:rPr>
          <w:rFonts w:ascii="Arial" w:hAnsi="Arial" w:cs="Arial"/>
        </w:rPr>
        <w:t xml:space="preserve">. However, national passive surveillance for England and Wales </w:t>
      </w:r>
      <w:r w:rsidR="003C5335">
        <w:rPr>
          <w:rFonts w:ascii="Arial" w:hAnsi="Arial" w:cs="Arial"/>
        </w:rPr>
        <w:t xml:space="preserve">is continuous and has </w:t>
      </w:r>
      <w:r w:rsidR="00707F60">
        <w:rPr>
          <w:rFonts w:ascii="Arial" w:hAnsi="Arial" w:cs="Arial"/>
        </w:rPr>
        <w:t>show</w:t>
      </w:r>
      <w:r w:rsidR="003C5335">
        <w:rPr>
          <w:rFonts w:ascii="Arial" w:hAnsi="Arial" w:cs="Arial"/>
        </w:rPr>
        <w:t>n</w:t>
      </w:r>
      <w:r w:rsidR="00707F60">
        <w:rPr>
          <w:rFonts w:ascii="Arial" w:hAnsi="Arial" w:cs="Arial"/>
        </w:rPr>
        <w:t xml:space="preserve"> that rates of disease have been consistent</w:t>
      </w:r>
      <w:r w:rsidR="003C5335">
        <w:rPr>
          <w:rFonts w:ascii="Arial" w:hAnsi="Arial" w:cs="Arial"/>
        </w:rPr>
        <w:t xml:space="preserve"> and </w:t>
      </w:r>
      <w:r w:rsidR="00707F60">
        <w:rPr>
          <w:rFonts w:ascii="Arial" w:hAnsi="Arial" w:cs="Arial"/>
        </w:rPr>
        <w:t>slowly risen over the period 2000-2010</w:t>
      </w:r>
      <w:r w:rsidR="003C5335">
        <w:rPr>
          <w:rFonts w:ascii="Arial" w:hAnsi="Arial" w:cs="Arial"/>
        </w:rPr>
        <w:t xml:space="preserve">, </w:t>
      </w:r>
      <w:r w:rsidR="0084628D">
        <w:rPr>
          <w:rFonts w:ascii="Arial" w:hAnsi="Arial" w:cs="Arial"/>
        </w:rPr>
        <w:t>in keeping with our findings</w:t>
      </w:r>
      <w:r w:rsidR="00707F60">
        <w:rPr>
          <w:rFonts w:ascii="Arial" w:hAnsi="Arial" w:cs="Arial"/>
        </w:rPr>
        <w:t>.</w:t>
      </w:r>
      <w:r w:rsidR="009539F0">
        <w:rPr>
          <w:rFonts w:ascii="Arial" w:hAnsi="Arial" w:cs="Arial"/>
          <w:vertAlign w:val="superscript"/>
        </w:rPr>
        <w:t>40</w:t>
      </w:r>
    </w:p>
    <w:p w14:paraId="048D31B7" w14:textId="77777777" w:rsidR="00627E47" w:rsidRDefault="00627E47" w:rsidP="00117DC6">
      <w:pPr>
        <w:spacing w:line="480" w:lineRule="auto"/>
        <w:rPr>
          <w:rFonts w:ascii="Arial" w:hAnsi="Arial" w:cs="Arial"/>
        </w:rPr>
      </w:pPr>
    </w:p>
    <w:p w14:paraId="29942ABA" w14:textId="6D66CCC3" w:rsidR="00C24680" w:rsidRDefault="00627E47" w:rsidP="00117DC6">
      <w:pPr>
        <w:spacing w:line="480" w:lineRule="auto"/>
        <w:rPr>
          <w:rFonts w:ascii="Arial" w:hAnsi="Arial" w:cs="Arial"/>
        </w:rPr>
      </w:pPr>
      <w:r>
        <w:rPr>
          <w:rFonts w:ascii="Arial" w:hAnsi="Arial" w:cs="Arial"/>
        </w:rPr>
        <w:lastRenderedPageBreak/>
        <w:t xml:space="preserve">Finally, </w:t>
      </w:r>
      <w:r w:rsidR="0084628D">
        <w:rPr>
          <w:rFonts w:ascii="Arial" w:hAnsi="Arial" w:cs="Arial"/>
        </w:rPr>
        <w:t xml:space="preserve">although </w:t>
      </w:r>
      <w:r w:rsidR="00B81323" w:rsidRPr="000E6468">
        <w:rPr>
          <w:rFonts w:ascii="Arial" w:hAnsi="Arial" w:cs="Arial"/>
        </w:rPr>
        <w:t xml:space="preserve">invasive GBS disease </w:t>
      </w:r>
      <w:r w:rsidR="00B81323">
        <w:rPr>
          <w:rFonts w:ascii="Arial" w:hAnsi="Arial" w:cs="Arial"/>
        </w:rPr>
        <w:t>bec</w:t>
      </w:r>
      <w:r w:rsidR="0084628D">
        <w:rPr>
          <w:rFonts w:ascii="Arial" w:hAnsi="Arial" w:cs="Arial"/>
        </w:rPr>
        <w:t>a</w:t>
      </w:r>
      <w:r w:rsidR="00B81323">
        <w:rPr>
          <w:rFonts w:ascii="Arial" w:hAnsi="Arial" w:cs="Arial"/>
        </w:rPr>
        <w:t xml:space="preserve">me </w:t>
      </w:r>
      <w:r w:rsidR="00B81323" w:rsidRPr="000E6468">
        <w:rPr>
          <w:rFonts w:ascii="Arial" w:hAnsi="Arial" w:cs="Arial"/>
        </w:rPr>
        <w:t xml:space="preserve">notifiable </w:t>
      </w:r>
      <w:r w:rsidR="00B81323">
        <w:rPr>
          <w:rFonts w:ascii="Arial" w:hAnsi="Arial" w:cs="Arial"/>
        </w:rPr>
        <w:t>i</w:t>
      </w:r>
      <w:r w:rsidR="00B81323" w:rsidRPr="000E6468">
        <w:rPr>
          <w:rFonts w:ascii="Arial" w:hAnsi="Arial" w:cs="Arial"/>
        </w:rPr>
        <w:t xml:space="preserve">n </w:t>
      </w:r>
      <w:r w:rsidR="00B81323">
        <w:rPr>
          <w:rFonts w:ascii="Arial" w:hAnsi="Arial" w:cs="Arial"/>
        </w:rPr>
        <w:t>ROI</w:t>
      </w:r>
      <w:r w:rsidR="00B81323" w:rsidRPr="000E6468">
        <w:rPr>
          <w:rFonts w:ascii="Arial" w:hAnsi="Arial" w:cs="Arial"/>
        </w:rPr>
        <w:t xml:space="preserve"> and </w:t>
      </w:r>
      <w:r w:rsidR="00B81323">
        <w:rPr>
          <w:rFonts w:ascii="Arial" w:hAnsi="Arial" w:cs="Arial"/>
        </w:rPr>
        <w:t>NI</w:t>
      </w:r>
      <w:r w:rsidR="00B81323" w:rsidRPr="000E6468">
        <w:rPr>
          <w:rFonts w:ascii="Arial" w:hAnsi="Arial" w:cs="Arial"/>
        </w:rPr>
        <w:t xml:space="preserve"> </w:t>
      </w:r>
      <w:r w:rsidR="00B81323">
        <w:rPr>
          <w:rFonts w:ascii="Arial" w:hAnsi="Arial" w:cs="Arial"/>
        </w:rPr>
        <w:t>since the previous surveillance</w:t>
      </w:r>
      <w:r w:rsidR="0084628D">
        <w:rPr>
          <w:rFonts w:ascii="Arial" w:hAnsi="Arial" w:cs="Arial"/>
        </w:rPr>
        <w:t xml:space="preserve">, this is likely to have </w:t>
      </w:r>
      <w:r w:rsidR="00B81323">
        <w:rPr>
          <w:rFonts w:ascii="Arial" w:hAnsi="Arial" w:cs="Arial"/>
        </w:rPr>
        <w:t xml:space="preserve">had </w:t>
      </w:r>
      <w:r w:rsidR="006B65AD">
        <w:rPr>
          <w:rFonts w:ascii="Arial" w:hAnsi="Arial" w:cs="Arial"/>
        </w:rPr>
        <w:t xml:space="preserve">only </w:t>
      </w:r>
      <w:r w:rsidR="00B81323">
        <w:rPr>
          <w:rFonts w:ascii="Arial" w:hAnsi="Arial" w:cs="Arial"/>
        </w:rPr>
        <w:t xml:space="preserve">a minimal effect </w:t>
      </w:r>
      <w:r w:rsidR="0084628D">
        <w:rPr>
          <w:rFonts w:ascii="Arial" w:hAnsi="Arial" w:cs="Arial"/>
        </w:rPr>
        <w:t xml:space="preserve">on overall estimates </w:t>
      </w:r>
      <w:r w:rsidR="00B81323">
        <w:rPr>
          <w:rFonts w:ascii="Arial" w:hAnsi="Arial" w:cs="Arial"/>
        </w:rPr>
        <w:t xml:space="preserve">because the proportion </w:t>
      </w:r>
      <w:r w:rsidR="0084628D">
        <w:rPr>
          <w:rFonts w:ascii="Arial" w:hAnsi="Arial" w:cs="Arial"/>
        </w:rPr>
        <w:t xml:space="preserve">of cases </w:t>
      </w:r>
      <w:r w:rsidR="00B81323">
        <w:rPr>
          <w:rFonts w:ascii="Arial" w:hAnsi="Arial" w:cs="Arial"/>
        </w:rPr>
        <w:t>notified by non-</w:t>
      </w:r>
      <w:r w:rsidR="0084628D">
        <w:rPr>
          <w:rFonts w:ascii="Arial" w:hAnsi="Arial" w:cs="Arial"/>
        </w:rPr>
        <w:t xml:space="preserve">clinical </w:t>
      </w:r>
      <w:r w:rsidR="00B81323">
        <w:rPr>
          <w:rFonts w:ascii="Arial" w:hAnsi="Arial" w:cs="Arial"/>
        </w:rPr>
        <w:t xml:space="preserve">sources </w:t>
      </w:r>
      <w:r w:rsidR="0084628D">
        <w:rPr>
          <w:rFonts w:ascii="Arial" w:hAnsi="Arial" w:cs="Arial"/>
        </w:rPr>
        <w:t xml:space="preserve">in ROI and NI </w:t>
      </w:r>
      <w:r w:rsidR="00B81323">
        <w:rPr>
          <w:rFonts w:ascii="Arial" w:hAnsi="Arial" w:cs="Arial"/>
        </w:rPr>
        <w:t xml:space="preserve">was similar to that of the other countries. </w:t>
      </w:r>
      <w:r w:rsidR="00097BC2">
        <w:rPr>
          <w:rFonts w:ascii="Arial" w:hAnsi="Arial" w:cs="Arial"/>
        </w:rPr>
        <w:t xml:space="preserve">We </w:t>
      </w:r>
      <w:r w:rsidR="00117DC6">
        <w:rPr>
          <w:rFonts w:ascii="Arial" w:hAnsi="Arial" w:cs="Arial"/>
        </w:rPr>
        <w:t xml:space="preserve">also </w:t>
      </w:r>
      <w:r w:rsidR="00097BC2">
        <w:rPr>
          <w:rFonts w:ascii="Arial" w:hAnsi="Arial" w:cs="Arial"/>
        </w:rPr>
        <w:t xml:space="preserve">cannot comment on </w:t>
      </w:r>
      <w:r>
        <w:rPr>
          <w:rFonts w:ascii="Arial" w:hAnsi="Arial" w:cs="Arial"/>
        </w:rPr>
        <w:t xml:space="preserve">the </w:t>
      </w:r>
      <w:r w:rsidR="00117DC6">
        <w:rPr>
          <w:rFonts w:ascii="Arial" w:hAnsi="Arial" w:cs="Arial"/>
        </w:rPr>
        <w:t xml:space="preserve">impact of the </w:t>
      </w:r>
      <w:r w:rsidR="00097BC2">
        <w:rPr>
          <w:rFonts w:ascii="Arial" w:hAnsi="Arial" w:cs="Arial"/>
        </w:rPr>
        <w:t>risk</w:t>
      </w:r>
      <w:r w:rsidR="00117DC6">
        <w:rPr>
          <w:rFonts w:ascii="Arial" w:hAnsi="Arial" w:cs="Arial"/>
        </w:rPr>
        <w:t>-</w:t>
      </w:r>
      <w:r w:rsidR="00097BC2">
        <w:rPr>
          <w:rFonts w:ascii="Arial" w:hAnsi="Arial" w:cs="Arial"/>
        </w:rPr>
        <w:t xml:space="preserve">based IAP </w:t>
      </w:r>
      <w:r w:rsidR="00117DC6">
        <w:rPr>
          <w:rFonts w:ascii="Arial" w:hAnsi="Arial" w:cs="Arial"/>
        </w:rPr>
        <w:t xml:space="preserve">recommendations because </w:t>
      </w:r>
      <w:r w:rsidR="00097BC2">
        <w:rPr>
          <w:rFonts w:ascii="Arial" w:hAnsi="Arial" w:cs="Arial"/>
        </w:rPr>
        <w:t xml:space="preserve">we do not have information on </w:t>
      </w:r>
      <w:r w:rsidR="00117DC6">
        <w:rPr>
          <w:rFonts w:ascii="Arial" w:hAnsi="Arial" w:cs="Arial"/>
        </w:rPr>
        <w:t xml:space="preserve">total </w:t>
      </w:r>
      <w:r w:rsidR="00097BC2">
        <w:rPr>
          <w:rFonts w:ascii="Arial" w:hAnsi="Arial" w:cs="Arial"/>
        </w:rPr>
        <w:t xml:space="preserve">deliveries with risk factors who did and did not receive IAP. </w:t>
      </w:r>
      <w:r w:rsidR="00117DC6">
        <w:rPr>
          <w:rFonts w:ascii="Arial" w:hAnsi="Arial" w:cs="Arial"/>
        </w:rPr>
        <w:t>Clinical and/or microbiological changes in culturing practices may also have change</w:t>
      </w:r>
      <w:r>
        <w:rPr>
          <w:rFonts w:ascii="Arial" w:hAnsi="Arial" w:cs="Arial"/>
        </w:rPr>
        <w:t>d</w:t>
      </w:r>
      <w:r w:rsidR="00117DC6">
        <w:rPr>
          <w:rFonts w:ascii="Arial" w:hAnsi="Arial" w:cs="Arial"/>
        </w:rPr>
        <w:t xml:space="preserve"> during the two surveillance periods, but </w:t>
      </w:r>
      <w:r w:rsidR="00C24680">
        <w:rPr>
          <w:rFonts w:ascii="Arial" w:hAnsi="Arial" w:cs="Arial"/>
        </w:rPr>
        <w:t xml:space="preserve">we do not have any evidence to support or refute this. </w:t>
      </w:r>
    </w:p>
    <w:p w14:paraId="15245C74" w14:textId="77777777" w:rsidR="00B17D8F" w:rsidRPr="00B81323" w:rsidRDefault="00B17D8F" w:rsidP="00AC6711">
      <w:pPr>
        <w:spacing w:line="480" w:lineRule="auto"/>
        <w:rPr>
          <w:rFonts w:ascii="Arial" w:hAnsi="Arial" w:cs="Arial"/>
        </w:rPr>
      </w:pPr>
    </w:p>
    <w:p w14:paraId="58A98D6E" w14:textId="4C23F7D1" w:rsidR="006C3F47" w:rsidRPr="002F4476" w:rsidRDefault="002B665B" w:rsidP="00AC6711">
      <w:pPr>
        <w:spacing w:line="480" w:lineRule="auto"/>
        <w:rPr>
          <w:rFonts w:ascii="Arial" w:hAnsi="Arial" w:cs="Arial"/>
          <w:b/>
          <w:bCs/>
        </w:rPr>
      </w:pPr>
      <w:r>
        <w:rPr>
          <w:rFonts w:ascii="Arial" w:hAnsi="Arial" w:cs="Arial"/>
        </w:rPr>
        <w:t>In conclusion t</w:t>
      </w:r>
      <w:r w:rsidR="0027263D" w:rsidRPr="0034538B">
        <w:rPr>
          <w:rFonts w:ascii="Arial" w:hAnsi="Arial" w:cs="Arial"/>
        </w:rPr>
        <w:t>he data from our study</w:t>
      </w:r>
      <w:r w:rsidR="00104F5D" w:rsidRPr="0034538B">
        <w:rPr>
          <w:rFonts w:ascii="Arial" w:hAnsi="Arial" w:cs="Arial"/>
        </w:rPr>
        <w:t>, particularly</w:t>
      </w:r>
      <w:r w:rsidR="0027263D" w:rsidRPr="0034538B">
        <w:rPr>
          <w:rFonts w:ascii="Arial" w:hAnsi="Arial" w:cs="Arial"/>
        </w:rPr>
        <w:t xml:space="preserve"> in relation to the </w:t>
      </w:r>
      <w:r w:rsidR="007317BF">
        <w:rPr>
          <w:rFonts w:ascii="Arial" w:hAnsi="Arial" w:cs="Arial"/>
        </w:rPr>
        <w:t xml:space="preserve">increased </w:t>
      </w:r>
      <w:r w:rsidR="008C6D0D" w:rsidRPr="0034538B">
        <w:rPr>
          <w:rFonts w:ascii="Arial" w:hAnsi="Arial" w:cs="Arial"/>
        </w:rPr>
        <w:t xml:space="preserve">incidence of </w:t>
      </w:r>
      <w:r w:rsidR="0027263D" w:rsidRPr="0034538B">
        <w:rPr>
          <w:rFonts w:ascii="Arial" w:hAnsi="Arial" w:cs="Arial"/>
        </w:rPr>
        <w:t>invasive GBS disease</w:t>
      </w:r>
      <w:r w:rsidR="008C6D0D" w:rsidRPr="0034538B">
        <w:rPr>
          <w:rFonts w:ascii="Arial" w:hAnsi="Arial" w:cs="Arial"/>
        </w:rPr>
        <w:t xml:space="preserve"> </w:t>
      </w:r>
      <w:r w:rsidR="007317BF">
        <w:rPr>
          <w:rFonts w:ascii="Arial" w:hAnsi="Arial" w:cs="Arial"/>
        </w:rPr>
        <w:t>in 2014-15 compared with 2000-</w:t>
      </w:r>
      <w:r w:rsidR="00563043">
        <w:rPr>
          <w:rFonts w:ascii="Arial" w:hAnsi="Arial" w:cs="Arial"/>
        </w:rPr>
        <w:t>0</w:t>
      </w:r>
      <w:r w:rsidR="007317BF">
        <w:rPr>
          <w:rFonts w:ascii="Arial" w:hAnsi="Arial" w:cs="Arial"/>
        </w:rPr>
        <w:t xml:space="preserve">1, </w:t>
      </w:r>
      <w:r w:rsidR="003E1983">
        <w:rPr>
          <w:rFonts w:ascii="Arial" w:hAnsi="Arial" w:cs="Arial"/>
        </w:rPr>
        <w:t>together with a</w:t>
      </w:r>
      <w:r w:rsidR="007317BF">
        <w:rPr>
          <w:rFonts w:ascii="Arial" w:hAnsi="Arial" w:cs="Arial"/>
        </w:rPr>
        <w:t xml:space="preserve"> rising background incidence ascertained through passive surveillance</w:t>
      </w:r>
      <w:r w:rsidR="00190F03">
        <w:rPr>
          <w:rFonts w:ascii="Arial" w:hAnsi="Arial" w:cs="Arial"/>
        </w:rPr>
        <w:t>,</w:t>
      </w:r>
      <w:r w:rsidR="007317BF">
        <w:rPr>
          <w:rFonts w:ascii="Arial" w:hAnsi="Arial" w:cs="Arial"/>
        </w:rPr>
        <w:t xml:space="preserve"> and </w:t>
      </w:r>
      <w:r w:rsidR="008C6D0D" w:rsidRPr="0034538B">
        <w:rPr>
          <w:rFonts w:ascii="Arial" w:hAnsi="Arial" w:cs="Arial"/>
        </w:rPr>
        <w:t xml:space="preserve">despite </w:t>
      </w:r>
      <w:r w:rsidR="007317BF">
        <w:rPr>
          <w:rFonts w:ascii="Arial" w:hAnsi="Arial" w:cs="Arial"/>
        </w:rPr>
        <w:t xml:space="preserve">the presence of </w:t>
      </w:r>
      <w:r w:rsidR="008C6D0D" w:rsidRPr="0034538B">
        <w:rPr>
          <w:rFonts w:ascii="Arial" w:hAnsi="Arial" w:cs="Arial"/>
        </w:rPr>
        <w:t xml:space="preserve">national guidelines for </w:t>
      </w:r>
      <w:r w:rsidR="00190F03">
        <w:rPr>
          <w:rFonts w:ascii="Arial" w:hAnsi="Arial" w:cs="Arial"/>
        </w:rPr>
        <w:t xml:space="preserve">EOD </w:t>
      </w:r>
      <w:r w:rsidR="008C6D0D" w:rsidRPr="0034538B">
        <w:rPr>
          <w:rFonts w:ascii="Arial" w:hAnsi="Arial" w:cs="Arial"/>
        </w:rPr>
        <w:t>prevention</w:t>
      </w:r>
      <w:r w:rsidR="00190F03">
        <w:rPr>
          <w:rFonts w:ascii="Arial" w:hAnsi="Arial" w:cs="Arial"/>
        </w:rPr>
        <w:t>,</w:t>
      </w:r>
      <w:r w:rsidR="001D76B6">
        <w:rPr>
          <w:rFonts w:ascii="Arial" w:hAnsi="Arial" w:cs="Arial"/>
        </w:rPr>
        <w:t xml:space="preserve"> </w:t>
      </w:r>
      <w:r w:rsidR="008C6D0D" w:rsidRPr="0034538B">
        <w:rPr>
          <w:rFonts w:ascii="Arial" w:hAnsi="Arial" w:cs="Arial"/>
        </w:rPr>
        <w:t>provide a strong rationale for an effective antenatal GBS vaccine</w:t>
      </w:r>
      <w:r w:rsidR="0027263D" w:rsidRPr="0034538B">
        <w:rPr>
          <w:rFonts w:ascii="Arial" w:hAnsi="Arial" w:cs="Arial"/>
        </w:rPr>
        <w:t>.</w:t>
      </w:r>
      <w:r w:rsidR="0027263D" w:rsidRPr="002F4476">
        <w:rPr>
          <w:rFonts w:ascii="Arial" w:hAnsi="Arial" w:cs="Arial"/>
        </w:rPr>
        <w:t xml:space="preserve"> </w:t>
      </w:r>
      <w:r w:rsidR="007317BF">
        <w:rPr>
          <w:rFonts w:ascii="Arial" w:hAnsi="Arial" w:cs="Arial"/>
        </w:rPr>
        <w:t xml:space="preserve">This is particularly so </w:t>
      </w:r>
      <w:r w:rsidR="003E1983">
        <w:rPr>
          <w:rFonts w:ascii="Arial" w:hAnsi="Arial" w:cs="Arial"/>
        </w:rPr>
        <w:t>when considering prevention of</w:t>
      </w:r>
      <w:r w:rsidR="007317BF">
        <w:rPr>
          <w:rFonts w:ascii="Arial" w:hAnsi="Arial" w:cs="Arial"/>
        </w:rPr>
        <w:t xml:space="preserve"> LOD </w:t>
      </w:r>
      <w:r w:rsidR="00190F03">
        <w:rPr>
          <w:rFonts w:ascii="Arial" w:hAnsi="Arial" w:cs="Arial"/>
        </w:rPr>
        <w:t>because</w:t>
      </w:r>
      <w:r w:rsidR="003E1983">
        <w:rPr>
          <w:rFonts w:ascii="Arial" w:hAnsi="Arial" w:cs="Arial"/>
        </w:rPr>
        <w:t>,</w:t>
      </w:r>
      <w:r w:rsidR="00190F03">
        <w:rPr>
          <w:rFonts w:ascii="Arial" w:hAnsi="Arial" w:cs="Arial"/>
        </w:rPr>
        <w:t xml:space="preserve"> regardless of </w:t>
      </w:r>
      <w:r w:rsidR="00117DC6">
        <w:rPr>
          <w:rFonts w:ascii="Arial" w:hAnsi="Arial" w:cs="Arial"/>
        </w:rPr>
        <w:t xml:space="preserve">the </w:t>
      </w:r>
      <w:r w:rsidR="00190F03">
        <w:rPr>
          <w:rFonts w:ascii="Arial" w:hAnsi="Arial" w:cs="Arial"/>
        </w:rPr>
        <w:t>strategy</w:t>
      </w:r>
      <w:r w:rsidR="00117DC6">
        <w:rPr>
          <w:rFonts w:ascii="Arial" w:hAnsi="Arial" w:cs="Arial"/>
        </w:rPr>
        <w:t xml:space="preserve"> used to identify </w:t>
      </w:r>
      <w:r w:rsidR="006B65AD">
        <w:rPr>
          <w:rFonts w:ascii="Arial" w:hAnsi="Arial" w:cs="Arial"/>
        </w:rPr>
        <w:t>infants at high risk of EOD</w:t>
      </w:r>
      <w:r w:rsidR="003E1983">
        <w:rPr>
          <w:rFonts w:ascii="Arial" w:hAnsi="Arial" w:cs="Arial"/>
        </w:rPr>
        <w:t>,</w:t>
      </w:r>
      <w:r w:rsidR="00190F03">
        <w:rPr>
          <w:rFonts w:ascii="Arial" w:hAnsi="Arial" w:cs="Arial"/>
        </w:rPr>
        <w:t xml:space="preserve"> </w:t>
      </w:r>
      <w:r w:rsidR="007317BF">
        <w:rPr>
          <w:rFonts w:ascii="Arial" w:hAnsi="Arial" w:cs="Arial"/>
        </w:rPr>
        <w:t xml:space="preserve">IAP </w:t>
      </w:r>
      <w:r w:rsidR="00190F03">
        <w:rPr>
          <w:rFonts w:ascii="Arial" w:hAnsi="Arial" w:cs="Arial"/>
        </w:rPr>
        <w:t>will have no impact</w:t>
      </w:r>
      <w:r w:rsidR="00627E47">
        <w:rPr>
          <w:rFonts w:ascii="Arial" w:hAnsi="Arial" w:cs="Arial"/>
        </w:rPr>
        <w:t xml:space="preserve"> on LOD</w:t>
      </w:r>
      <w:r w:rsidR="00190F03">
        <w:rPr>
          <w:rFonts w:ascii="Arial" w:hAnsi="Arial" w:cs="Arial"/>
        </w:rPr>
        <w:t xml:space="preserve">. </w:t>
      </w:r>
      <w:r w:rsidR="008C6D0D" w:rsidRPr="002F4476">
        <w:rPr>
          <w:rFonts w:ascii="Arial" w:hAnsi="Arial" w:cs="Arial"/>
        </w:rPr>
        <w:t>The leading candidates are capsular polysaccharide</w:t>
      </w:r>
      <w:r w:rsidR="00403108" w:rsidRPr="002F4476">
        <w:rPr>
          <w:rFonts w:ascii="Arial" w:hAnsi="Arial" w:cs="Arial"/>
        </w:rPr>
        <w:t xml:space="preserve">-protein conjugate vaccines and our data </w:t>
      </w:r>
      <w:r w:rsidR="00403108" w:rsidRPr="0034538B">
        <w:rPr>
          <w:rFonts w:ascii="Arial" w:hAnsi="Arial" w:cs="Arial"/>
        </w:rPr>
        <w:t>suggest that a</w:t>
      </w:r>
      <w:r w:rsidR="006C3F47" w:rsidRPr="0034538B">
        <w:rPr>
          <w:rFonts w:ascii="Arial" w:hAnsi="Arial" w:cs="Arial"/>
        </w:rPr>
        <w:t xml:space="preserve"> pentavalent </w:t>
      </w:r>
      <w:r w:rsidR="00403108" w:rsidRPr="0034538B">
        <w:rPr>
          <w:rFonts w:ascii="Arial" w:hAnsi="Arial" w:cs="Arial"/>
        </w:rPr>
        <w:t xml:space="preserve">conjugate </w:t>
      </w:r>
      <w:r w:rsidR="006C3F47" w:rsidRPr="0034538B">
        <w:rPr>
          <w:rFonts w:ascii="Arial" w:hAnsi="Arial" w:cs="Arial"/>
        </w:rPr>
        <w:t>vaccine</w:t>
      </w:r>
      <w:r w:rsidR="000146C5" w:rsidRPr="0034538B">
        <w:rPr>
          <w:rFonts w:ascii="Arial" w:hAnsi="Arial" w:cs="Arial"/>
        </w:rPr>
        <w:t xml:space="preserve"> (</w:t>
      </w:r>
      <w:r w:rsidR="00403108" w:rsidRPr="0034538B">
        <w:rPr>
          <w:rFonts w:ascii="Arial" w:hAnsi="Arial" w:cs="Arial"/>
        </w:rPr>
        <w:t xml:space="preserve">containing serotypes </w:t>
      </w:r>
      <w:r w:rsidR="000146C5" w:rsidRPr="0034538B">
        <w:rPr>
          <w:rFonts w:ascii="Arial" w:hAnsi="Arial" w:cs="Arial"/>
        </w:rPr>
        <w:t>Ia, Ib, II, III, V</w:t>
      </w:r>
      <w:r w:rsidR="00DC0713" w:rsidRPr="0034538B">
        <w:rPr>
          <w:rFonts w:ascii="Arial" w:hAnsi="Arial" w:cs="Arial"/>
        </w:rPr>
        <w:t>) could</w:t>
      </w:r>
      <w:r w:rsidR="006C3F47" w:rsidRPr="0034538B">
        <w:rPr>
          <w:rFonts w:ascii="Arial" w:hAnsi="Arial" w:cs="Arial"/>
        </w:rPr>
        <w:t xml:space="preserve"> cover </w:t>
      </w:r>
      <w:r w:rsidR="00403108" w:rsidRPr="0034538B">
        <w:rPr>
          <w:rFonts w:ascii="Arial" w:hAnsi="Arial" w:cs="Arial"/>
        </w:rPr>
        <w:t xml:space="preserve">around </w:t>
      </w:r>
      <w:r w:rsidR="00563043" w:rsidRPr="0034538B">
        <w:rPr>
          <w:rFonts w:ascii="Arial" w:hAnsi="Arial" w:cs="Arial"/>
        </w:rPr>
        <w:t>9</w:t>
      </w:r>
      <w:r w:rsidR="00563043">
        <w:rPr>
          <w:rFonts w:ascii="Arial" w:hAnsi="Arial" w:cs="Arial"/>
        </w:rPr>
        <w:t>4</w:t>
      </w:r>
      <w:r w:rsidR="006C3F47" w:rsidRPr="0034538B">
        <w:rPr>
          <w:rFonts w:ascii="Arial" w:hAnsi="Arial" w:cs="Arial"/>
        </w:rPr>
        <w:t>% of disease</w:t>
      </w:r>
      <w:r w:rsidR="00403108" w:rsidRPr="0034538B">
        <w:rPr>
          <w:rFonts w:ascii="Arial" w:hAnsi="Arial" w:cs="Arial"/>
        </w:rPr>
        <w:t xml:space="preserve">-causing isolates </w:t>
      </w:r>
      <w:r w:rsidR="006C3F47" w:rsidRPr="0034538B">
        <w:rPr>
          <w:rFonts w:ascii="Arial" w:hAnsi="Arial" w:cs="Arial"/>
        </w:rPr>
        <w:t xml:space="preserve">in </w:t>
      </w:r>
      <w:r w:rsidR="006A5A99" w:rsidRPr="0034538B">
        <w:rPr>
          <w:rFonts w:ascii="Arial" w:hAnsi="Arial" w:cs="Arial"/>
        </w:rPr>
        <w:t>young infants</w:t>
      </w:r>
      <w:r w:rsidR="006C3F47" w:rsidRPr="0034538B">
        <w:rPr>
          <w:rFonts w:ascii="Arial" w:hAnsi="Arial" w:cs="Arial"/>
        </w:rPr>
        <w:t xml:space="preserve">. </w:t>
      </w:r>
      <w:r w:rsidR="00BC4DC6">
        <w:rPr>
          <w:rFonts w:ascii="Arial" w:hAnsi="Arial" w:cs="Arial"/>
          <w:vertAlign w:val="superscript"/>
        </w:rPr>
        <w:t>12</w:t>
      </w:r>
    </w:p>
    <w:p w14:paraId="7BF157BA" w14:textId="77777777" w:rsidR="006B65AD" w:rsidRDefault="006B65AD" w:rsidP="00D51E36">
      <w:pPr>
        <w:widowControl w:val="0"/>
        <w:autoSpaceDE w:val="0"/>
        <w:autoSpaceDN w:val="0"/>
        <w:adjustRightInd w:val="0"/>
        <w:spacing w:after="240" w:line="480" w:lineRule="auto"/>
        <w:rPr>
          <w:rFonts w:ascii="Arial" w:hAnsi="Arial" w:cs="Arial"/>
          <w:b/>
          <w:bCs/>
        </w:rPr>
      </w:pPr>
    </w:p>
    <w:p w14:paraId="74BF7D05" w14:textId="77777777" w:rsidR="006B65AD" w:rsidRDefault="006B65AD" w:rsidP="00D51E36">
      <w:pPr>
        <w:widowControl w:val="0"/>
        <w:autoSpaceDE w:val="0"/>
        <w:autoSpaceDN w:val="0"/>
        <w:adjustRightInd w:val="0"/>
        <w:spacing w:after="240" w:line="480" w:lineRule="auto"/>
        <w:rPr>
          <w:rFonts w:ascii="Arial" w:hAnsi="Arial" w:cs="Arial"/>
          <w:b/>
          <w:bCs/>
        </w:rPr>
      </w:pPr>
    </w:p>
    <w:p w14:paraId="2BC35716" w14:textId="77777777" w:rsidR="00707F60" w:rsidRDefault="00707F60" w:rsidP="00D51E36">
      <w:pPr>
        <w:widowControl w:val="0"/>
        <w:autoSpaceDE w:val="0"/>
        <w:autoSpaceDN w:val="0"/>
        <w:adjustRightInd w:val="0"/>
        <w:spacing w:after="240" w:line="480" w:lineRule="auto"/>
        <w:rPr>
          <w:rFonts w:ascii="Arial" w:hAnsi="Arial" w:cs="Arial"/>
          <w:b/>
          <w:bCs/>
        </w:rPr>
      </w:pPr>
    </w:p>
    <w:p w14:paraId="7519E9F4" w14:textId="1AE6E259" w:rsidR="00330550" w:rsidRPr="00262752" w:rsidRDefault="00330550" w:rsidP="00D51E36">
      <w:pPr>
        <w:widowControl w:val="0"/>
        <w:autoSpaceDE w:val="0"/>
        <w:autoSpaceDN w:val="0"/>
        <w:adjustRightInd w:val="0"/>
        <w:spacing w:after="240" w:line="480" w:lineRule="auto"/>
        <w:rPr>
          <w:rFonts w:ascii="Arial" w:hAnsi="Arial" w:cs="Arial"/>
          <w:b/>
          <w:bCs/>
        </w:rPr>
      </w:pPr>
      <w:r w:rsidRPr="00583D9A">
        <w:rPr>
          <w:rFonts w:ascii="Arial" w:hAnsi="Arial" w:cs="Arial"/>
          <w:b/>
          <w:bCs/>
        </w:rPr>
        <w:lastRenderedPageBreak/>
        <w:t>Contributors</w:t>
      </w:r>
    </w:p>
    <w:p w14:paraId="47248C0B" w14:textId="77777777" w:rsidR="001D13E8" w:rsidRPr="00AF3B01" w:rsidRDefault="001D13E8" w:rsidP="001D13E8">
      <w:pPr>
        <w:widowControl w:val="0"/>
        <w:autoSpaceDE w:val="0"/>
        <w:autoSpaceDN w:val="0"/>
        <w:adjustRightInd w:val="0"/>
        <w:spacing w:after="240" w:line="480" w:lineRule="auto"/>
        <w:rPr>
          <w:rFonts w:ascii="Arial" w:hAnsi="Arial" w:cs="Arial"/>
          <w:b/>
          <w:bCs/>
        </w:rPr>
      </w:pPr>
      <w:r>
        <w:rPr>
          <w:rFonts w:ascii="Arial" w:hAnsi="Arial" w:cs="Arial"/>
        </w:rPr>
        <w:t xml:space="preserve">C.P.O’S, TL, AE and </w:t>
      </w:r>
      <w:r w:rsidRPr="00AF3B01">
        <w:rPr>
          <w:rFonts w:ascii="Arial" w:hAnsi="Arial" w:cs="Arial" w:hint="eastAsia"/>
        </w:rPr>
        <w:t>P</w:t>
      </w:r>
      <w:r>
        <w:rPr>
          <w:rFonts w:ascii="Arial" w:hAnsi="Arial" w:cs="Arial"/>
        </w:rPr>
        <w:t>T</w:t>
      </w:r>
      <w:r w:rsidRPr="003B33D5">
        <w:rPr>
          <w:rFonts w:ascii="Arial" w:hAnsi="Arial" w:cs="Arial"/>
        </w:rPr>
        <w:t xml:space="preserve">H </w:t>
      </w:r>
      <w:r w:rsidRPr="00AF3B01">
        <w:rPr>
          <w:rFonts w:ascii="Arial" w:hAnsi="Arial" w:cs="Arial" w:hint="eastAsia"/>
        </w:rPr>
        <w:t>conceived the ide</w:t>
      </w:r>
      <w:r w:rsidRPr="003B33D5">
        <w:rPr>
          <w:rFonts w:ascii="Arial" w:hAnsi="Arial" w:cs="Arial"/>
        </w:rPr>
        <w:t>a and designed the study;</w:t>
      </w:r>
      <w:r w:rsidRPr="00AF3B01">
        <w:rPr>
          <w:rFonts w:ascii="Arial" w:hAnsi="Arial" w:cs="Arial" w:hint="eastAsia"/>
        </w:rPr>
        <w:t xml:space="preserve"> </w:t>
      </w:r>
      <w:r>
        <w:rPr>
          <w:rFonts w:ascii="Arial" w:hAnsi="Arial" w:cs="Arial"/>
        </w:rPr>
        <w:t xml:space="preserve">TL oversaw the development of the web-based survey application with design input from C.P.O’S, PTH and AE. CPO’S, TL, DP, RC, MM, AJR, RC, LD, MB, GK, VC, DL, AS, ED </w:t>
      </w:r>
      <w:r w:rsidRPr="00AF3B01">
        <w:rPr>
          <w:rFonts w:ascii="Arial" w:hAnsi="Arial" w:cs="Arial" w:hint="eastAsia"/>
        </w:rPr>
        <w:t xml:space="preserve">provided </w:t>
      </w:r>
      <w:r>
        <w:rPr>
          <w:rFonts w:ascii="Arial" w:hAnsi="Arial" w:cs="Arial"/>
        </w:rPr>
        <w:t>laboratory surveillance</w:t>
      </w:r>
      <w:r w:rsidRPr="00AF3B01">
        <w:rPr>
          <w:rFonts w:ascii="Arial" w:hAnsi="Arial" w:cs="Arial" w:hint="eastAsia"/>
        </w:rPr>
        <w:t xml:space="preserve"> data and </w:t>
      </w:r>
      <w:r w:rsidRPr="003B33D5">
        <w:rPr>
          <w:rFonts w:ascii="Arial" w:hAnsi="Arial" w:cs="Arial"/>
        </w:rPr>
        <w:t>a</w:t>
      </w:r>
      <w:r w:rsidRPr="00AF3B01">
        <w:rPr>
          <w:rFonts w:ascii="Arial" w:hAnsi="Arial" w:cs="Arial" w:hint="eastAsia"/>
        </w:rPr>
        <w:t xml:space="preserve">ll authors interpreted data. </w:t>
      </w:r>
      <w:r>
        <w:rPr>
          <w:rFonts w:ascii="Arial" w:hAnsi="Arial" w:cs="Arial"/>
        </w:rPr>
        <w:t xml:space="preserve">C.P.O’S, SL, TL and </w:t>
      </w:r>
      <w:r w:rsidRPr="009F738E">
        <w:rPr>
          <w:rFonts w:ascii="Arial" w:hAnsi="Arial" w:cs="Arial"/>
        </w:rPr>
        <w:t>P</w:t>
      </w:r>
      <w:r>
        <w:rPr>
          <w:rFonts w:ascii="Arial" w:hAnsi="Arial" w:cs="Arial"/>
        </w:rPr>
        <w:t>T</w:t>
      </w:r>
      <w:r w:rsidRPr="003B33D5">
        <w:rPr>
          <w:rFonts w:ascii="Arial" w:hAnsi="Arial" w:cs="Arial"/>
        </w:rPr>
        <w:t xml:space="preserve">H </w:t>
      </w:r>
      <w:r w:rsidRPr="009F738E">
        <w:rPr>
          <w:rFonts w:ascii="Arial" w:hAnsi="Arial" w:cs="Arial"/>
        </w:rPr>
        <w:t xml:space="preserve">analysed </w:t>
      </w:r>
      <w:r>
        <w:rPr>
          <w:rFonts w:ascii="Arial" w:hAnsi="Arial" w:cs="Arial"/>
        </w:rPr>
        <w:t xml:space="preserve">the data; C.P.O’S, SL and </w:t>
      </w:r>
      <w:r w:rsidRPr="009F738E">
        <w:rPr>
          <w:rFonts w:ascii="Arial" w:hAnsi="Arial" w:cs="Arial"/>
        </w:rPr>
        <w:t>P</w:t>
      </w:r>
      <w:r>
        <w:rPr>
          <w:rFonts w:ascii="Arial" w:hAnsi="Arial" w:cs="Arial"/>
        </w:rPr>
        <w:t>T</w:t>
      </w:r>
      <w:r w:rsidRPr="003B33D5">
        <w:rPr>
          <w:rFonts w:ascii="Arial" w:hAnsi="Arial" w:cs="Arial"/>
        </w:rPr>
        <w:t xml:space="preserve">H </w:t>
      </w:r>
      <w:r>
        <w:rPr>
          <w:rFonts w:ascii="Arial" w:hAnsi="Arial" w:cs="Arial"/>
        </w:rPr>
        <w:t>drafted</w:t>
      </w:r>
      <w:r w:rsidRPr="00AF3B01">
        <w:rPr>
          <w:rFonts w:ascii="Arial" w:hAnsi="Arial" w:cs="Arial" w:hint="eastAsia"/>
        </w:rPr>
        <w:t xml:space="preserve"> the </w:t>
      </w:r>
      <w:r>
        <w:rPr>
          <w:rFonts w:ascii="Arial" w:hAnsi="Arial" w:cs="Arial"/>
        </w:rPr>
        <w:t xml:space="preserve">manuscript and </w:t>
      </w:r>
      <w:r w:rsidRPr="003B33D5">
        <w:rPr>
          <w:rFonts w:ascii="Arial" w:hAnsi="Arial" w:cs="Arial"/>
        </w:rPr>
        <w:t>a</w:t>
      </w:r>
      <w:r w:rsidRPr="00AF3B01">
        <w:rPr>
          <w:rFonts w:ascii="Arial" w:hAnsi="Arial" w:cs="Arial" w:hint="eastAsia"/>
        </w:rPr>
        <w:t xml:space="preserve">ll authors </w:t>
      </w:r>
      <w:r>
        <w:rPr>
          <w:rFonts w:ascii="Arial" w:hAnsi="Arial" w:cs="Arial"/>
        </w:rPr>
        <w:t xml:space="preserve">reviewed and </w:t>
      </w:r>
      <w:r w:rsidRPr="00AF3B01">
        <w:rPr>
          <w:rFonts w:ascii="Arial" w:hAnsi="Arial" w:cs="Arial" w:hint="eastAsia"/>
        </w:rPr>
        <w:t xml:space="preserve">approved the </w:t>
      </w:r>
      <w:r>
        <w:rPr>
          <w:rFonts w:ascii="Arial" w:hAnsi="Arial" w:cs="Arial"/>
        </w:rPr>
        <w:t xml:space="preserve">final </w:t>
      </w:r>
      <w:r w:rsidRPr="00AF3B01">
        <w:rPr>
          <w:rFonts w:ascii="Arial" w:hAnsi="Arial" w:cs="Arial" w:hint="eastAsia"/>
        </w:rPr>
        <w:t xml:space="preserve">manuscript. </w:t>
      </w:r>
    </w:p>
    <w:p w14:paraId="2F62805B" w14:textId="77777777" w:rsidR="006544B4" w:rsidRPr="00120A36" w:rsidRDefault="006544B4" w:rsidP="00D51E36">
      <w:pPr>
        <w:widowControl w:val="0"/>
        <w:autoSpaceDE w:val="0"/>
        <w:autoSpaceDN w:val="0"/>
        <w:adjustRightInd w:val="0"/>
        <w:spacing w:after="240" w:line="480" w:lineRule="auto"/>
        <w:rPr>
          <w:rFonts w:ascii="Arial" w:hAnsi="Arial" w:cs="Arial"/>
          <w:color w:val="000000"/>
        </w:rPr>
      </w:pPr>
    </w:p>
    <w:p w14:paraId="004181C2" w14:textId="50E0EC1F" w:rsidR="00330550" w:rsidRPr="00120A36" w:rsidRDefault="006544B4" w:rsidP="00D51E36">
      <w:pPr>
        <w:widowControl w:val="0"/>
        <w:autoSpaceDE w:val="0"/>
        <w:autoSpaceDN w:val="0"/>
        <w:adjustRightInd w:val="0"/>
        <w:spacing w:after="240" w:line="480" w:lineRule="auto"/>
        <w:rPr>
          <w:rFonts w:ascii="Arial" w:hAnsi="Arial" w:cs="Arial"/>
          <w:color w:val="000000"/>
        </w:rPr>
      </w:pPr>
      <w:r w:rsidRPr="00120A36">
        <w:rPr>
          <w:rFonts w:ascii="Arial" w:hAnsi="Arial" w:cs="Arial"/>
          <w:color w:val="000000"/>
        </w:rPr>
        <w:t>We declare that we have no conflicts of interest.</w:t>
      </w:r>
    </w:p>
    <w:p w14:paraId="5FCF50FA" w14:textId="77777777" w:rsidR="006544B4" w:rsidRDefault="006544B4" w:rsidP="00D51E36">
      <w:pPr>
        <w:widowControl w:val="0"/>
        <w:autoSpaceDE w:val="0"/>
        <w:autoSpaceDN w:val="0"/>
        <w:adjustRightInd w:val="0"/>
        <w:spacing w:after="240" w:line="480" w:lineRule="auto"/>
        <w:rPr>
          <w:rFonts w:ascii="Arial" w:hAnsi="Arial" w:cs="Arial"/>
          <w:b/>
          <w:bCs/>
        </w:rPr>
      </w:pPr>
    </w:p>
    <w:p w14:paraId="67FDD48F" w14:textId="77777777" w:rsidR="00AC3B78" w:rsidRPr="000E6468" w:rsidRDefault="00AC3B78" w:rsidP="00D51E36">
      <w:pPr>
        <w:widowControl w:val="0"/>
        <w:autoSpaceDE w:val="0"/>
        <w:autoSpaceDN w:val="0"/>
        <w:adjustRightInd w:val="0"/>
        <w:spacing w:after="240" w:line="480" w:lineRule="auto"/>
        <w:rPr>
          <w:rFonts w:ascii="Arial" w:hAnsi="Arial" w:cs="Arial"/>
        </w:rPr>
      </w:pPr>
      <w:r w:rsidRPr="000E6468">
        <w:rPr>
          <w:rFonts w:ascii="Arial" w:hAnsi="Arial" w:cs="Arial"/>
          <w:b/>
          <w:bCs/>
        </w:rPr>
        <w:t>Acknowledgments</w:t>
      </w:r>
    </w:p>
    <w:p w14:paraId="5D4F300C" w14:textId="11C652D8" w:rsidR="000E6468" w:rsidRPr="000E6468" w:rsidRDefault="000E6468" w:rsidP="00D51E36">
      <w:pPr>
        <w:spacing w:line="480" w:lineRule="auto"/>
        <w:rPr>
          <w:rFonts w:ascii="Arial" w:hAnsi="Arial" w:cs="Arial"/>
        </w:rPr>
      </w:pPr>
      <w:r w:rsidRPr="000E6468">
        <w:rPr>
          <w:rFonts w:ascii="Arial" w:hAnsi="Arial" w:cs="Arial"/>
        </w:rPr>
        <w:t xml:space="preserve">We would like to acknowledge the BPSU, and all of the paediatricians, neonatologists, and microbiologists who have assisted in the study. </w:t>
      </w:r>
    </w:p>
    <w:p w14:paraId="475693EC" w14:textId="77777777" w:rsidR="000E6468" w:rsidRPr="000E6468" w:rsidRDefault="000E6468" w:rsidP="00D51E36">
      <w:pPr>
        <w:spacing w:line="480" w:lineRule="auto"/>
        <w:rPr>
          <w:rFonts w:ascii="Arial" w:hAnsi="Arial" w:cs="Arial"/>
        </w:rPr>
      </w:pPr>
    </w:p>
    <w:p w14:paraId="40E5C69B" w14:textId="77777777" w:rsidR="006316AF" w:rsidRDefault="006316AF" w:rsidP="006316AF">
      <w:pPr>
        <w:rPr>
          <w:rFonts w:ascii="Arial" w:hAnsi="Arial" w:cs="Arial"/>
        </w:rPr>
      </w:pPr>
      <w:r w:rsidRPr="000E6468">
        <w:rPr>
          <w:rFonts w:ascii="Arial" w:hAnsi="Arial" w:cs="Arial"/>
        </w:rPr>
        <w:t>Additionally, we would like to acknowledge Nader Mozakka, Shahzad Shake</w:t>
      </w:r>
      <w:r>
        <w:rPr>
          <w:rFonts w:ascii="Arial" w:hAnsi="Arial" w:cs="Arial"/>
        </w:rPr>
        <w:t xml:space="preserve">b, </w:t>
      </w:r>
    </w:p>
    <w:p w14:paraId="4A00FD21" w14:textId="77777777" w:rsidR="006316AF" w:rsidRDefault="006316AF" w:rsidP="006316AF">
      <w:pPr>
        <w:rPr>
          <w:rFonts w:ascii="Arial" w:hAnsi="Arial" w:cs="Arial"/>
        </w:rPr>
      </w:pPr>
    </w:p>
    <w:p w14:paraId="72DF9D60" w14:textId="77777777" w:rsidR="00037064" w:rsidRDefault="006316AF" w:rsidP="006316AF">
      <w:pPr>
        <w:rPr>
          <w:rFonts w:ascii="Arial" w:hAnsi="Arial" w:cs="Arial"/>
        </w:rPr>
      </w:pPr>
      <w:r>
        <w:rPr>
          <w:rFonts w:ascii="Arial" w:hAnsi="Arial" w:cs="Arial"/>
        </w:rPr>
        <w:t>Bevan Loon, and Nick Hinton f</w:t>
      </w:r>
      <w:r w:rsidRPr="000E6468">
        <w:rPr>
          <w:rFonts w:ascii="Arial" w:hAnsi="Arial" w:cs="Arial"/>
        </w:rPr>
        <w:t>rom Public Health England, Diogo Marques</w:t>
      </w:r>
      <w:r w:rsidR="00037064">
        <w:rPr>
          <w:rFonts w:ascii="Arial" w:hAnsi="Arial" w:cs="Arial"/>
        </w:rPr>
        <w:t xml:space="preserve"> </w:t>
      </w:r>
    </w:p>
    <w:p w14:paraId="712FE16D" w14:textId="77777777" w:rsidR="00037064" w:rsidRDefault="00037064" w:rsidP="006316AF">
      <w:pPr>
        <w:rPr>
          <w:rFonts w:ascii="Arial" w:hAnsi="Arial" w:cs="Arial"/>
        </w:rPr>
      </w:pPr>
    </w:p>
    <w:p w14:paraId="62DBDA2F" w14:textId="77777777" w:rsidR="00037064" w:rsidRDefault="00037064" w:rsidP="006316AF">
      <w:pPr>
        <w:rPr>
          <w:rFonts w:ascii="Arial" w:hAnsi="Arial" w:cs="Arial"/>
        </w:rPr>
      </w:pPr>
      <w:r>
        <w:rPr>
          <w:rFonts w:ascii="Arial" w:hAnsi="Arial" w:cs="Arial"/>
        </w:rPr>
        <w:t xml:space="preserve">and Ross Cameron </w:t>
      </w:r>
      <w:r w:rsidR="006316AF" w:rsidRPr="000E6468">
        <w:rPr>
          <w:rFonts w:ascii="Arial" w:hAnsi="Arial" w:cs="Arial"/>
        </w:rPr>
        <w:t xml:space="preserve">from Health Protection Scotland, </w:t>
      </w:r>
      <w:r w:rsidR="006316AF">
        <w:rPr>
          <w:rFonts w:ascii="Arial" w:hAnsi="Arial" w:cs="Arial"/>
        </w:rPr>
        <w:t xml:space="preserve">Stephen Murchan, </w:t>
      </w:r>
    </w:p>
    <w:p w14:paraId="7E91C9F9" w14:textId="77777777" w:rsidR="00037064" w:rsidRDefault="00037064" w:rsidP="006316AF">
      <w:pPr>
        <w:rPr>
          <w:rFonts w:ascii="Arial" w:hAnsi="Arial" w:cs="Arial"/>
        </w:rPr>
      </w:pPr>
    </w:p>
    <w:p w14:paraId="6A9103F0" w14:textId="77777777" w:rsidR="00037064" w:rsidRDefault="006316AF" w:rsidP="006316AF">
      <w:pPr>
        <w:rPr>
          <w:rFonts w:ascii="Arial" w:hAnsi="Arial" w:cs="Arial"/>
        </w:rPr>
      </w:pPr>
      <w:r>
        <w:rPr>
          <w:rFonts w:ascii="Arial" w:hAnsi="Arial" w:cs="Arial"/>
        </w:rPr>
        <w:t xml:space="preserve">Health Protection Surveillance Centre, Professor </w:t>
      </w:r>
      <w:r w:rsidRPr="000E6468">
        <w:rPr>
          <w:rFonts w:ascii="Arial" w:hAnsi="Arial" w:cs="Arial"/>
        </w:rPr>
        <w:t xml:space="preserve">Marian Knight and Melanie </w:t>
      </w:r>
    </w:p>
    <w:p w14:paraId="377F9110" w14:textId="77777777" w:rsidR="00037064" w:rsidRDefault="00037064" w:rsidP="006316AF">
      <w:pPr>
        <w:rPr>
          <w:rFonts w:ascii="Arial" w:hAnsi="Arial" w:cs="Arial"/>
        </w:rPr>
      </w:pPr>
    </w:p>
    <w:p w14:paraId="2250FF13" w14:textId="77777777" w:rsidR="00037064" w:rsidRDefault="006316AF" w:rsidP="006316AF">
      <w:pPr>
        <w:rPr>
          <w:rFonts w:ascii="Arial" w:hAnsi="Arial" w:cs="Arial"/>
        </w:rPr>
      </w:pPr>
      <w:r w:rsidRPr="000E6468">
        <w:rPr>
          <w:rFonts w:ascii="Arial" w:hAnsi="Arial" w:cs="Arial"/>
        </w:rPr>
        <w:t xml:space="preserve">O’Connor from UKOSS, Shrey Mathur and Maxine Ng from St. George’s </w:t>
      </w:r>
    </w:p>
    <w:p w14:paraId="42975208" w14:textId="77777777" w:rsidR="00037064" w:rsidRDefault="00037064" w:rsidP="006316AF">
      <w:pPr>
        <w:rPr>
          <w:rFonts w:ascii="Arial" w:hAnsi="Arial" w:cs="Arial"/>
        </w:rPr>
      </w:pPr>
    </w:p>
    <w:p w14:paraId="34D7FE60" w14:textId="77777777" w:rsidR="00037064" w:rsidRDefault="006316AF" w:rsidP="006316AF">
      <w:pPr>
        <w:rPr>
          <w:rFonts w:ascii="Arial" w:hAnsi="Arial" w:cs="Arial"/>
        </w:rPr>
      </w:pPr>
      <w:r w:rsidRPr="000E6468">
        <w:rPr>
          <w:rFonts w:ascii="Arial" w:hAnsi="Arial" w:cs="Arial"/>
        </w:rPr>
        <w:t xml:space="preserve">Paediatric Infectious </w:t>
      </w:r>
      <w:r w:rsidRPr="005A3575">
        <w:rPr>
          <w:rFonts w:ascii="Arial" w:hAnsi="Arial" w:cs="Arial"/>
        </w:rPr>
        <w:t xml:space="preserve">Diseases Research Group, and Sandra Morgan from the </w:t>
      </w:r>
    </w:p>
    <w:p w14:paraId="75D20F7C" w14:textId="77777777" w:rsidR="00037064" w:rsidRDefault="00037064" w:rsidP="006316AF">
      <w:pPr>
        <w:rPr>
          <w:rFonts w:ascii="Arial" w:hAnsi="Arial" w:cs="Arial"/>
        </w:rPr>
      </w:pPr>
    </w:p>
    <w:p w14:paraId="6C7ABEC2" w14:textId="77777777" w:rsidR="00037064" w:rsidRDefault="006316AF" w:rsidP="006316AF">
      <w:pPr>
        <w:rPr>
          <w:rFonts w:ascii="Arial" w:hAnsi="Arial" w:cs="Arial"/>
        </w:rPr>
      </w:pPr>
      <w:r w:rsidRPr="005A3575">
        <w:rPr>
          <w:rFonts w:ascii="Arial" w:hAnsi="Arial" w:cs="Arial"/>
        </w:rPr>
        <w:t xml:space="preserve">Irish Meningitis and Sepsis Reference Laboratory. Also </w:t>
      </w:r>
      <w:r>
        <w:rPr>
          <w:rFonts w:ascii="Arial" w:hAnsi="Arial" w:cs="Arial"/>
        </w:rPr>
        <w:t xml:space="preserve">from PHE - </w:t>
      </w:r>
      <w:r w:rsidRPr="00481EC2">
        <w:rPr>
          <w:rFonts w:ascii="Arial" w:hAnsi="Arial" w:cs="Arial"/>
        </w:rPr>
        <w:t xml:space="preserve">Chenchal </w:t>
      </w:r>
    </w:p>
    <w:p w14:paraId="41C6DF4E" w14:textId="77777777" w:rsidR="00037064" w:rsidRDefault="00037064" w:rsidP="006316AF">
      <w:pPr>
        <w:rPr>
          <w:rFonts w:ascii="Arial" w:hAnsi="Arial" w:cs="Arial"/>
        </w:rPr>
      </w:pPr>
    </w:p>
    <w:p w14:paraId="6F36750B" w14:textId="77777777" w:rsidR="00037064" w:rsidRDefault="006316AF" w:rsidP="006316AF">
      <w:pPr>
        <w:rPr>
          <w:rFonts w:ascii="Arial" w:hAnsi="Arial" w:cs="Arial"/>
        </w:rPr>
      </w:pPr>
      <w:r w:rsidRPr="00481EC2">
        <w:rPr>
          <w:rFonts w:ascii="Arial" w:hAnsi="Arial" w:cs="Arial"/>
        </w:rPr>
        <w:t xml:space="preserve">Dhami, Roger Daniel and Karen Broughton for serotyping and DNA </w:t>
      </w:r>
    </w:p>
    <w:p w14:paraId="6D0E029F" w14:textId="77777777" w:rsidR="00037064" w:rsidRDefault="00037064" w:rsidP="006316AF">
      <w:pPr>
        <w:rPr>
          <w:rFonts w:ascii="Arial" w:hAnsi="Arial" w:cs="Arial"/>
        </w:rPr>
      </w:pPr>
    </w:p>
    <w:p w14:paraId="5F986584" w14:textId="77777777" w:rsidR="00037064" w:rsidRDefault="006316AF" w:rsidP="006316AF">
      <w:pPr>
        <w:rPr>
          <w:rFonts w:ascii="Arial" w:hAnsi="Arial" w:cs="Arial"/>
        </w:rPr>
      </w:pPr>
      <w:r w:rsidRPr="00481EC2">
        <w:rPr>
          <w:rFonts w:ascii="Arial" w:hAnsi="Arial" w:cs="Arial"/>
        </w:rPr>
        <w:t xml:space="preserve">extraction, McDonald Prest for help with antibiotic resistance testing, and </w:t>
      </w:r>
    </w:p>
    <w:p w14:paraId="3A2CA708" w14:textId="77777777" w:rsidR="00037064" w:rsidRDefault="00037064" w:rsidP="006316AF">
      <w:pPr>
        <w:rPr>
          <w:rFonts w:ascii="Arial" w:hAnsi="Arial" w:cs="Arial"/>
        </w:rPr>
      </w:pPr>
    </w:p>
    <w:p w14:paraId="407D420B" w14:textId="77777777" w:rsidR="00037064" w:rsidRDefault="006316AF" w:rsidP="00120A36">
      <w:pPr>
        <w:rPr>
          <w:rFonts w:ascii="Arial" w:hAnsi="Arial" w:cs="Arial"/>
        </w:rPr>
      </w:pPr>
      <w:r w:rsidRPr="00481EC2">
        <w:rPr>
          <w:rFonts w:ascii="Arial" w:hAnsi="Arial" w:cs="Arial"/>
        </w:rPr>
        <w:t xml:space="preserve">Sophie Compton and Rachel Pike for assistance with inducible resistance </w:t>
      </w:r>
    </w:p>
    <w:p w14:paraId="42134AFD" w14:textId="7E31DC03" w:rsidR="00C76C06" w:rsidRDefault="006316AF" w:rsidP="006316AF">
      <w:pPr>
        <w:rPr>
          <w:rFonts w:ascii="Arial" w:hAnsi="Arial" w:cs="Arial"/>
        </w:rPr>
      </w:pPr>
      <w:r w:rsidRPr="00481EC2">
        <w:rPr>
          <w:rFonts w:ascii="Arial" w:hAnsi="Arial" w:cs="Arial"/>
        </w:rPr>
        <w:t>testing</w:t>
      </w:r>
      <w:r>
        <w:rPr>
          <w:rFonts w:ascii="Arial" w:hAnsi="Arial" w:cs="Arial"/>
        </w:rPr>
        <w:t>.</w:t>
      </w:r>
    </w:p>
    <w:p w14:paraId="7930AFF0" w14:textId="77777777" w:rsidR="00C76C06" w:rsidRDefault="00C76C06" w:rsidP="006316AF">
      <w:pPr>
        <w:rPr>
          <w:rFonts w:ascii="Arial" w:hAnsi="Arial" w:cs="Arial"/>
        </w:rPr>
      </w:pPr>
    </w:p>
    <w:p w14:paraId="0CBF043D" w14:textId="4D0942EF" w:rsidR="000E6468" w:rsidRPr="000E6468" w:rsidRDefault="000E6468" w:rsidP="00120A36">
      <w:pPr>
        <w:rPr>
          <w:rFonts w:ascii="Arial" w:hAnsi="Arial" w:cs="Arial"/>
        </w:rPr>
      </w:pPr>
    </w:p>
    <w:p w14:paraId="343EAA0A" w14:textId="77777777" w:rsidR="000E6468" w:rsidRDefault="000E6468" w:rsidP="00D51E36">
      <w:pPr>
        <w:spacing w:line="480" w:lineRule="auto"/>
        <w:rPr>
          <w:rFonts w:ascii="Arial" w:hAnsi="Arial" w:cs="Arial"/>
          <w:b/>
        </w:rPr>
      </w:pPr>
    </w:p>
    <w:p w14:paraId="6F1D14D1" w14:textId="3C083331" w:rsidR="00113FE6" w:rsidRPr="008A2EBC" w:rsidRDefault="008A2EBC" w:rsidP="00D51E36">
      <w:pPr>
        <w:spacing w:line="480" w:lineRule="auto"/>
        <w:rPr>
          <w:rFonts w:ascii="Arial" w:hAnsi="Arial" w:cs="Arial"/>
          <w:b/>
        </w:rPr>
      </w:pPr>
      <w:r>
        <w:rPr>
          <w:rFonts w:ascii="Arial" w:hAnsi="Arial" w:cs="Arial"/>
          <w:b/>
        </w:rPr>
        <w:t>Funding</w:t>
      </w:r>
    </w:p>
    <w:p w14:paraId="3DCF93CA" w14:textId="45C3F748" w:rsidR="00B060FA" w:rsidRPr="005A3575" w:rsidRDefault="00113FE6" w:rsidP="00D51E36">
      <w:pPr>
        <w:spacing w:line="480" w:lineRule="auto"/>
        <w:rPr>
          <w:rFonts w:ascii="Arial" w:hAnsi="Arial" w:cs="Arial"/>
          <w:szCs w:val="22"/>
          <w:shd w:val="clear" w:color="auto" w:fill="FFFFFF"/>
        </w:rPr>
      </w:pPr>
      <w:r w:rsidRPr="000E6468">
        <w:rPr>
          <w:rFonts w:ascii="Arial" w:hAnsi="Arial" w:cs="Arial"/>
        </w:rPr>
        <w:t xml:space="preserve">The </w:t>
      </w:r>
      <w:r w:rsidRPr="005A3575">
        <w:rPr>
          <w:rFonts w:ascii="Arial" w:hAnsi="Arial" w:cs="Arial"/>
        </w:rPr>
        <w:t>study was funded by a grant from Meningitis Now.</w:t>
      </w:r>
      <w:r w:rsidR="00B060FA" w:rsidRPr="005A3575">
        <w:rPr>
          <w:rFonts w:ascii="Arial" w:hAnsi="Arial" w:cs="Arial"/>
        </w:rPr>
        <w:t xml:space="preserve"> </w:t>
      </w:r>
    </w:p>
    <w:p w14:paraId="321AA3A9" w14:textId="77777777" w:rsidR="00621C97" w:rsidRDefault="00621C97" w:rsidP="00D51E36">
      <w:pPr>
        <w:spacing w:line="480" w:lineRule="auto"/>
        <w:rPr>
          <w:rFonts w:ascii="Arial" w:hAnsi="Arial" w:cs="Arial"/>
          <w:b/>
        </w:rPr>
      </w:pPr>
    </w:p>
    <w:p w14:paraId="47BC17D0" w14:textId="77777777" w:rsidR="009539F0" w:rsidRDefault="009539F0" w:rsidP="009539F0">
      <w:pPr>
        <w:spacing w:line="480" w:lineRule="auto"/>
        <w:rPr>
          <w:rFonts w:ascii="Arial" w:hAnsi="Arial" w:cs="Arial"/>
        </w:rPr>
      </w:pPr>
      <w:r w:rsidRPr="005A3575">
        <w:rPr>
          <w:rFonts w:ascii="Arial" w:hAnsi="Arial" w:cs="Arial"/>
          <w:b/>
        </w:rPr>
        <w:t>References</w:t>
      </w:r>
    </w:p>
    <w:p w14:paraId="15EA50D2" w14:textId="77777777" w:rsidR="009539F0" w:rsidRPr="002B41CC" w:rsidRDefault="009539F0" w:rsidP="009539F0">
      <w:pPr>
        <w:pStyle w:val="ListParagraph"/>
        <w:numPr>
          <w:ilvl w:val="0"/>
          <w:numId w:val="6"/>
        </w:numPr>
        <w:rPr>
          <w:rFonts w:ascii="Arial" w:hAnsi="Arial" w:cs="Arial"/>
          <w:sz w:val="24"/>
          <w:szCs w:val="24"/>
        </w:rPr>
      </w:pPr>
      <w:r w:rsidRPr="002B41CC">
        <w:rPr>
          <w:rFonts w:ascii="Arial" w:hAnsi="Arial" w:cs="Arial"/>
          <w:sz w:val="24"/>
          <w:szCs w:val="24"/>
        </w:rPr>
        <w:t xml:space="preserve">Le Doare K, Heath PT. An overview of global GBS epidemiology. </w:t>
      </w:r>
      <w:r w:rsidRPr="002B41CC">
        <w:rPr>
          <w:rFonts w:ascii="Arial" w:hAnsi="Arial" w:cs="Arial"/>
          <w:i/>
          <w:sz w:val="24"/>
          <w:szCs w:val="24"/>
        </w:rPr>
        <w:t>Vaccine</w:t>
      </w:r>
      <w:r w:rsidRPr="002B41CC">
        <w:rPr>
          <w:rFonts w:ascii="Arial" w:hAnsi="Arial" w:cs="Arial"/>
          <w:sz w:val="24"/>
          <w:szCs w:val="24"/>
        </w:rPr>
        <w:t xml:space="preserve"> 2013; </w:t>
      </w:r>
      <w:r w:rsidRPr="002B41CC">
        <w:rPr>
          <w:rFonts w:ascii="Arial" w:hAnsi="Arial" w:cs="Arial"/>
          <w:b/>
          <w:sz w:val="24"/>
          <w:szCs w:val="24"/>
        </w:rPr>
        <w:t>31 Suppl 4</w:t>
      </w:r>
      <w:r w:rsidRPr="002B41CC">
        <w:rPr>
          <w:rFonts w:ascii="Arial" w:hAnsi="Arial" w:cs="Arial"/>
          <w:sz w:val="24"/>
          <w:szCs w:val="24"/>
        </w:rPr>
        <w:t>: D7-12.</w:t>
      </w:r>
    </w:p>
    <w:p w14:paraId="592B3BFD"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eastAsiaTheme="minorHAnsi" w:hAnsi="Arial" w:cs="Arial"/>
        </w:rPr>
      </w:pPr>
      <w:r w:rsidRPr="002B41CC">
        <w:rPr>
          <w:rFonts w:ascii="Arial" w:eastAsiaTheme="minorHAnsi" w:hAnsi="Arial" w:cs="Arial"/>
        </w:rPr>
        <w:t xml:space="preserve">Thigpen MC, Whitney CG, Messonnier NE, et al. Bacterial meningitis in the United States, 1998-2007. </w:t>
      </w:r>
      <w:r w:rsidRPr="002B41CC">
        <w:rPr>
          <w:rFonts w:ascii="Arial" w:eastAsiaTheme="minorHAnsi" w:hAnsi="Arial" w:cs="Arial"/>
          <w:i/>
        </w:rPr>
        <w:t>N Engl J Med</w:t>
      </w:r>
      <w:r w:rsidRPr="002B41CC">
        <w:rPr>
          <w:rFonts w:ascii="Arial" w:eastAsiaTheme="minorHAnsi" w:hAnsi="Arial" w:cs="Arial"/>
        </w:rPr>
        <w:t xml:space="preserve"> 2011; </w:t>
      </w:r>
      <w:r w:rsidRPr="002B41CC">
        <w:rPr>
          <w:rFonts w:ascii="Arial" w:eastAsiaTheme="minorHAnsi" w:hAnsi="Arial" w:cs="Arial"/>
          <w:b/>
        </w:rPr>
        <w:t>364</w:t>
      </w:r>
      <w:r w:rsidRPr="002B41CC">
        <w:rPr>
          <w:rFonts w:ascii="Arial" w:eastAsiaTheme="minorHAnsi" w:hAnsi="Arial" w:cs="Arial"/>
        </w:rPr>
        <w:t>: 2016–25.</w:t>
      </w:r>
    </w:p>
    <w:p w14:paraId="6AA93F7C" w14:textId="09F2678A" w:rsidR="009539F0" w:rsidRPr="002B41CC" w:rsidRDefault="009539F0" w:rsidP="009539F0">
      <w:pPr>
        <w:numPr>
          <w:ilvl w:val="0"/>
          <w:numId w:val="6"/>
        </w:numPr>
        <w:shd w:val="clear" w:color="auto" w:fill="FFFFFF"/>
        <w:spacing w:before="120" w:after="360" w:line="276" w:lineRule="auto"/>
        <w:ind w:right="2"/>
        <w:contextualSpacing/>
        <w:rPr>
          <w:rFonts w:ascii="Arial" w:eastAsiaTheme="minorHAnsi" w:hAnsi="Arial" w:cs="Arial"/>
        </w:rPr>
      </w:pPr>
      <w:r w:rsidRPr="002B41CC">
        <w:rPr>
          <w:rFonts w:ascii="Arial" w:eastAsiaTheme="minorHAnsi" w:hAnsi="Arial" w:cs="Arial"/>
        </w:rPr>
        <w:t xml:space="preserve">Libster R, Edwards KM, Levent F, et al. Long-term outcomes of group B streptococcal </w:t>
      </w:r>
      <w:r w:rsidR="005101D2" w:rsidRPr="002B41CC">
        <w:rPr>
          <w:rFonts w:ascii="Arial" w:eastAsiaTheme="minorHAnsi" w:hAnsi="Arial" w:cs="Arial"/>
        </w:rPr>
        <w:t xml:space="preserve">meningitis. </w:t>
      </w:r>
      <w:r w:rsidRPr="002B41CC">
        <w:rPr>
          <w:rFonts w:ascii="Arial" w:eastAsiaTheme="minorHAnsi" w:hAnsi="Arial" w:cs="Arial"/>
          <w:i/>
        </w:rPr>
        <w:t>Pediatrics</w:t>
      </w:r>
      <w:r w:rsidRPr="002B41CC">
        <w:rPr>
          <w:rFonts w:ascii="Arial" w:eastAsiaTheme="minorHAnsi" w:hAnsi="Arial" w:cs="Arial"/>
        </w:rPr>
        <w:t xml:space="preserve"> 2012; </w:t>
      </w:r>
      <w:r w:rsidRPr="002B41CC">
        <w:rPr>
          <w:rFonts w:ascii="Arial" w:eastAsiaTheme="minorHAnsi" w:hAnsi="Arial" w:cs="Arial"/>
          <w:b/>
        </w:rPr>
        <w:t>130</w:t>
      </w:r>
      <w:r w:rsidRPr="002B41CC">
        <w:rPr>
          <w:rFonts w:ascii="Arial" w:eastAsiaTheme="minorHAnsi" w:hAnsi="Arial" w:cs="Arial"/>
        </w:rPr>
        <w:t>: e8–15.</w:t>
      </w:r>
    </w:p>
    <w:p w14:paraId="79F56B6F"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eastAsiaTheme="minorHAnsi" w:hAnsi="Arial" w:cs="Arial"/>
        </w:rPr>
      </w:pPr>
      <w:r w:rsidRPr="00120A36">
        <w:rPr>
          <w:rFonts w:ascii="Arial" w:hAnsi="Arial" w:cs="Arial"/>
          <w:color w:val="000000"/>
        </w:rPr>
        <w:t xml:space="preserve">Edmond KM, Kortsalioudaki C, Scott S, Schrag SJ, Zaidi AK, Cousens S, et al. Group B streptococcal disease in infants aged younger than 3 months: systematic review and meta-analysis. </w:t>
      </w:r>
      <w:r w:rsidRPr="00120A36">
        <w:rPr>
          <w:rFonts w:ascii="Arial" w:hAnsi="Arial" w:cs="Arial"/>
          <w:i/>
          <w:color w:val="000000"/>
        </w:rPr>
        <w:t xml:space="preserve">Lancet </w:t>
      </w:r>
      <w:r w:rsidRPr="00120A36">
        <w:rPr>
          <w:rFonts w:ascii="Arial" w:hAnsi="Arial" w:cs="Arial"/>
          <w:color w:val="000000"/>
        </w:rPr>
        <w:t>2012; 379 (9815): 547-56</w:t>
      </w:r>
    </w:p>
    <w:p w14:paraId="57277709"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eastAsiaTheme="minorHAnsi" w:hAnsi="Arial" w:cs="Arial"/>
        </w:rPr>
      </w:pPr>
      <w:r w:rsidRPr="002B41CC">
        <w:rPr>
          <w:rFonts w:ascii="Arial" w:hAnsi="Arial" w:cs="Arial"/>
        </w:rPr>
        <w:t>Daniels JP, Gray J, Pattison HM, Gray R, Hills RK, Khan KS; GBS Collaborative Group. Intrapartum tests for group B streptococcus: accuracy and acceptability of screening.</w:t>
      </w:r>
      <w:r w:rsidRPr="002B41CC">
        <w:rPr>
          <w:rFonts w:ascii="Arial" w:hAnsi="Arial" w:cs="Arial"/>
          <w:i/>
        </w:rPr>
        <w:t xml:space="preserve"> BJOG</w:t>
      </w:r>
      <w:r w:rsidRPr="002B41CC">
        <w:rPr>
          <w:rFonts w:ascii="Arial" w:hAnsi="Arial" w:cs="Arial"/>
        </w:rPr>
        <w:t xml:space="preserve"> 2011; </w:t>
      </w:r>
      <w:r w:rsidRPr="002B41CC">
        <w:rPr>
          <w:rFonts w:ascii="Arial" w:hAnsi="Arial" w:cs="Arial"/>
          <w:b/>
        </w:rPr>
        <w:t>118</w:t>
      </w:r>
      <w:r w:rsidRPr="002B41CC">
        <w:rPr>
          <w:rFonts w:ascii="Arial" w:hAnsi="Arial" w:cs="Arial"/>
        </w:rPr>
        <w:t xml:space="preserve"> (2): 257-65. </w:t>
      </w:r>
    </w:p>
    <w:p w14:paraId="200E7BE6"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eastAsiaTheme="minorHAnsi" w:hAnsi="Arial" w:cs="Arial"/>
        </w:rPr>
      </w:pPr>
      <w:r w:rsidRPr="002B41CC">
        <w:rPr>
          <w:rFonts w:ascii="Arial" w:eastAsiaTheme="minorHAnsi" w:hAnsi="Arial" w:cs="Arial"/>
        </w:rPr>
        <w:t>RCOG Guideline. The prevention of early onset group B streptococcal disease. Green top guideline No. 36. 2</w:t>
      </w:r>
      <w:r w:rsidRPr="002B41CC">
        <w:rPr>
          <w:rFonts w:ascii="Arial" w:eastAsiaTheme="minorHAnsi" w:hAnsi="Arial" w:cs="Arial"/>
          <w:vertAlign w:val="superscript"/>
        </w:rPr>
        <w:t>nd</w:t>
      </w:r>
      <w:r w:rsidRPr="002B41CC">
        <w:rPr>
          <w:rFonts w:ascii="Arial" w:eastAsiaTheme="minorHAnsi" w:hAnsi="Arial" w:cs="Arial"/>
        </w:rPr>
        <w:t xml:space="preserve"> edition. 2012. https://www.rcog.org.uk/globalassets/documents/guidelines/gtg_36.pdf</w:t>
      </w:r>
    </w:p>
    <w:p w14:paraId="66B3E20C"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eastAsiaTheme="minorHAnsi" w:hAnsi="Arial" w:cs="Arial"/>
          <w:i/>
        </w:rPr>
      </w:pPr>
      <w:r w:rsidRPr="002B41CC">
        <w:rPr>
          <w:rFonts w:ascii="Arial" w:eastAsiaTheme="minorHAnsi" w:hAnsi="Arial" w:cs="Arial"/>
        </w:rPr>
        <w:t xml:space="preserve">Darlow B, Campbell N, Austin N, et al. The prevention of early-onset neonatal group B streptococcus infection. New Zealand Consensus Guidelines 2014. </w:t>
      </w:r>
      <w:r w:rsidRPr="002B41CC">
        <w:rPr>
          <w:rFonts w:ascii="Arial" w:eastAsiaTheme="minorHAnsi" w:hAnsi="Arial" w:cs="Arial"/>
          <w:i/>
        </w:rPr>
        <w:t xml:space="preserve">NZ Med J </w:t>
      </w:r>
      <w:r w:rsidRPr="002B41CC">
        <w:rPr>
          <w:rFonts w:ascii="Arial" w:eastAsiaTheme="minorHAnsi" w:hAnsi="Arial" w:cs="Arial"/>
        </w:rPr>
        <w:t>2015;</w:t>
      </w:r>
      <w:r w:rsidRPr="002B41CC">
        <w:rPr>
          <w:rFonts w:ascii="Arial" w:eastAsiaTheme="minorHAnsi" w:hAnsi="Arial" w:cs="Arial"/>
          <w:b/>
        </w:rPr>
        <w:t xml:space="preserve"> 128</w:t>
      </w:r>
      <w:r w:rsidRPr="002B41CC">
        <w:rPr>
          <w:rFonts w:ascii="Arial" w:eastAsiaTheme="minorHAnsi" w:hAnsi="Arial" w:cs="Arial"/>
        </w:rPr>
        <w:t xml:space="preserve"> (1425): 69-76.</w:t>
      </w:r>
    </w:p>
    <w:p w14:paraId="1DF3C8BE"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eastAsiaTheme="minorHAnsi" w:hAnsi="Arial" w:cs="Arial"/>
        </w:rPr>
        <w:t xml:space="preserve">Schrag SJ, Verani JR. Intrapartum antibiotic prophylaxis for the prevention of perinatal group B streptococcal disease: experience in the United States and implications for a potential group B streptococcal vaccine. </w:t>
      </w:r>
      <w:r w:rsidRPr="002B41CC">
        <w:rPr>
          <w:rFonts w:ascii="Arial" w:hAnsi="Arial" w:cs="Arial"/>
          <w:i/>
        </w:rPr>
        <w:t>Vaccine</w:t>
      </w:r>
      <w:r w:rsidRPr="002B41CC">
        <w:rPr>
          <w:rFonts w:ascii="Arial" w:hAnsi="Arial" w:cs="Arial"/>
        </w:rPr>
        <w:t xml:space="preserve"> 2013; </w:t>
      </w:r>
      <w:r w:rsidRPr="002B41CC">
        <w:rPr>
          <w:rFonts w:ascii="Arial" w:hAnsi="Arial" w:cs="Arial"/>
          <w:b/>
        </w:rPr>
        <w:t>31 Suppl 4</w:t>
      </w:r>
      <w:r w:rsidRPr="002B41CC">
        <w:rPr>
          <w:rFonts w:ascii="Arial" w:hAnsi="Arial" w:cs="Arial"/>
        </w:rPr>
        <w:t>: D20-6.</w:t>
      </w:r>
    </w:p>
    <w:p w14:paraId="2C68E775"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 xml:space="preserve">Verani JR, McGee L, Schrag SJ; Division of Bacterial Diseases, National Center for Immunization and Respiratory Disease, Centers </w:t>
      </w:r>
      <w:r w:rsidRPr="002B41CC">
        <w:rPr>
          <w:rFonts w:ascii="Arial" w:hAnsi="Arial" w:cs="Arial"/>
        </w:rPr>
        <w:lastRenderedPageBreak/>
        <w:t xml:space="preserve">for Disease Control and Prevention (CDC). Prevention of perinatal group B streptococcal disease – revised guidelines from CDC. </w:t>
      </w:r>
      <w:r w:rsidRPr="002B41CC">
        <w:rPr>
          <w:rFonts w:ascii="Arial" w:hAnsi="Arial" w:cs="Arial"/>
          <w:i/>
        </w:rPr>
        <w:t>MMWR Recomm Rep.</w:t>
      </w:r>
      <w:r w:rsidRPr="002B41CC">
        <w:rPr>
          <w:rFonts w:ascii="Arial" w:hAnsi="Arial" w:cs="Arial"/>
        </w:rPr>
        <w:t xml:space="preserve"> 2010; </w:t>
      </w:r>
      <w:r w:rsidRPr="002B41CC">
        <w:rPr>
          <w:rFonts w:ascii="Arial" w:hAnsi="Arial" w:cs="Arial"/>
          <w:b/>
        </w:rPr>
        <w:t>59</w:t>
      </w:r>
      <w:r w:rsidRPr="002B41CC">
        <w:rPr>
          <w:rFonts w:ascii="Arial" w:hAnsi="Arial" w:cs="Arial"/>
        </w:rPr>
        <w:t xml:space="preserve"> (RR-10): 1-36.</w:t>
      </w:r>
    </w:p>
    <w:p w14:paraId="4F844374" w14:textId="77777777" w:rsidR="009539F0" w:rsidRPr="002B41CC" w:rsidRDefault="00130F2F" w:rsidP="009539F0">
      <w:pPr>
        <w:numPr>
          <w:ilvl w:val="0"/>
          <w:numId w:val="6"/>
        </w:numPr>
        <w:shd w:val="clear" w:color="auto" w:fill="FFFFFF"/>
        <w:spacing w:before="120" w:after="360" w:line="276" w:lineRule="auto"/>
        <w:ind w:right="2"/>
        <w:contextualSpacing/>
        <w:rPr>
          <w:rFonts w:ascii="Arial" w:hAnsi="Arial" w:cs="Arial"/>
        </w:rPr>
      </w:pPr>
      <w:hyperlink r:id="rId10" w:history="1">
        <w:r w:rsidR="009539F0" w:rsidRPr="002B41CC">
          <w:rPr>
            <w:rFonts w:ascii="Arial" w:hAnsi="Arial" w:cs="Arial"/>
          </w:rPr>
          <w:t>Heath PT</w:t>
        </w:r>
      </w:hyperlink>
      <w:r w:rsidR="009539F0" w:rsidRPr="002B41CC">
        <w:rPr>
          <w:rFonts w:ascii="Arial" w:hAnsi="Arial" w:cs="Arial"/>
        </w:rPr>
        <w:t xml:space="preserve">, </w:t>
      </w:r>
      <w:hyperlink r:id="rId11" w:history="1">
        <w:r w:rsidR="009539F0" w:rsidRPr="002B41CC">
          <w:rPr>
            <w:rFonts w:ascii="Arial" w:hAnsi="Arial" w:cs="Arial"/>
          </w:rPr>
          <w:t>Balfour G</w:t>
        </w:r>
      </w:hyperlink>
      <w:r w:rsidR="009539F0" w:rsidRPr="002B41CC">
        <w:rPr>
          <w:rFonts w:ascii="Arial" w:hAnsi="Arial" w:cs="Arial"/>
        </w:rPr>
        <w:t xml:space="preserve">, </w:t>
      </w:r>
      <w:hyperlink r:id="rId12" w:history="1">
        <w:r w:rsidR="009539F0" w:rsidRPr="002B41CC">
          <w:rPr>
            <w:rFonts w:ascii="Arial" w:hAnsi="Arial" w:cs="Arial"/>
          </w:rPr>
          <w:t>Weisner AM</w:t>
        </w:r>
      </w:hyperlink>
      <w:r w:rsidR="009539F0" w:rsidRPr="002B41CC">
        <w:rPr>
          <w:rFonts w:ascii="Arial" w:hAnsi="Arial" w:cs="Arial"/>
        </w:rPr>
        <w:t xml:space="preserve">, et al. Group B streptococcal disease in UK and Irish infants younger than 90 days. </w:t>
      </w:r>
      <w:r w:rsidR="009539F0" w:rsidRPr="002B41CC">
        <w:rPr>
          <w:rFonts w:ascii="Arial" w:hAnsi="Arial" w:cs="Arial"/>
          <w:i/>
        </w:rPr>
        <w:t>Lancet</w:t>
      </w:r>
      <w:r w:rsidR="009539F0" w:rsidRPr="002B41CC">
        <w:rPr>
          <w:rFonts w:ascii="Arial" w:hAnsi="Arial" w:cs="Arial"/>
        </w:rPr>
        <w:t xml:space="preserve"> 2004; 363 (9405): 292-4. </w:t>
      </w:r>
    </w:p>
    <w:p w14:paraId="201C8BB7"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 xml:space="preserve">NICE Guideline. Antibiotics for early onset neonatal infection. NICE Guideline 149. 2012. </w:t>
      </w:r>
      <w:hyperlink r:id="rId13" w:history="1">
        <w:r w:rsidRPr="00120A36">
          <w:rPr>
            <w:rFonts w:ascii="Arial" w:hAnsi="Arial" w:cs="Arial"/>
          </w:rPr>
          <w:t>https://www.nice.org.uk/guidance/cg149</w:t>
        </w:r>
      </w:hyperlink>
    </w:p>
    <w:p w14:paraId="0228A567"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 xml:space="preserve">Heath PT. Status of vaccine research and development of vaccines for GBS. </w:t>
      </w:r>
      <w:r w:rsidRPr="002B41CC">
        <w:rPr>
          <w:rFonts w:ascii="Arial" w:hAnsi="Arial" w:cs="Arial"/>
          <w:i/>
        </w:rPr>
        <w:t>Vaccine</w:t>
      </w:r>
      <w:r w:rsidRPr="002B41CC">
        <w:rPr>
          <w:rFonts w:ascii="Arial" w:hAnsi="Arial" w:cs="Arial"/>
        </w:rPr>
        <w:t xml:space="preserve"> 2016; </w:t>
      </w:r>
      <w:r w:rsidRPr="002B41CC">
        <w:rPr>
          <w:rFonts w:ascii="Arial" w:hAnsi="Arial" w:cs="Arial"/>
          <w:b/>
        </w:rPr>
        <w:t>34</w:t>
      </w:r>
      <w:r w:rsidRPr="002B41CC">
        <w:rPr>
          <w:rFonts w:ascii="Arial" w:hAnsi="Arial" w:cs="Arial"/>
        </w:rPr>
        <w:t xml:space="preserve"> (26): 2876-9.</w:t>
      </w:r>
    </w:p>
    <w:p w14:paraId="6C5E238D"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 xml:space="preserve">British Paediatric Surveillance Unit (BPSU): Group B streptococcal disease in UK &amp; Irish infants less than 90 days of age: </w:t>
      </w:r>
      <w:hyperlink r:id="rId14" w:history="1">
        <w:r w:rsidRPr="002B41CC">
          <w:rPr>
            <w:rStyle w:val="Hyperlink"/>
            <w:rFonts w:ascii="Arial" w:hAnsi="Arial" w:cs="Arial"/>
          </w:rPr>
          <w:t>http://www.rcpch.ac.uk/bpsu/gbs</w:t>
        </w:r>
      </w:hyperlink>
    </w:p>
    <w:p w14:paraId="7286CED5"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 xml:space="preserve">Verity C, Preece M. Surveillance for rare disorders by the BPSU. The British Paediatric Surveillance Unit. </w:t>
      </w:r>
      <w:r w:rsidRPr="002B41CC">
        <w:rPr>
          <w:rFonts w:ascii="Arial" w:hAnsi="Arial" w:cs="Arial"/>
          <w:i/>
        </w:rPr>
        <w:t>Arch Dis Child</w:t>
      </w:r>
      <w:r w:rsidRPr="002B41CC">
        <w:rPr>
          <w:rFonts w:ascii="Arial" w:hAnsi="Arial" w:cs="Arial"/>
        </w:rPr>
        <w:t xml:space="preserve"> 2002; </w:t>
      </w:r>
      <w:r w:rsidRPr="002B41CC">
        <w:rPr>
          <w:rFonts w:ascii="Arial" w:hAnsi="Arial" w:cs="Arial"/>
          <w:b/>
        </w:rPr>
        <w:t>87</w:t>
      </w:r>
      <w:r w:rsidRPr="002B41CC">
        <w:rPr>
          <w:rFonts w:ascii="Arial" w:hAnsi="Arial" w:cs="Arial"/>
        </w:rPr>
        <w:t>: 269-71.</w:t>
      </w:r>
    </w:p>
    <w:p w14:paraId="38B9C6D4"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 xml:space="preserve">Pearson A, Chronias A, Murray M. Voluntary and mandatory surveillance for methicillin-resistant Staphylococcus aureus (MRSA) and methicillin-susceptible S. aureus (MSSA) bacteraemia in England. </w:t>
      </w:r>
      <w:r w:rsidRPr="002B41CC">
        <w:rPr>
          <w:rFonts w:ascii="Arial" w:hAnsi="Arial" w:cs="Arial"/>
          <w:i/>
        </w:rPr>
        <w:t>J Antimicrob Chemother</w:t>
      </w:r>
      <w:r w:rsidRPr="002B41CC">
        <w:rPr>
          <w:rFonts w:ascii="Arial" w:hAnsi="Arial" w:cs="Arial"/>
        </w:rPr>
        <w:t xml:space="preserve"> 2009; </w:t>
      </w:r>
      <w:r w:rsidRPr="002B41CC">
        <w:rPr>
          <w:rFonts w:ascii="Arial" w:hAnsi="Arial" w:cs="Arial"/>
          <w:b/>
        </w:rPr>
        <w:t>64</w:t>
      </w:r>
      <w:r w:rsidRPr="002B41CC">
        <w:rPr>
          <w:rFonts w:ascii="Arial" w:hAnsi="Arial" w:cs="Arial"/>
        </w:rPr>
        <w:t xml:space="preserve"> (Suppl 1): j11-7.</w:t>
      </w:r>
    </w:p>
    <w:p w14:paraId="4A0D79D3"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 xml:space="preserve">Health Protection Scotland. Laboratory surveillance in Scotland. Available at: </w:t>
      </w:r>
      <w:hyperlink r:id="rId15" w:history="1">
        <w:r w:rsidRPr="002B41CC">
          <w:rPr>
            <w:rStyle w:val="Hyperlink"/>
            <w:rFonts w:ascii="Arial" w:hAnsi="Arial" w:cs="Arial"/>
          </w:rPr>
          <w:t>http://www.hps.scot.nhs.uk/surveillance/SystemsDetail.aspx?id=248</w:t>
        </w:r>
      </w:hyperlink>
    </w:p>
    <w:p w14:paraId="02076015"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 xml:space="preserve">Public Health Agency, Northern Ireland. Available at: </w:t>
      </w:r>
      <w:hyperlink r:id="rId16" w:history="1">
        <w:r w:rsidRPr="002B41CC">
          <w:rPr>
            <w:rStyle w:val="Hyperlink"/>
            <w:rFonts w:ascii="Arial" w:hAnsi="Arial" w:cs="Arial"/>
          </w:rPr>
          <w:t>http://www.publichealthagency.org</w:t>
        </w:r>
      </w:hyperlink>
    </w:p>
    <w:p w14:paraId="6FFDC398"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Irish Meningitis and Sepsis Reference Laboratory (IMSRL). Available at: http://www.cuh.ie/irish-meningitis-sepsis-reference-laboratory-imsrl/</w:t>
      </w:r>
    </w:p>
    <w:p w14:paraId="75458060"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 xml:space="preserve">Jones N, Bohnsack J.F, Takahashi S, et al. Multilocus sequence typing system for group B streptococcus. </w:t>
      </w:r>
      <w:r w:rsidRPr="002B41CC">
        <w:rPr>
          <w:rFonts w:ascii="Arial" w:hAnsi="Arial" w:cs="Arial"/>
          <w:i/>
        </w:rPr>
        <w:t>J Clin Microbiol</w:t>
      </w:r>
      <w:r w:rsidRPr="002B41CC">
        <w:rPr>
          <w:rFonts w:ascii="Arial" w:hAnsi="Arial" w:cs="Arial"/>
        </w:rPr>
        <w:t xml:space="preserve"> 2003; </w:t>
      </w:r>
      <w:r w:rsidRPr="002B41CC">
        <w:rPr>
          <w:rFonts w:ascii="Arial" w:hAnsi="Arial" w:cs="Arial"/>
          <w:b/>
        </w:rPr>
        <w:t>41</w:t>
      </w:r>
      <w:r w:rsidRPr="002B41CC">
        <w:rPr>
          <w:rFonts w:ascii="Arial" w:hAnsi="Arial" w:cs="Arial"/>
        </w:rPr>
        <w:t>: 2530-36.</w:t>
      </w:r>
    </w:p>
    <w:p w14:paraId="065AD1D9"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 xml:space="preserve">British Society for Antimicrobial Chemotherapy. Standing committee on susceptibility testing. Version 14.0. 05-01-2015. </w:t>
      </w:r>
    </w:p>
    <w:p w14:paraId="653125C1"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www.npeu.ox.ac.uk/ukoss</w:t>
      </w:r>
    </w:p>
    <w:p w14:paraId="29825899"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 xml:space="preserve">Office for National Statistics. Live-birth data for the England and Wales. Available at: </w:t>
      </w:r>
      <w:hyperlink r:id="rId17" w:history="1">
        <w:r w:rsidRPr="002B41CC">
          <w:rPr>
            <w:rStyle w:val="Hyperlink"/>
            <w:rFonts w:ascii="Arial" w:hAnsi="Arial" w:cs="Arial"/>
          </w:rPr>
          <w:t>https://www.ons.gov.uk</w:t>
        </w:r>
      </w:hyperlink>
    </w:p>
    <w:p w14:paraId="088DA640"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 xml:space="preserve">National Records of Scotland. Live-birth data for Scotland. Available at: </w:t>
      </w:r>
      <w:hyperlink r:id="rId18" w:history="1">
        <w:r w:rsidRPr="002B41CC">
          <w:rPr>
            <w:rStyle w:val="Hyperlink"/>
            <w:rFonts w:ascii="Arial" w:hAnsi="Arial" w:cs="Arial"/>
          </w:rPr>
          <w:t>https://www.nrscotland.gov.uk</w:t>
        </w:r>
      </w:hyperlink>
    </w:p>
    <w:p w14:paraId="3D2F8F5C"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 xml:space="preserve">Central Statistics Office. Live-birth data for the Republic of Ireland. Available at: </w:t>
      </w:r>
      <w:hyperlink r:id="rId19" w:history="1">
        <w:r w:rsidRPr="002B41CC">
          <w:rPr>
            <w:rStyle w:val="Hyperlink"/>
            <w:rFonts w:ascii="Arial" w:hAnsi="Arial" w:cs="Arial"/>
          </w:rPr>
          <w:t>http://www.cso.ie/en/index.html</w:t>
        </w:r>
      </w:hyperlink>
    </w:p>
    <w:p w14:paraId="649B9968"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 xml:space="preserve">Northern Ireland Statistics and Research Agency. Live-birth data for Northern Ireland. Available at: </w:t>
      </w:r>
      <w:hyperlink r:id="rId20" w:history="1">
        <w:r w:rsidRPr="002B41CC">
          <w:rPr>
            <w:rStyle w:val="Hyperlink"/>
            <w:rFonts w:ascii="Arial" w:hAnsi="Arial" w:cs="Arial"/>
          </w:rPr>
          <w:t>http://www.nisra.gov.uk</w:t>
        </w:r>
      </w:hyperlink>
    </w:p>
    <w:p w14:paraId="40591495"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lastRenderedPageBreak/>
        <w:t xml:space="preserve">Bedford H, de Louvois J, Halket S, Peckham C, Hurley R, Harvey D. Meningitis in infancy in England and Wales: follow up at age 5 years. </w:t>
      </w:r>
      <w:r w:rsidRPr="002B41CC">
        <w:rPr>
          <w:rFonts w:ascii="Arial" w:hAnsi="Arial" w:cs="Arial"/>
          <w:i/>
        </w:rPr>
        <w:t>BMJ</w:t>
      </w:r>
      <w:r w:rsidRPr="002B41CC">
        <w:rPr>
          <w:rFonts w:ascii="Arial" w:hAnsi="Arial" w:cs="Arial"/>
        </w:rPr>
        <w:t xml:space="preserve"> 2001; </w:t>
      </w:r>
      <w:r w:rsidRPr="002B41CC">
        <w:rPr>
          <w:rFonts w:ascii="Arial" w:hAnsi="Arial" w:cs="Arial"/>
          <w:b/>
        </w:rPr>
        <w:t>323</w:t>
      </w:r>
      <w:r w:rsidRPr="002B41CC">
        <w:rPr>
          <w:rFonts w:ascii="Arial" w:hAnsi="Arial" w:cs="Arial"/>
        </w:rPr>
        <w:t xml:space="preserve"> (7312): 533-6.</w:t>
      </w:r>
    </w:p>
    <w:p w14:paraId="34775DE3"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Okike IO, Johnson AP, Henderson KL, et al. Incidence, etiology, and outcome of bacterial meningitis in infants aged &lt;90 days in the United Kingdom and Republic of Ireland: prospective, enhanced, national population-based surveillance. Clin Infect Dis. 2014; 59 (10): e150-7.</w:t>
      </w:r>
    </w:p>
    <w:p w14:paraId="017016E4" w14:textId="337ADF91" w:rsidR="00A95FDA" w:rsidRPr="002B41CC" w:rsidRDefault="009539F0" w:rsidP="00120A36">
      <w:pPr>
        <w:numPr>
          <w:ilvl w:val="0"/>
          <w:numId w:val="6"/>
        </w:numPr>
        <w:shd w:val="clear" w:color="auto" w:fill="FFFFFF"/>
        <w:spacing w:before="120" w:after="360"/>
        <w:ind w:left="1077" w:right="2"/>
        <w:contextualSpacing/>
        <w:rPr>
          <w:rFonts w:ascii="Arial" w:hAnsi="Arial" w:cs="Arial"/>
        </w:rPr>
      </w:pPr>
      <w:r w:rsidRPr="00120A36">
        <w:rPr>
          <w:rFonts w:ascii="Arial" w:eastAsiaTheme="minorHAnsi" w:hAnsi="Arial" w:cs="Arial"/>
        </w:rPr>
        <w:t>RCOG Guideline. The prevention of early onset group B streptococcal disease. Green top guideline No. 36. 3</w:t>
      </w:r>
      <w:r w:rsidRPr="00120A36">
        <w:rPr>
          <w:rFonts w:ascii="Arial" w:eastAsiaTheme="minorHAnsi" w:hAnsi="Arial" w:cs="Arial"/>
          <w:vertAlign w:val="superscript"/>
        </w:rPr>
        <w:t>rd</w:t>
      </w:r>
      <w:r w:rsidRPr="00120A36">
        <w:rPr>
          <w:rFonts w:ascii="Arial" w:eastAsiaTheme="minorHAnsi" w:hAnsi="Arial" w:cs="Arial"/>
        </w:rPr>
        <w:t xml:space="preserve"> edition. 2017.</w:t>
      </w:r>
    </w:p>
    <w:p w14:paraId="45B639B7" w14:textId="77777777" w:rsidR="00A95FDA" w:rsidRPr="00120A36" w:rsidRDefault="00A95FDA" w:rsidP="00120A36">
      <w:pPr>
        <w:numPr>
          <w:ilvl w:val="0"/>
          <w:numId w:val="6"/>
        </w:numPr>
        <w:shd w:val="clear" w:color="auto" w:fill="FFFFFF"/>
        <w:spacing w:before="120" w:after="360"/>
        <w:ind w:left="1077" w:right="2"/>
        <w:contextualSpacing/>
        <w:rPr>
          <w:rFonts w:ascii="Arial" w:hAnsi="Arial" w:cs="Arial"/>
        </w:rPr>
      </w:pPr>
      <w:r w:rsidRPr="005101D2">
        <w:rPr>
          <w:rFonts w:ascii="Arial" w:hAnsi="Arial" w:cs="Arial"/>
          <w:bCs/>
        </w:rPr>
        <w:t>Le Doare</w:t>
      </w:r>
      <w:r w:rsidRPr="005101D2">
        <w:rPr>
          <w:rFonts w:ascii="Arial" w:hAnsi="Arial" w:cs="Arial"/>
        </w:rPr>
        <w:t xml:space="preserve"> K, O'Driscoll M, Turner K, et al. </w:t>
      </w:r>
      <w:hyperlink r:id="rId21" w:history="1">
        <w:r w:rsidRPr="00120A36">
          <w:rPr>
            <w:rFonts w:ascii="Arial" w:hAnsi="Arial" w:cs="Arial"/>
          </w:rPr>
          <w:t>Intrapartum Antibiotic Chemoprophylaxis Policies for the Prevention of Group B Streptococcal Disease Worldwide: Systematic Review.</w:t>
        </w:r>
      </w:hyperlink>
      <w:r w:rsidRPr="00120A36">
        <w:rPr>
          <w:rFonts w:ascii="Arial" w:hAnsi="Arial" w:cs="Arial"/>
        </w:rPr>
        <w:t xml:space="preserve"> Clin Infect Dis. 2017 Nov 6;65(suppl_2):S143-S151</w:t>
      </w:r>
    </w:p>
    <w:p w14:paraId="49103F1A"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Centers for Disease Control and Prevention. Active Bacterial Core Surveillance (ABCs) Report. Emerging Infections Program Network Group B Streptococcus, 2015. Atlanta, 2015.</w:t>
      </w:r>
    </w:p>
    <w:p w14:paraId="0F51AB47" w14:textId="1A4905B3"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 xml:space="preserve">Andersen J, Christensen R, Hertel J. Clinical features and epidemiology of septicaemia and meningitis in neonates due to Streptococcus agalactiae in Copenhagen County, Denmark: a 10 year survey from 1992 to 2001. </w:t>
      </w:r>
      <w:r w:rsidRPr="002B41CC">
        <w:rPr>
          <w:rFonts w:ascii="Arial" w:hAnsi="Arial" w:cs="Arial"/>
          <w:i/>
        </w:rPr>
        <w:t>Acta Paediatr.</w:t>
      </w:r>
      <w:r w:rsidRPr="002B41CC">
        <w:rPr>
          <w:rFonts w:ascii="Arial" w:hAnsi="Arial" w:cs="Arial"/>
        </w:rPr>
        <w:t xml:space="preserve"> </w:t>
      </w:r>
      <w:r w:rsidR="005101D2" w:rsidRPr="002B41CC">
        <w:rPr>
          <w:rFonts w:ascii="Arial" w:hAnsi="Arial" w:cs="Arial"/>
        </w:rPr>
        <w:t>2004;</w:t>
      </w:r>
      <w:r w:rsidRPr="002B41CC">
        <w:rPr>
          <w:rFonts w:ascii="Arial" w:hAnsi="Arial" w:cs="Arial"/>
        </w:rPr>
        <w:t xml:space="preserve"> 93 (10): 1334-9.</w:t>
      </w:r>
    </w:p>
    <w:p w14:paraId="4B248CAC"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 xml:space="preserve">Bekker V, Bijlsma MW, van de Beek D, Kuijpers TW, van der Ende A. Incidence of invasive group B streptococcal disease and pathogen genotype distribution in newborn babies in the Netherlands over 25 years: a nationwide surveillance study. </w:t>
      </w:r>
      <w:r w:rsidRPr="002B41CC">
        <w:rPr>
          <w:rFonts w:ascii="Arial" w:hAnsi="Arial" w:cs="Arial"/>
          <w:i/>
        </w:rPr>
        <w:t>Lancet Infect Dis.</w:t>
      </w:r>
      <w:r w:rsidRPr="002B41CC">
        <w:rPr>
          <w:rFonts w:ascii="Arial" w:hAnsi="Arial" w:cs="Arial"/>
        </w:rPr>
        <w:t xml:space="preserve"> 2014; </w:t>
      </w:r>
      <w:r w:rsidRPr="002B41CC">
        <w:rPr>
          <w:rFonts w:ascii="Arial" w:hAnsi="Arial" w:cs="Arial"/>
          <w:b/>
        </w:rPr>
        <w:t>14</w:t>
      </w:r>
      <w:r w:rsidRPr="002B41CC">
        <w:rPr>
          <w:rFonts w:ascii="Arial" w:hAnsi="Arial" w:cs="Arial"/>
        </w:rPr>
        <w:t xml:space="preserve"> (11): 1083-9. </w:t>
      </w:r>
    </w:p>
    <w:p w14:paraId="54358012"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 xml:space="preserve">Fluegge K, Wons J, Spellerberg B, et al. Genetic differences between invasive and noninvasive neonatal group B streptococcal isolates. </w:t>
      </w:r>
      <w:r w:rsidRPr="002B41CC">
        <w:rPr>
          <w:rFonts w:ascii="Arial" w:hAnsi="Arial" w:cs="Arial"/>
          <w:i/>
        </w:rPr>
        <w:t>Pediatr Infect Dis J</w:t>
      </w:r>
      <w:r w:rsidRPr="002B41CC">
        <w:rPr>
          <w:rFonts w:ascii="Arial" w:hAnsi="Arial" w:cs="Arial"/>
        </w:rPr>
        <w:t xml:space="preserve"> 2011; </w:t>
      </w:r>
      <w:r w:rsidRPr="002B41CC">
        <w:rPr>
          <w:rFonts w:ascii="Arial" w:hAnsi="Arial" w:cs="Arial"/>
          <w:b/>
        </w:rPr>
        <w:t>30</w:t>
      </w:r>
      <w:r w:rsidRPr="002B41CC">
        <w:rPr>
          <w:rFonts w:ascii="Arial" w:hAnsi="Arial" w:cs="Arial"/>
        </w:rPr>
        <w:t>: 1027-31.</w:t>
      </w:r>
    </w:p>
    <w:p w14:paraId="237F075C"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 xml:space="preserve">Bisharat N, Crook DW, Leigh J, et al. Hyperinvasive neonatal group B streptococcus has arisen from a bovine ancestor. </w:t>
      </w:r>
      <w:r w:rsidRPr="002B41CC">
        <w:rPr>
          <w:rFonts w:ascii="Arial" w:hAnsi="Arial" w:cs="Arial"/>
          <w:i/>
        </w:rPr>
        <w:t>J Clin Microbiol</w:t>
      </w:r>
      <w:r w:rsidRPr="002B41CC">
        <w:rPr>
          <w:rFonts w:ascii="Arial" w:hAnsi="Arial" w:cs="Arial"/>
        </w:rPr>
        <w:t xml:space="preserve"> 2004; </w:t>
      </w:r>
      <w:r w:rsidRPr="002B41CC">
        <w:rPr>
          <w:rFonts w:ascii="Arial" w:hAnsi="Arial" w:cs="Arial"/>
          <w:b/>
        </w:rPr>
        <w:t>42</w:t>
      </w:r>
      <w:r w:rsidRPr="002B41CC">
        <w:rPr>
          <w:rFonts w:ascii="Arial" w:hAnsi="Arial" w:cs="Arial"/>
        </w:rPr>
        <w:t>: 2161-67.</w:t>
      </w:r>
    </w:p>
    <w:p w14:paraId="5B4A1F93"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 xml:space="preserve">Mueller M, Henle A, Droz S, et al. Intrapartum detection of Group B streptococci colonization by rapid PCR-test on labor ward. </w:t>
      </w:r>
      <w:r w:rsidRPr="002B41CC">
        <w:rPr>
          <w:rFonts w:ascii="Arial" w:hAnsi="Arial" w:cs="Arial"/>
          <w:i/>
        </w:rPr>
        <w:t xml:space="preserve">Eur J Obstet Gynecol Reprod Biol. </w:t>
      </w:r>
      <w:r w:rsidRPr="002B41CC">
        <w:rPr>
          <w:rFonts w:ascii="Arial" w:hAnsi="Arial" w:cs="Arial"/>
        </w:rPr>
        <w:t xml:space="preserve">2014; </w:t>
      </w:r>
      <w:r w:rsidRPr="002B41CC">
        <w:rPr>
          <w:rFonts w:ascii="Arial" w:hAnsi="Arial" w:cs="Arial"/>
          <w:b/>
        </w:rPr>
        <w:t>176</w:t>
      </w:r>
      <w:r w:rsidRPr="002B41CC">
        <w:rPr>
          <w:rFonts w:ascii="Arial" w:hAnsi="Arial" w:cs="Arial"/>
        </w:rPr>
        <w:t>: 137-41.</w:t>
      </w:r>
    </w:p>
    <w:p w14:paraId="45AA2B5C"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www.gov.uk./government/groups/uk-national-screening-committee-uk-nsc</w:t>
      </w:r>
    </w:p>
    <w:p w14:paraId="2C4E43E9"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 xml:space="preserve">Bergal A, Loucif L, Benouareth DE, Bentorki AA, Abat C, Rolain JM. Molecular epidemiology and distribution of serotypes, genotypes, and antibiotic resistance genes of Streptococcus agalactiae clinical isolates from Guelma, Algeria and Marseille, France. </w:t>
      </w:r>
      <w:r w:rsidRPr="002B41CC">
        <w:rPr>
          <w:rFonts w:ascii="Arial" w:hAnsi="Arial" w:cs="Arial"/>
          <w:i/>
        </w:rPr>
        <w:t>Eur J Clin Microbiol Infect Dis</w:t>
      </w:r>
      <w:r w:rsidRPr="002B41CC">
        <w:rPr>
          <w:rFonts w:ascii="Arial" w:hAnsi="Arial" w:cs="Arial"/>
        </w:rPr>
        <w:t xml:space="preserve">. 2015; </w:t>
      </w:r>
      <w:r w:rsidRPr="002B41CC">
        <w:rPr>
          <w:rFonts w:ascii="Arial" w:hAnsi="Arial" w:cs="Arial"/>
          <w:b/>
        </w:rPr>
        <w:t>34</w:t>
      </w:r>
      <w:r w:rsidRPr="002B41CC">
        <w:rPr>
          <w:rFonts w:ascii="Arial" w:hAnsi="Arial" w:cs="Arial"/>
        </w:rPr>
        <w:t xml:space="preserve"> (12): 2339-48.</w:t>
      </w:r>
    </w:p>
    <w:p w14:paraId="5190132A"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lastRenderedPageBreak/>
        <w:t xml:space="preserve">Emaneini M, Jabalameli F, Mirsalehian A, Ghasemi A, Beigverdi R. Characterization of virulence factors, antimicrobial resistance pattern and clonal complexes of group B streptococci isolated from neonates. </w:t>
      </w:r>
      <w:r w:rsidRPr="002B41CC">
        <w:rPr>
          <w:rFonts w:ascii="Arial" w:hAnsi="Arial" w:cs="Arial"/>
          <w:i/>
        </w:rPr>
        <w:t>Microb Pathog.</w:t>
      </w:r>
      <w:r w:rsidRPr="002B41CC">
        <w:rPr>
          <w:rFonts w:ascii="Arial" w:hAnsi="Arial" w:cs="Arial"/>
        </w:rPr>
        <w:t xml:space="preserve"> 2016; </w:t>
      </w:r>
      <w:r w:rsidRPr="002B41CC">
        <w:rPr>
          <w:rFonts w:ascii="Arial" w:hAnsi="Arial" w:cs="Arial"/>
          <w:b/>
        </w:rPr>
        <w:t>99</w:t>
      </w:r>
      <w:r w:rsidRPr="002B41CC">
        <w:rPr>
          <w:rFonts w:ascii="Arial" w:hAnsi="Arial" w:cs="Arial"/>
        </w:rPr>
        <w:t>: 119-22.</w:t>
      </w:r>
    </w:p>
    <w:p w14:paraId="1F3C2414"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 xml:space="preserve">Luck S, Torny M, d’Agapeyeff K, et al. Estimated early-onset group B streptococcal neonatal disease. </w:t>
      </w:r>
      <w:r w:rsidRPr="002B41CC">
        <w:rPr>
          <w:rFonts w:ascii="Arial" w:hAnsi="Arial" w:cs="Arial"/>
          <w:i/>
        </w:rPr>
        <w:t>Lancet</w:t>
      </w:r>
      <w:r w:rsidRPr="002B41CC">
        <w:rPr>
          <w:rFonts w:ascii="Arial" w:hAnsi="Arial" w:cs="Arial"/>
        </w:rPr>
        <w:t xml:space="preserve"> 2003; </w:t>
      </w:r>
      <w:r w:rsidRPr="002B41CC">
        <w:rPr>
          <w:rFonts w:ascii="Arial" w:hAnsi="Arial" w:cs="Arial"/>
          <w:b/>
        </w:rPr>
        <w:t>361</w:t>
      </w:r>
      <w:r w:rsidRPr="002B41CC">
        <w:rPr>
          <w:rFonts w:ascii="Arial" w:hAnsi="Arial" w:cs="Arial"/>
        </w:rPr>
        <w:t xml:space="preserve"> (9373): 1953-4.</w:t>
      </w:r>
    </w:p>
    <w:p w14:paraId="6140C35E" w14:textId="77777777" w:rsidR="009539F0" w:rsidRPr="002B41CC" w:rsidRDefault="009539F0" w:rsidP="009539F0">
      <w:pPr>
        <w:numPr>
          <w:ilvl w:val="0"/>
          <w:numId w:val="6"/>
        </w:numPr>
        <w:shd w:val="clear" w:color="auto" w:fill="FFFFFF"/>
        <w:spacing w:before="120" w:after="360" w:line="276" w:lineRule="auto"/>
        <w:ind w:right="2"/>
        <w:contextualSpacing/>
        <w:rPr>
          <w:rFonts w:ascii="Arial" w:hAnsi="Arial" w:cs="Arial"/>
        </w:rPr>
      </w:pPr>
      <w:r w:rsidRPr="002B41CC">
        <w:rPr>
          <w:rFonts w:ascii="Arial" w:hAnsi="Arial" w:cs="Arial"/>
        </w:rPr>
        <w:t xml:space="preserve">Lamagni TL, Keshishian C, Efstratiou A, Guy R, Henderson KL, Broughton K, et al. Emerging trends in the epidemiology of invasive group B streptococcal disease in England and Wales, 1991-2010. </w:t>
      </w:r>
      <w:r w:rsidRPr="002B41CC">
        <w:rPr>
          <w:rFonts w:ascii="Arial" w:hAnsi="Arial" w:cs="Arial"/>
          <w:i/>
        </w:rPr>
        <w:t>Clin Infect Dis.</w:t>
      </w:r>
      <w:r w:rsidRPr="002B41CC">
        <w:rPr>
          <w:rFonts w:ascii="Arial" w:hAnsi="Arial" w:cs="Arial"/>
        </w:rPr>
        <w:t xml:space="preserve"> 2013; 57(5): 682-8</w:t>
      </w:r>
    </w:p>
    <w:p w14:paraId="507A01A6" w14:textId="04F5B79C" w:rsidR="004407B2" w:rsidRPr="002B41CC" w:rsidRDefault="004407B2" w:rsidP="009539F0">
      <w:pPr>
        <w:spacing w:line="480" w:lineRule="auto"/>
        <w:rPr>
          <w:rFonts w:ascii="Arial" w:hAnsi="Arial" w:cs="Arial"/>
        </w:rPr>
      </w:pPr>
    </w:p>
    <w:sectPr w:rsidR="004407B2" w:rsidRPr="002B41CC" w:rsidSect="00190D18">
      <w:footerReference w:type="even" r:id="rId22"/>
      <w:footerReference w:type="default" r:id="rId2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B63CF" w14:textId="77777777" w:rsidR="00130F2F" w:rsidRDefault="00130F2F" w:rsidP="00E901DE">
      <w:r>
        <w:separator/>
      </w:r>
    </w:p>
  </w:endnote>
  <w:endnote w:type="continuationSeparator" w:id="0">
    <w:p w14:paraId="05AC3CD5" w14:textId="77777777" w:rsidR="00130F2F" w:rsidRDefault="00130F2F" w:rsidP="00E9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Roman"/>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5CFF8" w14:textId="77777777" w:rsidR="006B65AD" w:rsidRDefault="006B65AD" w:rsidP="00060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37E6C" w14:textId="77777777" w:rsidR="006B65AD" w:rsidRDefault="006B65AD" w:rsidP="00C649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3A126" w14:textId="77777777" w:rsidR="006B65AD" w:rsidRDefault="006B65AD" w:rsidP="00060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0A36">
      <w:rPr>
        <w:rStyle w:val="PageNumber"/>
        <w:noProof/>
      </w:rPr>
      <w:t>1</w:t>
    </w:r>
    <w:r>
      <w:rPr>
        <w:rStyle w:val="PageNumber"/>
      </w:rPr>
      <w:fldChar w:fldCharType="end"/>
    </w:r>
  </w:p>
  <w:p w14:paraId="607F20A1" w14:textId="77777777" w:rsidR="006B65AD" w:rsidRDefault="006B65AD" w:rsidP="002927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4C3EA" w14:textId="77777777" w:rsidR="00130F2F" w:rsidRDefault="00130F2F" w:rsidP="00E901DE">
      <w:r>
        <w:separator/>
      </w:r>
    </w:p>
  </w:footnote>
  <w:footnote w:type="continuationSeparator" w:id="0">
    <w:p w14:paraId="513A0EFA" w14:textId="77777777" w:rsidR="00130F2F" w:rsidRDefault="00130F2F" w:rsidP="00E90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06A01"/>
    <w:multiLevelType w:val="multilevel"/>
    <w:tmpl w:val="E0607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52F13"/>
    <w:multiLevelType w:val="hybridMultilevel"/>
    <w:tmpl w:val="5D840A22"/>
    <w:lvl w:ilvl="0" w:tplc="13DE7868">
      <w:start w:val="1"/>
      <w:numFmt w:val="bullet"/>
      <w:lvlText w:val="•"/>
      <w:lvlJc w:val="left"/>
      <w:pPr>
        <w:tabs>
          <w:tab w:val="num" w:pos="720"/>
        </w:tabs>
        <w:ind w:left="720" w:hanging="360"/>
      </w:pPr>
      <w:rPr>
        <w:rFonts w:ascii="Arial" w:hAnsi="Arial" w:hint="default"/>
      </w:rPr>
    </w:lvl>
    <w:lvl w:ilvl="1" w:tplc="BD5CE8DA" w:tentative="1">
      <w:start w:val="1"/>
      <w:numFmt w:val="bullet"/>
      <w:lvlText w:val="•"/>
      <w:lvlJc w:val="left"/>
      <w:pPr>
        <w:tabs>
          <w:tab w:val="num" w:pos="1440"/>
        </w:tabs>
        <w:ind w:left="1440" w:hanging="360"/>
      </w:pPr>
      <w:rPr>
        <w:rFonts w:ascii="Arial" w:hAnsi="Arial" w:hint="default"/>
      </w:rPr>
    </w:lvl>
    <w:lvl w:ilvl="2" w:tplc="7D049924" w:tentative="1">
      <w:start w:val="1"/>
      <w:numFmt w:val="bullet"/>
      <w:lvlText w:val="•"/>
      <w:lvlJc w:val="left"/>
      <w:pPr>
        <w:tabs>
          <w:tab w:val="num" w:pos="2160"/>
        </w:tabs>
        <w:ind w:left="2160" w:hanging="360"/>
      </w:pPr>
      <w:rPr>
        <w:rFonts w:ascii="Arial" w:hAnsi="Arial" w:hint="default"/>
      </w:rPr>
    </w:lvl>
    <w:lvl w:ilvl="3" w:tplc="8A487716" w:tentative="1">
      <w:start w:val="1"/>
      <w:numFmt w:val="bullet"/>
      <w:lvlText w:val="•"/>
      <w:lvlJc w:val="left"/>
      <w:pPr>
        <w:tabs>
          <w:tab w:val="num" w:pos="2880"/>
        </w:tabs>
        <w:ind w:left="2880" w:hanging="360"/>
      </w:pPr>
      <w:rPr>
        <w:rFonts w:ascii="Arial" w:hAnsi="Arial" w:hint="default"/>
      </w:rPr>
    </w:lvl>
    <w:lvl w:ilvl="4" w:tplc="2A742A74" w:tentative="1">
      <w:start w:val="1"/>
      <w:numFmt w:val="bullet"/>
      <w:lvlText w:val="•"/>
      <w:lvlJc w:val="left"/>
      <w:pPr>
        <w:tabs>
          <w:tab w:val="num" w:pos="3600"/>
        </w:tabs>
        <w:ind w:left="3600" w:hanging="360"/>
      </w:pPr>
      <w:rPr>
        <w:rFonts w:ascii="Arial" w:hAnsi="Arial" w:hint="default"/>
      </w:rPr>
    </w:lvl>
    <w:lvl w:ilvl="5" w:tplc="1006F4A4" w:tentative="1">
      <w:start w:val="1"/>
      <w:numFmt w:val="bullet"/>
      <w:lvlText w:val="•"/>
      <w:lvlJc w:val="left"/>
      <w:pPr>
        <w:tabs>
          <w:tab w:val="num" w:pos="4320"/>
        </w:tabs>
        <w:ind w:left="4320" w:hanging="360"/>
      </w:pPr>
      <w:rPr>
        <w:rFonts w:ascii="Arial" w:hAnsi="Arial" w:hint="default"/>
      </w:rPr>
    </w:lvl>
    <w:lvl w:ilvl="6" w:tplc="F79A9A44" w:tentative="1">
      <w:start w:val="1"/>
      <w:numFmt w:val="bullet"/>
      <w:lvlText w:val="•"/>
      <w:lvlJc w:val="left"/>
      <w:pPr>
        <w:tabs>
          <w:tab w:val="num" w:pos="5040"/>
        </w:tabs>
        <w:ind w:left="5040" w:hanging="360"/>
      </w:pPr>
      <w:rPr>
        <w:rFonts w:ascii="Arial" w:hAnsi="Arial" w:hint="default"/>
      </w:rPr>
    </w:lvl>
    <w:lvl w:ilvl="7" w:tplc="C4F22E1E" w:tentative="1">
      <w:start w:val="1"/>
      <w:numFmt w:val="bullet"/>
      <w:lvlText w:val="•"/>
      <w:lvlJc w:val="left"/>
      <w:pPr>
        <w:tabs>
          <w:tab w:val="num" w:pos="5760"/>
        </w:tabs>
        <w:ind w:left="5760" w:hanging="360"/>
      </w:pPr>
      <w:rPr>
        <w:rFonts w:ascii="Arial" w:hAnsi="Arial" w:hint="default"/>
      </w:rPr>
    </w:lvl>
    <w:lvl w:ilvl="8" w:tplc="B804E98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1D0A66"/>
    <w:multiLevelType w:val="hybridMultilevel"/>
    <w:tmpl w:val="6F6613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6C342C"/>
    <w:multiLevelType w:val="hybridMultilevel"/>
    <w:tmpl w:val="536481BA"/>
    <w:lvl w:ilvl="0" w:tplc="491AF5AC">
      <w:start w:val="1"/>
      <w:numFmt w:val="bullet"/>
      <w:lvlText w:val="•"/>
      <w:lvlJc w:val="left"/>
      <w:pPr>
        <w:tabs>
          <w:tab w:val="num" w:pos="720"/>
        </w:tabs>
        <w:ind w:left="720" w:hanging="360"/>
      </w:pPr>
      <w:rPr>
        <w:rFonts w:ascii="Arial" w:hAnsi="Arial" w:hint="default"/>
      </w:rPr>
    </w:lvl>
    <w:lvl w:ilvl="1" w:tplc="5E600160" w:tentative="1">
      <w:start w:val="1"/>
      <w:numFmt w:val="bullet"/>
      <w:lvlText w:val="•"/>
      <w:lvlJc w:val="left"/>
      <w:pPr>
        <w:tabs>
          <w:tab w:val="num" w:pos="1440"/>
        </w:tabs>
        <w:ind w:left="1440" w:hanging="360"/>
      </w:pPr>
      <w:rPr>
        <w:rFonts w:ascii="Arial" w:hAnsi="Arial" w:hint="default"/>
      </w:rPr>
    </w:lvl>
    <w:lvl w:ilvl="2" w:tplc="308CCC00" w:tentative="1">
      <w:start w:val="1"/>
      <w:numFmt w:val="bullet"/>
      <w:lvlText w:val="•"/>
      <w:lvlJc w:val="left"/>
      <w:pPr>
        <w:tabs>
          <w:tab w:val="num" w:pos="2160"/>
        </w:tabs>
        <w:ind w:left="2160" w:hanging="360"/>
      </w:pPr>
      <w:rPr>
        <w:rFonts w:ascii="Arial" w:hAnsi="Arial" w:hint="default"/>
      </w:rPr>
    </w:lvl>
    <w:lvl w:ilvl="3" w:tplc="9D7E56DA" w:tentative="1">
      <w:start w:val="1"/>
      <w:numFmt w:val="bullet"/>
      <w:lvlText w:val="•"/>
      <w:lvlJc w:val="left"/>
      <w:pPr>
        <w:tabs>
          <w:tab w:val="num" w:pos="2880"/>
        </w:tabs>
        <w:ind w:left="2880" w:hanging="360"/>
      </w:pPr>
      <w:rPr>
        <w:rFonts w:ascii="Arial" w:hAnsi="Arial" w:hint="default"/>
      </w:rPr>
    </w:lvl>
    <w:lvl w:ilvl="4" w:tplc="5762D320" w:tentative="1">
      <w:start w:val="1"/>
      <w:numFmt w:val="bullet"/>
      <w:lvlText w:val="•"/>
      <w:lvlJc w:val="left"/>
      <w:pPr>
        <w:tabs>
          <w:tab w:val="num" w:pos="3600"/>
        </w:tabs>
        <w:ind w:left="3600" w:hanging="360"/>
      </w:pPr>
      <w:rPr>
        <w:rFonts w:ascii="Arial" w:hAnsi="Arial" w:hint="default"/>
      </w:rPr>
    </w:lvl>
    <w:lvl w:ilvl="5" w:tplc="2292BD92" w:tentative="1">
      <w:start w:val="1"/>
      <w:numFmt w:val="bullet"/>
      <w:lvlText w:val="•"/>
      <w:lvlJc w:val="left"/>
      <w:pPr>
        <w:tabs>
          <w:tab w:val="num" w:pos="4320"/>
        </w:tabs>
        <w:ind w:left="4320" w:hanging="360"/>
      </w:pPr>
      <w:rPr>
        <w:rFonts w:ascii="Arial" w:hAnsi="Arial" w:hint="default"/>
      </w:rPr>
    </w:lvl>
    <w:lvl w:ilvl="6" w:tplc="FB4048C0" w:tentative="1">
      <w:start w:val="1"/>
      <w:numFmt w:val="bullet"/>
      <w:lvlText w:val="•"/>
      <w:lvlJc w:val="left"/>
      <w:pPr>
        <w:tabs>
          <w:tab w:val="num" w:pos="5040"/>
        </w:tabs>
        <w:ind w:left="5040" w:hanging="360"/>
      </w:pPr>
      <w:rPr>
        <w:rFonts w:ascii="Arial" w:hAnsi="Arial" w:hint="default"/>
      </w:rPr>
    </w:lvl>
    <w:lvl w:ilvl="7" w:tplc="84CAACC6" w:tentative="1">
      <w:start w:val="1"/>
      <w:numFmt w:val="bullet"/>
      <w:lvlText w:val="•"/>
      <w:lvlJc w:val="left"/>
      <w:pPr>
        <w:tabs>
          <w:tab w:val="num" w:pos="5760"/>
        </w:tabs>
        <w:ind w:left="5760" w:hanging="360"/>
      </w:pPr>
      <w:rPr>
        <w:rFonts w:ascii="Arial" w:hAnsi="Arial" w:hint="default"/>
      </w:rPr>
    </w:lvl>
    <w:lvl w:ilvl="8" w:tplc="B134959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137ABF"/>
    <w:multiLevelType w:val="hybridMultilevel"/>
    <w:tmpl w:val="82E2AF32"/>
    <w:lvl w:ilvl="0" w:tplc="0DB2CE14">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C4F48"/>
    <w:multiLevelType w:val="hybridMultilevel"/>
    <w:tmpl w:val="2E3061CC"/>
    <w:lvl w:ilvl="0" w:tplc="545A7EA2">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651CCB"/>
    <w:multiLevelType w:val="hybridMultilevel"/>
    <w:tmpl w:val="FBB01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11283"/>
    <w:multiLevelType w:val="hybridMultilevel"/>
    <w:tmpl w:val="7CB24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9C3931"/>
    <w:multiLevelType w:val="hybridMultilevel"/>
    <w:tmpl w:val="941687CA"/>
    <w:lvl w:ilvl="0" w:tplc="E6387086">
      <w:start w:val="1"/>
      <w:numFmt w:val="bullet"/>
      <w:lvlText w:val="•"/>
      <w:lvlJc w:val="left"/>
      <w:pPr>
        <w:tabs>
          <w:tab w:val="num" w:pos="720"/>
        </w:tabs>
        <w:ind w:left="720" w:hanging="360"/>
      </w:pPr>
      <w:rPr>
        <w:rFonts w:ascii="Arial" w:hAnsi="Arial" w:hint="default"/>
      </w:rPr>
    </w:lvl>
    <w:lvl w:ilvl="1" w:tplc="529A4C0E">
      <w:numFmt w:val="bullet"/>
      <w:lvlText w:val="–"/>
      <w:lvlJc w:val="left"/>
      <w:pPr>
        <w:tabs>
          <w:tab w:val="num" w:pos="1440"/>
        </w:tabs>
        <w:ind w:left="1440" w:hanging="360"/>
      </w:pPr>
      <w:rPr>
        <w:rFonts w:ascii="Arial" w:hAnsi="Arial" w:hint="default"/>
      </w:rPr>
    </w:lvl>
    <w:lvl w:ilvl="2" w:tplc="0CE89532" w:tentative="1">
      <w:start w:val="1"/>
      <w:numFmt w:val="bullet"/>
      <w:lvlText w:val="•"/>
      <w:lvlJc w:val="left"/>
      <w:pPr>
        <w:tabs>
          <w:tab w:val="num" w:pos="2160"/>
        </w:tabs>
        <w:ind w:left="2160" w:hanging="360"/>
      </w:pPr>
      <w:rPr>
        <w:rFonts w:ascii="Arial" w:hAnsi="Arial" w:hint="default"/>
      </w:rPr>
    </w:lvl>
    <w:lvl w:ilvl="3" w:tplc="4C7C7E70" w:tentative="1">
      <w:start w:val="1"/>
      <w:numFmt w:val="bullet"/>
      <w:lvlText w:val="•"/>
      <w:lvlJc w:val="left"/>
      <w:pPr>
        <w:tabs>
          <w:tab w:val="num" w:pos="2880"/>
        </w:tabs>
        <w:ind w:left="2880" w:hanging="360"/>
      </w:pPr>
      <w:rPr>
        <w:rFonts w:ascii="Arial" w:hAnsi="Arial" w:hint="default"/>
      </w:rPr>
    </w:lvl>
    <w:lvl w:ilvl="4" w:tplc="09DCBF1E" w:tentative="1">
      <w:start w:val="1"/>
      <w:numFmt w:val="bullet"/>
      <w:lvlText w:val="•"/>
      <w:lvlJc w:val="left"/>
      <w:pPr>
        <w:tabs>
          <w:tab w:val="num" w:pos="3600"/>
        </w:tabs>
        <w:ind w:left="3600" w:hanging="360"/>
      </w:pPr>
      <w:rPr>
        <w:rFonts w:ascii="Arial" w:hAnsi="Arial" w:hint="default"/>
      </w:rPr>
    </w:lvl>
    <w:lvl w:ilvl="5" w:tplc="94C4CB5C" w:tentative="1">
      <w:start w:val="1"/>
      <w:numFmt w:val="bullet"/>
      <w:lvlText w:val="•"/>
      <w:lvlJc w:val="left"/>
      <w:pPr>
        <w:tabs>
          <w:tab w:val="num" w:pos="4320"/>
        </w:tabs>
        <w:ind w:left="4320" w:hanging="360"/>
      </w:pPr>
      <w:rPr>
        <w:rFonts w:ascii="Arial" w:hAnsi="Arial" w:hint="default"/>
      </w:rPr>
    </w:lvl>
    <w:lvl w:ilvl="6" w:tplc="03B6D666" w:tentative="1">
      <w:start w:val="1"/>
      <w:numFmt w:val="bullet"/>
      <w:lvlText w:val="•"/>
      <w:lvlJc w:val="left"/>
      <w:pPr>
        <w:tabs>
          <w:tab w:val="num" w:pos="5040"/>
        </w:tabs>
        <w:ind w:left="5040" w:hanging="360"/>
      </w:pPr>
      <w:rPr>
        <w:rFonts w:ascii="Arial" w:hAnsi="Arial" w:hint="default"/>
      </w:rPr>
    </w:lvl>
    <w:lvl w:ilvl="7" w:tplc="AB66D1DE" w:tentative="1">
      <w:start w:val="1"/>
      <w:numFmt w:val="bullet"/>
      <w:lvlText w:val="•"/>
      <w:lvlJc w:val="left"/>
      <w:pPr>
        <w:tabs>
          <w:tab w:val="num" w:pos="5760"/>
        </w:tabs>
        <w:ind w:left="5760" w:hanging="360"/>
      </w:pPr>
      <w:rPr>
        <w:rFonts w:ascii="Arial" w:hAnsi="Arial" w:hint="default"/>
      </w:rPr>
    </w:lvl>
    <w:lvl w:ilvl="8" w:tplc="DC5088D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2BD2FB3"/>
    <w:multiLevelType w:val="hybridMultilevel"/>
    <w:tmpl w:val="7CB24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3F0C22"/>
    <w:multiLevelType w:val="hybridMultilevel"/>
    <w:tmpl w:val="629C7972"/>
    <w:lvl w:ilvl="0" w:tplc="6BD65168">
      <w:start w:val="1"/>
      <w:numFmt w:val="bullet"/>
      <w:lvlText w:val=""/>
      <w:lvlJc w:val="left"/>
      <w:pPr>
        <w:tabs>
          <w:tab w:val="num" w:pos="720"/>
        </w:tabs>
        <w:ind w:left="720" w:hanging="360"/>
      </w:pPr>
      <w:rPr>
        <w:rFonts w:ascii="Symbol" w:hAnsi="Symbol" w:hint="default"/>
      </w:rPr>
    </w:lvl>
    <w:lvl w:ilvl="1" w:tplc="99A4B232" w:tentative="1">
      <w:start w:val="1"/>
      <w:numFmt w:val="bullet"/>
      <w:lvlText w:val=""/>
      <w:lvlJc w:val="left"/>
      <w:pPr>
        <w:tabs>
          <w:tab w:val="num" w:pos="1440"/>
        </w:tabs>
        <w:ind w:left="1440" w:hanging="360"/>
      </w:pPr>
      <w:rPr>
        <w:rFonts w:ascii="Symbol" w:hAnsi="Symbol" w:hint="default"/>
      </w:rPr>
    </w:lvl>
    <w:lvl w:ilvl="2" w:tplc="C09EFA98" w:tentative="1">
      <w:start w:val="1"/>
      <w:numFmt w:val="bullet"/>
      <w:lvlText w:val=""/>
      <w:lvlJc w:val="left"/>
      <w:pPr>
        <w:tabs>
          <w:tab w:val="num" w:pos="2160"/>
        </w:tabs>
        <w:ind w:left="2160" w:hanging="360"/>
      </w:pPr>
      <w:rPr>
        <w:rFonts w:ascii="Symbol" w:hAnsi="Symbol" w:hint="default"/>
      </w:rPr>
    </w:lvl>
    <w:lvl w:ilvl="3" w:tplc="5D223648" w:tentative="1">
      <w:start w:val="1"/>
      <w:numFmt w:val="bullet"/>
      <w:lvlText w:val=""/>
      <w:lvlJc w:val="left"/>
      <w:pPr>
        <w:tabs>
          <w:tab w:val="num" w:pos="2880"/>
        </w:tabs>
        <w:ind w:left="2880" w:hanging="360"/>
      </w:pPr>
      <w:rPr>
        <w:rFonts w:ascii="Symbol" w:hAnsi="Symbol" w:hint="default"/>
      </w:rPr>
    </w:lvl>
    <w:lvl w:ilvl="4" w:tplc="F6ACE83A" w:tentative="1">
      <w:start w:val="1"/>
      <w:numFmt w:val="bullet"/>
      <w:lvlText w:val=""/>
      <w:lvlJc w:val="left"/>
      <w:pPr>
        <w:tabs>
          <w:tab w:val="num" w:pos="3600"/>
        </w:tabs>
        <w:ind w:left="3600" w:hanging="360"/>
      </w:pPr>
      <w:rPr>
        <w:rFonts w:ascii="Symbol" w:hAnsi="Symbol" w:hint="default"/>
      </w:rPr>
    </w:lvl>
    <w:lvl w:ilvl="5" w:tplc="7902E3C4" w:tentative="1">
      <w:start w:val="1"/>
      <w:numFmt w:val="bullet"/>
      <w:lvlText w:val=""/>
      <w:lvlJc w:val="left"/>
      <w:pPr>
        <w:tabs>
          <w:tab w:val="num" w:pos="4320"/>
        </w:tabs>
        <w:ind w:left="4320" w:hanging="360"/>
      </w:pPr>
      <w:rPr>
        <w:rFonts w:ascii="Symbol" w:hAnsi="Symbol" w:hint="default"/>
      </w:rPr>
    </w:lvl>
    <w:lvl w:ilvl="6" w:tplc="5D1A4024" w:tentative="1">
      <w:start w:val="1"/>
      <w:numFmt w:val="bullet"/>
      <w:lvlText w:val=""/>
      <w:lvlJc w:val="left"/>
      <w:pPr>
        <w:tabs>
          <w:tab w:val="num" w:pos="5040"/>
        </w:tabs>
        <w:ind w:left="5040" w:hanging="360"/>
      </w:pPr>
      <w:rPr>
        <w:rFonts w:ascii="Symbol" w:hAnsi="Symbol" w:hint="default"/>
      </w:rPr>
    </w:lvl>
    <w:lvl w:ilvl="7" w:tplc="0FA45892" w:tentative="1">
      <w:start w:val="1"/>
      <w:numFmt w:val="bullet"/>
      <w:lvlText w:val=""/>
      <w:lvlJc w:val="left"/>
      <w:pPr>
        <w:tabs>
          <w:tab w:val="num" w:pos="5760"/>
        </w:tabs>
        <w:ind w:left="5760" w:hanging="360"/>
      </w:pPr>
      <w:rPr>
        <w:rFonts w:ascii="Symbol" w:hAnsi="Symbol" w:hint="default"/>
      </w:rPr>
    </w:lvl>
    <w:lvl w:ilvl="8" w:tplc="5FD4DD9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6904A2F"/>
    <w:multiLevelType w:val="hybridMultilevel"/>
    <w:tmpl w:val="2E3061CC"/>
    <w:lvl w:ilvl="0" w:tplc="545A7EA2">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2B1B93"/>
    <w:multiLevelType w:val="hybridMultilevel"/>
    <w:tmpl w:val="2E3061CC"/>
    <w:lvl w:ilvl="0" w:tplc="545A7EA2">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2"/>
  </w:num>
  <w:num w:numId="4">
    <w:abstractNumId w:val="5"/>
  </w:num>
  <w:num w:numId="5">
    <w:abstractNumId w:val="1"/>
  </w:num>
  <w:num w:numId="6">
    <w:abstractNumId w:val="6"/>
  </w:num>
  <w:num w:numId="7">
    <w:abstractNumId w:val="8"/>
  </w:num>
  <w:num w:numId="8">
    <w:abstractNumId w:val="10"/>
  </w:num>
  <w:num w:numId="9">
    <w:abstractNumId w:val="0"/>
  </w:num>
  <w:num w:numId="10">
    <w:abstractNumId w:val="7"/>
  </w:num>
  <w:num w:numId="11">
    <w:abstractNumId w:val="9"/>
  </w:num>
  <w:num w:numId="12">
    <w:abstractNumId w:val="4"/>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a2t9r59xs906eedv4x2f91x2sxp2zz2ra0&quot;&gt;My EndNote Library&lt;record-ids&gt;&lt;item&gt;1&lt;/item&gt;&lt;/record-ids&gt;&lt;/item&gt;&lt;/Libraries&gt;"/>
  </w:docVars>
  <w:rsids>
    <w:rsidRoot w:val="00AC3B78"/>
    <w:rsid w:val="00000C25"/>
    <w:rsid w:val="000106AE"/>
    <w:rsid w:val="000146C5"/>
    <w:rsid w:val="00016148"/>
    <w:rsid w:val="00017D3B"/>
    <w:rsid w:val="000209D1"/>
    <w:rsid w:val="00022232"/>
    <w:rsid w:val="00022AD9"/>
    <w:rsid w:val="0002416C"/>
    <w:rsid w:val="000241A9"/>
    <w:rsid w:val="000352D4"/>
    <w:rsid w:val="00037064"/>
    <w:rsid w:val="000371BF"/>
    <w:rsid w:val="000375D4"/>
    <w:rsid w:val="00037C1A"/>
    <w:rsid w:val="00037DBD"/>
    <w:rsid w:val="000404D8"/>
    <w:rsid w:val="00042EC0"/>
    <w:rsid w:val="000437F2"/>
    <w:rsid w:val="0004550A"/>
    <w:rsid w:val="00045796"/>
    <w:rsid w:val="000553CA"/>
    <w:rsid w:val="000609FC"/>
    <w:rsid w:val="000632BA"/>
    <w:rsid w:val="00064BB7"/>
    <w:rsid w:val="0006589F"/>
    <w:rsid w:val="00066580"/>
    <w:rsid w:val="00072394"/>
    <w:rsid w:val="000738ED"/>
    <w:rsid w:val="000756F7"/>
    <w:rsid w:val="00084C70"/>
    <w:rsid w:val="00084F4A"/>
    <w:rsid w:val="0008673C"/>
    <w:rsid w:val="0009497C"/>
    <w:rsid w:val="0009614D"/>
    <w:rsid w:val="00097BC2"/>
    <w:rsid w:val="000A695F"/>
    <w:rsid w:val="000A6E91"/>
    <w:rsid w:val="000A6F43"/>
    <w:rsid w:val="000B103C"/>
    <w:rsid w:val="000B147C"/>
    <w:rsid w:val="000B1C42"/>
    <w:rsid w:val="000B38FE"/>
    <w:rsid w:val="000B5238"/>
    <w:rsid w:val="000B648E"/>
    <w:rsid w:val="000B7A58"/>
    <w:rsid w:val="000C101F"/>
    <w:rsid w:val="000C13A2"/>
    <w:rsid w:val="000C3E56"/>
    <w:rsid w:val="000C4AF7"/>
    <w:rsid w:val="000C5365"/>
    <w:rsid w:val="000D1C66"/>
    <w:rsid w:val="000D2032"/>
    <w:rsid w:val="000D26C9"/>
    <w:rsid w:val="000D3EA0"/>
    <w:rsid w:val="000D6B84"/>
    <w:rsid w:val="000D7C97"/>
    <w:rsid w:val="000E080F"/>
    <w:rsid w:val="000E08ED"/>
    <w:rsid w:val="000E0B20"/>
    <w:rsid w:val="000E33B7"/>
    <w:rsid w:val="000E34BD"/>
    <w:rsid w:val="000E36D4"/>
    <w:rsid w:val="000E5AFE"/>
    <w:rsid w:val="000E6468"/>
    <w:rsid w:val="000F1801"/>
    <w:rsid w:val="000F395C"/>
    <w:rsid w:val="000F3CB0"/>
    <w:rsid w:val="000F4873"/>
    <w:rsid w:val="000F574E"/>
    <w:rsid w:val="000F7103"/>
    <w:rsid w:val="00104325"/>
    <w:rsid w:val="00104F5D"/>
    <w:rsid w:val="001072BC"/>
    <w:rsid w:val="0011067C"/>
    <w:rsid w:val="00110F08"/>
    <w:rsid w:val="001110CA"/>
    <w:rsid w:val="00112BDF"/>
    <w:rsid w:val="001134E1"/>
    <w:rsid w:val="00113FE6"/>
    <w:rsid w:val="0011600C"/>
    <w:rsid w:val="00117DC6"/>
    <w:rsid w:val="00120A36"/>
    <w:rsid w:val="001248F9"/>
    <w:rsid w:val="001306B8"/>
    <w:rsid w:val="00130B4C"/>
    <w:rsid w:val="00130F2F"/>
    <w:rsid w:val="001317E4"/>
    <w:rsid w:val="0013611E"/>
    <w:rsid w:val="00136313"/>
    <w:rsid w:val="00136711"/>
    <w:rsid w:val="00137167"/>
    <w:rsid w:val="00140C2C"/>
    <w:rsid w:val="001431F2"/>
    <w:rsid w:val="00143D01"/>
    <w:rsid w:val="00144815"/>
    <w:rsid w:val="00145014"/>
    <w:rsid w:val="00147D73"/>
    <w:rsid w:val="00151868"/>
    <w:rsid w:val="001558CF"/>
    <w:rsid w:val="00157399"/>
    <w:rsid w:val="00157ACE"/>
    <w:rsid w:val="00161BF5"/>
    <w:rsid w:val="00163CB2"/>
    <w:rsid w:val="00167F0D"/>
    <w:rsid w:val="00174260"/>
    <w:rsid w:val="0017500E"/>
    <w:rsid w:val="00184249"/>
    <w:rsid w:val="00186700"/>
    <w:rsid w:val="00190D18"/>
    <w:rsid w:val="00190F03"/>
    <w:rsid w:val="00191D22"/>
    <w:rsid w:val="001920F4"/>
    <w:rsid w:val="00193B77"/>
    <w:rsid w:val="001941B6"/>
    <w:rsid w:val="00194979"/>
    <w:rsid w:val="00194C7C"/>
    <w:rsid w:val="00194EA1"/>
    <w:rsid w:val="00196EB2"/>
    <w:rsid w:val="001A0AB4"/>
    <w:rsid w:val="001A129E"/>
    <w:rsid w:val="001A2D69"/>
    <w:rsid w:val="001A799D"/>
    <w:rsid w:val="001B1058"/>
    <w:rsid w:val="001B1077"/>
    <w:rsid w:val="001B24FC"/>
    <w:rsid w:val="001B47F4"/>
    <w:rsid w:val="001B5B0D"/>
    <w:rsid w:val="001C4314"/>
    <w:rsid w:val="001D0951"/>
    <w:rsid w:val="001D10AA"/>
    <w:rsid w:val="001D13E8"/>
    <w:rsid w:val="001D1472"/>
    <w:rsid w:val="001D2EF4"/>
    <w:rsid w:val="001D344F"/>
    <w:rsid w:val="001D4F38"/>
    <w:rsid w:val="001D76B6"/>
    <w:rsid w:val="001E03FB"/>
    <w:rsid w:val="001E0E27"/>
    <w:rsid w:val="001E6934"/>
    <w:rsid w:val="001F08DB"/>
    <w:rsid w:val="001F10C5"/>
    <w:rsid w:val="001F3B4B"/>
    <w:rsid w:val="001F5D6D"/>
    <w:rsid w:val="002040BB"/>
    <w:rsid w:val="002050C3"/>
    <w:rsid w:val="00206CF0"/>
    <w:rsid w:val="00210E5C"/>
    <w:rsid w:val="002130A1"/>
    <w:rsid w:val="002148A3"/>
    <w:rsid w:val="00216C68"/>
    <w:rsid w:val="00217A0C"/>
    <w:rsid w:val="00220418"/>
    <w:rsid w:val="00221BE4"/>
    <w:rsid w:val="002321DC"/>
    <w:rsid w:val="00234BE0"/>
    <w:rsid w:val="0023522D"/>
    <w:rsid w:val="00235F77"/>
    <w:rsid w:val="002362D3"/>
    <w:rsid w:val="002376E3"/>
    <w:rsid w:val="00237F0B"/>
    <w:rsid w:val="00242460"/>
    <w:rsid w:val="00242F02"/>
    <w:rsid w:val="00242F8A"/>
    <w:rsid w:val="002432CF"/>
    <w:rsid w:val="002436D5"/>
    <w:rsid w:val="0024427F"/>
    <w:rsid w:val="00246512"/>
    <w:rsid w:val="00246531"/>
    <w:rsid w:val="0024689B"/>
    <w:rsid w:val="0025103A"/>
    <w:rsid w:val="002518AB"/>
    <w:rsid w:val="00252E84"/>
    <w:rsid w:val="00253EF2"/>
    <w:rsid w:val="00254B88"/>
    <w:rsid w:val="00255821"/>
    <w:rsid w:val="002562EF"/>
    <w:rsid w:val="00256D09"/>
    <w:rsid w:val="002608F4"/>
    <w:rsid w:val="00262752"/>
    <w:rsid w:val="0026418C"/>
    <w:rsid w:val="00264642"/>
    <w:rsid w:val="002650CD"/>
    <w:rsid w:val="00266C02"/>
    <w:rsid w:val="00266C3A"/>
    <w:rsid w:val="00270437"/>
    <w:rsid w:val="0027263D"/>
    <w:rsid w:val="00273E48"/>
    <w:rsid w:val="0027684C"/>
    <w:rsid w:val="00277464"/>
    <w:rsid w:val="00277648"/>
    <w:rsid w:val="0028436F"/>
    <w:rsid w:val="00285249"/>
    <w:rsid w:val="00287F3E"/>
    <w:rsid w:val="002927F2"/>
    <w:rsid w:val="00296AA6"/>
    <w:rsid w:val="00296C52"/>
    <w:rsid w:val="002A0E75"/>
    <w:rsid w:val="002A1513"/>
    <w:rsid w:val="002A1BB5"/>
    <w:rsid w:val="002A6558"/>
    <w:rsid w:val="002A7C3F"/>
    <w:rsid w:val="002B1DFD"/>
    <w:rsid w:val="002B3575"/>
    <w:rsid w:val="002B37F4"/>
    <w:rsid w:val="002B41CC"/>
    <w:rsid w:val="002B42EF"/>
    <w:rsid w:val="002B44EB"/>
    <w:rsid w:val="002B4D33"/>
    <w:rsid w:val="002B5A6A"/>
    <w:rsid w:val="002B665B"/>
    <w:rsid w:val="002C1639"/>
    <w:rsid w:val="002C1B89"/>
    <w:rsid w:val="002C4B43"/>
    <w:rsid w:val="002D0815"/>
    <w:rsid w:val="002D0912"/>
    <w:rsid w:val="002D2A8E"/>
    <w:rsid w:val="002D3CCF"/>
    <w:rsid w:val="002D4D5A"/>
    <w:rsid w:val="002D4FDB"/>
    <w:rsid w:val="002D5453"/>
    <w:rsid w:val="002E110A"/>
    <w:rsid w:val="002E4637"/>
    <w:rsid w:val="002F198B"/>
    <w:rsid w:val="002F3130"/>
    <w:rsid w:val="002F4476"/>
    <w:rsid w:val="002F473B"/>
    <w:rsid w:val="002F65A0"/>
    <w:rsid w:val="002F7169"/>
    <w:rsid w:val="003001A7"/>
    <w:rsid w:val="003010BE"/>
    <w:rsid w:val="003010C5"/>
    <w:rsid w:val="00302234"/>
    <w:rsid w:val="0030769A"/>
    <w:rsid w:val="003079EC"/>
    <w:rsid w:val="00310881"/>
    <w:rsid w:val="0031555E"/>
    <w:rsid w:val="00317CA8"/>
    <w:rsid w:val="003236D4"/>
    <w:rsid w:val="003249F8"/>
    <w:rsid w:val="0032536F"/>
    <w:rsid w:val="003257AA"/>
    <w:rsid w:val="00330550"/>
    <w:rsid w:val="00332F88"/>
    <w:rsid w:val="00342471"/>
    <w:rsid w:val="00342949"/>
    <w:rsid w:val="003436FC"/>
    <w:rsid w:val="0034538B"/>
    <w:rsid w:val="00351758"/>
    <w:rsid w:val="0035454C"/>
    <w:rsid w:val="00354602"/>
    <w:rsid w:val="00354D5E"/>
    <w:rsid w:val="00354F61"/>
    <w:rsid w:val="0035528B"/>
    <w:rsid w:val="003578BC"/>
    <w:rsid w:val="00363634"/>
    <w:rsid w:val="00364CB4"/>
    <w:rsid w:val="00365DEC"/>
    <w:rsid w:val="00367312"/>
    <w:rsid w:val="0036747A"/>
    <w:rsid w:val="003674A2"/>
    <w:rsid w:val="00375919"/>
    <w:rsid w:val="00380806"/>
    <w:rsid w:val="00381D1E"/>
    <w:rsid w:val="00384B83"/>
    <w:rsid w:val="00385C33"/>
    <w:rsid w:val="00386E1C"/>
    <w:rsid w:val="00387DFF"/>
    <w:rsid w:val="00392947"/>
    <w:rsid w:val="00396169"/>
    <w:rsid w:val="003A070F"/>
    <w:rsid w:val="003A0E72"/>
    <w:rsid w:val="003A3E1B"/>
    <w:rsid w:val="003A6DB5"/>
    <w:rsid w:val="003B0116"/>
    <w:rsid w:val="003B33D5"/>
    <w:rsid w:val="003B3A0C"/>
    <w:rsid w:val="003B7143"/>
    <w:rsid w:val="003B7D22"/>
    <w:rsid w:val="003C001E"/>
    <w:rsid w:val="003C06E9"/>
    <w:rsid w:val="003C5335"/>
    <w:rsid w:val="003C5A97"/>
    <w:rsid w:val="003C68D6"/>
    <w:rsid w:val="003D1BD2"/>
    <w:rsid w:val="003D6972"/>
    <w:rsid w:val="003D7E74"/>
    <w:rsid w:val="003E1983"/>
    <w:rsid w:val="003E27C3"/>
    <w:rsid w:val="003E3DFA"/>
    <w:rsid w:val="003F3428"/>
    <w:rsid w:val="003F3B32"/>
    <w:rsid w:val="003F600A"/>
    <w:rsid w:val="004018D4"/>
    <w:rsid w:val="00403108"/>
    <w:rsid w:val="00406C92"/>
    <w:rsid w:val="00411F80"/>
    <w:rsid w:val="00412FDD"/>
    <w:rsid w:val="0041315B"/>
    <w:rsid w:val="004144EC"/>
    <w:rsid w:val="00414C3A"/>
    <w:rsid w:val="00414FCF"/>
    <w:rsid w:val="0042517E"/>
    <w:rsid w:val="004263DA"/>
    <w:rsid w:val="00426F3C"/>
    <w:rsid w:val="0043116D"/>
    <w:rsid w:val="00431A66"/>
    <w:rsid w:val="00432802"/>
    <w:rsid w:val="00433F0A"/>
    <w:rsid w:val="00437388"/>
    <w:rsid w:val="00440287"/>
    <w:rsid w:val="004407B2"/>
    <w:rsid w:val="00445114"/>
    <w:rsid w:val="00453729"/>
    <w:rsid w:val="00454253"/>
    <w:rsid w:val="004542A8"/>
    <w:rsid w:val="00455A5A"/>
    <w:rsid w:val="004602F8"/>
    <w:rsid w:val="00464523"/>
    <w:rsid w:val="00464A3B"/>
    <w:rsid w:val="00471F58"/>
    <w:rsid w:val="004727E7"/>
    <w:rsid w:val="00482554"/>
    <w:rsid w:val="00482A67"/>
    <w:rsid w:val="00483380"/>
    <w:rsid w:val="004836B7"/>
    <w:rsid w:val="0048582A"/>
    <w:rsid w:val="00486E05"/>
    <w:rsid w:val="00491F50"/>
    <w:rsid w:val="00494B75"/>
    <w:rsid w:val="00495204"/>
    <w:rsid w:val="00495EE9"/>
    <w:rsid w:val="00496224"/>
    <w:rsid w:val="004A0767"/>
    <w:rsid w:val="004A40E6"/>
    <w:rsid w:val="004A56B2"/>
    <w:rsid w:val="004B3E37"/>
    <w:rsid w:val="004B5571"/>
    <w:rsid w:val="004B78D3"/>
    <w:rsid w:val="004C0575"/>
    <w:rsid w:val="004C0E53"/>
    <w:rsid w:val="004C14D2"/>
    <w:rsid w:val="004C2055"/>
    <w:rsid w:val="004C46C4"/>
    <w:rsid w:val="004C7AA1"/>
    <w:rsid w:val="004D029F"/>
    <w:rsid w:val="004D3DBF"/>
    <w:rsid w:val="004D5103"/>
    <w:rsid w:val="004D630A"/>
    <w:rsid w:val="004D6D89"/>
    <w:rsid w:val="004E097C"/>
    <w:rsid w:val="004E1478"/>
    <w:rsid w:val="004E70AD"/>
    <w:rsid w:val="004E7E82"/>
    <w:rsid w:val="004F746D"/>
    <w:rsid w:val="00501916"/>
    <w:rsid w:val="0050437E"/>
    <w:rsid w:val="00510185"/>
    <w:rsid w:val="005101D2"/>
    <w:rsid w:val="00510B9F"/>
    <w:rsid w:val="0051158B"/>
    <w:rsid w:val="00513614"/>
    <w:rsid w:val="00515094"/>
    <w:rsid w:val="005215E5"/>
    <w:rsid w:val="00523C27"/>
    <w:rsid w:val="00524937"/>
    <w:rsid w:val="00526167"/>
    <w:rsid w:val="00526284"/>
    <w:rsid w:val="00530E4D"/>
    <w:rsid w:val="00533275"/>
    <w:rsid w:val="00534E4A"/>
    <w:rsid w:val="00534EB0"/>
    <w:rsid w:val="00541207"/>
    <w:rsid w:val="00544311"/>
    <w:rsid w:val="00544457"/>
    <w:rsid w:val="00547364"/>
    <w:rsid w:val="00547ABE"/>
    <w:rsid w:val="00550E3F"/>
    <w:rsid w:val="005513AC"/>
    <w:rsid w:val="005540AF"/>
    <w:rsid w:val="005550DA"/>
    <w:rsid w:val="005577BE"/>
    <w:rsid w:val="00562E5A"/>
    <w:rsid w:val="00563043"/>
    <w:rsid w:val="00563228"/>
    <w:rsid w:val="00564436"/>
    <w:rsid w:val="0057059A"/>
    <w:rsid w:val="00571ECD"/>
    <w:rsid w:val="00573C50"/>
    <w:rsid w:val="0057786B"/>
    <w:rsid w:val="00580B68"/>
    <w:rsid w:val="005813F1"/>
    <w:rsid w:val="00583D9A"/>
    <w:rsid w:val="005855AF"/>
    <w:rsid w:val="00587325"/>
    <w:rsid w:val="005910ED"/>
    <w:rsid w:val="005913A8"/>
    <w:rsid w:val="00593229"/>
    <w:rsid w:val="00593CD7"/>
    <w:rsid w:val="00594042"/>
    <w:rsid w:val="005A0083"/>
    <w:rsid w:val="005A015F"/>
    <w:rsid w:val="005A06A0"/>
    <w:rsid w:val="005A3575"/>
    <w:rsid w:val="005A3E7D"/>
    <w:rsid w:val="005A64A3"/>
    <w:rsid w:val="005A7E69"/>
    <w:rsid w:val="005B0141"/>
    <w:rsid w:val="005B21D1"/>
    <w:rsid w:val="005B530E"/>
    <w:rsid w:val="005B78B0"/>
    <w:rsid w:val="005C1306"/>
    <w:rsid w:val="005C35B5"/>
    <w:rsid w:val="005C5877"/>
    <w:rsid w:val="005C6C6E"/>
    <w:rsid w:val="005C6EA8"/>
    <w:rsid w:val="005D462E"/>
    <w:rsid w:val="005D6C98"/>
    <w:rsid w:val="005E0E99"/>
    <w:rsid w:val="005E3F0D"/>
    <w:rsid w:val="005E4940"/>
    <w:rsid w:val="005E5AD0"/>
    <w:rsid w:val="005F1892"/>
    <w:rsid w:val="005F4D6E"/>
    <w:rsid w:val="005F6C35"/>
    <w:rsid w:val="005F6E72"/>
    <w:rsid w:val="005F7E28"/>
    <w:rsid w:val="00602EB0"/>
    <w:rsid w:val="00604330"/>
    <w:rsid w:val="00610764"/>
    <w:rsid w:val="00617795"/>
    <w:rsid w:val="006177D2"/>
    <w:rsid w:val="00620CCF"/>
    <w:rsid w:val="00620E01"/>
    <w:rsid w:val="00621C97"/>
    <w:rsid w:val="00627E47"/>
    <w:rsid w:val="00630CD6"/>
    <w:rsid w:val="0063147A"/>
    <w:rsid w:val="006316AF"/>
    <w:rsid w:val="00635E08"/>
    <w:rsid w:val="00636778"/>
    <w:rsid w:val="006377DF"/>
    <w:rsid w:val="00637B12"/>
    <w:rsid w:val="00640353"/>
    <w:rsid w:val="00640F84"/>
    <w:rsid w:val="0064393B"/>
    <w:rsid w:val="00644D4C"/>
    <w:rsid w:val="006469AC"/>
    <w:rsid w:val="0065034F"/>
    <w:rsid w:val="00652E8B"/>
    <w:rsid w:val="006544B4"/>
    <w:rsid w:val="00656421"/>
    <w:rsid w:val="00657350"/>
    <w:rsid w:val="00661DFD"/>
    <w:rsid w:val="00670D48"/>
    <w:rsid w:val="006736B4"/>
    <w:rsid w:val="00674E1F"/>
    <w:rsid w:val="00675F52"/>
    <w:rsid w:val="006762A2"/>
    <w:rsid w:val="006807EF"/>
    <w:rsid w:val="006810C2"/>
    <w:rsid w:val="006851BA"/>
    <w:rsid w:val="00690860"/>
    <w:rsid w:val="00691542"/>
    <w:rsid w:val="0069281C"/>
    <w:rsid w:val="00694E02"/>
    <w:rsid w:val="006976B8"/>
    <w:rsid w:val="00697F9B"/>
    <w:rsid w:val="006A1CB6"/>
    <w:rsid w:val="006A219B"/>
    <w:rsid w:val="006A29F3"/>
    <w:rsid w:val="006A376A"/>
    <w:rsid w:val="006A5A99"/>
    <w:rsid w:val="006A75A2"/>
    <w:rsid w:val="006B0B28"/>
    <w:rsid w:val="006B65AD"/>
    <w:rsid w:val="006C1C89"/>
    <w:rsid w:val="006C2170"/>
    <w:rsid w:val="006C35A0"/>
    <w:rsid w:val="006C3F47"/>
    <w:rsid w:val="006C7786"/>
    <w:rsid w:val="006D13A4"/>
    <w:rsid w:val="006D1E8B"/>
    <w:rsid w:val="006D3565"/>
    <w:rsid w:val="006D4546"/>
    <w:rsid w:val="006D503F"/>
    <w:rsid w:val="006E6E40"/>
    <w:rsid w:val="006F0AC9"/>
    <w:rsid w:val="006F28A9"/>
    <w:rsid w:val="006F4D57"/>
    <w:rsid w:val="006F77C0"/>
    <w:rsid w:val="00703995"/>
    <w:rsid w:val="0070692F"/>
    <w:rsid w:val="00706A83"/>
    <w:rsid w:val="00707F60"/>
    <w:rsid w:val="00712608"/>
    <w:rsid w:val="00714570"/>
    <w:rsid w:val="007161D3"/>
    <w:rsid w:val="00721DCE"/>
    <w:rsid w:val="007317BF"/>
    <w:rsid w:val="00732263"/>
    <w:rsid w:val="0073261A"/>
    <w:rsid w:val="00734FC6"/>
    <w:rsid w:val="00737A49"/>
    <w:rsid w:val="00742665"/>
    <w:rsid w:val="00743A4E"/>
    <w:rsid w:val="00744BBC"/>
    <w:rsid w:val="007466FB"/>
    <w:rsid w:val="00746E63"/>
    <w:rsid w:val="007525E0"/>
    <w:rsid w:val="007528E3"/>
    <w:rsid w:val="007537DE"/>
    <w:rsid w:val="007573E7"/>
    <w:rsid w:val="00757C3E"/>
    <w:rsid w:val="007624C2"/>
    <w:rsid w:val="00766448"/>
    <w:rsid w:val="00767A6A"/>
    <w:rsid w:val="0077012D"/>
    <w:rsid w:val="00772E13"/>
    <w:rsid w:val="00775D31"/>
    <w:rsid w:val="00776351"/>
    <w:rsid w:val="0078219E"/>
    <w:rsid w:val="007825AA"/>
    <w:rsid w:val="0078337A"/>
    <w:rsid w:val="00787256"/>
    <w:rsid w:val="0078754F"/>
    <w:rsid w:val="007A0E47"/>
    <w:rsid w:val="007A1646"/>
    <w:rsid w:val="007A2041"/>
    <w:rsid w:val="007A4089"/>
    <w:rsid w:val="007A5FCB"/>
    <w:rsid w:val="007A7768"/>
    <w:rsid w:val="007B1D26"/>
    <w:rsid w:val="007C00ED"/>
    <w:rsid w:val="007C1688"/>
    <w:rsid w:val="007C36EE"/>
    <w:rsid w:val="007C6E4F"/>
    <w:rsid w:val="007D09B0"/>
    <w:rsid w:val="007D1C74"/>
    <w:rsid w:val="007D7E88"/>
    <w:rsid w:val="007E0C78"/>
    <w:rsid w:val="007E1227"/>
    <w:rsid w:val="007E3097"/>
    <w:rsid w:val="007E311F"/>
    <w:rsid w:val="007E317E"/>
    <w:rsid w:val="007E78A4"/>
    <w:rsid w:val="007E7AFA"/>
    <w:rsid w:val="007F191D"/>
    <w:rsid w:val="007F19FC"/>
    <w:rsid w:val="007F1F22"/>
    <w:rsid w:val="007F2BAF"/>
    <w:rsid w:val="00801102"/>
    <w:rsid w:val="008019B4"/>
    <w:rsid w:val="00801EC9"/>
    <w:rsid w:val="00804182"/>
    <w:rsid w:val="00804A66"/>
    <w:rsid w:val="0080717A"/>
    <w:rsid w:val="00813E91"/>
    <w:rsid w:val="0082516E"/>
    <w:rsid w:val="00831DA6"/>
    <w:rsid w:val="00832B6B"/>
    <w:rsid w:val="008331B5"/>
    <w:rsid w:val="00834277"/>
    <w:rsid w:val="00834DD1"/>
    <w:rsid w:val="00835CD8"/>
    <w:rsid w:val="008412C5"/>
    <w:rsid w:val="008425B5"/>
    <w:rsid w:val="0084295F"/>
    <w:rsid w:val="00843250"/>
    <w:rsid w:val="0084628D"/>
    <w:rsid w:val="00850029"/>
    <w:rsid w:val="008502F7"/>
    <w:rsid w:val="00851A76"/>
    <w:rsid w:val="008561B5"/>
    <w:rsid w:val="00856D5C"/>
    <w:rsid w:val="00857A2E"/>
    <w:rsid w:val="008601EE"/>
    <w:rsid w:val="00861065"/>
    <w:rsid w:val="00862E94"/>
    <w:rsid w:val="00864A3E"/>
    <w:rsid w:val="00872C09"/>
    <w:rsid w:val="00873995"/>
    <w:rsid w:val="00875F4E"/>
    <w:rsid w:val="00876D9D"/>
    <w:rsid w:val="008845CE"/>
    <w:rsid w:val="008862A8"/>
    <w:rsid w:val="00887951"/>
    <w:rsid w:val="00887E77"/>
    <w:rsid w:val="00891FDD"/>
    <w:rsid w:val="00894AA7"/>
    <w:rsid w:val="00895D74"/>
    <w:rsid w:val="00896EFD"/>
    <w:rsid w:val="00897A8F"/>
    <w:rsid w:val="00897EB2"/>
    <w:rsid w:val="008A2158"/>
    <w:rsid w:val="008A2E16"/>
    <w:rsid w:val="008A2EBC"/>
    <w:rsid w:val="008A3461"/>
    <w:rsid w:val="008A4ABB"/>
    <w:rsid w:val="008A7CAE"/>
    <w:rsid w:val="008B028D"/>
    <w:rsid w:val="008B1922"/>
    <w:rsid w:val="008B28CF"/>
    <w:rsid w:val="008C2889"/>
    <w:rsid w:val="008C3189"/>
    <w:rsid w:val="008C40D6"/>
    <w:rsid w:val="008C5535"/>
    <w:rsid w:val="008C5752"/>
    <w:rsid w:val="008C62C0"/>
    <w:rsid w:val="008C6631"/>
    <w:rsid w:val="008C6D0D"/>
    <w:rsid w:val="008D07B1"/>
    <w:rsid w:val="008D6F35"/>
    <w:rsid w:val="008D7145"/>
    <w:rsid w:val="008E04F8"/>
    <w:rsid w:val="008E23C8"/>
    <w:rsid w:val="008E3712"/>
    <w:rsid w:val="008E52D8"/>
    <w:rsid w:val="008E7263"/>
    <w:rsid w:val="008F0748"/>
    <w:rsid w:val="00901212"/>
    <w:rsid w:val="009047DF"/>
    <w:rsid w:val="0090576A"/>
    <w:rsid w:val="00910B09"/>
    <w:rsid w:val="00911B6B"/>
    <w:rsid w:val="00911E43"/>
    <w:rsid w:val="00912EA8"/>
    <w:rsid w:val="00913280"/>
    <w:rsid w:val="009137A2"/>
    <w:rsid w:val="00914399"/>
    <w:rsid w:val="009170F9"/>
    <w:rsid w:val="009173DE"/>
    <w:rsid w:val="00924EC2"/>
    <w:rsid w:val="00926553"/>
    <w:rsid w:val="00930D09"/>
    <w:rsid w:val="0093151D"/>
    <w:rsid w:val="00936C90"/>
    <w:rsid w:val="009475F5"/>
    <w:rsid w:val="009539F0"/>
    <w:rsid w:val="00962B2D"/>
    <w:rsid w:val="0096368D"/>
    <w:rsid w:val="009639A3"/>
    <w:rsid w:val="009648AF"/>
    <w:rsid w:val="009701D1"/>
    <w:rsid w:val="009716FD"/>
    <w:rsid w:val="00971D47"/>
    <w:rsid w:val="009735D7"/>
    <w:rsid w:val="00974D5F"/>
    <w:rsid w:val="00975881"/>
    <w:rsid w:val="00975C31"/>
    <w:rsid w:val="0097606D"/>
    <w:rsid w:val="009822BA"/>
    <w:rsid w:val="00982E12"/>
    <w:rsid w:val="00983074"/>
    <w:rsid w:val="009850BE"/>
    <w:rsid w:val="00986EFB"/>
    <w:rsid w:val="00990E96"/>
    <w:rsid w:val="009914F3"/>
    <w:rsid w:val="00991649"/>
    <w:rsid w:val="00991731"/>
    <w:rsid w:val="0099219D"/>
    <w:rsid w:val="00992A51"/>
    <w:rsid w:val="00995822"/>
    <w:rsid w:val="00996C4C"/>
    <w:rsid w:val="009A1097"/>
    <w:rsid w:val="009A33DB"/>
    <w:rsid w:val="009A3C0C"/>
    <w:rsid w:val="009A5697"/>
    <w:rsid w:val="009A59A6"/>
    <w:rsid w:val="009B2FDC"/>
    <w:rsid w:val="009B3471"/>
    <w:rsid w:val="009C195B"/>
    <w:rsid w:val="009D17B5"/>
    <w:rsid w:val="009D2385"/>
    <w:rsid w:val="009D3139"/>
    <w:rsid w:val="009D4869"/>
    <w:rsid w:val="009D683E"/>
    <w:rsid w:val="009E0DDF"/>
    <w:rsid w:val="009E483B"/>
    <w:rsid w:val="009F0C74"/>
    <w:rsid w:val="009F6B08"/>
    <w:rsid w:val="009F6F45"/>
    <w:rsid w:val="00A002B8"/>
    <w:rsid w:val="00A01013"/>
    <w:rsid w:val="00A01791"/>
    <w:rsid w:val="00A01B8C"/>
    <w:rsid w:val="00A027C5"/>
    <w:rsid w:val="00A13492"/>
    <w:rsid w:val="00A174CA"/>
    <w:rsid w:val="00A217ED"/>
    <w:rsid w:val="00A259D3"/>
    <w:rsid w:val="00A25B45"/>
    <w:rsid w:val="00A27192"/>
    <w:rsid w:val="00A27501"/>
    <w:rsid w:val="00A277F2"/>
    <w:rsid w:val="00A37354"/>
    <w:rsid w:val="00A37E99"/>
    <w:rsid w:val="00A426CA"/>
    <w:rsid w:val="00A4418A"/>
    <w:rsid w:val="00A44CF1"/>
    <w:rsid w:val="00A4585B"/>
    <w:rsid w:val="00A46D30"/>
    <w:rsid w:val="00A5277F"/>
    <w:rsid w:val="00A54FD4"/>
    <w:rsid w:val="00A55BC9"/>
    <w:rsid w:val="00A56437"/>
    <w:rsid w:val="00A57D73"/>
    <w:rsid w:val="00A603D0"/>
    <w:rsid w:val="00A61719"/>
    <w:rsid w:val="00A62ABA"/>
    <w:rsid w:val="00A6680A"/>
    <w:rsid w:val="00A71C01"/>
    <w:rsid w:val="00A71E64"/>
    <w:rsid w:val="00A7230F"/>
    <w:rsid w:val="00A73719"/>
    <w:rsid w:val="00A74047"/>
    <w:rsid w:val="00A74574"/>
    <w:rsid w:val="00A75407"/>
    <w:rsid w:val="00A75534"/>
    <w:rsid w:val="00A75549"/>
    <w:rsid w:val="00A774F8"/>
    <w:rsid w:val="00A80FCA"/>
    <w:rsid w:val="00A84A47"/>
    <w:rsid w:val="00A856FD"/>
    <w:rsid w:val="00A91137"/>
    <w:rsid w:val="00A91566"/>
    <w:rsid w:val="00A91ABE"/>
    <w:rsid w:val="00A95B87"/>
    <w:rsid w:val="00A95FDA"/>
    <w:rsid w:val="00AA12BE"/>
    <w:rsid w:val="00AA170D"/>
    <w:rsid w:val="00AA1AA4"/>
    <w:rsid w:val="00AA1C8A"/>
    <w:rsid w:val="00AA1F86"/>
    <w:rsid w:val="00AA65A5"/>
    <w:rsid w:val="00AA6DF0"/>
    <w:rsid w:val="00AA6ECC"/>
    <w:rsid w:val="00AA6FE9"/>
    <w:rsid w:val="00AB0751"/>
    <w:rsid w:val="00AB170C"/>
    <w:rsid w:val="00AC04E8"/>
    <w:rsid w:val="00AC1647"/>
    <w:rsid w:val="00AC17A4"/>
    <w:rsid w:val="00AC3B78"/>
    <w:rsid w:val="00AC6711"/>
    <w:rsid w:val="00AD5920"/>
    <w:rsid w:val="00AD59B8"/>
    <w:rsid w:val="00AE01E1"/>
    <w:rsid w:val="00AE33C5"/>
    <w:rsid w:val="00AE3FDC"/>
    <w:rsid w:val="00AE546E"/>
    <w:rsid w:val="00AE64F2"/>
    <w:rsid w:val="00AE7396"/>
    <w:rsid w:val="00AE78AA"/>
    <w:rsid w:val="00AF1638"/>
    <w:rsid w:val="00AF56F4"/>
    <w:rsid w:val="00AF75A0"/>
    <w:rsid w:val="00B01A2A"/>
    <w:rsid w:val="00B01FBE"/>
    <w:rsid w:val="00B04F9C"/>
    <w:rsid w:val="00B060FA"/>
    <w:rsid w:val="00B07921"/>
    <w:rsid w:val="00B14C60"/>
    <w:rsid w:val="00B1557F"/>
    <w:rsid w:val="00B15C58"/>
    <w:rsid w:val="00B1739F"/>
    <w:rsid w:val="00B17D8F"/>
    <w:rsid w:val="00B203F4"/>
    <w:rsid w:val="00B2196A"/>
    <w:rsid w:val="00B23927"/>
    <w:rsid w:val="00B362D2"/>
    <w:rsid w:val="00B37BC7"/>
    <w:rsid w:val="00B40409"/>
    <w:rsid w:val="00B40744"/>
    <w:rsid w:val="00B44B7A"/>
    <w:rsid w:val="00B467D9"/>
    <w:rsid w:val="00B46B9C"/>
    <w:rsid w:val="00B53955"/>
    <w:rsid w:val="00B5449E"/>
    <w:rsid w:val="00B56DAC"/>
    <w:rsid w:val="00B61C98"/>
    <w:rsid w:val="00B6751A"/>
    <w:rsid w:val="00B73E28"/>
    <w:rsid w:val="00B801CA"/>
    <w:rsid w:val="00B81323"/>
    <w:rsid w:val="00B8275A"/>
    <w:rsid w:val="00B85F6E"/>
    <w:rsid w:val="00B9021D"/>
    <w:rsid w:val="00B92100"/>
    <w:rsid w:val="00B96D26"/>
    <w:rsid w:val="00BA0EA5"/>
    <w:rsid w:val="00BA1179"/>
    <w:rsid w:val="00BA2B7D"/>
    <w:rsid w:val="00BA59F8"/>
    <w:rsid w:val="00BB271F"/>
    <w:rsid w:val="00BB5E8B"/>
    <w:rsid w:val="00BB7B13"/>
    <w:rsid w:val="00BC1847"/>
    <w:rsid w:val="00BC304B"/>
    <w:rsid w:val="00BC402D"/>
    <w:rsid w:val="00BC47D8"/>
    <w:rsid w:val="00BC4DC6"/>
    <w:rsid w:val="00BC6AFB"/>
    <w:rsid w:val="00BC724A"/>
    <w:rsid w:val="00BC762B"/>
    <w:rsid w:val="00BC7728"/>
    <w:rsid w:val="00BD28C3"/>
    <w:rsid w:val="00BD3577"/>
    <w:rsid w:val="00BE223A"/>
    <w:rsid w:val="00BE50FB"/>
    <w:rsid w:val="00BE6C9D"/>
    <w:rsid w:val="00BF4E3B"/>
    <w:rsid w:val="00C02408"/>
    <w:rsid w:val="00C03AB4"/>
    <w:rsid w:val="00C03D33"/>
    <w:rsid w:val="00C07939"/>
    <w:rsid w:val="00C10231"/>
    <w:rsid w:val="00C1068C"/>
    <w:rsid w:val="00C12F9F"/>
    <w:rsid w:val="00C14250"/>
    <w:rsid w:val="00C16785"/>
    <w:rsid w:val="00C16D50"/>
    <w:rsid w:val="00C200A2"/>
    <w:rsid w:val="00C20A7E"/>
    <w:rsid w:val="00C23131"/>
    <w:rsid w:val="00C24680"/>
    <w:rsid w:val="00C24B2D"/>
    <w:rsid w:val="00C267F5"/>
    <w:rsid w:val="00C26C95"/>
    <w:rsid w:val="00C36569"/>
    <w:rsid w:val="00C41A41"/>
    <w:rsid w:val="00C4459E"/>
    <w:rsid w:val="00C45A68"/>
    <w:rsid w:val="00C51D36"/>
    <w:rsid w:val="00C52B44"/>
    <w:rsid w:val="00C53D42"/>
    <w:rsid w:val="00C55267"/>
    <w:rsid w:val="00C60C7A"/>
    <w:rsid w:val="00C61C58"/>
    <w:rsid w:val="00C629E9"/>
    <w:rsid w:val="00C63F93"/>
    <w:rsid w:val="00C64573"/>
    <w:rsid w:val="00C649A0"/>
    <w:rsid w:val="00C65A69"/>
    <w:rsid w:val="00C72C42"/>
    <w:rsid w:val="00C75625"/>
    <w:rsid w:val="00C75E26"/>
    <w:rsid w:val="00C76C06"/>
    <w:rsid w:val="00C76C47"/>
    <w:rsid w:val="00C776F8"/>
    <w:rsid w:val="00C8043A"/>
    <w:rsid w:val="00C824F1"/>
    <w:rsid w:val="00C832C1"/>
    <w:rsid w:val="00C90EC4"/>
    <w:rsid w:val="00C9282A"/>
    <w:rsid w:val="00C9348E"/>
    <w:rsid w:val="00C95B5A"/>
    <w:rsid w:val="00CA01A7"/>
    <w:rsid w:val="00CA1AFF"/>
    <w:rsid w:val="00CA1C83"/>
    <w:rsid w:val="00CA22BB"/>
    <w:rsid w:val="00CA2864"/>
    <w:rsid w:val="00CA4471"/>
    <w:rsid w:val="00CA73C5"/>
    <w:rsid w:val="00CA78B6"/>
    <w:rsid w:val="00CA7B36"/>
    <w:rsid w:val="00CA7E01"/>
    <w:rsid w:val="00CB1915"/>
    <w:rsid w:val="00CB1B97"/>
    <w:rsid w:val="00CB3ABB"/>
    <w:rsid w:val="00CB4009"/>
    <w:rsid w:val="00CB6721"/>
    <w:rsid w:val="00CC2A36"/>
    <w:rsid w:val="00CC75BC"/>
    <w:rsid w:val="00CD1A6D"/>
    <w:rsid w:val="00CD5CE0"/>
    <w:rsid w:val="00CD7E70"/>
    <w:rsid w:val="00CE064D"/>
    <w:rsid w:val="00CE0D68"/>
    <w:rsid w:val="00CE21B4"/>
    <w:rsid w:val="00CE22B2"/>
    <w:rsid w:val="00CE385B"/>
    <w:rsid w:val="00CE3933"/>
    <w:rsid w:val="00CE3F00"/>
    <w:rsid w:val="00CE478B"/>
    <w:rsid w:val="00CE67B9"/>
    <w:rsid w:val="00CF02C5"/>
    <w:rsid w:val="00CF1F23"/>
    <w:rsid w:val="00CF34D4"/>
    <w:rsid w:val="00CF40AD"/>
    <w:rsid w:val="00CF568A"/>
    <w:rsid w:val="00CF6674"/>
    <w:rsid w:val="00CF6BA1"/>
    <w:rsid w:val="00CF6EE0"/>
    <w:rsid w:val="00D00AF2"/>
    <w:rsid w:val="00D03EB8"/>
    <w:rsid w:val="00D15EAC"/>
    <w:rsid w:val="00D168BE"/>
    <w:rsid w:val="00D2362E"/>
    <w:rsid w:val="00D251CD"/>
    <w:rsid w:val="00D26948"/>
    <w:rsid w:val="00D26D5D"/>
    <w:rsid w:val="00D341D3"/>
    <w:rsid w:val="00D34A09"/>
    <w:rsid w:val="00D378F3"/>
    <w:rsid w:val="00D5185E"/>
    <w:rsid w:val="00D519F9"/>
    <w:rsid w:val="00D51E36"/>
    <w:rsid w:val="00D531D1"/>
    <w:rsid w:val="00D53898"/>
    <w:rsid w:val="00D567D8"/>
    <w:rsid w:val="00D57623"/>
    <w:rsid w:val="00D5784B"/>
    <w:rsid w:val="00D57ABC"/>
    <w:rsid w:val="00D643CB"/>
    <w:rsid w:val="00D666D4"/>
    <w:rsid w:val="00D7098C"/>
    <w:rsid w:val="00D74530"/>
    <w:rsid w:val="00D75998"/>
    <w:rsid w:val="00D8364B"/>
    <w:rsid w:val="00D87A10"/>
    <w:rsid w:val="00D93BB9"/>
    <w:rsid w:val="00DA08C9"/>
    <w:rsid w:val="00DA67EA"/>
    <w:rsid w:val="00DB1E17"/>
    <w:rsid w:val="00DB40F9"/>
    <w:rsid w:val="00DB4140"/>
    <w:rsid w:val="00DB49FB"/>
    <w:rsid w:val="00DB4C05"/>
    <w:rsid w:val="00DB4DF7"/>
    <w:rsid w:val="00DB6494"/>
    <w:rsid w:val="00DB6BDB"/>
    <w:rsid w:val="00DB7209"/>
    <w:rsid w:val="00DB7CF4"/>
    <w:rsid w:val="00DC0713"/>
    <w:rsid w:val="00DC0EE3"/>
    <w:rsid w:val="00DC72BD"/>
    <w:rsid w:val="00DD0011"/>
    <w:rsid w:val="00DD1FB9"/>
    <w:rsid w:val="00DD1FEC"/>
    <w:rsid w:val="00DD4303"/>
    <w:rsid w:val="00DD48C6"/>
    <w:rsid w:val="00DD7A7F"/>
    <w:rsid w:val="00DE09BE"/>
    <w:rsid w:val="00DE47AB"/>
    <w:rsid w:val="00DE6101"/>
    <w:rsid w:val="00DE7523"/>
    <w:rsid w:val="00DF2D83"/>
    <w:rsid w:val="00DF35AE"/>
    <w:rsid w:val="00DF4E7B"/>
    <w:rsid w:val="00DF7E79"/>
    <w:rsid w:val="00E019C7"/>
    <w:rsid w:val="00E01A6D"/>
    <w:rsid w:val="00E02F49"/>
    <w:rsid w:val="00E03426"/>
    <w:rsid w:val="00E0351E"/>
    <w:rsid w:val="00E046EB"/>
    <w:rsid w:val="00E06158"/>
    <w:rsid w:val="00E061D3"/>
    <w:rsid w:val="00E10588"/>
    <w:rsid w:val="00E13227"/>
    <w:rsid w:val="00E13887"/>
    <w:rsid w:val="00E1608E"/>
    <w:rsid w:val="00E1621D"/>
    <w:rsid w:val="00E16A82"/>
    <w:rsid w:val="00E16F91"/>
    <w:rsid w:val="00E2715D"/>
    <w:rsid w:val="00E33ADE"/>
    <w:rsid w:val="00E34606"/>
    <w:rsid w:val="00E350BC"/>
    <w:rsid w:val="00E35C7A"/>
    <w:rsid w:val="00E362C4"/>
    <w:rsid w:val="00E41254"/>
    <w:rsid w:val="00E431B8"/>
    <w:rsid w:val="00E464A6"/>
    <w:rsid w:val="00E54E2B"/>
    <w:rsid w:val="00E55E7D"/>
    <w:rsid w:val="00E55EFA"/>
    <w:rsid w:val="00E60B42"/>
    <w:rsid w:val="00E63BA4"/>
    <w:rsid w:val="00E70518"/>
    <w:rsid w:val="00E721A2"/>
    <w:rsid w:val="00E76779"/>
    <w:rsid w:val="00E76BCD"/>
    <w:rsid w:val="00E77C43"/>
    <w:rsid w:val="00E8085C"/>
    <w:rsid w:val="00E83C83"/>
    <w:rsid w:val="00E83E6F"/>
    <w:rsid w:val="00E853A8"/>
    <w:rsid w:val="00E866D3"/>
    <w:rsid w:val="00E901DE"/>
    <w:rsid w:val="00E938F4"/>
    <w:rsid w:val="00E93BEF"/>
    <w:rsid w:val="00E94BC5"/>
    <w:rsid w:val="00E95A6D"/>
    <w:rsid w:val="00E968E1"/>
    <w:rsid w:val="00E970C0"/>
    <w:rsid w:val="00EB0CEA"/>
    <w:rsid w:val="00EB1160"/>
    <w:rsid w:val="00EB2617"/>
    <w:rsid w:val="00EB5289"/>
    <w:rsid w:val="00EC0FC4"/>
    <w:rsid w:val="00EC1224"/>
    <w:rsid w:val="00ED0A46"/>
    <w:rsid w:val="00ED0F2C"/>
    <w:rsid w:val="00ED2B19"/>
    <w:rsid w:val="00ED2FB6"/>
    <w:rsid w:val="00ED32D1"/>
    <w:rsid w:val="00ED38B7"/>
    <w:rsid w:val="00ED4A5A"/>
    <w:rsid w:val="00ED4D4A"/>
    <w:rsid w:val="00ED4E53"/>
    <w:rsid w:val="00EE00E6"/>
    <w:rsid w:val="00EE063A"/>
    <w:rsid w:val="00EE066F"/>
    <w:rsid w:val="00EE19C0"/>
    <w:rsid w:val="00EE21DA"/>
    <w:rsid w:val="00EE47E9"/>
    <w:rsid w:val="00EE63F0"/>
    <w:rsid w:val="00EE7A36"/>
    <w:rsid w:val="00EF21A9"/>
    <w:rsid w:val="00EF2726"/>
    <w:rsid w:val="00EF5542"/>
    <w:rsid w:val="00F00D96"/>
    <w:rsid w:val="00F023B9"/>
    <w:rsid w:val="00F04D22"/>
    <w:rsid w:val="00F0670D"/>
    <w:rsid w:val="00F15A87"/>
    <w:rsid w:val="00F15CC4"/>
    <w:rsid w:val="00F20D6B"/>
    <w:rsid w:val="00F25656"/>
    <w:rsid w:val="00F27F96"/>
    <w:rsid w:val="00F30DE6"/>
    <w:rsid w:val="00F326D7"/>
    <w:rsid w:val="00F33F26"/>
    <w:rsid w:val="00F36BA3"/>
    <w:rsid w:val="00F40A05"/>
    <w:rsid w:val="00F41B82"/>
    <w:rsid w:val="00F431C6"/>
    <w:rsid w:val="00F44002"/>
    <w:rsid w:val="00F47BB9"/>
    <w:rsid w:val="00F50754"/>
    <w:rsid w:val="00F508B7"/>
    <w:rsid w:val="00F53EBD"/>
    <w:rsid w:val="00F548CE"/>
    <w:rsid w:val="00F561EA"/>
    <w:rsid w:val="00F62049"/>
    <w:rsid w:val="00F65083"/>
    <w:rsid w:val="00F6708C"/>
    <w:rsid w:val="00F67BE6"/>
    <w:rsid w:val="00F7024C"/>
    <w:rsid w:val="00F71533"/>
    <w:rsid w:val="00F805C6"/>
    <w:rsid w:val="00F819D3"/>
    <w:rsid w:val="00F81F3F"/>
    <w:rsid w:val="00F8217A"/>
    <w:rsid w:val="00F828FA"/>
    <w:rsid w:val="00F84D1D"/>
    <w:rsid w:val="00F8657A"/>
    <w:rsid w:val="00F915E7"/>
    <w:rsid w:val="00F916C8"/>
    <w:rsid w:val="00F9301E"/>
    <w:rsid w:val="00F94E13"/>
    <w:rsid w:val="00F95B0E"/>
    <w:rsid w:val="00FA2322"/>
    <w:rsid w:val="00FA2ACF"/>
    <w:rsid w:val="00FB0552"/>
    <w:rsid w:val="00FB20EE"/>
    <w:rsid w:val="00FB30BF"/>
    <w:rsid w:val="00FB34CC"/>
    <w:rsid w:val="00FB4707"/>
    <w:rsid w:val="00FB5979"/>
    <w:rsid w:val="00FB71D8"/>
    <w:rsid w:val="00FB74A0"/>
    <w:rsid w:val="00FC05EF"/>
    <w:rsid w:val="00FC3726"/>
    <w:rsid w:val="00FD171F"/>
    <w:rsid w:val="00FD45BD"/>
    <w:rsid w:val="00FD54BE"/>
    <w:rsid w:val="00FD7CF1"/>
    <w:rsid w:val="00FE0D8B"/>
    <w:rsid w:val="00FE217D"/>
    <w:rsid w:val="00FE2F72"/>
    <w:rsid w:val="00FE2FBE"/>
    <w:rsid w:val="00FE516B"/>
    <w:rsid w:val="00FF119A"/>
    <w:rsid w:val="00FF1FBE"/>
    <w:rsid w:val="00FF32FB"/>
    <w:rsid w:val="00FF3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F24EA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0C7A"/>
    <w:rPr>
      <w:rFonts w:ascii="Times New Roman" w:hAnsi="Times New Roman" w:cs="Times New Roman"/>
      <w:lang w:val="en-GB" w:eastAsia="en-GB"/>
    </w:rPr>
  </w:style>
  <w:style w:type="paragraph" w:styleId="Heading1">
    <w:name w:val="heading 1"/>
    <w:basedOn w:val="Normal"/>
    <w:next w:val="Normal"/>
    <w:link w:val="Heading1Char"/>
    <w:uiPriority w:val="9"/>
    <w:qFormat/>
    <w:rsid w:val="00630CD6"/>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3">
    <w:name w:val="heading 3"/>
    <w:basedOn w:val="Normal"/>
    <w:link w:val="Heading3Char"/>
    <w:uiPriority w:val="9"/>
    <w:qFormat/>
    <w:rsid w:val="00AC3B78"/>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3B78"/>
    <w:rPr>
      <w:rFonts w:ascii="Times New Roman" w:eastAsia="Times New Roman" w:hAnsi="Times New Roman" w:cs="Times New Roman"/>
      <w:b/>
      <w:bCs/>
      <w:sz w:val="27"/>
      <w:szCs w:val="27"/>
      <w:lang w:val="en-GB" w:eastAsia="en-GB"/>
    </w:rPr>
  </w:style>
  <w:style w:type="character" w:styleId="PlaceholderText">
    <w:name w:val="Placeholder Text"/>
    <w:uiPriority w:val="99"/>
    <w:semiHidden/>
    <w:rsid w:val="00AC3B78"/>
    <w:rPr>
      <w:rFonts w:cs="Times New Roman"/>
      <w:color w:val="808080"/>
    </w:rPr>
  </w:style>
  <w:style w:type="paragraph" w:styleId="NoSpacing">
    <w:name w:val="No Spacing"/>
    <w:uiPriority w:val="1"/>
    <w:qFormat/>
    <w:rsid w:val="0009497C"/>
    <w:rPr>
      <w:rFonts w:eastAsiaTheme="minorHAnsi"/>
      <w:sz w:val="22"/>
      <w:szCs w:val="22"/>
      <w:lang w:val="en-GB"/>
    </w:rPr>
  </w:style>
  <w:style w:type="paragraph" w:styleId="ListParagraph">
    <w:name w:val="List Paragraph"/>
    <w:basedOn w:val="Normal"/>
    <w:uiPriority w:val="99"/>
    <w:qFormat/>
    <w:rsid w:val="00CD5CE0"/>
    <w:pPr>
      <w:ind w:left="720"/>
      <w:contextualSpacing/>
    </w:pPr>
    <w:rPr>
      <w:rFonts w:ascii="Times" w:hAnsi="Times" w:cstheme="minorBidi"/>
      <w:sz w:val="20"/>
      <w:szCs w:val="20"/>
      <w:lang w:eastAsia="en-US"/>
    </w:rPr>
  </w:style>
  <w:style w:type="table" w:styleId="TableGrid">
    <w:name w:val="Table Grid"/>
    <w:basedOn w:val="TableNormal"/>
    <w:uiPriority w:val="59"/>
    <w:rsid w:val="00CB4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01DE"/>
    <w:pPr>
      <w:tabs>
        <w:tab w:val="center" w:pos="4320"/>
        <w:tab w:val="right" w:pos="8640"/>
      </w:tabs>
    </w:pPr>
    <w:rPr>
      <w:rFonts w:asciiTheme="minorHAnsi" w:hAnsiTheme="minorHAnsi" w:cstheme="minorBidi"/>
      <w:lang w:val="en-US" w:eastAsia="en-US"/>
    </w:rPr>
  </w:style>
  <w:style w:type="character" w:customStyle="1" w:styleId="HeaderChar">
    <w:name w:val="Header Char"/>
    <w:basedOn w:val="DefaultParagraphFont"/>
    <w:link w:val="Header"/>
    <w:uiPriority w:val="99"/>
    <w:rsid w:val="00E901DE"/>
  </w:style>
  <w:style w:type="paragraph" w:styleId="Footer">
    <w:name w:val="footer"/>
    <w:basedOn w:val="Normal"/>
    <w:link w:val="FooterChar"/>
    <w:uiPriority w:val="99"/>
    <w:unhideWhenUsed/>
    <w:rsid w:val="00E901DE"/>
    <w:pPr>
      <w:tabs>
        <w:tab w:val="center" w:pos="4320"/>
        <w:tab w:val="right" w:pos="8640"/>
      </w:tabs>
    </w:pPr>
    <w:rPr>
      <w:rFonts w:asciiTheme="minorHAnsi" w:hAnsiTheme="minorHAnsi" w:cstheme="minorBidi"/>
      <w:lang w:val="en-US" w:eastAsia="en-US"/>
    </w:rPr>
  </w:style>
  <w:style w:type="character" w:customStyle="1" w:styleId="FooterChar">
    <w:name w:val="Footer Char"/>
    <w:basedOn w:val="DefaultParagraphFont"/>
    <w:link w:val="Footer"/>
    <w:uiPriority w:val="99"/>
    <w:rsid w:val="00E901DE"/>
  </w:style>
  <w:style w:type="paragraph" w:styleId="BalloonText">
    <w:name w:val="Balloon Text"/>
    <w:basedOn w:val="Normal"/>
    <w:link w:val="BalloonTextChar"/>
    <w:uiPriority w:val="99"/>
    <w:semiHidden/>
    <w:unhideWhenUsed/>
    <w:rsid w:val="000E6468"/>
    <w:rPr>
      <w:rFonts w:ascii="Lucida Grande" w:hAnsi="Lucida Grande" w:cs="Lucida Grande"/>
      <w:sz w:val="18"/>
      <w:szCs w:val="18"/>
      <w:lang w:val="en-US" w:eastAsia="en-US"/>
    </w:rPr>
  </w:style>
  <w:style w:type="character" w:customStyle="1" w:styleId="BalloonTextChar">
    <w:name w:val="Balloon Text Char"/>
    <w:basedOn w:val="DefaultParagraphFont"/>
    <w:link w:val="BalloonText"/>
    <w:uiPriority w:val="99"/>
    <w:semiHidden/>
    <w:rsid w:val="000E64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157ACE"/>
    <w:rPr>
      <w:sz w:val="18"/>
      <w:szCs w:val="18"/>
    </w:rPr>
  </w:style>
  <w:style w:type="paragraph" w:styleId="CommentText">
    <w:name w:val="annotation text"/>
    <w:basedOn w:val="Normal"/>
    <w:link w:val="CommentTextChar"/>
    <w:uiPriority w:val="99"/>
    <w:unhideWhenUsed/>
    <w:rsid w:val="00157ACE"/>
    <w:rPr>
      <w:rFonts w:asciiTheme="minorHAnsi" w:hAnsiTheme="minorHAnsi" w:cstheme="minorBidi"/>
      <w:lang w:val="en-US" w:eastAsia="en-US"/>
    </w:rPr>
  </w:style>
  <w:style w:type="character" w:customStyle="1" w:styleId="CommentTextChar">
    <w:name w:val="Comment Text Char"/>
    <w:basedOn w:val="DefaultParagraphFont"/>
    <w:link w:val="CommentText"/>
    <w:uiPriority w:val="99"/>
    <w:rsid w:val="00157ACE"/>
  </w:style>
  <w:style w:type="paragraph" w:styleId="CommentSubject">
    <w:name w:val="annotation subject"/>
    <w:basedOn w:val="CommentText"/>
    <w:next w:val="CommentText"/>
    <w:link w:val="CommentSubjectChar"/>
    <w:uiPriority w:val="99"/>
    <w:semiHidden/>
    <w:unhideWhenUsed/>
    <w:rsid w:val="00157ACE"/>
    <w:rPr>
      <w:b/>
      <w:bCs/>
      <w:sz w:val="20"/>
      <w:szCs w:val="20"/>
    </w:rPr>
  </w:style>
  <w:style w:type="character" w:customStyle="1" w:styleId="CommentSubjectChar">
    <w:name w:val="Comment Subject Char"/>
    <w:basedOn w:val="CommentTextChar"/>
    <w:link w:val="CommentSubject"/>
    <w:uiPriority w:val="99"/>
    <w:semiHidden/>
    <w:rsid w:val="00157ACE"/>
    <w:rPr>
      <w:b/>
      <w:bCs/>
      <w:sz w:val="20"/>
      <w:szCs w:val="20"/>
    </w:rPr>
  </w:style>
  <w:style w:type="paragraph" w:styleId="Revision">
    <w:name w:val="Revision"/>
    <w:hidden/>
    <w:uiPriority w:val="99"/>
    <w:semiHidden/>
    <w:rsid w:val="00896EFD"/>
  </w:style>
  <w:style w:type="table" w:customStyle="1" w:styleId="TableGrid1">
    <w:name w:val="Table Grid1"/>
    <w:basedOn w:val="TableNormal"/>
    <w:next w:val="TableGrid"/>
    <w:uiPriority w:val="59"/>
    <w:rsid w:val="00FB470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609FC"/>
  </w:style>
  <w:style w:type="character" w:customStyle="1" w:styleId="Heading1Char">
    <w:name w:val="Heading 1 Char"/>
    <w:basedOn w:val="DefaultParagraphFont"/>
    <w:link w:val="Heading1"/>
    <w:uiPriority w:val="9"/>
    <w:rsid w:val="00630CD6"/>
    <w:rPr>
      <w:rFonts w:asciiTheme="majorHAnsi" w:eastAsiaTheme="majorEastAsia" w:hAnsiTheme="majorHAnsi" w:cstheme="majorBidi"/>
      <w:b/>
      <w:bCs/>
      <w:color w:val="365F91" w:themeColor="accent1" w:themeShade="BF"/>
      <w:sz w:val="28"/>
      <w:szCs w:val="28"/>
    </w:rPr>
  </w:style>
  <w:style w:type="character" w:customStyle="1" w:styleId="highlight2">
    <w:name w:val="highlight2"/>
    <w:basedOn w:val="DefaultParagraphFont"/>
    <w:rsid w:val="00630CD6"/>
  </w:style>
  <w:style w:type="character" w:styleId="Hyperlink">
    <w:name w:val="Hyperlink"/>
    <w:basedOn w:val="DefaultParagraphFont"/>
    <w:uiPriority w:val="99"/>
    <w:unhideWhenUsed/>
    <w:rsid w:val="006A5A99"/>
    <w:rPr>
      <w:color w:val="0000FF"/>
      <w:u w:val="single"/>
    </w:rPr>
  </w:style>
  <w:style w:type="paragraph" w:customStyle="1" w:styleId="title1">
    <w:name w:val="title1"/>
    <w:basedOn w:val="Normal"/>
    <w:rsid w:val="006A5A99"/>
    <w:rPr>
      <w:rFonts w:eastAsia="Times New Roman"/>
      <w:sz w:val="27"/>
      <w:szCs w:val="27"/>
    </w:rPr>
  </w:style>
  <w:style w:type="paragraph" w:customStyle="1" w:styleId="desc2">
    <w:name w:val="desc2"/>
    <w:basedOn w:val="Normal"/>
    <w:rsid w:val="006A5A99"/>
    <w:rPr>
      <w:rFonts w:eastAsia="Times New Roman"/>
      <w:sz w:val="26"/>
      <w:szCs w:val="26"/>
    </w:rPr>
  </w:style>
  <w:style w:type="paragraph" w:customStyle="1" w:styleId="details1">
    <w:name w:val="details1"/>
    <w:basedOn w:val="Normal"/>
    <w:rsid w:val="006A5A99"/>
    <w:rPr>
      <w:rFonts w:eastAsia="Times New Roman"/>
      <w:sz w:val="22"/>
      <w:szCs w:val="22"/>
    </w:rPr>
  </w:style>
  <w:style w:type="character" w:customStyle="1" w:styleId="jrnl">
    <w:name w:val="jrnl"/>
    <w:basedOn w:val="DefaultParagraphFont"/>
    <w:rsid w:val="006A5A99"/>
  </w:style>
  <w:style w:type="paragraph" w:customStyle="1" w:styleId="EndNoteBibliographyTitle">
    <w:name w:val="EndNote Bibliography Title"/>
    <w:basedOn w:val="Normal"/>
    <w:rsid w:val="00042EC0"/>
    <w:pPr>
      <w:jc w:val="center"/>
    </w:pPr>
    <w:rPr>
      <w:rFonts w:ascii="Cambria" w:hAnsi="Cambria" w:cstheme="minorBidi"/>
      <w:lang w:val="en-US" w:eastAsia="en-US"/>
    </w:rPr>
  </w:style>
  <w:style w:type="paragraph" w:customStyle="1" w:styleId="EndNoteBibliography">
    <w:name w:val="EndNote Bibliography"/>
    <w:basedOn w:val="Normal"/>
    <w:rsid w:val="00042EC0"/>
    <w:rPr>
      <w:rFonts w:ascii="Cambria" w:hAnsi="Cambria" w:cstheme="minorBidi"/>
      <w:lang w:val="en-US" w:eastAsia="en-US"/>
    </w:rPr>
  </w:style>
  <w:style w:type="paragraph" w:styleId="Title">
    <w:name w:val="Title"/>
    <w:aliases w:val="title"/>
    <w:basedOn w:val="Normal"/>
    <w:link w:val="TitleChar"/>
    <w:uiPriority w:val="10"/>
    <w:qFormat/>
    <w:rsid w:val="002436D5"/>
    <w:pPr>
      <w:spacing w:before="100" w:beforeAutospacing="1" w:after="100" w:afterAutospacing="1"/>
    </w:pPr>
  </w:style>
  <w:style w:type="character" w:customStyle="1" w:styleId="TitleChar">
    <w:name w:val="Title Char"/>
    <w:aliases w:val="title Char"/>
    <w:basedOn w:val="DefaultParagraphFont"/>
    <w:link w:val="Title"/>
    <w:uiPriority w:val="10"/>
    <w:rsid w:val="002436D5"/>
    <w:rPr>
      <w:rFonts w:ascii="Times New Roman" w:hAnsi="Times New Roman" w:cs="Times New Roman"/>
      <w:lang w:val="en-GB" w:eastAsia="en-GB"/>
    </w:rPr>
  </w:style>
  <w:style w:type="character" w:customStyle="1" w:styleId="apple-converted-space">
    <w:name w:val="apple-converted-space"/>
    <w:basedOn w:val="DefaultParagraphFont"/>
    <w:rsid w:val="002436D5"/>
  </w:style>
  <w:style w:type="paragraph" w:customStyle="1" w:styleId="desc">
    <w:name w:val="desc"/>
    <w:basedOn w:val="Normal"/>
    <w:rsid w:val="002436D5"/>
    <w:pPr>
      <w:spacing w:before="100" w:beforeAutospacing="1" w:after="100" w:afterAutospacing="1"/>
    </w:pPr>
  </w:style>
  <w:style w:type="paragraph" w:customStyle="1" w:styleId="details">
    <w:name w:val="details"/>
    <w:basedOn w:val="Normal"/>
    <w:rsid w:val="002436D5"/>
    <w:pPr>
      <w:spacing w:before="100" w:beforeAutospacing="1" w:after="100" w:afterAutospacing="1"/>
    </w:pPr>
  </w:style>
  <w:style w:type="character" w:customStyle="1" w:styleId="highlight">
    <w:name w:val="highlight"/>
    <w:basedOn w:val="DefaultParagraphFont"/>
    <w:rsid w:val="00167F0D"/>
  </w:style>
  <w:style w:type="paragraph" w:styleId="NormalWeb">
    <w:name w:val="Normal (Web)"/>
    <w:basedOn w:val="Normal"/>
    <w:uiPriority w:val="99"/>
    <w:semiHidden/>
    <w:unhideWhenUsed/>
    <w:rsid w:val="00583D9A"/>
    <w:pPr>
      <w:spacing w:before="100" w:beforeAutospacing="1" w:after="100" w:afterAutospacing="1"/>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15340">
      <w:bodyDiv w:val="1"/>
      <w:marLeft w:val="0"/>
      <w:marRight w:val="0"/>
      <w:marTop w:val="0"/>
      <w:marBottom w:val="0"/>
      <w:divBdr>
        <w:top w:val="none" w:sz="0" w:space="0" w:color="auto"/>
        <w:left w:val="none" w:sz="0" w:space="0" w:color="auto"/>
        <w:bottom w:val="none" w:sz="0" w:space="0" w:color="auto"/>
        <w:right w:val="none" w:sz="0" w:space="0" w:color="auto"/>
      </w:divBdr>
    </w:div>
    <w:div w:id="349378714">
      <w:bodyDiv w:val="1"/>
      <w:marLeft w:val="0"/>
      <w:marRight w:val="0"/>
      <w:marTop w:val="0"/>
      <w:marBottom w:val="0"/>
      <w:divBdr>
        <w:top w:val="none" w:sz="0" w:space="0" w:color="auto"/>
        <w:left w:val="none" w:sz="0" w:space="0" w:color="auto"/>
        <w:bottom w:val="none" w:sz="0" w:space="0" w:color="auto"/>
        <w:right w:val="none" w:sz="0" w:space="0" w:color="auto"/>
      </w:divBdr>
    </w:div>
    <w:div w:id="401370908">
      <w:bodyDiv w:val="1"/>
      <w:marLeft w:val="0"/>
      <w:marRight w:val="0"/>
      <w:marTop w:val="0"/>
      <w:marBottom w:val="0"/>
      <w:divBdr>
        <w:top w:val="none" w:sz="0" w:space="0" w:color="auto"/>
        <w:left w:val="none" w:sz="0" w:space="0" w:color="auto"/>
        <w:bottom w:val="none" w:sz="0" w:space="0" w:color="auto"/>
        <w:right w:val="none" w:sz="0" w:space="0" w:color="auto"/>
      </w:divBdr>
      <w:divsChild>
        <w:div w:id="1291326129">
          <w:marLeft w:val="0"/>
          <w:marRight w:val="1"/>
          <w:marTop w:val="0"/>
          <w:marBottom w:val="0"/>
          <w:divBdr>
            <w:top w:val="none" w:sz="0" w:space="0" w:color="auto"/>
            <w:left w:val="none" w:sz="0" w:space="0" w:color="auto"/>
            <w:bottom w:val="none" w:sz="0" w:space="0" w:color="auto"/>
            <w:right w:val="none" w:sz="0" w:space="0" w:color="auto"/>
          </w:divBdr>
          <w:divsChild>
            <w:div w:id="1216626074">
              <w:marLeft w:val="0"/>
              <w:marRight w:val="0"/>
              <w:marTop w:val="0"/>
              <w:marBottom w:val="0"/>
              <w:divBdr>
                <w:top w:val="none" w:sz="0" w:space="0" w:color="auto"/>
                <w:left w:val="none" w:sz="0" w:space="0" w:color="auto"/>
                <w:bottom w:val="none" w:sz="0" w:space="0" w:color="auto"/>
                <w:right w:val="none" w:sz="0" w:space="0" w:color="auto"/>
              </w:divBdr>
              <w:divsChild>
                <w:div w:id="209145883">
                  <w:marLeft w:val="0"/>
                  <w:marRight w:val="1"/>
                  <w:marTop w:val="0"/>
                  <w:marBottom w:val="0"/>
                  <w:divBdr>
                    <w:top w:val="none" w:sz="0" w:space="0" w:color="auto"/>
                    <w:left w:val="none" w:sz="0" w:space="0" w:color="auto"/>
                    <w:bottom w:val="none" w:sz="0" w:space="0" w:color="auto"/>
                    <w:right w:val="none" w:sz="0" w:space="0" w:color="auto"/>
                  </w:divBdr>
                  <w:divsChild>
                    <w:div w:id="212429612">
                      <w:marLeft w:val="0"/>
                      <w:marRight w:val="0"/>
                      <w:marTop w:val="0"/>
                      <w:marBottom w:val="0"/>
                      <w:divBdr>
                        <w:top w:val="none" w:sz="0" w:space="0" w:color="auto"/>
                        <w:left w:val="none" w:sz="0" w:space="0" w:color="auto"/>
                        <w:bottom w:val="none" w:sz="0" w:space="0" w:color="auto"/>
                        <w:right w:val="none" w:sz="0" w:space="0" w:color="auto"/>
                      </w:divBdr>
                      <w:divsChild>
                        <w:div w:id="716199525">
                          <w:marLeft w:val="0"/>
                          <w:marRight w:val="0"/>
                          <w:marTop w:val="0"/>
                          <w:marBottom w:val="0"/>
                          <w:divBdr>
                            <w:top w:val="none" w:sz="0" w:space="0" w:color="auto"/>
                            <w:left w:val="none" w:sz="0" w:space="0" w:color="auto"/>
                            <w:bottom w:val="none" w:sz="0" w:space="0" w:color="auto"/>
                            <w:right w:val="none" w:sz="0" w:space="0" w:color="auto"/>
                          </w:divBdr>
                          <w:divsChild>
                            <w:div w:id="2074497988">
                              <w:marLeft w:val="0"/>
                              <w:marRight w:val="0"/>
                              <w:marTop w:val="120"/>
                              <w:marBottom w:val="360"/>
                              <w:divBdr>
                                <w:top w:val="none" w:sz="0" w:space="0" w:color="auto"/>
                                <w:left w:val="none" w:sz="0" w:space="0" w:color="auto"/>
                                <w:bottom w:val="none" w:sz="0" w:space="0" w:color="auto"/>
                                <w:right w:val="none" w:sz="0" w:space="0" w:color="auto"/>
                              </w:divBdr>
                              <w:divsChild>
                                <w:div w:id="1316452797">
                                  <w:marLeft w:val="420"/>
                                  <w:marRight w:val="0"/>
                                  <w:marTop w:val="0"/>
                                  <w:marBottom w:val="0"/>
                                  <w:divBdr>
                                    <w:top w:val="none" w:sz="0" w:space="0" w:color="auto"/>
                                    <w:left w:val="none" w:sz="0" w:space="0" w:color="auto"/>
                                    <w:bottom w:val="none" w:sz="0" w:space="0" w:color="auto"/>
                                    <w:right w:val="none" w:sz="0" w:space="0" w:color="auto"/>
                                  </w:divBdr>
                                  <w:divsChild>
                                    <w:div w:id="84359258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321415">
      <w:bodyDiv w:val="1"/>
      <w:marLeft w:val="0"/>
      <w:marRight w:val="0"/>
      <w:marTop w:val="0"/>
      <w:marBottom w:val="0"/>
      <w:divBdr>
        <w:top w:val="none" w:sz="0" w:space="0" w:color="auto"/>
        <w:left w:val="none" w:sz="0" w:space="0" w:color="auto"/>
        <w:bottom w:val="none" w:sz="0" w:space="0" w:color="auto"/>
        <w:right w:val="none" w:sz="0" w:space="0" w:color="auto"/>
      </w:divBdr>
      <w:divsChild>
        <w:div w:id="120733421">
          <w:marLeft w:val="0"/>
          <w:marRight w:val="0"/>
          <w:marTop w:val="0"/>
          <w:marBottom w:val="0"/>
          <w:divBdr>
            <w:top w:val="none" w:sz="0" w:space="0" w:color="auto"/>
            <w:left w:val="none" w:sz="0" w:space="0" w:color="auto"/>
            <w:bottom w:val="none" w:sz="0" w:space="0" w:color="auto"/>
            <w:right w:val="none" w:sz="0" w:space="0" w:color="auto"/>
          </w:divBdr>
          <w:divsChild>
            <w:div w:id="1258638532">
              <w:marLeft w:val="0"/>
              <w:marRight w:val="0"/>
              <w:marTop w:val="0"/>
              <w:marBottom w:val="0"/>
              <w:divBdr>
                <w:top w:val="none" w:sz="0" w:space="0" w:color="auto"/>
                <w:left w:val="none" w:sz="0" w:space="0" w:color="auto"/>
                <w:bottom w:val="none" w:sz="0" w:space="0" w:color="auto"/>
                <w:right w:val="none" w:sz="0" w:space="0" w:color="auto"/>
              </w:divBdr>
              <w:divsChild>
                <w:div w:id="618877312">
                  <w:marLeft w:val="0"/>
                  <w:marRight w:val="0"/>
                  <w:marTop w:val="0"/>
                  <w:marBottom w:val="0"/>
                  <w:divBdr>
                    <w:top w:val="none" w:sz="0" w:space="0" w:color="auto"/>
                    <w:left w:val="none" w:sz="0" w:space="0" w:color="auto"/>
                    <w:bottom w:val="none" w:sz="0" w:space="0" w:color="auto"/>
                    <w:right w:val="none" w:sz="0" w:space="0" w:color="auto"/>
                  </w:divBdr>
                  <w:divsChild>
                    <w:div w:id="7384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76464">
      <w:bodyDiv w:val="1"/>
      <w:marLeft w:val="0"/>
      <w:marRight w:val="0"/>
      <w:marTop w:val="0"/>
      <w:marBottom w:val="0"/>
      <w:divBdr>
        <w:top w:val="none" w:sz="0" w:space="0" w:color="auto"/>
        <w:left w:val="none" w:sz="0" w:space="0" w:color="auto"/>
        <w:bottom w:val="none" w:sz="0" w:space="0" w:color="auto"/>
        <w:right w:val="none" w:sz="0" w:space="0" w:color="auto"/>
      </w:divBdr>
    </w:div>
    <w:div w:id="971983912">
      <w:bodyDiv w:val="1"/>
      <w:marLeft w:val="0"/>
      <w:marRight w:val="0"/>
      <w:marTop w:val="0"/>
      <w:marBottom w:val="0"/>
      <w:divBdr>
        <w:top w:val="none" w:sz="0" w:space="0" w:color="auto"/>
        <w:left w:val="none" w:sz="0" w:space="0" w:color="auto"/>
        <w:bottom w:val="none" w:sz="0" w:space="0" w:color="auto"/>
        <w:right w:val="none" w:sz="0" w:space="0" w:color="auto"/>
      </w:divBdr>
      <w:divsChild>
        <w:div w:id="1108819543">
          <w:marLeft w:val="0"/>
          <w:marRight w:val="0"/>
          <w:marTop w:val="0"/>
          <w:marBottom w:val="0"/>
          <w:divBdr>
            <w:top w:val="single" w:sz="2" w:space="0" w:color="2E2E2E"/>
            <w:left w:val="single" w:sz="2" w:space="0" w:color="2E2E2E"/>
            <w:bottom w:val="single" w:sz="2" w:space="0" w:color="2E2E2E"/>
            <w:right w:val="single" w:sz="2" w:space="0" w:color="2E2E2E"/>
          </w:divBdr>
          <w:divsChild>
            <w:div w:id="1866477229">
              <w:marLeft w:val="0"/>
              <w:marRight w:val="0"/>
              <w:marTop w:val="0"/>
              <w:marBottom w:val="0"/>
              <w:divBdr>
                <w:top w:val="single" w:sz="24" w:space="0" w:color="C9C9C9"/>
                <w:left w:val="single" w:sz="24" w:space="0" w:color="C9C9C9"/>
                <w:bottom w:val="single" w:sz="24" w:space="0" w:color="C9C9C9"/>
                <w:right w:val="single" w:sz="24" w:space="0" w:color="C9C9C9"/>
              </w:divBdr>
              <w:divsChild>
                <w:div w:id="393504534">
                  <w:marLeft w:val="0"/>
                  <w:marRight w:val="0"/>
                  <w:marTop w:val="0"/>
                  <w:marBottom w:val="0"/>
                  <w:divBdr>
                    <w:top w:val="none" w:sz="0" w:space="0" w:color="auto"/>
                    <w:left w:val="single" w:sz="6" w:space="0" w:color="C9C9C9"/>
                    <w:bottom w:val="none" w:sz="0" w:space="0" w:color="auto"/>
                    <w:right w:val="none" w:sz="0" w:space="0" w:color="auto"/>
                  </w:divBdr>
                  <w:divsChild>
                    <w:div w:id="1797024723">
                      <w:marLeft w:val="0"/>
                      <w:marRight w:val="0"/>
                      <w:marTop w:val="0"/>
                      <w:marBottom w:val="0"/>
                      <w:divBdr>
                        <w:top w:val="none" w:sz="0" w:space="0" w:color="auto"/>
                        <w:left w:val="none" w:sz="0" w:space="0" w:color="auto"/>
                        <w:bottom w:val="none" w:sz="0" w:space="0" w:color="auto"/>
                        <w:right w:val="none" w:sz="0" w:space="0" w:color="auto"/>
                      </w:divBdr>
                      <w:divsChild>
                        <w:div w:id="228420275">
                          <w:marLeft w:val="0"/>
                          <w:marRight w:val="0"/>
                          <w:marTop w:val="0"/>
                          <w:marBottom w:val="0"/>
                          <w:divBdr>
                            <w:top w:val="none" w:sz="0" w:space="0" w:color="auto"/>
                            <w:left w:val="none" w:sz="0" w:space="0" w:color="auto"/>
                            <w:bottom w:val="none" w:sz="0" w:space="0" w:color="auto"/>
                            <w:right w:val="none" w:sz="0" w:space="0" w:color="auto"/>
                          </w:divBdr>
                          <w:divsChild>
                            <w:div w:id="1139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287457">
      <w:bodyDiv w:val="1"/>
      <w:marLeft w:val="0"/>
      <w:marRight w:val="0"/>
      <w:marTop w:val="0"/>
      <w:marBottom w:val="0"/>
      <w:divBdr>
        <w:top w:val="none" w:sz="0" w:space="0" w:color="auto"/>
        <w:left w:val="none" w:sz="0" w:space="0" w:color="auto"/>
        <w:bottom w:val="none" w:sz="0" w:space="0" w:color="auto"/>
        <w:right w:val="none" w:sz="0" w:space="0" w:color="auto"/>
      </w:divBdr>
      <w:divsChild>
        <w:div w:id="182520928">
          <w:marLeft w:val="0"/>
          <w:marRight w:val="0"/>
          <w:marTop w:val="34"/>
          <w:marBottom w:val="34"/>
          <w:divBdr>
            <w:top w:val="none" w:sz="0" w:space="0" w:color="auto"/>
            <w:left w:val="none" w:sz="0" w:space="0" w:color="auto"/>
            <w:bottom w:val="none" w:sz="0" w:space="0" w:color="auto"/>
            <w:right w:val="none" w:sz="0" w:space="0" w:color="auto"/>
          </w:divBdr>
        </w:div>
      </w:divsChild>
    </w:div>
    <w:div w:id="1015964305">
      <w:bodyDiv w:val="1"/>
      <w:marLeft w:val="0"/>
      <w:marRight w:val="0"/>
      <w:marTop w:val="0"/>
      <w:marBottom w:val="0"/>
      <w:divBdr>
        <w:top w:val="none" w:sz="0" w:space="0" w:color="auto"/>
        <w:left w:val="none" w:sz="0" w:space="0" w:color="auto"/>
        <w:bottom w:val="none" w:sz="0" w:space="0" w:color="auto"/>
        <w:right w:val="none" w:sz="0" w:space="0" w:color="auto"/>
      </w:divBdr>
    </w:div>
    <w:div w:id="1270434745">
      <w:bodyDiv w:val="1"/>
      <w:marLeft w:val="0"/>
      <w:marRight w:val="0"/>
      <w:marTop w:val="0"/>
      <w:marBottom w:val="0"/>
      <w:divBdr>
        <w:top w:val="none" w:sz="0" w:space="0" w:color="auto"/>
        <w:left w:val="none" w:sz="0" w:space="0" w:color="auto"/>
        <w:bottom w:val="none" w:sz="0" w:space="0" w:color="auto"/>
        <w:right w:val="none" w:sz="0" w:space="0" w:color="auto"/>
      </w:divBdr>
    </w:div>
    <w:div w:id="1315454637">
      <w:bodyDiv w:val="1"/>
      <w:marLeft w:val="0"/>
      <w:marRight w:val="0"/>
      <w:marTop w:val="0"/>
      <w:marBottom w:val="0"/>
      <w:divBdr>
        <w:top w:val="none" w:sz="0" w:space="0" w:color="auto"/>
        <w:left w:val="none" w:sz="0" w:space="0" w:color="auto"/>
        <w:bottom w:val="none" w:sz="0" w:space="0" w:color="auto"/>
        <w:right w:val="none" w:sz="0" w:space="0" w:color="auto"/>
      </w:divBdr>
    </w:div>
    <w:div w:id="1751926749">
      <w:bodyDiv w:val="1"/>
      <w:marLeft w:val="0"/>
      <w:marRight w:val="0"/>
      <w:marTop w:val="0"/>
      <w:marBottom w:val="0"/>
      <w:divBdr>
        <w:top w:val="none" w:sz="0" w:space="0" w:color="auto"/>
        <w:left w:val="none" w:sz="0" w:space="0" w:color="auto"/>
        <w:bottom w:val="none" w:sz="0" w:space="0" w:color="auto"/>
        <w:right w:val="none" w:sz="0" w:space="0" w:color="auto"/>
      </w:divBdr>
      <w:divsChild>
        <w:div w:id="1899390377">
          <w:marLeft w:val="547"/>
          <w:marRight w:val="0"/>
          <w:marTop w:val="0"/>
          <w:marBottom w:val="200"/>
          <w:divBdr>
            <w:top w:val="none" w:sz="0" w:space="0" w:color="auto"/>
            <w:left w:val="none" w:sz="0" w:space="0" w:color="auto"/>
            <w:bottom w:val="none" w:sz="0" w:space="0" w:color="auto"/>
            <w:right w:val="none" w:sz="0" w:space="0" w:color="auto"/>
          </w:divBdr>
        </w:div>
        <w:div w:id="261379321">
          <w:marLeft w:val="547"/>
          <w:marRight w:val="0"/>
          <w:marTop w:val="0"/>
          <w:marBottom w:val="200"/>
          <w:divBdr>
            <w:top w:val="none" w:sz="0" w:space="0" w:color="auto"/>
            <w:left w:val="none" w:sz="0" w:space="0" w:color="auto"/>
            <w:bottom w:val="none" w:sz="0" w:space="0" w:color="auto"/>
            <w:right w:val="none" w:sz="0" w:space="0" w:color="auto"/>
          </w:divBdr>
        </w:div>
      </w:divsChild>
    </w:div>
    <w:div w:id="1803965515">
      <w:bodyDiv w:val="1"/>
      <w:marLeft w:val="0"/>
      <w:marRight w:val="0"/>
      <w:marTop w:val="0"/>
      <w:marBottom w:val="0"/>
      <w:divBdr>
        <w:top w:val="none" w:sz="0" w:space="0" w:color="auto"/>
        <w:left w:val="none" w:sz="0" w:space="0" w:color="auto"/>
        <w:bottom w:val="none" w:sz="0" w:space="0" w:color="auto"/>
        <w:right w:val="none" w:sz="0" w:space="0" w:color="auto"/>
      </w:divBdr>
      <w:divsChild>
        <w:div w:id="297422012">
          <w:marLeft w:val="0"/>
          <w:marRight w:val="0"/>
          <w:marTop w:val="34"/>
          <w:marBottom w:val="34"/>
          <w:divBdr>
            <w:top w:val="none" w:sz="0" w:space="0" w:color="auto"/>
            <w:left w:val="none" w:sz="0" w:space="0" w:color="auto"/>
            <w:bottom w:val="none" w:sz="0" w:space="0" w:color="auto"/>
            <w:right w:val="none" w:sz="0" w:space="0" w:color="auto"/>
          </w:divBdr>
        </w:div>
      </w:divsChild>
    </w:div>
    <w:div w:id="1896965557">
      <w:bodyDiv w:val="1"/>
      <w:marLeft w:val="0"/>
      <w:marRight w:val="0"/>
      <w:marTop w:val="0"/>
      <w:marBottom w:val="0"/>
      <w:divBdr>
        <w:top w:val="none" w:sz="0" w:space="0" w:color="auto"/>
        <w:left w:val="none" w:sz="0" w:space="0" w:color="auto"/>
        <w:bottom w:val="none" w:sz="0" w:space="0" w:color="auto"/>
        <w:right w:val="none" w:sz="0" w:space="0" w:color="auto"/>
      </w:divBdr>
    </w:div>
    <w:div w:id="1928267126">
      <w:bodyDiv w:val="1"/>
      <w:marLeft w:val="0"/>
      <w:marRight w:val="0"/>
      <w:marTop w:val="0"/>
      <w:marBottom w:val="0"/>
      <w:divBdr>
        <w:top w:val="none" w:sz="0" w:space="0" w:color="auto"/>
        <w:left w:val="none" w:sz="0" w:space="0" w:color="auto"/>
        <w:bottom w:val="none" w:sz="0" w:space="0" w:color="auto"/>
        <w:right w:val="none" w:sz="0" w:space="0" w:color="auto"/>
      </w:divBdr>
      <w:divsChild>
        <w:div w:id="1785540267">
          <w:marLeft w:val="0"/>
          <w:marRight w:val="0"/>
          <w:marTop w:val="34"/>
          <w:marBottom w:val="34"/>
          <w:divBdr>
            <w:top w:val="none" w:sz="0" w:space="0" w:color="auto"/>
            <w:left w:val="none" w:sz="0" w:space="0" w:color="auto"/>
            <w:bottom w:val="none" w:sz="0" w:space="0" w:color="auto"/>
            <w:right w:val="none" w:sz="0" w:space="0" w:color="auto"/>
          </w:divBdr>
        </w:div>
      </w:divsChild>
    </w:div>
    <w:div w:id="1929534501">
      <w:bodyDiv w:val="1"/>
      <w:marLeft w:val="0"/>
      <w:marRight w:val="0"/>
      <w:marTop w:val="0"/>
      <w:marBottom w:val="0"/>
      <w:divBdr>
        <w:top w:val="none" w:sz="0" w:space="0" w:color="auto"/>
        <w:left w:val="none" w:sz="0" w:space="0" w:color="auto"/>
        <w:bottom w:val="none" w:sz="0" w:space="0" w:color="auto"/>
        <w:right w:val="none" w:sz="0" w:space="0" w:color="auto"/>
      </w:divBdr>
      <w:divsChild>
        <w:div w:id="1686445187">
          <w:marLeft w:val="547"/>
          <w:marRight w:val="0"/>
          <w:marTop w:val="115"/>
          <w:marBottom w:val="0"/>
          <w:divBdr>
            <w:top w:val="none" w:sz="0" w:space="0" w:color="auto"/>
            <w:left w:val="none" w:sz="0" w:space="0" w:color="auto"/>
            <w:bottom w:val="none" w:sz="0" w:space="0" w:color="auto"/>
            <w:right w:val="none" w:sz="0" w:space="0" w:color="auto"/>
          </w:divBdr>
        </w:div>
        <w:div w:id="1602176012">
          <w:marLeft w:val="1166"/>
          <w:marRight w:val="0"/>
          <w:marTop w:val="115"/>
          <w:marBottom w:val="0"/>
          <w:divBdr>
            <w:top w:val="none" w:sz="0" w:space="0" w:color="auto"/>
            <w:left w:val="none" w:sz="0" w:space="0" w:color="auto"/>
            <w:bottom w:val="none" w:sz="0" w:space="0" w:color="auto"/>
            <w:right w:val="none" w:sz="0" w:space="0" w:color="auto"/>
          </w:divBdr>
        </w:div>
        <w:div w:id="70079857">
          <w:marLeft w:val="547"/>
          <w:marRight w:val="0"/>
          <w:marTop w:val="115"/>
          <w:marBottom w:val="0"/>
          <w:divBdr>
            <w:top w:val="none" w:sz="0" w:space="0" w:color="auto"/>
            <w:left w:val="none" w:sz="0" w:space="0" w:color="auto"/>
            <w:bottom w:val="none" w:sz="0" w:space="0" w:color="auto"/>
            <w:right w:val="none" w:sz="0" w:space="0" w:color="auto"/>
          </w:divBdr>
        </w:div>
      </w:divsChild>
    </w:div>
    <w:div w:id="2045012010">
      <w:bodyDiv w:val="1"/>
      <w:marLeft w:val="0"/>
      <w:marRight w:val="0"/>
      <w:marTop w:val="0"/>
      <w:marBottom w:val="0"/>
      <w:divBdr>
        <w:top w:val="none" w:sz="0" w:space="0" w:color="auto"/>
        <w:left w:val="none" w:sz="0" w:space="0" w:color="auto"/>
        <w:bottom w:val="none" w:sz="0" w:space="0" w:color="auto"/>
        <w:right w:val="none" w:sz="0" w:space="0" w:color="auto"/>
      </w:divBdr>
      <w:divsChild>
        <w:div w:id="1980761125">
          <w:marLeft w:val="0"/>
          <w:marRight w:val="1"/>
          <w:marTop w:val="0"/>
          <w:marBottom w:val="0"/>
          <w:divBdr>
            <w:top w:val="none" w:sz="0" w:space="0" w:color="auto"/>
            <w:left w:val="none" w:sz="0" w:space="0" w:color="auto"/>
            <w:bottom w:val="none" w:sz="0" w:space="0" w:color="auto"/>
            <w:right w:val="none" w:sz="0" w:space="0" w:color="auto"/>
          </w:divBdr>
          <w:divsChild>
            <w:div w:id="808353684">
              <w:marLeft w:val="0"/>
              <w:marRight w:val="0"/>
              <w:marTop w:val="0"/>
              <w:marBottom w:val="0"/>
              <w:divBdr>
                <w:top w:val="none" w:sz="0" w:space="0" w:color="auto"/>
                <w:left w:val="none" w:sz="0" w:space="0" w:color="auto"/>
                <w:bottom w:val="none" w:sz="0" w:space="0" w:color="auto"/>
                <w:right w:val="none" w:sz="0" w:space="0" w:color="auto"/>
              </w:divBdr>
              <w:divsChild>
                <w:div w:id="1767578230">
                  <w:marLeft w:val="0"/>
                  <w:marRight w:val="1"/>
                  <w:marTop w:val="0"/>
                  <w:marBottom w:val="0"/>
                  <w:divBdr>
                    <w:top w:val="none" w:sz="0" w:space="0" w:color="auto"/>
                    <w:left w:val="none" w:sz="0" w:space="0" w:color="auto"/>
                    <w:bottom w:val="none" w:sz="0" w:space="0" w:color="auto"/>
                    <w:right w:val="none" w:sz="0" w:space="0" w:color="auto"/>
                  </w:divBdr>
                  <w:divsChild>
                    <w:div w:id="773785560">
                      <w:marLeft w:val="0"/>
                      <w:marRight w:val="0"/>
                      <w:marTop w:val="0"/>
                      <w:marBottom w:val="0"/>
                      <w:divBdr>
                        <w:top w:val="none" w:sz="0" w:space="0" w:color="auto"/>
                        <w:left w:val="none" w:sz="0" w:space="0" w:color="auto"/>
                        <w:bottom w:val="none" w:sz="0" w:space="0" w:color="auto"/>
                        <w:right w:val="none" w:sz="0" w:space="0" w:color="auto"/>
                      </w:divBdr>
                      <w:divsChild>
                        <w:div w:id="1908224965">
                          <w:marLeft w:val="0"/>
                          <w:marRight w:val="0"/>
                          <w:marTop w:val="0"/>
                          <w:marBottom w:val="0"/>
                          <w:divBdr>
                            <w:top w:val="none" w:sz="0" w:space="0" w:color="auto"/>
                            <w:left w:val="none" w:sz="0" w:space="0" w:color="auto"/>
                            <w:bottom w:val="none" w:sz="0" w:space="0" w:color="auto"/>
                            <w:right w:val="none" w:sz="0" w:space="0" w:color="auto"/>
                          </w:divBdr>
                          <w:divsChild>
                            <w:div w:id="589781448">
                              <w:marLeft w:val="0"/>
                              <w:marRight w:val="0"/>
                              <w:marTop w:val="120"/>
                              <w:marBottom w:val="360"/>
                              <w:divBdr>
                                <w:top w:val="none" w:sz="0" w:space="0" w:color="auto"/>
                                <w:left w:val="none" w:sz="0" w:space="0" w:color="auto"/>
                                <w:bottom w:val="none" w:sz="0" w:space="0" w:color="auto"/>
                                <w:right w:val="none" w:sz="0" w:space="0" w:color="auto"/>
                              </w:divBdr>
                              <w:divsChild>
                                <w:div w:id="1487093906">
                                  <w:marLeft w:val="0"/>
                                  <w:marRight w:val="0"/>
                                  <w:marTop w:val="0"/>
                                  <w:marBottom w:val="0"/>
                                  <w:divBdr>
                                    <w:top w:val="none" w:sz="0" w:space="0" w:color="auto"/>
                                    <w:left w:val="none" w:sz="0" w:space="0" w:color="auto"/>
                                    <w:bottom w:val="none" w:sz="0" w:space="0" w:color="auto"/>
                                    <w:right w:val="none" w:sz="0" w:space="0" w:color="auto"/>
                                  </w:divBdr>
                                </w:div>
                                <w:div w:id="104498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449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ulliv@sgul.ac.uk" TargetMode="External"/><Relationship Id="rId13" Type="http://schemas.openxmlformats.org/officeDocument/2006/relationships/hyperlink" Target="https://www.nice.org.uk/guidance/cg149" TargetMode="External"/><Relationship Id="rId18" Type="http://schemas.openxmlformats.org/officeDocument/2006/relationships/hyperlink" Target="https://www.nrscotland.gov.uk" TargetMode="External"/><Relationship Id="rId3" Type="http://schemas.openxmlformats.org/officeDocument/2006/relationships/styles" Target="styles.xml"/><Relationship Id="rId21" Type="http://schemas.openxmlformats.org/officeDocument/2006/relationships/hyperlink" Target="https://www.ncbi.nlm.nih.gov/pubmed/29117324" TargetMode="External"/><Relationship Id="rId7" Type="http://schemas.openxmlformats.org/officeDocument/2006/relationships/endnotes" Target="endnotes.xml"/><Relationship Id="rId12" Type="http://schemas.openxmlformats.org/officeDocument/2006/relationships/hyperlink" Target="http://www.ncbi.nlm.nih.gov/pubmed?term=Weisner%20AM%5BAuthor%5D&amp;cauthor=true&amp;cauthor_uid=14751704" TargetMode="External"/><Relationship Id="rId17" Type="http://schemas.openxmlformats.org/officeDocument/2006/relationships/hyperlink" Target="https://www.ons.gov.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ublichealthagency.org" TargetMode="External"/><Relationship Id="rId20" Type="http://schemas.openxmlformats.org/officeDocument/2006/relationships/hyperlink" Target="http://www.nisra.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Balfour%20G%5BAuthor%5D&amp;cauthor=true&amp;cauthor_uid=1475170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ps.scot.nhs.uk/surveillance/SystemsDetail.aspx?id=248" TargetMode="External"/><Relationship Id="rId23" Type="http://schemas.openxmlformats.org/officeDocument/2006/relationships/footer" Target="footer2.xml"/><Relationship Id="rId10" Type="http://schemas.openxmlformats.org/officeDocument/2006/relationships/hyperlink" Target="http://www.ncbi.nlm.nih.gov/pubmed?term=Heath%20PT%5BAuthor%5D&amp;cauthor=true&amp;cauthor_uid=14751704" TargetMode="External"/><Relationship Id="rId19" Type="http://schemas.openxmlformats.org/officeDocument/2006/relationships/hyperlink" Target="http://www.cso.ie/en/index.html" TargetMode="External"/><Relationship Id="rId4" Type="http://schemas.openxmlformats.org/officeDocument/2006/relationships/settings" Target="settings.xml"/><Relationship Id="rId9" Type="http://schemas.openxmlformats.org/officeDocument/2006/relationships/hyperlink" Target="http://pubmlst.org/sagalactiae/)" TargetMode="External"/><Relationship Id="rId14" Type="http://schemas.openxmlformats.org/officeDocument/2006/relationships/hyperlink" Target="http://www.rcpch.ac.uk/bpsu/gb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Bri15</b:Tag>
    <b:SourceType>DocumentFromInternetSite</b:SourceType>
    <b:Guid>{509061F4-0D31-4410-80DD-7668DEDB1293}</b:Guid>
    <b:Title>The British Society of Antimicrobial Chemotherapy</b:Title>
    <b:Year>2015</b:Year>
    <b:Author>
      <b:Author>
        <b:Corporate>British Society of Antimicrobial Chemotherapy</b:Corporate>
      </b:Author>
    </b:Author>
    <b:YearAccessed>2015</b:YearAccessed>
    <b:MonthAccessed>August</b:MonthAccessed>
    <b:DayAccessed>7</b:DayAccessed>
    <b:URL>http://bsac.org.uk/wp-content/uploads/2012/02/BSAC-Susceptibility-testing-version-14.pdf</b:URL>
    <b:RefOrder>1</b:RefOrder>
  </b:Source>
</b:Sources>
</file>

<file path=customXml/itemProps1.xml><?xml version="1.0" encoding="utf-8"?>
<ds:datastoreItem xmlns:ds="http://schemas.openxmlformats.org/officeDocument/2006/customXml" ds:itemID="{FDC93079-B01F-034D-AE66-D2A9B55C4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5418</Words>
  <Characters>30884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O'Sullivan</dc:creator>
  <cp:lastModifiedBy>Chrissie Jones</cp:lastModifiedBy>
  <cp:revision>2</cp:revision>
  <dcterms:created xsi:type="dcterms:W3CDTF">2018-07-03T10:43:00Z</dcterms:created>
  <dcterms:modified xsi:type="dcterms:W3CDTF">2018-07-03T10:43:00Z</dcterms:modified>
</cp:coreProperties>
</file>