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B785C" w14:textId="77777777" w:rsidR="00EB0721" w:rsidRPr="001B6E90" w:rsidRDefault="00EB0721" w:rsidP="004F24CD">
      <w:pPr>
        <w:pBdr>
          <w:bottom w:val="single" w:sz="4" w:space="1" w:color="auto"/>
        </w:pBdr>
        <w:spacing w:line="360" w:lineRule="auto"/>
        <w:jc w:val="both"/>
        <w:rPr>
          <w:rFonts w:ascii="Garamond" w:hAnsi="Garamond"/>
          <w:sz w:val="32"/>
          <w:szCs w:val="32"/>
          <w:lang w:val="en-GB"/>
        </w:rPr>
      </w:pPr>
      <w:bookmarkStart w:id="0" w:name="_Toc392757665"/>
      <w:bookmarkStart w:id="1" w:name="_Toc394844931"/>
      <w:bookmarkStart w:id="2" w:name="_Toc395788828"/>
      <w:bookmarkStart w:id="3" w:name="_GoBack"/>
      <w:bookmarkEnd w:id="3"/>
      <w:r w:rsidRPr="001B6E90">
        <w:rPr>
          <w:rFonts w:ascii="Garamond" w:eastAsia="Times New Roman" w:hAnsi="Garamond" w:cs="Times New Roman"/>
          <w:b/>
          <w:bCs/>
          <w:sz w:val="32"/>
          <w:szCs w:val="32"/>
          <w:shd w:val="clear" w:color="auto" w:fill="FFFFFF"/>
          <w:lang w:val="en-GB"/>
        </w:rPr>
        <w:t xml:space="preserve">Linking and copyright: easier at last? First national applications of the CJEU </w:t>
      </w:r>
      <w:r w:rsidRPr="001B6E90">
        <w:rPr>
          <w:rFonts w:ascii="Garamond" w:eastAsia="Times New Roman" w:hAnsi="Garamond" w:cs="Times New Roman"/>
          <w:b/>
          <w:bCs/>
          <w:i/>
          <w:sz w:val="32"/>
          <w:szCs w:val="32"/>
          <w:shd w:val="clear" w:color="auto" w:fill="FFFFFF"/>
          <w:lang w:val="en-GB"/>
        </w:rPr>
        <w:t>GS Media</w:t>
      </w:r>
      <w:r w:rsidRPr="001B6E90">
        <w:rPr>
          <w:rFonts w:ascii="Garamond" w:eastAsia="Times New Roman" w:hAnsi="Garamond" w:cs="Times New Roman"/>
          <w:b/>
          <w:bCs/>
          <w:sz w:val="32"/>
          <w:szCs w:val="32"/>
          <w:shd w:val="clear" w:color="auto" w:fill="FFFFFF"/>
          <w:lang w:val="en-GB"/>
        </w:rPr>
        <w:t xml:space="preserve"> judgment</w:t>
      </w:r>
    </w:p>
    <w:p w14:paraId="56553E68" w14:textId="77777777" w:rsidR="00EB0721" w:rsidRPr="004F24CD" w:rsidRDefault="00EB0721" w:rsidP="004F24CD">
      <w:pPr>
        <w:spacing w:line="360" w:lineRule="auto"/>
        <w:jc w:val="both"/>
        <w:rPr>
          <w:rFonts w:ascii="Garamond" w:hAnsi="Garamond"/>
          <w:lang w:val="en-GB"/>
        </w:rPr>
      </w:pPr>
    </w:p>
    <w:p w14:paraId="1F480595" w14:textId="77777777" w:rsidR="00EB0721" w:rsidRPr="004F24CD" w:rsidRDefault="00EB0721" w:rsidP="004F24CD">
      <w:pPr>
        <w:spacing w:line="360" w:lineRule="auto"/>
        <w:jc w:val="both"/>
        <w:rPr>
          <w:rFonts w:ascii="Garamond" w:hAnsi="Garamond"/>
          <w:lang w:val="en-GB"/>
        </w:rPr>
      </w:pPr>
    </w:p>
    <w:p w14:paraId="290AEAE4" w14:textId="77777777" w:rsidR="00EB0721" w:rsidRPr="004F24CD" w:rsidRDefault="00EB0721" w:rsidP="004F24CD">
      <w:pPr>
        <w:spacing w:line="360" w:lineRule="auto"/>
        <w:jc w:val="both"/>
        <w:rPr>
          <w:rFonts w:ascii="Garamond" w:hAnsi="Garamond"/>
          <w:lang w:val="en-GB"/>
        </w:rPr>
      </w:pPr>
      <w:r w:rsidRPr="004F24CD">
        <w:rPr>
          <w:rFonts w:ascii="Garamond" w:hAnsi="Garamond"/>
          <w:lang w:val="en-GB"/>
        </w:rPr>
        <w:t>Eleonora Rosati</w:t>
      </w:r>
      <w:r w:rsidRPr="004F24CD">
        <w:rPr>
          <w:rStyle w:val="FootnoteReference"/>
          <w:rFonts w:ascii="Garamond" w:hAnsi="Garamond"/>
          <w:lang w:val="en-GB"/>
        </w:rPr>
        <w:footnoteReference w:customMarkFollows="1" w:id="1"/>
        <w:t>*</w:t>
      </w:r>
    </w:p>
    <w:p w14:paraId="22E1E46D" w14:textId="77777777" w:rsidR="00EB0721" w:rsidRPr="004F24CD" w:rsidRDefault="00EB0721" w:rsidP="004F24CD">
      <w:pPr>
        <w:spacing w:line="360" w:lineRule="auto"/>
        <w:jc w:val="both"/>
        <w:rPr>
          <w:rFonts w:ascii="Garamond" w:hAnsi="Garamond"/>
          <w:lang w:val="en-GB"/>
        </w:rPr>
      </w:pPr>
    </w:p>
    <w:p w14:paraId="4F04FAE5" w14:textId="77777777" w:rsidR="00EB0721" w:rsidRPr="004F24CD" w:rsidRDefault="00EB0721" w:rsidP="004F24CD">
      <w:pPr>
        <w:spacing w:line="360" w:lineRule="auto"/>
        <w:jc w:val="both"/>
        <w:rPr>
          <w:rFonts w:ascii="Garamond" w:hAnsi="Garamond"/>
          <w:lang w:val="en-GB"/>
        </w:rPr>
      </w:pPr>
    </w:p>
    <w:p w14:paraId="0D1A001B" w14:textId="77777777" w:rsidR="00A8349F" w:rsidRPr="004F24CD" w:rsidRDefault="00A8349F" w:rsidP="004F24CD">
      <w:pPr>
        <w:spacing w:line="360" w:lineRule="auto"/>
        <w:jc w:val="both"/>
        <w:rPr>
          <w:rFonts w:ascii="Garamond" w:hAnsi="Garamond"/>
          <w:lang w:val="en-GB"/>
        </w:rPr>
      </w:pPr>
    </w:p>
    <w:p w14:paraId="3982C847" w14:textId="77777777" w:rsidR="00A8349F" w:rsidRPr="004F24CD" w:rsidRDefault="00A8349F" w:rsidP="004F24CD">
      <w:pPr>
        <w:spacing w:line="360" w:lineRule="auto"/>
        <w:jc w:val="both"/>
        <w:rPr>
          <w:rFonts w:ascii="Garamond" w:hAnsi="Garamond"/>
          <w:lang w:val="en-GB"/>
        </w:rPr>
      </w:pPr>
    </w:p>
    <w:p w14:paraId="694A15AC" w14:textId="77777777" w:rsidR="00EB0721" w:rsidRPr="004F24CD" w:rsidRDefault="00EB0721" w:rsidP="004F24CD">
      <w:pPr>
        <w:pStyle w:val="Heading1"/>
        <w:spacing w:line="360" w:lineRule="auto"/>
        <w:rPr>
          <w:sz w:val="24"/>
          <w:szCs w:val="24"/>
        </w:rPr>
      </w:pPr>
      <w:bookmarkStart w:id="4" w:name="_Toc396292403"/>
      <w:bookmarkStart w:id="5" w:name="_Toc396298471"/>
      <w:r w:rsidRPr="004F24CD">
        <w:rPr>
          <w:sz w:val="24"/>
          <w:szCs w:val="24"/>
        </w:rPr>
        <w:t>Abstract</w:t>
      </w:r>
      <w:bookmarkEnd w:id="4"/>
      <w:bookmarkEnd w:id="5"/>
    </w:p>
    <w:p w14:paraId="5A2E4512" w14:textId="77777777" w:rsidR="00EB0721" w:rsidRPr="004F24CD" w:rsidRDefault="00EB0721" w:rsidP="004F24CD">
      <w:pPr>
        <w:spacing w:line="360" w:lineRule="auto"/>
        <w:jc w:val="both"/>
        <w:rPr>
          <w:rFonts w:ascii="Garamond" w:hAnsi="Garamond"/>
          <w:lang w:val="en-GB"/>
        </w:rPr>
      </w:pPr>
    </w:p>
    <w:p w14:paraId="3C1C985C" w14:textId="02255ED2" w:rsidR="00EB0721" w:rsidRPr="00F7201B" w:rsidRDefault="00EB0721" w:rsidP="001B6E90">
      <w:pPr>
        <w:jc w:val="both"/>
        <w:rPr>
          <w:rFonts w:ascii="Garamond" w:hAnsi="Garamond" w:cs="Times New Roman"/>
          <w:bCs/>
          <w:color w:val="000000" w:themeColor="text1"/>
          <w:sz w:val="22"/>
          <w:szCs w:val="22"/>
          <w:bdr w:val="none" w:sz="0" w:space="0" w:color="auto" w:frame="1"/>
          <w:lang w:val="en-GB"/>
        </w:rPr>
      </w:pPr>
      <w:r w:rsidRPr="00F7201B">
        <w:rPr>
          <w:rFonts w:ascii="Garamond" w:hAnsi="Garamond"/>
          <w:sz w:val="22"/>
          <w:szCs w:val="22"/>
          <w:lang w:val="en-GB"/>
        </w:rPr>
        <w:t xml:space="preserve">Since its 2006 decision in </w:t>
      </w:r>
      <w:r w:rsidRPr="00F7201B">
        <w:rPr>
          <w:rFonts w:ascii="Garamond" w:hAnsi="Garamond"/>
          <w:i/>
          <w:sz w:val="22"/>
          <w:szCs w:val="22"/>
          <w:lang w:val="en-GB"/>
        </w:rPr>
        <w:t>SGAE</w:t>
      </w:r>
      <w:r w:rsidRPr="00F7201B">
        <w:rPr>
          <w:rFonts w:ascii="Garamond" w:hAnsi="Garamond"/>
          <w:sz w:val="22"/>
          <w:szCs w:val="22"/>
          <w:lang w:val="en-GB"/>
        </w:rPr>
        <w:t xml:space="preserve">, C-306/05, the Court of Justice of the European Union (CJEU) has been asked to clarify the appropriate construction of the right of communication to the public under Article 3(1) of Directive 2001/29 (InfoSoc Directive) in multiple occasions. When the opportunity first arose – in </w:t>
      </w:r>
      <w:r w:rsidRPr="00F7201B">
        <w:rPr>
          <w:rFonts w:ascii="Garamond" w:hAnsi="Garamond"/>
          <w:i/>
          <w:sz w:val="22"/>
          <w:szCs w:val="22"/>
          <w:lang w:val="en-GB"/>
        </w:rPr>
        <w:t>Svensson</w:t>
      </w:r>
      <w:r w:rsidR="00141FD6">
        <w:rPr>
          <w:rFonts w:ascii="Garamond" w:hAnsi="Garamond"/>
          <w:i/>
          <w:sz w:val="22"/>
          <w:szCs w:val="22"/>
          <w:lang w:val="en-GB"/>
        </w:rPr>
        <w:t xml:space="preserve"> and Others</w:t>
      </w:r>
      <w:r w:rsidRPr="00F7201B">
        <w:rPr>
          <w:rFonts w:ascii="Garamond" w:hAnsi="Garamond"/>
          <w:sz w:val="22"/>
          <w:szCs w:val="22"/>
          <w:lang w:val="en-GB"/>
        </w:rPr>
        <w:t>, C-466/12 – to tackle the relationship between linking to protected content and Article 3(1) of the InfoSoc Dir</w:t>
      </w:r>
      <w:r w:rsidR="00141FD6">
        <w:rPr>
          <w:rFonts w:ascii="Garamond" w:hAnsi="Garamond"/>
          <w:sz w:val="22"/>
          <w:szCs w:val="22"/>
          <w:lang w:val="en-GB"/>
        </w:rPr>
        <w:t xml:space="preserve">ective, the resulting judgment </w:t>
      </w:r>
      <w:r w:rsidRPr="00F7201B">
        <w:rPr>
          <w:rFonts w:ascii="Garamond" w:hAnsi="Garamond"/>
          <w:sz w:val="22"/>
          <w:szCs w:val="22"/>
          <w:lang w:val="en-GB"/>
        </w:rPr>
        <w:t xml:space="preserve">proved unsatisfactory. In particular, what remained uncertain was the treatment of linking to </w:t>
      </w:r>
      <w:r w:rsidRPr="005964F1">
        <w:rPr>
          <w:rFonts w:ascii="Garamond" w:hAnsi="Garamond"/>
          <w:i/>
          <w:sz w:val="22"/>
          <w:szCs w:val="22"/>
          <w:lang w:val="en-GB"/>
        </w:rPr>
        <w:t>unlicensed</w:t>
      </w:r>
      <w:r w:rsidRPr="00F7201B">
        <w:rPr>
          <w:rFonts w:ascii="Garamond" w:hAnsi="Garamond"/>
          <w:sz w:val="22"/>
          <w:szCs w:val="22"/>
          <w:lang w:val="en-GB"/>
        </w:rPr>
        <w:t xml:space="preserve"> content. </w:t>
      </w:r>
      <w:r w:rsidR="00141FD6">
        <w:rPr>
          <w:rFonts w:ascii="Garamond" w:hAnsi="Garamond"/>
          <w:sz w:val="22"/>
          <w:szCs w:val="22"/>
          <w:lang w:val="en-GB"/>
        </w:rPr>
        <w:t>In</w:t>
      </w:r>
      <w:r w:rsidRPr="00F7201B">
        <w:rPr>
          <w:rFonts w:ascii="Garamond" w:hAnsi="Garamond"/>
          <w:sz w:val="22"/>
          <w:szCs w:val="22"/>
          <w:lang w:val="en-GB"/>
        </w:rPr>
        <w:t xml:space="preserve"> </w:t>
      </w:r>
      <w:r w:rsidRPr="00141FD6">
        <w:rPr>
          <w:rFonts w:ascii="Garamond" w:hAnsi="Garamond"/>
          <w:i/>
          <w:sz w:val="22"/>
          <w:szCs w:val="22"/>
          <w:lang w:val="en-GB"/>
        </w:rPr>
        <w:t>GS Media</w:t>
      </w:r>
      <w:r w:rsidR="00141FD6">
        <w:rPr>
          <w:rFonts w:ascii="Garamond" w:hAnsi="Garamond"/>
          <w:sz w:val="22"/>
          <w:szCs w:val="22"/>
          <w:lang w:val="en-GB"/>
        </w:rPr>
        <w:t>, C-160/15 the Court finally</w:t>
      </w:r>
      <w:r w:rsidRPr="00F7201B">
        <w:rPr>
          <w:rFonts w:ascii="Garamond" w:hAnsi="Garamond"/>
          <w:sz w:val="22"/>
          <w:szCs w:val="22"/>
          <w:lang w:val="en-GB"/>
        </w:rPr>
        <w:t xml:space="preserve"> address</w:t>
      </w:r>
      <w:r w:rsidR="00141FD6">
        <w:rPr>
          <w:rFonts w:ascii="Garamond" w:hAnsi="Garamond"/>
          <w:sz w:val="22"/>
          <w:szCs w:val="22"/>
          <w:lang w:val="en-GB"/>
        </w:rPr>
        <w:t>ed this scenario. Although this</w:t>
      </w:r>
      <w:r w:rsidRPr="00F7201B">
        <w:rPr>
          <w:rFonts w:ascii="Garamond" w:hAnsi="Garamond"/>
          <w:sz w:val="22"/>
          <w:szCs w:val="22"/>
          <w:lang w:val="en-GB"/>
        </w:rPr>
        <w:t xml:space="preserve"> </w:t>
      </w:r>
      <w:r w:rsidR="00141FD6">
        <w:rPr>
          <w:rFonts w:ascii="Garamond" w:hAnsi="Garamond"/>
          <w:sz w:val="22"/>
          <w:szCs w:val="22"/>
          <w:lang w:val="en-GB"/>
        </w:rPr>
        <w:t>judgment</w:t>
      </w:r>
      <w:r w:rsidRPr="00F7201B">
        <w:rPr>
          <w:rFonts w:ascii="Garamond" w:hAnsi="Garamond"/>
          <w:sz w:val="22"/>
          <w:szCs w:val="22"/>
          <w:lang w:val="en-GB"/>
        </w:rPr>
        <w:t xml:space="preserve"> was arguably more articulated </w:t>
      </w:r>
      <w:r w:rsidR="00141FD6">
        <w:rPr>
          <w:rFonts w:ascii="Garamond" w:hAnsi="Garamond"/>
          <w:sz w:val="22"/>
          <w:szCs w:val="22"/>
          <w:lang w:val="en-GB"/>
        </w:rPr>
        <w:t xml:space="preserve">than the one in </w:t>
      </w:r>
      <w:r w:rsidR="00141FD6" w:rsidRPr="00141FD6">
        <w:rPr>
          <w:rFonts w:ascii="Garamond" w:hAnsi="Garamond"/>
          <w:i/>
          <w:sz w:val="22"/>
          <w:szCs w:val="22"/>
          <w:lang w:val="en-GB"/>
        </w:rPr>
        <w:t>Svensson and Others</w:t>
      </w:r>
      <w:r w:rsidR="00141FD6">
        <w:rPr>
          <w:rFonts w:ascii="Garamond" w:hAnsi="Garamond"/>
          <w:sz w:val="22"/>
          <w:szCs w:val="22"/>
          <w:lang w:val="en-GB"/>
        </w:rPr>
        <w:t>, C-566/12, it was not</w:t>
      </w:r>
      <w:r w:rsidRPr="00F7201B">
        <w:rPr>
          <w:rFonts w:ascii="Garamond" w:hAnsi="Garamond"/>
          <w:sz w:val="22"/>
          <w:szCs w:val="22"/>
          <w:lang w:val="en-GB"/>
        </w:rPr>
        <w:t xml:space="preserve"> less ambiguous. The first national decisions issued in the aftermath of the</w:t>
      </w:r>
      <w:r w:rsidR="00141FD6">
        <w:rPr>
          <w:rFonts w:ascii="Garamond" w:hAnsi="Garamond"/>
          <w:sz w:val="22"/>
          <w:szCs w:val="22"/>
          <w:lang w:val="en-GB"/>
        </w:rPr>
        <w:t xml:space="preserve"> ruling in </w:t>
      </w:r>
      <w:r w:rsidR="00141FD6" w:rsidRPr="00141FD6">
        <w:rPr>
          <w:rFonts w:ascii="Garamond" w:hAnsi="Garamond"/>
          <w:i/>
          <w:sz w:val="22"/>
          <w:szCs w:val="22"/>
          <w:lang w:val="en-GB"/>
        </w:rPr>
        <w:t>GS Media</w:t>
      </w:r>
      <w:r w:rsidR="00141FD6">
        <w:rPr>
          <w:rFonts w:ascii="Garamond" w:hAnsi="Garamond"/>
          <w:sz w:val="22"/>
          <w:szCs w:val="22"/>
          <w:lang w:val="en-GB"/>
        </w:rPr>
        <w:t xml:space="preserve">, C-160/15 </w:t>
      </w:r>
      <w:r w:rsidRPr="00F7201B">
        <w:rPr>
          <w:rFonts w:ascii="Garamond" w:hAnsi="Garamond"/>
          <w:sz w:val="22"/>
          <w:szCs w:val="22"/>
          <w:lang w:val="en-GB"/>
        </w:rPr>
        <w:t xml:space="preserve">are a demonstration of all this: </w:t>
      </w:r>
      <w:r w:rsidRPr="00F7201B">
        <w:rPr>
          <w:rFonts w:ascii="Garamond" w:hAnsi="Garamond" w:cs="Times New Roman"/>
          <w:bCs/>
          <w:color w:val="000000" w:themeColor="text1"/>
          <w:sz w:val="22"/>
          <w:szCs w:val="22"/>
          <w:bdr w:val="none" w:sz="0" w:space="0" w:color="auto" w:frame="1"/>
          <w:lang w:val="en-GB"/>
        </w:rPr>
        <w:t xml:space="preserve">national applications show diverging approaches to the interpretation of relevant CJEU case law or resistance </w:t>
      </w:r>
      <w:r w:rsidRPr="00F7201B">
        <w:rPr>
          <w:rFonts w:ascii="Garamond" w:hAnsi="Garamond" w:cs="Times New Roman"/>
          <w:bCs/>
          <w:i/>
          <w:color w:val="000000" w:themeColor="text1"/>
          <w:sz w:val="22"/>
          <w:szCs w:val="22"/>
          <w:bdr w:val="none" w:sz="0" w:space="0" w:color="auto" w:frame="1"/>
          <w:lang w:val="en-GB"/>
        </w:rPr>
        <w:t>tout court</w:t>
      </w:r>
      <w:r w:rsidRPr="00F7201B">
        <w:rPr>
          <w:rFonts w:ascii="Garamond" w:hAnsi="Garamond" w:cs="Times New Roman"/>
          <w:bCs/>
          <w:color w:val="000000" w:themeColor="text1"/>
          <w:sz w:val="22"/>
          <w:szCs w:val="22"/>
          <w:bdr w:val="none" w:sz="0" w:space="0" w:color="auto" w:frame="1"/>
          <w:lang w:val="en-GB"/>
        </w:rPr>
        <w:t>.</w:t>
      </w:r>
    </w:p>
    <w:p w14:paraId="300DCC94" w14:textId="77777777" w:rsidR="00EB0721" w:rsidRDefault="00EB0721" w:rsidP="004F24CD">
      <w:pPr>
        <w:spacing w:line="360" w:lineRule="auto"/>
        <w:jc w:val="both"/>
        <w:rPr>
          <w:rFonts w:ascii="Garamond" w:hAnsi="Garamond" w:cs="Times New Roman"/>
          <w:bCs/>
          <w:color w:val="000000" w:themeColor="text1"/>
          <w:sz w:val="22"/>
          <w:szCs w:val="22"/>
          <w:bdr w:val="none" w:sz="0" w:space="0" w:color="auto" w:frame="1"/>
          <w:lang w:val="en-GB"/>
        </w:rPr>
      </w:pPr>
    </w:p>
    <w:p w14:paraId="550B5AA8" w14:textId="77777777" w:rsidR="0092083F" w:rsidRPr="00F7201B" w:rsidRDefault="0092083F" w:rsidP="004F24CD">
      <w:pPr>
        <w:spacing w:line="360" w:lineRule="auto"/>
        <w:jc w:val="both"/>
        <w:rPr>
          <w:rFonts w:ascii="Garamond" w:hAnsi="Garamond" w:cs="Times New Roman"/>
          <w:bCs/>
          <w:color w:val="000000" w:themeColor="text1"/>
          <w:sz w:val="22"/>
          <w:szCs w:val="22"/>
          <w:bdr w:val="none" w:sz="0" w:space="0" w:color="auto" w:frame="1"/>
          <w:lang w:val="en-GB"/>
        </w:rPr>
      </w:pPr>
    </w:p>
    <w:p w14:paraId="2B084194" w14:textId="51658F74" w:rsidR="00B515C6" w:rsidRPr="00B515C6" w:rsidRDefault="00EB0721">
      <w:pPr>
        <w:pStyle w:val="TOC1"/>
        <w:tabs>
          <w:tab w:val="right" w:leader="dot" w:pos="9622"/>
        </w:tabs>
        <w:rPr>
          <w:rFonts w:ascii="Garamond" w:hAnsi="Garamond"/>
          <w:noProof/>
          <w:sz w:val="22"/>
          <w:szCs w:val="22"/>
          <w:lang w:val="it-IT" w:eastAsia="ja-JP"/>
        </w:rPr>
      </w:pPr>
      <w:r w:rsidRPr="00B515C6">
        <w:rPr>
          <w:rFonts w:ascii="Garamond" w:hAnsi="Garamond" w:cs="Times New Roman"/>
          <w:bCs/>
          <w:color w:val="000000" w:themeColor="text1"/>
          <w:sz w:val="22"/>
          <w:szCs w:val="22"/>
          <w:bdr w:val="none" w:sz="0" w:space="0" w:color="auto" w:frame="1"/>
          <w:lang w:val="en-GB"/>
        </w:rPr>
        <w:fldChar w:fldCharType="begin"/>
      </w:r>
      <w:r w:rsidRPr="00B515C6">
        <w:rPr>
          <w:rFonts w:ascii="Garamond" w:hAnsi="Garamond" w:cs="Times New Roman"/>
          <w:bCs/>
          <w:color w:val="000000" w:themeColor="text1"/>
          <w:sz w:val="22"/>
          <w:szCs w:val="22"/>
          <w:bdr w:val="none" w:sz="0" w:space="0" w:color="auto" w:frame="1"/>
          <w:lang w:val="en-GB"/>
        </w:rPr>
        <w:instrText xml:space="preserve"> TOC \o "1-3" </w:instrText>
      </w:r>
      <w:r w:rsidRPr="00B515C6">
        <w:rPr>
          <w:rFonts w:ascii="Garamond" w:hAnsi="Garamond" w:cs="Times New Roman"/>
          <w:bCs/>
          <w:color w:val="000000" w:themeColor="text1"/>
          <w:sz w:val="22"/>
          <w:szCs w:val="22"/>
          <w:bdr w:val="none" w:sz="0" w:space="0" w:color="auto" w:frame="1"/>
          <w:lang w:val="en-GB"/>
        </w:rPr>
        <w:fldChar w:fldCharType="separate"/>
      </w:r>
    </w:p>
    <w:p w14:paraId="76C89B16" w14:textId="77777777" w:rsidR="00B515C6" w:rsidRPr="00B515C6" w:rsidRDefault="00B515C6">
      <w:pPr>
        <w:pStyle w:val="TOC1"/>
        <w:tabs>
          <w:tab w:val="left" w:pos="422"/>
          <w:tab w:val="right" w:leader="dot" w:pos="9622"/>
        </w:tabs>
        <w:rPr>
          <w:rFonts w:ascii="Garamond" w:hAnsi="Garamond"/>
          <w:noProof/>
          <w:sz w:val="22"/>
          <w:szCs w:val="22"/>
          <w:lang w:val="it-IT" w:eastAsia="ja-JP"/>
        </w:rPr>
      </w:pPr>
      <w:r w:rsidRPr="00B515C6">
        <w:rPr>
          <w:rFonts w:ascii="Garamond" w:hAnsi="Garamond"/>
          <w:noProof/>
          <w:sz w:val="22"/>
          <w:szCs w:val="22"/>
        </w:rPr>
        <w:t>1.</w:t>
      </w:r>
      <w:r w:rsidRPr="00B515C6">
        <w:rPr>
          <w:rFonts w:ascii="Garamond" w:hAnsi="Garamond"/>
          <w:noProof/>
          <w:sz w:val="22"/>
          <w:szCs w:val="22"/>
          <w:lang w:val="it-IT" w:eastAsia="ja-JP"/>
        </w:rPr>
        <w:tab/>
      </w:r>
      <w:r w:rsidRPr="00B515C6">
        <w:rPr>
          <w:rFonts w:ascii="Garamond" w:hAnsi="Garamond"/>
          <w:noProof/>
          <w:sz w:val="22"/>
          <w:szCs w:val="22"/>
        </w:rPr>
        <w:t>The right of communication to the public</w:t>
      </w:r>
      <w:r w:rsidRPr="00B515C6">
        <w:rPr>
          <w:rFonts w:ascii="Garamond" w:hAnsi="Garamond"/>
          <w:noProof/>
          <w:sz w:val="22"/>
          <w:szCs w:val="22"/>
        </w:rPr>
        <w:tab/>
      </w:r>
      <w:r w:rsidRPr="00B515C6">
        <w:rPr>
          <w:rFonts w:ascii="Garamond" w:hAnsi="Garamond"/>
          <w:noProof/>
          <w:sz w:val="22"/>
          <w:szCs w:val="22"/>
        </w:rPr>
        <w:fldChar w:fldCharType="begin"/>
      </w:r>
      <w:r w:rsidRPr="00B515C6">
        <w:rPr>
          <w:rFonts w:ascii="Garamond" w:hAnsi="Garamond"/>
          <w:noProof/>
          <w:sz w:val="22"/>
          <w:szCs w:val="22"/>
        </w:rPr>
        <w:instrText xml:space="preserve"> PAGEREF _Toc396298472 \h </w:instrText>
      </w:r>
      <w:r w:rsidRPr="00B515C6">
        <w:rPr>
          <w:rFonts w:ascii="Garamond" w:hAnsi="Garamond"/>
          <w:noProof/>
          <w:sz w:val="22"/>
          <w:szCs w:val="22"/>
        </w:rPr>
      </w:r>
      <w:r w:rsidRPr="00B515C6">
        <w:rPr>
          <w:rFonts w:ascii="Garamond" w:hAnsi="Garamond"/>
          <w:noProof/>
          <w:sz w:val="22"/>
          <w:szCs w:val="22"/>
        </w:rPr>
        <w:fldChar w:fldCharType="separate"/>
      </w:r>
      <w:r w:rsidR="00A87249">
        <w:rPr>
          <w:rFonts w:ascii="Garamond" w:hAnsi="Garamond"/>
          <w:noProof/>
          <w:sz w:val="22"/>
          <w:szCs w:val="22"/>
        </w:rPr>
        <w:t>2</w:t>
      </w:r>
      <w:r w:rsidRPr="00B515C6">
        <w:rPr>
          <w:rFonts w:ascii="Garamond" w:hAnsi="Garamond"/>
          <w:noProof/>
          <w:sz w:val="22"/>
          <w:szCs w:val="22"/>
        </w:rPr>
        <w:fldChar w:fldCharType="end"/>
      </w:r>
    </w:p>
    <w:p w14:paraId="08F29069" w14:textId="77777777" w:rsidR="00B515C6" w:rsidRPr="00B515C6" w:rsidRDefault="00B515C6">
      <w:pPr>
        <w:pStyle w:val="TOC2"/>
        <w:tabs>
          <w:tab w:val="left" w:pos="810"/>
          <w:tab w:val="right" w:leader="dot" w:pos="9622"/>
        </w:tabs>
        <w:rPr>
          <w:rFonts w:ascii="Garamond" w:hAnsi="Garamond"/>
          <w:noProof/>
          <w:sz w:val="22"/>
          <w:szCs w:val="22"/>
          <w:lang w:val="it-IT" w:eastAsia="ja-JP"/>
        </w:rPr>
      </w:pPr>
      <w:r w:rsidRPr="00B515C6">
        <w:rPr>
          <w:rFonts w:ascii="Garamond" w:hAnsi="Garamond"/>
          <w:noProof/>
          <w:sz w:val="22"/>
          <w:szCs w:val="22"/>
        </w:rPr>
        <w:t>1.1.</w:t>
      </w:r>
      <w:r w:rsidRPr="00B515C6">
        <w:rPr>
          <w:rFonts w:ascii="Garamond" w:hAnsi="Garamond"/>
          <w:noProof/>
          <w:sz w:val="22"/>
          <w:szCs w:val="22"/>
          <w:lang w:val="it-IT" w:eastAsia="ja-JP"/>
        </w:rPr>
        <w:tab/>
      </w:r>
      <w:r w:rsidRPr="00B515C6">
        <w:rPr>
          <w:rFonts w:ascii="Garamond" w:hAnsi="Garamond"/>
          <w:noProof/>
          <w:sz w:val="22"/>
          <w:szCs w:val="22"/>
        </w:rPr>
        <w:t>Requirements and criteria under Article 3(1) of the InfoSoc Directive</w:t>
      </w:r>
      <w:r w:rsidRPr="00B515C6">
        <w:rPr>
          <w:rFonts w:ascii="Garamond" w:hAnsi="Garamond"/>
          <w:noProof/>
          <w:sz w:val="22"/>
          <w:szCs w:val="22"/>
        </w:rPr>
        <w:tab/>
      </w:r>
      <w:r w:rsidRPr="00B515C6">
        <w:rPr>
          <w:rFonts w:ascii="Garamond" w:hAnsi="Garamond"/>
          <w:noProof/>
          <w:sz w:val="22"/>
          <w:szCs w:val="22"/>
        </w:rPr>
        <w:fldChar w:fldCharType="begin"/>
      </w:r>
      <w:r w:rsidRPr="00B515C6">
        <w:rPr>
          <w:rFonts w:ascii="Garamond" w:hAnsi="Garamond"/>
          <w:noProof/>
          <w:sz w:val="22"/>
          <w:szCs w:val="22"/>
        </w:rPr>
        <w:instrText xml:space="preserve"> PAGEREF _Toc396298473 \h </w:instrText>
      </w:r>
      <w:r w:rsidRPr="00B515C6">
        <w:rPr>
          <w:rFonts w:ascii="Garamond" w:hAnsi="Garamond"/>
          <w:noProof/>
          <w:sz w:val="22"/>
          <w:szCs w:val="22"/>
        </w:rPr>
      </w:r>
      <w:r w:rsidRPr="00B515C6">
        <w:rPr>
          <w:rFonts w:ascii="Garamond" w:hAnsi="Garamond"/>
          <w:noProof/>
          <w:sz w:val="22"/>
          <w:szCs w:val="22"/>
        </w:rPr>
        <w:fldChar w:fldCharType="separate"/>
      </w:r>
      <w:r w:rsidR="00A87249">
        <w:rPr>
          <w:rFonts w:ascii="Garamond" w:hAnsi="Garamond"/>
          <w:noProof/>
          <w:sz w:val="22"/>
          <w:szCs w:val="22"/>
        </w:rPr>
        <w:t>3</w:t>
      </w:r>
      <w:r w:rsidRPr="00B515C6">
        <w:rPr>
          <w:rFonts w:ascii="Garamond" w:hAnsi="Garamond"/>
          <w:noProof/>
          <w:sz w:val="22"/>
          <w:szCs w:val="22"/>
        </w:rPr>
        <w:fldChar w:fldCharType="end"/>
      </w:r>
    </w:p>
    <w:p w14:paraId="5C9AB188" w14:textId="77777777" w:rsidR="00B515C6" w:rsidRPr="00B515C6" w:rsidRDefault="00B515C6">
      <w:pPr>
        <w:pStyle w:val="TOC1"/>
        <w:tabs>
          <w:tab w:val="left" w:pos="422"/>
          <w:tab w:val="right" w:leader="dot" w:pos="9622"/>
        </w:tabs>
        <w:rPr>
          <w:rFonts w:ascii="Garamond" w:hAnsi="Garamond"/>
          <w:noProof/>
          <w:sz w:val="22"/>
          <w:szCs w:val="22"/>
          <w:lang w:val="it-IT" w:eastAsia="ja-JP"/>
        </w:rPr>
      </w:pPr>
      <w:r w:rsidRPr="00B515C6">
        <w:rPr>
          <w:rFonts w:ascii="Garamond" w:hAnsi="Garamond"/>
          <w:noProof/>
          <w:sz w:val="22"/>
          <w:szCs w:val="22"/>
        </w:rPr>
        <w:t>2.</w:t>
      </w:r>
      <w:r w:rsidRPr="00B515C6">
        <w:rPr>
          <w:rFonts w:ascii="Garamond" w:hAnsi="Garamond"/>
          <w:noProof/>
          <w:sz w:val="22"/>
          <w:szCs w:val="22"/>
          <w:lang w:val="it-IT" w:eastAsia="ja-JP"/>
        </w:rPr>
        <w:tab/>
      </w:r>
      <w:r w:rsidRPr="00B515C6">
        <w:rPr>
          <w:rFonts w:ascii="Garamond" w:hAnsi="Garamond"/>
          <w:noProof/>
          <w:sz w:val="22"/>
          <w:szCs w:val="22"/>
        </w:rPr>
        <w:t>Communication to the public and linking</w:t>
      </w:r>
      <w:r w:rsidRPr="00B515C6">
        <w:rPr>
          <w:rFonts w:ascii="Garamond" w:hAnsi="Garamond"/>
          <w:noProof/>
          <w:sz w:val="22"/>
          <w:szCs w:val="22"/>
        </w:rPr>
        <w:tab/>
      </w:r>
      <w:r w:rsidRPr="00B515C6">
        <w:rPr>
          <w:rFonts w:ascii="Garamond" w:hAnsi="Garamond"/>
          <w:noProof/>
          <w:sz w:val="22"/>
          <w:szCs w:val="22"/>
        </w:rPr>
        <w:fldChar w:fldCharType="begin"/>
      </w:r>
      <w:r w:rsidRPr="00B515C6">
        <w:rPr>
          <w:rFonts w:ascii="Garamond" w:hAnsi="Garamond"/>
          <w:noProof/>
          <w:sz w:val="22"/>
          <w:szCs w:val="22"/>
        </w:rPr>
        <w:instrText xml:space="preserve"> PAGEREF _Toc396298474 \h </w:instrText>
      </w:r>
      <w:r w:rsidRPr="00B515C6">
        <w:rPr>
          <w:rFonts w:ascii="Garamond" w:hAnsi="Garamond"/>
          <w:noProof/>
          <w:sz w:val="22"/>
          <w:szCs w:val="22"/>
        </w:rPr>
      </w:r>
      <w:r w:rsidRPr="00B515C6">
        <w:rPr>
          <w:rFonts w:ascii="Garamond" w:hAnsi="Garamond"/>
          <w:noProof/>
          <w:sz w:val="22"/>
          <w:szCs w:val="22"/>
        </w:rPr>
        <w:fldChar w:fldCharType="separate"/>
      </w:r>
      <w:r w:rsidR="00A87249">
        <w:rPr>
          <w:rFonts w:ascii="Garamond" w:hAnsi="Garamond"/>
          <w:noProof/>
          <w:sz w:val="22"/>
          <w:szCs w:val="22"/>
        </w:rPr>
        <w:t>6</w:t>
      </w:r>
      <w:r w:rsidRPr="00B515C6">
        <w:rPr>
          <w:rFonts w:ascii="Garamond" w:hAnsi="Garamond"/>
          <w:noProof/>
          <w:sz w:val="22"/>
          <w:szCs w:val="22"/>
        </w:rPr>
        <w:fldChar w:fldCharType="end"/>
      </w:r>
    </w:p>
    <w:p w14:paraId="3599A0BF" w14:textId="77777777" w:rsidR="00B515C6" w:rsidRPr="00B515C6" w:rsidRDefault="00B515C6">
      <w:pPr>
        <w:pStyle w:val="TOC2"/>
        <w:tabs>
          <w:tab w:val="left" w:pos="810"/>
          <w:tab w:val="right" w:leader="dot" w:pos="9622"/>
        </w:tabs>
        <w:rPr>
          <w:rFonts w:ascii="Garamond" w:hAnsi="Garamond"/>
          <w:noProof/>
          <w:sz w:val="22"/>
          <w:szCs w:val="22"/>
          <w:lang w:val="it-IT" w:eastAsia="ja-JP"/>
        </w:rPr>
      </w:pPr>
      <w:r w:rsidRPr="00B515C6">
        <w:rPr>
          <w:rFonts w:ascii="Garamond" w:hAnsi="Garamond"/>
          <w:noProof/>
          <w:sz w:val="22"/>
          <w:szCs w:val="22"/>
          <w:bdr w:val="none" w:sz="0" w:space="0" w:color="auto" w:frame="1"/>
          <w:lang w:val="en-GB"/>
        </w:rPr>
        <w:t>2.1.</w:t>
      </w:r>
      <w:r w:rsidRPr="00B515C6">
        <w:rPr>
          <w:rFonts w:ascii="Garamond" w:hAnsi="Garamond"/>
          <w:noProof/>
          <w:sz w:val="22"/>
          <w:szCs w:val="22"/>
          <w:lang w:val="it-IT" w:eastAsia="ja-JP"/>
        </w:rPr>
        <w:tab/>
      </w:r>
      <w:r w:rsidRPr="00B515C6">
        <w:rPr>
          <w:rFonts w:ascii="Garamond" w:hAnsi="Garamond"/>
          <w:i/>
          <w:noProof/>
          <w:sz w:val="22"/>
          <w:szCs w:val="22"/>
          <w:bdr w:val="none" w:sz="0" w:space="0" w:color="auto" w:frame="1"/>
          <w:lang w:val="en-GB"/>
        </w:rPr>
        <w:t>Svensson and Others</w:t>
      </w:r>
      <w:r w:rsidRPr="00B515C6">
        <w:rPr>
          <w:rFonts w:ascii="Garamond" w:hAnsi="Garamond"/>
          <w:noProof/>
          <w:sz w:val="22"/>
          <w:szCs w:val="22"/>
          <w:bdr w:val="none" w:sz="0" w:space="0" w:color="auto" w:frame="1"/>
          <w:lang w:val="en-GB"/>
        </w:rPr>
        <w:t>, C-466/12</w:t>
      </w:r>
      <w:r w:rsidRPr="00B515C6">
        <w:rPr>
          <w:rFonts w:ascii="Garamond" w:hAnsi="Garamond"/>
          <w:noProof/>
          <w:sz w:val="22"/>
          <w:szCs w:val="22"/>
        </w:rPr>
        <w:tab/>
      </w:r>
      <w:r w:rsidRPr="00B515C6">
        <w:rPr>
          <w:rFonts w:ascii="Garamond" w:hAnsi="Garamond"/>
          <w:noProof/>
          <w:sz w:val="22"/>
          <w:szCs w:val="22"/>
        </w:rPr>
        <w:fldChar w:fldCharType="begin"/>
      </w:r>
      <w:r w:rsidRPr="00B515C6">
        <w:rPr>
          <w:rFonts w:ascii="Garamond" w:hAnsi="Garamond"/>
          <w:noProof/>
          <w:sz w:val="22"/>
          <w:szCs w:val="22"/>
        </w:rPr>
        <w:instrText xml:space="preserve"> PAGEREF _Toc396298475 \h </w:instrText>
      </w:r>
      <w:r w:rsidRPr="00B515C6">
        <w:rPr>
          <w:rFonts w:ascii="Garamond" w:hAnsi="Garamond"/>
          <w:noProof/>
          <w:sz w:val="22"/>
          <w:szCs w:val="22"/>
        </w:rPr>
      </w:r>
      <w:r w:rsidRPr="00B515C6">
        <w:rPr>
          <w:rFonts w:ascii="Garamond" w:hAnsi="Garamond"/>
          <w:noProof/>
          <w:sz w:val="22"/>
          <w:szCs w:val="22"/>
        </w:rPr>
        <w:fldChar w:fldCharType="separate"/>
      </w:r>
      <w:r w:rsidR="00A87249">
        <w:rPr>
          <w:rFonts w:ascii="Garamond" w:hAnsi="Garamond"/>
          <w:noProof/>
          <w:sz w:val="22"/>
          <w:szCs w:val="22"/>
        </w:rPr>
        <w:t>6</w:t>
      </w:r>
      <w:r w:rsidRPr="00B515C6">
        <w:rPr>
          <w:rFonts w:ascii="Garamond" w:hAnsi="Garamond"/>
          <w:noProof/>
          <w:sz w:val="22"/>
          <w:szCs w:val="22"/>
        </w:rPr>
        <w:fldChar w:fldCharType="end"/>
      </w:r>
    </w:p>
    <w:p w14:paraId="61B8A044" w14:textId="77777777" w:rsidR="00B515C6" w:rsidRPr="00B515C6" w:rsidRDefault="00B515C6">
      <w:pPr>
        <w:pStyle w:val="TOC2"/>
        <w:tabs>
          <w:tab w:val="left" w:pos="810"/>
          <w:tab w:val="right" w:leader="dot" w:pos="9622"/>
        </w:tabs>
        <w:rPr>
          <w:rFonts w:ascii="Garamond" w:hAnsi="Garamond"/>
          <w:noProof/>
          <w:sz w:val="22"/>
          <w:szCs w:val="22"/>
          <w:lang w:val="it-IT" w:eastAsia="ja-JP"/>
        </w:rPr>
      </w:pPr>
      <w:r w:rsidRPr="00B515C6">
        <w:rPr>
          <w:rFonts w:ascii="Garamond" w:hAnsi="Garamond"/>
          <w:noProof/>
          <w:sz w:val="22"/>
          <w:szCs w:val="22"/>
          <w:bdr w:val="none" w:sz="0" w:space="0" w:color="auto" w:frame="1"/>
          <w:lang w:val="en-GB"/>
        </w:rPr>
        <w:t>2.2.</w:t>
      </w:r>
      <w:r w:rsidRPr="00B515C6">
        <w:rPr>
          <w:rFonts w:ascii="Garamond" w:hAnsi="Garamond"/>
          <w:noProof/>
          <w:sz w:val="22"/>
          <w:szCs w:val="22"/>
          <w:lang w:val="it-IT" w:eastAsia="ja-JP"/>
        </w:rPr>
        <w:tab/>
      </w:r>
      <w:r w:rsidRPr="00B515C6">
        <w:rPr>
          <w:rFonts w:ascii="Garamond" w:hAnsi="Garamond"/>
          <w:i/>
          <w:noProof/>
          <w:sz w:val="22"/>
          <w:szCs w:val="22"/>
          <w:bdr w:val="none" w:sz="0" w:space="0" w:color="auto" w:frame="1"/>
          <w:lang w:val="en-GB"/>
        </w:rPr>
        <w:t>BestWater</w:t>
      </w:r>
      <w:r w:rsidRPr="00B515C6">
        <w:rPr>
          <w:rFonts w:ascii="Garamond" w:hAnsi="Garamond"/>
          <w:noProof/>
          <w:sz w:val="22"/>
          <w:szCs w:val="22"/>
          <w:bdr w:val="none" w:sz="0" w:space="0" w:color="auto" w:frame="1"/>
          <w:lang w:val="en-GB"/>
        </w:rPr>
        <w:t>, C-348/13</w:t>
      </w:r>
      <w:r w:rsidRPr="00B515C6">
        <w:rPr>
          <w:rFonts w:ascii="Garamond" w:hAnsi="Garamond"/>
          <w:noProof/>
          <w:sz w:val="22"/>
          <w:szCs w:val="22"/>
        </w:rPr>
        <w:tab/>
      </w:r>
      <w:r w:rsidRPr="00B515C6">
        <w:rPr>
          <w:rFonts w:ascii="Garamond" w:hAnsi="Garamond"/>
          <w:noProof/>
          <w:sz w:val="22"/>
          <w:szCs w:val="22"/>
        </w:rPr>
        <w:fldChar w:fldCharType="begin"/>
      </w:r>
      <w:r w:rsidRPr="00B515C6">
        <w:rPr>
          <w:rFonts w:ascii="Garamond" w:hAnsi="Garamond"/>
          <w:noProof/>
          <w:sz w:val="22"/>
          <w:szCs w:val="22"/>
        </w:rPr>
        <w:instrText xml:space="preserve"> PAGEREF _Toc396298476 \h </w:instrText>
      </w:r>
      <w:r w:rsidRPr="00B515C6">
        <w:rPr>
          <w:rFonts w:ascii="Garamond" w:hAnsi="Garamond"/>
          <w:noProof/>
          <w:sz w:val="22"/>
          <w:szCs w:val="22"/>
        </w:rPr>
      </w:r>
      <w:r w:rsidRPr="00B515C6">
        <w:rPr>
          <w:rFonts w:ascii="Garamond" w:hAnsi="Garamond"/>
          <w:noProof/>
          <w:sz w:val="22"/>
          <w:szCs w:val="22"/>
        </w:rPr>
        <w:fldChar w:fldCharType="separate"/>
      </w:r>
      <w:r w:rsidR="00A87249">
        <w:rPr>
          <w:rFonts w:ascii="Garamond" w:hAnsi="Garamond"/>
          <w:noProof/>
          <w:sz w:val="22"/>
          <w:szCs w:val="22"/>
        </w:rPr>
        <w:t>8</w:t>
      </w:r>
      <w:r w:rsidRPr="00B515C6">
        <w:rPr>
          <w:rFonts w:ascii="Garamond" w:hAnsi="Garamond"/>
          <w:noProof/>
          <w:sz w:val="22"/>
          <w:szCs w:val="22"/>
        </w:rPr>
        <w:fldChar w:fldCharType="end"/>
      </w:r>
    </w:p>
    <w:p w14:paraId="02E94B97" w14:textId="77777777" w:rsidR="00B515C6" w:rsidRPr="00B515C6" w:rsidRDefault="00B515C6">
      <w:pPr>
        <w:pStyle w:val="TOC2"/>
        <w:tabs>
          <w:tab w:val="left" w:pos="810"/>
          <w:tab w:val="right" w:leader="dot" w:pos="9622"/>
        </w:tabs>
        <w:rPr>
          <w:rFonts w:ascii="Garamond" w:hAnsi="Garamond"/>
          <w:noProof/>
          <w:sz w:val="22"/>
          <w:szCs w:val="22"/>
          <w:lang w:val="it-IT" w:eastAsia="ja-JP"/>
        </w:rPr>
      </w:pPr>
      <w:r w:rsidRPr="00B515C6">
        <w:rPr>
          <w:rFonts w:ascii="Garamond" w:hAnsi="Garamond"/>
          <w:noProof/>
          <w:sz w:val="22"/>
          <w:szCs w:val="22"/>
          <w:bdr w:val="none" w:sz="0" w:space="0" w:color="auto" w:frame="1"/>
          <w:lang w:val="en-GB"/>
        </w:rPr>
        <w:t>2.3.</w:t>
      </w:r>
      <w:r w:rsidRPr="00B515C6">
        <w:rPr>
          <w:rFonts w:ascii="Garamond" w:hAnsi="Garamond"/>
          <w:noProof/>
          <w:sz w:val="22"/>
          <w:szCs w:val="22"/>
          <w:lang w:val="it-IT" w:eastAsia="ja-JP"/>
        </w:rPr>
        <w:tab/>
      </w:r>
      <w:r w:rsidRPr="00B515C6">
        <w:rPr>
          <w:rFonts w:ascii="Garamond" w:hAnsi="Garamond"/>
          <w:i/>
          <w:noProof/>
          <w:sz w:val="22"/>
          <w:szCs w:val="22"/>
          <w:bdr w:val="none" w:sz="0" w:space="0" w:color="auto" w:frame="1"/>
          <w:lang w:val="en-GB"/>
        </w:rPr>
        <w:t>GS Media</w:t>
      </w:r>
      <w:r w:rsidRPr="00B515C6">
        <w:rPr>
          <w:rFonts w:ascii="Garamond" w:hAnsi="Garamond"/>
          <w:noProof/>
          <w:sz w:val="22"/>
          <w:szCs w:val="22"/>
          <w:bdr w:val="none" w:sz="0" w:space="0" w:color="auto" w:frame="1"/>
          <w:lang w:val="en-GB"/>
        </w:rPr>
        <w:t>, C-160/15</w:t>
      </w:r>
      <w:r w:rsidRPr="00B515C6">
        <w:rPr>
          <w:rFonts w:ascii="Garamond" w:hAnsi="Garamond"/>
          <w:noProof/>
          <w:sz w:val="22"/>
          <w:szCs w:val="22"/>
        </w:rPr>
        <w:tab/>
      </w:r>
      <w:r w:rsidRPr="00B515C6">
        <w:rPr>
          <w:rFonts w:ascii="Garamond" w:hAnsi="Garamond"/>
          <w:noProof/>
          <w:sz w:val="22"/>
          <w:szCs w:val="22"/>
        </w:rPr>
        <w:fldChar w:fldCharType="begin"/>
      </w:r>
      <w:r w:rsidRPr="00B515C6">
        <w:rPr>
          <w:rFonts w:ascii="Garamond" w:hAnsi="Garamond"/>
          <w:noProof/>
          <w:sz w:val="22"/>
          <w:szCs w:val="22"/>
        </w:rPr>
        <w:instrText xml:space="preserve"> PAGEREF _Toc396298477 \h </w:instrText>
      </w:r>
      <w:r w:rsidRPr="00B515C6">
        <w:rPr>
          <w:rFonts w:ascii="Garamond" w:hAnsi="Garamond"/>
          <w:noProof/>
          <w:sz w:val="22"/>
          <w:szCs w:val="22"/>
        </w:rPr>
      </w:r>
      <w:r w:rsidRPr="00B515C6">
        <w:rPr>
          <w:rFonts w:ascii="Garamond" w:hAnsi="Garamond"/>
          <w:noProof/>
          <w:sz w:val="22"/>
          <w:szCs w:val="22"/>
        </w:rPr>
        <w:fldChar w:fldCharType="separate"/>
      </w:r>
      <w:r w:rsidR="00A87249">
        <w:rPr>
          <w:rFonts w:ascii="Garamond" w:hAnsi="Garamond"/>
          <w:noProof/>
          <w:sz w:val="22"/>
          <w:szCs w:val="22"/>
        </w:rPr>
        <w:t>9</w:t>
      </w:r>
      <w:r w:rsidRPr="00B515C6">
        <w:rPr>
          <w:rFonts w:ascii="Garamond" w:hAnsi="Garamond"/>
          <w:noProof/>
          <w:sz w:val="22"/>
          <w:szCs w:val="22"/>
        </w:rPr>
        <w:fldChar w:fldCharType="end"/>
      </w:r>
    </w:p>
    <w:p w14:paraId="4B058F23" w14:textId="77777777" w:rsidR="00B515C6" w:rsidRPr="00B515C6" w:rsidRDefault="00B515C6">
      <w:pPr>
        <w:pStyle w:val="TOC1"/>
        <w:tabs>
          <w:tab w:val="left" w:pos="422"/>
          <w:tab w:val="right" w:leader="dot" w:pos="9622"/>
        </w:tabs>
        <w:rPr>
          <w:rFonts w:ascii="Garamond" w:hAnsi="Garamond"/>
          <w:noProof/>
          <w:sz w:val="22"/>
          <w:szCs w:val="22"/>
          <w:lang w:val="it-IT" w:eastAsia="ja-JP"/>
        </w:rPr>
      </w:pPr>
      <w:r w:rsidRPr="00B515C6">
        <w:rPr>
          <w:rFonts w:ascii="Garamond" w:hAnsi="Garamond"/>
          <w:noProof/>
          <w:sz w:val="22"/>
          <w:szCs w:val="22"/>
        </w:rPr>
        <w:t>3.</w:t>
      </w:r>
      <w:r w:rsidRPr="00B515C6">
        <w:rPr>
          <w:rFonts w:ascii="Garamond" w:hAnsi="Garamond"/>
          <w:noProof/>
          <w:sz w:val="22"/>
          <w:szCs w:val="22"/>
          <w:lang w:val="it-IT" w:eastAsia="ja-JP"/>
        </w:rPr>
        <w:tab/>
      </w:r>
      <w:r w:rsidRPr="00B515C6">
        <w:rPr>
          <w:rFonts w:ascii="Garamond" w:hAnsi="Garamond"/>
          <w:noProof/>
          <w:sz w:val="22"/>
          <w:szCs w:val="22"/>
        </w:rPr>
        <w:t xml:space="preserve">Linking after </w:t>
      </w:r>
      <w:r w:rsidRPr="00B515C6">
        <w:rPr>
          <w:rFonts w:ascii="Garamond" w:hAnsi="Garamond"/>
          <w:i/>
          <w:noProof/>
          <w:sz w:val="22"/>
          <w:szCs w:val="22"/>
        </w:rPr>
        <w:t>GS Media</w:t>
      </w:r>
      <w:r w:rsidRPr="00B515C6">
        <w:rPr>
          <w:rFonts w:ascii="Garamond" w:hAnsi="Garamond"/>
          <w:noProof/>
          <w:sz w:val="22"/>
          <w:szCs w:val="22"/>
        </w:rPr>
        <w:t>, C-160/15 before national courts</w:t>
      </w:r>
      <w:r w:rsidRPr="00B515C6">
        <w:rPr>
          <w:rFonts w:ascii="Garamond" w:hAnsi="Garamond"/>
          <w:noProof/>
          <w:sz w:val="22"/>
          <w:szCs w:val="22"/>
        </w:rPr>
        <w:tab/>
      </w:r>
      <w:r w:rsidRPr="00B515C6">
        <w:rPr>
          <w:rFonts w:ascii="Garamond" w:hAnsi="Garamond"/>
          <w:noProof/>
          <w:sz w:val="22"/>
          <w:szCs w:val="22"/>
        </w:rPr>
        <w:fldChar w:fldCharType="begin"/>
      </w:r>
      <w:r w:rsidRPr="00B515C6">
        <w:rPr>
          <w:rFonts w:ascii="Garamond" w:hAnsi="Garamond"/>
          <w:noProof/>
          <w:sz w:val="22"/>
          <w:szCs w:val="22"/>
        </w:rPr>
        <w:instrText xml:space="preserve"> PAGEREF _Toc396298478 \h </w:instrText>
      </w:r>
      <w:r w:rsidRPr="00B515C6">
        <w:rPr>
          <w:rFonts w:ascii="Garamond" w:hAnsi="Garamond"/>
          <w:noProof/>
          <w:sz w:val="22"/>
          <w:szCs w:val="22"/>
        </w:rPr>
      </w:r>
      <w:r w:rsidRPr="00B515C6">
        <w:rPr>
          <w:rFonts w:ascii="Garamond" w:hAnsi="Garamond"/>
          <w:noProof/>
          <w:sz w:val="22"/>
          <w:szCs w:val="22"/>
        </w:rPr>
        <w:fldChar w:fldCharType="separate"/>
      </w:r>
      <w:r w:rsidR="00A87249">
        <w:rPr>
          <w:rFonts w:ascii="Garamond" w:hAnsi="Garamond"/>
          <w:noProof/>
          <w:sz w:val="22"/>
          <w:szCs w:val="22"/>
        </w:rPr>
        <w:t>13</w:t>
      </w:r>
      <w:r w:rsidRPr="00B515C6">
        <w:rPr>
          <w:rFonts w:ascii="Garamond" w:hAnsi="Garamond"/>
          <w:noProof/>
          <w:sz w:val="22"/>
          <w:szCs w:val="22"/>
        </w:rPr>
        <w:fldChar w:fldCharType="end"/>
      </w:r>
    </w:p>
    <w:p w14:paraId="2F50FCCC" w14:textId="77777777" w:rsidR="00B515C6" w:rsidRPr="00B515C6" w:rsidRDefault="00B515C6">
      <w:pPr>
        <w:pStyle w:val="TOC2"/>
        <w:tabs>
          <w:tab w:val="left" w:pos="758"/>
          <w:tab w:val="right" w:leader="dot" w:pos="9622"/>
        </w:tabs>
        <w:rPr>
          <w:rFonts w:ascii="Garamond" w:hAnsi="Garamond"/>
          <w:noProof/>
          <w:sz w:val="22"/>
          <w:szCs w:val="22"/>
          <w:lang w:val="it-IT" w:eastAsia="ja-JP"/>
        </w:rPr>
      </w:pPr>
      <w:r w:rsidRPr="00B515C6">
        <w:rPr>
          <w:rFonts w:ascii="Garamond" w:hAnsi="Garamond"/>
          <w:noProof/>
          <w:sz w:val="22"/>
          <w:szCs w:val="22"/>
          <w:bdr w:val="none" w:sz="0" w:space="0" w:color="auto" w:frame="1"/>
          <w:lang w:val="en-GB"/>
        </w:rPr>
        <w:t>3.1</w:t>
      </w:r>
      <w:r w:rsidRPr="00B515C6">
        <w:rPr>
          <w:rFonts w:ascii="Garamond" w:hAnsi="Garamond"/>
          <w:noProof/>
          <w:sz w:val="22"/>
          <w:szCs w:val="22"/>
          <w:lang w:val="it-IT" w:eastAsia="ja-JP"/>
        </w:rPr>
        <w:tab/>
      </w:r>
      <w:r w:rsidRPr="00B515C6">
        <w:rPr>
          <w:rFonts w:ascii="Garamond" w:hAnsi="Garamond"/>
          <w:noProof/>
          <w:sz w:val="22"/>
          <w:szCs w:val="22"/>
          <w:bdr w:val="none" w:sz="0" w:space="0" w:color="auto" w:frame="1"/>
          <w:lang w:val="en-GB"/>
        </w:rPr>
        <w:t>Sweden</w:t>
      </w:r>
      <w:r w:rsidRPr="00B515C6">
        <w:rPr>
          <w:rFonts w:ascii="Garamond" w:hAnsi="Garamond"/>
          <w:noProof/>
          <w:sz w:val="22"/>
          <w:szCs w:val="22"/>
        </w:rPr>
        <w:tab/>
      </w:r>
      <w:r w:rsidRPr="00B515C6">
        <w:rPr>
          <w:rFonts w:ascii="Garamond" w:hAnsi="Garamond"/>
          <w:noProof/>
          <w:sz w:val="22"/>
          <w:szCs w:val="22"/>
        </w:rPr>
        <w:fldChar w:fldCharType="begin"/>
      </w:r>
      <w:r w:rsidRPr="00B515C6">
        <w:rPr>
          <w:rFonts w:ascii="Garamond" w:hAnsi="Garamond"/>
          <w:noProof/>
          <w:sz w:val="22"/>
          <w:szCs w:val="22"/>
        </w:rPr>
        <w:instrText xml:space="preserve"> PAGEREF _Toc396298479 \h </w:instrText>
      </w:r>
      <w:r w:rsidRPr="00B515C6">
        <w:rPr>
          <w:rFonts w:ascii="Garamond" w:hAnsi="Garamond"/>
          <w:noProof/>
          <w:sz w:val="22"/>
          <w:szCs w:val="22"/>
        </w:rPr>
      </w:r>
      <w:r w:rsidRPr="00B515C6">
        <w:rPr>
          <w:rFonts w:ascii="Garamond" w:hAnsi="Garamond"/>
          <w:noProof/>
          <w:sz w:val="22"/>
          <w:szCs w:val="22"/>
        </w:rPr>
        <w:fldChar w:fldCharType="separate"/>
      </w:r>
      <w:r w:rsidR="00A87249">
        <w:rPr>
          <w:rFonts w:ascii="Garamond" w:hAnsi="Garamond"/>
          <w:noProof/>
          <w:sz w:val="22"/>
          <w:szCs w:val="22"/>
        </w:rPr>
        <w:t>13</w:t>
      </w:r>
      <w:r w:rsidRPr="00B515C6">
        <w:rPr>
          <w:rFonts w:ascii="Garamond" w:hAnsi="Garamond"/>
          <w:noProof/>
          <w:sz w:val="22"/>
          <w:szCs w:val="22"/>
        </w:rPr>
        <w:fldChar w:fldCharType="end"/>
      </w:r>
    </w:p>
    <w:p w14:paraId="50FEE8BD" w14:textId="77777777" w:rsidR="00B515C6" w:rsidRPr="00B515C6" w:rsidRDefault="00B515C6">
      <w:pPr>
        <w:pStyle w:val="TOC2"/>
        <w:tabs>
          <w:tab w:val="left" w:pos="758"/>
          <w:tab w:val="right" w:leader="dot" w:pos="9622"/>
        </w:tabs>
        <w:rPr>
          <w:rFonts w:ascii="Garamond" w:hAnsi="Garamond"/>
          <w:noProof/>
          <w:sz w:val="22"/>
          <w:szCs w:val="22"/>
          <w:lang w:val="it-IT" w:eastAsia="ja-JP"/>
        </w:rPr>
      </w:pPr>
      <w:r w:rsidRPr="00B515C6">
        <w:rPr>
          <w:rFonts w:ascii="Garamond" w:hAnsi="Garamond"/>
          <w:noProof/>
          <w:sz w:val="22"/>
          <w:szCs w:val="22"/>
          <w:bdr w:val="none" w:sz="0" w:space="0" w:color="auto" w:frame="1"/>
          <w:lang w:val="en-GB"/>
        </w:rPr>
        <w:t>3.2</w:t>
      </w:r>
      <w:r w:rsidRPr="00B515C6">
        <w:rPr>
          <w:rFonts w:ascii="Garamond" w:hAnsi="Garamond"/>
          <w:noProof/>
          <w:sz w:val="22"/>
          <w:szCs w:val="22"/>
          <w:lang w:val="it-IT" w:eastAsia="ja-JP"/>
        </w:rPr>
        <w:tab/>
      </w:r>
      <w:r w:rsidRPr="00B515C6">
        <w:rPr>
          <w:rFonts w:ascii="Garamond" w:hAnsi="Garamond"/>
          <w:noProof/>
          <w:sz w:val="22"/>
          <w:szCs w:val="22"/>
          <w:bdr w:val="none" w:sz="0" w:space="0" w:color="auto" w:frame="1"/>
          <w:lang w:val="en-GB"/>
        </w:rPr>
        <w:t>Germany</w:t>
      </w:r>
      <w:r w:rsidRPr="00B515C6">
        <w:rPr>
          <w:rFonts w:ascii="Garamond" w:hAnsi="Garamond"/>
          <w:noProof/>
          <w:sz w:val="22"/>
          <w:szCs w:val="22"/>
        </w:rPr>
        <w:tab/>
      </w:r>
      <w:r w:rsidRPr="00B515C6">
        <w:rPr>
          <w:rFonts w:ascii="Garamond" w:hAnsi="Garamond"/>
          <w:noProof/>
          <w:sz w:val="22"/>
          <w:szCs w:val="22"/>
        </w:rPr>
        <w:fldChar w:fldCharType="begin"/>
      </w:r>
      <w:r w:rsidRPr="00B515C6">
        <w:rPr>
          <w:rFonts w:ascii="Garamond" w:hAnsi="Garamond"/>
          <w:noProof/>
          <w:sz w:val="22"/>
          <w:szCs w:val="22"/>
        </w:rPr>
        <w:instrText xml:space="preserve"> PAGEREF _Toc396298480 \h </w:instrText>
      </w:r>
      <w:r w:rsidRPr="00B515C6">
        <w:rPr>
          <w:rFonts w:ascii="Garamond" w:hAnsi="Garamond"/>
          <w:noProof/>
          <w:sz w:val="22"/>
          <w:szCs w:val="22"/>
        </w:rPr>
      </w:r>
      <w:r w:rsidRPr="00B515C6">
        <w:rPr>
          <w:rFonts w:ascii="Garamond" w:hAnsi="Garamond"/>
          <w:noProof/>
          <w:sz w:val="22"/>
          <w:szCs w:val="22"/>
        </w:rPr>
        <w:fldChar w:fldCharType="separate"/>
      </w:r>
      <w:r w:rsidR="00A87249">
        <w:rPr>
          <w:rFonts w:ascii="Garamond" w:hAnsi="Garamond"/>
          <w:noProof/>
          <w:sz w:val="22"/>
          <w:szCs w:val="22"/>
        </w:rPr>
        <w:t>14</w:t>
      </w:r>
      <w:r w:rsidRPr="00B515C6">
        <w:rPr>
          <w:rFonts w:ascii="Garamond" w:hAnsi="Garamond"/>
          <w:noProof/>
          <w:sz w:val="22"/>
          <w:szCs w:val="22"/>
        </w:rPr>
        <w:fldChar w:fldCharType="end"/>
      </w:r>
    </w:p>
    <w:p w14:paraId="5E337133" w14:textId="77777777" w:rsidR="00B515C6" w:rsidRPr="00B515C6" w:rsidRDefault="00B515C6">
      <w:pPr>
        <w:pStyle w:val="TOC1"/>
        <w:tabs>
          <w:tab w:val="right" w:leader="dot" w:pos="9622"/>
        </w:tabs>
        <w:rPr>
          <w:rFonts w:ascii="Garamond" w:hAnsi="Garamond"/>
          <w:noProof/>
          <w:sz w:val="22"/>
          <w:szCs w:val="22"/>
          <w:lang w:val="it-IT" w:eastAsia="ja-JP"/>
        </w:rPr>
      </w:pPr>
      <w:r w:rsidRPr="00B515C6">
        <w:rPr>
          <w:rFonts w:ascii="Garamond" w:hAnsi="Garamond"/>
          <w:noProof/>
          <w:sz w:val="22"/>
          <w:szCs w:val="22"/>
        </w:rPr>
        <w:t>Conclusion: clarity still needed</w:t>
      </w:r>
      <w:r w:rsidRPr="00B515C6">
        <w:rPr>
          <w:rFonts w:ascii="Garamond" w:hAnsi="Garamond"/>
          <w:noProof/>
          <w:sz w:val="22"/>
          <w:szCs w:val="22"/>
        </w:rPr>
        <w:tab/>
      </w:r>
      <w:r w:rsidRPr="00B515C6">
        <w:rPr>
          <w:rFonts w:ascii="Garamond" w:hAnsi="Garamond"/>
          <w:noProof/>
          <w:sz w:val="22"/>
          <w:szCs w:val="22"/>
        </w:rPr>
        <w:fldChar w:fldCharType="begin"/>
      </w:r>
      <w:r w:rsidRPr="00B515C6">
        <w:rPr>
          <w:rFonts w:ascii="Garamond" w:hAnsi="Garamond"/>
          <w:noProof/>
          <w:sz w:val="22"/>
          <w:szCs w:val="22"/>
        </w:rPr>
        <w:instrText xml:space="preserve"> PAGEREF _Toc396298481 \h </w:instrText>
      </w:r>
      <w:r w:rsidRPr="00B515C6">
        <w:rPr>
          <w:rFonts w:ascii="Garamond" w:hAnsi="Garamond"/>
          <w:noProof/>
          <w:sz w:val="22"/>
          <w:szCs w:val="22"/>
        </w:rPr>
      </w:r>
      <w:r w:rsidRPr="00B515C6">
        <w:rPr>
          <w:rFonts w:ascii="Garamond" w:hAnsi="Garamond"/>
          <w:noProof/>
          <w:sz w:val="22"/>
          <w:szCs w:val="22"/>
        </w:rPr>
        <w:fldChar w:fldCharType="separate"/>
      </w:r>
      <w:r w:rsidR="00A87249">
        <w:rPr>
          <w:rFonts w:ascii="Garamond" w:hAnsi="Garamond"/>
          <w:noProof/>
          <w:sz w:val="22"/>
          <w:szCs w:val="22"/>
        </w:rPr>
        <w:t>17</w:t>
      </w:r>
      <w:r w:rsidRPr="00B515C6">
        <w:rPr>
          <w:rFonts w:ascii="Garamond" w:hAnsi="Garamond"/>
          <w:noProof/>
          <w:sz w:val="22"/>
          <w:szCs w:val="22"/>
        </w:rPr>
        <w:fldChar w:fldCharType="end"/>
      </w:r>
    </w:p>
    <w:p w14:paraId="768AA9DC" w14:textId="77777777" w:rsidR="00B515C6" w:rsidRPr="00B515C6" w:rsidRDefault="00B515C6">
      <w:pPr>
        <w:pStyle w:val="TOC1"/>
        <w:tabs>
          <w:tab w:val="right" w:leader="dot" w:pos="9622"/>
        </w:tabs>
        <w:rPr>
          <w:rFonts w:ascii="Garamond" w:hAnsi="Garamond"/>
          <w:noProof/>
          <w:sz w:val="22"/>
          <w:szCs w:val="22"/>
          <w:lang w:val="it-IT" w:eastAsia="ja-JP"/>
        </w:rPr>
      </w:pPr>
      <w:r w:rsidRPr="00B515C6">
        <w:rPr>
          <w:rFonts w:ascii="Garamond" w:hAnsi="Garamond"/>
          <w:noProof/>
          <w:sz w:val="22"/>
          <w:szCs w:val="22"/>
        </w:rPr>
        <w:t>References</w:t>
      </w:r>
      <w:r w:rsidRPr="00B515C6">
        <w:rPr>
          <w:rFonts w:ascii="Garamond" w:hAnsi="Garamond"/>
          <w:noProof/>
          <w:sz w:val="22"/>
          <w:szCs w:val="22"/>
        </w:rPr>
        <w:tab/>
      </w:r>
      <w:r w:rsidRPr="00B515C6">
        <w:rPr>
          <w:rFonts w:ascii="Garamond" w:hAnsi="Garamond"/>
          <w:noProof/>
          <w:sz w:val="22"/>
          <w:szCs w:val="22"/>
        </w:rPr>
        <w:fldChar w:fldCharType="begin"/>
      </w:r>
      <w:r w:rsidRPr="00B515C6">
        <w:rPr>
          <w:rFonts w:ascii="Garamond" w:hAnsi="Garamond"/>
          <w:noProof/>
          <w:sz w:val="22"/>
          <w:szCs w:val="22"/>
        </w:rPr>
        <w:instrText xml:space="preserve"> PAGEREF _Toc396298482 \h </w:instrText>
      </w:r>
      <w:r w:rsidRPr="00B515C6">
        <w:rPr>
          <w:rFonts w:ascii="Garamond" w:hAnsi="Garamond"/>
          <w:noProof/>
          <w:sz w:val="22"/>
          <w:szCs w:val="22"/>
        </w:rPr>
      </w:r>
      <w:r w:rsidRPr="00B515C6">
        <w:rPr>
          <w:rFonts w:ascii="Garamond" w:hAnsi="Garamond"/>
          <w:noProof/>
          <w:sz w:val="22"/>
          <w:szCs w:val="22"/>
        </w:rPr>
        <w:fldChar w:fldCharType="separate"/>
      </w:r>
      <w:r w:rsidR="00A87249">
        <w:rPr>
          <w:rFonts w:ascii="Garamond" w:hAnsi="Garamond"/>
          <w:noProof/>
          <w:sz w:val="22"/>
          <w:szCs w:val="22"/>
        </w:rPr>
        <w:t>18</w:t>
      </w:r>
      <w:r w:rsidRPr="00B515C6">
        <w:rPr>
          <w:rFonts w:ascii="Garamond" w:hAnsi="Garamond"/>
          <w:noProof/>
          <w:sz w:val="22"/>
          <w:szCs w:val="22"/>
        </w:rPr>
        <w:fldChar w:fldCharType="end"/>
      </w:r>
    </w:p>
    <w:p w14:paraId="6FBCC15F" w14:textId="77777777" w:rsidR="00EB0721" w:rsidRPr="00B515C6" w:rsidRDefault="00EB0721" w:rsidP="004F24CD">
      <w:pPr>
        <w:spacing w:line="360" w:lineRule="auto"/>
        <w:jc w:val="both"/>
        <w:rPr>
          <w:rFonts w:ascii="Garamond" w:hAnsi="Garamond"/>
          <w:sz w:val="22"/>
          <w:szCs w:val="22"/>
          <w:lang w:val="en-GB"/>
        </w:rPr>
      </w:pPr>
      <w:r w:rsidRPr="00B515C6">
        <w:rPr>
          <w:rFonts w:ascii="Garamond" w:hAnsi="Garamond" w:cs="Times New Roman"/>
          <w:bCs/>
          <w:color w:val="000000" w:themeColor="text1"/>
          <w:sz w:val="22"/>
          <w:szCs w:val="22"/>
          <w:bdr w:val="none" w:sz="0" w:space="0" w:color="auto" w:frame="1"/>
          <w:lang w:val="en-GB"/>
        </w:rPr>
        <w:fldChar w:fldCharType="end"/>
      </w:r>
    </w:p>
    <w:p w14:paraId="37535BD0" w14:textId="77777777" w:rsidR="00EB0721" w:rsidRPr="00F7201B" w:rsidRDefault="00EB0721" w:rsidP="004F24CD">
      <w:pPr>
        <w:spacing w:line="360" w:lineRule="auto"/>
        <w:jc w:val="both"/>
        <w:rPr>
          <w:rFonts w:ascii="Garamond" w:hAnsi="Garamond"/>
          <w:sz w:val="22"/>
          <w:szCs w:val="22"/>
          <w:lang w:val="en-GB"/>
        </w:rPr>
      </w:pPr>
    </w:p>
    <w:p w14:paraId="13F60F9C" w14:textId="77777777" w:rsidR="00EB0721" w:rsidRPr="00F7201B" w:rsidRDefault="00EB0721" w:rsidP="004F24CD">
      <w:pPr>
        <w:pStyle w:val="Heading1"/>
        <w:spacing w:line="360" w:lineRule="auto"/>
        <w:jc w:val="both"/>
        <w:rPr>
          <w:sz w:val="22"/>
          <w:szCs w:val="22"/>
        </w:rPr>
      </w:pPr>
    </w:p>
    <w:p w14:paraId="61C18D5D" w14:textId="77777777" w:rsidR="001B6E90" w:rsidRPr="00F7201B" w:rsidRDefault="001B6E90">
      <w:pPr>
        <w:rPr>
          <w:rFonts w:ascii="Garamond" w:eastAsiaTheme="majorEastAsia" w:hAnsi="Garamond" w:cstheme="majorBidi"/>
          <w:b/>
          <w:bCs/>
          <w:color w:val="345A8A" w:themeColor="accent1" w:themeShade="B5"/>
          <w:sz w:val="22"/>
          <w:szCs w:val="22"/>
          <w:bdr w:val="none" w:sz="0" w:space="0" w:color="auto" w:frame="1"/>
          <w:lang w:val="en-GB"/>
        </w:rPr>
      </w:pPr>
      <w:r w:rsidRPr="00F7201B">
        <w:rPr>
          <w:rFonts w:ascii="Garamond" w:hAnsi="Garamond"/>
          <w:sz w:val="22"/>
          <w:szCs w:val="22"/>
        </w:rPr>
        <w:br w:type="page"/>
      </w:r>
    </w:p>
    <w:p w14:paraId="595923BE" w14:textId="77777777" w:rsidR="00EB0721" w:rsidRPr="00F7201B" w:rsidRDefault="00EB0721" w:rsidP="004F24CD">
      <w:pPr>
        <w:pStyle w:val="Heading1"/>
        <w:spacing w:line="360" w:lineRule="auto"/>
        <w:jc w:val="both"/>
        <w:rPr>
          <w:sz w:val="22"/>
          <w:szCs w:val="22"/>
        </w:rPr>
      </w:pPr>
      <w:bookmarkStart w:id="6" w:name="_Toc396298472"/>
      <w:r w:rsidRPr="00F7201B">
        <w:rPr>
          <w:sz w:val="22"/>
          <w:szCs w:val="22"/>
        </w:rPr>
        <w:lastRenderedPageBreak/>
        <w:t>1.</w:t>
      </w:r>
      <w:r w:rsidRPr="00F7201B">
        <w:rPr>
          <w:sz w:val="22"/>
          <w:szCs w:val="22"/>
        </w:rPr>
        <w:tab/>
        <w:t>The right of communication to the public</w:t>
      </w:r>
      <w:bookmarkEnd w:id="0"/>
      <w:bookmarkEnd w:id="1"/>
      <w:bookmarkEnd w:id="2"/>
      <w:bookmarkEnd w:id="6"/>
    </w:p>
    <w:p w14:paraId="4BBD0CA2" w14:textId="77777777" w:rsidR="00EB0721" w:rsidRPr="00F7201B" w:rsidRDefault="00EB0721" w:rsidP="004F24CD">
      <w:pPr>
        <w:spacing w:line="360" w:lineRule="auto"/>
        <w:jc w:val="both"/>
        <w:rPr>
          <w:rFonts w:ascii="Garamond" w:hAnsi="Garamond" w:cs="Times New Roman"/>
          <w:color w:val="000000" w:themeColor="text1"/>
          <w:sz w:val="22"/>
          <w:szCs w:val="22"/>
          <w:bdr w:val="none" w:sz="0" w:space="0" w:color="auto" w:frame="1"/>
          <w:lang w:val="en-GB"/>
        </w:rPr>
      </w:pPr>
    </w:p>
    <w:p w14:paraId="2E9A902C" w14:textId="61BFAF12" w:rsidR="00EB0721" w:rsidRPr="00F7201B" w:rsidRDefault="00EB0721" w:rsidP="004F24CD">
      <w:pPr>
        <w:spacing w:line="360" w:lineRule="auto"/>
        <w:jc w:val="both"/>
        <w:rPr>
          <w:rFonts w:ascii="Garamond" w:hAnsi="Garamond" w:cs="Times New Roman"/>
          <w:color w:val="000000" w:themeColor="text1"/>
          <w:sz w:val="22"/>
          <w:szCs w:val="22"/>
          <w:bdr w:val="none" w:sz="0" w:space="0" w:color="auto" w:frame="1"/>
          <w:lang w:val="en-GB"/>
        </w:rPr>
      </w:pPr>
      <w:r w:rsidRPr="00F7201B">
        <w:rPr>
          <w:rFonts w:ascii="Garamond" w:hAnsi="Garamond" w:cs="Times New Roman"/>
          <w:color w:val="000000" w:themeColor="text1"/>
          <w:sz w:val="22"/>
          <w:szCs w:val="22"/>
          <w:bdr w:val="none" w:sz="0" w:space="0" w:color="auto" w:frame="1"/>
          <w:lang w:val="en-GB"/>
        </w:rPr>
        <w:t xml:space="preserve">The right of communication to the public </w:t>
      </w:r>
      <w:r w:rsidR="005964F1">
        <w:rPr>
          <w:rFonts w:ascii="Garamond" w:hAnsi="Garamond" w:cs="Times New Roman"/>
          <w:color w:val="000000" w:themeColor="text1"/>
          <w:sz w:val="22"/>
          <w:szCs w:val="22"/>
          <w:bdr w:val="none" w:sz="0" w:space="0" w:color="auto" w:frame="1"/>
          <w:lang w:val="en-GB"/>
        </w:rPr>
        <w:t>under</w:t>
      </w:r>
      <w:r w:rsidRPr="00F7201B">
        <w:rPr>
          <w:rFonts w:ascii="Garamond" w:hAnsi="Garamond" w:cs="Times New Roman"/>
          <w:color w:val="000000" w:themeColor="text1"/>
          <w:sz w:val="22"/>
          <w:szCs w:val="22"/>
          <w:bdr w:val="none" w:sz="0" w:space="0" w:color="auto" w:frame="1"/>
          <w:lang w:val="en-GB"/>
        </w:rPr>
        <w:t xml:space="preserve"> Article 3(1) of </w:t>
      </w:r>
      <w:r w:rsidR="00A8349F" w:rsidRPr="00F7201B">
        <w:rPr>
          <w:rFonts w:ascii="Garamond" w:hAnsi="Garamond" w:cs="Times New Roman"/>
          <w:color w:val="000000" w:themeColor="text1"/>
          <w:sz w:val="22"/>
          <w:szCs w:val="22"/>
          <w:bdr w:val="none" w:sz="0" w:space="0" w:color="auto" w:frame="1"/>
          <w:lang w:val="en-GB"/>
        </w:rPr>
        <w:t>Directive 2001/29</w:t>
      </w:r>
      <w:r w:rsidR="00A8349F" w:rsidRPr="00F7201B">
        <w:rPr>
          <w:rStyle w:val="FootnoteReference"/>
          <w:rFonts w:ascii="Garamond" w:hAnsi="Garamond" w:cs="Times New Roman"/>
          <w:color w:val="000000" w:themeColor="text1"/>
          <w:sz w:val="22"/>
          <w:szCs w:val="22"/>
          <w:bdr w:val="none" w:sz="0" w:space="0" w:color="auto" w:frame="1"/>
          <w:lang w:val="en-GB"/>
        </w:rPr>
        <w:footnoteReference w:id="2"/>
      </w:r>
      <w:r w:rsidR="00A8349F" w:rsidRPr="00F7201B">
        <w:rPr>
          <w:rFonts w:ascii="Garamond" w:hAnsi="Garamond" w:cs="Times New Roman"/>
          <w:color w:val="000000" w:themeColor="text1"/>
          <w:sz w:val="22"/>
          <w:szCs w:val="22"/>
          <w:bdr w:val="none" w:sz="0" w:space="0" w:color="auto" w:frame="1"/>
          <w:lang w:val="en-GB"/>
        </w:rPr>
        <w:t xml:space="preserve"> (</w:t>
      </w:r>
      <w:r w:rsidRPr="00F7201B">
        <w:rPr>
          <w:rFonts w:ascii="Garamond" w:hAnsi="Garamond" w:cs="Times New Roman"/>
          <w:color w:val="000000" w:themeColor="text1"/>
          <w:sz w:val="22"/>
          <w:szCs w:val="22"/>
          <w:bdr w:val="none" w:sz="0" w:space="0" w:color="auto" w:frame="1"/>
          <w:lang w:val="en-GB"/>
        </w:rPr>
        <w:t>InfoSoc Directive</w:t>
      </w:r>
      <w:r w:rsidR="00A8349F" w:rsidRPr="00F7201B">
        <w:rPr>
          <w:rFonts w:ascii="Garamond" w:hAnsi="Garamond" w:cs="Times New Roman"/>
          <w:color w:val="000000" w:themeColor="text1"/>
          <w:sz w:val="22"/>
          <w:szCs w:val="22"/>
          <w:bdr w:val="none" w:sz="0" w:space="0" w:color="auto" w:frame="1"/>
          <w:lang w:val="en-GB"/>
        </w:rPr>
        <w:t>)</w:t>
      </w:r>
      <w:r w:rsidRPr="00F7201B">
        <w:rPr>
          <w:rFonts w:ascii="Garamond" w:hAnsi="Garamond" w:cs="Times New Roman"/>
          <w:color w:val="000000" w:themeColor="text1"/>
          <w:sz w:val="22"/>
          <w:szCs w:val="22"/>
          <w:bdr w:val="none" w:sz="0" w:space="0" w:color="auto" w:frame="1"/>
          <w:lang w:val="en-GB"/>
        </w:rPr>
        <w:t xml:space="preserve"> has been subject to a significant number of referrals since the first ruling in 2006 in </w:t>
      </w:r>
      <w:r w:rsidRPr="00F7201B">
        <w:rPr>
          <w:rFonts w:ascii="Garamond" w:hAnsi="Garamond" w:cs="Times New Roman"/>
          <w:i/>
          <w:color w:val="000000" w:themeColor="text1"/>
          <w:sz w:val="22"/>
          <w:szCs w:val="22"/>
          <w:bdr w:val="none" w:sz="0" w:space="0" w:color="auto" w:frame="1"/>
          <w:lang w:val="en-GB"/>
        </w:rPr>
        <w:t>SGAE</w:t>
      </w:r>
      <w:r w:rsidRPr="00F7201B">
        <w:rPr>
          <w:rFonts w:ascii="Garamond" w:hAnsi="Garamond" w:cs="Times New Roman"/>
          <w:color w:val="000000" w:themeColor="text1"/>
          <w:sz w:val="22"/>
          <w:szCs w:val="22"/>
          <w:bdr w:val="none" w:sz="0" w:space="0" w:color="auto" w:frame="1"/>
          <w:lang w:val="en-GB"/>
        </w:rPr>
        <w:t>, C-306/05.</w:t>
      </w:r>
      <w:r w:rsidRPr="00F7201B">
        <w:rPr>
          <w:rFonts w:ascii="Garamond" w:hAnsi="Garamond" w:cs="Times New Roman"/>
          <w:color w:val="000000" w:themeColor="text1"/>
          <w:sz w:val="22"/>
          <w:szCs w:val="22"/>
          <w:bdr w:val="none" w:sz="0" w:space="0" w:color="auto" w:frame="1"/>
          <w:vertAlign w:val="superscript"/>
          <w:lang w:val="en-GB"/>
        </w:rPr>
        <w:footnoteReference w:id="3"/>
      </w:r>
      <w:r w:rsidRPr="00F7201B">
        <w:rPr>
          <w:rFonts w:ascii="Garamond" w:hAnsi="Garamond" w:cs="Times New Roman"/>
          <w:color w:val="000000" w:themeColor="text1"/>
          <w:sz w:val="22"/>
          <w:szCs w:val="22"/>
          <w:bdr w:val="none" w:sz="0" w:space="0" w:color="auto" w:frame="1"/>
          <w:lang w:val="en-GB"/>
        </w:rPr>
        <w:t xml:space="preserve"> By relying on international sources and a purpose-driven interpretation of the InfoSoc Directive, the </w:t>
      </w:r>
      <w:r w:rsidR="00A8349F" w:rsidRPr="00F7201B">
        <w:rPr>
          <w:rFonts w:ascii="Garamond" w:hAnsi="Garamond" w:cs="Times New Roman"/>
          <w:color w:val="000000" w:themeColor="text1"/>
          <w:sz w:val="22"/>
          <w:szCs w:val="22"/>
          <w:bdr w:val="none" w:sz="0" w:space="0" w:color="auto" w:frame="1"/>
          <w:lang w:val="en-GB"/>
        </w:rPr>
        <w:t>Court of Justice of the European Union (</w:t>
      </w:r>
      <w:r w:rsidRPr="00F7201B">
        <w:rPr>
          <w:rFonts w:ascii="Garamond" w:hAnsi="Garamond" w:cs="Times New Roman"/>
          <w:color w:val="000000" w:themeColor="text1"/>
          <w:sz w:val="22"/>
          <w:szCs w:val="22"/>
          <w:bdr w:val="none" w:sz="0" w:space="0" w:color="auto" w:frame="1"/>
          <w:lang w:val="en-GB"/>
        </w:rPr>
        <w:t>CJEU</w:t>
      </w:r>
      <w:r w:rsidR="00A8349F" w:rsidRPr="00F7201B">
        <w:rPr>
          <w:rFonts w:ascii="Garamond" w:hAnsi="Garamond" w:cs="Times New Roman"/>
          <w:color w:val="000000" w:themeColor="text1"/>
          <w:sz w:val="22"/>
          <w:szCs w:val="22"/>
          <w:bdr w:val="none" w:sz="0" w:space="0" w:color="auto" w:frame="1"/>
          <w:lang w:val="en-GB"/>
        </w:rPr>
        <w:t>)</w:t>
      </w:r>
      <w:r w:rsidRPr="00F7201B">
        <w:rPr>
          <w:rFonts w:ascii="Garamond" w:hAnsi="Garamond" w:cs="Times New Roman"/>
          <w:color w:val="000000" w:themeColor="text1"/>
          <w:sz w:val="22"/>
          <w:szCs w:val="22"/>
          <w:bdr w:val="none" w:sz="0" w:space="0" w:color="auto" w:frame="1"/>
          <w:lang w:val="en-GB"/>
        </w:rPr>
        <w:t xml:space="preserve"> has construed this exclusive right broadly and in such a way as to encompass, </w:t>
      </w:r>
      <w:r w:rsidR="005964F1">
        <w:rPr>
          <w:rFonts w:ascii="Garamond" w:hAnsi="Garamond" w:cs="Times New Roman"/>
          <w:color w:val="000000" w:themeColor="text1"/>
          <w:sz w:val="22"/>
          <w:szCs w:val="22"/>
          <w:bdr w:val="none" w:sz="0" w:space="0" w:color="auto" w:frame="1"/>
          <w:lang w:val="en-GB"/>
        </w:rPr>
        <w:t>subject to a number of</w:t>
      </w:r>
      <w:r w:rsidRPr="00F7201B">
        <w:rPr>
          <w:rFonts w:ascii="Garamond" w:hAnsi="Garamond" w:cs="Times New Roman"/>
          <w:color w:val="000000" w:themeColor="text1"/>
          <w:sz w:val="22"/>
          <w:szCs w:val="22"/>
          <w:bdr w:val="none" w:sz="0" w:space="0" w:color="auto" w:frame="1"/>
          <w:lang w:val="en-GB"/>
        </w:rPr>
        <w:t xml:space="preserve"> conditions, different types of acts, including the making available of TV sets in certain contexts, linking to protected content, the provision of certain types of set-up boxes, indexing activities by a platform, and cloud-based recording services.</w:t>
      </w:r>
      <w:r w:rsidRPr="00F7201B">
        <w:rPr>
          <w:rStyle w:val="FootnoteReference"/>
          <w:rFonts w:ascii="Garamond" w:hAnsi="Garamond" w:cs="Times New Roman"/>
          <w:color w:val="000000" w:themeColor="text1"/>
          <w:sz w:val="22"/>
          <w:szCs w:val="22"/>
          <w:bdr w:val="none" w:sz="0" w:space="0" w:color="auto" w:frame="1"/>
          <w:lang w:val="en-GB"/>
        </w:rPr>
        <w:footnoteReference w:id="4"/>
      </w:r>
    </w:p>
    <w:p w14:paraId="7A99C258" w14:textId="77777777" w:rsidR="00EB0721" w:rsidRPr="00F7201B" w:rsidRDefault="00EB0721" w:rsidP="004F24CD">
      <w:pPr>
        <w:spacing w:line="360" w:lineRule="auto"/>
        <w:jc w:val="both"/>
        <w:rPr>
          <w:rFonts w:ascii="Garamond" w:hAnsi="Garamond" w:cs="Times New Roman"/>
          <w:color w:val="000000" w:themeColor="text1"/>
          <w:sz w:val="22"/>
          <w:szCs w:val="22"/>
          <w:bdr w:val="none" w:sz="0" w:space="0" w:color="auto" w:frame="1"/>
          <w:lang w:val="en-GB"/>
        </w:rPr>
      </w:pPr>
    </w:p>
    <w:p w14:paraId="77C1AC6A" w14:textId="77777777" w:rsidR="00EB0721" w:rsidRPr="00F7201B" w:rsidRDefault="00EB0721" w:rsidP="004F24CD">
      <w:pPr>
        <w:spacing w:line="360" w:lineRule="auto"/>
        <w:jc w:val="both"/>
        <w:rPr>
          <w:rFonts w:ascii="Garamond" w:hAnsi="Garamond" w:cs="Times New Roman"/>
          <w:color w:val="000000" w:themeColor="text1"/>
          <w:sz w:val="22"/>
          <w:szCs w:val="22"/>
          <w:bdr w:val="none" w:sz="0" w:space="0" w:color="auto" w:frame="1"/>
          <w:lang w:val="en-GB"/>
        </w:rPr>
      </w:pPr>
      <w:r w:rsidRPr="00F7201B">
        <w:rPr>
          <w:rFonts w:ascii="Garamond" w:hAnsi="Garamond" w:cs="Times New Roman"/>
          <w:color w:val="000000" w:themeColor="text1"/>
          <w:sz w:val="22"/>
          <w:szCs w:val="22"/>
          <w:bdr w:val="none" w:sz="0" w:space="0" w:color="auto" w:frame="1"/>
          <w:lang w:val="en-GB"/>
        </w:rPr>
        <w:t>At the international level the right of communication to the public received its first formulation in Article 11</w:t>
      </w:r>
      <w:r w:rsidRPr="00F7201B">
        <w:rPr>
          <w:rFonts w:ascii="Garamond" w:hAnsi="Garamond" w:cs="Times New Roman"/>
          <w:i/>
          <w:color w:val="000000" w:themeColor="text1"/>
          <w:sz w:val="22"/>
          <w:szCs w:val="22"/>
          <w:bdr w:val="none" w:sz="0" w:space="0" w:color="auto" w:frame="1"/>
          <w:lang w:val="en-GB"/>
        </w:rPr>
        <w:t>bis</w:t>
      </w:r>
      <w:r w:rsidRPr="00F7201B">
        <w:rPr>
          <w:rFonts w:ascii="Garamond" w:hAnsi="Garamond" w:cs="Times New Roman"/>
          <w:color w:val="000000" w:themeColor="text1"/>
          <w:sz w:val="22"/>
          <w:szCs w:val="22"/>
          <w:bdr w:val="none" w:sz="0" w:space="0" w:color="auto" w:frame="1"/>
          <w:lang w:val="en-GB"/>
        </w:rPr>
        <w:t xml:space="preserve"> of the Berne Convention, as adopted in 1928 and later revised with the Brussels Act 1948.</w:t>
      </w:r>
      <w:r w:rsidRPr="00F7201B">
        <w:rPr>
          <w:rFonts w:ascii="Garamond" w:hAnsi="Garamond" w:cs="Times New Roman"/>
          <w:color w:val="000000" w:themeColor="text1"/>
          <w:sz w:val="22"/>
          <w:szCs w:val="22"/>
          <w:bdr w:val="none" w:sz="0" w:space="0" w:color="auto" w:frame="1"/>
          <w:vertAlign w:val="superscript"/>
          <w:lang w:val="en-GB"/>
        </w:rPr>
        <w:footnoteReference w:id="5"/>
      </w:r>
      <w:r w:rsidRPr="00F7201B">
        <w:rPr>
          <w:rFonts w:ascii="Garamond" w:hAnsi="Garamond" w:cs="Times New Roman"/>
          <w:color w:val="000000" w:themeColor="text1"/>
          <w:sz w:val="22"/>
          <w:szCs w:val="22"/>
          <w:bdr w:val="none" w:sz="0" w:space="0" w:color="auto" w:frame="1"/>
          <w:lang w:val="en-GB"/>
        </w:rPr>
        <w:t xml:space="preserve"> The WIPO Copyright Treaty supplemented the Berne Convention</w:t>
      </w:r>
      <w:r w:rsidRPr="00F7201B">
        <w:rPr>
          <w:rFonts w:ascii="Garamond" w:hAnsi="Garamond" w:cs="Times New Roman"/>
          <w:color w:val="000000" w:themeColor="text1"/>
          <w:sz w:val="22"/>
          <w:szCs w:val="22"/>
          <w:bdr w:val="none" w:sz="0" w:space="0" w:color="auto" w:frame="1"/>
          <w:vertAlign w:val="superscript"/>
          <w:lang w:val="en-GB"/>
        </w:rPr>
        <w:footnoteReference w:id="6"/>
      </w:r>
      <w:r w:rsidRPr="00F7201B">
        <w:rPr>
          <w:rFonts w:ascii="Garamond" w:hAnsi="Garamond" w:cs="Times New Roman"/>
          <w:color w:val="000000" w:themeColor="text1"/>
          <w:sz w:val="22"/>
          <w:szCs w:val="22"/>
          <w:bdr w:val="none" w:sz="0" w:space="0" w:color="auto" w:frame="1"/>
          <w:lang w:val="en-GB"/>
        </w:rPr>
        <w:t>, and introduced the concept of ‘making available to the public’.</w:t>
      </w:r>
      <w:r w:rsidRPr="00F7201B">
        <w:rPr>
          <w:rFonts w:ascii="Garamond" w:hAnsi="Garamond" w:cs="Times New Roman"/>
          <w:color w:val="000000" w:themeColor="text1"/>
          <w:sz w:val="22"/>
          <w:szCs w:val="22"/>
          <w:bdr w:val="none" w:sz="0" w:space="0" w:color="auto" w:frame="1"/>
          <w:vertAlign w:val="superscript"/>
          <w:lang w:val="en-GB"/>
        </w:rPr>
        <w:footnoteReference w:id="7"/>
      </w:r>
      <w:r w:rsidRPr="00F7201B">
        <w:rPr>
          <w:rFonts w:ascii="Garamond" w:hAnsi="Garamond" w:cs="Times New Roman"/>
          <w:color w:val="000000" w:themeColor="text1"/>
          <w:sz w:val="22"/>
          <w:szCs w:val="22"/>
          <w:bdr w:val="none" w:sz="0" w:space="0" w:color="auto" w:frame="1"/>
          <w:lang w:val="en-GB"/>
        </w:rPr>
        <w:t xml:space="preserve"> </w:t>
      </w:r>
    </w:p>
    <w:p w14:paraId="5C0067DA" w14:textId="77777777" w:rsidR="00EB0721" w:rsidRPr="00F7201B" w:rsidRDefault="00EB0721" w:rsidP="004F24CD">
      <w:pPr>
        <w:spacing w:line="360" w:lineRule="auto"/>
        <w:jc w:val="both"/>
        <w:rPr>
          <w:rFonts w:ascii="Garamond" w:hAnsi="Garamond" w:cs="Times New Roman"/>
          <w:color w:val="000000" w:themeColor="text1"/>
          <w:sz w:val="22"/>
          <w:szCs w:val="22"/>
          <w:bdr w:val="none" w:sz="0" w:space="0" w:color="auto" w:frame="1"/>
          <w:lang w:val="en-GB"/>
        </w:rPr>
      </w:pPr>
    </w:p>
    <w:p w14:paraId="169CEE17" w14:textId="72417252" w:rsidR="00EB0721" w:rsidRPr="00F7201B" w:rsidRDefault="00EB0721" w:rsidP="004F24CD">
      <w:pPr>
        <w:spacing w:line="360" w:lineRule="auto"/>
        <w:jc w:val="both"/>
        <w:rPr>
          <w:rFonts w:ascii="Garamond" w:hAnsi="Garamond" w:cs="Times New Roman"/>
          <w:color w:val="000000" w:themeColor="text1"/>
          <w:sz w:val="22"/>
          <w:szCs w:val="22"/>
          <w:bdr w:val="none" w:sz="0" w:space="0" w:color="auto" w:frame="1"/>
          <w:lang w:val="en-GB"/>
        </w:rPr>
      </w:pPr>
      <w:r w:rsidRPr="00F7201B">
        <w:rPr>
          <w:rFonts w:ascii="Garamond" w:hAnsi="Garamond" w:cs="Times New Roman"/>
          <w:color w:val="000000" w:themeColor="text1"/>
          <w:sz w:val="22"/>
          <w:szCs w:val="22"/>
          <w:bdr w:val="none" w:sz="0" w:space="0" w:color="auto" w:frame="1"/>
          <w:lang w:val="en-GB"/>
        </w:rPr>
        <w:t>The wording of Article 3(1) of the InfoSoc Directive is derived from Article 8 of the WIPO Copyright Treaty. However, Article 3(1) of the InfoSoc Directive does not define the concept of ‘communication to the public’. This provi</w:t>
      </w:r>
      <w:r w:rsidR="00766E2C">
        <w:rPr>
          <w:rFonts w:ascii="Garamond" w:hAnsi="Garamond" w:cs="Times New Roman"/>
          <w:color w:val="000000" w:themeColor="text1"/>
          <w:sz w:val="22"/>
          <w:szCs w:val="22"/>
          <w:bdr w:val="none" w:sz="0" w:space="0" w:color="auto" w:frame="1"/>
          <w:lang w:val="en-GB"/>
        </w:rPr>
        <w:t>sion, in fact, only states that:</w:t>
      </w:r>
    </w:p>
    <w:p w14:paraId="1D669E4E" w14:textId="77777777" w:rsidR="00EB0721" w:rsidRPr="00F7201B" w:rsidRDefault="00EB0721" w:rsidP="004F24CD">
      <w:pPr>
        <w:spacing w:line="360" w:lineRule="auto"/>
        <w:jc w:val="both"/>
        <w:rPr>
          <w:rFonts w:ascii="Garamond" w:hAnsi="Garamond" w:cs="Times New Roman"/>
          <w:color w:val="000000" w:themeColor="text1"/>
          <w:sz w:val="22"/>
          <w:szCs w:val="22"/>
          <w:bdr w:val="none" w:sz="0" w:space="0" w:color="auto" w:frame="1"/>
          <w:lang w:val="en-GB"/>
        </w:rPr>
      </w:pPr>
    </w:p>
    <w:p w14:paraId="04D3E7C9" w14:textId="53CB9F29" w:rsidR="00EB0721" w:rsidRPr="00F7201B" w:rsidRDefault="00766E2C" w:rsidP="004F24CD">
      <w:pPr>
        <w:spacing w:line="360" w:lineRule="auto"/>
        <w:ind w:left="708"/>
        <w:jc w:val="both"/>
        <w:rPr>
          <w:rFonts w:ascii="Garamond" w:hAnsi="Garamond" w:cs="Times New Roman"/>
          <w:color w:val="000000" w:themeColor="text1"/>
          <w:sz w:val="22"/>
          <w:szCs w:val="22"/>
          <w:bdr w:val="none" w:sz="0" w:space="0" w:color="auto" w:frame="1"/>
          <w:lang w:val="en-GB"/>
        </w:rPr>
      </w:pPr>
      <w:r>
        <w:rPr>
          <w:rFonts w:ascii="Garamond" w:hAnsi="Garamond" w:cs="Times New Roman"/>
          <w:color w:val="000000" w:themeColor="text1"/>
          <w:sz w:val="22"/>
          <w:szCs w:val="22"/>
          <w:bdr w:val="none" w:sz="0" w:space="0" w:color="auto" w:frame="1"/>
          <w:lang w:val="en-GB"/>
        </w:rPr>
        <w:t xml:space="preserve">[EU] </w:t>
      </w:r>
      <w:r w:rsidR="00EB0721" w:rsidRPr="00F7201B">
        <w:rPr>
          <w:rFonts w:ascii="Garamond" w:hAnsi="Garamond" w:cs="Times New Roman"/>
          <w:color w:val="000000" w:themeColor="text1"/>
          <w:sz w:val="22"/>
          <w:szCs w:val="22"/>
          <w:bdr w:val="none" w:sz="0" w:space="0" w:color="auto" w:frame="1"/>
          <w:lang w:val="en-GB"/>
        </w:rPr>
        <w:t>Member States shall provide authors with the exclusive right to authorise or prohibit any communication to the public of their works, by wire or wireless means, including the making available to the public of their works in such a way that members of the public may access them from a place and at a time individually chosen by them.</w:t>
      </w:r>
    </w:p>
    <w:p w14:paraId="506FCE81" w14:textId="77777777" w:rsidR="00EB0721" w:rsidRPr="00F7201B" w:rsidRDefault="00EB0721" w:rsidP="004F24CD">
      <w:pPr>
        <w:spacing w:line="360" w:lineRule="auto"/>
        <w:jc w:val="both"/>
        <w:rPr>
          <w:rFonts w:ascii="Garamond" w:hAnsi="Garamond" w:cs="Times New Roman"/>
          <w:color w:val="000000" w:themeColor="text1"/>
          <w:sz w:val="22"/>
          <w:szCs w:val="22"/>
          <w:bdr w:val="none" w:sz="0" w:space="0" w:color="auto" w:frame="1"/>
          <w:lang w:val="en-GB"/>
        </w:rPr>
      </w:pPr>
    </w:p>
    <w:p w14:paraId="6C520573" w14:textId="77777777" w:rsidR="00EB0721" w:rsidRPr="00F7201B" w:rsidRDefault="00EB0721" w:rsidP="004F24CD">
      <w:pPr>
        <w:spacing w:line="360" w:lineRule="auto"/>
        <w:jc w:val="both"/>
        <w:rPr>
          <w:rFonts w:ascii="Garamond" w:hAnsi="Garamond" w:cs="Times New Roman"/>
          <w:color w:val="000000" w:themeColor="text1"/>
          <w:sz w:val="22"/>
          <w:szCs w:val="22"/>
          <w:bdr w:val="none" w:sz="0" w:space="0" w:color="auto" w:frame="1"/>
          <w:lang w:val="en-GB"/>
        </w:rPr>
      </w:pPr>
      <w:r w:rsidRPr="00F7201B">
        <w:rPr>
          <w:rFonts w:ascii="Garamond" w:hAnsi="Garamond" w:cs="Times New Roman"/>
          <w:color w:val="000000" w:themeColor="text1"/>
          <w:sz w:val="22"/>
          <w:szCs w:val="22"/>
          <w:bdr w:val="none" w:sz="0" w:space="0" w:color="auto" w:frame="1"/>
          <w:lang w:val="en-GB"/>
        </w:rPr>
        <w:t xml:space="preserve">Lacking a definition of the notion of ‘communication to the public’, the CJEU has sought to determine the meaning and scope of this concept in light of the objectives pursued by the InfoSoc Directive, notably ensuring a high level of protection of intellectual property (Recital 24) and for authors. In its rich body of case law on Article 3(1), the </w:t>
      </w:r>
      <w:r w:rsidR="00A8349F" w:rsidRPr="00F7201B">
        <w:rPr>
          <w:rFonts w:ascii="Garamond" w:hAnsi="Garamond" w:cs="Times New Roman"/>
          <w:color w:val="000000" w:themeColor="text1"/>
          <w:sz w:val="22"/>
          <w:szCs w:val="22"/>
          <w:bdr w:val="none" w:sz="0" w:space="0" w:color="auto" w:frame="1"/>
          <w:lang w:val="en-GB"/>
        </w:rPr>
        <w:t>Court</w:t>
      </w:r>
      <w:r w:rsidRPr="00F7201B">
        <w:rPr>
          <w:rFonts w:ascii="Garamond" w:hAnsi="Garamond" w:cs="Times New Roman"/>
          <w:color w:val="000000" w:themeColor="text1"/>
          <w:sz w:val="22"/>
          <w:szCs w:val="22"/>
          <w:bdr w:val="none" w:sz="0" w:space="0" w:color="auto" w:frame="1"/>
          <w:lang w:val="en-GB"/>
        </w:rPr>
        <w:t xml:space="preserve"> has consistently stated that the essential requirements of Article 3(1) are an ‘act of communication’, directed to a ‘public’. In addition, the CJEU has also highlighted the importance of considering additional criteria, which are not autonomous and are interdependent, and may – in different situations – be present to widely varying degrees. Such criteria must be applied both individually and in their interaction with one another.</w:t>
      </w:r>
      <w:r w:rsidRPr="00F7201B">
        <w:rPr>
          <w:rFonts w:ascii="Garamond" w:hAnsi="Garamond" w:cs="Times New Roman"/>
          <w:color w:val="000000" w:themeColor="text1"/>
          <w:sz w:val="22"/>
          <w:szCs w:val="22"/>
          <w:bdr w:val="none" w:sz="0" w:space="0" w:color="auto" w:frame="1"/>
          <w:vertAlign w:val="superscript"/>
          <w:lang w:val="en-GB"/>
        </w:rPr>
        <w:footnoteReference w:id="8"/>
      </w:r>
    </w:p>
    <w:p w14:paraId="21A7FDC5" w14:textId="77777777" w:rsidR="00EB0721" w:rsidRPr="00F7201B" w:rsidRDefault="00EB0721" w:rsidP="004F24CD">
      <w:pPr>
        <w:spacing w:line="360" w:lineRule="auto"/>
        <w:jc w:val="both"/>
        <w:rPr>
          <w:rFonts w:ascii="Garamond" w:hAnsi="Garamond" w:cs="Times New Roman"/>
          <w:color w:val="000000" w:themeColor="text1"/>
          <w:sz w:val="22"/>
          <w:szCs w:val="22"/>
          <w:bdr w:val="none" w:sz="0" w:space="0" w:color="auto" w:frame="1"/>
          <w:lang w:val="en-GB"/>
        </w:rPr>
      </w:pPr>
    </w:p>
    <w:p w14:paraId="44BF451C" w14:textId="77777777" w:rsidR="00EB0721" w:rsidRPr="00F7201B" w:rsidRDefault="00A8349F" w:rsidP="004F24CD">
      <w:pPr>
        <w:pStyle w:val="Heading2"/>
        <w:spacing w:before="0" w:line="360" w:lineRule="auto"/>
        <w:rPr>
          <w:rFonts w:ascii="Garamond" w:hAnsi="Garamond"/>
          <w:sz w:val="22"/>
          <w:szCs w:val="22"/>
        </w:rPr>
      </w:pPr>
      <w:bookmarkStart w:id="7" w:name="_Toc361053682"/>
      <w:bookmarkStart w:id="8" w:name="_Toc392757666"/>
      <w:bookmarkStart w:id="9" w:name="_Toc394844932"/>
      <w:bookmarkStart w:id="10" w:name="_Toc395788829"/>
      <w:bookmarkStart w:id="11" w:name="_Toc396298473"/>
      <w:r w:rsidRPr="00F7201B">
        <w:rPr>
          <w:rFonts w:ascii="Garamond" w:hAnsi="Garamond"/>
          <w:sz w:val="22"/>
          <w:szCs w:val="22"/>
        </w:rPr>
        <w:t>1</w:t>
      </w:r>
      <w:r w:rsidR="00EB0721" w:rsidRPr="00F7201B">
        <w:rPr>
          <w:rFonts w:ascii="Garamond" w:hAnsi="Garamond"/>
          <w:sz w:val="22"/>
          <w:szCs w:val="22"/>
        </w:rPr>
        <w:t>.1.</w:t>
      </w:r>
      <w:r w:rsidR="00EB0721" w:rsidRPr="00F7201B">
        <w:rPr>
          <w:rFonts w:ascii="Garamond" w:hAnsi="Garamond"/>
          <w:sz w:val="22"/>
          <w:szCs w:val="22"/>
        </w:rPr>
        <w:tab/>
        <w:t>Requirements and criteria under Article 3(1) of the InfoSoc Directive</w:t>
      </w:r>
      <w:r w:rsidR="00EB0721" w:rsidRPr="00F7201B">
        <w:rPr>
          <w:rFonts w:ascii="Garamond" w:hAnsi="Garamond"/>
          <w:sz w:val="22"/>
          <w:szCs w:val="22"/>
          <w:vertAlign w:val="superscript"/>
        </w:rPr>
        <w:footnoteReference w:id="9"/>
      </w:r>
      <w:bookmarkEnd w:id="7"/>
      <w:bookmarkEnd w:id="8"/>
      <w:bookmarkEnd w:id="9"/>
      <w:bookmarkEnd w:id="10"/>
      <w:bookmarkEnd w:id="11"/>
    </w:p>
    <w:p w14:paraId="78CB1524" w14:textId="77777777" w:rsidR="00EB0721" w:rsidRPr="00F7201B" w:rsidRDefault="00EB0721" w:rsidP="004F24CD">
      <w:pPr>
        <w:spacing w:line="360" w:lineRule="auto"/>
        <w:jc w:val="both"/>
        <w:rPr>
          <w:rFonts w:ascii="Garamond" w:hAnsi="Garamond" w:cs="Times New Roman"/>
          <w:color w:val="000000" w:themeColor="text1"/>
          <w:sz w:val="22"/>
          <w:szCs w:val="22"/>
          <w:bdr w:val="none" w:sz="0" w:space="0" w:color="auto" w:frame="1"/>
          <w:lang w:val="en-GB"/>
        </w:rPr>
      </w:pPr>
    </w:p>
    <w:p w14:paraId="21F6FB58" w14:textId="04B54793" w:rsidR="00EB0721" w:rsidRPr="00F7201B" w:rsidRDefault="00EB0721" w:rsidP="004F24CD">
      <w:pPr>
        <w:spacing w:line="360" w:lineRule="auto"/>
        <w:jc w:val="both"/>
        <w:rPr>
          <w:rFonts w:ascii="Garamond" w:hAnsi="Garamond" w:cs="Times New Roman"/>
          <w:color w:val="000000" w:themeColor="text1"/>
          <w:sz w:val="22"/>
          <w:szCs w:val="22"/>
          <w:bdr w:val="none" w:sz="0" w:space="0" w:color="auto" w:frame="1"/>
          <w:lang w:val="en-GB"/>
        </w:rPr>
      </w:pPr>
      <w:r w:rsidRPr="00F7201B">
        <w:rPr>
          <w:rFonts w:ascii="Garamond" w:hAnsi="Garamond" w:cs="Times New Roman"/>
          <w:color w:val="000000" w:themeColor="text1"/>
          <w:sz w:val="22"/>
          <w:szCs w:val="22"/>
          <w:bdr w:val="none" w:sz="0" w:space="0" w:color="auto" w:frame="1"/>
          <w:lang w:val="en-GB"/>
        </w:rPr>
        <w:t>Starting from ‘public’, this is a concept that has not been straightforward to comprehend, also because the relevant understanding may change depending on the context.</w:t>
      </w:r>
      <w:r w:rsidRPr="00F7201B">
        <w:rPr>
          <w:rStyle w:val="FootnoteReference"/>
          <w:rFonts w:ascii="Garamond" w:hAnsi="Garamond" w:cs="Times New Roman"/>
          <w:color w:val="000000" w:themeColor="text1"/>
          <w:sz w:val="22"/>
          <w:szCs w:val="22"/>
          <w:bdr w:val="none" w:sz="0" w:space="0" w:color="auto" w:frame="1"/>
          <w:lang w:val="en-GB"/>
        </w:rPr>
        <w:footnoteReference w:id="10"/>
      </w:r>
      <w:r w:rsidRPr="00F7201B">
        <w:rPr>
          <w:rFonts w:ascii="Garamond" w:hAnsi="Garamond" w:cs="Times New Roman"/>
          <w:color w:val="000000" w:themeColor="text1"/>
          <w:sz w:val="22"/>
          <w:szCs w:val="22"/>
          <w:bdr w:val="none" w:sz="0" w:space="0" w:color="auto" w:frame="1"/>
          <w:lang w:val="en-GB"/>
        </w:rPr>
        <w:t xml:space="preserve"> In general terms, the notion of ‘public’ is that of an indeterminate and fairly large (above </w:t>
      </w:r>
      <w:r w:rsidRPr="00F7201B">
        <w:rPr>
          <w:rFonts w:ascii="Garamond" w:hAnsi="Garamond" w:cs="Times New Roman"/>
          <w:i/>
          <w:color w:val="000000" w:themeColor="text1"/>
          <w:sz w:val="22"/>
          <w:szCs w:val="22"/>
          <w:bdr w:val="none" w:sz="0" w:space="0" w:color="auto" w:frame="1"/>
          <w:lang w:val="en-GB"/>
        </w:rPr>
        <w:t>de minimis</w:t>
      </w:r>
      <w:r w:rsidRPr="00F7201B">
        <w:rPr>
          <w:rFonts w:ascii="Garamond" w:hAnsi="Garamond" w:cs="Times New Roman"/>
          <w:color w:val="000000" w:themeColor="text1"/>
          <w:sz w:val="22"/>
          <w:szCs w:val="22"/>
          <w:bdr w:val="none" w:sz="0" w:space="0" w:color="auto" w:frame="1"/>
          <w:lang w:val="en-GB"/>
        </w:rPr>
        <w:t>) number of people.</w:t>
      </w:r>
      <w:r w:rsidRPr="00F7201B">
        <w:rPr>
          <w:rFonts w:ascii="Garamond" w:hAnsi="Garamond" w:cs="Times New Roman"/>
          <w:color w:val="000000" w:themeColor="text1"/>
          <w:sz w:val="22"/>
          <w:szCs w:val="22"/>
          <w:bdr w:val="none" w:sz="0" w:space="0" w:color="auto" w:frame="1"/>
          <w:vertAlign w:val="superscript"/>
          <w:lang w:val="en-GB"/>
        </w:rPr>
        <w:footnoteReference w:id="11"/>
      </w:r>
      <w:r w:rsidRPr="00F7201B">
        <w:rPr>
          <w:rFonts w:ascii="Garamond" w:hAnsi="Garamond" w:cs="Times New Roman"/>
          <w:color w:val="000000" w:themeColor="text1"/>
          <w:sz w:val="22"/>
          <w:szCs w:val="22"/>
          <w:bdr w:val="none" w:sz="0" w:space="0" w:color="auto" w:frame="1"/>
          <w:lang w:val="en-GB"/>
        </w:rPr>
        <w:t xml:space="preserve"> In the case of a communication concerning the same works as those covered by the initial communication and made by the same technical means (eg internet), the communication must be directed to a ‘new’ public. Derived from the interpretation given by the 1978 WIPO Guide to the Berne Convention of Article 11</w:t>
      </w:r>
      <w:r w:rsidRPr="00F7201B">
        <w:rPr>
          <w:rFonts w:ascii="Garamond" w:hAnsi="Garamond" w:cs="Times New Roman"/>
          <w:i/>
          <w:color w:val="000000" w:themeColor="text1"/>
          <w:sz w:val="22"/>
          <w:szCs w:val="22"/>
          <w:bdr w:val="none" w:sz="0" w:space="0" w:color="auto" w:frame="1"/>
          <w:lang w:val="en-GB"/>
        </w:rPr>
        <w:t>bis</w:t>
      </w:r>
      <w:r w:rsidRPr="00F7201B">
        <w:rPr>
          <w:rFonts w:ascii="Garamond" w:hAnsi="Garamond" w:cs="Times New Roman"/>
          <w:color w:val="000000" w:themeColor="text1"/>
          <w:sz w:val="22"/>
          <w:szCs w:val="22"/>
          <w:bdr w:val="none" w:sz="0" w:space="0" w:color="auto" w:frame="1"/>
          <w:lang w:val="en-GB"/>
        </w:rPr>
        <w:t>(1)(iii) of the Berne Convention a</w:t>
      </w:r>
      <w:r w:rsidR="00F870A8" w:rsidRPr="00F7201B">
        <w:rPr>
          <w:rFonts w:ascii="Garamond" w:hAnsi="Garamond" w:cs="Times New Roman"/>
          <w:color w:val="000000" w:themeColor="text1"/>
          <w:sz w:val="22"/>
          <w:szCs w:val="22"/>
          <w:bdr w:val="none" w:sz="0" w:space="0" w:color="auto" w:frame="1"/>
          <w:lang w:val="en-GB"/>
        </w:rPr>
        <w:t>s first employed by Advocate General (AG)</w:t>
      </w:r>
      <w:r w:rsidRPr="00F7201B">
        <w:rPr>
          <w:rFonts w:ascii="Garamond" w:hAnsi="Garamond" w:cs="Times New Roman"/>
          <w:color w:val="000000" w:themeColor="text1"/>
          <w:sz w:val="22"/>
          <w:szCs w:val="22"/>
          <w:bdr w:val="none" w:sz="0" w:space="0" w:color="auto" w:frame="1"/>
          <w:lang w:val="en-GB"/>
        </w:rPr>
        <w:t xml:space="preserve"> La Pergola in his Opinion in </w:t>
      </w:r>
      <w:r w:rsidRPr="00F7201B">
        <w:rPr>
          <w:rFonts w:ascii="Garamond" w:hAnsi="Garamond" w:cs="Times New Roman"/>
          <w:i/>
          <w:color w:val="000000" w:themeColor="text1"/>
          <w:sz w:val="22"/>
          <w:szCs w:val="22"/>
          <w:bdr w:val="none" w:sz="0" w:space="0" w:color="auto" w:frame="1"/>
          <w:lang w:val="en-GB"/>
        </w:rPr>
        <w:t>EGEDA</w:t>
      </w:r>
      <w:r w:rsidRPr="00F7201B">
        <w:rPr>
          <w:rFonts w:ascii="Garamond" w:hAnsi="Garamond" w:cs="Times New Roman"/>
          <w:color w:val="000000" w:themeColor="text1"/>
          <w:sz w:val="22"/>
          <w:szCs w:val="22"/>
          <w:bdr w:val="none" w:sz="0" w:space="0" w:color="auto" w:frame="1"/>
          <w:lang w:val="en-GB"/>
        </w:rPr>
        <w:t>, C-293/98</w:t>
      </w:r>
      <w:r w:rsidRPr="00F7201B">
        <w:rPr>
          <w:rStyle w:val="FootnoteReference"/>
          <w:rFonts w:ascii="Garamond" w:hAnsi="Garamond" w:cs="Times New Roman"/>
          <w:color w:val="000000" w:themeColor="text1"/>
          <w:sz w:val="22"/>
          <w:szCs w:val="22"/>
          <w:bdr w:val="none" w:sz="0" w:space="0" w:color="auto" w:frame="1"/>
          <w:lang w:val="en-GB"/>
        </w:rPr>
        <w:footnoteReference w:id="12"/>
      </w:r>
      <w:r w:rsidRPr="00F7201B">
        <w:rPr>
          <w:rFonts w:ascii="Garamond" w:hAnsi="Garamond" w:cs="Times New Roman"/>
          <w:color w:val="000000" w:themeColor="text1"/>
          <w:sz w:val="22"/>
          <w:szCs w:val="22"/>
          <w:bdr w:val="none" w:sz="0" w:space="0" w:color="auto" w:frame="1"/>
          <w:lang w:val="en-GB"/>
        </w:rPr>
        <w:t xml:space="preserve">, the ‘new public’ that is relevant to the establishment of Article 3(1) applicability is the public which was not taken into account by the relevant rightholder when </w:t>
      </w:r>
      <w:r w:rsidR="00766E2C">
        <w:rPr>
          <w:rFonts w:ascii="Garamond" w:hAnsi="Garamond" w:cs="Times New Roman"/>
          <w:color w:val="000000" w:themeColor="text1"/>
          <w:sz w:val="22"/>
          <w:szCs w:val="22"/>
          <w:bdr w:val="none" w:sz="0" w:space="0" w:color="auto" w:frame="1"/>
          <w:lang w:val="en-GB"/>
        </w:rPr>
        <w:t>they</w:t>
      </w:r>
      <w:r w:rsidRPr="00F7201B">
        <w:rPr>
          <w:rFonts w:ascii="Garamond" w:hAnsi="Garamond" w:cs="Times New Roman"/>
          <w:color w:val="000000" w:themeColor="text1"/>
          <w:sz w:val="22"/>
          <w:szCs w:val="22"/>
          <w:bdr w:val="none" w:sz="0" w:space="0" w:color="auto" w:frame="1"/>
          <w:lang w:val="en-GB"/>
        </w:rPr>
        <w:t xml:space="preserve"> authorized the initial communication to the public.</w:t>
      </w:r>
      <w:r w:rsidRPr="00F7201B">
        <w:rPr>
          <w:rFonts w:ascii="Garamond" w:hAnsi="Garamond" w:cs="Times New Roman"/>
          <w:color w:val="000000" w:themeColor="text1"/>
          <w:sz w:val="22"/>
          <w:szCs w:val="22"/>
          <w:bdr w:val="none" w:sz="0" w:space="0" w:color="auto" w:frame="1"/>
          <w:vertAlign w:val="superscript"/>
          <w:lang w:val="en-GB"/>
        </w:rPr>
        <w:footnoteReference w:id="13"/>
      </w:r>
      <w:r w:rsidRPr="00F7201B">
        <w:rPr>
          <w:rFonts w:ascii="Garamond" w:hAnsi="Garamond" w:cs="Times New Roman"/>
          <w:color w:val="000000" w:themeColor="text1"/>
          <w:sz w:val="22"/>
          <w:szCs w:val="22"/>
          <w:bdr w:val="none" w:sz="0" w:space="0" w:color="auto" w:frame="1"/>
          <w:lang w:val="en-GB"/>
        </w:rPr>
        <w:t xml:space="preserve">  </w:t>
      </w:r>
    </w:p>
    <w:p w14:paraId="1B151CCA" w14:textId="77777777" w:rsidR="00EB0721" w:rsidRPr="00F7201B" w:rsidRDefault="00EB0721" w:rsidP="004F24CD">
      <w:pPr>
        <w:spacing w:line="360" w:lineRule="auto"/>
        <w:jc w:val="both"/>
        <w:rPr>
          <w:rFonts w:ascii="Garamond" w:hAnsi="Garamond" w:cs="Times New Roman"/>
          <w:color w:val="000000" w:themeColor="text1"/>
          <w:sz w:val="22"/>
          <w:szCs w:val="22"/>
          <w:bdr w:val="none" w:sz="0" w:space="0" w:color="auto" w:frame="1"/>
          <w:lang w:val="en-GB"/>
        </w:rPr>
      </w:pPr>
    </w:p>
    <w:p w14:paraId="13FE1F3E" w14:textId="6C813606" w:rsidR="00EB0721" w:rsidRPr="00F7201B" w:rsidRDefault="00EB0721" w:rsidP="004F24CD">
      <w:pPr>
        <w:spacing w:line="360" w:lineRule="auto"/>
        <w:jc w:val="both"/>
        <w:rPr>
          <w:rFonts w:ascii="Garamond" w:hAnsi="Garamond" w:cs="Times New Roman"/>
          <w:color w:val="000000" w:themeColor="text1"/>
          <w:sz w:val="22"/>
          <w:szCs w:val="22"/>
          <w:bdr w:val="none" w:sz="0" w:space="0" w:color="auto" w:frame="1"/>
          <w:lang w:val="en-GB"/>
        </w:rPr>
      </w:pPr>
      <w:r w:rsidRPr="00F7201B">
        <w:rPr>
          <w:rFonts w:ascii="Garamond" w:hAnsi="Garamond" w:cs="Times New Roman"/>
          <w:color w:val="000000" w:themeColor="text1"/>
          <w:sz w:val="22"/>
          <w:szCs w:val="22"/>
          <w:bdr w:val="none" w:sz="0" w:space="0" w:color="auto" w:frame="1"/>
          <w:lang w:val="en-GB"/>
        </w:rPr>
        <w:t>With regard to the notion of ‘act of communication’, case law appears now solidly oriented in the sense of requiring the mere making available of a copyright work – not also its actual transmission</w:t>
      </w:r>
      <w:r w:rsidRPr="00F7201B">
        <w:rPr>
          <w:rFonts w:ascii="Garamond" w:hAnsi="Garamond" w:cs="Times New Roman"/>
          <w:color w:val="000000" w:themeColor="text1"/>
          <w:sz w:val="22"/>
          <w:szCs w:val="22"/>
          <w:bdr w:val="none" w:sz="0" w:space="0" w:color="auto" w:frame="1"/>
          <w:vertAlign w:val="superscript"/>
          <w:lang w:val="en-GB"/>
        </w:rPr>
        <w:footnoteReference w:id="14"/>
      </w:r>
      <w:r w:rsidRPr="00F7201B">
        <w:rPr>
          <w:rFonts w:ascii="Garamond" w:hAnsi="Garamond" w:cs="Times New Roman"/>
          <w:color w:val="000000" w:themeColor="text1"/>
          <w:sz w:val="22"/>
          <w:szCs w:val="22"/>
          <w:bdr w:val="none" w:sz="0" w:space="0" w:color="auto" w:frame="1"/>
          <w:lang w:val="en-GB"/>
        </w:rPr>
        <w:t xml:space="preserve"> – in such a way that the persons forming the public may access it, irrespective of whether they avail themselves of such opportunity.</w:t>
      </w:r>
      <w:r w:rsidRPr="00F7201B">
        <w:rPr>
          <w:rFonts w:ascii="Garamond" w:hAnsi="Garamond" w:cs="Times New Roman"/>
          <w:color w:val="000000" w:themeColor="text1"/>
          <w:sz w:val="22"/>
          <w:szCs w:val="22"/>
          <w:bdr w:val="none" w:sz="0" w:space="0" w:color="auto" w:frame="1"/>
          <w:vertAlign w:val="superscript"/>
          <w:lang w:val="en-GB"/>
        </w:rPr>
        <w:footnoteReference w:id="15"/>
      </w:r>
      <w:r w:rsidR="00F870A8" w:rsidRPr="00F7201B">
        <w:rPr>
          <w:rFonts w:ascii="Garamond" w:hAnsi="Garamond" w:cs="Times New Roman"/>
          <w:color w:val="000000" w:themeColor="text1"/>
          <w:sz w:val="22"/>
          <w:szCs w:val="22"/>
          <w:bdr w:val="none" w:sz="0" w:space="0" w:color="auto" w:frame="1"/>
          <w:lang w:val="en-GB"/>
        </w:rPr>
        <w:t xml:space="preserve"> </w:t>
      </w:r>
      <w:r w:rsidRPr="00F7201B">
        <w:rPr>
          <w:rFonts w:ascii="Garamond" w:hAnsi="Garamond" w:cs="Times New Roman"/>
          <w:color w:val="000000" w:themeColor="text1"/>
          <w:sz w:val="22"/>
          <w:szCs w:val="22"/>
          <w:bdr w:val="none" w:sz="0" w:space="0" w:color="auto" w:frame="1"/>
          <w:lang w:val="en-GB"/>
        </w:rPr>
        <w:t>In cases where the CJEU has held the making available of a work sufficient, the Court has however indicated the need to consider whether there is a necessary and deliberate intervention on the side of the user/defendant, without which third parties could not access the work at issue. More specifically, the user makes an act of communication when it intervenes – in full knowledge of the consequences of its action – to give access to a protected work to its customers, and does so, in particular, where, in the absence of that intervention, their customers would not, in principle, be able to enjoy the work.</w:t>
      </w:r>
      <w:r w:rsidRPr="00F7201B">
        <w:rPr>
          <w:rFonts w:ascii="Garamond" w:hAnsi="Garamond" w:cs="Times New Roman"/>
          <w:color w:val="000000" w:themeColor="text1"/>
          <w:sz w:val="22"/>
          <w:szCs w:val="22"/>
          <w:bdr w:val="none" w:sz="0" w:space="0" w:color="auto" w:frame="1"/>
          <w:vertAlign w:val="superscript"/>
          <w:lang w:val="en-GB"/>
        </w:rPr>
        <w:footnoteReference w:id="16"/>
      </w:r>
      <w:r w:rsidRPr="00F7201B">
        <w:rPr>
          <w:rFonts w:ascii="Garamond" w:hAnsi="Garamond" w:cs="Times New Roman"/>
          <w:color w:val="000000" w:themeColor="text1"/>
          <w:sz w:val="22"/>
          <w:szCs w:val="22"/>
          <w:bdr w:val="none" w:sz="0" w:space="0" w:color="auto" w:frame="1"/>
          <w:lang w:val="en-GB"/>
        </w:rPr>
        <w:t xml:space="preserve"> With particular regard to the notion of indispensability of one’s own intervention, the Court has recently clarified that an intervention which </w:t>
      </w:r>
      <w:r w:rsidRPr="00F7201B">
        <w:rPr>
          <w:rFonts w:ascii="Garamond" w:hAnsi="Garamond" w:cs="Times New Roman"/>
          <w:i/>
          <w:color w:val="000000" w:themeColor="text1"/>
          <w:sz w:val="22"/>
          <w:szCs w:val="22"/>
          <w:bdr w:val="none" w:sz="0" w:space="0" w:color="auto" w:frame="1"/>
          <w:lang w:val="en-GB"/>
        </w:rPr>
        <w:t>facilitates</w:t>
      </w:r>
      <w:r w:rsidRPr="00F7201B">
        <w:rPr>
          <w:rFonts w:ascii="Garamond" w:hAnsi="Garamond" w:cs="Times New Roman"/>
          <w:color w:val="000000" w:themeColor="text1"/>
          <w:sz w:val="22"/>
          <w:szCs w:val="22"/>
          <w:bdr w:val="none" w:sz="0" w:space="0" w:color="auto" w:frame="1"/>
          <w:lang w:val="en-GB"/>
        </w:rPr>
        <w:t xml:space="preserve"> access to unlicensed content that would be otherwise more difficult to locate qualifies as an ‘indispensable intervention’.</w:t>
      </w:r>
      <w:r w:rsidR="00766E2C">
        <w:rPr>
          <w:rStyle w:val="FootnoteReference"/>
          <w:rFonts w:ascii="Garamond" w:hAnsi="Garamond" w:cs="Times New Roman"/>
          <w:color w:val="000000" w:themeColor="text1"/>
          <w:sz w:val="22"/>
          <w:szCs w:val="22"/>
          <w:bdr w:val="none" w:sz="0" w:space="0" w:color="auto" w:frame="1"/>
          <w:lang w:val="en-GB"/>
        </w:rPr>
        <w:footnoteReference w:id="17"/>
      </w:r>
      <w:r w:rsidRPr="00F7201B">
        <w:rPr>
          <w:rFonts w:ascii="Garamond" w:hAnsi="Garamond" w:cs="Times New Roman"/>
          <w:color w:val="000000" w:themeColor="text1"/>
          <w:sz w:val="22"/>
          <w:szCs w:val="22"/>
          <w:bdr w:val="none" w:sz="0" w:space="0" w:color="auto" w:frame="1"/>
          <w:lang w:val="en-GB"/>
        </w:rPr>
        <w:t xml:space="preserve"> Over time the CJEU has </w:t>
      </w:r>
      <w:r w:rsidR="00766E2C">
        <w:rPr>
          <w:rFonts w:ascii="Garamond" w:hAnsi="Garamond" w:cs="Times New Roman"/>
          <w:color w:val="000000" w:themeColor="text1"/>
          <w:sz w:val="22"/>
          <w:szCs w:val="22"/>
          <w:bdr w:val="none" w:sz="0" w:space="0" w:color="auto" w:frame="1"/>
          <w:lang w:val="en-GB"/>
        </w:rPr>
        <w:t xml:space="preserve">indeed </w:t>
      </w:r>
      <w:r w:rsidRPr="00F7201B">
        <w:rPr>
          <w:rFonts w:ascii="Garamond" w:hAnsi="Garamond" w:cs="Times New Roman"/>
          <w:color w:val="000000" w:themeColor="text1"/>
          <w:sz w:val="22"/>
          <w:szCs w:val="22"/>
          <w:bdr w:val="none" w:sz="0" w:space="0" w:color="auto" w:frame="1"/>
          <w:lang w:val="en-GB"/>
        </w:rPr>
        <w:t xml:space="preserve">dismissed attempts to interpret this criterion narrowly. A clear example is </w:t>
      </w:r>
      <w:r w:rsidRPr="00F7201B">
        <w:rPr>
          <w:rFonts w:ascii="Garamond" w:hAnsi="Garamond" w:cs="Times New Roman"/>
          <w:i/>
          <w:color w:val="000000" w:themeColor="text1"/>
          <w:sz w:val="22"/>
          <w:szCs w:val="22"/>
          <w:bdr w:val="none" w:sz="0" w:space="0" w:color="auto" w:frame="1"/>
          <w:lang w:val="en-GB"/>
        </w:rPr>
        <w:t>GS Media</w:t>
      </w:r>
      <w:r w:rsidRPr="00F7201B">
        <w:rPr>
          <w:rFonts w:ascii="Garamond" w:hAnsi="Garamond" w:cs="Times New Roman"/>
          <w:color w:val="000000" w:themeColor="text1"/>
          <w:sz w:val="22"/>
          <w:szCs w:val="22"/>
          <w:bdr w:val="none" w:sz="0" w:space="0" w:color="auto" w:frame="1"/>
          <w:lang w:val="en-GB"/>
        </w:rPr>
        <w:t xml:space="preserve">, C-160/15. In his Opinion in that case AG Wathelet had excluded </w:t>
      </w:r>
      <w:r w:rsidRPr="00F7201B">
        <w:rPr>
          <w:rFonts w:ascii="Garamond" w:hAnsi="Garamond" w:cs="Times New Roman"/>
          <w:i/>
          <w:color w:val="000000" w:themeColor="text1"/>
          <w:sz w:val="22"/>
          <w:szCs w:val="22"/>
          <w:bdr w:val="none" w:sz="0" w:space="0" w:color="auto" w:frame="1"/>
          <w:lang w:val="en-GB"/>
        </w:rPr>
        <w:t>tout court</w:t>
      </w:r>
      <w:r w:rsidRPr="00F7201B">
        <w:rPr>
          <w:rFonts w:ascii="Garamond" w:hAnsi="Garamond" w:cs="Times New Roman"/>
          <w:color w:val="000000" w:themeColor="text1"/>
          <w:sz w:val="22"/>
          <w:szCs w:val="22"/>
          <w:bdr w:val="none" w:sz="0" w:space="0" w:color="auto" w:frame="1"/>
          <w:lang w:val="en-GB"/>
        </w:rPr>
        <w:t xml:space="preserve"> that the unauthorized provision of a link to a copyright work – whether published with the consent of the rightholder or not – could be classified as an act of communication to the public. This would be so on consideration that, to establish an act of communication, the intervention of the ‘hyperlinker’ must be vital or indispensable in order to benefit from or enjoy the relevant copyright work. Hyperlinks posted on a website that direct to copyright works freely accessible on another website cannot be classified as an ‘act of communication’: the intervention of the operator of the website that posts the hyperlinks is not indispensable to the making available of the works in question to users.</w:t>
      </w:r>
      <w:r w:rsidRPr="00F7201B">
        <w:rPr>
          <w:rFonts w:ascii="Garamond" w:hAnsi="Garamond" w:cs="Times New Roman"/>
          <w:color w:val="000000" w:themeColor="text1"/>
          <w:sz w:val="22"/>
          <w:szCs w:val="22"/>
          <w:bdr w:val="none" w:sz="0" w:space="0" w:color="auto" w:frame="1"/>
          <w:vertAlign w:val="superscript"/>
          <w:lang w:val="en-GB"/>
        </w:rPr>
        <w:footnoteReference w:id="18"/>
      </w:r>
    </w:p>
    <w:p w14:paraId="1701474C" w14:textId="77777777" w:rsidR="00EB0721" w:rsidRPr="00F7201B" w:rsidRDefault="00EB0721" w:rsidP="004F24CD">
      <w:pPr>
        <w:spacing w:line="360" w:lineRule="auto"/>
        <w:jc w:val="both"/>
        <w:rPr>
          <w:rFonts w:ascii="Garamond" w:hAnsi="Garamond" w:cs="Times New Roman"/>
          <w:color w:val="000000" w:themeColor="text1"/>
          <w:sz w:val="22"/>
          <w:szCs w:val="22"/>
          <w:bdr w:val="none" w:sz="0" w:space="0" w:color="auto" w:frame="1"/>
          <w:lang w:val="en-GB"/>
        </w:rPr>
      </w:pPr>
    </w:p>
    <w:p w14:paraId="2718E3CF" w14:textId="77777777" w:rsidR="00EB0721" w:rsidRPr="00F7201B" w:rsidRDefault="00EB0721" w:rsidP="004F24CD">
      <w:pPr>
        <w:spacing w:line="360" w:lineRule="auto"/>
        <w:jc w:val="both"/>
        <w:rPr>
          <w:rFonts w:ascii="Garamond" w:hAnsi="Garamond" w:cs="Times New Roman"/>
          <w:color w:val="000000" w:themeColor="text1"/>
          <w:sz w:val="22"/>
          <w:szCs w:val="22"/>
          <w:bdr w:val="none" w:sz="0" w:space="0" w:color="auto" w:frame="1"/>
          <w:lang w:val="en-GB"/>
        </w:rPr>
      </w:pPr>
      <w:r w:rsidRPr="00F7201B">
        <w:rPr>
          <w:rFonts w:ascii="Garamond" w:hAnsi="Garamond" w:cs="Times New Roman"/>
          <w:color w:val="000000" w:themeColor="text1"/>
          <w:sz w:val="22"/>
          <w:szCs w:val="22"/>
          <w:bdr w:val="none" w:sz="0" w:space="0" w:color="auto" w:frame="1"/>
          <w:lang w:val="en-GB"/>
        </w:rPr>
        <w:t>Another criterion considered by the CJEU is whether the user/defendant merely provides physical facilities or not. While the mere provision of physical facilities does not amount to an act of communication to the public (Recital 27), the installation of such facilities may make the public access to copyright works technically possible, and thus fall within the scope of Article 3(1) of the InfoSoc Directive.</w:t>
      </w:r>
      <w:r w:rsidRPr="00F7201B">
        <w:rPr>
          <w:rFonts w:ascii="Garamond" w:hAnsi="Garamond" w:cs="Times New Roman"/>
          <w:color w:val="000000" w:themeColor="text1"/>
          <w:sz w:val="22"/>
          <w:szCs w:val="22"/>
          <w:bdr w:val="none" w:sz="0" w:space="0" w:color="auto" w:frame="1"/>
          <w:vertAlign w:val="superscript"/>
          <w:lang w:val="en-GB"/>
        </w:rPr>
        <w:footnoteReference w:id="19"/>
      </w:r>
      <w:r w:rsidRPr="00F7201B">
        <w:rPr>
          <w:rFonts w:ascii="Garamond" w:hAnsi="Garamond" w:cs="Times New Roman"/>
          <w:color w:val="000000" w:themeColor="text1"/>
          <w:sz w:val="22"/>
          <w:szCs w:val="22"/>
          <w:bdr w:val="none" w:sz="0" w:space="0" w:color="auto" w:frame="1"/>
          <w:lang w:val="en-GB"/>
        </w:rPr>
        <w:t xml:space="preserve"> </w:t>
      </w:r>
    </w:p>
    <w:p w14:paraId="00E854B2" w14:textId="77777777" w:rsidR="00EB0721" w:rsidRPr="00F7201B" w:rsidRDefault="00EB0721" w:rsidP="004F24CD">
      <w:pPr>
        <w:spacing w:line="360" w:lineRule="auto"/>
        <w:jc w:val="both"/>
        <w:rPr>
          <w:rFonts w:ascii="Garamond" w:hAnsi="Garamond" w:cs="Times New Roman"/>
          <w:color w:val="000000" w:themeColor="text1"/>
          <w:sz w:val="22"/>
          <w:szCs w:val="22"/>
          <w:bdr w:val="none" w:sz="0" w:space="0" w:color="auto" w:frame="1"/>
          <w:lang w:val="en-GB"/>
        </w:rPr>
      </w:pPr>
    </w:p>
    <w:p w14:paraId="6C05D1A1" w14:textId="1301D524" w:rsidR="00EB0721" w:rsidRPr="00F7201B" w:rsidRDefault="00EB0721" w:rsidP="004F24CD">
      <w:pPr>
        <w:spacing w:line="360" w:lineRule="auto"/>
        <w:jc w:val="both"/>
        <w:rPr>
          <w:rFonts w:ascii="Garamond" w:eastAsia="Times New Roman" w:hAnsi="Garamond"/>
          <w:sz w:val="22"/>
          <w:szCs w:val="22"/>
          <w:lang w:val="en-GB"/>
        </w:rPr>
      </w:pPr>
      <w:r w:rsidRPr="00F7201B">
        <w:rPr>
          <w:rFonts w:ascii="Garamond" w:hAnsi="Garamond" w:cs="Times New Roman"/>
          <w:color w:val="000000" w:themeColor="text1"/>
          <w:sz w:val="22"/>
          <w:szCs w:val="22"/>
          <w:bdr w:val="none" w:sz="0" w:space="0" w:color="auto" w:frame="1"/>
          <w:lang w:val="en-GB"/>
        </w:rPr>
        <w:t xml:space="preserve">In addition to the requirements of an act of communication directed to a public, the Court has also considered – from time to time – other non-autonomous and interdependent criteria (having no clear textual basis), necessary to undertake an individual assessment of the case at issue. </w:t>
      </w:r>
      <w:r w:rsidRPr="00F7201B">
        <w:rPr>
          <w:rFonts w:ascii="Garamond" w:eastAsia="Times New Roman" w:hAnsi="Garamond"/>
          <w:sz w:val="22"/>
          <w:szCs w:val="22"/>
          <w:lang w:val="en-GB"/>
        </w:rPr>
        <w:t>Such criteria may, in different situations, be present to widely varying degrees. They must be applied both individually and in their interaction with one another.</w:t>
      </w:r>
      <w:r w:rsidRPr="00F7201B">
        <w:rPr>
          <w:rStyle w:val="FootnoteReference"/>
          <w:rFonts w:ascii="Garamond" w:eastAsia="Times New Roman" w:hAnsi="Garamond"/>
          <w:sz w:val="22"/>
          <w:szCs w:val="22"/>
          <w:lang w:val="en-GB"/>
        </w:rPr>
        <w:footnoteReference w:id="20"/>
      </w:r>
      <w:r w:rsidR="00F870A8" w:rsidRPr="00F7201B">
        <w:rPr>
          <w:rFonts w:ascii="Garamond" w:eastAsia="Times New Roman" w:hAnsi="Garamond"/>
          <w:sz w:val="22"/>
          <w:szCs w:val="22"/>
          <w:lang w:val="en-GB"/>
        </w:rPr>
        <w:t xml:space="preserve"> </w:t>
      </w:r>
      <w:r w:rsidRPr="00F7201B">
        <w:rPr>
          <w:rFonts w:ascii="Garamond" w:hAnsi="Garamond" w:cs="Times New Roman"/>
          <w:color w:val="000000" w:themeColor="text1"/>
          <w:sz w:val="22"/>
          <w:szCs w:val="22"/>
          <w:bdr w:val="none" w:sz="0" w:space="0" w:color="auto" w:frame="1"/>
          <w:lang w:val="en-GB"/>
        </w:rPr>
        <w:t xml:space="preserve">In </w:t>
      </w:r>
      <w:r w:rsidRPr="00F7201B">
        <w:rPr>
          <w:rFonts w:ascii="Garamond" w:hAnsi="Garamond" w:cs="Times New Roman"/>
          <w:i/>
          <w:color w:val="000000" w:themeColor="text1"/>
          <w:sz w:val="22"/>
          <w:szCs w:val="22"/>
          <w:bdr w:val="none" w:sz="0" w:space="0" w:color="auto" w:frame="1"/>
          <w:lang w:val="en-GB"/>
        </w:rPr>
        <w:t>GS Media</w:t>
      </w:r>
      <w:r w:rsidRPr="00F7201B">
        <w:rPr>
          <w:rFonts w:ascii="Garamond" w:hAnsi="Garamond" w:cs="Times New Roman"/>
          <w:color w:val="000000" w:themeColor="text1"/>
          <w:sz w:val="22"/>
          <w:szCs w:val="22"/>
          <w:bdr w:val="none" w:sz="0" w:space="0" w:color="auto" w:frame="1"/>
          <w:lang w:val="en-GB"/>
        </w:rPr>
        <w:t xml:space="preserve">, C-160/15 the Court, among other things, relied in particular on the ‘profit-making’ character of the communication at issue to determine potential liability of the ‘hyperlinker’ for the posting of links to unlicensed content. Prior to </w:t>
      </w:r>
      <w:r w:rsidRPr="00F7201B">
        <w:rPr>
          <w:rFonts w:ascii="Garamond" w:hAnsi="Garamond" w:cs="Times New Roman"/>
          <w:i/>
          <w:color w:val="000000" w:themeColor="text1"/>
          <w:sz w:val="22"/>
          <w:szCs w:val="22"/>
          <w:bdr w:val="none" w:sz="0" w:space="0" w:color="auto" w:frame="1"/>
          <w:lang w:val="en-GB"/>
        </w:rPr>
        <w:t>GS Media</w:t>
      </w:r>
      <w:r w:rsidRPr="00F7201B">
        <w:rPr>
          <w:rFonts w:ascii="Garamond" w:hAnsi="Garamond" w:cs="Times New Roman"/>
          <w:color w:val="000000" w:themeColor="text1"/>
          <w:sz w:val="22"/>
          <w:szCs w:val="22"/>
          <w:bdr w:val="none" w:sz="0" w:space="0" w:color="auto" w:frame="1"/>
          <w:lang w:val="en-GB"/>
        </w:rPr>
        <w:t xml:space="preserve">, C-160/15, the profit-making character of the communication at issue had not been given the centrality that it did instead acquire in that case: in </w:t>
      </w:r>
      <w:r w:rsidRPr="00F7201B">
        <w:rPr>
          <w:rFonts w:ascii="Garamond" w:hAnsi="Garamond" w:cs="Times New Roman"/>
          <w:i/>
          <w:color w:val="000000" w:themeColor="text1"/>
          <w:sz w:val="22"/>
          <w:szCs w:val="22"/>
          <w:bdr w:val="none" w:sz="0" w:space="0" w:color="auto" w:frame="1"/>
          <w:lang w:val="en-GB"/>
        </w:rPr>
        <w:t>Reha Training</w:t>
      </w:r>
      <w:r w:rsidRPr="00F7201B">
        <w:rPr>
          <w:rFonts w:ascii="Garamond" w:hAnsi="Garamond" w:cs="Times New Roman"/>
          <w:color w:val="000000" w:themeColor="text1"/>
          <w:sz w:val="22"/>
          <w:szCs w:val="22"/>
          <w:bdr w:val="none" w:sz="0" w:space="0" w:color="auto" w:frame="1"/>
          <w:lang w:val="en-GB"/>
        </w:rPr>
        <w:t>, C-117/15, for instance, the Grand Chamber of the CJEU considered that this criterion, while not irrelevant, would not be however decisive.</w:t>
      </w:r>
      <w:r w:rsidRPr="00F7201B">
        <w:rPr>
          <w:rStyle w:val="FootnoteReference"/>
          <w:rFonts w:ascii="Garamond" w:hAnsi="Garamond" w:cs="Times New Roman"/>
          <w:color w:val="000000" w:themeColor="text1"/>
          <w:sz w:val="22"/>
          <w:szCs w:val="22"/>
          <w:bdr w:val="none" w:sz="0" w:space="0" w:color="auto" w:frame="1"/>
          <w:lang w:val="en-GB"/>
        </w:rPr>
        <w:footnoteReference w:id="21"/>
      </w:r>
      <w:r w:rsidRPr="00F7201B">
        <w:rPr>
          <w:rFonts w:ascii="Garamond" w:hAnsi="Garamond" w:cs="Times New Roman"/>
          <w:color w:val="000000" w:themeColor="text1"/>
          <w:sz w:val="22"/>
          <w:szCs w:val="22"/>
          <w:bdr w:val="none" w:sz="0" w:space="0" w:color="auto" w:frame="1"/>
          <w:lang w:val="en-GB"/>
        </w:rPr>
        <w:t xml:space="preserve"> In </w:t>
      </w:r>
      <w:r w:rsidRPr="00F7201B">
        <w:rPr>
          <w:rFonts w:ascii="Garamond" w:hAnsi="Garamond" w:cs="Times New Roman"/>
          <w:i/>
          <w:color w:val="000000" w:themeColor="text1"/>
          <w:sz w:val="22"/>
          <w:szCs w:val="22"/>
          <w:bdr w:val="none" w:sz="0" w:space="0" w:color="auto" w:frame="1"/>
          <w:lang w:val="en-GB"/>
        </w:rPr>
        <w:t>GS Media</w:t>
      </w:r>
      <w:r w:rsidRPr="00F7201B">
        <w:rPr>
          <w:rFonts w:ascii="Garamond" w:hAnsi="Garamond" w:cs="Times New Roman"/>
          <w:color w:val="000000" w:themeColor="text1"/>
          <w:sz w:val="22"/>
          <w:szCs w:val="22"/>
          <w:bdr w:val="none" w:sz="0" w:space="0" w:color="auto" w:frame="1"/>
          <w:lang w:val="en-GB"/>
        </w:rPr>
        <w:t>, C-160/15, instead, the Court adopted a rebuttable presumption that ‘when the posting of hyperlinks is carried out for profit, it can be expected that the person who posted such a link carries out the necessary checks to ensure that the work concerned is not illegally published on the website to which those hyperlinks lead, so that it must be presumed that that posting has occurred with the full knowledge of the protected nature of that work and the possible lack of consent to publication on the internet by the copyright holder.’</w:t>
      </w:r>
      <w:r w:rsidRPr="00F7201B">
        <w:rPr>
          <w:rFonts w:ascii="Garamond" w:hAnsi="Garamond" w:cs="Times New Roman"/>
          <w:color w:val="000000" w:themeColor="text1"/>
          <w:sz w:val="22"/>
          <w:szCs w:val="22"/>
          <w:bdr w:val="none" w:sz="0" w:space="0" w:color="auto" w:frame="1"/>
          <w:vertAlign w:val="superscript"/>
          <w:lang w:val="en-GB"/>
        </w:rPr>
        <w:footnoteReference w:id="22"/>
      </w:r>
      <w:r w:rsidRPr="00F7201B">
        <w:rPr>
          <w:rFonts w:ascii="Garamond" w:hAnsi="Garamond" w:cs="Times New Roman"/>
          <w:color w:val="000000" w:themeColor="text1"/>
          <w:sz w:val="22"/>
          <w:szCs w:val="22"/>
          <w:bdr w:val="none" w:sz="0" w:space="0" w:color="auto" w:frame="1"/>
          <w:lang w:val="en-GB"/>
        </w:rPr>
        <w:t xml:space="preserve"> Overall, in the context of communication to the public by linking, the Court deemed it necessary to move towards an assessment in which the subjective element is decisive </w:t>
      </w:r>
      <w:r w:rsidR="00766E2C">
        <w:rPr>
          <w:rFonts w:ascii="Garamond" w:hAnsi="Garamond" w:cs="Times New Roman"/>
          <w:color w:val="000000" w:themeColor="text1"/>
          <w:sz w:val="22"/>
          <w:szCs w:val="22"/>
          <w:bdr w:val="none" w:sz="0" w:space="0" w:color="auto" w:frame="1"/>
          <w:lang w:val="en-GB"/>
        </w:rPr>
        <w:t>for determining</w:t>
      </w:r>
      <w:r w:rsidRPr="00F7201B">
        <w:rPr>
          <w:rFonts w:ascii="Garamond" w:hAnsi="Garamond" w:cs="Times New Roman"/>
          <w:color w:val="000000" w:themeColor="text1"/>
          <w:sz w:val="22"/>
          <w:szCs w:val="22"/>
          <w:bdr w:val="none" w:sz="0" w:space="0" w:color="auto" w:frame="1"/>
          <w:lang w:val="en-GB"/>
        </w:rPr>
        <w:t xml:space="preserve"> </w:t>
      </w:r>
      <w:r w:rsidRPr="00F7201B">
        <w:rPr>
          <w:rFonts w:ascii="Garamond" w:hAnsi="Garamond" w:cs="Times New Roman"/>
          <w:i/>
          <w:color w:val="000000" w:themeColor="text1"/>
          <w:sz w:val="22"/>
          <w:szCs w:val="22"/>
          <w:bdr w:val="none" w:sz="0" w:space="0" w:color="auto" w:frame="1"/>
          <w:lang w:val="en-GB"/>
        </w:rPr>
        <w:t>prima facie</w:t>
      </w:r>
      <w:r w:rsidRPr="00F7201B">
        <w:rPr>
          <w:rFonts w:ascii="Garamond" w:hAnsi="Garamond" w:cs="Times New Roman"/>
          <w:color w:val="000000" w:themeColor="text1"/>
          <w:sz w:val="22"/>
          <w:szCs w:val="22"/>
          <w:bdr w:val="none" w:sz="0" w:space="0" w:color="auto" w:frame="1"/>
          <w:lang w:val="en-GB"/>
        </w:rPr>
        <w:t xml:space="preserve"> liability.</w:t>
      </w:r>
      <w:r w:rsidRPr="00F7201B">
        <w:rPr>
          <w:rStyle w:val="FootnoteReference"/>
          <w:rFonts w:ascii="Garamond" w:hAnsi="Garamond" w:cs="Times New Roman"/>
          <w:color w:val="000000" w:themeColor="text1"/>
          <w:sz w:val="22"/>
          <w:szCs w:val="22"/>
          <w:bdr w:val="none" w:sz="0" w:space="0" w:color="auto" w:frame="1"/>
          <w:lang w:val="en-GB"/>
        </w:rPr>
        <w:footnoteReference w:id="23"/>
      </w:r>
    </w:p>
    <w:p w14:paraId="36480AB2" w14:textId="77777777" w:rsidR="00EB0721" w:rsidRPr="00F7201B" w:rsidRDefault="00EB0721" w:rsidP="004F24CD">
      <w:pPr>
        <w:spacing w:line="360" w:lineRule="auto"/>
        <w:jc w:val="both"/>
        <w:rPr>
          <w:rFonts w:ascii="Garamond" w:hAnsi="Garamond" w:cs="Times New Roman"/>
          <w:color w:val="000000" w:themeColor="text1"/>
          <w:sz w:val="22"/>
          <w:szCs w:val="22"/>
          <w:bdr w:val="none" w:sz="0" w:space="0" w:color="auto" w:frame="1"/>
          <w:lang w:val="en-GB"/>
        </w:rPr>
      </w:pPr>
    </w:p>
    <w:p w14:paraId="04CF21C3" w14:textId="560473E8" w:rsidR="00EB0721" w:rsidRPr="00F7201B" w:rsidRDefault="00EB0721" w:rsidP="004F24CD">
      <w:pPr>
        <w:spacing w:line="360" w:lineRule="auto"/>
        <w:jc w:val="both"/>
        <w:rPr>
          <w:rFonts w:ascii="Garamond" w:hAnsi="Garamond" w:cs="Times New Roman"/>
          <w:color w:val="000000" w:themeColor="text1"/>
          <w:sz w:val="22"/>
          <w:szCs w:val="22"/>
          <w:bdr w:val="none" w:sz="0" w:space="0" w:color="auto" w:frame="1"/>
          <w:lang w:val="en-GB"/>
        </w:rPr>
      </w:pPr>
      <w:r w:rsidRPr="00F7201B">
        <w:rPr>
          <w:rFonts w:ascii="Garamond" w:hAnsi="Garamond" w:cs="Times New Roman"/>
          <w:color w:val="000000" w:themeColor="text1"/>
          <w:sz w:val="22"/>
          <w:szCs w:val="22"/>
          <w:bdr w:val="none" w:sz="0" w:space="0" w:color="auto" w:frame="1"/>
          <w:lang w:val="en-GB"/>
        </w:rPr>
        <w:t xml:space="preserve">The operation of this presumption was confirmed in the subsequent ruling in </w:t>
      </w:r>
      <w:r w:rsidRPr="00F7201B">
        <w:rPr>
          <w:rFonts w:ascii="Garamond" w:hAnsi="Garamond" w:cs="Times New Roman"/>
          <w:i/>
          <w:color w:val="000000" w:themeColor="text1"/>
          <w:sz w:val="22"/>
          <w:szCs w:val="22"/>
          <w:bdr w:val="none" w:sz="0" w:space="0" w:color="auto" w:frame="1"/>
          <w:lang w:val="en-GB"/>
        </w:rPr>
        <w:t>Stichting Brein</w:t>
      </w:r>
      <w:r w:rsidRPr="00F7201B">
        <w:rPr>
          <w:rFonts w:ascii="Garamond" w:hAnsi="Garamond" w:cs="Times New Roman"/>
          <w:color w:val="000000" w:themeColor="text1"/>
          <w:sz w:val="22"/>
          <w:szCs w:val="22"/>
          <w:bdr w:val="none" w:sz="0" w:space="0" w:color="auto" w:frame="1"/>
          <w:lang w:val="en-GB"/>
        </w:rPr>
        <w:t>, C-527/15.</w:t>
      </w:r>
      <w:r w:rsidRPr="00F7201B">
        <w:rPr>
          <w:rFonts w:ascii="Garamond" w:hAnsi="Garamond" w:cs="Times New Roman"/>
          <w:color w:val="000000" w:themeColor="text1"/>
          <w:sz w:val="22"/>
          <w:szCs w:val="22"/>
          <w:bdr w:val="none" w:sz="0" w:space="0" w:color="auto" w:frame="1"/>
          <w:vertAlign w:val="superscript"/>
          <w:lang w:val="en-GB"/>
        </w:rPr>
        <w:footnoteReference w:id="24"/>
      </w:r>
      <w:r w:rsidRPr="00F7201B">
        <w:rPr>
          <w:rFonts w:ascii="Garamond" w:hAnsi="Garamond" w:cs="Times New Roman"/>
          <w:color w:val="000000" w:themeColor="text1"/>
          <w:sz w:val="22"/>
          <w:szCs w:val="22"/>
          <w:bdr w:val="none" w:sz="0" w:space="0" w:color="auto" w:frame="1"/>
          <w:lang w:val="en-GB"/>
        </w:rPr>
        <w:t xml:space="preserve"> As discussed more at length elsewhere, it might not be self-evident whether the presence of a profit-making intention should be assessed in relation to the specific act of communication at hand, or the broader context in which such act is performed (see also below, </w:t>
      </w:r>
      <w:r w:rsidRPr="00F7201B">
        <w:rPr>
          <w:rFonts w:ascii="Garamond" w:hAnsi="Garamond" w:cs="Times New Roman"/>
          <w:i/>
          <w:color w:val="000000" w:themeColor="text1"/>
          <w:sz w:val="22"/>
          <w:szCs w:val="22"/>
          <w:bdr w:val="none" w:sz="0" w:space="0" w:color="auto" w:frame="1"/>
          <w:lang w:val="en-GB"/>
        </w:rPr>
        <w:t>sub</w:t>
      </w:r>
      <w:r w:rsidRPr="00F7201B">
        <w:rPr>
          <w:rFonts w:ascii="Garamond" w:hAnsi="Garamond" w:cs="Times New Roman"/>
          <w:color w:val="000000" w:themeColor="text1"/>
          <w:sz w:val="22"/>
          <w:szCs w:val="22"/>
          <w:bdr w:val="none" w:sz="0" w:space="0" w:color="auto" w:frame="1"/>
          <w:lang w:val="en-GB"/>
        </w:rPr>
        <w:t xml:space="preserve"> §</w:t>
      </w:r>
      <w:r w:rsidR="00595351">
        <w:rPr>
          <w:rFonts w:ascii="Garamond" w:hAnsi="Garamond" w:cs="Times New Roman"/>
          <w:color w:val="000000" w:themeColor="text1"/>
          <w:sz w:val="22"/>
          <w:szCs w:val="22"/>
          <w:bdr w:val="none" w:sz="0" w:space="0" w:color="auto" w:frame="1"/>
          <w:lang w:val="en-GB"/>
        </w:rPr>
        <w:t>2.3</w:t>
      </w:r>
      <w:r w:rsidRPr="00F7201B">
        <w:rPr>
          <w:rFonts w:ascii="Garamond" w:hAnsi="Garamond" w:cs="Times New Roman"/>
          <w:color w:val="000000" w:themeColor="text1"/>
          <w:sz w:val="22"/>
          <w:szCs w:val="22"/>
          <w:bdr w:val="none" w:sz="0" w:space="0" w:color="auto" w:frame="1"/>
          <w:lang w:val="en-GB"/>
        </w:rPr>
        <w:t xml:space="preserve">). Although both alternatives may be plausible, consideration of the context in which the relevant link is provided is more in line with existing CJEU case law, both preceding and following </w:t>
      </w:r>
      <w:r w:rsidRPr="00F7201B">
        <w:rPr>
          <w:rFonts w:ascii="Garamond" w:hAnsi="Garamond" w:cs="Times New Roman"/>
          <w:i/>
          <w:color w:val="000000" w:themeColor="text1"/>
          <w:sz w:val="22"/>
          <w:szCs w:val="22"/>
          <w:bdr w:val="none" w:sz="0" w:space="0" w:color="auto" w:frame="1"/>
          <w:lang w:val="en-GB"/>
        </w:rPr>
        <w:t>GS Media</w:t>
      </w:r>
      <w:r w:rsidRPr="00F7201B">
        <w:rPr>
          <w:rFonts w:ascii="Garamond" w:hAnsi="Garamond" w:cs="Times New Roman"/>
          <w:color w:val="000000" w:themeColor="text1"/>
          <w:sz w:val="22"/>
          <w:szCs w:val="22"/>
          <w:bdr w:val="none" w:sz="0" w:space="0" w:color="auto" w:frame="1"/>
          <w:lang w:val="en-GB"/>
        </w:rPr>
        <w:t>, C-160/15.</w:t>
      </w:r>
      <w:r w:rsidRPr="00F7201B">
        <w:rPr>
          <w:rFonts w:ascii="Garamond" w:hAnsi="Garamond" w:cs="Times New Roman"/>
          <w:color w:val="000000" w:themeColor="text1"/>
          <w:sz w:val="22"/>
          <w:szCs w:val="22"/>
          <w:bdr w:val="none" w:sz="0" w:space="0" w:color="auto" w:frame="1"/>
          <w:vertAlign w:val="superscript"/>
          <w:lang w:val="en-GB"/>
        </w:rPr>
        <w:footnoteReference w:id="25"/>
      </w:r>
      <w:r w:rsidRPr="00F7201B">
        <w:rPr>
          <w:rFonts w:ascii="Garamond" w:hAnsi="Garamond" w:cs="Times New Roman"/>
          <w:color w:val="000000" w:themeColor="text1"/>
          <w:sz w:val="22"/>
          <w:szCs w:val="22"/>
          <w:bdr w:val="none" w:sz="0" w:space="0" w:color="auto" w:frame="1"/>
          <w:lang w:val="en-GB"/>
        </w:rPr>
        <w:t xml:space="preserve"> In </w:t>
      </w:r>
      <w:r w:rsidRPr="00F7201B">
        <w:rPr>
          <w:rFonts w:ascii="Garamond" w:hAnsi="Garamond" w:cs="Times New Roman"/>
          <w:i/>
          <w:color w:val="000000" w:themeColor="text1"/>
          <w:sz w:val="22"/>
          <w:szCs w:val="22"/>
          <w:bdr w:val="none" w:sz="0" w:space="0" w:color="auto" w:frame="1"/>
          <w:lang w:val="en-GB"/>
        </w:rPr>
        <w:t>SGAE</w:t>
      </w:r>
      <w:r w:rsidRPr="00F7201B">
        <w:rPr>
          <w:rFonts w:ascii="Garamond" w:hAnsi="Garamond" w:cs="Times New Roman"/>
          <w:color w:val="000000" w:themeColor="text1"/>
          <w:sz w:val="22"/>
          <w:szCs w:val="22"/>
          <w:bdr w:val="none" w:sz="0" w:space="0" w:color="auto" w:frame="1"/>
          <w:lang w:val="en-GB"/>
        </w:rPr>
        <w:t xml:space="preserve">, C-306/05, </w:t>
      </w:r>
      <w:r w:rsidRPr="00F7201B">
        <w:rPr>
          <w:rFonts w:ascii="Garamond" w:hAnsi="Garamond" w:cs="Lucida Grande"/>
          <w:i/>
          <w:color w:val="000000"/>
          <w:sz w:val="22"/>
          <w:szCs w:val="22"/>
          <w:lang w:val="en-GB"/>
        </w:rPr>
        <w:t>Football Association Premier League and Others</w:t>
      </w:r>
      <w:r w:rsidRPr="00F7201B">
        <w:rPr>
          <w:rFonts w:ascii="Garamond" w:hAnsi="Garamond" w:cs="Lucida Grande"/>
          <w:color w:val="000000"/>
          <w:sz w:val="22"/>
          <w:szCs w:val="22"/>
          <w:lang w:val="en-GB"/>
        </w:rPr>
        <w:t>, C-403/08 and C-429/08</w:t>
      </w:r>
      <w:r w:rsidRPr="00F7201B">
        <w:rPr>
          <w:rFonts w:ascii="Garamond" w:hAnsi="Garamond" w:cs="Times New Roman"/>
          <w:color w:val="000000" w:themeColor="text1"/>
          <w:sz w:val="22"/>
          <w:szCs w:val="22"/>
          <w:bdr w:val="none" w:sz="0" w:space="0" w:color="auto" w:frame="1"/>
          <w:lang w:val="en-GB"/>
        </w:rPr>
        <w:t xml:space="preserve">, and </w:t>
      </w:r>
      <w:r w:rsidRPr="00F7201B">
        <w:rPr>
          <w:rFonts w:ascii="Garamond" w:hAnsi="Garamond" w:cs="Times New Roman"/>
          <w:i/>
          <w:color w:val="000000" w:themeColor="text1"/>
          <w:sz w:val="22"/>
          <w:szCs w:val="22"/>
          <w:bdr w:val="none" w:sz="0" w:space="0" w:color="auto" w:frame="1"/>
          <w:lang w:val="en-GB"/>
        </w:rPr>
        <w:t>Reha Training</w:t>
      </w:r>
      <w:r w:rsidRPr="00F7201B">
        <w:rPr>
          <w:rFonts w:ascii="Garamond" w:hAnsi="Garamond" w:cs="Times New Roman"/>
          <w:color w:val="000000" w:themeColor="text1"/>
          <w:sz w:val="22"/>
          <w:szCs w:val="22"/>
          <w:bdr w:val="none" w:sz="0" w:space="0" w:color="auto" w:frame="1"/>
          <w:lang w:val="en-GB"/>
        </w:rPr>
        <w:t>, C-117/15, in fact, the Court considered that the profit-making nature of the communication would be apparent from the fact that the defendants transmitted the relevant works in their own establishment (hotels, a public house, and a rehabilitation centre, respectively) in order to benefit therefrom and attract customers to whom the works transmitted are of interest.</w:t>
      </w:r>
      <w:r w:rsidRPr="00F7201B">
        <w:rPr>
          <w:rFonts w:ascii="Garamond" w:hAnsi="Garamond" w:cs="Times New Roman"/>
          <w:color w:val="000000" w:themeColor="text1"/>
          <w:sz w:val="22"/>
          <w:szCs w:val="22"/>
          <w:bdr w:val="none" w:sz="0" w:space="0" w:color="auto" w:frame="1"/>
          <w:vertAlign w:val="superscript"/>
          <w:lang w:val="en-GB"/>
        </w:rPr>
        <w:footnoteReference w:id="26"/>
      </w:r>
      <w:r w:rsidRPr="00F7201B">
        <w:rPr>
          <w:rFonts w:ascii="Garamond" w:hAnsi="Garamond" w:cs="Times New Roman"/>
          <w:color w:val="000000" w:themeColor="text1"/>
          <w:sz w:val="22"/>
          <w:szCs w:val="22"/>
          <w:bdr w:val="none" w:sz="0" w:space="0" w:color="auto" w:frame="1"/>
          <w:lang w:val="en-GB"/>
        </w:rPr>
        <w:t xml:space="preserve"> In </w:t>
      </w:r>
      <w:r w:rsidRPr="00F7201B">
        <w:rPr>
          <w:rFonts w:ascii="Garamond" w:hAnsi="Garamond" w:cs="Times New Roman"/>
          <w:i/>
          <w:color w:val="000000" w:themeColor="text1"/>
          <w:sz w:val="22"/>
          <w:szCs w:val="22"/>
          <w:bdr w:val="none" w:sz="0" w:space="0" w:color="auto" w:frame="1"/>
          <w:lang w:val="en-GB"/>
        </w:rPr>
        <w:t>Stichiting Brein</w:t>
      </w:r>
      <w:r w:rsidRPr="00F7201B">
        <w:rPr>
          <w:rFonts w:ascii="Garamond" w:hAnsi="Garamond" w:cs="Times New Roman"/>
          <w:color w:val="000000" w:themeColor="text1"/>
          <w:sz w:val="22"/>
          <w:szCs w:val="22"/>
          <w:bdr w:val="none" w:sz="0" w:space="0" w:color="auto" w:frame="1"/>
          <w:lang w:val="en-GB"/>
        </w:rPr>
        <w:t>, C-527/15, the CJEU identified the profit-making intention of the defendant in the circumstance that the relevant multimedia player ‘is supplied with a view to making a profit, the price for the multimedia player being paid in particular to obtain direct access to protected works available on streaming websites without the consent of the copyright holders.’</w:t>
      </w:r>
      <w:r w:rsidRPr="00F7201B">
        <w:rPr>
          <w:rFonts w:ascii="Garamond" w:hAnsi="Garamond" w:cs="Times New Roman"/>
          <w:color w:val="000000" w:themeColor="text1"/>
          <w:sz w:val="22"/>
          <w:szCs w:val="22"/>
          <w:bdr w:val="none" w:sz="0" w:space="0" w:color="auto" w:frame="1"/>
          <w:vertAlign w:val="superscript"/>
          <w:lang w:val="en-GB"/>
        </w:rPr>
        <w:footnoteReference w:id="27"/>
      </w:r>
      <w:r w:rsidRPr="00F7201B">
        <w:rPr>
          <w:rFonts w:ascii="Garamond" w:hAnsi="Garamond" w:cs="Times New Roman"/>
          <w:color w:val="000000" w:themeColor="text1"/>
          <w:sz w:val="22"/>
          <w:szCs w:val="22"/>
          <w:bdr w:val="none" w:sz="0" w:space="0" w:color="auto" w:frame="1"/>
          <w:lang w:val="en-GB"/>
        </w:rPr>
        <w:t xml:space="preserve"> </w:t>
      </w:r>
    </w:p>
    <w:p w14:paraId="194EFA2D" w14:textId="77777777" w:rsidR="00EB0721" w:rsidRPr="00F7201B" w:rsidRDefault="00EB0721" w:rsidP="004F24CD">
      <w:pPr>
        <w:spacing w:line="360" w:lineRule="auto"/>
        <w:jc w:val="both"/>
        <w:rPr>
          <w:rFonts w:ascii="Garamond" w:hAnsi="Garamond" w:cs="Times New Roman"/>
          <w:color w:val="000000" w:themeColor="text1"/>
          <w:sz w:val="22"/>
          <w:szCs w:val="22"/>
          <w:bdr w:val="none" w:sz="0" w:space="0" w:color="auto" w:frame="1"/>
          <w:lang w:val="en-GB"/>
        </w:rPr>
      </w:pPr>
    </w:p>
    <w:p w14:paraId="05E05D01" w14:textId="77777777" w:rsidR="00EB0721" w:rsidRPr="00F7201B" w:rsidRDefault="00F870A8" w:rsidP="004F24CD">
      <w:pPr>
        <w:pStyle w:val="Heading1"/>
        <w:spacing w:line="360" w:lineRule="auto"/>
        <w:jc w:val="both"/>
        <w:rPr>
          <w:sz w:val="22"/>
          <w:szCs w:val="22"/>
        </w:rPr>
      </w:pPr>
      <w:bookmarkStart w:id="12" w:name="_Toc392757667"/>
      <w:bookmarkStart w:id="13" w:name="_Toc394844933"/>
      <w:bookmarkStart w:id="14" w:name="_Toc395788830"/>
      <w:bookmarkStart w:id="15" w:name="_Toc396298474"/>
      <w:r w:rsidRPr="00F7201B">
        <w:rPr>
          <w:sz w:val="22"/>
          <w:szCs w:val="22"/>
        </w:rPr>
        <w:t>2.</w:t>
      </w:r>
      <w:r w:rsidR="00EB0721" w:rsidRPr="00F7201B">
        <w:rPr>
          <w:sz w:val="22"/>
          <w:szCs w:val="22"/>
        </w:rPr>
        <w:tab/>
        <w:t>Communication to the public and linking</w:t>
      </w:r>
      <w:bookmarkEnd w:id="12"/>
      <w:bookmarkEnd w:id="13"/>
      <w:bookmarkEnd w:id="14"/>
      <w:bookmarkEnd w:id="15"/>
    </w:p>
    <w:p w14:paraId="0B5C9BE0" w14:textId="77777777" w:rsidR="00EB0721" w:rsidRPr="00F7201B" w:rsidRDefault="00EB0721" w:rsidP="004F24CD">
      <w:pPr>
        <w:spacing w:line="360" w:lineRule="auto"/>
        <w:jc w:val="both"/>
        <w:rPr>
          <w:rFonts w:ascii="Garamond" w:hAnsi="Garamond" w:cs="Times New Roman"/>
          <w:color w:val="000000" w:themeColor="text1"/>
          <w:sz w:val="22"/>
          <w:szCs w:val="22"/>
          <w:bdr w:val="none" w:sz="0" w:space="0" w:color="auto" w:frame="1"/>
          <w:lang w:val="en-GB"/>
        </w:rPr>
      </w:pPr>
    </w:p>
    <w:p w14:paraId="7AD48FCD" w14:textId="61F3BAF1" w:rsidR="00AC2BBB" w:rsidRPr="00F7201B" w:rsidRDefault="00AC2BBB" w:rsidP="004F24CD">
      <w:pPr>
        <w:pStyle w:val="Heading2"/>
        <w:spacing w:before="0" w:line="360" w:lineRule="auto"/>
        <w:rPr>
          <w:rFonts w:ascii="Garamond" w:hAnsi="Garamond"/>
          <w:sz w:val="22"/>
          <w:szCs w:val="22"/>
          <w:bdr w:val="none" w:sz="0" w:space="0" w:color="auto" w:frame="1"/>
          <w:lang w:val="en-GB"/>
        </w:rPr>
      </w:pPr>
      <w:bookmarkStart w:id="16" w:name="_Toc396298475"/>
      <w:r w:rsidRPr="00F7201B">
        <w:rPr>
          <w:rFonts w:ascii="Garamond" w:hAnsi="Garamond"/>
          <w:sz w:val="22"/>
          <w:szCs w:val="22"/>
          <w:bdr w:val="none" w:sz="0" w:space="0" w:color="auto" w:frame="1"/>
          <w:lang w:val="en-GB"/>
        </w:rPr>
        <w:t>2.1.</w:t>
      </w:r>
      <w:r w:rsidRPr="00F7201B">
        <w:rPr>
          <w:rFonts w:ascii="Garamond" w:hAnsi="Garamond"/>
          <w:sz w:val="22"/>
          <w:szCs w:val="22"/>
          <w:bdr w:val="none" w:sz="0" w:space="0" w:color="auto" w:frame="1"/>
          <w:lang w:val="en-GB"/>
        </w:rPr>
        <w:tab/>
      </w:r>
      <w:r w:rsidRPr="00F7201B">
        <w:rPr>
          <w:rFonts w:ascii="Garamond" w:hAnsi="Garamond"/>
          <w:i/>
          <w:sz w:val="22"/>
          <w:szCs w:val="22"/>
          <w:bdr w:val="none" w:sz="0" w:space="0" w:color="auto" w:frame="1"/>
          <w:lang w:val="en-GB"/>
        </w:rPr>
        <w:t>Svensson</w:t>
      </w:r>
      <w:r w:rsidR="00BF08A1">
        <w:rPr>
          <w:rFonts w:ascii="Garamond" w:hAnsi="Garamond"/>
          <w:i/>
          <w:sz w:val="22"/>
          <w:szCs w:val="22"/>
          <w:bdr w:val="none" w:sz="0" w:space="0" w:color="auto" w:frame="1"/>
          <w:lang w:val="en-GB"/>
        </w:rPr>
        <w:t xml:space="preserve"> and Others</w:t>
      </w:r>
      <w:r w:rsidRPr="00F7201B">
        <w:rPr>
          <w:rFonts w:ascii="Garamond" w:hAnsi="Garamond"/>
          <w:sz w:val="22"/>
          <w:szCs w:val="22"/>
          <w:bdr w:val="none" w:sz="0" w:space="0" w:color="auto" w:frame="1"/>
          <w:lang w:val="en-GB"/>
        </w:rPr>
        <w:t>, C-466/12</w:t>
      </w:r>
      <w:bookmarkEnd w:id="16"/>
    </w:p>
    <w:p w14:paraId="479DAADA" w14:textId="77777777" w:rsidR="00AC2BBB" w:rsidRPr="00F7201B" w:rsidRDefault="00AC2BBB" w:rsidP="004F24CD">
      <w:pPr>
        <w:spacing w:line="360" w:lineRule="auto"/>
        <w:jc w:val="both"/>
        <w:rPr>
          <w:rFonts w:ascii="Garamond" w:hAnsi="Garamond" w:cs="Times New Roman"/>
          <w:color w:val="000000" w:themeColor="text1"/>
          <w:sz w:val="22"/>
          <w:szCs w:val="22"/>
          <w:bdr w:val="none" w:sz="0" w:space="0" w:color="auto" w:frame="1"/>
          <w:lang w:val="en-GB"/>
        </w:rPr>
      </w:pPr>
    </w:p>
    <w:p w14:paraId="06B03EF2" w14:textId="77777777" w:rsidR="00EB0721" w:rsidRPr="00F7201B" w:rsidRDefault="00EB0721" w:rsidP="004F24CD">
      <w:pPr>
        <w:spacing w:line="360" w:lineRule="auto"/>
        <w:jc w:val="both"/>
        <w:rPr>
          <w:rFonts w:ascii="Garamond" w:hAnsi="Garamond" w:cs="Times New Roman"/>
          <w:color w:val="000000" w:themeColor="text1"/>
          <w:sz w:val="22"/>
          <w:szCs w:val="22"/>
          <w:bdr w:val="none" w:sz="0" w:space="0" w:color="auto" w:frame="1"/>
          <w:lang w:val="en-GB"/>
        </w:rPr>
      </w:pPr>
      <w:r w:rsidRPr="00F7201B">
        <w:rPr>
          <w:rFonts w:ascii="Garamond" w:hAnsi="Garamond" w:cs="Times New Roman"/>
          <w:color w:val="000000" w:themeColor="text1"/>
          <w:sz w:val="22"/>
          <w:szCs w:val="22"/>
          <w:bdr w:val="none" w:sz="0" w:space="0" w:color="auto" w:frame="1"/>
          <w:lang w:val="en-GB"/>
        </w:rPr>
        <w:t>In its 2014 decision in</w:t>
      </w:r>
      <w:r w:rsidRPr="00F7201B">
        <w:rPr>
          <w:rFonts w:ascii="Garamond" w:hAnsi="Garamond" w:cs="Times New Roman"/>
          <w:b/>
          <w:bCs/>
          <w:i/>
          <w:color w:val="000000" w:themeColor="text1"/>
          <w:sz w:val="22"/>
          <w:szCs w:val="22"/>
          <w:bdr w:val="none" w:sz="0" w:space="0" w:color="auto" w:frame="1"/>
          <w:lang w:val="en-GB"/>
        </w:rPr>
        <w:t xml:space="preserve"> </w:t>
      </w:r>
      <w:r w:rsidRPr="00F7201B">
        <w:rPr>
          <w:rFonts w:ascii="Garamond" w:hAnsi="Garamond" w:cs="Times New Roman"/>
          <w:bCs/>
          <w:i/>
          <w:color w:val="000000" w:themeColor="text1"/>
          <w:sz w:val="22"/>
          <w:szCs w:val="22"/>
          <w:bdr w:val="none" w:sz="0" w:space="0" w:color="auto" w:frame="1"/>
          <w:lang w:val="en-GB"/>
        </w:rPr>
        <w:t>Svensson and Others</w:t>
      </w:r>
      <w:r w:rsidRPr="00F7201B">
        <w:rPr>
          <w:rFonts w:ascii="Garamond" w:hAnsi="Garamond" w:cs="Times New Roman"/>
          <w:color w:val="000000" w:themeColor="text1"/>
          <w:sz w:val="22"/>
          <w:szCs w:val="22"/>
          <w:bdr w:val="none" w:sz="0" w:space="0" w:color="auto" w:frame="1"/>
          <w:lang w:val="en-GB"/>
        </w:rPr>
        <w:t xml:space="preserve">, C-466/12 the CJEU ruled that, at certain conditions, the provision of a hyperlink to a work hosted on a third-party website falls within the scope of copyright protection. More specifically, linking to protected content may be regarded as an act of communication to the public within Article 3(1) of the InfoSoc Directive. Qualification of linking as an act of communication to the public means that, when the link in question is provided without permission from the relevant rightholder, this activity could amount, </w:t>
      </w:r>
      <w:r w:rsidRPr="00F7201B">
        <w:rPr>
          <w:rFonts w:ascii="Garamond" w:hAnsi="Garamond" w:cs="Times New Roman"/>
          <w:i/>
          <w:color w:val="000000" w:themeColor="text1"/>
          <w:sz w:val="22"/>
          <w:szCs w:val="22"/>
          <w:bdr w:val="none" w:sz="0" w:space="0" w:color="auto" w:frame="1"/>
          <w:lang w:val="en-GB"/>
        </w:rPr>
        <w:t>prima facie</w:t>
      </w:r>
      <w:r w:rsidRPr="00F7201B">
        <w:rPr>
          <w:rFonts w:ascii="Garamond" w:hAnsi="Garamond" w:cs="Times New Roman"/>
          <w:color w:val="000000" w:themeColor="text1"/>
          <w:sz w:val="22"/>
          <w:szCs w:val="22"/>
          <w:bdr w:val="none" w:sz="0" w:space="0" w:color="auto" w:frame="1"/>
          <w:lang w:val="en-GB"/>
        </w:rPr>
        <w:t>, to copyright infringement. Whether the act in question is an actual infringement depends on additional considerations, including whether the work at hand is protected by copyright in the first place, and whether the defendant may successfully invoke one or more copyright defences available under the applicable national copyright regime.</w:t>
      </w:r>
    </w:p>
    <w:p w14:paraId="326B83E9" w14:textId="77777777" w:rsidR="00EB0721" w:rsidRPr="00F7201B" w:rsidRDefault="00EB0721" w:rsidP="004F24CD">
      <w:pPr>
        <w:spacing w:line="360" w:lineRule="auto"/>
        <w:jc w:val="both"/>
        <w:rPr>
          <w:rFonts w:ascii="Garamond" w:hAnsi="Garamond" w:cs="Times New Roman"/>
          <w:color w:val="000000" w:themeColor="text1"/>
          <w:sz w:val="22"/>
          <w:szCs w:val="22"/>
          <w:bdr w:val="none" w:sz="0" w:space="0" w:color="auto" w:frame="1"/>
          <w:lang w:val="en-GB"/>
        </w:rPr>
      </w:pPr>
    </w:p>
    <w:p w14:paraId="61B04BBF" w14:textId="03DF7948" w:rsidR="00EB0721" w:rsidRPr="00F7201B" w:rsidRDefault="00EB0721" w:rsidP="004F24CD">
      <w:pPr>
        <w:spacing w:line="360" w:lineRule="auto"/>
        <w:jc w:val="both"/>
        <w:rPr>
          <w:rFonts w:ascii="Garamond" w:hAnsi="Garamond" w:cs="Times New Roman"/>
          <w:color w:val="000000" w:themeColor="text1"/>
          <w:sz w:val="22"/>
          <w:szCs w:val="22"/>
          <w:bdr w:val="none" w:sz="0" w:space="0" w:color="auto" w:frame="1"/>
          <w:lang w:val="en-GB"/>
        </w:rPr>
      </w:pPr>
      <w:r w:rsidRPr="00F7201B">
        <w:rPr>
          <w:rFonts w:ascii="Garamond" w:hAnsi="Garamond" w:cs="Times New Roman"/>
          <w:color w:val="000000" w:themeColor="text1"/>
          <w:sz w:val="22"/>
          <w:szCs w:val="22"/>
          <w:bdr w:val="none" w:sz="0" w:space="0" w:color="auto" w:frame="1"/>
          <w:lang w:val="en-GB"/>
        </w:rPr>
        <w:t>The main question of the referring court, the Svea Court of Appeal (Sweden)</w:t>
      </w:r>
      <w:r w:rsidR="00595351">
        <w:rPr>
          <w:rFonts w:ascii="Garamond" w:hAnsi="Garamond" w:cs="Times New Roman"/>
          <w:color w:val="000000" w:themeColor="text1"/>
          <w:sz w:val="22"/>
          <w:szCs w:val="22"/>
          <w:bdr w:val="none" w:sz="0" w:space="0" w:color="auto" w:frame="1"/>
          <w:lang w:val="en-GB"/>
        </w:rPr>
        <w:t>,</w:t>
      </w:r>
      <w:r w:rsidR="00F870A8" w:rsidRPr="00F7201B">
        <w:rPr>
          <w:rFonts w:ascii="Garamond" w:hAnsi="Garamond" w:cs="Times New Roman"/>
          <w:color w:val="000000" w:themeColor="text1"/>
          <w:sz w:val="22"/>
          <w:szCs w:val="22"/>
          <w:bdr w:val="none" w:sz="0" w:space="0" w:color="auto" w:frame="1"/>
          <w:lang w:val="en-GB"/>
        </w:rPr>
        <w:t xml:space="preserve"> </w:t>
      </w:r>
      <w:r w:rsidRPr="00F7201B">
        <w:rPr>
          <w:rFonts w:ascii="Garamond" w:hAnsi="Garamond" w:cs="Times New Roman"/>
          <w:color w:val="000000" w:themeColor="text1"/>
          <w:sz w:val="22"/>
          <w:szCs w:val="22"/>
          <w:bdr w:val="none" w:sz="0" w:space="0" w:color="auto" w:frame="1"/>
          <w:lang w:val="en-GB"/>
        </w:rPr>
        <w:t xml:space="preserve">was whether the provision of a hyperlink to a work </w:t>
      </w:r>
      <w:r w:rsidRPr="00F7201B">
        <w:rPr>
          <w:rFonts w:ascii="Garamond" w:hAnsi="Garamond" w:cs="Times New Roman"/>
          <w:i/>
          <w:color w:val="000000" w:themeColor="text1"/>
          <w:sz w:val="22"/>
          <w:szCs w:val="22"/>
          <w:bdr w:val="none" w:sz="0" w:space="0" w:color="auto" w:frame="1"/>
          <w:lang w:val="en-GB"/>
        </w:rPr>
        <w:t>lawfully</w:t>
      </w:r>
      <w:r w:rsidRPr="00F7201B">
        <w:rPr>
          <w:rFonts w:ascii="Garamond" w:hAnsi="Garamond" w:cs="Times New Roman"/>
          <w:color w:val="000000" w:themeColor="text1"/>
          <w:sz w:val="22"/>
          <w:szCs w:val="22"/>
          <w:bdr w:val="none" w:sz="0" w:space="0" w:color="auto" w:frame="1"/>
          <w:lang w:val="en-GB"/>
        </w:rPr>
        <w:t xml:space="preserve"> made available on a certain website where it is </w:t>
      </w:r>
      <w:r w:rsidRPr="00F7201B">
        <w:rPr>
          <w:rFonts w:ascii="Garamond" w:hAnsi="Garamond" w:cs="Times New Roman"/>
          <w:i/>
          <w:color w:val="000000" w:themeColor="text1"/>
          <w:sz w:val="22"/>
          <w:szCs w:val="22"/>
          <w:bdr w:val="none" w:sz="0" w:space="0" w:color="auto" w:frame="1"/>
          <w:lang w:val="en-GB"/>
        </w:rPr>
        <w:t>freely</w:t>
      </w:r>
      <w:r w:rsidRPr="00F7201B">
        <w:rPr>
          <w:rFonts w:ascii="Garamond" w:hAnsi="Garamond" w:cs="Times New Roman"/>
          <w:color w:val="000000" w:themeColor="text1"/>
          <w:sz w:val="22"/>
          <w:szCs w:val="22"/>
          <w:bdr w:val="none" w:sz="0" w:space="0" w:color="auto" w:frame="1"/>
          <w:lang w:val="en-GB"/>
        </w:rPr>
        <w:t xml:space="preserve"> accessible is to be regarded as an act of communication to the public within Article 3(1) of the InfoSoc Directive. This reference for a preliminary ruling had been made in the context of proceedings between a number of journalists and media monitoring provider Retriever, and concerned their request for compensation for the harm suffered as a result of the inclusion, on the latter’s website, of hyperlinks redirecting users to press articles (in which the applicants held the copyright) freely accessible on the </w:t>
      </w:r>
      <w:r w:rsidRPr="00F7201B">
        <w:rPr>
          <w:rFonts w:ascii="Garamond" w:hAnsi="Garamond" w:cs="Times New Roman"/>
          <w:i/>
          <w:color w:val="000000" w:themeColor="text1"/>
          <w:sz w:val="22"/>
          <w:szCs w:val="22"/>
          <w:bdr w:val="none" w:sz="0" w:space="0" w:color="auto" w:frame="1"/>
          <w:lang w:val="en-GB"/>
        </w:rPr>
        <w:t>Göteborgs-Posten</w:t>
      </w:r>
      <w:r w:rsidRPr="00F7201B">
        <w:rPr>
          <w:rFonts w:ascii="Garamond" w:hAnsi="Garamond" w:cs="Times New Roman"/>
          <w:color w:val="000000" w:themeColor="text1"/>
          <w:sz w:val="22"/>
          <w:szCs w:val="22"/>
          <w:bdr w:val="none" w:sz="0" w:space="0" w:color="auto" w:frame="1"/>
          <w:lang w:val="en-GB"/>
        </w:rPr>
        <w:t xml:space="preserve"> website. </w:t>
      </w:r>
    </w:p>
    <w:p w14:paraId="4356D0E1" w14:textId="77777777" w:rsidR="00EB0721" w:rsidRPr="00F7201B" w:rsidRDefault="00EB0721" w:rsidP="004F24CD">
      <w:pPr>
        <w:spacing w:line="360" w:lineRule="auto"/>
        <w:jc w:val="both"/>
        <w:rPr>
          <w:rFonts w:ascii="Garamond" w:hAnsi="Garamond" w:cs="Times New Roman"/>
          <w:color w:val="000000" w:themeColor="text1"/>
          <w:sz w:val="22"/>
          <w:szCs w:val="22"/>
          <w:bdr w:val="none" w:sz="0" w:space="0" w:color="auto" w:frame="1"/>
          <w:lang w:val="en-GB"/>
        </w:rPr>
      </w:pPr>
    </w:p>
    <w:p w14:paraId="74981031" w14:textId="5D3FFC89" w:rsidR="00EB0721" w:rsidRPr="00F7201B" w:rsidRDefault="00EB0721" w:rsidP="004F24CD">
      <w:pPr>
        <w:spacing w:line="360" w:lineRule="auto"/>
        <w:jc w:val="both"/>
        <w:rPr>
          <w:rFonts w:ascii="Garamond" w:hAnsi="Garamond" w:cs="Times New Roman"/>
          <w:color w:val="000000" w:themeColor="text1"/>
          <w:sz w:val="22"/>
          <w:szCs w:val="22"/>
          <w:bdr w:val="none" w:sz="0" w:space="0" w:color="auto" w:frame="1"/>
          <w:lang w:val="en-GB"/>
        </w:rPr>
      </w:pPr>
      <w:r w:rsidRPr="00F7201B">
        <w:rPr>
          <w:rFonts w:ascii="Garamond" w:hAnsi="Garamond" w:cs="Times New Roman"/>
          <w:color w:val="000000" w:themeColor="text1"/>
          <w:sz w:val="22"/>
          <w:szCs w:val="22"/>
          <w:bdr w:val="none" w:sz="0" w:space="0" w:color="auto" w:frame="1"/>
          <w:lang w:val="en-GB"/>
        </w:rPr>
        <w:t>In its decision the CJEU decision noted that the concept of communication to the public within Article 3(1) of the InfoSoc Directive includes two cumulative criteria: an ‘act of communication’ of a work, directed to a ‘public’.</w:t>
      </w:r>
      <w:r w:rsidRPr="00F7201B">
        <w:rPr>
          <w:rFonts w:ascii="Garamond" w:hAnsi="Garamond" w:cs="Times New Roman"/>
          <w:color w:val="000000" w:themeColor="text1"/>
          <w:sz w:val="22"/>
          <w:szCs w:val="22"/>
          <w:bdr w:val="none" w:sz="0" w:space="0" w:color="auto" w:frame="1"/>
          <w:vertAlign w:val="superscript"/>
          <w:lang w:val="en-GB"/>
        </w:rPr>
        <w:footnoteReference w:id="28"/>
      </w:r>
      <w:r w:rsidRPr="00F7201B">
        <w:rPr>
          <w:rFonts w:ascii="Garamond" w:hAnsi="Garamond" w:cs="Times New Roman"/>
          <w:color w:val="000000" w:themeColor="text1"/>
          <w:sz w:val="22"/>
          <w:szCs w:val="22"/>
          <w:bdr w:val="none" w:sz="0" w:space="0" w:color="auto" w:frame="1"/>
          <w:lang w:val="en-GB"/>
        </w:rPr>
        <w:t xml:space="preserve"> As regards the first condition, the Court arguably paid lip-service to the requirement that </w:t>
      </w:r>
      <w:r w:rsidR="00595351">
        <w:rPr>
          <w:rFonts w:ascii="Garamond" w:hAnsi="Garamond" w:cs="Times New Roman"/>
          <w:color w:val="000000" w:themeColor="text1"/>
          <w:sz w:val="22"/>
          <w:szCs w:val="22"/>
          <w:bdr w:val="none" w:sz="0" w:space="0" w:color="auto" w:frame="1"/>
          <w:lang w:val="en-GB"/>
        </w:rPr>
        <w:t>the</w:t>
      </w:r>
      <w:r w:rsidRPr="00F7201B">
        <w:rPr>
          <w:rFonts w:ascii="Garamond" w:hAnsi="Garamond" w:cs="Times New Roman"/>
          <w:color w:val="000000" w:themeColor="text1"/>
          <w:sz w:val="22"/>
          <w:szCs w:val="22"/>
          <w:bdr w:val="none" w:sz="0" w:space="0" w:color="auto" w:frame="1"/>
          <w:lang w:val="en-GB"/>
        </w:rPr>
        <w:t xml:space="preserve"> concept</w:t>
      </w:r>
      <w:r w:rsidR="00595351">
        <w:rPr>
          <w:rFonts w:ascii="Garamond" w:hAnsi="Garamond" w:cs="Times New Roman"/>
          <w:color w:val="000000" w:themeColor="text1"/>
          <w:sz w:val="22"/>
          <w:szCs w:val="22"/>
          <w:bdr w:val="none" w:sz="0" w:space="0" w:color="auto" w:frame="1"/>
          <w:lang w:val="en-GB"/>
        </w:rPr>
        <w:t xml:space="preserve"> of ‘communication to the public’</w:t>
      </w:r>
      <w:r w:rsidRPr="00F7201B">
        <w:rPr>
          <w:rFonts w:ascii="Garamond" w:hAnsi="Garamond" w:cs="Times New Roman"/>
          <w:color w:val="000000" w:themeColor="text1"/>
          <w:sz w:val="22"/>
          <w:szCs w:val="22"/>
          <w:bdr w:val="none" w:sz="0" w:space="0" w:color="auto" w:frame="1"/>
          <w:lang w:val="en-GB"/>
        </w:rPr>
        <w:t xml:space="preserve"> be construed broadly in order to ensure, in accordance with – </w:t>
      </w:r>
      <w:r w:rsidRPr="00F7201B">
        <w:rPr>
          <w:rFonts w:ascii="Garamond" w:hAnsi="Garamond" w:cs="Times New Roman"/>
          <w:i/>
          <w:color w:val="000000" w:themeColor="text1"/>
          <w:sz w:val="22"/>
          <w:szCs w:val="22"/>
          <w:bdr w:val="none" w:sz="0" w:space="0" w:color="auto" w:frame="1"/>
          <w:lang w:val="en-GB"/>
        </w:rPr>
        <w:t>inter alia</w:t>
      </w:r>
      <w:r w:rsidRPr="00F7201B">
        <w:rPr>
          <w:rFonts w:ascii="Garamond" w:hAnsi="Garamond" w:cs="Times New Roman"/>
          <w:color w:val="000000" w:themeColor="text1"/>
          <w:sz w:val="22"/>
          <w:szCs w:val="22"/>
          <w:bdr w:val="none" w:sz="0" w:space="0" w:color="auto" w:frame="1"/>
          <w:lang w:val="en-GB"/>
        </w:rPr>
        <w:t xml:space="preserve"> – Recitals 4, 9 and 23 in the preamble to the InfoSoc Directive, a high level of protection for rightholders. The provision, on a website, of hyperlinks to protected works published without any access restrictions on another site affords users of the first site direct access to those works, and therefore amounts to an ‘act of communication’.</w:t>
      </w:r>
      <w:r w:rsidRPr="00F7201B">
        <w:rPr>
          <w:rStyle w:val="FootnoteReference"/>
          <w:rFonts w:ascii="Garamond" w:hAnsi="Garamond" w:cs="Times New Roman"/>
          <w:color w:val="000000" w:themeColor="text1"/>
          <w:sz w:val="22"/>
          <w:szCs w:val="22"/>
          <w:bdr w:val="none" w:sz="0" w:space="0" w:color="auto" w:frame="1"/>
          <w:lang w:val="en-GB"/>
        </w:rPr>
        <w:footnoteReference w:id="29"/>
      </w:r>
      <w:r w:rsidRPr="00F7201B">
        <w:rPr>
          <w:rFonts w:ascii="Garamond" w:hAnsi="Garamond" w:cs="Times New Roman"/>
          <w:color w:val="000000" w:themeColor="text1"/>
          <w:sz w:val="22"/>
          <w:szCs w:val="22"/>
          <w:bdr w:val="none" w:sz="0" w:space="0" w:color="auto" w:frame="1"/>
          <w:lang w:val="en-GB"/>
        </w:rPr>
        <w:t xml:space="preserve"> </w:t>
      </w:r>
    </w:p>
    <w:p w14:paraId="08B21A72" w14:textId="77777777" w:rsidR="00EB0721" w:rsidRPr="00F7201B" w:rsidRDefault="00EB0721" w:rsidP="004F24CD">
      <w:pPr>
        <w:spacing w:line="360" w:lineRule="auto"/>
        <w:jc w:val="both"/>
        <w:rPr>
          <w:rFonts w:ascii="Garamond" w:hAnsi="Garamond" w:cs="Times New Roman"/>
          <w:color w:val="000000" w:themeColor="text1"/>
          <w:sz w:val="22"/>
          <w:szCs w:val="22"/>
          <w:bdr w:val="none" w:sz="0" w:space="0" w:color="auto" w:frame="1"/>
          <w:lang w:val="en-GB"/>
        </w:rPr>
      </w:pPr>
    </w:p>
    <w:p w14:paraId="33AD3798" w14:textId="77777777" w:rsidR="00EB0721" w:rsidRPr="00F7201B" w:rsidRDefault="00EB0721" w:rsidP="004F24CD">
      <w:pPr>
        <w:spacing w:line="360" w:lineRule="auto"/>
        <w:jc w:val="both"/>
        <w:rPr>
          <w:rFonts w:ascii="Garamond" w:hAnsi="Garamond" w:cs="Times New Roman"/>
          <w:color w:val="000000" w:themeColor="text1"/>
          <w:sz w:val="22"/>
          <w:szCs w:val="22"/>
          <w:bdr w:val="none" w:sz="0" w:space="0" w:color="auto" w:frame="1"/>
          <w:lang w:val="en-GB"/>
        </w:rPr>
      </w:pPr>
      <w:r w:rsidRPr="00F7201B">
        <w:rPr>
          <w:rFonts w:ascii="Garamond" w:hAnsi="Garamond" w:cs="Times New Roman"/>
          <w:color w:val="000000" w:themeColor="text1"/>
          <w:sz w:val="22"/>
          <w:szCs w:val="22"/>
          <w:bdr w:val="none" w:sz="0" w:space="0" w:color="auto" w:frame="1"/>
          <w:lang w:val="en-GB"/>
        </w:rPr>
        <w:t>Turning to the second condition, ie that the communication is directed to a ‘public’, the CJEU recalled that the term ‘public’ refers to an indeterminate number of potential recipients and implies a fairly large number of persons.</w:t>
      </w:r>
      <w:r w:rsidRPr="00F7201B">
        <w:rPr>
          <w:rFonts w:ascii="Garamond" w:hAnsi="Garamond" w:cs="Times New Roman"/>
          <w:color w:val="000000" w:themeColor="text1"/>
          <w:sz w:val="22"/>
          <w:szCs w:val="22"/>
          <w:bdr w:val="none" w:sz="0" w:space="0" w:color="auto" w:frame="1"/>
          <w:vertAlign w:val="superscript"/>
          <w:lang w:val="en-GB"/>
        </w:rPr>
        <w:footnoteReference w:id="30"/>
      </w:r>
      <w:r w:rsidRPr="00F7201B">
        <w:rPr>
          <w:rFonts w:ascii="Garamond" w:hAnsi="Garamond" w:cs="Times New Roman"/>
          <w:color w:val="000000" w:themeColor="text1"/>
          <w:sz w:val="22"/>
          <w:szCs w:val="22"/>
          <w:bdr w:val="none" w:sz="0" w:space="0" w:color="auto" w:frame="1"/>
          <w:lang w:val="en-GB"/>
        </w:rPr>
        <w:t xml:space="preserve"> However, an act of communication within Article 3(1) of the InfoSoc Directive requires that a communication concerning the same works as those covered by the initial communication and made by the same technical means (ie internet), must be also directed to a ‘new’ public. This is a public that was not taken into account by the relevant rightholder when </w:t>
      </w:r>
      <w:r w:rsidR="00F870A8" w:rsidRPr="00F7201B">
        <w:rPr>
          <w:rFonts w:ascii="Garamond" w:hAnsi="Garamond" w:cs="Times New Roman"/>
          <w:color w:val="000000" w:themeColor="text1"/>
          <w:sz w:val="22"/>
          <w:szCs w:val="22"/>
          <w:bdr w:val="none" w:sz="0" w:space="0" w:color="auto" w:frame="1"/>
          <w:lang w:val="en-GB"/>
        </w:rPr>
        <w:t>they</w:t>
      </w:r>
      <w:r w:rsidRPr="00F7201B">
        <w:rPr>
          <w:rFonts w:ascii="Garamond" w:hAnsi="Garamond" w:cs="Times New Roman"/>
          <w:color w:val="000000" w:themeColor="text1"/>
          <w:sz w:val="22"/>
          <w:szCs w:val="22"/>
          <w:bdr w:val="none" w:sz="0" w:space="0" w:color="auto" w:frame="1"/>
          <w:lang w:val="en-GB"/>
        </w:rPr>
        <w:t xml:space="preserve"> authorized the initial communication to the public.</w:t>
      </w:r>
      <w:r w:rsidRPr="00F7201B">
        <w:rPr>
          <w:rFonts w:ascii="Garamond" w:hAnsi="Garamond" w:cs="Times New Roman"/>
          <w:color w:val="000000" w:themeColor="text1"/>
          <w:sz w:val="22"/>
          <w:szCs w:val="22"/>
          <w:bdr w:val="none" w:sz="0" w:space="0" w:color="auto" w:frame="1"/>
          <w:vertAlign w:val="superscript"/>
          <w:lang w:val="en-GB"/>
        </w:rPr>
        <w:footnoteReference w:id="31"/>
      </w:r>
      <w:r w:rsidRPr="00F7201B">
        <w:rPr>
          <w:rFonts w:ascii="Garamond" w:hAnsi="Garamond" w:cs="Times New Roman"/>
          <w:color w:val="000000" w:themeColor="text1"/>
          <w:sz w:val="22"/>
          <w:szCs w:val="22"/>
          <w:bdr w:val="none" w:sz="0" w:space="0" w:color="auto" w:frame="1"/>
          <w:lang w:val="en-GB"/>
        </w:rPr>
        <w:t xml:space="preserve">  </w:t>
      </w:r>
    </w:p>
    <w:p w14:paraId="173A9431" w14:textId="77777777" w:rsidR="00EB0721" w:rsidRPr="00F7201B" w:rsidRDefault="00EB0721" w:rsidP="004F24CD">
      <w:pPr>
        <w:spacing w:line="360" w:lineRule="auto"/>
        <w:jc w:val="both"/>
        <w:rPr>
          <w:rFonts w:ascii="Garamond" w:hAnsi="Garamond" w:cs="Times New Roman"/>
          <w:color w:val="000000" w:themeColor="text1"/>
          <w:sz w:val="22"/>
          <w:szCs w:val="22"/>
          <w:bdr w:val="none" w:sz="0" w:space="0" w:color="auto" w:frame="1"/>
          <w:lang w:val="en-GB"/>
        </w:rPr>
      </w:pPr>
    </w:p>
    <w:p w14:paraId="3D53EAB3" w14:textId="7AC7F8B2" w:rsidR="00EB0721" w:rsidRPr="00F7201B" w:rsidRDefault="00EB0721" w:rsidP="004F24CD">
      <w:pPr>
        <w:spacing w:line="360" w:lineRule="auto"/>
        <w:jc w:val="both"/>
        <w:rPr>
          <w:rFonts w:ascii="Garamond" w:hAnsi="Garamond" w:cs="Times New Roman"/>
          <w:color w:val="000000" w:themeColor="text1"/>
          <w:sz w:val="22"/>
          <w:szCs w:val="22"/>
          <w:bdr w:val="none" w:sz="0" w:space="0" w:color="auto" w:frame="1"/>
          <w:lang w:val="en-GB"/>
        </w:rPr>
      </w:pPr>
      <w:r w:rsidRPr="00F7201B">
        <w:rPr>
          <w:rFonts w:ascii="Garamond" w:hAnsi="Garamond" w:cs="Times New Roman"/>
          <w:color w:val="000000" w:themeColor="text1"/>
          <w:sz w:val="22"/>
          <w:szCs w:val="22"/>
          <w:bdr w:val="none" w:sz="0" w:space="0" w:color="auto" w:frame="1"/>
          <w:lang w:val="en-GB"/>
        </w:rPr>
        <w:t xml:space="preserve">The CJEU concluded that the provision of a hyperlink to a work </w:t>
      </w:r>
      <w:r w:rsidRPr="00F7201B">
        <w:rPr>
          <w:rFonts w:ascii="Garamond" w:hAnsi="Garamond" w:cs="Times New Roman"/>
          <w:i/>
          <w:color w:val="000000" w:themeColor="text1"/>
          <w:sz w:val="22"/>
          <w:szCs w:val="22"/>
          <w:bdr w:val="none" w:sz="0" w:space="0" w:color="auto" w:frame="1"/>
          <w:lang w:val="en-GB"/>
        </w:rPr>
        <w:t>lawfully</w:t>
      </w:r>
      <w:r w:rsidRPr="00F7201B">
        <w:rPr>
          <w:rFonts w:ascii="Garamond" w:hAnsi="Garamond" w:cs="Times New Roman"/>
          <w:color w:val="000000" w:themeColor="text1"/>
          <w:sz w:val="22"/>
          <w:szCs w:val="22"/>
          <w:bdr w:val="none" w:sz="0" w:space="0" w:color="auto" w:frame="1"/>
          <w:lang w:val="en-GB"/>
        </w:rPr>
        <w:t xml:space="preserve"> and </w:t>
      </w:r>
      <w:r w:rsidRPr="00F7201B">
        <w:rPr>
          <w:rFonts w:ascii="Garamond" w:hAnsi="Garamond" w:cs="Times New Roman"/>
          <w:i/>
          <w:color w:val="000000" w:themeColor="text1"/>
          <w:sz w:val="22"/>
          <w:szCs w:val="22"/>
          <w:bdr w:val="none" w:sz="0" w:space="0" w:color="auto" w:frame="1"/>
          <w:lang w:val="en-GB"/>
        </w:rPr>
        <w:t>freely</w:t>
      </w:r>
      <w:r w:rsidRPr="00F7201B">
        <w:rPr>
          <w:rFonts w:ascii="Garamond" w:hAnsi="Garamond" w:cs="Times New Roman"/>
          <w:color w:val="000000" w:themeColor="text1"/>
          <w:sz w:val="22"/>
          <w:szCs w:val="22"/>
          <w:bdr w:val="none" w:sz="0" w:space="0" w:color="auto" w:frame="1"/>
          <w:lang w:val="en-GB"/>
        </w:rPr>
        <w:t xml:space="preserve"> accessible on a third-party website does not fall within the scope of Article 3(1) of the InfoSoc Directive. This is because the public targeted by the initial communication consists of all potential visitors to the site concerned. As such, the hyperlink would not communicate the work to a public not taken into account by the relevant rightholder at the time of authorizing the initial communication.</w:t>
      </w:r>
      <w:r w:rsidRPr="00F7201B">
        <w:rPr>
          <w:rFonts w:ascii="Garamond" w:hAnsi="Garamond" w:cs="Times New Roman"/>
          <w:color w:val="000000" w:themeColor="text1"/>
          <w:sz w:val="22"/>
          <w:szCs w:val="22"/>
          <w:bdr w:val="none" w:sz="0" w:space="0" w:color="auto" w:frame="1"/>
          <w:vertAlign w:val="superscript"/>
          <w:lang w:val="en-GB"/>
        </w:rPr>
        <w:footnoteReference w:id="32"/>
      </w:r>
      <w:r w:rsidRPr="00F7201B">
        <w:rPr>
          <w:rFonts w:ascii="Garamond" w:hAnsi="Garamond" w:cs="Times New Roman"/>
          <w:color w:val="000000" w:themeColor="text1"/>
          <w:sz w:val="22"/>
          <w:szCs w:val="22"/>
          <w:bdr w:val="none" w:sz="0" w:space="0" w:color="auto" w:frame="1"/>
          <w:lang w:val="en-GB"/>
        </w:rPr>
        <w:t xml:space="preserve"> If there is no ‘new’ public, then there is no infringing act: in this sense, the requirement that the public targeted by the act of linking be new means overcoming something that, on the side of the relevant rightholder, may be regarded as an implied licence. Of course, this argument holds true if the content made available online and linked to has been published with the consent of the relevant rightholder.</w:t>
      </w:r>
      <w:r w:rsidRPr="00F7201B">
        <w:rPr>
          <w:rStyle w:val="FootnoteReference"/>
          <w:rFonts w:ascii="Garamond" w:hAnsi="Garamond" w:cs="Times New Roman"/>
          <w:color w:val="000000" w:themeColor="text1"/>
          <w:sz w:val="22"/>
          <w:szCs w:val="22"/>
          <w:bdr w:val="none" w:sz="0" w:space="0" w:color="auto" w:frame="1"/>
          <w:lang w:val="en-GB"/>
        </w:rPr>
        <w:footnoteReference w:id="33"/>
      </w:r>
      <w:r w:rsidRPr="00F7201B">
        <w:rPr>
          <w:rFonts w:ascii="Garamond" w:hAnsi="Garamond" w:cs="Times New Roman"/>
          <w:color w:val="000000" w:themeColor="text1"/>
          <w:sz w:val="22"/>
          <w:szCs w:val="22"/>
          <w:bdr w:val="none" w:sz="0" w:space="0" w:color="auto" w:frame="1"/>
          <w:lang w:val="en-GB"/>
        </w:rPr>
        <w:t xml:space="preserve"> The CJEU itself framed the ‘new public’ requirement within a licensing perspective. In </w:t>
      </w:r>
      <w:r w:rsidRPr="00F7201B">
        <w:rPr>
          <w:rFonts w:ascii="Garamond" w:hAnsi="Garamond" w:cs="Times New Roman"/>
          <w:i/>
          <w:color w:val="000000" w:themeColor="text1"/>
          <w:sz w:val="22"/>
          <w:szCs w:val="22"/>
          <w:bdr w:val="none" w:sz="0" w:space="0" w:color="auto" w:frame="1"/>
          <w:lang w:val="en-GB"/>
        </w:rPr>
        <w:t>Soulier and Doke</w:t>
      </w:r>
      <w:r w:rsidRPr="00F7201B">
        <w:rPr>
          <w:rFonts w:ascii="Garamond" w:hAnsi="Garamond" w:cs="Times New Roman"/>
          <w:color w:val="000000" w:themeColor="text1"/>
          <w:sz w:val="22"/>
          <w:szCs w:val="22"/>
          <w:bdr w:val="none" w:sz="0" w:space="0" w:color="auto" w:frame="1"/>
          <w:lang w:val="en-GB"/>
        </w:rPr>
        <w:t xml:space="preserve">, C-310/15, referring to its earlier decision in </w:t>
      </w:r>
      <w:r w:rsidRPr="00F7201B">
        <w:rPr>
          <w:rFonts w:ascii="Garamond" w:hAnsi="Garamond" w:cs="Times New Roman"/>
          <w:i/>
          <w:color w:val="000000" w:themeColor="text1"/>
          <w:sz w:val="22"/>
          <w:szCs w:val="22"/>
          <w:bdr w:val="none" w:sz="0" w:space="0" w:color="auto" w:frame="1"/>
          <w:lang w:val="en-GB"/>
        </w:rPr>
        <w:t>Svensson and Others</w:t>
      </w:r>
      <w:r w:rsidRPr="00F7201B">
        <w:rPr>
          <w:rFonts w:ascii="Garamond" w:hAnsi="Garamond" w:cs="Times New Roman"/>
          <w:color w:val="000000" w:themeColor="text1"/>
          <w:sz w:val="22"/>
          <w:szCs w:val="22"/>
          <w:bdr w:val="none" w:sz="0" w:space="0" w:color="auto" w:frame="1"/>
          <w:lang w:val="en-GB"/>
        </w:rPr>
        <w:t xml:space="preserve">, C-466/12, it held in fact that </w:t>
      </w:r>
    </w:p>
    <w:p w14:paraId="575FB921" w14:textId="77777777" w:rsidR="00EB0721" w:rsidRPr="00F7201B" w:rsidRDefault="00EB0721" w:rsidP="004F24CD">
      <w:pPr>
        <w:spacing w:line="360" w:lineRule="auto"/>
        <w:jc w:val="both"/>
        <w:rPr>
          <w:rFonts w:ascii="Garamond" w:hAnsi="Garamond" w:cs="Times New Roman"/>
          <w:color w:val="000000" w:themeColor="text1"/>
          <w:sz w:val="22"/>
          <w:szCs w:val="22"/>
          <w:bdr w:val="none" w:sz="0" w:space="0" w:color="auto" w:frame="1"/>
          <w:lang w:val="en-GB"/>
        </w:rPr>
      </w:pPr>
    </w:p>
    <w:p w14:paraId="0E4E1A9B" w14:textId="77777777" w:rsidR="00EB0721" w:rsidRPr="00F7201B" w:rsidRDefault="00EB0721" w:rsidP="004F24CD">
      <w:pPr>
        <w:spacing w:line="360" w:lineRule="auto"/>
        <w:ind w:left="708"/>
        <w:jc w:val="both"/>
        <w:rPr>
          <w:rFonts w:ascii="Garamond" w:eastAsia="Times New Roman" w:hAnsi="Garamond" w:cs="Times New Roman"/>
          <w:color w:val="000000" w:themeColor="text1"/>
          <w:sz w:val="22"/>
          <w:szCs w:val="22"/>
          <w:lang w:val="en-GB"/>
        </w:rPr>
      </w:pPr>
      <w:r w:rsidRPr="00F7201B">
        <w:rPr>
          <w:rFonts w:ascii="Garamond" w:eastAsia="Times New Roman" w:hAnsi="Garamond" w:cs="Times New Roman"/>
          <w:color w:val="000000" w:themeColor="text1"/>
          <w:sz w:val="22"/>
          <w:szCs w:val="22"/>
          <w:shd w:val="clear" w:color="auto" w:fill="FFFFFF"/>
          <w:lang w:val="en-GB"/>
        </w:rPr>
        <w:t>in a situation in which an author had given prior, explicit and unreserved authorisation to the publication of his articles on the website of a newspaper publisher, without making use of technological measures restricting access to those works from other websites, that author could be regarded, in essence, as having authorised the communication of those works to the general internet public.</w:t>
      </w:r>
      <w:r w:rsidRPr="00F7201B">
        <w:rPr>
          <w:rStyle w:val="FootnoteReference"/>
          <w:rFonts w:ascii="Garamond" w:eastAsia="Times New Roman" w:hAnsi="Garamond" w:cs="Times New Roman"/>
          <w:color w:val="000000" w:themeColor="text1"/>
          <w:sz w:val="22"/>
          <w:szCs w:val="22"/>
          <w:shd w:val="clear" w:color="auto" w:fill="FFFFFF"/>
          <w:lang w:val="en-GB"/>
        </w:rPr>
        <w:footnoteReference w:id="34"/>
      </w:r>
    </w:p>
    <w:p w14:paraId="655F6A33" w14:textId="77777777" w:rsidR="00EB0721" w:rsidRPr="00F7201B" w:rsidRDefault="00EB0721" w:rsidP="004F24CD">
      <w:pPr>
        <w:spacing w:line="360" w:lineRule="auto"/>
        <w:jc w:val="both"/>
        <w:rPr>
          <w:rFonts w:ascii="Garamond" w:hAnsi="Garamond" w:cs="Times New Roman"/>
          <w:color w:val="000000" w:themeColor="text1"/>
          <w:sz w:val="22"/>
          <w:szCs w:val="22"/>
          <w:bdr w:val="none" w:sz="0" w:space="0" w:color="auto" w:frame="1"/>
          <w:lang w:val="en-GB"/>
        </w:rPr>
      </w:pPr>
    </w:p>
    <w:p w14:paraId="187A01B8" w14:textId="658146CC" w:rsidR="00EB0721" w:rsidRPr="00F7201B" w:rsidRDefault="00EB0721" w:rsidP="004F24CD">
      <w:pPr>
        <w:spacing w:line="360" w:lineRule="auto"/>
        <w:jc w:val="both"/>
        <w:rPr>
          <w:rFonts w:ascii="Garamond" w:hAnsi="Garamond" w:cs="Times New Roman"/>
          <w:color w:val="000000" w:themeColor="text1"/>
          <w:sz w:val="22"/>
          <w:szCs w:val="22"/>
          <w:bdr w:val="none" w:sz="0" w:space="0" w:color="auto" w:frame="1"/>
          <w:lang w:val="en-GB"/>
        </w:rPr>
      </w:pPr>
      <w:r w:rsidRPr="00F7201B">
        <w:rPr>
          <w:rFonts w:ascii="Garamond" w:hAnsi="Garamond" w:cs="Times New Roman"/>
          <w:color w:val="000000" w:themeColor="text1"/>
          <w:sz w:val="22"/>
          <w:szCs w:val="22"/>
          <w:bdr w:val="none" w:sz="0" w:space="0" w:color="auto" w:frame="1"/>
          <w:lang w:val="en-GB"/>
        </w:rPr>
        <w:t xml:space="preserve">According to some commentators, </w:t>
      </w:r>
      <w:r w:rsidR="00595351">
        <w:rPr>
          <w:rFonts w:ascii="Garamond" w:hAnsi="Garamond" w:cs="Times New Roman"/>
          <w:color w:val="000000" w:themeColor="text1"/>
          <w:sz w:val="22"/>
          <w:szCs w:val="22"/>
          <w:bdr w:val="none" w:sz="0" w:space="0" w:color="auto" w:frame="1"/>
          <w:lang w:val="en-GB"/>
        </w:rPr>
        <w:t>consideration</w:t>
      </w:r>
      <w:r w:rsidRPr="00F7201B">
        <w:rPr>
          <w:rFonts w:ascii="Garamond" w:hAnsi="Garamond" w:cs="Times New Roman"/>
          <w:color w:val="000000" w:themeColor="text1"/>
          <w:sz w:val="22"/>
          <w:szCs w:val="22"/>
          <w:bdr w:val="none" w:sz="0" w:space="0" w:color="auto" w:frame="1"/>
          <w:lang w:val="en-GB"/>
        </w:rPr>
        <w:t xml:space="preserve"> of the ‘new public’ requirement would be based on an incorrect interpretation of international law, and would result in an undue (cf Article 3(3) of the InfoSoc Directive) exhaustion of the right of communication to the public.</w:t>
      </w:r>
      <w:r w:rsidRPr="00F7201B">
        <w:rPr>
          <w:rStyle w:val="FootnoteReference"/>
          <w:rFonts w:ascii="Garamond" w:hAnsi="Garamond" w:cs="Times New Roman"/>
          <w:color w:val="000000" w:themeColor="text1"/>
          <w:sz w:val="22"/>
          <w:szCs w:val="22"/>
          <w:bdr w:val="none" w:sz="0" w:space="0" w:color="auto" w:frame="1"/>
          <w:lang w:val="en-GB"/>
        </w:rPr>
        <w:footnoteReference w:id="35"/>
      </w:r>
    </w:p>
    <w:p w14:paraId="1BA0A57F" w14:textId="77777777" w:rsidR="00EB0721" w:rsidRPr="00F7201B" w:rsidRDefault="00EB0721" w:rsidP="004F24CD">
      <w:pPr>
        <w:spacing w:line="360" w:lineRule="auto"/>
        <w:jc w:val="both"/>
        <w:rPr>
          <w:rFonts w:ascii="Garamond" w:hAnsi="Garamond" w:cs="Times New Roman"/>
          <w:color w:val="000000" w:themeColor="text1"/>
          <w:sz w:val="22"/>
          <w:szCs w:val="22"/>
          <w:bdr w:val="none" w:sz="0" w:space="0" w:color="auto" w:frame="1"/>
          <w:lang w:val="en-GB"/>
        </w:rPr>
      </w:pPr>
    </w:p>
    <w:p w14:paraId="7CF9AEB5" w14:textId="77777777" w:rsidR="00A0758A" w:rsidRPr="00F7201B" w:rsidRDefault="00A0758A" w:rsidP="004F24CD">
      <w:pPr>
        <w:pStyle w:val="Heading2"/>
        <w:spacing w:before="0" w:line="360" w:lineRule="auto"/>
        <w:rPr>
          <w:rFonts w:ascii="Garamond" w:hAnsi="Garamond"/>
          <w:sz w:val="22"/>
          <w:szCs w:val="22"/>
          <w:bdr w:val="none" w:sz="0" w:space="0" w:color="auto" w:frame="1"/>
          <w:lang w:val="en-GB"/>
        </w:rPr>
      </w:pPr>
      <w:bookmarkStart w:id="17" w:name="_Toc396298476"/>
      <w:r w:rsidRPr="00F7201B">
        <w:rPr>
          <w:rFonts w:ascii="Garamond" w:hAnsi="Garamond"/>
          <w:sz w:val="22"/>
          <w:szCs w:val="22"/>
          <w:bdr w:val="none" w:sz="0" w:space="0" w:color="auto" w:frame="1"/>
          <w:lang w:val="en-GB"/>
        </w:rPr>
        <w:t>2.2.</w:t>
      </w:r>
      <w:r w:rsidRPr="00F7201B">
        <w:rPr>
          <w:rFonts w:ascii="Garamond" w:hAnsi="Garamond"/>
          <w:sz w:val="22"/>
          <w:szCs w:val="22"/>
          <w:bdr w:val="none" w:sz="0" w:space="0" w:color="auto" w:frame="1"/>
          <w:lang w:val="en-GB"/>
        </w:rPr>
        <w:tab/>
      </w:r>
      <w:r w:rsidRPr="00F7201B">
        <w:rPr>
          <w:rFonts w:ascii="Garamond" w:hAnsi="Garamond"/>
          <w:i/>
          <w:sz w:val="22"/>
          <w:szCs w:val="22"/>
          <w:bdr w:val="none" w:sz="0" w:space="0" w:color="auto" w:frame="1"/>
          <w:lang w:val="en-GB"/>
        </w:rPr>
        <w:t>BestWater</w:t>
      </w:r>
      <w:r w:rsidRPr="00F7201B">
        <w:rPr>
          <w:rFonts w:ascii="Garamond" w:hAnsi="Garamond"/>
          <w:sz w:val="22"/>
          <w:szCs w:val="22"/>
          <w:bdr w:val="none" w:sz="0" w:space="0" w:color="auto" w:frame="1"/>
          <w:lang w:val="en-GB"/>
        </w:rPr>
        <w:t>, C-348/13</w:t>
      </w:r>
      <w:bookmarkEnd w:id="17"/>
    </w:p>
    <w:p w14:paraId="11B05117" w14:textId="77777777" w:rsidR="00A0758A" w:rsidRPr="00F7201B" w:rsidRDefault="00A0758A" w:rsidP="004F24CD">
      <w:pPr>
        <w:spacing w:line="360" w:lineRule="auto"/>
        <w:jc w:val="both"/>
        <w:rPr>
          <w:rFonts w:ascii="Garamond" w:hAnsi="Garamond" w:cs="Times New Roman"/>
          <w:b/>
          <w:i/>
          <w:color w:val="000000" w:themeColor="text1"/>
          <w:sz w:val="22"/>
          <w:szCs w:val="22"/>
          <w:bdr w:val="none" w:sz="0" w:space="0" w:color="auto" w:frame="1"/>
          <w:lang w:val="en-GB"/>
        </w:rPr>
      </w:pPr>
    </w:p>
    <w:p w14:paraId="3423923C" w14:textId="2B85EABC" w:rsidR="00EB0721" w:rsidRPr="00F7201B" w:rsidRDefault="00EB0721" w:rsidP="004F24CD">
      <w:pPr>
        <w:spacing w:line="360" w:lineRule="auto"/>
        <w:jc w:val="both"/>
        <w:rPr>
          <w:rFonts w:ascii="Garamond" w:hAnsi="Garamond" w:cs="Times New Roman"/>
          <w:color w:val="000000" w:themeColor="text1"/>
          <w:sz w:val="22"/>
          <w:szCs w:val="22"/>
          <w:bdr w:val="none" w:sz="0" w:space="0" w:color="auto" w:frame="1"/>
          <w:lang w:val="en-GB"/>
        </w:rPr>
      </w:pPr>
      <w:r w:rsidRPr="00F7201B">
        <w:rPr>
          <w:rFonts w:ascii="Garamond" w:hAnsi="Garamond" w:cs="Times New Roman"/>
          <w:color w:val="000000" w:themeColor="text1"/>
          <w:sz w:val="22"/>
          <w:szCs w:val="22"/>
          <w:bdr w:val="none" w:sz="0" w:space="0" w:color="auto" w:frame="1"/>
          <w:lang w:val="en-GB"/>
        </w:rPr>
        <w:t xml:space="preserve">The Court confirmed the approach taken in </w:t>
      </w:r>
      <w:r w:rsidRPr="00F7201B">
        <w:rPr>
          <w:rFonts w:ascii="Garamond" w:hAnsi="Garamond" w:cs="Times New Roman"/>
          <w:i/>
          <w:color w:val="000000" w:themeColor="text1"/>
          <w:sz w:val="22"/>
          <w:szCs w:val="22"/>
          <w:bdr w:val="none" w:sz="0" w:space="0" w:color="auto" w:frame="1"/>
          <w:lang w:val="en-GB"/>
        </w:rPr>
        <w:t>Svensson and Others</w:t>
      </w:r>
      <w:r w:rsidRPr="00F7201B">
        <w:rPr>
          <w:rFonts w:ascii="Garamond" w:hAnsi="Garamond" w:cs="Times New Roman"/>
          <w:color w:val="000000" w:themeColor="text1"/>
          <w:sz w:val="22"/>
          <w:szCs w:val="22"/>
          <w:bdr w:val="none" w:sz="0" w:space="0" w:color="auto" w:frame="1"/>
          <w:lang w:val="en-GB"/>
        </w:rPr>
        <w:t xml:space="preserve">, C-466/12 in the subsequent 2014 order in </w:t>
      </w:r>
      <w:r w:rsidRPr="00F7201B">
        <w:rPr>
          <w:rFonts w:ascii="Garamond" w:hAnsi="Garamond" w:cs="Times New Roman"/>
          <w:i/>
          <w:color w:val="000000" w:themeColor="text1"/>
          <w:sz w:val="22"/>
          <w:szCs w:val="22"/>
          <w:bdr w:val="none" w:sz="0" w:space="0" w:color="auto" w:frame="1"/>
          <w:lang w:val="en-GB"/>
        </w:rPr>
        <w:t>BestWater</w:t>
      </w:r>
      <w:r w:rsidRPr="00F7201B">
        <w:rPr>
          <w:rFonts w:ascii="Garamond" w:hAnsi="Garamond" w:cs="Times New Roman"/>
          <w:color w:val="000000" w:themeColor="text1"/>
          <w:sz w:val="22"/>
          <w:szCs w:val="22"/>
          <w:bdr w:val="none" w:sz="0" w:space="0" w:color="auto" w:frame="1"/>
          <w:lang w:val="en-GB"/>
        </w:rPr>
        <w:t xml:space="preserve">, C-348/13 in which it indicated that the provision of a link to content that is freely accessible on a third-party website does not fall within the scope of Article 3(1) of the InfoSoc Directive. In that case the Court failed to address the fact that the content linked to and embedded on the defendant’s page had been uploaded on YouTube without the authorization of the relevant copyright holder. Hence, even after </w:t>
      </w:r>
      <w:r w:rsidRPr="00F7201B">
        <w:rPr>
          <w:rFonts w:ascii="Garamond" w:hAnsi="Garamond" w:cs="Times New Roman"/>
          <w:i/>
          <w:color w:val="000000" w:themeColor="text1"/>
          <w:sz w:val="22"/>
          <w:szCs w:val="22"/>
          <w:bdr w:val="none" w:sz="0" w:space="0" w:color="auto" w:frame="1"/>
          <w:lang w:val="en-GB"/>
        </w:rPr>
        <w:t>BestWater</w:t>
      </w:r>
      <w:r w:rsidRPr="00F7201B">
        <w:rPr>
          <w:rFonts w:ascii="Garamond" w:hAnsi="Garamond" w:cs="Times New Roman"/>
          <w:color w:val="000000" w:themeColor="text1"/>
          <w:sz w:val="22"/>
          <w:szCs w:val="22"/>
          <w:bdr w:val="none" w:sz="0" w:space="0" w:color="auto" w:frame="1"/>
          <w:lang w:val="en-GB"/>
        </w:rPr>
        <w:t>, C-348/13 it remained unclear what the treatment of linking to protected content available on a third-party website and first communicated without the consent of the relevant rightholder, ie unlicensed content, would be.</w:t>
      </w:r>
      <w:r w:rsidRPr="00F7201B">
        <w:rPr>
          <w:rStyle w:val="FootnoteReference"/>
          <w:rFonts w:ascii="Garamond" w:hAnsi="Garamond" w:cs="Times New Roman"/>
          <w:color w:val="000000" w:themeColor="text1"/>
          <w:sz w:val="22"/>
          <w:szCs w:val="22"/>
          <w:bdr w:val="none" w:sz="0" w:space="0" w:color="auto" w:frame="1"/>
          <w:lang w:val="en-GB"/>
        </w:rPr>
        <w:footnoteReference w:id="36"/>
      </w:r>
      <w:r w:rsidRPr="00F7201B">
        <w:rPr>
          <w:rFonts w:ascii="Garamond" w:hAnsi="Garamond" w:cs="Times New Roman"/>
          <w:color w:val="000000" w:themeColor="text1"/>
          <w:sz w:val="22"/>
          <w:szCs w:val="22"/>
          <w:bdr w:val="none" w:sz="0" w:space="0" w:color="auto" w:frame="1"/>
          <w:lang w:val="en-GB"/>
        </w:rPr>
        <w:t xml:space="preserve"> Logically, if one followed the reasoning of the CJEU in </w:t>
      </w:r>
      <w:r w:rsidRPr="00F7201B">
        <w:rPr>
          <w:rFonts w:ascii="Garamond" w:hAnsi="Garamond" w:cs="Times New Roman"/>
          <w:i/>
          <w:color w:val="000000" w:themeColor="text1"/>
          <w:sz w:val="22"/>
          <w:szCs w:val="22"/>
          <w:bdr w:val="none" w:sz="0" w:space="0" w:color="auto" w:frame="1"/>
          <w:lang w:val="en-GB"/>
        </w:rPr>
        <w:t>Svensson</w:t>
      </w:r>
      <w:r w:rsidRPr="00F7201B">
        <w:rPr>
          <w:rFonts w:ascii="Garamond" w:hAnsi="Garamond" w:cs="Times New Roman"/>
          <w:color w:val="000000" w:themeColor="text1"/>
          <w:sz w:val="22"/>
          <w:szCs w:val="22"/>
          <w:bdr w:val="none" w:sz="0" w:space="0" w:color="auto" w:frame="1"/>
          <w:lang w:val="en-GB"/>
        </w:rPr>
        <w:t xml:space="preserve"> alone and fully, then linking of this kind would be </w:t>
      </w:r>
      <w:r w:rsidRPr="00F7201B">
        <w:rPr>
          <w:rFonts w:ascii="Garamond" w:hAnsi="Garamond" w:cs="Times New Roman"/>
          <w:i/>
          <w:color w:val="000000" w:themeColor="text1"/>
          <w:sz w:val="22"/>
          <w:szCs w:val="22"/>
          <w:bdr w:val="none" w:sz="0" w:space="0" w:color="auto" w:frame="1"/>
          <w:lang w:val="en-GB"/>
        </w:rPr>
        <w:t>always</w:t>
      </w:r>
      <w:r w:rsidRPr="00F7201B">
        <w:rPr>
          <w:rFonts w:ascii="Garamond" w:hAnsi="Garamond" w:cs="Times New Roman"/>
          <w:color w:val="000000" w:themeColor="text1"/>
          <w:sz w:val="22"/>
          <w:szCs w:val="22"/>
          <w:bdr w:val="none" w:sz="0" w:space="0" w:color="auto" w:frame="1"/>
          <w:lang w:val="en-GB"/>
        </w:rPr>
        <w:t xml:space="preserve"> regarded as an act falling within the scope of Article 3(1) of the InfoSoc Directive and, for linking that involves embedding/framing, also issues of reproduction – which the CJEU has not yet addressed – would come into consideration. The relevant rightholder, in fact, would have had no public in mind, since they never authorized the making available of their work in the first place. Accordingly, linking to content of this kind should be always regarded as an act of communication to a ‘new public’. Yet, when the opportunity arose to address this particular scenario, AG Wathelet</w:t>
      </w:r>
      <w:r w:rsidRPr="00F7201B">
        <w:rPr>
          <w:rFonts w:ascii="Garamond" w:hAnsi="Garamond" w:cs="Times New Roman"/>
          <w:color w:val="000000" w:themeColor="text1"/>
          <w:sz w:val="22"/>
          <w:szCs w:val="22"/>
          <w:bdr w:val="none" w:sz="0" w:space="0" w:color="auto" w:frame="1"/>
          <w:vertAlign w:val="superscript"/>
          <w:lang w:val="en-GB"/>
        </w:rPr>
        <w:t xml:space="preserve"> </w:t>
      </w:r>
      <w:r w:rsidRPr="00F7201B">
        <w:rPr>
          <w:rFonts w:ascii="Garamond" w:hAnsi="Garamond" w:cs="Times New Roman"/>
          <w:color w:val="000000" w:themeColor="text1"/>
          <w:sz w:val="22"/>
          <w:szCs w:val="22"/>
          <w:bdr w:val="none" w:sz="0" w:space="0" w:color="auto" w:frame="1"/>
          <w:lang w:val="en-GB"/>
        </w:rPr>
        <w:t>first and, then, the CJEU took a different direction.</w:t>
      </w:r>
      <w:r w:rsidRPr="00F7201B">
        <w:rPr>
          <w:rStyle w:val="FootnoteReference"/>
          <w:rFonts w:ascii="Garamond" w:hAnsi="Garamond" w:cs="Times New Roman"/>
          <w:color w:val="000000" w:themeColor="text1"/>
          <w:sz w:val="22"/>
          <w:szCs w:val="22"/>
          <w:bdr w:val="none" w:sz="0" w:space="0" w:color="auto" w:frame="1"/>
          <w:lang w:val="en-GB"/>
        </w:rPr>
        <w:footnoteReference w:id="37"/>
      </w:r>
      <w:r w:rsidRPr="00F7201B">
        <w:rPr>
          <w:rFonts w:ascii="Garamond" w:hAnsi="Garamond" w:cs="Times New Roman"/>
          <w:color w:val="000000" w:themeColor="text1"/>
          <w:sz w:val="22"/>
          <w:szCs w:val="22"/>
          <w:bdr w:val="none" w:sz="0" w:space="0" w:color="auto" w:frame="1"/>
          <w:lang w:val="en-GB"/>
        </w:rPr>
        <w:t xml:space="preserve"> </w:t>
      </w:r>
    </w:p>
    <w:p w14:paraId="53ADC816" w14:textId="77777777" w:rsidR="00EB0721" w:rsidRPr="00F7201B" w:rsidRDefault="00EB0721" w:rsidP="004F24CD">
      <w:pPr>
        <w:spacing w:line="360" w:lineRule="auto"/>
        <w:jc w:val="both"/>
        <w:rPr>
          <w:rFonts w:ascii="Garamond" w:hAnsi="Garamond" w:cs="Times New Roman"/>
          <w:i/>
          <w:color w:val="000000" w:themeColor="text1"/>
          <w:sz w:val="22"/>
          <w:szCs w:val="22"/>
          <w:bdr w:val="none" w:sz="0" w:space="0" w:color="auto" w:frame="1"/>
          <w:lang w:val="en-GB"/>
        </w:rPr>
      </w:pPr>
    </w:p>
    <w:p w14:paraId="4CE1C7FD" w14:textId="77777777" w:rsidR="00A0758A" w:rsidRPr="00F7201B" w:rsidRDefault="00A0758A" w:rsidP="004F24CD">
      <w:pPr>
        <w:pStyle w:val="Heading2"/>
        <w:spacing w:before="0" w:line="360" w:lineRule="auto"/>
        <w:rPr>
          <w:rFonts w:ascii="Garamond" w:hAnsi="Garamond"/>
          <w:sz w:val="22"/>
          <w:szCs w:val="22"/>
          <w:bdr w:val="none" w:sz="0" w:space="0" w:color="auto" w:frame="1"/>
          <w:lang w:val="en-GB"/>
        </w:rPr>
      </w:pPr>
      <w:bookmarkStart w:id="18" w:name="_Toc396298477"/>
      <w:r w:rsidRPr="00F7201B">
        <w:rPr>
          <w:rFonts w:ascii="Garamond" w:hAnsi="Garamond"/>
          <w:sz w:val="22"/>
          <w:szCs w:val="22"/>
          <w:bdr w:val="none" w:sz="0" w:space="0" w:color="auto" w:frame="1"/>
          <w:lang w:val="en-GB"/>
        </w:rPr>
        <w:t>2.3.</w:t>
      </w:r>
      <w:r w:rsidRPr="00F7201B">
        <w:rPr>
          <w:rFonts w:ascii="Garamond" w:hAnsi="Garamond"/>
          <w:sz w:val="22"/>
          <w:szCs w:val="22"/>
          <w:bdr w:val="none" w:sz="0" w:space="0" w:color="auto" w:frame="1"/>
          <w:lang w:val="en-GB"/>
        </w:rPr>
        <w:tab/>
      </w:r>
      <w:r w:rsidRPr="00F7201B">
        <w:rPr>
          <w:rFonts w:ascii="Garamond" w:hAnsi="Garamond"/>
          <w:i/>
          <w:sz w:val="22"/>
          <w:szCs w:val="22"/>
          <w:bdr w:val="none" w:sz="0" w:space="0" w:color="auto" w:frame="1"/>
          <w:lang w:val="en-GB"/>
        </w:rPr>
        <w:t>GS Media</w:t>
      </w:r>
      <w:r w:rsidRPr="00F7201B">
        <w:rPr>
          <w:rFonts w:ascii="Garamond" w:hAnsi="Garamond"/>
          <w:sz w:val="22"/>
          <w:szCs w:val="22"/>
          <w:bdr w:val="none" w:sz="0" w:space="0" w:color="auto" w:frame="1"/>
          <w:lang w:val="en-GB"/>
        </w:rPr>
        <w:t>, C-160/15</w:t>
      </w:r>
      <w:bookmarkEnd w:id="18"/>
    </w:p>
    <w:p w14:paraId="0CC20024" w14:textId="77777777" w:rsidR="00A0758A" w:rsidRPr="00F7201B" w:rsidRDefault="00A0758A" w:rsidP="004F24CD">
      <w:pPr>
        <w:spacing w:line="360" w:lineRule="auto"/>
        <w:jc w:val="both"/>
        <w:rPr>
          <w:rFonts w:ascii="Garamond" w:hAnsi="Garamond" w:cs="Times New Roman"/>
          <w:color w:val="000000" w:themeColor="text1"/>
          <w:sz w:val="22"/>
          <w:szCs w:val="22"/>
          <w:bdr w:val="none" w:sz="0" w:space="0" w:color="auto" w:frame="1"/>
          <w:lang w:val="en-GB"/>
        </w:rPr>
      </w:pPr>
    </w:p>
    <w:p w14:paraId="098C26A5" w14:textId="77777777" w:rsidR="00EB0721" w:rsidRPr="00F7201B" w:rsidRDefault="00EB0721" w:rsidP="004F24CD">
      <w:pPr>
        <w:spacing w:line="360" w:lineRule="auto"/>
        <w:jc w:val="both"/>
        <w:rPr>
          <w:rFonts w:ascii="Garamond" w:eastAsia="Times New Roman" w:hAnsi="Garamond" w:cs="Times New Roman"/>
          <w:color w:val="000000" w:themeColor="text1"/>
          <w:sz w:val="22"/>
          <w:szCs w:val="22"/>
          <w:shd w:val="clear" w:color="auto" w:fill="FFFFFF"/>
          <w:lang w:val="en-GB"/>
        </w:rPr>
      </w:pPr>
      <w:r w:rsidRPr="00F7201B">
        <w:rPr>
          <w:rFonts w:ascii="Garamond" w:hAnsi="Garamond" w:cs="Times New Roman"/>
          <w:color w:val="000000" w:themeColor="text1"/>
          <w:sz w:val="22"/>
          <w:szCs w:val="22"/>
          <w:bdr w:val="none" w:sz="0" w:space="0" w:color="auto" w:frame="1"/>
          <w:lang w:val="en-GB"/>
        </w:rPr>
        <w:t xml:space="preserve">This case originated as a reference for a preliminary ruling from the Dutch Supreme Court. It had been made in the context of proceedings between the publisher of </w:t>
      </w:r>
      <w:r w:rsidRPr="00F7201B">
        <w:rPr>
          <w:rFonts w:ascii="Garamond" w:hAnsi="Garamond" w:cs="Times New Roman"/>
          <w:i/>
          <w:color w:val="000000" w:themeColor="text1"/>
          <w:sz w:val="22"/>
          <w:szCs w:val="22"/>
          <w:bdr w:val="none" w:sz="0" w:space="0" w:color="auto" w:frame="1"/>
          <w:lang w:val="en-GB"/>
        </w:rPr>
        <w:t>Playboy</w:t>
      </w:r>
      <w:r w:rsidRPr="00F7201B">
        <w:rPr>
          <w:rFonts w:ascii="Garamond" w:hAnsi="Garamond" w:cs="Times New Roman"/>
          <w:color w:val="000000" w:themeColor="text1"/>
          <w:sz w:val="22"/>
          <w:szCs w:val="22"/>
          <w:bdr w:val="none" w:sz="0" w:space="0" w:color="auto" w:frame="1"/>
          <w:lang w:val="en-GB"/>
        </w:rPr>
        <w:t xml:space="preserve"> magazine and GS Media, concerning the publication by the latter on a website that it operated (</w:t>
      </w:r>
      <w:r w:rsidRPr="00F7201B">
        <w:rPr>
          <w:rFonts w:ascii="Garamond" w:eastAsia="Times New Roman" w:hAnsi="Garamond" w:cs="Times New Roman"/>
          <w:color w:val="000000" w:themeColor="text1"/>
          <w:sz w:val="22"/>
          <w:szCs w:val="22"/>
          <w:shd w:val="clear" w:color="auto" w:fill="FFFFFF"/>
          <w:lang w:val="en-GB"/>
        </w:rPr>
        <w:t>GeenStijl</w:t>
      </w:r>
      <w:r w:rsidRPr="00F7201B">
        <w:rPr>
          <w:rFonts w:ascii="Garamond" w:eastAsia="Times New Roman" w:hAnsi="Garamond" w:cs="Times New Roman"/>
          <w:color w:val="000000" w:themeColor="text1"/>
          <w:sz w:val="22"/>
          <w:szCs w:val="22"/>
          <w:lang w:val="en-GB"/>
        </w:rPr>
        <w:t>)</w:t>
      </w:r>
      <w:r w:rsidRPr="00F7201B">
        <w:rPr>
          <w:rFonts w:ascii="Garamond" w:hAnsi="Garamond" w:cs="Times New Roman"/>
          <w:color w:val="000000" w:themeColor="text1"/>
          <w:sz w:val="22"/>
          <w:szCs w:val="22"/>
          <w:bdr w:val="none" w:sz="0" w:space="0" w:color="auto" w:frame="1"/>
          <w:lang w:val="en-GB"/>
        </w:rPr>
        <w:t xml:space="preserve"> of hyperlinks to other websites hosting unpublished photographs of Dutch TV personality Britt Dekker, that had been taken for a forthcoming issue of </w:t>
      </w:r>
      <w:r w:rsidRPr="00F7201B">
        <w:rPr>
          <w:rFonts w:ascii="Garamond" w:hAnsi="Garamond" w:cs="Times New Roman"/>
          <w:i/>
          <w:color w:val="000000" w:themeColor="text1"/>
          <w:sz w:val="22"/>
          <w:szCs w:val="22"/>
          <w:bdr w:val="none" w:sz="0" w:space="0" w:color="auto" w:frame="1"/>
          <w:lang w:val="en-GB"/>
        </w:rPr>
        <w:t>Playboy</w:t>
      </w:r>
      <w:r w:rsidRPr="00F7201B">
        <w:rPr>
          <w:rFonts w:ascii="Garamond" w:hAnsi="Garamond" w:cs="Times New Roman"/>
          <w:color w:val="000000" w:themeColor="text1"/>
          <w:sz w:val="22"/>
          <w:szCs w:val="22"/>
          <w:bdr w:val="none" w:sz="0" w:space="0" w:color="auto" w:frame="1"/>
          <w:lang w:val="en-GB"/>
        </w:rPr>
        <w:t>. In 2011 (</w:t>
      </w:r>
      <w:r w:rsidRPr="00F7201B">
        <w:rPr>
          <w:rFonts w:ascii="Garamond" w:hAnsi="Garamond" w:cs="Times New Roman"/>
          <w:bCs/>
          <w:color w:val="000000" w:themeColor="text1"/>
          <w:sz w:val="22"/>
          <w:szCs w:val="22"/>
          <w:bdr w:val="none" w:sz="0" w:space="0" w:color="auto" w:frame="1"/>
          <w:lang w:val="en-GB"/>
        </w:rPr>
        <w:t>prior to the publication of the </w:t>
      </w:r>
      <w:r w:rsidRPr="00F7201B">
        <w:rPr>
          <w:rFonts w:ascii="Garamond" w:hAnsi="Garamond" w:cs="Times New Roman"/>
          <w:bCs/>
          <w:i/>
          <w:iCs/>
          <w:color w:val="000000" w:themeColor="text1"/>
          <w:sz w:val="22"/>
          <w:szCs w:val="22"/>
          <w:bdr w:val="none" w:sz="0" w:space="0" w:color="auto" w:frame="1"/>
          <w:lang w:val="en-GB"/>
        </w:rPr>
        <w:t>Playboy </w:t>
      </w:r>
      <w:r w:rsidRPr="00F7201B">
        <w:rPr>
          <w:rFonts w:ascii="Garamond" w:hAnsi="Garamond" w:cs="Times New Roman"/>
          <w:bCs/>
          <w:color w:val="000000" w:themeColor="text1"/>
          <w:sz w:val="22"/>
          <w:szCs w:val="22"/>
          <w:bdr w:val="none" w:sz="0" w:space="0" w:color="auto" w:frame="1"/>
          <w:lang w:val="en-GB"/>
        </w:rPr>
        <w:t>issue in question) </w:t>
      </w:r>
      <w:r w:rsidRPr="00F7201B">
        <w:rPr>
          <w:rFonts w:ascii="Garamond" w:hAnsi="Garamond" w:cs="Times New Roman"/>
          <w:color w:val="000000" w:themeColor="text1"/>
          <w:sz w:val="22"/>
          <w:szCs w:val="22"/>
          <w:bdr w:val="none" w:sz="0" w:space="0" w:color="auto" w:frame="1"/>
          <w:lang w:val="en-GB"/>
        </w:rPr>
        <w:t xml:space="preserve">GS Media published a report containing a hyperlink to an Australian data-storage website, </w:t>
      </w:r>
      <w:r w:rsidRPr="00F7201B">
        <w:rPr>
          <w:rFonts w:ascii="Garamond" w:hAnsi="Garamond" w:cs="Times New Roman"/>
          <w:bCs/>
          <w:color w:val="000000" w:themeColor="text1"/>
          <w:sz w:val="22"/>
          <w:szCs w:val="22"/>
          <w:bdr w:val="none" w:sz="0" w:space="0" w:color="auto" w:frame="1"/>
          <w:lang w:val="en-GB"/>
        </w:rPr>
        <w:t>where the photographs appeared to be freely accessible and available for download.</w:t>
      </w:r>
      <w:r w:rsidRPr="00F7201B">
        <w:rPr>
          <w:rFonts w:ascii="Garamond" w:hAnsi="Garamond" w:cs="Times New Roman"/>
          <w:bCs/>
          <w:color w:val="000000" w:themeColor="text1"/>
          <w:sz w:val="22"/>
          <w:szCs w:val="22"/>
          <w:bdr w:val="none" w:sz="0" w:space="0" w:color="auto" w:frame="1"/>
          <w:vertAlign w:val="superscript"/>
          <w:lang w:val="en-GB"/>
        </w:rPr>
        <w:footnoteReference w:id="38"/>
      </w:r>
      <w:r w:rsidRPr="00F7201B">
        <w:rPr>
          <w:rFonts w:ascii="Garamond" w:hAnsi="Garamond" w:cs="Times New Roman"/>
          <w:color w:val="000000" w:themeColor="text1"/>
          <w:sz w:val="22"/>
          <w:szCs w:val="22"/>
          <w:bdr w:val="none" w:sz="0" w:space="0" w:color="auto" w:frame="1"/>
          <w:lang w:val="en-GB"/>
        </w:rPr>
        <w:t xml:space="preserve"> As explained by AG Wathelet, </w:t>
      </w:r>
      <w:r w:rsidRPr="00F7201B">
        <w:rPr>
          <w:rFonts w:ascii="Garamond" w:eastAsia="Times New Roman" w:hAnsi="Garamond" w:cs="Times New Roman"/>
          <w:color w:val="000000" w:themeColor="text1"/>
          <w:sz w:val="22"/>
          <w:szCs w:val="22"/>
          <w:shd w:val="clear" w:color="auto" w:fill="FFFFFF"/>
          <w:lang w:val="en-GB"/>
        </w:rPr>
        <w:t>the report carried the title ‘[obscenity] leaked! Nude photos ... Dekker’. The report, which also included part of one of the photographs in the top left-hand corner, ended with the following words: ‘And now the link with the pics you’ve been waiting for. Whoever [obscenity] first, [obscenity] first. HERE. [...]’. By clicking on a hyperlink, indicated by ‘HERE’, readers were directed to an Australian data-storage website called Filefactory.com. By clicking on the following hyperlink, they could open a new window that contained the button ‘DOWNLOAD NOW’. By clicking on the button, the readers opened a file in zip format containing 11 files in pdf format, each of which contained one of the photographs.</w:t>
      </w:r>
      <w:r w:rsidRPr="00F7201B">
        <w:rPr>
          <w:rStyle w:val="FootnoteReference"/>
          <w:rFonts w:ascii="Garamond" w:eastAsia="Times New Roman" w:hAnsi="Garamond" w:cs="Times New Roman"/>
          <w:color w:val="000000" w:themeColor="text1"/>
          <w:sz w:val="22"/>
          <w:szCs w:val="22"/>
          <w:shd w:val="clear" w:color="auto" w:fill="FFFFFF"/>
          <w:lang w:val="en-GB"/>
        </w:rPr>
        <w:footnoteReference w:id="39"/>
      </w:r>
    </w:p>
    <w:p w14:paraId="60B338F1" w14:textId="77777777" w:rsidR="00EB0721" w:rsidRPr="00F7201B" w:rsidRDefault="00EB0721" w:rsidP="004F24CD">
      <w:pPr>
        <w:spacing w:line="360" w:lineRule="auto"/>
        <w:jc w:val="both"/>
        <w:rPr>
          <w:rFonts w:ascii="Garamond" w:hAnsi="Garamond" w:cs="Times New Roman"/>
          <w:color w:val="000000" w:themeColor="text1"/>
          <w:sz w:val="22"/>
          <w:szCs w:val="22"/>
          <w:bdr w:val="none" w:sz="0" w:space="0" w:color="auto" w:frame="1"/>
          <w:lang w:val="en-GB"/>
        </w:rPr>
      </w:pPr>
    </w:p>
    <w:p w14:paraId="569C6DCF" w14:textId="77777777" w:rsidR="00EB0721" w:rsidRPr="00F7201B" w:rsidRDefault="00EB0721" w:rsidP="004F24CD">
      <w:pPr>
        <w:spacing w:line="360" w:lineRule="auto"/>
        <w:jc w:val="both"/>
        <w:rPr>
          <w:rFonts w:ascii="Garamond" w:hAnsi="Garamond" w:cs="Times New Roman"/>
          <w:color w:val="000000" w:themeColor="text1"/>
          <w:sz w:val="22"/>
          <w:szCs w:val="22"/>
          <w:bdr w:val="none" w:sz="0" w:space="0" w:color="auto" w:frame="1"/>
          <w:lang w:val="en-GB"/>
        </w:rPr>
      </w:pPr>
      <w:r w:rsidRPr="00F7201B">
        <w:rPr>
          <w:rFonts w:ascii="Garamond" w:hAnsi="Garamond" w:cs="Times New Roman"/>
          <w:color w:val="000000" w:themeColor="text1"/>
          <w:sz w:val="22"/>
          <w:szCs w:val="22"/>
          <w:bdr w:val="none" w:sz="0" w:space="0" w:color="auto" w:frame="1"/>
          <w:lang w:val="en-GB"/>
        </w:rPr>
        <w:t>Despite Sanoma's demands, GS Media refused to remove the hyperlink in question. Although the photographs were eventually deleted on the filefactory.com website, they were subsequently made available at another online location. GS Media published two further reports with new hyperlinks to Dekker's photographs.</w:t>
      </w:r>
    </w:p>
    <w:p w14:paraId="4A2D8C7E" w14:textId="77777777" w:rsidR="00EB0721" w:rsidRPr="00F7201B" w:rsidRDefault="00EB0721" w:rsidP="004F24CD">
      <w:pPr>
        <w:spacing w:line="360" w:lineRule="auto"/>
        <w:jc w:val="both"/>
        <w:rPr>
          <w:rFonts w:ascii="Garamond" w:hAnsi="Garamond" w:cs="Times New Roman"/>
          <w:color w:val="000000" w:themeColor="text1"/>
          <w:sz w:val="22"/>
          <w:szCs w:val="22"/>
          <w:bdr w:val="none" w:sz="0" w:space="0" w:color="auto" w:frame="1"/>
          <w:lang w:val="en-GB"/>
        </w:rPr>
      </w:pPr>
    </w:p>
    <w:p w14:paraId="5073A5FF" w14:textId="77777777" w:rsidR="00EB0721" w:rsidRPr="00F7201B" w:rsidRDefault="00EB0721" w:rsidP="004F24CD">
      <w:pPr>
        <w:spacing w:line="360" w:lineRule="auto"/>
        <w:jc w:val="both"/>
        <w:rPr>
          <w:rFonts w:ascii="Garamond" w:hAnsi="Garamond" w:cs="Times New Roman"/>
          <w:color w:val="000000" w:themeColor="text1"/>
          <w:sz w:val="22"/>
          <w:szCs w:val="22"/>
          <w:bdr w:val="none" w:sz="0" w:space="0" w:color="auto" w:frame="1"/>
          <w:lang w:val="en-GB"/>
        </w:rPr>
      </w:pPr>
      <w:r w:rsidRPr="00F7201B">
        <w:rPr>
          <w:rFonts w:ascii="Garamond" w:hAnsi="Garamond" w:cs="Times New Roman"/>
          <w:color w:val="000000" w:themeColor="text1"/>
          <w:sz w:val="22"/>
          <w:szCs w:val="22"/>
          <w:bdr w:val="none" w:sz="0" w:space="0" w:color="auto" w:frame="1"/>
          <w:lang w:val="en-GB"/>
        </w:rPr>
        <w:t>Sanoma succeeded in its actions before the Amsterdam District Court and the Amsterdam Court of Appeal, although these courts considered different aspects. The former held that, by posting those hyperlinks, GS Media’s conduct had been unlawful because it encouraged visitors to GeenStijl to view the photographs unlawfully posted elsewhere and which, without those hyperlinks, would have not been easy to find. In contrast, the appellate court held that, on the one hand, GS Media had infringed copyright by posting a cut-out of one of the photographs on the its own website but, on the other hand, had not made the photographs available to the public by posting the hyperlinks on its website.</w:t>
      </w:r>
      <w:r w:rsidRPr="00F7201B">
        <w:rPr>
          <w:rFonts w:ascii="Garamond" w:hAnsi="Garamond" w:cs="Times New Roman"/>
          <w:color w:val="000000" w:themeColor="text1"/>
          <w:sz w:val="22"/>
          <w:szCs w:val="22"/>
          <w:bdr w:val="none" w:sz="0" w:space="0" w:color="auto" w:frame="1"/>
          <w:vertAlign w:val="superscript"/>
          <w:lang w:val="en-GB"/>
        </w:rPr>
        <w:footnoteReference w:id="40"/>
      </w:r>
      <w:r w:rsidRPr="00F7201B">
        <w:rPr>
          <w:rFonts w:ascii="Garamond" w:hAnsi="Garamond" w:cs="Times New Roman"/>
          <w:color w:val="000000" w:themeColor="text1"/>
          <w:sz w:val="22"/>
          <w:szCs w:val="22"/>
          <w:bdr w:val="none" w:sz="0" w:space="0" w:color="auto" w:frame="1"/>
          <w:lang w:val="en-GB"/>
        </w:rPr>
        <w:t xml:space="preserve"> </w:t>
      </w:r>
    </w:p>
    <w:p w14:paraId="7FB41ADF" w14:textId="77777777" w:rsidR="00EB0721" w:rsidRPr="00F7201B" w:rsidRDefault="00EB0721" w:rsidP="004F24CD">
      <w:pPr>
        <w:spacing w:line="360" w:lineRule="auto"/>
        <w:jc w:val="both"/>
        <w:rPr>
          <w:rFonts w:ascii="Garamond" w:hAnsi="Garamond" w:cs="Times New Roman"/>
          <w:color w:val="000000" w:themeColor="text1"/>
          <w:sz w:val="22"/>
          <w:szCs w:val="22"/>
          <w:bdr w:val="none" w:sz="0" w:space="0" w:color="auto" w:frame="1"/>
          <w:lang w:val="en-GB"/>
        </w:rPr>
      </w:pPr>
    </w:p>
    <w:p w14:paraId="3B77EB27" w14:textId="77777777" w:rsidR="00EB0721" w:rsidRPr="00F7201B" w:rsidRDefault="00EB0721" w:rsidP="004F24CD">
      <w:pPr>
        <w:spacing w:line="360" w:lineRule="auto"/>
        <w:jc w:val="both"/>
        <w:rPr>
          <w:rFonts w:ascii="Garamond" w:hAnsi="Garamond" w:cs="Times New Roman"/>
          <w:color w:val="000000" w:themeColor="text1"/>
          <w:sz w:val="22"/>
          <w:szCs w:val="22"/>
          <w:bdr w:val="none" w:sz="0" w:space="0" w:color="auto" w:frame="1"/>
          <w:lang w:val="en-GB"/>
        </w:rPr>
      </w:pPr>
      <w:r w:rsidRPr="00F7201B">
        <w:rPr>
          <w:rFonts w:ascii="Garamond" w:hAnsi="Garamond" w:cs="Times New Roman"/>
          <w:color w:val="000000" w:themeColor="text1"/>
          <w:sz w:val="22"/>
          <w:szCs w:val="22"/>
          <w:bdr w:val="none" w:sz="0" w:space="0" w:color="auto" w:frame="1"/>
          <w:lang w:val="en-GB"/>
        </w:rPr>
        <w:t>The decision of the Court of Appeal was appealed before the Supreme Court, which decided to stay the proceedings and refer the case to the CJEU for a preliminary ruling asking whether: the provision on a website of a hyperlink to another website operated by a third party, which is accessible to the general internet public and on which works protected by copyright are made available to the public, without the authorization of the copyright holder constitutes an act of communication to the public; the fact that the person who posts the hyperlink to a website is or ought to be aware of the lack of consent by the copyright holder for the initial communication of the works on that website is important for the purpose of Article 3(1) of InfoSoc Directive;  the fact that a hyperlink has facilitated access to the works in question is relevant in accordance with Article 3(1).</w:t>
      </w:r>
    </w:p>
    <w:p w14:paraId="028500AD" w14:textId="77777777" w:rsidR="00EB0721" w:rsidRPr="00F7201B" w:rsidRDefault="00EB0721" w:rsidP="004F24CD">
      <w:pPr>
        <w:spacing w:line="360" w:lineRule="auto"/>
        <w:jc w:val="both"/>
        <w:rPr>
          <w:rFonts w:ascii="Garamond" w:hAnsi="Garamond" w:cs="Times New Roman"/>
          <w:color w:val="000000" w:themeColor="text1"/>
          <w:sz w:val="22"/>
          <w:szCs w:val="22"/>
          <w:bdr w:val="none" w:sz="0" w:space="0" w:color="auto" w:frame="1"/>
          <w:lang w:val="en-GB"/>
        </w:rPr>
      </w:pPr>
    </w:p>
    <w:p w14:paraId="4377A797" w14:textId="77777777" w:rsidR="00EB0721" w:rsidRPr="00F7201B" w:rsidRDefault="00EB0721" w:rsidP="004F24CD">
      <w:pPr>
        <w:spacing w:line="360" w:lineRule="auto"/>
        <w:jc w:val="both"/>
        <w:rPr>
          <w:rFonts w:ascii="Garamond" w:hAnsi="Garamond" w:cs="Times New Roman"/>
          <w:color w:val="000000" w:themeColor="text1"/>
          <w:sz w:val="22"/>
          <w:szCs w:val="22"/>
          <w:bdr w:val="none" w:sz="0" w:space="0" w:color="auto" w:frame="1"/>
          <w:lang w:val="en-GB"/>
        </w:rPr>
      </w:pPr>
      <w:r w:rsidRPr="00F7201B">
        <w:rPr>
          <w:rFonts w:ascii="Garamond" w:hAnsi="Garamond" w:cs="Times New Roman"/>
          <w:color w:val="000000" w:themeColor="text1"/>
          <w:sz w:val="22"/>
          <w:szCs w:val="22"/>
          <w:bdr w:val="none" w:sz="0" w:space="0" w:color="auto" w:frame="1"/>
          <w:lang w:val="en-GB"/>
        </w:rPr>
        <w:t>The CJEU held that the provision of a hyperlink (but it would appear that the same reasoning may be applied to other types of links</w:t>
      </w:r>
      <w:r w:rsidRPr="00F7201B">
        <w:rPr>
          <w:rStyle w:val="FootnoteReference"/>
          <w:rFonts w:ascii="Garamond" w:hAnsi="Garamond" w:cs="Times New Roman"/>
          <w:color w:val="000000" w:themeColor="text1"/>
          <w:sz w:val="22"/>
          <w:szCs w:val="22"/>
          <w:bdr w:val="none" w:sz="0" w:space="0" w:color="auto" w:frame="1"/>
          <w:lang w:val="en-GB"/>
        </w:rPr>
        <w:footnoteReference w:id="41"/>
      </w:r>
      <w:r w:rsidRPr="00F7201B">
        <w:rPr>
          <w:rFonts w:ascii="Garamond" w:hAnsi="Garamond" w:cs="Times New Roman"/>
          <w:color w:val="000000" w:themeColor="text1"/>
          <w:sz w:val="22"/>
          <w:szCs w:val="22"/>
          <w:bdr w:val="none" w:sz="0" w:space="0" w:color="auto" w:frame="1"/>
          <w:lang w:val="en-GB"/>
        </w:rPr>
        <w:t>) to a copyright work that is freely accessible and was initially published without the rightholder’s consent on another website does not constitute a communication to the public, as long as the person who posts that link does not seek financial gain </w:t>
      </w:r>
      <w:r w:rsidRPr="00F7201B">
        <w:rPr>
          <w:rFonts w:ascii="Garamond" w:hAnsi="Garamond" w:cs="Times New Roman"/>
          <w:iCs/>
          <w:color w:val="000000" w:themeColor="text1"/>
          <w:sz w:val="22"/>
          <w:szCs w:val="22"/>
          <w:bdr w:val="none" w:sz="0" w:space="0" w:color="auto" w:frame="1"/>
          <w:lang w:val="en-GB"/>
        </w:rPr>
        <w:t>and</w:t>
      </w:r>
      <w:r w:rsidRPr="00F7201B">
        <w:rPr>
          <w:rFonts w:ascii="Garamond" w:hAnsi="Garamond" w:cs="Times New Roman"/>
          <w:color w:val="000000" w:themeColor="text1"/>
          <w:sz w:val="22"/>
          <w:szCs w:val="22"/>
          <w:bdr w:val="none" w:sz="0" w:space="0" w:color="auto" w:frame="1"/>
          <w:lang w:val="en-GB"/>
        </w:rPr>
        <w:t xml:space="preserve"> acts without knowledge that such work has been published without a licence from the relevant rightholder. </w:t>
      </w:r>
    </w:p>
    <w:p w14:paraId="60653548" w14:textId="77777777" w:rsidR="00EB0721" w:rsidRPr="00F7201B" w:rsidRDefault="00EB0721" w:rsidP="004F24CD">
      <w:pPr>
        <w:spacing w:line="360" w:lineRule="auto"/>
        <w:jc w:val="both"/>
        <w:rPr>
          <w:rFonts w:ascii="Garamond" w:hAnsi="Garamond" w:cs="Times New Roman"/>
          <w:color w:val="000000" w:themeColor="text1"/>
          <w:sz w:val="22"/>
          <w:szCs w:val="22"/>
          <w:bdr w:val="none" w:sz="0" w:space="0" w:color="auto" w:frame="1"/>
          <w:lang w:val="en-GB"/>
        </w:rPr>
      </w:pPr>
    </w:p>
    <w:p w14:paraId="25B9EB71" w14:textId="6E17546C" w:rsidR="00EB0721" w:rsidRPr="00595351" w:rsidRDefault="00EB0721" w:rsidP="004F24CD">
      <w:pPr>
        <w:spacing w:line="360" w:lineRule="auto"/>
        <w:jc w:val="both"/>
        <w:rPr>
          <w:rFonts w:ascii="Garamond" w:eastAsia="Times New Roman" w:hAnsi="Garamond" w:cs="Times New Roman"/>
          <w:color w:val="010202"/>
          <w:sz w:val="22"/>
          <w:szCs w:val="22"/>
          <w:shd w:val="clear" w:color="auto" w:fill="FFFFFF"/>
          <w:lang w:val="en-GB"/>
        </w:rPr>
      </w:pPr>
      <w:r w:rsidRPr="00F7201B">
        <w:rPr>
          <w:rFonts w:ascii="Garamond" w:hAnsi="Garamond" w:cs="Times New Roman"/>
          <w:color w:val="000000" w:themeColor="text1"/>
          <w:sz w:val="22"/>
          <w:szCs w:val="22"/>
          <w:bdr w:val="none" w:sz="0" w:space="0" w:color="auto" w:frame="1"/>
          <w:lang w:val="en-GB"/>
        </w:rPr>
        <w:t>The CJEU began its analysis with a general discussion of the preventative nature of the right of communication to the public.</w:t>
      </w:r>
      <w:r w:rsidRPr="00F7201B">
        <w:rPr>
          <w:rFonts w:ascii="Garamond" w:hAnsi="Garamond" w:cs="Times New Roman"/>
          <w:color w:val="000000" w:themeColor="text1"/>
          <w:sz w:val="22"/>
          <w:szCs w:val="22"/>
          <w:bdr w:val="none" w:sz="0" w:space="0" w:color="auto" w:frame="1"/>
          <w:vertAlign w:val="superscript"/>
          <w:lang w:val="en-GB"/>
        </w:rPr>
        <w:footnoteReference w:id="42"/>
      </w:r>
      <w:r w:rsidRPr="00F7201B">
        <w:rPr>
          <w:rFonts w:ascii="Garamond" w:hAnsi="Garamond" w:cs="Times New Roman"/>
          <w:color w:val="000000" w:themeColor="text1"/>
          <w:sz w:val="22"/>
          <w:szCs w:val="22"/>
          <w:bdr w:val="none" w:sz="0" w:space="0" w:color="auto" w:frame="1"/>
          <w:lang w:val="en-GB"/>
        </w:rPr>
        <w:t xml:space="preserve"> It mentioned the lack of a definition in the body of the InfoSoc Directive and, hence, the need to refer to the objectives pursued by this piece of EU legislation: high level of protection of authors, but also a fair balance of contrasting rights and interests, as also protected by the </w:t>
      </w:r>
      <w:r w:rsidR="00595351" w:rsidRPr="00F7201B">
        <w:rPr>
          <w:rFonts w:ascii="Garamond" w:eastAsia="Times New Roman" w:hAnsi="Garamond" w:cs="Times New Roman"/>
          <w:color w:val="010202"/>
          <w:sz w:val="22"/>
          <w:szCs w:val="22"/>
          <w:shd w:val="clear" w:color="auto" w:fill="FFFFFF"/>
          <w:lang w:val="en-GB"/>
        </w:rPr>
        <w:t>Charter of Fundamental Rights of the European Union</w:t>
      </w:r>
      <w:r w:rsidR="00595351" w:rsidRPr="00F7201B">
        <w:rPr>
          <w:rStyle w:val="FootnoteReference"/>
          <w:rFonts w:ascii="Garamond" w:eastAsia="Times New Roman" w:hAnsi="Garamond" w:cs="Times New Roman"/>
          <w:color w:val="010202"/>
          <w:sz w:val="22"/>
          <w:szCs w:val="22"/>
          <w:shd w:val="clear" w:color="auto" w:fill="FFFFFF"/>
          <w:lang w:val="en-GB"/>
        </w:rPr>
        <w:footnoteReference w:id="43"/>
      </w:r>
      <w:r w:rsidR="00595351" w:rsidRPr="00F7201B">
        <w:rPr>
          <w:rFonts w:ascii="Garamond" w:eastAsia="Times New Roman" w:hAnsi="Garamond" w:cs="Times New Roman"/>
          <w:color w:val="010202"/>
          <w:sz w:val="22"/>
          <w:szCs w:val="22"/>
          <w:shd w:val="clear" w:color="auto" w:fill="FFFFFF"/>
          <w:lang w:val="en-GB"/>
        </w:rPr>
        <w:t xml:space="preserve"> (EU Charter)</w:t>
      </w:r>
      <w:r w:rsidRPr="00F7201B">
        <w:rPr>
          <w:rFonts w:ascii="Garamond" w:hAnsi="Garamond" w:cs="Times New Roman"/>
          <w:color w:val="000000" w:themeColor="text1"/>
          <w:sz w:val="22"/>
          <w:szCs w:val="22"/>
          <w:bdr w:val="none" w:sz="0" w:space="0" w:color="auto" w:frame="1"/>
          <w:lang w:val="en-GB"/>
        </w:rPr>
        <w:t>. Having recalled the requirement under Article 3(1) of the InfoSoc Directive</w:t>
      </w:r>
      <w:r w:rsidRPr="00F7201B">
        <w:rPr>
          <w:rFonts w:ascii="Garamond" w:hAnsi="Garamond" w:cs="Times New Roman"/>
          <w:color w:val="000000" w:themeColor="text1"/>
          <w:sz w:val="22"/>
          <w:szCs w:val="22"/>
          <w:bdr w:val="none" w:sz="0" w:space="0" w:color="auto" w:frame="1"/>
          <w:vertAlign w:val="superscript"/>
          <w:lang w:val="en-GB"/>
        </w:rPr>
        <w:footnoteReference w:id="44"/>
      </w:r>
      <w:r w:rsidRPr="00F7201B">
        <w:rPr>
          <w:rFonts w:ascii="Garamond" w:hAnsi="Garamond" w:cs="Times New Roman"/>
          <w:color w:val="000000" w:themeColor="text1"/>
          <w:sz w:val="22"/>
          <w:szCs w:val="22"/>
          <w:bdr w:val="none" w:sz="0" w:space="0" w:color="auto" w:frame="1"/>
          <w:lang w:val="en-GB"/>
        </w:rPr>
        <w:t>, it noted how an individual assessment is to be undertaken in specific instances by considering several complementary criteria. These are not autonomous and are interdependent, and may, in different situations, be present to widely varying degrees. They must be applied both individually and in their interaction with one another. One of such criteria is the indispensable role played by the user and the deliberate nature of its intervention: the user makes an act of communication when it intervenes, in full knowledge of the consequences of its action, to give access to a protected work to its customers, and does so, in particular, where, in the absence of that intervention, its customers would not, in principle, be able to enjoy the work.</w:t>
      </w:r>
      <w:r w:rsidRPr="00F7201B">
        <w:rPr>
          <w:rFonts w:ascii="Garamond" w:hAnsi="Garamond" w:cs="Times New Roman"/>
          <w:color w:val="000000" w:themeColor="text1"/>
          <w:sz w:val="22"/>
          <w:szCs w:val="22"/>
          <w:bdr w:val="none" w:sz="0" w:space="0" w:color="auto" w:frame="1"/>
          <w:vertAlign w:val="superscript"/>
          <w:lang w:val="en-GB"/>
        </w:rPr>
        <w:footnoteReference w:id="45"/>
      </w:r>
      <w:r w:rsidRPr="00F7201B">
        <w:rPr>
          <w:rFonts w:ascii="Garamond" w:hAnsi="Garamond" w:cs="Times New Roman"/>
          <w:color w:val="000000" w:themeColor="text1"/>
          <w:sz w:val="22"/>
          <w:szCs w:val="22"/>
          <w:bdr w:val="none" w:sz="0" w:space="0" w:color="auto" w:frame="1"/>
          <w:lang w:val="en-GB"/>
        </w:rPr>
        <w:t xml:space="preserve"> Other criteria include: a communication using specific technical means</w:t>
      </w:r>
      <w:r w:rsidRPr="00F7201B">
        <w:rPr>
          <w:rFonts w:ascii="Garamond" w:hAnsi="Garamond" w:cs="Times New Roman"/>
          <w:color w:val="000000" w:themeColor="text1"/>
          <w:sz w:val="22"/>
          <w:szCs w:val="22"/>
          <w:bdr w:val="none" w:sz="0" w:space="0" w:color="auto" w:frame="1"/>
          <w:vertAlign w:val="superscript"/>
          <w:lang w:val="en-GB"/>
        </w:rPr>
        <w:footnoteReference w:id="46"/>
      </w:r>
      <w:r w:rsidRPr="00F7201B">
        <w:rPr>
          <w:rFonts w:ascii="Garamond" w:hAnsi="Garamond" w:cs="Times New Roman"/>
          <w:color w:val="000000" w:themeColor="text1"/>
          <w:sz w:val="22"/>
          <w:szCs w:val="22"/>
          <w:bdr w:val="none" w:sz="0" w:space="0" w:color="auto" w:frame="1"/>
          <w:lang w:val="en-GB"/>
        </w:rPr>
        <w:t>, different from those previously used or, failing that, to a ‘new public’ and the profit-making nature of the communication. According to the court it is in the light, in particular, of these criteria that a situation like that one at issue in the background proceedings should be assessed.</w:t>
      </w:r>
      <w:r w:rsidRPr="00F7201B">
        <w:rPr>
          <w:rFonts w:ascii="Garamond" w:hAnsi="Garamond" w:cs="Times New Roman"/>
          <w:color w:val="000000" w:themeColor="text1"/>
          <w:sz w:val="22"/>
          <w:szCs w:val="22"/>
          <w:bdr w:val="none" w:sz="0" w:space="0" w:color="auto" w:frame="1"/>
          <w:vertAlign w:val="superscript"/>
          <w:lang w:val="en-GB"/>
        </w:rPr>
        <w:footnoteReference w:id="47"/>
      </w:r>
      <w:r w:rsidRPr="00F7201B">
        <w:rPr>
          <w:rFonts w:ascii="Garamond" w:hAnsi="Garamond" w:cs="Times New Roman"/>
          <w:color w:val="000000" w:themeColor="text1"/>
          <w:sz w:val="22"/>
          <w:szCs w:val="22"/>
          <w:bdr w:val="none" w:sz="0" w:space="0" w:color="auto" w:frame="1"/>
          <w:lang w:val="en-GB"/>
        </w:rPr>
        <w:t xml:space="preserve"> Reviewing earlier case law, the CJEU noted how from this it could not be inferred that, lacking the relevant rightholder’s consent, a link would invariably amount to an unauthorized act of communication to the public.</w:t>
      </w:r>
      <w:r w:rsidRPr="00F7201B">
        <w:rPr>
          <w:rFonts w:ascii="Garamond" w:hAnsi="Garamond" w:cs="Times New Roman"/>
          <w:color w:val="000000" w:themeColor="text1"/>
          <w:sz w:val="22"/>
          <w:szCs w:val="22"/>
          <w:bdr w:val="none" w:sz="0" w:space="0" w:color="auto" w:frame="1"/>
          <w:vertAlign w:val="superscript"/>
          <w:lang w:val="en-GB"/>
        </w:rPr>
        <w:footnoteReference w:id="48"/>
      </w:r>
      <w:r w:rsidRPr="00F7201B">
        <w:rPr>
          <w:rFonts w:ascii="Garamond" w:hAnsi="Garamond" w:cs="Times New Roman"/>
          <w:color w:val="000000" w:themeColor="text1"/>
          <w:sz w:val="22"/>
          <w:szCs w:val="22"/>
          <w:bdr w:val="none" w:sz="0" w:space="0" w:color="auto" w:frame="1"/>
          <w:lang w:val="en-GB"/>
        </w:rPr>
        <w:t> </w:t>
      </w:r>
    </w:p>
    <w:p w14:paraId="688A112F" w14:textId="77777777" w:rsidR="00EB0721" w:rsidRPr="00F7201B" w:rsidRDefault="00EB0721" w:rsidP="004F24CD">
      <w:pPr>
        <w:spacing w:line="360" w:lineRule="auto"/>
        <w:jc w:val="both"/>
        <w:rPr>
          <w:rFonts w:ascii="Garamond" w:hAnsi="Garamond" w:cs="Times New Roman"/>
          <w:color w:val="000000" w:themeColor="text1"/>
          <w:sz w:val="22"/>
          <w:szCs w:val="22"/>
          <w:bdr w:val="none" w:sz="0" w:space="0" w:color="auto" w:frame="1"/>
          <w:lang w:val="en-GB"/>
        </w:rPr>
      </w:pPr>
    </w:p>
    <w:p w14:paraId="13C22EB0" w14:textId="01361572" w:rsidR="00EB0721" w:rsidRPr="00F7201B" w:rsidRDefault="00EB0721" w:rsidP="004F24CD">
      <w:pPr>
        <w:spacing w:line="360" w:lineRule="auto"/>
        <w:jc w:val="both"/>
        <w:rPr>
          <w:rFonts w:ascii="Garamond" w:hAnsi="Garamond" w:cs="Times New Roman"/>
          <w:color w:val="000000" w:themeColor="text1"/>
          <w:sz w:val="22"/>
          <w:szCs w:val="22"/>
          <w:bdr w:val="none" w:sz="0" w:space="0" w:color="auto" w:frame="1"/>
          <w:lang w:val="en-GB"/>
        </w:rPr>
      </w:pPr>
      <w:r w:rsidRPr="00F7201B">
        <w:rPr>
          <w:rFonts w:ascii="Garamond" w:hAnsi="Garamond" w:cs="Times New Roman"/>
          <w:color w:val="000000" w:themeColor="text1"/>
          <w:sz w:val="22"/>
          <w:szCs w:val="22"/>
          <w:bdr w:val="none" w:sz="0" w:space="0" w:color="auto" w:frame="1"/>
          <w:lang w:val="en-GB"/>
        </w:rPr>
        <w:t>In light of this conclusion, the court made two observations. First, the internet is of particular importance to freedom of expression and of information, and hyperlinks contribute to its sound operation as well as to the exchange of opinions and information in a network characterized by the very availability of immense amounts of information. Second, it may be difficult, in particular for individuals who wish to post such links, to ascertain whether the website to which those links are expected to lead provides access to works which are protected and, if necessary, whether the copyright holders of those works have consented to their posting on the internet. Checking is all the more difficult where those rights</w:t>
      </w:r>
      <w:r w:rsidR="00595351">
        <w:rPr>
          <w:rFonts w:ascii="Garamond" w:hAnsi="Garamond" w:cs="Times New Roman"/>
          <w:color w:val="000000" w:themeColor="text1"/>
          <w:sz w:val="22"/>
          <w:szCs w:val="22"/>
          <w:bdr w:val="none" w:sz="0" w:space="0" w:color="auto" w:frame="1"/>
          <w:lang w:val="en-GB"/>
        </w:rPr>
        <w:t xml:space="preserve"> have been subject to sub-licenc</w:t>
      </w:r>
      <w:r w:rsidRPr="00F7201B">
        <w:rPr>
          <w:rFonts w:ascii="Garamond" w:hAnsi="Garamond" w:cs="Times New Roman"/>
          <w:color w:val="000000" w:themeColor="text1"/>
          <w:sz w:val="22"/>
          <w:szCs w:val="22"/>
          <w:bdr w:val="none" w:sz="0" w:space="0" w:color="auto" w:frame="1"/>
          <w:lang w:val="en-GB"/>
        </w:rPr>
        <w:t>es. Moreover, the content of a website to which a hyperlink enables access may be changed after the creation of that link, including the protected works, without the person who created that link necessarily being aware of it. </w:t>
      </w:r>
    </w:p>
    <w:p w14:paraId="1B85DE05" w14:textId="77777777" w:rsidR="00EB0721" w:rsidRPr="00F7201B" w:rsidRDefault="00EB0721" w:rsidP="004F24CD">
      <w:pPr>
        <w:spacing w:line="360" w:lineRule="auto"/>
        <w:jc w:val="both"/>
        <w:rPr>
          <w:rFonts w:ascii="Garamond" w:hAnsi="Garamond" w:cs="Times New Roman"/>
          <w:color w:val="000000" w:themeColor="text1"/>
          <w:sz w:val="22"/>
          <w:szCs w:val="22"/>
          <w:bdr w:val="none" w:sz="0" w:space="0" w:color="auto" w:frame="1"/>
          <w:lang w:val="en-GB"/>
        </w:rPr>
      </w:pPr>
    </w:p>
    <w:p w14:paraId="79A3359D" w14:textId="4C32A0B3" w:rsidR="00EB0721" w:rsidRPr="00F7201B" w:rsidRDefault="00EB0721" w:rsidP="004F24CD">
      <w:pPr>
        <w:spacing w:line="360" w:lineRule="auto"/>
        <w:jc w:val="both"/>
        <w:rPr>
          <w:rFonts w:ascii="Garamond" w:hAnsi="Garamond" w:cs="Times New Roman"/>
          <w:color w:val="000000" w:themeColor="text1"/>
          <w:sz w:val="22"/>
          <w:szCs w:val="22"/>
          <w:bdr w:val="none" w:sz="0" w:space="0" w:color="auto" w:frame="1"/>
          <w:lang w:val="en-GB"/>
        </w:rPr>
      </w:pPr>
      <w:r w:rsidRPr="00F7201B">
        <w:rPr>
          <w:rFonts w:ascii="Garamond" w:hAnsi="Garamond" w:cs="Times New Roman"/>
          <w:color w:val="000000" w:themeColor="text1"/>
          <w:sz w:val="22"/>
          <w:szCs w:val="22"/>
          <w:bdr w:val="none" w:sz="0" w:space="0" w:color="auto" w:frame="1"/>
          <w:lang w:val="en-GB"/>
        </w:rPr>
        <w:t>In order to determine whether the provision of a hyperlink to unlicensed content amounts to an act of communication to the public, the CJEU considered the complementary criteria mentioned above, notably the profit-making intention and the subjective state of mind of the ‘hyperlinker’.</w:t>
      </w:r>
      <w:r w:rsidRPr="00F7201B">
        <w:rPr>
          <w:rFonts w:ascii="Garamond" w:hAnsi="Garamond" w:cs="Times New Roman"/>
          <w:color w:val="000000" w:themeColor="text1"/>
          <w:sz w:val="22"/>
          <w:szCs w:val="22"/>
          <w:bdr w:val="none" w:sz="0" w:space="0" w:color="auto" w:frame="1"/>
          <w:vertAlign w:val="superscript"/>
          <w:lang w:val="en-GB"/>
        </w:rPr>
        <w:t xml:space="preserve"> </w:t>
      </w:r>
      <w:r w:rsidRPr="00F7201B">
        <w:rPr>
          <w:rFonts w:ascii="Garamond" w:hAnsi="Garamond" w:cs="Times New Roman"/>
          <w:color w:val="000000" w:themeColor="text1"/>
          <w:sz w:val="22"/>
          <w:szCs w:val="22"/>
          <w:bdr w:val="none" w:sz="0" w:space="0" w:color="auto" w:frame="1"/>
          <w:lang w:val="en-GB"/>
        </w:rPr>
        <w:t xml:space="preserve">According to the court, when the provision of a hyperlink to a work freely available on another website is carried out by a person who, in so doing, does not pursue a profit, it is necessary to consider that such person is unaware that </w:t>
      </w:r>
      <w:r w:rsidR="00595351">
        <w:rPr>
          <w:rFonts w:ascii="Garamond" w:hAnsi="Garamond" w:cs="Times New Roman"/>
          <w:color w:val="000000" w:themeColor="text1"/>
          <w:sz w:val="22"/>
          <w:szCs w:val="22"/>
          <w:bdr w:val="none" w:sz="0" w:space="0" w:color="auto" w:frame="1"/>
          <w:lang w:val="en-GB"/>
        </w:rPr>
        <w:t xml:space="preserve">such </w:t>
      </w:r>
      <w:r w:rsidRPr="00F7201B">
        <w:rPr>
          <w:rFonts w:ascii="Garamond" w:hAnsi="Garamond" w:cs="Times New Roman"/>
          <w:color w:val="000000" w:themeColor="text1"/>
          <w:sz w:val="22"/>
          <w:szCs w:val="22"/>
          <w:bdr w:val="none" w:sz="0" w:space="0" w:color="auto" w:frame="1"/>
          <w:lang w:val="en-GB"/>
        </w:rPr>
        <w:t xml:space="preserve">work had been published on the internet without the consent of the relevant rightholder. In other words, in such circumstances, the link provider does not intervene in full knowledge of the consequences of </w:t>
      </w:r>
      <w:r w:rsidR="00595351">
        <w:rPr>
          <w:rFonts w:ascii="Garamond" w:hAnsi="Garamond" w:cs="Times New Roman"/>
          <w:color w:val="000000" w:themeColor="text1"/>
          <w:sz w:val="22"/>
          <w:szCs w:val="22"/>
          <w:bdr w:val="none" w:sz="0" w:space="0" w:color="auto" w:frame="1"/>
          <w:lang w:val="en-GB"/>
        </w:rPr>
        <w:t>their</w:t>
      </w:r>
      <w:r w:rsidRPr="00F7201B">
        <w:rPr>
          <w:rFonts w:ascii="Garamond" w:hAnsi="Garamond" w:cs="Times New Roman"/>
          <w:color w:val="000000" w:themeColor="text1"/>
          <w:sz w:val="22"/>
          <w:szCs w:val="22"/>
          <w:bdr w:val="none" w:sz="0" w:space="0" w:color="auto" w:frame="1"/>
          <w:lang w:val="en-GB"/>
        </w:rPr>
        <w:t xml:space="preserve"> conduct. </w:t>
      </w:r>
    </w:p>
    <w:p w14:paraId="054CB309" w14:textId="77777777" w:rsidR="00EB0721" w:rsidRPr="00F7201B" w:rsidRDefault="00EB0721" w:rsidP="004F24CD">
      <w:pPr>
        <w:spacing w:line="360" w:lineRule="auto"/>
        <w:jc w:val="both"/>
        <w:rPr>
          <w:rFonts w:ascii="Garamond" w:hAnsi="Garamond" w:cs="Times New Roman"/>
          <w:color w:val="000000" w:themeColor="text1"/>
          <w:sz w:val="22"/>
          <w:szCs w:val="22"/>
          <w:bdr w:val="none" w:sz="0" w:space="0" w:color="auto" w:frame="1"/>
          <w:lang w:val="en-GB"/>
        </w:rPr>
      </w:pPr>
    </w:p>
    <w:p w14:paraId="6A7D226E" w14:textId="77777777" w:rsidR="00EB0721" w:rsidRPr="00F7201B" w:rsidRDefault="00EB0721" w:rsidP="004F24CD">
      <w:pPr>
        <w:spacing w:line="360" w:lineRule="auto"/>
        <w:jc w:val="both"/>
        <w:rPr>
          <w:rFonts w:ascii="Garamond" w:hAnsi="Garamond" w:cs="Times New Roman"/>
          <w:color w:val="000000" w:themeColor="text1"/>
          <w:sz w:val="22"/>
          <w:szCs w:val="22"/>
          <w:bdr w:val="none" w:sz="0" w:space="0" w:color="auto" w:frame="1"/>
          <w:lang w:val="en-GB"/>
        </w:rPr>
      </w:pPr>
      <w:r w:rsidRPr="00F7201B">
        <w:rPr>
          <w:rFonts w:ascii="Garamond" w:hAnsi="Garamond" w:cs="Times New Roman"/>
          <w:color w:val="000000" w:themeColor="text1"/>
          <w:sz w:val="22"/>
          <w:szCs w:val="22"/>
          <w:bdr w:val="none" w:sz="0" w:space="0" w:color="auto" w:frame="1"/>
          <w:lang w:val="en-GB"/>
        </w:rPr>
        <w:t>Conversely, the provision of a hyperlink to protected content would amount to an act of communication to the public in the following situations. First, when the ‘hyperlinker’ knows or ought to have known that the hyperlink posted would provide access to a work unlawfully placed on the internet, for example owing to the fact that it was notified to this effect by the relevant rightholder. Second, when the hyperlink at issue allows users of the website on which they are posted to circumvent the restrictions taken by the site where the protected work is posted in order to restrict the public’s access to its own subscribers.</w:t>
      </w:r>
      <w:r w:rsidRPr="00F7201B">
        <w:rPr>
          <w:rFonts w:ascii="Garamond" w:hAnsi="Garamond" w:cs="Times New Roman"/>
          <w:color w:val="000000" w:themeColor="text1"/>
          <w:sz w:val="22"/>
          <w:szCs w:val="22"/>
          <w:bdr w:val="none" w:sz="0" w:space="0" w:color="auto" w:frame="1"/>
          <w:vertAlign w:val="superscript"/>
          <w:lang w:val="en-GB"/>
        </w:rPr>
        <w:footnoteReference w:id="49"/>
      </w:r>
      <w:r w:rsidRPr="00F7201B">
        <w:rPr>
          <w:rFonts w:ascii="Garamond" w:hAnsi="Garamond" w:cs="Times New Roman"/>
          <w:color w:val="000000" w:themeColor="text1"/>
          <w:sz w:val="22"/>
          <w:szCs w:val="22"/>
          <w:bdr w:val="none" w:sz="0" w:space="0" w:color="auto" w:frame="1"/>
          <w:lang w:val="en-GB"/>
        </w:rPr>
        <w:t xml:space="preserve"> While the latter scenario appears to lead also to a finding of copyright infringement, the same may not be true also in relation to the former. In fact, as the CJEU explained at paragraph 53, liability of the ‘hyperlinker’ would follow not only from knowledge that the content linked to is unlicensed, but also from the impossibility to invoke successfully a defence allowed by Article 5(3) of the InfoSoc Directive and available under the applicable national copyright regime.</w:t>
      </w:r>
      <w:r w:rsidRPr="00F7201B">
        <w:rPr>
          <w:rFonts w:ascii="Garamond" w:hAnsi="Garamond" w:cs="Times New Roman"/>
          <w:color w:val="000000" w:themeColor="text1"/>
          <w:sz w:val="22"/>
          <w:szCs w:val="22"/>
          <w:bdr w:val="none" w:sz="0" w:space="0" w:color="auto" w:frame="1"/>
          <w:vertAlign w:val="superscript"/>
          <w:lang w:val="en-GB"/>
        </w:rPr>
        <w:footnoteReference w:id="50"/>
      </w:r>
    </w:p>
    <w:p w14:paraId="5D9EBEB6" w14:textId="77777777" w:rsidR="00EB0721" w:rsidRPr="00F7201B" w:rsidRDefault="00EB0721" w:rsidP="004F24CD">
      <w:pPr>
        <w:spacing w:line="360" w:lineRule="auto"/>
        <w:jc w:val="both"/>
        <w:rPr>
          <w:rFonts w:ascii="Garamond" w:hAnsi="Garamond" w:cs="Times New Roman"/>
          <w:color w:val="000000" w:themeColor="text1"/>
          <w:sz w:val="22"/>
          <w:szCs w:val="22"/>
          <w:bdr w:val="none" w:sz="0" w:space="0" w:color="auto" w:frame="1"/>
          <w:lang w:val="en-GB"/>
        </w:rPr>
      </w:pPr>
    </w:p>
    <w:p w14:paraId="2E072369" w14:textId="77777777" w:rsidR="00EB0721" w:rsidRPr="00F7201B" w:rsidRDefault="00EB0721" w:rsidP="004F24CD">
      <w:pPr>
        <w:spacing w:line="360" w:lineRule="auto"/>
        <w:jc w:val="both"/>
        <w:rPr>
          <w:rFonts w:ascii="Garamond" w:hAnsi="Garamond" w:cs="Times New Roman"/>
          <w:color w:val="000000" w:themeColor="text1"/>
          <w:sz w:val="22"/>
          <w:szCs w:val="22"/>
          <w:bdr w:val="none" w:sz="0" w:space="0" w:color="auto" w:frame="1"/>
          <w:lang w:val="en-GB"/>
        </w:rPr>
      </w:pPr>
      <w:r w:rsidRPr="00F7201B">
        <w:rPr>
          <w:rFonts w:ascii="Garamond" w:hAnsi="Garamond" w:cs="Times New Roman"/>
          <w:color w:val="000000" w:themeColor="text1"/>
          <w:sz w:val="22"/>
          <w:szCs w:val="22"/>
          <w:bdr w:val="none" w:sz="0" w:space="0" w:color="auto" w:frame="1"/>
          <w:lang w:val="en-GB"/>
        </w:rPr>
        <w:t xml:space="preserve">The court also added a </w:t>
      </w:r>
      <w:r w:rsidRPr="00F7201B">
        <w:rPr>
          <w:rFonts w:ascii="Garamond" w:hAnsi="Garamond" w:cs="Times New Roman"/>
          <w:i/>
          <w:color w:val="000000" w:themeColor="text1"/>
          <w:sz w:val="22"/>
          <w:szCs w:val="22"/>
          <w:bdr w:val="none" w:sz="0" w:space="0" w:color="auto" w:frame="1"/>
          <w:lang w:val="en-GB"/>
        </w:rPr>
        <w:t>presumptio</w:t>
      </w:r>
      <w:r w:rsidRPr="00F7201B">
        <w:rPr>
          <w:rFonts w:ascii="Garamond" w:hAnsi="Garamond" w:cs="Times New Roman"/>
          <w:color w:val="000000" w:themeColor="text1"/>
          <w:sz w:val="22"/>
          <w:szCs w:val="22"/>
          <w:bdr w:val="none" w:sz="0" w:space="0" w:color="auto" w:frame="1"/>
          <w:lang w:val="en-GB"/>
        </w:rPr>
        <w:t xml:space="preserve"> </w:t>
      </w:r>
      <w:r w:rsidRPr="00F7201B">
        <w:rPr>
          <w:rFonts w:ascii="Garamond" w:hAnsi="Garamond" w:cs="Times New Roman"/>
          <w:i/>
          <w:color w:val="000000" w:themeColor="text1"/>
          <w:sz w:val="22"/>
          <w:szCs w:val="22"/>
          <w:bdr w:val="none" w:sz="0" w:space="0" w:color="auto" w:frame="1"/>
          <w:lang w:val="en-GB"/>
        </w:rPr>
        <w:t>iuris tantum</w:t>
      </w:r>
      <w:r w:rsidRPr="00F7201B">
        <w:rPr>
          <w:rFonts w:ascii="Garamond" w:hAnsi="Garamond" w:cs="Times New Roman"/>
          <w:color w:val="000000" w:themeColor="text1"/>
          <w:sz w:val="22"/>
          <w:szCs w:val="22"/>
          <w:bdr w:val="none" w:sz="0" w:space="0" w:color="auto" w:frame="1"/>
          <w:lang w:val="en-GB"/>
        </w:rPr>
        <w:t>, ie rebuttable:</w:t>
      </w:r>
    </w:p>
    <w:p w14:paraId="62E63E12" w14:textId="77777777" w:rsidR="00EB0721" w:rsidRPr="00F7201B" w:rsidRDefault="00EB0721" w:rsidP="004F24CD">
      <w:pPr>
        <w:spacing w:line="360" w:lineRule="auto"/>
        <w:jc w:val="both"/>
        <w:rPr>
          <w:rFonts w:ascii="Garamond" w:hAnsi="Garamond" w:cs="Times New Roman"/>
          <w:color w:val="000000" w:themeColor="text1"/>
          <w:sz w:val="22"/>
          <w:szCs w:val="22"/>
          <w:bdr w:val="none" w:sz="0" w:space="0" w:color="auto" w:frame="1"/>
          <w:lang w:val="en-GB"/>
        </w:rPr>
      </w:pPr>
    </w:p>
    <w:p w14:paraId="35E82AF5" w14:textId="77777777" w:rsidR="00EB0721" w:rsidRPr="00F7201B" w:rsidRDefault="00EB0721" w:rsidP="004F24CD">
      <w:pPr>
        <w:spacing w:line="360" w:lineRule="auto"/>
        <w:ind w:left="708"/>
        <w:jc w:val="both"/>
        <w:rPr>
          <w:rFonts w:ascii="Garamond" w:hAnsi="Garamond" w:cs="Times New Roman"/>
          <w:color w:val="000000" w:themeColor="text1"/>
          <w:sz w:val="22"/>
          <w:szCs w:val="22"/>
          <w:bdr w:val="none" w:sz="0" w:space="0" w:color="auto" w:frame="1"/>
          <w:lang w:val="en-GB"/>
        </w:rPr>
      </w:pPr>
      <w:r w:rsidRPr="00F7201B">
        <w:rPr>
          <w:rFonts w:ascii="Garamond" w:hAnsi="Garamond" w:cs="Times New Roman"/>
          <w:color w:val="000000" w:themeColor="text1"/>
          <w:sz w:val="22"/>
          <w:szCs w:val="22"/>
          <w:bdr w:val="none" w:sz="0" w:space="0" w:color="auto" w:frame="1"/>
          <w:lang w:val="en-GB"/>
        </w:rPr>
        <w:t>when the posting of hyperlinks is carried out for profit, it can be expected that the person who posted such a link carries out the necessary checks to ensure that the work concerned is not illegally published on the website to which those hyperlinks lead, so that it must be presumed that that posting has occurred with the full knowledge of the protected nature of that work and the possible lack of consent to publication on the internet by the copyright holder.</w:t>
      </w:r>
      <w:r w:rsidRPr="00F7201B">
        <w:rPr>
          <w:rFonts w:ascii="Garamond" w:hAnsi="Garamond" w:cs="Times New Roman"/>
          <w:color w:val="000000" w:themeColor="text1"/>
          <w:sz w:val="22"/>
          <w:szCs w:val="22"/>
          <w:bdr w:val="none" w:sz="0" w:space="0" w:color="auto" w:frame="1"/>
          <w:vertAlign w:val="superscript"/>
          <w:lang w:val="en-GB"/>
        </w:rPr>
        <w:footnoteReference w:id="51"/>
      </w:r>
      <w:r w:rsidRPr="00F7201B">
        <w:rPr>
          <w:rFonts w:ascii="Garamond" w:hAnsi="Garamond" w:cs="Times New Roman"/>
          <w:color w:val="000000" w:themeColor="text1"/>
          <w:sz w:val="22"/>
          <w:szCs w:val="22"/>
          <w:bdr w:val="none" w:sz="0" w:space="0" w:color="auto" w:frame="1"/>
          <w:lang w:val="en-GB"/>
        </w:rPr>
        <w:t> </w:t>
      </w:r>
    </w:p>
    <w:p w14:paraId="26C4BA7E" w14:textId="77777777" w:rsidR="00EB0721" w:rsidRPr="00F7201B" w:rsidRDefault="00EB0721" w:rsidP="004F24CD">
      <w:pPr>
        <w:spacing w:line="360" w:lineRule="auto"/>
        <w:jc w:val="both"/>
        <w:rPr>
          <w:rFonts w:ascii="Garamond" w:hAnsi="Garamond" w:cs="Times New Roman"/>
          <w:color w:val="000000" w:themeColor="text1"/>
          <w:sz w:val="22"/>
          <w:szCs w:val="22"/>
          <w:bdr w:val="none" w:sz="0" w:space="0" w:color="auto" w:frame="1"/>
          <w:lang w:val="en-GB"/>
        </w:rPr>
      </w:pPr>
    </w:p>
    <w:p w14:paraId="6433442B" w14:textId="77777777" w:rsidR="00EB0721" w:rsidRPr="00F7201B" w:rsidRDefault="00EB0721" w:rsidP="004F24CD">
      <w:pPr>
        <w:spacing w:line="360" w:lineRule="auto"/>
        <w:jc w:val="both"/>
        <w:rPr>
          <w:rFonts w:ascii="Garamond" w:hAnsi="Garamond" w:cs="Times New Roman"/>
          <w:color w:val="000000" w:themeColor="text1"/>
          <w:sz w:val="22"/>
          <w:szCs w:val="22"/>
          <w:bdr w:val="none" w:sz="0" w:space="0" w:color="auto" w:frame="1"/>
          <w:lang w:val="en-GB"/>
        </w:rPr>
      </w:pPr>
      <w:r w:rsidRPr="00F7201B">
        <w:rPr>
          <w:rFonts w:ascii="Garamond" w:hAnsi="Garamond" w:cs="Times New Roman"/>
          <w:color w:val="000000" w:themeColor="text1"/>
          <w:sz w:val="22"/>
          <w:szCs w:val="22"/>
          <w:bdr w:val="none" w:sz="0" w:space="0" w:color="auto" w:frame="1"/>
          <w:lang w:val="en-GB"/>
        </w:rPr>
        <w:t xml:space="preserve">In the case at hand, the defendant provided the hyperlinks for profit, yet knowing that the photos had been published without the copyright holders’ permission. The Court found that a situation of this kind would be clearly one of </w:t>
      </w:r>
      <w:r w:rsidRPr="00F7201B">
        <w:rPr>
          <w:rFonts w:ascii="Garamond" w:hAnsi="Garamond" w:cs="Times New Roman"/>
          <w:i/>
          <w:color w:val="000000" w:themeColor="text1"/>
          <w:sz w:val="22"/>
          <w:szCs w:val="22"/>
          <w:bdr w:val="none" w:sz="0" w:space="0" w:color="auto" w:frame="1"/>
          <w:lang w:val="en-GB"/>
        </w:rPr>
        <w:t>prima facie</w:t>
      </w:r>
      <w:r w:rsidRPr="00F7201B">
        <w:rPr>
          <w:rFonts w:ascii="Garamond" w:hAnsi="Garamond" w:cs="Times New Roman"/>
          <w:color w:val="000000" w:themeColor="text1"/>
          <w:sz w:val="22"/>
          <w:szCs w:val="22"/>
          <w:bdr w:val="none" w:sz="0" w:space="0" w:color="auto" w:frame="1"/>
          <w:lang w:val="en-GB"/>
        </w:rPr>
        <w:t xml:space="preserve"> copyright infringement</w:t>
      </w:r>
      <w:r w:rsidRPr="00F7201B">
        <w:rPr>
          <w:rFonts w:ascii="Garamond" w:hAnsi="Garamond" w:cs="Times New Roman"/>
          <w:color w:val="000000" w:themeColor="text1"/>
          <w:sz w:val="22"/>
          <w:szCs w:val="22"/>
          <w:bdr w:val="none" w:sz="0" w:space="0" w:color="auto" w:frame="1"/>
          <w:vertAlign w:val="superscript"/>
          <w:lang w:val="en-GB"/>
        </w:rPr>
        <w:footnoteReference w:id="52"/>
      </w:r>
      <w:r w:rsidRPr="00F7201B">
        <w:rPr>
          <w:rFonts w:ascii="Garamond" w:hAnsi="Garamond" w:cs="Times New Roman"/>
          <w:color w:val="000000" w:themeColor="text1"/>
          <w:sz w:val="22"/>
          <w:szCs w:val="22"/>
          <w:bdr w:val="none" w:sz="0" w:space="0" w:color="auto" w:frame="1"/>
          <w:lang w:val="en-GB"/>
        </w:rPr>
        <w:t xml:space="preserve">, although it failed to clarify whether the profit-making intention should relate to the provision of the link </w:t>
      </w:r>
      <w:r w:rsidRPr="00F7201B">
        <w:rPr>
          <w:rFonts w:ascii="Garamond" w:hAnsi="Garamond" w:cs="Times New Roman"/>
          <w:i/>
          <w:color w:val="000000" w:themeColor="text1"/>
          <w:sz w:val="22"/>
          <w:szCs w:val="22"/>
          <w:bdr w:val="none" w:sz="0" w:space="0" w:color="auto" w:frame="1"/>
          <w:lang w:val="en-GB"/>
        </w:rPr>
        <w:t>per se</w:t>
      </w:r>
      <w:r w:rsidRPr="00F7201B">
        <w:rPr>
          <w:rFonts w:ascii="Garamond" w:hAnsi="Garamond" w:cs="Times New Roman"/>
          <w:color w:val="000000" w:themeColor="text1"/>
          <w:sz w:val="22"/>
          <w:szCs w:val="22"/>
          <w:bdr w:val="none" w:sz="0" w:space="0" w:color="auto" w:frame="1"/>
          <w:lang w:val="en-GB"/>
        </w:rPr>
        <w:t xml:space="preserve"> or, rather, the overall context in which the link is provided. Should one consider whether the relevant link is provided with the intention to make a profit? Or should rather one consider the surrounding environment to the relevant link, eg whether it is provided on a website that is operated for profit? Although both alternatives appear plausible, </w:t>
      </w:r>
      <w:r w:rsidR="00A0758A" w:rsidRPr="00F7201B">
        <w:rPr>
          <w:rFonts w:ascii="Garamond" w:hAnsi="Garamond" w:cs="Times New Roman"/>
          <w:color w:val="000000" w:themeColor="text1"/>
          <w:sz w:val="22"/>
          <w:szCs w:val="22"/>
          <w:bdr w:val="none" w:sz="0" w:space="0" w:color="auto" w:frame="1"/>
          <w:lang w:val="en-GB"/>
        </w:rPr>
        <w:t xml:space="preserve">as detailed above </w:t>
      </w:r>
      <w:r w:rsidR="00A0758A" w:rsidRPr="00F7201B">
        <w:rPr>
          <w:rFonts w:ascii="Garamond" w:hAnsi="Garamond" w:cs="Times New Roman"/>
          <w:i/>
          <w:color w:val="000000" w:themeColor="text1"/>
          <w:sz w:val="22"/>
          <w:szCs w:val="22"/>
          <w:bdr w:val="none" w:sz="0" w:space="0" w:color="auto" w:frame="1"/>
          <w:lang w:val="en-GB"/>
        </w:rPr>
        <w:t>sub</w:t>
      </w:r>
      <w:r w:rsidR="00A0758A" w:rsidRPr="00F7201B">
        <w:rPr>
          <w:rFonts w:ascii="Garamond" w:hAnsi="Garamond" w:cs="Times New Roman"/>
          <w:color w:val="000000" w:themeColor="text1"/>
          <w:sz w:val="22"/>
          <w:szCs w:val="22"/>
          <w:bdr w:val="none" w:sz="0" w:space="0" w:color="auto" w:frame="1"/>
          <w:lang w:val="en-GB"/>
        </w:rPr>
        <w:t xml:space="preserve"> </w:t>
      </w:r>
      <w:r w:rsidR="00A0758A" w:rsidRPr="00F7201B">
        <w:rPr>
          <w:rFonts w:ascii="Garamond" w:hAnsi="Garamond" w:cs="Times New Roman"/>
          <w:color w:val="000000" w:themeColor="text1"/>
          <w:sz w:val="22"/>
          <w:szCs w:val="22"/>
          <w:highlight w:val="yellow"/>
          <w:bdr w:val="none" w:sz="0" w:space="0" w:color="auto" w:frame="1"/>
          <w:lang w:val="en-GB"/>
        </w:rPr>
        <w:t>§1.1</w:t>
      </w:r>
      <w:r w:rsidR="00A0758A" w:rsidRPr="00F7201B">
        <w:rPr>
          <w:rFonts w:ascii="Garamond" w:hAnsi="Garamond" w:cs="Times New Roman"/>
          <w:color w:val="000000" w:themeColor="text1"/>
          <w:sz w:val="22"/>
          <w:szCs w:val="22"/>
          <w:bdr w:val="none" w:sz="0" w:space="0" w:color="auto" w:frame="1"/>
          <w:lang w:val="en-GB"/>
        </w:rPr>
        <w:t xml:space="preserve">, </w:t>
      </w:r>
      <w:r w:rsidRPr="00F7201B">
        <w:rPr>
          <w:rFonts w:ascii="Garamond" w:hAnsi="Garamond" w:cs="Times New Roman"/>
          <w:color w:val="000000" w:themeColor="text1"/>
          <w:sz w:val="22"/>
          <w:szCs w:val="22"/>
          <w:bdr w:val="none" w:sz="0" w:space="0" w:color="auto" w:frame="1"/>
          <w:lang w:val="en-GB"/>
        </w:rPr>
        <w:t xml:space="preserve">consideration of the context in which the relevant link is provided appears to be more in line with earlier CJEU case law. </w:t>
      </w:r>
    </w:p>
    <w:p w14:paraId="1DCB2201" w14:textId="77777777" w:rsidR="00EB0721" w:rsidRPr="00F7201B" w:rsidRDefault="00EB0721" w:rsidP="004F24CD">
      <w:pPr>
        <w:spacing w:line="360" w:lineRule="auto"/>
        <w:jc w:val="both"/>
        <w:rPr>
          <w:rFonts w:ascii="Garamond" w:hAnsi="Garamond" w:cs="Times New Roman"/>
          <w:color w:val="000000" w:themeColor="text1"/>
          <w:sz w:val="22"/>
          <w:szCs w:val="22"/>
          <w:bdr w:val="none" w:sz="0" w:space="0" w:color="auto" w:frame="1"/>
          <w:lang w:val="en-GB"/>
        </w:rPr>
      </w:pPr>
    </w:p>
    <w:p w14:paraId="14E447EC" w14:textId="77777777" w:rsidR="004F24CD" w:rsidRPr="00F7201B" w:rsidRDefault="00EB0721" w:rsidP="004F24CD">
      <w:pPr>
        <w:spacing w:line="360" w:lineRule="auto"/>
        <w:jc w:val="both"/>
        <w:rPr>
          <w:rFonts w:ascii="Garamond" w:hAnsi="Garamond" w:cs="Times New Roman"/>
          <w:color w:val="000000" w:themeColor="text1"/>
          <w:sz w:val="22"/>
          <w:szCs w:val="22"/>
          <w:bdr w:val="none" w:sz="0" w:space="0" w:color="auto" w:frame="1"/>
          <w:lang w:val="en-GB"/>
        </w:rPr>
      </w:pPr>
      <w:r w:rsidRPr="00F7201B">
        <w:rPr>
          <w:rFonts w:ascii="Garamond" w:hAnsi="Garamond" w:cs="Times New Roman"/>
          <w:color w:val="000000" w:themeColor="text1"/>
          <w:sz w:val="22"/>
          <w:szCs w:val="22"/>
          <w:bdr w:val="none" w:sz="0" w:space="0" w:color="auto" w:frame="1"/>
          <w:lang w:val="en-GB"/>
        </w:rPr>
        <w:t xml:space="preserve">Following the CJEU decision in </w:t>
      </w:r>
      <w:r w:rsidRPr="00F7201B">
        <w:rPr>
          <w:rFonts w:ascii="Garamond" w:hAnsi="Garamond" w:cs="Times New Roman"/>
          <w:i/>
          <w:color w:val="000000" w:themeColor="text1"/>
          <w:sz w:val="22"/>
          <w:szCs w:val="22"/>
          <w:bdr w:val="none" w:sz="0" w:space="0" w:color="auto" w:frame="1"/>
          <w:lang w:val="en-GB"/>
        </w:rPr>
        <w:t>GS Media</w:t>
      </w:r>
      <w:r w:rsidRPr="00F7201B">
        <w:rPr>
          <w:rFonts w:ascii="Garamond" w:hAnsi="Garamond" w:cs="Times New Roman"/>
          <w:color w:val="000000" w:themeColor="text1"/>
          <w:sz w:val="22"/>
          <w:szCs w:val="22"/>
          <w:bdr w:val="none" w:sz="0" w:space="0" w:color="auto" w:frame="1"/>
          <w:lang w:val="en-GB"/>
        </w:rPr>
        <w:t>, C-160/15 the legal treatment of linking under Article 3(1) of the InfoSoc Directive is summarized in the table below</w:t>
      </w:r>
      <w:r w:rsidRPr="00F7201B">
        <w:rPr>
          <w:rStyle w:val="FootnoteReference"/>
          <w:rFonts w:ascii="Garamond" w:hAnsi="Garamond" w:cs="Times New Roman"/>
          <w:color w:val="000000" w:themeColor="text1"/>
          <w:sz w:val="22"/>
          <w:szCs w:val="22"/>
          <w:bdr w:val="none" w:sz="0" w:space="0" w:color="auto" w:frame="1"/>
          <w:lang w:val="en-GB"/>
        </w:rPr>
        <w:footnoteReference w:id="53"/>
      </w:r>
      <w:r w:rsidRPr="00F7201B">
        <w:rPr>
          <w:rFonts w:ascii="Garamond" w:hAnsi="Garamond" w:cs="Times New Roman"/>
          <w:color w:val="000000" w:themeColor="text1"/>
          <w:sz w:val="22"/>
          <w:szCs w:val="22"/>
          <w:bdr w:val="none" w:sz="0" w:space="0" w:color="auto" w:frame="1"/>
          <w:lang w:val="en-GB"/>
        </w:rPr>
        <w:t>:</w:t>
      </w:r>
    </w:p>
    <w:p w14:paraId="14A7EE1F" w14:textId="77777777" w:rsidR="004F24CD" w:rsidRPr="00F7201B" w:rsidRDefault="004F24CD">
      <w:pPr>
        <w:rPr>
          <w:rFonts w:ascii="Garamond" w:hAnsi="Garamond" w:cs="Times New Roman"/>
          <w:color w:val="000000" w:themeColor="text1"/>
          <w:sz w:val="22"/>
          <w:szCs w:val="22"/>
          <w:bdr w:val="none" w:sz="0" w:space="0" w:color="auto" w:frame="1"/>
          <w:lang w:val="en-GB"/>
        </w:rPr>
      </w:pPr>
      <w:r w:rsidRPr="00F7201B">
        <w:rPr>
          <w:rFonts w:ascii="Garamond" w:hAnsi="Garamond" w:cs="Times New Roman"/>
          <w:color w:val="000000" w:themeColor="text1"/>
          <w:sz w:val="22"/>
          <w:szCs w:val="22"/>
          <w:bdr w:val="none" w:sz="0" w:space="0" w:color="auto" w:frame="1"/>
          <w:lang w:val="en-GB"/>
        </w:rPr>
        <w:br w:type="page"/>
      </w:r>
    </w:p>
    <w:p w14:paraId="0966D662" w14:textId="77777777" w:rsidR="00EB0721" w:rsidRPr="00F7201B" w:rsidRDefault="00EB0721" w:rsidP="004F24CD">
      <w:pPr>
        <w:spacing w:line="360" w:lineRule="auto"/>
        <w:jc w:val="both"/>
        <w:rPr>
          <w:rFonts w:ascii="Garamond" w:hAnsi="Garamond" w:cs="Times New Roman"/>
          <w:color w:val="000000" w:themeColor="text1"/>
          <w:sz w:val="22"/>
          <w:szCs w:val="22"/>
          <w:bdr w:val="none" w:sz="0" w:space="0" w:color="auto" w:frame="1"/>
          <w:lang w:val="en-GB"/>
        </w:rPr>
      </w:pPr>
    </w:p>
    <w:p w14:paraId="493B2D24" w14:textId="77777777" w:rsidR="004F24CD" w:rsidRPr="00F7201B" w:rsidRDefault="004F24CD" w:rsidP="004F24CD">
      <w:pPr>
        <w:spacing w:line="360" w:lineRule="auto"/>
        <w:jc w:val="both"/>
        <w:rPr>
          <w:rFonts w:ascii="Garamond" w:hAnsi="Garamond" w:cs="Times New Roman"/>
          <w:color w:val="000000" w:themeColor="text1"/>
          <w:sz w:val="22"/>
          <w:szCs w:val="22"/>
          <w:bdr w:val="none" w:sz="0" w:space="0" w:color="auto" w:frame="1"/>
          <w:lang w:val="en-GB"/>
        </w:rPr>
      </w:pPr>
    </w:p>
    <w:tbl>
      <w:tblPr>
        <w:tblStyle w:val="TableGrid"/>
        <w:tblW w:w="0" w:type="auto"/>
        <w:jc w:val="center"/>
        <w:tblLook w:val="04A0" w:firstRow="1" w:lastRow="0" w:firstColumn="1" w:lastColumn="0" w:noHBand="0" w:noVBand="1"/>
      </w:tblPr>
      <w:tblGrid>
        <w:gridCol w:w="1628"/>
        <w:gridCol w:w="1628"/>
        <w:gridCol w:w="1629"/>
        <w:gridCol w:w="1629"/>
        <w:gridCol w:w="1686"/>
        <w:gridCol w:w="1629"/>
      </w:tblGrid>
      <w:tr w:rsidR="00EB0721" w:rsidRPr="00F7201B" w14:paraId="1B1F5F47" w14:textId="77777777" w:rsidTr="008758BE">
        <w:trPr>
          <w:jc w:val="center"/>
        </w:trPr>
        <w:tc>
          <w:tcPr>
            <w:tcW w:w="1628" w:type="dxa"/>
            <w:shd w:val="clear" w:color="auto" w:fill="003366"/>
            <w:vAlign w:val="center"/>
          </w:tcPr>
          <w:p w14:paraId="7E3F991D" w14:textId="77777777" w:rsidR="00EB0721" w:rsidRPr="00F7201B" w:rsidRDefault="00EB0721" w:rsidP="008758BE">
            <w:pPr>
              <w:spacing w:line="360" w:lineRule="auto"/>
              <w:jc w:val="center"/>
              <w:rPr>
                <w:rFonts w:ascii="Garamond" w:hAnsi="Garamond" w:cs="Times New Roman"/>
                <w:b/>
                <w:color w:val="FFFFFF" w:themeColor="background1"/>
                <w:sz w:val="22"/>
                <w:szCs w:val="22"/>
                <w:bdr w:val="none" w:sz="0" w:space="0" w:color="auto" w:frame="1"/>
                <w:lang w:val="en-GB"/>
              </w:rPr>
            </w:pPr>
            <w:r w:rsidRPr="00F7201B">
              <w:rPr>
                <w:rFonts w:ascii="Garamond" w:hAnsi="Garamond" w:cs="Times New Roman"/>
                <w:b/>
                <w:color w:val="FFFFFF" w:themeColor="background1"/>
                <w:sz w:val="22"/>
                <w:szCs w:val="22"/>
                <w:bdr w:val="none" w:sz="0" w:space="0" w:color="auto" w:frame="1"/>
                <w:lang w:val="en-GB"/>
              </w:rPr>
              <w:t>Accessibility of content</w:t>
            </w:r>
          </w:p>
        </w:tc>
        <w:tc>
          <w:tcPr>
            <w:tcW w:w="1628" w:type="dxa"/>
            <w:shd w:val="clear" w:color="auto" w:fill="003366"/>
            <w:vAlign w:val="center"/>
          </w:tcPr>
          <w:p w14:paraId="68E1E1F9" w14:textId="77777777" w:rsidR="00EB0721" w:rsidRPr="00F7201B" w:rsidRDefault="00EB0721" w:rsidP="008758BE">
            <w:pPr>
              <w:spacing w:line="360" w:lineRule="auto"/>
              <w:jc w:val="center"/>
              <w:rPr>
                <w:rFonts w:ascii="Garamond" w:hAnsi="Garamond" w:cs="Times New Roman"/>
                <w:b/>
                <w:color w:val="FFFFFF" w:themeColor="background1"/>
                <w:sz w:val="22"/>
                <w:szCs w:val="22"/>
                <w:bdr w:val="none" w:sz="0" w:space="0" w:color="auto" w:frame="1"/>
                <w:lang w:val="en-GB"/>
              </w:rPr>
            </w:pPr>
            <w:r w:rsidRPr="00F7201B">
              <w:rPr>
                <w:rFonts w:ascii="Garamond" w:hAnsi="Garamond" w:cs="Times New Roman"/>
                <w:b/>
                <w:color w:val="FFFFFF" w:themeColor="background1"/>
                <w:sz w:val="22"/>
                <w:szCs w:val="22"/>
                <w:bdr w:val="none" w:sz="0" w:space="0" w:color="auto" w:frame="1"/>
                <w:lang w:val="en-GB"/>
              </w:rPr>
              <w:t>Content published with rightholder’s consent</w:t>
            </w:r>
          </w:p>
        </w:tc>
        <w:tc>
          <w:tcPr>
            <w:tcW w:w="1629" w:type="dxa"/>
            <w:shd w:val="clear" w:color="auto" w:fill="003366"/>
            <w:vAlign w:val="center"/>
          </w:tcPr>
          <w:p w14:paraId="3CA6F1C9" w14:textId="77777777" w:rsidR="00EB0721" w:rsidRPr="00F7201B" w:rsidRDefault="00EB0721" w:rsidP="008758BE">
            <w:pPr>
              <w:spacing w:line="360" w:lineRule="auto"/>
              <w:jc w:val="center"/>
              <w:rPr>
                <w:rFonts w:ascii="Garamond" w:hAnsi="Garamond" w:cs="Times New Roman"/>
                <w:b/>
                <w:color w:val="FFFFFF" w:themeColor="background1"/>
                <w:sz w:val="22"/>
                <w:szCs w:val="22"/>
                <w:bdr w:val="none" w:sz="0" w:space="0" w:color="auto" w:frame="1"/>
                <w:lang w:val="en-GB"/>
              </w:rPr>
            </w:pPr>
            <w:r w:rsidRPr="00F7201B">
              <w:rPr>
                <w:rFonts w:ascii="Garamond" w:hAnsi="Garamond" w:cs="Times New Roman"/>
                <w:b/>
                <w:color w:val="FFFFFF" w:themeColor="background1"/>
                <w:sz w:val="22"/>
                <w:szCs w:val="22"/>
                <w:bdr w:val="none" w:sz="0" w:space="0" w:color="auto" w:frame="1"/>
                <w:lang w:val="en-GB"/>
              </w:rPr>
              <w:t>Profit-making intention</w:t>
            </w:r>
          </w:p>
        </w:tc>
        <w:tc>
          <w:tcPr>
            <w:tcW w:w="1629" w:type="dxa"/>
            <w:shd w:val="clear" w:color="auto" w:fill="003366"/>
            <w:vAlign w:val="center"/>
          </w:tcPr>
          <w:p w14:paraId="6B968E2C" w14:textId="77777777" w:rsidR="00EB0721" w:rsidRPr="00F7201B" w:rsidRDefault="00EB0721" w:rsidP="008758BE">
            <w:pPr>
              <w:spacing w:line="360" w:lineRule="auto"/>
              <w:jc w:val="center"/>
              <w:rPr>
                <w:rFonts w:ascii="Garamond" w:hAnsi="Garamond" w:cs="Times New Roman"/>
                <w:b/>
                <w:color w:val="FFFFFF" w:themeColor="background1"/>
                <w:sz w:val="22"/>
                <w:szCs w:val="22"/>
                <w:bdr w:val="none" w:sz="0" w:space="0" w:color="auto" w:frame="1"/>
                <w:lang w:val="en-GB"/>
              </w:rPr>
            </w:pPr>
            <w:r w:rsidRPr="00F7201B">
              <w:rPr>
                <w:rFonts w:ascii="Garamond" w:hAnsi="Garamond" w:cs="Times New Roman"/>
                <w:b/>
                <w:color w:val="FFFFFF" w:themeColor="background1"/>
                <w:sz w:val="22"/>
                <w:szCs w:val="22"/>
                <w:bdr w:val="none" w:sz="0" w:space="0" w:color="auto" w:frame="1"/>
                <w:lang w:val="en-GB"/>
              </w:rPr>
              <w:t>Knowledge that content linked to is unlawful</w:t>
            </w:r>
          </w:p>
        </w:tc>
        <w:tc>
          <w:tcPr>
            <w:tcW w:w="1629" w:type="dxa"/>
            <w:shd w:val="clear" w:color="auto" w:fill="003366"/>
            <w:vAlign w:val="center"/>
          </w:tcPr>
          <w:p w14:paraId="09D92C3E" w14:textId="77777777" w:rsidR="00EB0721" w:rsidRPr="00F7201B" w:rsidRDefault="00EB0721" w:rsidP="008758BE">
            <w:pPr>
              <w:spacing w:line="360" w:lineRule="auto"/>
              <w:jc w:val="center"/>
              <w:rPr>
                <w:rFonts w:ascii="Garamond" w:hAnsi="Garamond" w:cs="Times New Roman"/>
                <w:b/>
                <w:color w:val="FFFFFF" w:themeColor="background1"/>
                <w:sz w:val="22"/>
                <w:szCs w:val="22"/>
                <w:bdr w:val="none" w:sz="0" w:space="0" w:color="auto" w:frame="1"/>
                <w:lang w:val="en-GB"/>
              </w:rPr>
            </w:pPr>
            <w:r w:rsidRPr="00F7201B">
              <w:rPr>
                <w:rFonts w:ascii="Garamond" w:hAnsi="Garamond" w:cs="Times New Roman"/>
                <w:b/>
                <w:color w:val="FFFFFF" w:themeColor="background1"/>
                <w:sz w:val="22"/>
                <w:szCs w:val="22"/>
                <w:bdr w:val="none" w:sz="0" w:space="0" w:color="auto" w:frame="1"/>
                <w:lang w:val="en-GB"/>
              </w:rPr>
              <w:t>Act of communication to the public</w:t>
            </w:r>
          </w:p>
        </w:tc>
        <w:tc>
          <w:tcPr>
            <w:tcW w:w="1629" w:type="dxa"/>
            <w:shd w:val="clear" w:color="auto" w:fill="003366"/>
            <w:vAlign w:val="center"/>
          </w:tcPr>
          <w:p w14:paraId="6B82FC8B" w14:textId="77777777" w:rsidR="00EB0721" w:rsidRPr="00F7201B" w:rsidRDefault="00EB0721" w:rsidP="008758BE">
            <w:pPr>
              <w:spacing w:line="360" w:lineRule="auto"/>
              <w:jc w:val="center"/>
              <w:rPr>
                <w:rFonts w:ascii="Garamond" w:hAnsi="Garamond" w:cs="Times New Roman"/>
                <w:b/>
                <w:color w:val="FFFFFF" w:themeColor="background1"/>
                <w:sz w:val="22"/>
                <w:szCs w:val="22"/>
                <w:bdr w:val="none" w:sz="0" w:space="0" w:color="auto" w:frame="1"/>
                <w:lang w:val="en-GB"/>
              </w:rPr>
            </w:pPr>
            <w:r w:rsidRPr="00F7201B">
              <w:rPr>
                <w:rFonts w:ascii="Garamond" w:hAnsi="Garamond" w:cs="Times New Roman"/>
                <w:b/>
                <w:color w:val="FFFFFF" w:themeColor="background1"/>
                <w:sz w:val="22"/>
                <w:szCs w:val="22"/>
                <w:bdr w:val="none" w:sz="0" w:space="0" w:color="auto" w:frame="1"/>
                <w:lang w:val="en-GB"/>
              </w:rPr>
              <w:t>Potential infringement</w:t>
            </w:r>
          </w:p>
        </w:tc>
      </w:tr>
      <w:tr w:rsidR="00EB0721" w:rsidRPr="00F7201B" w14:paraId="34B0838D" w14:textId="77777777" w:rsidTr="00EB0721">
        <w:trPr>
          <w:jc w:val="center"/>
        </w:trPr>
        <w:tc>
          <w:tcPr>
            <w:tcW w:w="1628" w:type="dxa"/>
            <w:vAlign w:val="center"/>
          </w:tcPr>
          <w:p w14:paraId="1D96E729" w14:textId="77777777" w:rsidR="00EB0721" w:rsidRPr="00F7201B" w:rsidRDefault="00EB0721" w:rsidP="008758BE">
            <w:pPr>
              <w:spacing w:line="360" w:lineRule="auto"/>
              <w:jc w:val="center"/>
              <w:rPr>
                <w:rFonts w:ascii="Garamond" w:hAnsi="Garamond" w:cs="Times New Roman"/>
                <w:color w:val="000000" w:themeColor="text1"/>
                <w:sz w:val="22"/>
                <w:szCs w:val="22"/>
                <w:bdr w:val="none" w:sz="0" w:space="0" w:color="auto" w:frame="1"/>
                <w:lang w:val="en-GB"/>
              </w:rPr>
            </w:pPr>
            <w:r w:rsidRPr="00F7201B">
              <w:rPr>
                <w:rFonts w:ascii="Garamond" w:hAnsi="Garamond" w:cs="Times New Roman"/>
                <w:color w:val="000000" w:themeColor="text1"/>
                <w:sz w:val="22"/>
                <w:szCs w:val="22"/>
                <w:bdr w:val="none" w:sz="0" w:space="0" w:color="auto" w:frame="1"/>
                <w:lang w:val="en-GB"/>
              </w:rPr>
              <w:t>Freely accessible</w:t>
            </w:r>
          </w:p>
        </w:tc>
        <w:tc>
          <w:tcPr>
            <w:tcW w:w="1628" w:type="dxa"/>
            <w:vAlign w:val="center"/>
          </w:tcPr>
          <w:p w14:paraId="412EC47F" w14:textId="77777777" w:rsidR="00EB0721" w:rsidRPr="00F7201B" w:rsidRDefault="00EB0721" w:rsidP="008758BE">
            <w:pPr>
              <w:spacing w:line="360" w:lineRule="auto"/>
              <w:jc w:val="center"/>
              <w:rPr>
                <w:rFonts w:ascii="Garamond" w:hAnsi="Garamond" w:cs="Times New Roman"/>
                <w:color w:val="000000" w:themeColor="text1"/>
                <w:sz w:val="22"/>
                <w:szCs w:val="22"/>
                <w:bdr w:val="none" w:sz="0" w:space="0" w:color="auto" w:frame="1"/>
                <w:lang w:val="en-GB"/>
              </w:rPr>
            </w:pPr>
            <w:r w:rsidRPr="00F7201B">
              <w:rPr>
                <w:rFonts w:ascii="Garamond" w:hAnsi="Garamond" w:cs="Times New Roman"/>
                <w:color w:val="000000" w:themeColor="text1"/>
                <w:sz w:val="22"/>
                <w:szCs w:val="22"/>
                <w:bdr w:val="none" w:sz="0" w:space="0" w:color="auto" w:frame="1"/>
                <w:lang w:val="en-GB"/>
              </w:rPr>
              <w:t>Yes</w:t>
            </w:r>
          </w:p>
        </w:tc>
        <w:tc>
          <w:tcPr>
            <w:tcW w:w="1629" w:type="dxa"/>
            <w:vAlign w:val="center"/>
          </w:tcPr>
          <w:p w14:paraId="3A35033F" w14:textId="77777777" w:rsidR="00EB0721" w:rsidRPr="00F7201B" w:rsidRDefault="00EB0721" w:rsidP="008758BE">
            <w:pPr>
              <w:spacing w:line="360" w:lineRule="auto"/>
              <w:jc w:val="center"/>
              <w:rPr>
                <w:rFonts w:ascii="Garamond" w:hAnsi="Garamond" w:cs="Times New Roman"/>
                <w:color w:val="000000" w:themeColor="text1"/>
                <w:sz w:val="22"/>
                <w:szCs w:val="22"/>
                <w:bdr w:val="none" w:sz="0" w:space="0" w:color="auto" w:frame="1"/>
                <w:lang w:val="en-GB"/>
              </w:rPr>
            </w:pPr>
            <w:r w:rsidRPr="00F7201B">
              <w:rPr>
                <w:rFonts w:ascii="Garamond" w:hAnsi="Garamond" w:cs="Times New Roman"/>
                <w:color w:val="000000" w:themeColor="text1"/>
                <w:sz w:val="22"/>
                <w:szCs w:val="22"/>
                <w:bdr w:val="none" w:sz="0" w:space="0" w:color="auto" w:frame="1"/>
                <w:lang w:val="en-GB"/>
              </w:rPr>
              <w:t>n/a</w:t>
            </w:r>
          </w:p>
        </w:tc>
        <w:tc>
          <w:tcPr>
            <w:tcW w:w="1629" w:type="dxa"/>
            <w:vAlign w:val="center"/>
          </w:tcPr>
          <w:p w14:paraId="1ECA49D3" w14:textId="77777777" w:rsidR="00EB0721" w:rsidRPr="00F7201B" w:rsidRDefault="00EB0721" w:rsidP="008758BE">
            <w:pPr>
              <w:spacing w:line="360" w:lineRule="auto"/>
              <w:jc w:val="center"/>
              <w:rPr>
                <w:rFonts w:ascii="Garamond" w:hAnsi="Garamond" w:cs="Times New Roman"/>
                <w:color w:val="000000" w:themeColor="text1"/>
                <w:sz w:val="22"/>
                <w:szCs w:val="22"/>
                <w:bdr w:val="none" w:sz="0" w:space="0" w:color="auto" w:frame="1"/>
                <w:lang w:val="en-GB"/>
              </w:rPr>
            </w:pPr>
            <w:r w:rsidRPr="00F7201B">
              <w:rPr>
                <w:rFonts w:ascii="Garamond" w:hAnsi="Garamond" w:cs="Times New Roman"/>
                <w:color w:val="000000" w:themeColor="text1"/>
                <w:sz w:val="22"/>
                <w:szCs w:val="22"/>
                <w:bdr w:val="none" w:sz="0" w:space="0" w:color="auto" w:frame="1"/>
                <w:lang w:val="en-GB"/>
              </w:rPr>
              <w:t>n/a</w:t>
            </w:r>
          </w:p>
        </w:tc>
        <w:tc>
          <w:tcPr>
            <w:tcW w:w="1629" w:type="dxa"/>
            <w:vAlign w:val="center"/>
          </w:tcPr>
          <w:p w14:paraId="517EF77F" w14:textId="77777777" w:rsidR="00EB0721" w:rsidRPr="00F7201B" w:rsidRDefault="00EB0721" w:rsidP="008758BE">
            <w:pPr>
              <w:spacing w:line="360" w:lineRule="auto"/>
              <w:jc w:val="center"/>
              <w:rPr>
                <w:rFonts w:ascii="Garamond" w:hAnsi="Garamond" w:cs="Times New Roman"/>
                <w:color w:val="000000" w:themeColor="text1"/>
                <w:sz w:val="22"/>
                <w:szCs w:val="22"/>
                <w:bdr w:val="none" w:sz="0" w:space="0" w:color="auto" w:frame="1"/>
                <w:lang w:val="en-GB"/>
              </w:rPr>
            </w:pPr>
            <w:r w:rsidRPr="00F7201B">
              <w:rPr>
                <w:rFonts w:ascii="Garamond" w:hAnsi="Garamond" w:cs="Times New Roman"/>
                <w:color w:val="000000" w:themeColor="text1"/>
                <w:sz w:val="22"/>
                <w:szCs w:val="22"/>
                <w:bdr w:val="none" w:sz="0" w:space="0" w:color="auto" w:frame="1"/>
                <w:lang w:val="en-GB"/>
              </w:rPr>
              <w:t>No (</w:t>
            </w:r>
            <w:r w:rsidRPr="00F7201B">
              <w:rPr>
                <w:rFonts w:ascii="Garamond" w:hAnsi="Garamond" w:cs="Times New Roman"/>
                <w:i/>
                <w:color w:val="000000" w:themeColor="text1"/>
                <w:sz w:val="22"/>
                <w:szCs w:val="22"/>
                <w:bdr w:val="none" w:sz="0" w:space="0" w:color="auto" w:frame="1"/>
                <w:lang w:val="en-GB"/>
              </w:rPr>
              <w:t>Svensson</w:t>
            </w:r>
            <w:r w:rsidRPr="00F7201B">
              <w:rPr>
                <w:rFonts w:ascii="Garamond" w:hAnsi="Garamond" w:cs="Times New Roman"/>
                <w:color w:val="000000" w:themeColor="text1"/>
                <w:sz w:val="22"/>
                <w:szCs w:val="22"/>
                <w:bdr w:val="none" w:sz="0" w:space="0" w:color="auto" w:frame="1"/>
                <w:lang w:val="en-GB"/>
              </w:rPr>
              <w:t xml:space="preserve">, </w:t>
            </w:r>
            <w:r w:rsidRPr="00F7201B">
              <w:rPr>
                <w:rFonts w:ascii="Garamond" w:hAnsi="Garamond" w:cs="Times New Roman"/>
                <w:i/>
                <w:color w:val="000000" w:themeColor="text1"/>
                <w:sz w:val="22"/>
                <w:szCs w:val="22"/>
                <w:bdr w:val="none" w:sz="0" w:space="0" w:color="auto" w:frame="1"/>
                <w:lang w:val="en-GB"/>
              </w:rPr>
              <w:t>GS Media</w:t>
            </w:r>
            <w:r w:rsidRPr="00F7201B">
              <w:rPr>
                <w:rFonts w:ascii="Garamond" w:hAnsi="Garamond" w:cs="Times New Roman"/>
                <w:color w:val="000000" w:themeColor="text1"/>
                <w:sz w:val="22"/>
                <w:szCs w:val="22"/>
                <w:bdr w:val="none" w:sz="0" w:space="0" w:color="auto" w:frame="1"/>
                <w:lang w:val="en-GB"/>
              </w:rPr>
              <w:t>)</w:t>
            </w:r>
          </w:p>
        </w:tc>
        <w:tc>
          <w:tcPr>
            <w:tcW w:w="1629" w:type="dxa"/>
            <w:vAlign w:val="center"/>
          </w:tcPr>
          <w:p w14:paraId="0EE9A6CB" w14:textId="77777777" w:rsidR="00EB0721" w:rsidRPr="00F7201B" w:rsidRDefault="00EB0721" w:rsidP="008758BE">
            <w:pPr>
              <w:spacing w:line="360" w:lineRule="auto"/>
              <w:jc w:val="center"/>
              <w:rPr>
                <w:rFonts w:ascii="Garamond" w:hAnsi="Garamond" w:cs="Times New Roman"/>
                <w:color w:val="000000" w:themeColor="text1"/>
                <w:sz w:val="22"/>
                <w:szCs w:val="22"/>
                <w:bdr w:val="none" w:sz="0" w:space="0" w:color="auto" w:frame="1"/>
                <w:lang w:val="en-GB"/>
              </w:rPr>
            </w:pPr>
            <w:r w:rsidRPr="00F7201B">
              <w:rPr>
                <w:rFonts w:ascii="Garamond" w:hAnsi="Garamond" w:cs="Times New Roman"/>
                <w:color w:val="000000" w:themeColor="text1"/>
                <w:sz w:val="22"/>
                <w:szCs w:val="22"/>
                <w:bdr w:val="none" w:sz="0" w:space="0" w:color="auto" w:frame="1"/>
                <w:lang w:val="en-GB"/>
              </w:rPr>
              <w:t>No</w:t>
            </w:r>
          </w:p>
        </w:tc>
      </w:tr>
      <w:tr w:rsidR="00EB0721" w:rsidRPr="00F7201B" w14:paraId="45CFEC7B" w14:textId="77777777" w:rsidTr="00EB0721">
        <w:trPr>
          <w:jc w:val="center"/>
        </w:trPr>
        <w:tc>
          <w:tcPr>
            <w:tcW w:w="1628" w:type="dxa"/>
            <w:vAlign w:val="center"/>
          </w:tcPr>
          <w:p w14:paraId="72B38ED6" w14:textId="77777777" w:rsidR="00EB0721" w:rsidRPr="00F7201B" w:rsidRDefault="00EB0721" w:rsidP="008758BE">
            <w:pPr>
              <w:spacing w:line="360" w:lineRule="auto"/>
              <w:jc w:val="center"/>
              <w:rPr>
                <w:rFonts w:ascii="Garamond" w:hAnsi="Garamond" w:cs="Times New Roman"/>
                <w:color w:val="000000" w:themeColor="text1"/>
                <w:sz w:val="22"/>
                <w:szCs w:val="22"/>
                <w:bdr w:val="none" w:sz="0" w:space="0" w:color="auto" w:frame="1"/>
                <w:lang w:val="en-GB"/>
              </w:rPr>
            </w:pPr>
            <w:r w:rsidRPr="00F7201B">
              <w:rPr>
                <w:rFonts w:ascii="Garamond" w:hAnsi="Garamond" w:cs="Times New Roman"/>
                <w:color w:val="000000" w:themeColor="text1"/>
                <w:sz w:val="22"/>
                <w:szCs w:val="22"/>
                <w:bdr w:val="none" w:sz="0" w:space="0" w:color="auto" w:frame="1"/>
                <w:lang w:val="en-GB"/>
              </w:rPr>
              <w:t>Not freely accessible</w:t>
            </w:r>
          </w:p>
        </w:tc>
        <w:tc>
          <w:tcPr>
            <w:tcW w:w="1628" w:type="dxa"/>
            <w:vAlign w:val="center"/>
          </w:tcPr>
          <w:p w14:paraId="6D7BA70B" w14:textId="77777777" w:rsidR="00EB0721" w:rsidRPr="00F7201B" w:rsidRDefault="00EB0721" w:rsidP="008758BE">
            <w:pPr>
              <w:spacing w:line="360" w:lineRule="auto"/>
              <w:jc w:val="center"/>
              <w:rPr>
                <w:rFonts w:ascii="Garamond" w:hAnsi="Garamond" w:cs="Times New Roman"/>
                <w:color w:val="000000" w:themeColor="text1"/>
                <w:sz w:val="22"/>
                <w:szCs w:val="22"/>
                <w:bdr w:val="none" w:sz="0" w:space="0" w:color="auto" w:frame="1"/>
                <w:lang w:val="en-GB"/>
              </w:rPr>
            </w:pPr>
            <w:r w:rsidRPr="00F7201B">
              <w:rPr>
                <w:rFonts w:ascii="Garamond" w:hAnsi="Garamond" w:cs="Times New Roman"/>
                <w:color w:val="000000" w:themeColor="text1"/>
                <w:sz w:val="22"/>
                <w:szCs w:val="22"/>
                <w:bdr w:val="none" w:sz="0" w:space="0" w:color="auto" w:frame="1"/>
                <w:lang w:val="en-GB"/>
              </w:rPr>
              <w:t>Yes</w:t>
            </w:r>
          </w:p>
        </w:tc>
        <w:tc>
          <w:tcPr>
            <w:tcW w:w="1629" w:type="dxa"/>
            <w:vAlign w:val="center"/>
          </w:tcPr>
          <w:p w14:paraId="3BC44237" w14:textId="77777777" w:rsidR="00EB0721" w:rsidRPr="00F7201B" w:rsidRDefault="00EB0721" w:rsidP="008758BE">
            <w:pPr>
              <w:spacing w:line="360" w:lineRule="auto"/>
              <w:jc w:val="center"/>
              <w:rPr>
                <w:rFonts w:ascii="Garamond" w:hAnsi="Garamond" w:cs="Times New Roman"/>
                <w:color w:val="000000" w:themeColor="text1"/>
                <w:sz w:val="22"/>
                <w:szCs w:val="22"/>
                <w:bdr w:val="none" w:sz="0" w:space="0" w:color="auto" w:frame="1"/>
                <w:lang w:val="en-GB"/>
              </w:rPr>
            </w:pPr>
            <w:r w:rsidRPr="00F7201B">
              <w:rPr>
                <w:rFonts w:ascii="Garamond" w:hAnsi="Garamond" w:cs="Times New Roman"/>
                <w:color w:val="000000" w:themeColor="text1"/>
                <w:sz w:val="22"/>
                <w:szCs w:val="22"/>
                <w:bdr w:val="none" w:sz="0" w:space="0" w:color="auto" w:frame="1"/>
                <w:lang w:val="en-GB"/>
              </w:rPr>
              <w:t>n/a</w:t>
            </w:r>
          </w:p>
        </w:tc>
        <w:tc>
          <w:tcPr>
            <w:tcW w:w="1629" w:type="dxa"/>
            <w:vAlign w:val="center"/>
          </w:tcPr>
          <w:p w14:paraId="732CFD23" w14:textId="77777777" w:rsidR="00EB0721" w:rsidRPr="00F7201B" w:rsidRDefault="00EB0721" w:rsidP="008758BE">
            <w:pPr>
              <w:spacing w:line="360" w:lineRule="auto"/>
              <w:jc w:val="center"/>
              <w:rPr>
                <w:rFonts w:ascii="Garamond" w:hAnsi="Garamond" w:cs="Times New Roman"/>
                <w:color w:val="000000" w:themeColor="text1"/>
                <w:sz w:val="22"/>
                <w:szCs w:val="22"/>
                <w:bdr w:val="none" w:sz="0" w:space="0" w:color="auto" w:frame="1"/>
                <w:lang w:val="en-GB"/>
              </w:rPr>
            </w:pPr>
            <w:r w:rsidRPr="00F7201B">
              <w:rPr>
                <w:rFonts w:ascii="Garamond" w:hAnsi="Garamond" w:cs="Times New Roman"/>
                <w:color w:val="000000" w:themeColor="text1"/>
                <w:sz w:val="22"/>
                <w:szCs w:val="22"/>
                <w:bdr w:val="none" w:sz="0" w:space="0" w:color="auto" w:frame="1"/>
                <w:lang w:val="en-GB"/>
              </w:rPr>
              <w:t>n/a</w:t>
            </w:r>
          </w:p>
        </w:tc>
        <w:tc>
          <w:tcPr>
            <w:tcW w:w="1629" w:type="dxa"/>
            <w:vAlign w:val="center"/>
          </w:tcPr>
          <w:p w14:paraId="1FF81AA8" w14:textId="77777777" w:rsidR="00EB0721" w:rsidRPr="00F7201B" w:rsidRDefault="00EB0721" w:rsidP="008758BE">
            <w:pPr>
              <w:spacing w:line="360" w:lineRule="auto"/>
              <w:jc w:val="center"/>
              <w:rPr>
                <w:rFonts w:ascii="Garamond" w:hAnsi="Garamond" w:cs="Times New Roman"/>
                <w:color w:val="000000" w:themeColor="text1"/>
                <w:sz w:val="22"/>
                <w:szCs w:val="22"/>
                <w:bdr w:val="none" w:sz="0" w:space="0" w:color="auto" w:frame="1"/>
                <w:lang w:val="en-GB"/>
              </w:rPr>
            </w:pPr>
            <w:r w:rsidRPr="00F7201B">
              <w:rPr>
                <w:rFonts w:ascii="Garamond" w:hAnsi="Garamond" w:cs="Times New Roman"/>
                <w:color w:val="000000" w:themeColor="text1"/>
                <w:sz w:val="22"/>
                <w:szCs w:val="22"/>
                <w:bdr w:val="none" w:sz="0" w:space="0" w:color="auto" w:frame="1"/>
                <w:lang w:val="en-GB"/>
              </w:rPr>
              <w:t>Yes (</w:t>
            </w:r>
            <w:r w:rsidRPr="00F7201B">
              <w:rPr>
                <w:rFonts w:ascii="Garamond" w:hAnsi="Garamond" w:cs="Times New Roman"/>
                <w:i/>
                <w:color w:val="000000" w:themeColor="text1"/>
                <w:sz w:val="22"/>
                <w:szCs w:val="22"/>
                <w:bdr w:val="none" w:sz="0" w:space="0" w:color="auto" w:frame="1"/>
                <w:lang w:val="en-GB"/>
              </w:rPr>
              <w:t>BestWater</w:t>
            </w:r>
            <w:r w:rsidRPr="00F7201B">
              <w:rPr>
                <w:rFonts w:ascii="Garamond" w:hAnsi="Garamond" w:cs="Times New Roman"/>
                <w:color w:val="000000" w:themeColor="text1"/>
                <w:sz w:val="22"/>
                <w:szCs w:val="22"/>
                <w:bdr w:val="none" w:sz="0" w:space="0" w:color="auto" w:frame="1"/>
                <w:lang w:val="en-GB"/>
              </w:rPr>
              <w:t xml:space="preserve">, </w:t>
            </w:r>
            <w:r w:rsidRPr="00F7201B">
              <w:rPr>
                <w:rFonts w:ascii="Garamond" w:hAnsi="Garamond" w:cs="Times New Roman"/>
                <w:i/>
                <w:color w:val="000000" w:themeColor="text1"/>
                <w:sz w:val="22"/>
                <w:szCs w:val="22"/>
                <w:bdr w:val="none" w:sz="0" w:space="0" w:color="auto" w:frame="1"/>
                <w:lang w:val="en-GB"/>
              </w:rPr>
              <w:t>GS Media</w:t>
            </w:r>
            <w:r w:rsidRPr="00F7201B">
              <w:rPr>
                <w:rFonts w:ascii="Garamond" w:hAnsi="Garamond" w:cs="Times New Roman"/>
                <w:color w:val="000000" w:themeColor="text1"/>
                <w:sz w:val="22"/>
                <w:szCs w:val="22"/>
                <w:bdr w:val="none" w:sz="0" w:space="0" w:color="auto" w:frame="1"/>
                <w:lang w:val="en-GB"/>
              </w:rPr>
              <w:t>)</w:t>
            </w:r>
          </w:p>
        </w:tc>
        <w:tc>
          <w:tcPr>
            <w:tcW w:w="1629" w:type="dxa"/>
            <w:vAlign w:val="center"/>
          </w:tcPr>
          <w:p w14:paraId="0C236B16" w14:textId="77777777" w:rsidR="00EB0721" w:rsidRPr="00F7201B" w:rsidRDefault="00EB0721" w:rsidP="008758BE">
            <w:pPr>
              <w:spacing w:line="360" w:lineRule="auto"/>
              <w:jc w:val="center"/>
              <w:rPr>
                <w:rFonts w:ascii="Garamond" w:hAnsi="Garamond" w:cs="Times New Roman"/>
                <w:color w:val="000000" w:themeColor="text1"/>
                <w:sz w:val="22"/>
                <w:szCs w:val="22"/>
                <w:bdr w:val="none" w:sz="0" w:space="0" w:color="auto" w:frame="1"/>
                <w:lang w:val="en-GB"/>
              </w:rPr>
            </w:pPr>
            <w:r w:rsidRPr="00F7201B">
              <w:rPr>
                <w:rFonts w:ascii="Garamond" w:hAnsi="Garamond" w:cs="Times New Roman"/>
                <w:color w:val="000000" w:themeColor="text1"/>
                <w:sz w:val="22"/>
                <w:szCs w:val="22"/>
                <w:bdr w:val="none" w:sz="0" w:space="0" w:color="auto" w:frame="1"/>
                <w:lang w:val="en-GB"/>
              </w:rPr>
              <w:t>Yes</w:t>
            </w:r>
          </w:p>
        </w:tc>
      </w:tr>
      <w:tr w:rsidR="00EB0721" w:rsidRPr="00F7201B" w14:paraId="73AA7FF6" w14:textId="77777777" w:rsidTr="00EB0721">
        <w:trPr>
          <w:jc w:val="center"/>
        </w:trPr>
        <w:tc>
          <w:tcPr>
            <w:tcW w:w="1628" w:type="dxa"/>
            <w:vAlign w:val="center"/>
          </w:tcPr>
          <w:p w14:paraId="54AFFB15" w14:textId="77777777" w:rsidR="00EB0721" w:rsidRPr="00F7201B" w:rsidRDefault="00EB0721" w:rsidP="008758BE">
            <w:pPr>
              <w:spacing w:line="360" w:lineRule="auto"/>
              <w:jc w:val="center"/>
              <w:rPr>
                <w:rFonts w:ascii="Garamond" w:hAnsi="Garamond" w:cs="Times New Roman"/>
                <w:color w:val="000000" w:themeColor="text1"/>
                <w:sz w:val="22"/>
                <w:szCs w:val="22"/>
                <w:bdr w:val="none" w:sz="0" w:space="0" w:color="auto" w:frame="1"/>
                <w:lang w:val="en-GB"/>
              </w:rPr>
            </w:pPr>
            <w:r w:rsidRPr="00F7201B">
              <w:rPr>
                <w:rFonts w:ascii="Garamond" w:hAnsi="Garamond" w:cs="Times New Roman"/>
                <w:color w:val="000000" w:themeColor="text1"/>
                <w:sz w:val="22"/>
                <w:szCs w:val="22"/>
                <w:bdr w:val="none" w:sz="0" w:space="0" w:color="auto" w:frame="1"/>
                <w:lang w:val="en-GB"/>
              </w:rPr>
              <w:t>Freely accessible</w:t>
            </w:r>
          </w:p>
        </w:tc>
        <w:tc>
          <w:tcPr>
            <w:tcW w:w="1628" w:type="dxa"/>
            <w:vAlign w:val="center"/>
          </w:tcPr>
          <w:p w14:paraId="7E402AA5" w14:textId="77777777" w:rsidR="00EB0721" w:rsidRPr="00F7201B" w:rsidRDefault="00EB0721" w:rsidP="008758BE">
            <w:pPr>
              <w:spacing w:line="360" w:lineRule="auto"/>
              <w:jc w:val="center"/>
              <w:rPr>
                <w:rFonts w:ascii="Garamond" w:hAnsi="Garamond" w:cs="Times New Roman"/>
                <w:color w:val="000000" w:themeColor="text1"/>
                <w:sz w:val="22"/>
                <w:szCs w:val="22"/>
                <w:bdr w:val="none" w:sz="0" w:space="0" w:color="auto" w:frame="1"/>
                <w:lang w:val="en-GB"/>
              </w:rPr>
            </w:pPr>
            <w:r w:rsidRPr="00F7201B">
              <w:rPr>
                <w:rFonts w:ascii="Garamond" w:hAnsi="Garamond" w:cs="Times New Roman"/>
                <w:color w:val="000000" w:themeColor="text1"/>
                <w:sz w:val="22"/>
                <w:szCs w:val="22"/>
                <w:bdr w:val="none" w:sz="0" w:space="0" w:color="auto" w:frame="1"/>
                <w:lang w:val="en-GB"/>
              </w:rPr>
              <w:t>No</w:t>
            </w:r>
          </w:p>
        </w:tc>
        <w:tc>
          <w:tcPr>
            <w:tcW w:w="1629" w:type="dxa"/>
            <w:vAlign w:val="center"/>
          </w:tcPr>
          <w:p w14:paraId="7EB0E9DC" w14:textId="77777777" w:rsidR="00EB0721" w:rsidRPr="00F7201B" w:rsidRDefault="00EB0721" w:rsidP="008758BE">
            <w:pPr>
              <w:spacing w:line="360" w:lineRule="auto"/>
              <w:jc w:val="center"/>
              <w:rPr>
                <w:rFonts w:ascii="Garamond" w:hAnsi="Garamond" w:cs="Times New Roman"/>
                <w:color w:val="000000" w:themeColor="text1"/>
                <w:sz w:val="22"/>
                <w:szCs w:val="22"/>
                <w:bdr w:val="none" w:sz="0" w:space="0" w:color="auto" w:frame="1"/>
                <w:lang w:val="en-GB"/>
              </w:rPr>
            </w:pPr>
            <w:r w:rsidRPr="00F7201B">
              <w:rPr>
                <w:rFonts w:ascii="Garamond" w:hAnsi="Garamond" w:cs="Times New Roman"/>
                <w:color w:val="000000" w:themeColor="text1"/>
                <w:sz w:val="22"/>
                <w:szCs w:val="22"/>
                <w:bdr w:val="none" w:sz="0" w:space="0" w:color="auto" w:frame="1"/>
                <w:lang w:val="en-GB"/>
              </w:rPr>
              <w:t>No</w:t>
            </w:r>
          </w:p>
        </w:tc>
        <w:tc>
          <w:tcPr>
            <w:tcW w:w="1629" w:type="dxa"/>
            <w:vAlign w:val="center"/>
          </w:tcPr>
          <w:p w14:paraId="640888BE" w14:textId="77777777" w:rsidR="00EB0721" w:rsidRPr="00F7201B" w:rsidRDefault="00EB0721" w:rsidP="008758BE">
            <w:pPr>
              <w:spacing w:line="360" w:lineRule="auto"/>
              <w:jc w:val="center"/>
              <w:rPr>
                <w:rFonts w:ascii="Garamond" w:hAnsi="Garamond" w:cs="Times New Roman"/>
                <w:color w:val="000000" w:themeColor="text1"/>
                <w:sz w:val="22"/>
                <w:szCs w:val="22"/>
                <w:bdr w:val="none" w:sz="0" w:space="0" w:color="auto" w:frame="1"/>
                <w:lang w:val="en-GB"/>
              </w:rPr>
            </w:pPr>
            <w:r w:rsidRPr="00F7201B">
              <w:rPr>
                <w:rFonts w:ascii="Garamond" w:hAnsi="Garamond" w:cs="Times New Roman"/>
                <w:color w:val="000000" w:themeColor="text1"/>
                <w:sz w:val="22"/>
                <w:szCs w:val="22"/>
                <w:bdr w:val="none" w:sz="0" w:space="0" w:color="auto" w:frame="1"/>
                <w:lang w:val="en-GB"/>
              </w:rPr>
              <w:t>No</w:t>
            </w:r>
          </w:p>
        </w:tc>
        <w:tc>
          <w:tcPr>
            <w:tcW w:w="1629" w:type="dxa"/>
            <w:vAlign w:val="center"/>
          </w:tcPr>
          <w:p w14:paraId="3672C98D" w14:textId="77777777" w:rsidR="00EB0721" w:rsidRPr="00F7201B" w:rsidRDefault="00EB0721" w:rsidP="008758BE">
            <w:pPr>
              <w:spacing w:line="360" w:lineRule="auto"/>
              <w:jc w:val="center"/>
              <w:rPr>
                <w:rFonts w:ascii="Garamond" w:hAnsi="Garamond" w:cs="Times New Roman"/>
                <w:color w:val="000000" w:themeColor="text1"/>
                <w:sz w:val="22"/>
                <w:szCs w:val="22"/>
                <w:bdr w:val="none" w:sz="0" w:space="0" w:color="auto" w:frame="1"/>
                <w:lang w:val="en-GB"/>
              </w:rPr>
            </w:pPr>
            <w:r w:rsidRPr="00F7201B">
              <w:rPr>
                <w:rFonts w:ascii="Garamond" w:hAnsi="Garamond" w:cs="Times New Roman"/>
                <w:color w:val="000000" w:themeColor="text1"/>
                <w:sz w:val="22"/>
                <w:szCs w:val="22"/>
                <w:bdr w:val="none" w:sz="0" w:space="0" w:color="auto" w:frame="1"/>
                <w:lang w:val="en-GB"/>
              </w:rPr>
              <w:t>No (</w:t>
            </w:r>
            <w:r w:rsidRPr="00F7201B">
              <w:rPr>
                <w:rFonts w:ascii="Garamond" w:hAnsi="Garamond" w:cs="Times New Roman"/>
                <w:i/>
                <w:color w:val="000000" w:themeColor="text1"/>
                <w:sz w:val="22"/>
                <w:szCs w:val="22"/>
                <w:bdr w:val="none" w:sz="0" w:space="0" w:color="auto" w:frame="1"/>
                <w:lang w:val="en-GB"/>
              </w:rPr>
              <w:t>GS Media</w:t>
            </w:r>
            <w:r w:rsidRPr="00F7201B">
              <w:rPr>
                <w:rFonts w:ascii="Garamond" w:hAnsi="Garamond" w:cs="Times New Roman"/>
                <w:color w:val="000000" w:themeColor="text1"/>
                <w:sz w:val="22"/>
                <w:szCs w:val="22"/>
                <w:bdr w:val="none" w:sz="0" w:space="0" w:color="auto" w:frame="1"/>
                <w:lang w:val="en-GB"/>
              </w:rPr>
              <w:t>)</w:t>
            </w:r>
          </w:p>
        </w:tc>
        <w:tc>
          <w:tcPr>
            <w:tcW w:w="1629" w:type="dxa"/>
            <w:vAlign w:val="center"/>
          </w:tcPr>
          <w:p w14:paraId="6CAAE89B" w14:textId="77777777" w:rsidR="00EB0721" w:rsidRPr="00F7201B" w:rsidRDefault="00EB0721" w:rsidP="008758BE">
            <w:pPr>
              <w:spacing w:line="360" w:lineRule="auto"/>
              <w:jc w:val="center"/>
              <w:rPr>
                <w:rFonts w:ascii="Garamond" w:hAnsi="Garamond" w:cs="Times New Roman"/>
                <w:color w:val="000000" w:themeColor="text1"/>
                <w:sz w:val="22"/>
                <w:szCs w:val="22"/>
                <w:bdr w:val="none" w:sz="0" w:space="0" w:color="auto" w:frame="1"/>
                <w:lang w:val="en-GB"/>
              </w:rPr>
            </w:pPr>
            <w:r w:rsidRPr="00F7201B">
              <w:rPr>
                <w:rFonts w:ascii="Garamond" w:hAnsi="Garamond" w:cs="Times New Roman"/>
                <w:color w:val="000000" w:themeColor="text1"/>
                <w:sz w:val="22"/>
                <w:szCs w:val="22"/>
                <w:bdr w:val="none" w:sz="0" w:space="0" w:color="auto" w:frame="1"/>
                <w:lang w:val="en-GB"/>
              </w:rPr>
              <w:t>No</w:t>
            </w:r>
          </w:p>
        </w:tc>
      </w:tr>
      <w:tr w:rsidR="00EB0721" w:rsidRPr="00F7201B" w14:paraId="072CAA92" w14:textId="77777777" w:rsidTr="00EB0721">
        <w:trPr>
          <w:jc w:val="center"/>
        </w:trPr>
        <w:tc>
          <w:tcPr>
            <w:tcW w:w="1628" w:type="dxa"/>
            <w:vAlign w:val="center"/>
          </w:tcPr>
          <w:p w14:paraId="6EFBF1BB" w14:textId="77777777" w:rsidR="00EB0721" w:rsidRPr="00F7201B" w:rsidRDefault="00EB0721" w:rsidP="008758BE">
            <w:pPr>
              <w:spacing w:line="360" w:lineRule="auto"/>
              <w:jc w:val="center"/>
              <w:rPr>
                <w:rFonts w:ascii="Garamond" w:hAnsi="Garamond" w:cs="Times New Roman"/>
                <w:color w:val="000000" w:themeColor="text1"/>
                <w:sz w:val="22"/>
                <w:szCs w:val="22"/>
                <w:bdr w:val="none" w:sz="0" w:space="0" w:color="auto" w:frame="1"/>
                <w:lang w:val="en-GB"/>
              </w:rPr>
            </w:pPr>
            <w:r w:rsidRPr="00F7201B">
              <w:rPr>
                <w:rFonts w:ascii="Garamond" w:hAnsi="Garamond" w:cs="Times New Roman"/>
                <w:color w:val="000000" w:themeColor="text1"/>
                <w:sz w:val="22"/>
                <w:szCs w:val="22"/>
                <w:bdr w:val="none" w:sz="0" w:space="0" w:color="auto" w:frame="1"/>
                <w:lang w:val="en-GB"/>
              </w:rPr>
              <w:t>Freely accessible</w:t>
            </w:r>
          </w:p>
        </w:tc>
        <w:tc>
          <w:tcPr>
            <w:tcW w:w="1628" w:type="dxa"/>
            <w:vAlign w:val="center"/>
          </w:tcPr>
          <w:p w14:paraId="52758C64" w14:textId="77777777" w:rsidR="00EB0721" w:rsidRPr="00F7201B" w:rsidRDefault="00EB0721" w:rsidP="008758BE">
            <w:pPr>
              <w:spacing w:line="360" w:lineRule="auto"/>
              <w:jc w:val="center"/>
              <w:rPr>
                <w:rFonts w:ascii="Garamond" w:hAnsi="Garamond" w:cs="Times New Roman"/>
                <w:color w:val="000000" w:themeColor="text1"/>
                <w:sz w:val="22"/>
                <w:szCs w:val="22"/>
                <w:bdr w:val="none" w:sz="0" w:space="0" w:color="auto" w:frame="1"/>
                <w:lang w:val="en-GB"/>
              </w:rPr>
            </w:pPr>
            <w:r w:rsidRPr="00F7201B">
              <w:rPr>
                <w:rFonts w:ascii="Garamond" w:hAnsi="Garamond" w:cs="Times New Roman"/>
                <w:color w:val="000000" w:themeColor="text1"/>
                <w:sz w:val="22"/>
                <w:szCs w:val="22"/>
                <w:bdr w:val="none" w:sz="0" w:space="0" w:color="auto" w:frame="1"/>
                <w:lang w:val="en-GB"/>
              </w:rPr>
              <w:t>No</w:t>
            </w:r>
          </w:p>
        </w:tc>
        <w:tc>
          <w:tcPr>
            <w:tcW w:w="1629" w:type="dxa"/>
            <w:vAlign w:val="center"/>
          </w:tcPr>
          <w:p w14:paraId="0297C31B" w14:textId="77777777" w:rsidR="00EB0721" w:rsidRPr="00F7201B" w:rsidRDefault="00EB0721" w:rsidP="008758BE">
            <w:pPr>
              <w:spacing w:line="360" w:lineRule="auto"/>
              <w:jc w:val="center"/>
              <w:rPr>
                <w:rFonts w:ascii="Garamond" w:hAnsi="Garamond" w:cs="Times New Roman"/>
                <w:color w:val="000000" w:themeColor="text1"/>
                <w:sz w:val="22"/>
                <w:szCs w:val="22"/>
                <w:bdr w:val="none" w:sz="0" w:space="0" w:color="auto" w:frame="1"/>
                <w:lang w:val="en-GB"/>
              </w:rPr>
            </w:pPr>
            <w:r w:rsidRPr="00F7201B">
              <w:rPr>
                <w:rFonts w:ascii="Garamond" w:hAnsi="Garamond" w:cs="Times New Roman"/>
                <w:color w:val="000000" w:themeColor="text1"/>
                <w:sz w:val="22"/>
                <w:szCs w:val="22"/>
                <w:bdr w:val="none" w:sz="0" w:space="0" w:color="auto" w:frame="1"/>
                <w:lang w:val="en-GB"/>
              </w:rPr>
              <w:t>No</w:t>
            </w:r>
          </w:p>
        </w:tc>
        <w:tc>
          <w:tcPr>
            <w:tcW w:w="1629" w:type="dxa"/>
            <w:vAlign w:val="center"/>
          </w:tcPr>
          <w:p w14:paraId="13249011" w14:textId="77777777" w:rsidR="00EB0721" w:rsidRPr="00F7201B" w:rsidRDefault="00EB0721" w:rsidP="008758BE">
            <w:pPr>
              <w:spacing w:line="360" w:lineRule="auto"/>
              <w:jc w:val="center"/>
              <w:rPr>
                <w:rFonts w:ascii="Garamond" w:hAnsi="Garamond" w:cs="Times New Roman"/>
                <w:color w:val="000000" w:themeColor="text1"/>
                <w:sz w:val="22"/>
                <w:szCs w:val="22"/>
                <w:bdr w:val="none" w:sz="0" w:space="0" w:color="auto" w:frame="1"/>
                <w:lang w:val="en-GB"/>
              </w:rPr>
            </w:pPr>
            <w:r w:rsidRPr="00F7201B">
              <w:rPr>
                <w:rFonts w:ascii="Garamond" w:hAnsi="Garamond" w:cs="Times New Roman"/>
                <w:color w:val="000000" w:themeColor="text1"/>
                <w:sz w:val="22"/>
                <w:szCs w:val="22"/>
                <w:bdr w:val="none" w:sz="0" w:space="0" w:color="auto" w:frame="1"/>
                <w:lang w:val="en-GB"/>
              </w:rPr>
              <w:t>Yes (eg because notified)</w:t>
            </w:r>
          </w:p>
        </w:tc>
        <w:tc>
          <w:tcPr>
            <w:tcW w:w="1629" w:type="dxa"/>
            <w:vAlign w:val="center"/>
          </w:tcPr>
          <w:p w14:paraId="7CB7AAED" w14:textId="77777777" w:rsidR="00EB0721" w:rsidRPr="00F7201B" w:rsidRDefault="00EB0721" w:rsidP="008758BE">
            <w:pPr>
              <w:spacing w:line="360" w:lineRule="auto"/>
              <w:jc w:val="center"/>
              <w:rPr>
                <w:rFonts w:ascii="Garamond" w:hAnsi="Garamond" w:cs="Times New Roman"/>
                <w:color w:val="000000" w:themeColor="text1"/>
                <w:sz w:val="22"/>
                <w:szCs w:val="22"/>
                <w:bdr w:val="none" w:sz="0" w:space="0" w:color="auto" w:frame="1"/>
                <w:lang w:val="en-GB"/>
              </w:rPr>
            </w:pPr>
            <w:r w:rsidRPr="00F7201B">
              <w:rPr>
                <w:rFonts w:ascii="Garamond" w:hAnsi="Garamond" w:cs="Times New Roman"/>
                <w:color w:val="000000" w:themeColor="text1"/>
                <w:sz w:val="22"/>
                <w:szCs w:val="22"/>
                <w:bdr w:val="none" w:sz="0" w:space="0" w:color="auto" w:frame="1"/>
                <w:lang w:val="en-GB"/>
              </w:rPr>
              <w:t>Yes (</w:t>
            </w:r>
            <w:r w:rsidRPr="00F7201B">
              <w:rPr>
                <w:rFonts w:ascii="Garamond" w:hAnsi="Garamond" w:cs="Times New Roman"/>
                <w:i/>
                <w:color w:val="000000" w:themeColor="text1"/>
                <w:sz w:val="22"/>
                <w:szCs w:val="22"/>
                <w:bdr w:val="none" w:sz="0" w:space="0" w:color="auto" w:frame="1"/>
                <w:lang w:val="en-GB"/>
              </w:rPr>
              <w:t>GS Media</w:t>
            </w:r>
            <w:r w:rsidRPr="00F7201B">
              <w:rPr>
                <w:rFonts w:ascii="Garamond" w:hAnsi="Garamond" w:cs="Times New Roman"/>
                <w:color w:val="000000" w:themeColor="text1"/>
                <w:sz w:val="22"/>
                <w:szCs w:val="22"/>
                <w:bdr w:val="none" w:sz="0" w:space="0" w:color="auto" w:frame="1"/>
                <w:lang w:val="en-GB"/>
              </w:rPr>
              <w:t>)</w:t>
            </w:r>
          </w:p>
        </w:tc>
        <w:tc>
          <w:tcPr>
            <w:tcW w:w="1629" w:type="dxa"/>
            <w:vAlign w:val="center"/>
          </w:tcPr>
          <w:p w14:paraId="2D253345" w14:textId="77777777" w:rsidR="00EB0721" w:rsidRPr="00F7201B" w:rsidRDefault="00EB0721" w:rsidP="008758BE">
            <w:pPr>
              <w:spacing w:line="360" w:lineRule="auto"/>
              <w:jc w:val="center"/>
              <w:rPr>
                <w:rFonts w:ascii="Garamond" w:hAnsi="Garamond" w:cs="Times New Roman"/>
                <w:color w:val="000000" w:themeColor="text1"/>
                <w:sz w:val="22"/>
                <w:szCs w:val="22"/>
                <w:bdr w:val="none" w:sz="0" w:space="0" w:color="auto" w:frame="1"/>
                <w:lang w:val="en-GB"/>
              </w:rPr>
            </w:pPr>
            <w:r w:rsidRPr="00F7201B">
              <w:rPr>
                <w:rFonts w:ascii="Garamond" w:hAnsi="Garamond" w:cs="Times New Roman"/>
                <w:color w:val="000000" w:themeColor="text1"/>
                <w:sz w:val="22"/>
                <w:szCs w:val="22"/>
                <w:bdr w:val="none" w:sz="0" w:space="0" w:color="auto" w:frame="1"/>
                <w:lang w:val="en-GB"/>
              </w:rPr>
              <w:t>Yes*</w:t>
            </w:r>
          </w:p>
        </w:tc>
      </w:tr>
      <w:tr w:rsidR="00EB0721" w:rsidRPr="00F7201B" w14:paraId="28759F20" w14:textId="77777777" w:rsidTr="00EB0721">
        <w:trPr>
          <w:jc w:val="center"/>
        </w:trPr>
        <w:tc>
          <w:tcPr>
            <w:tcW w:w="1628" w:type="dxa"/>
            <w:vAlign w:val="center"/>
          </w:tcPr>
          <w:p w14:paraId="579867F9" w14:textId="77777777" w:rsidR="00EB0721" w:rsidRPr="00F7201B" w:rsidRDefault="00EB0721" w:rsidP="008758BE">
            <w:pPr>
              <w:spacing w:line="360" w:lineRule="auto"/>
              <w:jc w:val="center"/>
              <w:rPr>
                <w:rFonts w:ascii="Garamond" w:hAnsi="Garamond" w:cs="Times New Roman"/>
                <w:color w:val="000000" w:themeColor="text1"/>
                <w:sz w:val="22"/>
                <w:szCs w:val="22"/>
                <w:bdr w:val="none" w:sz="0" w:space="0" w:color="auto" w:frame="1"/>
                <w:lang w:val="en-GB"/>
              </w:rPr>
            </w:pPr>
            <w:r w:rsidRPr="00F7201B">
              <w:rPr>
                <w:rFonts w:ascii="Garamond" w:hAnsi="Garamond" w:cs="Times New Roman"/>
                <w:color w:val="000000" w:themeColor="text1"/>
                <w:sz w:val="22"/>
                <w:szCs w:val="22"/>
                <w:bdr w:val="none" w:sz="0" w:space="0" w:color="auto" w:frame="1"/>
                <w:lang w:val="en-GB"/>
              </w:rPr>
              <w:t>Freely accessible</w:t>
            </w:r>
          </w:p>
        </w:tc>
        <w:tc>
          <w:tcPr>
            <w:tcW w:w="1628" w:type="dxa"/>
            <w:vAlign w:val="center"/>
          </w:tcPr>
          <w:p w14:paraId="0CD9997F" w14:textId="77777777" w:rsidR="00EB0721" w:rsidRPr="00F7201B" w:rsidRDefault="00EB0721" w:rsidP="008758BE">
            <w:pPr>
              <w:spacing w:line="360" w:lineRule="auto"/>
              <w:jc w:val="center"/>
              <w:rPr>
                <w:rFonts w:ascii="Garamond" w:hAnsi="Garamond" w:cs="Times New Roman"/>
                <w:color w:val="000000" w:themeColor="text1"/>
                <w:sz w:val="22"/>
                <w:szCs w:val="22"/>
                <w:bdr w:val="none" w:sz="0" w:space="0" w:color="auto" w:frame="1"/>
                <w:lang w:val="en-GB"/>
              </w:rPr>
            </w:pPr>
            <w:r w:rsidRPr="00F7201B">
              <w:rPr>
                <w:rFonts w:ascii="Garamond" w:hAnsi="Garamond" w:cs="Times New Roman"/>
                <w:color w:val="000000" w:themeColor="text1"/>
                <w:sz w:val="22"/>
                <w:szCs w:val="22"/>
                <w:bdr w:val="none" w:sz="0" w:space="0" w:color="auto" w:frame="1"/>
                <w:lang w:val="en-GB"/>
              </w:rPr>
              <w:t>No</w:t>
            </w:r>
          </w:p>
        </w:tc>
        <w:tc>
          <w:tcPr>
            <w:tcW w:w="1629" w:type="dxa"/>
            <w:vAlign w:val="center"/>
          </w:tcPr>
          <w:p w14:paraId="12E24F0B" w14:textId="77777777" w:rsidR="00EB0721" w:rsidRPr="00F7201B" w:rsidRDefault="00EB0721" w:rsidP="008758BE">
            <w:pPr>
              <w:spacing w:line="360" w:lineRule="auto"/>
              <w:jc w:val="center"/>
              <w:rPr>
                <w:rFonts w:ascii="Garamond" w:hAnsi="Garamond" w:cs="Times New Roman"/>
                <w:color w:val="000000" w:themeColor="text1"/>
                <w:sz w:val="22"/>
                <w:szCs w:val="22"/>
                <w:bdr w:val="none" w:sz="0" w:space="0" w:color="auto" w:frame="1"/>
                <w:lang w:val="en-GB"/>
              </w:rPr>
            </w:pPr>
            <w:r w:rsidRPr="00F7201B">
              <w:rPr>
                <w:rFonts w:ascii="Garamond" w:hAnsi="Garamond" w:cs="Times New Roman"/>
                <w:color w:val="000000" w:themeColor="text1"/>
                <w:sz w:val="22"/>
                <w:szCs w:val="22"/>
                <w:bdr w:val="none" w:sz="0" w:space="0" w:color="auto" w:frame="1"/>
                <w:lang w:val="en-GB"/>
              </w:rPr>
              <w:t>Yes</w:t>
            </w:r>
          </w:p>
        </w:tc>
        <w:tc>
          <w:tcPr>
            <w:tcW w:w="1629" w:type="dxa"/>
            <w:vAlign w:val="center"/>
          </w:tcPr>
          <w:p w14:paraId="0EFF0B6D" w14:textId="77777777" w:rsidR="00EB0721" w:rsidRPr="00F7201B" w:rsidRDefault="00EB0721" w:rsidP="008758BE">
            <w:pPr>
              <w:spacing w:line="360" w:lineRule="auto"/>
              <w:jc w:val="center"/>
              <w:rPr>
                <w:rFonts w:ascii="Garamond" w:hAnsi="Garamond" w:cs="Times New Roman"/>
                <w:color w:val="000000" w:themeColor="text1"/>
                <w:sz w:val="22"/>
                <w:szCs w:val="22"/>
                <w:bdr w:val="none" w:sz="0" w:space="0" w:color="auto" w:frame="1"/>
                <w:lang w:val="en-GB"/>
              </w:rPr>
            </w:pPr>
            <w:r w:rsidRPr="00F7201B">
              <w:rPr>
                <w:rFonts w:ascii="Garamond" w:hAnsi="Garamond" w:cs="Times New Roman"/>
                <w:color w:val="000000" w:themeColor="text1"/>
                <w:sz w:val="22"/>
                <w:szCs w:val="22"/>
                <w:bdr w:val="none" w:sz="0" w:space="0" w:color="auto" w:frame="1"/>
                <w:lang w:val="en-GB"/>
              </w:rPr>
              <w:t>Presumed (rebuttable presumption)</w:t>
            </w:r>
          </w:p>
        </w:tc>
        <w:tc>
          <w:tcPr>
            <w:tcW w:w="1629" w:type="dxa"/>
            <w:vAlign w:val="center"/>
          </w:tcPr>
          <w:p w14:paraId="69661170" w14:textId="77777777" w:rsidR="00EB0721" w:rsidRPr="00F7201B" w:rsidRDefault="00EB0721" w:rsidP="008758BE">
            <w:pPr>
              <w:spacing w:line="360" w:lineRule="auto"/>
              <w:jc w:val="center"/>
              <w:rPr>
                <w:rFonts w:ascii="Garamond" w:hAnsi="Garamond" w:cs="Times New Roman"/>
                <w:color w:val="000000" w:themeColor="text1"/>
                <w:sz w:val="22"/>
                <w:szCs w:val="22"/>
                <w:bdr w:val="none" w:sz="0" w:space="0" w:color="auto" w:frame="1"/>
                <w:lang w:val="en-GB"/>
              </w:rPr>
            </w:pPr>
            <w:r w:rsidRPr="00F7201B">
              <w:rPr>
                <w:rFonts w:ascii="Garamond" w:hAnsi="Garamond" w:cs="Times New Roman"/>
                <w:color w:val="000000" w:themeColor="text1"/>
                <w:sz w:val="22"/>
                <w:szCs w:val="22"/>
                <w:bdr w:val="none" w:sz="0" w:space="0" w:color="auto" w:frame="1"/>
                <w:lang w:val="en-GB"/>
              </w:rPr>
              <w:t>Yes (</w:t>
            </w:r>
            <w:r w:rsidRPr="00F7201B">
              <w:rPr>
                <w:rFonts w:ascii="Garamond" w:hAnsi="Garamond" w:cs="Times New Roman"/>
                <w:i/>
                <w:color w:val="000000" w:themeColor="text1"/>
                <w:sz w:val="22"/>
                <w:szCs w:val="22"/>
                <w:bdr w:val="none" w:sz="0" w:space="0" w:color="auto" w:frame="1"/>
                <w:lang w:val="en-GB"/>
              </w:rPr>
              <w:t>GS Media</w:t>
            </w:r>
            <w:r w:rsidRPr="00F7201B">
              <w:rPr>
                <w:rFonts w:ascii="Garamond" w:hAnsi="Garamond" w:cs="Times New Roman"/>
                <w:color w:val="000000" w:themeColor="text1"/>
                <w:sz w:val="22"/>
                <w:szCs w:val="22"/>
                <w:bdr w:val="none" w:sz="0" w:space="0" w:color="auto" w:frame="1"/>
                <w:lang w:val="en-GB"/>
              </w:rPr>
              <w:t>)</w:t>
            </w:r>
          </w:p>
        </w:tc>
        <w:tc>
          <w:tcPr>
            <w:tcW w:w="1629" w:type="dxa"/>
            <w:vAlign w:val="center"/>
          </w:tcPr>
          <w:p w14:paraId="0BB7E269" w14:textId="77777777" w:rsidR="00EB0721" w:rsidRPr="00F7201B" w:rsidRDefault="00EB0721" w:rsidP="008758BE">
            <w:pPr>
              <w:spacing w:line="360" w:lineRule="auto"/>
              <w:jc w:val="center"/>
              <w:rPr>
                <w:rFonts w:ascii="Garamond" w:hAnsi="Garamond" w:cs="Times New Roman"/>
                <w:color w:val="000000" w:themeColor="text1"/>
                <w:sz w:val="22"/>
                <w:szCs w:val="22"/>
                <w:bdr w:val="none" w:sz="0" w:space="0" w:color="auto" w:frame="1"/>
                <w:lang w:val="en-GB"/>
              </w:rPr>
            </w:pPr>
            <w:r w:rsidRPr="00F7201B">
              <w:rPr>
                <w:rFonts w:ascii="Garamond" w:hAnsi="Garamond" w:cs="Times New Roman"/>
                <w:color w:val="000000" w:themeColor="text1"/>
                <w:sz w:val="22"/>
                <w:szCs w:val="22"/>
                <w:bdr w:val="none" w:sz="0" w:space="0" w:color="auto" w:frame="1"/>
                <w:lang w:val="en-GB"/>
              </w:rPr>
              <w:t>Yes*</w:t>
            </w:r>
          </w:p>
        </w:tc>
      </w:tr>
      <w:tr w:rsidR="00EB0721" w:rsidRPr="00F7201B" w14:paraId="5E1F6561" w14:textId="77777777" w:rsidTr="00EB0721">
        <w:trPr>
          <w:jc w:val="center"/>
        </w:trPr>
        <w:tc>
          <w:tcPr>
            <w:tcW w:w="1628" w:type="dxa"/>
            <w:vAlign w:val="center"/>
          </w:tcPr>
          <w:p w14:paraId="43666551" w14:textId="77777777" w:rsidR="00EB0721" w:rsidRPr="00F7201B" w:rsidRDefault="00EB0721" w:rsidP="008758BE">
            <w:pPr>
              <w:spacing w:line="360" w:lineRule="auto"/>
              <w:jc w:val="center"/>
              <w:rPr>
                <w:rFonts w:ascii="Garamond" w:hAnsi="Garamond" w:cs="Times New Roman"/>
                <w:color w:val="000000" w:themeColor="text1"/>
                <w:sz w:val="22"/>
                <w:szCs w:val="22"/>
                <w:bdr w:val="none" w:sz="0" w:space="0" w:color="auto" w:frame="1"/>
                <w:lang w:val="en-GB"/>
              </w:rPr>
            </w:pPr>
            <w:r w:rsidRPr="00F7201B">
              <w:rPr>
                <w:rFonts w:ascii="Garamond" w:hAnsi="Garamond" w:cs="Times New Roman"/>
                <w:color w:val="000000" w:themeColor="text1"/>
                <w:sz w:val="22"/>
                <w:szCs w:val="22"/>
                <w:bdr w:val="none" w:sz="0" w:space="0" w:color="auto" w:frame="1"/>
                <w:lang w:val="en-GB"/>
              </w:rPr>
              <w:t>Not freely accessible</w:t>
            </w:r>
          </w:p>
        </w:tc>
        <w:tc>
          <w:tcPr>
            <w:tcW w:w="1628" w:type="dxa"/>
            <w:vAlign w:val="center"/>
          </w:tcPr>
          <w:p w14:paraId="4A49B455" w14:textId="77777777" w:rsidR="00EB0721" w:rsidRPr="00F7201B" w:rsidRDefault="00EB0721" w:rsidP="008758BE">
            <w:pPr>
              <w:spacing w:line="360" w:lineRule="auto"/>
              <w:jc w:val="center"/>
              <w:rPr>
                <w:rFonts w:ascii="Garamond" w:hAnsi="Garamond" w:cs="Times New Roman"/>
                <w:color w:val="000000" w:themeColor="text1"/>
                <w:sz w:val="22"/>
                <w:szCs w:val="22"/>
                <w:bdr w:val="none" w:sz="0" w:space="0" w:color="auto" w:frame="1"/>
                <w:lang w:val="en-GB"/>
              </w:rPr>
            </w:pPr>
            <w:r w:rsidRPr="00F7201B">
              <w:rPr>
                <w:rFonts w:ascii="Garamond" w:hAnsi="Garamond" w:cs="Times New Roman"/>
                <w:color w:val="000000" w:themeColor="text1"/>
                <w:sz w:val="22"/>
                <w:szCs w:val="22"/>
                <w:bdr w:val="none" w:sz="0" w:space="0" w:color="auto" w:frame="1"/>
                <w:lang w:val="en-GB"/>
              </w:rPr>
              <w:t>No</w:t>
            </w:r>
          </w:p>
        </w:tc>
        <w:tc>
          <w:tcPr>
            <w:tcW w:w="1629" w:type="dxa"/>
            <w:vAlign w:val="center"/>
          </w:tcPr>
          <w:p w14:paraId="08980DE7" w14:textId="77777777" w:rsidR="00EB0721" w:rsidRPr="00F7201B" w:rsidRDefault="00EB0721" w:rsidP="008758BE">
            <w:pPr>
              <w:spacing w:line="360" w:lineRule="auto"/>
              <w:jc w:val="center"/>
              <w:rPr>
                <w:rFonts w:ascii="Garamond" w:hAnsi="Garamond" w:cs="Times New Roman"/>
                <w:color w:val="000000" w:themeColor="text1"/>
                <w:sz w:val="22"/>
                <w:szCs w:val="22"/>
                <w:bdr w:val="none" w:sz="0" w:space="0" w:color="auto" w:frame="1"/>
                <w:lang w:val="en-GB"/>
              </w:rPr>
            </w:pPr>
            <w:r w:rsidRPr="00F7201B">
              <w:rPr>
                <w:rFonts w:ascii="Garamond" w:hAnsi="Garamond" w:cs="Times New Roman"/>
                <w:color w:val="000000" w:themeColor="text1"/>
                <w:sz w:val="22"/>
                <w:szCs w:val="22"/>
                <w:bdr w:val="none" w:sz="0" w:space="0" w:color="auto" w:frame="1"/>
                <w:lang w:val="en-GB"/>
              </w:rPr>
              <w:t>n/a</w:t>
            </w:r>
          </w:p>
        </w:tc>
        <w:tc>
          <w:tcPr>
            <w:tcW w:w="1629" w:type="dxa"/>
            <w:vAlign w:val="center"/>
          </w:tcPr>
          <w:p w14:paraId="4C5A1568" w14:textId="77777777" w:rsidR="00EB0721" w:rsidRPr="00F7201B" w:rsidRDefault="00EB0721" w:rsidP="008758BE">
            <w:pPr>
              <w:spacing w:line="360" w:lineRule="auto"/>
              <w:jc w:val="center"/>
              <w:rPr>
                <w:rFonts w:ascii="Garamond" w:hAnsi="Garamond" w:cs="Times New Roman"/>
                <w:color w:val="000000" w:themeColor="text1"/>
                <w:sz w:val="22"/>
                <w:szCs w:val="22"/>
                <w:bdr w:val="none" w:sz="0" w:space="0" w:color="auto" w:frame="1"/>
                <w:lang w:val="en-GB"/>
              </w:rPr>
            </w:pPr>
            <w:r w:rsidRPr="00F7201B">
              <w:rPr>
                <w:rFonts w:ascii="Garamond" w:hAnsi="Garamond" w:cs="Times New Roman"/>
                <w:color w:val="000000" w:themeColor="text1"/>
                <w:sz w:val="22"/>
                <w:szCs w:val="22"/>
                <w:bdr w:val="none" w:sz="0" w:space="0" w:color="auto" w:frame="1"/>
                <w:lang w:val="en-GB"/>
              </w:rPr>
              <w:t>n/a</w:t>
            </w:r>
          </w:p>
        </w:tc>
        <w:tc>
          <w:tcPr>
            <w:tcW w:w="1629" w:type="dxa"/>
            <w:vAlign w:val="center"/>
          </w:tcPr>
          <w:p w14:paraId="36F4235A" w14:textId="77777777" w:rsidR="00EB0721" w:rsidRPr="00F7201B" w:rsidRDefault="00EB0721" w:rsidP="008758BE">
            <w:pPr>
              <w:spacing w:line="360" w:lineRule="auto"/>
              <w:jc w:val="center"/>
              <w:rPr>
                <w:rFonts w:ascii="Garamond" w:hAnsi="Garamond" w:cs="Times New Roman"/>
                <w:color w:val="000000" w:themeColor="text1"/>
                <w:sz w:val="22"/>
                <w:szCs w:val="22"/>
                <w:bdr w:val="none" w:sz="0" w:space="0" w:color="auto" w:frame="1"/>
                <w:lang w:val="en-GB"/>
              </w:rPr>
            </w:pPr>
            <w:r w:rsidRPr="00F7201B">
              <w:rPr>
                <w:rFonts w:ascii="Garamond" w:hAnsi="Garamond" w:cs="Times New Roman"/>
                <w:color w:val="000000" w:themeColor="text1"/>
                <w:sz w:val="22"/>
                <w:szCs w:val="22"/>
                <w:bdr w:val="none" w:sz="0" w:space="0" w:color="auto" w:frame="1"/>
                <w:lang w:val="en-GB"/>
              </w:rPr>
              <w:t>Yes</w:t>
            </w:r>
          </w:p>
        </w:tc>
        <w:tc>
          <w:tcPr>
            <w:tcW w:w="1629" w:type="dxa"/>
            <w:vAlign w:val="center"/>
          </w:tcPr>
          <w:p w14:paraId="4EFD151A" w14:textId="77777777" w:rsidR="00EB0721" w:rsidRPr="00F7201B" w:rsidRDefault="00EB0721" w:rsidP="008758BE">
            <w:pPr>
              <w:spacing w:line="360" w:lineRule="auto"/>
              <w:jc w:val="center"/>
              <w:rPr>
                <w:rFonts w:ascii="Garamond" w:hAnsi="Garamond" w:cs="Times New Roman"/>
                <w:color w:val="000000" w:themeColor="text1"/>
                <w:sz w:val="22"/>
                <w:szCs w:val="22"/>
                <w:bdr w:val="none" w:sz="0" w:space="0" w:color="auto" w:frame="1"/>
                <w:lang w:val="en-GB"/>
              </w:rPr>
            </w:pPr>
            <w:r w:rsidRPr="00F7201B">
              <w:rPr>
                <w:rFonts w:ascii="Garamond" w:hAnsi="Garamond" w:cs="Times New Roman"/>
                <w:color w:val="000000" w:themeColor="text1"/>
                <w:sz w:val="22"/>
                <w:szCs w:val="22"/>
                <w:bdr w:val="none" w:sz="0" w:space="0" w:color="auto" w:frame="1"/>
                <w:lang w:val="en-GB"/>
              </w:rPr>
              <w:t>Yes</w:t>
            </w:r>
          </w:p>
        </w:tc>
      </w:tr>
    </w:tbl>
    <w:p w14:paraId="75811965" w14:textId="77777777" w:rsidR="00EB0721" w:rsidRPr="00F7201B" w:rsidRDefault="00EB0721" w:rsidP="004F24CD">
      <w:pPr>
        <w:spacing w:line="360" w:lineRule="auto"/>
        <w:jc w:val="both"/>
        <w:rPr>
          <w:rFonts w:ascii="Garamond" w:hAnsi="Garamond" w:cs="Times New Roman"/>
          <w:color w:val="000000" w:themeColor="text1"/>
          <w:sz w:val="22"/>
          <w:szCs w:val="22"/>
          <w:bdr w:val="none" w:sz="0" w:space="0" w:color="auto" w:frame="1"/>
          <w:lang w:val="en-GB"/>
        </w:rPr>
      </w:pPr>
      <w:r w:rsidRPr="00F7201B">
        <w:rPr>
          <w:rFonts w:ascii="Garamond" w:hAnsi="Garamond" w:cs="Times New Roman"/>
          <w:color w:val="000000" w:themeColor="text1"/>
          <w:sz w:val="22"/>
          <w:szCs w:val="22"/>
          <w:bdr w:val="none" w:sz="0" w:space="0" w:color="auto" w:frame="1"/>
          <w:lang w:val="en-GB"/>
        </w:rPr>
        <w:t>*If rightholder notifies link provider (without prior knowledge of unlawfulness) that content linked to is unlawful and he refuses to remove the link, and exceptions and limitations in Article 5(3) of the InfoSoc Directive are inapplicable.</w:t>
      </w:r>
    </w:p>
    <w:p w14:paraId="74B82BC1" w14:textId="77777777" w:rsidR="00EB0721" w:rsidRPr="00F7201B" w:rsidRDefault="00EB0721" w:rsidP="004F24CD">
      <w:pPr>
        <w:pStyle w:val="Caption"/>
        <w:spacing w:after="0" w:line="360" w:lineRule="auto"/>
        <w:jc w:val="both"/>
        <w:rPr>
          <w:rFonts w:ascii="Garamond" w:hAnsi="Garamond"/>
          <w:sz w:val="22"/>
          <w:szCs w:val="22"/>
          <w:lang w:val="en-GB"/>
        </w:rPr>
      </w:pPr>
    </w:p>
    <w:p w14:paraId="587372E3" w14:textId="77777777" w:rsidR="00EB0721" w:rsidRPr="00F7201B" w:rsidRDefault="00EB0721" w:rsidP="004F24CD">
      <w:pPr>
        <w:spacing w:line="360" w:lineRule="auto"/>
        <w:jc w:val="both"/>
        <w:rPr>
          <w:rFonts w:ascii="Garamond" w:hAnsi="Garamond" w:cs="Times New Roman"/>
          <w:color w:val="000000" w:themeColor="text1"/>
          <w:sz w:val="22"/>
          <w:szCs w:val="22"/>
          <w:bdr w:val="none" w:sz="0" w:space="0" w:color="auto" w:frame="1"/>
          <w:lang w:val="en-GB"/>
        </w:rPr>
      </w:pPr>
    </w:p>
    <w:p w14:paraId="600B5E55" w14:textId="77777777" w:rsidR="00EB0721" w:rsidRPr="00F7201B" w:rsidRDefault="004F24CD" w:rsidP="004F24CD">
      <w:pPr>
        <w:pStyle w:val="Heading1"/>
        <w:spacing w:line="360" w:lineRule="auto"/>
        <w:jc w:val="both"/>
        <w:rPr>
          <w:sz w:val="22"/>
          <w:szCs w:val="22"/>
        </w:rPr>
      </w:pPr>
      <w:bookmarkStart w:id="19" w:name="_Toc394844935"/>
      <w:bookmarkStart w:id="20" w:name="_Toc395788832"/>
      <w:bookmarkStart w:id="21" w:name="_Toc396298478"/>
      <w:r w:rsidRPr="00F7201B">
        <w:rPr>
          <w:sz w:val="22"/>
          <w:szCs w:val="22"/>
        </w:rPr>
        <w:t>3.</w:t>
      </w:r>
      <w:r w:rsidRPr="00F7201B">
        <w:rPr>
          <w:sz w:val="22"/>
          <w:szCs w:val="22"/>
        </w:rPr>
        <w:tab/>
      </w:r>
      <w:bookmarkStart w:id="22" w:name="_Toc394844936"/>
      <w:bookmarkStart w:id="23" w:name="_Toc395788833"/>
      <w:bookmarkEnd w:id="19"/>
      <w:bookmarkEnd w:id="20"/>
      <w:r w:rsidR="00EB0721" w:rsidRPr="00F7201B">
        <w:rPr>
          <w:sz w:val="22"/>
          <w:szCs w:val="22"/>
        </w:rPr>
        <w:t xml:space="preserve">Linking after </w:t>
      </w:r>
      <w:r w:rsidR="00EB0721" w:rsidRPr="00F7201B">
        <w:rPr>
          <w:i/>
          <w:sz w:val="22"/>
          <w:szCs w:val="22"/>
        </w:rPr>
        <w:t>GS Media</w:t>
      </w:r>
      <w:r w:rsidR="00EB0721" w:rsidRPr="00F7201B">
        <w:rPr>
          <w:sz w:val="22"/>
          <w:szCs w:val="22"/>
        </w:rPr>
        <w:t>, C-160/15 before national courts</w:t>
      </w:r>
      <w:bookmarkEnd w:id="22"/>
      <w:bookmarkEnd w:id="23"/>
      <w:bookmarkEnd w:id="21"/>
    </w:p>
    <w:p w14:paraId="2F2EC3FD" w14:textId="77777777" w:rsidR="00EB0721" w:rsidRPr="00F7201B" w:rsidRDefault="00EB0721" w:rsidP="004F24CD">
      <w:pPr>
        <w:spacing w:line="360" w:lineRule="auto"/>
        <w:jc w:val="both"/>
        <w:rPr>
          <w:rFonts w:ascii="Garamond" w:hAnsi="Garamond" w:cs="Times New Roman"/>
          <w:bCs/>
          <w:color w:val="000000" w:themeColor="text1"/>
          <w:sz w:val="22"/>
          <w:szCs w:val="22"/>
          <w:bdr w:val="none" w:sz="0" w:space="0" w:color="auto" w:frame="1"/>
          <w:lang w:val="en-GB"/>
        </w:rPr>
      </w:pPr>
    </w:p>
    <w:p w14:paraId="302183F9" w14:textId="77777777" w:rsidR="00EB0721" w:rsidRPr="00F7201B" w:rsidRDefault="00EB0721" w:rsidP="004F24CD">
      <w:pPr>
        <w:spacing w:line="360" w:lineRule="auto"/>
        <w:jc w:val="both"/>
        <w:rPr>
          <w:rFonts w:ascii="Garamond" w:hAnsi="Garamond" w:cs="Times New Roman"/>
          <w:bCs/>
          <w:color w:val="000000" w:themeColor="text1"/>
          <w:sz w:val="22"/>
          <w:szCs w:val="22"/>
          <w:bdr w:val="none" w:sz="0" w:space="0" w:color="auto" w:frame="1"/>
          <w:lang w:val="en-GB"/>
        </w:rPr>
      </w:pPr>
      <w:r w:rsidRPr="00F7201B">
        <w:rPr>
          <w:rFonts w:ascii="Garamond" w:hAnsi="Garamond" w:cs="Times New Roman"/>
          <w:bCs/>
          <w:color w:val="000000" w:themeColor="text1"/>
          <w:sz w:val="22"/>
          <w:szCs w:val="22"/>
          <w:bdr w:val="none" w:sz="0" w:space="0" w:color="auto" w:frame="1"/>
          <w:lang w:val="en-GB"/>
        </w:rPr>
        <w:t xml:space="preserve">With regard to linking, national applications demonstrate diverging approaches to the interpretation of relevant CJEU case law or resistance </w:t>
      </w:r>
      <w:r w:rsidRPr="00F7201B">
        <w:rPr>
          <w:rFonts w:ascii="Garamond" w:hAnsi="Garamond" w:cs="Times New Roman"/>
          <w:bCs/>
          <w:i/>
          <w:color w:val="000000" w:themeColor="text1"/>
          <w:sz w:val="22"/>
          <w:szCs w:val="22"/>
          <w:bdr w:val="none" w:sz="0" w:space="0" w:color="auto" w:frame="1"/>
          <w:lang w:val="en-GB"/>
        </w:rPr>
        <w:t>tout court</w:t>
      </w:r>
      <w:r w:rsidRPr="00F7201B">
        <w:rPr>
          <w:rFonts w:ascii="Garamond" w:hAnsi="Garamond" w:cs="Times New Roman"/>
          <w:bCs/>
          <w:color w:val="000000" w:themeColor="text1"/>
          <w:sz w:val="22"/>
          <w:szCs w:val="22"/>
          <w:bdr w:val="none" w:sz="0" w:space="0" w:color="auto" w:frame="1"/>
          <w:lang w:val="en-GB"/>
        </w:rPr>
        <w:t xml:space="preserve">. This has been particularly the case of the presumption of knowledge for for-profit link providers, as envisaged in </w:t>
      </w:r>
      <w:r w:rsidRPr="00F7201B">
        <w:rPr>
          <w:rFonts w:ascii="Garamond" w:hAnsi="Garamond" w:cs="Times New Roman"/>
          <w:bCs/>
          <w:i/>
          <w:color w:val="000000" w:themeColor="text1"/>
          <w:sz w:val="22"/>
          <w:szCs w:val="22"/>
          <w:bdr w:val="none" w:sz="0" w:space="0" w:color="auto" w:frame="1"/>
          <w:lang w:val="en-GB"/>
        </w:rPr>
        <w:t>GS Media</w:t>
      </w:r>
      <w:r w:rsidRPr="00F7201B">
        <w:rPr>
          <w:rFonts w:ascii="Garamond" w:hAnsi="Garamond" w:cs="Times New Roman"/>
          <w:bCs/>
          <w:color w:val="000000" w:themeColor="text1"/>
          <w:sz w:val="22"/>
          <w:szCs w:val="22"/>
          <w:bdr w:val="none" w:sz="0" w:space="0" w:color="auto" w:frame="1"/>
          <w:lang w:val="en-GB"/>
        </w:rPr>
        <w:t>, C-160/15: should the profit-making intention be referred to the act of linking as such (as the Athens Court of Appeal held in 2017</w:t>
      </w:r>
      <w:r w:rsidRPr="00F7201B">
        <w:rPr>
          <w:rStyle w:val="FootnoteReference"/>
          <w:rFonts w:ascii="Garamond" w:hAnsi="Garamond" w:cs="Times New Roman"/>
          <w:bCs/>
          <w:color w:val="000000" w:themeColor="text1"/>
          <w:sz w:val="22"/>
          <w:szCs w:val="22"/>
          <w:bdr w:val="none" w:sz="0" w:space="0" w:color="auto" w:frame="1"/>
          <w:lang w:val="en-GB"/>
        </w:rPr>
        <w:footnoteReference w:id="54"/>
      </w:r>
      <w:r w:rsidRPr="00F7201B">
        <w:rPr>
          <w:rFonts w:ascii="Garamond" w:hAnsi="Garamond" w:cs="Times New Roman"/>
          <w:bCs/>
          <w:color w:val="000000" w:themeColor="text1"/>
          <w:sz w:val="22"/>
          <w:szCs w:val="22"/>
          <w:bdr w:val="none" w:sz="0" w:space="0" w:color="auto" w:frame="1"/>
          <w:lang w:val="en-GB"/>
        </w:rPr>
        <w:t>) or, rather, the context in which the link is provided?</w:t>
      </w:r>
    </w:p>
    <w:p w14:paraId="10D0B0BD" w14:textId="77777777" w:rsidR="00EB0721" w:rsidRPr="00F7201B" w:rsidRDefault="00EB0721" w:rsidP="004F24CD">
      <w:pPr>
        <w:spacing w:line="360" w:lineRule="auto"/>
        <w:jc w:val="both"/>
        <w:rPr>
          <w:rFonts w:ascii="Garamond" w:hAnsi="Garamond" w:cs="Times New Roman"/>
          <w:bCs/>
          <w:color w:val="000000" w:themeColor="text1"/>
          <w:sz w:val="22"/>
          <w:szCs w:val="22"/>
          <w:bdr w:val="none" w:sz="0" w:space="0" w:color="auto" w:frame="1"/>
          <w:lang w:val="en-GB"/>
        </w:rPr>
      </w:pPr>
    </w:p>
    <w:p w14:paraId="31190EDD" w14:textId="77777777" w:rsidR="004F24CD" w:rsidRPr="00F7201B" w:rsidRDefault="004F24CD" w:rsidP="004F24CD">
      <w:pPr>
        <w:pStyle w:val="Heading2"/>
        <w:spacing w:before="0" w:line="360" w:lineRule="auto"/>
        <w:rPr>
          <w:rFonts w:ascii="Garamond" w:hAnsi="Garamond"/>
          <w:sz w:val="22"/>
          <w:szCs w:val="22"/>
          <w:bdr w:val="none" w:sz="0" w:space="0" w:color="auto" w:frame="1"/>
          <w:lang w:val="en-GB"/>
        </w:rPr>
      </w:pPr>
      <w:bookmarkStart w:id="24" w:name="_Toc396298479"/>
      <w:r w:rsidRPr="00F7201B">
        <w:rPr>
          <w:rFonts w:ascii="Garamond" w:hAnsi="Garamond"/>
          <w:sz w:val="22"/>
          <w:szCs w:val="22"/>
          <w:bdr w:val="none" w:sz="0" w:space="0" w:color="auto" w:frame="1"/>
          <w:lang w:val="en-GB"/>
        </w:rPr>
        <w:t>3.1</w:t>
      </w:r>
      <w:r w:rsidRPr="00F7201B">
        <w:rPr>
          <w:rFonts w:ascii="Garamond" w:hAnsi="Garamond"/>
          <w:sz w:val="22"/>
          <w:szCs w:val="22"/>
          <w:bdr w:val="none" w:sz="0" w:space="0" w:color="auto" w:frame="1"/>
          <w:lang w:val="en-GB"/>
        </w:rPr>
        <w:tab/>
        <w:t>Sweden</w:t>
      </w:r>
      <w:bookmarkEnd w:id="24"/>
    </w:p>
    <w:p w14:paraId="295C03B6" w14:textId="77777777" w:rsidR="004F24CD" w:rsidRPr="00F7201B" w:rsidRDefault="004F24CD" w:rsidP="004F24CD">
      <w:pPr>
        <w:spacing w:line="360" w:lineRule="auto"/>
        <w:jc w:val="both"/>
        <w:rPr>
          <w:rFonts w:ascii="Garamond" w:hAnsi="Garamond" w:cs="Times New Roman"/>
          <w:bCs/>
          <w:color w:val="000000" w:themeColor="text1"/>
          <w:sz w:val="22"/>
          <w:szCs w:val="22"/>
          <w:bdr w:val="none" w:sz="0" w:space="0" w:color="auto" w:frame="1"/>
          <w:lang w:val="en-GB"/>
        </w:rPr>
      </w:pPr>
    </w:p>
    <w:p w14:paraId="4A072546" w14:textId="77777777" w:rsidR="00EB0721" w:rsidRPr="00F7201B" w:rsidRDefault="00EB0721" w:rsidP="004F24CD">
      <w:pPr>
        <w:spacing w:line="360" w:lineRule="auto"/>
        <w:jc w:val="both"/>
        <w:rPr>
          <w:rFonts w:ascii="Garamond" w:hAnsi="Garamond" w:cs="Times New Roman"/>
          <w:bCs/>
          <w:color w:val="000000" w:themeColor="text1"/>
          <w:sz w:val="22"/>
          <w:szCs w:val="22"/>
          <w:bdr w:val="none" w:sz="0" w:space="0" w:color="auto" w:frame="1"/>
          <w:lang w:val="en-GB"/>
        </w:rPr>
      </w:pPr>
      <w:r w:rsidRPr="00F7201B">
        <w:rPr>
          <w:rFonts w:ascii="Garamond" w:hAnsi="Garamond" w:cs="Times New Roman"/>
          <w:bCs/>
          <w:color w:val="000000" w:themeColor="text1"/>
          <w:sz w:val="22"/>
          <w:szCs w:val="22"/>
          <w:bdr w:val="none" w:sz="0" w:space="0" w:color="auto" w:frame="1"/>
          <w:lang w:val="en-GB"/>
        </w:rPr>
        <w:t>The first national court to apply this CJEU decision was the Attunda District Court (Sweden) in 2016.</w:t>
      </w:r>
      <w:r w:rsidRPr="00F7201B">
        <w:rPr>
          <w:rStyle w:val="FootnoteReference"/>
          <w:rFonts w:ascii="Garamond" w:hAnsi="Garamond" w:cs="Times New Roman"/>
          <w:bCs/>
          <w:color w:val="000000" w:themeColor="text1"/>
          <w:sz w:val="22"/>
          <w:szCs w:val="22"/>
          <w:bdr w:val="none" w:sz="0" w:space="0" w:color="auto" w:frame="1"/>
          <w:lang w:val="en-GB"/>
        </w:rPr>
        <w:footnoteReference w:id="55"/>
      </w:r>
      <w:r w:rsidRPr="00F7201B">
        <w:rPr>
          <w:rFonts w:ascii="Garamond" w:hAnsi="Garamond" w:cs="Times New Roman"/>
          <w:bCs/>
          <w:color w:val="000000" w:themeColor="text1"/>
          <w:sz w:val="22"/>
          <w:szCs w:val="22"/>
          <w:bdr w:val="none" w:sz="0" w:space="0" w:color="auto" w:frame="1"/>
          <w:lang w:val="en-GB"/>
        </w:rPr>
        <w:t xml:space="preserve"> In 2012 the claimant realized a video that was subsequently uploaded by a third party on YouTube without her authorization. The defendant embedded the video on its own website in the context of an article describing the content of the incident portrayed in the video. In her action the claimant submitted that the defendant had infringed copyright in her video by both embedding it and publishing a frozen still of the video on its website. Considering whether the provision of an embedded link to content whose publication on a third-party site has not been authorized would amount to a copyright infringement, the Attunda court found that the </w:t>
      </w:r>
      <w:r w:rsidRPr="00F7201B">
        <w:rPr>
          <w:rFonts w:ascii="Garamond" w:hAnsi="Garamond" w:cs="Times New Roman"/>
          <w:bCs/>
          <w:i/>
          <w:color w:val="000000" w:themeColor="text1"/>
          <w:sz w:val="22"/>
          <w:szCs w:val="22"/>
          <w:bdr w:val="none" w:sz="0" w:space="0" w:color="auto" w:frame="1"/>
          <w:lang w:val="en-GB"/>
        </w:rPr>
        <w:t>GS Media</w:t>
      </w:r>
      <w:r w:rsidRPr="00F7201B">
        <w:rPr>
          <w:rFonts w:ascii="Garamond" w:hAnsi="Garamond" w:cs="Times New Roman"/>
          <w:bCs/>
          <w:color w:val="000000" w:themeColor="text1"/>
          <w:sz w:val="22"/>
          <w:szCs w:val="22"/>
          <w:bdr w:val="none" w:sz="0" w:space="0" w:color="auto" w:frame="1"/>
          <w:lang w:val="en-GB"/>
        </w:rPr>
        <w:t xml:space="preserve"> presumption relates to the context in which the link is provided. In the case at issue it was apparent that the defendant’s press publication had published the link to the claimant’s YouTube video with the intention of pursuing a profit. According to the court, the defendant had not been able to demonstrate that it had no knowledge of the unlicensed character of the video embedded on its website. Hence, it was found to have infringed the claimant’s copyright by linking to the YouTube video without the claimant’s permission.</w:t>
      </w:r>
    </w:p>
    <w:p w14:paraId="0F2DC533" w14:textId="77777777" w:rsidR="00EB0721" w:rsidRPr="00F7201B" w:rsidRDefault="00EB0721" w:rsidP="004F24CD">
      <w:pPr>
        <w:spacing w:line="360" w:lineRule="auto"/>
        <w:jc w:val="both"/>
        <w:rPr>
          <w:rFonts w:ascii="Garamond" w:hAnsi="Garamond" w:cs="Times New Roman"/>
          <w:bCs/>
          <w:color w:val="000000" w:themeColor="text1"/>
          <w:sz w:val="22"/>
          <w:szCs w:val="22"/>
          <w:bdr w:val="none" w:sz="0" w:space="0" w:color="auto" w:frame="1"/>
          <w:lang w:val="en-GB"/>
        </w:rPr>
      </w:pPr>
    </w:p>
    <w:p w14:paraId="69F2F60A" w14:textId="77777777" w:rsidR="004F24CD" w:rsidRPr="00F7201B" w:rsidRDefault="004F24CD" w:rsidP="004F24CD">
      <w:pPr>
        <w:pStyle w:val="Heading2"/>
        <w:spacing w:before="0" w:line="360" w:lineRule="auto"/>
        <w:rPr>
          <w:rFonts w:ascii="Garamond" w:hAnsi="Garamond"/>
          <w:sz w:val="22"/>
          <w:szCs w:val="22"/>
          <w:bdr w:val="none" w:sz="0" w:space="0" w:color="auto" w:frame="1"/>
          <w:lang w:val="en-GB"/>
        </w:rPr>
      </w:pPr>
      <w:bookmarkStart w:id="25" w:name="_Toc396298480"/>
      <w:r w:rsidRPr="00F7201B">
        <w:rPr>
          <w:rFonts w:ascii="Garamond" w:hAnsi="Garamond"/>
          <w:sz w:val="22"/>
          <w:szCs w:val="22"/>
          <w:bdr w:val="none" w:sz="0" w:space="0" w:color="auto" w:frame="1"/>
          <w:lang w:val="en-GB"/>
        </w:rPr>
        <w:t>3.2</w:t>
      </w:r>
      <w:r w:rsidRPr="00F7201B">
        <w:rPr>
          <w:rFonts w:ascii="Garamond" w:hAnsi="Garamond"/>
          <w:sz w:val="22"/>
          <w:szCs w:val="22"/>
          <w:bdr w:val="none" w:sz="0" w:space="0" w:color="auto" w:frame="1"/>
          <w:lang w:val="en-GB"/>
        </w:rPr>
        <w:tab/>
        <w:t>Germany</w:t>
      </w:r>
      <w:bookmarkEnd w:id="25"/>
    </w:p>
    <w:p w14:paraId="28D5C689" w14:textId="77777777" w:rsidR="004F24CD" w:rsidRPr="00F7201B" w:rsidRDefault="004F24CD" w:rsidP="004F24CD">
      <w:pPr>
        <w:spacing w:line="360" w:lineRule="auto"/>
        <w:jc w:val="both"/>
        <w:rPr>
          <w:rFonts w:ascii="Garamond" w:hAnsi="Garamond" w:cs="Times New Roman"/>
          <w:bCs/>
          <w:color w:val="000000" w:themeColor="text1"/>
          <w:sz w:val="22"/>
          <w:szCs w:val="22"/>
          <w:bdr w:val="none" w:sz="0" w:space="0" w:color="auto" w:frame="1"/>
          <w:lang w:val="en-GB"/>
        </w:rPr>
      </w:pPr>
    </w:p>
    <w:p w14:paraId="2C2E34A3" w14:textId="77777777" w:rsidR="00EB0721" w:rsidRPr="00F7201B" w:rsidRDefault="00EB0721" w:rsidP="004F24CD">
      <w:pPr>
        <w:spacing w:line="360" w:lineRule="auto"/>
        <w:jc w:val="both"/>
        <w:rPr>
          <w:rFonts w:ascii="Garamond" w:eastAsia="Times New Roman" w:hAnsi="Garamond"/>
          <w:color w:val="000000"/>
          <w:sz w:val="22"/>
          <w:szCs w:val="22"/>
          <w:shd w:val="clear" w:color="auto" w:fill="FFFFFF"/>
          <w:lang w:val="en-GB"/>
        </w:rPr>
      </w:pPr>
      <w:r w:rsidRPr="00F7201B">
        <w:rPr>
          <w:rFonts w:ascii="Garamond" w:hAnsi="Garamond" w:cs="Times New Roman"/>
          <w:bCs/>
          <w:color w:val="000000" w:themeColor="text1"/>
          <w:sz w:val="22"/>
          <w:szCs w:val="22"/>
          <w:bdr w:val="none" w:sz="0" w:space="0" w:color="auto" w:frame="1"/>
          <w:lang w:val="en-GB"/>
        </w:rPr>
        <w:t xml:space="preserve">Following Sweden, still in 2016, it was the turn of the </w:t>
      </w:r>
      <w:r w:rsidRPr="00F7201B">
        <w:rPr>
          <w:rFonts w:ascii="Garamond" w:eastAsia="Times New Roman" w:hAnsi="Garamond"/>
          <w:color w:val="000000"/>
          <w:sz w:val="22"/>
          <w:szCs w:val="22"/>
          <w:shd w:val="clear" w:color="auto" w:fill="FFFFFF"/>
          <w:lang w:val="en-GB"/>
        </w:rPr>
        <w:t>Regional Court of Hamburg (Germany) to provide a first application (by means of an interim decision</w:t>
      </w:r>
      <w:r w:rsidRPr="00F7201B">
        <w:rPr>
          <w:rStyle w:val="FootnoteReference"/>
          <w:rFonts w:ascii="Garamond" w:eastAsia="Times New Roman" w:hAnsi="Garamond"/>
          <w:color w:val="000000"/>
          <w:sz w:val="22"/>
          <w:szCs w:val="22"/>
          <w:shd w:val="clear" w:color="auto" w:fill="FFFFFF"/>
          <w:lang w:val="en-GB"/>
        </w:rPr>
        <w:footnoteReference w:id="56"/>
      </w:r>
      <w:r w:rsidRPr="00F7201B">
        <w:rPr>
          <w:rFonts w:ascii="Garamond" w:eastAsia="Times New Roman" w:hAnsi="Garamond"/>
          <w:color w:val="000000"/>
          <w:sz w:val="22"/>
          <w:szCs w:val="22"/>
          <w:shd w:val="clear" w:color="auto" w:fill="FFFFFF"/>
          <w:lang w:val="en-GB"/>
        </w:rPr>
        <w:t xml:space="preserve">) of </w:t>
      </w:r>
      <w:r w:rsidRPr="00F7201B">
        <w:rPr>
          <w:rFonts w:ascii="Garamond" w:eastAsia="Times New Roman" w:hAnsi="Garamond"/>
          <w:i/>
          <w:color w:val="000000"/>
          <w:sz w:val="22"/>
          <w:szCs w:val="22"/>
          <w:shd w:val="clear" w:color="auto" w:fill="FFFFFF"/>
          <w:lang w:val="en-GB"/>
        </w:rPr>
        <w:t>GS Media</w:t>
      </w:r>
      <w:r w:rsidRPr="00F7201B">
        <w:rPr>
          <w:rFonts w:ascii="Garamond" w:eastAsia="Times New Roman" w:hAnsi="Garamond"/>
          <w:color w:val="000000"/>
          <w:sz w:val="22"/>
          <w:szCs w:val="22"/>
          <w:shd w:val="clear" w:color="auto" w:fill="FFFFFF"/>
          <w:lang w:val="en-GB"/>
        </w:rPr>
        <w:t xml:space="preserve">, C-160/15. In that case the German court reasoned along lines similar to the Attunda court in Sweden, holding that the presumption of knowledge refers to for-profit contexts, rather than individual links provided with a profit-making intention. </w:t>
      </w:r>
    </w:p>
    <w:p w14:paraId="03A613E8" w14:textId="77777777" w:rsidR="00EB0721" w:rsidRPr="00F7201B" w:rsidRDefault="00EB0721" w:rsidP="004F24CD">
      <w:pPr>
        <w:spacing w:line="360" w:lineRule="auto"/>
        <w:jc w:val="both"/>
        <w:rPr>
          <w:rFonts w:ascii="Garamond" w:eastAsia="Times New Roman" w:hAnsi="Garamond"/>
          <w:color w:val="000000"/>
          <w:sz w:val="22"/>
          <w:szCs w:val="22"/>
          <w:shd w:val="clear" w:color="auto" w:fill="FFFFFF"/>
          <w:lang w:val="en-GB"/>
        </w:rPr>
      </w:pPr>
    </w:p>
    <w:p w14:paraId="155651B9" w14:textId="77777777" w:rsidR="00EB0721" w:rsidRPr="00F7201B" w:rsidRDefault="00EB0721" w:rsidP="004F24CD">
      <w:pPr>
        <w:spacing w:line="360" w:lineRule="auto"/>
        <w:jc w:val="both"/>
        <w:rPr>
          <w:rFonts w:ascii="Garamond" w:eastAsia="Times New Roman" w:hAnsi="Garamond" w:cs="Times New Roman"/>
          <w:color w:val="010101"/>
          <w:sz w:val="22"/>
          <w:szCs w:val="22"/>
          <w:lang w:val="en-GB"/>
        </w:rPr>
      </w:pPr>
      <w:r w:rsidRPr="00F7201B">
        <w:rPr>
          <w:rFonts w:ascii="Garamond" w:eastAsia="Times New Roman" w:hAnsi="Garamond"/>
          <w:color w:val="000000"/>
          <w:sz w:val="22"/>
          <w:szCs w:val="22"/>
          <w:shd w:val="clear" w:color="auto" w:fill="FFFFFF"/>
          <w:lang w:val="en-GB"/>
        </w:rPr>
        <w:t>Despite a similar approach being followed also in the Czech Republic</w:t>
      </w:r>
      <w:r w:rsidRPr="00F7201B">
        <w:rPr>
          <w:rStyle w:val="FootnoteReference"/>
          <w:rFonts w:ascii="Garamond" w:eastAsia="Times New Roman" w:hAnsi="Garamond"/>
          <w:color w:val="000000"/>
          <w:sz w:val="22"/>
          <w:szCs w:val="22"/>
          <w:shd w:val="clear" w:color="auto" w:fill="FFFFFF"/>
          <w:lang w:val="en-GB"/>
        </w:rPr>
        <w:footnoteReference w:id="57"/>
      </w:r>
      <w:r w:rsidRPr="00F7201B">
        <w:rPr>
          <w:rFonts w:ascii="Garamond" w:eastAsia="Times New Roman" w:hAnsi="Garamond"/>
          <w:color w:val="000000"/>
          <w:sz w:val="22"/>
          <w:szCs w:val="22"/>
          <w:shd w:val="clear" w:color="auto" w:fill="FFFFFF"/>
          <w:lang w:val="en-GB"/>
        </w:rPr>
        <w:t>, subsequent decisions in Germany have however appeared to take a rather different direction. So, in its 2017 decision concerning copyright content displayed on Google Images by means of thumbnails</w:t>
      </w:r>
      <w:r w:rsidRPr="00F7201B">
        <w:rPr>
          <w:rStyle w:val="FootnoteReference"/>
          <w:rFonts w:ascii="Garamond" w:eastAsia="Times New Roman" w:hAnsi="Garamond"/>
          <w:color w:val="000000"/>
          <w:sz w:val="22"/>
          <w:szCs w:val="22"/>
          <w:shd w:val="clear" w:color="auto" w:fill="FFFFFF"/>
          <w:lang w:val="en-GB"/>
        </w:rPr>
        <w:footnoteReference w:id="58"/>
      </w:r>
      <w:r w:rsidRPr="00F7201B">
        <w:rPr>
          <w:rFonts w:ascii="Garamond" w:eastAsia="Times New Roman" w:hAnsi="Garamond"/>
          <w:color w:val="000000"/>
          <w:sz w:val="22"/>
          <w:szCs w:val="22"/>
          <w:shd w:val="clear" w:color="auto" w:fill="FFFFFF"/>
          <w:lang w:val="en-GB"/>
        </w:rPr>
        <w:t xml:space="preserve">, Germany’s Federal Court of Justice </w:t>
      </w:r>
      <w:r w:rsidRPr="00F7201B">
        <w:rPr>
          <w:rFonts w:ascii="Garamond" w:eastAsia="Times New Roman" w:hAnsi="Garamond" w:cs="Times New Roman"/>
          <w:color w:val="010101"/>
          <w:sz w:val="22"/>
          <w:szCs w:val="22"/>
          <w:lang w:val="en-GB"/>
        </w:rPr>
        <w:t xml:space="preserve">dismissed the action that the operator of a photography website had brought against Google and its search engine. The former operated a website that included a restricted (password-protected) area to which customers could only access upon payment of a fee. Some of the photographs hosted in the restricted area were re-uploaded unlawfully by customers onto freely accessible websites. Relevant thumbnails were subsequently indexed on Google Images from such freely accessible sites. According to the claimant, by indexing and displaying thumbnails of the photographs to which it owns the copyright, Google had infringed its own exclusive right of communication to the public pursuant to the right of communication to the public within §15(2) </w:t>
      </w:r>
      <w:r w:rsidR="004F24CD" w:rsidRPr="00F7201B">
        <w:rPr>
          <w:rFonts w:ascii="Garamond" w:eastAsia="Times New Roman" w:hAnsi="Garamond" w:cs="Times New Roman"/>
          <w:color w:val="010101"/>
          <w:sz w:val="22"/>
          <w:szCs w:val="22"/>
          <w:lang w:val="en-GB"/>
        </w:rPr>
        <w:t>of the German Copyright Act (</w:t>
      </w:r>
      <w:r w:rsidR="004F24CD" w:rsidRPr="00F7201B">
        <w:rPr>
          <w:rFonts w:ascii="Garamond" w:eastAsia="Times New Roman" w:hAnsi="Garamond"/>
          <w:color w:val="000000"/>
          <w:sz w:val="22"/>
          <w:szCs w:val="22"/>
          <w:lang w:val="en-GB"/>
        </w:rPr>
        <w:t xml:space="preserve">Urheberrechtsgesetz – </w:t>
      </w:r>
      <w:r w:rsidRPr="00F7201B">
        <w:rPr>
          <w:rFonts w:ascii="Garamond" w:eastAsia="Times New Roman" w:hAnsi="Garamond" w:cs="Times New Roman"/>
          <w:color w:val="010101"/>
          <w:sz w:val="22"/>
          <w:szCs w:val="22"/>
          <w:lang w:val="en-GB"/>
        </w:rPr>
        <w:t>UrhG</w:t>
      </w:r>
      <w:r w:rsidR="004F24CD" w:rsidRPr="00F7201B">
        <w:rPr>
          <w:rFonts w:ascii="Garamond" w:eastAsia="Times New Roman" w:hAnsi="Garamond" w:cs="Times New Roman"/>
          <w:color w:val="010101"/>
          <w:sz w:val="22"/>
          <w:szCs w:val="22"/>
          <w:lang w:val="en-GB"/>
        </w:rPr>
        <w:t>)</w:t>
      </w:r>
      <w:r w:rsidRPr="00F7201B">
        <w:rPr>
          <w:rFonts w:ascii="Garamond" w:eastAsia="Times New Roman" w:hAnsi="Garamond" w:cs="Times New Roman"/>
          <w:color w:val="010101"/>
          <w:sz w:val="22"/>
          <w:szCs w:val="22"/>
          <w:lang w:val="en-GB"/>
        </w:rPr>
        <w:t xml:space="preserve">. </w:t>
      </w:r>
    </w:p>
    <w:p w14:paraId="2B89E0A7" w14:textId="77777777" w:rsidR="00EB0721" w:rsidRPr="00F7201B" w:rsidRDefault="00EB0721" w:rsidP="004F24CD">
      <w:pPr>
        <w:shd w:val="clear" w:color="auto" w:fill="FFFFFF"/>
        <w:spacing w:line="360" w:lineRule="auto"/>
        <w:jc w:val="both"/>
        <w:rPr>
          <w:rFonts w:ascii="Garamond" w:eastAsia="Times New Roman" w:hAnsi="Garamond" w:cs="Times New Roman"/>
          <w:color w:val="010101"/>
          <w:sz w:val="22"/>
          <w:szCs w:val="22"/>
          <w:lang w:val="en-GB"/>
        </w:rPr>
      </w:pPr>
    </w:p>
    <w:p w14:paraId="637C3438" w14:textId="77777777" w:rsidR="00EB0721" w:rsidRPr="00F7201B" w:rsidRDefault="00EB0721" w:rsidP="004F24CD">
      <w:pPr>
        <w:shd w:val="clear" w:color="auto" w:fill="FFFFFF"/>
        <w:spacing w:line="360" w:lineRule="auto"/>
        <w:jc w:val="both"/>
        <w:rPr>
          <w:rFonts w:ascii="Garamond" w:eastAsia="Times New Roman" w:hAnsi="Garamond" w:cs="Times New Roman"/>
          <w:color w:val="010101"/>
          <w:sz w:val="22"/>
          <w:szCs w:val="22"/>
          <w:lang w:val="en-GB"/>
        </w:rPr>
      </w:pPr>
      <w:r w:rsidRPr="00F7201B">
        <w:rPr>
          <w:rFonts w:ascii="Garamond" w:eastAsia="Times New Roman" w:hAnsi="Garamond" w:cs="Times New Roman"/>
          <w:color w:val="010101"/>
          <w:sz w:val="22"/>
          <w:szCs w:val="22"/>
          <w:lang w:val="en-GB"/>
        </w:rPr>
        <w:t xml:space="preserve">The Federal Court of Justice held that Google had not infringed the claimant’s copyrights by displaying thumbnails of and links to photographs publicly available on the internet without the rightholder’s consent. To reach this conclusion the court considered that in </w:t>
      </w:r>
      <w:r w:rsidRPr="00F7201B">
        <w:rPr>
          <w:rFonts w:ascii="Garamond" w:eastAsia="Times New Roman" w:hAnsi="Garamond" w:cs="Times New Roman"/>
          <w:i/>
          <w:color w:val="010101"/>
          <w:sz w:val="22"/>
          <w:szCs w:val="22"/>
          <w:lang w:val="en-GB"/>
        </w:rPr>
        <w:t>GS Media</w:t>
      </w:r>
      <w:r w:rsidRPr="00F7201B">
        <w:rPr>
          <w:rFonts w:ascii="Garamond" w:eastAsia="Times New Roman" w:hAnsi="Garamond" w:cs="Times New Roman"/>
          <w:color w:val="010101"/>
          <w:sz w:val="22"/>
          <w:szCs w:val="22"/>
          <w:lang w:val="en-GB"/>
        </w:rPr>
        <w:t xml:space="preserve">, C-160/15 the CJEU had stressed the importance of the internet to freedom of expression and of information: hyperlinks contribute to its sound operation as well as to the exchange of opinions and information in that network characterized by the availability of immense amounts of information. Although </w:t>
      </w:r>
      <w:r w:rsidRPr="00F7201B">
        <w:rPr>
          <w:rFonts w:ascii="Garamond" w:eastAsia="Times New Roman" w:hAnsi="Garamond" w:cs="Times New Roman"/>
          <w:i/>
          <w:color w:val="010101"/>
          <w:sz w:val="22"/>
          <w:szCs w:val="22"/>
          <w:lang w:val="en-GB"/>
        </w:rPr>
        <w:t>GS Media</w:t>
      </w:r>
      <w:r w:rsidRPr="00F7201B">
        <w:rPr>
          <w:rFonts w:ascii="Garamond" w:eastAsia="Times New Roman" w:hAnsi="Garamond" w:cs="Times New Roman"/>
          <w:color w:val="010101"/>
          <w:sz w:val="22"/>
          <w:szCs w:val="22"/>
          <w:lang w:val="en-GB"/>
        </w:rPr>
        <w:t xml:space="preserve">, C-160/15 envisages a presumption of knowledge for for-profit link providers, such a presumption would not apply to search engines and for links displayed by search engines, because of the particular importance of these subjects to the functioning of the internet. Accordingly, the provider of a search function cannot be expected to check the lawfulness of the images automatically retrieved from publicly accessible websites. An approach critical of CJEU linking case law may be also discerned in two further cases decided by German courts. </w:t>
      </w:r>
    </w:p>
    <w:p w14:paraId="2EEC221C" w14:textId="77777777" w:rsidR="00EB0721" w:rsidRPr="00F7201B" w:rsidRDefault="00EB0721" w:rsidP="004F24CD">
      <w:pPr>
        <w:spacing w:line="360" w:lineRule="auto"/>
        <w:jc w:val="both"/>
        <w:rPr>
          <w:rFonts w:ascii="Garamond" w:eastAsia="Times New Roman" w:hAnsi="Garamond" w:cs="Times New Roman"/>
          <w:color w:val="010101"/>
          <w:sz w:val="22"/>
          <w:szCs w:val="22"/>
          <w:lang w:val="en-GB"/>
        </w:rPr>
      </w:pPr>
    </w:p>
    <w:p w14:paraId="33E556E0" w14:textId="16B92405" w:rsidR="00EB0721" w:rsidRPr="00F7201B" w:rsidRDefault="00EB0721" w:rsidP="004F24CD">
      <w:pPr>
        <w:spacing w:line="360" w:lineRule="auto"/>
        <w:jc w:val="both"/>
        <w:rPr>
          <w:rFonts w:ascii="Garamond" w:eastAsia="Times New Roman" w:hAnsi="Garamond" w:cs="Times New Roman"/>
          <w:color w:val="010202"/>
          <w:sz w:val="22"/>
          <w:szCs w:val="22"/>
          <w:shd w:val="clear" w:color="auto" w:fill="FFFFFF"/>
          <w:lang w:val="en-GB"/>
        </w:rPr>
      </w:pPr>
      <w:r w:rsidRPr="00F7201B">
        <w:rPr>
          <w:rFonts w:ascii="Garamond" w:eastAsia="Times New Roman" w:hAnsi="Garamond" w:cs="Times New Roman"/>
          <w:color w:val="010101"/>
          <w:sz w:val="22"/>
          <w:szCs w:val="22"/>
          <w:lang w:val="en-GB"/>
        </w:rPr>
        <w:t xml:space="preserve">In a case concerning liability of the </w:t>
      </w:r>
      <w:r w:rsidRPr="00F7201B">
        <w:rPr>
          <w:rFonts w:ascii="Garamond" w:eastAsia="Times New Roman" w:hAnsi="Garamond" w:cs="Times New Roman"/>
          <w:color w:val="010202"/>
          <w:sz w:val="22"/>
          <w:szCs w:val="22"/>
          <w:shd w:val="clear" w:color="auto" w:fill="FFFFFF"/>
          <w:lang w:val="en-GB"/>
        </w:rPr>
        <w:t>operator of a product search engine, the</w:t>
      </w:r>
      <w:r w:rsidRPr="00F7201B">
        <w:rPr>
          <w:rFonts w:ascii="Garamond" w:eastAsia="Times New Roman" w:hAnsi="Garamond" w:cs="Times New Roman"/>
          <w:sz w:val="22"/>
          <w:szCs w:val="22"/>
          <w:lang w:val="en-GB"/>
        </w:rPr>
        <w:t xml:space="preserve"> </w:t>
      </w:r>
      <w:r w:rsidRPr="00F7201B">
        <w:rPr>
          <w:rFonts w:ascii="Garamond" w:eastAsia="Times New Roman" w:hAnsi="Garamond" w:cs="Times New Roman"/>
          <w:color w:val="010202"/>
          <w:sz w:val="22"/>
          <w:szCs w:val="22"/>
          <w:shd w:val="clear" w:color="auto" w:fill="FFFFFF"/>
          <w:lang w:val="en-GB"/>
        </w:rPr>
        <w:t xml:space="preserve">Regional Court of Hamburg ruled that </w:t>
      </w:r>
      <w:r w:rsidRPr="00F7201B">
        <w:rPr>
          <w:rFonts w:ascii="Garamond" w:eastAsia="Times New Roman" w:hAnsi="Garamond" w:cs="Times New Roman"/>
          <w:color w:val="010101"/>
          <w:sz w:val="22"/>
          <w:szCs w:val="22"/>
          <w:shd w:val="clear" w:color="auto" w:fill="FFFFFF"/>
          <w:lang w:val="en-GB"/>
        </w:rPr>
        <w:t>the </w:t>
      </w:r>
      <w:r w:rsidRPr="00F7201B">
        <w:rPr>
          <w:rFonts w:ascii="Garamond" w:eastAsia="Times New Roman" w:hAnsi="Garamond" w:cs="Times New Roman"/>
          <w:color w:val="010202"/>
          <w:sz w:val="22"/>
          <w:szCs w:val="22"/>
          <w:shd w:val="clear" w:color="auto" w:fill="FFFFFF"/>
          <w:lang w:val="en-GB"/>
        </w:rPr>
        <w:t>simple linking of a work hosted on a third-party site by way of 'framing' does not constitute an act of communication to the public.</w:t>
      </w:r>
      <w:r w:rsidRPr="00F7201B">
        <w:rPr>
          <w:rStyle w:val="FootnoteReference"/>
          <w:rFonts w:ascii="Garamond" w:eastAsia="Times New Roman" w:hAnsi="Garamond" w:cs="Times New Roman"/>
          <w:color w:val="010202"/>
          <w:sz w:val="22"/>
          <w:szCs w:val="22"/>
          <w:shd w:val="clear" w:color="auto" w:fill="FFFFFF"/>
          <w:lang w:val="en-GB"/>
        </w:rPr>
        <w:footnoteReference w:id="59"/>
      </w:r>
      <w:r w:rsidRPr="00F7201B">
        <w:rPr>
          <w:rFonts w:ascii="Garamond" w:eastAsia="Times New Roman" w:hAnsi="Garamond" w:cs="Times New Roman"/>
          <w:color w:val="010202"/>
          <w:sz w:val="22"/>
          <w:szCs w:val="22"/>
          <w:shd w:val="clear" w:color="auto" w:fill="FFFFFF"/>
          <w:lang w:val="en-GB"/>
        </w:rPr>
        <w:t xml:space="preserve"> The decision originated in the context of proceedings brought against the operator of a product search engine which listed furniture and home accessories for sale by the operator of a website on which it offered photos and products displayed by photographs (to which it owned the rights) depicting a pug dog named </w:t>
      </w:r>
      <w:r w:rsidRPr="00F7201B">
        <w:rPr>
          <w:rFonts w:ascii="Garamond" w:eastAsia="Times New Roman" w:hAnsi="Garamond" w:cs="Times New Roman"/>
          <w:iCs/>
          <w:color w:val="010202"/>
          <w:sz w:val="22"/>
          <w:szCs w:val="22"/>
          <w:shd w:val="clear" w:color="auto" w:fill="FFFFFF"/>
          <w:lang w:val="en-GB"/>
        </w:rPr>
        <w:t>Loulou</w:t>
      </w:r>
      <w:r w:rsidRPr="00F7201B">
        <w:rPr>
          <w:rFonts w:ascii="Garamond" w:eastAsia="Times New Roman" w:hAnsi="Garamond" w:cs="Times New Roman"/>
          <w:color w:val="010202"/>
          <w:sz w:val="22"/>
          <w:szCs w:val="22"/>
          <w:shd w:val="clear" w:color="auto" w:fill="FFFFFF"/>
          <w:lang w:val="en-GB"/>
        </w:rPr>
        <w:t xml:space="preserve">. The claimant discovered that the defendant's website displayed among the various results also a listing for a cushion (available for sale on Amazon) that reproduced </w:t>
      </w:r>
      <w:r w:rsidR="00595351">
        <w:rPr>
          <w:rFonts w:ascii="Garamond" w:eastAsia="Times New Roman" w:hAnsi="Garamond" w:cs="Times New Roman"/>
          <w:color w:val="010202"/>
          <w:sz w:val="22"/>
          <w:szCs w:val="22"/>
          <w:shd w:val="clear" w:color="auto" w:fill="FFFFFF"/>
          <w:lang w:val="en-GB"/>
        </w:rPr>
        <w:t>–</w:t>
      </w:r>
      <w:r w:rsidRPr="00F7201B">
        <w:rPr>
          <w:rFonts w:ascii="Garamond" w:eastAsia="Times New Roman" w:hAnsi="Garamond" w:cs="Times New Roman"/>
          <w:color w:val="010202"/>
          <w:sz w:val="22"/>
          <w:szCs w:val="22"/>
          <w:shd w:val="clear" w:color="auto" w:fill="FFFFFF"/>
          <w:lang w:val="en-GB"/>
        </w:rPr>
        <w:t xml:space="preserve"> without his permission – one of its photographs. He submitted that, by displaying this result, the defendant had made unauthorized acts of making available and communication to the public. </w:t>
      </w:r>
    </w:p>
    <w:p w14:paraId="0042ACE4" w14:textId="77777777" w:rsidR="00EB0721" w:rsidRPr="00F7201B" w:rsidRDefault="00EB0721" w:rsidP="004F24CD">
      <w:pPr>
        <w:spacing w:line="360" w:lineRule="auto"/>
        <w:jc w:val="both"/>
        <w:rPr>
          <w:rFonts w:ascii="Garamond" w:eastAsia="Times New Roman" w:hAnsi="Garamond" w:cs="Times New Roman"/>
          <w:color w:val="010202"/>
          <w:sz w:val="22"/>
          <w:szCs w:val="22"/>
          <w:shd w:val="clear" w:color="auto" w:fill="FFFFFF"/>
          <w:lang w:val="en-GB"/>
        </w:rPr>
      </w:pPr>
    </w:p>
    <w:p w14:paraId="18EF4E51" w14:textId="77777777" w:rsidR="00EB0721" w:rsidRPr="00F7201B" w:rsidRDefault="00EB0721" w:rsidP="004F24CD">
      <w:pPr>
        <w:spacing w:line="360" w:lineRule="auto"/>
        <w:jc w:val="both"/>
        <w:rPr>
          <w:rFonts w:ascii="Garamond" w:eastAsia="Times New Roman" w:hAnsi="Garamond" w:cs="Times New Roman"/>
          <w:color w:val="010202"/>
          <w:sz w:val="22"/>
          <w:szCs w:val="22"/>
          <w:shd w:val="clear" w:color="auto" w:fill="FFFFFF"/>
          <w:lang w:val="en-GB"/>
        </w:rPr>
      </w:pPr>
      <w:r w:rsidRPr="00F7201B">
        <w:rPr>
          <w:rFonts w:ascii="Garamond" w:eastAsia="Times New Roman" w:hAnsi="Garamond" w:cs="Times New Roman"/>
          <w:color w:val="010202"/>
          <w:sz w:val="22"/>
          <w:szCs w:val="22"/>
          <w:shd w:val="clear" w:color="auto" w:fill="FFFFFF"/>
          <w:lang w:val="en-GB"/>
        </w:rPr>
        <w:t xml:space="preserve">The Hamburg court dismissed the action, holding that the simple linking of a work hosted on a third-party site by way of 'framing' does not constitute an act of making available to the public within §19a UrhG. The only provision that might come into consideration would thus be the 'unnamed' right of communication to the public within §15(2) UrhG. To determine whether that would be actually the case, the court deemed it necessary to review relevant CJEU case law on Article 3(1) of the InfoSoc Directive. The court excluded that there would be a communication to the public in the case at issue. Although the requirement of the 'new public' was met, the act at issue would not take place with the indispensable intervention of the defendant. According to the court, the defendant in this case – although operating for a profit – had neither positive knowledge of the unlawfulness of the offer displayed through its search engine, nor could it have acquired knowledge of the offer’s unlawfulness in a reasonable way. </w:t>
      </w:r>
    </w:p>
    <w:p w14:paraId="2F9C48B4" w14:textId="77777777" w:rsidR="00EB0721" w:rsidRPr="00F7201B" w:rsidRDefault="00EB0721" w:rsidP="004F24CD">
      <w:pPr>
        <w:spacing w:line="360" w:lineRule="auto"/>
        <w:jc w:val="both"/>
        <w:rPr>
          <w:rFonts w:ascii="Garamond" w:eastAsia="Times New Roman" w:hAnsi="Garamond" w:cs="Times New Roman"/>
          <w:color w:val="010202"/>
          <w:sz w:val="22"/>
          <w:szCs w:val="22"/>
          <w:shd w:val="clear" w:color="auto" w:fill="FFFFFF"/>
          <w:lang w:val="en-GB"/>
        </w:rPr>
      </w:pPr>
    </w:p>
    <w:p w14:paraId="199DE9FB" w14:textId="63D6C3EF" w:rsidR="00EB0721" w:rsidRPr="00F7201B" w:rsidRDefault="00EB0721" w:rsidP="004F24CD">
      <w:pPr>
        <w:spacing w:line="360" w:lineRule="auto"/>
        <w:jc w:val="both"/>
        <w:rPr>
          <w:rFonts w:ascii="Garamond" w:eastAsia="Times New Roman" w:hAnsi="Garamond" w:cs="Times New Roman"/>
          <w:color w:val="010202"/>
          <w:sz w:val="22"/>
          <w:szCs w:val="22"/>
          <w:shd w:val="clear" w:color="auto" w:fill="FFFFFF"/>
          <w:lang w:val="en-GB"/>
        </w:rPr>
      </w:pPr>
      <w:r w:rsidRPr="00F7201B">
        <w:rPr>
          <w:rFonts w:ascii="Garamond" w:eastAsia="Times New Roman" w:hAnsi="Garamond" w:cs="Times New Roman"/>
          <w:color w:val="010202"/>
          <w:sz w:val="22"/>
          <w:szCs w:val="22"/>
          <w:shd w:val="clear" w:color="auto" w:fill="FFFFFF"/>
          <w:lang w:val="en-GB"/>
        </w:rPr>
        <w:t>The links displayed were created through a completely automated process and the relevant offers were not subject to any editing or other manual control. Hence, it could not be assumed that the defendant had knowledge that the offer at issue incorporated content that would infringe the claimant's rights. In addition, upon becoming aware of the unlawfulness of the listing, the defendant promptly removed it. Considering that the defendant's databank contains 50 million offers, it would be unreasonable to expect that every single link be checked beforehand. In the event of (several) completely automated processes, the </w:t>
      </w:r>
      <w:r w:rsidRPr="00F7201B">
        <w:rPr>
          <w:rFonts w:ascii="Garamond" w:eastAsia="Times New Roman" w:hAnsi="Garamond" w:cs="Times New Roman"/>
          <w:i/>
          <w:iCs/>
          <w:color w:val="010202"/>
          <w:sz w:val="22"/>
          <w:szCs w:val="22"/>
          <w:shd w:val="clear" w:color="auto" w:fill="FFFFFF"/>
          <w:lang w:val="en-GB"/>
        </w:rPr>
        <w:t>GS Media</w:t>
      </w:r>
      <w:r w:rsidRPr="00F7201B">
        <w:rPr>
          <w:rFonts w:ascii="Garamond" w:eastAsia="Times New Roman" w:hAnsi="Garamond" w:cs="Times New Roman"/>
          <w:color w:val="010202"/>
          <w:sz w:val="22"/>
          <w:szCs w:val="22"/>
          <w:shd w:val="clear" w:color="auto" w:fill="FFFFFF"/>
          <w:lang w:val="en-GB"/>
        </w:rPr>
        <w:t xml:space="preserve"> presumption could not apply in relation to each and every link. Referring to the Opinion of AG Szpunar in </w:t>
      </w:r>
      <w:r w:rsidRPr="00F7201B">
        <w:rPr>
          <w:rFonts w:ascii="Garamond" w:eastAsia="Times New Roman" w:hAnsi="Garamond" w:cs="Times New Roman"/>
          <w:i/>
          <w:color w:val="010202"/>
          <w:sz w:val="22"/>
          <w:szCs w:val="22"/>
          <w:shd w:val="clear" w:color="auto" w:fill="FFFFFF"/>
          <w:lang w:val="en-GB"/>
        </w:rPr>
        <w:t>Stichting Brein</w:t>
      </w:r>
      <w:r w:rsidRPr="00F7201B">
        <w:rPr>
          <w:rFonts w:ascii="Garamond" w:eastAsia="Times New Roman" w:hAnsi="Garamond" w:cs="Times New Roman"/>
          <w:color w:val="010202"/>
          <w:sz w:val="22"/>
          <w:szCs w:val="22"/>
          <w:shd w:val="clear" w:color="auto" w:fill="FFFFFF"/>
          <w:lang w:val="en-GB"/>
        </w:rPr>
        <w:t>, C-610/15</w:t>
      </w:r>
      <w:r w:rsidR="004F24CD" w:rsidRPr="00F7201B">
        <w:rPr>
          <w:rStyle w:val="FootnoteReference"/>
          <w:rFonts w:ascii="Garamond" w:eastAsia="Times New Roman" w:hAnsi="Garamond" w:cs="Times New Roman"/>
          <w:color w:val="010202"/>
          <w:sz w:val="22"/>
          <w:szCs w:val="22"/>
          <w:shd w:val="clear" w:color="auto" w:fill="FFFFFF"/>
          <w:lang w:val="en-GB"/>
        </w:rPr>
        <w:footnoteReference w:id="60"/>
      </w:r>
      <w:r w:rsidRPr="00F7201B">
        <w:rPr>
          <w:rFonts w:ascii="Garamond" w:eastAsia="Times New Roman" w:hAnsi="Garamond" w:cs="Times New Roman"/>
          <w:color w:val="010202"/>
          <w:sz w:val="22"/>
          <w:szCs w:val="22"/>
          <w:shd w:val="clear" w:color="auto" w:fill="FFFFFF"/>
          <w:lang w:val="en-GB"/>
        </w:rPr>
        <w:t>, </w:t>
      </w:r>
      <w:r w:rsidRPr="00F7201B">
        <w:rPr>
          <w:rFonts w:ascii="Garamond" w:eastAsia="Times New Roman" w:hAnsi="Garamond" w:cs="Times New Roman"/>
          <w:iCs/>
          <w:color w:val="010202"/>
          <w:sz w:val="22"/>
          <w:szCs w:val="22"/>
          <w:shd w:val="clear" w:color="auto" w:fill="FFFFFF"/>
          <w:lang w:val="en-GB"/>
        </w:rPr>
        <w:t>the</w:t>
      </w:r>
      <w:r w:rsidRPr="00F7201B">
        <w:rPr>
          <w:rFonts w:ascii="Garamond" w:eastAsia="Times New Roman" w:hAnsi="Garamond" w:cs="Times New Roman"/>
          <w:color w:val="010202"/>
          <w:sz w:val="22"/>
          <w:szCs w:val="22"/>
          <w:shd w:val="clear" w:color="auto" w:fill="FFFFFF"/>
          <w:lang w:val="en-GB"/>
        </w:rPr>
        <w:t xml:space="preserve"> court concluded that holding otherwise would extend liability to every imaginable far-removed contribution due to negligible lack of knowledge and, therefore, on the basis of merely fictitious intention. This would be also contrary to Article 16 of the </w:t>
      </w:r>
      <w:r w:rsidR="00595351">
        <w:rPr>
          <w:rFonts w:ascii="Garamond" w:eastAsia="Times New Roman" w:hAnsi="Garamond" w:cs="Times New Roman"/>
          <w:color w:val="010202"/>
          <w:sz w:val="22"/>
          <w:szCs w:val="22"/>
          <w:shd w:val="clear" w:color="auto" w:fill="FFFFFF"/>
          <w:lang w:val="en-GB"/>
        </w:rPr>
        <w:t>EU Charter.</w:t>
      </w:r>
    </w:p>
    <w:p w14:paraId="5A25FDE6" w14:textId="77777777" w:rsidR="00EB0721" w:rsidRPr="00F7201B" w:rsidRDefault="00EB0721" w:rsidP="004F24CD">
      <w:pPr>
        <w:spacing w:line="360" w:lineRule="auto"/>
        <w:jc w:val="both"/>
        <w:rPr>
          <w:rFonts w:ascii="Garamond" w:eastAsia="Times New Roman" w:hAnsi="Garamond" w:cs="Times New Roman"/>
          <w:sz w:val="22"/>
          <w:szCs w:val="22"/>
          <w:lang w:val="en-GB"/>
        </w:rPr>
      </w:pPr>
    </w:p>
    <w:p w14:paraId="7E8A57D6" w14:textId="77777777" w:rsidR="00EB0721" w:rsidRPr="00F7201B" w:rsidRDefault="00EB0721" w:rsidP="004F24CD">
      <w:pPr>
        <w:spacing w:line="360" w:lineRule="auto"/>
        <w:jc w:val="both"/>
        <w:rPr>
          <w:rFonts w:ascii="Garamond" w:eastAsia="Times New Roman" w:hAnsi="Garamond" w:cs="Times New Roman"/>
          <w:sz w:val="22"/>
          <w:szCs w:val="22"/>
          <w:lang w:val="en-GB"/>
        </w:rPr>
      </w:pPr>
      <w:r w:rsidRPr="00F7201B">
        <w:rPr>
          <w:rFonts w:ascii="Garamond" w:eastAsia="Times New Roman" w:hAnsi="Garamond" w:cs="Times New Roman"/>
          <w:sz w:val="22"/>
          <w:szCs w:val="22"/>
          <w:lang w:val="en-GB"/>
        </w:rPr>
        <w:t>The Regional Court of Hamburg also decided another case in 2017 in which issues of linking and copyright protection were at issue.</w:t>
      </w:r>
      <w:r w:rsidRPr="00F7201B">
        <w:rPr>
          <w:rStyle w:val="FootnoteReference"/>
          <w:rFonts w:ascii="Garamond" w:eastAsia="Times New Roman" w:hAnsi="Garamond" w:cs="Times New Roman"/>
          <w:sz w:val="22"/>
          <w:szCs w:val="22"/>
          <w:lang w:val="en-GB"/>
        </w:rPr>
        <w:footnoteReference w:id="61"/>
      </w:r>
      <w:r w:rsidRPr="00F7201B">
        <w:rPr>
          <w:rFonts w:ascii="Garamond" w:eastAsia="Times New Roman" w:hAnsi="Garamond" w:cs="Times New Roman"/>
          <w:sz w:val="22"/>
          <w:szCs w:val="22"/>
          <w:lang w:val="en-GB"/>
        </w:rPr>
        <w:t xml:space="preserve"> It held that there is no act of communication to the public within §§ 15(2) UrhG and 19a UrhG if a person who links to protected content without the relevant rightholder’s permission is unaware that such content is unlawful. Even if the link provider has a profit-making intention, there should be no presumption that they had awareness that the content linked to was unlawful if they operate in a context in which it would be unreasonable to expect that checks be performed to ensure that the content linked to is (and remains) lawful. In the case at issue, the defendant’s linking activities were performed algorithmically and, similarly to the other decision, also in this instance the infringing content (again a product allegedly reproducing a photograph depicting pug dog Loulou) linked to was available on Amazon.de. The defendant had no actual awareness that the content linked to was unlawful, nor was its unlawful nature recognizable at the outset. A relevant aspect was also the fact that, to be able to offer products for sale on Amazon, merchants have to agree to the platform’s terms of use, including declaring that they own the copyright to the images displayed. </w:t>
      </w:r>
    </w:p>
    <w:p w14:paraId="1C58B38A" w14:textId="77777777" w:rsidR="004F24CD" w:rsidRPr="00F7201B" w:rsidRDefault="004F24CD" w:rsidP="004F24CD">
      <w:pPr>
        <w:spacing w:line="360" w:lineRule="auto"/>
        <w:jc w:val="both"/>
        <w:rPr>
          <w:rFonts w:ascii="Garamond" w:hAnsi="Garamond"/>
          <w:b/>
          <w:bCs/>
          <w:color w:val="4F81BD" w:themeColor="accent1"/>
          <w:sz w:val="22"/>
          <w:szCs w:val="22"/>
          <w:lang w:val="en-GB"/>
        </w:rPr>
      </w:pPr>
    </w:p>
    <w:p w14:paraId="11EC8649" w14:textId="77777777" w:rsidR="00EB0721" w:rsidRPr="00F7201B" w:rsidRDefault="00EB0721" w:rsidP="004F24CD">
      <w:pPr>
        <w:spacing w:line="360" w:lineRule="auto"/>
        <w:jc w:val="both"/>
        <w:rPr>
          <w:rFonts w:ascii="Garamond" w:eastAsia="Times New Roman" w:hAnsi="Garamond" w:cs="Times New Roman"/>
          <w:sz w:val="22"/>
          <w:szCs w:val="22"/>
          <w:lang w:val="en-GB"/>
        </w:rPr>
      </w:pPr>
      <w:r w:rsidRPr="00F7201B">
        <w:rPr>
          <w:rFonts w:ascii="Garamond" w:eastAsia="Times New Roman" w:hAnsi="Garamond" w:cs="Times New Roman"/>
          <w:sz w:val="22"/>
          <w:szCs w:val="22"/>
          <w:lang w:val="en-GB"/>
        </w:rPr>
        <w:t>In its decision the Hamburg court held that the </w:t>
      </w:r>
      <w:r w:rsidRPr="00F7201B">
        <w:rPr>
          <w:rFonts w:ascii="Garamond" w:eastAsia="Times New Roman" w:hAnsi="Garamond" w:cs="Times New Roman"/>
          <w:i/>
          <w:iCs/>
          <w:sz w:val="22"/>
          <w:szCs w:val="22"/>
          <w:lang w:val="en-GB"/>
        </w:rPr>
        <w:t>GS Media</w:t>
      </w:r>
      <w:r w:rsidRPr="00F7201B">
        <w:rPr>
          <w:rFonts w:ascii="Garamond" w:eastAsia="Times New Roman" w:hAnsi="Garamond" w:cs="Times New Roman"/>
          <w:sz w:val="22"/>
          <w:szCs w:val="22"/>
          <w:lang w:val="en-GB"/>
        </w:rPr>
        <w:t> presumption of knowledge cannot be considered as indistinctly applicable: instead, it should be only relevant in situations in which the link provider/defendant may be </w:t>
      </w:r>
      <w:r w:rsidRPr="00F7201B">
        <w:rPr>
          <w:rFonts w:ascii="Garamond" w:eastAsia="Times New Roman" w:hAnsi="Garamond" w:cs="Times New Roman"/>
          <w:i/>
          <w:iCs/>
          <w:sz w:val="22"/>
          <w:szCs w:val="22"/>
          <w:lang w:val="en-GB"/>
        </w:rPr>
        <w:t>expected</w:t>
      </w:r>
      <w:r w:rsidRPr="00F7201B">
        <w:rPr>
          <w:rFonts w:ascii="Garamond" w:eastAsia="Times New Roman" w:hAnsi="Garamond" w:cs="Times New Roman"/>
          <w:sz w:val="22"/>
          <w:szCs w:val="22"/>
          <w:lang w:val="en-GB"/>
        </w:rPr>
        <w:t xml:space="preserve"> to carry out the necessary checks to determine the status – lawful or unlawful – of the content linked to. The court acknowledged that </w:t>
      </w:r>
      <w:r w:rsidRPr="00F7201B">
        <w:rPr>
          <w:rFonts w:ascii="Garamond" w:eastAsia="Times New Roman" w:hAnsi="Garamond" w:cs="Times New Roman"/>
          <w:i/>
          <w:sz w:val="22"/>
          <w:szCs w:val="22"/>
          <w:lang w:val="en-GB"/>
        </w:rPr>
        <w:t>GS Media</w:t>
      </w:r>
      <w:r w:rsidRPr="00F7201B">
        <w:rPr>
          <w:rFonts w:ascii="Garamond" w:eastAsia="Times New Roman" w:hAnsi="Garamond" w:cs="Times New Roman"/>
          <w:sz w:val="22"/>
          <w:szCs w:val="22"/>
          <w:lang w:val="en-GB"/>
        </w:rPr>
        <w:t>, C-160/15 mandates a generally applicable presumption for links posted out of profit. However, a conclusion of this kind would contradict what is stated at paragraph 34 of </w:t>
      </w:r>
      <w:r w:rsidRPr="00F7201B">
        <w:rPr>
          <w:rFonts w:ascii="Garamond" w:eastAsia="Times New Roman" w:hAnsi="Garamond" w:cs="Times New Roman"/>
          <w:i/>
          <w:iCs/>
          <w:sz w:val="22"/>
          <w:szCs w:val="22"/>
          <w:lang w:val="en-GB"/>
        </w:rPr>
        <w:t>GS Media</w:t>
      </w:r>
      <w:r w:rsidRPr="00F7201B">
        <w:rPr>
          <w:rFonts w:ascii="Garamond" w:eastAsia="Times New Roman" w:hAnsi="Garamond" w:cs="Times New Roman"/>
          <w:iCs/>
          <w:sz w:val="22"/>
          <w:szCs w:val="22"/>
          <w:lang w:val="en-GB"/>
        </w:rPr>
        <w:t>, C-160/15</w:t>
      </w:r>
      <w:r w:rsidRPr="00F7201B">
        <w:rPr>
          <w:rFonts w:ascii="Garamond" w:eastAsia="Times New Roman" w:hAnsi="Garamond" w:cs="Times New Roman"/>
          <w:sz w:val="22"/>
          <w:szCs w:val="22"/>
          <w:lang w:val="en-GB"/>
        </w:rPr>
        <w:t> itself, ie that the assessment of whether a link provider can be liable under Article 3(1) of the InfoSoc Directive must be individualized and take account of several complementary criteria that may, in different situations, be present to widely varying degrees. In a case like the one at issue, it would be therefore ‘unreasonable’ and ‘economically unjustifiable’ to expect that the defendant carries out such checks in relation to each and every content (automatically) linked to, including content hosted on a platform like Amazon. The defendant’s business model – including the fact that the content is not ‘incorporated’ to look as the defendant’s own content – is such that no specific searches for unlawfulness can be expected. Holding otherwise would not only be unreasonable, but also amount to an undue compression of the fundamental freedom to conduct a business, pursuant to Article 16 of the EU Charter. </w:t>
      </w:r>
    </w:p>
    <w:p w14:paraId="39E84722" w14:textId="77777777" w:rsidR="004F24CD" w:rsidRPr="00F7201B" w:rsidRDefault="00EB0721" w:rsidP="004F24CD">
      <w:pPr>
        <w:pStyle w:val="Heading1"/>
        <w:spacing w:line="360" w:lineRule="auto"/>
        <w:rPr>
          <w:sz w:val="22"/>
          <w:szCs w:val="22"/>
        </w:rPr>
      </w:pPr>
      <w:r w:rsidRPr="00F7201B">
        <w:rPr>
          <w:sz w:val="22"/>
          <w:szCs w:val="22"/>
        </w:rPr>
        <w:br/>
      </w:r>
      <w:bookmarkStart w:id="26" w:name="_Toc396298481"/>
      <w:r w:rsidR="004F24CD" w:rsidRPr="00F7201B">
        <w:rPr>
          <w:sz w:val="22"/>
          <w:szCs w:val="22"/>
        </w:rPr>
        <w:t>Conclusion: clarity still needed</w:t>
      </w:r>
      <w:bookmarkEnd w:id="26"/>
    </w:p>
    <w:p w14:paraId="1EFDA810" w14:textId="77777777" w:rsidR="004F24CD" w:rsidRPr="00F7201B" w:rsidRDefault="004F24CD" w:rsidP="004F24CD">
      <w:pPr>
        <w:spacing w:line="360" w:lineRule="auto"/>
        <w:jc w:val="both"/>
        <w:rPr>
          <w:rFonts w:ascii="Garamond" w:eastAsia="Times New Roman" w:hAnsi="Garamond" w:cs="Times New Roman"/>
          <w:b/>
          <w:bCs/>
          <w:sz w:val="22"/>
          <w:szCs w:val="22"/>
          <w:lang w:val="en-GB"/>
        </w:rPr>
      </w:pPr>
    </w:p>
    <w:p w14:paraId="042536F2" w14:textId="5F27F3E3" w:rsidR="004D63F5" w:rsidRDefault="00EB0721" w:rsidP="004F24CD">
      <w:pPr>
        <w:spacing w:line="360" w:lineRule="auto"/>
        <w:jc w:val="both"/>
        <w:rPr>
          <w:rFonts w:ascii="Garamond" w:eastAsia="Times New Roman" w:hAnsi="Garamond" w:cs="Times New Roman"/>
          <w:sz w:val="22"/>
          <w:szCs w:val="22"/>
          <w:lang w:val="en-GB"/>
        </w:rPr>
      </w:pPr>
      <w:r w:rsidRPr="00F7201B">
        <w:rPr>
          <w:rFonts w:ascii="Garamond" w:eastAsia="Times New Roman" w:hAnsi="Garamond" w:cs="Times New Roman"/>
          <w:bCs/>
          <w:sz w:val="22"/>
          <w:szCs w:val="22"/>
          <w:lang w:val="en-GB"/>
        </w:rPr>
        <w:t xml:space="preserve">In the aftermath of the CJEU decision in </w:t>
      </w:r>
      <w:r w:rsidRPr="00F7201B">
        <w:rPr>
          <w:rFonts w:ascii="Garamond" w:eastAsia="Times New Roman" w:hAnsi="Garamond" w:cs="Times New Roman"/>
          <w:bCs/>
          <w:i/>
          <w:sz w:val="22"/>
          <w:szCs w:val="22"/>
          <w:lang w:val="en-GB"/>
        </w:rPr>
        <w:t>GS Media</w:t>
      </w:r>
      <w:r w:rsidRPr="00F7201B">
        <w:rPr>
          <w:rFonts w:ascii="Garamond" w:eastAsia="Times New Roman" w:hAnsi="Garamond" w:cs="Times New Roman"/>
          <w:bCs/>
          <w:sz w:val="22"/>
          <w:szCs w:val="22"/>
          <w:lang w:val="en-GB"/>
        </w:rPr>
        <w:t xml:space="preserve">, C-160/15 it appears that, on the one hand, courts have adopted different approaches to the presumption of knowledge envisaged by the CJEU in its ruling and, on the other hand, the scope of application of CJEU case law has not been considered devoid of difficulties. This has been particularly the case of German courts: the decisions discussed above show how </w:t>
      </w:r>
      <w:r w:rsidRPr="00F7201B">
        <w:rPr>
          <w:rFonts w:ascii="Garamond" w:eastAsia="Times New Roman" w:hAnsi="Garamond" w:cs="Times New Roman"/>
          <w:sz w:val="22"/>
          <w:szCs w:val="22"/>
          <w:lang w:val="en-GB"/>
        </w:rPr>
        <w:t xml:space="preserve">courts in that EU Member State, instead of holding the presumption rebutted in the specific instance considered (as it appears to be the approach required under </w:t>
      </w:r>
      <w:r w:rsidRPr="00F7201B">
        <w:rPr>
          <w:rFonts w:ascii="Garamond" w:eastAsia="Times New Roman" w:hAnsi="Garamond" w:cs="Times New Roman"/>
          <w:i/>
          <w:iCs/>
          <w:sz w:val="22"/>
          <w:szCs w:val="22"/>
          <w:lang w:val="en-GB"/>
        </w:rPr>
        <w:t>GS Media</w:t>
      </w:r>
      <w:r w:rsidRPr="00F7201B">
        <w:rPr>
          <w:rFonts w:ascii="Garamond" w:eastAsia="Times New Roman" w:hAnsi="Garamond" w:cs="Times New Roman"/>
          <w:iCs/>
          <w:sz w:val="22"/>
          <w:szCs w:val="22"/>
          <w:lang w:val="en-GB"/>
        </w:rPr>
        <w:t>, C-160/15</w:t>
      </w:r>
      <w:r w:rsidRPr="00F7201B">
        <w:rPr>
          <w:rFonts w:ascii="Garamond" w:eastAsia="Times New Roman" w:hAnsi="Garamond" w:cs="Times New Roman"/>
          <w:sz w:val="22"/>
          <w:szCs w:val="22"/>
          <w:lang w:val="en-GB"/>
        </w:rPr>
        <w:t>), held against its applicability </w:t>
      </w:r>
      <w:r w:rsidRPr="00F7201B">
        <w:rPr>
          <w:rFonts w:ascii="Garamond" w:eastAsia="Times New Roman" w:hAnsi="Garamond" w:cs="Times New Roman"/>
          <w:i/>
          <w:iCs/>
          <w:sz w:val="22"/>
          <w:szCs w:val="22"/>
          <w:lang w:val="en-GB"/>
        </w:rPr>
        <w:t>tout court,</w:t>
      </w:r>
      <w:r w:rsidRPr="00F7201B">
        <w:rPr>
          <w:rFonts w:ascii="Garamond" w:eastAsia="Times New Roman" w:hAnsi="Garamond" w:cs="Times New Roman"/>
          <w:sz w:val="22"/>
          <w:szCs w:val="22"/>
          <w:lang w:val="en-GB"/>
        </w:rPr>
        <w:t xml:space="preserve"> on grounds of reasonableness and by placing significant emphasis on the fundamental rights dimension. Fears that the relationship between copyright protection and freedom to conduct a business might be unbalanced in favour of the former were acutely felt. This – together with considerations relating to the proper construction of the right of communication to the public, including the requirement of an individualized assessment – arguably prompted the courts to depart from what a strict application of </w:t>
      </w:r>
      <w:r w:rsidRPr="00F7201B">
        <w:rPr>
          <w:rFonts w:ascii="Garamond" w:eastAsia="Times New Roman" w:hAnsi="Garamond" w:cs="Times New Roman"/>
          <w:i/>
          <w:sz w:val="22"/>
          <w:szCs w:val="22"/>
          <w:lang w:val="en-GB"/>
        </w:rPr>
        <w:t>GS Media</w:t>
      </w:r>
      <w:r w:rsidRPr="00F7201B">
        <w:rPr>
          <w:rFonts w:ascii="Garamond" w:eastAsia="Times New Roman" w:hAnsi="Garamond" w:cs="Times New Roman"/>
          <w:sz w:val="22"/>
          <w:szCs w:val="22"/>
          <w:lang w:val="en-GB"/>
        </w:rPr>
        <w:t>, C-160/15 would instead require. </w:t>
      </w:r>
    </w:p>
    <w:p w14:paraId="1AC441B4" w14:textId="77777777" w:rsidR="004D63F5" w:rsidRDefault="004D63F5">
      <w:pPr>
        <w:rPr>
          <w:rFonts w:ascii="Garamond" w:eastAsia="Times New Roman" w:hAnsi="Garamond" w:cs="Times New Roman"/>
          <w:sz w:val="22"/>
          <w:szCs w:val="22"/>
          <w:lang w:val="en-GB"/>
        </w:rPr>
      </w:pPr>
      <w:r>
        <w:rPr>
          <w:rFonts w:ascii="Garamond" w:eastAsia="Times New Roman" w:hAnsi="Garamond" w:cs="Times New Roman"/>
          <w:sz w:val="22"/>
          <w:szCs w:val="22"/>
          <w:lang w:val="en-GB"/>
        </w:rPr>
        <w:br w:type="page"/>
      </w:r>
    </w:p>
    <w:p w14:paraId="63EB9109" w14:textId="761961FE" w:rsidR="00EB0721" w:rsidRPr="00B515C6" w:rsidRDefault="004D63F5" w:rsidP="00B515C6">
      <w:pPr>
        <w:pStyle w:val="Heading1"/>
        <w:rPr>
          <w:sz w:val="22"/>
          <w:szCs w:val="22"/>
        </w:rPr>
      </w:pPr>
      <w:bookmarkStart w:id="27" w:name="_Toc396298482"/>
      <w:r w:rsidRPr="00B515C6">
        <w:rPr>
          <w:sz w:val="22"/>
          <w:szCs w:val="22"/>
        </w:rPr>
        <w:t>References</w:t>
      </w:r>
      <w:bookmarkEnd w:id="27"/>
    </w:p>
    <w:p w14:paraId="46D131AD" w14:textId="77777777" w:rsidR="004D63F5" w:rsidRDefault="004D63F5" w:rsidP="004F24CD">
      <w:pPr>
        <w:spacing w:line="360" w:lineRule="auto"/>
        <w:jc w:val="both"/>
        <w:rPr>
          <w:rFonts w:ascii="Garamond" w:eastAsia="Times New Roman" w:hAnsi="Garamond" w:cs="Times New Roman"/>
          <w:sz w:val="22"/>
          <w:szCs w:val="22"/>
          <w:lang w:val="en-GB"/>
        </w:rPr>
      </w:pPr>
    </w:p>
    <w:p w14:paraId="118FF3FE" w14:textId="77777777" w:rsidR="00A16D36" w:rsidRDefault="00A16D36" w:rsidP="004F24CD">
      <w:pPr>
        <w:spacing w:line="360" w:lineRule="auto"/>
        <w:jc w:val="both"/>
        <w:rPr>
          <w:rFonts w:ascii="Garamond" w:eastAsia="Times New Roman" w:hAnsi="Garamond" w:cs="Times New Roman"/>
          <w:sz w:val="22"/>
          <w:szCs w:val="22"/>
          <w:lang w:val="en-GB"/>
        </w:rPr>
      </w:pPr>
    </w:p>
    <w:p w14:paraId="5A9015D6" w14:textId="77777777" w:rsidR="00A16D36" w:rsidRDefault="00A16D36" w:rsidP="004F24CD">
      <w:pPr>
        <w:spacing w:line="360" w:lineRule="auto"/>
        <w:jc w:val="both"/>
        <w:rPr>
          <w:rFonts w:ascii="Garamond" w:eastAsia="Times New Roman" w:hAnsi="Garamond" w:cs="Times New Roman"/>
          <w:sz w:val="22"/>
          <w:szCs w:val="22"/>
          <w:lang w:val="en-GB"/>
        </w:rPr>
      </w:pPr>
    </w:p>
    <w:p w14:paraId="2D2F1A86" w14:textId="77777777" w:rsidR="00B515C6" w:rsidRPr="0029323C" w:rsidRDefault="00B515C6" w:rsidP="00B515C6">
      <w:pPr>
        <w:ind w:left="851" w:hanging="851"/>
        <w:jc w:val="both"/>
        <w:rPr>
          <w:rFonts w:ascii="Garamond" w:eastAsia="Times New Roman" w:hAnsi="Garamond"/>
          <w:sz w:val="22"/>
          <w:szCs w:val="22"/>
          <w:shd w:val="clear" w:color="auto" w:fill="FFFFFF"/>
          <w:lang w:val="en-GB"/>
        </w:rPr>
      </w:pPr>
      <w:r w:rsidRPr="0029323C">
        <w:rPr>
          <w:rFonts w:ascii="Garamond" w:eastAsia="Times New Roman" w:hAnsi="Garamond"/>
          <w:sz w:val="22"/>
          <w:szCs w:val="22"/>
          <w:shd w:val="clear" w:color="auto" w:fill="FFFFFF"/>
          <w:lang w:val="en-GB"/>
        </w:rPr>
        <w:t xml:space="preserve">Abrar S (2016) </w:t>
      </w:r>
      <w:r w:rsidRPr="0029323C">
        <w:rPr>
          <w:rFonts w:ascii="Garamond" w:eastAsia="Times New Roman" w:hAnsi="Garamond"/>
          <w:bCs/>
          <w:i/>
          <w:sz w:val="22"/>
          <w:szCs w:val="22"/>
          <w:shd w:val="clear" w:color="auto" w:fill="FFFFFF"/>
          <w:lang w:val="en-GB"/>
        </w:rPr>
        <w:t>GS Media</w:t>
      </w:r>
      <w:r w:rsidRPr="0029323C">
        <w:rPr>
          <w:rFonts w:ascii="Garamond" w:eastAsia="Times New Roman" w:hAnsi="Garamond"/>
          <w:bCs/>
          <w:sz w:val="22"/>
          <w:szCs w:val="22"/>
          <w:shd w:val="clear" w:color="auto" w:fill="FFFFFF"/>
          <w:lang w:val="en-GB"/>
        </w:rPr>
        <w:t xml:space="preserve"> finds its first application in Germany</w:t>
      </w:r>
      <w:r w:rsidRPr="0029323C">
        <w:rPr>
          <w:rFonts w:ascii="Garamond" w:eastAsia="Times New Roman" w:hAnsi="Garamond"/>
          <w:sz w:val="22"/>
          <w:szCs w:val="22"/>
          <w:shd w:val="clear" w:color="auto" w:fill="FFFFFF"/>
          <w:lang w:val="en-GB"/>
        </w:rPr>
        <w:t>. In: The IPKat. Available at &lt;http://ipkitten.blogspot.com/2016/12/gs-media-finds-its-first-application-in.html&gt;. Accessed 15 Aug 2018</w:t>
      </w:r>
    </w:p>
    <w:p w14:paraId="03195090" w14:textId="77777777" w:rsidR="00B515C6" w:rsidRPr="0029323C" w:rsidRDefault="00B515C6" w:rsidP="00B515C6">
      <w:pPr>
        <w:ind w:left="851" w:hanging="851"/>
        <w:jc w:val="both"/>
        <w:rPr>
          <w:rFonts w:ascii="Garamond" w:eastAsia="Times New Roman" w:hAnsi="Garamond"/>
          <w:sz w:val="22"/>
          <w:szCs w:val="22"/>
          <w:shd w:val="clear" w:color="auto" w:fill="FFFFFF"/>
          <w:lang w:val="en-GB"/>
        </w:rPr>
      </w:pPr>
    </w:p>
    <w:p w14:paraId="7D345B88" w14:textId="77777777" w:rsidR="00B515C6" w:rsidRPr="0029323C" w:rsidRDefault="00B515C6" w:rsidP="00B515C6">
      <w:pPr>
        <w:ind w:left="851" w:hanging="851"/>
        <w:jc w:val="both"/>
        <w:rPr>
          <w:rFonts w:ascii="Garamond" w:hAnsi="Garamond"/>
          <w:sz w:val="22"/>
          <w:szCs w:val="22"/>
          <w:lang w:val="en-GB"/>
        </w:rPr>
      </w:pPr>
      <w:r w:rsidRPr="0029323C">
        <w:rPr>
          <w:rFonts w:ascii="Garamond" w:hAnsi="Garamond"/>
          <w:sz w:val="22"/>
          <w:szCs w:val="22"/>
          <w:lang w:val="en-GB"/>
        </w:rPr>
        <w:t xml:space="preserve">Arezzo E (2014) </w:t>
      </w:r>
      <w:r w:rsidRPr="0029323C">
        <w:rPr>
          <w:rFonts w:ascii="Garamond" w:hAnsi="Garamond"/>
          <w:bCs/>
          <w:sz w:val="22"/>
          <w:szCs w:val="22"/>
          <w:lang w:val="en-GB"/>
        </w:rPr>
        <w:t xml:space="preserve">Hyperlinks and making available right in the European Union - what future for the Internet after </w:t>
      </w:r>
      <w:r w:rsidRPr="0029323C">
        <w:rPr>
          <w:rFonts w:ascii="Garamond" w:hAnsi="Garamond"/>
          <w:bCs/>
          <w:i/>
          <w:sz w:val="22"/>
          <w:szCs w:val="22"/>
          <w:lang w:val="en-GB"/>
        </w:rPr>
        <w:t>Svensson</w:t>
      </w:r>
      <w:r w:rsidRPr="0029323C">
        <w:rPr>
          <w:rFonts w:ascii="Garamond" w:hAnsi="Garamond"/>
          <w:bCs/>
          <w:sz w:val="22"/>
          <w:szCs w:val="22"/>
          <w:lang w:val="en-GB"/>
        </w:rPr>
        <w:t>?</w:t>
      </w:r>
      <w:r w:rsidRPr="0029323C">
        <w:rPr>
          <w:rFonts w:ascii="Garamond" w:hAnsi="Garamond"/>
          <w:b/>
          <w:bCs/>
          <w:sz w:val="22"/>
          <w:szCs w:val="22"/>
          <w:lang w:val="en-GB"/>
        </w:rPr>
        <w:t xml:space="preserve"> </w:t>
      </w:r>
      <w:r w:rsidRPr="0029323C">
        <w:rPr>
          <w:rFonts w:ascii="Garamond" w:hAnsi="Garamond"/>
          <w:sz w:val="22"/>
          <w:szCs w:val="22"/>
          <w:lang w:val="en-GB"/>
        </w:rPr>
        <w:t>IIC 45(5):524</w:t>
      </w:r>
    </w:p>
    <w:p w14:paraId="5CA86B97" w14:textId="77777777" w:rsidR="00B515C6" w:rsidRPr="0029323C" w:rsidRDefault="00B515C6" w:rsidP="00B515C6">
      <w:pPr>
        <w:ind w:left="851" w:hanging="851"/>
        <w:jc w:val="both"/>
        <w:rPr>
          <w:rFonts w:ascii="Garamond" w:hAnsi="Garamond"/>
          <w:sz w:val="22"/>
          <w:szCs w:val="22"/>
          <w:lang w:val="en-GB"/>
        </w:rPr>
      </w:pPr>
    </w:p>
    <w:p w14:paraId="44346216" w14:textId="77777777" w:rsidR="00B515C6" w:rsidRPr="0029323C" w:rsidRDefault="00B515C6" w:rsidP="00B515C6">
      <w:pPr>
        <w:ind w:left="851" w:hanging="851"/>
        <w:jc w:val="both"/>
        <w:rPr>
          <w:rFonts w:ascii="Garamond" w:hAnsi="Garamond"/>
          <w:sz w:val="22"/>
          <w:szCs w:val="22"/>
          <w:lang w:val="en-GB"/>
        </w:rPr>
      </w:pPr>
      <w:r w:rsidRPr="0029323C">
        <w:rPr>
          <w:rFonts w:ascii="Garamond" w:hAnsi="Garamond"/>
          <w:sz w:val="22"/>
          <w:szCs w:val="22"/>
          <w:lang w:val="en-GB"/>
        </w:rPr>
        <w:t>Association Littéraire et Artistique Internationale (2014) Opinion proposed to the Executive Committee and adopted at its meeting, 17 September 2014 on the criterion “New Public”, developed by the Court of Justice of the European Union (CJEU), put in the context of making available and communication to the public, ALAI. &lt;http://www.alai.org/en/assets/files/resolutions/2014-opinion-new-public.pdf&gt;. Accessed 15 Aug 2018</w:t>
      </w:r>
    </w:p>
    <w:p w14:paraId="28A3C4DA" w14:textId="77777777" w:rsidR="00B515C6" w:rsidRPr="0029323C" w:rsidRDefault="00B515C6" w:rsidP="00B515C6">
      <w:pPr>
        <w:ind w:left="851" w:hanging="851"/>
        <w:jc w:val="both"/>
        <w:rPr>
          <w:rFonts w:ascii="Garamond" w:hAnsi="Garamond"/>
          <w:sz w:val="22"/>
          <w:szCs w:val="22"/>
          <w:lang w:val="en-GB"/>
        </w:rPr>
      </w:pPr>
    </w:p>
    <w:p w14:paraId="2DC3B763" w14:textId="77777777" w:rsidR="00B515C6" w:rsidRPr="0029323C" w:rsidRDefault="00B515C6" w:rsidP="00B515C6">
      <w:pPr>
        <w:ind w:left="851" w:hanging="851"/>
        <w:jc w:val="both"/>
        <w:rPr>
          <w:rFonts w:ascii="Garamond" w:eastAsia="Times New Roman" w:hAnsi="Garamond" w:cs="Times New Roman"/>
          <w:sz w:val="22"/>
          <w:szCs w:val="22"/>
          <w:lang w:val="en-GB"/>
        </w:rPr>
      </w:pPr>
      <w:r w:rsidRPr="0029323C">
        <w:rPr>
          <w:rFonts w:ascii="Garamond" w:hAnsi="Garamond"/>
          <w:sz w:val="22"/>
          <w:szCs w:val="22"/>
          <w:lang w:val="en-GB"/>
        </w:rPr>
        <w:t xml:space="preserve">--- (2013) </w:t>
      </w:r>
      <w:r w:rsidRPr="0029323C">
        <w:rPr>
          <w:rFonts w:ascii="Garamond" w:eastAsia="Times New Roman" w:hAnsi="Garamond" w:cs="Times New Roman"/>
          <w:sz w:val="22"/>
          <w:szCs w:val="22"/>
          <w:lang w:val="en-GB"/>
        </w:rPr>
        <w:t>Report and Opinion on the making available and communication to the public in the internet environment – focus on linking techniques on the Internet. ALAI. &lt;http://www.alai.org/en/assets/files/resolutions/making-available-right-report-opinion.pdf&gt;. Accessed 15 Aug 2018</w:t>
      </w:r>
    </w:p>
    <w:p w14:paraId="485F22C9" w14:textId="77777777" w:rsidR="00B515C6" w:rsidRPr="0029323C" w:rsidRDefault="00B515C6" w:rsidP="00B515C6">
      <w:pPr>
        <w:ind w:left="851" w:hanging="851"/>
        <w:jc w:val="both"/>
        <w:rPr>
          <w:rFonts w:ascii="Garamond" w:hAnsi="Garamond" w:cs="Times New Roman"/>
          <w:sz w:val="22"/>
          <w:szCs w:val="22"/>
          <w:lang w:val="en-GB"/>
        </w:rPr>
      </w:pPr>
    </w:p>
    <w:p w14:paraId="04C66059" w14:textId="77777777" w:rsidR="00B515C6" w:rsidRPr="0029323C" w:rsidRDefault="00B515C6" w:rsidP="00B515C6">
      <w:pPr>
        <w:ind w:left="851" w:hanging="851"/>
        <w:jc w:val="both"/>
        <w:rPr>
          <w:rFonts w:ascii="Garamond" w:eastAsia="Times New Roman" w:hAnsi="Garamond"/>
          <w:bCs/>
          <w:sz w:val="22"/>
          <w:szCs w:val="22"/>
          <w:shd w:val="clear" w:color="auto" w:fill="FEFDFA"/>
          <w:lang w:val="en-GB"/>
        </w:rPr>
      </w:pPr>
      <w:r w:rsidRPr="0029323C">
        <w:rPr>
          <w:rFonts w:ascii="Garamond" w:eastAsia="Times New Roman" w:hAnsi="Garamond"/>
          <w:sz w:val="22"/>
          <w:szCs w:val="22"/>
          <w:shd w:val="clear" w:color="auto" w:fill="FFFFFF"/>
          <w:lang w:val="en-GB"/>
        </w:rPr>
        <w:t>Brü</w:t>
      </w:r>
      <w:r w:rsidRPr="0029323C">
        <w:rPr>
          <w:rFonts w:ascii="Garamond" w:eastAsia="Times New Roman" w:hAnsi="Garamond"/>
          <w:sz w:val="22"/>
          <w:szCs w:val="22"/>
          <w:shd w:val="clear" w:color="auto" w:fill="FEFDFA"/>
          <w:lang w:val="en-GB"/>
        </w:rPr>
        <w:t xml:space="preserve">ß M (2016) </w:t>
      </w:r>
      <w:r w:rsidRPr="0029323C">
        <w:rPr>
          <w:rFonts w:ascii="Garamond" w:eastAsia="Times New Roman" w:hAnsi="Garamond"/>
          <w:bCs/>
          <w:sz w:val="22"/>
          <w:szCs w:val="22"/>
          <w:shd w:val="clear" w:color="auto" w:fill="FEFDFA"/>
          <w:lang w:val="en-GB"/>
        </w:rPr>
        <w:t xml:space="preserve">CJEU </w:t>
      </w:r>
      <w:r w:rsidRPr="0029323C">
        <w:rPr>
          <w:rFonts w:ascii="Garamond" w:eastAsia="Times New Roman" w:hAnsi="Garamond"/>
          <w:bCs/>
          <w:i/>
          <w:sz w:val="22"/>
          <w:szCs w:val="22"/>
          <w:shd w:val="clear" w:color="auto" w:fill="FEFDFA"/>
          <w:lang w:val="en-GB"/>
        </w:rPr>
        <w:t>GS Media</w:t>
      </w:r>
      <w:r w:rsidRPr="0029323C">
        <w:rPr>
          <w:rFonts w:ascii="Garamond" w:eastAsia="Times New Roman" w:hAnsi="Garamond"/>
          <w:bCs/>
          <w:sz w:val="22"/>
          <w:szCs w:val="22"/>
          <w:shd w:val="clear" w:color="auto" w:fill="FEFDFA"/>
          <w:lang w:val="en-GB"/>
        </w:rPr>
        <w:t xml:space="preserve"> decision finds its first application in Germany. In: The 1709 Blog. Available at &lt;http://the1709blog.blogspot.com/2016/12/cjeu-gs-media-decision-finds-its-first.html&gt;. Accessed 15 Aug 2018</w:t>
      </w:r>
    </w:p>
    <w:p w14:paraId="496AFC51" w14:textId="77777777" w:rsidR="00B515C6" w:rsidRPr="0029323C" w:rsidRDefault="00B515C6" w:rsidP="00B515C6">
      <w:pPr>
        <w:ind w:left="851" w:hanging="851"/>
        <w:jc w:val="both"/>
        <w:rPr>
          <w:rFonts w:ascii="Garamond" w:hAnsi="Garamond"/>
          <w:sz w:val="22"/>
          <w:szCs w:val="22"/>
          <w:lang w:val="en-GB"/>
        </w:rPr>
      </w:pPr>
    </w:p>
    <w:p w14:paraId="285E7BEE" w14:textId="77777777" w:rsidR="00B515C6" w:rsidRPr="0029323C" w:rsidRDefault="00B515C6" w:rsidP="00B515C6">
      <w:pPr>
        <w:ind w:left="851" w:hanging="851"/>
        <w:jc w:val="both"/>
        <w:rPr>
          <w:rFonts w:ascii="Garamond" w:hAnsi="Garamond"/>
          <w:sz w:val="22"/>
          <w:szCs w:val="22"/>
          <w:lang w:val="en-GB"/>
        </w:rPr>
      </w:pPr>
      <w:r w:rsidRPr="0029323C">
        <w:rPr>
          <w:rFonts w:ascii="Garamond" w:hAnsi="Garamond"/>
          <w:sz w:val="22"/>
          <w:szCs w:val="22"/>
          <w:lang w:val="en-GB"/>
        </w:rPr>
        <w:t xml:space="preserve">Chiou T (2017) </w:t>
      </w:r>
      <w:r w:rsidRPr="0029323C">
        <w:rPr>
          <w:rFonts w:ascii="Garamond" w:hAnsi="Garamond"/>
          <w:bCs/>
          <w:sz w:val="22"/>
          <w:szCs w:val="22"/>
          <w:lang w:val="en-GB"/>
        </w:rPr>
        <w:t xml:space="preserve">Athens Court of Appeal applies CJEU </w:t>
      </w:r>
      <w:r w:rsidRPr="0029323C">
        <w:rPr>
          <w:rFonts w:ascii="Garamond" w:hAnsi="Garamond"/>
          <w:bCs/>
          <w:i/>
          <w:sz w:val="22"/>
          <w:szCs w:val="22"/>
          <w:lang w:val="en-GB"/>
        </w:rPr>
        <w:t>GS Media</w:t>
      </w:r>
      <w:r w:rsidRPr="0029323C">
        <w:rPr>
          <w:rFonts w:ascii="Garamond" w:hAnsi="Garamond"/>
          <w:bCs/>
          <w:sz w:val="22"/>
          <w:szCs w:val="22"/>
          <w:lang w:val="en-GB"/>
        </w:rPr>
        <w:t xml:space="preserve"> linking decision and interprets 'profit-making intention' restrictively</w:t>
      </w:r>
      <w:r w:rsidRPr="0029323C">
        <w:rPr>
          <w:rFonts w:ascii="Garamond" w:hAnsi="Garamond"/>
          <w:sz w:val="22"/>
          <w:szCs w:val="22"/>
          <w:lang w:val="en-GB"/>
        </w:rPr>
        <w:t>. In: The IPKat. Available at &lt;http://ipkitten.blogspot.com/2017/11/athens-court-of-appeal-applies-cjeu-gs.html&gt;. Accessed 15 Aug 2018</w:t>
      </w:r>
    </w:p>
    <w:p w14:paraId="4BC51E65" w14:textId="77777777" w:rsidR="00B515C6" w:rsidRPr="0029323C" w:rsidRDefault="00B515C6" w:rsidP="00B515C6">
      <w:pPr>
        <w:ind w:left="851" w:hanging="851"/>
        <w:jc w:val="both"/>
        <w:rPr>
          <w:rFonts w:ascii="Garamond" w:hAnsi="Garamond" w:cs="Times New Roman"/>
          <w:sz w:val="22"/>
          <w:szCs w:val="22"/>
          <w:lang w:val="en-GB"/>
        </w:rPr>
      </w:pPr>
    </w:p>
    <w:p w14:paraId="642BE6B9" w14:textId="77777777" w:rsidR="00B515C6" w:rsidRPr="0029323C" w:rsidRDefault="00B515C6" w:rsidP="00B515C6">
      <w:pPr>
        <w:ind w:left="851" w:hanging="851"/>
        <w:jc w:val="both"/>
        <w:rPr>
          <w:rFonts w:ascii="Garamond" w:eastAsia="Times New Roman" w:hAnsi="Garamond" w:cs="Times New Roman"/>
          <w:sz w:val="22"/>
          <w:szCs w:val="22"/>
          <w:shd w:val="clear" w:color="auto" w:fill="FFFFFF"/>
          <w:lang w:val="en-GB"/>
        </w:rPr>
      </w:pPr>
      <w:r w:rsidRPr="0029323C">
        <w:rPr>
          <w:rFonts w:ascii="Garamond" w:hAnsi="Garamond" w:cs="Times New Roman"/>
          <w:sz w:val="22"/>
          <w:szCs w:val="22"/>
          <w:lang w:val="en-GB"/>
        </w:rPr>
        <w:t xml:space="preserve">Clark B, Dickinson J (2017) </w:t>
      </w:r>
      <w:r w:rsidRPr="0029323C">
        <w:rPr>
          <w:rFonts w:ascii="Garamond" w:hAnsi="Garamond" w:cs="Times New Roman"/>
          <w:bCs/>
          <w:sz w:val="22"/>
          <w:szCs w:val="22"/>
          <w:lang w:val="en-GB"/>
        </w:rPr>
        <w:t xml:space="preserve">Theseus and the labyrinth? An overview of "communication to the public" under EU copyright law: after </w:t>
      </w:r>
      <w:r w:rsidRPr="0029323C">
        <w:rPr>
          <w:rFonts w:ascii="Garamond" w:hAnsi="Garamond" w:cs="Times New Roman"/>
          <w:bCs/>
          <w:i/>
          <w:sz w:val="22"/>
          <w:szCs w:val="22"/>
          <w:lang w:val="en-GB"/>
        </w:rPr>
        <w:t>Reha Training</w:t>
      </w:r>
      <w:r w:rsidRPr="0029323C">
        <w:rPr>
          <w:rFonts w:ascii="Garamond" w:hAnsi="Garamond" w:cs="Times New Roman"/>
          <w:bCs/>
          <w:sz w:val="22"/>
          <w:szCs w:val="22"/>
          <w:lang w:val="en-GB"/>
        </w:rPr>
        <w:t xml:space="preserve"> and </w:t>
      </w:r>
      <w:r w:rsidRPr="0029323C">
        <w:rPr>
          <w:rFonts w:ascii="Garamond" w:hAnsi="Garamond" w:cs="Times New Roman"/>
          <w:bCs/>
          <w:i/>
          <w:sz w:val="22"/>
          <w:szCs w:val="22"/>
          <w:lang w:val="en-GB"/>
        </w:rPr>
        <w:t>GS Media </w:t>
      </w:r>
      <w:r w:rsidRPr="0029323C">
        <w:rPr>
          <w:rFonts w:ascii="Garamond" w:hAnsi="Garamond" w:cs="Times New Roman"/>
          <w:bCs/>
          <w:sz w:val="22"/>
          <w:szCs w:val="22"/>
          <w:lang w:val="en-GB"/>
        </w:rPr>
        <w:t xml:space="preserve">where are we now and where do we go from here? </w:t>
      </w:r>
      <w:r w:rsidRPr="0029323C">
        <w:rPr>
          <w:rFonts w:ascii="Garamond" w:eastAsia="Times New Roman" w:hAnsi="Garamond" w:cs="Times New Roman"/>
          <w:sz w:val="22"/>
          <w:szCs w:val="22"/>
          <w:shd w:val="clear" w:color="auto" w:fill="FFFFFF"/>
          <w:lang w:val="en-GB"/>
        </w:rPr>
        <w:t>EIPR 39(5):265</w:t>
      </w:r>
    </w:p>
    <w:p w14:paraId="033F45D7" w14:textId="77777777" w:rsidR="00B515C6" w:rsidRPr="0029323C" w:rsidRDefault="00B515C6" w:rsidP="00B515C6">
      <w:pPr>
        <w:ind w:left="851" w:hanging="851"/>
        <w:jc w:val="both"/>
        <w:rPr>
          <w:rFonts w:ascii="Garamond" w:eastAsia="Times New Roman" w:hAnsi="Garamond" w:cs="Times New Roman"/>
          <w:sz w:val="22"/>
          <w:szCs w:val="22"/>
          <w:shd w:val="clear" w:color="auto" w:fill="FFFFFF"/>
          <w:lang w:val="en-GB"/>
        </w:rPr>
      </w:pPr>
    </w:p>
    <w:p w14:paraId="2D66FB89" w14:textId="77777777" w:rsidR="00B515C6" w:rsidRPr="0029323C" w:rsidRDefault="00B515C6" w:rsidP="00B515C6">
      <w:pPr>
        <w:ind w:left="851" w:hanging="851"/>
        <w:jc w:val="both"/>
        <w:rPr>
          <w:rFonts w:ascii="Garamond" w:hAnsi="Garamond"/>
          <w:sz w:val="22"/>
          <w:szCs w:val="22"/>
          <w:lang w:val="en-GB"/>
        </w:rPr>
      </w:pPr>
      <w:r w:rsidRPr="0029323C">
        <w:rPr>
          <w:rFonts w:ascii="Garamond" w:hAnsi="Garamond"/>
          <w:sz w:val="22"/>
          <w:szCs w:val="22"/>
          <w:lang w:val="en-GB"/>
        </w:rPr>
        <w:t>Clark B, Tozzi S (2016) “</w:t>
      </w:r>
      <w:r w:rsidRPr="0029323C">
        <w:rPr>
          <w:rFonts w:ascii="Garamond" w:hAnsi="Garamond"/>
          <w:bCs/>
          <w:sz w:val="22"/>
          <w:szCs w:val="22"/>
          <w:lang w:val="en-GB"/>
        </w:rPr>
        <w:t>Communication to the public” under EU copyright law: an increasingly Delphic concept or intentional fragmentation?</w:t>
      </w:r>
      <w:r w:rsidRPr="0029323C">
        <w:rPr>
          <w:rFonts w:ascii="Garamond" w:hAnsi="Garamond"/>
          <w:sz w:val="22"/>
          <w:szCs w:val="22"/>
          <w:lang w:val="en-GB"/>
        </w:rPr>
        <w:t xml:space="preserve"> EIPR 38(12):715</w:t>
      </w:r>
    </w:p>
    <w:p w14:paraId="62CC739D" w14:textId="77777777" w:rsidR="00B515C6" w:rsidRPr="0029323C" w:rsidRDefault="00B515C6" w:rsidP="00B515C6">
      <w:pPr>
        <w:ind w:left="851" w:hanging="851"/>
        <w:jc w:val="both"/>
        <w:rPr>
          <w:rFonts w:ascii="Garamond" w:hAnsi="Garamond"/>
          <w:sz w:val="22"/>
          <w:szCs w:val="22"/>
          <w:lang w:val="en-GB"/>
        </w:rPr>
      </w:pPr>
    </w:p>
    <w:p w14:paraId="587C2B65" w14:textId="77777777" w:rsidR="00B515C6" w:rsidRPr="0029323C" w:rsidRDefault="00B515C6" w:rsidP="00B515C6">
      <w:pPr>
        <w:ind w:left="851" w:hanging="851"/>
        <w:jc w:val="both"/>
        <w:rPr>
          <w:rFonts w:ascii="Garamond" w:eastAsia="Times New Roman" w:hAnsi="Garamond" w:cs="Times New Roman"/>
          <w:sz w:val="22"/>
          <w:szCs w:val="22"/>
          <w:lang w:val="en-GB"/>
        </w:rPr>
      </w:pPr>
      <w:r w:rsidRPr="0029323C">
        <w:rPr>
          <w:rFonts w:ascii="Garamond" w:hAnsi="Garamond"/>
          <w:sz w:val="22"/>
          <w:szCs w:val="22"/>
          <w:lang w:val="en-GB"/>
        </w:rPr>
        <w:t xml:space="preserve">European Copyright Society (2013) </w:t>
      </w:r>
      <w:r w:rsidRPr="0029323C">
        <w:rPr>
          <w:rFonts w:ascii="Garamond" w:eastAsia="Times New Roman" w:hAnsi="Garamond" w:cs="Times New Roman"/>
          <w:sz w:val="22"/>
          <w:szCs w:val="22"/>
          <w:lang w:val="en-GB"/>
        </w:rPr>
        <w:t xml:space="preserve">Opinion on the Reference to the CJEU in Case C466/12 </w:t>
      </w:r>
      <w:r w:rsidRPr="0029323C">
        <w:rPr>
          <w:rFonts w:ascii="Garamond" w:eastAsia="Times New Roman" w:hAnsi="Garamond" w:cs="Times New Roman"/>
          <w:i/>
          <w:sz w:val="22"/>
          <w:szCs w:val="22"/>
          <w:lang w:val="en-GB"/>
        </w:rPr>
        <w:t>Svensson</w:t>
      </w:r>
      <w:r w:rsidRPr="0029323C">
        <w:rPr>
          <w:rFonts w:ascii="Garamond" w:eastAsia="Times New Roman" w:hAnsi="Garamond" w:cs="Times New Roman"/>
          <w:sz w:val="22"/>
          <w:szCs w:val="22"/>
          <w:lang w:val="en-GB"/>
        </w:rPr>
        <w:t>. ECS. &lt;https://europeancopyrightsocietydotorg.files.wordpress.com/2015/12/european-copyright-society-opinion-on-svensson-first-signatoriespaginatedv31.pdf&gt;. Accessed 15 Aug 2018</w:t>
      </w:r>
    </w:p>
    <w:p w14:paraId="2E99A7F8" w14:textId="77777777" w:rsidR="00B515C6" w:rsidRPr="0029323C" w:rsidRDefault="00B515C6" w:rsidP="00B515C6">
      <w:pPr>
        <w:ind w:left="851" w:hanging="851"/>
        <w:jc w:val="both"/>
        <w:rPr>
          <w:rFonts w:ascii="Garamond" w:hAnsi="Garamond"/>
          <w:sz w:val="22"/>
          <w:szCs w:val="22"/>
          <w:lang w:val="en-GB"/>
        </w:rPr>
      </w:pPr>
    </w:p>
    <w:p w14:paraId="57CDAC9C" w14:textId="77777777" w:rsidR="00B515C6" w:rsidRPr="0029323C" w:rsidRDefault="00B515C6" w:rsidP="00B515C6">
      <w:pPr>
        <w:ind w:left="851" w:hanging="851"/>
        <w:jc w:val="both"/>
        <w:rPr>
          <w:rFonts w:ascii="Garamond" w:hAnsi="Garamond"/>
          <w:sz w:val="22"/>
          <w:szCs w:val="22"/>
          <w:lang w:val="en-GB"/>
        </w:rPr>
      </w:pPr>
      <w:r w:rsidRPr="0029323C">
        <w:rPr>
          <w:rFonts w:ascii="Garamond" w:hAnsi="Garamond"/>
          <w:sz w:val="22"/>
          <w:szCs w:val="22"/>
          <w:lang w:val="en-GB"/>
        </w:rPr>
        <w:t>Ginsburg, JC (2014) Hyperlinking and infringement: The CJEU decides (sort of). The Media Institute. &lt;https://www.mediainstitute.org/2014/03/17/hyperlinking-and-infringement-the-cjeu-decides-sort-of/&gt;. Accessed 15 Aug 2018</w:t>
      </w:r>
    </w:p>
    <w:p w14:paraId="0863BC82" w14:textId="77777777" w:rsidR="00B515C6" w:rsidRPr="0029323C" w:rsidRDefault="00B515C6" w:rsidP="00B515C6">
      <w:pPr>
        <w:ind w:left="851" w:hanging="851"/>
        <w:jc w:val="both"/>
        <w:rPr>
          <w:rFonts w:ascii="Garamond" w:hAnsi="Garamond"/>
          <w:sz w:val="22"/>
          <w:szCs w:val="22"/>
          <w:lang w:val="en-GB"/>
        </w:rPr>
      </w:pPr>
    </w:p>
    <w:p w14:paraId="754386EA" w14:textId="77777777" w:rsidR="00B515C6" w:rsidRPr="0029323C" w:rsidRDefault="00B515C6" w:rsidP="00B515C6">
      <w:pPr>
        <w:ind w:left="851" w:hanging="851"/>
        <w:jc w:val="both"/>
        <w:rPr>
          <w:rFonts w:ascii="Garamond" w:hAnsi="Garamond"/>
          <w:sz w:val="22"/>
          <w:szCs w:val="22"/>
          <w:lang w:val="en-GB"/>
        </w:rPr>
      </w:pPr>
      <w:r w:rsidRPr="0029323C">
        <w:rPr>
          <w:rFonts w:ascii="Garamond" w:hAnsi="Garamond"/>
          <w:sz w:val="22"/>
          <w:szCs w:val="22"/>
          <w:lang w:val="en-GB"/>
        </w:rPr>
        <w:t>Ginsburg JC, Budiardjo LA (2018) Liability for providing hyperlinks to copyright-infringing content: international and comparative law perspectives Colum JL &amp; Arts 41:153</w:t>
      </w:r>
    </w:p>
    <w:p w14:paraId="3A9BA7FC" w14:textId="77777777" w:rsidR="00B515C6" w:rsidRPr="0029323C" w:rsidRDefault="00B515C6" w:rsidP="00B515C6">
      <w:pPr>
        <w:ind w:left="851" w:hanging="851"/>
        <w:jc w:val="both"/>
        <w:rPr>
          <w:rFonts w:ascii="Garamond" w:hAnsi="Garamond"/>
          <w:sz w:val="22"/>
          <w:szCs w:val="22"/>
          <w:lang w:val="en-GB"/>
        </w:rPr>
      </w:pPr>
    </w:p>
    <w:p w14:paraId="00883476" w14:textId="77777777" w:rsidR="00B515C6" w:rsidRPr="0029323C" w:rsidRDefault="00B515C6" w:rsidP="00B515C6">
      <w:pPr>
        <w:ind w:left="851" w:hanging="851"/>
        <w:jc w:val="both"/>
        <w:rPr>
          <w:rFonts w:ascii="Garamond" w:hAnsi="Garamond"/>
          <w:sz w:val="22"/>
          <w:szCs w:val="22"/>
          <w:lang w:val="en-GB"/>
        </w:rPr>
      </w:pPr>
      <w:r w:rsidRPr="0029323C">
        <w:rPr>
          <w:rFonts w:ascii="Garamond" w:hAnsi="Garamond"/>
          <w:sz w:val="22"/>
          <w:szCs w:val="22"/>
          <w:lang w:val="en-GB"/>
        </w:rPr>
        <w:t xml:space="preserve">Hugenholtz PB, Van Velze SC (2016) </w:t>
      </w:r>
      <w:r w:rsidRPr="0029323C">
        <w:rPr>
          <w:rFonts w:ascii="Garamond" w:hAnsi="Garamond"/>
          <w:bCs/>
          <w:sz w:val="22"/>
          <w:szCs w:val="22"/>
          <w:lang w:val="en-GB"/>
        </w:rPr>
        <w:t>Communication to a new public? Three reasons why EU copyright law can do without a "new public"’</w:t>
      </w:r>
      <w:r w:rsidRPr="0029323C">
        <w:rPr>
          <w:rFonts w:ascii="Garamond" w:hAnsi="Garamond"/>
          <w:sz w:val="22"/>
          <w:szCs w:val="22"/>
          <w:lang w:val="en-GB"/>
        </w:rPr>
        <w:t xml:space="preserve"> IIC 47(7):797</w:t>
      </w:r>
    </w:p>
    <w:p w14:paraId="0451320B" w14:textId="77777777" w:rsidR="00B515C6" w:rsidRPr="0029323C" w:rsidRDefault="00B515C6" w:rsidP="00B515C6">
      <w:pPr>
        <w:ind w:left="851" w:hanging="851"/>
        <w:jc w:val="both"/>
        <w:rPr>
          <w:rFonts w:ascii="Garamond" w:hAnsi="Garamond"/>
          <w:sz w:val="22"/>
          <w:szCs w:val="22"/>
          <w:lang w:val="en-GB"/>
        </w:rPr>
      </w:pPr>
    </w:p>
    <w:p w14:paraId="39F972B1" w14:textId="77777777" w:rsidR="00B515C6" w:rsidRPr="0029323C" w:rsidRDefault="00B515C6" w:rsidP="00B515C6">
      <w:pPr>
        <w:ind w:left="851" w:hanging="851"/>
        <w:jc w:val="both"/>
        <w:rPr>
          <w:rFonts w:ascii="Garamond" w:hAnsi="Garamond"/>
          <w:sz w:val="22"/>
          <w:szCs w:val="22"/>
          <w:lang w:val="en-GB"/>
        </w:rPr>
      </w:pPr>
      <w:r w:rsidRPr="0029323C">
        <w:rPr>
          <w:rFonts w:ascii="Garamond" w:hAnsi="Garamond"/>
          <w:sz w:val="22"/>
          <w:szCs w:val="22"/>
          <w:lang w:val="en-GB"/>
        </w:rPr>
        <w:t xml:space="preserve">Karapapa S (2017) </w:t>
      </w:r>
      <w:r w:rsidRPr="0029323C">
        <w:rPr>
          <w:rFonts w:ascii="Garamond" w:hAnsi="Garamond"/>
          <w:bCs/>
          <w:sz w:val="22"/>
          <w:szCs w:val="22"/>
          <w:lang w:val="en-GB"/>
        </w:rPr>
        <w:t xml:space="preserve">The requirement for a "new public" in EU copyright law </w:t>
      </w:r>
      <w:r w:rsidRPr="0029323C">
        <w:rPr>
          <w:rFonts w:ascii="Garamond" w:hAnsi="Garamond"/>
          <w:sz w:val="22"/>
          <w:szCs w:val="22"/>
          <w:lang w:val="en-GB"/>
        </w:rPr>
        <w:t>EL Rev 42(1):63</w:t>
      </w:r>
    </w:p>
    <w:p w14:paraId="31B1B319" w14:textId="77777777" w:rsidR="00B515C6" w:rsidRPr="0029323C" w:rsidRDefault="00B515C6" w:rsidP="00B515C6">
      <w:pPr>
        <w:ind w:left="851" w:hanging="851"/>
        <w:jc w:val="both"/>
        <w:rPr>
          <w:rFonts w:ascii="Garamond" w:hAnsi="Garamond" w:cs="Times New Roman"/>
          <w:sz w:val="22"/>
          <w:szCs w:val="22"/>
          <w:lang w:val="en-GB"/>
        </w:rPr>
      </w:pPr>
    </w:p>
    <w:p w14:paraId="0930828E" w14:textId="77777777" w:rsidR="00B515C6" w:rsidRPr="0029323C" w:rsidRDefault="00B515C6" w:rsidP="00B515C6">
      <w:pPr>
        <w:ind w:left="851" w:hanging="851"/>
        <w:jc w:val="both"/>
        <w:rPr>
          <w:rFonts w:ascii="Garamond" w:hAnsi="Garamond" w:cs="Times New Roman"/>
          <w:sz w:val="22"/>
          <w:szCs w:val="22"/>
          <w:lang w:val="en-GB"/>
        </w:rPr>
      </w:pPr>
      <w:r w:rsidRPr="0029323C">
        <w:rPr>
          <w:rFonts w:ascii="Garamond" w:hAnsi="Garamond" w:cs="Times New Roman"/>
          <w:sz w:val="22"/>
          <w:szCs w:val="22"/>
          <w:lang w:val="en-GB"/>
        </w:rPr>
        <w:t>Koo J (2018) Away we Ziggo: the latest chapter in the EU communication to the public story (2018) JIPLP 13(7):542</w:t>
      </w:r>
    </w:p>
    <w:p w14:paraId="250D251B" w14:textId="77777777" w:rsidR="00B515C6" w:rsidRPr="0029323C" w:rsidRDefault="00B515C6" w:rsidP="00B515C6">
      <w:pPr>
        <w:ind w:left="851" w:hanging="851"/>
        <w:jc w:val="both"/>
        <w:rPr>
          <w:rFonts w:ascii="Garamond" w:hAnsi="Garamond" w:cs="Times New Roman"/>
          <w:sz w:val="22"/>
          <w:szCs w:val="22"/>
          <w:lang w:val="en-GB"/>
        </w:rPr>
      </w:pPr>
    </w:p>
    <w:p w14:paraId="04553409" w14:textId="77777777" w:rsidR="00B515C6" w:rsidRPr="0029323C" w:rsidRDefault="00B515C6" w:rsidP="00B515C6">
      <w:pPr>
        <w:ind w:left="851" w:hanging="851"/>
        <w:jc w:val="both"/>
        <w:rPr>
          <w:rFonts w:ascii="Garamond" w:hAnsi="Garamond"/>
          <w:sz w:val="22"/>
          <w:szCs w:val="22"/>
          <w:lang w:val="en-GB"/>
        </w:rPr>
      </w:pPr>
      <w:r w:rsidRPr="0029323C">
        <w:rPr>
          <w:rFonts w:ascii="Garamond" w:hAnsi="Garamond"/>
          <w:sz w:val="22"/>
          <w:szCs w:val="22"/>
          <w:lang w:val="en-GB"/>
        </w:rPr>
        <w:t>Leistner M (2015) Copyright at the interface between EU law and national law: definition of “work” and “right of communication to the public” JIPLP 10(8):626</w:t>
      </w:r>
    </w:p>
    <w:p w14:paraId="53B9EBB9" w14:textId="77777777" w:rsidR="00B515C6" w:rsidRPr="0029323C" w:rsidRDefault="00B515C6" w:rsidP="00B515C6">
      <w:pPr>
        <w:ind w:left="851" w:hanging="851"/>
        <w:jc w:val="both"/>
        <w:rPr>
          <w:rFonts w:ascii="Garamond" w:eastAsia="Times New Roman" w:hAnsi="Garamond" w:cs="Times New Roman"/>
          <w:bCs/>
          <w:sz w:val="22"/>
          <w:szCs w:val="22"/>
          <w:shd w:val="clear" w:color="auto" w:fill="FFFFFF"/>
          <w:lang w:val="en-GB"/>
        </w:rPr>
      </w:pPr>
    </w:p>
    <w:p w14:paraId="1E9509BA" w14:textId="77777777" w:rsidR="00B515C6" w:rsidRPr="0029323C" w:rsidRDefault="00B515C6" w:rsidP="00B515C6">
      <w:pPr>
        <w:ind w:left="851" w:hanging="851"/>
        <w:jc w:val="both"/>
        <w:rPr>
          <w:rFonts w:ascii="Garamond" w:hAnsi="Garamond"/>
          <w:sz w:val="22"/>
          <w:szCs w:val="22"/>
          <w:lang w:val="en-GB"/>
        </w:rPr>
      </w:pPr>
      <w:r w:rsidRPr="0029323C">
        <w:rPr>
          <w:rFonts w:ascii="Garamond" w:hAnsi="Garamond"/>
          <w:sz w:val="22"/>
          <w:szCs w:val="22"/>
          <w:lang w:val="en-GB"/>
        </w:rPr>
        <w:t>--- Copyright law on the internet in need of reform: hyperlinks, online platforms and aggregators JIPLP 12(2):136</w:t>
      </w:r>
    </w:p>
    <w:p w14:paraId="56A2DF2A" w14:textId="77777777" w:rsidR="00B515C6" w:rsidRPr="0029323C" w:rsidRDefault="00B515C6" w:rsidP="00B515C6">
      <w:pPr>
        <w:ind w:left="851" w:hanging="851"/>
        <w:jc w:val="both"/>
        <w:rPr>
          <w:rFonts w:ascii="Garamond" w:hAnsi="Garamond"/>
          <w:sz w:val="22"/>
          <w:szCs w:val="22"/>
          <w:lang w:val="en-GB"/>
        </w:rPr>
      </w:pPr>
    </w:p>
    <w:p w14:paraId="415829BF" w14:textId="77777777" w:rsidR="00B515C6" w:rsidRPr="0029323C" w:rsidRDefault="00B515C6" w:rsidP="00B515C6">
      <w:pPr>
        <w:ind w:left="851" w:hanging="851"/>
        <w:jc w:val="both"/>
        <w:rPr>
          <w:rFonts w:ascii="Garamond" w:hAnsi="Garamond"/>
          <w:bCs/>
          <w:sz w:val="22"/>
          <w:szCs w:val="22"/>
          <w:lang w:val="en-GB"/>
        </w:rPr>
      </w:pPr>
      <w:r w:rsidRPr="0029323C">
        <w:rPr>
          <w:rFonts w:ascii="Garamond" w:hAnsi="Garamond"/>
          <w:sz w:val="22"/>
          <w:szCs w:val="22"/>
          <w:lang w:val="en-GB"/>
        </w:rPr>
        <w:t xml:space="preserve">Malovic N, Haddad P (2017) </w:t>
      </w:r>
      <w:r w:rsidRPr="0029323C">
        <w:rPr>
          <w:rFonts w:ascii="Garamond" w:hAnsi="Garamond"/>
          <w:bCs/>
          <w:sz w:val="22"/>
          <w:szCs w:val="22"/>
          <w:lang w:val="en-GB"/>
        </w:rPr>
        <w:t>Swedish court finds that an embedded link to unlicensed content infringes copyright JIPLP 12(2):89</w:t>
      </w:r>
    </w:p>
    <w:p w14:paraId="6E4655E8" w14:textId="77777777" w:rsidR="00B515C6" w:rsidRPr="0029323C" w:rsidRDefault="00B515C6" w:rsidP="00B515C6">
      <w:pPr>
        <w:ind w:left="851" w:hanging="851"/>
        <w:jc w:val="both"/>
        <w:rPr>
          <w:rFonts w:ascii="Garamond" w:hAnsi="Garamond"/>
          <w:bCs/>
          <w:sz w:val="22"/>
          <w:szCs w:val="22"/>
          <w:lang w:val="en-GB"/>
        </w:rPr>
      </w:pPr>
    </w:p>
    <w:p w14:paraId="1B5A971A" w14:textId="77777777" w:rsidR="00B515C6" w:rsidRPr="0029323C" w:rsidRDefault="00B515C6" w:rsidP="00B515C6">
      <w:pPr>
        <w:ind w:left="851" w:hanging="851"/>
        <w:jc w:val="both"/>
        <w:rPr>
          <w:rFonts w:ascii="Garamond" w:eastAsia="Times New Roman" w:hAnsi="Garamond" w:cs="Times New Roman"/>
          <w:bCs/>
          <w:sz w:val="22"/>
          <w:szCs w:val="22"/>
          <w:shd w:val="clear" w:color="auto" w:fill="FFFFFF"/>
          <w:lang w:val="en-GB"/>
        </w:rPr>
      </w:pPr>
      <w:r w:rsidRPr="0029323C">
        <w:rPr>
          <w:rFonts w:ascii="Garamond" w:eastAsia="Times New Roman" w:hAnsi="Garamond" w:cs="Times New Roman"/>
          <w:bCs/>
          <w:sz w:val="22"/>
          <w:szCs w:val="22"/>
          <w:shd w:val="clear" w:color="auto" w:fill="FFFFFF"/>
          <w:lang w:val="en-GB"/>
        </w:rPr>
        <w:t xml:space="preserve">McBride P (2017) The "new public" criterion after </w:t>
      </w:r>
      <w:r w:rsidRPr="0029323C">
        <w:rPr>
          <w:rFonts w:ascii="Garamond" w:eastAsia="Times New Roman" w:hAnsi="Garamond" w:cs="Times New Roman"/>
          <w:bCs/>
          <w:i/>
          <w:sz w:val="22"/>
          <w:szCs w:val="22"/>
          <w:shd w:val="clear" w:color="auto" w:fill="FFFFFF"/>
          <w:lang w:val="en-GB"/>
        </w:rPr>
        <w:t>Svensson</w:t>
      </w:r>
      <w:r w:rsidRPr="0029323C">
        <w:rPr>
          <w:rFonts w:ascii="Garamond" w:eastAsia="Times New Roman" w:hAnsi="Garamond" w:cs="Times New Roman"/>
          <w:bCs/>
          <w:sz w:val="22"/>
          <w:szCs w:val="22"/>
          <w:shd w:val="clear" w:color="auto" w:fill="FFFFFF"/>
          <w:lang w:val="en-GB"/>
        </w:rPr>
        <w:t>: the (ir)relevance of website terms and conditions IPQ 3:262</w:t>
      </w:r>
    </w:p>
    <w:p w14:paraId="7D63709F" w14:textId="77777777" w:rsidR="00B515C6" w:rsidRPr="0029323C" w:rsidRDefault="00B515C6" w:rsidP="00B515C6">
      <w:pPr>
        <w:ind w:left="851" w:hanging="851"/>
        <w:jc w:val="both"/>
        <w:rPr>
          <w:rFonts w:ascii="Garamond" w:hAnsi="Garamond" w:cs="Times New Roman"/>
          <w:sz w:val="22"/>
          <w:szCs w:val="22"/>
          <w:lang w:val="en-GB"/>
        </w:rPr>
      </w:pPr>
    </w:p>
    <w:p w14:paraId="6AE47C18" w14:textId="77777777" w:rsidR="00B515C6" w:rsidRPr="0029323C" w:rsidRDefault="00B515C6" w:rsidP="00B515C6">
      <w:pPr>
        <w:ind w:left="851" w:hanging="851"/>
        <w:jc w:val="both"/>
        <w:rPr>
          <w:rFonts w:ascii="Garamond" w:eastAsia="Times New Roman" w:hAnsi="Garamond" w:cs="Times New Roman"/>
          <w:sz w:val="22"/>
          <w:szCs w:val="22"/>
          <w:shd w:val="clear" w:color="auto" w:fill="FFFFFF"/>
          <w:lang w:val="en-GB"/>
        </w:rPr>
      </w:pPr>
      <w:r w:rsidRPr="0029323C">
        <w:rPr>
          <w:rFonts w:ascii="Garamond" w:eastAsia="Times New Roman" w:hAnsi="Garamond" w:cs="Times New Roman"/>
          <w:sz w:val="22"/>
          <w:szCs w:val="22"/>
          <w:shd w:val="clear" w:color="auto" w:fill="FFFFFF"/>
          <w:lang w:val="en-GB"/>
        </w:rPr>
        <w:t xml:space="preserve">Mysoor P (2013) </w:t>
      </w:r>
      <w:r w:rsidRPr="0029323C">
        <w:rPr>
          <w:rFonts w:ascii="Garamond" w:eastAsia="Times New Roman" w:hAnsi="Garamond" w:cs="Times New Roman"/>
          <w:bCs/>
          <w:sz w:val="22"/>
          <w:szCs w:val="22"/>
          <w:shd w:val="clear" w:color="auto" w:fill="FFFFFF"/>
          <w:lang w:val="en-GB"/>
        </w:rPr>
        <w:t>Unpacking the right of communication to the public: a closer look at international and EU copyright law</w:t>
      </w:r>
      <w:r w:rsidRPr="0029323C">
        <w:rPr>
          <w:rFonts w:ascii="Garamond" w:eastAsia="Times New Roman" w:hAnsi="Garamond" w:cs="Times New Roman"/>
          <w:sz w:val="22"/>
          <w:szCs w:val="22"/>
          <w:shd w:val="clear" w:color="auto" w:fill="FFFFFF"/>
          <w:lang w:val="en-GB"/>
        </w:rPr>
        <w:t xml:space="preserve"> IPQ 2:166</w:t>
      </w:r>
    </w:p>
    <w:p w14:paraId="5A799A21" w14:textId="77777777" w:rsidR="00B515C6" w:rsidRPr="0029323C" w:rsidRDefault="00B515C6" w:rsidP="00B515C6">
      <w:pPr>
        <w:ind w:left="851" w:hanging="851"/>
        <w:jc w:val="both"/>
        <w:rPr>
          <w:rFonts w:ascii="Garamond" w:eastAsia="Times New Roman" w:hAnsi="Garamond" w:cs="Times New Roman"/>
          <w:sz w:val="22"/>
          <w:szCs w:val="22"/>
          <w:shd w:val="clear" w:color="auto" w:fill="FFFFFF"/>
          <w:lang w:val="en-GB"/>
        </w:rPr>
      </w:pPr>
    </w:p>
    <w:p w14:paraId="061AD61C" w14:textId="77777777" w:rsidR="00B515C6" w:rsidRPr="0029323C" w:rsidRDefault="00B515C6" w:rsidP="00B515C6">
      <w:pPr>
        <w:ind w:left="851" w:hanging="851"/>
        <w:jc w:val="both"/>
        <w:rPr>
          <w:rFonts w:ascii="Garamond" w:hAnsi="Garamond" w:cs="Times New Roman"/>
          <w:sz w:val="22"/>
          <w:szCs w:val="22"/>
          <w:lang w:val="en-GB"/>
        </w:rPr>
      </w:pPr>
      <w:r w:rsidRPr="0029323C">
        <w:rPr>
          <w:rFonts w:ascii="Garamond" w:hAnsi="Garamond" w:cs="Times New Roman"/>
          <w:sz w:val="22"/>
          <w:szCs w:val="22"/>
          <w:lang w:val="en-GB"/>
        </w:rPr>
        <w:t xml:space="preserve">Rendas T (2017) How Playboy photos compromised EU copyright law: the </w:t>
      </w:r>
      <w:r w:rsidRPr="0029323C">
        <w:rPr>
          <w:rFonts w:ascii="Garamond" w:hAnsi="Garamond" w:cs="Times New Roman"/>
          <w:i/>
          <w:sz w:val="22"/>
          <w:szCs w:val="22"/>
          <w:lang w:val="en-GB"/>
        </w:rPr>
        <w:t>GS Media</w:t>
      </w:r>
      <w:r w:rsidRPr="0029323C">
        <w:rPr>
          <w:rFonts w:ascii="Garamond" w:hAnsi="Garamond" w:cs="Times New Roman"/>
          <w:sz w:val="22"/>
          <w:szCs w:val="22"/>
          <w:lang w:val="en-GB"/>
        </w:rPr>
        <w:t xml:space="preserve"> judgment J Internet L:11</w:t>
      </w:r>
    </w:p>
    <w:p w14:paraId="4E9495C9" w14:textId="77777777" w:rsidR="00B515C6" w:rsidRPr="0029323C" w:rsidRDefault="00B515C6" w:rsidP="00B515C6">
      <w:pPr>
        <w:ind w:left="851" w:hanging="851"/>
        <w:jc w:val="both"/>
        <w:rPr>
          <w:rFonts w:ascii="Garamond" w:hAnsi="Garamond" w:cs="Times New Roman"/>
          <w:sz w:val="22"/>
          <w:szCs w:val="22"/>
          <w:lang w:val="en-GB"/>
        </w:rPr>
      </w:pPr>
    </w:p>
    <w:p w14:paraId="354320E7" w14:textId="03EF8EEF" w:rsidR="00B515C6" w:rsidRPr="0029323C" w:rsidRDefault="00B515C6" w:rsidP="00B515C6">
      <w:pPr>
        <w:ind w:left="851" w:hanging="851"/>
        <w:jc w:val="both"/>
        <w:rPr>
          <w:rFonts w:ascii="Garamond" w:hAnsi="Garamond" w:cs="Times New Roman"/>
          <w:sz w:val="22"/>
          <w:szCs w:val="22"/>
          <w:lang w:val="en-GB"/>
        </w:rPr>
      </w:pPr>
      <w:r w:rsidRPr="0029323C">
        <w:rPr>
          <w:rFonts w:ascii="Garamond" w:hAnsi="Garamond" w:cs="Times New Roman"/>
          <w:sz w:val="22"/>
          <w:szCs w:val="22"/>
          <w:lang w:val="en-GB"/>
        </w:rPr>
        <w:t>Rosati E (2017</w:t>
      </w:r>
      <w:r w:rsidR="00C0113C">
        <w:rPr>
          <w:rFonts w:ascii="Garamond" w:hAnsi="Garamond" w:cs="Times New Roman"/>
          <w:sz w:val="22"/>
          <w:szCs w:val="22"/>
          <w:lang w:val="en-GB"/>
        </w:rPr>
        <w:t>a</w:t>
      </w:r>
      <w:r w:rsidRPr="0029323C">
        <w:rPr>
          <w:rFonts w:ascii="Garamond" w:hAnsi="Garamond" w:cs="Times New Roman"/>
          <w:sz w:val="22"/>
          <w:szCs w:val="22"/>
          <w:lang w:val="en-GB"/>
        </w:rPr>
        <w:t xml:space="preserve">) </w:t>
      </w:r>
      <w:r w:rsidRPr="0029323C">
        <w:rPr>
          <w:rFonts w:ascii="Garamond" w:hAnsi="Garamond" w:cs="Times New Roman"/>
          <w:i/>
          <w:sz w:val="22"/>
          <w:szCs w:val="22"/>
          <w:lang w:val="en-GB"/>
        </w:rPr>
        <w:t>GS Media</w:t>
      </w:r>
      <w:r w:rsidRPr="0029323C">
        <w:rPr>
          <w:rFonts w:ascii="Garamond" w:hAnsi="Garamond" w:cs="Times New Roman"/>
          <w:sz w:val="22"/>
          <w:szCs w:val="22"/>
          <w:lang w:val="en-GB"/>
        </w:rPr>
        <w:t xml:space="preserve"> and its implications for the construction of the right of communication to the public within EU copyright architecture CML Rev 54(4):1221</w:t>
      </w:r>
    </w:p>
    <w:p w14:paraId="6B52126F" w14:textId="77777777" w:rsidR="00B515C6" w:rsidRPr="0029323C" w:rsidRDefault="00B515C6" w:rsidP="00B515C6">
      <w:pPr>
        <w:ind w:left="851" w:hanging="851"/>
        <w:jc w:val="both"/>
        <w:rPr>
          <w:rFonts w:ascii="Garamond" w:hAnsi="Garamond" w:cs="Times New Roman"/>
          <w:sz w:val="22"/>
          <w:szCs w:val="22"/>
          <w:lang w:val="en-GB"/>
        </w:rPr>
      </w:pPr>
    </w:p>
    <w:p w14:paraId="469A2855" w14:textId="77777777" w:rsidR="00B515C6" w:rsidRPr="0029323C" w:rsidRDefault="00B515C6" w:rsidP="00B515C6">
      <w:pPr>
        <w:ind w:left="851" w:hanging="851"/>
        <w:jc w:val="both"/>
        <w:rPr>
          <w:rFonts w:ascii="Garamond" w:hAnsi="Garamond"/>
          <w:sz w:val="22"/>
          <w:szCs w:val="22"/>
          <w:lang w:val="en-GB"/>
        </w:rPr>
      </w:pPr>
      <w:r w:rsidRPr="0029323C">
        <w:rPr>
          <w:rFonts w:ascii="Garamond" w:hAnsi="Garamond"/>
          <w:sz w:val="22"/>
          <w:szCs w:val="22"/>
          <w:lang w:val="en-GB"/>
        </w:rPr>
        <w:t xml:space="preserve">--- (2016) Linking after </w:t>
      </w:r>
      <w:r w:rsidRPr="0029323C">
        <w:rPr>
          <w:rFonts w:ascii="Garamond" w:hAnsi="Garamond"/>
          <w:i/>
          <w:sz w:val="22"/>
          <w:szCs w:val="22"/>
          <w:lang w:val="en-GB"/>
        </w:rPr>
        <w:t>GS Media</w:t>
      </w:r>
      <w:r w:rsidRPr="0029323C">
        <w:rPr>
          <w:rFonts w:ascii="Garamond" w:hAnsi="Garamond"/>
          <w:sz w:val="22"/>
          <w:szCs w:val="22"/>
          <w:lang w:val="en-GB"/>
        </w:rPr>
        <w:t xml:space="preserve"> … in a table. In: The IPKat. Available at &lt;http://ipkitten.blogspot.com/2016/09/linking-after-gs-media-in-table.html&gt;. Accessed 15 Aug 2018</w:t>
      </w:r>
    </w:p>
    <w:p w14:paraId="230A1009" w14:textId="77777777" w:rsidR="00B515C6" w:rsidRPr="0029323C" w:rsidRDefault="00B515C6" w:rsidP="00B515C6">
      <w:pPr>
        <w:ind w:left="851" w:hanging="851"/>
        <w:jc w:val="both"/>
        <w:rPr>
          <w:rFonts w:ascii="Garamond" w:hAnsi="Garamond" w:cs="Times New Roman"/>
          <w:sz w:val="22"/>
          <w:szCs w:val="22"/>
          <w:lang w:val="en-GB"/>
        </w:rPr>
      </w:pPr>
    </w:p>
    <w:p w14:paraId="5415E3DD" w14:textId="184B09E5" w:rsidR="00B515C6" w:rsidRPr="0029323C" w:rsidRDefault="00B515C6" w:rsidP="00B515C6">
      <w:pPr>
        <w:ind w:left="851" w:hanging="851"/>
        <w:jc w:val="both"/>
        <w:rPr>
          <w:rFonts w:ascii="Garamond" w:eastAsia="Times New Roman" w:hAnsi="Garamond"/>
          <w:sz w:val="22"/>
          <w:szCs w:val="22"/>
          <w:lang w:val="en-GB"/>
        </w:rPr>
      </w:pPr>
      <w:r w:rsidRPr="0029323C">
        <w:rPr>
          <w:rFonts w:ascii="Garamond" w:hAnsi="Garamond" w:cs="Times New Roman"/>
          <w:sz w:val="22"/>
          <w:szCs w:val="22"/>
          <w:lang w:val="en-GB"/>
        </w:rPr>
        <w:t>--- (2017</w:t>
      </w:r>
      <w:r w:rsidR="00C0113C">
        <w:rPr>
          <w:rFonts w:ascii="Garamond" w:hAnsi="Garamond" w:cs="Times New Roman"/>
          <w:sz w:val="22"/>
          <w:szCs w:val="22"/>
          <w:lang w:val="en-GB"/>
        </w:rPr>
        <w:t>b</w:t>
      </w:r>
      <w:r w:rsidRPr="0029323C">
        <w:rPr>
          <w:rFonts w:ascii="Garamond" w:hAnsi="Garamond" w:cs="Times New Roman"/>
          <w:sz w:val="22"/>
          <w:szCs w:val="22"/>
          <w:lang w:val="en-GB"/>
        </w:rPr>
        <w:t xml:space="preserve">) </w:t>
      </w:r>
      <w:r w:rsidRPr="0029323C">
        <w:rPr>
          <w:rFonts w:ascii="Garamond" w:eastAsia="Times New Roman" w:hAnsi="Garamond"/>
          <w:sz w:val="22"/>
          <w:szCs w:val="22"/>
          <w:bdr w:val="none" w:sz="0" w:space="0" w:color="auto" w:frame="1"/>
          <w:lang w:val="en-GB"/>
        </w:rPr>
        <w:t>The CJEU </w:t>
      </w:r>
      <w:r w:rsidRPr="0029323C">
        <w:rPr>
          <w:rStyle w:val="Emphasis"/>
          <w:rFonts w:ascii="Garamond" w:eastAsia="Times New Roman" w:hAnsi="Garamond"/>
          <w:sz w:val="22"/>
          <w:szCs w:val="22"/>
          <w:bdr w:val="none" w:sz="0" w:space="0" w:color="auto" w:frame="1"/>
          <w:lang w:val="en-GB"/>
        </w:rPr>
        <w:t>Pirate Bay</w:t>
      </w:r>
      <w:r w:rsidRPr="0029323C">
        <w:rPr>
          <w:rFonts w:ascii="Garamond" w:eastAsia="Times New Roman" w:hAnsi="Garamond"/>
          <w:sz w:val="22"/>
          <w:szCs w:val="22"/>
          <w:bdr w:val="none" w:sz="0" w:space="0" w:color="auto" w:frame="1"/>
          <w:lang w:val="en-GB"/>
        </w:rPr>
        <w:t> judgment and its impact on the liability of online platforms</w:t>
      </w:r>
      <w:r w:rsidRPr="0029323C">
        <w:rPr>
          <w:rFonts w:ascii="Garamond" w:eastAsia="Times New Roman" w:hAnsi="Garamond"/>
          <w:sz w:val="22"/>
          <w:szCs w:val="22"/>
          <w:lang w:val="en-GB"/>
        </w:rPr>
        <w:t> </w:t>
      </w:r>
      <w:r w:rsidRPr="0029323C">
        <w:rPr>
          <w:rStyle w:val="Emphasis"/>
          <w:rFonts w:ascii="Garamond" w:eastAsia="Times New Roman" w:hAnsi="Garamond"/>
          <w:i w:val="0"/>
          <w:sz w:val="22"/>
          <w:szCs w:val="22"/>
          <w:bdr w:val="none" w:sz="0" w:space="0" w:color="auto" w:frame="1"/>
          <w:lang w:val="en-GB"/>
        </w:rPr>
        <w:t>EIPR 39(12):</w:t>
      </w:r>
      <w:r w:rsidRPr="0029323C">
        <w:rPr>
          <w:rFonts w:ascii="Garamond" w:eastAsia="Times New Roman" w:hAnsi="Garamond"/>
          <w:sz w:val="22"/>
          <w:szCs w:val="22"/>
          <w:lang w:val="en-GB"/>
        </w:rPr>
        <w:t>737</w:t>
      </w:r>
    </w:p>
    <w:p w14:paraId="66D370C5" w14:textId="77777777" w:rsidR="00B515C6" w:rsidRPr="0029323C" w:rsidRDefault="00B515C6" w:rsidP="00B515C6">
      <w:pPr>
        <w:ind w:left="851" w:hanging="851"/>
        <w:jc w:val="both"/>
        <w:rPr>
          <w:rFonts w:ascii="Garamond" w:eastAsia="Times New Roman" w:hAnsi="Garamond"/>
          <w:sz w:val="22"/>
          <w:szCs w:val="22"/>
          <w:lang w:val="en-GB"/>
        </w:rPr>
      </w:pPr>
    </w:p>
    <w:p w14:paraId="589A2D73" w14:textId="77777777" w:rsidR="00B515C6" w:rsidRPr="0029323C" w:rsidRDefault="00B515C6" w:rsidP="00B515C6">
      <w:pPr>
        <w:ind w:left="851" w:hanging="851"/>
        <w:jc w:val="both"/>
        <w:rPr>
          <w:rFonts w:ascii="Garamond" w:hAnsi="Garamond"/>
          <w:sz w:val="22"/>
          <w:szCs w:val="22"/>
          <w:lang w:val="en-GB"/>
        </w:rPr>
      </w:pPr>
      <w:r w:rsidRPr="0029323C">
        <w:rPr>
          <w:rFonts w:ascii="Garamond" w:hAnsi="Garamond"/>
          <w:sz w:val="22"/>
          <w:szCs w:val="22"/>
          <w:lang w:val="en-GB"/>
        </w:rPr>
        <w:t>Rosén J (2016) How much communication to the public is ‘communication to the public’?. In: Stamatoudi IA (ed), New developments in EU and international copyright law. Wolters Kluwer, Alphen aan den Rijn</w:t>
      </w:r>
    </w:p>
    <w:p w14:paraId="2DCE8698" w14:textId="77777777" w:rsidR="00B515C6" w:rsidRPr="0029323C" w:rsidRDefault="00B515C6" w:rsidP="00B515C6">
      <w:pPr>
        <w:ind w:left="851" w:hanging="851"/>
        <w:jc w:val="both"/>
        <w:rPr>
          <w:rFonts w:ascii="Garamond" w:hAnsi="Garamond"/>
          <w:sz w:val="22"/>
          <w:szCs w:val="22"/>
          <w:lang w:val="en-GB"/>
        </w:rPr>
      </w:pPr>
    </w:p>
    <w:p w14:paraId="670E4BAF" w14:textId="77777777" w:rsidR="00B515C6" w:rsidRPr="0029323C" w:rsidRDefault="00B515C6" w:rsidP="00B515C6">
      <w:pPr>
        <w:ind w:left="851" w:hanging="851"/>
        <w:jc w:val="both"/>
        <w:rPr>
          <w:rFonts w:ascii="Garamond" w:hAnsi="Garamond"/>
          <w:sz w:val="22"/>
          <w:szCs w:val="22"/>
          <w:lang w:val="en-GB"/>
        </w:rPr>
      </w:pPr>
      <w:r w:rsidRPr="0029323C">
        <w:rPr>
          <w:rFonts w:ascii="Garamond" w:hAnsi="Garamond"/>
          <w:sz w:val="22"/>
          <w:szCs w:val="22"/>
          <w:lang w:val="en-GB"/>
        </w:rPr>
        <w:t xml:space="preserve">Synodinou TE (2017) </w:t>
      </w:r>
      <w:r w:rsidRPr="0029323C">
        <w:rPr>
          <w:rFonts w:ascii="Garamond" w:hAnsi="Garamond"/>
          <w:bCs/>
          <w:sz w:val="22"/>
          <w:szCs w:val="22"/>
          <w:lang w:val="en-GB"/>
        </w:rPr>
        <w:t xml:space="preserve">Decoding the Kodi box: to link or not to link? </w:t>
      </w:r>
      <w:r w:rsidRPr="0029323C">
        <w:rPr>
          <w:rFonts w:ascii="Garamond" w:hAnsi="Garamond"/>
          <w:sz w:val="22"/>
          <w:szCs w:val="22"/>
          <w:lang w:val="en-GB"/>
        </w:rPr>
        <w:t>EIPR 39(12):733</w:t>
      </w:r>
    </w:p>
    <w:p w14:paraId="2A7A69F1" w14:textId="77777777" w:rsidR="00B515C6" w:rsidRPr="0029323C" w:rsidRDefault="00B515C6" w:rsidP="00B515C6">
      <w:pPr>
        <w:ind w:left="851" w:hanging="851"/>
        <w:jc w:val="both"/>
        <w:rPr>
          <w:rFonts w:ascii="Garamond" w:hAnsi="Garamond"/>
          <w:sz w:val="22"/>
          <w:szCs w:val="22"/>
          <w:lang w:val="en-GB"/>
        </w:rPr>
      </w:pPr>
    </w:p>
    <w:p w14:paraId="353F1593" w14:textId="77777777" w:rsidR="00B515C6" w:rsidRPr="0029323C" w:rsidRDefault="00B515C6" w:rsidP="00B515C6">
      <w:pPr>
        <w:ind w:left="851" w:hanging="851"/>
        <w:jc w:val="both"/>
        <w:rPr>
          <w:rFonts w:ascii="Garamond" w:eastAsia="Times New Roman" w:hAnsi="Garamond" w:cs="Times New Roman"/>
          <w:sz w:val="22"/>
          <w:szCs w:val="22"/>
          <w:lang w:val="en-GB"/>
        </w:rPr>
      </w:pPr>
      <w:r w:rsidRPr="0029323C">
        <w:rPr>
          <w:rFonts w:ascii="Garamond" w:eastAsia="Times New Roman" w:hAnsi="Garamond" w:cs="Times New Roman"/>
          <w:sz w:val="22"/>
          <w:szCs w:val="22"/>
          <w:lang w:val="en-GB"/>
        </w:rPr>
        <w:t>Vivoda J (2017) Czech court finds that linking to unlicensed content does not infringe copyright if the website is not operated for profit JIPLP 12(5):363</w:t>
      </w:r>
    </w:p>
    <w:p w14:paraId="502B65C5" w14:textId="77777777" w:rsidR="00B515C6" w:rsidRPr="0029323C" w:rsidRDefault="00B515C6" w:rsidP="00B515C6">
      <w:pPr>
        <w:ind w:left="851" w:hanging="851"/>
        <w:jc w:val="both"/>
        <w:rPr>
          <w:rFonts w:ascii="Garamond" w:hAnsi="Garamond" w:cs="Times New Roman"/>
          <w:sz w:val="22"/>
          <w:szCs w:val="22"/>
          <w:lang w:val="en-GB"/>
        </w:rPr>
      </w:pPr>
    </w:p>
    <w:p w14:paraId="2BEC0757" w14:textId="77777777" w:rsidR="00B515C6" w:rsidRPr="0029323C" w:rsidRDefault="00B515C6" w:rsidP="00B515C6">
      <w:pPr>
        <w:ind w:left="851" w:hanging="851"/>
        <w:jc w:val="both"/>
        <w:rPr>
          <w:rFonts w:ascii="Garamond" w:hAnsi="Garamond" w:cs="Times New Roman"/>
          <w:sz w:val="22"/>
          <w:szCs w:val="22"/>
          <w:lang w:val="en-GB"/>
        </w:rPr>
      </w:pPr>
      <w:r w:rsidRPr="0029323C">
        <w:rPr>
          <w:rFonts w:ascii="Garamond" w:hAnsi="Garamond" w:cs="Times New Roman"/>
          <w:sz w:val="22"/>
          <w:szCs w:val="22"/>
          <w:lang w:val="en-GB"/>
        </w:rPr>
        <w:t>Walter MM, von Lewinski S (eds) European copyright law – A commentary. OUP, Oxford</w:t>
      </w:r>
    </w:p>
    <w:p w14:paraId="18E2671B" w14:textId="77777777" w:rsidR="00B515C6" w:rsidRPr="0029323C" w:rsidRDefault="00B515C6" w:rsidP="00B515C6">
      <w:pPr>
        <w:ind w:left="851" w:hanging="851"/>
        <w:jc w:val="both"/>
        <w:rPr>
          <w:rFonts w:ascii="Garamond" w:hAnsi="Garamond" w:cs="Times New Roman"/>
          <w:sz w:val="22"/>
          <w:szCs w:val="22"/>
          <w:lang w:val="en-GB"/>
        </w:rPr>
      </w:pPr>
    </w:p>
    <w:p w14:paraId="409A29C3" w14:textId="77777777" w:rsidR="00B515C6" w:rsidRPr="0029323C" w:rsidRDefault="00B515C6" w:rsidP="00B515C6">
      <w:pPr>
        <w:ind w:left="851" w:hanging="851"/>
        <w:jc w:val="both"/>
        <w:rPr>
          <w:rFonts w:ascii="Garamond" w:hAnsi="Garamond" w:cs="Times New Roman"/>
          <w:sz w:val="22"/>
          <w:szCs w:val="22"/>
          <w:lang w:val="en-GB"/>
        </w:rPr>
      </w:pPr>
      <w:r w:rsidRPr="0029323C">
        <w:rPr>
          <w:rFonts w:ascii="Garamond" w:hAnsi="Garamond" w:cs="Times New Roman"/>
          <w:sz w:val="22"/>
          <w:szCs w:val="22"/>
          <w:lang w:val="en-GB"/>
        </w:rPr>
        <w:t>World Intellectual Property Organization (2003)</w:t>
      </w:r>
      <w:r w:rsidRPr="0029323C">
        <w:rPr>
          <w:rFonts w:ascii="Garamond" w:hAnsi="Garamond" w:cs="Times New Roman"/>
          <w:i/>
          <w:sz w:val="22"/>
          <w:szCs w:val="22"/>
          <w:lang w:val="en-GB"/>
        </w:rPr>
        <w:t xml:space="preserve"> </w:t>
      </w:r>
      <w:r w:rsidRPr="0029323C">
        <w:rPr>
          <w:rFonts w:ascii="Garamond" w:hAnsi="Garamond" w:cs="Times New Roman"/>
          <w:sz w:val="22"/>
          <w:szCs w:val="22"/>
          <w:lang w:val="en-GB"/>
        </w:rPr>
        <w:t>Guide to copyright and related rights treaties administered by WIPO and glossary of copyright and related rights terms</w:t>
      </w:r>
    </w:p>
    <w:p w14:paraId="626BA2F8" w14:textId="77777777" w:rsidR="004D63F5" w:rsidRPr="00F7201B" w:rsidRDefault="004D63F5" w:rsidP="004F24CD">
      <w:pPr>
        <w:spacing w:line="360" w:lineRule="auto"/>
        <w:jc w:val="both"/>
        <w:rPr>
          <w:rFonts w:ascii="Garamond" w:eastAsia="Times New Roman" w:hAnsi="Garamond" w:cs="Times New Roman"/>
          <w:sz w:val="22"/>
          <w:szCs w:val="22"/>
          <w:lang w:val="en-GB"/>
        </w:rPr>
      </w:pPr>
    </w:p>
    <w:p w14:paraId="22B9A02E" w14:textId="77777777" w:rsidR="003A5A47" w:rsidRPr="004F24CD" w:rsidRDefault="003A5A47" w:rsidP="004F24CD">
      <w:pPr>
        <w:spacing w:line="360" w:lineRule="auto"/>
        <w:jc w:val="both"/>
        <w:rPr>
          <w:rFonts w:ascii="Garamond" w:hAnsi="Garamond"/>
          <w:lang w:val="en-GB"/>
        </w:rPr>
      </w:pPr>
    </w:p>
    <w:sectPr w:rsidR="003A5A47" w:rsidRPr="004F24CD" w:rsidSect="006D4CF5">
      <w:footerReference w:type="even" r:id="rId6"/>
      <w:foot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E551B" w14:textId="77777777" w:rsidR="00766E2C" w:rsidRDefault="00766E2C" w:rsidP="00EB0721">
      <w:r>
        <w:separator/>
      </w:r>
    </w:p>
  </w:endnote>
  <w:endnote w:type="continuationSeparator" w:id="0">
    <w:p w14:paraId="67148F9C" w14:textId="77777777" w:rsidR="00766E2C" w:rsidRDefault="00766E2C" w:rsidP="00EB0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85DC5" w14:textId="77777777" w:rsidR="00766E2C" w:rsidRDefault="00766E2C" w:rsidP="006804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11D72B" w14:textId="77777777" w:rsidR="00766E2C" w:rsidRDefault="00766E2C" w:rsidP="00F72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11462" w14:textId="684C7DD3" w:rsidR="00766E2C" w:rsidRPr="00F7201B" w:rsidRDefault="00766E2C" w:rsidP="006804BC">
    <w:pPr>
      <w:pStyle w:val="Footer"/>
      <w:framePr w:wrap="around" w:vAnchor="text" w:hAnchor="margin" w:xAlign="right" w:y="1"/>
      <w:rPr>
        <w:rStyle w:val="PageNumber"/>
        <w:rFonts w:ascii="Garamond" w:hAnsi="Garamond"/>
        <w:sz w:val="22"/>
        <w:szCs w:val="22"/>
      </w:rPr>
    </w:pPr>
    <w:r w:rsidRPr="00F7201B">
      <w:rPr>
        <w:rStyle w:val="PageNumber"/>
        <w:rFonts w:ascii="Garamond" w:hAnsi="Garamond"/>
        <w:sz w:val="22"/>
        <w:szCs w:val="22"/>
      </w:rPr>
      <w:fldChar w:fldCharType="begin"/>
    </w:r>
    <w:r w:rsidRPr="00F7201B">
      <w:rPr>
        <w:rStyle w:val="PageNumber"/>
        <w:rFonts w:ascii="Garamond" w:hAnsi="Garamond"/>
        <w:sz w:val="22"/>
        <w:szCs w:val="22"/>
      </w:rPr>
      <w:instrText xml:space="preserve">PAGE  </w:instrText>
    </w:r>
    <w:r w:rsidRPr="00F7201B">
      <w:rPr>
        <w:rStyle w:val="PageNumber"/>
        <w:rFonts w:ascii="Garamond" w:hAnsi="Garamond"/>
        <w:sz w:val="22"/>
        <w:szCs w:val="22"/>
      </w:rPr>
      <w:fldChar w:fldCharType="separate"/>
    </w:r>
    <w:r w:rsidR="001B16BD">
      <w:rPr>
        <w:rStyle w:val="PageNumber"/>
        <w:rFonts w:ascii="Garamond" w:hAnsi="Garamond"/>
        <w:noProof/>
        <w:sz w:val="22"/>
        <w:szCs w:val="22"/>
      </w:rPr>
      <w:t>1</w:t>
    </w:r>
    <w:r w:rsidRPr="00F7201B">
      <w:rPr>
        <w:rStyle w:val="PageNumber"/>
        <w:rFonts w:ascii="Garamond" w:hAnsi="Garamond"/>
        <w:sz w:val="22"/>
        <w:szCs w:val="22"/>
      </w:rPr>
      <w:fldChar w:fldCharType="end"/>
    </w:r>
  </w:p>
  <w:p w14:paraId="55242234" w14:textId="77777777" w:rsidR="00766E2C" w:rsidRDefault="00766E2C" w:rsidP="00F720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2DC61" w14:textId="77777777" w:rsidR="00766E2C" w:rsidRDefault="00766E2C" w:rsidP="00EB0721">
      <w:r>
        <w:separator/>
      </w:r>
    </w:p>
  </w:footnote>
  <w:footnote w:type="continuationSeparator" w:id="0">
    <w:p w14:paraId="2CDC63C1" w14:textId="77777777" w:rsidR="00766E2C" w:rsidRDefault="00766E2C" w:rsidP="00EB0721">
      <w:r>
        <w:continuationSeparator/>
      </w:r>
    </w:p>
  </w:footnote>
  <w:footnote w:id="1">
    <w:p w14:paraId="031DDDF2" w14:textId="77777777" w:rsidR="00766E2C" w:rsidRPr="002B4C20" w:rsidRDefault="00766E2C" w:rsidP="004F24CD">
      <w:pPr>
        <w:pStyle w:val="FootnoteText"/>
        <w:spacing w:after="200" w:line="360" w:lineRule="auto"/>
        <w:jc w:val="both"/>
        <w:rPr>
          <w:rFonts w:ascii="Garamond" w:hAnsi="Garamond"/>
          <w:sz w:val="20"/>
          <w:szCs w:val="20"/>
          <w:lang w:val="en-GB"/>
        </w:rPr>
      </w:pPr>
      <w:r w:rsidRPr="002B4C20">
        <w:rPr>
          <w:rStyle w:val="FootnoteReference"/>
          <w:rFonts w:ascii="Garamond" w:hAnsi="Garamond"/>
          <w:sz w:val="20"/>
          <w:szCs w:val="20"/>
          <w:lang w:val="en-GB"/>
        </w:rPr>
        <w:t>*</w:t>
      </w:r>
      <w:r w:rsidRPr="002B4C20">
        <w:rPr>
          <w:rFonts w:ascii="Garamond" w:hAnsi="Garamond"/>
          <w:sz w:val="20"/>
          <w:szCs w:val="20"/>
          <w:lang w:val="en-GB"/>
        </w:rPr>
        <w:t xml:space="preserve"> Associate Professor in Intellectual Property Law at the University of Southampton. Email: eleonora@e-lawnora.com</w:t>
      </w:r>
    </w:p>
  </w:footnote>
  <w:footnote w:id="2">
    <w:p w14:paraId="2BD82BDC" w14:textId="77777777" w:rsidR="00766E2C" w:rsidRPr="002B4C20" w:rsidRDefault="00766E2C" w:rsidP="004F24CD">
      <w:pPr>
        <w:pStyle w:val="FootnoteText"/>
        <w:spacing w:after="200" w:line="360" w:lineRule="auto"/>
        <w:jc w:val="both"/>
        <w:rPr>
          <w:rFonts w:ascii="Garamond" w:hAnsi="Garamond"/>
          <w:sz w:val="20"/>
          <w:szCs w:val="20"/>
          <w:lang w:val="en-GB"/>
        </w:rPr>
      </w:pPr>
      <w:r w:rsidRPr="002B4C20">
        <w:rPr>
          <w:rStyle w:val="FootnoteReference"/>
          <w:rFonts w:ascii="Garamond" w:hAnsi="Garamond"/>
          <w:sz w:val="20"/>
          <w:szCs w:val="20"/>
          <w:lang w:val="en-GB"/>
        </w:rPr>
        <w:footnoteRef/>
      </w:r>
      <w:r w:rsidRPr="002B4C20">
        <w:rPr>
          <w:rFonts w:ascii="Garamond" w:hAnsi="Garamond"/>
          <w:sz w:val="20"/>
          <w:szCs w:val="20"/>
          <w:lang w:val="en-GB"/>
        </w:rPr>
        <w:t xml:space="preserve"> </w:t>
      </w:r>
      <w:r w:rsidRPr="002B4C20">
        <w:rPr>
          <w:rFonts w:ascii="Garamond" w:eastAsia="Times New Roman" w:hAnsi="Garamond"/>
          <w:color w:val="000000"/>
          <w:sz w:val="20"/>
          <w:szCs w:val="20"/>
          <w:lang w:val="en-GB"/>
        </w:rPr>
        <w:t>Directive 2001/29/EC of the European Parliament and of the Council of 22 May 2001 on the harmonisation of certain aspects of copyright and related rights in the information society, OJ L 167, 22.06.2001, 10–19.</w:t>
      </w:r>
    </w:p>
  </w:footnote>
  <w:footnote w:id="3">
    <w:p w14:paraId="1F177171" w14:textId="412CD555" w:rsidR="00766E2C" w:rsidRPr="002B4C20" w:rsidRDefault="00766E2C" w:rsidP="004F24CD">
      <w:pPr>
        <w:spacing w:after="200" w:line="360" w:lineRule="auto"/>
        <w:jc w:val="both"/>
        <w:rPr>
          <w:rFonts w:ascii="Garamond" w:eastAsia="Times New Roman" w:hAnsi="Garamond" w:cs="Times New Roman"/>
          <w:bCs/>
          <w:sz w:val="20"/>
          <w:szCs w:val="20"/>
          <w:shd w:val="clear" w:color="auto" w:fill="FFFFFF"/>
          <w:lang w:val="en-GB"/>
        </w:rPr>
      </w:pPr>
      <w:r w:rsidRPr="002B4C20">
        <w:rPr>
          <w:rStyle w:val="FootnoteReference"/>
          <w:rFonts w:ascii="Garamond" w:hAnsi="Garamond" w:cs="Times New Roman"/>
          <w:sz w:val="20"/>
          <w:szCs w:val="20"/>
          <w:lang w:val="en-GB"/>
        </w:rPr>
        <w:footnoteRef/>
      </w:r>
      <w:r w:rsidRPr="002B4C20">
        <w:rPr>
          <w:rFonts w:ascii="Garamond" w:hAnsi="Garamond" w:cs="Times New Roman"/>
          <w:sz w:val="20"/>
          <w:szCs w:val="20"/>
          <w:lang w:val="en-GB"/>
        </w:rPr>
        <w:t xml:space="preserve"> They are (in chronological order, as of August 2018): </w:t>
      </w:r>
      <w:r>
        <w:rPr>
          <w:rFonts w:ascii="Garamond" w:hAnsi="Garamond" w:cs="Times New Roman"/>
          <w:sz w:val="20"/>
          <w:szCs w:val="20"/>
          <w:lang w:val="en-GB"/>
        </w:rPr>
        <w:t xml:space="preserve">CJEU, </w:t>
      </w:r>
      <w:r w:rsidRPr="002B4C20">
        <w:rPr>
          <w:rFonts w:ascii="Garamond" w:hAnsi="Garamond" w:cs="Lucida Grande"/>
          <w:i/>
          <w:sz w:val="20"/>
          <w:szCs w:val="20"/>
          <w:lang w:val="en-GB"/>
        </w:rPr>
        <w:t>SGAE</w:t>
      </w:r>
      <w:r w:rsidRPr="002B4C20">
        <w:rPr>
          <w:rFonts w:ascii="Garamond" w:hAnsi="Garamond" w:cs="Lucida Grande"/>
          <w:sz w:val="20"/>
          <w:szCs w:val="20"/>
          <w:lang w:val="en-GB"/>
        </w:rPr>
        <w:t xml:space="preserve">, </w:t>
      </w:r>
      <w:r>
        <w:rPr>
          <w:rFonts w:ascii="Garamond" w:hAnsi="Garamond" w:cs="Lucida Grande"/>
          <w:sz w:val="20"/>
          <w:szCs w:val="20"/>
          <w:lang w:val="en-GB"/>
        </w:rPr>
        <w:t xml:space="preserve">Case </w:t>
      </w:r>
      <w:r w:rsidRPr="002B4C20">
        <w:rPr>
          <w:rFonts w:ascii="Garamond" w:hAnsi="Garamond" w:cs="Lucida Grande"/>
          <w:sz w:val="20"/>
          <w:szCs w:val="20"/>
          <w:lang w:val="en-GB"/>
        </w:rPr>
        <w:t xml:space="preserve">C-306/05, </w:t>
      </w:r>
      <w:r>
        <w:rPr>
          <w:rFonts w:ascii="Garamond" w:hAnsi="Garamond" w:cs="Lucida Grande"/>
          <w:sz w:val="20"/>
          <w:szCs w:val="20"/>
          <w:lang w:val="en-GB"/>
        </w:rPr>
        <w:t>Judgment of 7 December 2006</w:t>
      </w:r>
      <w:r w:rsidRPr="002B4C20">
        <w:rPr>
          <w:rFonts w:ascii="Garamond" w:eastAsia="Times New Roman" w:hAnsi="Garamond" w:cs="Times New Roman"/>
          <w:sz w:val="20"/>
          <w:szCs w:val="20"/>
          <w:lang w:val="en-GB"/>
        </w:rPr>
        <w:t>;</w:t>
      </w:r>
      <w:r>
        <w:rPr>
          <w:rFonts w:ascii="Garamond" w:eastAsia="Times New Roman" w:hAnsi="Garamond" w:cs="Times New Roman"/>
          <w:sz w:val="20"/>
          <w:szCs w:val="20"/>
          <w:lang w:val="en-GB"/>
        </w:rPr>
        <w:t xml:space="preserve"> CJEU,</w:t>
      </w:r>
      <w:r w:rsidRPr="002B4C20">
        <w:rPr>
          <w:rFonts w:ascii="Garamond" w:eastAsia="Times New Roman" w:hAnsi="Garamond" w:cs="Times New Roman"/>
          <w:sz w:val="20"/>
          <w:szCs w:val="20"/>
          <w:lang w:val="en-GB"/>
        </w:rPr>
        <w:t xml:space="preserve"> </w:t>
      </w:r>
      <w:r w:rsidRPr="002B4C20">
        <w:rPr>
          <w:rFonts w:ascii="Garamond" w:eastAsia="Times New Roman" w:hAnsi="Garamond" w:cs="Times New Roman"/>
          <w:i/>
          <w:iCs/>
          <w:sz w:val="20"/>
          <w:szCs w:val="20"/>
          <w:shd w:val="clear" w:color="auto" w:fill="FFFFFF"/>
          <w:lang w:val="en-GB"/>
        </w:rPr>
        <w:t>Organismos Sillogikis Diacheirisis Dimiourgon Theatrikon kai Optikoakoustikon Ergon</w:t>
      </w:r>
      <w:r w:rsidRPr="002B4C20">
        <w:rPr>
          <w:rFonts w:ascii="Garamond" w:eastAsia="Times New Roman" w:hAnsi="Garamond" w:cs="Times New Roman"/>
          <w:bCs/>
          <w:sz w:val="20"/>
          <w:szCs w:val="20"/>
          <w:shd w:val="clear" w:color="auto" w:fill="FFFFFF"/>
          <w:lang w:val="en-GB"/>
        </w:rPr>
        <w:t>,</w:t>
      </w:r>
      <w:r w:rsidRPr="002B4C20">
        <w:rPr>
          <w:rFonts w:ascii="Garamond" w:eastAsia="Times New Roman" w:hAnsi="Garamond" w:cs="Times New Roman"/>
          <w:sz w:val="20"/>
          <w:szCs w:val="20"/>
          <w:shd w:val="clear" w:color="auto" w:fill="FFFFFF"/>
          <w:lang w:val="en-GB"/>
        </w:rPr>
        <w:t xml:space="preserve"> </w:t>
      </w:r>
      <w:r>
        <w:rPr>
          <w:rFonts w:ascii="Garamond" w:eastAsia="Times New Roman" w:hAnsi="Garamond" w:cs="Times New Roman"/>
          <w:sz w:val="20"/>
          <w:szCs w:val="20"/>
          <w:shd w:val="clear" w:color="auto" w:fill="FFFFFF"/>
          <w:lang w:val="en-GB"/>
        </w:rPr>
        <w:t xml:space="preserve">Case </w:t>
      </w:r>
      <w:r w:rsidRPr="002B4C20">
        <w:rPr>
          <w:rFonts w:ascii="Garamond" w:eastAsia="Times New Roman" w:hAnsi="Garamond" w:cs="Times New Roman"/>
          <w:sz w:val="20"/>
          <w:szCs w:val="20"/>
          <w:shd w:val="clear" w:color="auto" w:fill="FFFFFF"/>
          <w:lang w:val="en-GB"/>
        </w:rPr>
        <w:t xml:space="preserve">C-136/09, </w:t>
      </w:r>
      <w:r>
        <w:rPr>
          <w:rFonts w:ascii="Garamond" w:eastAsia="Times New Roman" w:hAnsi="Garamond" w:cs="Times New Roman"/>
          <w:bCs/>
          <w:sz w:val="20"/>
          <w:szCs w:val="20"/>
          <w:shd w:val="clear" w:color="auto" w:fill="FFFFFF"/>
          <w:lang w:val="en-GB"/>
        </w:rPr>
        <w:t>Judgment of 18 March 2010</w:t>
      </w:r>
      <w:r w:rsidRPr="002B4C20">
        <w:rPr>
          <w:rFonts w:ascii="Garamond" w:eastAsia="Times New Roman" w:hAnsi="Garamond" w:cs="Times New Roman"/>
          <w:bCs/>
          <w:sz w:val="20"/>
          <w:szCs w:val="20"/>
          <w:shd w:val="clear" w:color="auto" w:fill="FFFFFF"/>
          <w:lang w:val="en-GB"/>
        </w:rPr>
        <w:t xml:space="preserve">; </w:t>
      </w:r>
      <w:r>
        <w:rPr>
          <w:rFonts w:ascii="Garamond" w:eastAsia="Times New Roman" w:hAnsi="Garamond" w:cs="Times New Roman"/>
          <w:bCs/>
          <w:sz w:val="20"/>
          <w:szCs w:val="20"/>
          <w:shd w:val="clear" w:color="auto" w:fill="FFFFFF"/>
          <w:lang w:val="en-GB"/>
        </w:rPr>
        <w:t xml:space="preserve">CJEU, </w:t>
      </w:r>
      <w:r w:rsidRPr="002B4C20">
        <w:rPr>
          <w:rFonts w:ascii="Garamond" w:eastAsia="Times New Roman" w:hAnsi="Garamond" w:cs="Times New Roman"/>
          <w:bCs/>
          <w:i/>
          <w:sz w:val="20"/>
          <w:szCs w:val="20"/>
          <w:shd w:val="clear" w:color="auto" w:fill="FFFFFF"/>
          <w:lang w:val="en-GB"/>
        </w:rPr>
        <w:t>Circul Globus Bucure</w:t>
      </w:r>
      <w:r w:rsidRPr="002B4C20">
        <w:rPr>
          <w:rFonts w:ascii="Times New Roman" w:eastAsia="Times New Roman" w:hAnsi="Times New Roman" w:cs="Times New Roman"/>
          <w:bCs/>
          <w:i/>
          <w:sz w:val="20"/>
          <w:szCs w:val="20"/>
          <w:shd w:val="clear" w:color="auto" w:fill="FFFFFF"/>
          <w:lang w:val="en-GB"/>
        </w:rPr>
        <w:t>ş</w:t>
      </w:r>
      <w:r w:rsidRPr="002B4C20">
        <w:rPr>
          <w:rFonts w:ascii="Garamond" w:eastAsia="Times New Roman" w:hAnsi="Garamond" w:cs="Times New Roman"/>
          <w:bCs/>
          <w:i/>
          <w:sz w:val="20"/>
          <w:szCs w:val="20"/>
          <w:shd w:val="clear" w:color="auto" w:fill="FFFFFF"/>
          <w:lang w:val="en-GB"/>
        </w:rPr>
        <w:t>ti</w:t>
      </w:r>
      <w:r w:rsidRPr="002B4C20">
        <w:rPr>
          <w:rFonts w:ascii="Garamond" w:eastAsia="Times New Roman" w:hAnsi="Garamond" w:cs="Times New Roman"/>
          <w:bCs/>
          <w:sz w:val="20"/>
          <w:szCs w:val="20"/>
          <w:shd w:val="clear" w:color="auto" w:fill="FFFFFF"/>
          <w:lang w:val="en-GB"/>
        </w:rPr>
        <w:t xml:space="preserve">, </w:t>
      </w:r>
      <w:r>
        <w:rPr>
          <w:rFonts w:ascii="Garamond" w:eastAsia="Times New Roman" w:hAnsi="Garamond" w:cs="Times New Roman"/>
          <w:bCs/>
          <w:sz w:val="20"/>
          <w:szCs w:val="20"/>
          <w:shd w:val="clear" w:color="auto" w:fill="FFFFFF"/>
          <w:lang w:val="en-GB"/>
        </w:rPr>
        <w:t xml:space="preserve">Case </w:t>
      </w:r>
      <w:r w:rsidRPr="002B4C20">
        <w:rPr>
          <w:rFonts w:ascii="Garamond" w:eastAsia="Times New Roman" w:hAnsi="Garamond" w:cs="Times New Roman"/>
          <w:bCs/>
          <w:sz w:val="20"/>
          <w:szCs w:val="20"/>
          <w:shd w:val="clear" w:color="auto" w:fill="FFFFFF"/>
          <w:lang w:val="en-GB"/>
        </w:rPr>
        <w:t xml:space="preserve">C-283/10, </w:t>
      </w:r>
      <w:r>
        <w:rPr>
          <w:rFonts w:ascii="Garamond" w:eastAsia="Times New Roman" w:hAnsi="Garamond" w:cs="Times New Roman"/>
          <w:bCs/>
          <w:sz w:val="20"/>
          <w:szCs w:val="20"/>
          <w:shd w:val="clear" w:color="auto" w:fill="FFFFFF"/>
          <w:lang w:val="en-GB"/>
        </w:rPr>
        <w:t>Judgment of 24 November 2011</w:t>
      </w:r>
      <w:r w:rsidRPr="002B4C20">
        <w:rPr>
          <w:rFonts w:ascii="Garamond" w:eastAsia="Times New Roman" w:hAnsi="Garamond" w:cs="Times New Roman"/>
          <w:sz w:val="20"/>
          <w:szCs w:val="20"/>
          <w:lang w:val="en-GB"/>
        </w:rPr>
        <w:t xml:space="preserve">; </w:t>
      </w:r>
      <w:r>
        <w:rPr>
          <w:rFonts w:ascii="Garamond" w:eastAsia="Times New Roman" w:hAnsi="Garamond" w:cs="Times New Roman"/>
          <w:sz w:val="20"/>
          <w:szCs w:val="20"/>
          <w:lang w:val="en-GB"/>
        </w:rPr>
        <w:t xml:space="preserve">CJEU, </w:t>
      </w:r>
      <w:r w:rsidRPr="002B4C20">
        <w:rPr>
          <w:rFonts w:ascii="Garamond" w:hAnsi="Garamond" w:cs="Lucida Grande"/>
          <w:i/>
          <w:sz w:val="20"/>
          <w:szCs w:val="20"/>
          <w:lang w:val="en-GB"/>
        </w:rPr>
        <w:t>Football Association Premier League and Others</w:t>
      </w:r>
      <w:r w:rsidRPr="002B4C20">
        <w:rPr>
          <w:rFonts w:ascii="Garamond" w:hAnsi="Garamond" w:cs="Lucida Grande"/>
          <w:sz w:val="20"/>
          <w:szCs w:val="20"/>
          <w:lang w:val="en-GB"/>
        </w:rPr>
        <w:t xml:space="preserve">, </w:t>
      </w:r>
      <w:r>
        <w:rPr>
          <w:rFonts w:ascii="Garamond" w:hAnsi="Garamond" w:cs="Lucida Grande"/>
          <w:sz w:val="20"/>
          <w:szCs w:val="20"/>
          <w:lang w:val="en-GB"/>
        </w:rPr>
        <w:t xml:space="preserve">Joined Cases </w:t>
      </w:r>
      <w:r w:rsidRPr="002B4C20">
        <w:rPr>
          <w:rFonts w:ascii="Garamond" w:hAnsi="Garamond" w:cs="Lucida Grande"/>
          <w:sz w:val="20"/>
          <w:szCs w:val="20"/>
          <w:lang w:val="en-GB"/>
        </w:rPr>
        <w:t xml:space="preserve">C-403/08 and C-429/08, </w:t>
      </w:r>
      <w:r>
        <w:rPr>
          <w:rFonts w:ascii="Garamond" w:hAnsi="Garamond" w:cs="Lucida Grande"/>
          <w:sz w:val="20"/>
          <w:szCs w:val="20"/>
          <w:lang w:val="en-GB"/>
        </w:rPr>
        <w:t>Judgment of 4 October 2011</w:t>
      </w:r>
      <w:r w:rsidRPr="002B4C20">
        <w:rPr>
          <w:rFonts w:ascii="Garamond" w:eastAsia="Times New Roman" w:hAnsi="Garamond" w:cs="Times New Roman"/>
          <w:sz w:val="20"/>
          <w:szCs w:val="20"/>
          <w:lang w:val="en-GB"/>
        </w:rPr>
        <w:t>;</w:t>
      </w:r>
      <w:r>
        <w:rPr>
          <w:rFonts w:ascii="Garamond" w:eastAsia="Times New Roman" w:hAnsi="Garamond" w:cs="Times New Roman"/>
          <w:sz w:val="20"/>
          <w:szCs w:val="20"/>
          <w:lang w:val="en-GB"/>
        </w:rPr>
        <w:t xml:space="preserve"> CJEU,</w:t>
      </w:r>
      <w:r w:rsidRPr="002B4C20">
        <w:rPr>
          <w:rFonts w:ascii="Garamond" w:hAnsi="Garamond" w:cs="Times New Roman"/>
          <w:bCs/>
          <w:sz w:val="20"/>
          <w:szCs w:val="20"/>
          <w:lang w:val="en-GB"/>
        </w:rPr>
        <w:t xml:space="preserve"> </w:t>
      </w:r>
      <w:r w:rsidRPr="002B4C20">
        <w:rPr>
          <w:rFonts w:ascii="Garamond" w:hAnsi="Garamond" w:cs="Lucida Grande"/>
          <w:i/>
          <w:sz w:val="20"/>
          <w:szCs w:val="20"/>
          <w:lang w:val="en-GB"/>
        </w:rPr>
        <w:t>Airfield and Canal Digitaal</w:t>
      </w:r>
      <w:r w:rsidRPr="002B4C20">
        <w:rPr>
          <w:rFonts w:ascii="Garamond" w:hAnsi="Garamond" w:cs="Lucida Grande"/>
          <w:sz w:val="20"/>
          <w:szCs w:val="20"/>
          <w:lang w:val="en-GB"/>
        </w:rPr>
        <w:t xml:space="preserve">, C-431/09, </w:t>
      </w:r>
      <w:r>
        <w:rPr>
          <w:rFonts w:ascii="Garamond" w:hAnsi="Garamond" w:cs="Lucida Grande"/>
          <w:sz w:val="20"/>
          <w:szCs w:val="20"/>
          <w:lang w:val="en-GB"/>
        </w:rPr>
        <w:t>Judgment of 13 October 2011</w:t>
      </w:r>
      <w:r w:rsidRPr="002B4C20">
        <w:rPr>
          <w:rFonts w:ascii="Garamond" w:eastAsia="Times New Roman" w:hAnsi="Garamond" w:cs="Times New Roman"/>
          <w:sz w:val="20"/>
          <w:szCs w:val="20"/>
          <w:lang w:val="en-GB"/>
        </w:rPr>
        <w:t xml:space="preserve">; </w:t>
      </w:r>
      <w:r>
        <w:rPr>
          <w:rFonts w:ascii="Garamond" w:eastAsia="Times New Roman" w:hAnsi="Garamond" w:cs="Times New Roman"/>
          <w:sz w:val="20"/>
          <w:szCs w:val="20"/>
          <w:lang w:val="en-GB"/>
        </w:rPr>
        <w:t xml:space="preserve">CJEU, </w:t>
      </w:r>
      <w:r w:rsidRPr="002B4C20">
        <w:rPr>
          <w:rFonts w:ascii="Garamond" w:hAnsi="Garamond" w:cs="Lucida Grande"/>
          <w:i/>
          <w:sz w:val="20"/>
          <w:szCs w:val="20"/>
          <w:lang w:val="en-GB"/>
        </w:rPr>
        <w:t>SCF</w:t>
      </w:r>
      <w:r w:rsidRPr="002B4C20">
        <w:rPr>
          <w:rFonts w:ascii="Garamond" w:hAnsi="Garamond" w:cs="Lucida Grande"/>
          <w:sz w:val="20"/>
          <w:szCs w:val="20"/>
          <w:lang w:val="en-GB"/>
        </w:rPr>
        <w:t xml:space="preserve">, </w:t>
      </w:r>
      <w:r>
        <w:rPr>
          <w:rFonts w:ascii="Garamond" w:hAnsi="Garamond" w:cs="Lucida Grande"/>
          <w:sz w:val="20"/>
          <w:szCs w:val="20"/>
          <w:lang w:val="en-GB"/>
        </w:rPr>
        <w:t xml:space="preserve">Case </w:t>
      </w:r>
      <w:r w:rsidRPr="002B4C20">
        <w:rPr>
          <w:rFonts w:ascii="Garamond" w:hAnsi="Garamond" w:cs="Lucida Grande"/>
          <w:sz w:val="20"/>
          <w:szCs w:val="20"/>
          <w:lang w:val="en-GB"/>
        </w:rPr>
        <w:t xml:space="preserve">C-135/10, </w:t>
      </w:r>
      <w:r>
        <w:rPr>
          <w:rFonts w:ascii="Garamond" w:hAnsi="Garamond" w:cs="Lucida Grande"/>
          <w:sz w:val="20"/>
          <w:szCs w:val="20"/>
          <w:lang w:val="en-GB"/>
        </w:rPr>
        <w:t>Judgment of 15 March 2012</w:t>
      </w:r>
      <w:r w:rsidRPr="002B4C20">
        <w:rPr>
          <w:rFonts w:ascii="Garamond" w:eastAsia="Times New Roman" w:hAnsi="Garamond" w:cs="Times New Roman"/>
          <w:sz w:val="20"/>
          <w:szCs w:val="20"/>
          <w:lang w:val="en-GB"/>
        </w:rPr>
        <w:t xml:space="preserve">; </w:t>
      </w:r>
      <w:r>
        <w:rPr>
          <w:rFonts w:ascii="Garamond" w:eastAsia="Times New Roman" w:hAnsi="Garamond" w:cs="Times New Roman"/>
          <w:sz w:val="20"/>
          <w:szCs w:val="20"/>
          <w:lang w:val="en-GB"/>
        </w:rPr>
        <w:t xml:space="preserve">CJEU, </w:t>
      </w:r>
      <w:r w:rsidRPr="002B4C20">
        <w:rPr>
          <w:rFonts w:ascii="Garamond" w:hAnsi="Garamond" w:cs="Times New Roman"/>
          <w:bCs/>
          <w:i/>
          <w:sz w:val="20"/>
          <w:szCs w:val="20"/>
          <w:lang w:val="en-GB"/>
        </w:rPr>
        <w:t>Phonographic Performance (Ireland)</w:t>
      </w:r>
      <w:r w:rsidRPr="002B4C20">
        <w:rPr>
          <w:rFonts w:ascii="Garamond" w:hAnsi="Garamond" w:cs="Times New Roman"/>
          <w:bCs/>
          <w:sz w:val="20"/>
          <w:szCs w:val="20"/>
          <w:lang w:val="en-GB"/>
        </w:rPr>
        <w:t xml:space="preserve">, </w:t>
      </w:r>
      <w:r>
        <w:rPr>
          <w:rFonts w:ascii="Garamond" w:hAnsi="Garamond" w:cs="Times New Roman"/>
          <w:bCs/>
          <w:sz w:val="20"/>
          <w:szCs w:val="20"/>
          <w:lang w:val="en-GB"/>
        </w:rPr>
        <w:t xml:space="preserve">Case </w:t>
      </w:r>
      <w:r w:rsidRPr="002B4C20">
        <w:rPr>
          <w:rFonts w:ascii="Garamond" w:hAnsi="Garamond" w:cs="Times New Roman"/>
          <w:bCs/>
          <w:sz w:val="20"/>
          <w:szCs w:val="20"/>
          <w:lang w:val="en-GB"/>
        </w:rPr>
        <w:t xml:space="preserve">C-162/10, </w:t>
      </w:r>
      <w:r>
        <w:rPr>
          <w:rFonts w:ascii="Garamond" w:eastAsia="Times New Roman" w:hAnsi="Garamond" w:cs="Times New Roman"/>
          <w:bCs/>
          <w:sz w:val="20"/>
          <w:szCs w:val="20"/>
          <w:shd w:val="clear" w:color="auto" w:fill="FFFFFF"/>
          <w:lang w:val="en-GB"/>
        </w:rPr>
        <w:t>Judgment of 15 March 2012</w:t>
      </w:r>
      <w:r w:rsidRPr="002B4C20">
        <w:rPr>
          <w:rFonts w:ascii="Garamond" w:eastAsia="Times New Roman" w:hAnsi="Garamond" w:cs="Times New Roman"/>
          <w:bCs/>
          <w:sz w:val="20"/>
          <w:szCs w:val="20"/>
          <w:shd w:val="clear" w:color="auto" w:fill="FFFFFF"/>
          <w:lang w:val="en-GB"/>
        </w:rPr>
        <w:t>;</w:t>
      </w:r>
      <w:r w:rsidRPr="002B4C20">
        <w:rPr>
          <w:rFonts w:ascii="Garamond" w:eastAsia="Times New Roman" w:hAnsi="Garamond" w:cs="Times New Roman"/>
          <w:sz w:val="20"/>
          <w:szCs w:val="20"/>
          <w:lang w:val="en-GB"/>
        </w:rPr>
        <w:t xml:space="preserve"> </w:t>
      </w:r>
      <w:r>
        <w:rPr>
          <w:rFonts w:ascii="Garamond" w:eastAsia="Times New Roman" w:hAnsi="Garamond" w:cs="Times New Roman"/>
          <w:sz w:val="20"/>
          <w:szCs w:val="20"/>
          <w:lang w:val="en-GB"/>
        </w:rPr>
        <w:t xml:space="preserve">CJEU, </w:t>
      </w:r>
      <w:r w:rsidRPr="002B4C20">
        <w:rPr>
          <w:rFonts w:ascii="Garamond" w:hAnsi="Garamond" w:cs="Lucida Grande"/>
          <w:i/>
          <w:sz w:val="20"/>
          <w:szCs w:val="20"/>
          <w:lang w:val="en-GB"/>
        </w:rPr>
        <w:t>ITV Broadcasting</w:t>
      </w:r>
      <w:r w:rsidRPr="002B4C20">
        <w:rPr>
          <w:rFonts w:ascii="Garamond" w:hAnsi="Garamond" w:cs="Lucida Grande"/>
          <w:sz w:val="20"/>
          <w:szCs w:val="20"/>
          <w:lang w:val="en-GB"/>
        </w:rPr>
        <w:t xml:space="preserve">, </w:t>
      </w:r>
      <w:r>
        <w:rPr>
          <w:rFonts w:ascii="Garamond" w:hAnsi="Garamond" w:cs="Lucida Grande"/>
          <w:sz w:val="20"/>
          <w:szCs w:val="20"/>
          <w:lang w:val="en-GB"/>
        </w:rPr>
        <w:t xml:space="preserve">Case </w:t>
      </w:r>
      <w:r w:rsidRPr="002B4C20">
        <w:rPr>
          <w:rFonts w:ascii="Garamond" w:hAnsi="Garamond" w:cs="Lucida Grande"/>
          <w:sz w:val="20"/>
          <w:szCs w:val="20"/>
          <w:lang w:val="en-GB"/>
        </w:rPr>
        <w:t xml:space="preserve">C-607/11, </w:t>
      </w:r>
      <w:r>
        <w:rPr>
          <w:rFonts w:ascii="Garamond" w:hAnsi="Garamond" w:cs="Lucida Grande"/>
          <w:sz w:val="20"/>
          <w:szCs w:val="20"/>
          <w:lang w:val="en-GB"/>
        </w:rPr>
        <w:t>Judgment of 7 March 2013</w:t>
      </w:r>
      <w:r w:rsidRPr="002B4C20">
        <w:rPr>
          <w:rFonts w:ascii="Garamond" w:eastAsia="Times New Roman" w:hAnsi="Garamond" w:cs="Times New Roman"/>
          <w:bCs/>
          <w:sz w:val="20"/>
          <w:szCs w:val="20"/>
          <w:shd w:val="clear" w:color="auto" w:fill="FFFFFF"/>
          <w:lang w:val="en-GB"/>
        </w:rPr>
        <w:t>;</w:t>
      </w:r>
      <w:r w:rsidRPr="002B4C20">
        <w:rPr>
          <w:rFonts w:ascii="Garamond" w:eastAsia="Times New Roman" w:hAnsi="Garamond" w:cs="Times New Roman"/>
          <w:sz w:val="20"/>
          <w:szCs w:val="20"/>
          <w:lang w:val="en-GB"/>
        </w:rPr>
        <w:t xml:space="preserve"> </w:t>
      </w:r>
      <w:r>
        <w:rPr>
          <w:rFonts w:ascii="Garamond" w:eastAsia="Times New Roman" w:hAnsi="Garamond" w:cs="Times New Roman"/>
          <w:sz w:val="20"/>
          <w:szCs w:val="20"/>
          <w:lang w:val="en-GB"/>
        </w:rPr>
        <w:t xml:space="preserve">CJEU, </w:t>
      </w:r>
      <w:r w:rsidRPr="002B4C20">
        <w:rPr>
          <w:rFonts w:ascii="Garamond" w:hAnsi="Garamond" w:cs="Times New Roman"/>
          <w:bCs/>
          <w:i/>
          <w:sz w:val="20"/>
          <w:szCs w:val="20"/>
          <w:lang w:val="en-GB"/>
        </w:rPr>
        <w:t>Svensson and Others</w:t>
      </w:r>
      <w:r w:rsidRPr="002B4C20">
        <w:rPr>
          <w:rFonts w:ascii="Garamond" w:hAnsi="Garamond" w:cs="Times New Roman"/>
          <w:bCs/>
          <w:sz w:val="20"/>
          <w:szCs w:val="20"/>
          <w:lang w:val="en-GB"/>
        </w:rPr>
        <w:t xml:space="preserve">, </w:t>
      </w:r>
      <w:r>
        <w:rPr>
          <w:rFonts w:ascii="Garamond" w:hAnsi="Garamond" w:cs="Times New Roman"/>
          <w:bCs/>
          <w:sz w:val="20"/>
          <w:szCs w:val="20"/>
          <w:lang w:val="en-GB"/>
        </w:rPr>
        <w:t xml:space="preserve">Case </w:t>
      </w:r>
      <w:r w:rsidRPr="002B4C20">
        <w:rPr>
          <w:rFonts w:ascii="Garamond" w:hAnsi="Garamond" w:cs="Times New Roman"/>
          <w:bCs/>
          <w:sz w:val="20"/>
          <w:szCs w:val="20"/>
          <w:lang w:val="en-GB"/>
        </w:rPr>
        <w:t xml:space="preserve">C-466/12, </w:t>
      </w:r>
      <w:r>
        <w:rPr>
          <w:rFonts w:ascii="Garamond" w:eastAsia="Times New Roman" w:hAnsi="Garamond" w:cs="Times New Roman"/>
          <w:bCs/>
          <w:sz w:val="20"/>
          <w:szCs w:val="20"/>
          <w:shd w:val="clear" w:color="auto" w:fill="FFFFFF"/>
          <w:lang w:val="en-GB"/>
        </w:rPr>
        <w:t>Judgment of 13 February 2014</w:t>
      </w:r>
      <w:r w:rsidRPr="002B4C20">
        <w:rPr>
          <w:rFonts w:ascii="Garamond" w:eastAsia="Times New Roman" w:hAnsi="Garamond" w:cs="Times New Roman"/>
          <w:sz w:val="20"/>
          <w:szCs w:val="20"/>
          <w:lang w:val="en-GB"/>
        </w:rPr>
        <w:t xml:space="preserve">; </w:t>
      </w:r>
      <w:r>
        <w:rPr>
          <w:rFonts w:ascii="Garamond" w:eastAsia="Times New Roman" w:hAnsi="Garamond" w:cs="Times New Roman"/>
          <w:sz w:val="20"/>
          <w:szCs w:val="20"/>
          <w:lang w:val="en-GB"/>
        </w:rPr>
        <w:t xml:space="preserve">CJEU, </w:t>
      </w:r>
      <w:r w:rsidRPr="002B4C20">
        <w:rPr>
          <w:rFonts w:ascii="Garamond" w:eastAsia="Times New Roman" w:hAnsi="Garamond" w:cs="Times New Roman"/>
          <w:bCs/>
          <w:i/>
          <w:sz w:val="20"/>
          <w:szCs w:val="20"/>
          <w:shd w:val="clear" w:color="auto" w:fill="FFFFFF"/>
          <w:lang w:val="en-GB"/>
        </w:rPr>
        <w:t>OSA</w:t>
      </w:r>
      <w:r w:rsidRPr="002B4C20">
        <w:rPr>
          <w:rFonts w:ascii="Garamond" w:eastAsia="Times New Roman" w:hAnsi="Garamond" w:cs="Times New Roman"/>
          <w:sz w:val="20"/>
          <w:szCs w:val="20"/>
          <w:lang w:val="en-GB"/>
        </w:rPr>
        <w:t xml:space="preserve">, </w:t>
      </w:r>
      <w:r>
        <w:rPr>
          <w:rFonts w:ascii="Garamond" w:eastAsia="Times New Roman" w:hAnsi="Garamond" w:cs="Times New Roman"/>
          <w:sz w:val="20"/>
          <w:szCs w:val="20"/>
          <w:lang w:val="en-GB"/>
        </w:rPr>
        <w:t xml:space="preserve">Case </w:t>
      </w:r>
      <w:r w:rsidRPr="002B4C20">
        <w:rPr>
          <w:rFonts w:ascii="Garamond" w:eastAsia="Times New Roman" w:hAnsi="Garamond" w:cs="Times New Roman"/>
          <w:sz w:val="20"/>
          <w:szCs w:val="20"/>
          <w:lang w:val="en-GB"/>
        </w:rPr>
        <w:t xml:space="preserve">C-351/12, </w:t>
      </w:r>
      <w:r>
        <w:rPr>
          <w:rFonts w:ascii="Garamond" w:eastAsia="Times New Roman" w:hAnsi="Garamond" w:cs="Times New Roman"/>
          <w:sz w:val="20"/>
          <w:szCs w:val="20"/>
          <w:lang w:val="en-GB"/>
        </w:rPr>
        <w:t>Judgment of 27 February 2014</w:t>
      </w:r>
      <w:r w:rsidRPr="002B4C20">
        <w:rPr>
          <w:rFonts w:ascii="Garamond" w:eastAsia="Times New Roman" w:hAnsi="Garamond" w:cs="Times New Roman"/>
          <w:sz w:val="20"/>
          <w:szCs w:val="20"/>
          <w:lang w:val="en-GB"/>
        </w:rPr>
        <w:t xml:space="preserve">; </w:t>
      </w:r>
      <w:r>
        <w:rPr>
          <w:rFonts w:ascii="Garamond" w:eastAsia="Times New Roman" w:hAnsi="Garamond" w:cs="Times New Roman"/>
          <w:sz w:val="20"/>
          <w:szCs w:val="20"/>
          <w:lang w:val="en-GB"/>
        </w:rPr>
        <w:t xml:space="preserve">CJEU, </w:t>
      </w:r>
      <w:r w:rsidRPr="002B4C20">
        <w:rPr>
          <w:rFonts w:ascii="Garamond" w:eastAsia="Times New Roman" w:hAnsi="Garamond" w:cs="Times New Roman"/>
          <w:i/>
          <w:sz w:val="20"/>
          <w:szCs w:val="20"/>
          <w:lang w:val="en-GB"/>
        </w:rPr>
        <w:t>BestWater</w:t>
      </w:r>
      <w:r w:rsidRPr="002B4C20">
        <w:rPr>
          <w:rFonts w:ascii="Garamond" w:eastAsia="Times New Roman" w:hAnsi="Garamond" w:cs="Times New Roman"/>
          <w:sz w:val="20"/>
          <w:szCs w:val="20"/>
          <w:lang w:val="en-GB"/>
        </w:rPr>
        <w:t xml:space="preserve">, C-348/13, </w:t>
      </w:r>
      <w:r>
        <w:rPr>
          <w:rFonts w:ascii="Garamond" w:eastAsia="Times New Roman" w:hAnsi="Garamond" w:cs="Times New Roman"/>
          <w:bCs/>
          <w:sz w:val="20"/>
          <w:szCs w:val="20"/>
          <w:shd w:val="clear" w:color="auto" w:fill="FFFFFF"/>
          <w:lang w:val="en-GB"/>
        </w:rPr>
        <w:t>Judgment of 21 October 2014</w:t>
      </w:r>
      <w:r w:rsidRPr="002B4C20">
        <w:rPr>
          <w:rFonts w:ascii="Garamond" w:eastAsia="Times New Roman" w:hAnsi="Garamond" w:cs="Times New Roman"/>
          <w:sz w:val="20"/>
          <w:szCs w:val="20"/>
          <w:lang w:val="en-GB"/>
        </w:rPr>
        <w:t xml:space="preserve">; </w:t>
      </w:r>
      <w:r>
        <w:rPr>
          <w:rFonts w:ascii="Garamond" w:eastAsia="Times New Roman" w:hAnsi="Garamond" w:cs="Times New Roman"/>
          <w:sz w:val="20"/>
          <w:szCs w:val="20"/>
          <w:lang w:val="en-GB"/>
        </w:rPr>
        <w:t xml:space="preserve">CJEU, </w:t>
      </w:r>
      <w:r w:rsidRPr="002B4C20">
        <w:rPr>
          <w:rFonts w:ascii="Garamond" w:hAnsi="Garamond" w:cs="Times New Roman"/>
          <w:bCs/>
          <w:i/>
          <w:sz w:val="20"/>
          <w:szCs w:val="20"/>
          <w:lang w:val="en-GB"/>
        </w:rPr>
        <w:t>C More Entertainment</w:t>
      </w:r>
      <w:r w:rsidRPr="002B4C20">
        <w:rPr>
          <w:rFonts w:ascii="Garamond" w:hAnsi="Garamond" w:cs="Times New Roman"/>
          <w:bCs/>
          <w:sz w:val="20"/>
          <w:szCs w:val="20"/>
          <w:lang w:val="en-GB"/>
        </w:rPr>
        <w:t xml:space="preserve">, C-279/13, </w:t>
      </w:r>
      <w:r>
        <w:rPr>
          <w:rFonts w:ascii="Garamond" w:eastAsia="Times New Roman" w:hAnsi="Garamond" w:cs="Times New Roman"/>
          <w:bCs/>
          <w:sz w:val="20"/>
          <w:szCs w:val="20"/>
          <w:shd w:val="clear" w:color="auto" w:fill="FFFFFF"/>
          <w:lang w:val="en-GB"/>
        </w:rPr>
        <w:t>Judgment of 26 March 2015</w:t>
      </w:r>
      <w:r w:rsidRPr="002B4C20">
        <w:rPr>
          <w:rFonts w:ascii="Garamond" w:eastAsia="Times New Roman" w:hAnsi="Garamond" w:cs="Times New Roman"/>
          <w:bCs/>
          <w:sz w:val="20"/>
          <w:szCs w:val="20"/>
          <w:shd w:val="clear" w:color="auto" w:fill="FFFFFF"/>
          <w:lang w:val="en-GB"/>
        </w:rPr>
        <w:t xml:space="preserve">; </w:t>
      </w:r>
      <w:r>
        <w:rPr>
          <w:rFonts w:ascii="Garamond" w:eastAsia="Times New Roman" w:hAnsi="Garamond" w:cs="Times New Roman"/>
          <w:bCs/>
          <w:sz w:val="20"/>
          <w:szCs w:val="20"/>
          <w:shd w:val="clear" w:color="auto" w:fill="FFFFFF"/>
          <w:lang w:val="en-GB"/>
        </w:rPr>
        <w:t xml:space="preserve">CJEU, </w:t>
      </w:r>
      <w:r w:rsidRPr="002B4C20">
        <w:rPr>
          <w:rFonts w:ascii="Garamond" w:hAnsi="Garamond" w:cs="Lucida Grande"/>
          <w:i/>
          <w:sz w:val="20"/>
          <w:szCs w:val="20"/>
          <w:lang w:val="en-GB"/>
        </w:rPr>
        <w:t>Sociedade Portuguesa de Autores CRL</w:t>
      </w:r>
      <w:r w:rsidRPr="002B4C20">
        <w:rPr>
          <w:rFonts w:ascii="Garamond" w:hAnsi="Garamond" w:cs="Lucida Grande"/>
          <w:sz w:val="20"/>
          <w:szCs w:val="20"/>
          <w:lang w:val="en-GB"/>
        </w:rPr>
        <w:t xml:space="preserve">, </w:t>
      </w:r>
      <w:r>
        <w:rPr>
          <w:rFonts w:ascii="Garamond" w:hAnsi="Garamond" w:cs="Lucida Grande"/>
          <w:sz w:val="20"/>
          <w:szCs w:val="20"/>
          <w:lang w:val="en-GB"/>
        </w:rPr>
        <w:t xml:space="preserve">Case </w:t>
      </w:r>
      <w:r w:rsidRPr="002B4C20">
        <w:rPr>
          <w:rFonts w:ascii="Garamond" w:hAnsi="Garamond" w:cs="Lucida Grande"/>
          <w:sz w:val="20"/>
          <w:szCs w:val="20"/>
          <w:lang w:val="en-GB"/>
        </w:rPr>
        <w:t xml:space="preserve">C-151/15, </w:t>
      </w:r>
      <w:r>
        <w:rPr>
          <w:rFonts w:ascii="Garamond" w:hAnsi="Garamond" w:cs="Lucida Grande"/>
          <w:sz w:val="20"/>
          <w:szCs w:val="20"/>
          <w:lang w:val="en-GB"/>
        </w:rPr>
        <w:t>Judgment of 14 July 2015</w:t>
      </w:r>
      <w:r w:rsidRPr="002B4C20">
        <w:rPr>
          <w:rFonts w:ascii="Garamond" w:eastAsia="Times New Roman" w:hAnsi="Garamond" w:cs="Times New Roman"/>
          <w:sz w:val="20"/>
          <w:szCs w:val="20"/>
          <w:lang w:val="en-GB"/>
        </w:rPr>
        <w:t xml:space="preserve">; </w:t>
      </w:r>
      <w:r>
        <w:rPr>
          <w:rFonts w:ascii="Garamond" w:eastAsia="Times New Roman" w:hAnsi="Garamond" w:cs="Times New Roman"/>
          <w:sz w:val="20"/>
          <w:szCs w:val="20"/>
          <w:lang w:val="en-GB"/>
        </w:rPr>
        <w:t xml:space="preserve">CJEU, </w:t>
      </w:r>
      <w:r w:rsidRPr="002B4C20">
        <w:rPr>
          <w:rFonts w:ascii="Garamond" w:hAnsi="Garamond" w:cs="Lucida Grande"/>
          <w:i/>
          <w:sz w:val="20"/>
          <w:szCs w:val="20"/>
          <w:lang w:val="en-GB"/>
        </w:rPr>
        <w:t>SBS Belgium</w:t>
      </w:r>
      <w:r w:rsidRPr="002B4C20">
        <w:rPr>
          <w:rFonts w:ascii="Garamond" w:hAnsi="Garamond" w:cs="Lucida Grande"/>
          <w:sz w:val="20"/>
          <w:szCs w:val="20"/>
          <w:lang w:val="en-GB"/>
        </w:rPr>
        <w:t xml:space="preserve">, C-325/14, </w:t>
      </w:r>
      <w:r>
        <w:rPr>
          <w:rFonts w:ascii="Garamond" w:hAnsi="Garamond" w:cs="Lucida Grande"/>
          <w:sz w:val="20"/>
          <w:szCs w:val="20"/>
          <w:lang w:val="en-GB"/>
        </w:rPr>
        <w:t>Judgment of 19 November 2015</w:t>
      </w:r>
      <w:r w:rsidRPr="002B4C20">
        <w:rPr>
          <w:rFonts w:ascii="Garamond" w:hAnsi="Garamond" w:cs="Times New Roman"/>
          <w:bCs/>
          <w:sz w:val="20"/>
          <w:szCs w:val="20"/>
          <w:lang w:val="en-GB"/>
        </w:rPr>
        <w:t>;</w:t>
      </w:r>
      <w:r w:rsidRPr="002B4C20">
        <w:rPr>
          <w:rFonts w:ascii="Garamond" w:hAnsi="Garamond" w:cs="Times New Roman"/>
          <w:bCs/>
          <w:i/>
          <w:sz w:val="20"/>
          <w:szCs w:val="20"/>
          <w:lang w:val="en-GB"/>
        </w:rPr>
        <w:t xml:space="preserve"> </w:t>
      </w:r>
      <w:r w:rsidRPr="006804BC">
        <w:rPr>
          <w:rFonts w:ascii="Garamond" w:hAnsi="Garamond" w:cs="Times New Roman"/>
          <w:bCs/>
          <w:sz w:val="20"/>
          <w:szCs w:val="20"/>
          <w:lang w:val="en-GB"/>
        </w:rPr>
        <w:t>CJEU,</w:t>
      </w:r>
      <w:r>
        <w:rPr>
          <w:rFonts w:ascii="Garamond" w:hAnsi="Garamond" w:cs="Times New Roman"/>
          <w:bCs/>
          <w:i/>
          <w:sz w:val="20"/>
          <w:szCs w:val="20"/>
          <w:lang w:val="en-GB"/>
        </w:rPr>
        <w:t xml:space="preserve"> </w:t>
      </w:r>
      <w:r w:rsidRPr="002B4C20">
        <w:rPr>
          <w:rFonts w:ascii="Garamond" w:hAnsi="Garamond" w:cs="Times New Roman"/>
          <w:bCs/>
          <w:i/>
          <w:sz w:val="20"/>
          <w:szCs w:val="20"/>
          <w:lang w:val="en-GB"/>
        </w:rPr>
        <w:t>Reha Training</w:t>
      </w:r>
      <w:r w:rsidRPr="002B4C20">
        <w:rPr>
          <w:rFonts w:ascii="Garamond" w:eastAsia="Times New Roman" w:hAnsi="Garamond" w:cs="Times New Roman"/>
          <w:sz w:val="20"/>
          <w:szCs w:val="20"/>
          <w:shd w:val="clear" w:color="auto" w:fill="FFFFFF"/>
          <w:lang w:val="en-GB"/>
        </w:rPr>
        <w:t xml:space="preserve">, </w:t>
      </w:r>
      <w:r>
        <w:rPr>
          <w:rFonts w:ascii="Garamond" w:eastAsia="Times New Roman" w:hAnsi="Garamond" w:cs="Times New Roman"/>
          <w:sz w:val="20"/>
          <w:szCs w:val="20"/>
          <w:shd w:val="clear" w:color="auto" w:fill="FFFFFF"/>
          <w:lang w:val="en-GB"/>
        </w:rPr>
        <w:t xml:space="preserve">Case </w:t>
      </w:r>
      <w:r w:rsidRPr="002B4C20">
        <w:rPr>
          <w:rFonts w:ascii="Garamond" w:eastAsia="Times New Roman" w:hAnsi="Garamond" w:cs="Times New Roman"/>
          <w:sz w:val="20"/>
          <w:szCs w:val="20"/>
          <w:shd w:val="clear" w:color="auto" w:fill="FFFFFF"/>
          <w:lang w:val="en-GB"/>
        </w:rPr>
        <w:t>C</w:t>
      </w:r>
      <w:r w:rsidRPr="002B4C20">
        <w:rPr>
          <w:rFonts w:ascii="Garamond" w:eastAsia="Times New Roman" w:hAnsi="Garamond" w:cs="Times New Roman"/>
          <w:sz w:val="20"/>
          <w:szCs w:val="20"/>
          <w:shd w:val="clear" w:color="auto" w:fill="FFFFFF"/>
          <w:lang w:val="en-GB"/>
        </w:rPr>
        <w:noBreakHyphen/>
        <w:t xml:space="preserve">117/15, </w:t>
      </w:r>
      <w:r>
        <w:rPr>
          <w:rFonts w:ascii="Garamond" w:eastAsia="Times New Roman" w:hAnsi="Garamond" w:cs="Times New Roman"/>
          <w:sz w:val="20"/>
          <w:szCs w:val="20"/>
          <w:shd w:val="clear" w:color="auto" w:fill="FFFFFF"/>
          <w:lang w:val="en-GB"/>
        </w:rPr>
        <w:t>Judgment of 31 May 2016</w:t>
      </w:r>
      <w:r w:rsidRPr="002B4C20">
        <w:rPr>
          <w:rFonts w:ascii="Garamond" w:eastAsia="Times New Roman" w:hAnsi="Garamond" w:cs="Times New Roman"/>
          <w:sz w:val="20"/>
          <w:szCs w:val="20"/>
          <w:shd w:val="clear" w:color="auto" w:fill="FFFFFF"/>
          <w:lang w:val="en-GB"/>
        </w:rPr>
        <w:t xml:space="preserve">; </w:t>
      </w:r>
      <w:r>
        <w:rPr>
          <w:rFonts w:ascii="Garamond" w:eastAsia="Times New Roman" w:hAnsi="Garamond" w:cs="Times New Roman"/>
          <w:sz w:val="20"/>
          <w:szCs w:val="20"/>
          <w:shd w:val="clear" w:color="auto" w:fill="FFFFFF"/>
          <w:lang w:val="en-GB"/>
        </w:rPr>
        <w:t xml:space="preserve">CJEU, </w:t>
      </w:r>
      <w:r w:rsidRPr="002B4C20">
        <w:rPr>
          <w:rFonts w:ascii="Garamond" w:hAnsi="Garamond" w:cs="Lucida Grande"/>
          <w:i/>
          <w:sz w:val="20"/>
          <w:szCs w:val="20"/>
          <w:lang w:val="en-GB"/>
        </w:rPr>
        <w:t>GS Media</w:t>
      </w:r>
      <w:r w:rsidRPr="002B4C20">
        <w:rPr>
          <w:rFonts w:ascii="Garamond" w:hAnsi="Garamond" w:cs="Lucida Grande"/>
          <w:sz w:val="20"/>
          <w:szCs w:val="20"/>
          <w:lang w:val="en-GB"/>
        </w:rPr>
        <w:t xml:space="preserve">, </w:t>
      </w:r>
      <w:r>
        <w:rPr>
          <w:rFonts w:ascii="Garamond" w:hAnsi="Garamond" w:cs="Lucida Grande"/>
          <w:sz w:val="20"/>
          <w:szCs w:val="20"/>
          <w:lang w:val="en-GB"/>
        </w:rPr>
        <w:t xml:space="preserve">Case </w:t>
      </w:r>
      <w:r w:rsidRPr="002B4C20">
        <w:rPr>
          <w:rFonts w:ascii="Garamond" w:hAnsi="Garamond" w:cs="Lucida Grande"/>
          <w:sz w:val="20"/>
          <w:szCs w:val="20"/>
          <w:lang w:val="en-GB"/>
        </w:rPr>
        <w:t xml:space="preserve">C-160/15, </w:t>
      </w:r>
      <w:r>
        <w:rPr>
          <w:rFonts w:ascii="Garamond" w:hAnsi="Garamond" w:cs="Lucida Grande"/>
          <w:sz w:val="20"/>
          <w:szCs w:val="20"/>
          <w:lang w:val="en-GB"/>
        </w:rPr>
        <w:t>Judgment of 8 September 2016</w:t>
      </w:r>
      <w:r w:rsidRPr="002B4C20">
        <w:rPr>
          <w:rFonts w:ascii="Garamond" w:eastAsia="Times New Roman" w:hAnsi="Garamond" w:cs="Times New Roman"/>
          <w:bCs/>
          <w:sz w:val="20"/>
          <w:szCs w:val="20"/>
          <w:shd w:val="clear" w:color="auto" w:fill="FFFFFF"/>
          <w:lang w:val="en-GB"/>
        </w:rPr>
        <w:t xml:space="preserve">; </w:t>
      </w:r>
      <w:r>
        <w:rPr>
          <w:rFonts w:ascii="Garamond" w:eastAsia="Times New Roman" w:hAnsi="Garamond" w:cs="Times New Roman"/>
          <w:bCs/>
          <w:sz w:val="20"/>
          <w:szCs w:val="20"/>
          <w:shd w:val="clear" w:color="auto" w:fill="FFFFFF"/>
          <w:lang w:val="en-GB"/>
        </w:rPr>
        <w:t xml:space="preserve">CJEU, </w:t>
      </w:r>
      <w:r w:rsidRPr="002B4C20">
        <w:rPr>
          <w:rFonts w:ascii="Garamond" w:eastAsia="Times New Roman" w:hAnsi="Garamond" w:cs="Times New Roman"/>
          <w:bCs/>
          <w:i/>
          <w:sz w:val="20"/>
          <w:szCs w:val="20"/>
          <w:shd w:val="clear" w:color="auto" w:fill="FFFFFF"/>
          <w:lang w:val="en-GB"/>
        </w:rPr>
        <w:t>AKM</w:t>
      </w:r>
      <w:r w:rsidRPr="002B4C20">
        <w:rPr>
          <w:rFonts w:ascii="Garamond" w:eastAsia="Times New Roman" w:hAnsi="Garamond" w:cs="Times New Roman"/>
          <w:bCs/>
          <w:sz w:val="20"/>
          <w:szCs w:val="20"/>
          <w:shd w:val="clear" w:color="auto" w:fill="FFFFFF"/>
          <w:lang w:val="en-GB"/>
        </w:rPr>
        <w:t xml:space="preserve">, </w:t>
      </w:r>
      <w:r>
        <w:rPr>
          <w:rFonts w:ascii="Garamond" w:eastAsia="Times New Roman" w:hAnsi="Garamond" w:cs="Times New Roman"/>
          <w:bCs/>
          <w:sz w:val="20"/>
          <w:szCs w:val="20"/>
          <w:shd w:val="clear" w:color="auto" w:fill="FFFFFF"/>
          <w:lang w:val="en-GB"/>
        </w:rPr>
        <w:t xml:space="preserve">Case </w:t>
      </w:r>
      <w:r w:rsidRPr="002B4C20">
        <w:rPr>
          <w:rFonts w:ascii="Garamond" w:eastAsia="Times New Roman" w:hAnsi="Garamond" w:cs="Times New Roman"/>
          <w:bCs/>
          <w:sz w:val="20"/>
          <w:szCs w:val="20"/>
          <w:shd w:val="clear" w:color="auto" w:fill="FFFFFF"/>
          <w:lang w:val="en-GB"/>
        </w:rPr>
        <w:t xml:space="preserve">C-138/16, </w:t>
      </w:r>
      <w:r>
        <w:rPr>
          <w:rFonts w:ascii="Garamond" w:eastAsia="Times New Roman" w:hAnsi="Garamond" w:cs="Times New Roman"/>
          <w:bCs/>
          <w:sz w:val="20"/>
          <w:szCs w:val="20"/>
          <w:shd w:val="clear" w:color="auto" w:fill="FFFFFF"/>
          <w:lang w:val="en-GB"/>
        </w:rPr>
        <w:t xml:space="preserve">Judgment of 16 March 2017; CJEU, </w:t>
      </w:r>
      <w:r w:rsidRPr="002B4C20">
        <w:rPr>
          <w:rFonts w:ascii="Garamond" w:hAnsi="Garamond" w:cs="Lucida Grande"/>
          <w:i/>
          <w:sz w:val="20"/>
          <w:szCs w:val="20"/>
          <w:lang w:val="en-GB"/>
        </w:rPr>
        <w:t>Stichting Brein</w:t>
      </w:r>
      <w:r w:rsidRPr="002B4C20">
        <w:rPr>
          <w:rFonts w:ascii="Garamond" w:hAnsi="Garamond" w:cs="Lucida Grande"/>
          <w:sz w:val="20"/>
          <w:szCs w:val="20"/>
          <w:lang w:val="en-GB"/>
        </w:rPr>
        <w:t xml:space="preserve">, </w:t>
      </w:r>
      <w:r>
        <w:rPr>
          <w:rFonts w:ascii="Garamond" w:hAnsi="Garamond" w:cs="Lucida Grande"/>
          <w:sz w:val="20"/>
          <w:szCs w:val="20"/>
          <w:lang w:val="en-GB"/>
        </w:rPr>
        <w:t xml:space="preserve">Case </w:t>
      </w:r>
      <w:r w:rsidRPr="002B4C20">
        <w:rPr>
          <w:rFonts w:ascii="Garamond" w:hAnsi="Garamond" w:cs="Lucida Grande"/>
          <w:sz w:val="20"/>
          <w:szCs w:val="20"/>
          <w:lang w:val="en-GB"/>
        </w:rPr>
        <w:t xml:space="preserve">C-527/15, </w:t>
      </w:r>
      <w:r>
        <w:rPr>
          <w:rFonts w:ascii="Garamond" w:hAnsi="Garamond" w:cs="Lucida Grande"/>
          <w:sz w:val="20"/>
          <w:szCs w:val="20"/>
          <w:lang w:val="en-GB"/>
        </w:rPr>
        <w:t>Judgment of 26 April 2017</w:t>
      </w:r>
      <w:r w:rsidRPr="002B4C20">
        <w:rPr>
          <w:rFonts w:ascii="Garamond" w:eastAsia="Times New Roman" w:hAnsi="Garamond" w:cs="Times New Roman"/>
          <w:bCs/>
          <w:sz w:val="20"/>
          <w:szCs w:val="20"/>
          <w:shd w:val="clear" w:color="auto" w:fill="FFFFFF"/>
          <w:lang w:val="en-GB"/>
        </w:rPr>
        <w:t>;</w:t>
      </w:r>
      <w:r>
        <w:rPr>
          <w:rFonts w:ascii="Garamond" w:eastAsia="Times New Roman" w:hAnsi="Garamond" w:cs="Times New Roman"/>
          <w:bCs/>
          <w:sz w:val="20"/>
          <w:szCs w:val="20"/>
          <w:shd w:val="clear" w:color="auto" w:fill="FFFFFF"/>
          <w:lang w:val="en-GB"/>
        </w:rPr>
        <w:t xml:space="preserve"> CJEU, </w:t>
      </w:r>
      <w:r w:rsidRPr="002B4C20">
        <w:rPr>
          <w:rFonts w:ascii="Garamond" w:hAnsi="Garamond" w:cs="Lucida Grande"/>
          <w:i/>
          <w:sz w:val="20"/>
          <w:szCs w:val="20"/>
          <w:lang w:val="en-GB"/>
        </w:rPr>
        <w:t>Stichting Brein</w:t>
      </w:r>
      <w:r w:rsidRPr="002B4C20">
        <w:rPr>
          <w:rFonts w:ascii="Garamond" w:hAnsi="Garamond" w:cs="Lucida Grande"/>
          <w:sz w:val="20"/>
          <w:szCs w:val="20"/>
          <w:lang w:val="en-GB"/>
        </w:rPr>
        <w:t xml:space="preserve">, </w:t>
      </w:r>
      <w:r>
        <w:rPr>
          <w:rFonts w:ascii="Garamond" w:hAnsi="Garamond" w:cs="Lucida Grande"/>
          <w:sz w:val="20"/>
          <w:szCs w:val="20"/>
          <w:lang w:val="en-GB"/>
        </w:rPr>
        <w:t xml:space="preserve">Case </w:t>
      </w:r>
      <w:r w:rsidRPr="002B4C20">
        <w:rPr>
          <w:rFonts w:ascii="Garamond" w:hAnsi="Garamond" w:cs="Lucida Grande"/>
          <w:sz w:val="20"/>
          <w:szCs w:val="20"/>
          <w:lang w:val="en-GB"/>
        </w:rPr>
        <w:t xml:space="preserve">C-610/15, </w:t>
      </w:r>
      <w:r>
        <w:rPr>
          <w:rFonts w:ascii="Garamond" w:hAnsi="Garamond" w:cs="Lucida Grande"/>
          <w:sz w:val="20"/>
          <w:szCs w:val="20"/>
          <w:lang w:val="en-GB"/>
        </w:rPr>
        <w:t>Judgment of 14 June 2017</w:t>
      </w:r>
      <w:r w:rsidRPr="002B4C20">
        <w:rPr>
          <w:rFonts w:ascii="Garamond" w:hAnsi="Garamond" w:cs="Lucida Grande"/>
          <w:sz w:val="20"/>
          <w:szCs w:val="20"/>
          <w:lang w:val="en-GB"/>
        </w:rPr>
        <w:t xml:space="preserve">; </w:t>
      </w:r>
      <w:r>
        <w:rPr>
          <w:rFonts w:ascii="Garamond" w:hAnsi="Garamond" w:cs="Lucida Grande"/>
          <w:sz w:val="20"/>
          <w:szCs w:val="20"/>
          <w:lang w:val="en-GB"/>
        </w:rPr>
        <w:t xml:space="preserve">CJEU, </w:t>
      </w:r>
      <w:r w:rsidRPr="002B4C20">
        <w:rPr>
          <w:rFonts w:ascii="Garamond" w:hAnsi="Garamond" w:cs="Lucida Grande"/>
          <w:i/>
          <w:sz w:val="20"/>
          <w:szCs w:val="20"/>
          <w:lang w:val="en-GB"/>
        </w:rPr>
        <w:t>VCAST</w:t>
      </w:r>
      <w:r w:rsidRPr="002B4C20">
        <w:rPr>
          <w:rFonts w:ascii="Garamond" w:hAnsi="Garamond" w:cs="Lucida Grande"/>
          <w:sz w:val="20"/>
          <w:szCs w:val="20"/>
          <w:lang w:val="en-GB"/>
        </w:rPr>
        <w:t xml:space="preserve">, </w:t>
      </w:r>
      <w:r>
        <w:rPr>
          <w:rFonts w:ascii="Garamond" w:hAnsi="Garamond" w:cs="Lucida Grande"/>
          <w:sz w:val="20"/>
          <w:szCs w:val="20"/>
          <w:lang w:val="en-GB"/>
        </w:rPr>
        <w:t xml:space="preserve">Case </w:t>
      </w:r>
      <w:r w:rsidRPr="002B4C20">
        <w:rPr>
          <w:rFonts w:ascii="Garamond" w:hAnsi="Garamond" w:cs="Lucida Grande"/>
          <w:sz w:val="20"/>
          <w:szCs w:val="20"/>
          <w:lang w:val="en-GB"/>
        </w:rPr>
        <w:t xml:space="preserve">C-265/16, </w:t>
      </w:r>
      <w:r>
        <w:rPr>
          <w:rFonts w:ascii="Garamond" w:hAnsi="Garamond" w:cs="Lucida Grande"/>
          <w:sz w:val="20"/>
          <w:szCs w:val="20"/>
          <w:lang w:val="en-GB"/>
        </w:rPr>
        <w:t>Judgment of 29 November 2017</w:t>
      </w:r>
      <w:r w:rsidRPr="002B4C20">
        <w:rPr>
          <w:rFonts w:ascii="Garamond" w:hAnsi="Garamond" w:cs="Lucida Grande"/>
          <w:sz w:val="20"/>
          <w:szCs w:val="20"/>
          <w:lang w:val="en-GB"/>
        </w:rPr>
        <w:t>; and</w:t>
      </w:r>
      <w:r>
        <w:rPr>
          <w:rFonts w:ascii="Garamond" w:hAnsi="Garamond" w:cs="Lucida Grande"/>
          <w:sz w:val="20"/>
          <w:szCs w:val="20"/>
          <w:lang w:val="en-GB"/>
        </w:rPr>
        <w:t xml:space="preserve"> CJEU,</w:t>
      </w:r>
      <w:r w:rsidRPr="002B4C20">
        <w:rPr>
          <w:rFonts w:ascii="Garamond" w:hAnsi="Garamond" w:cs="Lucida Grande"/>
          <w:sz w:val="20"/>
          <w:szCs w:val="20"/>
          <w:lang w:val="en-GB"/>
        </w:rPr>
        <w:t xml:space="preserve"> </w:t>
      </w:r>
      <w:r w:rsidRPr="002B4C20">
        <w:rPr>
          <w:rFonts w:ascii="Garamond" w:eastAsia="Times New Roman" w:hAnsi="Garamond" w:cs="Times New Roman"/>
          <w:bCs/>
          <w:i/>
          <w:sz w:val="20"/>
          <w:szCs w:val="20"/>
          <w:lang w:val="en-GB"/>
        </w:rPr>
        <w:t>Renckhoff</w:t>
      </w:r>
      <w:r w:rsidRPr="002B4C20">
        <w:rPr>
          <w:rFonts w:ascii="Garamond" w:eastAsia="Times New Roman" w:hAnsi="Garamond" w:cs="Times New Roman"/>
          <w:bCs/>
          <w:sz w:val="20"/>
          <w:szCs w:val="20"/>
          <w:lang w:val="en-GB"/>
        </w:rPr>
        <w:t xml:space="preserve">, </w:t>
      </w:r>
      <w:r>
        <w:rPr>
          <w:rFonts w:ascii="Garamond" w:eastAsia="Times New Roman" w:hAnsi="Garamond" w:cs="Times New Roman"/>
          <w:bCs/>
          <w:sz w:val="20"/>
          <w:szCs w:val="20"/>
          <w:lang w:val="en-GB"/>
        </w:rPr>
        <w:t xml:space="preserve">Case </w:t>
      </w:r>
      <w:r w:rsidRPr="002B4C20">
        <w:rPr>
          <w:rFonts w:ascii="Garamond" w:eastAsia="Times New Roman" w:hAnsi="Garamond" w:cs="Times New Roman"/>
          <w:bCs/>
          <w:sz w:val="20"/>
          <w:szCs w:val="20"/>
          <w:lang w:val="en-GB"/>
        </w:rPr>
        <w:t xml:space="preserve">C-161/17, </w:t>
      </w:r>
      <w:r>
        <w:rPr>
          <w:rFonts w:ascii="Garamond" w:eastAsia="Times New Roman" w:hAnsi="Garamond" w:cs="Times New Roman"/>
          <w:bCs/>
          <w:sz w:val="20"/>
          <w:szCs w:val="20"/>
          <w:lang w:val="en-GB"/>
        </w:rPr>
        <w:t>Judgment of 7 August 2018</w:t>
      </w:r>
      <w:r w:rsidRPr="002B4C20">
        <w:rPr>
          <w:rFonts w:ascii="Garamond" w:eastAsia="Times New Roman" w:hAnsi="Garamond" w:cs="Times New Roman"/>
          <w:bCs/>
          <w:sz w:val="20"/>
          <w:szCs w:val="20"/>
          <w:lang w:val="en-GB"/>
        </w:rPr>
        <w:t>.</w:t>
      </w:r>
    </w:p>
  </w:footnote>
  <w:footnote w:id="4">
    <w:p w14:paraId="6167B059" w14:textId="11AC406D" w:rsidR="00766E2C" w:rsidRPr="002B4C20" w:rsidRDefault="00766E2C" w:rsidP="004F24CD">
      <w:pPr>
        <w:pStyle w:val="FootnoteText"/>
        <w:spacing w:after="200" w:line="360" w:lineRule="auto"/>
        <w:jc w:val="both"/>
        <w:rPr>
          <w:rFonts w:ascii="Garamond" w:hAnsi="Garamond"/>
          <w:sz w:val="20"/>
          <w:szCs w:val="20"/>
          <w:lang w:val="en-GB"/>
        </w:rPr>
      </w:pPr>
      <w:r w:rsidRPr="002B4C20">
        <w:rPr>
          <w:rStyle w:val="FootnoteReference"/>
          <w:rFonts w:ascii="Garamond" w:hAnsi="Garamond"/>
          <w:sz w:val="20"/>
          <w:szCs w:val="20"/>
          <w:lang w:val="en-GB"/>
        </w:rPr>
        <w:footnoteRef/>
      </w:r>
      <w:r w:rsidRPr="002B4C20">
        <w:rPr>
          <w:rFonts w:ascii="Garamond" w:hAnsi="Garamond"/>
          <w:sz w:val="20"/>
          <w:szCs w:val="20"/>
          <w:lang w:val="en-GB"/>
        </w:rPr>
        <w:t xml:space="preserve"> According to some commentators, rather than a unified concept of communication to the public, in its case law the CJEU has created specific </w:t>
      </w:r>
      <w:r w:rsidRPr="002B4C20">
        <w:rPr>
          <w:rFonts w:ascii="Garamond" w:hAnsi="Garamond"/>
          <w:i/>
          <w:sz w:val="20"/>
          <w:szCs w:val="20"/>
          <w:lang w:val="en-GB"/>
        </w:rPr>
        <w:t>sui generis</w:t>
      </w:r>
      <w:r w:rsidRPr="002B4C20">
        <w:rPr>
          <w:rFonts w:ascii="Garamond" w:hAnsi="Garamond"/>
          <w:sz w:val="20"/>
          <w:szCs w:val="20"/>
          <w:lang w:val="en-GB"/>
        </w:rPr>
        <w:t xml:space="preserve"> groups of communication </w:t>
      </w:r>
      <w:r>
        <w:rPr>
          <w:rFonts w:ascii="Garamond" w:hAnsi="Garamond"/>
          <w:sz w:val="20"/>
          <w:szCs w:val="20"/>
          <w:lang w:val="en-GB"/>
        </w:rPr>
        <w:t xml:space="preserve">to the public cases: see Clark and </w:t>
      </w:r>
      <w:r w:rsidRPr="002B4C20">
        <w:rPr>
          <w:rFonts w:ascii="Garamond" w:hAnsi="Garamond"/>
          <w:sz w:val="20"/>
          <w:szCs w:val="20"/>
          <w:lang w:val="en-GB"/>
        </w:rPr>
        <w:t>Tozzi (2016)</w:t>
      </w:r>
      <w:r>
        <w:rPr>
          <w:rFonts w:ascii="Garamond" w:hAnsi="Garamond"/>
          <w:sz w:val="20"/>
          <w:szCs w:val="20"/>
          <w:lang w:val="en-GB"/>
        </w:rPr>
        <w:t xml:space="preserve">, p. </w:t>
      </w:r>
      <w:r w:rsidRPr="002B4C20">
        <w:rPr>
          <w:rFonts w:ascii="Garamond" w:hAnsi="Garamond"/>
          <w:sz w:val="20"/>
          <w:szCs w:val="20"/>
          <w:lang w:val="en-GB"/>
        </w:rPr>
        <w:t>717.</w:t>
      </w:r>
    </w:p>
  </w:footnote>
  <w:footnote w:id="5">
    <w:p w14:paraId="61E53E4A" w14:textId="6485E665" w:rsidR="00766E2C" w:rsidRPr="002B4C20" w:rsidRDefault="00766E2C" w:rsidP="004F24CD">
      <w:pPr>
        <w:pStyle w:val="FootnoteText"/>
        <w:spacing w:after="200" w:line="360" w:lineRule="auto"/>
        <w:jc w:val="both"/>
        <w:rPr>
          <w:rFonts w:ascii="Garamond" w:hAnsi="Garamond" w:cs="Times New Roman"/>
          <w:sz w:val="20"/>
          <w:szCs w:val="20"/>
          <w:lang w:val="en-GB"/>
        </w:rPr>
      </w:pPr>
      <w:r w:rsidRPr="002B4C20">
        <w:rPr>
          <w:rStyle w:val="FootnoteReference"/>
          <w:rFonts w:ascii="Garamond" w:hAnsi="Garamond" w:cs="Times New Roman"/>
          <w:sz w:val="20"/>
          <w:szCs w:val="20"/>
          <w:lang w:val="en-GB"/>
        </w:rPr>
        <w:footnoteRef/>
      </w:r>
      <w:r w:rsidRPr="002B4C20">
        <w:rPr>
          <w:rFonts w:ascii="Garamond" w:hAnsi="Garamond" w:cs="Times New Roman"/>
          <w:sz w:val="20"/>
          <w:szCs w:val="20"/>
          <w:lang w:val="en-GB"/>
        </w:rPr>
        <w:t xml:space="preserve"> World Intellectual Property Organization (2003), BC-11</w:t>
      </w:r>
      <w:r w:rsidRPr="002B4C20">
        <w:rPr>
          <w:rFonts w:ascii="Garamond" w:hAnsi="Garamond" w:cs="Times New Roman"/>
          <w:i/>
          <w:sz w:val="20"/>
          <w:szCs w:val="20"/>
          <w:lang w:val="en-GB"/>
        </w:rPr>
        <w:t>bis</w:t>
      </w:r>
      <w:r w:rsidRPr="002B4C20">
        <w:rPr>
          <w:rFonts w:ascii="Garamond" w:hAnsi="Garamond" w:cs="Times New Roman"/>
          <w:sz w:val="20"/>
          <w:szCs w:val="20"/>
          <w:lang w:val="en-GB"/>
        </w:rPr>
        <w:t>.1.</w:t>
      </w:r>
    </w:p>
  </w:footnote>
  <w:footnote w:id="6">
    <w:p w14:paraId="329395AB" w14:textId="77777777" w:rsidR="00766E2C" w:rsidRPr="002B4C20" w:rsidRDefault="00766E2C" w:rsidP="004F24CD">
      <w:pPr>
        <w:pStyle w:val="FootnoteText"/>
        <w:spacing w:after="200" w:line="360" w:lineRule="auto"/>
        <w:jc w:val="both"/>
        <w:rPr>
          <w:rFonts w:ascii="Garamond" w:hAnsi="Garamond" w:cs="Times New Roman"/>
          <w:sz w:val="20"/>
          <w:szCs w:val="20"/>
          <w:lang w:val="en-GB"/>
        </w:rPr>
      </w:pPr>
      <w:r w:rsidRPr="002B4C20">
        <w:rPr>
          <w:rStyle w:val="FootnoteReference"/>
          <w:rFonts w:ascii="Garamond" w:hAnsi="Garamond" w:cs="Times New Roman"/>
          <w:sz w:val="20"/>
          <w:szCs w:val="20"/>
          <w:lang w:val="en-GB"/>
        </w:rPr>
        <w:footnoteRef/>
      </w:r>
      <w:r w:rsidRPr="002B4C20">
        <w:rPr>
          <w:rFonts w:ascii="Garamond" w:hAnsi="Garamond" w:cs="Times New Roman"/>
          <w:sz w:val="20"/>
          <w:szCs w:val="20"/>
          <w:lang w:val="en-GB"/>
        </w:rPr>
        <w:t xml:space="preserve"> Article 1(4) of the WIPO Copyright Treaty mandates compliance with Articles 1 to 21 of and the Appendix to the Berne Convention.</w:t>
      </w:r>
    </w:p>
  </w:footnote>
  <w:footnote w:id="7">
    <w:p w14:paraId="62E19377" w14:textId="2E7251BD" w:rsidR="00766E2C" w:rsidRPr="002B4C20" w:rsidRDefault="00766E2C" w:rsidP="004F24CD">
      <w:pPr>
        <w:pStyle w:val="FootnoteText"/>
        <w:spacing w:after="200" w:line="360" w:lineRule="auto"/>
        <w:jc w:val="both"/>
        <w:rPr>
          <w:rFonts w:ascii="Garamond" w:hAnsi="Garamond" w:cs="Times New Roman"/>
          <w:sz w:val="20"/>
          <w:szCs w:val="20"/>
          <w:lang w:val="en-GB"/>
        </w:rPr>
      </w:pPr>
      <w:r w:rsidRPr="002B4C20">
        <w:rPr>
          <w:rStyle w:val="FootnoteReference"/>
          <w:rFonts w:ascii="Garamond" w:hAnsi="Garamond" w:cs="Times New Roman"/>
          <w:sz w:val="20"/>
          <w:szCs w:val="20"/>
          <w:lang w:val="en-GB"/>
        </w:rPr>
        <w:footnoteRef/>
      </w:r>
      <w:r w:rsidRPr="002B4C20">
        <w:rPr>
          <w:rFonts w:ascii="Garamond" w:hAnsi="Garamond" w:cs="Times New Roman"/>
          <w:sz w:val="20"/>
          <w:szCs w:val="20"/>
          <w:lang w:val="en-GB"/>
        </w:rPr>
        <w:t xml:space="preserve"> On the concept of making available within Article 8 of the WIPO Copyright Treaty, see Walter (2010), p</w:t>
      </w:r>
      <w:r>
        <w:rPr>
          <w:rFonts w:ascii="Garamond" w:hAnsi="Garamond" w:cs="Times New Roman"/>
          <w:sz w:val="20"/>
          <w:szCs w:val="20"/>
          <w:lang w:val="en-GB"/>
        </w:rPr>
        <w:t>.</w:t>
      </w:r>
      <w:r w:rsidRPr="002B4C20">
        <w:rPr>
          <w:rFonts w:ascii="Garamond" w:hAnsi="Garamond" w:cs="Times New Roman"/>
          <w:sz w:val="20"/>
          <w:szCs w:val="20"/>
          <w:lang w:val="en-GB"/>
        </w:rPr>
        <w:t xml:space="preserve"> 975-980.</w:t>
      </w:r>
    </w:p>
  </w:footnote>
  <w:footnote w:id="8">
    <w:p w14:paraId="02E32DFA" w14:textId="4DE44386" w:rsidR="00766E2C" w:rsidRPr="002B4C20" w:rsidRDefault="00766E2C" w:rsidP="004F24CD">
      <w:pPr>
        <w:pStyle w:val="NormalWeb"/>
        <w:shd w:val="clear" w:color="auto" w:fill="FFFFFF"/>
        <w:spacing w:before="0" w:beforeAutospacing="0" w:after="200" w:afterAutospacing="0" w:line="360" w:lineRule="auto"/>
        <w:jc w:val="both"/>
        <w:rPr>
          <w:rFonts w:ascii="Garamond" w:hAnsi="Garamond"/>
          <w:bCs/>
          <w:lang w:val="en-GB"/>
        </w:rPr>
      </w:pPr>
      <w:r w:rsidRPr="002B4C20">
        <w:rPr>
          <w:rStyle w:val="FootnoteReference"/>
          <w:rFonts w:ascii="Garamond" w:hAnsi="Garamond"/>
          <w:lang w:val="en-GB"/>
        </w:rPr>
        <w:footnoteRef/>
      </w:r>
      <w:r w:rsidRPr="002B4C20">
        <w:rPr>
          <w:rFonts w:ascii="Garamond" w:hAnsi="Garamond"/>
          <w:lang w:val="en-GB"/>
        </w:rPr>
        <w:t xml:space="preserve"> </w:t>
      </w:r>
      <w:r w:rsidRPr="002B4C20">
        <w:rPr>
          <w:rFonts w:ascii="Garamond" w:hAnsi="Garamond" w:cs="Lucida Grande"/>
          <w:i/>
          <w:lang w:val="en-GB"/>
        </w:rPr>
        <w:t>SCF</w:t>
      </w:r>
      <w:r w:rsidRPr="002B4C20">
        <w:rPr>
          <w:rFonts w:ascii="Garamond" w:hAnsi="Garamond" w:cs="Lucida Grande"/>
          <w:lang w:val="en-GB"/>
        </w:rPr>
        <w:t xml:space="preserve">, </w:t>
      </w:r>
      <w:r>
        <w:rPr>
          <w:rFonts w:ascii="Garamond" w:eastAsia="Times New Roman" w:hAnsi="Garamond"/>
          <w:bCs/>
          <w:shd w:val="clear" w:color="auto" w:fill="FFFFFF"/>
          <w:lang w:val="en-GB"/>
        </w:rPr>
        <w:t>par.</w:t>
      </w:r>
      <w:r w:rsidRPr="002B4C20">
        <w:rPr>
          <w:rFonts w:ascii="Garamond" w:eastAsia="Times New Roman" w:hAnsi="Garamond"/>
          <w:shd w:val="clear" w:color="auto" w:fill="FFFFFF"/>
          <w:lang w:val="en-GB"/>
        </w:rPr>
        <w:t xml:space="preserve"> 79; </w:t>
      </w:r>
      <w:r w:rsidRPr="002B4C20">
        <w:rPr>
          <w:rFonts w:ascii="Garamond" w:hAnsi="Garamond"/>
          <w:bCs/>
          <w:i/>
          <w:lang w:val="en-GB"/>
        </w:rPr>
        <w:t>Phonographic Performance (Ireland)</w:t>
      </w:r>
      <w:r w:rsidRPr="002B4C20">
        <w:rPr>
          <w:rFonts w:ascii="Garamond" w:hAnsi="Garamond"/>
          <w:bCs/>
          <w:lang w:val="en-GB"/>
        </w:rPr>
        <w:t xml:space="preserve">, </w:t>
      </w:r>
      <w:r>
        <w:rPr>
          <w:rFonts w:ascii="Garamond" w:eastAsia="Times New Roman" w:hAnsi="Garamond"/>
          <w:shd w:val="clear" w:color="auto" w:fill="FFFFFF"/>
          <w:lang w:val="en-GB"/>
        </w:rPr>
        <w:t>par.</w:t>
      </w:r>
      <w:r w:rsidRPr="002B4C20">
        <w:rPr>
          <w:rFonts w:ascii="Garamond" w:eastAsia="Times New Roman" w:hAnsi="Garamond"/>
          <w:shd w:val="clear" w:color="auto" w:fill="FFFFFF"/>
          <w:lang w:val="en-GB"/>
        </w:rPr>
        <w:t xml:space="preserve"> 30; </w:t>
      </w:r>
      <w:r w:rsidRPr="002B4C20">
        <w:rPr>
          <w:rFonts w:ascii="Garamond" w:hAnsi="Garamond"/>
          <w:bCs/>
          <w:i/>
          <w:lang w:val="en-GB"/>
        </w:rPr>
        <w:t>Reha Training</w:t>
      </w:r>
      <w:r>
        <w:rPr>
          <w:rFonts w:ascii="Garamond" w:eastAsia="Times New Roman" w:hAnsi="Garamond"/>
          <w:shd w:val="clear" w:color="auto" w:fill="FFFFFF"/>
          <w:lang w:val="en-GB"/>
        </w:rPr>
        <w:t>, par.</w:t>
      </w:r>
      <w:r w:rsidRPr="002B4C20">
        <w:rPr>
          <w:rFonts w:ascii="Garamond" w:eastAsia="Times New Roman" w:hAnsi="Garamond"/>
          <w:shd w:val="clear" w:color="auto" w:fill="FFFFFF"/>
          <w:lang w:val="en-GB"/>
        </w:rPr>
        <w:t xml:space="preserve"> 35;</w:t>
      </w:r>
      <w:r w:rsidRPr="002B4C20">
        <w:rPr>
          <w:rFonts w:ascii="Garamond" w:hAnsi="Garamond"/>
          <w:i/>
          <w:lang w:val="en-GB"/>
        </w:rPr>
        <w:t xml:space="preserve"> </w:t>
      </w:r>
      <w:r w:rsidRPr="002B4C20">
        <w:rPr>
          <w:rFonts w:ascii="Garamond" w:hAnsi="Garamond" w:cs="Lucida Grande"/>
          <w:i/>
          <w:lang w:val="en-GB"/>
        </w:rPr>
        <w:t>GS Media</w:t>
      </w:r>
      <w:r>
        <w:rPr>
          <w:rFonts w:ascii="Garamond" w:hAnsi="Garamond"/>
          <w:lang w:val="en-GB"/>
        </w:rPr>
        <w:t>, par.</w:t>
      </w:r>
      <w:r w:rsidRPr="002B4C20">
        <w:rPr>
          <w:rFonts w:ascii="Garamond" w:hAnsi="Garamond"/>
          <w:lang w:val="en-GB"/>
        </w:rPr>
        <w:t xml:space="preserve"> 34; </w:t>
      </w:r>
      <w:r w:rsidRPr="002B4C20">
        <w:rPr>
          <w:rFonts w:ascii="Garamond" w:hAnsi="Garamond" w:cs="Lucida Grande"/>
          <w:i/>
          <w:lang w:val="en-GB"/>
        </w:rPr>
        <w:t>Stichting Brein</w:t>
      </w:r>
      <w:r w:rsidRPr="002B4C20">
        <w:rPr>
          <w:rFonts w:ascii="Garamond" w:hAnsi="Garamond" w:cs="Lucida Grande"/>
          <w:lang w:val="en-GB"/>
        </w:rPr>
        <w:t xml:space="preserve">, C-527/15, </w:t>
      </w:r>
      <w:r>
        <w:rPr>
          <w:rFonts w:ascii="Garamond" w:hAnsi="Garamond"/>
          <w:lang w:val="en-GB"/>
        </w:rPr>
        <w:t>par.</w:t>
      </w:r>
      <w:r w:rsidRPr="002B4C20">
        <w:rPr>
          <w:rFonts w:ascii="Garamond" w:hAnsi="Garamond"/>
          <w:lang w:val="en-GB"/>
        </w:rPr>
        <w:t xml:space="preserve"> 30; </w:t>
      </w:r>
      <w:r w:rsidRPr="002B4C20">
        <w:rPr>
          <w:rFonts w:ascii="Garamond" w:hAnsi="Garamond" w:cs="Lucida Grande"/>
          <w:i/>
          <w:lang w:val="en-GB"/>
        </w:rPr>
        <w:t>Stichting Brein</w:t>
      </w:r>
      <w:r w:rsidRPr="002B4C20">
        <w:rPr>
          <w:rFonts w:ascii="Garamond" w:hAnsi="Garamond" w:cs="Lucida Grande"/>
          <w:lang w:val="en-GB"/>
        </w:rPr>
        <w:t xml:space="preserve">, C-610/15, </w:t>
      </w:r>
      <w:r>
        <w:rPr>
          <w:rFonts w:ascii="Garamond" w:hAnsi="Garamond"/>
          <w:lang w:val="en-GB"/>
        </w:rPr>
        <w:t>par.</w:t>
      </w:r>
      <w:r w:rsidRPr="002B4C20">
        <w:rPr>
          <w:rFonts w:ascii="Garamond" w:hAnsi="Garamond"/>
          <w:lang w:val="en-GB"/>
        </w:rPr>
        <w:t xml:space="preserve"> 25.</w:t>
      </w:r>
    </w:p>
  </w:footnote>
  <w:footnote w:id="9">
    <w:p w14:paraId="606778F4" w14:textId="197DA354" w:rsidR="00766E2C" w:rsidRPr="002B4C20" w:rsidRDefault="00766E2C" w:rsidP="004F24CD">
      <w:pPr>
        <w:spacing w:after="200" w:line="360" w:lineRule="auto"/>
        <w:jc w:val="both"/>
        <w:rPr>
          <w:rFonts w:ascii="Garamond" w:eastAsia="Times New Roman" w:hAnsi="Garamond"/>
          <w:sz w:val="20"/>
          <w:szCs w:val="20"/>
          <w:lang w:val="en-GB"/>
        </w:rPr>
      </w:pPr>
      <w:r w:rsidRPr="002B4C20">
        <w:rPr>
          <w:rStyle w:val="FootnoteReference"/>
          <w:rFonts w:ascii="Garamond" w:hAnsi="Garamond" w:cs="Times New Roman"/>
          <w:sz w:val="20"/>
          <w:szCs w:val="20"/>
          <w:lang w:val="en-GB"/>
        </w:rPr>
        <w:footnoteRef/>
      </w:r>
      <w:r>
        <w:rPr>
          <w:rFonts w:ascii="Garamond" w:hAnsi="Garamond" w:cs="Times New Roman"/>
          <w:sz w:val="20"/>
          <w:szCs w:val="20"/>
          <w:lang w:val="en-GB"/>
        </w:rPr>
        <w:t xml:space="preserve"> This part builds upon Rosati</w:t>
      </w:r>
      <w:r w:rsidRPr="002B4C20">
        <w:rPr>
          <w:rFonts w:ascii="Garamond" w:hAnsi="Garamond" w:cs="Times New Roman"/>
          <w:sz w:val="20"/>
          <w:szCs w:val="20"/>
          <w:lang w:val="en-GB"/>
        </w:rPr>
        <w:t xml:space="preserve"> (2017</w:t>
      </w:r>
      <w:r>
        <w:rPr>
          <w:rFonts w:ascii="Garamond" w:hAnsi="Garamond" w:cs="Times New Roman"/>
          <w:sz w:val="20"/>
          <w:szCs w:val="20"/>
          <w:lang w:val="en-GB"/>
        </w:rPr>
        <w:t>a</w:t>
      </w:r>
      <w:r w:rsidRPr="002B4C20">
        <w:rPr>
          <w:rFonts w:ascii="Garamond" w:hAnsi="Garamond" w:cs="Times New Roman"/>
          <w:sz w:val="20"/>
          <w:szCs w:val="20"/>
          <w:lang w:val="en-GB"/>
        </w:rPr>
        <w:t>)</w:t>
      </w:r>
      <w:r>
        <w:rPr>
          <w:rFonts w:ascii="Garamond" w:hAnsi="Garamond" w:cs="Times New Roman"/>
          <w:sz w:val="20"/>
          <w:szCs w:val="20"/>
          <w:lang w:val="en-GB"/>
        </w:rPr>
        <w:t xml:space="preserve">, p. </w:t>
      </w:r>
      <w:r w:rsidRPr="002B4C20">
        <w:rPr>
          <w:rFonts w:ascii="Garamond" w:hAnsi="Garamond" w:cs="Times New Roman"/>
          <w:sz w:val="20"/>
          <w:szCs w:val="20"/>
          <w:lang w:val="en-GB"/>
        </w:rPr>
        <w:t xml:space="preserve">1233-1238 and </w:t>
      </w:r>
      <w:r>
        <w:rPr>
          <w:rFonts w:ascii="Garamond" w:hAnsi="Garamond" w:cs="Times New Roman"/>
          <w:sz w:val="20"/>
          <w:szCs w:val="20"/>
          <w:lang w:val="en-GB"/>
        </w:rPr>
        <w:t>Rosati</w:t>
      </w:r>
      <w:r w:rsidRPr="008758BE">
        <w:rPr>
          <w:rFonts w:ascii="Garamond" w:hAnsi="Garamond" w:cs="Times New Roman"/>
          <w:sz w:val="20"/>
          <w:szCs w:val="20"/>
          <w:lang w:val="en-GB"/>
        </w:rPr>
        <w:t xml:space="preserve"> (2017</w:t>
      </w:r>
      <w:r>
        <w:rPr>
          <w:rFonts w:ascii="Garamond" w:hAnsi="Garamond" w:cs="Times New Roman"/>
          <w:sz w:val="20"/>
          <w:szCs w:val="20"/>
          <w:lang w:val="en-GB"/>
        </w:rPr>
        <w:t>b</w:t>
      </w:r>
      <w:r w:rsidRPr="008758BE">
        <w:rPr>
          <w:rFonts w:ascii="Garamond" w:hAnsi="Garamond" w:cs="Times New Roman"/>
          <w:sz w:val="20"/>
          <w:szCs w:val="20"/>
          <w:lang w:val="en-GB"/>
        </w:rPr>
        <w:t>)</w:t>
      </w:r>
      <w:r>
        <w:rPr>
          <w:rFonts w:ascii="Garamond" w:eastAsia="Times New Roman" w:hAnsi="Garamond"/>
          <w:sz w:val="20"/>
          <w:szCs w:val="20"/>
          <w:lang w:val="en-GB"/>
        </w:rPr>
        <w:t>, p. 737 ff</w:t>
      </w:r>
      <w:r w:rsidRPr="008758BE">
        <w:rPr>
          <w:rFonts w:ascii="Garamond" w:eastAsia="Times New Roman" w:hAnsi="Garamond"/>
          <w:sz w:val="20"/>
          <w:szCs w:val="20"/>
          <w:lang w:val="en-GB"/>
        </w:rPr>
        <w:t>.</w:t>
      </w:r>
    </w:p>
  </w:footnote>
  <w:footnote w:id="10">
    <w:p w14:paraId="7C981E21" w14:textId="4A4E2A90" w:rsidR="00766E2C" w:rsidRPr="002B4C20" w:rsidRDefault="00766E2C" w:rsidP="004F24CD">
      <w:pPr>
        <w:widowControl w:val="0"/>
        <w:autoSpaceDE w:val="0"/>
        <w:autoSpaceDN w:val="0"/>
        <w:adjustRightInd w:val="0"/>
        <w:spacing w:after="200" w:line="360" w:lineRule="auto"/>
        <w:jc w:val="both"/>
        <w:rPr>
          <w:rFonts w:ascii="Garamond" w:hAnsi="Garamond"/>
          <w:bCs/>
          <w:sz w:val="20"/>
          <w:szCs w:val="20"/>
          <w:lang w:val="en-GB"/>
        </w:rPr>
      </w:pPr>
      <w:r w:rsidRPr="002B4C20">
        <w:rPr>
          <w:rStyle w:val="FootnoteReference"/>
          <w:rFonts w:ascii="Garamond" w:hAnsi="Garamond"/>
          <w:sz w:val="20"/>
          <w:szCs w:val="20"/>
          <w:lang w:val="en-GB"/>
        </w:rPr>
        <w:footnoteRef/>
      </w:r>
      <w:r>
        <w:rPr>
          <w:rFonts w:ascii="Garamond" w:hAnsi="Garamond"/>
          <w:sz w:val="20"/>
          <w:szCs w:val="20"/>
          <w:lang w:val="en-GB"/>
        </w:rPr>
        <w:t xml:space="preserve"> Karapapa (2017), p. </w:t>
      </w:r>
      <w:r w:rsidRPr="002B4C20">
        <w:rPr>
          <w:rFonts w:ascii="Garamond" w:hAnsi="Garamond"/>
          <w:sz w:val="20"/>
          <w:szCs w:val="20"/>
          <w:lang w:val="en-GB"/>
        </w:rPr>
        <w:t>66.</w:t>
      </w:r>
    </w:p>
  </w:footnote>
  <w:footnote w:id="11">
    <w:p w14:paraId="72C8C1A2" w14:textId="372E9A90" w:rsidR="00766E2C" w:rsidRPr="002B4C20" w:rsidRDefault="00766E2C" w:rsidP="004F24CD">
      <w:pPr>
        <w:pStyle w:val="FootnoteText"/>
        <w:spacing w:after="200" w:line="360" w:lineRule="auto"/>
        <w:jc w:val="both"/>
        <w:rPr>
          <w:rFonts w:ascii="Garamond" w:hAnsi="Garamond" w:cs="Times New Roman"/>
          <w:sz w:val="20"/>
          <w:szCs w:val="20"/>
          <w:lang w:val="en-GB"/>
        </w:rPr>
      </w:pPr>
      <w:r w:rsidRPr="002B4C20">
        <w:rPr>
          <w:rStyle w:val="FootnoteReference"/>
          <w:rFonts w:ascii="Garamond" w:hAnsi="Garamond" w:cs="Times New Roman"/>
          <w:sz w:val="20"/>
          <w:szCs w:val="20"/>
          <w:lang w:val="en-GB"/>
        </w:rPr>
        <w:footnoteRef/>
      </w:r>
      <w:r w:rsidRPr="002B4C20">
        <w:rPr>
          <w:rFonts w:ascii="Garamond" w:hAnsi="Garamond" w:cs="Times New Roman"/>
          <w:sz w:val="20"/>
          <w:szCs w:val="20"/>
          <w:lang w:val="en-GB"/>
        </w:rPr>
        <w:t xml:space="preserve"> </w:t>
      </w:r>
      <w:r w:rsidRPr="002B4C20">
        <w:rPr>
          <w:rFonts w:ascii="Garamond" w:hAnsi="Garamond" w:cs="Times New Roman"/>
          <w:i/>
          <w:sz w:val="20"/>
          <w:szCs w:val="20"/>
          <w:lang w:val="en-GB"/>
        </w:rPr>
        <w:t>SGAE</w:t>
      </w:r>
      <w:r>
        <w:rPr>
          <w:rFonts w:ascii="Garamond" w:hAnsi="Garamond" w:cs="Times New Roman"/>
          <w:sz w:val="20"/>
          <w:szCs w:val="20"/>
          <w:lang w:val="en-GB"/>
        </w:rPr>
        <w:t>, par.</w:t>
      </w:r>
      <w:r w:rsidRPr="002B4C20">
        <w:rPr>
          <w:rFonts w:ascii="Garamond" w:hAnsi="Garamond" w:cs="Times New Roman"/>
          <w:sz w:val="20"/>
          <w:szCs w:val="20"/>
          <w:lang w:val="en-GB"/>
        </w:rPr>
        <w:t xml:space="preserve"> 38; </w:t>
      </w:r>
      <w:r w:rsidRPr="002B4C20">
        <w:rPr>
          <w:rFonts w:ascii="Garamond" w:hAnsi="Garamond" w:cs="Times New Roman"/>
          <w:i/>
          <w:sz w:val="20"/>
          <w:szCs w:val="20"/>
          <w:lang w:val="en-GB"/>
        </w:rPr>
        <w:t>SCF</w:t>
      </w:r>
      <w:r>
        <w:rPr>
          <w:rFonts w:ascii="Garamond" w:hAnsi="Garamond" w:cs="Times New Roman"/>
          <w:sz w:val="20"/>
          <w:szCs w:val="20"/>
          <w:lang w:val="en-GB"/>
        </w:rPr>
        <w:t>, par.</w:t>
      </w:r>
      <w:r w:rsidRPr="002B4C20">
        <w:rPr>
          <w:rFonts w:ascii="Garamond" w:hAnsi="Garamond" w:cs="Times New Roman"/>
          <w:sz w:val="20"/>
          <w:szCs w:val="20"/>
          <w:lang w:val="en-GB"/>
        </w:rPr>
        <w:t xml:space="preserve"> 84; </w:t>
      </w:r>
      <w:r w:rsidRPr="002B4C20">
        <w:rPr>
          <w:rFonts w:ascii="Garamond" w:hAnsi="Garamond" w:cs="Times New Roman"/>
          <w:bCs/>
          <w:i/>
          <w:sz w:val="20"/>
          <w:szCs w:val="20"/>
          <w:lang w:val="en-GB"/>
        </w:rPr>
        <w:t>Phonographic Performance (Ireland)</w:t>
      </w:r>
      <w:r>
        <w:rPr>
          <w:rFonts w:ascii="Garamond" w:hAnsi="Garamond" w:cs="Times New Roman"/>
          <w:sz w:val="20"/>
          <w:szCs w:val="20"/>
          <w:lang w:val="en-GB"/>
        </w:rPr>
        <w:t>, par.</w:t>
      </w:r>
      <w:r w:rsidRPr="002B4C20">
        <w:rPr>
          <w:rFonts w:ascii="Garamond" w:hAnsi="Garamond" w:cs="Times New Roman"/>
          <w:sz w:val="20"/>
          <w:szCs w:val="20"/>
          <w:lang w:val="en-GB"/>
        </w:rPr>
        <w:t xml:space="preserve"> 33; </w:t>
      </w:r>
      <w:r w:rsidRPr="002B4C20">
        <w:rPr>
          <w:rFonts w:ascii="Garamond" w:hAnsi="Garamond" w:cs="Lucida Grande"/>
          <w:i/>
          <w:sz w:val="20"/>
          <w:szCs w:val="20"/>
          <w:lang w:val="en-GB"/>
        </w:rPr>
        <w:t>ITV Broadcasting</w:t>
      </w:r>
      <w:r>
        <w:rPr>
          <w:rFonts w:ascii="Garamond" w:hAnsi="Garamond" w:cs="Times New Roman"/>
          <w:sz w:val="20"/>
          <w:szCs w:val="20"/>
          <w:lang w:val="en-GB"/>
        </w:rPr>
        <w:t>, par.</w:t>
      </w:r>
      <w:r w:rsidRPr="002B4C20">
        <w:rPr>
          <w:rFonts w:ascii="Garamond" w:hAnsi="Garamond" w:cs="Times New Roman"/>
          <w:sz w:val="20"/>
          <w:szCs w:val="20"/>
          <w:lang w:val="en-GB"/>
        </w:rPr>
        <w:t xml:space="preserve"> 32; </w:t>
      </w:r>
      <w:r w:rsidRPr="002B4C20">
        <w:rPr>
          <w:rFonts w:ascii="Garamond" w:hAnsi="Garamond" w:cs="Times New Roman"/>
          <w:bCs/>
          <w:i/>
          <w:sz w:val="20"/>
          <w:szCs w:val="20"/>
          <w:lang w:val="en-GB"/>
        </w:rPr>
        <w:t>Svensson and Others</w:t>
      </w:r>
      <w:r w:rsidRPr="002B4C20">
        <w:rPr>
          <w:rFonts w:ascii="Garamond" w:hAnsi="Garamond" w:cs="Times New Roman"/>
          <w:bCs/>
          <w:sz w:val="20"/>
          <w:szCs w:val="20"/>
          <w:lang w:val="en-GB"/>
        </w:rPr>
        <w:t xml:space="preserve">, </w:t>
      </w:r>
      <w:r>
        <w:rPr>
          <w:rFonts w:ascii="Garamond" w:hAnsi="Garamond" w:cs="Times New Roman"/>
          <w:sz w:val="20"/>
          <w:szCs w:val="20"/>
          <w:lang w:val="en-GB"/>
        </w:rPr>
        <w:t>par.</w:t>
      </w:r>
      <w:r w:rsidRPr="002B4C20">
        <w:rPr>
          <w:rFonts w:ascii="Garamond" w:hAnsi="Garamond" w:cs="Times New Roman"/>
          <w:sz w:val="20"/>
          <w:szCs w:val="20"/>
          <w:lang w:val="en-GB"/>
        </w:rPr>
        <w:t xml:space="preserve"> 21; </w:t>
      </w:r>
      <w:r w:rsidRPr="002B4C20">
        <w:rPr>
          <w:rFonts w:ascii="Garamond" w:eastAsia="Times New Roman" w:hAnsi="Garamond" w:cs="Times New Roman"/>
          <w:bCs/>
          <w:i/>
          <w:sz w:val="20"/>
          <w:szCs w:val="20"/>
          <w:shd w:val="clear" w:color="auto" w:fill="FFFFFF"/>
          <w:lang w:val="en-GB"/>
        </w:rPr>
        <w:t>OSA</w:t>
      </w:r>
      <w:r w:rsidRPr="002B4C20">
        <w:rPr>
          <w:rFonts w:ascii="Garamond" w:eastAsia="Times New Roman" w:hAnsi="Garamond" w:cs="Times New Roman"/>
          <w:sz w:val="20"/>
          <w:szCs w:val="20"/>
          <w:lang w:val="en-GB"/>
        </w:rPr>
        <w:t xml:space="preserve">, </w:t>
      </w:r>
      <w:r>
        <w:rPr>
          <w:rFonts w:ascii="Garamond" w:hAnsi="Garamond" w:cs="Times New Roman"/>
          <w:sz w:val="20"/>
          <w:szCs w:val="20"/>
          <w:lang w:val="en-GB"/>
        </w:rPr>
        <w:t>par.</w:t>
      </w:r>
      <w:r w:rsidRPr="002B4C20">
        <w:rPr>
          <w:rFonts w:ascii="Garamond" w:hAnsi="Garamond" w:cs="Times New Roman"/>
          <w:sz w:val="20"/>
          <w:szCs w:val="20"/>
          <w:lang w:val="en-GB"/>
        </w:rPr>
        <w:t xml:space="preserve"> 27; </w:t>
      </w:r>
      <w:r w:rsidRPr="002B4C20">
        <w:rPr>
          <w:rFonts w:ascii="Garamond" w:hAnsi="Garamond" w:cs="Lucida Grande"/>
          <w:i/>
          <w:sz w:val="20"/>
          <w:szCs w:val="20"/>
          <w:lang w:val="en-GB"/>
        </w:rPr>
        <w:t>Sociedade Portuguesa de Autores CRL</w:t>
      </w:r>
      <w:r w:rsidRPr="002B4C20">
        <w:rPr>
          <w:rFonts w:ascii="Garamond" w:hAnsi="Garamond" w:cs="Lucida Grande"/>
          <w:sz w:val="20"/>
          <w:szCs w:val="20"/>
          <w:lang w:val="en-GB"/>
        </w:rPr>
        <w:t xml:space="preserve">, </w:t>
      </w:r>
      <w:r>
        <w:rPr>
          <w:rFonts w:ascii="Garamond" w:hAnsi="Garamond" w:cs="Times New Roman"/>
          <w:sz w:val="20"/>
          <w:szCs w:val="20"/>
          <w:lang w:val="en-GB"/>
        </w:rPr>
        <w:t>par.</w:t>
      </w:r>
      <w:r w:rsidRPr="002B4C20">
        <w:rPr>
          <w:rFonts w:ascii="Garamond" w:hAnsi="Garamond" w:cs="Times New Roman"/>
          <w:sz w:val="20"/>
          <w:szCs w:val="20"/>
          <w:lang w:val="en-GB"/>
        </w:rPr>
        <w:t xml:space="preserve"> 19; </w:t>
      </w:r>
      <w:r w:rsidRPr="002B4C20">
        <w:rPr>
          <w:rFonts w:ascii="Garamond" w:hAnsi="Garamond" w:cs="Lucida Grande"/>
          <w:i/>
          <w:sz w:val="20"/>
          <w:szCs w:val="20"/>
          <w:lang w:val="en-GB"/>
        </w:rPr>
        <w:t>SBS Belgium</w:t>
      </w:r>
      <w:r w:rsidRPr="002B4C20">
        <w:rPr>
          <w:rFonts w:ascii="Garamond" w:hAnsi="Garamond" w:cs="Lucida Grande"/>
          <w:sz w:val="20"/>
          <w:szCs w:val="20"/>
          <w:lang w:val="en-GB"/>
        </w:rPr>
        <w:t xml:space="preserve">, </w:t>
      </w:r>
      <w:r>
        <w:rPr>
          <w:rFonts w:ascii="Garamond" w:hAnsi="Garamond" w:cs="Times New Roman"/>
          <w:sz w:val="20"/>
          <w:szCs w:val="20"/>
          <w:lang w:val="en-GB"/>
        </w:rPr>
        <w:t>par.</w:t>
      </w:r>
      <w:r w:rsidRPr="002B4C20">
        <w:rPr>
          <w:rFonts w:ascii="Garamond" w:hAnsi="Garamond" w:cs="Times New Roman"/>
          <w:sz w:val="20"/>
          <w:szCs w:val="20"/>
          <w:lang w:val="en-GB"/>
        </w:rPr>
        <w:t xml:space="preserve"> 21; </w:t>
      </w:r>
      <w:r w:rsidRPr="002B4C20">
        <w:rPr>
          <w:rFonts w:ascii="Garamond" w:hAnsi="Garamond" w:cs="Lucida Grande"/>
          <w:i/>
          <w:sz w:val="20"/>
          <w:szCs w:val="20"/>
          <w:lang w:val="en-GB"/>
        </w:rPr>
        <w:t>GS Media</w:t>
      </w:r>
      <w:r w:rsidRPr="002B4C20">
        <w:rPr>
          <w:rFonts w:ascii="Garamond" w:hAnsi="Garamond" w:cs="Lucida Grande"/>
          <w:sz w:val="20"/>
          <w:szCs w:val="20"/>
          <w:lang w:val="en-GB"/>
        </w:rPr>
        <w:t xml:space="preserve">, </w:t>
      </w:r>
      <w:r>
        <w:rPr>
          <w:rFonts w:ascii="Garamond" w:hAnsi="Garamond" w:cs="Times New Roman"/>
          <w:sz w:val="20"/>
          <w:szCs w:val="20"/>
          <w:lang w:val="en-GB"/>
        </w:rPr>
        <w:t>par.</w:t>
      </w:r>
      <w:r w:rsidRPr="002B4C20">
        <w:rPr>
          <w:rFonts w:ascii="Garamond" w:hAnsi="Garamond" w:cs="Times New Roman"/>
          <w:sz w:val="20"/>
          <w:szCs w:val="20"/>
          <w:lang w:val="en-GB"/>
        </w:rPr>
        <w:t xml:space="preserve"> 36; </w:t>
      </w:r>
      <w:r w:rsidRPr="002B4C20">
        <w:rPr>
          <w:rFonts w:ascii="Garamond" w:hAnsi="Garamond" w:cs="Lucida Grande"/>
          <w:i/>
          <w:sz w:val="20"/>
          <w:szCs w:val="20"/>
          <w:lang w:val="en-GB"/>
        </w:rPr>
        <w:t>Stichting Brein</w:t>
      </w:r>
      <w:r w:rsidRPr="002B4C20">
        <w:rPr>
          <w:rFonts w:ascii="Garamond" w:hAnsi="Garamond" w:cs="Lucida Grande"/>
          <w:sz w:val="20"/>
          <w:szCs w:val="20"/>
          <w:lang w:val="en-GB"/>
        </w:rPr>
        <w:t xml:space="preserve">, C-527/15, </w:t>
      </w:r>
      <w:r>
        <w:rPr>
          <w:rFonts w:ascii="Garamond" w:hAnsi="Garamond" w:cs="Times New Roman"/>
          <w:sz w:val="20"/>
          <w:szCs w:val="20"/>
          <w:lang w:val="en-GB"/>
        </w:rPr>
        <w:t>par.</w:t>
      </w:r>
      <w:r w:rsidRPr="002B4C20">
        <w:rPr>
          <w:rFonts w:ascii="Garamond" w:hAnsi="Garamond" w:cs="Times New Roman"/>
          <w:sz w:val="20"/>
          <w:szCs w:val="20"/>
          <w:lang w:val="en-GB"/>
        </w:rPr>
        <w:t xml:space="preserve"> 45; </w:t>
      </w:r>
      <w:r w:rsidRPr="002B4C20">
        <w:rPr>
          <w:rFonts w:ascii="Garamond" w:eastAsia="Times New Roman" w:hAnsi="Garamond" w:cs="Times New Roman"/>
          <w:bCs/>
          <w:i/>
          <w:sz w:val="20"/>
          <w:szCs w:val="20"/>
          <w:shd w:val="clear" w:color="auto" w:fill="FFFFFF"/>
          <w:lang w:val="en-GB"/>
        </w:rPr>
        <w:t>AKM</w:t>
      </w:r>
      <w:r w:rsidRPr="002B4C20">
        <w:rPr>
          <w:rFonts w:ascii="Garamond" w:eastAsia="Times New Roman" w:hAnsi="Garamond" w:cs="Times New Roman"/>
          <w:bCs/>
          <w:sz w:val="20"/>
          <w:szCs w:val="20"/>
          <w:shd w:val="clear" w:color="auto" w:fill="FFFFFF"/>
          <w:lang w:val="en-GB"/>
        </w:rPr>
        <w:t xml:space="preserve">, </w:t>
      </w:r>
      <w:r>
        <w:rPr>
          <w:rFonts w:ascii="Garamond" w:hAnsi="Garamond" w:cs="Times New Roman"/>
          <w:sz w:val="20"/>
          <w:szCs w:val="20"/>
          <w:lang w:val="en-GB"/>
        </w:rPr>
        <w:t>par.</w:t>
      </w:r>
      <w:r w:rsidRPr="002B4C20">
        <w:rPr>
          <w:rFonts w:ascii="Garamond" w:hAnsi="Garamond" w:cs="Times New Roman"/>
          <w:sz w:val="20"/>
          <w:szCs w:val="20"/>
          <w:lang w:val="en-GB"/>
        </w:rPr>
        <w:t xml:space="preserve"> 24; </w:t>
      </w:r>
      <w:r w:rsidRPr="002B4C20">
        <w:rPr>
          <w:rFonts w:ascii="Garamond" w:hAnsi="Garamond" w:cs="Lucida Grande"/>
          <w:i/>
          <w:sz w:val="20"/>
          <w:szCs w:val="20"/>
          <w:lang w:val="en-GB"/>
        </w:rPr>
        <w:t>Stichting Brein</w:t>
      </w:r>
      <w:r w:rsidRPr="002B4C20">
        <w:rPr>
          <w:rFonts w:ascii="Garamond" w:hAnsi="Garamond" w:cs="Lucida Grande"/>
          <w:sz w:val="20"/>
          <w:szCs w:val="20"/>
          <w:lang w:val="en-GB"/>
        </w:rPr>
        <w:t xml:space="preserve">, C-610/15, </w:t>
      </w:r>
      <w:r>
        <w:rPr>
          <w:rFonts w:ascii="Garamond" w:hAnsi="Garamond" w:cs="Times New Roman"/>
          <w:sz w:val="20"/>
          <w:szCs w:val="20"/>
          <w:lang w:val="en-GB"/>
        </w:rPr>
        <w:t>par.</w:t>
      </w:r>
      <w:r w:rsidRPr="002B4C20">
        <w:rPr>
          <w:rFonts w:ascii="Garamond" w:hAnsi="Garamond" w:cs="Times New Roman"/>
          <w:sz w:val="20"/>
          <w:szCs w:val="20"/>
          <w:lang w:val="en-GB"/>
        </w:rPr>
        <w:t xml:space="preserve"> 27 and 42. </w:t>
      </w:r>
    </w:p>
  </w:footnote>
  <w:footnote w:id="12">
    <w:p w14:paraId="1AB9688D" w14:textId="41E43BE7" w:rsidR="00766E2C" w:rsidRPr="002B4C20" w:rsidRDefault="00766E2C" w:rsidP="004F24CD">
      <w:pPr>
        <w:pStyle w:val="FootnoteText"/>
        <w:spacing w:after="200" w:line="360" w:lineRule="auto"/>
        <w:jc w:val="both"/>
        <w:rPr>
          <w:rFonts w:ascii="Garamond" w:hAnsi="Garamond"/>
          <w:sz w:val="20"/>
          <w:szCs w:val="20"/>
          <w:lang w:val="en-GB"/>
        </w:rPr>
      </w:pPr>
      <w:r w:rsidRPr="002B4C20">
        <w:rPr>
          <w:rStyle w:val="FootnoteReference"/>
          <w:rFonts w:ascii="Garamond" w:hAnsi="Garamond"/>
          <w:sz w:val="20"/>
          <w:szCs w:val="20"/>
          <w:lang w:val="en-GB"/>
        </w:rPr>
        <w:footnoteRef/>
      </w:r>
      <w:r w:rsidRPr="002B4C20">
        <w:rPr>
          <w:rFonts w:ascii="Garamond" w:hAnsi="Garamond"/>
          <w:sz w:val="20"/>
          <w:szCs w:val="20"/>
          <w:lang w:val="en-GB"/>
        </w:rPr>
        <w:t xml:space="preserve"> Opinion of Advocate General Antonio Mario La Pergola in </w:t>
      </w:r>
      <w:r w:rsidRPr="002B4C20">
        <w:rPr>
          <w:rFonts w:ascii="Garamond" w:hAnsi="Garamond"/>
          <w:i/>
          <w:sz w:val="20"/>
          <w:szCs w:val="20"/>
          <w:lang w:val="en-GB"/>
        </w:rPr>
        <w:t>EGEDA</w:t>
      </w:r>
      <w:r w:rsidRPr="002B4C20">
        <w:rPr>
          <w:rFonts w:ascii="Garamond" w:hAnsi="Garamond"/>
          <w:sz w:val="20"/>
          <w:szCs w:val="20"/>
          <w:lang w:val="en-GB"/>
        </w:rPr>
        <w:t xml:space="preserve">, C-293/98, </w:t>
      </w:r>
      <w:r w:rsidRPr="002B4C20">
        <w:rPr>
          <w:rFonts w:ascii="Garamond" w:hAnsi="Garamond"/>
          <w:bCs/>
          <w:sz w:val="20"/>
          <w:szCs w:val="20"/>
          <w:lang w:val="en-GB"/>
        </w:rPr>
        <w:t>EU:C:1999:403</w:t>
      </w:r>
      <w:r>
        <w:rPr>
          <w:rFonts w:ascii="Garamond" w:hAnsi="Garamond"/>
          <w:sz w:val="20"/>
          <w:szCs w:val="20"/>
          <w:lang w:val="en-GB"/>
        </w:rPr>
        <w:t>, par.</w:t>
      </w:r>
      <w:r w:rsidRPr="002B4C20">
        <w:rPr>
          <w:rFonts w:ascii="Garamond" w:hAnsi="Garamond"/>
          <w:sz w:val="20"/>
          <w:szCs w:val="20"/>
          <w:lang w:val="en-GB"/>
        </w:rPr>
        <w:t xml:space="preserve"> 20. See further Hugenholtz </w:t>
      </w:r>
      <w:r>
        <w:rPr>
          <w:rFonts w:ascii="Garamond" w:hAnsi="Garamond"/>
          <w:sz w:val="20"/>
          <w:szCs w:val="20"/>
          <w:lang w:val="en-GB"/>
        </w:rPr>
        <w:t>and</w:t>
      </w:r>
      <w:r w:rsidRPr="002B4C20">
        <w:rPr>
          <w:rFonts w:ascii="Garamond" w:hAnsi="Garamond"/>
          <w:sz w:val="20"/>
          <w:szCs w:val="20"/>
          <w:lang w:val="en-GB"/>
        </w:rPr>
        <w:t xml:space="preserve"> Van Velze (2016)</w:t>
      </w:r>
      <w:r>
        <w:rPr>
          <w:rFonts w:ascii="Garamond" w:hAnsi="Garamond"/>
          <w:sz w:val="20"/>
          <w:szCs w:val="20"/>
          <w:lang w:val="en-GB"/>
        </w:rPr>
        <w:t xml:space="preserve">, p. </w:t>
      </w:r>
      <w:r w:rsidRPr="002B4C20">
        <w:rPr>
          <w:rFonts w:ascii="Garamond" w:hAnsi="Garamond"/>
          <w:sz w:val="20"/>
          <w:szCs w:val="20"/>
          <w:lang w:val="en-GB"/>
        </w:rPr>
        <w:t>802-803.</w:t>
      </w:r>
    </w:p>
  </w:footnote>
  <w:footnote w:id="13">
    <w:p w14:paraId="55ECB712" w14:textId="7BCD417A" w:rsidR="00766E2C" w:rsidRPr="002B4C20" w:rsidRDefault="00766E2C" w:rsidP="004F24CD">
      <w:pPr>
        <w:pStyle w:val="FootnoteText"/>
        <w:spacing w:after="200" w:line="360" w:lineRule="auto"/>
        <w:jc w:val="both"/>
        <w:rPr>
          <w:rFonts w:ascii="Garamond" w:eastAsia="Times New Roman" w:hAnsi="Garamond" w:cs="Times New Roman"/>
          <w:bCs/>
          <w:sz w:val="20"/>
          <w:szCs w:val="20"/>
          <w:shd w:val="clear" w:color="auto" w:fill="FFFFFF"/>
          <w:lang w:val="en-GB"/>
        </w:rPr>
      </w:pPr>
      <w:r w:rsidRPr="002B4C20">
        <w:rPr>
          <w:rStyle w:val="FootnoteReference"/>
          <w:rFonts w:ascii="Garamond" w:hAnsi="Garamond" w:cs="Times New Roman"/>
          <w:sz w:val="20"/>
          <w:szCs w:val="20"/>
          <w:lang w:val="en-GB"/>
        </w:rPr>
        <w:footnoteRef/>
      </w:r>
      <w:r w:rsidRPr="002B4C20">
        <w:rPr>
          <w:rFonts w:ascii="Garamond" w:hAnsi="Garamond" w:cs="Times New Roman"/>
          <w:sz w:val="20"/>
          <w:szCs w:val="20"/>
          <w:lang w:val="en-GB"/>
        </w:rPr>
        <w:t xml:space="preserve"> </w:t>
      </w:r>
      <w:r w:rsidRPr="002B4C20">
        <w:rPr>
          <w:rFonts w:ascii="Garamond" w:hAnsi="Garamond" w:cs="Lucida Grande"/>
          <w:i/>
          <w:sz w:val="20"/>
          <w:szCs w:val="20"/>
          <w:lang w:val="en-GB"/>
        </w:rPr>
        <w:t>SGAE</w:t>
      </w:r>
      <w:r w:rsidRPr="002B4C20">
        <w:rPr>
          <w:rFonts w:ascii="Garamond" w:hAnsi="Garamond" w:cs="Lucida Grande"/>
          <w:sz w:val="20"/>
          <w:szCs w:val="20"/>
          <w:lang w:val="en-GB"/>
        </w:rPr>
        <w:t xml:space="preserve">, </w:t>
      </w:r>
      <w:r>
        <w:rPr>
          <w:rFonts w:ascii="Garamond" w:eastAsia="Times New Roman" w:hAnsi="Garamond" w:cs="Times New Roman"/>
          <w:bCs/>
          <w:sz w:val="20"/>
          <w:szCs w:val="20"/>
          <w:bdr w:val="none" w:sz="0" w:space="0" w:color="auto" w:frame="1"/>
          <w:shd w:val="clear" w:color="auto" w:fill="FFFFFF"/>
          <w:lang w:val="en-GB"/>
        </w:rPr>
        <w:t>par.</w:t>
      </w:r>
      <w:r w:rsidRPr="002B4C20">
        <w:rPr>
          <w:rFonts w:ascii="Garamond" w:eastAsia="Times New Roman" w:hAnsi="Garamond" w:cs="Times New Roman"/>
          <w:bCs/>
          <w:sz w:val="20"/>
          <w:szCs w:val="20"/>
          <w:bdr w:val="none" w:sz="0" w:space="0" w:color="auto" w:frame="1"/>
          <w:shd w:val="clear" w:color="auto" w:fill="FFFFFF"/>
          <w:lang w:val="en-GB"/>
        </w:rPr>
        <w:t xml:space="preserve"> 40 and 42; </w:t>
      </w:r>
      <w:r w:rsidRPr="002B4C20">
        <w:rPr>
          <w:rFonts w:ascii="Garamond" w:eastAsia="Times New Roman" w:hAnsi="Garamond" w:cs="Times New Roman"/>
          <w:i/>
          <w:iCs/>
          <w:sz w:val="20"/>
          <w:szCs w:val="20"/>
          <w:shd w:val="clear" w:color="auto" w:fill="FFFFFF"/>
          <w:lang w:val="en-GB"/>
        </w:rPr>
        <w:t>Organismos Sillogikis Diacheirisis Dimiourgon Theatrikon kai Optikoakoustikon Ergon</w:t>
      </w:r>
      <w:r w:rsidRPr="002B4C20">
        <w:rPr>
          <w:rFonts w:ascii="Garamond" w:eastAsia="Times New Roman" w:hAnsi="Garamond" w:cs="Times New Roman"/>
          <w:bCs/>
          <w:sz w:val="20"/>
          <w:szCs w:val="20"/>
          <w:shd w:val="clear" w:color="auto" w:fill="FFFFFF"/>
          <w:lang w:val="en-GB"/>
        </w:rPr>
        <w:t>,</w:t>
      </w:r>
      <w:r w:rsidRPr="002B4C20">
        <w:rPr>
          <w:rFonts w:ascii="Garamond" w:eastAsia="Times New Roman" w:hAnsi="Garamond" w:cs="Times New Roman"/>
          <w:sz w:val="20"/>
          <w:szCs w:val="20"/>
          <w:shd w:val="clear" w:color="auto" w:fill="FFFFFF"/>
          <w:lang w:val="en-GB"/>
        </w:rPr>
        <w:t xml:space="preserve"> </w:t>
      </w:r>
      <w:r>
        <w:rPr>
          <w:rFonts w:ascii="Garamond" w:eastAsia="Times New Roman" w:hAnsi="Garamond" w:cs="Times New Roman"/>
          <w:sz w:val="20"/>
          <w:szCs w:val="20"/>
          <w:shd w:val="clear" w:color="auto" w:fill="FFFFFF"/>
          <w:lang w:val="en-GB"/>
        </w:rPr>
        <w:t>par.</w:t>
      </w:r>
      <w:r w:rsidRPr="002B4C20">
        <w:rPr>
          <w:rFonts w:ascii="Garamond" w:eastAsia="Times New Roman" w:hAnsi="Garamond" w:cs="Times New Roman"/>
          <w:sz w:val="20"/>
          <w:szCs w:val="20"/>
          <w:shd w:val="clear" w:color="auto" w:fill="FFFFFF"/>
          <w:lang w:val="en-GB"/>
        </w:rPr>
        <w:t xml:space="preserve"> 39; </w:t>
      </w:r>
      <w:r w:rsidRPr="002B4C20">
        <w:rPr>
          <w:rFonts w:ascii="Garamond" w:hAnsi="Garamond" w:cs="Lucida Grande"/>
          <w:i/>
          <w:sz w:val="20"/>
          <w:szCs w:val="20"/>
          <w:lang w:val="en-GB"/>
        </w:rPr>
        <w:t>Football Association Premier League and Others</w:t>
      </w:r>
      <w:r w:rsidRPr="002B4C20">
        <w:rPr>
          <w:rFonts w:ascii="Garamond" w:hAnsi="Garamond" w:cs="Lucida Grande"/>
          <w:sz w:val="20"/>
          <w:szCs w:val="20"/>
          <w:lang w:val="en-GB"/>
        </w:rPr>
        <w:t xml:space="preserve">, </w:t>
      </w:r>
      <w:r>
        <w:rPr>
          <w:rFonts w:ascii="Garamond" w:eastAsia="Times New Roman" w:hAnsi="Garamond" w:cs="Times New Roman"/>
          <w:sz w:val="20"/>
          <w:szCs w:val="20"/>
          <w:shd w:val="clear" w:color="auto" w:fill="FFFFFF"/>
          <w:lang w:val="en-GB"/>
        </w:rPr>
        <w:t>par.</w:t>
      </w:r>
      <w:r w:rsidRPr="002B4C20">
        <w:rPr>
          <w:rFonts w:ascii="Garamond" w:eastAsia="Times New Roman" w:hAnsi="Garamond" w:cs="Times New Roman"/>
          <w:sz w:val="20"/>
          <w:szCs w:val="20"/>
          <w:shd w:val="clear" w:color="auto" w:fill="FFFFFF"/>
          <w:lang w:val="en-GB"/>
        </w:rPr>
        <w:t xml:space="preserve"> 197, </w:t>
      </w:r>
      <w:r w:rsidRPr="002B4C20">
        <w:rPr>
          <w:rFonts w:ascii="Garamond" w:hAnsi="Garamond" w:cs="Lucida Grande"/>
          <w:i/>
          <w:sz w:val="20"/>
          <w:szCs w:val="20"/>
          <w:lang w:val="en-GB"/>
        </w:rPr>
        <w:t>Airfield and Canal Digitaal</w:t>
      </w:r>
      <w:r w:rsidRPr="002B4C20">
        <w:rPr>
          <w:rFonts w:ascii="Garamond" w:hAnsi="Garamond" w:cs="Lucida Grande"/>
          <w:sz w:val="20"/>
          <w:szCs w:val="20"/>
          <w:lang w:val="en-GB"/>
        </w:rPr>
        <w:t xml:space="preserve">, </w:t>
      </w:r>
      <w:r>
        <w:rPr>
          <w:rFonts w:ascii="Garamond" w:hAnsi="Garamond" w:cs="Times New Roman"/>
          <w:sz w:val="20"/>
          <w:szCs w:val="20"/>
          <w:lang w:val="en-GB"/>
        </w:rPr>
        <w:t>par.</w:t>
      </w:r>
      <w:r w:rsidRPr="002B4C20">
        <w:rPr>
          <w:rFonts w:ascii="Garamond" w:hAnsi="Garamond" w:cs="Times New Roman"/>
          <w:sz w:val="20"/>
          <w:szCs w:val="20"/>
          <w:lang w:val="en-GB"/>
        </w:rPr>
        <w:t xml:space="preserve"> 72; </w:t>
      </w:r>
      <w:r w:rsidRPr="002B4C20">
        <w:rPr>
          <w:rFonts w:ascii="Garamond" w:hAnsi="Garamond" w:cs="Times New Roman"/>
          <w:bCs/>
          <w:i/>
          <w:sz w:val="20"/>
          <w:szCs w:val="20"/>
          <w:lang w:val="en-GB"/>
        </w:rPr>
        <w:t>Svensson and Others</w:t>
      </w:r>
      <w:r w:rsidRPr="002B4C20">
        <w:rPr>
          <w:rFonts w:ascii="Garamond" w:hAnsi="Garamond" w:cs="Times New Roman"/>
          <w:bCs/>
          <w:sz w:val="20"/>
          <w:szCs w:val="20"/>
          <w:lang w:val="en-GB"/>
        </w:rPr>
        <w:t xml:space="preserve">, </w:t>
      </w:r>
      <w:r>
        <w:rPr>
          <w:rFonts w:ascii="Garamond" w:eastAsia="Times New Roman" w:hAnsi="Garamond" w:cs="Times New Roman"/>
          <w:sz w:val="20"/>
          <w:szCs w:val="20"/>
          <w:lang w:val="en-GB"/>
        </w:rPr>
        <w:t>par.</w:t>
      </w:r>
      <w:r w:rsidRPr="002B4C20">
        <w:rPr>
          <w:rFonts w:ascii="Garamond" w:eastAsia="Times New Roman" w:hAnsi="Garamond" w:cs="Times New Roman"/>
          <w:sz w:val="20"/>
          <w:szCs w:val="20"/>
          <w:lang w:val="en-GB"/>
        </w:rPr>
        <w:t xml:space="preserve"> 24; </w:t>
      </w:r>
      <w:r w:rsidRPr="002B4C20">
        <w:rPr>
          <w:rFonts w:ascii="Garamond" w:eastAsia="Times New Roman" w:hAnsi="Garamond" w:cs="Times New Roman"/>
          <w:bCs/>
          <w:i/>
          <w:sz w:val="20"/>
          <w:szCs w:val="20"/>
          <w:shd w:val="clear" w:color="auto" w:fill="FFFFFF"/>
          <w:lang w:val="en-GB"/>
        </w:rPr>
        <w:t>OSA</w:t>
      </w:r>
      <w:r w:rsidRPr="002B4C20">
        <w:rPr>
          <w:rFonts w:ascii="Garamond" w:eastAsia="Times New Roman" w:hAnsi="Garamond" w:cs="Times New Roman"/>
          <w:sz w:val="20"/>
          <w:szCs w:val="20"/>
          <w:lang w:val="en-GB"/>
        </w:rPr>
        <w:t xml:space="preserve">, </w:t>
      </w:r>
      <w:r>
        <w:rPr>
          <w:rFonts w:ascii="Garamond" w:hAnsi="Garamond" w:cs="Times New Roman"/>
          <w:sz w:val="20"/>
          <w:szCs w:val="20"/>
          <w:lang w:val="en-GB"/>
        </w:rPr>
        <w:t>par.</w:t>
      </w:r>
      <w:r w:rsidRPr="002B4C20">
        <w:rPr>
          <w:rFonts w:ascii="Garamond" w:hAnsi="Garamond" w:cs="Times New Roman"/>
          <w:sz w:val="20"/>
          <w:szCs w:val="20"/>
          <w:lang w:val="en-GB"/>
        </w:rPr>
        <w:t xml:space="preserve"> 31; </w:t>
      </w:r>
      <w:r w:rsidRPr="002B4C20">
        <w:rPr>
          <w:rFonts w:ascii="Garamond" w:hAnsi="Garamond" w:cs="Times New Roman"/>
          <w:bCs/>
          <w:i/>
          <w:sz w:val="20"/>
          <w:szCs w:val="20"/>
          <w:lang w:val="en-GB"/>
        </w:rPr>
        <w:t>Reha Training</w:t>
      </w:r>
      <w:r w:rsidRPr="002B4C20">
        <w:rPr>
          <w:rFonts w:ascii="Garamond" w:eastAsia="Times New Roman" w:hAnsi="Garamond" w:cs="Times New Roman"/>
          <w:sz w:val="20"/>
          <w:szCs w:val="20"/>
          <w:shd w:val="clear" w:color="auto" w:fill="FFFFFF"/>
          <w:lang w:val="en-GB"/>
        </w:rPr>
        <w:t xml:space="preserve">, </w:t>
      </w:r>
      <w:r>
        <w:rPr>
          <w:rFonts w:ascii="Garamond" w:hAnsi="Garamond" w:cs="Times New Roman"/>
          <w:sz w:val="20"/>
          <w:szCs w:val="20"/>
          <w:lang w:val="en-GB"/>
        </w:rPr>
        <w:t>par.</w:t>
      </w:r>
      <w:r w:rsidRPr="002B4C20">
        <w:rPr>
          <w:rFonts w:ascii="Garamond" w:hAnsi="Garamond" w:cs="Times New Roman"/>
          <w:sz w:val="20"/>
          <w:szCs w:val="20"/>
          <w:lang w:val="en-GB"/>
        </w:rPr>
        <w:t xml:space="preserve"> 45; </w:t>
      </w:r>
      <w:r w:rsidRPr="002B4C20">
        <w:rPr>
          <w:rFonts w:ascii="Garamond" w:hAnsi="Garamond" w:cs="Lucida Grande"/>
          <w:i/>
          <w:sz w:val="20"/>
          <w:szCs w:val="20"/>
          <w:lang w:val="en-GB"/>
        </w:rPr>
        <w:t>GS Media</w:t>
      </w:r>
      <w:r w:rsidRPr="002B4C20">
        <w:rPr>
          <w:rFonts w:ascii="Garamond" w:hAnsi="Garamond" w:cs="Lucida Grande"/>
          <w:sz w:val="20"/>
          <w:szCs w:val="20"/>
          <w:lang w:val="en-GB"/>
        </w:rPr>
        <w:t xml:space="preserve">, </w:t>
      </w:r>
      <w:r>
        <w:rPr>
          <w:rFonts w:ascii="Garamond" w:hAnsi="Garamond" w:cs="Times New Roman"/>
          <w:sz w:val="20"/>
          <w:szCs w:val="20"/>
          <w:lang w:val="en-GB"/>
        </w:rPr>
        <w:t>par.</w:t>
      </w:r>
      <w:r w:rsidRPr="002B4C20">
        <w:rPr>
          <w:rFonts w:ascii="Garamond" w:hAnsi="Garamond" w:cs="Times New Roman"/>
          <w:sz w:val="20"/>
          <w:szCs w:val="20"/>
          <w:lang w:val="en-GB"/>
        </w:rPr>
        <w:t xml:space="preserve"> 37; </w:t>
      </w:r>
      <w:r w:rsidRPr="002B4C20">
        <w:rPr>
          <w:rFonts w:ascii="Garamond" w:hAnsi="Garamond" w:cs="Lucida Grande"/>
          <w:i/>
          <w:sz w:val="20"/>
          <w:szCs w:val="20"/>
          <w:lang w:val="en-GB"/>
        </w:rPr>
        <w:t>Stichting Brein</w:t>
      </w:r>
      <w:r w:rsidRPr="002B4C20">
        <w:rPr>
          <w:rFonts w:ascii="Garamond" w:hAnsi="Garamond" w:cs="Lucida Grande"/>
          <w:sz w:val="20"/>
          <w:szCs w:val="20"/>
          <w:lang w:val="en-GB"/>
        </w:rPr>
        <w:t xml:space="preserve">, C-527/15, </w:t>
      </w:r>
      <w:r>
        <w:rPr>
          <w:rFonts w:ascii="Garamond" w:hAnsi="Garamond" w:cs="Times New Roman"/>
          <w:sz w:val="20"/>
          <w:szCs w:val="20"/>
          <w:lang w:val="en-GB"/>
        </w:rPr>
        <w:t>par.</w:t>
      </w:r>
      <w:r w:rsidRPr="002B4C20">
        <w:rPr>
          <w:rFonts w:ascii="Garamond" w:hAnsi="Garamond" w:cs="Times New Roman"/>
          <w:sz w:val="20"/>
          <w:szCs w:val="20"/>
          <w:lang w:val="en-GB"/>
        </w:rPr>
        <w:t xml:space="preserve"> 47; </w:t>
      </w:r>
      <w:r w:rsidRPr="002B4C20">
        <w:rPr>
          <w:rFonts w:ascii="Garamond" w:hAnsi="Garamond" w:cs="Lucida Grande"/>
          <w:i/>
          <w:sz w:val="20"/>
          <w:szCs w:val="20"/>
          <w:lang w:val="en-GB"/>
        </w:rPr>
        <w:t>Stichting Brein</w:t>
      </w:r>
      <w:r w:rsidRPr="002B4C20">
        <w:rPr>
          <w:rFonts w:ascii="Garamond" w:hAnsi="Garamond" w:cs="Lucida Grande"/>
          <w:sz w:val="20"/>
          <w:szCs w:val="20"/>
          <w:lang w:val="en-GB"/>
        </w:rPr>
        <w:t xml:space="preserve">, C-610/15, </w:t>
      </w:r>
      <w:r>
        <w:rPr>
          <w:rFonts w:ascii="Garamond" w:hAnsi="Garamond" w:cs="Times New Roman"/>
          <w:sz w:val="20"/>
          <w:szCs w:val="20"/>
          <w:lang w:val="en-GB"/>
        </w:rPr>
        <w:t>par.</w:t>
      </w:r>
      <w:r w:rsidRPr="002B4C20">
        <w:rPr>
          <w:rFonts w:ascii="Garamond" w:hAnsi="Garamond" w:cs="Times New Roman"/>
          <w:sz w:val="20"/>
          <w:szCs w:val="20"/>
          <w:lang w:val="en-GB"/>
        </w:rPr>
        <w:t xml:space="preserve"> 28; </w:t>
      </w:r>
      <w:r w:rsidRPr="002B4C20">
        <w:rPr>
          <w:rFonts w:ascii="Garamond" w:eastAsia="Times New Roman" w:hAnsi="Garamond" w:cs="Times New Roman"/>
          <w:bCs/>
          <w:i/>
          <w:sz w:val="20"/>
          <w:szCs w:val="20"/>
          <w:lang w:val="en-GB"/>
        </w:rPr>
        <w:t>Renckhoff</w:t>
      </w:r>
      <w:r w:rsidRPr="002B4C20">
        <w:rPr>
          <w:rFonts w:ascii="Garamond" w:eastAsia="Times New Roman" w:hAnsi="Garamond" w:cs="Times New Roman"/>
          <w:bCs/>
          <w:sz w:val="20"/>
          <w:szCs w:val="20"/>
          <w:lang w:val="en-GB"/>
        </w:rPr>
        <w:t xml:space="preserve">, </w:t>
      </w:r>
      <w:r>
        <w:rPr>
          <w:rFonts w:ascii="Garamond" w:hAnsi="Garamond" w:cs="Lucida Grande"/>
          <w:sz w:val="20"/>
          <w:szCs w:val="20"/>
          <w:lang w:val="en-GB"/>
        </w:rPr>
        <w:t>par.</w:t>
      </w:r>
      <w:r w:rsidRPr="002B4C20">
        <w:rPr>
          <w:rFonts w:ascii="Garamond" w:hAnsi="Garamond" w:cs="Lucida Grande"/>
          <w:sz w:val="20"/>
          <w:szCs w:val="20"/>
          <w:lang w:val="en-GB"/>
        </w:rPr>
        <w:t xml:space="preserve"> 24</w:t>
      </w:r>
      <w:r w:rsidRPr="002B4C20">
        <w:rPr>
          <w:rFonts w:ascii="Garamond" w:hAnsi="Garamond" w:cs="Times New Roman"/>
          <w:sz w:val="20"/>
          <w:szCs w:val="20"/>
          <w:lang w:val="en-GB"/>
        </w:rPr>
        <w:t xml:space="preserve">. But cf </w:t>
      </w:r>
      <w:r w:rsidRPr="002B4C20">
        <w:rPr>
          <w:rFonts w:ascii="Garamond" w:eastAsia="Times New Roman" w:hAnsi="Garamond" w:cs="Times New Roman"/>
          <w:bCs/>
          <w:i/>
          <w:sz w:val="20"/>
          <w:szCs w:val="20"/>
          <w:shd w:val="clear" w:color="auto" w:fill="FFFFFF"/>
          <w:lang w:val="en-GB"/>
        </w:rPr>
        <w:t>AKM</w:t>
      </w:r>
      <w:r w:rsidRPr="002B4C20">
        <w:rPr>
          <w:rFonts w:ascii="Garamond" w:eastAsia="Times New Roman" w:hAnsi="Garamond" w:cs="Times New Roman"/>
          <w:bCs/>
          <w:sz w:val="20"/>
          <w:szCs w:val="20"/>
          <w:shd w:val="clear" w:color="auto" w:fill="FFFFFF"/>
          <w:lang w:val="en-GB"/>
        </w:rPr>
        <w:t xml:space="preserve">, </w:t>
      </w:r>
      <w:r>
        <w:rPr>
          <w:rFonts w:ascii="Garamond" w:eastAsia="Times New Roman" w:hAnsi="Garamond" w:cs="Times New Roman"/>
          <w:bCs/>
          <w:sz w:val="20"/>
          <w:szCs w:val="20"/>
          <w:shd w:val="clear" w:color="auto" w:fill="FFFFFF"/>
          <w:lang w:val="en-GB"/>
        </w:rPr>
        <w:t>par.</w:t>
      </w:r>
      <w:r w:rsidRPr="002B4C20">
        <w:rPr>
          <w:rFonts w:ascii="Garamond" w:eastAsia="Times New Roman" w:hAnsi="Garamond" w:cs="Times New Roman"/>
          <w:bCs/>
          <w:sz w:val="20"/>
          <w:szCs w:val="20"/>
          <w:shd w:val="clear" w:color="auto" w:fill="FFFFFF"/>
          <w:lang w:val="en-GB"/>
        </w:rPr>
        <w:t xml:space="preserve"> 26-27, suggesting that consideration of whether the communication at hand is addressed to a ‘new public’ is required </w:t>
      </w:r>
      <w:r w:rsidRPr="002B4C20">
        <w:rPr>
          <w:rFonts w:ascii="Garamond" w:eastAsia="Times New Roman" w:hAnsi="Garamond" w:cs="Times New Roman"/>
          <w:bCs/>
          <w:i/>
          <w:sz w:val="20"/>
          <w:szCs w:val="20"/>
          <w:shd w:val="clear" w:color="auto" w:fill="FFFFFF"/>
          <w:lang w:val="en-GB"/>
        </w:rPr>
        <w:t>also</w:t>
      </w:r>
      <w:r w:rsidRPr="002B4C20">
        <w:rPr>
          <w:rFonts w:ascii="Garamond" w:eastAsia="Times New Roman" w:hAnsi="Garamond" w:cs="Times New Roman"/>
          <w:bCs/>
          <w:sz w:val="20"/>
          <w:szCs w:val="20"/>
          <w:shd w:val="clear" w:color="auto" w:fill="FFFFFF"/>
          <w:lang w:val="en-GB"/>
        </w:rPr>
        <w:t xml:space="preserve"> when the specific technical means used is different. On whether terms and conditions of use of a certain website might be relevant to determine whether the public targeted by the defendant’s link is ‘new’, see (a</w:t>
      </w:r>
      <w:r>
        <w:rPr>
          <w:rFonts w:ascii="Garamond" w:eastAsia="Times New Roman" w:hAnsi="Garamond" w:cs="Times New Roman"/>
          <w:bCs/>
          <w:sz w:val="20"/>
          <w:szCs w:val="20"/>
          <w:shd w:val="clear" w:color="auto" w:fill="FFFFFF"/>
          <w:lang w:val="en-GB"/>
        </w:rPr>
        <w:t xml:space="preserve">rguing in the negative) McBride </w:t>
      </w:r>
      <w:r w:rsidRPr="002B4C20">
        <w:rPr>
          <w:rFonts w:ascii="Garamond" w:eastAsia="Times New Roman" w:hAnsi="Garamond" w:cs="Times New Roman"/>
          <w:bCs/>
          <w:sz w:val="20"/>
          <w:szCs w:val="20"/>
          <w:shd w:val="clear" w:color="auto" w:fill="FFFFFF"/>
          <w:lang w:val="en-GB"/>
        </w:rPr>
        <w:t>(2017)</w:t>
      </w:r>
      <w:r>
        <w:rPr>
          <w:rFonts w:ascii="Garamond" w:eastAsia="Times New Roman" w:hAnsi="Garamond" w:cs="Times New Roman"/>
          <w:bCs/>
          <w:sz w:val="20"/>
          <w:szCs w:val="20"/>
          <w:shd w:val="clear" w:color="auto" w:fill="FFFFFF"/>
          <w:lang w:val="en-GB"/>
        </w:rPr>
        <w:t xml:space="preserve">, p. </w:t>
      </w:r>
      <w:r w:rsidRPr="002B4C20">
        <w:rPr>
          <w:rFonts w:ascii="Garamond" w:eastAsia="Times New Roman" w:hAnsi="Garamond" w:cs="Times New Roman"/>
          <w:bCs/>
          <w:sz w:val="20"/>
          <w:szCs w:val="20"/>
          <w:shd w:val="clear" w:color="auto" w:fill="FFFFFF"/>
          <w:lang w:val="en-GB"/>
        </w:rPr>
        <w:t>275-277.</w:t>
      </w:r>
    </w:p>
  </w:footnote>
  <w:footnote w:id="14">
    <w:p w14:paraId="7538232C" w14:textId="3DA23D99" w:rsidR="00766E2C" w:rsidRPr="002B4C20" w:rsidRDefault="00766E2C" w:rsidP="004F24CD">
      <w:pPr>
        <w:spacing w:after="200" w:line="360" w:lineRule="auto"/>
        <w:jc w:val="both"/>
        <w:rPr>
          <w:rFonts w:ascii="Garamond" w:eastAsia="Times New Roman" w:hAnsi="Garamond" w:cs="Times New Roman"/>
          <w:sz w:val="20"/>
          <w:szCs w:val="20"/>
          <w:lang w:val="en-GB"/>
        </w:rPr>
      </w:pPr>
      <w:r w:rsidRPr="002B4C20">
        <w:rPr>
          <w:rStyle w:val="FootnoteReference"/>
          <w:rFonts w:ascii="Garamond" w:hAnsi="Garamond" w:cs="Times New Roman"/>
          <w:sz w:val="20"/>
          <w:szCs w:val="20"/>
          <w:lang w:val="en-GB"/>
        </w:rPr>
        <w:footnoteRef/>
      </w:r>
      <w:r w:rsidRPr="002B4C20">
        <w:rPr>
          <w:rFonts w:ascii="Garamond" w:hAnsi="Garamond" w:cs="Times New Roman"/>
          <w:sz w:val="20"/>
          <w:szCs w:val="20"/>
          <w:lang w:val="en-GB"/>
        </w:rPr>
        <w:t xml:space="preserve"> This appeared to be the case in: </w:t>
      </w:r>
      <w:r w:rsidRPr="002B4C20">
        <w:rPr>
          <w:rFonts w:ascii="Garamond" w:eastAsia="Times New Roman" w:hAnsi="Garamond" w:cs="Times New Roman"/>
          <w:bCs/>
          <w:i/>
          <w:sz w:val="20"/>
          <w:szCs w:val="20"/>
          <w:shd w:val="clear" w:color="auto" w:fill="FFFFFF"/>
          <w:lang w:val="en-GB"/>
        </w:rPr>
        <w:t>Circul Globus Bucure</w:t>
      </w:r>
      <w:r w:rsidRPr="002B4C20">
        <w:rPr>
          <w:rFonts w:ascii="Times New Roman" w:eastAsia="Times New Roman" w:hAnsi="Times New Roman" w:cs="Times New Roman"/>
          <w:bCs/>
          <w:i/>
          <w:sz w:val="20"/>
          <w:szCs w:val="20"/>
          <w:shd w:val="clear" w:color="auto" w:fill="FFFFFF"/>
          <w:lang w:val="en-GB"/>
        </w:rPr>
        <w:t>ş</w:t>
      </w:r>
      <w:r w:rsidRPr="002B4C20">
        <w:rPr>
          <w:rFonts w:ascii="Garamond" w:eastAsia="Times New Roman" w:hAnsi="Garamond" w:cs="Times New Roman"/>
          <w:bCs/>
          <w:i/>
          <w:sz w:val="20"/>
          <w:szCs w:val="20"/>
          <w:shd w:val="clear" w:color="auto" w:fill="FFFFFF"/>
          <w:lang w:val="en-GB"/>
        </w:rPr>
        <w:t>ti</w:t>
      </w:r>
      <w:r w:rsidRPr="002B4C20">
        <w:rPr>
          <w:rFonts w:ascii="Garamond" w:eastAsia="Times New Roman" w:hAnsi="Garamond" w:cs="Times New Roman"/>
          <w:bCs/>
          <w:sz w:val="20"/>
          <w:szCs w:val="20"/>
          <w:shd w:val="clear" w:color="auto" w:fill="FFFFFF"/>
          <w:lang w:val="en-GB"/>
        </w:rPr>
        <w:t xml:space="preserve">, </w:t>
      </w:r>
      <w:r>
        <w:rPr>
          <w:rFonts w:ascii="Garamond" w:eastAsia="Times New Roman" w:hAnsi="Garamond" w:cs="Times New Roman"/>
          <w:bCs/>
          <w:sz w:val="20"/>
          <w:szCs w:val="20"/>
          <w:shd w:val="clear" w:color="auto" w:fill="FFFFFF"/>
          <w:lang w:val="en-GB"/>
        </w:rPr>
        <w:t>par.</w:t>
      </w:r>
      <w:r w:rsidRPr="002B4C20">
        <w:rPr>
          <w:rFonts w:ascii="Garamond" w:eastAsia="Times New Roman" w:hAnsi="Garamond" w:cs="Times New Roman"/>
          <w:bCs/>
          <w:sz w:val="20"/>
          <w:szCs w:val="20"/>
          <w:shd w:val="clear" w:color="auto" w:fill="FFFFFF"/>
          <w:lang w:val="en-GB"/>
        </w:rPr>
        <w:t xml:space="preserve"> 40; </w:t>
      </w:r>
      <w:r w:rsidRPr="002B4C20">
        <w:rPr>
          <w:rFonts w:ascii="Garamond" w:hAnsi="Garamond" w:cs="Lucida Grande"/>
          <w:i/>
          <w:sz w:val="20"/>
          <w:szCs w:val="20"/>
          <w:lang w:val="en-GB"/>
        </w:rPr>
        <w:t>Football Association Premier League and Others</w:t>
      </w:r>
      <w:r w:rsidRPr="002B4C20">
        <w:rPr>
          <w:rFonts w:ascii="Garamond" w:hAnsi="Garamond" w:cs="Lucida Grande"/>
          <w:sz w:val="20"/>
          <w:szCs w:val="20"/>
          <w:lang w:val="en-GB"/>
        </w:rPr>
        <w:t xml:space="preserve">, </w:t>
      </w:r>
      <w:r>
        <w:rPr>
          <w:rFonts w:ascii="Garamond" w:hAnsi="Garamond" w:cs="Times New Roman"/>
          <w:sz w:val="20"/>
          <w:szCs w:val="20"/>
          <w:lang w:val="en-GB"/>
        </w:rPr>
        <w:t>par</w:t>
      </w:r>
      <w:r w:rsidRPr="002B4C20">
        <w:rPr>
          <w:rFonts w:ascii="Garamond" w:hAnsi="Garamond" w:cs="Times New Roman"/>
          <w:sz w:val="20"/>
          <w:szCs w:val="20"/>
          <w:lang w:val="en-GB"/>
        </w:rPr>
        <w:t xml:space="preserve">. 190, 193, and 207; </w:t>
      </w:r>
      <w:r w:rsidRPr="002B4C20">
        <w:rPr>
          <w:rFonts w:ascii="Garamond" w:eastAsia="Times New Roman" w:hAnsi="Garamond" w:cs="Times New Roman"/>
          <w:bCs/>
          <w:i/>
          <w:sz w:val="20"/>
          <w:szCs w:val="20"/>
          <w:shd w:val="clear" w:color="auto" w:fill="FFFFFF"/>
          <w:lang w:val="en-GB"/>
        </w:rPr>
        <w:t>OSA</w:t>
      </w:r>
      <w:r w:rsidRPr="002B4C20">
        <w:rPr>
          <w:rFonts w:ascii="Garamond" w:eastAsia="Times New Roman" w:hAnsi="Garamond" w:cs="Times New Roman"/>
          <w:sz w:val="20"/>
          <w:szCs w:val="20"/>
          <w:lang w:val="en-GB"/>
        </w:rPr>
        <w:t xml:space="preserve">, </w:t>
      </w:r>
      <w:r>
        <w:rPr>
          <w:rFonts w:ascii="Garamond" w:hAnsi="Garamond" w:cs="Times New Roman"/>
          <w:sz w:val="20"/>
          <w:szCs w:val="20"/>
          <w:lang w:val="en-GB"/>
        </w:rPr>
        <w:t>par.</w:t>
      </w:r>
      <w:r w:rsidRPr="002B4C20">
        <w:rPr>
          <w:rFonts w:ascii="Garamond" w:hAnsi="Garamond" w:cs="Times New Roman"/>
          <w:sz w:val="20"/>
          <w:szCs w:val="20"/>
          <w:lang w:val="en-GB"/>
        </w:rPr>
        <w:t xml:space="preserve"> 25; </w:t>
      </w:r>
      <w:r w:rsidRPr="002B4C20">
        <w:rPr>
          <w:rFonts w:ascii="Garamond" w:hAnsi="Garamond" w:cs="Lucida Grande"/>
          <w:i/>
          <w:sz w:val="20"/>
          <w:szCs w:val="20"/>
          <w:lang w:val="en-GB"/>
        </w:rPr>
        <w:t>SBS Belgium</w:t>
      </w:r>
      <w:r w:rsidRPr="002B4C20">
        <w:rPr>
          <w:rFonts w:ascii="Garamond" w:hAnsi="Garamond" w:cs="Lucida Grande"/>
          <w:sz w:val="20"/>
          <w:szCs w:val="20"/>
          <w:lang w:val="en-GB"/>
        </w:rPr>
        <w:t xml:space="preserve">, </w:t>
      </w:r>
      <w:r>
        <w:rPr>
          <w:rFonts w:ascii="Garamond" w:hAnsi="Garamond" w:cs="Times New Roman"/>
          <w:sz w:val="20"/>
          <w:szCs w:val="20"/>
          <w:lang w:val="en-GB"/>
        </w:rPr>
        <w:t>par.</w:t>
      </w:r>
      <w:r w:rsidRPr="002B4C20">
        <w:rPr>
          <w:rFonts w:ascii="Garamond" w:hAnsi="Garamond" w:cs="Times New Roman"/>
          <w:sz w:val="20"/>
          <w:szCs w:val="20"/>
          <w:lang w:val="en-GB"/>
        </w:rPr>
        <w:t xml:space="preserve"> 16; and </w:t>
      </w:r>
      <w:r w:rsidRPr="002B4C20">
        <w:rPr>
          <w:rFonts w:ascii="Garamond" w:hAnsi="Garamond" w:cs="Times New Roman"/>
          <w:bCs/>
          <w:i/>
          <w:sz w:val="20"/>
          <w:szCs w:val="20"/>
          <w:lang w:val="en-GB"/>
        </w:rPr>
        <w:t>Reha Training</w:t>
      </w:r>
      <w:r w:rsidRPr="002B4C20">
        <w:rPr>
          <w:rFonts w:ascii="Garamond" w:eastAsia="Times New Roman" w:hAnsi="Garamond" w:cs="Times New Roman"/>
          <w:sz w:val="20"/>
          <w:szCs w:val="20"/>
          <w:shd w:val="clear" w:color="auto" w:fill="FFFFFF"/>
          <w:lang w:val="en-GB"/>
        </w:rPr>
        <w:t xml:space="preserve">, </w:t>
      </w:r>
      <w:r>
        <w:rPr>
          <w:rFonts w:ascii="Garamond" w:hAnsi="Garamond" w:cs="Times New Roman"/>
          <w:sz w:val="20"/>
          <w:szCs w:val="20"/>
          <w:lang w:val="en-GB"/>
        </w:rPr>
        <w:t>par.</w:t>
      </w:r>
      <w:r w:rsidRPr="002B4C20">
        <w:rPr>
          <w:rFonts w:ascii="Garamond" w:hAnsi="Garamond" w:cs="Times New Roman"/>
          <w:sz w:val="20"/>
          <w:szCs w:val="20"/>
          <w:lang w:val="en-GB"/>
        </w:rPr>
        <w:t xml:space="preserve"> 38.</w:t>
      </w:r>
    </w:p>
  </w:footnote>
  <w:footnote w:id="15">
    <w:p w14:paraId="05AA55EF" w14:textId="56E890B3" w:rsidR="00766E2C" w:rsidRPr="002B4C20" w:rsidRDefault="00766E2C" w:rsidP="004F24CD">
      <w:pPr>
        <w:pStyle w:val="FootnoteText"/>
        <w:spacing w:after="200" w:line="360" w:lineRule="auto"/>
        <w:jc w:val="both"/>
        <w:rPr>
          <w:rFonts w:ascii="Garamond" w:hAnsi="Garamond" w:cs="Times New Roman"/>
          <w:sz w:val="20"/>
          <w:szCs w:val="20"/>
          <w:lang w:val="en-GB"/>
        </w:rPr>
      </w:pPr>
      <w:r w:rsidRPr="002B4C20">
        <w:rPr>
          <w:rStyle w:val="FootnoteReference"/>
          <w:rFonts w:ascii="Garamond" w:hAnsi="Garamond" w:cs="Times New Roman"/>
          <w:sz w:val="20"/>
          <w:szCs w:val="20"/>
          <w:lang w:val="en-GB"/>
        </w:rPr>
        <w:footnoteRef/>
      </w:r>
      <w:r w:rsidRPr="002B4C20">
        <w:rPr>
          <w:rFonts w:ascii="Garamond" w:hAnsi="Garamond" w:cs="Times New Roman"/>
          <w:sz w:val="20"/>
          <w:szCs w:val="20"/>
          <w:lang w:val="en-GB"/>
        </w:rPr>
        <w:t xml:space="preserve"> </w:t>
      </w:r>
      <w:r w:rsidRPr="002B4C20">
        <w:rPr>
          <w:rFonts w:ascii="Garamond" w:hAnsi="Garamond" w:cs="Lucida Grande"/>
          <w:i/>
          <w:sz w:val="20"/>
          <w:szCs w:val="20"/>
          <w:lang w:val="en-GB"/>
        </w:rPr>
        <w:t>SGAE</w:t>
      </w:r>
      <w:r w:rsidRPr="002B4C20">
        <w:rPr>
          <w:rFonts w:ascii="Garamond" w:hAnsi="Garamond" w:cs="Lucida Grande"/>
          <w:sz w:val="20"/>
          <w:szCs w:val="20"/>
          <w:lang w:val="en-GB"/>
        </w:rPr>
        <w:t xml:space="preserve">, </w:t>
      </w:r>
      <w:r>
        <w:rPr>
          <w:rFonts w:ascii="Garamond" w:hAnsi="Garamond" w:cs="Times New Roman"/>
          <w:sz w:val="20"/>
          <w:szCs w:val="20"/>
          <w:lang w:val="en-GB"/>
        </w:rPr>
        <w:t>par.</w:t>
      </w:r>
      <w:r w:rsidRPr="002B4C20">
        <w:rPr>
          <w:rFonts w:ascii="Garamond" w:hAnsi="Garamond" w:cs="Times New Roman"/>
          <w:sz w:val="20"/>
          <w:szCs w:val="20"/>
          <w:lang w:val="en-GB"/>
        </w:rPr>
        <w:t xml:space="preserve"> 43; </w:t>
      </w:r>
      <w:r w:rsidRPr="002B4C20">
        <w:rPr>
          <w:rFonts w:ascii="Garamond" w:hAnsi="Garamond" w:cs="Times New Roman"/>
          <w:bCs/>
          <w:i/>
          <w:sz w:val="20"/>
          <w:szCs w:val="20"/>
          <w:lang w:val="en-GB"/>
        </w:rPr>
        <w:t>Svensson and Others</w:t>
      </w:r>
      <w:r w:rsidRPr="002B4C20">
        <w:rPr>
          <w:rFonts w:ascii="Garamond" w:hAnsi="Garamond" w:cs="Times New Roman"/>
          <w:bCs/>
          <w:sz w:val="20"/>
          <w:szCs w:val="20"/>
          <w:lang w:val="en-GB"/>
        </w:rPr>
        <w:t xml:space="preserve">, </w:t>
      </w:r>
      <w:r>
        <w:rPr>
          <w:rFonts w:ascii="Garamond" w:hAnsi="Garamond" w:cs="Times New Roman"/>
          <w:sz w:val="20"/>
          <w:szCs w:val="20"/>
          <w:lang w:val="en-GB"/>
        </w:rPr>
        <w:t>par.</w:t>
      </w:r>
      <w:r w:rsidRPr="002B4C20">
        <w:rPr>
          <w:rFonts w:ascii="Garamond" w:hAnsi="Garamond" w:cs="Times New Roman"/>
          <w:sz w:val="20"/>
          <w:szCs w:val="20"/>
          <w:lang w:val="en-GB"/>
        </w:rPr>
        <w:t xml:space="preserve"> 19; </w:t>
      </w:r>
      <w:r w:rsidRPr="002B4C20">
        <w:rPr>
          <w:rFonts w:ascii="Garamond" w:hAnsi="Garamond" w:cs="Lucida Grande"/>
          <w:i/>
          <w:sz w:val="20"/>
          <w:szCs w:val="20"/>
          <w:lang w:val="en-GB"/>
        </w:rPr>
        <w:t>GS Media</w:t>
      </w:r>
      <w:r w:rsidRPr="002B4C20">
        <w:rPr>
          <w:rFonts w:ascii="Garamond" w:hAnsi="Garamond" w:cs="Lucida Grande"/>
          <w:sz w:val="20"/>
          <w:szCs w:val="20"/>
          <w:lang w:val="en-GB"/>
        </w:rPr>
        <w:t xml:space="preserve">, </w:t>
      </w:r>
      <w:r>
        <w:rPr>
          <w:rFonts w:ascii="Garamond" w:hAnsi="Garamond" w:cs="Times New Roman"/>
          <w:sz w:val="20"/>
          <w:szCs w:val="20"/>
          <w:lang w:val="en-GB"/>
        </w:rPr>
        <w:t>par.</w:t>
      </w:r>
      <w:r w:rsidRPr="002B4C20">
        <w:rPr>
          <w:rFonts w:ascii="Garamond" w:hAnsi="Garamond" w:cs="Times New Roman"/>
          <w:sz w:val="20"/>
          <w:szCs w:val="20"/>
          <w:lang w:val="en-GB"/>
        </w:rPr>
        <w:t xml:space="preserve"> 27; </w:t>
      </w:r>
      <w:r w:rsidRPr="002B4C20">
        <w:rPr>
          <w:rFonts w:ascii="Garamond" w:hAnsi="Garamond" w:cs="Lucida Grande"/>
          <w:i/>
          <w:sz w:val="20"/>
          <w:szCs w:val="20"/>
          <w:lang w:val="en-GB"/>
        </w:rPr>
        <w:t>Stichting Brein</w:t>
      </w:r>
      <w:r w:rsidRPr="002B4C20">
        <w:rPr>
          <w:rFonts w:ascii="Garamond" w:hAnsi="Garamond" w:cs="Lucida Grande"/>
          <w:sz w:val="20"/>
          <w:szCs w:val="20"/>
          <w:lang w:val="en-GB"/>
        </w:rPr>
        <w:t xml:space="preserve">, C-527/15, </w:t>
      </w:r>
      <w:r>
        <w:rPr>
          <w:rFonts w:ascii="Garamond" w:hAnsi="Garamond" w:cs="Times New Roman"/>
          <w:sz w:val="20"/>
          <w:szCs w:val="20"/>
          <w:lang w:val="en-GB"/>
        </w:rPr>
        <w:t>par.</w:t>
      </w:r>
      <w:r w:rsidRPr="002B4C20">
        <w:rPr>
          <w:rFonts w:ascii="Garamond" w:hAnsi="Garamond" w:cs="Times New Roman"/>
          <w:sz w:val="20"/>
          <w:szCs w:val="20"/>
          <w:lang w:val="en-GB"/>
        </w:rPr>
        <w:t xml:space="preserve"> 36, </w:t>
      </w:r>
      <w:r w:rsidRPr="002B4C20">
        <w:rPr>
          <w:rFonts w:ascii="Garamond" w:eastAsia="Times New Roman" w:hAnsi="Garamond" w:cs="Times New Roman"/>
          <w:bCs/>
          <w:i/>
          <w:sz w:val="20"/>
          <w:szCs w:val="20"/>
          <w:shd w:val="clear" w:color="auto" w:fill="FFFFFF"/>
          <w:lang w:val="en-GB"/>
        </w:rPr>
        <w:t>AKM</w:t>
      </w:r>
      <w:r w:rsidRPr="002B4C20">
        <w:rPr>
          <w:rFonts w:ascii="Garamond" w:eastAsia="Times New Roman" w:hAnsi="Garamond" w:cs="Times New Roman"/>
          <w:bCs/>
          <w:sz w:val="20"/>
          <w:szCs w:val="20"/>
          <w:shd w:val="clear" w:color="auto" w:fill="FFFFFF"/>
          <w:lang w:val="en-GB"/>
        </w:rPr>
        <w:t xml:space="preserve">, </w:t>
      </w:r>
      <w:r w:rsidRPr="002B4C20">
        <w:rPr>
          <w:rFonts w:ascii="Garamond" w:hAnsi="Garamond" w:cs="Times New Roman"/>
          <w:sz w:val="20"/>
          <w:szCs w:val="20"/>
          <w:lang w:val="en-GB"/>
        </w:rPr>
        <w:t>p</w:t>
      </w:r>
      <w:r>
        <w:rPr>
          <w:rFonts w:ascii="Garamond" w:hAnsi="Garamond" w:cs="Times New Roman"/>
          <w:sz w:val="20"/>
          <w:szCs w:val="20"/>
          <w:lang w:val="en-GB"/>
        </w:rPr>
        <w:t>ar.</w:t>
      </w:r>
      <w:r w:rsidRPr="002B4C20">
        <w:rPr>
          <w:rFonts w:ascii="Garamond" w:hAnsi="Garamond" w:cs="Times New Roman"/>
          <w:sz w:val="20"/>
          <w:szCs w:val="20"/>
          <w:lang w:val="en-GB"/>
        </w:rPr>
        <w:t xml:space="preserve"> 20; </w:t>
      </w:r>
      <w:r w:rsidRPr="002B4C20">
        <w:rPr>
          <w:rFonts w:ascii="Garamond" w:hAnsi="Garamond" w:cs="Lucida Grande"/>
          <w:i/>
          <w:sz w:val="20"/>
          <w:szCs w:val="20"/>
          <w:lang w:val="en-GB"/>
        </w:rPr>
        <w:t>Stichting Brein</w:t>
      </w:r>
      <w:r w:rsidRPr="002B4C20">
        <w:rPr>
          <w:rFonts w:ascii="Garamond" w:hAnsi="Garamond" w:cs="Lucida Grande"/>
          <w:sz w:val="20"/>
          <w:szCs w:val="20"/>
          <w:lang w:val="en-GB"/>
        </w:rPr>
        <w:t xml:space="preserve">, C-610/15, </w:t>
      </w:r>
      <w:r>
        <w:rPr>
          <w:rFonts w:ascii="Garamond" w:hAnsi="Garamond" w:cs="Times New Roman"/>
          <w:sz w:val="20"/>
          <w:szCs w:val="20"/>
          <w:lang w:val="en-GB"/>
        </w:rPr>
        <w:t>par.</w:t>
      </w:r>
      <w:r w:rsidRPr="002B4C20">
        <w:rPr>
          <w:rFonts w:ascii="Garamond" w:hAnsi="Garamond" w:cs="Times New Roman"/>
          <w:sz w:val="20"/>
          <w:szCs w:val="20"/>
          <w:lang w:val="en-GB"/>
        </w:rPr>
        <w:t xml:space="preserve"> 19; </w:t>
      </w:r>
      <w:r w:rsidRPr="002B4C20">
        <w:rPr>
          <w:rFonts w:ascii="Garamond" w:eastAsia="Times New Roman" w:hAnsi="Garamond" w:cs="Times New Roman"/>
          <w:bCs/>
          <w:i/>
          <w:sz w:val="20"/>
          <w:szCs w:val="20"/>
          <w:lang w:val="en-GB"/>
        </w:rPr>
        <w:t>Renckhoff</w:t>
      </w:r>
      <w:r w:rsidRPr="002B4C20">
        <w:rPr>
          <w:rFonts w:ascii="Garamond" w:eastAsia="Times New Roman" w:hAnsi="Garamond" w:cs="Times New Roman"/>
          <w:bCs/>
          <w:sz w:val="20"/>
          <w:szCs w:val="20"/>
          <w:lang w:val="en-GB"/>
        </w:rPr>
        <w:t xml:space="preserve">, </w:t>
      </w:r>
      <w:r>
        <w:rPr>
          <w:rFonts w:ascii="Garamond" w:eastAsia="Times New Roman" w:hAnsi="Garamond" w:cs="Times New Roman"/>
          <w:bCs/>
          <w:sz w:val="20"/>
          <w:szCs w:val="20"/>
          <w:lang w:val="en-GB"/>
        </w:rPr>
        <w:t>par.</w:t>
      </w:r>
      <w:r w:rsidRPr="002B4C20">
        <w:rPr>
          <w:rFonts w:ascii="Garamond" w:eastAsia="Times New Roman" w:hAnsi="Garamond" w:cs="Times New Roman"/>
          <w:bCs/>
          <w:sz w:val="20"/>
          <w:szCs w:val="20"/>
          <w:lang w:val="en-GB"/>
        </w:rPr>
        <w:t xml:space="preserve"> 20</w:t>
      </w:r>
      <w:r w:rsidRPr="002B4C20">
        <w:rPr>
          <w:rFonts w:ascii="Garamond" w:hAnsi="Garamond" w:cs="Times New Roman"/>
          <w:sz w:val="20"/>
          <w:szCs w:val="20"/>
          <w:lang w:val="en-GB"/>
        </w:rPr>
        <w:t>. On the accessibility criterion, see (critically) Koo (2018)</w:t>
      </w:r>
      <w:r>
        <w:rPr>
          <w:rFonts w:ascii="Garamond" w:hAnsi="Garamond" w:cs="Times New Roman"/>
          <w:sz w:val="20"/>
          <w:szCs w:val="20"/>
          <w:lang w:val="en-GB"/>
        </w:rPr>
        <w:t xml:space="preserve">, p. </w:t>
      </w:r>
      <w:r w:rsidRPr="002B4C20">
        <w:rPr>
          <w:rFonts w:ascii="Garamond" w:hAnsi="Garamond" w:cs="Times New Roman"/>
          <w:sz w:val="20"/>
          <w:szCs w:val="20"/>
          <w:lang w:val="en-GB"/>
        </w:rPr>
        <w:t>545-546.</w:t>
      </w:r>
    </w:p>
  </w:footnote>
  <w:footnote w:id="16">
    <w:p w14:paraId="72AF6A8B" w14:textId="28690C50" w:rsidR="00766E2C" w:rsidRPr="002B4C20" w:rsidRDefault="00766E2C" w:rsidP="004F24CD">
      <w:pPr>
        <w:pStyle w:val="FootnoteText"/>
        <w:spacing w:after="200" w:line="360" w:lineRule="auto"/>
        <w:jc w:val="both"/>
        <w:rPr>
          <w:rFonts w:ascii="Garamond" w:eastAsia="Times New Roman" w:hAnsi="Garamond" w:cs="Times New Roman"/>
          <w:bCs/>
          <w:sz w:val="20"/>
          <w:szCs w:val="20"/>
          <w:shd w:val="clear" w:color="auto" w:fill="FFFFFF"/>
          <w:lang w:val="en-GB"/>
        </w:rPr>
      </w:pPr>
      <w:r w:rsidRPr="002B4C20">
        <w:rPr>
          <w:rStyle w:val="FootnoteReference"/>
          <w:rFonts w:ascii="Garamond" w:hAnsi="Garamond" w:cs="Times New Roman"/>
          <w:sz w:val="20"/>
          <w:szCs w:val="20"/>
          <w:lang w:val="en-GB"/>
        </w:rPr>
        <w:footnoteRef/>
      </w:r>
      <w:r w:rsidRPr="002B4C20">
        <w:rPr>
          <w:rFonts w:ascii="Garamond" w:hAnsi="Garamond" w:cs="Times New Roman"/>
          <w:sz w:val="20"/>
          <w:szCs w:val="20"/>
          <w:lang w:val="en-GB"/>
        </w:rPr>
        <w:t xml:space="preserve"> </w:t>
      </w:r>
      <w:r w:rsidRPr="002B4C20">
        <w:rPr>
          <w:rFonts w:ascii="Garamond" w:hAnsi="Garamond" w:cs="Lucida Grande"/>
          <w:i/>
          <w:sz w:val="20"/>
          <w:szCs w:val="20"/>
          <w:lang w:val="en-GB"/>
        </w:rPr>
        <w:t>SGAE</w:t>
      </w:r>
      <w:r w:rsidRPr="002B4C20">
        <w:rPr>
          <w:rFonts w:ascii="Garamond" w:hAnsi="Garamond" w:cs="Lucida Grande"/>
          <w:sz w:val="20"/>
          <w:szCs w:val="20"/>
          <w:lang w:val="en-GB"/>
        </w:rPr>
        <w:t xml:space="preserve">, </w:t>
      </w:r>
      <w:r>
        <w:rPr>
          <w:rFonts w:ascii="Garamond" w:hAnsi="Garamond" w:cs="Times New Roman"/>
          <w:sz w:val="20"/>
          <w:szCs w:val="20"/>
          <w:lang w:val="en-GB"/>
        </w:rPr>
        <w:t>par.</w:t>
      </w:r>
      <w:r w:rsidRPr="002B4C20">
        <w:rPr>
          <w:rFonts w:ascii="Garamond" w:hAnsi="Garamond" w:cs="Times New Roman"/>
          <w:sz w:val="20"/>
          <w:szCs w:val="20"/>
          <w:lang w:val="en-GB"/>
        </w:rPr>
        <w:t xml:space="preserve"> 42; </w:t>
      </w:r>
      <w:r w:rsidRPr="002B4C20">
        <w:rPr>
          <w:rFonts w:ascii="Garamond" w:hAnsi="Garamond" w:cs="Lucida Grande"/>
          <w:i/>
          <w:sz w:val="20"/>
          <w:szCs w:val="20"/>
          <w:lang w:val="en-GB"/>
        </w:rPr>
        <w:t>Football Association Premier League and Others</w:t>
      </w:r>
      <w:r w:rsidRPr="002B4C20">
        <w:rPr>
          <w:rFonts w:ascii="Garamond" w:hAnsi="Garamond" w:cs="Lucida Grande"/>
          <w:sz w:val="20"/>
          <w:szCs w:val="20"/>
          <w:lang w:val="en-GB"/>
        </w:rPr>
        <w:t xml:space="preserve">, </w:t>
      </w:r>
      <w:r>
        <w:rPr>
          <w:rFonts w:ascii="Garamond" w:hAnsi="Garamond" w:cs="Times New Roman"/>
          <w:sz w:val="20"/>
          <w:szCs w:val="20"/>
          <w:lang w:val="en-GB"/>
        </w:rPr>
        <w:t>par</w:t>
      </w:r>
      <w:r w:rsidRPr="002B4C20">
        <w:rPr>
          <w:rFonts w:ascii="Garamond" w:hAnsi="Garamond" w:cs="Times New Roman"/>
          <w:sz w:val="20"/>
          <w:szCs w:val="20"/>
          <w:lang w:val="en-GB"/>
        </w:rPr>
        <w:t xml:space="preserve">. 194 and 195; </w:t>
      </w:r>
      <w:r w:rsidRPr="002B4C20">
        <w:rPr>
          <w:rFonts w:ascii="Garamond" w:hAnsi="Garamond" w:cs="Lucida Grande"/>
          <w:i/>
          <w:sz w:val="20"/>
          <w:szCs w:val="20"/>
          <w:lang w:val="en-GB"/>
        </w:rPr>
        <w:t>Airfield and Canal Digitaal</w:t>
      </w:r>
      <w:r w:rsidRPr="002B4C20">
        <w:rPr>
          <w:rFonts w:ascii="Garamond" w:hAnsi="Garamond" w:cs="Lucida Grande"/>
          <w:sz w:val="20"/>
          <w:szCs w:val="20"/>
          <w:lang w:val="en-GB"/>
        </w:rPr>
        <w:t xml:space="preserve">, </w:t>
      </w:r>
      <w:r>
        <w:rPr>
          <w:rFonts w:ascii="Garamond" w:hAnsi="Garamond" w:cs="Times New Roman"/>
          <w:sz w:val="20"/>
          <w:szCs w:val="20"/>
          <w:lang w:val="en-GB"/>
        </w:rPr>
        <w:t>par.</w:t>
      </w:r>
      <w:r w:rsidRPr="002B4C20">
        <w:rPr>
          <w:rFonts w:ascii="Garamond" w:hAnsi="Garamond" w:cs="Times New Roman"/>
          <w:sz w:val="20"/>
          <w:szCs w:val="20"/>
          <w:lang w:val="en-GB"/>
        </w:rPr>
        <w:t xml:space="preserve"> 79; </w:t>
      </w:r>
      <w:r w:rsidRPr="002B4C20">
        <w:rPr>
          <w:rFonts w:ascii="Garamond" w:hAnsi="Garamond" w:cs="Lucida Grande"/>
          <w:i/>
          <w:sz w:val="20"/>
          <w:szCs w:val="20"/>
          <w:lang w:val="en-GB"/>
        </w:rPr>
        <w:t>SCF</w:t>
      </w:r>
      <w:r>
        <w:rPr>
          <w:rFonts w:ascii="Garamond" w:hAnsi="Garamond" w:cs="Times New Roman"/>
          <w:sz w:val="20"/>
          <w:szCs w:val="20"/>
          <w:lang w:val="en-GB"/>
        </w:rPr>
        <w:t>, par.</w:t>
      </w:r>
      <w:r w:rsidRPr="002B4C20">
        <w:rPr>
          <w:rFonts w:ascii="Garamond" w:hAnsi="Garamond" w:cs="Times New Roman"/>
          <w:sz w:val="20"/>
          <w:szCs w:val="20"/>
          <w:lang w:val="en-GB"/>
        </w:rPr>
        <w:t xml:space="preserve"> 82; </w:t>
      </w:r>
      <w:r w:rsidRPr="002B4C20">
        <w:rPr>
          <w:rFonts w:ascii="Garamond" w:hAnsi="Garamond" w:cs="Times New Roman"/>
          <w:bCs/>
          <w:i/>
          <w:sz w:val="20"/>
          <w:szCs w:val="20"/>
          <w:lang w:val="en-GB"/>
        </w:rPr>
        <w:t>Phonographic Performance (Ireland)</w:t>
      </w:r>
      <w:r w:rsidRPr="002B4C20">
        <w:rPr>
          <w:rFonts w:ascii="Garamond" w:hAnsi="Garamond" w:cs="Times New Roman"/>
          <w:bCs/>
          <w:sz w:val="20"/>
          <w:szCs w:val="20"/>
          <w:lang w:val="en-GB"/>
        </w:rPr>
        <w:t xml:space="preserve">, </w:t>
      </w:r>
      <w:r>
        <w:rPr>
          <w:rFonts w:ascii="Garamond" w:hAnsi="Garamond" w:cs="Times New Roman"/>
          <w:sz w:val="20"/>
          <w:szCs w:val="20"/>
          <w:lang w:val="en-GB"/>
        </w:rPr>
        <w:t>par.</w:t>
      </w:r>
      <w:r w:rsidRPr="002B4C20">
        <w:rPr>
          <w:rFonts w:ascii="Garamond" w:hAnsi="Garamond" w:cs="Times New Roman"/>
          <w:sz w:val="20"/>
          <w:szCs w:val="20"/>
          <w:lang w:val="en-GB"/>
        </w:rPr>
        <w:t xml:space="preserve"> 31; </w:t>
      </w:r>
      <w:r w:rsidRPr="002B4C20">
        <w:rPr>
          <w:rFonts w:ascii="Garamond" w:hAnsi="Garamond" w:cs="Times New Roman"/>
          <w:bCs/>
          <w:i/>
          <w:sz w:val="20"/>
          <w:szCs w:val="20"/>
          <w:lang w:val="en-GB"/>
        </w:rPr>
        <w:t>Reha Training</w:t>
      </w:r>
      <w:r w:rsidRPr="002B4C20">
        <w:rPr>
          <w:rFonts w:ascii="Garamond" w:eastAsia="Times New Roman" w:hAnsi="Garamond" w:cs="Times New Roman"/>
          <w:sz w:val="20"/>
          <w:szCs w:val="20"/>
          <w:shd w:val="clear" w:color="auto" w:fill="FFFFFF"/>
          <w:lang w:val="en-GB"/>
        </w:rPr>
        <w:t xml:space="preserve">, </w:t>
      </w:r>
      <w:r>
        <w:rPr>
          <w:rFonts w:ascii="Garamond" w:hAnsi="Garamond" w:cs="Times New Roman"/>
          <w:sz w:val="20"/>
          <w:szCs w:val="20"/>
          <w:lang w:val="en-GB"/>
        </w:rPr>
        <w:t>par.</w:t>
      </w:r>
      <w:r w:rsidRPr="002B4C20">
        <w:rPr>
          <w:rFonts w:ascii="Garamond" w:hAnsi="Garamond" w:cs="Times New Roman"/>
          <w:sz w:val="20"/>
          <w:szCs w:val="20"/>
          <w:lang w:val="en-GB"/>
        </w:rPr>
        <w:t xml:space="preserve"> 46; </w:t>
      </w:r>
      <w:r w:rsidRPr="002B4C20">
        <w:rPr>
          <w:rFonts w:ascii="Garamond" w:hAnsi="Garamond" w:cs="Lucida Grande"/>
          <w:i/>
          <w:sz w:val="20"/>
          <w:szCs w:val="20"/>
          <w:lang w:val="en-GB"/>
        </w:rPr>
        <w:t>GS Media</w:t>
      </w:r>
      <w:r w:rsidRPr="002B4C20">
        <w:rPr>
          <w:rFonts w:ascii="Garamond" w:hAnsi="Garamond" w:cs="Lucida Grande"/>
          <w:sz w:val="20"/>
          <w:szCs w:val="20"/>
          <w:lang w:val="en-GB"/>
        </w:rPr>
        <w:t xml:space="preserve">, </w:t>
      </w:r>
      <w:r>
        <w:rPr>
          <w:rFonts w:ascii="Garamond" w:hAnsi="Garamond" w:cs="Times New Roman"/>
          <w:sz w:val="20"/>
          <w:szCs w:val="20"/>
          <w:lang w:val="en-GB"/>
        </w:rPr>
        <w:t>par.</w:t>
      </w:r>
      <w:r w:rsidRPr="002B4C20">
        <w:rPr>
          <w:rFonts w:ascii="Garamond" w:hAnsi="Garamond" w:cs="Times New Roman"/>
          <w:sz w:val="20"/>
          <w:szCs w:val="20"/>
          <w:lang w:val="en-GB"/>
        </w:rPr>
        <w:t xml:space="preserve"> 35; </w:t>
      </w:r>
      <w:r w:rsidRPr="002B4C20">
        <w:rPr>
          <w:rFonts w:ascii="Garamond" w:hAnsi="Garamond" w:cs="Lucida Grande"/>
          <w:i/>
          <w:sz w:val="20"/>
          <w:szCs w:val="20"/>
          <w:lang w:val="en-GB"/>
        </w:rPr>
        <w:t>Stichting Brein</w:t>
      </w:r>
      <w:r w:rsidRPr="002B4C20">
        <w:rPr>
          <w:rFonts w:ascii="Garamond" w:hAnsi="Garamond" w:cs="Lucida Grande"/>
          <w:sz w:val="20"/>
          <w:szCs w:val="20"/>
          <w:lang w:val="en-GB"/>
        </w:rPr>
        <w:t xml:space="preserve">, C-527/15, </w:t>
      </w:r>
      <w:r>
        <w:rPr>
          <w:rFonts w:ascii="Garamond" w:hAnsi="Garamond" w:cs="Times New Roman"/>
          <w:sz w:val="20"/>
          <w:szCs w:val="20"/>
          <w:lang w:val="en-GB"/>
        </w:rPr>
        <w:t>par.</w:t>
      </w:r>
      <w:r w:rsidRPr="002B4C20">
        <w:rPr>
          <w:rFonts w:ascii="Garamond" w:hAnsi="Garamond" w:cs="Times New Roman"/>
          <w:sz w:val="20"/>
          <w:szCs w:val="20"/>
          <w:lang w:val="en-GB"/>
        </w:rPr>
        <w:t xml:space="preserve"> 31; </w:t>
      </w:r>
      <w:r w:rsidRPr="002B4C20">
        <w:rPr>
          <w:rFonts w:ascii="Garamond" w:hAnsi="Garamond" w:cs="Lucida Grande"/>
          <w:i/>
          <w:sz w:val="20"/>
          <w:szCs w:val="20"/>
          <w:lang w:val="en-GB"/>
        </w:rPr>
        <w:t>Stichting Brein</w:t>
      </w:r>
      <w:r w:rsidRPr="002B4C20">
        <w:rPr>
          <w:rFonts w:ascii="Garamond" w:hAnsi="Garamond" w:cs="Lucida Grande"/>
          <w:sz w:val="20"/>
          <w:szCs w:val="20"/>
          <w:lang w:val="en-GB"/>
        </w:rPr>
        <w:t xml:space="preserve">, C-610/15, </w:t>
      </w:r>
      <w:r>
        <w:rPr>
          <w:rFonts w:ascii="Garamond" w:hAnsi="Garamond" w:cs="Times New Roman"/>
          <w:sz w:val="20"/>
          <w:szCs w:val="20"/>
          <w:lang w:val="en-GB"/>
        </w:rPr>
        <w:t>par.</w:t>
      </w:r>
      <w:r w:rsidRPr="002B4C20">
        <w:rPr>
          <w:rFonts w:ascii="Garamond" w:hAnsi="Garamond" w:cs="Times New Roman"/>
          <w:sz w:val="20"/>
          <w:szCs w:val="20"/>
          <w:lang w:val="en-GB"/>
        </w:rPr>
        <w:t xml:space="preserve"> 26. </w:t>
      </w:r>
    </w:p>
  </w:footnote>
  <w:footnote w:id="17">
    <w:p w14:paraId="67C99404" w14:textId="6BB07B90" w:rsidR="00766E2C" w:rsidRPr="00766E2C" w:rsidRDefault="00766E2C" w:rsidP="00766E2C">
      <w:pPr>
        <w:pStyle w:val="FootnoteText"/>
        <w:spacing w:line="360" w:lineRule="auto"/>
        <w:jc w:val="both"/>
        <w:rPr>
          <w:rFonts w:ascii="Garamond" w:hAnsi="Garamond"/>
          <w:sz w:val="20"/>
          <w:szCs w:val="20"/>
          <w:lang w:val="it-IT"/>
        </w:rPr>
      </w:pPr>
      <w:r w:rsidRPr="00766E2C">
        <w:rPr>
          <w:rStyle w:val="FootnoteReference"/>
          <w:rFonts w:ascii="Garamond" w:hAnsi="Garamond"/>
          <w:sz w:val="20"/>
          <w:szCs w:val="20"/>
        </w:rPr>
        <w:footnoteRef/>
      </w:r>
      <w:r w:rsidRPr="00766E2C">
        <w:rPr>
          <w:rFonts w:ascii="Garamond" w:hAnsi="Garamond"/>
          <w:sz w:val="20"/>
          <w:szCs w:val="20"/>
        </w:rPr>
        <w:t xml:space="preserve"> </w:t>
      </w:r>
      <w:r w:rsidRPr="00766E2C">
        <w:rPr>
          <w:rFonts w:ascii="Garamond" w:hAnsi="Garamond"/>
          <w:i/>
          <w:sz w:val="20"/>
          <w:szCs w:val="20"/>
          <w:lang w:val="it-IT"/>
        </w:rPr>
        <w:t>Stichting Brein</w:t>
      </w:r>
      <w:r w:rsidRPr="00766E2C">
        <w:rPr>
          <w:rFonts w:ascii="Garamond" w:hAnsi="Garamond"/>
          <w:sz w:val="20"/>
          <w:szCs w:val="20"/>
          <w:lang w:val="it-IT"/>
        </w:rPr>
        <w:t xml:space="preserve">, C-527/15, par. 41; </w:t>
      </w:r>
      <w:r w:rsidRPr="00766E2C">
        <w:rPr>
          <w:rFonts w:ascii="Garamond" w:hAnsi="Garamond"/>
          <w:i/>
          <w:sz w:val="20"/>
          <w:szCs w:val="20"/>
          <w:lang w:val="it-IT"/>
        </w:rPr>
        <w:t>Stichting Brein</w:t>
      </w:r>
      <w:r w:rsidRPr="00766E2C">
        <w:rPr>
          <w:rFonts w:ascii="Garamond" w:hAnsi="Garamond"/>
          <w:sz w:val="20"/>
          <w:szCs w:val="20"/>
          <w:lang w:val="it-IT"/>
        </w:rPr>
        <w:t>, C-610/15, par. 26.</w:t>
      </w:r>
    </w:p>
  </w:footnote>
  <w:footnote w:id="18">
    <w:p w14:paraId="4E974397" w14:textId="5CF9B47D" w:rsidR="00766E2C" w:rsidRPr="00766E2C" w:rsidRDefault="00766E2C" w:rsidP="00766E2C">
      <w:pPr>
        <w:spacing w:after="200" w:line="360" w:lineRule="auto"/>
        <w:jc w:val="both"/>
        <w:rPr>
          <w:rFonts w:ascii="Garamond" w:eastAsia="Times New Roman" w:hAnsi="Garamond" w:cs="Times New Roman"/>
          <w:sz w:val="20"/>
          <w:szCs w:val="20"/>
          <w:lang w:val="en-GB"/>
        </w:rPr>
      </w:pPr>
      <w:r w:rsidRPr="00766E2C">
        <w:rPr>
          <w:rStyle w:val="FootnoteReference"/>
          <w:rFonts w:ascii="Garamond" w:hAnsi="Garamond" w:cs="Times New Roman"/>
          <w:sz w:val="20"/>
          <w:szCs w:val="20"/>
          <w:lang w:val="en-GB"/>
        </w:rPr>
        <w:footnoteRef/>
      </w:r>
      <w:r w:rsidRPr="00766E2C">
        <w:rPr>
          <w:rFonts w:ascii="Garamond" w:hAnsi="Garamond" w:cs="Times New Roman"/>
          <w:sz w:val="20"/>
          <w:szCs w:val="20"/>
          <w:lang w:val="en-GB"/>
        </w:rPr>
        <w:t xml:space="preserve"> Opinion of Advocate General Melchior Wathelet in </w:t>
      </w:r>
      <w:r w:rsidRPr="00766E2C">
        <w:rPr>
          <w:rFonts w:ascii="Garamond" w:hAnsi="Garamond" w:cs="Times New Roman"/>
          <w:bCs/>
          <w:i/>
          <w:sz w:val="20"/>
          <w:szCs w:val="20"/>
          <w:lang w:val="en-GB"/>
        </w:rPr>
        <w:t>GS Media</w:t>
      </w:r>
      <w:r w:rsidRPr="00766E2C">
        <w:rPr>
          <w:rFonts w:ascii="Garamond" w:hAnsi="Garamond" w:cs="Times New Roman"/>
          <w:sz w:val="20"/>
          <w:szCs w:val="20"/>
          <w:lang w:val="en-GB"/>
        </w:rPr>
        <w:t xml:space="preserve">, C-160/15, </w:t>
      </w:r>
      <w:r w:rsidRPr="00766E2C">
        <w:rPr>
          <w:rFonts w:ascii="Garamond" w:eastAsia="Times New Roman" w:hAnsi="Garamond" w:cs="Times New Roman"/>
          <w:bCs/>
          <w:sz w:val="20"/>
          <w:szCs w:val="20"/>
          <w:shd w:val="clear" w:color="auto" w:fill="FFFFFF"/>
          <w:lang w:val="en-GB"/>
        </w:rPr>
        <w:t>EU:C:2016:221,</w:t>
      </w:r>
      <w:r w:rsidRPr="00766E2C">
        <w:rPr>
          <w:rFonts w:ascii="Garamond" w:hAnsi="Garamond" w:cs="Times New Roman"/>
          <w:sz w:val="20"/>
          <w:szCs w:val="20"/>
          <w:lang w:val="en-GB"/>
        </w:rPr>
        <w:t xml:space="preserve"> par. 57 to 60.</w:t>
      </w:r>
    </w:p>
  </w:footnote>
  <w:footnote w:id="19">
    <w:p w14:paraId="1C08E3AE" w14:textId="1E1A5C53" w:rsidR="00766E2C" w:rsidRPr="002B4C20" w:rsidRDefault="00766E2C" w:rsidP="00766E2C">
      <w:pPr>
        <w:pStyle w:val="FootnoteText"/>
        <w:spacing w:after="200" w:line="360" w:lineRule="auto"/>
        <w:jc w:val="both"/>
        <w:rPr>
          <w:rFonts w:ascii="Garamond" w:hAnsi="Garamond" w:cs="Times New Roman"/>
          <w:sz w:val="20"/>
          <w:szCs w:val="20"/>
          <w:lang w:val="en-GB"/>
        </w:rPr>
      </w:pPr>
      <w:r w:rsidRPr="00766E2C">
        <w:rPr>
          <w:rStyle w:val="FootnoteReference"/>
          <w:rFonts w:ascii="Garamond" w:hAnsi="Garamond" w:cs="Times New Roman"/>
          <w:sz w:val="20"/>
          <w:szCs w:val="20"/>
          <w:lang w:val="en-GB"/>
        </w:rPr>
        <w:footnoteRef/>
      </w:r>
      <w:r w:rsidRPr="00766E2C">
        <w:rPr>
          <w:rFonts w:ascii="Garamond" w:hAnsi="Garamond" w:cs="Times New Roman"/>
          <w:sz w:val="20"/>
          <w:szCs w:val="20"/>
          <w:lang w:val="en-GB"/>
        </w:rPr>
        <w:t xml:space="preserve"> </w:t>
      </w:r>
      <w:r w:rsidRPr="00766E2C">
        <w:rPr>
          <w:rFonts w:ascii="Garamond" w:hAnsi="Garamond" w:cs="Lucida Grande"/>
          <w:i/>
          <w:sz w:val="20"/>
          <w:szCs w:val="20"/>
          <w:lang w:val="en-GB"/>
        </w:rPr>
        <w:t>SGAE</w:t>
      </w:r>
      <w:r w:rsidRPr="002B4C20">
        <w:rPr>
          <w:rFonts w:ascii="Garamond" w:hAnsi="Garamond" w:cs="Lucida Grande"/>
          <w:sz w:val="20"/>
          <w:szCs w:val="20"/>
          <w:lang w:val="en-GB"/>
        </w:rPr>
        <w:t xml:space="preserve">, </w:t>
      </w:r>
      <w:r>
        <w:rPr>
          <w:rFonts w:ascii="Garamond" w:hAnsi="Garamond" w:cs="Times New Roman"/>
          <w:sz w:val="20"/>
          <w:szCs w:val="20"/>
          <w:lang w:val="en-GB"/>
        </w:rPr>
        <w:t>par.</w:t>
      </w:r>
      <w:r w:rsidRPr="002B4C20">
        <w:rPr>
          <w:rFonts w:ascii="Garamond" w:hAnsi="Garamond" w:cs="Times New Roman"/>
          <w:sz w:val="20"/>
          <w:szCs w:val="20"/>
          <w:lang w:val="en-GB"/>
        </w:rPr>
        <w:t xml:space="preserve"> 45 to 47.</w:t>
      </w:r>
    </w:p>
  </w:footnote>
  <w:footnote w:id="20">
    <w:p w14:paraId="1C134C4D" w14:textId="312D43FA" w:rsidR="00766E2C" w:rsidRPr="002B4C20" w:rsidRDefault="00766E2C" w:rsidP="004F24CD">
      <w:pPr>
        <w:spacing w:after="200" w:line="360" w:lineRule="auto"/>
        <w:jc w:val="both"/>
        <w:rPr>
          <w:rFonts w:ascii="Garamond" w:eastAsia="Times New Roman" w:hAnsi="Garamond"/>
          <w:sz w:val="20"/>
          <w:szCs w:val="20"/>
          <w:lang w:val="en-GB"/>
        </w:rPr>
      </w:pPr>
      <w:r w:rsidRPr="002B4C20">
        <w:rPr>
          <w:rStyle w:val="FootnoteReference"/>
          <w:rFonts w:ascii="Garamond" w:hAnsi="Garamond"/>
          <w:sz w:val="20"/>
          <w:szCs w:val="20"/>
          <w:lang w:val="en-GB"/>
        </w:rPr>
        <w:footnoteRef/>
      </w:r>
      <w:r w:rsidRPr="002B4C20">
        <w:rPr>
          <w:rFonts w:ascii="Garamond" w:hAnsi="Garamond"/>
          <w:sz w:val="20"/>
          <w:szCs w:val="20"/>
          <w:lang w:val="en-GB"/>
        </w:rPr>
        <w:t xml:space="preserve"> </w:t>
      </w:r>
      <w:r w:rsidRPr="002B4C20">
        <w:rPr>
          <w:rFonts w:ascii="Garamond" w:eastAsia="Times New Roman" w:hAnsi="Garamond" w:cs="Times New Roman"/>
          <w:i/>
          <w:sz w:val="20"/>
          <w:szCs w:val="20"/>
          <w:lang w:val="en-GB"/>
        </w:rPr>
        <w:t>GS Media</w:t>
      </w:r>
      <w:r w:rsidRPr="002B4C20">
        <w:rPr>
          <w:rFonts w:ascii="Garamond" w:eastAsia="Times New Roman" w:hAnsi="Garamond" w:cs="Times New Roman"/>
          <w:sz w:val="20"/>
          <w:szCs w:val="20"/>
          <w:lang w:val="en-GB"/>
        </w:rPr>
        <w:t xml:space="preserve">, </w:t>
      </w:r>
      <w:r>
        <w:rPr>
          <w:rFonts w:ascii="Garamond" w:eastAsia="Times New Roman" w:hAnsi="Garamond"/>
          <w:sz w:val="20"/>
          <w:szCs w:val="20"/>
          <w:lang w:val="en-GB"/>
        </w:rPr>
        <w:t>par.</w:t>
      </w:r>
      <w:r w:rsidRPr="002B4C20">
        <w:rPr>
          <w:rFonts w:ascii="Garamond" w:eastAsia="Times New Roman" w:hAnsi="Garamond"/>
          <w:sz w:val="20"/>
          <w:szCs w:val="20"/>
          <w:lang w:val="en-GB"/>
        </w:rPr>
        <w:t xml:space="preserve"> </w:t>
      </w:r>
      <w:r w:rsidRPr="002B4C20">
        <w:rPr>
          <w:rFonts w:ascii="Garamond" w:eastAsia="Times New Roman" w:hAnsi="Garamond" w:cs="Times New Roman"/>
          <w:sz w:val="20"/>
          <w:szCs w:val="20"/>
          <w:lang w:val="en-GB"/>
        </w:rPr>
        <w:t xml:space="preserve">34, referring to: </w:t>
      </w:r>
      <w:r w:rsidRPr="002B4C20">
        <w:rPr>
          <w:rFonts w:ascii="Garamond" w:hAnsi="Garamond" w:cs="Lucida Grande"/>
          <w:i/>
          <w:sz w:val="20"/>
          <w:szCs w:val="20"/>
          <w:lang w:val="en-GB"/>
        </w:rPr>
        <w:t>SCF</w:t>
      </w:r>
      <w:r w:rsidRPr="002B4C20">
        <w:rPr>
          <w:rFonts w:ascii="Garamond" w:hAnsi="Garamond" w:cs="Lucida Grande"/>
          <w:sz w:val="20"/>
          <w:szCs w:val="20"/>
          <w:lang w:val="en-GB"/>
        </w:rPr>
        <w:t xml:space="preserve">, </w:t>
      </w:r>
      <w:r>
        <w:rPr>
          <w:rFonts w:ascii="Garamond" w:eastAsia="Times New Roman" w:hAnsi="Garamond" w:cs="Times New Roman"/>
          <w:sz w:val="20"/>
          <w:szCs w:val="20"/>
          <w:lang w:val="en-GB"/>
        </w:rPr>
        <w:t>par.</w:t>
      </w:r>
      <w:r w:rsidRPr="002B4C20">
        <w:rPr>
          <w:rFonts w:ascii="Garamond" w:eastAsia="Times New Roman" w:hAnsi="Garamond" w:cs="Times New Roman"/>
          <w:sz w:val="20"/>
          <w:szCs w:val="20"/>
          <w:lang w:val="en-GB"/>
        </w:rPr>
        <w:t xml:space="preserve"> 79; </w:t>
      </w:r>
      <w:r w:rsidRPr="002B4C20">
        <w:rPr>
          <w:rFonts w:ascii="Garamond" w:hAnsi="Garamond" w:cs="Times New Roman"/>
          <w:bCs/>
          <w:i/>
          <w:sz w:val="20"/>
          <w:szCs w:val="20"/>
          <w:lang w:val="en-GB"/>
        </w:rPr>
        <w:t>Phonographic Performance (Ireland)</w:t>
      </w:r>
      <w:r w:rsidRPr="002B4C20">
        <w:rPr>
          <w:rFonts w:ascii="Garamond" w:hAnsi="Garamond" w:cs="Times New Roman"/>
          <w:bCs/>
          <w:sz w:val="20"/>
          <w:szCs w:val="20"/>
          <w:lang w:val="en-GB"/>
        </w:rPr>
        <w:t xml:space="preserve">, </w:t>
      </w:r>
      <w:r>
        <w:rPr>
          <w:rFonts w:ascii="Garamond" w:eastAsia="Times New Roman" w:hAnsi="Garamond" w:cs="Times New Roman"/>
          <w:sz w:val="20"/>
          <w:szCs w:val="20"/>
          <w:lang w:val="en-GB"/>
        </w:rPr>
        <w:t>par.</w:t>
      </w:r>
      <w:r w:rsidRPr="002B4C20">
        <w:rPr>
          <w:rFonts w:ascii="Garamond" w:eastAsia="Times New Roman" w:hAnsi="Garamond" w:cs="Times New Roman"/>
          <w:sz w:val="20"/>
          <w:szCs w:val="20"/>
          <w:lang w:val="en-GB"/>
        </w:rPr>
        <w:t xml:space="preserve"> 30; and </w:t>
      </w:r>
      <w:r w:rsidRPr="002B4C20">
        <w:rPr>
          <w:rFonts w:ascii="Garamond" w:hAnsi="Garamond" w:cs="Times New Roman"/>
          <w:bCs/>
          <w:i/>
          <w:sz w:val="20"/>
          <w:szCs w:val="20"/>
          <w:lang w:val="en-GB"/>
        </w:rPr>
        <w:t>Reha Training</w:t>
      </w:r>
      <w:r w:rsidRPr="002B4C20">
        <w:rPr>
          <w:rFonts w:ascii="Garamond" w:eastAsia="Times New Roman" w:hAnsi="Garamond" w:cs="Times New Roman"/>
          <w:sz w:val="20"/>
          <w:szCs w:val="20"/>
          <w:shd w:val="clear" w:color="auto" w:fill="FFFFFF"/>
          <w:lang w:val="en-GB"/>
        </w:rPr>
        <w:t xml:space="preserve">, </w:t>
      </w:r>
      <w:r>
        <w:rPr>
          <w:rFonts w:ascii="Garamond" w:hAnsi="Garamond"/>
          <w:sz w:val="20"/>
          <w:szCs w:val="20"/>
          <w:lang w:val="en-GB"/>
        </w:rPr>
        <w:t>par.</w:t>
      </w:r>
      <w:r w:rsidRPr="002B4C20">
        <w:rPr>
          <w:rFonts w:ascii="Garamond" w:hAnsi="Garamond"/>
          <w:sz w:val="20"/>
          <w:szCs w:val="20"/>
          <w:lang w:val="en-GB"/>
        </w:rPr>
        <w:t xml:space="preserve">  </w:t>
      </w:r>
      <w:r w:rsidRPr="002B4C20">
        <w:rPr>
          <w:rFonts w:ascii="Garamond" w:eastAsia="Times New Roman" w:hAnsi="Garamond" w:cs="Times New Roman"/>
          <w:sz w:val="20"/>
          <w:szCs w:val="20"/>
          <w:lang w:val="en-GB"/>
        </w:rPr>
        <w:t xml:space="preserve">35. </w:t>
      </w:r>
    </w:p>
  </w:footnote>
  <w:footnote w:id="21">
    <w:p w14:paraId="2B62E164" w14:textId="3E641BA7" w:rsidR="00766E2C" w:rsidRPr="002B4C20" w:rsidRDefault="00766E2C" w:rsidP="004F24CD">
      <w:pPr>
        <w:spacing w:after="200" w:line="360" w:lineRule="auto"/>
        <w:jc w:val="both"/>
        <w:rPr>
          <w:rFonts w:ascii="Garamond" w:eastAsia="Times New Roman" w:hAnsi="Garamond" w:cs="Times New Roman"/>
          <w:sz w:val="20"/>
          <w:szCs w:val="20"/>
          <w:lang w:val="en-GB"/>
        </w:rPr>
      </w:pPr>
      <w:r w:rsidRPr="002B4C20">
        <w:rPr>
          <w:rStyle w:val="FootnoteReference"/>
          <w:rFonts w:ascii="Garamond" w:hAnsi="Garamond"/>
          <w:sz w:val="20"/>
          <w:szCs w:val="20"/>
          <w:lang w:val="en-GB"/>
        </w:rPr>
        <w:footnoteRef/>
      </w:r>
      <w:r w:rsidRPr="002B4C20">
        <w:rPr>
          <w:rFonts w:ascii="Garamond" w:hAnsi="Garamond"/>
          <w:sz w:val="20"/>
          <w:szCs w:val="20"/>
          <w:lang w:val="en-GB"/>
        </w:rPr>
        <w:t xml:space="preserve"> </w:t>
      </w:r>
      <w:r w:rsidRPr="002B4C20">
        <w:rPr>
          <w:rFonts w:ascii="Garamond" w:hAnsi="Garamond" w:cs="Times New Roman"/>
          <w:bCs/>
          <w:i/>
          <w:sz w:val="20"/>
          <w:szCs w:val="20"/>
          <w:lang w:val="en-GB"/>
        </w:rPr>
        <w:t>Reha Training</w:t>
      </w:r>
      <w:r w:rsidRPr="002B4C20">
        <w:rPr>
          <w:rFonts w:ascii="Garamond" w:eastAsia="Times New Roman" w:hAnsi="Garamond" w:cs="Times New Roman"/>
          <w:sz w:val="20"/>
          <w:szCs w:val="20"/>
          <w:shd w:val="clear" w:color="auto" w:fill="FFFFFF"/>
          <w:lang w:val="en-GB"/>
        </w:rPr>
        <w:t xml:space="preserve">, </w:t>
      </w:r>
      <w:r>
        <w:rPr>
          <w:rFonts w:ascii="Garamond" w:hAnsi="Garamond"/>
          <w:sz w:val="20"/>
          <w:szCs w:val="20"/>
          <w:lang w:val="en-GB"/>
        </w:rPr>
        <w:t>par.</w:t>
      </w:r>
      <w:r w:rsidRPr="002B4C20">
        <w:rPr>
          <w:rFonts w:ascii="Garamond" w:hAnsi="Garamond"/>
          <w:sz w:val="20"/>
          <w:szCs w:val="20"/>
          <w:lang w:val="en-GB"/>
        </w:rPr>
        <w:t xml:space="preserve"> 49, referring to: </w:t>
      </w:r>
      <w:r w:rsidRPr="002B4C20">
        <w:rPr>
          <w:rFonts w:ascii="Garamond" w:eastAsia="Times New Roman" w:hAnsi="Garamond" w:cs="Times New Roman"/>
          <w:i/>
          <w:iCs/>
          <w:sz w:val="20"/>
          <w:szCs w:val="20"/>
          <w:shd w:val="clear" w:color="auto" w:fill="FFFFFF"/>
          <w:lang w:val="en-GB"/>
        </w:rPr>
        <w:t>ITV Broadcasting and Others</w:t>
      </w:r>
      <w:r w:rsidRPr="002B4C20">
        <w:rPr>
          <w:rFonts w:ascii="Garamond" w:eastAsia="Times New Roman" w:hAnsi="Garamond" w:cs="Times New Roman"/>
          <w:sz w:val="20"/>
          <w:szCs w:val="20"/>
          <w:shd w:val="clear" w:color="auto" w:fill="FFFFFF"/>
          <w:lang w:val="en-GB"/>
        </w:rPr>
        <w:t xml:space="preserve">, </w:t>
      </w:r>
      <w:r>
        <w:rPr>
          <w:rFonts w:ascii="Garamond" w:eastAsia="Times New Roman" w:hAnsi="Garamond" w:cs="Times New Roman"/>
          <w:sz w:val="20"/>
          <w:szCs w:val="20"/>
          <w:shd w:val="clear" w:color="auto" w:fill="FFFFFF"/>
          <w:lang w:val="en-GB"/>
        </w:rPr>
        <w:t>par.</w:t>
      </w:r>
      <w:r w:rsidRPr="002B4C20">
        <w:rPr>
          <w:rFonts w:ascii="Garamond" w:eastAsia="Times New Roman" w:hAnsi="Garamond" w:cs="Times New Roman"/>
          <w:sz w:val="20"/>
          <w:szCs w:val="20"/>
          <w:shd w:val="clear" w:color="auto" w:fill="FFFFFF"/>
          <w:lang w:val="en-GB"/>
        </w:rPr>
        <w:t xml:space="preserve"> 43; and </w:t>
      </w:r>
      <w:r w:rsidRPr="002B4C20">
        <w:rPr>
          <w:rFonts w:ascii="Garamond" w:eastAsia="Times New Roman" w:hAnsi="Garamond" w:cs="Times New Roman"/>
          <w:i/>
          <w:iCs/>
          <w:sz w:val="20"/>
          <w:szCs w:val="20"/>
          <w:shd w:val="clear" w:color="auto" w:fill="FFFFFF"/>
          <w:lang w:val="en-GB"/>
        </w:rPr>
        <w:t>Football Association Premier League and Others</w:t>
      </w:r>
      <w:r w:rsidRPr="002B4C20">
        <w:rPr>
          <w:rFonts w:ascii="Garamond" w:eastAsia="Times New Roman" w:hAnsi="Garamond" w:cs="Times New Roman"/>
          <w:sz w:val="20"/>
          <w:szCs w:val="20"/>
          <w:shd w:val="clear" w:color="auto" w:fill="FFFFFF"/>
          <w:lang w:val="en-GB"/>
        </w:rPr>
        <w:t xml:space="preserve">, </w:t>
      </w:r>
      <w:r>
        <w:rPr>
          <w:rFonts w:ascii="Garamond" w:eastAsia="Times New Roman" w:hAnsi="Garamond" w:cs="Times New Roman"/>
          <w:sz w:val="20"/>
          <w:szCs w:val="20"/>
          <w:shd w:val="clear" w:color="auto" w:fill="FFFFFF"/>
          <w:lang w:val="en-GB"/>
        </w:rPr>
        <w:t>par.</w:t>
      </w:r>
      <w:r w:rsidRPr="002B4C20">
        <w:rPr>
          <w:rFonts w:ascii="Garamond" w:eastAsia="Times New Roman" w:hAnsi="Garamond" w:cs="Times New Roman"/>
          <w:sz w:val="20"/>
          <w:szCs w:val="20"/>
          <w:shd w:val="clear" w:color="auto" w:fill="FFFFFF"/>
          <w:lang w:val="en-GB"/>
        </w:rPr>
        <w:t xml:space="preserve"> 204. Commenting favourably on the consideration of the profit-making character of t</w:t>
      </w:r>
      <w:r>
        <w:rPr>
          <w:rFonts w:ascii="Garamond" w:eastAsia="Times New Roman" w:hAnsi="Garamond" w:cs="Times New Roman"/>
          <w:sz w:val="20"/>
          <w:szCs w:val="20"/>
          <w:shd w:val="clear" w:color="auto" w:fill="FFFFFF"/>
          <w:lang w:val="en-GB"/>
        </w:rPr>
        <w:t>he communication at issue, see</w:t>
      </w:r>
      <w:r w:rsidRPr="002B4C20">
        <w:rPr>
          <w:rFonts w:ascii="Garamond" w:eastAsia="Times New Roman" w:hAnsi="Garamond" w:cs="Times New Roman"/>
          <w:sz w:val="20"/>
          <w:szCs w:val="20"/>
          <w:shd w:val="clear" w:color="auto" w:fill="FFFFFF"/>
          <w:lang w:val="en-GB"/>
        </w:rPr>
        <w:t xml:space="preserve"> Mysoor</w:t>
      </w:r>
      <w:r>
        <w:rPr>
          <w:rFonts w:ascii="Garamond" w:eastAsia="Times New Roman" w:hAnsi="Garamond" w:cs="Times New Roman"/>
          <w:sz w:val="20"/>
          <w:szCs w:val="20"/>
          <w:shd w:val="clear" w:color="auto" w:fill="FFFFFF"/>
          <w:lang w:val="en-GB"/>
        </w:rPr>
        <w:t xml:space="preserve"> (2013), p. 182</w:t>
      </w:r>
      <w:r w:rsidRPr="002B4C20">
        <w:rPr>
          <w:rFonts w:ascii="Garamond" w:eastAsia="Times New Roman" w:hAnsi="Garamond" w:cs="Times New Roman"/>
          <w:sz w:val="20"/>
          <w:szCs w:val="20"/>
          <w:shd w:val="clear" w:color="auto" w:fill="FFFFFF"/>
          <w:lang w:val="en-GB"/>
        </w:rPr>
        <w:t>.</w:t>
      </w:r>
    </w:p>
  </w:footnote>
  <w:footnote w:id="22">
    <w:p w14:paraId="0B6D94BF" w14:textId="59B402E7" w:rsidR="00766E2C" w:rsidRPr="002B4C20" w:rsidRDefault="00766E2C" w:rsidP="004F24CD">
      <w:pPr>
        <w:pStyle w:val="FootnoteText"/>
        <w:spacing w:after="200" w:line="360" w:lineRule="auto"/>
        <w:jc w:val="both"/>
        <w:rPr>
          <w:rFonts w:ascii="Garamond" w:hAnsi="Garamond" w:cs="Times New Roman"/>
          <w:sz w:val="20"/>
          <w:szCs w:val="20"/>
          <w:lang w:val="en-GB"/>
        </w:rPr>
      </w:pPr>
      <w:r w:rsidRPr="002B4C20">
        <w:rPr>
          <w:rStyle w:val="FootnoteReference"/>
          <w:rFonts w:ascii="Garamond" w:hAnsi="Garamond" w:cs="Times New Roman"/>
          <w:sz w:val="20"/>
          <w:szCs w:val="20"/>
          <w:lang w:val="en-GB"/>
        </w:rPr>
        <w:footnoteRef/>
      </w:r>
      <w:r w:rsidRPr="002B4C20">
        <w:rPr>
          <w:rFonts w:ascii="Garamond" w:hAnsi="Garamond" w:cs="Times New Roman"/>
          <w:sz w:val="20"/>
          <w:szCs w:val="20"/>
          <w:lang w:val="en-GB"/>
        </w:rPr>
        <w:t xml:space="preserve"> </w:t>
      </w:r>
      <w:r w:rsidRPr="002B4C20">
        <w:rPr>
          <w:rFonts w:ascii="Garamond" w:hAnsi="Garamond" w:cs="Times New Roman"/>
          <w:i/>
          <w:sz w:val="20"/>
          <w:szCs w:val="20"/>
          <w:lang w:val="en-GB"/>
        </w:rPr>
        <w:t>GS Media</w:t>
      </w:r>
      <w:r w:rsidRPr="002B4C20">
        <w:rPr>
          <w:rFonts w:ascii="Garamond" w:hAnsi="Garamond" w:cs="Times New Roman"/>
          <w:sz w:val="20"/>
          <w:szCs w:val="20"/>
          <w:lang w:val="en-GB"/>
        </w:rPr>
        <w:t xml:space="preserve">, </w:t>
      </w:r>
      <w:r>
        <w:rPr>
          <w:rFonts w:ascii="Garamond" w:hAnsi="Garamond" w:cs="Times New Roman"/>
          <w:sz w:val="20"/>
          <w:szCs w:val="20"/>
          <w:lang w:val="en-GB"/>
        </w:rPr>
        <w:t>par.</w:t>
      </w:r>
      <w:r w:rsidRPr="002B4C20">
        <w:rPr>
          <w:rFonts w:ascii="Garamond" w:hAnsi="Garamond" w:cs="Times New Roman"/>
          <w:sz w:val="20"/>
          <w:szCs w:val="20"/>
          <w:lang w:val="en-GB"/>
        </w:rPr>
        <w:t xml:space="preserve"> 51. </w:t>
      </w:r>
    </w:p>
  </w:footnote>
  <w:footnote w:id="23">
    <w:p w14:paraId="05F00795" w14:textId="1FEA4891" w:rsidR="00766E2C" w:rsidRPr="002B4C20" w:rsidRDefault="00766E2C" w:rsidP="004F24CD">
      <w:pPr>
        <w:widowControl w:val="0"/>
        <w:autoSpaceDE w:val="0"/>
        <w:autoSpaceDN w:val="0"/>
        <w:adjustRightInd w:val="0"/>
        <w:spacing w:after="200" w:line="360" w:lineRule="auto"/>
        <w:jc w:val="both"/>
        <w:rPr>
          <w:rFonts w:ascii="Garamond" w:hAnsi="Garamond"/>
          <w:bCs/>
          <w:sz w:val="20"/>
          <w:szCs w:val="20"/>
          <w:lang w:val="en-GB"/>
        </w:rPr>
      </w:pPr>
      <w:r w:rsidRPr="002B4C20">
        <w:rPr>
          <w:rStyle w:val="FootnoteReference"/>
          <w:rFonts w:ascii="Garamond" w:hAnsi="Garamond"/>
          <w:sz w:val="20"/>
          <w:szCs w:val="20"/>
          <w:lang w:val="en-GB"/>
        </w:rPr>
        <w:footnoteRef/>
      </w:r>
      <w:r w:rsidRPr="002B4C20">
        <w:rPr>
          <w:rFonts w:ascii="Garamond" w:hAnsi="Garamond"/>
          <w:sz w:val="20"/>
          <w:szCs w:val="20"/>
          <w:lang w:val="en-GB"/>
        </w:rPr>
        <w:t xml:space="preserve"> On this, see (critically) Synodinou (2017)</w:t>
      </w:r>
      <w:r>
        <w:rPr>
          <w:rFonts w:ascii="Garamond" w:hAnsi="Garamond"/>
          <w:sz w:val="20"/>
          <w:szCs w:val="20"/>
          <w:lang w:val="en-GB"/>
        </w:rPr>
        <w:t xml:space="preserve">, p. </w:t>
      </w:r>
      <w:r w:rsidRPr="002B4C20">
        <w:rPr>
          <w:rFonts w:ascii="Garamond" w:hAnsi="Garamond"/>
          <w:sz w:val="20"/>
          <w:szCs w:val="20"/>
          <w:lang w:val="en-GB"/>
        </w:rPr>
        <w:t>735.</w:t>
      </w:r>
    </w:p>
  </w:footnote>
  <w:footnote w:id="24">
    <w:p w14:paraId="645F8856" w14:textId="00B0FFBC" w:rsidR="00766E2C" w:rsidRPr="002B4C20" w:rsidRDefault="00766E2C" w:rsidP="004F24CD">
      <w:pPr>
        <w:pStyle w:val="FootnoteText"/>
        <w:spacing w:after="200" w:line="360" w:lineRule="auto"/>
        <w:jc w:val="both"/>
        <w:rPr>
          <w:rFonts w:ascii="Garamond" w:hAnsi="Garamond" w:cs="Times New Roman"/>
          <w:sz w:val="20"/>
          <w:szCs w:val="20"/>
          <w:lang w:val="en-GB"/>
        </w:rPr>
      </w:pPr>
      <w:r w:rsidRPr="002B4C20">
        <w:rPr>
          <w:rStyle w:val="FootnoteReference"/>
          <w:rFonts w:ascii="Garamond" w:hAnsi="Garamond" w:cs="Times New Roman"/>
          <w:sz w:val="20"/>
          <w:szCs w:val="20"/>
          <w:lang w:val="en-GB"/>
        </w:rPr>
        <w:footnoteRef/>
      </w:r>
      <w:r w:rsidRPr="002B4C20">
        <w:rPr>
          <w:rFonts w:ascii="Garamond" w:hAnsi="Garamond" w:cs="Times New Roman"/>
          <w:sz w:val="20"/>
          <w:szCs w:val="20"/>
          <w:lang w:val="en-GB"/>
        </w:rPr>
        <w:t xml:space="preserve"> </w:t>
      </w:r>
      <w:r w:rsidRPr="002B4C20">
        <w:rPr>
          <w:rFonts w:ascii="Garamond" w:hAnsi="Garamond" w:cs="Lucida Grande"/>
          <w:i/>
          <w:sz w:val="20"/>
          <w:szCs w:val="20"/>
          <w:lang w:val="en-GB"/>
        </w:rPr>
        <w:t>Stichting Brein</w:t>
      </w:r>
      <w:r w:rsidRPr="002B4C20">
        <w:rPr>
          <w:rFonts w:ascii="Garamond" w:hAnsi="Garamond" w:cs="Lucida Grande"/>
          <w:sz w:val="20"/>
          <w:szCs w:val="20"/>
          <w:lang w:val="en-GB"/>
        </w:rPr>
        <w:t xml:space="preserve">, C-527/15, </w:t>
      </w:r>
      <w:r>
        <w:rPr>
          <w:rFonts w:ascii="Garamond" w:hAnsi="Garamond" w:cs="Times New Roman"/>
          <w:sz w:val="20"/>
          <w:szCs w:val="20"/>
          <w:lang w:val="en-GB"/>
        </w:rPr>
        <w:t>par.</w:t>
      </w:r>
      <w:r w:rsidRPr="002B4C20">
        <w:rPr>
          <w:rFonts w:ascii="Garamond" w:hAnsi="Garamond" w:cs="Times New Roman"/>
          <w:sz w:val="20"/>
          <w:szCs w:val="20"/>
          <w:lang w:val="en-GB"/>
        </w:rPr>
        <w:t xml:space="preserve"> 49 and 51.</w:t>
      </w:r>
    </w:p>
  </w:footnote>
  <w:footnote w:id="25">
    <w:p w14:paraId="3FFE47B3" w14:textId="2ABD74C4" w:rsidR="00766E2C" w:rsidRPr="002B4C20" w:rsidRDefault="00766E2C" w:rsidP="004F24CD">
      <w:pPr>
        <w:spacing w:after="200" w:line="360" w:lineRule="auto"/>
        <w:jc w:val="both"/>
        <w:rPr>
          <w:rFonts w:ascii="Garamond" w:hAnsi="Garamond" w:cs="Times New Roman"/>
          <w:sz w:val="20"/>
          <w:szCs w:val="20"/>
          <w:lang w:val="en-GB"/>
        </w:rPr>
      </w:pPr>
      <w:r w:rsidRPr="002B4C20">
        <w:rPr>
          <w:rStyle w:val="FootnoteReference"/>
          <w:rFonts w:ascii="Garamond" w:hAnsi="Garamond" w:cs="Times New Roman"/>
          <w:sz w:val="20"/>
          <w:szCs w:val="20"/>
          <w:lang w:val="en-GB"/>
        </w:rPr>
        <w:footnoteRef/>
      </w:r>
      <w:r>
        <w:rPr>
          <w:rFonts w:ascii="Garamond" w:hAnsi="Garamond" w:cs="Times New Roman"/>
          <w:sz w:val="20"/>
          <w:szCs w:val="20"/>
          <w:lang w:val="en-GB"/>
        </w:rPr>
        <w:t xml:space="preserve"> Rosati</w:t>
      </w:r>
      <w:r w:rsidRPr="002B4C20">
        <w:rPr>
          <w:rFonts w:ascii="Garamond" w:hAnsi="Garamond" w:cs="Times New Roman"/>
          <w:sz w:val="20"/>
          <w:szCs w:val="20"/>
          <w:lang w:val="en-GB"/>
        </w:rPr>
        <w:t xml:space="preserve"> (2017</w:t>
      </w:r>
      <w:r>
        <w:rPr>
          <w:rFonts w:ascii="Garamond" w:hAnsi="Garamond" w:cs="Times New Roman"/>
          <w:sz w:val="20"/>
          <w:szCs w:val="20"/>
          <w:lang w:val="en-GB"/>
        </w:rPr>
        <w:t>a</w:t>
      </w:r>
      <w:r w:rsidRPr="002B4C20">
        <w:rPr>
          <w:rFonts w:ascii="Garamond" w:hAnsi="Garamond" w:cs="Times New Roman"/>
          <w:sz w:val="20"/>
          <w:szCs w:val="20"/>
          <w:lang w:val="en-GB"/>
        </w:rPr>
        <w:t>)</w:t>
      </w:r>
      <w:r>
        <w:rPr>
          <w:rFonts w:ascii="Garamond" w:hAnsi="Garamond" w:cs="Times New Roman"/>
          <w:sz w:val="20"/>
          <w:szCs w:val="20"/>
          <w:lang w:val="en-GB"/>
        </w:rPr>
        <w:t xml:space="preserve">, p. </w:t>
      </w:r>
      <w:r w:rsidRPr="002B4C20">
        <w:rPr>
          <w:rFonts w:ascii="Garamond" w:hAnsi="Garamond" w:cs="Times New Roman"/>
          <w:sz w:val="20"/>
          <w:szCs w:val="20"/>
          <w:lang w:val="en-GB"/>
        </w:rPr>
        <w:t>1237-1238. In a s</w:t>
      </w:r>
      <w:r>
        <w:rPr>
          <w:rFonts w:ascii="Garamond" w:hAnsi="Garamond" w:cs="Times New Roman"/>
          <w:sz w:val="20"/>
          <w:szCs w:val="20"/>
          <w:lang w:val="en-GB"/>
        </w:rPr>
        <w:t xml:space="preserve">imilar sense, see also Clark and Dickinson </w:t>
      </w:r>
      <w:r w:rsidRPr="002B4C20">
        <w:rPr>
          <w:rFonts w:ascii="Garamond" w:hAnsi="Garamond" w:cs="Times New Roman"/>
          <w:sz w:val="20"/>
          <w:szCs w:val="20"/>
          <w:lang w:val="en-GB"/>
        </w:rPr>
        <w:t>(2017)</w:t>
      </w:r>
      <w:r>
        <w:rPr>
          <w:rFonts w:ascii="Garamond" w:eastAsia="Times New Roman" w:hAnsi="Garamond" w:cs="Times New Roman"/>
          <w:sz w:val="20"/>
          <w:szCs w:val="20"/>
          <w:shd w:val="clear" w:color="auto" w:fill="FFFFFF"/>
          <w:lang w:val="en-GB"/>
        </w:rPr>
        <w:t xml:space="preserve">, p. </w:t>
      </w:r>
      <w:r w:rsidRPr="002B4C20">
        <w:rPr>
          <w:rFonts w:ascii="Garamond" w:hAnsi="Garamond" w:cs="Times New Roman"/>
          <w:sz w:val="20"/>
          <w:szCs w:val="20"/>
          <w:lang w:val="en-GB"/>
        </w:rPr>
        <w:t>269-270. Submitting instead that the profit-making intention of the ‘hyperlinker’ is to be appreciated with regard to the particular act of hype</w:t>
      </w:r>
      <w:r>
        <w:rPr>
          <w:rFonts w:ascii="Garamond" w:hAnsi="Garamond" w:cs="Times New Roman"/>
          <w:sz w:val="20"/>
          <w:szCs w:val="20"/>
          <w:lang w:val="en-GB"/>
        </w:rPr>
        <w:t xml:space="preserve">rlinking, see Rendas </w:t>
      </w:r>
      <w:r w:rsidRPr="002B4C20">
        <w:rPr>
          <w:rFonts w:ascii="Garamond" w:hAnsi="Garamond" w:cs="Times New Roman"/>
          <w:sz w:val="20"/>
          <w:szCs w:val="20"/>
          <w:lang w:val="en-GB"/>
        </w:rPr>
        <w:t>(2017)</w:t>
      </w:r>
      <w:r>
        <w:rPr>
          <w:rFonts w:ascii="Garamond" w:hAnsi="Garamond" w:cs="Times New Roman"/>
          <w:sz w:val="20"/>
          <w:szCs w:val="20"/>
          <w:lang w:val="en-GB"/>
        </w:rPr>
        <w:t xml:space="preserve">, p. </w:t>
      </w:r>
      <w:r w:rsidRPr="002B4C20">
        <w:rPr>
          <w:rFonts w:ascii="Garamond" w:hAnsi="Garamond" w:cs="Times New Roman"/>
          <w:sz w:val="20"/>
          <w:szCs w:val="20"/>
          <w:lang w:val="en-GB"/>
        </w:rPr>
        <w:t>14.</w:t>
      </w:r>
    </w:p>
  </w:footnote>
  <w:footnote w:id="26">
    <w:p w14:paraId="19116C8E" w14:textId="76B4AB9C" w:rsidR="00766E2C" w:rsidRPr="002B4C20" w:rsidRDefault="00766E2C" w:rsidP="004F24CD">
      <w:pPr>
        <w:pStyle w:val="FootnoteText"/>
        <w:spacing w:after="200" w:line="360" w:lineRule="auto"/>
        <w:jc w:val="both"/>
        <w:rPr>
          <w:rFonts w:ascii="Garamond" w:hAnsi="Garamond" w:cs="Times New Roman"/>
          <w:sz w:val="20"/>
          <w:szCs w:val="20"/>
          <w:lang w:val="en-GB"/>
        </w:rPr>
      </w:pPr>
      <w:r w:rsidRPr="002B4C20">
        <w:rPr>
          <w:rStyle w:val="FootnoteReference"/>
          <w:rFonts w:ascii="Garamond" w:hAnsi="Garamond" w:cs="Times New Roman"/>
          <w:sz w:val="20"/>
          <w:szCs w:val="20"/>
          <w:lang w:val="en-GB"/>
        </w:rPr>
        <w:footnoteRef/>
      </w:r>
      <w:r w:rsidRPr="002B4C20">
        <w:rPr>
          <w:rFonts w:ascii="Garamond" w:hAnsi="Garamond" w:cs="Times New Roman"/>
          <w:sz w:val="20"/>
          <w:szCs w:val="20"/>
          <w:lang w:val="en-GB"/>
        </w:rPr>
        <w:t xml:space="preserve"> </w:t>
      </w:r>
      <w:r w:rsidRPr="002B4C20">
        <w:rPr>
          <w:rFonts w:ascii="Garamond" w:hAnsi="Garamond" w:cs="Lucida Grande"/>
          <w:i/>
          <w:sz w:val="20"/>
          <w:szCs w:val="20"/>
          <w:lang w:val="en-GB"/>
        </w:rPr>
        <w:t>SGAE</w:t>
      </w:r>
      <w:r w:rsidRPr="002B4C20">
        <w:rPr>
          <w:rFonts w:ascii="Garamond" w:hAnsi="Garamond" w:cs="Lucida Grande"/>
          <w:sz w:val="20"/>
          <w:szCs w:val="20"/>
          <w:lang w:val="en-GB"/>
        </w:rPr>
        <w:t xml:space="preserve">, </w:t>
      </w:r>
      <w:r>
        <w:rPr>
          <w:rFonts w:ascii="Garamond" w:hAnsi="Garamond" w:cs="Times New Roman"/>
          <w:sz w:val="20"/>
          <w:szCs w:val="20"/>
          <w:lang w:val="en-GB"/>
        </w:rPr>
        <w:t>par.</w:t>
      </w:r>
      <w:r w:rsidRPr="002B4C20">
        <w:rPr>
          <w:rFonts w:ascii="Garamond" w:hAnsi="Garamond" w:cs="Times New Roman"/>
          <w:sz w:val="20"/>
          <w:szCs w:val="20"/>
          <w:lang w:val="en-GB"/>
        </w:rPr>
        <w:t xml:space="preserve"> 44; </w:t>
      </w:r>
      <w:r w:rsidRPr="002B4C20">
        <w:rPr>
          <w:rFonts w:ascii="Garamond" w:hAnsi="Garamond" w:cs="Lucida Grande"/>
          <w:i/>
          <w:sz w:val="20"/>
          <w:szCs w:val="20"/>
          <w:lang w:val="en-GB"/>
        </w:rPr>
        <w:t>Football Association Premier League and Others</w:t>
      </w:r>
      <w:r w:rsidRPr="002B4C20">
        <w:rPr>
          <w:rFonts w:ascii="Garamond" w:hAnsi="Garamond" w:cs="Lucida Grande"/>
          <w:sz w:val="20"/>
          <w:szCs w:val="20"/>
          <w:lang w:val="en-GB"/>
        </w:rPr>
        <w:t xml:space="preserve">, </w:t>
      </w:r>
      <w:r>
        <w:rPr>
          <w:rFonts w:ascii="Garamond" w:hAnsi="Garamond" w:cs="Times New Roman"/>
          <w:sz w:val="20"/>
          <w:szCs w:val="20"/>
          <w:lang w:val="en-GB"/>
        </w:rPr>
        <w:t>par.</w:t>
      </w:r>
      <w:r w:rsidRPr="002B4C20">
        <w:rPr>
          <w:rFonts w:ascii="Garamond" w:hAnsi="Garamond" w:cs="Times New Roman"/>
          <w:sz w:val="20"/>
          <w:szCs w:val="20"/>
          <w:lang w:val="en-GB"/>
        </w:rPr>
        <w:t xml:space="preserve"> 205-206; </w:t>
      </w:r>
      <w:r w:rsidRPr="002B4C20">
        <w:rPr>
          <w:rFonts w:ascii="Garamond" w:hAnsi="Garamond" w:cs="Times New Roman"/>
          <w:bCs/>
          <w:i/>
          <w:sz w:val="20"/>
          <w:szCs w:val="20"/>
          <w:lang w:val="en-GB"/>
        </w:rPr>
        <w:t>Reha Training</w:t>
      </w:r>
      <w:r w:rsidRPr="002B4C20">
        <w:rPr>
          <w:rFonts w:ascii="Garamond" w:eastAsia="Times New Roman" w:hAnsi="Garamond" w:cs="Times New Roman"/>
          <w:sz w:val="20"/>
          <w:szCs w:val="20"/>
          <w:shd w:val="clear" w:color="auto" w:fill="FFFFFF"/>
          <w:lang w:val="en-GB"/>
        </w:rPr>
        <w:t xml:space="preserve">, </w:t>
      </w:r>
      <w:r>
        <w:rPr>
          <w:rFonts w:ascii="Garamond" w:hAnsi="Garamond" w:cs="Times New Roman"/>
          <w:sz w:val="20"/>
          <w:szCs w:val="20"/>
          <w:lang w:val="en-GB"/>
        </w:rPr>
        <w:t>par.</w:t>
      </w:r>
      <w:r w:rsidRPr="002B4C20">
        <w:rPr>
          <w:rFonts w:ascii="Garamond" w:hAnsi="Garamond" w:cs="Times New Roman"/>
          <w:sz w:val="20"/>
          <w:szCs w:val="20"/>
          <w:lang w:val="en-GB"/>
        </w:rPr>
        <w:t xml:space="preserve"> 63-64.</w:t>
      </w:r>
    </w:p>
  </w:footnote>
  <w:footnote w:id="27">
    <w:p w14:paraId="4C7E44D9" w14:textId="5D81E6E3" w:rsidR="00766E2C" w:rsidRPr="002B4C20" w:rsidRDefault="00766E2C" w:rsidP="004F24CD">
      <w:pPr>
        <w:pStyle w:val="FootnoteText"/>
        <w:spacing w:after="200" w:line="360" w:lineRule="auto"/>
        <w:jc w:val="both"/>
        <w:rPr>
          <w:rFonts w:ascii="Garamond" w:hAnsi="Garamond" w:cs="Times New Roman"/>
          <w:sz w:val="20"/>
          <w:szCs w:val="20"/>
          <w:lang w:val="en-GB"/>
        </w:rPr>
      </w:pPr>
      <w:r w:rsidRPr="002B4C20">
        <w:rPr>
          <w:rStyle w:val="FootnoteReference"/>
          <w:rFonts w:ascii="Garamond" w:hAnsi="Garamond" w:cs="Times New Roman"/>
          <w:sz w:val="20"/>
          <w:szCs w:val="20"/>
          <w:lang w:val="en-GB"/>
        </w:rPr>
        <w:footnoteRef/>
      </w:r>
      <w:r w:rsidRPr="002B4C20">
        <w:rPr>
          <w:rFonts w:ascii="Garamond" w:hAnsi="Garamond" w:cs="Times New Roman"/>
          <w:sz w:val="20"/>
          <w:szCs w:val="20"/>
          <w:lang w:val="en-GB"/>
        </w:rPr>
        <w:t xml:space="preserve"> </w:t>
      </w:r>
      <w:r w:rsidRPr="002B4C20">
        <w:rPr>
          <w:rFonts w:ascii="Garamond" w:hAnsi="Garamond" w:cs="Lucida Grande"/>
          <w:i/>
          <w:sz w:val="20"/>
          <w:szCs w:val="20"/>
          <w:lang w:val="en-GB"/>
        </w:rPr>
        <w:t>Stichting Brein</w:t>
      </w:r>
      <w:r w:rsidRPr="002B4C20">
        <w:rPr>
          <w:rFonts w:ascii="Garamond" w:hAnsi="Garamond" w:cs="Lucida Grande"/>
          <w:sz w:val="20"/>
          <w:szCs w:val="20"/>
          <w:lang w:val="en-GB"/>
        </w:rPr>
        <w:t xml:space="preserve">, C-527/15, </w:t>
      </w:r>
      <w:r>
        <w:rPr>
          <w:rFonts w:ascii="Garamond" w:hAnsi="Garamond" w:cs="Times New Roman"/>
          <w:sz w:val="20"/>
          <w:szCs w:val="20"/>
          <w:lang w:val="en-GB"/>
        </w:rPr>
        <w:t>par.</w:t>
      </w:r>
      <w:r w:rsidRPr="002B4C20">
        <w:rPr>
          <w:rFonts w:ascii="Garamond" w:hAnsi="Garamond" w:cs="Times New Roman"/>
          <w:sz w:val="20"/>
          <w:szCs w:val="20"/>
          <w:lang w:val="en-GB"/>
        </w:rPr>
        <w:t xml:space="preserve"> 51.</w:t>
      </w:r>
    </w:p>
  </w:footnote>
  <w:footnote w:id="28">
    <w:p w14:paraId="23241AB1" w14:textId="678F231E" w:rsidR="00766E2C" w:rsidRPr="002B4C20" w:rsidRDefault="00766E2C" w:rsidP="004F24CD">
      <w:pPr>
        <w:spacing w:after="200" w:line="360" w:lineRule="auto"/>
        <w:jc w:val="both"/>
        <w:rPr>
          <w:rFonts w:ascii="Garamond" w:eastAsia="Times New Roman" w:hAnsi="Garamond" w:cs="Times New Roman"/>
          <w:sz w:val="20"/>
          <w:szCs w:val="20"/>
          <w:lang w:val="en-GB"/>
        </w:rPr>
      </w:pPr>
      <w:r w:rsidRPr="002B4C20">
        <w:rPr>
          <w:rStyle w:val="FootnoteReference"/>
          <w:rFonts w:ascii="Garamond" w:hAnsi="Garamond" w:cs="Times New Roman"/>
          <w:sz w:val="20"/>
          <w:szCs w:val="20"/>
          <w:lang w:val="en-GB"/>
        </w:rPr>
        <w:footnoteRef/>
      </w:r>
      <w:r w:rsidRPr="002B4C20">
        <w:rPr>
          <w:rFonts w:ascii="Garamond" w:hAnsi="Garamond" w:cs="Times New Roman"/>
          <w:sz w:val="20"/>
          <w:szCs w:val="20"/>
          <w:lang w:val="en-GB"/>
        </w:rPr>
        <w:t xml:space="preserve"> </w:t>
      </w:r>
      <w:r w:rsidRPr="002B4C20">
        <w:rPr>
          <w:rFonts w:ascii="Garamond" w:hAnsi="Garamond" w:cs="Times New Roman"/>
          <w:bCs/>
          <w:i/>
          <w:sz w:val="20"/>
          <w:szCs w:val="20"/>
          <w:lang w:val="en-GB"/>
        </w:rPr>
        <w:t>Svensson and Others</w:t>
      </w:r>
      <w:r w:rsidRPr="002B4C20">
        <w:rPr>
          <w:rFonts w:ascii="Garamond" w:hAnsi="Garamond" w:cs="Times New Roman"/>
          <w:bCs/>
          <w:sz w:val="20"/>
          <w:szCs w:val="20"/>
          <w:lang w:val="en-GB"/>
        </w:rPr>
        <w:t xml:space="preserve">, </w:t>
      </w:r>
      <w:r>
        <w:rPr>
          <w:rFonts w:ascii="Garamond" w:hAnsi="Garamond" w:cs="Times New Roman"/>
          <w:sz w:val="20"/>
          <w:szCs w:val="20"/>
          <w:lang w:val="en-GB"/>
        </w:rPr>
        <w:t>par.</w:t>
      </w:r>
      <w:r w:rsidRPr="002B4C20">
        <w:rPr>
          <w:rFonts w:ascii="Garamond" w:hAnsi="Garamond" w:cs="Times New Roman"/>
          <w:sz w:val="20"/>
          <w:szCs w:val="20"/>
          <w:lang w:val="en-GB"/>
        </w:rPr>
        <w:t xml:space="preserve"> 16, referring to </w:t>
      </w:r>
      <w:r w:rsidRPr="002B4C20">
        <w:rPr>
          <w:rFonts w:ascii="Garamond" w:hAnsi="Garamond" w:cs="Times New Roman"/>
          <w:bCs/>
          <w:i/>
          <w:sz w:val="20"/>
          <w:szCs w:val="20"/>
          <w:lang w:val="en-GB"/>
        </w:rPr>
        <w:t>ITV Broadcasting</w:t>
      </w:r>
      <w:r w:rsidRPr="002B4C20">
        <w:rPr>
          <w:rFonts w:ascii="Garamond" w:hAnsi="Garamond" w:cs="Times New Roman"/>
          <w:bCs/>
          <w:sz w:val="20"/>
          <w:szCs w:val="20"/>
          <w:lang w:val="en-GB"/>
        </w:rPr>
        <w:t xml:space="preserve">, </w:t>
      </w:r>
      <w:r>
        <w:rPr>
          <w:rFonts w:ascii="Garamond" w:eastAsia="Times New Roman" w:hAnsi="Garamond" w:cs="Times New Roman"/>
          <w:bCs/>
          <w:sz w:val="20"/>
          <w:szCs w:val="20"/>
          <w:shd w:val="clear" w:color="auto" w:fill="FFFFFF"/>
          <w:lang w:val="en-GB"/>
        </w:rPr>
        <w:t>par.</w:t>
      </w:r>
      <w:r w:rsidRPr="002B4C20">
        <w:rPr>
          <w:rFonts w:ascii="Garamond" w:eastAsia="Times New Roman" w:hAnsi="Garamond" w:cs="Times New Roman"/>
          <w:bCs/>
          <w:sz w:val="20"/>
          <w:szCs w:val="20"/>
          <w:shd w:val="clear" w:color="auto" w:fill="FFFFFF"/>
          <w:lang w:val="en-GB"/>
        </w:rPr>
        <w:t xml:space="preserve"> 21 and 31.</w:t>
      </w:r>
    </w:p>
  </w:footnote>
  <w:footnote w:id="29">
    <w:p w14:paraId="3B20B452" w14:textId="3317B085" w:rsidR="00766E2C" w:rsidRPr="002B4C20" w:rsidRDefault="00766E2C" w:rsidP="004F24CD">
      <w:pPr>
        <w:spacing w:after="200" w:line="360" w:lineRule="auto"/>
        <w:jc w:val="both"/>
        <w:rPr>
          <w:rFonts w:ascii="Garamond" w:eastAsia="Times New Roman" w:hAnsi="Garamond" w:cs="Times New Roman"/>
          <w:sz w:val="20"/>
          <w:szCs w:val="20"/>
          <w:lang w:val="en-GB"/>
        </w:rPr>
      </w:pPr>
      <w:r w:rsidRPr="002B4C20">
        <w:rPr>
          <w:rStyle w:val="FootnoteReference"/>
          <w:rFonts w:ascii="Garamond" w:hAnsi="Garamond"/>
          <w:sz w:val="20"/>
          <w:szCs w:val="20"/>
          <w:lang w:val="en-GB"/>
        </w:rPr>
        <w:footnoteRef/>
      </w:r>
      <w:r w:rsidRPr="002B4C20">
        <w:rPr>
          <w:rFonts w:ascii="Garamond" w:hAnsi="Garamond"/>
          <w:sz w:val="20"/>
          <w:szCs w:val="20"/>
          <w:lang w:val="en-GB"/>
        </w:rPr>
        <w:t xml:space="preserve"> In its opinion prior to the CJEU judgment, the European Copyright Society had held the view that linking could not qualify as an act of communication to the public, also on consideration that a transmission of a work – as opposed to its mere accessibility – would be required under Article 3(1) of the InfoSoc Directive: see European Copyright Society (2013). See, </w:t>
      </w:r>
      <w:r w:rsidRPr="002B4C20">
        <w:rPr>
          <w:rFonts w:ascii="Garamond" w:hAnsi="Garamond"/>
          <w:i/>
          <w:sz w:val="20"/>
          <w:szCs w:val="20"/>
          <w:lang w:val="en-GB"/>
        </w:rPr>
        <w:t>contra</w:t>
      </w:r>
      <w:r w:rsidRPr="002B4C20">
        <w:rPr>
          <w:rFonts w:ascii="Garamond" w:hAnsi="Garamond"/>
          <w:sz w:val="20"/>
          <w:szCs w:val="20"/>
          <w:lang w:val="en-GB"/>
        </w:rPr>
        <w:t>, Association Littéraire et Artistique Internationale (2013)</w:t>
      </w:r>
      <w:r w:rsidRPr="002B4C20">
        <w:rPr>
          <w:rFonts w:ascii="Garamond" w:eastAsia="Times New Roman" w:hAnsi="Garamond" w:cs="Times New Roman"/>
          <w:sz w:val="20"/>
          <w:szCs w:val="20"/>
          <w:lang w:val="en-GB"/>
        </w:rPr>
        <w:t>.</w:t>
      </w:r>
    </w:p>
  </w:footnote>
  <w:footnote w:id="30">
    <w:p w14:paraId="70B27438" w14:textId="1AA0D6BA" w:rsidR="00766E2C" w:rsidRPr="002B4C20" w:rsidRDefault="00766E2C" w:rsidP="004F24CD">
      <w:pPr>
        <w:spacing w:after="200" w:line="360" w:lineRule="auto"/>
        <w:jc w:val="both"/>
        <w:rPr>
          <w:rFonts w:ascii="Garamond" w:eastAsia="Times New Roman" w:hAnsi="Garamond" w:cs="Times New Roman"/>
          <w:sz w:val="20"/>
          <w:szCs w:val="20"/>
          <w:lang w:val="en-GB"/>
        </w:rPr>
      </w:pPr>
      <w:r w:rsidRPr="002B4C20">
        <w:rPr>
          <w:rStyle w:val="FootnoteReference"/>
          <w:rFonts w:ascii="Garamond" w:hAnsi="Garamond" w:cs="Times New Roman"/>
          <w:sz w:val="20"/>
          <w:szCs w:val="20"/>
          <w:lang w:val="en-GB"/>
        </w:rPr>
        <w:footnoteRef/>
      </w:r>
      <w:r w:rsidRPr="002B4C20">
        <w:rPr>
          <w:rFonts w:ascii="Garamond" w:hAnsi="Garamond" w:cs="Times New Roman"/>
          <w:sz w:val="20"/>
          <w:szCs w:val="20"/>
          <w:lang w:val="en-GB"/>
        </w:rPr>
        <w:t xml:space="preserve"> </w:t>
      </w:r>
      <w:r w:rsidRPr="002B4C20">
        <w:rPr>
          <w:rFonts w:ascii="Garamond" w:hAnsi="Garamond" w:cs="Times New Roman"/>
          <w:bCs/>
          <w:i/>
          <w:sz w:val="20"/>
          <w:szCs w:val="20"/>
          <w:lang w:val="en-GB"/>
        </w:rPr>
        <w:t>Svensson and Others</w:t>
      </w:r>
      <w:r w:rsidRPr="002B4C20">
        <w:rPr>
          <w:rFonts w:ascii="Garamond" w:hAnsi="Garamond" w:cs="Times New Roman"/>
          <w:bCs/>
          <w:sz w:val="20"/>
          <w:szCs w:val="20"/>
          <w:lang w:val="en-GB"/>
        </w:rPr>
        <w:t xml:space="preserve">, </w:t>
      </w:r>
      <w:r>
        <w:rPr>
          <w:rFonts w:ascii="Garamond" w:hAnsi="Garamond" w:cs="Times New Roman"/>
          <w:sz w:val="20"/>
          <w:szCs w:val="20"/>
          <w:lang w:val="en-GB"/>
        </w:rPr>
        <w:t>par.</w:t>
      </w:r>
      <w:r w:rsidRPr="002B4C20">
        <w:rPr>
          <w:rFonts w:ascii="Garamond" w:hAnsi="Garamond" w:cs="Times New Roman"/>
          <w:sz w:val="20"/>
          <w:szCs w:val="20"/>
          <w:lang w:val="en-GB"/>
        </w:rPr>
        <w:t xml:space="preserve"> 21, referring to</w:t>
      </w:r>
      <w:r w:rsidRPr="002B4C20">
        <w:rPr>
          <w:rStyle w:val="Strong"/>
          <w:rFonts w:ascii="Garamond" w:eastAsia="Times New Roman" w:hAnsi="Garamond" w:cs="Times New Roman"/>
          <w:sz w:val="20"/>
          <w:szCs w:val="20"/>
          <w:bdr w:val="none" w:sz="0" w:space="0" w:color="auto" w:frame="1"/>
          <w:shd w:val="clear" w:color="auto" w:fill="FFFFFF"/>
          <w:lang w:val="en-GB"/>
        </w:rPr>
        <w:t xml:space="preserve"> </w:t>
      </w:r>
      <w:r w:rsidRPr="002B4C20">
        <w:rPr>
          <w:rFonts w:ascii="Garamond" w:eastAsia="Times New Roman" w:hAnsi="Garamond" w:cs="Times New Roman"/>
          <w:bCs/>
          <w:i/>
          <w:sz w:val="20"/>
          <w:szCs w:val="20"/>
          <w:bdr w:val="none" w:sz="0" w:space="0" w:color="auto" w:frame="1"/>
          <w:shd w:val="clear" w:color="auto" w:fill="FFFFFF"/>
          <w:lang w:val="en-GB"/>
        </w:rPr>
        <w:t>SGAE</w:t>
      </w:r>
      <w:r w:rsidRPr="002B4C20">
        <w:rPr>
          <w:rFonts w:ascii="Garamond" w:eastAsia="Times New Roman" w:hAnsi="Garamond" w:cs="Times New Roman"/>
          <w:bCs/>
          <w:sz w:val="20"/>
          <w:szCs w:val="20"/>
          <w:bdr w:val="none" w:sz="0" w:space="0" w:color="auto" w:frame="1"/>
          <w:shd w:val="clear" w:color="auto" w:fill="FFFFFF"/>
          <w:lang w:val="en-GB"/>
        </w:rPr>
        <w:t xml:space="preserve">, </w:t>
      </w:r>
      <w:r>
        <w:rPr>
          <w:rFonts w:ascii="Garamond" w:eastAsia="Times New Roman" w:hAnsi="Garamond" w:cs="Times New Roman"/>
          <w:sz w:val="20"/>
          <w:szCs w:val="20"/>
          <w:lang w:val="en-GB"/>
        </w:rPr>
        <w:t>par.</w:t>
      </w:r>
      <w:r w:rsidRPr="002B4C20">
        <w:rPr>
          <w:rFonts w:ascii="Garamond" w:eastAsia="Times New Roman" w:hAnsi="Garamond" w:cs="Times New Roman"/>
          <w:sz w:val="20"/>
          <w:szCs w:val="20"/>
          <w:lang w:val="en-GB"/>
        </w:rPr>
        <w:t xml:space="preserve"> 37-38, and </w:t>
      </w:r>
      <w:r w:rsidRPr="002B4C20">
        <w:rPr>
          <w:rFonts w:ascii="Garamond" w:hAnsi="Garamond" w:cs="Times New Roman"/>
          <w:bCs/>
          <w:i/>
          <w:sz w:val="20"/>
          <w:szCs w:val="20"/>
          <w:lang w:val="en-GB"/>
        </w:rPr>
        <w:t>ITV Broadcasting</w:t>
      </w:r>
      <w:r w:rsidRPr="002B4C20">
        <w:rPr>
          <w:rFonts w:ascii="Garamond" w:hAnsi="Garamond" w:cs="Times New Roman"/>
          <w:bCs/>
          <w:sz w:val="20"/>
          <w:szCs w:val="20"/>
          <w:lang w:val="en-GB"/>
        </w:rPr>
        <w:t xml:space="preserve">, C-607/11, </w:t>
      </w:r>
      <w:r>
        <w:rPr>
          <w:rFonts w:ascii="Garamond" w:eastAsia="Times New Roman" w:hAnsi="Garamond" w:cs="Times New Roman"/>
          <w:bCs/>
          <w:sz w:val="20"/>
          <w:szCs w:val="20"/>
          <w:shd w:val="clear" w:color="auto" w:fill="FFFFFF"/>
          <w:lang w:val="en-GB"/>
        </w:rPr>
        <w:t>par.</w:t>
      </w:r>
      <w:r w:rsidRPr="002B4C20">
        <w:rPr>
          <w:rFonts w:ascii="Garamond" w:eastAsia="Times New Roman" w:hAnsi="Garamond" w:cs="Times New Roman"/>
          <w:bCs/>
          <w:sz w:val="20"/>
          <w:szCs w:val="20"/>
          <w:shd w:val="clear" w:color="auto" w:fill="FFFFFF"/>
          <w:lang w:val="en-GB"/>
        </w:rPr>
        <w:t xml:space="preserve"> 32.</w:t>
      </w:r>
    </w:p>
  </w:footnote>
  <w:footnote w:id="31">
    <w:p w14:paraId="09217EA9" w14:textId="3DD9789B" w:rsidR="00766E2C" w:rsidRPr="002B4C20" w:rsidRDefault="00766E2C" w:rsidP="004F24CD">
      <w:pPr>
        <w:spacing w:after="200" w:line="360" w:lineRule="auto"/>
        <w:jc w:val="both"/>
        <w:rPr>
          <w:rFonts w:ascii="Garamond" w:eastAsia="Times New Roman" w:hAnsi="Garamond" w:cs="Times New Roman"/>
          <w:sz w:val="20"/>
          <w:szCs w:val="20"/>
          <w:lang w:val="en-GB"/>
        </w:rPr>
      </w:pPr>
      <w:r w:rsidRPr="002B4C20">
        <w:rPr>
          <w:rStyle w:val="FootnoteReference"/>
          <w:rFonts w:ascii="Garamond" w:hAnsi="Garamond" w:cs="Times New Roman"/>
          <w:sz w:val="20"/>
          <w:szCs w:val="20"/>
          <w:lang w:val="en-GB"/>
        </w:rPr>
        <w:footnoteRef/>
      </w:r>
      <w:r w:rsidRPr="002B4C20">
        <w:rPr>
          <w:rFonts w:ascii="Garamond" w:hAnsi="Garamond" w:cs="Times New Roman"/>
          <w:sz w:val="20"/>
          <w:szCs w:val="20"/>
          <w:lang w:val="en-GB"/>
        </w:rPr>
        <w:t xml:space="preserve"> </w:t>
      </w:r>
      <w:r w:rsidRPr="002B4C20">
        <w:rPr>
          <w:rFonts w:ascii="Garamond" w:hAnsi="Garamond" w:cs="Times New Roman"/>
          <w:bCs/>
          <w:i/>
          <w:sz w:val="20"/>
          <w:szCs w:val="20"/>
          <w:lang w:val="en-GB"/>
        </w:rPr>
        <w:t>Svensson and Others</w:t>
      </w:r>
      <w:r w:rsidRPr="002B4C20">
        <w:rPr>
          <w:rFonts w:ascii="Garamond" w:hAnsi="Garamond" w:cs="Times New Roman"/>
          <w:bCs/>
          <w:sz w:val="20"/>
          <w:szCs w:val="20"/>
          <w:lang w:val="en-GB"/>
        </w:rPr>
        <w:t xml:space="preserve">, </w:t>
      </w:r>
      <w:r>
        <w:rPr>
          <w:rFonts w:ascii="Garamond" w:hAnsi="Garamond" w:cs="Times New Roman"/>
          <w:sz w:val="20"/>
          <w:szCs w:val="20"/>
          <w:lang w:val="en-GB"/>
        </w:rPr>
        <w:t>par.</w:t>
      </w:r>
      <w:r w:rsidRPr="002B4C20">
        <w:rPr>
          <w:rFonts w:ascii="Garamond" w:hAnsi="Garamond" w:cs="Times New Roman"/>
          <w:sz w:val="20"/>
          <w:szCs w:val="20"/>
          <w:lang w:val="en-GB"/>
        </w:rPr>
        <w:t xml:space="preserve"> 24, recalling (by analogy): </w:t>
      </w:r>
      <w:r w:rsidRPr="002B4C20">
        <w:rPr>
          <w:rFonts w:ascii="Garamond" w:eastAsia="Times New Roman" w:hAnsi="Garamond" w:cs="Times New Roman"/>
          <w:bCs/>
          <w:i/>
          <w:sz w:val="20"/>
          <w:szCs w:val="20"/>
          <w:bdr w:val="none" w:sz="0" w:space="0" w:color="auto" w:frame="1"/>
          <w:shd w:val="clear" w:color="auto" w:fill="FFFFFF"/>
          <w:lang w:val="en-GB"/>
        </w:rPr>
        <w:t>SGAE</w:t>
      </w:r>
      <w:r w:rsidRPr="002B4C20">
        <w:rPr>
          <w:rFonts w:ascii="Garamond" w:eastAsia="Times New Roman" w:hAnsi="Garamond" w:cs="Times New Roman"/>
          <w:bCs/>
          <w:sz w:val="20"/>
          <w:szCs w:val="20"/>
          <w:bdr w:val="none" w:sz="0" w:space="0" w:color="auto" w:frame="1"/>
          <w:shd w:val="clear" w:color="auto" w:fill="FFFFFF"/>
          <w:lang w:val="en-GB"/>
        </w:rPr>
        <w:t xml:space="preserve">, </w:t>
      </w:r>
      <w:r>
        <w:rPr>
          <w:rFonts w:ascii="Garamond" w:eastAsia="Times New Roman" w:hAnsi="Garamond" w:cs="Times New Roman"/>
          <w:sz w:val="20"/>
          <w:szCs w:val="20"/>
          <w:lang w:val="en-GB"/>
        </w:rPr>
        <w:t>par.</w:t>
      </w:r>
      <w:r w:rsidRPr="002B4C20">
        <w:rPr>
          <w:rFonts w:ascii="Garamond" w:eastAsia="Times New Roman" w:hAnsi="Garamond" w:cs="Times New Roman"/>
          <w:sz w:val="20"/>
          <w:szCs w:val="20"/>
          <w:lang w:val="en-GB"/>
        </w:rPr>
        <w:t xml:space="preserve"> </w:t>
      </w:r>
      <w:r w:rsidRPr="002B4C20">
        <w:rPr>
          <w:rFonts w:ascii="Garamond" w:eastAsia="Times New Roman" w:hAnsi="Garamond" w:cs="Times New Roman"/>
          <w:bCs/>
          <w:sz w:val="20"/>
          <w:szCs w:val="20"/>
          <w:bdr w:val="none" w:sz="0" w:space="0" w:color="auto" w:frame="1"/>
          <w:shd w:val="clear" w:color="auto" w:fill="FFFFFF"/>
          <w:lang w:val="en-GB"/>
        </w:rPr>
        <w:t xml:space="preserve">40 and 42; </w:t>
      </w:r>
      <w:r w:rsidRPr="002B4C20">
        <w:rPr>
          <w:rFonts w:ascii="Garamond" w:eastAsia="Times New Roman" w:hAnsi="Garamond" w:cs="Times New Roman"/>
          <w:i/>
          <w:iCs/>
          <w:sz w:val="20"/>
          <w:szCs w:val="20"/>
          <w:shd w:val="clear" w:color="auto" w:fill="FFFFFF"/>
          <w:lang w:val="en-GB"/>
        </w:rPr>
        <w:t>Organismos Sillogikis Diacheirisis Dimiourgon Theatrikon kai Optikoakoustikon Ergon</w:t>
      </w:r>
      <w:r>
        <w:rPr>
          <w:rFonts w:ascii="Garamond" w:eastAsia="Times New Roman" w:hAnsi="Garamond" w:cs="Times New Roman"/>
          <w:sz w:val="20"/>
          <w:szCs w:val="20"/>
          <w:shd w:val="clear" w:color="auto" w:fill="FFFFFF"/>
          <w:lang w:val="en-GB"/>
        </w:rPr>
        <w:t>, par.</w:t>
      </w:r>
      <w:r w:rsidRPr="002B4C20">
        <w:rPr>
          <w:rFonts w:ascii="Garamond" w:eastAsia="Times New Roman" w:hAnsi="Garamond" w:cs="Times New Roman"/>
          <w:sz w:val="20"/>
          <w:szCs w:val="20"/>
          <w:shd w:val="clear" w:color="auto" w:fill="FFFFFF"/>
          <w:lang w:val="en-GB"/>
        </w:rPr>
        <w:t xml:space="preserve"> 38; and</w:t>
      </w:r>
      <w:r w:rsidRPr="002B4C20">
        <w:rPr>
          <w:rFonts w:ascii="Garamond" w:hAnsi="Garamond" w:cs="Times New Roman"/>
          <w:bCs/>
          <w:i/>
          <w:sz w:val="20"/>
          <w:szCs w:val="20"/>
          <w:lang w:val="en-GB"/>
        </w:rPr>
        <w:t xml:space="preserve"> ITV Broadcasting</w:t>
      </w:r>
      <w:r w:rsidRPr="002B4C20">
        <w:rPr>
          <w:rFonts w:ascii="Garamond" w:hAnsi="Garamond" w:cs="Times New Roman"/>
          <w:bCs/>
          <w:sz w:val="20"/>
          <w:szCs w:val="20"/>
          <w:lang w:val="en-GB"/>
        </w:rPr>
        <w:t xml:space="preserve">, </w:t>
      </w:r>
      <w:r>
        <w:rPr>
          <w:rFonts w:ascii="Garamond" w:eastAsia="Times New Roman" w:hAnsi="Garamond" w:cs="Times New Roman"/>
          <w:bCs/>
          <w:sz w:val="20"/>
          <w:szCs w:val="20"/>
          <w:shd w:val="clear" w:color="auto" w:fill="FFFFFF"/>
          <w:lang w:val="en-GB"/>
        </w:rPr>
        <w:t>par.</w:t>
      </w:r>
      <w:r w:rsidRPr="002B4C20">
        <w:rPr>
          <w:rFonts w:ascii="Garamond" w:eastAsia="Times New Roman" w:hAnsi="Garamond" w:cs="Times New Roman"/>
          <w:bCs/>
          <w:sz w:val="20"/>
          <w:szCs w:val="20"/>
          <w:shd w:val="clear" w:color="auto" w:fill="FFFFFF"/>
          <w:lang w:val="en-GB"/>
        </w:rPr>
        <w:t xml:space="preserve"> </w:t>
      </w:r>
      <w:r w:rsidRPr="002B4C20">
        <w:rPr>
          <w:rFonts w:ascii="Garamond" w:eastAsia="Times New Roman" w:hAnsi="Garamond" w:cs="Times New Roman"/>
          <w:sz w:val="20"/>
          <w:szCs w:val="20"/>
          <w:shd w:val="clear" w:color="auto" w:fill="FFFFFF"/>
          <w:lang w:val="en-GB"/>
        </w:rPr>
        <w:t>39.</w:t>
      </w:r>
    </w:p>
  </w:footnote>
  <w:footnote w:id="32">
    <w:p w14:paraId="6504C5AD" w14:textId="48A586B2" w:rsidR="00766E2C" w:rsidRPr="002B4C20" w:rsidRDefault="00766E2C" w:rsidP="004F24CD">
      <w:pPr>
        <w:pStyle w:val="FootnoteText"/>
        <w:spacing w:after="200" w:line="360" w:lineRule="auto"/>
        <w:jc w:val="both"/>
        <w:rPr>
          <w:rFonts w:ascii="Garamond" w:hAnsi="Garamond" w:cs="Times New Roman"/>
          <w:sz w:val="20"/>
          <w:szCs w:val="20"/>
          <w:lang w:val="en-GB"/>
        </w:rPr>
      </w:pPr>
      <w:r w:rsidRPr="002B4C20">
        <w:rPr>
          <w:rStyle w:val="FootnoteReference"/>
          <w:rFonts w:ascii="Garamond" w:hAnsi="Garamond" w:cs="Times New Roman"/>
          <w:sz w:val="20"/>
          <w:szCs w:val="20"/>
          <w:lang w:val="en-GB"/>
        </w:rPr>
        <w:footnoteRef/>
      </w:r>
      <w:r w:rsidRPr="002B4C20">
        <w:rPr>
          <w:rFonts w:ascii="Garamond" w:hAnsi="Garamond" w:cs="Times New Roman"/>
          <w:sz w:val="20"/>
          <w:szCs w:val="20"/>
          <w:lang w:val="en-GB"/>
        </w:rPr>
        <w:t xml:space="preserve"> </w:t>
      </w:r>
      <w:r w:rsidRPr="002B4C20">
        <w:rPr>
          <w:rFonts w:ascii="Garamond" w:hAnsi="Garamond" w:cs="Times New Roman"/>
          <w:bCs/>
          <w:i/>
          <w:sz w:val="20"/>
          <w:szCs w:val="20"/>
          <w:lang w:val="en-GB"/>
        </w:rPr>
        <w:t>Svensson and Others</w:t>
      </w:r>
      <w:r w:rsidRPr="002B4C20">
        <w:rPr>
          <w:rFonts w:ascii="Garamond" w:hAnsi="Garamond" w:cs="Times New Roman"/>
          <w:bCs/>
          <w:sz w:val="20"/>
          <w:szCs w:val="20"/>
          <w:lang w:val="en-GB"/>
        </w:rPr>
        <w:t xml:space="preserve">, </w:t>
      </w:r>
      <w:r>
        <w:rPr>
          <w:rFonts w:ascii="Garamond" w:hAnsi="Garamond" w:cs="Times New Roman"/>
          <w:sz w:val="20"/>
          <w:szCs w:val="20"/>
          <w:lang w:val="en-GB"/>
        </w:rPr>
        <w:t>par.</w:t>
      </w:r>
      <w:r w:rsidRPr="002B4C20">
        <w:rPr>
          <w:rFonts w:ascii="Garamond" w:hAnsi="Garamond" w:cs="Times New Roman"/>
          <w:sz w:val="20"/>
          <w:szCs w:val="20"/>
          <w:lang w:val="en-GB"/>
        </w:rPr>
        <w:t xml:space="preserve"> 25-28.</w:t>
      </w:r>
    </w:p>
  </w:footnote>
  <w:footnote w:id="33">
    <w:p w14:paraId="0320651A" w14:textId="6EAA6F25" w:rsidR="00766E2C" w:rsidRPr="002B4C20" w:rsidRDefault="00766E2C" w:rsidP="004F24CD">
      <w:pPr>
        <w:pStyle w:val="FootnoteText"/>
        <w:spacing w:after="200" w:line="360" w:lineRule="auto"/>
        <w:jc w:val="both"/>
        <w:rPr>
          <w:rFonts w:ascii="Garamond" w:hAnsi="Garamond"/>
          <w:b/>
          <w:bCs/>
          <w:sz w:val="20"/>
          <w:szCs w:val="20"/>
          <w:lang w:val="en-GB"/>
        </w:rPr>
      </w:pPr>
      <w:r w:rsidRPr="002B4C20">
        <w:rPr>
          <w:rStyle w:val="FootnoteReference"/>
          <w:rFonts w:ascii="Garamond" w:hAnsi="Garamond"/>
          <w:sz w:val="20"/>
          <w:szCs w:val="20"/>
          <w:lang w:val="en-GB"/>
        </w:rPr>
        <w:footnoteRef/>
      </w:r>
      <w:r>
        <w:rPr>
          <w:rFonts w:ascii="Garamond" w:hAnsi="Garamond"/>
          <w:sz w:val="20"/>
          <w:szCs w:val="20"/>
          <w:lang w:val="en-GB"/>
        </w:rPr>
        <w:t xml:space="preserve"> See Arezzo </w:t>
      </w:r>
      <w:r w:rsidRPr="002B4C20">
        <w:rPr>
          <w:rFonts w:ascii="Garamond" w:hAnsi="Garamond"/>
          <w:sz w:val="20"/>
          <w:szCs w:val="20"/>
          <w:lang w:val="en-GB"/>
        </w:rPr>
        <w:t>(2014)</w:t>
      </w:r>
      <w:r>
        <w:rPr>
          <w:rFonts w:ascii="Garamond" w:hAnsi="Garamond"/>
          <w:sz w:val="20"/>
          <w:szCs w:val="20"/>
          <w:lang w:val="en-GB"/>
        </w:rPr>
        <w:t xml:space="preserve">, p. </w:t>
      </w:r>
      <w:r w:rsidRPr="002B4C20">
        <w:rPr>
          <w:rFonts w:ascii="Garamond" w:hAnsi="Garamond"/>
          <w:sz w:val="20"/>
          <w:szCs w:val="20"/>
          <w:lang w:val="en-GB"/>
        </w:rPr>
        <w:t>54</w:t>
      </w:r>
      <w:r>
        <w:rPr>
          <w:rFonts w:ascii="Garamond" w:hAnsi="Garamond"/>
          <w:sz w:val="20"/>
          <w:szCs w:val="20"/>
          <w:lang w:val="en-GB"/>
        </w:rPr>
        <w:t xml:space="preserve">3, and Ginsburg </w:t>
      </w:r>
      <w:r w:rsidRPr="002B4C20">
        <w:rPr>
          <w:rFonts w:ascii="Garamond" w:hAnsi="Garamond"/>
          <w:sz w:val="20"/>
          <w:szCs w:val="20"/>
          <w:lang w:val="en-GB"/>
        </w:rPr>
        <w:t>(2014).</w:t>
      </w:r>
    </w:p>
  </w:footnote>
  <w:footnote w:id="34">
    <w:p w14:paraId="0CD35577" w14:textId="1451219F" w:rsidR="00766E2C" w:rsidRPr="002B4C20" w:rsidRDefault="00766E2C" w:rsidP="004F24CD">
      <w:pPr>
        <w:pStyle w:val="FootnoteText"/>
        <w:spacing w:after="200" w:line="360" w:lineRule="auto"/>
        <w:jc w:val="both"/>
        <w:rPr>
          <w:rFonts w:ascii="Garamond" w:hAnsi="Garamond"/>
          <w:sz w:val="20"/>
          <w:szCs w:val="20"/>
          <w:lang w:val="en-GB"/>
        </w:rPr>
      </w:pPr>
      <w:r w:rsidRPr="002B4C20">
        <w:rPr>
          <w:rStyle w:val="FootnoteReference"/>
          <w:rFonts w:ascii="Garamond" w:hAnsi="Garamond"/>
          <w:sz w:val="20"/>
          <w:szCs w:val="20"/>
          <w:lang w:val="en-GB"/>
        </w:rPr>
        <w:footnoteRef/>
      </w:r>
      <w:r w:rsidRPr="002B4C20">
        <w:rPr>
          <w:rFonts w:ascii="Garamond" w:hAnsi="Garamond"/>
          <w:sz w:val="20"/>
          <w:szCs w:val="20"/>
          <w:lang w:val="en-GB"/>
        </w:rPr>
        <w:t xml:space="preserve"> </w:t>
      </w:r>
      <w:r>
        <w:rPr>
          <w:rFonts w:ascii="Garamond" w:hAnsi="Garamond"/>
          <w:sz w:val="20"/>
          <w:szCs w:val="20"/>
          <w:lang w:val="en-GB"/>
        </w:rPr>
        <w:t xml:space="preserve">CJEU, </w:t>
      </w:r>
      <w:r w:rsidRPr="002B4C20">
        <w:rPr>
          <w:rFonts w:ascii="Garamond" w:hAnsi="Garamond" w:cs="Lucida Grande"/>
          <w:i/>
          <w:sz w:val="20"/>
          <w:szCs w:val="20"/>
          <w:lang w:val="en-GB"/>
        </w:rPr>
        <w:t>Soulier and Doke</w:t>
      </w:r>
      <w:r w:rsidRPr="002B4C20">
        <w:rPr>
          <w:rFonts w:ascii="Garamond" w:hAnsi="Garamond" w:cs="Lucida Grande"/>
          <w:sz w:val="20"/>
          <w:szCs w:val="20"/>
          <w:lang w:val="en-GB"/>
        </w:rPr>
        <w:t xml:space="preserve">, </w:t>
      </w:r>
      <w:r>
        <w:rPr>
          <w:rFonts w:ascii="Garamond" w:hAnsi="Garamond" w:cs="Lucida Grande"/>
          <w:sz w:val="20"/>
          <w:szCs w:val="20"/>
          <w:lang w:val="en-GB"/>
        </w:rPr>
        <w:t xml:space="preserve">Case </w:t>
      </w:r>
      <w:r w:rsidRPr="002B4C20">
        <w:rPr>
          <w:rFonts w:ascii="Garamond" w:hAnsi="Garamond" w:cs="Lucida Grande"/>
          <w:sz w:val="20"/>
          <w:szCs w:val="20"/>
          <w:lang w:val="en-GB"/>
        </w:rPr>
        <w:t xml:space="preserve">C-301/15, </w:t>
      </w:r>
      <w:r>
        <w:rPr>
          <w:rFonts w:ascii="Garamond" w:hAnsi="Garamond" w:cs="Lucida Grande"/>
          <w:sz w:val="20"/>
          <w:szCs w:val="20"/>
          <w:lang w:val="en-GB"/>
        </w:rPr>
        <w:t>Judgment of 16 November 2016, par.</w:t>
      </w:r>
      <w:r w:rsidRPr="002B4C20">
        <w:rPr>
          <w:rFonts w:ascii="Garamond" w:hAnsi="Garamond" w:cs="Lucida Grande"/>
          <w:sz w:val="20"/>
          <w:szCs w:val="20"/>
          <w:lang w:val="en-GB"/>
        </w:rPr>
        <w:t xml:space="preserve"> 36.</w:t>
      </w:r>
    </w:p>
  </w:footnote>
  <w:footnote w:id="35">
    <w:p w14:paraId="2282607F" w14:textId="649EF30B" w:rsidR="00766E2C" w:rsidRPr="002B4C20" w:rsidRDefault="00766E2C" w:rsidP="004F24CD">
      <w:pPr>
        <w:pStyle w:val="FootnoteText"/>
        <w:spacing w:after="200" w:line="360" w:lineRule="auto"/>
        <w:jc w:val="both"/>
        <w:rPr>
          <w:rFonts w:ascii="Garamond" w:hAnsi="Garamond"/>
          <w:sz w:val="20"/>
          <w:szCs w:val="20"/>
          <w:lang w:val="en-GB"/>
        </w:rPr>
      </w:pPr>
      <w:r w:rsidRPr="002B4C20">
        <w:rPr>
          <w:rStyle w:val="FootnoteReference"/>
          <w:rFonts w:ascii="Garamond" w:hAnsi="Garamond"/>
          <w:sz w:val="20"/>
          <w:szCs w:val="20"/>
          <w:lang w:val="en-GB"/>
        </w:rPr>
        <w:footnoteRef/>
      </w:r>
      <w:r w:rsidRPr="002B4C20">
        <w:rPr>
          <w:rFonts w:ascii="Garamond" w:hAnsi="Garamond"/>
          <w:sz w:val="20"/>
          <w:szCs w:val="20"/>
          <w:lang w:val="en-GB"/>
        </w:rPr>
        <w:t xml:space="preserve"> Association Littéraire et Artistique Internationale (2014)</w:t>
      </w:r>
      <w:r>
        <w:rPr>
          <w:rFonts w:ascii="Garamond" w:hAnsi="Garamond"/>
          <w:sz w:val="20"/>
          <w:szCs w:val="20"/>
          <w:lang w:val="en-GB"/>
        </w:rPr>
        <w:t>, p. 2. See also Rosén</w:t>
      </w:r>
      <w:r w:rsidRPr="002B4C20">
        <w:rPr>
          <w:rFonts w:ascii="Garamond" w:hAnsi="Garamond"/>
          <w:sz w:val="20"/>
          <w:szCs w:val="20"/>
          <w:lang w:val="en-GB"/>
        </w:rPr>
        <w:t xml:space="preserve"> (2016)</w:t>
      </w:r>
      <w:r>
        <w:rPr>
          <w:rFonts w:ascii="Garamond" w:hAnsi="Garamond"/>
          <w:sz w:val="20"/>
          <w:szCs w:val="20"/>
          <w:lang w:val="en-GB"/>
        </w:rPr>
        <w:t>, p. 341-347</w:t>
      </w:r>
      <w:r w:rsidRPr="002B4C20">
        <w:rPr>
          <w:rFonts w:ascii="Garamond" w:hAnsi="Garamond"/>
          <w:sz w:val="20"/>
          <w:szCs w:val="20"/>
          <w:lang w:val="en-GB"/>
        </w:rPr>
        <w:t xml:space="preserve">, holding that the CJEU approach in </w:t>
      </w:r>
      <w:r w:rsidRPr="002B4C20">
        <w:rPr>
          <w:rFonts w:ascii="Garamond" w:hAnsi="Garamond"/>
          <w:i/>
          <w:sz w:val="20"/>
          <w:szCs w:val="20"/>
          <w:lang w:val="en-GB"/>
        </w:rPr>
        <w:t>Svensson and Others</w:t>
      </w:r>
      <w:r w:rsidRPr="002B4C20">
        <w:rPr>
          <w:rFonts w:ascii="Garamond" w:hAnsi="Garamond"/>
          <w:sz w:val="20"/>
          <w:szCs w:val="20"/>
          <w:lang w:val="en-GB"/>
        </w:rPr>
        <w:t>, C-466/12 would be incompatible with international law and EU directives.</w:t>
      </w:r>
    </w:p>
  </w:footnote>
  <w:footnote w:id="36">
    <w:p w14:paraId="7EBC9D53" w14:textId="3F72FAE9" w:rsidR="00766E2C" w:rsidRPr="002B4C20" w:rsidRDefault="00766E2C" w:rsidP="004F24CD">
      <w:pPr>
        <w:pStyle w:val="FootnoteText"/>
        <w:spacing w:after="200" w:line="360" w:lineRule="auto"/>
        <w:jc w:val="both"/>
        <w:rPr>
          <w:rFonts w:ascii="Garamond" w:hAnsi="Garamond"/>
          <w:sz w:val="20"/>
          <w:szCs w:val="20"/>
          <w:lang w:val="en-GB"/>
        </w:rPr>
      </w:pPr>
      <w:r w:rsidRPr="002B4C20">
        <w:rPr>
          <w:rStyle w:val="FootnoteReference"/>
          <w:rFonts w:ascii="Garamond" w:hAnsi="Garamond"/>
          <w:sz w:val="20"/>
          <w:szCs w:val="20"/>
          <w:lang w:val="en-GB"/>
        </w:rPr>
        <w:footnoteRef/>
      </w:r>
      <w:r w:rsidRPr="002B4C20">
        <w:rPr>
          <w:rFonts w:ascii="Garamond" w:hAnsi="Garamond"/>
          <w:sz w:val="20"/>
          <w:szCs w:val="20"/>
          <w:lang w:val="en-GB"/>
        </w:rPr>
        <w:t xml:space="preserve"> Also outlining the interpretative doubts left by the decisions in </w:t>
      </w:r>
      <w:r w:rsidRPr="002B4C20">
        <w:rPr>
          <w:rFonts w:ascii="Garamond" w:hAnsi="Garamond"/>
          <w:i/>
          <w:sz w:val="20"/>
          <w:szCs w:val="20"/>
          <w:lang w:val="en-GB"/>
        </w:rPr>
        <w:t>Svensson and Others</w:t>
      </w:r>
      <w:r w:rsidRPr="002B4C20">
        <w:rPr>
          <w:rFonts w:ascii="Garamond" w:hAnsi="Garamond"/>
          <w:sz w:val="20"/>
          <w:szCs w:val="20"/>
          <w:lang w:val="en-GB"/>
        </w:rPr>
        <w:t xml:space="preserve">, C-466/12 and </w:t>
      </w:r>
      <w:r w:rsidRPr="002B4C20">
        <w:rPr>
          <w:rFonts w:ascii="Garamond" w:hAnsi="Garamond"/>
          <w:i/>
          <w:sz w:val="20"/>
          <w:szCs w:val="20"/>
          <w:lang w:val="en-GB"/>
        </w:rPr>
        <w:t>BestWater</w:t>
      </w:r>
      <w:r w:rsidRPr="002B4C20">
        <w:rPr>
          <w:rFonts w:ascii="Garamond" w:hAnsi="Garamond"/>
          <w:sz w:val="20"/>
          <w:szCs w:val="20"/>
          <w:lang w:val="en-GB"/>
        </w:rPr>
        <w:t>, C-348/13, see Leistner (2015)</w:t>
      </w:r>
      <w:r>
        <w:rPr>
          <w:rFonts w:ascii="Garamond" w:hAnsi="Garamond"/>
          <w:sz w:val="20"/>
          <w:szCs w:val="20"/>
          <w:lang w:val="en-GB"/>
        </w:rPr>
        <w:t xml:space="preserve">, p. </w:t>
      </w:r>
      <w:r w:rsidRPr="002B4C20">
        <w:rPr>
          <w:rFonts w:ascii="Garamond" w:hAnsi="Garamond"/>
          <w:sz w:val="20"/>
          <w:szCs w:val="20"/>
          <w:lang w:val="en-GB"/>
        </w:rPr>
        <w:t>636.</w:t>
      </w:r>
    </w:p>
  </w:footnote>
  <w:footnote w:id="37">
    <w:p w14:paraId="24EC68C3" w14:textId="006AEE06" w:rsidR="00766E2C" w:rsidRPr="002B4C20" w:rsidRDefault="00766E2C" w:rsidP="004F24CD">
      <w:pPr>
        <w:pStyle w:val="FootnoteText"/>
        <w:spacing w:after="200" w:line="360" w:lineRule="auto"/>
        <w:jc w:val="both"/>
        <w:rPr>
          <w:rFonts w:ascii="Garamond" w:hAnsi="Garamond"/>
          <w:sz w:val="20"/>
          <w:szCs w:val="20"/>
          <w:lang w:val="en-GB"/>
        </w:rPr>
      </w:pPr>
      <w:r w:rsidRPr="002B4C20">
        <w:rPr>
          <w:rStyle w:val="FootnoteReference"/>
          <w:rFonts w:ascii="Garamond" w:hAnsi="Garamond"/>
          <w:sz w:val="20"/>
          <w:szCs w:val="20"/>
          <w:lang w:val="en-GB"/>
        </w:rPr>
        <w:footnoteRef/>
      </w:r>
      <w:r>
        <w:rPr>
          <w:rFonts w:ascii="Garamond" w:hAnsi="Garamond"/>
          <w:sz w:val="20"/>
          <w:szCs w:val="20"/>
          <w:lang w:val="en-GB"/>
        </w:rPr>
        <w:t xml:space="preserve"> In their analysis Ginsburg and Budiardjo</w:t>
      </w:r>
      <w:r w:rsidRPr="002B4C20">
        <w:rPr>
          <w:rFonts w:ascii="Garamond" w:hAnsi="Garamond"/>
          <w:sz w:val="20"/>
          <w:szCs w:val="20"/>
          <w:lang w:val="en-GB"/>
        </w:rPr>
        <w:t xml:space="preserve"> (2018)</w:t>
      </w:r>
      <w:r>
        <w:rPr>
          <w:rFonts w:ascii="Garamond" w:hAnsi="Garamond"/>
          <w:sz w:val="20"/>
          <w:szCs w:val="20"/>
          <w:lang w:val="en-GB"/>
        </w:rPr>
        <w:t xml:space="preserve">, p. </w:t>
      </w:r>
      <w:r w:rsidRPr="002B4C20">
        <w:rPr>
          <w:rFonts w:ascii="Garamond" w:hAnsi="Garamond"/>
          <w:sz w:val="20"/>
          <w:szCs w:val="20"/>
          <w:lang w:val="en-GB"/>
        </w:rPr>
        <w:t>169-170, submit that post-</w:t>
      </w:r>
      <w:r w:rsidRPr="002B4C20">
        <w:rPr>
          <w:rFonts w:ascii="Garamond" w:hAnsi="Garamond"/>
          <w:i/>
          <w:sz w:val="20"/>
          <w:szCs w:val="20"/>
          <w:lang w:val="en-GB"/>
        </w:rPr>
        <w:t>Svensson</w:t>
      </w:r>
      <w:r w:rsidRPr="002B4C20">
        <w:rPr>
          <w:rFonts w:ascii="Garamond" w:hAnsi="Garamond"/>
          <w:sz w:val="20"/>
          <w:szCs w:val="20"/>
          <w:lang w:val="en-GB"/>
        </w:rPr>
        <w:t xml:space="preserve"> case law might have reduced the centrality of the ‘new public’ criterion.</w:t>
      </w:r>
    </w:p>
  </w:footnote>
  <w:footnote w:id="38">
    <w:p w14:paraId="1C7BB66B" w14:textId="5F6B9C2E" w:rsidR="00766E2C" w:rsidRPr="002B4C20" w:rsidRDefault="00766E2C" w:rsidP="004F24CD">
      <w:pPr>
        <w:spacing w:after="200" w:line="360" w:lineRule="auto"/>
        <w:jc w:val="both"/>
        <w:rPr>
          <w:rFonts w:ascii="Garamond" w:eastAsia="Times New Roman" w:hAnsi="Garamond" w:cs="Times New Roman"/>
          <w:sz w:val="20"/>
          <w:szCs w:val="20"/>
          <w:lang w:val="en-GB"/>
        </w:rPr>
      </w:pPr>
      <w:r w:rsidRPr="002B4C20">
        <w:rPr>
          <w:rStyle w:val="FootnoteReference"/>
          <w:rFonts w:ascii="Garamond" w:hAnsi="Garamond" w:cs="Times New Roman"/>
          <w:sz w:val="20"/>
          <w:szCs w:val="20"/>
          <w:lang w:val="en-GB"/>
        </w:rPr>
        <w:footnoteRef/>
      </w:r>
      <w:r w:rsidRPr="002B4C20">
        <w:rPr>
          <w:rFonts w:ascii="Garamond" w:hAnsi="Garamond" w:cs="Times New Roman"/>
          <w:sz w:val="20"/>
          <w:szCs w:val="20"/>
          <w:lang w:val="en-GB"/>
        </w:rPr>
        <w:t xml:space="preserve"> </w:t>
      </w:r>
      <w:r w:rsidRPr="002B4C20">
        <w:rPr>
          <w:rFonts w:ascii="Garamond" w:eastAsia="Times New Roman" w:hAnsi="Garamond" w:cs="Times New Roman"/>
          <w:bCs/>
          <w:sz w:val="20"/>
          <w:szCs w:val="20"/>
          <w:shd w:val="clear" w:color="auto" w:fill="FFFFFF"/>
          <w:lang w:val="en-GB"/>
        </w:rPr>
        <w:t xml:space="preserve">AG Wathelet noted that whether this was the case was not entirely clear: </w:t>
      </w:r>
      <w:r w:rsidRPr="002B4C20">
        <w:rPr>
          <w:rFonts w:ascii="Garamond" w:hAnsi="Garamond" w:cs="Times New Roman"/>
          <w:sz w:val="20"/>
          <w:szCs w:val="20"/>
          <w:lang w:val="en-GB"/>
        </w:rPr>
        <w:t xml:space="preserve">Opinion of Advocate General Melchior Wathelet in </w:t>
      </w:r>
      <w:r w:rsidRPr="002B4C20">
        <w:rPr>
          <w:rFonts w:ascii="Garamond" w:hAnsi="Garamond" w:cs="Times New Roman"/>
          <w:i/>
          <w:sz w:val="20"/>
          <w:szCs w:val="20"/>
          <w:lang w:val="en-GB"/>
        </w:rPr>
        <w:t>GS Media</w:t>
      </w:r>
      <w:r w:rsidRPr="002B4C20">
        <w:rPr>
          <w:rFonts w:ascii="Garamond" w:hAnsi="Garamond" w:cs="Times New Roman"/>
          <w:sz w:val="20"/>
          <w:szCs w:val="20"/>
          <w:lang w:val="en-GB"/>
        </w:rPr>
        <w:t xml:space="preserve">, C-160/15, </w:t>
      </w:r>
      <w:r>
        <w:rPr>
          <w:rFonts w:ascii="Garamond" w:eastAsia="Times New Roman" w:hAnsi="Garamond" w:cs="Times New Roman"/>
          <w:bCs/>
          <w:sz w:val="20"/>
          <w:szCs w:val="20"/>
          <w:shd w:val="clear" w:color="auto" w:fill="FFFFFF"/>
          <w:lang w:val="en-GB"/>
        </w:rPr>
        <w:t>EU:C:2016:221, par.</w:t>
      </w:r>
      <w:r w:rsidRPr="002B4C20">
        <w:rPr>
          <w:rFonts w:ascii="Garamond" w:eastAsia="Times New Roman" w:hAnsi="Garamond" w:cs="Times New Roman"/>
          <w:bCs/>
          <w:sz w:val="20"/>
          <w:szCs w:val="20"/>
          <w:shd w:val="clear" w:color="auto" w:fill="FFFFFF"/>
          <w:lang w:val="en-GB"/>
        </w:rPr>
        <w:t xml:space="preserve"> 71.</w:t>
      </w:r>
    </w:p>
  </w:footnote>
  <w:footnote w:id="39">
    <w:p w14:paraId="5111D57A" w14:textId="2190105F" w:rsidR="00766E2C" w:rsidRPr="002B4C20" w:rsidRDefault="00766E2C" w:rsidP="004F24CD">
      <w:pPr>
        <w:pStyle w:val="FootnoteText"/>
        <w:spacing w:after="200" w:line="360" w:lineRule="auto"/>
        <w:jc w:val="both"/>
        <w:rPr>
          <w:rFonts w:ascii="Garamond" w:hAnsi="Garamond"/>
          <w:sz w:val="20"/>
          <w:szCs w:val="20"/>
          <w:lang w:val="en-GB"/>
        </w:rPr>
      </w:pPr>
      <w:r w:rsidRPr="002B4C20">
        <w:rPr>
          <w:rStyle w:val="FootnoteReference"/>
          <w:rFonts w:ascii="Garamond" w:hAnsi="Garamond"/>
          <w:sz w:val="20"/>
          <w:szCs w:val="20"/>
          <w:lang w:val="en-GB"/>
        </w:rPr>
        <w:footnoteRef/>
      </w:r>
      <w:r w:rsidRPr="002B4C20">
        <w:rPr>
          <w:rFonts w:ascii="Garamond" w:hAnsi="Garamond"/>
          <w:sz w:val="20"/>
          <w:szCs w:val="20"/>
          <w:lang w:val="en-GB"/>
        </w:rPr>
        <w:t xml:space="preserve"> </w:t>
      </w:r>
      <w:r w:rsidRPr="002B4C20">
        <w:rPr>
          <w:rFonts w:ascii="Garamond" w:hAnsi="Garamond" w:cs="Times New Roman"/>
          <w:i/>
          <w:sz w:val="20"/>
          <w:szCs w:val="20"/>
          <w:lang w:val="en-GB"/>
        </w:rPr>
        <w:t>Ibid</w:t>
      </w:r>
      <w:r>
        <w:rPr>
          <w:rFonts w:ascii="Garamond" w:eastAsia="Times New Roman" w:hAnsi="Garamond" w:cs="Times New Roman"/>
          <w:bCs/>
          <w:sz w:val="20"/>
          <w:szCs w:val="20"/>
          <w:shd w:val="clear" w:color="auto" w:fill="FFFFFF"/>
          <w:lang w:val="en-GB"/>
        </w:rPr>
        <w:t>, par.</w:t>
      </w:r>
      <w:r w:rsidRPr="002B4C20">
        <w:rPr>
          <w:rFonts w:ascii="Garamond" w:eastAsia="Times New Roman" w:hAnsi="Garamond" w:cs="Times New Roman"/>
          <w:bCs/>
          <w:sz w:val="20"/>
          <w:szCs w:val="20"/>
          <w:shd w:val="clear" w:color="auto" w:fill="FFFFFF"/>
          <w:lang w:val="en-GB"/>
        </w:rPr>
        <w:t xml:space="preserve"> 10.</w:t>
      </w:r>
    </w:p>
  </w:footnote>
  <w:footnote w:id="40">
    <w:p w14:paraId="34378269" w14:textId="4A6A78BA" w:rsidR="00766E2C" w:rsidRPr="002B4C20" w:rsidRDefault="00766E2C" w:rsidP="004F24CD">
      <w:pPr>
        <w:pStyle w:val="FootnoteText"/>
        <w:spacing w:after="200" w:line="360" w:lineRule="auto"/>
        <w:jc w:val="both"/>
        <w:rPr>
          <w:rFonts w:ascii="Garamond" w:hAnsi="Garamond" w:cs="Times New Roman"/>
          <w:sz w:val="20"/>
          <w:szCs w:val="20"/>
          <w:lang w:val="en-GB"/>
        </w:rPr>
      </w:pPr>
      <w:r w:rsidRPr="002B4C20">
        <w:rPr>
          <w:rStyle w:val="FootnoteReference"/>
          <w:rFonts w:ascii="Garamond" w:hAnsi="Garamond" w:cs="Times New Roman"/>
          <w:sz w:val="20"/>
          <w:szCs w:val="20"/>
          <w:lang w:val="en-GB"/>
        </w:rPr>
        <w:footnoteRef/>
      </w:r>
      <w:r w:rsidRPr="002B4C20">
        <w:rPr>
          <w:rFonts w:ascii="Garamond" w:hAnsi="Garamond" w:cs="Times New Roman"/>
          <w:sz w:val="20"/>
          <w:szCs w:val="20"/>
          <w:lang w:val="en-GB"/>
        </w:rPr>
        <w:t xml:space="preserve"> </w:t>
      </w:r>
      <w:r w:rsidRPr="002B4C20">
        <w:rPr>
          <w:rFonts w:ascii="Garamond" w:hAnsi="Garamond" w:cs="Lucida Grande"/>
          <w:i/>
          <w:sz w:val="20"/>
          <w:szCs w:val="20"/>
          <w:lang w:val="en-GB"/>
        </w:rPr>
        <w:t>GS Media</w:t>
      </w:r>
      <w:r w:rsidRPr="002B4C20">
        <w:rPr>
          <w:rFonts w:ascii="Garamond" w:hAnsi="Garamond" w:cs="Lucida Grande"/>
          <w:sz w:val="20"/>
          <w:szCs w:val="20"/>
          <w:lang w:val="en-GB"/>
        </w:rPr>
        <w:t xml:space="preserve">, </w:t>
      </w:r>
      <w:r>
        <w:rPr>
          <w:rFonts w:ascii="Garamond" w:hAnsi="Garamond" w:cs="Times New Roman"/>
          <w:sz w:val="20"/>
          <w:szCs w:val="20"/>
          <w:lang w:val="en-GB"/>
        </w:rPr>
        <w:t>par.</w:t>
      </w:r>
      <w:r w:rsidRPr="002B4C20">
        <w:rPr>
          <w:rFonts w:ascii="Garamond" w:hAnsi="Garamond" w:cs="Times New Roman"/>
          <w:sz w:val="20"/>
          <w:szCs w:val="20"/>
          <w:lang w:val="en-GB"/>
        </w:rPr>
        <w:t xml:space="preserve"> 17-18.</w:t>
      </w:r>
    </w:p>
  </w:footnote>
  <w:footnote w:id="41">
    <w:p w14:paraId="5092CEDC" w14:textId="56AAC519" w:rsidR="00766E2C" w:rsidRPr="002B4C20" w:rsidRDefault="00766E2C" w:rsidP="004F24CD">
      <w:pPr>
        <w:widowControl w:val="0"/>
        <w:autoSpaceDE w:val="0"/>
        <w:autoSpaceDN w:val="0"/>
        <w:adjustRightInd w:val="0"/>
        <w:spacing w:after="200" w:line="360" w:lineRule="auto"/>
        <w:jc w:val="both"/>
        <w:rPr>
          <w:rFonts w:ascii="Garamond" w:hAnsi="Garamond"/>
          <w:sz w:val="20"/>
          <w:szCs w:val="20"/>
          <w:lang w:val="en-GB"/>
        </w:rPr>
      </w:pPr>
      <w:r w:rsidRPr="002B4C20">
        <w:rPr>
          <w:rStyle w:val="FootnoteReference"/>
          <w:rFonts w:ascii="Garamond" w:hAnsi="Garamond"/>
          <w:sz w:val="20"/>
          <w:szCs w:val="20"/>
          <w:lang w:val="en-GB"/>
        </w:rPr>
        <w:footnoteRef/>
      </w:r>
      <w:r w:rsidRPr="002B4C20">
        <w:rPr>
          <w:rFonts w:ascii="Garamond" w:hAnsi="Garamond"/>
          <w:sz w:val="20"/>
          <w:szCs w:val="20"/>
          <w:lang w:val="en-GB"/>
        </w:rPr>
        <w:t xml:space="preserve"> </w:t>
      </w:r>
      <w:r w:rsidR="00595351">
        <w:rPr>
          <w:rFonts w:ascii="Garamond" w:hAnsi="Garamond"/>
          <w:sz w:val="20"/>
          <w:szCs w:val="20"/>
          <w:lang w:val="en-GB"/>
        </w:rPr>
        <w:t>But cf.</w:t>
      </w:r>
      <w:r w:rsidRPr="002B4C20">
        <w:rPr>
          <w:rFonts w:ascii="Garamond" w:hAnsi="Garamond"/>
          <w:sz w:val="20"/>
          <w:szCs w:val="20"/>
          <w:lang w:val="en-GB"/>
        </w:rPr>
        <w:t xml:space="preserve"> Leistner (2017)</w:t>
      </w:r>
      <w:r>
        <w:rPr>
          <w:rFonts w:ascii="Garamond" w:hAnsi="Garamond"/>
          <w:sz w:val="20"/>
          <w:szCs w:val="20"/>
          <w:lang w:val="en-GB"/>
        </w:rPr>
        <w:t xml:space="preserve">, p. </w:t>
      </w:r>
      <w:r w:rsidRPr="002B4C20">
        <w:rPr>
          <w:rFonts w:ascii="Garamond" w:hAnsi="Garamond"/>
          <w:sz w:val="20"/>
          <w:szCs w:val="20"/>
          <w:lang w:val="en-GB"/>
        </w:rPr>
        <w:t xml:space="preserve">138-139, </w:t>
      </w:r>
      <w:r w:rsidR="00595351">
        <w:rPr>
          <w:rFonts w:ascii="Garamond" w:hAnsi="Garamond"/>
          <w:sz w:val="20"/>
          <w:szCs w:val="20"/>
          <w:lang w:val="en-GB"/>
        </w:rPr>
        <w:t xml:space="preserve">holding that </w:t>
      </w:r>
      <w:r w:rsidRPr="002B4C20">
        <w:rPr>
          <w:rFonts w:ascii="Garamond" w:hAnsi="Garamond"/>
          <w:sz w:val="20"/>
          <w:szCs w:val="20"/>
          <w:lang w:val="en-GB"/>
        </w:rPr>
        <w:t xml:space="preserve">not all links should be treated the same, </w:t>
      </w:r>
      <w:r w:rsidR="00595351">
        <w:rPr>
          <w:rFonts w:ascii="Garamond" w:hAnsi="Garamond"/>
          <w:sz w:val="20"/>
          <w:szCs w:val="20"/>
          <w:lang w:val="en-GB"/>
        </w:rPr>
        <w:t>in that</w:t>
      </w:r>
      <w:r w:rsidRPr="002B4C20">
        <w:rPr>
          <w:rFonts w:ascii="Garamond" w:hAnsi="Garamond"/>
          <w:sz w:val="20"/>
          <w:szCs w:val="20"/>
          <w:lang w:val="en-GB"/>
        </w:rPr>
        <w:t xml:space="preserve"> the provider of a framed link should be </w:t>
      </w:r>
      <w:r w:rsidRPr="002B4C20">
        <w:rPr>
          <w:rFonts w:ascii="Garamond" w:hAnsi="Garamond" w:cs="Times New Roman"/>
          <w:sz w:val="20"/>
          <w:szCs w:val="20"/>
          <w:lang w:val="en-GB"/>
        </w:rPr>
        <w:t>under more than a merely minimal duty to check the lawfulness of the posted material.</w:t>
      </w:r>
    </w:p>
  </w:footnote>
  <w:footnote w:id="42">
    <w:p w14:paraId="2B16AA29" w14:textId="534E1248" w:rsidR="00766E2C" w:rsidRPr="002B4C20" w:rsidRDefault="00766E2C" w:rsidP="004F24CD">
      <w:pPr>
        <w:pStyle w:val="FootnoteText"/>
        <w:spacing w:after="200" w:line="360" w:lineRule="auto"/>
        <w:jc w:val="both"/>
        <w:rPr>
          <w:rFonts w:ascii="Garamond" w:hAnsi="Garamond" w:cs="Times New Roman"/>
          <w:sz w:val="20"/>
          <w:szCs w:val="20"/>
          <w:lang w:val="en-GB"/>
        </w:rPr>
      </w:pPr>
      <w:r w:rsidRPr="002B4C20">
        <w:rPr>
          <w:rStyle w:val="FootnoteReference"/>
          <w:rFonts w:ascii="Garamond" w:hAnsi="Garamond" w:cs="Times New Roman"/>
          <w:sz w:val="20"/>
          <w:szCs w:val="20"/>
          <w:lang w:val="en-GB"/>
        </w:rPr>
        <w:footnoteRef/>
      </w:r>
      <w:r w:rsidRPr="002B4C20">
        <w:rPr>
          <w:rFonts w:ascii="Garamond" w:hAnsi="Garamond" w:cs="Times New Roman"/>
          <w:sz w:val="20"/>
          <w:szCs w:val="20"/>
          <w:lang w:val="en-GB"/>
        </w:rPr>
        <w:t xml:space="preserve"> </w:t>
      </w:r>
      <w:r w:rsidRPr="002B4C20">
        <w:rPr>
          <w:rFonts w:ascii="Garamond" w:hAnsi="Garamond" w:cs="Lucida Grande"/>
          <w:i/>
          <w:sz w:val="20"/>
          <w:szCs w:val="20"/>
          <w:lang w:val="en-GB"/>
        </w:rPr>
        <w:t>GS Media</w:t>
      </w:r>
      <w:r w:rsidRPr="002B4C20">
        <w:rPr>
          <w:rFonts w:ascii="Garamond" w:hAnsi="Garamond" w:cs="Lucida Grande"/>
          <w:sz w:val="20"/>
          <w:szCs w:val="20"/>
          <w:lang w:val="en-GB"/>
        </w:rPr>
        <w:t xml:space="preserve">, </w:t>
      </w:r>
      <w:r>
        <w:rPr>
          <w:rFonts w:ascii="Garamond" w:hAnsi="Garamond" w:cs="Times New Roman"/>
          <w:sz w:val="20"/>
          <w:szCs w:val="20"/>
          <w:lang w:val="en-GB"/>
        </w:rPr>
        <w:t>par.</w:t>
      </w:r>
      <w:r w:rsidRPr="002B4C20">
        <w:rPr>
          <w:rFonts w:ascii="Garamond" w:hAnsi="Garamond" w:cs="Times New Roman"/>
          <w:sz w:val="20"/>
          <w:szCs w:val="20"/>
          <w:lang w:val="en-GB"/>
        </w:rPr>
        <w:t xml:space="preserve"> 28.</w:t>
      </w:r>
    </w:p>
  </w:footnote>
  <w:footnote w:id="43">
    <w:p w14:paraId="44308D0E" w14:textId="77777777" w:rsidR="00595351" w:rsidRPr="002B4C20" w:rsidRDefault="00595351" w:rsidP="00595351">
      <w:pPr>
        <w:pStyle w:val="FootnoteText"/>
        <w:spacing w:after="200" w:line="360" w:lineRule="auto"/>
        <w:jc w:val="both"/>
        <w:rPr>
          <w:rFonts w:ascii="Garamond" w:hAnsi="Garamond"/>
          <w:sz w:val="20"/>
          <w:szCs w:val="20"/>
          <w:lang w:val="en-GB"/>
        </w:rPr>
      </w:pPr>
      <w:r w:rsidRPr="002B4C20">
        <w:rPr>
          <w:rStyle w:val="FootnoteReference"/>
          <w:rFonts w:ascii="Garamond" w:hAnsi="Garamond"/>
          <w:sz w:val="20"/>
          <w:szCs w:val="20"/>
          <w:lang w:val="en-GB"/>
        </w:rPr>
        <w:footnoteRef/>
      </w:r>
      <w:r w:rsidRPr="002B4C20">
        <w:rPr>
          <w:rFonts w:ascii="Garamond" w:hAnsi="Garamond"/>
          <w:sz w:val="20"/>
          <w:szCs w:val="20"/>
          <w:lang w:val="en-GB"/>
        </w:rPr>
        <w:t xml:space="preserve"> </w:t>
      </w:r>
      <w:r w:rsidRPr="002B4C20">
        <w:rPr>
          <w:rFonts w:ascii="Garamond" w:eastAsia="Times New Roman" w:hAnsi="Garamond"/>
          <w:color w:val="000000"/>
          <w:sz w:val="20"/>
          <w:szCs w:val="20"/>
          <w:lang w:val="en-GB"/>
        </w:rPr>
        <w:t>Charter of Fundamental Rights of the European Union, C 364, 18.12.2000, 1-22.</w:t>
      </w:r>
    </w:p>
  </w:footnote>
  <w:footnote w:id="44">
    <w:p w14:paraId="1F8AB160" w14:textId="655312AA" w:rsidR="00766E2C" w:rsidRPr="002B4C20" w:rsidRDefault="00766E2C" w:rsidP="004F24CD">
      <w:pPr>
        <w:pStyle w:val="NormalWeb"/>
        <w:shd w:val="clear" w:color="auto" w:fill="FFFFFF"/>
        <w:spacing w:before="0" w:beforeAutospacing="0" w:after="200" w:afterAutospacing="0" w:line="360" w:lineRule="auto"/>
        <w:jc w:val="both"/>
        <w:rPr>
          <w:rFonts w:ascii="Garamond" w:hAnsi="Garamond"/>
          <w:bCs/>
          <w:lang w:val="en-GB"/>
        </w:rPr>
      </w:pPr>
      <w:r w:rsidRPr="002B4C20">
        <w:rPr>
          <w:rStyle w:val="FootnoteReference"/>
          <w:rFonts w:ascii="Garamond" w:hAnsi="Garamond"/>
          <w:lang w:val="en-GB"/>
        </w:rPr>
        <w:footnoteRef/>
      </w:r>
      <w:r w:rsidRPr="002B4C20">
        <w:rPr>
          <w:rFonts w:ascii="Garamond" w:hAnsi="Garamond"/>
          <w:lang w:val="en-GB"/>
        </w:rPr>
        <w:t xml:space="preserve"> </w:t>
      </w:r>
      <w:r w:rsidRPr="002B4C20">
        <w:rPr>
          <w:rFonts w:ascii="Garamond" w:hAnsi="Garamond"/>
          <w:i/>
          <w:lang w:val="en-GB"/>
        </w:rPr>
        <w:t>Ibid</w:t>
      </w:r>
      <w:r>
        <w:rPr>
          <w:rFonts w:ascii="Garamond" w:hAnsi="Garamond"/>
          <w:lang w:val="en-GB"/>
        </w:rPr>
        <w:t>, par.</w:t>
      </w:r>
      <w:r w:rsidRPr="002B4C20">
        <w:rPr>
          <w:rFonts w:ascii="Garamond" w:hAnsi="Garamond"/>
          <w:lang w:val="en-GB"/>
        </w:rPr>
        <w:t xml:space="preserve"> 30-32, referring to </w:t>
      </w:r>
      <w:r w:rsidRPr="002B4C20">
        <w:rPr>
          <w:rFonts w:ascii="Garamond" w:hAnsi="Garamond"/>
          <w:bCs/>
          <w:i/>
          <w:lang w:val="en-GB"/>
        </w:rPr>
        <w:t>Svensson and Others</w:t>
      </w:r>
      <w:r w:rsidRPr="002B4C20">
        <w:rPr>
          <w:rFonts w:ascii="Garamond" w:hAnsi="Garamond"/>
          <w:bCs/>
          <w:lang w:val="en-GB"/>
        </w:rPr>
        <w:t xml:space="preserve">, </w:t>
      </w:r>
      <w:r>
        <w:rPr>
          <w:rFonts w:ascii="Garamond" w:eastAsia="Times New Roman" w:hAnsi="Garamond"/>
          <w:iCs/>
          <w:shd w:val="clear" w:color="auto" w:fill="FFFFFF"/>
          <w:lang w:val="en-GB"/>
        </w:rPr>
        <w:t>par.</w:t>
      </w:r>
      <w:r w:rsidRPr="002B4C20">
        <w:rPr>
          <w:rFonts w:ascii="Garamond" w:eastAsia="Times New Roman" w:hAnsi="Garamond"/>
          <w:iCs/>
          <w:shd w:val="clear" w:color="auto" w:fill="FFFFFF"/>
          <w:lang w:val="en-GB"/>
        </w:rPr>
        <w:t xml:space="preserve"> </w:t>
      </w:r>
      <w:r w:rsidRPr="002B4C20">
        <w:rPr>
          <w:rFonts w:ascii="Garamond" w:eastAsia="Times New Roman" w:hAnsi="Garamond"/>
          <w:shd w:val="clear" w:color="auto" w:fill="FFFFFF"/>
          <w:lang w:val="en-GB"/>
        </w:rPr>
        <w:t xml:space="preserve">16; </w:t>
      </w:r>
      <w:r w:rsidRPr="002B4C20">
        <w:rPr>
          <w:rFonts w:ascii="Garamond" w:hAnsi="Garamond" w:cs="Lucida Grande"/>
          <w:i/>
          <w:lang w:val="en-GB"/>
        </w:rPr>
        <w:t>SBS Belgium</w:t>
      </w:r>
      <w:r w:rsidRPr="002B4C20">
        <w:rPr>
          <w:rFonts w:ascii="Garamond" w:hAnsi="Garamond" w:cs="Lucida Grande"/>
          <w:lang w:val="en-GB"/>
        </w:rPr>
        <w:t xml:space="preserve">, </w:t>
      </w:r>
      <w:r>
        <w:rPr>
          <w:rFonts w:ascii="Garamond" w:hAnsi="Garamond" w:cs="Lucida Grande"/>
          <w:lang w:val="en-GB"/>
        </w:rPr>
        <w:t>par.</w:t>
      </w:r>
      <w:r w:rsidRPr="002B4C20">
        <w:rPr>
          <w:rFonts w:ascii="Garamond" w:hAnsi="Garamond" w:cs="Lucida Grande"/>
          <w:lang w:val="en-GB"/>
        </w:rPr>
        <w:t xml:space="preserve"> </w:t>
      </w:r>
      <w:r w:rsidRPr="002B4C20">
        <w:rPr>
          <w:rFonts w:ascii="Garamond" w:eastAsia="Times New Roman" w:hAnsi="Garamond"/>
          <w:shd w:val="clear" w:color="auto" w:fill="FFFFFF"/>
          <w:lang w:val="en-GB"/>
        </w:rPr>
        <w:t xml:space="preserve">15; and </w:t>
      </w:r>
      <w:r w:rsidRPr="002B4C20">
        <w:rPr>
          <w:rFonts w:ascii="Garamond" w:hAnsi="Garamond"/>
          <w:bCs/>
          <w:i/>
          <w:lang w:val="en-GB"/>
        </w:rPr>
        <w:t>Reha Training</w:t>
      </w:r>
      <w:r w:rsidRPr="002B4C20">
        <w:rPr>
          <w:rFonts w:ascii="Garamond" w:eastAsia="Times New Roman" w:hAnsi="Garamond"/>
          <w:shd w:val="clear" w:color="auto" w:fill="FFFFFF"/>
          <w:lang w:val="en-GB"/>
        </w:rPr>
        <w:t xml:space="preserve">, </w:t>
      </w:r>
      <w:r>
        <w:rPr>
          <w:rFonts w:ascii="Garamond" w:eastAsia="Times New Roman" w:hAnsi="Garamond"/>
          <w:shd w:val="clear" w:color="auto" w:fill="FFFFFF"/>
          <w:lang w:val="en-GB"/>
        </w:rPr>
        <w:t>par.</w:t>
      </w:r>
      <w:r w:rsidRPr="002B4C20">
        <w:rPr>
          <w:rFonts w:ascii="Garamond" w:eastAsia="Times New Roman" w:hAnsi="Garamond"/>
          <w:shd w:val="clear" w:color="auto" w:fill="FFFFFF"/>
          <w:lang w:val="en-GB"/>
        </w:rPr>
        <w:t xml:space="preserve"> 37.</w:t>
      </w:r>
    </w:p>
  </w:footnote>
  <w:footnote w:id="45">
    <w:p w14:paraId="26C3787B" w14:textId="48875486" w:rsidR="00766E2C" w:rsidRPr="002B4C20" w:rsidRDefault="00766E2C" w:rsidP="004F24CD">
      <w:pPr>
        <w:pStyle w:val="FootnoteText"/>
        <w:spacing w:after="200" w:line="360" w:lineRule="auto"/>
        <w:jc w:val="both"/>
        <w:rPr>
          <w:rFonts w:ascii="Garamond" w:hAnsi="Garamond" w:cs="Times New Roman"/>
          <w:sz w:val="20"/>
          <w:szCs w:val="20"/>
          <w:lang w:val="en-GB"/>
        </w:rPr>
      </w:pPr>
      <w:r w:rsidRPr="002B4C20">
        <w:rPr>
          <w:rStyle w:val="FootnoteReference"/>
          <w:rFonts w:ascii="Garamond" w:hAnsi="Garamond" w:cs="Times New Roman"/>
          <w:sz w:val="20"/>
          <w:szCs w:val="20"/>
          <w:lang w:val="en-GB"/>
        </w:rPr>
        <w:footnoteRef/>
      </w:r>
      <w:r w:rsidRPr="002B4C20">
        <w:rPr>
          <w:rFonts w:ascii="Garamond" w:hAnsi="Garamond" w:cs="Times New Roman"/>
          <w:sz w:val="20"/>
          <w:szCs w:val="20"/>
          <w:lang w:val="en-GB"/>
        </w:rPr>
        <w:t xml:space="preserve"> </w:t>
      </w:r>
      <w:r w:rsidRPr="002B4C20">
        <w:rPr>
          <w:rFonts w:ascii="Garamond" w:hAnsi="Garamond" w:cs="Times New Roman"/>
          <w:i/>
          <w:sz w:val="20"/>
          <w:szCs w:val="20"/>
          <w:lang w:val="en-GB"/>
        </w:rPr>
        <w:t>GS Media</w:t>
      </w:r>
      <w:r>
        <w:rPr>
          <w:rFonts w:ascii="Garamond" w:hAnsi="Garamond" w:cs="Times New Roman"/>
          <w:sz w:val="20"/>
          <w:szCs w:val="20"/>
          <w:lang w:val="en-GB"/>
        </w:rPr>
        <w:t>, par. 33-35, also referring (par.</w:t>
      </w:r>
      <w:r w:rsidRPr="002B4C20">
        <w:rPr>
          <w:rFonts w:ascii="Garamond" w:hAnsi="Garamond" w:cs="Times New Roman"/>
          <w:sz w:val="20"/>
          <w:szCs w:val="20"/>
          <w:lang w:val="en-GB"/>
        </w:rPr>
        <w:t xml:space="preserve"> 34) </w:t>
      </w:r>
      <w:r w:rsidRPr="002B4C20">
        <w:rPr>
          <w:rFonts w:ascii="Garamond" w:hAnsi="Garamond"/>
          <w:sz w:val="20"/>
          <w:szCs w:val="20"/>
          <w:lang w:val="en-GB"/>
        </w:rPr>
        <w:t xml:space="preserve">to: </w:t>
      </w:r>
      <w:r w:rsidRPr="002B4C20">
        <w:rPr>
          <w:rFonts w:ascii="Garamond" w:eastAsia="Times New Roman" w:hAnsi="Garamond"/>
          <w:bCs/>
          <w:i/>
          <w:sz w:val="20"/>
          <w:szCs w:val="20"/>
          <w:shd w:val="clear" w:color="auto" w:fill="FFFFFF"/>
          <w:lang w:val="en-GB"/>
        </w:rPr>
        <w:t>SCF</w:t>
      </w:r>
      <w:r w:rsidRPr="002B4C20">
        <w:rPr>
          <w:rFonts w:ascii="Garamond" w:eastAsia="Times New Roman" w:hAnsi="Garamond"/>
          <w:sz w:val="20"/>
          <w:szCs w:val="20"/>
          <w:shd w:val="clear" w:color="auto" w:fill="FFFFFF"/>
          <w:lang w:val="en-GB"/>
        </w:rPr>
        <w:t xml:space="preserve">, </w:t>
      </w:r>
      <w:r>
        <w:rPr>
          <w:rFonts w:ascii="Garamond" w:eastAsia="Times New Roman" w:hAnsi="Garamond"/>
          <w:sz w:val="20"/>
          <w:szCs w:val="20"/>
          <w:shd w:val="clear" w:color="auto" w:fill="FFFFFF"/>
          <w:lang w:val="en-GB"/>
        </w:rPr>
        <w:t>par.</w:t>
      </w:r>
      <w:r w:rsidRPr="002B4C20">
        <w:rPr>
          <w:rFonts w:ascii="Garamond" w:eastAsia="Times New Roman" w:hAnsi="Garamond"/>
          <w:sz w:val="20"/>
          <w:szCs w:val="20"/>
          <w:shd w:val="clear" w:color="auto" w:fill="FFFFFF"/>
          <w:lang w:val="en-GB"/>
        </w:rPr>
        <w:t xml:space="preserve"> 79; </w:t>
      </w:r>
      <w:r w:rsidRPr="002B4C20">
        <w:rPr>
          <w:rFonts w:ascii="Garamond" w:hAnsi="Garamond"/>
          <w:bCs/>
          <w:i/>
          <w:sz w:val="20"/>
          <w:szCs w:val="20"/>
          <w:lang w:val="en-GB"/>
        </w:rPr>
        <w:t>Phonographic Performance (Ireland)</w:t>
      </w:r>
      <w:r w:rsidRPr="002B4C20">
        <w:rPr>
          <w:rFonts w:ascii="Garamond" w:hAnsi="Garamond"/>
          <w:bCs/>
          <w:sz w:val="20"/>
          <w:szCs w:val="20"/>
          <w:lang w:val="en-GB"/>
        </w:rPr>
        <w:t>,</w:t>
      </w:r>
      <w:r w:rsidRPr="002B4C20">
        <w:rPr>
          <w:rFonts w:ascii="Garamond" w:eastAsia="Times New Roman" w:hAnsi="Garamond"/>
          <w:sz w:val="20"/>
          <w:szCs w:val="20"/>
          <w:shd w:val="clear" w:color="auto" w:fill="FFFFFF"/>
          <w:lang w:val="en-GB"/>
        </w:rPr>
        <w:t xml:space="preserve"> </w:t>
      </w:r>
      <w:r>
        <w:rPr>
          <w:rFonts w:ascii="Garamond" w:eastAsia="Times New Roman" w:hAnsi="Garamond"/>
          <w:sz w:val="20"/>
          <w:szCs w:val="20"/>
          <w:shd w:val="clear" w:color="auto" w:fill="FFFFFF"/>
          <w:lang w:val="en-GB"/>
        </w:rPr>
        <w:t>par.</w:t>
      </w:r>
      <w:r w:rsidRPr="002B4C20">
        <w:rPr>
          <w:rFonts w:ascii="Garamond" w:eastAsia="Times New Roman" w:hAnsi="Garamond"/>
          <w:sz w:val="20"/>
          <w:szCs w:val="20"/>
          <w:shd w:val="clear" w:color="auto" w:fill="FFFFFF"/>
          <w:lang w:val="en-GB"/>
        </w:rPr>
        <w:t xml:space="preserve"> 30; and </w:t>
      </w:r>
      <w:r w:rsidRPr="002B4C20">
        <w:rPr>
          <w:rFonts w:ascii="Garamond" w:eastAsia="Times New Roman" w:hAnsi="Garamond"/>
          <w:i/>
          <w:iCs/>
          <w:sz w:val="20"/>
          <w:szCs w:val="20"/>
          <w:shd w:val="clear" w:color="auto" w:fill="FFFFFF"/>
          <w:lang w:val="en-GB"/>
        </w:rPr>
        <w:t>Reha Training</w:t>
      </w:r>
      <w:r w:rsidRPr="002B4C20">
        <w:rPr>
          <w:rFonts w:ascii="Garamond" w:eastAsia="Times New Roman" w:hAnsi="Garamond"/>
          <w:sz w:val="20"/>
          <w:szCs w:val="20"/>
          <w:shd w:val="clear" w:color="auto" w:fill="FFFFFF"/>
          <w:lang w:val="en-GB"/>
        </w:rPr>
        <w:t xml:space="preserve">, </w:t>
      </w:r>
      <w:r>
        <w:rPr>
          <w:rFonts w:ascii="Garamond" w:eastAsia="Times New Roman" w:hAnsi="Garamond"/>
          <w:sz w:val="20"/>
          <w:szCs w:val="20"/>
          <w:shd w:val="clear" w:color="auto" w:fill="FFFFFF"/>
          <w:lang w:val="en-GB"/>
        </w:rPr>
        <w:t>par.</w:t>
      </w:r>
      <w:r w:rsidRPr="002B4C20">
        <w:rPr>
          <w:rFonts w:ascii="Garamond" w:eastAsia="Times New Roman" w:hAnsi="Garamond"/>
          <w:sz w:val="20"/>
          <w:szCs w:val="20"/>
          <w:shd w:val="clear" w:color="auto" w:fill="FFFFFF"/>
          <w:lang w:val="en-GB"/>
        </w:rPr>
        <w:t xml:space="preserve"> 35.</w:t>
      </w:r>
    </w:p>
  </w:footnote>
  <w:footnote w:id="46">
    <w:p w14:paraId="33F1E0E6" w14:textId="3E9DE5C4" w:rsidR="00766E2C" w:rsidRPr="002B4C20" w:rsidRDefault="00766E2C" w:rsidP="004F24CD">
      <w:pPr>
        <w:widowControl w:val="0"/>
        <w:autoSpaceDE w:val="0"/>
        <w:autoSpaceDN w:val="0"/>
        <w:adjustRightInd w:val="0"/>
        <w:spacing w:after="200" w:line="360" w:lineRule="auto"/>
        <w:jc w:val="both"/>
        <w:rPr>
          <w:rFonts w:ascii="Garamond" w:hAnsi="Garamond" w:cs="Times New Roman"/>
          <w:sz w:val="20"/>
          <w:szCs w:val="20"/>
          <w:lang w:val="en-GB"/>
        </w:rPr>
      </w:pPr>
      <w:r w:rsidRPr="002B4C20">
        <w:rPr>
          <w:rStyle w:val="FootnoteReference"/>
          <w:rFonts w:ascii="Garamond" w:hAnsi="Garamond" w:cs="Times New Roman"/>
          <w:sz w:val="20"/>
          <w:szCs w:val="20"/>
          <w:lang w:val="en-GB"/>
        </w:rPr>
        <w:footnoteRef/>
      </w:r>
      <w:r>
        <w:rPr>
          <w:rFonts w:ascii="Garamond" w:hAnsi="Garamond" w:cs="Times New Roman"/>
          <w:sz w:val="20"/>
          <w:szCs w:val="20"/>
          <w:lang w:val="en-GB"/>
        </w:rPr>
        <w:t xml:space="preserve"> As noted by Leistner</w:t>
      </w:r>
      <w:r w:rsidRPr="002B4C20">
        <w:rPr>
          <w:rFonts w:ascii="Garamond" w:hAnsi="Garamond" w:cs="Times New Roman"/>
          <w:sz w:val="20"/>
          <w:szCs w:val="20"/>
          <w:lang w:val="en-GB"/>
        </w:rPr>
        <w:t xml:space="preserve"> (2015)</w:t>
      </w:r>
      <w:r>
        <w:rPr>
          <w:rFonts w:ascii="Garamond" w:hAnsi="Garamond" w:cs="Times New Roman"/>
          <w:sz w:val="20"/>
          <w:szCs w:val="20"/>
          <w:lang w:val="en-GB"/>
        </w:rPr>
        <w:t xml:space="preserve">, p. </w:t>
      </w:r>
      <w:r w:rsidRPr="002B4C20">
        <w:rPr>
          <w:rFonts w:ascii="Garamond" w:hAnsi="Garamond" w:cs="Times New Roman"/>
          <w:sz w:val="20"/>
          <w:szCs w:val="20"/>
          <w:lang w:val="en-GB"/>
        </w:rPr>
        <w:t xml:space="preserve">634, the definition of the same technical means has been rather generous in CJEU case law: for instance, on the internet all potential and different forms of communication appear to constitute the same technical means. </w:t>
      </w:r>
    </w:p>
  </w:footnote>
  <w:footnote w:id="47">
    <w:p w14:paraId="614DA5B4" w14:textId="27EFC686" w:rsidR="00766E2C" w:rsidRPr="002B4C20" w:rsidRDefault="00766E2C" w:rsidP="004F24CD">
      <w:pPr>
        <w:pStyle w:val="FootnoteText"/>
        <w:spacing w:after="200" w:line="360" w:lineRule="auto"/>
        <w:jc w:val="both"/>
        <w:rPr>
          <w:rFonts w:ascii="Garamond" w:hAnsi="Garamond" w:cs="Times New Roman"/>
          <w:sz w:val="20"/>
          <w:szCs w:val="20"/>
          <w:lang w:val="en-GB"/>
        </w:rPr>
      </w:pPr>
      <w:r w:rsidRPr="002B4C20">
        <w:rPr>
          <w:rStyle w:val="FootnoteReference"/>
          <w:rFonts w:ascii="Garamond" w:hAnsi="Garamond" w:cs="Times New Roman"/>
          <w:sz w:val="20"/>
          <w:szCs w:val="20"/>
          <w:lang w:val="en-GB"/>
        </w:rPr>
        <w:footnoteRef/>
      </w:r>
      <w:r w:rsidRPr="002B4C20">
        <w:rPr>
          <w:rFonts w:ascii="Garamond" w:hAnsi="Garamond" w:cs="Times New Roman"/>
          <w:sz w:val="20"/>
          <w:szCs w:val="20"/>
          <w:lang w:val="en-GB"/>
        </w:rPr>
        <w:t xml:space="preserve"> </w:t>
      </w:r>
      <w:r w:rsidRPr="002B4C20">
        <w:rPr>
          <w:rFonts w:ascii="Garamond" w:hAnsi="Garamond" w:cs="Lucida Grande"/>
          <w:i/>
          <w:sz w:val="20"/>
          <w:szCs w:val="20"/>
          <w:lang w:val="en-GB"/>
        </w:rPr>
        <w:t>GS Media</w:t>
      </w:r>
      <w:r w:rsidRPr="002B4C20">
        <w:rPr>
          <w:rFonts w:ascii="Garamond" w:hAnsi="Garamond" w:cs="Lucida Grande"/>
          <w:sz w:val="20"/>
          <w:szCs w:val="20"/>
          <w:lang w:val="en-GB"/>
        </w:rPr>
        <w:t xml:space="preserve">, </w:t>
      </w:r>
      <w:r>
        <w:rPr>
          <w:rFonts w:ascii="Garamond" w:hAnsi="Garamond" w:cs="Times New Roman"/>
          <w:sz w:val="20"/>
          <w:szCs w:val="20"/>
          <w:lang w:val="en-GB"/>
        </w:rPr>
        <w:t>par.</w:t>
      </w:r>
      <w:r w:rsidRPr="002B4C20">
        <w:rPr>
          <w:rFonts w:ascii="Garamond" w:hAnsi="Garamond" w:cs="Times New Roman"/>
          <w:sz w:val="20"/>
          <w:szCs w:val="20"/>
          <w:lang w:val="en-GB"/>
        </w:rPr>
        <w:t xml:space="preserve"> 36-39.</w:t>
      </w:r>
    </w:p>
  </w:footnote>
  <w:footnote w:id="48">
    <w:p w14:paraId="7ADAD589" w14:textId="737150C5" w:rsidR="00766E2C" w:rsidRPr="002B4C20" w:rsidRDefault="00766E2C" w:rsidP="004F24CD">
      <w:pPr>
        <w:pStyle w:val="FootnoteText"/>
        <w:spacing w:after="200" w:line="360" w:lineRule="auto"/>
        <w:jc w:val="both"/>
        <w:rPr>
          <w:rFonts w:ascii="Garamond" w:hAnsi="Garamond" w:cs="Times New Roman"/>
          <w:sz w:val="20"/>
          <w:szCs w:val="20"/>
          <w:lang w:val="en-GB"/>
        </w:rPr>
      </w:pPr>
      <w:r w:rsidRPr="002B4C20">
        <w:rPr>
          <w:rStyle w:val="FootnoteReference"/>
          <w:rFonts w:ascii="Garamond" w:hAnsi="Garamond" w:cs="Times New Roman"/>
          <w:sz w:val="20"/>
          <w:szCs w:val="20"/>
          <w:lang w:val="en-GB"/>
        </w:rPr>
        <w:footnoteRef/>
      </w:r>
      <w:r w:rsidRPr="002B4C20">
        <w:rPr>
          <w:rFonts w:ascii="Garamond" w:hAnsi="Garamond" w:cs="Times New Roman"/>
          <w:sz w:val="20"/>
          <w:szCs w:val="20"/>
          <w:lang w:val="en-GB"/>
        </w:rPr>
        <w:t xml:space="preserve"> </w:t>
      </w:r>
      <w:r w:rsidRPr="002B4C20">
        <w:rPr>
          <w:rFonts w:ascii="Garamond" w:hAnsi="Garamond" w:cs="Times New Roman"/>
          <w:i/>
          <w:sz w:val="20"/>
          <w:szCs w:val="20"/>
          <w:lang w:val="en-GB"/>
        </w:rPr>
        <w:t>Ibid,</w:t>
      </w:r>
      <w:r>
        <w:rPr>
          <w:rFonts w:ascii="Garamond" w:hAnsi="Garamond" w:cs="Times New Roman"/>
          <w:sz w:val="20"/>
          <w:szCs w:val="20"/>
          <w:lang w:val="en-GB"/>
        </w:rPr>
        <w:t xml:space="preserve"> par.</w:t>
      </w:r>
      <w:r w:rsidRPr="002B4C20">
        <w:rPr>
          <w:rFonts w:ascii="Garamond" w:hAnsi="Garamond" w:cs="Times New Roman"/>
          <w:sz w:val="20"/>
          <w:szCs w:val="20"/>
          <w:lang w:val="en-GB"/>
        </w:rPr>
        <w:t xml:space="preserve"> 43.</w:t>
      </w:r>
    </w:p>
  </w:footnote>
  <w:footnote w:id="49">
    <w:p w14:paraId="383EDF3B" w14:textId="452BDAB2" w:rsidR="00766E2C" w:rsidRPr="002B4C20" w:rsidRDefault="00766E2C" w:rsidP="004F24CD">
      <w:pPr>
        <w:pStyle w:val="FootnoteText"/>
        <w:spacing w:after="200" w:line="360" w:lineRule="auto"/>
        <w:jc w:val="both"/>
        <w:rPr>
          <w:rFonts w:ascii="Garamond" w:hAnsi="Garamond" w:cs="Times New Roman"/>
          <w:sz w:val="20"/>
          <w:szCs w:val="20"/>
          <w:lang w:val="en-GB"/>
        </w:rPr>
      </w:pPr>
      <w:r w:rsidRPr="002B4C20">
        <w:rPr>
          <w:rStyle w:val="FootnoteReference"/>
          <w:rFonts w:ascii="Garamond" w:hAnsi="Garamond" w:cs="Times New Roman"/>
          <w:sz w:val="20"/>
          <w:szCs w:val="20"/>
          <w:lang w:val="en-GB"/>
        </w:rPr>
        <w:footnoteRef/>
      </w:r>
      <w:r w:rsidRPr="002B4C20">
        <w:rPr>
          <w:rFonts w:ascii="Garamond" w:hAnsi="Garamond" w:cs="Times New Roman"/>
          <w:sz w:val="20"/>
          <w:szCs w:val="20"/>
          <w:lang w:val="en-GB"/>
        </w:rPr>
        <w:t xml:space="preserve"> </w:t>
      </w:r>
      <w:r w:rsidRPr="002B4C20">
        <w:rPr>
          <w:rFonts w:ascii="Garamond" w:hAnsi="Garamond" w:cs="Times New Roman"/>
          <w:i/>
          <w:sz w:val="20"/>
          <w:szCs w:val="20"/>
          <w:lang w:val="en-GB"/>
        </w:rPr>
        <w:t>Ibid</w:t>
      </w:r>
      <w:r>
        <w:rPr>
          <w:rFonts w:ascii="Garamond" w:hAnsi="Garamond" w:cs="Times New Roman"/>
          <w:sz w:val="20"/>
          <w:szCs w:val="20"/>
          <w:lang w:val="en-GB"/>
        </w:rPr>
        <w:t>, par.</w:t>
      </w:r>
      <w:r w:rsidRPr="002B4C20">
        <w:rPr>
          <w:rFonts w:ascii="Garamond" w:hAnsi="Garamond" w:cs="Times New Roman"/>
          <w:sz w:val="20"/>
          <w:szCs w:val="20"/>
          <w:lang w:val="en-GB"/>
        </w:rPr>
        <w:t xml:space="preserve"> 46-50.</w:t>
      </w:r>
    </w:p>
  </w:footnote>
  <w:footnote w:id="50">
    <w:p w14:paraId="5F06BB04" w14:textId="2BEB1C99" w:rsidR="00766E2C" w:rsidRPr="002B4C20" w:rsidRDefault="00766E2C" w:rsidP="004F24CD">
      <w:pPr>
        <w:pStyle w:val="FootnoteText"/>
        <w:spacing w:after="200" w:line="360" w:lineRule="auto"/>
        <w:jc w:val="both"/>
        <w:rPr>
          <w:rFonts w:ascii="Garamond" w:hAnsi="Garamond" w:cs="Times New Roman"/>
          <w:sz w:val="20"/>
          <w:szCs w:val="20"/>
          <w:lang w:val="en-GB"/>
        </w:rPr>
      </w:pPr>
      <w:r w:rsidRPr="002B4C20">
        <w:rPr>
          <w:rStyle w:val="FootnoteReference"/>
          <w:rFonts w:ascii="Garamond" w:hAnsi="Garamond" w:cs="Times New Roman"/>
          <w:sz w:val="20"/>
          <w:szCs w:val="20"/>
          <w:lang w:val="en-GB"/>
        </w:rPr>
        <w:footnoteRef/>
      </w:r>
      <w:r w:rsidRPr="002B4C20">
        <w:rPr>
          <w:rFonts w:ascii="Garamond" w:hAnsi="Garamond" w:cs="Times New Roman"/>
          <w:sz w:val="20"/>
          <w:szCs w:val="20"/>
          <w:lang w:val="en-GB"/>
        </w:rPr>
        <w:t xml:space="preserve"> </w:t>
      </w:r>
      <w:r w:rsidRPr="002B4C20">
        <w:rPr>
          <w:rFonts w:ascii="Garamond" w:hAnsi="Garamond" w:cs="Times New Roman"/>
          <w:i/>
          <w:sz w:val="20"/>
          <w:szCs w:val="20"/>
          <w:lang w:val="en-GB"/>
        </w:rPr>
        <w:t>Ibid</w:t>
      </w:r>
      <w:r>
        <w:rPr>
          <w:rFonts w:ascii="Garamond" w:hAnsi="Garamond" w:cs="Times New Roman"/>
          <w:sz w:val="20"/>
          <w:szCs w:val="20"/>
          <w:lang w:val="en-GB"/>
        </w:rPr>
        <w:t>, par.</w:t>
      </w:r>
      <w:r w:rsidRPr="002B4C20">
        <w:rPr>
          <w:rFonts w:ascii="Garamond" w:hAnsi="Garamond" w:cs="Times New Roman"/>
          <w:sz w:val="20"/>
          <w:szCs w:val="20"/>
          <w:lang w:val="en-GB"/>
        </w:rPr>
        <w:t xml:space="preserve"> 53.</w:t>
      </w:r>
    </w:p>
  </w:footnote>
  <w:footnote w:id="51">
    <w:p w14:paraId="20416777" w14:textId="36565129" w:rsidR="00766E2C" w:rsidRPr="002B4C20" w:rsidRDefault="00766E2C" w:rsidP="004F24CD">
      <w:pPr>
        <w:pStyle w:val="FootnoteText"/>
        <w:spacing w:after="200" w:line="360" w:lineRule="auto"/>
        <w:jc w:val="both"/>
        <w:rPr>
          <w:rFonts w:ascii="Garamond" w:hAnsi="Garamond" w:cs="Times New Roman"/>
          <w:sz w:val="20"/>
          <w:szCs w:val="20"/>
          <w:lang w:val="en-GB"/>
        </w:rPr>
      </w:pPr>
      <w:r w:rsidRPr="002B4C20">
        <w:rPr>
          <w:rStyle w:val="FootnoteReference"/>
          <w:rFonts w:ascii="Garamond" w:hAnsi="Garamond" w:cs="Times New Roman"/>
          <w:sz w:val="20"/>
          <w:szCs w:val="20"/>
          <w:lang w:val="en-GB"/>
        </w:rPr>
        <w:footnoteRef/>
      </w:r>
      <w:r w:rsidRPr="002B4C20">
        <w:rPr>
          <w:rFonts w:ascii="Garamond" w:hAnsi="Garamond" w:cs="Times New Roman"/>
          <w:sz w:val="20"/>
          <w:szCs w:val="20"/>
          <w:lang w:val="en-GB"/>
        </w:rPr>
        <w:t xml:space="preserve"> </w:t>
      </w:r>
      <w:r w:rsidRPr="002B4C20">
        <w:rPr>
          <w:rFonts w:ascii="Garamond" w:hAnsi="Garamond" w:cs="Times New Roman"/>
          <w:i/>
          <w:sz w:val="20"/>
          <w:szCs w:val="20"/>
          <w:lang w:val="en-GB"/>
        </w:rPr>
        <w:t>Ibid</w:t>
      </w:r>
      <w:r>
        <w:rPr>
          <w:rFonts w:ascii="Garamond" w:hAnsi="Garamond" w:cs="Times New Roman"/>
          <w:sz w:val="20"/>
          <w:szCs w:val="20"/>
          <w:lang w:val="en-GB"/>
        </w:rPr>
        <w:t>, par.</w:t>
      </w:r>
      <w:r w:rsidRPr="002B4C20">
        <w:rPr>
          <w:rFonts w:ascii="Garamond" w:hAnsi="Garamond" w:cs="Times New Roman"/>
          <w:sz w:val="20"/>
          <w:szCs w:val="20"/>
          <w:lang w:val="en-GB"/>
        </w:rPr>
        <w:t xml:space="preserve"> 51.</w:t>
      </w:r>
    </w:p>
  </w:footnote>
  <w:footnote w:id="52">
    <w:p w14:paraId="082B0000" w14:textId="16D14BE7" w:rsidR="00766E2C" w:rsidRPr="002B4C20" w:rsidRDefault="00766E2C" w:rsidP="004F24CD">
      <w:pPr>
        <w:pStyle w:val="FootnoteText"/>
        <w:spacing w:after="200" w:line="360" w:lineRule="auto"/>
        <w:jc w:val="both"/>
        <w:rPr>
          <w:rFonts w:ascii="Garamond" w:hAnsi="Garamond" w:cs="Times New Roman"/>
          <w:sz w:val="20"/>
          <w:szCs w:val="20"/>
          <w:lang w:val="en-GB"/>
        </w:rPr>
      </w:pPr>
      <w:r w:rsidRPr="002B4C20">
        <w:rPr>
          <w:rStyle w:val="FootnoteReference"/>
          <w:rFonts w:ascii="Garamond" w:hAnsi="Garamond" w:cs="Times New Roman"/>
          <w:sz w:val="20"/>
          <w:szCs w:val="20"/>
          <w:lang w:val="en-GB"/>
        </w:rPr>
        <w:footnoteRef/>
      </w:r>
      <w:r w:rsidRPr="002B4C20">
        <w:rPr>
          <w:rFonts w:ascii="Garamond" w:hAnsi="Garamond" w:cs="Times New Roman"/>
          <w:sz w:val="20"/>
          <w:szCs w:val="20"/>
          <w:lang w:val="en-GB"/>
        </w:rPr>
        <w:t xml:space="preserve"> </w:t>
      </w:r>
      <w:r w:rsidRPr="002B4C20">
        <w:rPr>
          <w:rFonts w:ascii="Garamond" w:hAnsi="Garamond" w:cs="Times New Roman"/>
          <w:i/>
          <w:sz w:val="20"/>
          <w:szCs w:val="20"/>
          <w:lang w:val="en-GB"/>
        </w:rPr>
        <w:t>Ibid</w:t>
      </w:r>
      <w:r>
        <w:rPr>
          <w:rFonts w:ascii="Garamond" w:hAnsi="Garamond" w:cs="Times New Roman"/>
          <w:sz w:val="20"/>
          <w:szCs w:val="20"/>
          <w:lang w:val="en-GB"/>
        </w:rPr>
        <w:t>, par.</w:t>
      </w:r>
      <w:r w:rsidRPr="002B4C20">
        <w:rPr>
          <w:rFonts w:ascii="Garamond" w:hAnsi="Garamond" w:cs="Times New Roman"/>
          <w:sz w:val="20"/>
          <w:szCs w:val="20"/>
          <w:lang w:val="en-GB"/>
        </w:rPr>
        <w:t xml:space="preserve"> 54.</w:t>
      </w:r>
    </w:p>
  </w:footnote>
  <w:footnote w:id="53">
    <w:p w14:paraId="74ABA337" w14:textId="557953B8" w:rsidR="00766E2C" w:rsidRPr="002B4C20" w:rsidRDefault="00766E2C" w:rsidP="004F24CD">
      <w:pPr>
        <w:pStyle w:val="FootnoteText"/>
        <w:spacing w:after="200" w:line="360" w:lineRule="auto"/>
        <w:jc w:val="both"/>
        <w:rPr>
          <w:rFonts w:ascii="Garamond" w:hAnsi="Garamond"/>
          <w:sz w:val="20"/>
          <w:szCs w:val="20"/>
          <w:lang w:val="en-GB"/>
        </w:rPr>
      </w:pPr>
      <w:r w:rsidRPr="002B4C20">
        <w:rPr>
          <w:rStyle w:val="FootnoteReference"/>
          <w:rFonts w:ascii="Garamond" w:hAnsi="Garamond"/>
          <w:sz w:val="20"/>
          <w:szCs w:val="20"/>
          <w:lang w:val="en-GB"/>
        </w:rPr>
        <w:footnoteRef/>
      </w:r>
      <w:r w:rsidRPr="002B4C20">
        <w:rPr>
          <w:rFonts w:ascii="Garamond" w:hAnsi="Garamond"/>
          <w:sz w:val="20"/>
          <w:szCs w:val="20"/>
          <w:lang w:val="en-GB"/>
        </w:rPr>
        <w:t xml:space="preserve"> This table</w:t>
      </w:r>
      <w:r>
        <w:rPr>
          <w:rFonts w:ascii="Garamond" w:hAnsi="Garamond"/>
          <w:sz w:val="20"/>
          <w:szCs w:val="20"/>
          <w:lang w:val="en-GB"/>
        </w:rPr>
        <w:t xml:space="preserve"> was first published in Rosati</w:t>
      </w:r>
      <w:r w:rsidRPr="002B4C20">
        <w:rPr>
          <w:rFonts w:ascii="Garamond" w:hAnsi="Garamond"/>
          <w:sz w:val="20"/>
          <w:szCs w:val="20"/>
          <w:lang w:val="en-GB"/>
        </w:rPr>
        <w:t xml:space="preserve"> (2016).</w:t>
      </w:r>
    </w:p>
  </w:footnote>
  <w:footnote w:id="54">
    <w:p w14:paraId="77A15D0E" w14:textId="0D08C93F" w:rsidR="00766E2C" w:rsidRPr="002B4C20" w:rsidRDefault="00766E2C" w:rsidP="004F24CD">
      <w:pPr>
        <w:pStyle w:val="FootnoteText"/>
        <w:spacing w:after="200" w:line="360" w:lineRule="auto"/>
        <w:jc w:val="both"/>
        <w:rPr>
          <w:rFonts w:ascii="Garamond" w:hAnsi="Garamond"/>
          <w:sz w:val="20"/>
          <w:szCs w:val="20"/>
          <w:lang w:val="en-GB"/>
        </w:rPr>
      </w:pPr>
      <w:r w:rsidRPr="002B4C20">
        <w:rPr>
          <w:rStyle w:val="FootnoteReference"/>
          <w:rFonts w:ascii="Garamond" w:hAnsi="Garamond"/>
          <w:sz w:val="20"/>
          <w:szCs w:val="20"/>
          <w:lang w:val="en-GB"/>
        </w:rPr>
        <w:footnoteRef/>
      </w:r>
      <w:r w:rsidRPr="002B4C20">
        <w:rPr>
          <w:rFonts w:ascii="Garamond" w:hAnsi="Garamond"/>
          <w:sz w:val="20"/>
          <w:szCs w:val="20"/>
          <w:lang w:val="en-GB"/>
        </w:rPr>
        <w:t xml:space="preserve"> </w:t>
      </w:r>
      <w:r w:rsidRPr="002B4C20">
        <w:rPr>
          <w:rFonts w:ascii="Garamond" w:hAnsi="Garamond"/>
          <w:bCs/>
          <w:sz w:val="20"/>
          <w:szCs w:val="20"/>
          <w:lang w:val="en-GB"/>
        </w:rPr>
        <w:t>Court of Appeal of Athens</w:t>
      </w:r>
      <w:r w:rsidRPr="002B4C20">
        <w:rPr>
          <w:rFonts w:ascii="Garamond" w:hAnsi="Garamond"/>
          <w:sz w:val="20"/>
          <w:szCs w:val="20"/>
          <w:lang w:val="en-GB"/>
        </w:rPr>
        <w:t xml:space="preserve">, </w:t>
      </w:r>
      <w:r w:rsidRPr="002B4C20">
        <w:rPr>
          <w:rFonts w:ascii="Garamond" w:hAnsi="Garamond"/>
          <w:bCs/>
          <w:sz w:val="20"/>
          <w:szCs w:val="20"/>
          <w:lang w:val="en-GB"/>
        </w:rPr>
        <w:t>decision No 1909/2017 (18</w:t>
      </w:r>
      <w:r w:rsidRPr="002B4C20">
        <w:rPr>
          <w:rFonts w:ascii="Garamond" w:hAnsi="Garamond"/>
          <w:bCs/>
          <w:sz w:val="20"/>
          <w:szCs w:val="20"/>
          <w:vertAlign w:val="superscript"/>
          <w:lang w:val="en-GB"/>
        </w:rPr>
        <w:t>th </w:t>
      </w:r>
      <w:r w:rsidRPr="002B4C20">
        <w:rPr>
          <w:rFonts w:ascii="Garamond" w:hAnsi="Garamond"/>
          <w:bCs/>
          <w:sz w:val="20"/>
          <w:szCs w:val="20"/>
          <w:lang w:val="en-GB"/>
        </w:rPr>
        <w:t>section), on which see</w:t>
      </w:r>
      <w:r>
        <w:rPr>
          <w:rFonts w:ascii="Garamond" w:hAnsi="Garamond"/>
          <w:sz w:val="20"/>
          <w:szCs w:val="20"/>
          <w:lang w:val="en-GB"/>
        </w:rPr>
        <w:t xml:space="preserve"> Chiou</w:t>
      </w:r>
      <w:r w:rsidRPr="002B4C20">
        <w:rPr>
          <w:rFonts w:ascii="Garamond" w:hAnsi="Garamond"/>
          <w:sz w:val="20"/>
          <w:szCs w:val="20"/>
          <w:lang w:val="en-GB"/>
        </w:rPr>
        <w:t xml:space="preserve"> (2017).</w:t>
      </w:r>
    </w:p>
  </w:footnote>
  <w:footnote w:id="55">
    <w:p w14:paraId="047BC778" w14:textId="1CEA17AC" w:rsidR="00766E2C" w:rsidRPr="002B4C20" w:rsidRDefault="00766E2C" w:rsidP="004F24CD">
      <w:pPr>
        <w:pStyle w:val="FootnoteText"/>
        <w:spacing w:after="200" w:line="360" w:lineRule="auto"/>
        <w:jc w:val="both"/>
        <w:rPr>
          <w:rFonts w:ascii="Garamond" w:hAnsi="Garamond"/>
          <w:sz w:val="20"/>
          <w:szCs w:val="20"/>
          <w:lang w:val="en-GB"/>
        </w:rPr>
      </w:pPr>
      <w:r w:rsidRPr="002B4C20">
        <w:rPr>
          <w:rStyle w:val="FootnoteReference"/>
          <w:rFonts w:ascii="Garamond" w:hAnsi="Garamond"/>
          <w:sz w:val="20"/>
          <w:szCs w:val="20"/>
          <w:lang w:val="en-GB"/>
        </w:rPr>
        <w:footnoteRef/>
      </w:r>
      <w:r w:rsidRPr="002B4C20">
        <w:rPr>
          <w:rFonts w:ascii="Garamond" w:hAnsi="Garamond"/>
          <w:sz w:val="20"/>
          <w:szCs w:val="20"/>
          <w:lang w:val="en-GB"/>
        </w:rPr>
        <w:t xml:space="preserve"> Attunda Tingsrätt, </w:t>
      </w:r>
      <w:r w:rsidRPr="002B4C20">
        <w:rPr>
          <w:rFonts w:ascii="Garamond" w:hAnsi="Garamond"/>
          <w:i/>
          <w:sz w:val="20"/>
          <w:szCs w:val="20"/>
          <w:lang w:val="en-GB"/>
        </w:rPr>
        <w:t>Jonsson v Les Éditions de l’Avenir SA</w:t>
      </w:r>
      <w:r w:rsidRPr="002B4C20">
        <w:rPr>
          <w:rFonts w:ascii="Garamond" w:hAnsi="Garamond"/>
          <w:sz w:val="20"/>
          <w:szCs w:val="20"/>
          <w:lang w:val="en-GB"/>
        </w:rPr>
        <w:t>, FT 11052-15, 13.1</w:t>
      </w:r>
      <w:r>
        <w:rPr>
          <w:rFonts w:ascii="Garamond" w:hAnsi="Garamond"/>
          <w:sz w:val="20"/>
          <w:szCs w:val="20"/>
          <w:lang w:val="en-GB"/>
        </w:rPr>
        <w:t xml:space="preserve">0.2016, on which see Malovic and </w:t>
      </w:r>
      <w:r w:rsidRPr="002B4C20">
        <w:rPr>
          <w:rFonts w:ascii="Garamond" w:hAnsi="Garamond"/>
          <w:sz w:val="20"/>
          <w:szCs w:val="20"/>
          <w:lang w:val="en-GB"/>
        </w:rPr>
        <w:t>Haddad (2017)</w:t>
      </w:r>
      <w:r>
        <w:rPr>
          <w:rFonts w:ascii="Garamond" w:hAnsi="Garamond"/>
          <w:bCs/>
          <w:sz w:val="20"/>
          <w:szCs w:val="20"/>
          <w:lang w:val="en-GB"/>
        </w:rPr>
        <w:t>, p. 89-90</w:t>
      </w:r>
      <w:r w:rsidRPr="002B4C20">
        <w:rPr>
          <w:rFonts w:ascii="Garamond" w:hAnsi="Garamond"/>
          <w:bCs/>
          <w:sz w:val="20"/>
          <w:szCs w:val="20"/>
          <w:lang w:val="en-GB"/>
        </w:rPr>
        <w:t>.</w:t>
      </w:r>
    </w:p>
  </w:footnote>
  <w:footnote w:id="56">
    <w:p w14:paraId="1B9FF0EE" w14:textId="3078DB79" w:rsidR="00766E2C" w:rsidRPr="002B4C20" w:rsidRDefault="00766E2C" w:rsidP="004F24CD">
      <w:pPr>
        <w:spacing w:after="200" w:line="360" w:lineRule="auto"/>
        <w:jc w:val="both"/>
        <w:rPr>
          <w:rFonts w:ascii="Garamond" w:eastAsia="Times New Roman" w:hAnsi="Garamond"/>
          <w:bCs/>
          <w:sz w:val="20"/>
          <w:szCs w:val="20"/>
          <w:shd w:val="clear" w:color="auto" w:fill="FEFDFA"/>
          <w:lang w:val="en-GB"/>
        </w:rPr>
      </w:pPr>
      <w:r w:rsidRPr="002B4C20">
        <w:rPr>
          <w:rStyle w:val="FootnoteReference"/>
          <w:rFonts w:ascii="Garamond" w:hAnsi="Garamond"/>
          <w:sz w:val="20"/>
          <w:szCs w:val="20"/>
          <w:lang w:val="en-GB"/>
        </w:rPr>
        <w:footnoteRef/>
      </w:r>
      <w:r w:rsidRPr="002B4C20">
        <w:rPr>
          <w:rFonts w:ascii="Garamond" w:hAnsi="Garamond"/>
          <w:sz w:val="20"/>
          <w:szCs w:val="20"/>
          <w:lang w:val="en-GB"/>
        </w:rPr>
        <w:t xml:space="preserve"> LG Hamburg, </w:t>
      </w:r>
      <w:r w:rsidRPr="002B4C20">
        <w:rPr>
          <w:rFonts w:ascii="Garamond" w:eastAsia="Times New Roman" w:hAnsi="Garamond"/>
          <w:sz w:val="20"/>
          <w:szCs w:val="20"/>
          <w:shd w:val="clear" w:color="auto" w:fill="FFFFFF"/>
          <w:lang w:val="en-GB"/>
        </w:rPr>
        <w:t>310 O 402/16, on which see Brü</w:t>
      </w:r>
      <w:r w:rsidRPr="002B4C20">
        <w:rPr>
          <w:rFonts w:ascii="Garamond" w:eastAsia="Times New Roman" w:hAnsi="Garamond"/>
          <w:sz w:val="20"/>
          <w:szCs w:val="20"/>
          <w:shd w:val="clear" w:color="auto" w:fill="FEFDFA"/>
          <w:lang w:val="en-GB"/>
        </w:rPr>
        <w:t xml:space="preserve">ß (2016) </w:t>
      </w:r>
      <w:r>
        <w:rPr>
          <w:rFonts w:ascii="Garamond" w:eastAsia="Times New Roman" w:hAnsi="Garamond"/>
          <w:bCs/>
          <w:sz w:val="20"/>
          <w:szCs w:val="20"/>
          <w:shd w:val="clear" w:color="auto" w:fill="FEFDFA"/>
          <w:lang w:val="en-GB"/>
        </w:rPr>
        <w:t xml:space="preserve">and </w:t>
      </w:r>
      <w:r>
        <w:rPr>
          <w:rFonts w:ascii="Garamond" w:eastAsia="Times New Roman" w:hAnsi="Garamond"/>
          <w:sz w:val="20"/>
          <w:szCs w:val="20"/>
          <w:shd w:val="clear" w:color="auto" w:fill="FFFFFF"/>
          <w:lang w:val="en-GB"/>
        </w:rPr>
        <w:t>Abrar</w:t>
      </w:r>
      <w:r w:rsidRPr="002B4C20">
        <w:rPr>
          <w:rFonts w:ascii="Garamond" w:eastAsia="Times New Roman" w:hAnsi="Garamond"/>
          <w:sz w:val="20"/>
          <w:szCs w:val="20"/>
          <w:shd w:val="clear" w:color="auto" w:fill="FFFFFF"/>
          <w:lang w:val="en-GB"/>
        </w:rPr>
        <w:t xml:space="preserve"> (2016). </w:t>
      </w:r>
    </w:p>
  </w:footnote>
  <w:footnote w:id="57">
    <w:p w14:paraId="61EAA5FD" w14:textId="44BB0CF7" w:rsidR="00766E2C" w:rsidRPr="00B47A77" w:rsidRDefault="00766E2C" w:rsidP="004F24CD">
      <w:pPr>
        <w:spacing w:after="200" w:line="360" w:lineRule="auto"/>
        <w:jc w:val="both"/>
        <w:rPr>
          <w:rFonts w:ascii="Garamond" w:eastAsia="Times New Roman" w:hAnsi="Garamond" w:cs="Times New Roman"/>
          <w:sz w:val="20"/>
          <w:szCs w:val="20"/>
          <w:lang w:val="it-IT"/>
        </w:rPr>
      </w:pPr>
      <w:r w:rsidRPr="002B4C20">
        <w:rPr>
          <w:rStyle w:val="FootnoteReference"/>
          <w:rFonts w:ascii="Garamond" w:hAnsi="Garamond"/>
          <w:sz w:val="20"/>
          <w:szCs w:val="20"/>
          <w:lang w:val="en-GB"/>
        </w:rPr>
        <w:footnoteRef/>
      </w:r>
      <w:r w:rsidRPr="002B4C20">
        <w:rPr>
          <w:rFonts w:ascii="Garamond" w:hAnsi="Garamond"/>
          <w:sz w:val="20"/>
          <w:szCs w:val="20"/>
          <w:lang w:val="en-GB"/>
        </w:rPr>
        <w:t xml:space="preserve"> District Court for Prague 4, </w:t>
      </w:r>
      <w:r w:rsidRPr="002B4C20">
        <w:rPr>
          <w:rFonts w:ascii="Garamond" w:eastAsia="Times New Roman" w:hAnsi="Garamond" w:cs="Times New Roman"/>
          <w:sz w:val="20"/>
          <w:szCs w:val="20"/>
          <w:lang w:val="en-GB"/>
        </w:rPr>
        <w:t xml:space="preserve">33 </w:t>
      </w:r>
      <w:r>
        <w:rPr>
          <w:rFonts w:ascii="Garamond" w:eastAsia="Times New Roman" w:hAnsi="Garamond" w:cs="Times New Roman"/>
          <w:sz w:val="20"/>
          <w:szCs w:val="20"/>
          <w:lang w:val="en-GB"/>
        </w:rPr>
        <w:t>T 54/2016, on which see Vivoda</w:t>
      </w:r>
      <w:r w:rsidRPr="002B4C20">
        <w:rPr>
          <w:rFonts w:ascii="Garamond" w:eastAsia="Times New Roman" w:hAnsi="Garamond" w:cs="Times New Roman"/>
          <w:sz w:val="20"/>
          <w:szCs w:val="20"/>
          <w:lang w:val="en-GB"/>
        </w:rPr>
        <w:t xml:space="preserve"> (2017)</w:t>
      </w:r>
      <w:r>
        <w:rPr>
          <w:rFonts w:ascii="Garamond" w:eastAsia="Times New Roman" w:hAnsi="Garamond" w:cs="Times New Roman"/>
          <w:sz w:val="20"/>
          <w:szCs w:val="20"/>
          <w:lang w:val="en-GB"/>
        </w:rPr>
        <w:t>, p. 363-364.</w:t>
      </w:r>
    </w:p>
  </w:footnote>
  <w:footnote w:id="58">
    <w:p w14:paraId="01EEB85A" w14:textId="77777777" w:rsidR="00766E2C" w:rsidRPr="002B4C20" w:rsidRDefault="00766E2C" w:rsidP="004F24CD">
      <w:pPr>
        <w:spacing w:after="200" w:line="360" w:lineRule="auto"/>
        <w:jc w:val="both"/>
        <w:rPr>
          <w:rFonts w:ascii="Garamond" w:hAnsi="Garamond"/>
          <w:bCs/>
          <w:sz w:val="20"/>
          <w:szCs w:val="20"/>
          <w:lang w:val="en-GB"/>
        </w:rPr>
      </w:pPr>
      <w:r w:rsidRPr="002B4C20">
        <w:rPr>
          <w:rStyle w:val="FootnoteReference"/>
          <w:rFonts w:ascii="Garamond" w:hAnsi="Garamond"/>
          <w:sz w:val="20"/>
          <w:szCs w:val="20"/>
          <w:lang w:val="en-GB"/>
        </w:rPr>
        <w:footnoteRef/>
      </w:r>
      <w:r w:rsidRPr="002B4C20">
        <w:rPr>
          <w:rFonts w:ascii="Garamond" w:hAnsi="Garamond"/>
          <w:sz w:val="20"/>
          <w:szCs w:val="20"/>
          <w:lang w:val="en-GB"/>
        </w:rPr>
        <w:t xml:space="preserve"> </w:t>
      </w:r>
      <w:r w:rsidRPr="002B4C20">
        <w:rPr>
          <w:rFonts w:ascii="Garamond" w:hAnsi="Garamond"/>
          <w:bCs/>
          <w:sz w:val="20"/>
          <w:szCs w:val="20"/>
          <w:lang w:val="en-GB"/>
        </w:rPr>
        <w:t xml:space="preserve">Bundesgerichtshof, </w:t>
      </w:r>
      <w:r w:rsidRPr="002B4C20">
        <w:rPr>
          <w:rFonts w:ascii="Garamond" w:eastAsia="Times New Roman" w:hAnsi="Garamond"/>
          <w:sz w:val="20"/>
          <w:szCs w:val="20"/>
          <w:shd w:val="clear" w:color="auto" w:fill="FFFFFF"/>
          <w:lang w:val="en-GB"/>
        </w:rPr>
        <w:t xml:space="preserve">I ZR 11/16 - </w:t>
      </w:r>
      <w:r w:rsidRPr="002B4C20">
        <w:rPr>
          <w:rFonts w:ascii="Garamond" w:eastAsia="Times New Roman" w:hAnsi="Garamond"/>
          <w:i/>
          <w:sz w:val="20"/>
          <w:szCs w:val="20"/>
          <w:shd w:val="clear" w:color="auto" w:fill="FFFFFF"/>
          <w:lang w:val="en-GB"/>
        </w:rPr>
        <w:t>Preview III</w:t>
      </w:r>
      <w:r w:rsidRPr="002B4C20">
        <w:rPr>
          <w:rFonts w:ascii="Garamond" w:eastAsia="Times New Roman" w:hAnsi="Garamond"/>
          <w:sz w:val="20"/>
          <w:szCs w:val="20"/>
          <w:shd w:val="clear" w:color="auto" w:fill="FFFFFF"/>
          <w:lang w:val="en-GB"/>
        </w:rPr>
        <w:t>.</w:t>
      </w:r>
    </w:p>
  </w:footnote>
  <w:footnote w:id="59">
    <w:p w14:paraId="3E22F537" w14:textId="77777777" w:rsidR="00766E2C" w:rsidRPr="002B4C20" w:rsidRDefault="00766E2C" w:rsidP="004F24CD">
      <w:pPr>
        <w:spacing w:after="200" w:line="360" w:lineRule="auto"/>
        <w:jc w:val="both"/>
        <w:rPr>
          <w:rFonts w:ascii="Garamond" w:eastAsia="Times New Roman" w:hAnsi="Garamond"/>
          <w:sz w:val="20"/>
          <w:szCs w:val="20"/>
          <w:shd w:val="clear" w:color="auto" w:fill="FFFFFF"/>
          <w:lang w:val="en-GB"/>
        </w:rPr>
      </w:pPr>
      <w:r w:rsidRPr="002B4C20">
        <w:rPr>
          <w:rStyle w:val="FootnoteReference"/>
          <w:rFonts w:ascii="Garamond" w:hAnsi="Garamond"/>
          <w:sz w:val="20"/>
          <w:szCs w:val="20"/>
          <w:lang w:val="en-GB"/>
        </w:rPr>
        <w:footnoteRef/>
      </w:r>
      <w:r w:rsidRPr="002B4C20">
        <w:rPr>
          <w:rFonts w:ascii="Garamond" w:hAnsi="Garamond"/>
          <w:sz w:val="20"/>
          <w:szCs w:val="20"/>
          <w:lang w:val="en-GB"/>
        </w:rPr>
        <w:t xml:space="preserve"> </w:t>
      </w:r>
      <w:r w:rsidRPr="002B4C20">
        <w:rPr>
          <w:rFonts w:ascii="Garamond" w:eastAsia="Times New Roman" w:hAnsi="Garamond"/>
          <w:sz w:val="20"/>
          <w:szCs w:val="20"/>
          <w:shd w:val="clear" w:color="auto" w:fill="FFFFFF"/>
          <w:lang w:val="en-GB"/>
        </w:rPr>
        <w:t>LG Hamburg, 308 O 151/17.</w:t>
      </w:r>
    </w:p>
  </w:footnote>
  <w:footnote w:id="60">
    <w:p w14:paraId="5E261260" w14:textId="77777777" w:rsidR="00766E2C" w:rsidRPr="002B4C20" w:rsidRDefault="00766E2C" w:rsidP="004F24CD">
      <w:pPr>
        <w:spacing w:after="200" w:line="360" w:lineRule="auto"/>
        <w:jc w:val="both"/>
        <w:rPr>
          <w:rFonts w:ascii="Garamond" w:hAnsi="Garamond"/>
          <w:b/>
          <w:sz w:val="20"/>
          <w:szCs w:val="20"/>
          <w:lang w:val="en-GB"/>
        </w:rPr>
      </w:pPr>
      <w:r w:rsidRPr="002B4C20">
        <w:rPr>
          <w:rStyle w:val="FootnoteReference"/>
          <w:rFonts w:ascii="Garamond" w:hAnsi="Garamond"/>
          <w:sz w:val="20"/>
          <w:szCs w:val="20"/>
          <w:lang w:val="en-GB"/>
        </w:rPr>
        <w:footnoteRef/>
      </w:r>
      <w:r w:rsidRPr="002B4C20">
        <w:rPr>
          <w:rFonts w:ascii="Garamond" w:hAnsi="Garamond"/>
          <w:sz w:val="20"/>
          <w:szCs w:val="20"/>
          <w:lang w:val="en-GB"/>
        </w:rPr>
        <w:t xml:space="preserve"> Opinion of Advocate General Maciej Szpunar in </w:t>
      </w:r>
      <w:r w:rsidRPr="002B4C20">
        <w:rPr>
          <w:rFonts w:ascii="Garamond" w:hAnsi="Garamond" w:cs="Lucida Grande"/>
          <w:i/>
          <w:color w:val="000000" w:themeColor="text1"/>
          <w:sz w:val="20"/>
          <w:szCs w:val="20"/>
          <w:lang w:val="en-GB"/>
        </w:rPr>
        <w:t>Stichting Brein</w:t>
      </w:r>
      <w:r w:rsidRPr="002B4C20">
        <w:rPr>
          <w:rFonts w:ascii="Garamond" w:hAnsi="Garamond" w:cs="Lucida Grande"/>
          <w:color w:val="000000" w:themeColor="text1"/>
          <w:sz w:val="20"/>
          <w:szCs w:val="20"/>
          <w:lang w:val="en-GB"/>
        </w:rPr>
        <w:t>, C-610/15</w:t>
      </w:r>
      <w:r w:rsidRPr="002B4C20">
        <w:rPr>
          <w:rFonts w:ascii="Garamond" w:hAnsi="Garamond" w:cs="Times New Roman"/>
          <w:color w:val="000000" w:themeColor="text1"/>
          <w:sz w:val="20"/>
          <w:szCs w:val="20"/>
          <w:lang w:val="en-GB"/>
        </w:rPr>
        <w:t xml:space="preserve">, </w:t>
      </w:r>
      <w:r w:rsidRPr="002B4C20">
        <w:rPr>
          <w:rFonts w:ascii="Garamond" w:hAnsi="Garamond" w:cs="Times New Roman"/>
          <w:bCs/>
          <w:color w:val="000000" w:themeColor="text1"/>
          <w:sz w:val="20"/>
          <w:szCs w:val="20"/>
          <w:lang w:val="en-GB"/>
        </w:rPr>
        <w:t>EU:C:2017:99.</w:t>
      </w:r>
    </w:p>
  </w:footnote>
  <w:footnote w:id="61">
    <w:p w14:paraId="7889F974" w14:textId="77777777" w:rsidR="00766E2C" w:rsidRPr="002B4C20" w:rsidRDefault="00766E2C" w:rsidP="004F24CD">
      <w:pPr>
        <w:spacing w:after="200" w:line="360" w:lineRule="auto"/>
        <w:jc w:val="both"/>
        <w:rPr>
          <w:rFonts w:ascii="Garamond" w:eastAsia="Times New Roman" w:hAnsi="Garamond" w:cs="Times New Roman"/>
          <w:sz w:val="20"/>
          <w:szCs w:val="20"/>
          <w:shd w:val="clear" w:color="auto" w:fill="FFFFFF"/>
          <w:lang w:val="en-GB"/>
        </w:rPr>
      </w:pPr>
      <w:r w:rsidRPr="002B4C20">
        <w:rPr>
          <w:rStyle w:val="FootnoteReference"/>
          <w:rFonts w:ascii="Garamond" w:hAnsi="Garamond"/>
          <w:sz w:val="20"/>
          <w:szCs w:val="20"/>
          <w:lang w:val="en-GB"/>
        </w:rPr>
        <w:footnoteRef/>
      </w:r>
      <w:r w:rsidRPr="002B4C20">
        <w:rPr>
          <w:rFonts w:ascii="Garamond" w:hAnsi="Garamond"/>
          <w:sz w:val="20"/>
          <w:szCs w:val="20"/>
          <w:lang w:val="en-GB"/>
        </w:rPr>
        <w:t xml:space="preserve"> </w:t>
      </w:r>
      <w:r w:rsidRPr="002B4C20">
        <w:rPr>
          <w:rFonts w:ascii="Garamond" w:eastAsia="Times New Roman" w:hAnsi="Garamond" w:cs="Times New Roman"/>
          <w:sz w:val="20"/>
          <w:szCs w:val="20"/>
          <w:shd w:val="clear" w:color="auto" w:fill="FFFFFF"/>
          <w:lang w:val="en-GB"/>
        </w:rPr>
        <w:t>LG Hamburg, 310 O 117/17.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721"/>
    <w:rsid w:val="00141FD6"/>
    <w:rsid w:val="001B16BD"/>
    <w:rsid w:val="001B6E90"/>
    <w:rsid w:val="002B4C20"/>
    <w:rsid w:val="003A5A47"/>
    <w:rsid w:val="004D63F5"/>
    <w:rsid w:val="004F24CD"/>
    <w:rsid w:val="00595351"/>
    <w:rsid w:val="005964F1"/>
    <w:rsid w:val="006804BC"/>
    <w:rsid w:val="006D4CF5"/>
    <w:rsid w:val="00766E2C"/>
    <w:rsid w:val="007B2713"/>
    <w:rsid w:val="008758BE"/>
    <w:rsid w:val="0092083F"/>
    <w:rsid w:val="00A0758A"/>
    <w:rsid w:val="00A16D36"/>
    <w:rsid w:val="00A8349F"/>
    <w:rsid w:val="00A87249"/>
    <w:rsid w:val="00AC2BBB"/>
    <w:rsid w:val="00B47A77"/>
    <w:rsid w:val="00B515C6"/>
    <w:rsid w:val="00BF08A1"/>
    <w:rsid w:val="00C0113C"/>
    <w:rsid w:val="00EB0721"/>
    <w:rsid w:val="00F7201B"/>
    <w:rsid w:val="00F87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AEA766"/>
  <w14:defaultImageDpi w14:val="300"/>
  <w15:docId w15:val="{76D80C70-E60F-4D52-AA74-861331CA4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721"/>
  </w:style>
  <w:style w:type="paragraph" w:styleId="Heading1">
    <w:name w:val="heading 1"/>
    <w:basedOn w:val="Normal"/>
    <w:next w:val="Normal"/>
    <w:link w:val="Heading1Char"/>
    <w:uiPriority w:val="9"/>
    <w:qFormat/>
    <w:rsid w:val="00EB0721"/>
    <w:pPr>
      <w:keepNext/>
      <w:keepLines/>
      <w:outlineLvl w:val="0"/>
    </w:pPr>
    <w:rPr>
      <w:rFonts w:ascii="Garamond" w:eastAsiaTheme="majorEastAsia" w:hAnsi="Garamond" w:cstheme="majorBidi"/>
      <w:b/>
      <w:bCs/>
      <w:color w:val="345A8A" w:themeColor="accent1" w:themeShade="B5"/>
      <w:sz w:val="32"/>
      <w:szCs w:val="32"/>
      <w:bdr w:val="none" w:sz="0" w:space="0" w:color="auto" w:frame="1"/>
      <w:lang w:val="en-GB"/>
    </w:rPr>
  </w:style>
  <w:style w:type="paragraph" w:styleId="Heading2">
    <w:name w:val="heading 2"/>
    <w:basedOn w:val="Normal"/>
    <w:next w:val="Normal"/>
    <w:link w:val="Heading2Char"/>
    <w:uiPriority w:val="9"/>
    <w:unhideWhenUsed/>
    <w:qFormat/>
    <w:rsid w:val="00AC2B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B47A7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721"/>
    <w:rPr>
      <w:rFonts w:ascii="Garamond" w:eastAsiaTheme="majorEastAsia" w:hAnsi="Garamond" w:cstheme="majorBidi"/>
      <w:b/>
      <w:bCs/>
      <w:color w:val="345A8A" w:themeColor="accent1" w:themeShade="B5"/>
      <w:sz w:val="32"/>
      <w:szCs w:val="32"/>
      <w:bdr w:val="none" w:sz="0" w:space="0" w:color="auto" w:frame="1"/>
      <w:lang w:val="en-GB"/>
    </w:rPr>
  </w:style>
  <w:style w:type="paragraph" w:styleId="FootnoteText">
    <w:name w:val="footnote text"/>
    <w:basedOn w:val="Normal"/>
    <w:link w:val="FootnoteTextChar"/>
    <w:uiPriority w:val="99"/>
    <w:unhideWhenUsed/>
    <w:rsid w:val="00EB0721"/>
  </w:style>
  <w:style w:type="character" w:customStyle="1" w:styleId="FootnoteTextChar">
    <w:name w:val="Footnote Text Char"/>
    <w:basedOn w:val="DefaultParagraphFont"/>
    <w:link w:val="FootnoteText"/>
    <w:uiPriority w:val="99"/>
    <w:rsid w:val="00EB0721"/>
  </w:style>
  <w:style w:type="character" w:styleId="FootnoteReference">
    <w:name w:val="footnote reference"/>
    <w:basedOn w:val="DefaultParagraphFont"/>
    <w:uiPriority w:val="99"/>
    <w:unhideWhenUsed/>
    <w:rsid w:val="00EB0721"/>
    <w:rPr>
      <w:vertAlign w:val="superscript"/>
    </w:rPr>
  </w:style>
  <w:style w:type="paragraph" w:styleId="NormalWeb">
    <w:name w:val="Normal (Web)"/>
    <w:basedOn w:val="Normal"/>
    <w:uiPriority w:val="99"/>
    <w:unhideWhenUsed/>
    <w:rsid w:val="00EB0721"/>
    <w:pPr>
      <w:spacing w:before="100" w:beforeAutospacing="1" w:after="100" w:afterAutospacing="1"/>
    </w:pPr>
    <w:rPr>
      <w:rFonts w:ascii="Times New Roman" w:hAnsi="Times New Roman" w:cs="Times New Roman"/>
      <w:sz w:val="20"/>
      <w:szCs w:val="20"/>
      <w:lang w:val="it-IT"/>
    </w:rPr>
  </w:style>
  <w:style w:type="character" w:styleId="Strong">
    <w:name w:val="Strong"/>
    <w:basedOn w:val="DefaultParagraphFont"/>
    <w:uiPriority w:val="22"/>
    <w:qFormat/>
    <w:rsid w:val="00EB0721"/>
    <w:rPr>
      <w:b/>
      <w:bCs/>
    </w:rPr>
  </w:style>
  <w:style w:type="character" w:styleId="Emphasis">
    <w:name w:val="Emphasis"/>
    <w:basedOn w:val="DefaultParagraphFont"/>
    <w:uiPriority w:val="20"/>
    <w:qFormat/>
    <w:rsid w:val="00EB0721"/>
    <w:rPr>
      <w:i/>
      <w:iCs/>
    </w:rPr>
  </w:style>
  <w:style w:type="paragraph" w:styleId="Caption">
    <w:name w:val="caption"/>
    <w:basedOn w:val="Normal"/>
    <w:next w:val="Normal"/>
    <w:uiPriority w:val="35"/>
    <w:unhideWhenUsed/>
    <w:qFormat/>
    <w:rsid w:val="00EB0721"/>
    <w:pPr>
      <w:spacing w:after="200"/>
    </w:pPr>
    <w:rPr>
      <w:b/>
      <w:bCs/>
      <w:color w:val="4F81BD" w:themeColor="accent1"/>
      <w:sz w:val="18"/>
      <w:szCs w:val="18"/>
    </w:rPr>
  </w:style>
  <w:style w:type="table" w:styleId="TableGrid">
    <w:name w:val="Table Grid"/>
    <w:basedOn w:val="TableNormal"/>
    <w:uiPriority w:val="59"/>
    <w:rsid w:val="00EB0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EB0721"/>
    <w:rPr>
      <w:rFonts w:ascii="Lucida Grande" w:hAnsi="Lucida Grande" w:cs="Lucida Grande"/>
    </w:rPr>
  </w:style>
  <w:style w:type="character" w:customStyle="1" w:styleId="DocumentMapChar">
    <w:name w:val="Document Map Char"/>
    <w:basedOn w:val="DefaultParagraphFont"/>
    <w:link w:val="DocumentMap"/>
    <w:uiPriority w:val="99"/>
    <w:semiHidden/>
    <w:rsid w:val="00EB0721"/>
    <w:rPr>
      <w:rFonts w:ascii="Lucida Grande" w:hAnsi="Lucida Grande" w:cs="Lucida Grande"/>
    </w:rPr>
  </w:style>
  <w:style w:type="paragraph" w:styleId="BalloonText">
    <w:name w:val="Balloon Text"/>
    <w:basedOn w:val="Normal"/>
    <w:link w:val="BalloonTextChar"/>
    <w:uiPriority w:val="99"/>
    <w:semiHidden/>
    <w:unhideWhenUsed/>
    <w:rsid w:val="00EB07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0721"/>
    <w:rPr>
      <w:rFonts w:ascii="Lucida Grande" w:hAnsi="Lucida Grande" w:cs="Lucida Grande"/>
      <w:sz w:val="18"/>
      <w:szCs w:val="18"/>
    </w:rPr>
  </w:style>
  <w:style w:type="paragraph" w:styleId="TOC1">
    <w:name w:val="toc 1"/>
    <w:basedOn w:val="Normal"/>
    <w:next w:val="Normal"/>
    <w:autoRedefine/>
    <w:uiPriority w:val="39"/>
    <w:unhideWhenUsed/>
    <w:rsid w:val="00EB0721"/>
  </w:style>
  <w:style w:type="paragraph" w:styleId="TOC2">
    <w:name w:val="toc 2"/>
    <w:basedOn w:val="Normal"/>
    <w:next w:val="Normal"/>
    <w:autoRedefine/>
    <w:uiPriority w:val="39"/>
    <w:unhideWhenUsed/>
    <w:rsid w:val="00EB0721"/>
    <w:pPr>
      <w:ind w:left="240"/>
    </w:pPr>
  </w:style>
  <w:style w:type="paragraph" w:styleId="TOC3">
    <w:name w:val="toc 3"/>
    <w:basedOn w:val="Normal"/>
    <w:next w:val="Normal"/>
    <w:autoRedefine/>
    <w:uiPriority w:val="39"/>
    <w:unhideWhenUsed/>
    <w:rsid w:val="00EB0721"/>
    <w:pPr>
      <w:ind w:left="480"/>
    </w:pPr>
  </w:style>
  <w:style w:type="paragraph" w:styleId="TOC4">
    <w:name w:val="toc 4"/>
    <w:basedOn w:val="Normal"/>
    <w:next w:val="Normal"/>
    <w:autoRedefine/>
    <w:uiPriority w:val="39"/>
    <w:unhideWhenUsed/>
    <w:rsid w:val="00EB0721"/>
    <w:pPr>
      <w:ind w:left="720"/>
    </w:pPr>
  </w:style>
  <w:style w:type="paragraph" w:styleId="TOC5">
    <w:name w:val="toc 5"/>
    <w:basedOn w:val="Normal"/>
    <w:next w:val="Normal"/>
    <w:autoRedefine/>
    <w:uiPriority w:val="39"/>
    <w:unhideWhenUsed/>
    <w:rsid w:val="00EB0721"/>
    <w:pPr>
      <w:ind w:left="960"/>
    </w:pPr>
  </w:style>
  <w:style w:type="paragraph" w:styleId="TOC6">
    <w:name w:val="toc 6"/>
    <w:basedOn w:val="Normal"/>
    <w:next w:val="Normal"/>
    <w:autoRedefine/>
    <w:uiPriority w:val="39"/>
    <w:unhideWhenUsed/>
    <w:rsid w:val="00EB0721"/>
    <w:pPr>
      <w:ind w:left="1200"/>
    </w:pPr>
  </w:style>
  <w:style w:type="paragraph" w:styleId="TOC7">
    <w:name w:val="toc 7"/>
    <w:basedOn w:val="Normal"/>
    <w:next w:val="Normal"/>
    <w:autoRedefine/>
    <w:uiPriority w:val="39"/>
    <w:unhideWhenUsed/>
    <w:rsid w:val="00EB0721"/>
    <w:pPr>
      <w:ind w:left="1440"/>
    </w:pPr>
  </w:style>
  <w:style w:type="paragraph" w:styleId="TOC8">
    <w:name w:val="toc 8"/>
    <w:basedOn w:val="Normal"/>
    <w:next w:val="Normal"/>
    <w:autoRedefine/>
    <w:uiPriority w:val="39"/>
    <w:unhideWhenUsed/>
    <w:rsid w:val="00EB0721"/>
    <w:pPr>
      <w:ind w:left="1680"/>
    </w:pPr>
  </w:style>
  <w:style w:type="paragraph" w:styleId="TOC9">
    <w:name w:val="toc 9"/>
    <w:basedOn w:val="Normal"/>
    <w:next w:val="Normal"/>
    <w:autoRedefine/>
    <w:uiPriority w:val="39"/>
    <w:unhideWhenUsed/>
    <w:rsid w:val="00EB0721"/>
    <w:pPr>
      <w:ind w:left="1920"/>
    </w:pPr>
  </w:style>
  <w:style w:type="character" w:customStyle="1" w:styleId="Heading2Char">
    <w:name w:val="Heading 2 Char"/>
    <w:basedOn w:val="DefaultParagraphFont"/>
    <w:link w:val="Heading2"/>
    <w:uiPriority w:val="9"/>
    <w:rsid w:val="00AC2BBB"/>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F7201B"/>
    <w:pPr>
      <w:tabs>
        <w:tab w:val="center" w:pos="4819"/>
        <w:tab w:val="right" w:pos="9638"/>
      </w:tabs>
    </w:pPr>
  </w:style>
  <w:style w:type="character" w:customStyle="1" w:styleId="FooterChar">
    <w:name w:val="Footer Char"/>
    <w:basedOn w:val="DefaultParagraphFont"/>
    <w:link w:val="Footer"/>
    <w:uiPriority w:val="99"/>
    <w:rsid w:val="00F7201B"/>
  </w:style>
  <w:style w:type="character" w:styleId="PageNumber">
    <w:name w:val="page number"/>
    <w:basedOn w:val="DefaultParagraphFont"/>
    <w:uiPriority w:val="99"/>
    <w:semiHidden/>
    <w:unhideWhenUsed/>
    <w:rsid w:val="00F7201B"/>
  </w:style>
  <w:style w:type="paragraph" w:styleId="Header">
    <w:name w:val="header"/>
    <w:basedOn w:val="Normal"/>
    <w:link w:val="HeaderChar"/>
    <w:uiPriority w:val="99"/>
    <w:unhideWhenUsed/>
    <w:rsid w:val="00F7201B"/>
    <w:pPr>
      <w:tabs>
        <w:tab w:val="center" w:pos="4819"/>
        <w:tab w:val="right" w:pos="9638"/>
      </w:tabs>
    </w:pPr>
  </w:style>
  <w:style w:type="character" w:customStyle="1" w:styleId="HeaderChar">
    <w:name w:val="Header Char"/>
    <w:basedOn w:val="DefaultParagraphFont"/>
    <w:link w:val="Header"/>
    <w:uiPriority w:val="99"/>
    <w:rsid w:val="00F7201B"/>
  </w:style>
  <w:style w:type="character" w:customStyle="1" w:styleId="Heading4Char">
    <w:name w:val="Heading 4 Char"/>
    <w:basedOn w:val="DefaultParagraphFont"/>
    <w:link w:val="Heading4"/>
    <w:uiPriority w:val="9"/>
    <w:semiHidden/>
    <w:rsid w:val="00B47A77"/>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B47A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73921">
      <w:bodyDiv w:val="1"/>
      <w:marLeft w:val="0"/>
      <w:marRight w:val="0"/>
      <w:marTop w:val="0"/>
      <w:marBottom w:val="0"/>
      <w:divBdr>
        <w:top w:val="none" w:sz="0" w:space="0" w:color="auto"/>
        <w:left w:val="none" w:sz="0" w:space="0" w:color="auto"/>
        <w:bottom w:val="none" w:sz="0" w:space="0" w:color="auto"/>
        <w:right w:val="none" w:sz="0" w:space="0" w:color="auto"/>
      </w:divBdr>
    </w:div>
    <w:div w:id="287901693">
      <w:bodyDiv w:val="1"/>
      <w:marLeft w:val="0"/>
      <w:marRight w:val="0"/>
      <w:marTop w:val="0"/>
      <w:marBottom w:val="0"/>
      <w:divBdr>
        <w:top w:val="none" w:sz="0" w:space="0" w:color="auto"/>
        <w:left w:val="none" w:sz="0" w:space="0" w:color="auto"/>
        <w:bottom w:val="none" w:sz="0" w:space="0" w:color="auto"/>
        <w:right w:val="none" w:sz="0" w:space="0" w:color="auto"/>
      </w:divBdr>
    </w:div>
    <w:div w:id="675233204">
      <w:bodyDiv w:val="1"/>
      <w:marLeft w:val="0"/>
      <w:marRight w:val="0"/>
      <w:marTop w:val="0"/>
      <w:marBottom w:val="0"/>
      <w:divBdr>
        <w:top w:val="none" w:sz="0" w:space="0" w:color="auto"/>
        <w:left w:val="none" w:sz="0" w:space="0" w:color="auto"/>
        <w:bottom w:val="none" w:sz="0" w:space="0" w:color="auto"/>
        <w:right w:val="none" w:sz="0" w:space="0" w:color="auto"/>
      </w:divBdr>
    </w:div>
    <w:div w:id="886992968">
      <w:bodyDiv w:val="1"/>
      <w:marLeft w:val="0"/>
      <w:marRight w:val="0"/>
      <w:marTop w:val="0"/>
      <w:marBottom w:val="0"/>
      <w:divBdr>
        <w:top w:val="none" w:sz="0" w:space="0" w:color="auto"/>
        <w:left w:val="none" w:sz="0" w:space="0" w:color="auto"/>
        <w:bottom w:val="none" w:sz="0" w:space="0" w:color="auto"/>
        <w:right w:val="none" w:sz="0" w:space="0" w:color="auto"/>
      </w:divBdr>
    </w:div>
    <w:div w:id="12381279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6712</Words>
  <Characters>38259</Characters>
  <Application>Microsoft Office Word</Application>
  <DocSecurity>4</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Rosati</dc:creator>
  <cp:keywords/>
  <dc:description/>
  <cp:lastModifiedBy>Tugwell F.</cp:lastModifiedBy>
  <cp:revision>2</cp:revision>
  <dcterms:created xsi:type="dcterms:W3CDTF">2018-08-22T12:46:00Z</dcterms:created>
  <dcterms:modified xsi:type="dcterms:W3CDTF">2018-08-22T12:46:00Z</dcterms:modified>
</cp:coreProperties>
</file>