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11CDA" w14:textId="77777777" w:rsidR="00511217" w:rsidRPr="005307FE" w:rsidRDefault="00511217" w:rsidP="00511217">
      <w:pPr>
        <w:adjustRightInd w:val="0"/>
        <w:snapToGrid w:val="0"/>
        <w:spacing w:line="480" w:lineRule="auto"/>
        <w:jc w:val="left"/>
        <w:rPr>
          <w:rFonts w:asciiTheme="majorHAnsi" w:eastAsia="MS PGothic" w:hAnsiTheme="majorHAnsi" w:cstheme="majorHAnsi"/>
          <w:b/>
          <w:sz w:val="24"/>
          <w:szCs w:val="24"/>
        </w:rPr>
      </w:pPr>
      <w:bookmarkStart w:id="0" w:name="_GoBack"/>
      <w:bookmarkEnd w:id="0"/>
      <w:r w:rsidRPr="005307FE">
        <w:rPr>
          <w:rFonts w:asciiTheme="majorHAnsi" w:eastAsia="MS PGothic" w:hAnsiTheme="majorHAnsi" w:cstheme="majorHAnsi"/>
          <w:b/>
          <w:sz w:val="24"/>
          <w:szCs w:val="24"/>
        </w:rPr>
        <w:t>The impact of lumbar spinal stenosis, knee osteoarthritis and loss of lumbar lordosis on quality of life: findings from the Katsuragi Low Back Pain Study</w:t>
      </w:r>
    </w:p>
    <w:p w14:paraId="31ACDE71" w14:textId="77777777" w:rsidR="00511217" w:rsidRPr="005307FE" w:rsidRDefault="00511217" w:rsidP="00511217">
      <w:pPr>
        <w:adjustRightInd w:val="0"/>
        <w:snapToGrid w:val="0"/>
        <w:spacing w:line="480" w:lineRule="auto"/>
        <w:jc w:val="left"/>
        <w:rPr>
          <w:rFonts w:asciiTheme="majorHAnsi" w:eastAsia="MS PGothic" w:hAnsiTheme="majorHAnsi" w:cstheme="majorHAnsi"/>
          <w:b/>
          <w:sz w:val="24"/>
          <w:szCs w:val="24"/>
        </w:rPr>
      </w:pPr>
    </w:p>
    <w:p w14:paraId="4FDE69A5" w14:textId="77777777" w:rsidR="00511217" w:rsidRPr="005307FE" w:rsidRDefault="00511217" w:rsidP="00511217">
      <w:pPr>
        <w:adjustRightInd w:val="0"/>
        <w:snapToGrid w:val="0"/>
        <w:spacing w:line="480" w:lineRule="auto"/>
        <w:jc w:val="left"/>
        <w:rPr>
          <w:rFonts w:asciiTheme="majorHAnsi" w:eastAsia="MS PGothic" w:hAnsiTheme="majorHAnsi" w:cstheme="majorHAnsi"/>
          <w:sz w:val="24"/>
          <w:szCs w:val="24"/>
        </w:rPr>
      </w:pPr>
      <w:r w:rsidRPr="005307FE">
        <w:rPr>
          <w:rFonts w:asciiTheme="majorHAnsi" w:eastAsia="MS PGothic" w:hAnsiTheme="majorHAnsi" w:cstheme="majorHAnsi"/>
          <w:sz w:val="24"/>
          <w:szCs w:val="24"/>
        </w:rPr>
        <w:t>Yuyu Ishimoto</w:t>
      </w:r>
      <w:r w:rsidRPr="005307FE">
        <w:rPr>
          <w:rFonts w:asciiTheme="majorHAnsi" w:eastAsia="MS PGothic" w:hAnsiTheme="majorHAnsi" w:cstheme="majorHAnsi"/>
          <w:sz w:val="24"/>
          <w:szCs w:val="24"/>
          <w:vertAlign w:val="superscript"/>
        </w:rPr>
        <w:t>1,2</w:t>
      </w:r>
      <w:r w:rsidRPr="005307FE">
        <w:rPr>
          <w:rFonts w:asciiTheme="majorHAnsi" w:eastAsia="MS PGothic" w:hAnsiTheme="majorHAnsi" w:cstheme="majorHAnsi"/>
          <w:sz w:val="24"/>
          <w:szCs w:val="24"/>
        </w:rPr>
        <w:t>, Mamoru Kawakami</w:t>
      </w:r>
      <w:r w:rsidRPr="005307FE">
        <w:rPr>
          <w:rFonts w:asciiTheme="majorHAnsi" w:eastAsia="MS PGothic" w:hAnsiTheme="majorHAnsi" w:cstheme="majorHAnsi"/>
          <w:sz w:val="24"/>
          <w:szCs w:val="24"/>
          <w:vertAlign w:val="superscript"/>
        </w:rPr>
        <w:t>1</w:t>
      </w:r>
      <w:r w:rsidRPr="005307FE">
        <w:rPr>
          <w:rFonts w:asciiTheme="majorHAnsi" w:eastAsia="MS PGothic" w:hAnsiTheme="majorHAnsi" w:cstheme="majorHAnsi"/>
          <w:sz w:val="24"/>
          <w:szCs w:val="24"/>
        </w:rPr>
        <w:t>, Elizabeth Curtis</w:t>
      </w:r>
      <w:r w:rsidRPr="005307FE">
        <w:rPr>
          <w:rFonts w:asciiTheme="majorHAnsi" w:eastAsia="MS PGothic" w:hAnsiTheme="majorHAnsi" w:cstheme="majorHAnsi"/>
          <w:sz w:val="24"/>
          <w:szCs w:val="24"/>
          <w:vertAlign w:val="superscript"/>
        </w:rPr>
        <w:t>2,3</w:t>
      </w:r>
      <w:r w:rsidRPr="005307FE">
        <w:rPr>
          <w:rFonts w:asciiTheme="majorHAnsi" w:eastAsia="MS PGothic" w:hAnsiTheme="majorHAnsi" w:cstheme="majorHAnsi"/>
          <w:sz w:val="24"/>
          <w:szCs w:val="24"/>
        </w:rPr>
        <w:t>, Cyrus Cooper</w:t>
      </w:r>
      <w:r w:rsidRPr="005307FE">
        <w:rPr>
          <w:rFonts w:asciiTheme="majorHAnsi" w:eastAsia="MS PGothic" w:hAnsiTheme="majorHAnsi" w:cstheme="majorHAnsi"/>
          <w:sz w:val="24"/>
          <w:szCs w:val="24"/>
          <w:vertAlign w:val="superscript"/>
        </w:rPr>
        <w:t>2,3,4</w:t>
      </w:r>
      <w:r w:rsidRPr="005307FE">
        <w:rPr>
          <w:rFonts w:asciiTheme="majorHAnsi" w:eastAsia="MS PGothic" w:hAnsiTheme="majorHAnsi" w:cstheme="majorHAnsi"/>
          <w:sz w:val="24"/>
          <w:szCs w:val="24"/>
        </w:rPr>
        <w:t xml:space="preserve">, </w:t>
      </w:r>
    </w:p>
    <w:p w14:paraId="2287BB8E" w14:textId="77777777" w:rsidR="00511217" w:rsidRDefault="00511217" w:rsidP="00511217">
      <w:pPr>
        <w:adjustRightInd w:val="0"/>
        <w:snapToGrid w:val="0"/>
        <w:spacing w:line="480" w:lineRule="auto"/>
        <w:jc w:val="left"/>
        <w:rPr>
          <w:rFonts w:asciiTheme="majorHAnsi" w:eastAsia="MS PGothic" w:hAnsiTheme="majorHAnsi" w:cstheme="majorHAnsi"/>
          <w:sz w:val="24"/>
          <w:szCs w:val="24"/>
          <w:vertAlign w:val="superscript"/>
        </w:rPr>
      </w:pPr>
      <w:r w:rsidRPr="005307FE">
        <w:rPr>
          <w:rFonts w:asciiTheme="majorHAnsi" w:eastAsia="MS PGothic" w:hAnsiTheme="majorHAnsi" w:cstheme="majorHAnsi"/>
          <w:sz w:val="24"/>
          <w:szCs w:val="24"/>
        </w:rPr>
        <w:t>Nicholas C. Harvey</w:t>
      </w:r>
      <w:r w:rsidRPr="005307FE">
        <w:rPr>
          <w:rFonts w:asciiTheme="majorHAnsi" w:eastAsia="MS PGothic" w:hAnsiTheme="majorHAnsi" w:cstheme="majorHAnsi"/>
          <w:sz w:val="24"/>
          <w:szCs w:val="24"/>
          <w:vertAlign w:val="superscript"/>
        </w:rPr>
        <w:t>2,5</w:t>
      </w:r>
      <w:r w:rsidRPr="005307FE">
        <w:rPr>
          <w:rFonts w:asciiTheme="majorHAnsi" w:eastAsia="MS PGothic" w:hAnsiTheme="majorHAnsi" w:cstheme="majorHAnsi"/>
          <w:sz w:val="24"/>
          <w:szCs w:val="24"/>
        </w:rPr>
        <w:t>, Leo Westbury</w:t>
      </w:r>
      <w:r w:rsidRPr="005307FE">
        <w:rPr>
          <w:rFonts w:asciiTheme="majorHAnsi" w:eastAsia="MS PGothic" w:hAnsiTheme="majorHAnsi" w:cstheme="majorHAnsi"/>
          <w:sz w:val="24"/>
          <w:szCs w:val="24"/>
          <w:vertAlign w:val="superscript"/>
        </w:rPr>
        <w:t>2</w:t>
      </w:r>
      <w:r w:rsidRPr="005307FE">
        <w:rPr>
          <w:rFonts w:asciiTheme="majorHAnsi" w:eastAsia="MS PGothic" w:hAnsiTheme="majorHAnsi" w:cstheme="majorHAnsi"/>
          <w:sz w:val="24"/>
          <w:szCs w:val="24"/>
        </w:rPr>
        <w:t>,</w:t>
      </w:r>
      <w:r w:rsidRPr="005307FE">
        <w:rPr>
          <w:rFonts w:asciiTheme="majorHAnsi" w:eastAsia="MS PGothic" w:hAnsiTheme="majorHAnsi" w:cstheme="majorHAnsi"/>
          <w:sz w:val="24"/>
          <w:szCs w:val="24"/>
          <w:vertAlign w:val="superscript"/>
        </w:rPr>
        <w:t xml:space="preserve"> </w:t>
      </w:r>
      <w:r w:rsidRPr="005307FE">
        <w:rPr>
          <w:rFonts w:asciiTheme="majorHAnsi" w:eastAsia="MS PGothic" w:hAnsiTheme="majorHAnsi" w:cstheme="majorHAnsi"/>
          <w:sz w:val="24"/>
          <w:szCs w:val="24"/>
        </w:rPr>
        <w:t>Masatoshi Teraguchi</w:t>
      </w:r>
      <w:r w:rsidRPr="005307FE">
        <w:rPr>
          <w:rFonts w:asciiTheme="majorHAnsi" w:eastAsia="MS PGothic" w:hAnsiTheme="majorHAnsi" w:cstheme="majorHAnsi"/>
          <w:sz w:val="24"/>
          <w:szCs w:val="24"/>
          <w:vertAlign w:val="superscript"/>
        </w:rPr>
        <w:t>1</w:t>
      </w:r>
      <w:r w:rsidRPr="005307FE">
        <w:rPr>
          <w:rFonts w:asciiTheme="majorHAnsi" w:eastAsia="MS PGothic" w:hAnsiTheme="majorHAnsi" w:cstheme="majorHAnsi"/>
          <w:sz w:val="24"/>
          <w:szCs w:val="24"/>
        </w:rPr>
        <w:t>, Kayoko Horie</w:t>
      </w:r>
      <w:r w:rsidRPr="005307FE">
        <w:rPr>
          <w:rFonts w:asciiTheme="majorHAnsi" w:eastAsia="MS PGothic" w:hAnsiTheme="majorHAnsi" w:cstheme="majorHAnsi"/>
          <w:sz w:val="24"/>
          <w:szCs w:val="24"/>
          <w:vertAlign w:val="superscript"/>
        </w:rPr>
        <w:t>1</w:t>
      </w:r>
      <w:r w:rsidRPr="005307FE">
        <w:rPr>
          <w:rFonts w:asciiTheme="majorHAnsi" w:eastAsia="MS PGothic" w:hAnsiTheme="majorHAnsi" w:cstheme="majorHAnsi"/>
          <w:sz w:val="24"/>
          <w:szCs w:val="24"/>
        </w:rPr>
        <w:t>, Yukihiro Nakagawa</w:t>
      </w:r>
      <w:r w:rsidRPr="005307FE">
        <w:rPr>
          <w:rFonts w:asciiTheme="majorHAnsi" w:eastAsia="MS PGothic" w:hAnsiTheme="majorHAnsi" w:cstheme="majorHAnsi"/>
          <w:sz w:val="24"/>
          <w:szCs w:val="24"/>
          <w:vertAlign w:val="superscript"/>
        </w:rPr>
        <w:t>1</w:t>
      </w:r>
    </w:p>
    <w:p w14:paraId="4C32FD8B" w14:textId="77777777" w:rsidR="00511217" w:rsidRPr="005307FE" w:rsidRDefault="00511217" w:rsidP="00511217">
      <w:pPr>
        <w:adjustRightInd w:val="0"/>
        <w:snapToGrid w:val="0"/>
        <w:spacing w:line="480" w:lineRule="auto"/>
        <w:jc w:val="left"/>
        <w:rPr>
          <w:rFonts w:asciiTheme="majorHAnsi" w:eastAsia="MS PGothic" w:hAnsiTheme="majorHAnsi" w:cstheme="majorHAnsi"/>
          <w:sz w:val="24"/>
          <w:szCs w:val="24"/>
        </w:rPr>
      </w:pPr>
    </w:p>
    <w:p w14:paraId="5B3597DC" w14:textId="77777777" w:rsidR="00511217" w:rsidRPr="005307FE" w:rsidRDefault="00511217" w:rsidP="00511217">
      <w:pPr>
        <w:adjustRightInd w:val="0"/>
        <w:snapToGrid w:val="0"/>
        <w:spacing w:line="480" w:lineRule="auto"/>
        <w:jc w:val="left"/>
        <w:rPr>
          <w:rFonts w:asciiTheme="majorHAnsi" w:eastAsia="MS PGothic" w:hAnsiTheme="majorHAnsi" w:cstheme="majorHAnsi"/>
          <w:sz w:val="24"/>
          <w:szCs w:val="24"/>
        </w:rPr>
      </w:pPr>
      <w:r w:rsidRPr="005307FE">
        <w:rPr>
          <w:rFonts w:asciiTheme="majorHAnsi" w:eastAsia="MS PGothic" w:hAnsiTheme="majorHAnsi" w:cstheme="majorHAnsi"/>
          <w:sz w:val="24"/>
          <w:szCs w:val="24"/>
        </w:rPr>
        <w:t>1. Spine Care Center, Wakayama Medical University Kihoku Hospital</w:t>
      </w:r>
    </w:p>
    <w:p w14:paraId="320FAF03" w14:textId="77777777" w:rsidR="00511217" w:rsidRPr="005307FE" w:rsidRDefault="00511217" w:rsidP="00511217">
      <w:pPr>
        <w:adjustRightInd w:val="0"/>
        <w:snapToGrid w:val="0"/>
        <w:spacing w:line="480" w:lineRule="auto"/>
        <w:jc w:val="left"/>
        <w:rPr>
          <w:rFonts w:asciiTheme="majorHAnsi" w:eastAsia="Times New Roman" w:hAnsiTheme="majorHAnsi" w:cstheme="majorHAnsi"/>
          <w:kern w:val="0"/>
          <w:sz w:val="24"/>
          <w:szCs w:val="24"/>
          <w:lang w:val="en" w:eastAsia="en-US"/>
        </w:rPr>
      </w:pPr>
      <w:r w:rsidRPr="005307FE">
        <w:rPr>
          <w:rFonts w:asciiTheme="majorHAnsi" w:eastAsia="MS PGothic" w:hAnsiTheme="majorHAnsi" w:cstheme="majorHAnsi"/>
          <w:sz w:val="24"/>
          <w:szCs w:val="24"/>
        </w:rPr>
        <w:t xml:space="preserve">2. </w:t>
      </w:r>
      <w:r w:rsidRPr="005307FE">
        <w:rPr>
          <w:rFonts w:asciiTheme="majorHAnsi" w:eastAsia="Times New Roman" w:hAnsiTheme="majorHAnsi" w:cstheme="majorHAnsi"/>
          <w:kern w:val="0"/>
          <w:sz w:val="24"/>
          <w:szCs w:val="24"/>
          <w:lang w:val="en" w:eastAsia="en-US"/>
        </w:rPr>
        <w:t>MRC Lifecourse Epidemiology Unit, University of Southampton, Southampton, United Kingdom</w:t>
      </w:r>
    </w:p>
    <w:p w14:paraId="1EB9C2A2" w14:textId="77777777" w:rsidR="00511217" w:rsidRPr="005307FE" w:rsidRDefault="00511217" w:rsidP="00511217">
      <w:pPr>
        <w:adjustRightInd w:val="0"/>
        <w:snapToGrid w:val="0"/>
        <w:spacing w:line="480" w:lineRule="auto"/>
        <w:jc w:val="left"/>
        <w:rPr>
          <w:rFonts w:asciiTheme="majorHAnsi" w:hAnsiTheme="majorHAnsi" w:cstheme="majorHAnsi"/>
          <w:sz w:val="24"/>
          <w:szCs w:val="24"/>
        </w:rPr>
      </w:pPr>
      <w:r w:rsidRPr="005307FE">
        <w:rPr>
          <w:rFonts w:asciiTheme="majorHAnsi" w:eastAsia="Times New Roman" w:hAnsiTheme="majorHAnsi" w:cstheme="majorHAnsi"/>
          <w:kern w:val="0"/>
          <w:sz w:val="24"/>
          <w:szCs w:val="24"/>
          <w:lang w:val="en" w:eastAsia="en-US"/>
        </w:rPr>
        <w:t>3. Arthritis Research UK/MRC Centre for Musculoskeletal Work and Health, Southampton General Hospital, Southampton, United Kingdom</w:t>
      </w:r>
    </w:p>
    <w:p w14:paraId="576C91B3" w14:textId="77777777" w:rsidR="00511217" w:rsidRPr="005307FE" w:rsidRDefault="00511217" w:rsidP="00511217">
      <w:pPr>
        <w:adjustRightInd w:val="0"/>
        <w:snapToGrid w:val="0"/>
        <w:spacing w:line="480" w:lineRule="auto"/>
        <w:jc w:val="left"/>
        <w:rPr>
          <w:rFonts w:asciiTheme="majorHAnsi" w:hAnsiTheme="majorHAnsi" w:cstheme="majorHAnsi"/>
          <w:sz w:val="24"/>
          <w:szCs w:val="24"/>
        </w:rPr>
      </w:pPr>
      <w:r w:rsidRPr="005307FE">
        <w:rPr>
          <w:rFonts w:asciiTheme="majorHAnsi" w:hAnsiTheme="majorHAnsi" w:cstheme="majorHAnsi"/>
          <w:sz w:val="24"/>
          <w:szCs w:val="24"/>
        </w:rPr>
        <w:t xml:space="preserve">4. </w:t>
      </w:r>
      <w:r w:rsidRPr="005307FE">
        <w:rPr>
          <w:rFonts w:asciiTheme="majorHAnsi" w:eastAsia="Times New Roman" w:hAnsiTheme="majorHAnsi" w:cstheme="majorHAnsi"/>
          <w:sz w:val="24"/>
          <w:szCs w:val="24"/>
        </w:rPr>
        <w:t>National Institute for Health Research (NIHR) Oxford Biomedical Research Centre, University of Oxford, UK</w:t>
      </w:r>
    </w:p>
    <w:p w14:paraId="7B1E597D" w14:textId="77777777" w:rsidR="00511217" w:rsidRPr="005307FE" w:rsidRDefault="00511217" w:rsidP="00511217">
      <w:pPr>
        <w:adjustRightInd w:val="0"/>
        <w:snapToGrid w:val="0"/>
        <w:spacing w:line="480" w:lineRule="auto"/>
        <w:jc w:val="left"/>
        <w:rPr>
          <w:rFonts w:asciiTheme="majorHAnsi" w:hAnsiTheme="majorHAnsi" w:cstheme="majorHAnsi"/>
          <w:sz w:val="24"/>
          <w:szCs w:val="24"/>
        </w:rPr>
      </w:pPr>
      <w:r w:rsidRPr="005307FE">
        <w:rPr>
          <w:rFonts w:asciiTheme="majorHAnsi" w:eastAsia="MS PGothic" w:hAnsiTheme="majorHAnsi" w:cstheme="majorHAnsi"/>
          <w:sz w:val="24"/>
          <w:szCs w:val="24"/>
        </w:rPr>
        <w:t>5</w:t>
      </w:r>
      <w:r w:rsidRPr="005307FE">
        <w:rPr>
          <w:rFonts w:asciiTheme="majorHAnsi" w:hAnsiTheme="majorHAnsi" w:cstheme="majorHAnsi"/>
          <w:sz w:val="24"/>
          <w:szCs w:val="24"/>
        </w:rPr>
        <w:t>. NIHR Southampton Nutrition Biomedical Research Centre, University of Southampton and University Hospital Southampton NHS Foundation Trust, Southampton, UK</w:t>
      </w:r>
    </w:p>
    <w:p w14:paraId="565C0BF7" w14:textId="77777777" w:rsidR="00511217" w:rsidRPr="005307FE" w:rsidRDefault="00511217" w:rsidP="00511217">
      <w:pPr>
        <w:adjustRightInd w:val="0"/>
        <w:snapToGrid w:val="0"/>
        <w:spacing w:line="480" w:lineRule="auto"/>
        <w:jc w:val="left"/>
        <w:rPr>
          <w:rFonts w:asciiTheme="majorHAnsi" w:eastAsia="MS PGothic" w:hAnsiTheme="majorHAnsi" w:cstheme="majorHAnsi"/>
          <w:b/>
          <w:sz w:val="24"/>
          <w:szCs w:val="24"/>
        </w:rPr>
      </w:pPr>
    </w:p>
    <w:p w14:paraId="2443F0CD" w14:textId="77777777" w:rsidR="00511217" w:rsidRPr="005307FE" w:rsidRDefault="00511217" w:rsidP="00511217">
      <w:pPr>
        <w:spacing w:line="480" w:lineRule="auto"/>
        <w:jc w:val="left"/>
        <w:rPr>
          <w:rFonts w:asciiTheme="majorHAnsi" w:hAnsiTheme="majorHAnsi" w:cstheme="majorHAnsi"/>
          <w:b/>
          <w:sz w:val="24"/>
          <w:szCs w:val="24"/>
        </w:rPr>
      </w:pPr>
    </w:p>
    <w:p w14:paraId="5D79BBCB" w14:textId="77777777" w:rsidR="00511217" w:rsidRDefault="00511217" w:rsidP="00511217">
      <w:pPr>
        <w:spacing w:line="480" w:lineRule="auto"/>
        <w:jc w:val="left"/>
        <w:rPr>
          <w:rFonts w:asciiTheme="majorHAnsi" w:hAnsiTheme="majorHAnsi" w:cstheme="majorHAnsi"/>
          <w:b/>
          <w:sz w:val="24"/>
          <w:szCs w:val="24"/>
        </w:rPr>
      </w:pPr>
    </w:p>
    <w:p w14:paraId="222633FD" w14:textId="77777777" w:rsidR="00511217" w:rsidRPr="005307FE" w:rsidRDefault="00511217" w:rsidP="00511217">
      <w:pPr>
        <w:spacing w:line="480" w:lineRule="auto"/>
        <w:jc w:val="left"/>
        <w:rPr>
          <w:rFonts w:asciiTheme="majorHAnsi" w:hAnsiTheme="majorHAnsi" w:cstheme="majorHAnsi"/>
          <w:b/>
          <w:sz w:val="24"/>
          <w:szCs w:val="24"/>
        </w:rPr>
      </w:pPr>
      <w:r w:rsidRPr="005307FE">
        <w:rPr>
          <w:rFonts w:asciiTheme="majorHAnsi" w:hAnsiTheme="majorHAnsi" w:cstheme="majorHAnsi"/>
          <w:b/>
          <w:sz w:val="24"/>
          <w:szCs w:val="24"/>
        </w:rPr>
        <w:lastRenderedPageBreak/>
        <w:t xml:space="preserve">Correspondence to </w:t>
      </w:r>
    </w:p>
    <w:p w14:paraId="2EA53133" w14:textId="77777777" w:rsidR="00511217" w:rsidRPr="005307FE" w:rsidRDefault="00511217" w:rsidP="00511217">
      <w:pPr>
        <w:spacing w:line="480" w:lineRule="auto"/>
        <w:jc w:val="left"/>
        <w:rPr>
          <w:rFonts w:asciiTheme="majorHAnsi" w:hAnsiTheme="majorHAnsi" w:cstheme="majorHAnsi"/>
          <w:b/>
          <w:sz w:val="24"/>
          <w:szCs w:val="24"/>
        </w:rPr>
      </w:pPr>
      <w:r w:rsidRPr="005307FE">
        <w:rPr>
          <w:rFonts w:asciiTheme="majorHAnsi" w:hAnsiTheme="majorHAnsi" w:cstheme="majorHAnsi"/>
          <w:b/>
          <w:sz w:val="24"/>
          <w:szCs w:val="24"/>
        </w:rPr>
        <w:t xml:space="preserve">Yuyu Ishimoto, MD, PhD </w:t>
      </w:r>
    </w:p>
    <w:p w14:paraId="125D4586" w14:textId="77777777" w:rsidR="00511217" w:rsidRPr="005307FE" w:rsidRDefault="00511217" w:rsidP="00511217">
      <w:pPr>
        <w:spacing w:line="480" w:lineRule="auto"/>
        <w:jc w:val="left"/>
        <w:rPr>
          <w:rFonts w:asciiTheme="majorHAnsi" w:hAnsiTheme="majorHAnsi" w:cstheme="majorHAnsi"/>
          <w:sz w:val="24"/>
          <w:szCs w:val="24"/>
        </w:rPr>
      </w:pPr>
      <w:r w:rsidRPr="005307FE">
        <w:rPr>
          <w:rFonts w:asciiTheme="majorHAnsi" w:hAnsiTheme="majorHAnsi" w:cstheme="majorHAnsi"/>
          <w:sz w:val="24"/>
          <w:szCs w:val="24"/>
        </w:rPr>
        <w:t xml:space="preserve">Address: 219 Myoji, Katsuragicho, Itogun, Wakayama prefecture, Japan, 6497113, </w:t>
      </w:r>
    </w:p>
    <w:p w14:paraId="1F40F0E9" w14:textId="77777777" w:rsidR="00511217" w:rsidRPr="005307FE" w:rsidRDefault="00511217" w:rsidP="00511217">
      <w:pPr>
        <w:spacing w:line="480" w:lineRule="auto"/>
        <w:jc w:val="left"/>
        <w:rPr>
          <w:rFonts w:asciiTheme="majorHAnsi" w:hAnsiTheme="majorHAnsi" w:cstheme="majorHAnsi"/>
          <w:sz w:val="24"/>
          <w:szCs w:val="24"/>
        </w:rPr>
      </w:pPr>
      <w:r w:rsidRPr="005307FE">
        <w:rPr>
          <w:rFonts w:asciiTheme="majorHAnsi" w:hAnsiTheme="majorHAnsi" w:cstheme="majorHAnsi"/>
          <w:sz w:val="24"/>
          <w:szCs w:val="24"/>
        </w:rPr>
        <w:t>TEL: +81-73-622-0066</w:t>
      </w:r>
    </w:p>
    <w:p w14:paraId="1966DC36" w14:textId="77777777" w:rsidR="00511217" w:rsidRPr="005307FE" w:rsidRDefault="00511217" w:rsidP="00511217">
      <w:pPr>
        <w:spacing w:line="480" w:lineRule="auto"/>
        <w:jc w:val="left"/>
        <w:rPr>
          <w:rFonts w:asciiTheme="majorHAnsi" w:hAnsiTheme="majorHAnsi" w:cstheme="majorHAnsi"/>
          <w:sz w:val="24"/>
          <w:szCs w:val="24"/>
        </w:rPr>
      </w:pPr>
      <w:r w:rsidRPr="005307FE">
        <w:rPr>
          <w:rFonts w:asciiTheme="majorHAnsi" w:hAnsiTheme="majorHAnsi" w:cstheme="majorHAnsi"/>
          <w:sz w:val="24"/>
          <w:szCs w:val="24"/>
        </w:rPr>
        <w:t>FAX: +81-73-622-2579</w:t>
      </w:r>
    </w:p>
    <w:p w14:paraId="1A1AB49F" w14:textId="77777777" w:rsidR="00511217" w:rsidRPr="005307FE" w:rsidRDefault="00511217" w:rsidP="00511217">
      <w:pPr>
        <w:spacing w:line="480" w:lineRule="auto"/>
        <w:jc w:val="left"/>
        <w:rPr>
          <w:rFonts w:asciiTheme="majorHAnsi" w:hAnsiTheme="majorHAnsi" w:cstheme="majorHAnsi"/>
          <w:sz w:val="24"/>
          <w:szCs w:val="24"/>
        </w:rPr>
      </w:pPr>
      <w:r w:rsidRPr="005307FE">
        <w:rPr>
          <w:rFonts w:asciiTheme="majorHAnsi" w:hAnsiTheme="majorHAnsi" w:cstheme="majorHAnsi"/>
          <w:sz w:val="24"/>
          <w:szCs w:val="24"/>
        </w:rPr>
        <w:t>E-mail: sekitui@wakayama-med.ac.jp</w:t>
      </w:r>
    </w:p>
    <w:p w14:paraId="0D9009A9" w14:textId="77777777" w:rsidR="00511217" w:rsidRPr="005307FE" w:rsidRDefault="00511217" w:rsidP="00511217">
      <w:pPr>
        <w:spacing w:line="480" w:lineRule="auto"/>
        <w:jc w:val="left"/>
        <w:rPr>
          <w:rFonts w:asciiTheme="majorHAnsi" w:hAnsiTheme="majorHAnsi" w:cstheme="majorHAnsi"/>
          <w:sz w:val="24"/>
          <w:szCs w:val="24"/>
        </w:rPr>
      </w:pPr>
      <w:r w:rsidRPr="005307FE">
        <w:rPr>
          <w:rFonts w:asciiTheme="majorHAnsi" w:hAnsiTheme="majorHAnsi" w:cstheme="majorHAnsi"/>
          <w:sz w:val="24"/>
          <w:szCs w:val="24"/>
        </w:rPr>
        <w:t xml:space="preserve">       </w:t>
      </w:r>
      <w:hyperlink r:id="rId8" w:history="1">
        <w:r w:rsidRPr="005307FE">
          <w:rPr>
            <w:rStyle w:val="Hyperlink"/>
            <w:rFonts w:asciiTheme="majorHAnsi" w:hAnsiTheme="majorHAnsi" w:cstheme="majorHAnsi"/>
            <w:sz w:val="24"/>
            <w:szCs w:val="24"/>
          </w:rPr>
          <w:t>yuyu.ishimoto@gmail.com</w:t>
        </w:r>
      </w:hyperlink>
    </w:p>
    <w:p w14:paraId="69CF6053" w14:textId="77777777" w:rsidR="00511217" w:rsidRPr="005307FE" w:rsidRDefault="00511217" w:rsidP="00511217">
      <w:pPr>
        <w:spacing w:line="480" w:lineRule="auto"/>
        <w:jc w:val="left"/>
        <w:rPr>
          <w:rFonts w:asciiTheme="majorHAnsi" w:eastAsia="Times New Roman" w:hAnsiTheme="majorHAnsi" w:cstheme="majorHAnsi"/>
          <w:sz w:val="24"/>
          <w:szCs w:val="24"/>
        </w:rPr>
      </w:pPr>
      <w:r w:rsidRPr="005307FE">
        <w:rPr>
          <w:rFonts w:asciiTheme="majorHAnsi" w:hAnsiTheme="majorHAnsi" w:cstheme="majorHAnsi"/>
          <w:sz w:val="24"/>
          <w:szCs w:val="24"/>
        </w:rPr>
        <w:t xml:space="preserve">       yuyu.ishimoto@hotmail.co.jp</w:t>
      </w:r>
    </w:p>
    <w:p w14:paraId="53AF3860" w14:textId="77777777" w:rsidR="00511217" w:rsidRPr="005307FE" w:rsidRDefault="00511217" w:rsidP="00511217">
      <w:pPr>
        <w:spacing w:line="480" w:lineRule="auto"/>
        <w:jc w:val="left"/>
        <w:rPr>
          <w:rFonts w:asciiTheme="majorHAnsi" w:hAnsiTheme="majorHAnsi" w:cstheme="majorHAnsi"/>
          <w:b/>
          <w:sz w:val="24"/>
          <w:szCs w:val="24"/>
        </w:rPr>
      </w:pPr>
    </w:p>
    <w:p w14:paraId="0412AE1E" w14:textId="77777777" w:rsidR="00511217" w:rsidRPr="005307FE" w:rsidRDefault="00511217" w:rsidP="00511217">
      <w:pPr>
        <w:adjustRightInd w:val="0"/>
        <w:snapToGrid w:val="0"/>
        <w:spacing w:line="480" w:lineRule="auto"/>
        <w:jc w:val="left"/>
        <w:rPr>
          <w:rFonts w:asciiTheme="majorHAnsi" w:eastAsia="MS PGothic" w:hAnsiTheme="majorHAnsi" w:cstheme="majorHAnsi"/>
          <w:b/>
          <w:sz w:val="24"/>
          <w:szCs w:val="24"/>
        </w:rPr>
      </w:pPr>
      <w:r w:rsidRPr="005307FE">
        <w:rPr>
          <w:rFonts w:asciiTheme="majorHAnsi" w:hAnsiTheme="majorHAnsi" w:cstheme="majorHAnsi"/>
          <w:b/>
          <w:sz w:val="24"/>
          <w:szCs w:val="24"/>
        </w:rPr>
        <w:lastRenderedPageBreak/>
        <w:t>Conflict of Interest</w:t>
      </w:r>
      <w:r w:rsidRPr="005307FE">
        <w:rPr>
          <w:rFonts w:asciiTheme="majorHAnsi" w:hAnsiTheme="majorHAnsi" w:cstheme="majorHAnsi"/>
          <w:sz w:val="24"/>
          <w:szCs w:val="24"/>
        </w:rPr>
        <w:t>: The authors declare that there are no conflicts of interest</w:t>
      </w:r>
    </w:p>
    <w:p w14:paraId="5BAE764F" w14:textId="77777777" w:rsidR="00511217" w:rsidRPr="005307FE" w:rsidRDefault="00511217" w:rsidP="00511217">
      <w:pPr>
        <w:adjustRightInd w:val="0"/>
        <w:snapToGrid w:val="0"/>
        <w:spacing w:line="480" w:lineRule="auto"/>
        <w:jc w:val="left"/>
        <w:rPr>
          <w:rFonts w:asciiTheme="majorHAnsi" w:eastAsia="MS PGothic" w:hAnsiTheme="majorHAnsi" w:cstheme="majorHAnsi"/>
          <w:b/>
          <w:sz w:val="24"/>
          <w:szCs w:val="24"/>
        </w:rPr>
      </w:pPr>
    </w:p>
    <w:p w14:paraId="4EFDA47E" w14:textId="77777777" w:rsidR="00511217" w:rsidRPr="005307FE" w:rsidRDefault="00511217" w:rsidP="00511217">
      <w:pPr>
        <w:adjustRightInd w:val="0"/>
        <w:snapToGrid w:val="0"/>
        <w:spacing w:line="480" w:lineRule="auto"/>
        <w:jc w:val="left"/>
        <w:rPr>
          <w:rFonts w:asciiTheme="majorHAnsi" w:eastAsia="MS PGothic" w:hAnsiTheme="majorHAnsi" w:cstheme="majorHAnsi"/>
          <w:sz w:val="24"/>
          <w:szCs w:val="24"/>
        </w:rPr>
      </w:pPr>
      <w:r w:rsidRPr="005307FE">
        <w:rPr>
          <w:rFonts w:asciiTheme="majorHAnsi" w:eastAsia="MS PGothic" w:hAnsiTheme="majorHAnsi" w:cstheme="majorHAnsi"/>
          <w:b/>
          <w:sz w:val="24"/>
          <w:szCs w:val="24"/>
        </w:rPr>
        <w:t xml:space="preserve">Sources of funding: </w:t>
      </w:r>
      <w:r w:rsidRPr="005307FE">
        <w:rPr>
          <w:rFonts w:asciiTheme="majorHAnsi" w:eastAsia="MS PGothic" w:hAnsiTheme="majorHAnsi" w:cstheme="majorHAnsi"/>
          <w:sz w:val="24"/>
          <w:szCs w:val="24"/>
        </w:rPr>
        <w:t>The study was supported by a Lilly Research Grant Program for Bone &amp; Mineral Research (B25860448) 2013 and an AO Spine 2015 Japan Research Grant.</w:t>
      </w:r>
    </w:p>
    <w:p w14:paraId="739C4FE9" w14:textId="77777777" w:rsidR="00511217" w:rsidRPr="005307FE" w:rsidRDefault="00511217" w:rsidP="00511217">
      <w:pPr>
        <w:adjustRightInd w:val="0"/>
        <w:snapToGrid w:val="0"/>
        <w:spacing w:line="480" w:lineRule="auto"/>
        <w:jc w:val="left"/>
        <w:rPr>
          <w:rFonts w:asciiTheme="majorHAnsi" w:eastAsia="MS PGothic" w:hAnsiTheme="majorHAnsi" w:cstheme="majorHAnsi"/>
          <w:sz w:val="24"/>
          <w:szCs w:val="24"/>
        </w:rPr>
      </w:pPr>
    </w:p>
    <w:p w14:paraId="4EB28B30" w14:textId="77777777" w:rsidR="00511217" w:rsidRPr="005307FE" w:rsidRDefault="00511217" w:rsidP="00511217">
      <w:pPr>
        <w:adjustRightInd w:val="0"/>
        <w:snapToGrid w:val="0"/>
        <w:spacing w:line="480" w:lineRule="auto"/>
        <w:jc w:val="left"/>
        <w:rPr>
          <w:rFonts w:asciiTheme="majorHAnsi" w:eastAsia="MS PGothic" w:hAnsiTheme="majorHAnsi" w:cstheme="majorHAnsi"/>
          <w:b/>
          <w:sz w:val="24"/>
          <w:szCs w:val="24"/>
        </w:rPr>
      </w:pPr>
      <w:r w:rsidRPr="005307FE">
        <w:rPr>
          <w:rFonts w:asciiTheme="majorHAnsi" w:eastAsia="MS PGothic" w:hAnsiTheme="majorHAnsi" w:cstheme="majorHAnsi"/>
          <w:b/>
          <w:sz w:val="24"/>
          <w:szCs w:val="24"/>
        </w:rPr>
        <w:t>Type of contribution of the authors</w:t>
      </w:r>
      <w:r w:rsidRPr="005307FE">
        <w:rPr>
          <w:rFonts w:asciiTheme="majorHAnsi" w:eastAsia="MS PGothic" w:hAnsiTheme="majorHAnsi" w:cstheme="majorHAnsi"/>
          <w:sz w:val="24"/>
          <w:szCs w:val="24"/>
        </w:rPr>
        <w:t>: YI wrote and prepared the manuscript, YI and LW performed the statistical analysis. YI and EC contributed to the analysis and interpretation of the results and EC corrected the English. All authors have read, reviewed, and approved the article.</w:t>
      </w:r>
    </w:p>
    <w:p w14:paraId="32929FDB" w14:textId="77777777" w:rsidR="00511217" w:rsidRPr="005307FE" w:rsidRDefault="00511217" w:rsidP="00511217">
      <w:pPr>
        <w:adjustRightInd w:val="0"/>
        <w:snapToGrid w:val="0"/>
        <w:spacing w:line="480" w:lineRule="auto"/>
        <w:jc w:val="left"/>
        <w:rPr>
          <w:rFonts w:asciiTheme="majorHAnsi" w:eastAsia="MS PGothic" w:hAnsiTheme="majorHAnsi" w:cstheme="majorHAnsi"/>
          <w:b/>
          <w:sz w:val="24"/>
          <w:szCs w:val="24"/>
        </w:rPr>
      </w:pPr>
    </w:p>
    <w:p w14:paraId="3E0B7238" w14:textId="77777777" w:rsidR="00511217" w:rsidRPr="005307FE" w:rsidRDefault="00511217" w:rsidP="00511217">
      <w:pPr>
        <w:adjustRightInd w:val="0"/>
        <w:snapToGrid w:val="0"/>
        <w:spacing w:line="480" w:lineRule="auto"/>
        <w:jc w:val="left"/>
        <w:rPr>
          <w:rFonts w:asciiTheme="majorHAnsi" w:eastAsia="MS PGothic" w:hAnsiTheme="majorHAnsi" w:cstheme="majorHAnsi"/>
          <w:sz w:val="24"/>
          <w:szCs w:val="24"/>
        </w:rPr>
      </w:pPr>
      <w:r w:rsidRPr="005307FE">
        <w:rPr>
          <w:rFonts w:asciiTheme="majorHAnsi" w:eastAsia="MS PGothic" w:hAnsiTheme="majorHAnsi" w:cstheme="majorHAnsi"/>
          <w:b/>
          <w:sz w:val="24"/>
          <w:szCs w:val="24"/>
        </w:rPr>
        <w:t xml:space="preserve">Approval code: </w:t>
      </w:r>
      <w:r w:rsidRPr="005307FE">
        <w:rPr>
          <w:rFonts w:asciiTheme="majorHAnsi" w:eastAsia="MS PGothic" w:hAnsiTheme="majorHAnsi" w:cstheme="majorHAnsi"/>
          <w:sz w:val="24"/>
          <w:szCs w:val="24"/>
        </w:rPr>
        <w:t>The study was conducted with the approval of the ethics committees of the Wakayama Medical University (authorization number 92).</w:t>
      </w:r>
    </w:p>
    <w:p w14:paraId="5829AA21" w14:textId="77777777" w:rsidR="00511217" w:rsidRPr="005307FE" w:rsidRDefault="00511217" w:rsidP="00511217">
      <w:pPr>
        <w:adjustRightInd w:val="0"/>
        <w:snapToGrid w:val="0"/>
        <w:spacing w:line="480" w:lineRule="auto"/>
        <w:jc w:val="left"/>
        <w:rPr>
          <w:rFonts w:asciiTheme="majorHAnsi" w:eastAsia="MS PGothic" w:hAnsiTheme="majorHAnsi" w:cstheme="majorHAnsi"/>
          <w:b/>
          <w:sz w:val="24"/>
          <w:szCs w:val="24"/>
        </w:rPr>
      </w:pPr>
    </w:p>
    <w:p w14:paraId="5170A162" w14:textId="77777777" w:rsidR="00511217" w:rsidRPr="005307FE" w:rsidRDefault="00511217" w:rsidP="00511217">
      <w:pPr>
        <w:adjustRightInd w:val="0"/>
        <w:snapToGrid w:val="0"/>
        <w:spacing w:line="480" w:lineRule="auto"/>
        <w:jc w:val="left"/>
        <w:rPr>
          <w:rFonts w:asciiTheme="majorHAnsi" w:eastAsia="MS PGothic" w:hAnsiTheme="majorHAnsi" w:cstheme="majorHAnsi"/>
          <w:b/>
          <w:sz w:val="24"/>
          <w:szCs w:val="24"/>
        </w:rPr>
      </w:pPr>
      <w:r w:rsidRPr="005307FE">
        <w:rPr>
          <w:rFonts w:asciiTheme="majorHAnsi" w:eastAsia="MS PGothic" w:hAnsiTheme="majorHAnsi" w:cstheme="majorHAnsi"/>
          <w:b/>
          <w:sz w:val="24"/>
          <w:szCs w:val="24"/>
        </w:rPr>
        <w:t>Acknowledgement</w:t>
      </w:r>
    </w:p>
    <w:p w14:paraId="68EC0DEE" w14:textId="77777777" w:rsidR="00511217" w:rsidRPr="005307FE" w:rsidRDefault="00511217" w:rsidP="00511217">
      <w:pPr>
        <w:adjustRightInd w:val="0"/>
        <w:snapToGrid w:val="0"/>
        <w:spacing w:line="480" w:lineRule="auto"/>
        <w:jc w:val="left"/>
        <w:rPr>
          <w:rFonts w:asciiTheme="majorHAnsi" w:eastAsia="MS PGothic" w:hAnsiTheme="majorHAnsi" w:cstheme="majorHAnsi"/>
          <w:sz w:val="24"/>
          <w:szCs w:val="24"/>
        </w:rPr>
      </w:pPr>
      <w:r w:rsidRPr="005307FE">
        <w:rPr>
          <w:rFonts w:asciiTheme="majorHAnsi" w:eastAsia="MS PGothic" w:hAnsiTheme="majorHAnsi" w:cstheme="majorHAnsi"/>
          <w:sz w:val="24"/>
          <w:szCs w:val="24"/>
        </w:rPr>
        <w:t>The author would like to thank Mr. Makoto Oura, Mrs. Nami Moriguchi, Mr. Nozomu Narikawa and other members of Wakayama Medical University Kihoku Hospital for their assistance in locating and scheduling participants for examinations.</w:t>
      </w:r>
    </w:p>
    <w:p w14:paraId="44F904E0" w14:textId="77777777" w:rsidR="00511217" w:rsidRDefault="00511217" w:rsidP="00B26F1C">
      <w:pPr>
        <w:adjustRightInd w:val="0"/>
        <w:snapToGrid w:val="0"/>
        <w:spacing w:line="480" w:lineRule="auto"/>
        <w:jc w:val="left"/>
        <w:rPr>
          <w:rFonts w:asciiTheme="majorHAnsi" w:eastAsia="MS PGothic" w:hAnsiTheme="majorHAnsi" w:cstheme="majorHAnsi"/>
          <w:b/>
          <w:sz w:val="24"/>
          <w:szCs w:val="24"/>
        </w:rPr>
      </w:pPr>
    </w:p>
    <w:p w14:paraId="203CD5DA" w14:textId="77777777" w:rsidR="00511217" w:rsidRDefault="00511217" w:rsidP="00B26F1C">
      <w:pPr>
        <w:adjustRightInd w:val="0"/>
        <w:snapToGrid w:val="0"/>
        <w:spacing w:line="480" w:lineRule="auto"/>
        <w:jc w:val="left"/>
        <w:rPr>
          <w:rFonts w:asciiTheme="majorHAnsi" w:eastAsia="MS PGothic" w:hAnsiTheme="majorHAnsi" w:cstheme="majorHAnsi"/>
          <w:b/>
          <w:sz w:val="24"/>
          <w:szCs w:val="24"/>
        </w:rPr>
      </w:pPr>
    </w:p>
    <w:p w14:paraId="58E4C2D1" w14:textId="77777777" w:rsidR="00511217" w:rsidRDefault="00511217" w:rsidP="00B26F1C">
      <w:pPr>
        <w:adjustRightInd w:val="0"/>
        <w:snapToGrid w:val="0"/>
        <w:spacing w:line="480" w:lineRule="auto"/>
        <w:jc w:val="left"/>
        <w:rPr>
          <w:rFonts w:asciiTheme="majorHAnsi" w:eastAsia="MS PGothic" w:hAnsiTheme="majorHAnsi" w:cstheme="majorHAnsi"/>
          <w:b/>
          <w:sz w:val="24"/>
          <w:szCs w:val="24"/>
        </w:rPr>
      </w:pPr>
    </w:p>
    <w:p w14:paraId="5B12B5B9" w14:textId="77777777" w:rsidR="00511217" w:rsidRDefault="00511217" w:rsidP="00B26F1C">
      <w:pPr>
        <w:adjustRightInd w:val="0"/>
        <w:snapToGrid w:val="0"/>
        <w:spacing w:line="480" w:lineRule="auto"/>
        <w:jc w:val="left"/>
        <w:rPr>
          <w:rFonts w:asciiTheme="majorHAnsi" w:eastAsia="MS PGothic" w:hAnsiTheme="majorHAnsi" w:cstheme="majorHAnsi"/>
          <w:b/>
          <w:sz w:val="24"/>
          <w:szCs w:val="24"/>
        </w:rPr>
      </w:pPr>
    </w:p>
    <w:p w14:paraId="42DF61CA" w14:textId="77777777" w:rsidR="00511217" w:rsidRDefault="00511217" w:rsidP="00B26F1C">
      <w:pPr>
        <w:adjustRightInd w:val="0"/>
        <w:snapToGrid w:val="0"/>
        <w:spacing w:line="480" w:lineRule="auto"/>
        <w:jc w:val="left"/>
        <w:rPr>
          <w:rFonts w:asciiTheme="majorHAnsi" w:eastAsia="MS PGothic" w:hAnsiTheme="majorHAnsi" w:cstheme="majorHAnsi"/>
          <w:b/>
          <w:sz w:val="24"/>
          <w:szCs w:val="24"/>
        </w:rPr>
      </w:pPr>
    </w:p>
    <w:p w14:paraId="702D4820" w14:textId="4E6C7E7C" w:rsidR="00ED1321" w:rsidRPr="000876F9" w:rsidRDefault="00ED1321"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lastRenderedPageBreak/>
        <w:t>Abstract</w:t>
      </w:r>
    </w:p>
    <w:p w14:paraId="26CBC07A" w14:textId="15FC68A1" w:rsidR="00ED1321" w:rsidRPr="000876F9" w:rsidRDefault="00013AA8"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Introduction</w:t>
      </w:r>
      <w:r w:rsidR="00216EE6" w:rsidRPr="000876F9">
        <w:rPr>
          <w:rFonts w:asciiTheme="majorHAnsi" w:eastAsia="MS PGothic" w:hAnsiTheme="majorHAnsi" w:cstheme="majorHAnsi"/>
          <w:b/>
          <w:sz w:val="24"/>
          <w:szCs w:val="24"/>
        </w:rPr>
        <w:t xml:space="preserve">: </w:t>
      </w:r>
      <w:r w:rsidRPr="000876F9">
        <w:rPr>
          <w:rFonts w:asciiTheme="majorHAnsi" w:eastAsia="MS PGothic" w:hAnsiTheme="majorHAnsi" w:cstheme="majorHAnsi"/>
          <w:sz w:val="24"/>
          <w:szCs w:val="24"/>
        </w:rPr>
        <w:t>Musculoskeletal</w:t>
      </w:r>
      <w:r w:rsidR="008412F3" w:rsidRPr="000876F9">
        <w:rPr>
          <w:rFonts w:asciiTheme="majorHAnsi" w:eastAsia="MS PGothic" w:hAnsiTheme="majorHAnsi" w:cstheme="majorHAnsi"/>
          <w:sz w:val="24"/>
          <w:szCs w:val="24"/>
        </w:rPr>
        <w:t xml:space="preserve"> diseases and spinal </w:t>
      </w:r>
      <w:r w:rsidR="00FA6B33" w:rsidRPr="000876F9">
        <w:rPr>
          <w:rFonts w:asciiTheme="majorHAnsi" w:eastAsia="MS PGothic" w:hAnsiTheme="majorHAnsi" w:cstheme="majorHAnsi"/>
          <w:sz w:val="24"/>
          <w:szCs w:val="24"/>
        </w:rPr>
        <w:t>mal</w:t>
      </w:r>
      <w:r w:rsidR="008412F3" w:rsidRPr="000876F9">
        <w:rPr>
          <w:rFonts w:asciiTheme="majorHAnsi" w:eastAsia="MS PGothic" w:hAnsiTheme="majorHAnsi" w:cstheme="majorHAnsi"/>
          <w:sz w:val="24"/>
          <w:szCs w:val="24"/>
        </w:rPr>
        <w:t xml:space="preserve">alignment </w:t>
      </w:r>
      <w:r w:rsidRPr="000876F9">
        <w:rPr>
          <w:rFonts w:asciiTheme="majorHAnsi" w:eastAsia="MS PGothic" w:hAnsiTheme="majorHAnsi" w:cstheme="majorHAnsi"/>
          <w:sz w:val="24"/>
          <w:szCs w:val="24"/>
        </w:rPr>
        <w:t xml:space="preserve">are </w:t>
      </w:r>
      <w:r w:rsidR="00FA6B33" w:rsidRPr="000876F9">
        <w:rPr>
          <w:rFonts w:asciiTheme="majorHAnsi" w:eastAsia="MS PGothic" w:hAnsiTheme="majorHAnsi" w:cstheme="majorHAnsi"/>
          <w:sz w:val="24"/>
          <w:szCs w:val="24"/>
        </w:rPr>
        <w:t xml:space="preserve">widely known to be </w:t>
      </w:r>
      <w:r w:rsidRPr="000876F9">
        <w:rPr>
          <w:rFonts w:asciiTheme="majorHAnsi" w:eastAsia="MS PGothic" w:hAnsiTheme="majorHAnsi" w:cstheme="majorHAnsi"/>
          <w:sz w:val="24"/>
          <w:szCs w:val="24"/>
        </w:rPr>
        <w:t xml:space="preserve">associated with poorer </w:t>
      </w:r>
      <w:r w:rsidR="00047099" w:rsidRPr="000876F9">
        <w:rPr>
          <w:rFonts w:asciiTheme="majorHAnsi" w:eastAsia="MS PGothic" w:hAnsiTheme="majorHAnsi" w:cstheme="majorHAnsi"/>
          <w:sz w:val="24"/>
          <w:szCs w:val="24"/>
        </w:rPr>
        <w:t xml:space="preserve">quality of life (QOL) </w:t>
      </w:r>
      <w:r w:rsidRPr="000876F9">
        <w:rPr>
          <w:rFonts w:asciiTheme="majorHAnsi" w:eastAsia="MS PGothic" w:hAnsiTheme="majorHAnsi" w:cstheme="majorHAnsi"/>
          <w:sz w:val="24"/>
          <w:szCs w:val="24"/>
        </w:rPr>
        <w:t>in the elderly. However, few general population cohort studies</w:t>
      </w:r>
      <w:r w:rsidR="00FA6B33" w:rsidRPr="000876F9">
        <w:rPr>
          <w:rFonts w:asciiTheme="majorHAnsi" w:eastAsia="MS PGothic" w:hAnsiTheme="majorHAnsi" w:cstheme="majorHAnsi"/>
          <w:sz w:val="24"/>
          <w:szCs w:val="24"/>
        </w:rPr>
        <w:t xml:space="preserve"> have been</w:t>
      </w:r>
      <w:r w:rsidRPr="000876F9">
        <w:rPr>
          <w:rFonts w:asciiTheme="majorHAnsi" w:eastAsia="MS PGothic" w:hAnsiTheme="majorHAnsi" w:cstheme="majorHAnsi"/>
          <w:sz w:val="24"/>
          <w:szCs w:val="24"/>
        </w:rPr>
        <w:t xml:space="preserve"> conducted to date focusing on these conditions </w:t>
      </w:r>
      <w:r w:rsidR="00F64724" w:rsidRPr="000876F9">
        <w:rPr>
          <w:rFonts w:asciiTheme="majorHAnsi" w:eastAsia="MS PGothic" w:hAnsiTheme="majorHAnsi" w:cstheme="majorHAnsi"/>
          <w:sz w:val="24"/>
          <w:szCs w:val="24"/>
        </w:rPr>
        <w:t>together</w:t>
      </w:r>
      <w:r w:rsidRPr="000876F9">
        <w:rPr>
          <w:rFonts w:asciiTheme="majorHAnsi" w:eastAsia="MS PGothic" w:hAnsiTheme="majorHAnsi" w:cstheme="majorHAnsi"/>
          <w:sz w:val="24"/>
          <w:szCs w:val="24"/>
        </w:rPr>
        <w:t>. Our objectives were to clarify the association</w:t>
      </w:r>
      <w:r w:rsidR="00FA6B33" w:rsidRPr="000876F9">
        <w:rPr>
          <w:rFonts w:asciiTheme="majorHAnsi" w:eastAsia="MS PGothic" w:hAnsiTheme="majorHAnsi" w:cstheme="majorHAnsi"/>
          <w:sz w:val="24"/>
          <w:szCs w:val="24"/>
        </w:rPr>
        <w:t>s</w:t>
      </w:r>
      <w:r w:rsidRPr="000876F9">
        <w:rPr>
          <w:rFonts w:asciiTheme="majorHAnsi" w:eastAsia="MS PGothic" w:hAnsiTheme="majorHAnsi" w:cstheme="majorHAnsi"/>
          <w:sz w:val="24"/>
          <w:szCs w:val="24"/>
        </w:rPr>
        <w:t xml:space="preserve"> </w:t>
      </w:r>
      <w:r w:rsidR="00FA6B33" w:rsidRPr="000876F9">
        <w:rPr>
          <w:rFonts w:asciiTheme="majorHAnsi" w:eastAsia="MS PGothic" w:hAnsiTheme="majorHAnsi" w:cstheme="majorHAnsi"/>
          <w:sz w:val="24"/>
          <w:szCs w:val="24"/>
        </w:rPr>
        <w:t>between musculoskeletal</w:t>
      </w:r>
      <w:r w:rsidRPr="000876F9">
        <w:rPr>
          <w:rFonts w:asciiTheme="majorHAnsi" w:eastAsia="MS PGothic" w:hAnsiTheme="majorHAnsi" w:cstheme="majorHAnsi"/>
          <w:sz w:val="24"/>
          <w:szCs w:val="24"/>
        </w:rPr>
        <w:t xml:space="preserve"> degenerative diseases and/or spinal </w:t>
      </w:r>
      <w:r w:rsidR="00FA6B33" w:rsidRPr="000876F9">
        <w:rPr>
          <w:rFonts w:asciiTheme="majorHAnsi" w:eastAsia="MS PGothic" w:hAnsiTheme="majorHAnsi" w:cstheme="majorHAnsi"/>
          <w:sz w:val="24"/>
          <w:szCs w:val="24"/>
        </w:rPr>
        <w:t>mal</w:t>
      </w:r>
      <w:r w:rsidRPr="000876F9">
        <w:rPr>
          <w:rFonts w:asciiTheme="majorHAnsi" w:eastAsia="MS PGothic" w:hAnsiTheme="majorHAnsi" w:cstheme="majorHAnsi"/>
          <w:sz w:val="24"/>
          <w:szCs w:val="24"/>
        </w:rPr>
        <w:t xml:space="preserve">alignment with </w:t>
      </w:r>
      <w:r w:rsidR="00047099" w:rsidRPr="000876F9">
        <w:rPr>
          <w:rFonts w:asciiTheme="majorHAnsi" w:eastAsia="MS PGothic" w:hAnsiTheme="majorHAnsi" w:cstheme="majorHAnsi"/>
          <w:sz w:val="24"/>
          <w:szCs w:val="24"/>
        </w:rPr>
        <w:t>QOL</w:t>
      </w:r>
      <w:r w:rsidR="00FA6B33" w:rsidRPr="000876F9">
        <w:rPr>
          <w:rFonts w:asciiTheme="majorHAnsi" w:eastAsia="MS PGothic" w:hAnsiTheme="majorHAnsi" w:cstheme="majorHAnsi"/>
          <w:sz w:val="24"/>
          <w:szCs w:val="24"/>
        </w:rPr>
        <w:t xml:space="preserve"> measures in a group of Japanese older adults</w:t>
      </w:r>
      <w:r w:rsidRPr="000876F9">
        <w:rPr>
          <w:rFonts w:asciiTheme="majorHAnsi" w:eastAsia="MS PGothic" w:hAnsiTheme="majorHAnsi" w:cstheme="majorHAnsi"/>
          <w:sz w:val="24"/>
          <w:szCs w:val="24"/>
        </w:rPr>
        <w:t>.</w:t>
      </w:r>
    </w:p>
    <w:p w14:paraId="771C6870" w14:textId="72CE9FC5" w:rsidR="00013AA8" w:rsidRPr="000876F9" w:rsidRDefault="00013AA8"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b/>
          <w:sz w:val="24"/>
          <w:szCs w:val="24"/>
        </w:rPr>
        <w:t>Methods</w:t>
      </w:r>
      <w:r w:rsidR="00591F66" w:rsidRPr="000876F9">
        <w:rPr>
          <w:rFonts w:asciiTheme="majorHAnsi" w:eastAsia="MS PGothic" w:hAnsiTheme="majorHAnsi" w:cstheme="majorHAnsi"/>
          <w:b/>
          <w:sz w:val="24"/>
          <w:szCs w:val="24"/>
        </w:rPr>
        <w:t xml:space="preserve">: </w:t>
      </w:r>
      <w:r w:rsidR="00591F66" w:rsidRPr="000876F9">
        <w:rPr>
          <w:rFonts w:asciiTheme="majorHAnsi" w:eastAsia="MS PGothic" w:hAnsiTheme="majorHAnsi" w:cstheme="majorHAnsi"/>
          <w:sz w:val="24"/>
          <w:szCs w:val="24"/>
        </w:rPr>
        <w:t xml:space="preserve">In this cross-sectional study, </w:t>
      </w:r>
      <w:r w:rsidR="00FA6B33" w:rsidRPr="000876F9">
        <w:rPr>
          <w:rFonts w:asciiTheme="majorHAnsi" w:eastAsia="MS PGothic" w:hAnsiTheme="majorHAnsi" w:cstheme="majorHAnsi"/>
          <w:sz w:val="24"/>
          <w:szCs w:val="24"/>
        </w:rPr>
        <w:t xml:space="preserve">we analysed </w:t>
      </w:r>
      <w:r w:rsidR="00591F66" w:rsidRPr="000876F9">
        <w:rPr>
          <w:rFonts w:asciiTheme="majorHAnsi" w:eastAsia="MS PGothic" w:hAnsiTheme="majorHAnsi" w:cstheme="majorHAnsi"/>
          <w:sz w:val="24"/>
          <w:szCs w:val="24"/>
        </w:rPr>
        <w:t>data from 334</w:t>
      </w:r>
      <w:r w:rsidR="00FA6B33" w:rsidRPr="000876F9">
        <w:rPr>
          <w:rFonts w:asciiTheme="majorHAnsi" w:eastAsia="MS PGothic" w:hAnsiTheme="majorHAnsi" w:cstheme="majorHAnsi"/>
          <w:sz w:val="24"/>
          <w:szCs w:val="24"/>
        </w:rPr>
        <w:t xml:space="preserve"> individuals recruited from the local population</w:t>
      </w:r>
      <w:r w:rsidR="00591F66" w:rsidRPr="000876F9">
        <w:rPr>
          <w:rFonts w:asciiTheme="majorHAnsi" w:eastAsia="MS PGothic" w:hAnsiTheme="majorHAnsi" w:cstheme="majorHAnsi"/>
          <w:sz w:val="24"/>
          <w:szCs w:val="24"/>
        </w:rPr>
        <w:t xml:space="preserve"> (120 men, 214 </w:t>
      </w:r>
      <w:r w:rsidR="00FA6B33" w:rsidRPr="000876F9">
        <w:rPr>
          <w:rFonts w:asciiTheme="majorHAnsi" w:eastAsia="MS PGothic" w:hAnsiTheme="majorHAnsi" w:cstheme="majorHAnsi"/>
          <w:sz w:val="24"/>
          <w:szCs w:val="24"/>
        </w:rPr>
        <w:t>women;</w:t>
      </w:r>
      <w:r w:rsidR="00591F66" w:rsidRPr="000876F9">
        <w:rPr>
          <w:rFonts w:asciiTheme="majorHAnsi" w:eastAsia="MS PGothic" w:hAnsiTheme="majorHAnsi" w:cstheme="majorHAnsi"/>
          <w:sz w:val="24"/>
          <w:szCs w:val="24"/>
        </w:rPr>
        <w:t xml:space="preserve"> mean age </w:t>
      </w:r>
      <w:r w:rsidR="00BD3206" w:rsidRPr="000876F9">
        <w:rPr>
          <w:rFonts w:asciiTheme="majorHAnsi" w:eastAsia="MS PGothic" w:hAnsiTheme="majorHAnsi" w:cstheme="majorHAnsi"/>
          <w:sz w:val="24"/>
          <w:szCs w:val="24"/>
        </w:rPr>
        <w:t>62.7</w:t>
      </w:r>
      <w:r w:rsidR="002857D2" w:rsidRPr="000876F9">
        <w:rPr>
          <w:rFonts w:asciiTheme="majorHAnsi" w:eastAsia="MS PGothic" w:hAnsiTheme="majorHAnsi" w:cstheme="majorHAnsi"/>
          <w:sz w:val="24"/>
          <w:szCs w:val="24"/>
        </w:rPr>
        <w:t xml:space="preserve"> years</w:t>
      </w:r>
      <w:r w:rsidR="00FA6B33" w:rsidRPr="000876F9">
        <w:rPr>
          <w:rFonts w:asciiTheme="majorHAnsi" w:eastAsia="MS PGothic" w:hAnsiTheme="majorHAnsi" w:cstheme="majorHAnsi"/>
          <w:sz w:val="24"/>
          <w:szCs w:val="24"/>
        </w:rPr>
        <w:t>;</w:t>
      </w:r>
      <w:r w:rsidR="002857D2" w:rsidRPr="000876F9">
        <w:rPr>
          <w:rFonts w:asciiTheme="majorHAnsi" w:eastAsia="MS PGothic" w:hAnsiTheme="majorHAnsi" w:cstheme="majorHAnsi"/>
          <w:sz w:val="24"/>
          <w:szCs w:val="24"/>
        </w:rPr>
        <w:t xml:space="preserve"> range 40-75</w:t>
      </w:r>
      <w:r w:rsidR="00FA6B33" w:rsidRPr="000876F9">
        <w:rPr>
          <w:rFonts w:asciiTheme="majorHAnsi" w:eastAsia="MS PGothic" w:hAnsiTheme="majorHAnsi" w:cstheme="majorHAnsi"/>
          <w:sz w:val="24"/>
          <w:szCs w:val="24"/>
        </w:rPr>
        <w:t>)</w:t>
      </w:r>
      <w:r w:rsidR="002857D2" w:rsidRPr="000876F9">
        <w:rPr>
          <w:rFonts w:asciiTheme="majorHAnsi" w:eastAsia="MS PGothic" w:hAnsiTheme="majorHAnsi" w:cstheme="majorHAnsi"/>
          <w:sz w:val="24"/>
          <w:szCs w:val="24"/>
        </w:rPr>
        <w:t xml:space="preserve">. </w:t>
      </w:r>
      <w:r w:rsidR="006F7FB7" w:rsidRPr="000876F9">
        <w:rPr>
          <w:rFonts w:asciiTheme="majorHAnsi" w:eastAsia="MS PGothic" w:hAnsiTheme="majorHAnsi" w:cstheme="majorHAnsi"/>
          <w:sz w:val="24"/>
          <w:szCs w:val="24"/>
        </w:rPr>
        <w:t>Low back pain</w:t>
      </w:r>
      <w:r w:rsidR="006E43E1" w:rsidRPr="000876F9">
        <w:rPr>
          <w:rFonts w:asciiTheme="majorHAnsi" w:eastAsia="MS PGothic" w:hAnsiTheme="majorHAnsi" w:cstheme="majorHAnsi"/>
          <w:sz w:val="24"/>
          <w:szCs w:val="24"/>
        </w:rPr>
        <w:t xml:space="preserve"> (LBP)</w:t>
      </w:r>
      <w:r w:rsidR="006F7FB7" w:rsidRPr="000876F9">
        <w:rPr>
          <w:rFonts w:asciiTheme="majorHAnsi" w:eastAsia="MS PGothic" w:hAnsiTheme="majorHAnsi" w:cstheme="majorHAnsi"/>
          <w:sz w:val="24"/>
          <w:szCs w:val="24"/>
        </w:rPr>
        <w:t xml:space="preserve"> was assessed by questionnaire, and lumbar spinal stenosis (LSS) was diagnosed using a validated lumbar spinal stenosis support tool. </w:t>
      </w:r>
      <w:r w:rsidR="006E43E1" w:rsidRPr="000876F9">
        <w:rPr>
          <w:rFonts w:asciiTheme="majorHAnsi" w:eastAsia="MS PGothic" w:hAnsiTheme="majorHAnsi" w:cstheme="majorHAnsi"/>
          <w:sz w:val="24"/>
          <w:szCs w:val="24"/>
        </w:rPr>
        <w:t xml:space="preserve">Knee osteoarthritis (KOA) was diagnosed by the presence of clinical knee pain plus radiographic KOA. Spinal radiographs were used to assess the degree of lumbar lordosis (LL) and sagittal vertical alignment (SVA). </w:t>
      </w:r>
      <w:r w:rsidR="004B58DB" w:rsidRPr="000876F9">
        <w:rPr>
          <w:rFonts w:asciiTheme="majorHAnsi" w:eastAsia="MS PGothic" w:hAnsiTheme="majorHAnsi" w:cstheme="majorHAnsi"/>
          <w:sz w:val="24"/>
          <w:szCs w:val="24"/>
        </w:rPr>
        <w:t>QOL assessment</w:t>
      </w:r>
      <w:r w:rsidR="00FA6B33" w:rsidRPr="000876F9">
        <w:rPr>
          <w:rFonts w:asciiTheme="majorHAnsi" w:eastAsia="MS PGothic" w:hAnsiTheme="majorHAnsi" w:cstheme="majorHAnsi"/>
          <w:sz w:val="24"/>
          <w:szCs w:val="24"/>
        </w:rPr>
        <w:t xml:space="preserve"> was performed using the</w:t>
      </w:r>
      <w:r w:rsidR="00F64724" w:rsidRPr="000876F9">
        <w:rPr>
          <w:rFonts w:asciiTheme="majorHAnsi" w:eastAsia="MS PGothic" w:hAnsiTheme="majorHAnsi" w:cstheme="majorHAnsi"/>
          <w:sz w:val="24"/>
          <w:szCs w:val="24"/>
        </w:rPr>
        <w:t xml:space="preserve"> </w:t>
      </w:r>
      <w:r w:rsidR="004B58DB" w:rsidRPr="000876F9">
        <w:rPr>
          <w:rFonts w:asciiTheme="majorHAnsi" w:eastAsia="MS PGothic" w:hAnsiTheme="majorHAnsi" w:cstheme="majorHAnsi"/>
          <w:sz w:val="24"/>
          <w:szCs w:val="24"/>
        </w:rPr>
        <w:t>Oswestry Disability Index</w:t>
      </w:r>
      <w:r w:rsidR="003D58BD" w:rsidRPr="000876F9">
        <w:rPr>
          <w:rFonts w:asciiTheme="majorHAnsi" w:eastAsia="MS PGothic" w:hAnsiTheme="majorHAnsi" w:cstheme="majorHAnsi"/>
          <w:sz w:val="24"/>
          <w:szCs w:val="24"/>
        </w:rPr>
        <w:t xml:space="preserve"> (ODI)</w:t>
      </w:r>
      <w:r w:rsidR="00FA6B33" w:rsidRPr="000876F9">
        <w:rPr>
          <w:rFonts w:asciiTheme="majorHAnsi" w:eastAsia="MS PGothic" w:hAnsiTheme="majorHAnsi" w:cstheme="majorHAnsi"/>
          <w:sz w:val="24"/>
          <w:szCs w:val="24"/>
        </w:rPr>
        <w:t xml:space="preserve">. A score of </w:t>
      </w:r>
      <w:r w:rsidR="004B58DB" w:rsidRPr="000876F9">
        <w:rPr>
          <w:rFonts w:asciiTheme="majorHAnsi" w:eastAsia="MS PGothic" w:hAnsiTheme="majorHAnsi" w:cstheme="majorHAnsi"/>
          <w:sz w:val="24"/>
          <w:szCs w:val="24"/>
        </w:rPr>
        <w:t xml:space="preserve">12 </w:t>
      </w:r>
      <w:r w:rsidR="00FA6B33" w:rsidRPr="000876F9">
        <w:rPr>
          <w:rFonts w:asciiTheme="majorHAnsi" w:eastAsia="MS PGothic" w:hAnsiTheme="majorHAnsi" w:cstheme="majorHAnsi"/>
          <w:sz w:val="24"/>
          <w:szCs w:val="24"/>
        </w:rPr>
        <w:t xml:space="preserve">was used </w:t>
      </w:r>
      <w:r w:rsidR="004B58DB" w:rsidRPr="000876F9">
        <w:rPr>
          <w:rFonts w:asciiTheme="majorHAnsi" w:eastAsia="MS PGothic" w:hAnsiTheme="majorHAnsi" w:cstheme="majorHAnsi"/>
          <w:sz w:val="24"/>
          <w:szCs w:val="24"/>
        </w:rPr>
        <w:t>as a cut-p</w:t>
      </w:r>
      <w:r w:rsidR="00FA6B33" w:rsidRPr="000876F9">
        <w:rPr>
          <w:rFonts w:asciiTheme="majorHAnsi" w:eastAsia="MS PGothic" w:hAnsiTheme="majorHAnsi" w:cstheme="majorHAnsi"/>
          <w:sz w:val="24"/>
          <w:szCs w:val="24"/>
        </w:rPr>
        <w:t>o</w:t>
      </w:r>
      <w:r w:rsidR="004B58DB" w:rsidRPr="000876F9">
        <w:rPr>
          <w:rFonts w:asciiTheme="majorHAnsi" w:eastAsia="MS PGothic" w:hAnsiTheme="majorHAnsi" w:cstheme="majorHAnsi"/>
          <w:sz w:val="24"/>
          <w:szCs w:val="24"/>
        </w:rPr>
        <w:t>int</w:t>
      </w:r>
      <w:r w:rsidR="00135F4B" w:rsidRPr="000876F9">
        <w:rPr>
          <w:rFonts w:asciiTheme="majorHAnsi" w:eastAsia="MS PGothic" w:hAnsiTheme="majorHAnsi" w:cstheme="majorHAnsi"/>
          <w:sz w:val="24"/>
          <w:szCs w:val="24"/>
        </w:rPr>
        <w:t xml:space="preserve"> for poor quality of life</w:t>
      </w:r>
      <w:r w:rsidR="003D58BD" w:rsidRPr="000876F9">
        <w:rPr>
          <w:rFonts w:asciiTheme="majorHAnsi" w:eastAsia="MS PGothic" w:hAnsiTheme="majorHAnsi" w:cstheme="majorHAnsi"/>
          <w:sz w:val="24"/>
          <w:szCs w:val="24"/>
        </w:rPr>
        <w:t>.</w:t>
      </w:r>
      <w:r w:rsidR="006F7FB7" w:rsidRPr="000876F9">
        <w:rPr>
          <w:rFonts w:asciiTheme="majorHAnsi" w:eastAsia="MS PGothic" w:hAnsiTheme="majorHAnsi" w:cstheme="majorHAnsi"/>
          <w:sz w:val="24"/>
          <w:szCs w:val="24"/>
        </w:rPr>
        <w:t xml:space="preserve"> </w:t>
      </w:r>
    </w:p>
    <w:p w14:paraId="2953C00C" w14:textId="4E81520B" w:rsidR="004B58DB" w:rsidRPr="000876F9" w:rsidRDefault="004B58DB"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b/>
          <w:sz w:val="24"/>
          <w:szCs w:val="24"/>
        </w:rPr>
        <w:t>Res</w:t>
      </w:r>
      <w:r w:rsidR="00A0386E" w:rsidRPr="000876F9">
        <w:rPr>
          <w:rFonts w:asciiTheme="majorHAnsi" w:eastAsia="MS PGothic" w:hAnsiTheme="majorHAnsi" w:cstheme="majorHAnsi"/>
          <w:b/>
          <w:sz w:val="24"/>
          <w:szCs w:val="24"/>
        </w:rPr>
        <w:t>ults:</w:t>
      </w:r>
      <w:r w:rsidR="00A0386E" w:rsidRPr="000876F9">
        <w:rPr>
          <w:rFonts w:asciiTheme="majorHAnsi" w:eastAsia="MS PGothic" w:hAnsiTheme="majorHAnsi" w:cstheme="majorHAnsi"/>
          <w:sz w:val="24"/>
          <w:szCs w:val="24"/>
        </w:rPr>
        <w:t xml:space="preserve"> 1</w:t>
      </w:r>
      <w:r w:rsidR="00994B41" w:rsidRPr="000876F9">
        <w:rPr>
          <w:rFonts w:asciiTheme="majorHAnsi" w:eastAsia="MS PGothic" w:hAnsiTheme="majorHAnsi" w:cstheme="majorHAnsi"/>
          <w:sz w:val="24"/>
          <w:szCs w:val="24"/>
        </w:rPr>
        <w:t>0</w:t>
      </w:r>
      <w:r w:rsidR="00A0386E" w:rsidRPr="000876F9">
        <w:rPr>
          <w:rFonts w:asciiTheme="majorHAnsi" w:eastAsia="MS PGothic" w:hAnsiTheme="majorHAnsi" w:cstheme="majorHAnsi"/>
          <w:sz w:val="24"/>
          <w:szCs w:val="24"/>
        </w:rPr>
        <w:t xml:space="preserve">7 (32.0%) participants </w:t>
      </w:r>
      <w:r w:rsidR="00EF2AB6" w:rsidRPr="000876F9">
        <w:rPr>
          <w:rFonts w:asciiTheme="majorHAnsi" w:eastAsia="MS PGothic" w:hAnsiTheme="majorHAnsi" w:cstheme="majorHAnsi"/>
          <w:sz w:val="24"/>
          <w:szCs w:val="24"/>
        </w:rPr>
        <w:t>had an</w:t>
      </w:r>
      <w:r w:rsidR="00F64724" w:rsidRPr="000876F9">
        <w:rPr>
          <w:rFonts w:asciiTheme="majorHAnsi" w:eastAsia="MS PGothic" w:hAnsiTheme="majorHAnsi" w:cstheme="majorHAnsi"/>
          <w:sz w:val="24"/>
          <w:szCs w:val="24"/>
        </w:rPr>
        <w:t xml:space="preserve"> </w:t>
      </w:r>
      <w:r w:rsidR="00A0386E" w:rsidRPr="000876F9">
        <w:rPr>
          <w:rFonts w:asciiTheme="majorHAnsi" w:eastAsia="MS PGothic" w:hAnsiTheme="majorHAnsi" w:cstheme="majorHAnsi"/>
          <w:sz w:val="24"/>
          <w:szCs w:val="24"/>
        </w:rPr>
        <w:t xml:space="preserve">ODI &gt; 12 (cases) and the remaining 227 individuals </w:t>
      </w:r>
      <w:r w:rsidR="00EF2AB6" w:rsidRPr="000876F9">
        <w:rPr>
          <w:rFonts w:asciiTheme="majorHAnsi" w:eastAsia="MS PGothic" w:hAnsiTheme="majorHAnsi" w:cstheme="majorHAnsi"/>
          <w:sz w:val="24"/>
          <w:szCs w:val="24"/>
        </w:rPr>
        <w:t>were designated</w:t>
      </w:r>
      <w:r w:rsidR="00A0386E" w:rsidRPr="000876F9">
        <w:rPr>
          <w:rFonts w:asciiTheme="majorHAnsi" w:eastAsia="MS PGothic" w:hAnsiTheme="majorHAnsi" w:cstheme="majorHAnsi"/>
          <w:sz w:val="24"/>
          <w:szCs w:val="24"/>
        </w:rPr>
        <w:t xml:space="preserve"> controls.</w:t>
      </w:r>
      <w:r w:rsidR="006F7FB7" w:rsidRPr="000876F9">
        <w:rPr>
          <w:rFonts w:asciiTheme="majorHAnsi" w:eastAsia="MS PGothic" w:hAnsiTheme="majorHAnsi" w:cstheme="majorHAnsi"/>
          <w:sz w:val="24"/>
          <w:szCs w:val="24"/>
        </w:rPr>
        <w:t xml:space="preserve"> </w:t>
      </w:r>
      <w:r w:rsidR="006E43E1" w:rsidRPr="000876F9">
        <w:rPr>
          <w:rFonts w:asciiTheme="majorHAnsi" w:eastAsia="MS PGothic" w:hAnsiTheme="majorHAnsi" w:cstheme="majorHAnsi"/>
          <w:sz w:val="24"/>
          <w:szCs w:val="24"/>
        </w:rPr>
        <w:t>LBP</w:t>
      </w:r>
      <w:r w:rsidR="00A0386E" w:rsidRPr="000876F9">
        <w:rPr>
          <w:rFonts w:asciiTheme="majorHAnsi" w:eastAsia="MS PGothic" w:hAnsiTheme="majorHAnsi" w:cstheme="majorHAnsi"/>
          <w:sz w:val="24"/>
          <w:szCs w:val="24"/>
        </w:rPr>
        <w:t xml:space="preserve">, LSS, KOA and lumbar lordosis (LL) </w:t>
      </w:r>
      <w:r w:rsidR="006F7FB7" w:rsidRPr="000876F9">
        <w:rPr>
          <w:rFonts w:asciiTheme="majorHAnsi" w:eastAsia="MS PGothic" w:hAnsiTheme="majorHAnsi" w:cstheme="majorHAnsi"/>
          <w:sz w:val="24"/>
          <w:szCs w:val="24"/>
        </w:rPr>
        <w:t xml:space="preserve">were associated with an increased odds of </w:t>
      </w:r>
      <w:r w:rsidR="00047099" w:rsidRPr="000876F9">
        <w:rPr>
          <w:rFonts w:asciiTheme="majorHAnsi" w:eastAsia="MS PGothic" w:hAnsiTheme="majorHAnsi" w:cstheme="majorHAnsi"/>
          <w:sz w:val="24"/>
          <w:szCs w:val="24"/>
        </w:rPr>
        <w:t>poorer</w:t>
      </w:r>
      <w:r w:rsidR="00A0386E" w:rsidRPr="000876F9">
        <w:rPr>
          <w:rFonts w:asciiTheme="majorHAnsi" w:eastAsia="MS PGothic" w:hAnsiTheme="majorHAnsi" w:cstheme="majorHAnsi"/>
          <w:sz w:val="24"/>
          <w:szCs w:val="24"/>
        </w:rPr>
        <w:t xml:space="preserve"> QOL</w:t>
      </w:r>
      <w:r w:rsidR="00047099" w:rsidRPr="000876F9">
        <w:rPr>
          <w:rFonts w:asciiTheme="majorHAnsi" w:eastAsia="MS PGothic" w:hAnsiTheme="majorHAnsi" w:cstheme="majorHAnsi"/>
          <w:sz w:val="24"/>
          <w:szCs w:val="24"/>
        </w:rPr>
        <w:t xml:space="preserve">, both in basic models and models adjusted for age, sex and BMI. Associations persisted after adjustment for the other musculoskeletal outcomes. </w:t>
      </w:r>
    </w:p>
    <w:p w14:paraId="01D96001" w14:textId="7F2B2CC6" w:rsidR="00A0386E" w:rsidRPr="000876F9" w:rsidRDefault="00541952"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b/>
          <w:sz w:val="24"/>
          <w:szCs w:val="24"/>
        </w:rPr>
        <w:t>Conclusion:</w:t>
      </w:r>
      <w:r w:rsidR="00E62E31" w:rsidRPr="000876F9">
        <w:rPr>
          <w:rFonts w:asciiTheme="majorHAnsi" w:eastAsia="MS PGothic" w:hAnsiTheme="majorHAnsi" w:cstheme="majorHAnsi"/>
          <w:sz w:val="24"/>
          <w:szCs w:val="24"/>
        </w:rPr>
        <w:t xml:space="preserve"> </w:t>
      </w:r>
      <w:r w:rsidR="000E7133" w:rsidRPr="000876F9">
        <w:rPr>
          <w:rFonts w:asciiTheme="majorHAnsi" w:eastAsia="MS PGothic" w:hAnsiTheme="majorHAnsi" w:cstheme="majorHAnsi"/>
          <w:sz w:val="24"/>
          <w:szCs w:val="24"/>
        </w:rPr>
        <w:t>In a free-living Japanese population, the odds of poor quality of life are increased by LBP, LSS, KOA and certain spinal radiographic features, loss of LL and increased SVA. The odds of poor quality of life were greatest in those with the diagnoses of LSS or KOA. From spinal radiographs, d</w:t>
      </w:r>
      <w:r w:rsidR="00E62E31" w:rsidRPr="000876F9">
        <w:rPr>
          <w:rFonts w:asciiTheme="majorHAnsi" w:eastAsia="MS PGothic" w:hAnsiTheme="majorHAnsi" w:cstheme="majorHAnsi"/>
          <w:sz w:val="24"/>
          <w:szCs w:val="24"/>
        </w:rPr>
        <w:t>ecreasing LL</w:t>
      </w:r>
      <w:r w:rsidR="000E7133" w:rsidRPr="000876F9">
        <w:rPr>
          <w:rFonts w:asciiTheme="majorHAnsi" w:eastAsia="MS PGothic" w:hAnsiTheme="majorHAnsi" w:cstheme="majorHAnsi"/>
          <w:sz w:val="24"/>
          <w:szCs w:val="24"/>
        </w:rPr>
        <w:t xml:space="preserve"> and increased SVA were also predictors of poor QOL.</w:t>
      </w:r>
    </w:p>
    <w:p w14:paraId="3F5CF6C4" w14:textId="77777777" w:rsidR="00773969" w:rsidRPr="000876F9" w:rsidRDefault="00773969" w:rsidP="00B26F1C">
      <w:pPr>
        <w:adjustRightInd w:val="0"/>
        <w:snapToGrid w:val="0"/>
        <w:spacing w:line="480" w:lineRule="auto"/>
        <w:jc w:val="left"/>
        <w:rPr>
          <w:rFonts w:asciiTheme="majorHAnsi" w:eastAsia="MS PGothic" w:hAnsiTheme="majorHAnsi" w:cstheme="majorHAnsi"/>
          <w:b/>
          <w:sz w:val="24"/>
          <w:szCs w:val="24"/>
        </w:rPr>
      </w:pPr>
    </w:p>
    <w:p w14:paraId="3A33E490" w14:textId="56FA4ECF" w:rsidR="00B53E8D" w:rsidRPr="000876F9" w:rsidRDefault="0061519E"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Keywords</w:t>
      </w:r>
    </w:p>
    <w:p w14:paraId="5BAE3257" w14:textId="5A55A655" w:rsidR="0061519E" w:rsidRPr="000876F9" w:rsidRDefault="00C83A13"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Locomotive syndrome, low back pain, lumbar spinal stenosis, knee osteoarthritis, spinal alignment</w:t>
      </w:r>
    </w:p>
    <w:p w14:paraId="611BB933" w14:textId="77777777" w:rsidR="00511208" w:rsidRPr="000876F9" w:rsidRDefault="00511208" w:rsidP="00B26F1C">
      <w:pPr>
        <w:adjustRightInd w:val="0"/>
        <w:snapToGrid w:val="0"/>
        <w:spacing w:line="480" w:lineRule="auto"/>
        <w:jc w:val="left"/>
        <w:rPr>
          <w:rFonts w:asciiTheme="majorHAnsi" w:eastAsia="MS PGothic" w:hAnsiTheme="majorHAnsi" w:cstheme="majorHAnsi"/>
          <w:b/>
          <w:sz w:val="24"/>
          <w:szCs w:val="24"/>
        </w:rPr>
      </w:pPr>
    </w:p>
    <w:p w14:paraId="7F9CB550" w14:textId="77777777" w:rsidR="00511208" w:rsidRPr="000876F9" w:rsidRDefault="00511208" w:rsidP="00B26F1C">
      <w:pPr>
        <w:adjustRightInd w:val="0"/>
        <w:snapToGrid w:val="0"/>
        <w:spacing w:line="480" w:lineRule="auto"/>
        <w:jc w:val="left"/>
        <w:rPr>
          <w:rFonts w:asciiTheme="majorHAnsi" w:eastAsia="MS PGothic" w:hAnsiTheme="majorHAnsi" w:cstheme="majorHAnsi"/>
          <w:b/>
          <w:sz w:val="24"/>
          <w:szCs w:val="24"/>
        </w:rPr>
      </w:pPr>
    </w:p>
    <w:p w14:paraId="39E4AB75" w14:textId="77777777" w:rsidR="00511208" w:rsidRPr="000876F9" w:rsidRDefault="00511208" w:rsidP="00B26F1C">
      <w:pPr>
        <w:adjustRightInd w:val="0"/>
        <w:snapToGrid w:val="0"/>
        <w:spacing w:line="480" w:lineRule="auto"/>
        <w:jc w:val="left"/>
        <w:rPr>
          <w:rFonts w:asciiTheme="majorHAnsi" w:eastAsia="MS PGothic" w:hAnsiTheme="majorHAnsi" w:cstheme="majorHAnsi"/>
          <w:b/>
          <w:sz w:val="24"/>
          <w:szCs w:val="24"/>
        </w:rPr>
      </w:pPr>
    </w:p>
    <w:p w14:paraId="149288D7" w14:textId="77777777" w:rsidR="00511208" w:rsidRPr="000876F9" w:rsidRDefault="00511208" w:rsidP="00B26F1C">
      <w:pPr>
        <w:adjustRightInd w:val="0"/>
        <w:snapToGrid w:val="0"/>
        <w:spacing w:line="480" w:lineRule="auto"/>
        <w:jc w:val="left"/>
        <w:rPr>
          <w:rFonts w:asciiTheme="majorHAnsi" w:eastAsia="MS PGothic" w:hAnsiTheme="majorHAnsi" w:cstheme="majorHAnsi"/>
          <w:b/>
          <w:sz w:val="24"/>
          <w:szCs w:val="24"/>
        </w:rPr>
      </w:pPr>
    </w:p>
    <w:p w14:paraId="549851B5" w14:textId="77777777" w:rsidR="00511208" w:rsidRPr="000876F9" w:rsidRDefault="00511208" w:rsidP="00B26F1C">
      <w:pPr>
        <w:adjustRightInd w:val="0"/>
        <w:snapToGrid w:val="0"/>
        <w:spacing w:line="480" w:lineRule="auto"/>
        <w:jc w:val="left"/>
        <w:rPr>
          <w:rFonts w:asciiTheme="majorHAnsi" w:eastAsia="MS PGothic" w:hAnsiTheme="majorHAnsi" w:cstheme="majorHAnsi"/>
          <w:b/>
          <w:sz w:val="24"/>
          <w:szCs w:val="24"/>
        </w:rPr>
      </w:pPr>
    </w:p>
    <w:p w14:paraId="72837008" w14:textId="77777777" w:rsidR="00511208" w:rsidRPr="000876F9" w:rsidRDefault="00511208" w:rsidP="00B26F1C">
      <w:pPr>
        <w:adjustRightInd w:val="0"/>
        <w:snapToGrid w:val="0"/>
        <w:spacing w:line="480" w:lineRule="auto"/>
        <w:jc w:val="left"/>
        <w:rPr>
          <w:rFonts w:asciiTheme="majorHAnsi" w:eastAsia="MS PGothic" w:hAnsiTheme="majorHAnsi" w:cstheme="majorHAnsi"/>
          <w:b/>
          <w:sz w:val="24"/>
          <w:szCs w:val="24"/>
        </w:rPr>
      </w:pPr>
    </w:p>
    <w:p w14:paraId="376DD699" w14:textId="77777777" w:rsidR="00511208" w:rsidRPr="000876F9" w:rsidRDefault="00511208" w:rsidP="00B26F1C">
      <w:pPr>
        <w:adjustRightInd w:val="0"/>
        <w:snapToGrid w:val="0"/>
        <w:spacing w:line="480" w:lineRule="auto"/>
        <w:jc w:val="left"/>
        <w:rPr>
          <w:rFonts w:asciiTheme="majorHAnsi" w:eastAsia="MS PGothic" w:hAnsiTheme="majorHAnsi" w:cstheme="majorHAnsi"/>
          <w:b/>
          <w:sz w:val="24"/>
          <w:szCs w:val="24"/>
        </w:rPr>
      </w:pPr>
    </w:p>
    <w:p w14:paraId="5F5C8081" w14:textId="6F99EEFF" w:rsidR="00495C0B" w:rsidRPr="000876F9" w:rsidRDefault="007A317B"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Introduction</w:t>
      </w:r>
    </w:p>
    <w:p w14:paraId="4F58BFD5" w14:textId="5397A6C6" w:rsidR="00FF6DCC" w:rsidRPr="000876F9" w:rsidRDefault="00773969"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As a result of population ageing and increasing life expectancy in many countries, including Japan, </w:t>
      </w:r>
      <w:r w:rsidR="0057280E" w:rsidRPr="000876F9">
        <w:rPr>
          <w:rFonts w:asciiTheme="majorHAnsi" w:eastAsia="MS PGothic" w:hAnsiTheme="majorHAnsi" w:cstheme="majorHAnsi"/>
          <w:sz w:val="24"/>
          <w:szCs w:val="24"/>
        </w:rPr>
        <w:t>susceptibility to musculoskeletal disorders is increasing</w:t>
      </w:r>
      <w:r w:rsidR="0042203B" w:rsidRPr="000876F9">
        <w:rPr>
          <w:rFonts w:asciiTheme="majorHAnsi" w:eastAsia="MS PGothic" w:hAnsiTheme="majorHAnsi" w:cstheme="majorHAnsi"/>
          <w:sz w:val="24"/>
          <w:szCs w:val="24"/>
          <w:vertAlign w:val="superscript"/>
        </w:rPr>
        <w:t>1</w:t>
      </w:r>
      <w:r w:rsidR="0042203B" w:rsidRPr="000876F9">
        <w:rPr>
          <w:rFonts w:asciiTheme="majorHAnsi" w:eastAsia="MS PGothic" w:hAnsiTheme="majorHAnsi" w:cstheme="majorHAnsi"/>
          <w:sz w:val="24"/>
          <w:szCs w:val="24"/>
        </w:rPr>
        <w:t>.</w:t>
      </w:r>
      <w:r w:rsidR="0042203B" w:rsidRPr="000876F9">
        <w:rPr>
          <w:rFonts w:asciiTheme="majorHAnsi" w:eastAsia="MS PGothic" w:hAnsiTheme="majorHAnsi" w:cstheme="majorHAnsi"/>
          <w:sz w:val="24"/>
          <w:szCs w:val="24"/>
          <w:vertAlign w:val="superscript"/>
        </w:rPr>
        <w:t xml:space="preserve"> </w:t>
      </w:r>
      <w:r w:rsidR="00E50C53" w:rsidRPr="000876F9">
        <w:rPr>
          <w:rFonts w:asciiTheme="majorHAnsi" w:eastAsia="MS PGothic" w:hAnsiTheme="majorHAnsi" w:cstheme="majorHAnsi"/>
          <w:sz w:val="24"/>
          <w:szCs w:val="24"/>
          <w:vertAlign w:val="superscript"/>
        </w:rPr>
        <w:t xml:space="preserve"> </w:t>
      </w:r>
      <w:r w:rsidR="0057280E" w:rsidRPr="000876F9">
        <w:rPr>
          <w:rFonts w:asciiTheme="majorHAnsi" w:eastAsia="MS PGothic" w:hAnsiTheme="majorHAnsi" w:cstheme="majorHAnsi"/>
          <w:sz w:val="24"/>
          <w:szCs w:val="24"/>
        </w:rPr>
        <w:t xml:space="preserve">Musculoskeletal disorders represent the fourth largest contributer to disease burden in older people worldwide, after cardiovascular disease, malignant neoplasms and chronic respiratory diseases </w:t>
      </w:r>
      <w:r w:rsidR="0042203B" w:rsidRPr="000876F9">
        <w:rPr>
          <w:rFonts w:asciiTheme="majorHAnsi" w:eastAsia="MS PGothic" w:hAnsiTheme="majorHAnsi" w:cstheme="majorHAnsi"/>
          <w:sz w:val="24"/>
          <w:szCs w:val="24"/>
          <w:vertAlign w:val="superscript"/>
        </w:rPr>
        <w:t>2</w:t>
      </w:r>
      <w:r w:rsidR="0057280E" w:rsidRPr="000876F9">
        <w:rPr>
          <w:rFonts w:asciiTheme="majorHAnsi" w:eastAsia="MS PGothic" w:hAnsiTheme="majorHAnsi" w:cstheme="majorHAnsi"/>
          <w:sz w:val="24"/>
          <w:szCs w:val="24"/>
        </w:rPr>
        <w:t xml:space="preserve">. </w:t>
      </w:r>
      <w:r w:rsidRPr="000876F9">
        <w:rPr>
          <w:rFonts w:asciiTheme="majorHAnsi" w:eastAsia="MS PGothic" w:hAnsiTheme="majorHAnsi" w:cstheme="majorHAnsi"/>
          <w:sz w:val="24"/>
          <w:szCs w:val="24"/>
        </w:rPr>
        <w:t>Both osteoarthritis and conditions affecting the spine, such as lumbar spinal stenosis, are widely reported to be associated with poorer quality of life</w:t>
      </w:r>
      <w:r w:rsidR="0057280E" w:rsidRPr="000876F9">
        <w:rPr>
          <w:rFonts w:asciiTheme="majorHAnsi" w:eastAsia="MS PGothic" w:hAnsiTheme="majorHAnsi" w:cstheme="majorHAnsi"/>
          <w:sz w:val="24"/>
          <w:szCs w:val="24"/>
        </w:rPr>
        <w:t xml:space="preserve"> (QOL)</w:t>
      </w:r>
      <w:r w:rsidRPr="000876F9">
        <w:rPr>
          <w:rFonts w:asciiTheme="majorHAnsi" w:eastAsia="MS PGothic" w:hAnsiTheme="majorHAnsi" w:cstheme="majorHAnsi"/>
          <w:sz w:val="24"/>
          <w:szCs w:val="24"/>
        </w:rPr>
        <w:t>, disability, and mortality</w:t>
      </w:r>
      <w:r w:rsidR="0057280E" w:rsidRPr="000876F9">
        <w:rPr>
          <w:rFonts w:asciiTheme="majorHAnsi" w:eastAsia="MS PGothic" w:hAnsiTheme="majorHAnsi" w:cstheme="majorHAnsi"/>
          <w:sz w:val="24"/>
          <w:szCs w:val="24"/>
        </w:rPr>
        <w:t xml:space="preserve"> </w:t>
      </w:r>
      <w:r w:rsidR="0042203B" w:rsidRPr="000876F9">
        <w:rPr>
          <w:rFonts w:asciiTheme="majorHAnsi" w:eastAsia="MS PGothic" w:hAnsiTheme="majorHAnsi" w:cstheme="majorHAnsi"/>
          <w:sz w:val="24"/>
          <w:szCs w:val="24"/>
          <w:vertAlign w:val="superscript"/>
        </w:rPr>
        <w:t>3</w:t>
      </w:r>
      <w:r w:rsidRPr="000876F9">
        <w:rPr>
          <w:rFonts w:asciiTheme="majorHAnsi" w:eastAsia="MS PGothic" w:hAnsiTheme="majorHAnsi" w:cstheme="majorHAnsi"/>
          <w:sz w:val="24"/>
          <w:szCs w:val="24"/>
        </w:rPr>
        <w:t xml:space="preserve">. </w:t>
      </w:r>
      <w:r w:rsidR="0087689E" w:rsidRPr="000876F9">
        <w:rPr>
          <w:rFonts w:asciiTheme="majorHAnsi" w:eastAsia="MS PGothic" w:hAnsiTheme="majorHAnsi" w:cstheme="majorHAnsi"/>
          <w:sz w:val="24"/>
          <w:szCs w:val="24"/>
        </w:rPr>
        <w:t>K</w:t>
      </w:r>
      <w:r w:rsidR="007A317B" w:rsidRPr="000876F9">
        <w:rPr>
          <w:rFonts w:asciiTheme="majorHAnsi" w:eastAsia="MS PGothic" w:hAnsiTheme="majorHAnsi" w:cstheme="majorHAnsi"/>
          <w:sz w:val="24"/>
          <w:szCs w:val="24"/>
        </w:rPr>
        <w:t>nee</w:t>
      </w:r>
      <w:r w:rsidR="00D3733A" w:rsidRPr="000876F9">
        <w:rPr>
          <w:rFonts w:asciiTheme="majorHAnsi" w:eastAsia="MS PGothic" w:hAnsiTheme="majorHAnsi" w:cstheme="majorHAnsi"/>
          <w:sz w:val="24"/>
          <w:szCs w:val="24"/>
        </w:rPr>
        <w:t xml:space="preserve"> osteoarthritis</w:t>
      </w:r>
      <w:r w:rsidR="00026605" w:rsidRPr="000876F9">
        <w:rPr>
          <w:rFonts w:asciiTheme="majorHAnsi" w:eastAsia="MS PGothic" w:hAnsiTheme="majorHAnsi" w:cstheme="majorHAnsi"/>
          <w:sz w:val="24"/>
          <w:szCs w:val="24"/>
        </w:rPr>
        <w:t xml:space="preserve"> (K</w:t>
      </w:r>
      <w:r w:rsidR="007A317B" w:rsidRPr="000876F9">
        <w:rPr>
          <w:rFonts w:asciiTheme="majorHAnsi" w:eastAsia="MS PGothic" w:hAnsiTheme="majorHAnsi" w:cstheme="majorHAnsi"/>
          <w:sz w:val="24"/>
          <w:szCs w:val="24"/>
        </w:rPr>
        <w:t>OA)</w:t>
      </w:r>
      <w:r w:rsidR="00D3733A" w:rsidRPr="000876F9">
        <w:rPr>
          <w:rFonts w:asciiTheme="majorHAnsi" w:eastAsia="MS PGothic" w:hAnsiTheme="majorHAnsi" w:cstheme="majorHAnsi"/>
          <w:sz w:val="24"/>
          <w:szCs w:val="24"/>
        </w:rPr>
        <w:t>,</w:t>
      </w:r>
      <w:r w:rsidR="007A317B" w:rsidRPr="000876F9">
        <w:rPr>
          <w:rFonts w:asciiTheme="majorHAnsi" w:eastAsia="MS PGothic" w:hAnsiTheme="majorHAnsi" w:cstheme="majorHAnsi"/>
          <w:sz w:val="24"/>
          <w:szCs w:val="24"/>
        </w:rPr>
        <w:t xml:space="preserve"> lumbar spinal stenosis (LSS)</w:t>
      </w:r>
      <w:r w:rsidR="00D3733A" w:rsidRPr="000876F9">
        <w:rPr>
          <w:rFonts w:asciiTheme="majorHAnsi" w:eastAsia="MS PGothic" w:hAnsiTheme="majorHAnsi" w:cstheme="majorHAnsi"/>
          <w:sz w:val="24"/>
          <w:szCs w:val="24"/>
        </w:rPr>
        <w:t xml:space="preserve"> and osteoporosis (OP) </w:t>
      </w:r>
      <w:r w:rsidR="007A317B" w:rsidRPr="000876F9">
        <w:rPr>
          <w:rFonts w:asciiTheme="majorHAnsi" w:eastAsia="MS PGothic" w:hAnsiTheme="majorHAnsi" w:cstheme="majorHAnsi"/>
          <w:sz w:val="24"/>
          <w:szCs w:val="24"/>
        </w:rPr>
        <w:t xml:space="preserve">are the three major musculoskeletal diseases which can lead to a condition known as </w:t>
      </w:r>
      <w:r w:rsidR="0057280E" w:rsidRPr="000876F9">
        <w:rPr>
          <w:rFonts w:asciiTheme="majorHAnsi" w:eastAsia="MS PGothic" w:hAnsiTheme="majorHAnsi" w:cstheme="majorHAnsi"/>
          <w:sz w:val="24"/>
          <w:szCs w:val="24"/>
        </w:rPr>
        <w:t>the “</w:t>
      </w:r>
      <w:r w:rsidR="007A317B" w:rsidRPr="000876F9">
        <w:rPr>
          <w:rFonts w:asciiTheme="majorHAnsi" w:eastAsia="MS PGothic" w:hAnsiTheme="majorHAnsi" w:cstheme="majorHAnsi"/>
          <w:sz w:val="24"/>
          <w:szCs w:val="24"/>
        </w:rPr>
        <w:t>locomotive syndrome</w:t>
      </w:r>
      <w:r w:rsidR="0057280E" w:rsidRPr="000876F9">
        <w:rPr>
          <w:rFonts w:asciiTheme="majorHAnsi" w:eastAsia="MS PGothic" w:hAnsiTheme="majorHAnsi" w:cstheme="majorHAnsi"/>
          <w:sz w:val="24"/>
          <w:szCs w:val="24"/>
        </w:rPr>
        <w:t>”, characterized by pain, a limitation of the range of joint mobility, deformation, reduced balance capability and a slower pa</w:t>
      </w:r>
      <w:r w:rsidR="00FF6DCC" w:rsidRPr="000876F9">
        <w:rPr>
          <w:rFonts w:asciiTheme="majorHAnsi" w:eastAsia="MS PGothic" w:hAnsiTheme="majorHAnsi" w:cstheme="majorHAnsi"/>
          <w:sz w:val="24"/>
          <w:szCs w:val="24"/>
        </w:rPr>
        <w:t>ce of walking</w:t>
      </w:r>
      <w:r w:rsidR="0042203B" w:rsidRPr="000876F9">
        <w:rPr>
          <w:rFonts w:asciiTheme="majorHAnsi" w:eastAsia="MS PGothic" w:hAnsiTheme="majorHAnsi" w:cstheme="majorHAnsi"/>
          <w:sz w:val="24"/>
          <w:szCs w:val="24"/>
        </w:rPr>
        <w:t xml:space="preserve"> </w:t>
      </w:r>
      <w:r w:rsidR="0042203B" w:rsidRPr="000876F9">
        <w:rPr>
          <w:rFonts w:asciiTheme="majorHAnsi" w:eastAsia="MS PGothic" w:hAnsiTheme="majorHAnsi" w:cstheme="majorHAnsi"/>
          <w:sz w:val="24"/>
          <w:szCs w:val="24"/>
          <w:vertAlign w:val="superscript"/>
        </w:rPr>
        <w:t>4</w:t>
      </w:r>
      <w:r w:rsidR="00FF6DCC" w:rsidRPr="000876F9">
        <w:rPr>
          <w:rFonts w:asciiTheme="majorHAnsi" w:eastAsia="MS PGothic" w:hAnsiTheme="majorHAnsi" w:cstheme="majorHAnsi"/>
          <w:sz w:val="24"/>
          <w:szCs w:val="24"/>
        </w:rPr>
        <w:t>.</w:t>
      </w:r>
      <w:r w:rsidR="007A317B" w:rsidRPr="000876F9">
        <w:rPr>
          <w:rFonts w:asciiTheme="majorHAnsi" w:eastAsia="MS PGothic" w:hAnsiTheme="majorHAnsi" w:cstheme="majorHAnsi"/>
          <w:sz w:val="24"/>
          <w:szCs w:val="24"/>
        </w:rPr>
        <w:t xml:space="preserve"> </w:t>
      </w:r>
      <w:r w:rsidR="00FF6DCC" w:rsidRPr="000876F9">
        <w:rPr>
          <w:rFonts w:asciiTheme="majorHAnsi" w:eastAsia="MS PGothic" w:hAnsiTheme="majorHAnsi" w:cstheme="majorHAnsi"/>
          <w:sz w:val="24"/>
          <w:szCs w:val="24"/>
        </w:rPr>
        <w:t>The s</w:t>
      </w:r>
      <w:r w:rsidR="007A317B" w:rsidRPr="000876F9">
        <w:rPr>
          <w:rFonts w:asciiTheme="majorHAnsi" w:eastAsia="MS PGothic" w:hAnsiTheme="majorHAnsi" w:cstheme="majorHAnsi"/>
          <w:sz w:val="24"/>
          <w:szCs w:val="24"/>
        </w:rPr>
        <w:t>ocioeconomic impact of these diseases is s</w:t>
      </w:r>
      <w:r w:rsidR="00B16D32" w:rsidRPr="000876F9">
        <w:rPr>
          <w:rFonts w:asciiTheme="majorHAnsi" w:eastAsia="MS PGothic" w:hAnsiTheme="majorHAnsi" w:cstheme="majorHAnsi"/>
          <w:sz w:val="24"/>
          <w:szCs w:val="24"/>
        </w:rPr>
        <w:t>ubstantial</w:t>
      </w:r>
      <w:r w:rsidR="00FF6DCC" w:rsidRPr="000876F9">
        <w:rPr>
          <w:rFonts w:asciiTheme="majorHAnsi" w:eastAsia="MS PGothic" w:hAnsiTheme="majorHAnsi" w:cstheme="majorHAnsi"/>
          <w:sz w:val="24"/>
          <w:szCs w:val="24"/>
        </w:rPr>
        <w:t>; at present, 4.5 million elderly (aged 65 or older) people in Japan require nursing care services</w:t>
      </w:r>
      <w:r w:rsidR="008B3A72" w:rsidRPr="000876F9">
        <w:rPr>
          <w:rFonts w:asciiTheme="majorHAnsi" w:eastAsia="MS PGothic" w:hAnsiTheme="majorHAnsi" w:cstheme="majorHAnsi"/>
          <w:sz w:val="24"/>
          <w:szCs w:val="24"/>
        </w:rPr>
        <w:t xml:space="preserve"> </w:t>
      </w:r>
      <w:r w:rsidR="008B3A72" w:rsidRPr="000876F9">
        <w:rPr>
          <w:rFonts w:asciiTheme="majorHAnsi" w:eastAsia="MS PGothic" w:hAnsiTheme="majorHAnsi" w:cstheme="majorHAnsi"/>
          <w:sz w:val="24"/>
          <w:szCs w:val="24"/>
          <w:vertAlign w:val="superscript"/>
        </w:rPr>
        <w:t>5</w:t>
      </w:r>
      <w:r w:rsidR="00FF6DCC" w:rsidRPr="000876F9">
        <w:rPr>
          <w:rFonts w:asciiTheme="majorHAnsi" w:eastAsia="MS PGothic" w:hAnsiTheme="majorHAnsi" w:cstheme="majorHAnsi"/>
          <w:sz w:val="24"/>
          <w:szCs w:val="24"/>
        </w:rPr>
        <w:t>, and this is set to increase dramatically as by 2055 the elderly are predicted to account for 40.5% of the country’s population</w:t>
      </w:r>
      <w:r w:rsidR="0042203B" w:rsidRPr="000876F9">
        <w:rPr>
          <w:rFonts w:asciiTheme="majorHAnsi" w:eastAsia="MS PGothic" w:hAnsiTheme="majorHAnsi" w:cstheme="majorHAnsi"/>
          <w:sz w:val="24"/>
          <w:szCs w:val="24"/>
        </w:rPr>
        <w:t xml:space="preserve"> </w:t>
      </w:r>
      <w:r w:rsidR="0042203B" w:rsidRPr="000876F9">
        <w:rPr>
          <w:rFonts w:asciiTheme="majorHAnsi" w:eastAsia="MS PGothic" w:hAnsiTheme="majorHAnsi" w:cstheme="majorHAnsi"/>
          <w:sz w:val="24"/>
          <w:szCs w:val="24"/>
          <w:vertAlign w:val="superscript"/>
        </w:rPr>
        <w:t>4</w:t>
      </w:r>
      <w:r w:rsidR="00B16D32" w:rsidRPr="000876F9">
        <w:rPr>
          <w:rFonts w:asciiTheme="majorHAnsi" w:eastAsia="MS PGothic" w:hAnsiTheme="majorHAnsi" w:cstheme="majorHAnsi"/>
          <w:sz w:val="24"/>
          <w:szCs w:val="24"/>
        </w:rPr>
        <w:t xml:space="preserve">. </w:t>
      </w:r>
    </w:p>
    <w:p w14:paraId="7ABAAD93" w14:textId="1F32208E" w:rsidR="00495C0B" w:rsidRPr="000876F9" w:rsidRDefault="00FF6DCC"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F</w:t>
      </w:r>
      <w:r w:rsidR="007A317B" w:rsidRPr="000876F9">
        <w:rPr>
          <w:rFonts w:asciiTheme="majorHAnsi" w:eastAsia="MS PGothic" w:hAnsiTheme="majorHAnsi" w:cstheme="majorHAnsi"/>
          <w:sz w:val="24"/>
          <w:szCs w:val="24"/>
        </w:rPr>
        <w:t>ew general population cohort studies</w:t>
      </w:r>
      <w:r w:rsidRPr="000876F9">
        <w:rPr>
          <w:rFonts w:asciiTheme="majorHAnsi" w:eastAsia="MS PGothic" w:hAnsiTheme="majorHAnsi" w:cstheme="majorHAnsi"/>
          <w:sz w:val="24"/>
          <w:szCs w:val="24"/>
        </w:rPr>
        <w:t xml:space="preserve"> to date in Japan have studied the conditions of knee osteoarthritis and lumbar spinal stenosis at the same time, and quantified their contribution to poor quality of life.</w:t>
      </w:r>
      <w:r w:rsidR="0065099B" w:rsidRPr="000876F9">
        <w:rPr>
          <w:rFonts w:asciiTheme="majorHAnsi" w:eastAsia="MS PGothic" w:hAnsiTheme="majorHAnsi" w:cstheme="majorHAnsi"/>
          <w:sz w:val="24"/>
          <w:szCs w:val="24"/>
        </w:rPr>
        <w:t xml:space="preserve"> Studies quantifying the link between quality of life and the degree of spinal malalignment, through loss of lumbar lordosis and increasing thoracic kyphosis, are also lacking. Thoracic kyphosis predicts an increased risk of mortality, low back pain (LBP), back muscle strength, difficulties with the activities of daily living, and other adverse health outcomes such as abdominal compression and impaired pulmonary function</w:t>
      </w:r>
      <w:r w:rsidR="00511208" w:rsidRPr="000876F9">
        <w:rPr>
          <w:rFonts w:asciiTheme="majorHAnsi" w:eastAsia="MS PGothic" w:hAnsiTheme="majorHAnsi" w:cstheme="majorHAnsi"/>
          <w:sz w:val="24"/>
          <w:szCs w:val="24"/>
        </w:rPr>
        <w:t xml:space="preserve"> </w:t>
      </w:r>
      <w:r w:rsidR="008B3A72" w:rsidRPr="000876F9">
        <w:rPr>
          <w:rFonts w:asciiTheme="majorHAnsi" w:eastAsia="MS PGothic" w:hAnsiTheme="majorHAnsi" w:cstheme="majorHAnsi"/>
          <w:sz w:val="24"/>
          <w:szCs w:val="24"/>
          <w:vertAlign w:val="superscript"/>
        </w:rPr>
        <w:t>6</w:t>
      </w:r>
      <w:r w:rsidR="0065099B" w:rsidRPr="000876F9">
        <w:rPr>
          <w:rFonts w:asciiTheme="majorHAnsi" w:eastAsia="MS PGothic" w:hAnsiTheme="majorHAnsi" w:cstheme="majorHAnsi"/>
          <w:sz w:val="24"/>
          <w:szCs w:val="24"/>
        </w:rPr>
        <w:t>.</w:t>
      </w:r>
      <w:r w:rsidR="00E50C53" w:rsidRPr="000876F9">
        <w:rPr>
          <w:rFonts w:asciiTheme="majorHAnsi" w:eastAsia="MS PGothic" w:hAnsiTheme="majorHAnsi" w:cstheme="majorHAnsi"/>
          <w:sz w:val="24"/>
          <w:szCs w:val="24"/>
        </w:rPr>
        <w:t xml:space="preserve"> </w:t>
      </w:r>
      <w:r w:rsidR="00BC4ACD" w:rsidRPr="000876F9">
        <w:rPr>
          <w:rFonts w:asciiTheme="majorHAnsi" w:eastAsia="MS PGothic" w:hAnsiTheme="majorHAnsi" w:cstheme="majorHAnsi"/>
          <w:sz w:val="24"/>
          <w:szCs w:val="24"/>
        </w:rPr>
        <w:t xml:space="preserve">We believe that it is critical to develop a comprehensive understanding of these conditions </w:t>
      </w:r>
      <w:r w:rsidRPr="000876F9">
        <w:rPr>
          <w:rFonts w:asciiTheme="majorHAnsi" w:eastAsia="MS PGothic" w:hAnsiTheme="majorHAnsi" w:cstheme="majorHAnsi"/>
          <w:sz w:val="24"/>
          <w:szCs w:val="24"/>
        </w:rPr>
        <w:t xml:space="preserve">- </w:t>
      </w:r>
      <w:r w:rsidR="00BC4ACD" w:rsidRPr="000876F9">
        <w:rPr>
          <w:rFonts w:asciiTheme="majorHAnsi" w:eastAsia="MS PGothic" w:hAnsiTheme="majorHAnsi" w:cstheme="majorHAnsi"/>
          <w:sz w:val="24"/>
          <w:szCs w:val="24"/>
        </w:rPr>
        <w:t>not only through treating geriatric musculoskeletal disorders, but also by understanding how these diseases complicate or lead to each other</w:t>
      </w:r>
      <w:r w:rsidR="0065099B" w:rsidRPr="000876F9">
        <w:rPr>
          <w:rFonts w:asciiTheme="majorHAnsi" w:eastAsia="MS PGothic" w:hAnsiTheme="majorHAnsi" w:cstheme="majorHAnsi"/>
          <w:sz w:val="24"/>
          <w:szCs w:val="24"/>
        </w:rPr>
        <w:t>, and impact the quality of life of the individuals affected.</w:t>
      </w:r>
    </w:p>
    <w:p w14:paraId="116F3645" w14:textId="77777777" w:rsidR="00761717" w:rsidRPr="000876F9" w:rsidRDefault="00761717" w:rsidP="00B26F1C">
      <w:pPr>
        <w:adjustRightInd w:val="0"/>
        <w:snapToGrid w:val="0"/>
        <w:spacing w:line="480" w:lineRule="auto"/>
        <w:jc w:val="left"/>
        <w:rPr>
          <w:rFonts w:asciiTheme="majorHAnsi" w:eastAsia="MS PGothic" w:hAnsiTheme="majorHAnsi" w:cstheme="majorHAnsi"/>
          <w:sz w:val="24"/>
          <w:szCs w:val="24"/>
        </w:rPr>
      </w:pPr>
    </w:p>
    <w:p w14:paraId="513571F2" w14:textId="16B63FA2" w:rsidR="00495C0B" w:rsidRPr="000876F9" w:rsidRDefault="002A0942"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The Katsuragi Low Back Pain Study is a population</w:t>
      </w:r>
      <w:r w:rsidR="00121714" w:rsidRPr="000876F9">
        <w:rPr>
          <w:rFonts w:asciiTheme="majorHAnsi" w:eastAsia="MS PGothic" w:hAnsiTheme="majorHAnsi" w:cstheme="majorHAnsi"/>
          <w:sz w:val="24"/>
          <w:szCs w:val="24"/>
        </w:rPr>
        <w:t>-based</w:t>
      </w:r>
      <w:r w:rsidRPr="000876F9">
        <w:rPr>
          <w:rFonts w:asciiTheme="majorHAnsi" w:eastAsia="MS PGothic" w:hAnsiTheme="majorHAnsi" w:cstheme="majorHAnsi"/>
          <w:sz w:val="24"/>
          <w:szCs w:val="24"/>
        </w:rPr>
        <w:t xml:space="preserve"> cohort established in a region of</w:t>
      </w:r>
      <w:r w:rsidR="0065099B" w:rsidRPr="000876F9">
        <w:rPr>
          <w:rFonts w:asciiTheme="majorHAnsi" w:eastAsia="MS PGothic" w:hAnsiTheme="majorHAnsi" w:cstheme="majorHAnsi"/>
          <w:sz w:val="24"/>
          <w:szCs w:val="24"/>
        </w:rPr>
        <w:t xml:space="preserve"> Japan with a large number of elderly resi</w:t>
      </w:r>
      <w:r w:rsidR="00C0558B" w:rsidRPr="000876F9">
        <w:rPr>
          <w:rFonts w:asciiTheme="majorHAnsi" w:eastAsia="MS PGothic" w:hAnsiTheme="majorHAnsi" w:cstheme="majorHAnsi"/>
          <w:sz w:val="24"/>
          <w:szCs w:val="24"/>
        </w:rPr>
        <w:t xml:space="preserve">dents. </w:t>
      </w:r>
      <w:r w:rsidRPr="000876F9">
        <w:rPr>
          <w:rFonts w:asciiTheme="majorHAnsi" w:eastAsia="MS PGothic" w:hAnsiTheme="majorHAnsi" w:cstheme="majorHAnsi"/>
          <w:sz w:val="24"/>
          <w:szCs w:val="24"/>
        </w:rPr>
        <w:t>Through this study,</w:t>
      </w:r>
      <w:r w:rsidR="0065099B" w:rsidRPr="000876F9">
        <w:rPr>
          <w:rFonts w:asciiTheme="majorHAnsi" w:eastAsia="MS PGothic" w:hAnsiTheme="majorHAnsi" w:cstheme="majorHAnsi"/>
          <w:sz w:val="24"/>
          <w:szCs w:val="24"/>
        </w:rPr>
        <w:t xml:space="preserve"> we aimed to clarify the relationship between poo</w:t>
      </w:r>
      <w:r w:rsidR="00620C8B" w:rsidRPr="000876F9">
        <w:rPr>
          <w:rFonts w:asciiTheme="majorHAnsi" w:eastAsia="MS PGothic" w:hAnsiTheme="majorHAnsi" w:cstheme="majorHAnsi"/>
          <w:sz w:val="24"/>
          <w:szCs w:val="24"/>
        </w:rPr>
        <w:t>r quality of life and LBP, LSS</w:t>
      </w:r>
      <w:r w:rsidR="000F5042" w:rsidRPr="000876F9">
        <w:rPr>
          <w:rFonts w:asciiTheme="majorHAnsi" w:eastAsia="MS PGothic" w:hAnsiTheme="majorHAnsi" w:cstheme="majorHAnsi"/>
          <w:sz w:val="24"/>
          <w:szCs w:val="24"/>
        </w:rPr>
        <w:t xml:space="preserve">, KOA </w:t>
      </w:r>
      <w:r w:rsidR="0065099B" w:rsidRPr="000876F9">
        <w:rPr>
          <w:rFonts w:asciiTheme="majorHAnsi" w:eastAsia="MS PGothic" w:hAnsiTheme="majorHAnsi" w:cstheme="majorHAnsi"/>
          <w:sz w:val="24"/>
          <w:szCs w:val="24"/>
        </w:rPr>
        <w:t xml:space="preserve">and spinal radiographic features including lumbar lordosis (LL), thoracic kyphosis (TK) and sagittal vertical axis (SVA).  </w:t>
      </w:r>
      <w:r w:rsidR="007A317B" w:rsidRPr="000876F9">
        <w:rPr>
          <w:rFonts w:asciiTheme="majorHAnsi" w:eastAsia="MS PGothic" w:hAnsiTheme="majorHAnsi" w:cstheme="majorHAnsi"/>
          <w:sz w:val="24"/>
          <w:szCs w:val="24"/>
        </w:rPr>
        <w:t xml:space="preserve"> </w:t>
      </w:r>
    </w:p>
    <w:p w14:paraId="5FF421C3" w14:textId="77777777" w:rsidR="002C1F73" w:rsidRPr="000876F9" w:rsidRDefault="002C1F73" w:rsidP="00B26F1C">
      <w:pPr>
        <w:adjustRightInd w:val="0"/>
        <w:snapToGrid w:val="0"/>
        <w:spacing w:line="480" w:lineRule="auto"/>
        <w:jc w:val="left"/>
        <w:rPr>
          <w:rFonts w:asciiTheme="majorHAnsi" w:eastAsia="MS PGothic" w:hAnsiTheme="majorHAnsi" w:cstheme="majorHAnsi"/>
          <w:b/>
          <w:sz w:val="24"/>
          <w:szCs w:val="24"/>
        </w:rPr>
      </w:pPr>
    </w:p>
    <w:p w14:paraId="367AC0A8" w14:textId="5CC0802B" w:rsidR="00495C0B" w:rsidRPr="000876F9" w:rsidRDefault="004E2E38"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Method</w:t>
      </w:r>
      <w:r w:rsidR="002A0942" w:rsidRPr="000876F9">
        <w:rPr>
          <w:rFonts w:asciiTheme="majorHAnsi" w:eastAsia="MS PGothic" w:hAnsiTheme="majorHAnsi" w:cstheme="majorHAnsi"/>
          <w:b/>
          <w:sz w:val="24"/>
          <w:szCs w:val="24"/>
        </w:rPr>
        <w:t>s</w:t>
      </w:r>
    </w:p>
    <w:p w14:paraId="5F31E3AA" w14:textId="5865F177" w:rsidR="0038121C" w:rsidRPr="000876F9" w:rsidRDefault="003B1679"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Participants</w:t>
      </w:r>
    </w:p>
    <w:p w14:paraId="4643D24F" w14:textId="2938A31C" w:rsidR="00B57B1F" w:rsidRPr="000876F9" w:rsidRDefault="002A0942"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Participants are residents of </w:t>
      </w:r>
      <w:r w:rsidR="007A317B" w:rsidRPr="000876F9">
        <w:rPr>
          <w:rFonts w:asciiTheme="majorHAnsi" w:eastAsia="MS PGothic" w:hAnsiTheme="majorHAnsi" w:cstheme="majorHAnsi"/>
          <w:sz w:val="24"/>
          <w:szCs w:val="24"/>
        </w:rPr>
        <w:t>Katsuragi Town in Wakayama Prefecture</w:t>
      </w:r>
      <w:r w:rsidRPr="000876F9">
        <w:rPr>
          <w:rFonts w:asciiTheme="majorHAnsi" w:eastAsia="MS PGothic" w:hAnsiTheme="majorHAnsi" w:cstheme="majorHAnsi"/>
          <w:sz w:val="24"/>
          <w:szCs w:val="24"/>
        </w:rPr>
        <w:t>. Annual</w:t>
      </w:r>
      <w:r w:rsidR="007A317B" w:rsidRPr="000876F9">
        <w:rPr>
          <w:rFonts w:asciiTheme="majorHAnsi" w:eastAsia="MS PGothic" w:hAnsiTheme="majorHAnsi" w:cstheme="majorHAnsi"/>
          <w:sz w:val="24"/>
          <w:szCs w:val="24"/>
        </w:rPr>
        <w:t xml:space="preserve"> health examinations</w:t>
      </w:r>
      <w:r w:rsidRPr="000876F9">
        <w:rPr>
          <w:rFonts w:asciiTheme="majorHAnsi" w:eastAsia="MS PGothic" w:hAnsiTheme="majorHAnsi" w:cstheme="majorHAnsi"/>
          <w:sz w:val="24"/>
          <w:szCs w:val="24"/>
        </w:rPr>
        <w:t xml:space="preserve"> for older people are organized by the local government,</w:t>
      </w:r>
      <w:r w:rsidR="007A317B" w:rsidRPr="000876F9">
        <w:rPr>
          <w:rFonts w:asciiTheme="majorHAnsi" w:eastAsia="MS PGothic" w:hAnsiTheme="majorHAnsi" w:cstheme="majorHAnsi"/>
          <w:sz w:val="24"/>
          <w:szCs w:val="24"/>
        </w:rPr>
        <w:t xml:space="preserve"> </w:t>
      </w:r>
      <w:r w:rsidR="00E6309A" w:rsidRPr="000876F9">
        <w:rPr>
          <w:rFonts w:asciiTheme="majorHAnsi" w:eastAsia="MS PGothic" w:hAnsiTheme="majorHAnsi" w:cstheme="majorHAnsi"/>
          <w:sz w:val="24"/>
          <w:szCs w:val="24"/>
        </w:rPr>
        <w:t>which includes a physician consultation</w:t>
      </w:r>
      <w:r w:rsidR="007A317B" w:rsidRPr="000876F9">
        <w:rPr>
          <w:rFonts w:asciiTheme="majorHAnsi" w:eastAsia="MS PGothic" w:hAnsiTheme="majorHAnsi" w:cstheme="majorHAnsi"/>
          <w:sz w:val="24"/>
          <w:szCs w:val="24"/>
        </w:rPr>
        <w:t>. All residents are no</w:t>
      </w:r>
      <w:r w:rsidR="00715877" w:rsidRPr="000876F9">
        <w:rPr>
          <w:rFonts w:asciiTheme="majorHAnsi" w:eastAsia="MS PGothic" w:hAnsiTheme="majorHAnsi" w:cstheme="majorHAnsi"/>
          <w:sz w:val="24"/>
          <w:szCs w:val="24"/>
        </w:rPr>
        <w:t>tified</w:t>
      </w:r>
      <w:r w:rsidR="0038121C" w:rsidRPr="000876F9">
        <w:rPr>
          <w:rFonts w:asciiTheme="majorHAnsi" w:eastAsia="MS PGothic" w:hAnsiTheme="majorHAnsi" w:cstheme="majorHAnsi"/>
          <w:sz w:val="24"/>
          <w:szCs w:val="24"/>
        </w:rPr>
        <w:t xml:space="preserve"> by the letters from the government</w:t>
      </w:r>
      <w:r w:rsidR="00715877" w:rsidRPr="000876F9">
        <w:rPr>
          <w:rFonts w:asciiTheme="majorHAnsi" w:eastAsia="MS PGothic" w:hAnsiTheme="majorHAnsi" w:cstheme="majorHAnsi"/>
          <w:sz w:val="24"/>
          <w:szCs w:val="24"/>
        </w:rPr>
        <w:t xml:space="preserve">, and approximately 25% (about </w:t>
      </w:r>
      <w:r w:rsidR="0038121C" w:rsidRPr="000876F9">
        <w:rPr>
          <w:rFonts w:asciiTheme="majorHAnsi" w:eastAsia="MS PGothic" w:hAnsiTheme="majorHAnsi" w:cstheme="majorHAnsi"/>
          <w:sz w:val="24"/>
          <w:szCs w:val="24"/>
        </w:rPr>
        <w:t>4,500) participate</w:t>
      </w:r>
      <w:r w:rsidRPr="000876F9">
        <w:rPr>
          <w:rFonts w:asciiTheme="majorHAnsi" w:eastAsia="MS PGothic" w:hAnsiTheme="majorHAnsi" w:cstheme="majorHAnsi"/>
          <w:sz w:val="24"/>
          <w:szCs w:val="24"/>
        </w:rPr>
        <w:t xml:space="preserve"> in the annual health examinations</w:t>
      </w:r>
      <w:r w:rsidR="007A317B" w:rsidRPr="000876F9">
        <w:rPr>
          <w:rFonts w:asciiTheme="majorHAnsi" w:eastAsia="MS PGothic" w:hAnsiTheme="majorHAnsi" w:cstheme="majorHAnsi"/>
          <w:sz w:val="24"/>
          <w:szCs w:val="24"/>
        </w:rPr>
        <w:t>.</w:t>
      </w:r>
      <w:r w:rsidRPr="000876F9">
        <w:rPr>
          <w:rFonts w:asciiTheme="majorHAnsi" w:eastAsia="MS PGothic" w:hAnsiTheme="majorHAnsi" w:cstheme="majorHAnsi"/>
          <w:sz w:val="24"/>
          <w:szCs w:val="24"/>
        </w:rPr>
        <w:t xml:space="preserve"> From this group,</w:t>
      </w:r>
      <w:r w:rsidR="003317CF" w:rsidRPr="000876F9">
        <w:rPr>
          <w:rFonts w:asciiTheme="majorHAnsi" w:eastAsia="MS PGothic" w:hAnsiTheme="majorHAnsi" w:cstheme="majorHAnsi"/>
          <w:sz w:val="24"/>
          <w:szCs w:val="24"/>
        </w:rPr>
        <w:t xml:space="preserve"> </w:t>
      </w:r>
      <w:r w:rsidR="00121714" w:rsidRPr="000876F9">
        <w:rPr>
          <w:rFonts w:asciiTheme="majorHAnsi" w:eastAsia="MS PGothic" w:hAnsiTheme="majorHAnsi" w:cstheme="majorHAnsi"/>
          <w:sz w:val="24"/>
          <w:szCs w:val="24"/>
        </w:rPr>
        <w:t xml:space="preserve">353 </w:t>
      </w:r>
      <w:r w:rsidR="003317CF" w:rsidRPr="000876F9">
        <w:rPr>
          <w:rFonts w:asciiTheme="majorHAnsi" w:eastAsia="MS PGothic" w:hAnsiTheme="majorHAnsi" w:cstheme="majorHAnsi"/>
          <w:sz w:val="24"/>
          <w:szCs w:val="24"/>
        </w:rPr>
        <w:t>people provided written informed consent to join</w:t>
      </w:r>
      <w:r w:rsidRPr="000876F9">
        <w:rPr>
          <w:rFonts w:asciiTheme="majorHAnsi" w:eastAsia="MS PGothic" w:hAnsiTheme="majorHAnsi" w:cstheme="majorHAnsi"/>
          <w:sz w:val="24"/>
          <w:szCs w:val="24"/>
        </w:rPr>
        <w:t xml:space="preserve"> a cohort study organised</w:t>
      </w:r>
      <w:r w:rsidR="000645AC">
        <w:rPr>
          <w:rFonts w:asciiTheme="majorHAnsi" w:eastAsia="MS PGothic" w:hAnsiTheme="majorHAnsi" w:cstheme="majorHAnsi"/>
          <w:sz w:val="24"/>
          <w:szCs w:val="24"/>
        </w:rPr>
        <w:t xml:space="preserve"> by our university hospital</w:t>
      </w:r>
      <w:r w:rsidR="003317CF" w:rsidRPr="000876F9">
        <w:rPr>
          <w:rFonts w:asciiTheme="majorHAnsi" w:eastAsia="MS PGothic" w:hAnsiTheme="majorHAnsi" w:cstheme="majorHAnsi"/>
          <w:sz w:val="24"/>
          <w:szCs w:val="24"/>
        </w:rPr>
        <w:t xml:space="preserve"> from August 201</w:t>
      </w:r>
      <w:r w:rsidR="003A5684" w:rsidRPr="000876F9">
        <w:rPr>
          <w:rFonts w:asciiTheme="majorHAnsi" w:eastAsia="MS PGothic" w:hAnsiTheme="majorHAnsi" w:cstheme="majorHAnsi"/>
          <w:sz w:val="24"/>
          <w:szCs w:val="24"/>
        </w:rPr>
        <w:t>4</w:t>
      </w:r>
      <w:r w:rsidR="003317CF" w:rsidRPr="000876F9">
        <w:rPr>
          <w:rFonts w:asciiTheme="majorHAnsi" w:eastAsia="MS PGothic" w:hAnsiTheme="majorHAnsi" w:cstheme="majorHAnsi"/>
          <w:sz w:val="24"/>
          <w:szCs w:val="24"/>
        </w:rPr>
        <w:t xml:space="preserve">. </w:t>
      </w:r>
      <w:r w:rsidRPr="000876F9">
        <w:rPr>
          <w:rFonts w:asciiTheme="majorHAnsi" w:eastAsia="MS PGothic" w:hAnsiTheme="majorHAnsi" w:cstheme="majorHAnsi"/>
          <w:sz w:val="24"/>
          <w:szCs w:val="24"/>
        </w:rPr>
        <w:t xml:space="preserve">From this existing population cohort, we recruited participants to the </w:t>
      </w:r>
      <w:r w:rsidR="003317CF" w:rsidRPr="000876F9">
        <w:rPr>
          <w:rFonts w:asciiTheme="majorHAnsi" w:eastAsia="MS PGothic" w:hAnsiTheme="majorHAnsi" w:cstheme="majorHAnsi"/>
          <w:sz w:val="24"/>
          <w:szCs w:val="24"/>
        </w:rPr>
        <w:t xml:space="preserve">Katsuragi Low Back Pain </w:t>
      </w:r>
      <w:r w:rsidR="005A4700" w:rsidRPr="000876F9">
        <w:rPr>
          <w:rFonts w:asciiTheme="majorHAnsi" w:eastAsia="MS PGothic" w:hAnsiTheme="majorHAnsi" w:cstheme="majorHAnsi"/>
          <w:sz w:val="24"/>
          <w:szCs w:val="24"/>
        </w:rPr>
        <w:t xml:space="preserve">Study </w:t>
      </w:r>
      <w:r w:rsidR="003317CF" w:rsidRPr="000876F9">
        <w:rPr>
          <w:rFonts w:asciiTheme="majorHAnsi" w:eastAsia="MS PGothic" w:hAnsiTheme="majorHAnsi" w:cstheme="majorHAnsi"/>
          <w:sz w:val="24"/>
          <w:szCs w:val="24"/>
        </w:rPr>
        <w:t>in August 2014</w:t>
      </w:r>
      <w:r w:rsidRPr="000876F9">
        <w:rPr>
          <w:rFonts w:asciiTheme="majorHAnsi" w:eastAsia="MS PGothic" w:hAnsiTheme="majorHAnsi" w:cstheme="majorHAnsi"/>
          <w:sz w:val="24"/>
          <w:szCs w:val="24"/>
        </w:rPr>
        <w:t xml:space="preserve">. </w:t>
      </w:r>
      <w:r w:rsidR="003317CF" w:rsidRPr="000876F9">
        <w:rPr>
          <w:rFonts w:asciiTheme="majorHAnsi" w:eastAsia="MS PGothic" w:hAnsiTheme="majorHAnsi" w:cstheme="majorHAnsi"/>
          <w:sz w:val="24"/>
          <w:szCs w:val="24"/>
        </w:rPr>
        <w:t xml:space="preserve"> </w:t>
      </w:r>
    </w:p>
    <w:p w14:paraId="7272B986" w14:textId="6024D6A7" w:rsidR="00EA4CD3" w:rsidRPr="000876F9" w:rsidRDefault="005A4700" w:rsidP="00B26F1C">
      <w:pPr>
        <w:adjustRightInd w:val="0"/>
        <w:snapToGrid w:val="0"/>
        <w:spacing w:line="480" w:lineRule="auto"/>
        <w:jc w:val="left"/>
        <w:rPr>
          <w:rFonts w:asciiTheme="majorHAnsi" w:eastAsia="MS PGothic" w:hAnsiTheme="majorHAnsi" w:cstheme="majorHAnsi"/>
          <w:strike/>
          <w:sz w:val="24"/>
          <w:szCs w:val="24"/>
        </w:rPr>
      </w:pPr>
      <w:r w:rsidRPr="000876F9">
        <w:rPr>
          <w:rFonts w:asciiTheme="majorHAnsi" w:eastAsia="MS PGothic" w:hAnsiTheme="majorHAnsi" w:cstheme="majorHAnsi"/>
          <w:sz w:val="24"/>
          <w:szCs w:val="24"/>
        </w:rPr>
        <w:t>The 353 participants underwent careful phenotyping for musculoskeletal health, in addition to cardiovascular risk assessment, cognitive and depression assessments, and quality of life assessments. All assessments took place on the same day. In all participants w</w:t>
      </w:r>
      <w:r w:rsidR="000A1C1B" w:rsidRPr="000876F9">
        <w:rPr>
          <w:rFonts w:asciiTheme="majorHAnsi" w:eastAsia="MS PGothic" w:hAnsiTheme="majorHAnsi" w:cstheme="majorHAnsi"/>
          <w:sz w:val="24"/>
          <w:szCs w:val="24"/>
        </w:rPr>
        <w:t>e conducted physical measurements (body height, weight, blood pressure, body fat ratio</w:t>
      </w:r>
      <w:r w:rsidRPr="000876F9">
        <w:rPr>
          <w:rFonts w:asciiTheme="majorHAnsi" w:eastAsia="MS PGothic" w:hAnsiTheme="majorHAnsi" w:cstheme="majorHAnsi"/>
          <w:sz w:val="24"/>
          <w:szCs w:val="24"/>
        </w:rPr>
        <w:t>)</w:t>
      </w:r>
      <w:r w:rsidR="000A1C1B" w:rsidRPr="000876F9">
        <w:rPr>
          <w:rFonts w:asciiTheme="majorHAnsi" w:eastAsia="MS PGothic" w:hAnsiTheme="majorHAnsi" w:cstheme="majorHAnsi"/>
          <w:sz w:val="24"/>
          <w:szCs w:val="24"/>
        </w:rPr>
        <w:t xml:space="preserve">, </w:t>
      </w:r>
      <w:r w:rsidRPr="000876F9">
        <w:rPr>
          <w:rFonts w:asciiTheme="majorHAnsi" w:eastAsia="MS PGothic" w:hAnsiTheme="majorHAnsi" w:cstheme="majorHAnsi"/>
          <w:sz w:val="24"/>
          <w:szCs w:val="24"/>
        </w:rPr>
        <w:t xml:space="preserve">an </w:t>
      </w:r>
      <w:r w:rsidR="000A1C1B" w:rsidRPr="000876F9">
        <w:rPr>
          <w:rFonts w:asciiTheme="majorHAnsi" w:eastAsia="MS PGothic" w:hAnsiTheme="majorHAnsi" w:cstheme="majorHAnsi"/>
          <w:sz w:val="24"/>
          <w:szCs w:val="24"/>
        </w:rPr>
        <w:t xml:space="preserve">interview-based confirmation </w:t>
      </w:r>
      <w:r w:rsidRPr="000876F9">
        <w:rPr>
          <w:rFonts w:asciiTheme="majorHAnsi" w:eastAsia="MS PGothic" w:hAnsiTheme="majorHAnsi" w:cstheme="majorHAnsi"/>
          <w:sz w:val="24"/>
          <w:szCs w:val="24"/>
        </w:rPr>
        <w:t xml:space="preserve">of </w:t>
      </w:r>
      <w:r w:rsidR="000A1C1B" w:rsidRPr="000876F9">
        <w:rPr>
          <w:rFonts w:asciiTheme="majorHAnsi" w:eastAsia="MS PGothic" w:hAnsiTheme="majorHAnsi" w:cstheme="majorHAnsi"/>
          <w:sz w:val="24"/>
          <w:szCs w:val="24"/>
        </w:rPr>
        <w:t xml:space="preserve">occupation and past </w:t>
      </w:r>
      <w:r w:rsidRPr="000876F9">
        <w:rPr>
          <w:rFonts w:asciiTheme="majorHAnsi" w:eastAsia="MS PGothic" w:hAnsiTheme="majorHAnsi" w:cstheme="majorHAnsi"/>
          <w:sz w:val="24"/>
          <w:szCs w:val="24"/>
        </w:rPr>
        <w:t xml:space="preserve">medical </w:t>
      </w:r>
      <w:r w:rsidR="000A1C1B" w:rsidRPr="000876F9">
        <w:rPr>
          <w:rFonts w:asciiTheme="majorHAnsi" w:eastAsia="MS PGothic" w:hAnsiTheme="majorHAnsi" w:cstheme="majorHAnsi"/>
          <w:sz w:val="24"/>
          <w:szCs w:val="24"/>
        </w:rPr>
        <w:t xml:space="preserve">history, </w:t>
      </w:r>
      <w:r w:rsidR="00E6309A" w:rsidRPr="000876F9">
        <w:rPr>
          <w:rFonts w:asciiTheme="majorHAnsi" w:eastAsia="MS PGothic" w:hAnsiTheme="majorHAnsi" w:cstheme="majorHAnsi"/>
          <w:sz w:val="24"/>
          <w:szCs w:val="24"/>
        </w:rPr>
        <w:t xml:space="preserve">and dual-energy X-ray absorptiometry (DXA; Prodigy for Bone Health; GE Healthcare Japan Corp. Tokyo) to assess </w:t>
      </w:r>
      <w:r w:rsidR="003A5684" w:rsidRPr="000876F9">
        <w:rPr>
          <w:rFonts w:asciiTheme="majorHAnsi" w:eastAsia="MS PGothic" w:hAnsiTheme="majorHAnsi" w:cstheme="majorHAnsi"/>
          <w:sz w:val="24"/>
          <w:szCs w:val="24"/>
        </w:rPr>
        <w:t>l</w:t>
      </w:r>
      <w:r w:rsidR="006E7601" w:rsidRPr="000876F9">
        <w:rPr>
          <w:rFonts w:asciiTheme="majorHAnsi" w:eastAsia="MS PGothic" w:hAnsiTheme="majorHAnsi" w:cstheme="majorHAnsi"/>
          <w:sz w:val="24"/>
          <w:szCs w:val="24"/>
        </w:rPr>
        <w:t>umbar spine and proximal femur bone mineral density (BMD)</w:t>
      </w:r>
      <w:r w:rsidR="00E6309A" w:rsidRPr="000876F9">
        <w:rPr>
          <w:rFonts w:asciiTheme="majorHAnsi" w:eastAsia="MS PGothic" w:hAnsiTheme="majorHAnsi" w:cstheme="majorHAnsi"/>
          <w:sz w:val="24"/>
          <w:szCs w:val="24"/>
        </w:rPr>
        <w:t xml:space="preserve">. </w:t>
      </w:r>
      <w:r w:rsidR="00EA4CD3" w:rsidRPr="000876F9">
        <w:rPr>
          <w:rFonts w:asciiTheme="majorHAnsi" w:eastAsia="MS PGothic" w:hAnsiTheme="majorHAnsi" w:cstheme="majorHAnsi"/>
          <w:sz w:val="24"/>
          <w:szCs w:val="24"/>
        </w:rPr>
        <w:t>In t</w:t>
      </w:r>
      <w:r w:rsidR="00AA766C" w:rsidRPr="000876F9">
        <w:rPr>
          <w:rFonts w:asciiTheme="majorHAnsi" w:eastAsia="MS PGothic" w:hAnsiTheme="majorHAnsi" w:cstheme="majorHAnsi"/>
          <w:sz w:val="24"/>
          <w:szCs w:val="24"/>
        </w:rPr>
        <w:t>his</w:t>
      </w:r>
      <w:r w:rsidR="00EA4CD3" w:rsidRPr="000876F9">
        <w:rPr>
          <w:rFonts w:asciiTheme="majorHAnsi" w:eastAsia="MS PGothic" w:hAnsiTheme="majorHAnsi" w:cstheme="majorHAnsi"/>
          <w:sz w:val="24"/>
          <w:szCs w:val="24"/>
        </w:rPr>
        <w:t xml:space="preserve"> study, </w:t>
      </w:r>
      <w:r w:rsidR="00AA766C" w:rsidRPr="000876F9">
        <w:rPr>
          <w:rFonts w:asciiTheme="majorHAnsi" w:eastAsia="MS PGothic" w:hAnsiTheme="majorHAnsi" w:cstheme="majorHAnsi"/>
          <w:sz w:val="24"/>
          <w:szCs w:val="24"/>
        </w:rPr>
        <w:t>osteoporosis (</w:t>
      </w:r>
      <w:r w:rsidR="00EA4CD3" w:rsidRPr="000876F9">
        <w:rPr>
          <w:rFonts w:asciiTheme="majorHAnsi" w:eastAsia="MS PGothic" w:hAnsiTheme="majorHAnsi" w:cstheme="majorHAnsi"/>
          <w:sz w:val="24"/>
          <w:szCs w:val="24"/>
        </w:rPr>
        <w:t>OP</w:t>
      </w:r>
      <w:r w:rsidR="00AA766C" w:rsidRPr="000876F9">
        <w:rPr>
          <w:rFonts w:asciiTheme="majorHAnsi" w:eastAsia="MS PGothic" w:hAnsiTheme="majorHAnsi" w:cstheme="majorHAnsi"/>
          <w:sz w:val="24"/>
          <w:szCs w:val="24"/>
        </w:rPr>
        <w:t>)</w:t>
      </w:r>
      <w:r w:rsidR="00EA4CD3" w:rsidRPr="000876F9">
        <w:rPr>
          <w:rFonts w:asciiTheme="majorHAnsi" w:eastAsia="MS PGothic" w:hAnsiTheme="majorHAnsi" w:cstheme="majorHAnsi"/>
          <w:sz w:val="24"/>
          <w:szCs w:val="24"/>
        </w:rPr>
        <w:t xml:space="preserve"> was defined according to </w:t>
      </w:r>
      <w:r w:rsidR="00AA766C" w:rsidRPr="000876F9">
        <w:rPr>
          <w:rFonts w:asciiTheme="majorHAnsi" w:eastAsia="MS PGothic" w:hAnsiTheme="majorHAnsi" w:cstheme="majorHAnsi"/>
          <w:sz w:val="24"/>
          <w:szCs w:val="24"/>
        </w:rPr>
        <w:t xml:space="preserve">the </w:t>
      </w:r>
      <w:r w:rsidR="00EA4CD3" w:rsidRPr="000876F9">
        <w:rPr>
          <w:rFonts w:asciiTheme="majorHAnsi" w:eastAsia="MS PGothic" w:hAnsiTheme="majorHAnsi" w:cstheme="majorHAnsi"/>
          <w:sz w:val="24"/>
          <w:szCs w:val="24"/>
        </w:rPr>
        <w:t xml:space="preserve">World Health Organization </w:t>
      </w:r>
      <w:r w:rsidR="00AA766C" w:rsidRPr="000876F9">
        <w:rPr>
          <w:rFonts w:asciiTheme="majorHAnsi" w:eastAsia="MS PGothic" w:hAnsiTheme="majorHAnsi" w:cstheme="majorHAnsi"/>
          <w:sz w:val="24"/>
          <w:szCs w:val="24"/>
        </w:rPr>
        <w:t>definition of T=-2.5 SD</w:t>
      </w:r>
      <w:r w:rsidR="00EA4CD3" w:rsidRPr="000876F9">
        <w:rPr>
          <w:rFonts w:asciiTheme="majorHAnsi" w:eastAsia="MS PGothic" w:hAnsiTheme="majorHAnsi" w:cstheme="majorHAnsi"/>
          <w:sz w:val="24"/>
          <w:szCs w:val="24"/>
        </w:rPr>
        <w:t>. In Japan</w:t>
      </w:r>
      <w:r w:rsidR="00D23A31" w:rsidRPr="000876F9">
        <w:rPr>
          <w:rFonts w:asciiTheme="majorHAnsi" w:eastAsia="MS PGothic" w:hAnsiTheme="majorHAnsi" w:cstheme="majorHAnsi"/>
          <w:sz w:val="24"/>
          <w:szCs w:val="24"/>
        </w:rPr>
        <w:t>, lumbar spine OP was defined as L2-4 BMD of &lt;0.714 g/cm</w:t>
      </w:r>
      <w:r w:rsidR="00D23A31" w:rsidRPr="000876F9">
        <w:rPr>
          <w:rFonts w:asciiTheme="majorHAnsi" w:eastAsia="MS PGothic" w:hAnsiTheme="majorHAnsi" w:cstheme="majorHAnsi"/>
          <w:sz w:val="24"/>
          <w:szCs w:val="24"/>
          <w:vertAlign w:val="superscript"/>
        </w:rPr>
        <w:t>2</w:t>
      </w:r>
      <w:r w:rsidR="00122574" w:rsidRPr="000876F9">
        <w:rPr>
          <w:rFonts w:asciiTheme="majorHAnsi" w:eastAsia="MS PGothic" w:hAnsiTheme="majorHAnsi" w:cstheme="majorHAnsi"/>
          <w:sz w:val="24"/>
          <w:szCs w:val="24"/>
          <w:vertAlign w:val="superscript"/>
        </w:rPr>
        <w:t xml:space="preserve"> 1,6</w:t>
      </w:r>
      <w:r w:rsidR="00D23A31" w:rsidRPr="000876F9">
        <w:rPr>
          <w:rFonts w:asciiTheme="majorHAnsi" w:eastAsia="MS PGothic" w:hAnsiTheme="majorHAnsi" w:cstheme="majorHAnsi"/>
          <w:sz w:val="24"/>
          <w:szCs w:val="24"/>
        </w:rPr>
        <w:t>. In Japan, OP at the femoral neck was defined as a BMD of &lt;0.546 g/cm</w:t>
      </w:r>
      <w:r w:rsidR="00D23A31" w:rsidRPr="000876F9">
        <w:rPr>
          <w:rFonts w:asciiTheme="majorHAnsi" w:eastAsia="MS PGothic" w:hAnsiTheme="majorHAnsi" w:cstheme="majorHAnsi"/>
          <w:sz w:val="24"/>
          <w:szCs w:val="24"/>
          <w:vertAlign w:val="superscript"/>
        </w:rPr>
        <w:t>2</w:t>
      </w:r>
      <w:r w:rsidR="00D23A31" w:rsidRPr="000876F9">
        <w:rPr>
          <w:rFonts w:asciiTheme="majorHAnsi" w:eastAsia="MS PGothic" w:hAnsiTheme="majorHAnsi" w:cstheme="majorHAnsi"/>
          <w:sz w:val="24"/>
          <w:szCs w:val="24"/>
        </w:rPr>
        <w:t xml:space="preserve"> and &lt;0.515 g/cm</w:t>
      </w:r>
      <w:r w:rsidR="00D23A31" w:rsidRPr="000876F9">
        <w:rPr>
          <w:rFonts w:asciiTheme="majorHAnsi" w:eastAsia="MS PGothic" w:hAnsiTheme="majorHAnsi" w:cstheme="majorHAnsi"/>
          <w:sz w:val="24"/>
          <w:szCs w:val="24"/>
          <w:vertAlign w:val="superscript"/>
        </w:rPr>
        <w:t>2</w:t>
      </w:r>
      <w:r w:rsidR="00B30664" w:rsidRPr="000876F9">
        <w:rPr>
          <w:rFonts w:asciiTheme="majorHAnsi" w:eastAsia="MS PGothic" w:hAnsiTheme="majorHAnsi" w:cstheme="majorHAnsi"/>
          <w:sz w:val="24"/>
          <w:szCs w:val="24"/>
        </w:rPr>
        <w:t xml:space="preserve"> for male and female</w:t>
      </w:r>
      <w:r w:rsidR="00122574" w:rsidRPr="000876F9">
        <w:rPr>
          <w:rFonts w:asciiTheme="majorHAnsi" w:eastAsia="MS PGothic" w:hAnsiTheme="majorHAnsi" w:cstheme="majorHAnsi"/>
          <w:sz w:val="24"/>
          <w:szCs w:val="24"/>
        </w:rPr>
        <w:t xml:space="preserve"> </w:t>
      </w:r>
      <w:r w:rsidR="0020173B" w:rsidRPr="000876F9">
        <w:rPr>
          <w:rFonts w:asciiTheme="majorHAnsi" w:eastAsia="MS PGothic" w:hAnsiTheme="majorHAnsi" w:cstheme="majorHAnsi"/>
          <w:sz w:val="24"/>
          <w:szCs w:val="24"/>
          <w:vertAlign w:val="superscript"/>
        </w:rPr>
        <w:t>1</w:t>
      </w:r>
      <w:r w:rsidR="00122574" w:rsidRPr="000876F9">
        <w:rPr>
          <w:rFonts w:asciiTheme="majorHAnsi" w:eastAsia="MS PGothic" w:hAnsiTheme="majorHAnsi" w:cstheme="majorHAnsi"/>
          <w:sz w:val="24"/>
          <w:szCs w:val="24"/>
          <w:vertAlign w:val="superscript"/>
        </w:rPr>
        <w:t>,6</w:t>
      </w:r>
      <w:r w:rsidR="00D23A31" w:rsidRPr="000876F9">
        <w:rPr>
          <w:rFonts w:asciiTheme="majorHAnsi" w:eastAsia="MS PGothic" w:hAnsiTheme="majorHAnsi" w:cstheme="majorHAnsi"/>
          <w:sz w:val="24"/>
          <w:szCs w:val="24"/>
        </w:rPr>
        <w:t xml:space="preserve">.  </w:t>
      </w:r>
      <w:r w:rsidR="00D23A31" w:rsidRPr="000876F9">
        <w:rPr>
          <w:rFonts w:asciiTheme="majorHAnsi" w:eastAsia="MS PGothic" w:hAnsiTheme="majorHAnsi" w:cstheme="majorHAnsi"/>
          <w:sz w:val="24"/>
          <w:szCs w:val="24"/>
          <w:vertAlign w:val="superscript"/>
        </w:rPr>
        <w:t xml:space="preserve"> </w:t>
      </w:r>
    </w:p>
    <w:p w14:paraId="15611339" w14:textId="282DC38C" w:rsidR="008B3A72" w:rsidRPr="000876F9" w:rsidRDefault="00B57B1F"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The study was conducted with the approval of the ethics committees of the </w:t>
      </w:r>
      <w:r w:rsidR="000654D0">
        <w:rPr>
          <w:rFonts w:asciiTheme="majorHAnsi" w:eastAsia="MS PGothic" w:hAnsiTheme="majorHAnsi" w:cstheme="majorHAnsi"/>
          <w:sz w:val="24"/>
          <w:szCs w:val="24"/>
        </w:rPr>
        <w:t>our university</w:t>
      </w:r>
      <w:r w:rsidRPr="000876F9">
        <w:rPr>
          <w:rFonts w:asciiTheme="majorHAnsi" w:eastAsia="MS PGothic" w:hAnsiTheme="majorHAnsi" w:cstheme="majorHAnsi"/>
          <w:sz w:val="24"/>
          <w:szCs w:val="24"/>
        </w:rPr>
        <w:t>.</w:t>
      </w:r>
    </w:p>
    <w:p w14:paraId="3960F7B4" w14:textId="77777777" w:rsidR="008B3A72" w:rsidRPr="000876F9" w:rsidRDefault="008B3A72" w:rsidP="00B26F1C">
      <w:pPr>
        <w:adjustRightInd w:val="0"/>
        <w:snapToGrid w:val="0"/>
        <w:spacing w:line="480" w:lineRule="auto"/>
        <w:jc w:val="left"/>
        <w:rPr>
          <w:rFonts w:asciiTheme="majorHAnsi" w:eastAsia="MS PGothic" w:hAnsiTheme="majorHAnsi" w:cstheme="majorHAnsi"/>
          <w:sz w:val="24"/>
          <w:szCs w:val="24"/>
        </w:rPr>
      </w:pPr>
    </w:p>
    <w:p w14:paraId="0307008A" w14:textId="482B1F6A" w:rsidR="0014406A" w:rsidRPr="000876F9" w:rsidRDefault="003F21B8"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 xml:space="preserve">The </w:t>
      </w:r>
      <w:r w:rsidR="0014406A" w:rsidRPr="000876F9">
        <w:rPr>
          <w:rFonts w:asciiTheme="majorHAnsi" w:eastAsia="MS PGothic" w:hAnsiTheme="majorHAnsi" w:cstheme="majorHAnsi"/>
          <w:b/>
          <w:sz w:val="24"/>
          <w:szCs w:val="24"/>
        </w:rPr>
        <w:t>Oswestry Disability Index (ODI)</w:t>
      </w:r>
    </w:p>
    <w:p w14:paraId="1BE76983" w14:textId="786AAF4C" w:rsidR="00495C0B" w:rsidRPr="000876F9" w:rsidRDefault="005A4700"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The </w:t>
      </w:r>
      <w:r w:rsidR="003F21B8" w:rsidRPr="000876F9">
        <w:rPr>
          <w:rFonts w:asciiTheme="majorHAnsi" w:eastAsia="MS PGothic" w:hAnsiTheme="majorHAnsi" w:cstheme="majorHAnsi"/>
          <w:sz w:val="24"/>
          <w:szCs w:val="24"/>
        </w:rPr>
        <w:t xml:space="preserve">ODI </w:t>
      </w:r>
      <w:r w:rsidR="00A972F8" w:rsidRPr="000876F9">
        <w:rPr>
          <w:rFonts w:asciiTheme="majorHAnsi" w:eastAsia="MS PGothic" w:hAnsiTheme="majorHAnsi" w:cstheme="majorHAnsi"/>
          <w:sz w:val="24"/>
          <w:szCs w:val="24"/>
        </w:rPr>
        <w:t>is an index derived from the Oswestry Low Back Pain Questionnaire</w:t>
      </w:r>
      <w:r w:rsidR="008B3A72" w:rsidRPr="000876F9">
        <w:rPr>
          <w:rFonts w:asciiTheme="majorHAnsi" w:eastAsia="MS PGothic" w:hAnsiTheme="majorHAnsi" w:cstheme="majorHAnsi"/>
          <w:sz w:val="24"/>
          <w:szCs w:val="24"/>
        </w:rPr>
        <w:t xml:space="preserve"> </w:t>
      </w:r>
      <w:r w:rsidR="008B3A72" w:rsidRPr="000876F9">
        <w:rPr>
          <w:rFonts w:asciiTheme="majorHAnsi" w:eastAsia="MS PGothic" w:hAnsiTheme="majorHAnsi" w:cstheme="majorHAnsi"/>
          <w:sz w:val="24"/>
          <w:szCs w:val="24"/>
          <w:vertAlign w:val="superscript"/>
        </w:rPr>
        <w:t>7.8</w:t>
      </w:r>
      <w:r w:rsidR="00A972F8" w:rsidRPr="000876F9">
        <w:rPr>
          <w:rFonts w:asciiTheme="majorHAnsi" w:eastAsia="MS PGothic" w:hAnsiTheme="majorHAnsi" w:cstheme="majorHAnsi"/>
          <w:sz w:val="24"/>
          <w:szCs w:val="24"/>
        </w:rPr>
        <w:t xml:space="preserve">, used by clinicians and researchers to quantify the level of disability in LBP. The index scores </w:t>
      </w:r>
      <w:r w:rsidR="005344FC" w:rsidRPr="000876F9">
        <w:rPr>
          <w:rFonts w:asciiTheme="majorHAnsi" w:eastAsia="MS PGothic" w:hAnsiTheme="majorHAnsi" w:cstheme="majorHAnsi"/>
          <w:sz w:val="24"/>
          <w:szCs w:val="24"/>
        </w:rPr>
        <w:t>range from 0 (</w:t>
      </w:r>
      <w:r w:rsidR="00A972F8" w:rsidRPr="000876F9">
        <w:rPr>
          <w:rFonts w:asciiTheme="majorHAnsi" w:eastAsia="MS PGothic" w:hAnsiTheme="majorHAnsi" w:cstheme="majorHAnsi"/>
          <w:sz w:val="24"/>
          <w:szCs w:val="24"/>
        </w:rPr>
        <w:t>lowest level of disability</w:t>
      </w:r>
      <w:r w:rsidR="005344FC" w:rsidRPr="000876F9">
        <w:rPr>
          <w:rFonts w:asciiTheme="majorHAnsi" w:eastAsia="MS PGothic" w:hAnsiTheme="majorHAnsi" w:cstheme="majorHAnsi"/>
          <w:sz w:val="24"/>
          <w:szCs w:val="24"/>
        </w:rPr>
        <w:t xml:space="preserve">) to </w:t>
      </w:r>
      <w:r w:rsidR="00A43360" w:rsidRPr="000876F9">
        <w:rPr>
          <w:rFonts w:asciiTheme="majorHAnsi" w:eastAsia="MS PGothic" w:hAnsiTheme="majorHAnsi" w:cstheme="majorHAnsi"/>
          <w:sz w:val="24"/>
          <w:szCs w:val="24"/>
        </w:rPr>
        <w:t>100</w:t>
      </w:r>
      <w:r w:rsidR="005344FC" w:rsidRPr="000876F9">
        <w:rPr>
          <w:rFonts w:asciiTheme="majorHAnsi" w:eastAsia="MS PGothic" w:hAnsiTheme="majorHAnsi" w:cstheme="majorHAnsi"/>
          <w:sz w:val="24"/>
          <w:szCs w:val="24"/>
        </w:rPr>
        <w:t xml:space="preserve"> (</w:t>
      </w:r>
      <w:r w:rsidR="00A972F8" w:rsidRPr="000876F9">
        <w:rPr>
          <w:rFonts w:asciiTheme="majorHAnsi" w:eastAsia="MS PGothic" w:hAnsiTheme="majorHAnsi" w:cstheme="majorHAnsi"/>
          <w:sz w:val="24"/>
          <w:szCs w:val="24"/>
        </w:rPr>
        <w:t>highest level of disability</w:t>
      </w:r>
      <w:r w:rsidR="005344FC" w:rsidRPr="000876F9">
        <w:rPr>
          <w:rFonts w:asciiTheme="majorHAnsi" w:eastAsia="MS PGothic" w:hAnsiTheme="majorHAnsi" w:cstheme="majorHAnsi"/>
          <w:sz w:val="24"/>
          <w:szCs w:val="24"/>
        </w:rPr>
        <w:t xml:space="preserve">). </w:t>
      </w:r>
      <w:r w:rsidR="00A972F8" w:rsidRPr="000876F9">
        <w:rPr>
          <w:rFonts w:asciiTheme="majorHAnsi" w:eastAsia="MS PGothic" w:hAnsiTheme="majorHAnsi" w:cstheme="majorHAnsi"/>
          <w:sz w:val="24"/>
          <w:szCs w:val="24"/>
        </w:rPr>
        <w:t xml:space="preserve">A score of 12 was used as a cut-point for poor quality of life. In a study of 1200 Japanese people an ODI value of 12 has been previously shown to separate individuals with low back pain with disability from those without </w:t>
      </w:r>
      <w:r w:rsidR="008B3A72" w:rsidRPr="000876F9">
        <w:rPr>
          <w:rFonts w:asciiTheme="majorHAnsi" w:eastAsia="MS PGothic" w:hAnsiTheme="majorHAnsi" w:cstheme="majorHAnsi"/>
          <w:sz w:val="24"/>
          <w:szCs w:val="24"/>
          <w:vertAlign w:val="superscript"/>
        </w:rPr>
        <w:t>9</w:t>
      </w:r>
      <w:r w:rsidR="00CE75E7" w:rsidRPr="000876F9">
        <w:rPr>
          <w:rFonts w:asciiTheme="majorHAnsi" w:eastAsia="MS PGothic" w:hAnsiTheme="majorHAnsi" w:cstheme="majorHAnsi"/>
          <w:sz w:val="24"/>
          <w:szCs w:val="24"/>
        </w:rPr>
        <w:t xml:space="preserve">. </w:t>
      </w:r>
      <w:r w:rsidR="00A972F8" w:rsidRPr="000876F9">
        <w:rPr>
          <w:rFonts w:asciiTheme="majorHAnsi" w:eastAsia="MS PGothic" w:hAnsiTheme="majorHAnsi" w:cstheme="majorHAnsi"/>
          <w:sz w:val="24"/>
          <w:szCs w:val="24"/>
        </w:rPr>
        <w:t>W</w:t>
      </w:r>
      <w:r w:rsidR="003F21B8" w:rsidRPr="000876F9">
        <w:rPr>
          <w:rFonts w:asciiTheme="majorHAnsi" w:eastAsia="MS PGothic" w:hAnsiTheme="majorHAnsi" w:cstheme="majorHAnsi"/>
          <w:sz w:val="24"/>
          <w:szCs w:val="24"/>
        </w:rPr>
        <w:t xml:space="preserve">e </w:t>
      </w:r>
      <w:r w:rsidR="00A972F8" w:rsidRPr="000876F9">
        <w:rPr>
          <w:rFonts w:asciiTheme="majorHAnsi" w:eastAsia="MS PGothic" w:hAnsiTheme="majorHAnsi" w:cstheme="majorHAnsi"/>
          <w:sz w:val="24"/>
          <w:szCs w:val="24"/>
        </w:rPr>
        <w:t xml:space="preserve">therefore </w:t>
      </w:r>
      <w:r w:rsidR="003F21B8" w:rsidRPr="000876F9">
        <w:rPr>
          <w:rFonts w:asciiTheme="majorHAnsi" w:eastAsia="MS PGothic" w:hAnsiTheme="majorHAnsi" w:cstheme="majorHAnsi"/>
          <w:sz w:val="24"/>
          <w:szCs w:val="24"/>
        </w:rPr>
        <w:t>used</w:t>
      </w:r>
      <w:r w:rsidR="00A972F8" w:rsidRPr="000876F9">
        <w:rPr>
          <w:rFonts w:asciiTheme="majorHAnsi" w:eastAsia="MS PGothic" w:hAnsiTheme="majorHAnsi" w:cstheme="majorHAnsi"/>
          <w:sz w:val="24"/>
          <w:szCs w:val="24"/>
        </w:rPr>
        <w:t xml:space="preserve"> a cut-point of</w:t>
      </w:r>
      <w:r w:rsidR="003F21B8" w:rsidRPr="000876F9">
        <w:rPr>
          <w:rFonts w:asciiTheme="majorHAnsi" w:eastAsia="MS PGothic" w:hAnsiTheme="majorHAnsi" w:cstheme="majorHAnsi"/>
          <w:sz w:val="24"/>
          <w:szCs w:val="24"/>
        </w:rPr>
        <w:t xml:space="preserve"> 12</w:t>
      </w:r>
      <w:r w:rsidR="00A972F8" w:rsidRPr="000876F9">
        <w:rPr>
          <w:rFonts w:asciiTheme="majorHAnsi" w:eastAsia="MS PGothic" w:hAnsiTheme="majorHAnsi" w:cstheme="majorHAnsi"/>
          <w:sz w:val="24"/>
          <w:szCs w:val="24"/>
        </w:rPr>
        <w:t xml:space="preserve"> on the ODI</w:t>
      </w:r>
      <w:r w:rsidR="003F21B8" w:rsidRPr="000876F9">
        <w:rPr>
          <w:rFonts w:asciiTheme="majorHAnsi" w:eastAsia="MS PGothic" w:hAnsiTheme="majorHAnsi" w:cstheme="majorHAnsi"/>
          <w:sz w:val="24"/>
          <w:szCs w:val="24"/>
        </w:rPr>
        <w:t xml:space="preserve"> </w:t>
      </w:r>
      <w:r w:rsidR="00A972F8" w:rsidRPr="000876F9">
        <w:rPr>
          <w:rFonts w:asciiTheme="majorHAnsi" w:eastAsia="MS PGothic" w:hAnsiTheme="majorHAnsi" w:cstheme="majorHAnsi"/>
          <w:sz w:val="24"/>
          <w:szCs w:val="24"/>
        </w:rPr>
        <w:t>to differentiate those with or without poor quality of life</w:t>
      </w:r>
      <w:r w:rsidR="008829D2" w:rsidRPr="000876F9">
        <w:rPr>
          <w:rFonts w:asciiTheme="majorHAnsi" w:eastAsia="MS PGothic" w:hAnsiTheme="majorHAnsi" w:cstheme="majorHAnsi"/>
          <w:sz w:val="24"/>
          <w:szCs w:val="24"/>
        </w:rPr>
        <w:t>.</w:t>
      </w:r>
    </w:p>
    <w:p w14:paraId="65A206E4" w14:textId="77777777" w:rsidR="00B504C9" w:rsidRPr="000876F9" w:rsidRDefault="00B504C9" w:rsidP="00B26F1C">
      <w:pPr>
        <w:adjustRightInd w:val="0"/>
        <w:snapToGrid w:val="0"/>
        <w:spacing w:line="480" w:lineRule="auto"/>
        <w:jc w:val="left"/>
        <w:rPr>
          <w:rFonts w:asciiTheme="majorHAnsi" w:eastAsia="MS PGothic" w:hAnsiTheme="majorHAnsi" w:cstheme="majorHAnsi"/>
          <w:b/>
          <w:sz w:val="24"/>
          <w:szCs w:val="24"/>
        </w:rPr>
      </w:pPr>
    </w:p>
    <w:p w14:paraId="17C77619" w14:textId="29067E44" w:rsidR="00495C0B" w:rsidRPr="000876F9" w:rsidRDefault="007A317B"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Assess</w:t>
      </w:r>
      <w:r w:rsidR="00261E9F" w:rsidRPr="000876F9">
        <w:rPr>
          <w:rFonts w:asciiTheme="majorHAnsi" w:eastAsia="MS PGothic" w:hAnsiTheme="majorHAnsi" w:cstheme="majorHAnsi"/>
          <w:b/>
          <w:sz w:val="24"/>
          <w:szCs w:val="24"/>
        </w:rPr>
        <w:t>ment of low</w:t>
      </w:r>
      <w:r w:rsidRPr="000876F9">
        <w:rPr>
          <w:rFonts w:asciiTheme="majorHAnsi" w:eastAsia="MS PGothic" w:hAnsiTheme="majorHAnsi" w:cstheme="majorHAnsi"/>
          <w:b/>
          <w:sz w:val="24"/>
          <w:szCs w:val="24"/>
        </w:rPr>
        <w:t xml:space="preserve"> back pain/knee pain</w:t>
      </w:r>
    </w:p>
    <w:p w14:paraId="2A0E98B4" w14:textId="108890A0" w:rsidR="00495C0B" w:rsidRPr="000876F9" w:rsidRDefault="002A5522"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A</w:t>
      </w:r>
      <w:r w:rsidR="007A317B" w:rsidRPr="000876F9">
        <w:rPr>
          <w:rFonts w:asciiTheme="majorHAnsi" w:eastAsia="MS PGothic" w:hAnsiTheme="majorHAnsi" w:cstheme="majorHAnsi"/>
          <w:sz w:val="24"/>
          <w:szCs w:val="24"/>
        </w:rPr>
        <w:t>n orthopedic surgeon</w:t>
      </w:r>
      <w:r w:rsidR="00026605" w:rsidRPr="000876F9">
        <w:rPr>
          <w:rFonts w:asciiTheme="majorHAnsi" w:eastAsia="MS PGothic" w:hAnsiTheme="majorHAnsi" w:cstheme="majorHAnsi"/>
          <w:sz w:val="24"/>
          <w:szCs w:val="24"/>
        </w:rPr>
        <w:t xml:space="preserve"> (YI)</w:t>
      </w:r>
      <w:r w:rsidR="007A317B" w:rsidRPr="000876F9">
        <w:rPr>
          <w:rFonts w:asciiTheme="majorHAnsi" w:eastAsia="MS PGothic" w:hAnsiTheme="majorHAnsi" w:cstheme="majorHAnsi"/>
          <w:sz w:val="24"/>
          <w:szCs w:val="24"/>
        </w:rPr>
        <w:t xml:space="preserve"> asked the following questio</w:t>
      </w:r>
      <w:r w:rsidR="00261E9F" w:rsidRPr="000876F9">
        <w:rPr>
          <w:rFonts w:asciiTheme="majorHAnsi" w:eastAsia="MS PGothic" w:hAnsiTheme="majorHAnsi" w:cstheme="majorHAnsi"/>
          <w:sz w:val="24"/>
          <w:szCs w:val="24"/>
        </w:rPr>
        <w:t xml:space="preserve">ns regarding </w:t>
      </w:r>
      <w:r w:rsidR="00633CD6" w:rsidRPr="000876F9">
        <w:rPr>
          <w:rFonts w:asciiTheme="majorHAnsi" w:eastAsia="MS PGothic" w:hAnsiTheme="majorHAnsi" w:cstheme="majorHAnsi"/>
          <w:sz w:val="24"/>
          <w:szCs w:val="24"/>
        </w:rPr>
        <w:t xml:space="preserve">low back pain and </w:t>
      </w:r>
      <w:r w:rsidR="00261E9F" w:rsidRPr="000876F9">
        <w:rPr>
          <w:rFonts w:asciiTheme="majorHAnsi" w:eastAsia="MS PGothic" w:hAnsiTheme="majorHAnsi" w:cstheme="majorHAnsi"/>
          <w:sz w:val="24"/>
          <w:szCs w:val="24"/>
        </w:rPr>
        <w:t>knee pain</w:t>
      </w:r>
      <w:r w:rsidR="003941F4" w:rsidRPr="000876F9">
        <w:rPr>
          <w:rFonts w:asciiTheme="majorHAnsi" w:eastAsia="MS PGothic" w:hAnsiTheme="majorHAnsi" w:cstheme="majorHAnsi"/>
          <w:sz w:val="24"/>
          <w:szCs w:val="24"/>
        </w:rPr>
        <w:t>, respectively, to which participant</w:t>
      </w:r>
      <w:r w:rsidR="007A317B" w:rsidRPr="000876F9">
        <w:rPr>
          <w:rFonts w:asciiTheme="majorHAnsi" w:eastAsia="MS PGothic" w:hAnsiTheme="majorHAnsi" w:cstheme="majorHAnsi"/>
          <w:sz w:val="24"/>
          <w:szCs w:val="24"/>
        </w:rPr>
        <w:t>s responded “yes” or “no”</w:t>
      </w:r>
      <w:r w:rsidR="00CE75E7" w:rsidRPr="000876F9">
        <w:rPr>
          <w:rFonts w:asciiTheme="majorHAnsi" w:eastAsia="MS PGothic" w:hAnsiTheme="majorHAnsi" w:cstheme="majorHAnsi"/>
          <w:sz w:val="24"/>
          <w:szCs w:val="24"/>
        </w:rPr>
        <w:t xml:space="preserve"> </w:t>
      </w:r>
      <w:r w:rsidR="00CE75E7" w:rsidRPr="000876F9">
        <w:rPr>
          <w:rFonts w:asciiTheme="majorHAnsi" w:eastAsia="MS PGothic" w:hAnsiTheme="majorHAnsi" w:cstheme="majorHAnsi"/>
          <w:sz w:val="24"/>
          <w:szCs w:val="24"/>
          <w:vertAlign w:val="superscript"/>
        </w:rPr>
        <w:t>10</w:t>
      </w:r>
      <w:r w:rsidR="008134E0" w:rsidRPr="000876F9">
        <w:rPr>
          <w:rFonts w:asciiTheme="majorHAnsi" w:eastAsia="MS PGothic" w:hAnsiTheme="majorHAnsi" w:cstheme="majorHAnsi"/>
          <w:sz w:val="24"/>
          <w:szCs w:val="24"/>
        </w:rPr>
        <w:t xml:space="preserve">. </w:t>
      </w:r>
      <w:r w:rsidR="006C30EC" w:rsidRPr="000876F9">
        <w:rPr>
          <w:rFonts w:asciiTheme="majorHAnsi" w:eastAsia="MS PGothic" w:hAnsiTheme="majorHAnsi" w:cstheme="majorHAnsi" w:hint="eastAsia"/>
          <w:sz w:val="24"/>
          <w:szCs w:val="24"/>
        </w:rPr>
        <w:t xml:space="preserve"> </w:t>
      </w:r>
      <w:r w:rsidR="007A317B" w:rsidRPr="000876F9">
        <w:rPr>
          <w:rFonts w:asciiTheme="majorHAnsi" w:eastAsia="MS PGothic" w:hAnsiTheme="majorHAnsi" w:cstheme="majorHAnsi"/>
          <w:sz w:val="24"/>
          <w:szCs w:val="24"/>
        </w:rPr>
        <w:t>“</w:t>
      </w:r>
      <w:r w:rsidR="00261E9F" w:rsidRPr="000876F9">
        <w:rPr>
          <w:rFonts w:asciiTheme="majorHAnsi" w:eastAsia="MS PGothic" w:hAnsiTheme="majorHAnsi" w:cstheme="majorHAnsi"/>
          <w:sz w:val="24"/>
          <w:szCs w:val="24"/>
        </w:rPr>
        <w:t xml:space="preserve">In the past month, have you had </w:t>
      </w:r>
      <w:r w:rsidR="00633CD6" w:rsidRPr="000876F9">
        <w:rPr>
          <w:rFonts w:asciiTheme="majorHAnsi" w:eastAsia="MS PGothic" w:hAnsiTheme="majorHAnsi" w:cstheme="majorHAnsi"/>
          <w:sz w:val="24"/>
          <w:szCs w:val="24"/>
        </w:rPr>
        <w:t xml:space="preserve">low back pain </w:t>
      </w:r>
      <w:r w:rsidR="00261E9F" w:rsidRPr="000876F9">
        <w:rPr>
          <w:rFonts w:asciiTheme="majorHAnsi" w:eastAsia="MS PGothic" w:hAnsiTheme="majorHAnsi" w:cstheme="majorHAnsi"/>
          <w:sz w:val="24"/>
          <w:szCs w:val="24"/>
        </w:rPr>
        <w:t>on most days?</w:t>
      </w:r>
      <w:r w:rsidR="007A317B" w:rsidRPr="000876F9">
        <w:rPr>
          <w:rFonts w:asciiTheme="majorHAnsi" w:eastAsia="MS PGothic" w:hAnsiTheme="majorHAnsi" w:cstheme="majorHAnsi"/>
          <w:sz w:val="24"/>
          <w:szCs w:val="24"/>
        </w:rPr>
        <w:t>”</w:t>
      </w:r>
      <w:r w:rsidR="006C30EC" w:rsidRPr="000876F9">
        <w:rPr>
          <w:rFonts w:asciiTheme="majorHAnsi" w:eastAsia="MS PGothic" w:hAnsiTheme="majorHAnsi" w:cstheme="majorHAnsi" w:hint="eastAsia"/>
          <w:sz w:val="24"/>
          <w:szCs w:val="24"/>
        </w:rPr>
        <w:t xml:space="preserve"> </w:t>
      </w:r>
      <w:r w:rsidR="007A317B" w:rsidRPr="000876F9">
        <w:rPr>
          <w:rFonts w:asciiTheme="majorHAnsi" w:eastAsia="MS PGothic" w:hAnsiTheme="majorHAnsi" w:cstheme="majorHAnsi"/>
          <w:sz w:val="24"/>
          <w:szCs w:val="24"/>
        </w:rPr>
        <w:t>“</w:t>
      </w:r>
      <w:r w:rsidR="00261E9F" w:rsidRPr="000876F9">
        <w:rPr>
          <w:rFonts w:asciiTheme="majorHAnsi" w:eastAsia="MS PGothic" w:hAnsiTheme="majorHAnsi" w:cstheme="majorHAnsi"/>
          <w:sz w:val="24"/>
          <w:szCs w:val="24"/>
        </w:rPr>
        <w:t xml:space="preserve">In the past month, have you had </w:t>
      </w:r>
      <w:r w:rsidR="00633CD6" w:rsidRPr="000876F9">
        <w:rPr>
          <w:rFonts w:asciiTheme="majorHAnsi" w:eastAsia="MS PGothic" w:hAnsiTheme="majorHAnsi" w:cstheme="majorHAnsi"/>
          <w:sz w:val="24"/>
          <w:szCs w:val="24"/>
        </w:rPr>
        <w:t xml:space="preserve">knee pain </w:t>
      </w:r>
      <w:r w:rsidR="00261E9F" w:rsidRPr="000876F9">
        <w:rPr>
          <w:rFonts w:asciiTheme="majorHAnsi" w:eastAsia="MS PGothic" w:hAnsiTheme="majorHAnsi" w:cstheme="majorHAnsi"/>
          <w:sz w:val="24"/>
          <w:szCs w:val="24"/>
        </w:rPr>
        <w:t>on most days</w:t>
      </w:r>
      <w:r w:rsidR="007A317B" w:rsidRPr="000876F9">
        <w:rPr>
          <w:rFonts w:asciiTheme="majorHAnsi" w:eastAsia="MS PGothic" w:hAnsiTheme="majorHAnsi" w:cstheme="majorHAnsi"/>
          <w:sz w:val="24"/>
          <w:szCs w:val="24"/>
        </w:rPr>
        <w:t>?”</w:t>
      </w:r>
    </w:p>
    <w:p w14:paraId="6F041290" w14:textId="235BC41F" w:rsidR="00B0788D" w:rsidRPr="000876F9" w:rsidRDefault="00E6309A"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In order to further assess LBP</w:t>
      </w:r>
      <w:r w:rsidR="00835106" w:rsidRPr="000876F9">
        <w:rPr>
          <w:rFonts w:asciiTheme="majorHAnsi" w:eastAsia="MS PGothic" w:hAnsiTheme="majorHAnsi" w:cstheme="majorHAnsi"/>
          <w:sz w:val="24"/>
          <w:szCs w:val="24"/>
        </w:rPr>
        <w:t>, the same orthopedic surgeon</w:t>
      </w:r>
      <w:r w:rsidR="007A317B" w:rsidRPr="000876F9">
        <w:rPr>
          <w:rFonts w:asciiTheme="majorHAnsi" w:eastAsia="MS PGothic" w:hAnsiTheme="majorHAnsi" w:cstheme="majorHAnsi"/>
          <w:sz w:val="24"/>
          <w:szCs w:val="24"/>
        </w:rPr>
        <w:t xml:space="preserve"> </w:t>
      </w:r>
      <w:r w:rsidR="002A5522" w:rsidRPr="000876F9">
        <w:rPr>
          <w:rFonts w:asciiTheme="majorHAnsi" w:eastAsia="MS PGothic" w:hAnsiTheme="majorHAnsi" w:cstheme="majorHAnsi"/>
          <w:sz w:val="24"/>
          <w:szCs w:val="24"/>
        </w:rPr>
        <w:t xml:space="preserve">used a </w:t>
      </w:r>
      <w:r w:rsidR="00835106" w:rsidRPr="000876F9">
        <w:rPr>
          <w:rFonts w:asciiTheme="majorHAnsi" w:eastAsia="MS PGothic" w:hAnsiTheme="majorHAnsi" w:cstheme="majorHAnsi"/>
          <w:sz w:val="24"/>
          <w:szCs w:val="24"/>
        </w:rPr>
        <w:t xml:space="preserve">visual analogue scale (VAS) </w:t>
      </w:r>
      <w:r w:rsidR="002A5522" w:rsidRPr="000876F9">
        <w:rPr>
          <w:rFonts w:asciiTheme="majorHAnsi" w:eastAsia="MS PGothic" w:hAnsiTheme="majorHAnsi" w:cstheme="majorHAnsi"/>
          <w:sz w:val="24"/>
          <w:szCs w:val="24"/>
        </w:rPr>
        <w:t>(scale 1-100)</w:t>
      </w:r>
      <w:r w:rsidR="007A317B" w:rsidRPr="000876F9">
        <w:rPr>
          <w:rFonts w:asciiTheme="majorHAnsi" w:eastAsia="MS PGothic" w:hAnsiTheme="majorHAnsi" w:cstheme="majorHAnsi"/>
          <w:sz w:val="24"/>
          <w:szCs w:val="24"/>
        </w:rPr>
        <w:t xml:space="preserve"> </w:t>
      </w:r>
      <w:r w:rsidR="002A5522" w:rsidRPr="000876F9">
        <w:rPr>
          <w:rFonts w:asciiTheme="majorHAnsi" w:eastAsia="MS PGothic" w:hAnsiTheme="majorHAnsi" w:cstheme="majorHAnsi"/>
          <w:sz w:val="24"/>
          <w:szCs w:val="24"/>
        </w:rPr>
        <w:t xml:space="preserve">to assess </w:t>
      </w:r>
      <w:r w:rsidR="007A317B" w:rsidRPr="000876F9">
        <w:rPr>
          <w:rFonts w:asciiTheme="majorHAnsi" w:eastAsia="MS PGothic" w:hAnsiTheme="majorHAnsi" w:cstheme="majorHAnsi"/>
          <w:sz w:val="24"/>
          <w:szCs w:val="24"/>
        </w:rPr>
        <w:t>the most intense</w:t>
      </w:r>
      <w:r w:rsidRPr="000876F9">
        <w:rPr>
          <w:rFonts w:asciiTheme="majorHAnsi" w:eastAsia="MS PGothic" w:hAnsiTheme="majorHAnsi" w:cstheme="majorHAnsi"/>
          <w:sz w:val="24"/>
          <w:szCs w:val="24"/>
        </w:rPr>
        <w:t xml:space="preserve"> LBP</w:t>
      </w:r>
      <w:r w:rsidR="007A317B" w:rsidRPr="000876F9">
        <w:rPr>
          <w:rFonts w:asciiTheme="majorHAnsi" w:eastAsia="MS PGothic" w:hAnsiTheme="majorHAnsi" w:cstheme="majorHAnsi"/>
          <w:sz w:val="24"/>
          <w:szCs w:val="24"/>
        </w:rPr>
        <w:t xml:space="preserve"> experienced during the </w:t>
      </w:r>
      <w:r w:rsidR="002A5522" w:rsidRPr="000876F9">
        <w:rPr>
          <w:rFonts w:asciiTheme="majorHAnsi" w:eastAsia="MS PGothic" w:hAnsiTheme="majorHAnsi" w:cstheme="majorHAnsi"/>
          <w:sz w:val="24"/>
          <w:szCs w:val="24"/>
        </w:rPr>
        <w:t xml:space="preserve">past </w:t>
      </w:r>
      <w:r w:rsidR="007A317B" w:rsidRPr="000876F9">
        <w:rPr>
          <w:rFonts w:asciiTheme="majorHAnsi" w:eastAsia="MS PGothic" w:hAnsiTheme="majorHAnsi" w:cstheme="majorHAnsi"/>
          <w:sz w:val="24"/>
          <w:szCs w:val="24"/>
        </w:rPr>
        <w:t>month</w:t>
      </w:r>
      <w:r w:rsidR="008134E0" w:rsidRPr="000876F9">
        <w:rPr>
          <w:rFonts w:asciiTheme="majorHAnsi" w:eastAsia="MS PGothic" w:hAnsiTheme="majorHAnsi" w:cstheme="majorHAnsi"/>
          <w:sz w:val="24"/>
          <w:szCs w:val="24"/>
        </w:rPr>
        <w:t xml:space="preserve">. </w:t>
      </w:r>
    </w:p>
    <w:p w14:paraId="1C6A73CA" w14:textId="77777777" w:rsidR="00290767" w:rsidRPr="000876F9" w:rsidRDefault="00290767" w:rsidP="00B26F1C">
      <w:pPr>
        <w:adjustRightInd w:val="0"/>
        <w:snapToGrid w:val="0"/>
        <w:spacing w:line="480" w:lineRule="auto"/>
        <w:jc w:val="left"/>
        <w:rPr>
          <w:rFonts w:asciiTheme="majorHAnsi" w:eastAsia="MS PGothic" w:hAnsiTheme="majorHAnsi" w:cstheme="majorHAnsi"/>
          <w:sz w:val="24"/>
          <w:szCs w:val="24"/>
        </w:rPr>
      </w:pPr>
    </w:p>
    <w:p w14:paraId="1339A2E1" w14:textId="50C6A065" w:rsidR="00495C0B" w:rsidRPr="000876F9" w:rsidRDefault="00B0788D"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 xml:space="preserve">Radiographic assessment </w:t>
      </w:r>
    </w:p>
    <w:p w14:paraId="38A9739B" w14:textId="25B13AFA" w:rsidR="001641EF" w:rsidRPr="000876F9" w:rsidRDefault="00751054" w:rsidP="00B26F1C">
      <w:pPr>
        <w:adjustRightInd w:val="0"/>
        <w:snapToGrid w:val="0"/>
        <w:spacing w:line="480" w:lineRule="auto"/>
        <w:jc w:val="left"/>
        <w:rPr>
          <w:rFonts w:asciiTheme="majorHAnsi" w:hAnsiTheme="majorHAnsi" w:cstheme="majorHAnsi"/>
          <w:sz w:val="24"/>
          <w:szCs w:val="24"/>
        </w:rPr>
      </w:pPr>
      <w:r w:rsidRPr="000876F9">
        <w:rPr>
          <w:rFonts w:asciiTheme="majorHAnsi" w:eastAsia="MS PGothic" w:hAnsiTheme="majorHAnsi" w:cstheme="majorHAnsi"/>
          <w:sz w:val="24"/>
          <w:szCs w:val="24"/>
        </w:rPr>
        <w:t>LL</w:t>
      </w:r>
      <w:r w:rsidR="00B0788D" w:rsidRPr="000876F9">
        <w:rPr>
          <w:rFonts w:asciiTheme="majorHAnsi" w:eastAsia="MS PGothic" w:hAnsiTheme="majorHAnsi" w:cstheme="majorHAnsi"/>
          <w:sz w:val="24"/>
          <w:szCs w:val="24"/>
        </w:rPr>
        <w:t xml:space="preserve"> (L1-5)</w:t>
      </w:r>
      <w:r w:rsidRPr="000876F9">
        <w:rPr>
          <w:rFonts w:asciiTheme="majorHAnsi" w:eastAsia="MS PGothic" w:hAnsiTheme="majorHAnsi" w:cstheme="majorHAnsi"/>
          <w:sz w:val="24"/>
          <w:szCs w:val="24"/>
        </w:rPr>
        <w:t>, TK (T1-12)</w:t>
      </w:r>
      <w:r w:rsidR="00B0788D" w:rsidRPr="000876F9">
        <w:rPr>
          <w:rFonts w:asciiTheme="majorHAnsi" w:eastAsia="MS PGothic" w:hAnsiTheme="majorHAnsi" w:cstheme="majorHAnsi"/>
          <w:sz w:val="24"/>
          <w:szCs w:val="24"/>
        </w:rPr>
        <w:t xml:space="preserve"> and </w:t>
      </w:r>
      <w:r w:rsidRPr="000876F9">
        <w:rPr>
          <w:rFonts w:asciiTheme="majorHAnsi" w:eastAsia="MS PGothic" w:hAnsiTheme="majorHAnsi" w:cstheme="majorHAnsi"/>
          <w:sz w:val="24"/>
          <w:szCs w:val="24"/>
        </w:rPr>
        <w:t xml:space="preserve">SVA </w:t>
      </w:r>
      <w:r w:rsidR="00B0788D" w:rsidRPr="000876F9">
        <w:rPr>
          <w:rFonts w:asciiTheme="majorHAnsi" w:eastAsia="MS PGothic" w:hAnsiTheme="majorHAnsi" w:cstheme="majorHAnsi"/>
          <w:sz w:val="24"/>
          <w:szCs w:val="24"/>
        </w:rPr>
        <w:t xml:space="preserve">were measured using </w:t>
      </w:r>
      <w:r w:rsidR="000E1AD7" w:rsidRPr="000876F9">
        <w:rPr>
          <w:rFonts w:asciiTheme="majorHAnsi" w:eastAsia="MS PGothic" w:hAnsiTheme="majorHAnsi" w:cstheme="majorHAnsi"/>
          <w:sz w:val="24"/>
          <w:szCs w:val="24"/>
        </w:rPr>
        <w:t xml:space="preserve">a </w:t>
      </w:r>
      <w:r w:rsidRPr="000876F9">
        <w:rPr>
          <w:rFonts w:asciiTheme="majorHAnsi" w:eastAsia="MS PGothic" w:hAnsiTheme="majorHAnsi" w:cstheme="majorHAnsi"/>
          <w:sz w:val="24"/>
          <w:szCs w:val="24"/>
        </w:rPr>
        <w:t xml:space="preserve">whole spinal lateral </w:t>
      </w:r>
      <w:r w:rsidR="00200FE6" w:rsidRPr="000876F9">
        <w:rPr>
          <w:rFonts w:asciiTheme="majorHAnsi" w:eastAsia="MS PGothic" w:hAnsiTheme="majorHAnsi" w:cstheme="majorHAnsi"/>
          <w:sz w:val="24"/>
          <w:szCs w:val="24"/>
        </w:rPr>
        <w:t>standing radiograph</w:t>
      </w:r>
      <w:r w:rsidR="00290767" w:rsidRPr="000876F9">
        <w:rPr>
          <w:rFonts w:asciiTheme="majorHAnsi" w:eastAsia="MS PGothic" w:hAnsiTheme="majorHAnsi" w:cstheme="majorHAnsi"/>
          <w:sz w:val="24"/>
          <w:szCs w:val="24"/>
        </w:rPr>
        <w:t xml:space="preserve"> </w:t>
      </w:r>
      <w:r w:rsidR="00290767" w:rsidRPr="000876F9">
        <w:rPr>
          <w:rFonts w:asciiTheme="majorHAnsi" w:eastAsia="MS PGothic" w:hAnsiTheme="majorHAnsi" w:cstheme="majorHAnsi"/>
          <w:sz w:val="24"/>
          <w:szCs w:val="24"/>
          <w:vertAlign w:val="superscript"/>
        </w:rPr>
        <w:t>11</w:t>
      </w:r>
      <w:r w:rsidR="000E1AD7" w:rsidRPr="000876F9">
        <w:rPr>
          <w:rFonts w:asciiTheme="majorHAnsi" w:eastAsia="MS PGothic" w:hAnsiTheme="majorHAnsi" w:cstheme="majorHAnsi"/>
          <w:sz w:val="24"/>
          <w:szCs w:val="24"/>
        </w:rPr>
        <w:t>. R</w:t>
      </w:r>
      <w:r w:rsidR="004F27A5" w:rsidRPr="000876F9">
        <w:rPr>
          <w:rFonts w:asciiTheme="majorHAnsi" w:eastAsia="MS PGothic" w:hAnsiTheme="majorHAnsi" w:cstheme="majorHAnsi"/>
          <w:sz w:val="24"/>
          <w:szCs w:val="24"/>
        </w:rPr>
        <w:t xml:space="preserve">adiographic KOA was scored by </w:t>
      </w:r>
      <w:r w:rsidR="000E1AD7" w:rsidRPr="000876F9">
        <w:rPr>
          <w:rFonts w:asciiTheme="majorHAnsi" w:eastAsia="MS PGothic" w:hAnsiTheme="majorHAnsi" w:cstheme="majorHAnsi"/>
          <w:sz w:val="24"/>
          <w:szCs w:val="24"/>
        </w:rPr>
        <w:t xml:space="preserve">an </w:t>
      </w:r>
      <w:r w:rsidR="004F27A5" w:rsidRPr="000876F9">
        <w:rPr>
          <w:rFonts w:asciiTheme="majorHAnsi" w:eastAsia="MS PGothic" w:hAnsiTheme="majorHAnsi" w:cstheme="majorHAnsi"/>
          <w:sz w:val="24"/>
          <w:szCs w:val="24"/>
        </w:rPr>
        <w:t>experienced orthopedic surgeon (MT)</w:t>
      </w:r>
      <w:r w:rsidR="00200FE6" w:rsidRPr="000876F9">
        <w:rPr>
          <w:rFonts w:asciiTheme="majorHAnsi" w:eastAsia="MS PGothic" w:hAnsiTheme="majorHAnsi" w:cstheme="majorHAnsi"/>
          <w:sz w:val="24"/>
          <w:szCs w:val="24"/>
        </w:rPr>
        <w:t xml:space="preserve">. The severity of radiographic KOA was determined according to Kellgren-Lawrence (KL) grading </w:t>
      </w:r>
      <w:r w:rsidR="00290767" w:rsidRPr="000876F9">
        <w:rPr>
          <w:rFonts w:asciiTheme="majorHAnsi" w:eastAsia="MS PGothic" w:hAnsiTheme="majorHAnsi" w:cstheme="majorHAnsi"/>
          <w:sz w:val="24"/>
          <w:szCs w:val="24"/>
          <w:vertAlign w:val="superscript"/>
        </w:rPr>
        <w:t>12</w:t>
      </w:r>
      <w:r w:rsidR="00290767" w:rsidRPr="000876F9">
        <w:rPr>
          <w:rFonts w:asciiTheme="majorHAnsi" w:eastAsia="MS PGothic" w:hAnsiTheme="majorHAnsi" w:cstheme="majorHAnsi"/>
          <w:sz w:val="24"/>
          <w:szCs w:val="24"/>
        </w:rPr>
        <w:t xml:space="preserve"> </w:t>
      </w:r>
      <w:r w:rsidR="00200FE6" w:rsidRPr="000876F9">
        <w:rPr>
          <w:rFonts w:asciiTheme="majorHAnsi" w:eastAsia="MS PGothic" w:hAnsiTheme="majorHAnsi" w:cstheme="majorHAnsi"/>
          <w:sz w:val="24"/>
          <w:szCs w:val="24"/>
        </w:rPr>
        <w:t>as follows: KL0, normal; KL1, slight osteophytes; KL2, definite osteophytes; KL3, joint or intervertebral space narrowing with large osterphytes; KL4, bone sclerosis, joint or intervertebral space narrowing, and large osteophytes.</w:t>
      </w:r>
      <w:r w:rsidR="004F27A5" w:rsidRPr="000876F9">
        <w:rPr>
          <w:rFonts w:asciiTheme="majorHAnsi" w:eastAsia="MS PGothic" w:hAnsiTheme="majorHAnsi" w:cstheme="majorHAnsi"/>
          <w:sz w:val="24"/>
          <w:szCs w:val="24"/>
        </w:rPr>
        <w:t xml:space="preserve"> </w:t>
      </w:r>
      <w:r w:rsidR="00FA7029" w:rsidRPr="000876F9">
        <w:rPr>
          <w:rFonts w:asciiTheme="majorHAnsi" w:hAnsiTheme="majorHAnsi" w:cstheme="majorHAnsi"/>
          <w:sz w:val="24"/>
          <w:szCs w:val="24"/>
        </w:rPr>
        <w:t xml:space="preserve">The same observer re-assessed a random sample of 50 of the X-rays after more than a period of one month, </w:t>
      </w:r>
      <w:r w:rsidR="001641EF" w:rsidRPr="000876F9">
        <w:rPr>
          <w:rFonts w:asciiTheme="majorHAnsi" w:hAnsiTheme="majorHAnsi" w:cstheme="majorHAnsi"/>
          <w:sz w:val="24"/>
          <w:szCs w:val="24"/>
        </w:rPr>
        <w:t>blinded to the original rating.</w:t>
      </w:r>
    </w:p>
    <w:p w14:paraId="5EE20E39" w14:textId="732EE06C" w:rsidR="00E6309A" w:rsidRPr="000876F9" w:rsidRDefault="00E6309A" w:rsidP="00B26F1C">
      <w:pPr>
        <w:adjustRightInd w:val="0"/>
        <w:snapToGrid w:val="0"/>
        <w:spacing w:line="480" w:lineRule="auto"/>
        <w:jc w:val="left"/>
        <w:rPr>
          <w:rFonts w:asciiTheme="majorHAnsi" w:hAnsiTheme="majorHAnsi" w:cstheme="majorHAnsi"/>
          <w:sz w:val="24"/>
          <w:szCs w:val="24"/>
        </w:rPr>
      </w:pPr>
      <w:r w:rsidRPr="000876F9">
        <w:rPr>
          <w:rFonts w:asciiTheme="majorHAnsi" w:hAnsiTheme="majorHAnsi" w:cstheme="majorHAnsi"/>
          <w:sz w:val="24"/>
          <w:szCs w:val="24"/>
        </w:rPr>
        <w:t>SVA is a widely accepted measure of spinal alignment, and was measured from spinal radiographs using the method described by Schwab et al</w:t>
      </w:r>
      <w:r w:rsidR="00290767" w:rsidRPr="000876F9">
        <w:rPr>
          <w:rFonts w:asciiTheme="majorHAnsi" w:hAnsiTheme="majorHAnsi" w:cstheme="majorHAnsi"/>
          <w:sz w:val="24"/>
          <w:szCs w:val="24"/>
        </w:rPr>
        <w:t xml:space="preserve"> </w:t>
      </w:r>
      <w:r w:rsidR="00290767" w:rsidRPr="000876F9">
        <w:rPr>
          <w:rFonts w:asciiTheme="majorHAnsi" w:hAnsiTheme="majorHAnsi" w:cstheme="majorHAnsi"/>
          <w:sz w:val="24"/>
          <w:szCs w:val="24"/>
          <w:vertAlign w:val="superscript"/>
        </w:rPr>
        <w:t>11</w:t>
      </w:r>
      <w:r w:rsidRPr="000876F9">
        <w:rPr>
          <w:rFonts w:asciiTheme="majorHAnsi" w:hAnsiTheme="majorHAnsi" w:cstheme="majorHAnsi"/>
          <w:sz w:val="24"/>
          <w:szCs w:val="24"/>
        </w:rPr>
        <w:t xml:space="preserve">. SVA is defined as the horizontal offset from the postero-superior corner of S1 to the vertebral midbody of C7. </w:t>
      </w:r>
    </w:p>
    <w:p w14:paraId="7746C280" w14:textId="62210FA8" w:rsidR="00E6309A" w:rsidRPr="000876F9" w:rsidRDefault="001641EF" w:rsidP="00B26F1C">
      <w:pPr>
        <w:adjustRightInd w:val="0"/>
        <w:snapToGrid w:val="0"/>
        <w:spacing w:line="480" w:lineRule="auto"/>
        <w:jc w:val="left"/>
        <w:rPr>
          <w:rFonts w:asciiTheme="majorHAnsi" w:hAnsiTheme="majorHAnsi" w:cstheme="majorHAnsi"/>
          <w:sz w:val="24"/>
          <w:szCs w:val="24"/>
        </w:rPr>
      </w:pPr>
      <w:r w:rsidRPr="000876F9">
        <w:rPr>
          <w:rFonts w:asciiTheme="majorHAnsi" w:hAnsiTheme="majorHAnsi" w:cstheme="majorHAnsi"/>
          <w:sz w:val="24"/>
          <w:szCs w:val="24"/>
        </w:rPr>
        <w:t>The intra-observer reliability with intraclass correlation coeffecients (ICCs) were 0.8</w:t>
      </w:r>
      <w:r w:rsidR="00216EE6" w:rsidRPr="000876F9">
        <w:rPr>
          <w:rFonts w:asciiTheme="majorHAnsi" w:hAnsiTheme="majorHAnsi" w:cstheme="majorHAnsi"/>
          <w:sz w:val="24"/>
          <w:szCs w:val="24"/>
        </w:rPr>
        <w:t>5</w:t>
      </w:r>
      <w:r w:rsidR="001C1233" w:rsidRPr="000876F9">
        <w:rPr>
          <w:rFonts w:asciiTheme="majorHAnsi" w:hAnsiTheme="majorHAnsi" w:cstheme="majorHAnsi"/>
          <w:sz w:val="24"/>
          <w:szCs w:val="24"/>
        </w:rPr>
        <w:t xml:space="preserve"> for LL, 0.77</w:t>
      </w:r>
      <w:r w:rsidRPr="000876F9">
        <w:rPr>
          <w:rFonts w:asciiTheme="majorHAnsi" w:hAnsiTheme="majorHAnsi" w:cstheme="majorHAnsi"/>
          <w:sz w:val="24"/>
          <w:szCs w:val="24"/>
        </w:rPr>
        <w:t xml:space="preserve"> for TK and 0.8</w:t>
      </w:r>
      <w:r w:rsidR="001C1233" w:rsidRPr="000876F9">
        <w:rPr>
          <w:rFonts w:asciiTheme="majorHAnsi" w:hAnsiTheme="majorHAnsi" w:cstheme="majorHAnsi"/>
          <w:sz w:val="24"/>
          <w:szCs w:val="24"/>
        </w:rPr>
        <w:t>0</w:t>
      </w:r>
      <w:r w:rsidRPr="000876F9">
        <w:rPr>
          <w:rFonts w:asciiTheme="majorHAnsi" w:hAnsiTheme="majorHAnsi" w:cstheme="majorHAnsi"/>
          <w:sz w:val="24"/>
          <w:szCs w:val="24"/>
        </w:rPr>
        <w:t xml:space="preserve"> for SVA </w:t>
      </w:r>
      <w:r w:rsidR="00E6309A" w:rsidRPr="000876F9">
        <w:rPr>
          <w:rFonts w:asciiTheme="majorHAnsi" w:hAnsiTheme="majorHAnsi" w:cstheme="majorHAnsi"/>
          <w:sz w:val="24"/>
          <w:szCs w:val="24"/>
        </w:rPr>
        <w:t xml:space="preserve">; </w:t>
      </w:r>
      <w:r w:rsidRPr="000876F9">
        <w:rPr>
          <w:rFonts w:asciiTheme="majorHAnsi" w:hAnsiTheme="majorHAnsi" w:cstheme="majorHAnsi"/>
          <w:sz w:val="24"/>
          <w:szCs w:val="24"/>
        </w:rPr>
        <w:t>kappa was 0.8</w:t>
      </w:r>
      <w:r w:rsidR="00216EE6" w:rsidRPr="000876F9">
        <w:rPr>
          <w:rFonts w:asciiTheme="majorHAnsi" w:hAnsiTheme="majorHAnsi" w:cstheme="majorHAnsi"/>
          <w:sz w:val="24"/>
          <w:szCs w:val="24"/>
        </w:rPr>
        <w:t>1</w:t>
      </w:r>
      <w:r w:rsidRPr="000876F9">
        <w:rPr>
          <w:rFonts w:asciiTheme="majorHAnsi" w:hAnsiTheme="majorHAnsi" w:cstheme="majorHAnsi"/>
          <w:sz w:val="24"/>
          <w:szCs w:val="24"/>
        </w:rPr>
        <w:t>. Moreover, the</w:t>
      </w:r>
      <w:r w:rsidR="00FA7029" w:rsidRPr="000876F9">
        <w:rPr>
          <w:rFonts w:asciiTheme="majorHAnsi" w:hAnsiTheme="majorHAnsi" w:cstheme="majorHAnsi"/>
          <w:sz w:val="24"/>
          <w:szCs w:val="24"/>
        </w:rPr>
        <w:t xml:space="preserve"> in</w:t>
      </w:r>
      <w:r w:rsidR="007D5841" w:rsidRPr="000876F9">
        <w:rPr>
          <w:rFonts w:asciiTheme="majorHAnsi" w:hAnsiTheme="majorHAnsi" w:cstheme="majorHAnsi"/>
          <w:sz w:val="24"/>
          <w:szCs w:val="24"/>
        </w:rPr>
        <w:t>ter</w:t>
      </w:r>
      <w:r w:rsidR="00FA7029" w:rsidRPr="000876F9">
        <w:rPr>
          <w:rFonts w:asciiTheme="majorHAnsi" w:hAnsiTheme="majorHAnsi" w:cstheme="majorHAnsi"/>
          <w:sz w:val="24"/>
          <w:szCs w:val="24"/>
        </w:rPr>
        <w:t xml:space="preserve">-observer reliability </w:t>
      </w:r>
      <w:r w:rsidR="008B3EF1" w:rsidRPr="000876F9">
        <w:rPr>
          <w:rFonts w:asciiTheme="majorHAnsi" w:hAnsiTheme="majorHAnsi" w:cstheme="majorHAnsi"/>
          <w:sz w:val="24"/>
          <w:szCs w:val="24"/>
        </w:rPr>
        <w:t>with ICCs were 0.8</w:t>
      </w:r>
      <w:r w:rsidR="001C1233" w:rsidRPr="000876F9">
        <w:rPr>
          <w:rFonts w:asciiTheme="majorHAnsi" w:hAnsiTheme="majorHAnsi" w:cstheme="majorHAnsi"/>
          <w:sz w:val="24"/>
          <w:szCs w:val="24"/>
        </w:rPr>
        <w:t>1</w:t>
      </w:r>
      <w:r w:rsidR="008B3EF1" w:rsidRPr="000876F9">
        <w:rPr>
          <w:rFonts w:asciiTheme="majorHAnsi" w:hAnsiTheme="majorHAnsi" w:cstheme="majorHAnsi"/>
          <w:sz w:val="24"/>
          <w:szCs w:val="24"/>
        </w:rPr>
        <w:t xml:space="preserve"> for LL, 0.</w:t>
      </w:r>
      <w:r w:rsidR="001C1233" w:rsidRPr="000876F9">
        <w:rPr>
          <w:rFonts w:asciiTheme="majorHAnsi" w:hAnsiTheme="majorHAnsi" w:cstheme="majorHAnsi"/>
          <w:sz w:val="24"/>
          <w:szCs w:val="24"/>
        </w:rPr>
        <w:t>89</w:t>
      </w:r>
      <w:r w:rsidR="008B3EF1" w:rsidRPr="000876F9">
        <w:rPr>
          <w:rFonts w:asciiTheme="majorHAnsi" w:hAnsiTheme="majorHAnsi" w:cstheme="majorHAnsi"/>
          <w:sz w:val="24"/>
          <w:szCs w:val="24"/>
        </w:rPr>
        <w:t xml:space="preserve"> for TK and 0.</w:t>
      </w:r>
      <w:r w:rsidR="001C1233" w:rsidRPr="000876F9">
        <w:rPr>
          <w:rFonts w:asciiTheme="majorHAnsi" w:hAnsiTheme="majorHAnsi" w:cstheme="majorHAnsi"/>
          <w:sz w:val="24"/>
          <w:szCs w:val="24"/>
        </w:rPr>
        <w:t>91 for SVA and kappa was 0.79</w:t>
      </w:r>
      <w:r w:rsidR="008B3EF1" w:rsidRPr="000876F9">
        <w:rPr>
          <w:rFonts w:asciiTheme="majorHAnsi" w:hAnsiTheme="majorHAnsi" w:cstheme="majorHAnsi"/>
          <w:sz w:val="24"/>
          <w:szCs w:val="24"/>
        </w:rPr>
        <w:t>.</w:t>
      </w:r>
      <w:r w:rsidR="00D1698E" w:rsidRPr="000876F9">
        <w:rPr>
          <w:rFonts w:asciiTheme="majorHAnsi" w:hAnsiTheme="majorHAnsi" w:cstheme="majorHAnsi"/>
          <w:sz w:val="24"/>
          <w:szCs w:val="24"/>
        </w:rPr>
        <w:t xml:space="preserve"> </w:t>
      </w:r>
    </w:p>
    <w:p w14:paraId="37B53333" w14:textId="77777777" w:rsidR="00B0788D" w:rsidRPr="000876F9" w:rsidRDefault="00B0788D" w:rsidP="00B26F1C">
      <w:pPr>
        <w:adjustRightInd w:val="0"/>
        <w:snapToGrid w:val="0"/>
        <w:spacing w:line="480" w:lineRule="auto"/>
        <w:jc w:val="left"/>
        <w:rPr>
          <w:rFonts w:asciiTheme="majorHAnsi" w:eastAsia="MS PGothic" w:hAnsiTheme="majorHAnsi" w:cstheme="majorHAnsi"/>
          <w:sz w:val="24"/>
          <w:szCs w:val="24"/>
        </w:rPr>
      </w:pPr>
    </w:p>
    <w:p w14:paraId="252A4DD5" w14:textId="77D64771" w:rsidR="00495C0B" w:rsidRPr="000876F9" w:rsidRDefault="007A317B"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Assessment of LSS</w:t>
      </w:r>
      <w:r w:rsidR="00715877" w:rsidRPr="000876F9">
        <w:rPr>
          <w:rFonts w:asciiTheme="majorHAnsi" w:eastAsia="MS PGothic" w:hAnsiTheme="majorHAnsi" w:cstheme="majorHAnsi"/>
          <w:b/>
          <w:sz w:val="24"/>
          <w:szCs w:val="24"/>
        </w:rPr>
        <w:t xml:space="preserve"> and KOA</w:t>
      </w:r>
    </w:p>
    <w:p w14:paraId="62F8B1C7" w14:textId="30F70F5B" w:rsidR="00495C0B" w:rsidRPr="000876F9" w:rsidRDefault="00450C95"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In order to assess LSS</w:t>
      </w:r>
      <w:r w:rsidR="007A317B" w:rsidRPr="000876F9">
        <w:rPr>
          <w:rFonts w:asciiTheme="majorHAnsi" w:eastAsia="MS PGothic" w:hAnsiTheme="majorHAnsi" w:cstheme="majorHAnsi"/>
          <w:sz w:val="24"/>
          <w:szCs w:val="24"/>
        </w:rPr>
        <w:t xml:space="preserve">, </w:t>
      </w:r>
      <w:r w:rsidR="00026605" w:rsidRPr="000876F9">
        <w:rPr>
          <w:rFonts w:asciiTheme="majorHAnsi" w:eastAsia="MS PGothic" w:hAnsiTheme="majorHAnsi" w:cstheme="majorHAnsi"/>
          <w:sz w:val="24"/>
          <w:szCs w:val="24"/>
        </w:rPr>
        <w:t>the same orthopedic surgeon</w:t>
      </w:r>
      <w:r w:rsidR="007A317B" w:rsidRPr="000876F9">
        <w:rPr>
          <w:rFonts w:asciiTheme="majorHAnsi" w:eastAsia="MS PGothic" w:hAnsiTheme="majorHAnsi" w:cstheme="majorHAnsi"/>
          <w:sz w:val="24"/>
          <w:szCs w:val="24"/>
        </w:rPr>
        <w:t xml:space="preserve"> evaluated all </w:t>
      </w:r>
      <w:r w:rsidR="00F43E84" w:rsidRPr="000876F9">
        <w:rPr>
          <w:rFonts w:asciiTheme="majorHAnsi" w:eastAsia="MS PGothic" w:hAnsiTheme="majorHAnsi" w:cstheme="majorHAnsi"/>
          <w:sz w:val="24"/>
          <w:szCs w:val="24"/>
        </w:rPr>
        <w:t>participant</w:t>
      </w:r>
      <w:r w:rsidR="007A317B" w:rsidRPr="000876F9">
        <w:rPr>
          <w:rFonts w:asciiTheme="majorHAnsi" w:eastAsia="MS PGothic" w:hAnsiTheme="majorHAnsi" w:cstheme="majorHAnsi"/>
          <w:sz w:val="24"/>
          <w:szCs w:val="24"/>
        </w:rPr>
        <w:t xml:space="preserve">s using a </w:t>
      </w:r>
      <w:r w:rsidRPr="000876F9">
        <w:rPr>
          <w:rFonts w:asciiTheme="majorHAnsi" w:eastAsia="MS PGothic" w:hAnsiTheme="majorHAnsi" w:cstheme="majorHAnsi"/>
          <w:sz w:val="24"/>
          <w:szCs w:val="24"/>
        </w:rPr>
        <w:t xml:space="preserve">validated </w:t>
      </w:r>
      <w:r w:rsidR="007A317B" w:rsidRPr="000876F9">
        <w:rPr>
          <w:rFonts w:asciiTheme="majorHAnsi" w:eastAsia="MS PGothic" w:hAnsiTheme="majorHAnsi" w:cstheme="majorHAnsi"/>
          <w:sz w:val="24"/>
          <w:szCs w:val="24"/>
        </w:rPr>
        <w:t>LSS support tool</w:t>
      </w:r>
      <w:r w:rsidRPr="000876F9">
        <w:rPr>
          <w:rFonts w:asciiTheme="majorHAnsi" w:eastAsia="MS PGothic" w:hAnsiTheme="majorHAnsi" w:cstheme="majorHAnsi"/>
          <w:sz w:val="24"/>
          <w:szCs w:val="24"/>
        </w:rPr>
        <w:t xml:space="preserve"> </w:t>
      </w:r>
      <w:r w:rsidR="00302696" w:rsidRPr="000876F9">
        <w:rPr>
          <w:rFonts w:asciiTheme="majorHAnsi" w:eastAsia="MS PGothic" w:hAnsiTheme="majorHAnsi" w:cstheme="majorHAnsi"/>
          <w:sz w:val="24"/>
          <w:szCs w:val="24"/>
          <w:vertAlign w:val="superscript"/>
        </w:rPr>
        <w:t>13</w:t>
      </w:r>
      <w:r w:rsidRPr="000876F9">
        <w:rPr>
          <w:rFonts w:asciiTheme="majorHAnsi" w:eastAsia="MS PGothic" w:hAnsiTheme="majorHAnsi" w:cstheme="majorHAnsi"/>
          <w:sz w:val="24"/>
          <w:szCs w:val="24"/>
        </w:rPr>
        <w:t>.</w:t>
      </w:r>
      <w:r w:rsidR="00F43E84" w:rsidRPr="000876F9">
        <w:rPr>
          <w:rFonts w:asciiTheme="majorHAnsi" w:eastAsia="MS PGothic" w:hAnsiTheme="majorHAnsi" w:cstheme="majorHAnsi"/>
          <w:sz w:val="24"/>
          <w:szCs w:val="24"/>
        </w:rPr>
        <w:t xml:space="preserve"> Participant</w:t>
      </w:r>
      <w:r w:rsidR="007A317B" w:rsidRPr="000876F9">
        <w:rPr>
          <w:rFonts w:asciiTheme="majorHAnsi" w:eastAsia="MS PGothic" w:hAnsiTheme="majorHAnsi" w:cstheme="majorHAnsi"/>
          <w:sz w:val="24"/>
          <w:szCs w:val="24"/>
        </w:rPr>
        <w:t xml:space="preserve">s </w:t>
      </w:r>
      <w:r w:rsidR="00850CC2" w:rsidRPr="000876F9">
        <w:rPr>
          <w:rFonts w:asciiTheme="majorHAnsi" w:eastAsia="MS PGothic" w:hAnsiTheme="majorHAnsi" w:cstheme="majorHAnsi"/>
          <w:sz w:val="24"/>
          <w:szCs w:val="24"/>
        </w:rPr>
        <w:t xml:space="preserve">with leg </w:t>
      </w:r>
      <w:r w:rsidR="007A317B" w:rsidRPr="000876F9">
        <w:rPr>
          <w:rFonts w:asciiTheme="majorHAnsi" w:eastAsia="MS PGothic" w:hAnsiTheme="majorHAnsi" w:cstheme="majorHAnsi"/>
          <w:sz w:val="24"/>
          <w:szCs w:val="24"/>
        </w:rPr>
        <w:t xml:space="preserve">symptoms </w:t>
      </w:r>
      <w:r w:rsidR="00850CC2" w:rsidRPr="000876F9">
        <w:rPr>
          <w:rFonts w:asciiTheme="majorHAnsi" w:eastAsia="MS PGothic" w:hAnsiTheme="majorHAnsi" w:cstheme="majorHAnsi"/>
          <w:sz w:val="24"/>
          <w:szCs w:val="24"/>
        </w:rPr>
        <w:t xml:space="preserve">who were </w:t>
      </w:r>
      <w:r w:rsidR="007A317B" w:rsidRPr="000876F9">
        <w:rPr>
          <w:rFonts w:asciiTheme="majorHAnsi" w:eastAsia="MS PGothic" w:hAnsiTheme="majorHAnsi" w:cstheme="majorHAnsi"/>
          <w:sz w:val="24"/>
          <w:szCs w:val="24"/>
        </w:rPr>
        <w:t>scor</w:t>
      </w:r>
      <w:r w:rsidR="00850CC2" w:rsidRPr="000876F9">
        <w:rPr>
          <w:rFonts w:asciiTheme="majorHAnsi" w:eastAsia="MS PGothic" w:hAnsiTheme="majorHAnsi" w:cstheme="majorHAnsi"/>
          <w:sz w:val="24"/>
          <w:szCs w:val="24"/>
        </w:rPr>
        <w:t>ed</w:t>
      </w:r>
      <w:r w:rsidR="007A317B" w:rsidRPr="000876F9">
        <w:rPr>
          <w:rFonts w:asciiTheme="majorHAnsi" w:eastAsia="MS PGothic" w:hAnsiTheme="majorHAnsi" w:cstheme="majorHAnsi"/>
          <w:sz w:val="24"/>
          <w:szCs w:val="24"/>
        </w:rPr>
        <w:t xml:space="preserve"> seven or higher were determined to have LSS. </w:t>
      </w:r>
      <w:r w:rsidRPr="000876F9">
        <w:rPr>
          <w:rFonts w:asciiTheme="majorHAnsi" w:eastAsia="MS PGothic" w:hAnsiTheme="majorHAnsi" w:cstheme="majorHAnsi"/>
          <w:sz w:val="24"/>
          <w:szCs w:val="24"/>
        </w:rPr>
        <w:t xml:space="preserve">In order to diagnose </w:t>
      </w:r>
      <w:r w:rsidR="004D1B3F" w:rsidRPr="000876F9">
        <w:rPr>
          <w:rFonts w:asciiTheme="majorHAnsi" w:eastAsia="MS PGothic" w:hAnsiTheme="majorHAnsi" w:cstheme="majorHAnsi"/>
          <w:sz w:val="24"/>
          <w:szCs w:val="24"/>
        </w:rPr>
        <w:t>KOA</w:t>
      </w:r>
      <w:r w:rsidRPr="000876F9">
        <w:rPr>
          <w:rFonts w:asciiTheme="majorHAnsi" w:eastAsia="MS PGothic" w:hAnsiTheme="majorHAnsi" w:cstheme="majorHAnsi"/>
          <w:sz w:val="24"/>
          <w:szCs w:val="24"/>
        </w:rPr>
        <w:t>,</w:t>
      </w:r>
      <w:r w:rsidR="0091409C" w:rsidRPr="000876F9">
        <w:rPr>
          <w:rFonts w:asciiTheme="majorHAnsi" w:eastAsia="MS PGothic" w:hAnsiTheme="majorHAnsi" w:cstheme="majorHAnsi"/>
          <w:sz w:val="24"/>
          <w:szCs w:val="24"/>
        </w:rPr>
        <w:t xml:space="preserve"> both knee pain and r</w:t>
      </w:r>
      <w:r w:rsidR="00784339" w:rsidRPr="000876F9">
        <w:rPr>
          <w:rFonts w:asciiTheme="majorHAnsi" w:eastAsia="MS PGothic" w:hAnsiTheme="majorHAnsi" w:cstheme="majorHAnsi"/>
          <w:sz w:val="24"/>
          <w:szCs w:val="24"/>
        </w:rPr>
        <w:t>adiographic KOA</w:t>
      </w:r>
      <w:r w:rsidRPr="000876F9">
        <w:rPr>
          <w:rFonts w:asciiTheme="majorHAnsi" w:eastAsia="MS PGothic" w:hAnsiTheme="majorHAnsi" w:cstheme="majorHAnsi"/>
          <w:sz w:val="24"/>
          <w:szCs w:val="24"/>
        </w:rPr>
        <w:t xml:space="preserve"> scoring 2 or higher on the KL scale were required. </w:t>
      </w:r>
    </w:p>
    <w:p w14:paraId="79C9117B" w14:textId="77777777" w:rsidR="00495C0B" w:rsidRPr="000876F9" w:rsidRDefault="00495C0B" w:rsidP="00B26F1C">
      <w:pPr>
        <w:adjustRightInd w:val="0"/>
        <w:snapToGrid w:val="0"/>
        <w:spacing w:line="480" w:lineRule="auto"/>
        <w:jc w:val="left"/>
        <w:rPr>
          <w:rFonts w:asciiTheme="majorHAnsi" w:eastAsia="MS PGothic" w:hAnsiTheme="majorHAnsi" w:cstheme="majorHAnsi"/>
          <w:b/>
          <w:sz w:val="24"/>
          <w:szCs w:val="24"/>
        </w:rPr>
      </w:pPr>
    </w:p>
    <w:p w14:paraId="2F8456E9" w14:textId="48338FF1" w:rsidR="0014406A" w:rsidRPr="000876F9" w:rsidRDefault="007A317B"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Statistical analysis</w:t>
      </w:r>
    </w:p>
    <w:p w14:paraId="58A75B08" w14:textId="0B8C4C7D" w:rsidR="00495C0B" w:rsidRPr="000876F9" w:rsidRDefault="00E115FA" w:rsidP="00B26F1C">
      <w:pPr>
        <w:widowControl/>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Participant’s demographic characteristics were summarized using means (SDs) and count</w:t>
      </w:r>
      <w:r w:rsidR="002430DE" w:rsidRPr="000876F9">
        <w:rPr>
          <w:rFonts w:asciiTheme="majorHAnsi" w:eastAsia="MS PGothic" w:hAnsiTheme="majorHAnsi" w:cstheme="majorHAnsi"/>
          <w:sz w:val="24"/>
          <w:szCs w:val="24"/>
        </w:rPr>
        <w:t>s (</w:t>
      </w:r>
      <w:r w:rsidR="00620EF4" w:rsidRPr="000876F9">
        <w:rPr>
          <w:rFonts w:asciiTheme="majorHAnsi" w:eastAsia="MS PGothic" w:hAnsiTheme="majorHAnsi" w:cstheme="majorHAnsi"/>
          <w:sz w:val="24"/>
          <w:szCs w:val="24"/>
        </w:rPr>
        <w:t xml:space="preserve">n, </w:t>
      </w:r>
      <w:r w:rsidR="002430DE" w:rsidRPr="000876F9">
        <w:rPr>
          <w:rFonts w:asciiTheme="majorHAnsi" w:eastAsia="MS PGothic" w:hAnsiTheme="majorHAnsi" w:cstheme="majorHAnsi"/>
          <w:sz w:val="24"/>
          <w:szCs w:val="24"/>
        </w:rPr>
        <w:t xml:space="preserve">%) separately for those </w:t>
      </w:r>
      <w:r w:rsidR="00620EF4" w:rsidRPr="000876F9">
        <w:rPr>
          <w:rFonts w:asciiTheme="majorHAnsi" w:eastAsia="MS PGothic" w:hAnsiTheme="majorHAnsi" w:cstheme="majorHAnsi"/>
          <w:sz w:val="24"/>
          <w:szCs w:val="24"/>
        </w:rPr>
        <w:t>graded as having poor quality of life (</w:t>
      </w:r>
      <w:r w:rsidR="002430DE" w:rsidRPr="000876F9">
        <w:rPr>
          <w:rFonts w:asciiTheme="majorHAnsi" w:eastAsia="MS PGothic" w:hAnsiTheme="majorHAnsi" w:cstheme="majorHAnsi"/>
          <w:sz w:val="24"/>
          <w:szCs w:val="24"/>
        </w:rPr>
        <w:t xml:space="preserve">ODI </w:t>
      </w:r>
      <w:r w:rsidR="000F204A" w:rsidRPr="000876F9">
        <w:rPr>
          <w:rFonts w:asciiTheme="majorHAnsi" w:eastAsia="MS PGothic" w:hAnsiTheme="majorHAnsi" w:cstheme="majorHAnsi"/>
          <w:b/>
          <w:bCs/>
          <w:sz w:val="24"/>
          <w:szCs w:val="24"/>
        </w:rPr>
        <w:t>&gt;</w:t>
      </w:r>
      <w:r w:rsidR="002430DE" w:rsidRPr="000876F9">
        <w:rPr>
          <w:rFonts w:asciiTheme="majorHAnsi" w:eastAsia="MS PGothic" w:hAnsiTheme="majorHAnsi" w:cstheme="majorHAnsi"/>
          <w:sz w:val="24"/>
          <w:szCs w:val="24"/>
        </w:rPr>
        <w:t>12</w:t>
      </w:r>
      <w:r w:rsidR="00620EF4" w:rsidRPr="000876F9">
        <w:rPr>
          <w:rFonts w:asciiTheme="majorHAnsi" w:eastAsia="MS PGothic" w:hAnsiTheme="majorHAnsi" w:cstheme="majorHAnsi"/>
          <w:sz w:val="24"/>
          <w:szCs w:val="24"/>
        </w:rPr>
        <w:t>,</w:t>
      </w:r>
      <w:r w:rsidR="002430DE" w:rsidRPr="000876F9">
        <w:rPr>
          <w:rFonts w:asciiTheme="majorHAnsi" w:eastAsia="MS PGothic" w:hAnsiTheme="majorHAnsi" w:cstheme="majorHAnsi"/>
          <w:sz w:val="24"/>
          <w:szCs w:val="24"/>
        </w:rPr>
        <w:t xml:space="preserve"> (cases)</w:t>
      </w:r>
      <w:r w:rsidR="00620EF4" w:rsidRPr="000876F9">
        <w:rPr>
          <w:rFonts w:asciiTheme="majorHAnsi" w:eastAsia="MS PGothic" w:hAnsiTheme="majorHAnsi" w:cstheme="majorHAnsi"/>
          <w:sz w:val="24"/>
          <w:szCs w:val="24"/>
        </w:rPr>
        <w:t>)</w:t>
      </w:r>
      <w:r w:rsidR="002430DE" w:rsidRPr="000876F9">
        <w:rPr>
          <w:rFonts w:asciiTheme="majorHAnsi" w:eastAsia="MS PGothic" w:hAnsiTheme="majorHAnsi" w:cstheme="majorHAnsi"/>
          <w:sz w:val="24"/>
          <w:szCs w:val="24"/>
        </w:rPr>
        <w:t xml:space="preserve"> and those </w:t>
      </w:r>
      <w:r w:rsidR="00620EF4" w:rsidRPr="000876F9">
        <w:rPr>
          <w:rFonts w:asciiTheme="majorHAnsi" w:eastAsia="MS PGothic" w:hAnsiTheme="majorHAnsi" w:cstheme="majorHAnsi"/>
          <w:sz w:val="24"/>
          <w:szCs w:val="24"/>
        </w:rPr>
        <w:t xml:space="preserve">with a good quality of life (ODI &lt;12, </w:t>
      </w:r>
      <w:r w:rsidR="002430DE" w:rsidRPr="000876F9">
        <w:rPr>
          <w:rFonts w:asciiTheme="majorHAnsi" w:eastAsia="MS PGothic" w:hAnsiTheme="majorHAnsi" w:cstheme="majorHAnsi"/>
          <w:sz w:val="24"/>
          <w:szCs w:val="24"/>
        </w:rPr>
        <w:t>(controls)</w:t>
      </w:r>
      <w:r w:rsidR="00620EF4" w:rsidRPr="000876F9">
        <w:rPr>
          <w:rFonts w:asciiTheme="majorHAnsi" w:eastAsia="MS PGothic" w:hAnsiTheme="majorHAnsi" w:cstheme="majorHAnsi"/>
          <w:sz w:val="24"/>
          <w:szCs w:val="24"/>
        </w:rPr>
        <w:t>)</w:t>
      </w:r>
      <w:r w:rsidR="002430DE" w:rsidRPr="000876F9">
        <w:rPr>
          <w:rFonts w:asciiTheme="majorHAnsi" w:eastAsia="MS PGothic" w:hAnsiTheme="majorHAnsi" w:cstheme="majorHAnsi"/>
          <w:sz w:val="24"/>
          <w:szCs w:val="24"/>
        </w:rPr>
        <w:t xml:space="preserve">. Differences in categorical and continuous </w:t>
      </w:r>
      <w:r w:rsidR="00620EF4" w:rsidRPr="000876F9">
        <w:rPr>
          <w:rFonts w:asciiTheme="majorHAnsi" w:eastAsia="MS PGothic" w:hAnsiTheme="majorHAnsi" w:cstheme="majorHAnsi"/>
          <w:sz w:val="24"/>
          <w:szCs w:val="24"/>
        </w:rPr>
        <w:t xml:space="preserve">variables </w:t>
      </w:r>
      <w:r w:rsidR="002430DE" w:rsidRPr="000876F9">
        <w:rPr>
          <w:rFonts w:asciiTheme="majorHAnsi" w:eastAsia="MS PGothic" w:hAnsiTheme="majorHAnsi" w:cstheme="majorHAnsi"/>
          <w:sz w:val="24"/>
          <w:szCs w:val="24"/>
        </w:rPr>
        <w:t xml:space="preserve">between cases and controls were </w:t>
      </w:r>
      <w:r w:rsidR="00620EF4" w:rsidRPr="000876F9">
        <w:rPr>
          <w:rFonts w:asciiTheme="majorHAnsi" w:eastAsia="MS PGothic" w:hAnsiTheme="majorHAnsi" w:cstheme="majorHAnsi"/>
          <w:sz w:val="24"/>
          <w:szCs w:val="24"/>
        </w:rPr>
        <w:t xml:space="preserve">analyzed </w:t>
      </w:r>
      <w:r w:rsidR="002430DE" w:rsidRPr="000876F9">
        <w:rPr>
          <w:rFonts w:asciiTheme="majorHAnsi" w:eastAsia="MS PGothic" w:hAnsiTheme="majorHAnsi" w:cstheme="majorHAnsi"/>
          <w:sz w:val="24"/>
          <w:szCs w:val="24"/>
        </w:rPr>
        <w:t>using chi-squared and t-tests, respectively. The effects of the predictors such as LBP, LSS, KOA, and radiographic features on ODI were assessed using logistic regression modeling, before and after adjusting for demographic</w:t>
      </w:r>
      <w:r w:rsidR="008A456E" w:rsidRPr="000876F9">
        <w:rPr>
          <w:rFonts w:asciiTheme="majorHAnsi" w:eastAsia="MS PGothic" w:hAnsiTheme="majorHAnsi" w:cstheme="majorHAnsi"/>
          <w:sz w:val="24"/>
          <w:szCs w:val="24"/>
        </w:rPr>
        <w:t>s</w:t>
      </w:r>
      <w:r w:rsidR="002430DE" w:rsidRPr="000876F9">
        <w:rPr>
          <w:rFonts w:asciiTheme="majorHAnsi" w:eastAsia="MS PGothic" w:hAnsiTheme="majorHAnsi" w:cstheme="majorHAnsi"/>
          <w:sz w:val="24"/>
          <w:szCs w:val="24"/>
        </w:rPr>
        <w:t xml:space="preserve"> and predictors, and were summarized by odds ratios (ORs) and 95% confidence intervals (CIs).</w:t>
      </w:r>
      <w:r w:rsidR="00C10260" w:rsidRPr="000876F9">
        <w:rPr>
          <w:rFonts w:asciiTheme="majorHAnsi" w:eastAsia="MS PGothic" w:hAnsiTheme="majorHAnsi" w:cstheme="majorHAnsi"/>
          <w:sz w:val="24"/>
          <w:szCs w:val="24"/>
        </w:rPr>
        <w:t xml:space="preserve"> </w:t>
      </w:r>
      <w:r w:rsidR="00620EF4" w:rsidRPr="000876F9">
        <w:rPr>
          <w:rFonts w:asciiTheme="majorHAnsi" w:eastAsia="MS PGothic" w:hAnsiTheme="majorHAnsi" w:cstheme="majorHAnsi"/>
          <w:sz w:val="24"/>
          <w:szCs w:val="24"/>
        </w:rPr>
        <w:t xml:space="preserve">Odds ratios were adjusted for potential confounders (age, sex and BMI), in addition to the other musculoskeletal predictors. </w:t>
      </w:r>
      <w:r w:rsidR="00C10260" w:rsidRPr="000876F9">
        <w:rPr>
          <w:rFonts w:asciiTheme="majorHAnsi" w:eastAsia="MS PGothic" w:hAnsiTheme="majorHAnsi" w:cstheme="majorHAnsi"/>
          <w:sz w:val="24"/>
          <w:szCs w:val="24"/>
        </w:rPr>
        <w:t xml:space="preserve">Statistical analyses were performing using </w:t>
      </w:r>
      <w:r w:rsidR="007A317B" w:rsidRPr="000876F9">
        <w:rPr>
          <w:rFonts w:asciiTheme="majorHAnsi" w:eastAsia="MS PGothic" w:hAnsiTheme="majorHAnsi" w:cstheme="majorHAnsi"/>
          <w:sz w:val="24"/>
          <w:szCs w:val="24"/>
        </w:rPr>
        <w:t>JMP version 10 (SAS Institute Japan; Tokyo, Japan)</w:t>
      </w:r>
      <w:r w:rsidR="00AA766C" w:rsidRPr="000876F9">
        <w:rPr>
          <w:rFonts w:asciiTheme="majorHAnsi" w:eastAsia="MS PGothic" w:hAnsiTheme="majorHAnsi" w:cstheme="majorHAnsi"/>
          <w:sz w:val="24"/>
          <w:szCs w:val="24"/>
        </w:rPr>
        <w:t>.</w:t>
      </w:r>
    </w:p>
    <w:p w14:paraId="275C3646" w14:textId="77777777" w:rsidR="00495C0B" w:rsidRPr="000876F9" w:rsidRDefault="00495C0B" w:rsidP="00B26F1C">
      <w:pPr>
        <w:widowControl/>
        <w:adjustRightInd w:val="0"/>
        <w:snapToGrid w:val="0"/>
        <w:spacing w:line="480" w:lineRule="auto"/>
        <w:jc w:val="left"/>
        <w:rPr>
          <w:rFonts w:asciiTheme="majorHAnsi" w:eastAsia="MS PGothic" w:hAnsiTheme="majorHAnsi" w:cstheme="majorHAnsi"/>
          <w:b/>
          <w:sz w:val="24"/>
          <w:szCs w:val="24"/>
        </w:rPr>
      </w:pPr>
    </w:p>
    <w:p w14:paraId="179AD248" w14:textId="77777777" w:rsidR="00495C0B" w:rsidRPr="000876F9" w:rsidRDefault="007A317B"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Results</w:t>
      </w:r>
    </w:p>
    <w:p w14:paraId="4099D6EE" w14:textId="1114D108" w:rsidR="00AA766C" w:rsidRPr="000876F9" w:rsidRDefault="00380DFB"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The </w:t>
      </w:r>
      <w:r w:rsidR="00AA766C" w:rsidRPr="000876F9">
        <w:rPr>
          <w:rFonts w:asciiTheme="majorHAnsi" w:eastAsia="MS PGothic" w:hAnsiTheme="majorHAnsi" w:cstheme="majorHAnsi"/>
          <w:sz w:val="24"/>
          <w:szCs w:val="24"/>
        </w:rPr>
        <w:t xml:space="preserve">overall </w:t>
      </w:r>
      <w:r w:rsidRPr="000876F9">
        <w:rPr>
          <w:rFonts w:asciiTheme="majorHAnsi" w:eastAsia="MS PGothic" w:hAnsiTheme="majorHAnsi" w:cstheme="majorHAnsi"/>
          <w:sz w:val="24"/>
          <w:szCs w:val="24"/>
        </w:rPr>
        <w:t xml:space="preserve">prevalence of LBP, </w:t>
      </w:r>
      <w:r w:rsidR="002B46E4" w:rsidRPr="000876F9">
        <w:rPr>
          <w:rFonts w:asciiTheme="majorHAnsi" w:eastAsia="MS PGothic" w:hAnsiTheme="majorHAnsi" w:cstheme="majorHAnsi"/>
          <w:sz w:val="24"/>
          <w:szCs w:val="24"/>
        </w:rPr>
        <w:t xml:space="preserve">LSS, </w:t>
      </w:r>
      <w:r w:rsidR="00EA4CD3" w:rsidRPr="000876F9">
        <w:rPr>
          <w:rFonts w:asciiTheme="majorHAnsi" w:eastAsia="MS PGothic" w:hAnsiTheme="majorHAnsi" w:cstheme="majorHAnsi"/>
          <w:sz w:val="24"/>
          <w:szCs w:val="24"/>
        </w:rPr>
        <w:t>and KOA</w:t>
      </w:r>
      <w:r w:rsidR="002B46E4" w:rsidRPr="000876F9">
        <w:rPr>
          <w:rFonts w:asciiTheme="majorHAnsi" w:eastAsia="MS PGothic" w:hAnsiTheme="majorHAnsi" w:cstheme="majorHAnsi"/>
          <w:sz w:val="24"/>
          <w:szCs w:val="24"/>
        </w:rPr>
        <w:t xml:space="preserve"> was 33.2%,</w:t>
      </w:r>
      <w:r w:rsidR="003C03A6" w:rsidRPr="000876F9">
        <w:rPr>
          <w:rFonts w:asciiTheme="majorHAnsi" w:eastAsia="MS PGothic" w:hAnsiTheme="majorHAnsi" w:cstheme="majorHAnsi"/>
          <w:sz w:val="24"/>
          <w:szCs w:val="24"/>
        </w:rPr>
        <w:t xml:space="preserve"> 6.6%, and 22.7%</w:t>
      </w:r>
      <w:r w:rsidR="00AA766C" w:rsidRPr="000876F9">
        <w:rPr>
          <w:rFonts w:asciiTheme="majorHAnsi" w:eastAsia="MS PGothic" w:hAnsiTheme="majorHAnsi" w:cstheme="majorHAnsi"/>
          <w:sz w:val="24"/>
          <w:szCs w:val="24"/>
        </w:rPr>
        <w:t xml:space="preserve"> respectively. The prevalence of KOA was significantly different between the sexes, being higher in women </w:t>
      </w:r>
      <w:r w:rsidR="003C03A6" w:rsidRPr="000876F9">
        <w:rPr>
          <w:rFonts w:asciiTheme="majorHAnsi" w:eastAsia="MS PGothic" w:hAnsiTheme="majorHAnsi" w:cstheme="majorHAnsi"/>
          <w:sz w:val="24"/>
          <w:szCs w:val="24"/>
        </w:rPr>
        <w:t>(</w:t>
      </w:r>
      <w:r w:rsidR="00AA766C" w:rsidRPr="000876F9">
        <w:rPr>
          <w:rFonts w:asciiTheme="majorHAnsi" w:eastAsia="MS PGothic" w:hAnsiTheme="majorHAnsi" w:cstheme="majorHAnsi"/>
          <w:sz w:val="24"/>
          <w:szCs w:val="24"/>
        </w:rPr>
        <w:t>Men</w:t>
      </w:r>
      <w:r w:rsidR="003C03A6" w:rsidRPr="000876F9">
        <w:rPr>
          <w:rFonts w:asciiTheme="majorHAnsi" w:eastAsia="MS PGothic" w:hAnsiTheme="majorHAnsi" w:cstheme="majorHAnsi"/>
          <w:sz w:val="24"/>
          <w:szCs w:val="24"/>
        </w:rPr>
        <w:t xml:space="preserve">: </w:t>
      </w:r>
      <w:r w:rsidR="00016105" w:rsidRPr="000876F9">
        <w:rPr>
          <w:rFonts w:asciiTheme="majorHAnsi" w:eastAsia="MS PGothic" w:hAnsiTheme="majorHAnsi" w:cstheme="majorHAnsi"/>
          <w:sz w:val="24"/>
          <w:szCs w:val="24"/>
        </w:rPr>
        <w:t>12.5</w:t>
      </w:r>
      <w:r w:rsidR="003C03A6" w:rsidRPr="000876F9">
        <w:rPr>
          <w:rFonts w:asciiTheme="majorHAnsi" w:eastAsia="MS PGothic" w:hAnsiTheme="majorHAnsi" w:cstheme="majorHAnsi"/>
          <w:sz w:val="24"/>
          <w:szCs w:val="24"/>
        </w:rPr>
        <w:t xml:space="preserve">%, </w:t>
      </w:r>
      <w:r w:rsidR="00AA766C" w:rsidRPr="000876F9">
        <w:rPr>
          <w:rFonts w:asciiTheme="majorHAnsi" w:eastAsia="MS PGothic" w:hAnsiTheme="majorHAnsi" w:cstheme="majorHAnsi"/>
          <w:sz w:val="24"/>
          <w:szCs w:val="24"/>
        </w:rPr>
        <w:t>Women</w:t>
      </w:r>
      <w:r w:rsidR="003C03A6" w:rsidRPr="000876F9">
        <w:rPr>
          <w:rFonts w:asciiTheme="majorHAnsi" w:eastAsia="MS PGothic" w:hAnsiTheme="majorHAnsi" w:cstheme="majorHAnsi"/>
          <w:sz w:val="24"/>
          <w:szCs w:val="24"/>
        </w:rPr>
        <w:t xml:space="preserve">: </w:t>
      </w:r>
      <w:r w:rsidR="00016105" w:rsidRPr="000876F9">
        <w:rPr>
          <w:rFonts w:asciiTheme="majorHAnsi" w:eastAsia="MS PGothic" w:hAnsiTheme="majorHAnsi" w:cstheme="majorHAnsi"/>
          <w:sz w:val="24"/>
          <w:szCs w:val="24"/>
        </w:rPr>
        <w:t>17.8</w:t>
      </w:r>
      <w:r w:rsidR="003C03A6" w:rsidRPr="000876F9">
        <w:rPr>
          <w:rFonts w:asciiTheme="majorHAnsi" w:eastAsia="MS PGothic" w:hAnsiTheme="majorHAnsi" w:cstheme="majorHAnsi"/>
          <w:sz w:val="24"/>
          <w:szCs w:val="24"/>
        </w:rPr>
        <w:t>%</w:t>
      </w:r>
      <w:r w:rsidR="007D5841" w:rsidRPr="000876F9">
        <w:rPr>
          <w:rFonts w:asciiTheme="majorHAnsi" w:eastAsia="MS PGothic" w:hAnsiTheme="majorHAnsi" w:cstheme="majorHAnsi"/>
          <w:sz w:val="24"/>
          <w:szCs w:val="24"/>
        </w:rPr>
        <w:t>, P=</w:t>
      </w:r>
      <w:r w:rsidR="00016105" w:rsidRPr="000876F9">
        <w:rPr>
          <w:rFonts w:asciiTheme="majorHAnsi" w:eastAsia="MS PGothic" w:hAnsiTheme="majorHAnsi" w:cstheme="majorHAnsi"/>
          <w:sz w:val="24"/>
          <w:szCs w:val="24"/>
        </w:rPr>
        <w:t>0.006</w:t>
      </w:r>
      <w:r w:rsidR="003C03A6" w:rsidRPr="000876F9">
        <w:rPr>
          <w:rFonts w:asciiTheme="majorHAnsi" w:eastAsia="MS PGothic" w:hAnsiTheme="majorHAnsi" w:cstheme="majorHAnsi"/>
          <w:sz w:val="24"/>
          <w:szCs w:val="24"/>
        </w:rPr>
        <w:t xml:space="preserve">). </w:t>
      </w:r>
      <w:r w:rsidR="00C0558B" w:rsidRPr="000876F9">
        <w:rPr>
          <w:rFonts w:asciiTheme="majorHAnsi" w:eastAsia="MS PGothic" w:hAnsiTheme="majorHAnsi" w:cstheme="majorHAnsi"/>
          <w:sz w:val="24"/>
          <w:szCs w:val="24"/>
        </w:rPr>
        <w:t>T</w:t>
      </w:r>
      <w:r w:rsidR="0038334C" w:rsidRPr="000876F9">
        <w:rPr>
          <w:rFonts w:asciiTheme="majorHAnsi" w:eastAsia="MS PGothic" w:hAnsiTheme="majorHAnsi" w:cstheme="majorHAnsi"/>
          <w:sz w:val="24"/>
          <w:szCs w:val="24"/>
        </w:rPr>
        <w:t xml:space="preserve">he </w:t>
      </w:r>
      <w:r w:rsidR="00AA766C" w:rsidRPr="000876F9">
        <w:rPr>
          <w:rFonts w:asciiTheme="majorHAnsi" w:eastAsia="MS PGothic" w:hAnsiTheme="majorHAnsi" w:cstheme="majorHAnsi"/>
          <w:sz w:val="24"/>
          <w:szCs w:val="24"/>
        </w:rPr>
        <w:t xml:space="preserve">overall </w:t>
      </w:r>
      <w:r w:rsidR="0038334C" w:rsidRPr="000876F9">
        <w:rPr>
          <w:rFonts w:asciiTheme="majorHAnsi" w:eastAsia="MS PGothic" w:hAnsiTheme="majorHAnsi" w:cstheme="majorHAnsi"/>
          <w:sz w:val="24"/>
          <w:szCs w:val="24"/>
        </w:rPr>
        <w:t>prevalence of OP</w:t>
      </w:r>
      <w:r w:rsidR="00AA766C" w:rsidRPr="000876F9">
        <w:rPr>
          <w:rFonts w:asciiTheme="majorHAnsi" w:eastAsia="MS PGothic" w:hAnsiTheme="majorHAnsi" w:cstheme="majorHAnsi"/>
          <w:sz w:val="24"/>
          <w:szCs w:val="24"/>
        </w:rPr>
        <w:t xml:space="preserve"> </w:t>
      </w:r>
      <w:r w:rsidR="0038334C" w:rsidRPr="000876F9">
        <w:rPr>
          <w:rFonts w:asciiTheme="majorHAnsi" w:eastAsia="MS PGothic" w:hAnsiTheme="majorHAnsi" w:cstheme="majorHAnsi"/>
          <w:sz w:val="24"/>
          <w:szCs w:val="24"/>
        </w:rPr>
        <w:t xml:space="preserve">was 2.3%. </w:t>
      </w:r>
      <w:r w:rsidR="003A5FC9" w:rsidRPr="000876F9">
        <w:rPr>
          <w:rFonts w:asciiTheme="majorHAnsi" w:eastAsia="MS PGothic" w:hAnsiTheme="majorHAnsi" w:cstheme="majorHAnsi"/>
          <w:sz w:val="24"/>
          <w:szCs w:val="24"/>
        </w:rPr>
        <w:t>In terms of radiographic</w:t>
      </w:r>
      <w:r w:rsidR="00AA766C" w:rsidRPr="000876F9">
        <w:rPr>
          <w:rFonts w:asciiTheme="majorHAnsi" w:eastAsia="MS PGothic" w:hAnsiTheme="majorHAnsi" w:cstheme="majorHAnsi"/>
          <w:sz w:val="24"/>
          <w:szCs w:val="24"/>
        </w:rPr>
        <w:t xml:space="preserve"> spinal</w:t>
      </w:r>
      <w:r w:rsidR="003A5FC9" w:rsidRPr="000876F9">
        <w:rPr>
          <w:rFonts w:asciiTheme="majorHAnsi" w:eastAsia="MS PGothic" w:hAnsiTheme="majorHAnsi" w:cstheme="majorHAnsi"/>
          <w:sz w:val="24"/>
          <w:szCs w:val="24"/>
        </w:rPr>
        <w:t xml:space="preserve"> features, </w:t>
      </w:r>
      <w:r w:rsidR="00B30664" w:rsidRPr="000876F9">
        <w:rPr>
          <w:rFonts w:asciiTheme="majorHAnsi" w:eastAsia="MS PGothic" w:hAnsiTheme="majorHAnsi" w:cstheme="majorHAnsi"/>
          <w:sz w:val="24"/>
          <w:szCs w:val="24"/>
        </w:rPr>
        <w:t xml:space="preserve">there was no significant difference </w:t>
      </w:r>
      <w:r w:rsidR="00AA766C" w:rsidRPr="000876F9">
        <w:rPr>
          <w:rFonts w:asciiTheme="majorHAnsi" w:eastAsia="MS PGothic" w:hAnsiTheme="majorHAnsi" w:cstheme="majorHAnsi"/>
          <w:sz w:val="24"/>
          <w:szCs w:val="24"/>
        </w:rPr>
        <w:t xml:space="preserve">in the degree of </w:t>
      </w:r>
      <w:r w:rsidR="00B30664" w:rsidRPr="000876F9">
        <w:rPr>
          <w:rFonts w:asciiTheme="majorHAnsi" w:eastAsia="MS PGothic" w:hAnsiTheme="majorHAnsi" w:cstheme="majorHAnsi"/>
          <w:sz w:val="24"/>
          <w:szCs w:val="24"/>
        </w:rPr>
        <w:t>TK between</w:t>
      </w:r>
      <w:r w:rsidR="00AA766C" w:rsidRPr="000876F9">
        <w:rPr>
          <w:rFonts w:asciiTheme="majorHAnsi" w:eastAsia="MS PGothic" w:hAnsiTheme="majorHAnsi" w:cstheme="majorHAnsi"/>
          <w:sz w:val="24"/>
          <w:szCs w:val="24"/>
        </w:rPr>
        <w:t xml:space="preserve"> the</w:t>
      </w:r>
      <w:r w:rsidR="00B30664" w:rsidRPr="000876F9">
        <w:rPr>
          <w:rFonts w:asciiTheme="majorHAnsi" w:eastAsia="MS PGothic" w:hAnsiTheme="majorHAnsi" w:cstheme="majorHAnsi"/>
          <w:sz w:val="24"/>
          <w:szCs w:val="24"/>
        </w:rPr>
        <w:t xml:space="preserve"> sexes, but </w:t>
      </w:r>
      <w:r w:rsidR="00AA766C" w:rsidRPr="000876F9">
        <w:rPr>
          <w:rFonts w:asciiTheme="majorHAnsi" w:eastAsia="MS PGothic" w:hAnsiTheme="majorHAnsi" w:cstheme="majorHAnsi"/>
          <w:sz w:val="24"/>
          <w:szCs w:val="24"/>
        </w:rPr>
        <w:t xml:space="preserve">the severity of </w:t>
      </w:r>
      <w:r w:rsidR="00B30664" w:rsidRPr="000876F9">
        <w:rPr>
          <w:rFonts w:asciiTheme="majorHAnsi" w:eastAsia="MS PGothic" w:hAnsiTheme="majorHAnsi" w:cstheme="majorHAnsi"/>
          <w:sz w:val="24"/>
          <w:szCs w:val="24"/>
        </w:rPr>
        <w:t xml:space="preserve">LL </w:t>
      </w:r>
      <w:r w:rsidR="00AA766C" w:rsidRPr="000876F9">
        <w:rPr>
          <w:rFonts w:asciiTheme="majorHAnsi" w:eastAsia="MS PGothic" w:hAnsiTheme="majorHAnsi" w:cstheme="majorHAnsi"/>
          <w:sz w:val="24"/>
          <w:szCs w:val="24"/>
        </w:rPr>
        <w:t>was significantly greater in women compared to men</w:t>
      </w:r>
      <w:r w:rsidR="00B30664" w:rsidRPr="000876F9">
        <w:rPr>
          <w:rFonts w:asciiTheme="majorHAnsi" w:eastAsia="MS PGothic" w:hAnsiTheme="majorHAnsi" w:cstheme="majorHAnsi"/>
          <w:sz w:val="24"/>
          <w:szCs w:val="24"/>
        </w:rPr>
        <w:t xml:space="preserve">, whereas, </w:t>
      </w:r>
      <w:r w:rsidR="00AA766C" w:rsidRPr="000876F9">
        <w:rPr>
          <w:rFonts w:asciiTheme="majorHAnsi" w:eastAsia="MS PGothic" w:hAnsiTheme="majorHAnsi" w:cstheme="majorHAnsi"/>
          <w:sz w:val="24"/>
          <w:szCs w:val="24"/>
        </w:rPr>
        <w:t xml:space="preserve">the </w:t>
      </w:r>
      <w:r w:rsidR="00B30664" w:rsidRPr="000876F9">
        <w:rPr>
          <w:rFonts w:asciiTheme="majorHAnsi" w:eastAsia="MS PGothic" w:hAnsiTheme="majorHAnsi" w:cstheme="majorHAnsi"/>
          <w:sz w:val="24"/>
          <w:szCs w:val="24"/>
        </w:rPr>
        <w:t>SVA</w:t>
      </w:r>
      <w:r w:rsidR="00AA766C" w:rsidRPr="000876F9">
        <w:rPr>
          <w:rFonts w:asciiTheme="majorHAnsi" w:eastAsia="MS PGothic" w:hAnsiTheme="majorHAnsi" w:cstheme="majorHAnsi"/>
          <w:sz w:val="24"/>
          <w:szCs w:val="24"/>
        </w:rPr>
        <w:t xml:space="preserve"> was significantly greater in men than women.</w:t>
      </w:r>
    </w:p>
    <w:p w14:paraId="2981C623" w14:textId="66A3D182" w:rsidR="00495C0B" w:rsidRPr="000876F9" w:rsidRDefault="00262E27"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In total, 107 (32.0%) of participants were </w:t>
      </w:r>
      <w:r w:rsidR="00D623B8" w:rsidRPr="000876F9">
        <w:rPr>
          <w:rFonts w:asciiTheme="majorHAnsi" w:eastAsia="MS PGothic" w:hAnsiTheme="majorHAnsi" w:cstheme="majorHAnsi"/>
          <w:sz w:val="24"/>
          <w:szCs w:val="24"/>
        </w:rPr>
        <w:t>demonstrated to have a poor quality of life according to our criteria (</w:t>
      </w:r>
      <w:r w:rsidRPr="000876F9">
        <w:rPr>
          <w:rFonts w:asciiTheme="majorHAnsi" w:eastAsia="MS PGothic" w:hAnsiTheme="majorHAnsi" w:cstheme="majorHAnsi"/>
          <w:sz w:val="24"/>
          <w:szCs w:val="24"/>
        </w:rPr>
        <w:t xml:space="preserve">ODI </w:t>
      </w:r>
      <w:r w:rsidR="00D623B8" w:rsidRPr="000876F9">
        <w:rPr>
          <w:rFonts w:asciiTheme="majorHAnsi" w:eastAsia="MS PGothic" w:hAnsiTheme="majorHAnsi" w:cstheme="majorHAnsi"/>
          <w:bCs/>
          <w:sz w:val="24"/>
          <w:szCs w:val="24"/>
        </w:rPr>
        <w:t>≥</w:t>
      </w:r>
      <w:r w:rsidRPr="000876F9">
        <w:rPr>
          <w:rFonts w:asciiTheme="majorHAnsi" w:eastAsia="MS PGothic" w:hAnsiTheme="majorHAnsi" w:cstheme="majorHAnsi"/>
          <w:sz w:val="24"/>
          <w:szCs w:val="24"/>
        </w:rPr>
        <w:t xml:space="preserve"> 12 (cases)</w:t>
      </w:r>
      <w:r w:rsidR="00D623B8" w:rsidRPr="000876F9">
        <w:rPr>
          <w:rFonts w:asciiTheme="majorHAnsi" w:eastAsia="MS PGothic" w:hAnsiTheme="majorHAnsi" w:cstheme="majorHAnsi"/>
          <w:sz w:val="24"/>
          <w:szCs w:val="24"/>
        </w:rPr>
        <w:t xml:space="preserve">), the remaining </w:t>
      </w:r>
      <w:r w:rsidRPr="000876F9">
        <w:rPr>
          <w:rFonts w:asciiTheme="majorHAnsi" w:eastAsia="MS PGothic" w:hAnsiTheme="majorHAnsi" w:cstheme="majorHAnsi"/>
          <w:sz w:val="24"/>
          <w:szCs w:val="24"/>
        </w:rPr>
        <w:t xml:space="preserve">227 individuals </w:t>
      </w:r>
      <w:r w:rsidR="00D623B8" w:rsidRPr="000876F9">
        <w:rPr>
          <w:rFonts w:asciiTheme="majorHAnsi" w:eastAsia="MS PGothic" w:hAnsiTheme="majorHAnsi" w:cstheme="majorHAnsi"/>
          <w:sz w:val="24"/>
          <w:szCs w:val="24"/>
        </w:rPr>
        <w:t xml:space="preserve">were used as </w:t>
      </w:r>
      <w:r w:rsidRPr="000876F9">
        <w:rPr>
          <w:rFonts w:asciiTheme="majorHAnsi" w:eastAsia="MS PGothic" w:hAnsiTheme="majorHAnsi" w:cstheme="majorHAnsi"/>
          <w:sz w:val="24"/>
          <w:szCs w:val="24"/>
        </w:rPr>
        <w:t>controls</w:t>
      </w:r>
      <w:r w:rsidR="00D623B8" w:rsidRPr="000876F9">
        <w:rPr>
          <w:rFonts w:asciiTheme="majorHAnsi" w:eastAsia="MS PGothic" w:hAnsiTheme="majorHAnsi" w:cstheme="majorHAnsi"/>
          <w:sz w:val="24"/>
          <w:szCs w:val="24"/>
        </w:rPr>
        <w:t xml:space="preserve"> in our analysis</w:t>
      </w:r>
      <w:r w:rsidRPr="000876F9">
        <w:rPr>
          <w:rFonts w:asciiTheme="majorHAnsi" w:eastAsia="MS PGothic" w:hAnsiTheme="majorHAnsi" w:cstheme="majorHAnsi"/>
          <w:sz w:val="24"/>
          <w:szCs w:val="24"/>
        </w:rPr>
        <w:t xml:space="preserve"> (Table 1). </w:t>
      </w:r>
      <w:r w:rsidR="00D623B8" w:rsidRPr="000876F9">
        <w:rPr>
          <w:rFonts w:asciiTheme="majorHAnsi" w:eastAsia="MS PGothic" w:hAnsiTheme="majorHAnsi" w:cstheme="majorHAnsi"/>
          <w:sz w:val="24"/>
          <w:szCs w:val="24"/>
        </w:rPr>
        <w:t xml:space="preserve">The musculoskeletal outcomes (LBP, LSS, KOA, LL and SVA) </w:t>
      </w:r>
      <w:r w:rsidR="0010066A" w:rsidRPr="000876F9">
        <w:rPr>
          <w:rFonts w:asciiTheme="majorHAnsi" w:eastAsia="MS PGothic" w:hAnsiTheme="majorHAnsi" w:cstheme="majorHAnsi"/>
          <w:sz w:val="24"/>
          <w:szCs w:val="24"/>
        </w:rPr>
        <w:t>which differed significantly between cases and controls were used as predictors.</w:t>
      </w:r>
    </w:p>
    <w:p w14:paraId="0B0ECB24" w14:textId="1AC0322E" w:rsidR="00837399" w:rsidRPr="000876F9" w:rsidRDefault="00B25B4B" w:rsidP="00B26F1C">
      <w:pPr>
        <w:adjustRightInd w:val="0"/>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Table</w:t>
      </w:r>
      <w:r w:rsidR="00C36BB6" w:rsidRPr="000876F9">
        <w:rPr>
          <w:rFonts w:asciiTheme="majorHAnsi" w:eastAsia="MS PGothic" w:hAnsiTheme="majorHAnsi" w:cstheme="majorHAnsi"/>
          <w:sz w:val="24"/>
          <w:szCs w:val="24"/>
        </w:rPr>
        <w:t xml:space="preserve"> 2 shows the association between</w:t>
      </w:r>
      <w:r w:rsidRPr="000876F9">
        <w:rPr>
          <w:rFonts w:asciiTheme="majorHAnsi" w:eastAsia="MS PGothic" w:hAnsiTheme="majorHAnsi" w:cstheme="majorHAnsi"/>
          <w:sz w:val="24"/>
          <w:szCs w:val="24"/>
        </w:rPr>
        <w:t xml:space="preserve"> LBP, LSS, KOA and radiographic features including LL and SVA</w:t>
      </w:r>
      <w:r w:rsidR="00C36BB6" w:rsidRPr="000876F9">
        <w:rPr>
          <w:rFonts w:asciiTheme="majorHAnsi" w:eastAsia="MS PGothic" w:hAnsiTheme="majorHAnsi" w:cstheme="majorHAnsi"/>
          <w:sz w:val="24"/>
          <w:szCs w:val="24"/>
        </w:rPr>
        <w:t>,</w:t>
      </w:r>
      <w:r w:rsidRPr="000876F9">
        <w:rPr>
          <w:rFonts w:asciiTheme="majorHAnsi" w:eastAsia="MS PGothic" w:hAnsiTheme="majorHAnsi" w:cstheme="majorHAnsi"/>
          <w:sz w:val="24"/>
          <w:szCs w:val="24"/>
        </w:rPr>
        <w:t xml:space="preserve"> </w:t>
      </w:r>
      <w:r w:rsidR="00C36BB6" w:rsidRPr="000876F9">
        <w:rPr>
          <w:rFonts w:asciiTheme="majorHAnsi" w:eastAsia="MS PGothic" w:hAnsiTheme="majorHAnsi" w:cstheme="majorHAnsi"/>
          <w:sz w:val="24"/>
          <w:szCs w:val="24"/>
        </w:rPr>
        <w:t xml:space="preserve">and </w:t>
      </w:r>
      <w:r w:rsidR="00D623B8" w:rsidRPr="000876F9">
        <w:rPr>
          <w:rFonts w:asciiTheme="majorHAnsi" w:eastAsia="MS PGothic" w:hAnsiTheme="majorHAnsi" w:cstheme="majorHAnsi"/>
          <w:sz w:val="24"/>
          <w:szCs w:val="24"/>
        </w:rPr>
        <w:t xml:space="preserve">quality of life </w:t>
      </w:r>
      <w:r w:rsidR="00C36BB6" w:rsidRPr="000876F9">
        <w:rPr>
          <w:rFonts w:asciiTheme="majorHAnsi" w:eastAsia="MS PGothic" w:hAnsiTheme="majorHAnsi" w:cstheme="majorHAnsi"/>
          <w:sz w:val="24"/>
          <w:szCs w:val="24"/>
        </w:rPr>
        <w:t>status</w:t>
      </w:r>
      <w:r w:rsidRPr="000876F9">
        <w:rPr>
          <w:rFonts w:asciiTheme="majorHAnsi" w:eastAsia="MS PGothic" w:hAnsiTheme="majorHAnsi" w:cstheme="majorHAnsi"/>
          <w:sz w:val="24"/>
          <w:szCs w:val="24"/>
        </w:rPr>
        <w:t>. In the unadjusted analyses (Model 1), LBP</w:t>
      </w:r>
      <w:r w:rsidR="008A456E" w:rsidRPr="000876F9">
        <w:rPr>
          <w:rFonts w:asciiTheme="majorHAnsi" w:eastAsia="MS PGothic" w:hAnsiTheme="majorHAnsi" w:cstheme="majorHAnsi"/>
          <w:sz w:val="24"/>
          <w:szCs w:val="24"/>
        </w:rPr>
        <w:t xml:space="preserve"> (OR 3.79, p&lt;0.0001)</w:t>
      </w:r>
      <w:r w:rsidRPr="000876F9">
        <w:rPr>
          <w:rFonts w:asciiTheme="majorHAnsi" w:eastAsia="MS PGothic" w:hAnsiTheme="majorHAnsi" w:cstheme="majorHAnsi"/>
          <w:sz w:val="24"/>
          <w:szCs w:val="24"/>
        </w:rPr>
        <w:t>, LSS</w:t>
      </w:r>
      <w:r w:rsidR="008A456E" w:rsidRPr="000876F9">
        <w:rPr>
          <w:rFonts w:asciiTheme="majorHAnsi" w:eastAsia="MS PGothic" w:hAnsiTheme="majorHAnsi" w:cstheme="majorHAnsi"/>
          <w:sz w:val="24"/>
          <w:szCs w:val="24"/>
        </w:rPr>
        <w:t xml:space="preserve"> (OR 4.46, p 0.0007)</w:t>
      </w:r>
      <w:r w:rsidRPr="000876F9">
        <w:rPr>
          <w:rFonts w:asciiTheme="majorHAnsi" w:eastAsia="MS PGothic" w:hAnsiTheme="majorHAnsi" w:cstheme="majorHAnsi"/>
          <w:sz w:val="24"/>
          <w:szCs w:val="24"/>
        </w:rPr>
        <w:t xml:space="preserve"> and KOA</w:t>
      </w:r>
      <w:r w:rsidR="008A456E" w:rsidRPr="000876F9">
        <w:rPr>
          <w:rFonts w:asciiTheme="majorHAnsi" w:eastAsia="MS PGothic" w:hAnsiTheme="majorHAnsi" w:cstheme="majorHAnsi"/>
          <w:sz w:val="24"/>
          <w:szCs w:val="24"/>
        </w:rPr>
        <w:t xml:space="preserve"> (OR 4.24, p&lt;0.0001)</w:t>
      </w:r>
      <w:r w:rsidRPr="000876F9">
        <w:rPr>
          <w:rFonts w:asciiTheme="majorHAnsi" w:eastAsia="MS PGothic" w:hAnsiTheme="majorHAnsi" w:cstheme="majorHAnsi"/>
          <w:sz w:val="24"/>
          <w:szCs w:val="24"/>
        </w:rPr>
        <w:t xml:space="preserve"> </w:t>
      </w:r>
      <w:r w:rsidR="00C36BB6" w:rsidRPr="000876F9">
        <w:rPr>
          <w:rFonts w:asciiTheme="majorHAnsi" w:eastAsia="MS PGothic" w:hAnsiTheme="majorHAnsi" w:cstheme="majorHAnsi"/>
          <w:sz w:val="24"/>
          <w:szCs w:val="24"/>
        </w:rPr>
        <w:t xml:space="preserve">were significantly associated with increased </w:t>
      </w:r>
      <w:r w:rsidR="008A456E" w:rsidRPr="000876F9">
        <w:rPr>
          <w:rFonts w:asciiTheme="majorHAnsi" w:eastAsia="MS PGothic" w:hAnsiTheme="majorHAnsi" w:cstheme="majorHAnsi"/>
          <w:sz w:val="24"/>
          <w:szCs w:val="24"/>
        </w:rPr>
        <w:t>odds of poor quality of life</w:t>
      </w:r>
      <w:r w:rsidR="00823D1D" w:rsidRPr="000876F9">
        <w:rPr>
          <w:rFonts w:asciiTheme="majorHAnsi" w:eastAsia="MS PGothic" w:hAnsiTheme="majorHAnsi" w:cstheme="majorHAnsi"/>
          <w:sz w:val="24"/>
          <w:szCs w:val="24"/>
        </w:rPr>
        <w:t xml:space="preserve">. In terms of </w:t>
      </w:r>
      <w:r w:rsidR="008A456E" w:rsidRPr="000876F9">
        <w:rPr>
          <w:rFonts w:asciiTheme="majorHAnsi" w:eastAsia="MS PGothic" w:hAnsiTheme="majorHAnsi" w:cstheme="majorHAnsi"/>
          <w:sz w:val="24"/>
          <w:szCs w:val="24"/>
        </w:rPr>
        <w:t xml:space="preserve">spinal </w:t>
      </w:r>
      <w:r w:rsidR="00823D1D" w:rsidRPr="000876F9">
        <w:rPr>
          <w:rFonts w:asciiTheme="majorHAnsi" w:eastAsia="MS PGothic" w:hAnsiTheme="majorHAnsi" w:cstheme="majorHAnsi"/>
          <w:sz w:val="24"/>
          <w:szCs w:val="24"/>
        </w:rPr>
        <w:t>radiographic features,</w:t>
      </w:r>
      <w:r w:rsidR="002A4382" w:rsidRPr="000876F9">
        <w:rPr>
          <w:rFonts w:asciiTheme="majorHAnsi" w:eastAsia="MS PGothic" w:hAnsiTheme="majorHAnsi" w:cstheme="majorHAnsi"/>
          <w:sz w:val="24"/>
          <w:szCs w:val="24"/>
        </w:rPr>
        <w:t xml:space="preserve"> </w:t>
      </w:r>
      <w:r w:rsidR="00823D1D" w:rsidRPr="000876F9">
        <w:rPr>
          <w:rFonts w:asciiTheme="majorHAnsi" w:eastAsia="MS PGothic" w:hAnsiTheme="majorHAnsi" w:cstheme="majorHAnsi"/>
          <w:sz w:val="24"/>
          <w:szCs w:val="24"/>
        </w:rPr>
        <w:t>decreasing LL</w:t>
      </w:r>
      <w:r w:rsidR="008A456E" w:rsidRPr="000876F9">
        <w:rPr>
          <w:rFonts w:asciiTheme="majorHAnsi" w:eastAsia="MS PGothic" w:hAnsiTheme="majorHAnsi" w:cstheme="majorHAnsi"/>
          <w:sz w:val="24"/>
          <w:szCs w:val="24"/>
        </w:rPr>
        <w:t xml:space="preserve"> (OR 1.02 per 1</w:t>
      </w:r>
      <w:r w:rsidR="008A456E" w:rsidRPr="000876F9">
        <w:rPr>
          <w:rFonts w:asciiTheme="majorHAnsi" w:eastAsia="MS PGothic" w:hAnsiTheme="majorHAnsi" w:cstheme="majorHAnsi"/>
          <w:sz w:val="24"/>
          <w:szCs w:val="24"/>
          <w:vertAlign w:val="superscript"/>
        </w:rPr>
        <w:t>o</w:t>
      </w:r>
      <w:r w:rsidR="008A456E" w:rsidRPr="000876F9">
        <w:rPr>
          <w:rFonts w:asciiTheme="majorHAnsi" w:eastAsia="MS PGothic" w:hAnsiTheme="majorHAnsi" w:cstheme="majorHAnsi"/>
          <w:sz w:val="24"/>
          <w:szCs w:val="24"/>
        </w:rPr>
        <w:t xml:space="preserve"> decrease in LL, p=0.047</w:t>
      </w:r>
      <w:r w:rsidR="00823D1D" w:rsidRPr="000876F9">
        <w:rPr>
          <w:rFonts w:asciiTheme="majorHAnsi" w:eastAsia="MS PGothic" w:hAnsiTheme="majorHAnsi" w:cstheme="majorHAnsi"/>
          <w:sz w:val="24"/>
          <w:szCs w:val="24"/>
        </w:rPr>
        <w:t xml:space="preserve"> and increasing SVA</w:t>
      </w:r>
      <w:r w:rsidR="008A456E" w:rsidRPr="000876F9">
        <w:rPr>
          <w:rFonts w:asciiTheme="majorHAnsi" w:eastAsia="MS PGothic" w:hAnsiTheme="majorHAnsi" w:cstheme="majorHAnsi"/>
          <w:sz w:val="24"/>
          <w:szCs w:val="24"/>
        </w:rPr>
        <w:t xml:space="preserve"> (OR</w:t>
      </w:r>
      <w:r w:rsidR="00837399" w:rsidRPr="000876F9">
        <w:rPr>
          <w:rFonts w:asciiTheme="majorHAnsi" w:eastAsia="MS PGothic" w:hAnsiTheme="majorHAnsi" w:cstheme="majorHAnsi"/>
          <w:sz w:val="24"/>
          <w:szCs w:val="24"/>
        </w:rPr>
        <w:t xml:space="preserve"> 1.09</w:t>
      </w:r>
      <w:r w:rsidR="008A456E" w:rsidRPr="000876F9">
        <w:rPr>
          <w:rFonts w:asciiTheme="majorHAnsi" w:eastAsia="MS PGothic" w:hAnsiTheme="majorHAnsi" w:cstheme="majorHAnsi"/>
          <w:sz w:val="24"/>
          <w:szCs w:val="24"/>
        </w:rPr>
        <w:t xml:space="preserve"> per 1cm increase in SVA</w:t>
      </w:r>
      <w:r w:rsidR="00837399" w:rsidRPr="000876F9">
        <w:rPr>
          <w:rFonts w:asciiTheme="majorHAnsi" w:eastAsia="MS PGothic" w:hAnsiTheme="majorHAnsi" w:cstheme="majorHAnsi"/>
          <w:sz w:val="24"/>
          <w:szCs w:val="24"/>
        </w:rPr>
        <w:t xml:space="preserve">, </w:t>
      </w:r>
      <w:r w:rsidR="008A456E" w:rsidRPr="000876F9">
        <w:rPr>
          <w:rFonts w:asciiTheme="majorHAnsi" w:eastAsia="MS PGothic" w:hAnsiTheme="majorHAnsi" w:cstheme="majorHAnsi"/>
          <w:sz w:val="24"/>
          <w:szCs w:val="24"/>
        </w:rPr>
        <w:t>p=0.013)</w:t>
      </w:r>
      <w:r w:rsidR="00823D1D" w:rsidRPr="000876F9">
        <w:rPr>
          <w:rFonts w:asciiTheme="majorHAnsi" w:eastAsia="MS PGothic" w:hAnsiTheme="majorHAnsi" w:cstheme="majorHAnsi"/>
          <w:sz w:val="24"/>
          <w:szCs w:val="24"/>
        </w:rPr>
        <w:t xml:space="preserve"> significantly increased the </w:t>
      </w:r>
      <w:r w:rsidR="008A456E" w:rsidRPr="000876F9">
        <w:rPr>
          <w:rFonts w:asciiTheme="majorHAnsi" w:eastAsia="MS PGothic" w:hAnsiTheme="majorHAnsi" w:cstheme="majorHAnsi"/>
          <w:sz w:val="24"/>
          <w:szCs w:val="24"/>
        </w:rPr>
        <w:t>odds of poor quality of life</w:t>
      </w:r>
      <w:r w:rsidR="00823D1D" w:rsidRPr="000876F9">
        <w:rPr>
          <w:rFonts w:asciiTheme="majorHAnsi" w:eastAsia="MS PGothic" w:hAnsiTheme="majorHAnsi" w:cstheme="majorHAnsi"/>
          <w:sz w:val="24"/>
          <w:szCs w:val="24"/>
        </w:rPr>
        <w:t>.</w:t>
      </w:r>
      <w:r w:rsidR="008A456E" w:rsidRPr="000876F9">
        <w:rPr>
          <w:rFonts w:asciiTheme="majorHAnsi" w:eastAsia="MS PGothic" w:hAnsiTheme="majorHAnsi" w:cstheme="majorHAnsi"/>
          <w:sz w:val="24"/>
          <w:szCs w:val="24"/>
        </w:rPr>
        <w:t xml:space="preserve"> Adjustment for sex, age and BMI increased the strength of the association between LSS and poor quality of life to OR 4.46 (95% CI 1.87, 11.4) to OR 4.77 (95% CI 1.93, 12.7). </w:t>
      </w:r>
      <w:r w:rsidR="00823D1D" w:rsidRPr="000876F9">
        <w:rPr>
          <w:rFonts w:asciiTheme="majorHAnsi" w:eastAsia="MS PGothic" w:hAnsiTheme="majorHAnsi" w:cstheme="majorHAnsi"/>
          <w:sz w:val="24"/>
          <w:szCs w:val="24"/>
        </w:rPr>
        <w:t xml:space="preserve">After adjustment for the other </w:t>
      </w:r>
      <w:r w:rsidR="008A456E" w:rsidRPr="000876F9">
        <w:rPr>
          <w:rFonts w:asciiTheme="majorHAnsi" w:eastAsia="MS PGothic" w:hAnsiTheme="majorHAnsi" w:cstheme="majorHAnsi"/>
          <w:sz w:val="24"/>
          <w:szCs w:val="24"/>
        </w:rPr>
        <w:t xml:space="preserve">musculoskeletal </w:t>
      </w:r>
      <w:r w:rsidR="00823D1D" w:rsidRPr="000876F9">
        <w:rPr>
          <w:rFonts w:asciiTheme="majorHAnsi" w:eastAsia="MS PGothic" w:hAnsiTheme="majorHAnsi" w:cstheme="majorHAnsi"/>
          <w:sz w:val="24"/>
          <w:szCs w:val="24"/>
        </w:rPr>
        <w:t>predictors as well as sex, age and BMI, the associa</w:t>
      </w:r>
      <w:r w:rsidR="002A4382" w:rsidRPr="000876F9">
        <w:rPr>
          <w:rFonts w:asciiTheme="majorHAnsi" w:eastAsia="MS PGothic" w:hAnsiTheme="majorHAnsi" w:cstheme="majorHAnsi"/>
          <w:sz w:val="24"/>
          <w:szCs w:val="24"/>
        </w:rPr>
        <w:t xml:space="preserve">tions </w:t>
      </w:r>
      <w:r w:rsidR="008A456E" w:rsidRPr="000876F9">
        <w:rPr>
          <w:rFonts w:asciiTheme="majorHAnsi" w:eastAsia="MS PGothic" w:hAnsiTheme="majorHAnsi" w:cstheme="majorHAnsi"/>
          <w:sz w:val="24"/>
          <w:szCs w:val="24"/>
        </w:rPr>
        <w:t>between</w:t>
      </w:r>
      <w:r w:rsidR="002A4382" w:rsidRPr="000876F9">
        <w:rPr>
          <w:rFonts w:asciiTheme="majorHAnsi" w:eastAsia="MS PGothic" w:hAnsiTheme="majorHAnsi" w:cstheme="majorHAnsi"/>
          <w:sz w:val="24"/>
          <w:szCs w:val="24"/>
        </w:rPr>
        <w:t xml:space="preserve"> all</w:t>
      </w:r>
      <w:r w:rsidR="00C36BB6" w:rsidRPr="000876F9">
        <w:rPr>
          <w:rFonts w:asciiTheme="majorHAnsi" w:eastAsia="MS PGothic" w:hAnsiTheme="majorHAnsi" w:cstheme="majorHAnsi"/>
          <w:sz w:val="24"/>
          <w:szCs w:val="24"/>
        </w:rPr>
        <w:t xml:space="preserve"> predictors</w:t>
      </w:r>
      <w:r w:rsidR="008A456E" w:rsidRPr="000876F9">
        <w:rPr>
          <w:rFonts w:asciiTheme="majorHAnsi" w:eastAsia="MS PGothic" w:hAnsiTheme="majorHAnsi" w:cstheme="majorHAnsi"/>
          <w:sz w:val="24"/>
          <w:szCs w:val="24"/>
        </w:rPr>
        <w:t xml:space="preserve"> and </w:t>
      </w:r>
      <w:r w:rsidR="00C36BB6" w:rsidRPr="000876F9">
        <w:rPr>
          <w:rFonts w:asciiTheme="majorHAnsi" w:eastAsia="MS PGothic" w:hAnsiTheme="majorHAnsi" w:cstheme="majorHAnsi"/>
          <w:sz w:val="24"/>
          <w:szCs w:val="24"/>
        </w:rPr>
        <w:t xml:space="preserve">other than SVA </w:t>
      </w:r>
      <w:r w:rsidR="002A4382" w:rsidRPr="000876F9">
        <w:rPr>
          <w:rFonts w:asciiTheme="majorHAnsi" w:eastAsia="MS PGothic" w:hAnsiTheme="majorHAnsi" w:cstheme="majorHAnsi"/>
          <w:sz w:val="24"/>
          <w:szCs w:val="24"/>
        </w:rPr>
        <w:t>remained</w:t>
      </w:r>
      <w:r w:rsidR="00C36BB6" w:rsidRPr="000876F9">
        <w:rPr>
          <w:rFonts w:asciiTheme="majorHAnsi" w:eastAsia="MS PGothic" w:hAnsiTheme="majorHAnsi" w:cstheme="majorHAnsi"/>
          <w:sz w:val="24"/>
          <w:szCs w:val="24"/>
        </w:rPr>
        <w:t xml:space="preserve"> significant</w:t>
      </w:r>
      <w:r w:rsidR="00B678A5" w:rsidRPr="000876F9">
        <w:rPr>
          <w:rFonts w:asciiTheme="majorHAnsi" w:eastAsia="MS PGothic" w:hAnsiTheme="majorHAnsi" w:cstheme="majorHAnsi"/>
          <w:sz w:val="24"/>
          <w:szCs w:val="24"/>
        </w:rPr>
        <w:t xml:space="preserve"> (Model 3)</w:t>
      </w:r>
      <w:r w:rsidR="002A4382" w:rsidRPr="000876F9">
        <w:rPr>
          <w:rFonts w:asciiTheme="majorHAnsi" w:eastAsia="MS PGothic" w:hAnsiTheme="majorHAnsi" w:cstheme="majorHAnsi"/>
          <w:sz w:val="24"/>
          <w:szCs w:val="24"/>
        </w:rPr>
        <w:t xml:space="preserve">. In particular, LSS and KOA were associated with </w:t>
      </w:r>
      <w:r w:rsidR="00B678A5" w:rsidRPr="000876F9">
        <w:rPr>
          <w:rFonts w:asciiTheme="majorHAnsi" w:eastAsia="MS PGothic" w:hAnsiTheme="majorHAnsi" w:cstheme="majorHAnsi"/>
          <w:sz w:val="24"/>
          <w:szCs w:val="24"/>
        </w:rPr>
        <w:t>over</w:t>
      </w:r>
      <w:r w:rsidR="00C36BB6" w:rsidRPr="000876F9">
        <w:rPr>
          <w:rFonts w:asciiTheme="majorHAnsi" w:eastAsia="MS PGothic" w:hAnsiTheme="majorHAnsi" w:cstheme="majorHAnsi"/>
          <w:sz w:val="24"/>
          <w:szCs w:val="24"/>
        </w:rPr>
        <w:t xml:space="preserve"> a four-fold increase</w:t>
      </w:r>
      <w:r w:rsidR="00525BA4" w:rsidRPr="000876F9">
        <w:rPr>
          <w:rFonts w:asciiTheme="majorHAnsi" w:eastAsia="MS PGothic" w:hAnsiTheme="majorHAnsi" w:cstheme="majorHAnsi"/>
          <w:sz w:val="24"/>
          <w:szCs w:val="24"/>
        </w:rPr>
        <w:t xml:space="preserve"> in</w:t>
      </w:r>
      <w:r w:rsidR="00C36BB6" w:rsidRPr="000876F9">
        <w:rPr>
          <w:rFonts w:asciiTheme="majorHAnsi" w:eastAsia="MS PGothic" w:hAnsiTheme="majorHAnsi" w:cstheme="majorHAnsi"/>
          <w:sz w:val="24"/>
          <w:szCs w:val="24"/>
        </w:rPr>
        <w:t xml:space="preserve"> risk of being a case </w:t>
      </w:r>
      <w:r w:rsidR="002A4382" w:rsidRPr="000876F9">
        <w:rPr>
          <w:rFonts w:asciiTheme="majorHAnsi" w:hAnsiTheme="majorHAnsi" w:cstheme="majorHAnsi"/>
          <w:sz w:val="24"/>
          <w:szCs w:val="24"/>
        </w:rPr>
        <w:t>(LSS: OR 4.</w:t>
      </w:r>
      <w:r w:rsidR="00B678A5" w:rsidRPr="000876F9">
        <w:rPr>
          <w:rFonts w:asciiTheme="majorHAnsi" w:hAnsiTheme="majorHAnsi" w:cstheme="majorHAnsi"/>
          <w:sz w:val="24"/>
          <w:szCs w:val="24"/>
        </w:rPr>
        <w:t>1</w:t>
      </w:r>
      <w:r w:rsidR="002A4382" w:rsidRPr="000876F9">
        <w:rPr>
          <w:rFonts w:asciiTheme="majorHAnsi" w:hAnsiTheme="majorHAnsi" w:cstheme="majorHAnsi"/>
          <w:sz w:val="24"/>
          <w:szCs w:val="24"/>
        </w:rPr>
        <w:t xml:space="preserve"> 95% CI 1.</w:t>
      </w:r>
      <w:r w:rsidR="00B678A5" w:rsidRPr="000876F9">
        <w:rPr>
          <w:rFonts w:asciiTheme="majorHAnsi" w:hAnsiTheme="majorHAnsi" w:cstheme="majorHAnsi"/>
          <w:sz w:val="24"/>
          <w:szCs w:val="24"/>
        </w:rPr>
        <w:t>56</w:t>
      </w:r>
      <w:r w:rsidR="00837399" w:rsidRPr="000876F9">
        <w:rPr>
          <w:rFonts w:asciiTheme="majorHAnsi" w:hAnsiTheme="majorHAnsi" w:cstheme="majorHAnsi"/>
          <w:sz w:val="24"/>
          <w:szCs w:val="24"/>
        </w:rPr>
        <w:t xml:space="preserve">, </w:t>
      </w:r>
      <w:r w:rsidR="00B678A5" w:rsidRPr="000876F9">
        <w:rPr>
          <w:rFonts w:asciiTheme="majorHAnsi" w:hAnsiTheme="majorHAnsi" w:cstheme="majorHAnsi"/>
          <w:sz w:val="24"/>
          <w:szCs w:val="24"/>
        </w:rPr>
        <w:t>11.29</w:t>
      </w:r>
      <w:r w:rsidR="002A4382" w:rsidRPr="000876F9">
        <w:rPr>
          <w:rFonts w:asciiTheme="majorHAnsi" w:hAnsiTheme="majorHAnsi" w:cstheme="majorHAnsi"/>
          <w:sz w:val="24"/>
          <w:szCs w:val="24"/>
        </w:rPr>
        <w:t>, KOA: OR</w:t>
      </w:r>
      <w:r w:rsidR="00C36BB6" w:rsidRPr="000876F9">
        <w:rPr>
          <w:rFonts w:asciiTheme="majorHAnsi" w:hAnsiTheme="majorHAnsi" w:cstheme="majorHAnsi"/>
          <w:sz w:val="24"/>
          <w:szCs w:val="24"/>
        </w:rPr>
        <w:t xml:space="preserve"> </w:t>
      </w:r>
      <w:r w:rsidR="00B678A5" w:rsidRPr="000876F9">
        <w:rPr>
          <w:rFonts w:asciiTheme="majorHAnsi" w:hAnsiTheme="majorHAnsi" w:cstheme="majorHAnsi"/>
          <w:sz w:val="24"/>
          <w:szCs w:val="24"/>
        </w:rPr>
        <w:t>4.97, 95% CI 2.54</w:t>
      </w:r>
      <w:r w:rsidR="00837399" w:rsidRPr="000876F9">
        <w:rPr>
          <w:rFonts w:asciiTheme="majorHAnsi" w:hAnsiTheme="majorHAnsi" w:cstheme="majorHAnsi"/>
          <w:sz w:val="24"/>
          <w:szCs w:val="24"/>
        </w:rPr>
        <w:t xml:space="preserve">, </w:t>
      </w:r>
      <w:r w:rsidR="00B678A5" w:rsidRPr="000876F9">
        <w:rPr>
          <w:rFonts w:asciiTheme="majorHAnsi" w:hAnsiTheme="majorHAnsi" w:cstheme="majorHAnsi"/>
          <w:sz w:val="24"/>
          <w:szCs w:val="24"/>
        </w:rPr>
        <w:t>9.94</w:t>
      </w:r>
      <w:r w:rsidR="002A4382" w:rsidRPr="000876F9">
        <w:rPr>
          <w:rFonts w:asciiTheme="majorHAnsi" w:hAnsiTheme="majorHAnsi" w:cstheme="majorHAnsi"/>
          <w:sz w:val="24"/>
          <w:szCs w:val="24"/>
        </w:rPr>
        <w:t>)</w:t>
      </w:r>
      <w:r w:rsidR="002A4382" w:rsidRPr="000876F9">
        <w:rPr>
          <w:rFonts w:asciiTheme="majorHAnsi" w:eastAsia="MS PGothic" w:hAnsiTheme="majorHAnsi" w:cstheme="majorHAnsi"/>
          <w:sz w:val="24"/>
          <w:szCs w:val="24"/>
        </w:rPr>
        <w:t xml:space="preserve"> after adjustment for </w:t>
      </w:r>
      <w:r w:rsidR="00837399" w:rsidRPr="000876F9">
        <w:rPr>
          <w:rFonts w:asciiTheme="majorHAnsi" w:eastAsia="MS PGothic" w:hAnsiTheme="majorHAnsi" w:cstheme="majorHAnsi"/>
          <w:sz w:val="24"/>
          <w:szCs w:val="24"/>
        </w:rPr>
        <w:t>age, sex, BMI and all other predictors</w:t>
      </w:r>
      <w:r w:rsidR="002A4382" w:rsidRPr="000876F9">
        <w:rPr>
          <w:rFonts w:asciiTheme="majorHAnsi" w:eastAsia="MS PGothic" w:hAnsiTheme="majorHAnsi" w:cstheme="majorHAnsi"/>
          <w:sz w:val="24"/>
          <w:szCs w:val="24"/>
        </w:rPr>
        <w:t>.</w:t>
      </w:r>
      <w:r w:rsidR="00837399" w:rsidRPr="000876F9">
        <w:rPr>
          <w:rFonts w:asciiTheme="majorHAnsi" w:eastAsia="MS PGothic" w:hAnsiTheme="majorHAnsi" w:cstheme="majorHAnsi"/>
          <w:sz w:val="24"/>
          <w:szCs w:val="24"/>
        </w:rPr>
        <w:t xml:space="preserve"> Associations between LBP and LSS and poor quality of life were attenuated by adjustment for the other predictors (including KOA), whereas associations between KOA and poor quality of life was strengthened by this adjustment.</w:t>
      </w:r>
    </w:p>
    <w:p w14:paraId="2B4C8473" w14:textId="2ACA0948" w:rsidR="00495C0B" w:rsidRPr="000876F9" w:rsidRDefault="004D59F7"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ab/>
      </w:r>
    </w:p>
    <w:p w14:paraId="608A742E" w14:textId="77614026" w:rsidR="00495C0B" w:rsidRPr="000876F9" w:rsidRDefault="007A317B" w:rsidP="00B26F1C">
      <w:pPr>
        <w:adjustRightInd w:val="0"/>
        <w:snapToGrid w:val="0"/>
        <w:spacing w:line="480" w:lineRule="auto"/>
        <w:jc w:val="left"/>
        <w:rPr>
          <w:rFonts w:asciiTheme="majorHAnsi" w:eastAsia="MS PGothic" w:hAnsiTheme="majorHAnsi" w:cstheme="majorHAnsi"/>
          <w:b/>
          <w:sz w:val="24"/>
          <w:szCs w:val="24"/>
        </w:rPr>
      </w:pPr>
      <w:r w:rsidRPr="000876F9">
        <w:rPr>
          <w:rFonts w:asciiTheme="majorHAnsi" w:eastAsia="MS PGothic" w:hAnsiTheme="majorHAnsi" w:cstheme="majorHAnsi"/>
          <w:b/>
          <w:sz w:val="24"/>
          <w:szCs w:val="24"/>
        </w:rPr>
        <w:t>Discussion</w:t>
      </w:r>
    </w:p>
    <w:p w14:paraId="64A02960" w14:textId="42255989" w:rsidR="00E931CA" w:rsidRPr="000876F9" w:rsidRDefault="002066D7" w:rsidP="00B26F1C">
      <w:pPr>
        <w:widowControl/>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In a study of </w:t>
      </w:r>
      <w:r w:rsidR="00544784" w:rsidRPr="000876F9">
        <w:rPr>
          <w:rFonts w:asciiTheme="majorHAnsi" w:eastAsia="MS PGothic" w:hAnsiTheme="majorHAnsi" w:cstheme="majorHAnsi"/>
          <w:sz w:val="24"/>
          <w:szCs w:val="24"/>
        </w:rPr>
        <w:t xml:space="preserve">334 </w:t>
      </w:r>
      <w:r w:rsidRPr="000876F9">
        <w:rPr>
          <w:rFonts w:asciiTheme="majorHAnsi" w:eastAsia="MS PGothic" w:hAnsiTheme="majorHAnsi" w:cstheme="majorHAnsi"/>
          <w:sz w:val="24"/>
          <w:szCs w:val="24"/>
        </w:rPr>
        <w:t xml:space="preserve">Japanese older people (mean age 62.7 (8.65) years) we have shown that </w:t>
      </w:r>
      <w:r w:rsidR="001C0FA6" w:rsidRPr="000876F9">
        <w:rPr>
          <w:rFonts w:asciiTheme="majorHAnsi" w:eastAsia="MS PGothic" w:hAnsiTheme="majorHAnsi" w:cstheme="majorHAnsi"/>
          <w:sz w:val="24"/>
          <w:szCs w:val="24"/>
        </w:rPr>
        <w:t>LBP, LSS, KOA, and decreasing LL were significantly associated</w:t>
      </w:r>
      <w:r w:rsidRPr="000876F9">
        <w:rPr>
          <w:rFonts w:asciiTheme="majorHAnsi" w:eastAsia="MS PGothic" w:hAnsiTheme="majorHAnsi" w:cstheme="majorHAnsi"/>
          <w:sz w:val="24"/>
          <w:szCs w:val="24"/>
        </w:rPr>
        <w:t xml:space="preserve"> with</w:t>
      </w:r>
      <w:r w:rsidR="001C0FA6" w:rsidRPr="000876F9">
        <w:rPr>
          <w:rFonts w:asciiTheme="majorHAnsi" w:eastAsia="MS PGothic" w:hAnsiTheme="majorHAnsi" w:cstheme="majorHAnsi"/>
          <w:sz w:val="24"/>
          <w:szCs w:val="24"/>
        </w:rPr>
        <w:t xml:space="preserve"> </w:t>
      </w:r>
      <w:r w:rsidRPr="000876F9">
        <w:rPr>
          <w:rFonts w:asciiTheme="majorHAnsi" w:eastAsia="MS PGothic" w:hAnsiTheme="majorHAnsi" w:cstheme="majorHAnsi"/>
          <w:sz w:val="24"/>
          <w:szCs w:val="24"/>
        </w:rPr>
        <w:t>poor QOL as defined by the Oswestry Disability Index</w:t>
      </w:r>
      <w:r w:rsidR="001C0FA6" w:rsidRPr="000876F9">
        <w:rPr>
          <w:rFonts w:asciiTheme="majorHAnsi" w:eastAsia="MS PGothic" w:hAnsiTheme="majorHAnsi" w:cstheme="majorHAnsi"/>
          <w:sz w:val="24"/>
          <w:szCs w:val="24"/>
        </w:rPr>
        <w:t xml:space="preserve">. </w:t>
      </w:r>
      <w:r w:rsidR="00790FFA" w:rsidRPr="000876F9">
        <w:rPr>
          <w:rFonts w:asciiTheme="majorHAnsi" w:eastAsia="MS PGothic" w:hAnsiTheme="majorHAnsi" w:cstheme="majorHAnsi"/>
          <w:sz w:val="24"/>
          <w:szCs w:val="24"/>
        </w:rPr>
        <w:t xml:space="preserve">In this cohort, we found that people with a poorer quality of life tended to be older, and have a higher BMI. </w:t>
      </w:r>
      <w:r w:rsidR="00673C8D" w:rsidRPr="000876F9">
        <w:rPr>
          <w:rFonts w:asciiTheme="majorHAnsi" w:eastAsia="MS PGothic" w:hAnsiTheme="majorHAnsi" w:cstheme="majorHAnsi"/>
          <w:sz w:val="24"/>
          <w:szCs w:val="24"/>
        </w:rPr>
        <w:t xml:space="preserve">LSS </w:t>
      </w:r>
      <w:r w:rsidR="00790FFA" w:rsidRPr="000876F9">
        <w:rPr>
          <w:rFonts w:asciiTheme="majorHAnsi" w:eastAsia="MS PGothic" w:hAnsiTheme="majorHAnsi" w:cstheme="majorHAnsi"/>
          <w:sz w:val="24"/>
          <w:szCs w:val="24"/>
        </w:rPr>
        <w:t xml:space="preserve">was </w:t>
      </w:r>
      <w:r w:rsidRPr="000876F9">
        <w:rPr>
          <w:rFonts w:asciiTheme="majorHAnsi" w:eastAsia="MS PGothic" w:hAnsiTheme="majorHAnsi" w:cstheme="majorHAnsi"/>
          <w:sz w:val="24"/>
          <w:szCs w:val="24"/>
        </w:rPr>
        <w:t xml:space="preserve">associated with </w:t>
      </w:r>
      <w:r w:rsidR="00544784" w:rsidRPr="000876F9">
        <w:rPr>
          <w:rFonts w:asciiTheme="majorHAnsi" w:eastAsia="MS PGothic" w:hAnsiTheme="majorHAnsi" w:cstheme="majorHAnsi"/>
          <w:sz w:val="24"/>
          <w:szCs w:val="24"/>
        </w:rPr>
        <w:t xml:space="preserve">an </w:t>
      </w:r>
      <w:r w:rsidRPr="000876F9">
        <w:rPr>
          <w:rFonts w:asciiTheme="majorHAnsi" w:eastAsia="MS PGothic" w:hAnsiTheme="majorHAnsi" w:cstheme="majorHAnsi"/>
          <w:sz w:val="24"/>
          <w:szCs w:val="24"/>
        </w:rPr>
        <w:t>over</w:t>
      </w:r>
      <w:r w:rsidR="00673C8D" w:rsidRPr="000876F9">
        <w:rPr>
          <w:rFonts w:asciiTheme="majorHAnsi" w:eastAsia="MS PGothic" w:hAnsiTheme="majorHAnsi" w:cstheme="majorHAnsi"/>
          <w:sz w:val="24"/>
          <w:szCs w:val="24"/>
        </w:rPr>
        <w:t xml:space="preserve"> 4 fold-</w:t>
      </w:r>
      <w:r w:rsidR="00790FFA" w:rsidRPr="000876F9">
        <w:rPr>
          <w:rFonts w:asciiTheme="majorHAnsi" w:eastAsia="MS PGothic" w:hAnsiTheme="majorHAnsi" w:cstheme="majorHAnsi"/>
          <w:sz w:val="24"/>
          <w:szCs w:val="24"/>
        </w:rPr>
        <w:t xml:space="preserve">, and KOA with an almost five fold - </w:t>
      </w:r>
      <w:r w:rsidR="00673C8D" w:rsidRPr="000876F9">
        <w:rPr>
          <w:rFonts w:asciiTheme="majorHAnsi" w:eastAsia="MS PGothic" w:hAnsiTheme="majorHAnsi" w:cstheme="majorHAnsi"/>
          <w:sz w:val="24"/>
          <w:szCs w:val="24"/>
        </w:rPr>
        <w:t xml:space="preserve">increased </w:t>
      </w:r>
      <w:r w:rsidRPr="000876F9">
        <w:rPr>
          <w:rFonts w:asciiTheme="majorHAnsi" w:eastAsia="MS PGothic" w:hAnsiTheme="majorHAnsi" w:cstheme="majorHAnsi"/>
          <w:sz w:val="24"/>
          <w:szCs w:val="24"/>
        </w:rPr>
        <w:t>odds of poor</w:t>
      </w:r>
      <w:r w:rsidR="00673C8D" w:rsidRPr="000876F9">
        <w:rPr>
          <w:rFonts w:asciiTheme="majorHAnsi" w:eastAsia="MS PGothic" w:hAnsiTheme="majorHAnsi" w:cstheme="majorHAnsi"/>
          <w:sz w:val="24"/>
          <w:szCs w:val="24"/>
        </w:rPr>
        <w:t xml:space="preserve"> QOL as compared to those without</w:t>
      </w:r>
      <w:r w:rsidR="00790FFA" w:rsidRPr="000876F9">
        <w:rPr>
          <w:rFonts w:asciiTheme="majorHAnsi" w:eastAsia="MS PGothic" w:hAnsiTheme="majorHAnsi" w:cstheme="majorHAnsi"/>
          <w:sz w:val="24"/>
          <w:szCs w:val="24"/>
        </w:rPr>
        <w:t>, after adjustment for potential confounding factors such as sex, age, BMI and other musculoskeletal conditions</w:t>
      </w:r>
      <w:r w:rsidR="00673C8D" w:rsidRPr="000876F9">
        <w:rPr>
          <w:rFonts w:asciiTheme="majorHAnsi" w:eastAsia="MS PGothic" w:hAnsiTheme="majorHAnsi" w:cstheme="majorHAnsi"/>
          <w:sz w:val="24"/>
          <w:szCs w:val="24"/>
        </w:rPr>
        <w:t>.</w:t>
      </w:r>
      <w:r w:rsidR="00544784" w:rsidRPr="000876F9">
        <w:rPr>
          <w:rFonts w:asciiTheme="majorHAnsi" w:eastAsia="MS PGothic" w:hAnsiTheme="majorHAnsi" w:cstheme="majorHAnsi"/>
          <w:sz w:val="24"/>
          <w:szCs w:val="24"/>
        </w:rPr>
        <w:t xml:space="preserve"> BMD </w:t>
      </w:r>
      <w:r w:rsidR="00E93AB8" w:rsidRPr="000876F9">
        <w:rPr>
          <w:rFonts w:asciiTheme="majorHAnsi" w:eastAsia="MS PGothic" w:hAnsiTheme="majorHAnsi" w:cstheme="majorHAnsi"/>
          <w:sz w:val="24"/>
          <w:szCs w:val="24"/>
        </w:rPr>
        <w:t xml:space="preserve">and </w:t>
      </w:r>
      <w:r w:rsidR="00544784" w:rsidRPr="000876F9">
        <w:rPr>
          <w:rFonts w:asciiTheme="majorHAnsi" w:eastAsia="MS PGothic" w:hAnsiTheme="majorHAnsi" w:cstheme="majorHAnsi"/>
          <w:sz w:val="24"/>
          <w:szCs w:val="24"/>
        </w:rPr>
        <w:t xml:space="preserve">thoracic kyphosis were not shown to be associated with QOL in this population. SVA was not shown to be an independent predictor of poor QOL following adjustment for </w:t>
      </w:r>
      <w:r w:rsidR="00457452" w:rsidRPr="000876F9">
        <w:rPr>
          <w:rFonts w:asciiTheme="majorHAnsi" w:eastAsia="MS PGothic" w:hAnsiTheme="majorHAnsi" w:cstheme="majorHAnsi"/>
          <w:sz w:val="24"/>
          <w:szCs w:val="24"/>
        </w:rPr>
        <w:t>all the same confounders.</w:t>
      </w:r>
    </w:p>
    <w:p w14:paraId="78F3FC6C" w14:textId="77777777" w:rsidR="009F2B8D" w:rsidRPr="000876F9" w:rsidRDefault="009F2B8D" w:rsidP="00B26F1C">
      <w:pPr>
        <w:widowControl/>
        <w:snapToGrid w:val="0"/>
        <w:spacing w:line="480" w:lineRule="auto"/>
        <w:jc w:val="left"/>
        <w:rPr>
          <w:rFonts w:asciiTheme="majorHAnsi" w:eastAsia="MS PGothic" w:hAnsiTheme="majorHAnsi" w:cstheme="majorHAnsi"/>
          <w:sz w:val="24"/>
          <w:szCs w:val="24"/>
        </w:rPr>
      </w:pPr>
    </w:p>
    <w:p w14:paraId="34941F15" w14:textId="1D49AA30" w:rsidR="001C0FA6" w:rsidRPr="000876F9" w:rsidRDefault="00544784" w:rsidP="00B26F1C">
      <w:pPr>
        <w:widowControl/>
        <w:snapToGrid w:val="0"/>
        <w:spacing w:line="480" w:lineRule="auto"/>
        <w:jc w:val="left"/>
        <w:rPr>
          <w:rFonts w:asciiTheme="majorHAnsi" w:hAnsiTheme="majorHAnsi" w:cstheme="majorHAnsi"/>
          <w:sz w:val="24"/>
          <w:szCs w:val="24"/>
        </w:rPr>
      </w:pPr>
      <w:r w:rsidRPr="000876F9">
        <w:rPr>
          <w:rFonts w:asciiTheme="majorHAnsi" w:eastAsia="MS PGothic" w:hAnsiTheme="majorHAnsi" w:cstheme="majorHAnsi"/>
          <w:sz w:val="24"/>
          <w:szCs w:val="24"/>
        </w:rPr>
        <w:t>Certain limitations to this study should be acknowledged</w:t>
      </w:r>
      <w:r w:rsidR="009F2B8D" w:rsidRPr="000876F9">
        <w:rPr>
          <w:rFonts w:asciiTheme="majorHAnsi" w:eastAsia="MS PGothic" w:hAnsiTheme="majorHAnsi" w:cstheme="majorHAnsi"/>
          <w:sz w:val="24"/>
          <w:szCs w:val="24"/>
        </w:rPr>
        <w:t>. First, this is a cross-sectional study</w:t>
      </w:r>
      <w:r w:rsidRPr="000876F9">
        <w:rPr>
          <w:rFonts w:asciiTheme="majorHAnsi" w:eastAsia="MS PGothic" w:hAnsiTheme="majorHAnsi" w:cstheme="majorHAnsi"/>
          <w:sz w:val="24"/>
          <w:szCs w:val="24"/>
        </w:rPr>
        <w:t xml:space="preserve">, meaning </w:t>
      </w:r>
      <w:r w:rsidR="009F2B8D" w:rsidRPr="000876F9">
        <w:rPr>
          <w:rFonts w:asciiTheme="majorHAnsi" w:eastAsia="MS PGothic" w:hAnsiTheme="majorHAnsi" w:cstheme="majorHAnsi"/>
          <w:sz w:val="24"/>
          <w:szCs w:val="24"/>
        </w:rPr>
        <w:t>causal attribution</w:t>
      </w:r>
      <w:r w:rsidRPr="000876F9">
        <w:rPr>
          <w:rFonts w:asciiTheme="majorHAnsi" w:eastAsia="MS PGothic" w:hAnsiTheme="majorHAnsi" w:cstheme="majorHAnsi"/>
          <w:sz w:val="24"/>
          <w:szCs w:val="24"/>
        </w:rPr>
        <w:t>s</w:t>
      </w:r>
      <w:r w:rsidR="009F2B8D" w:rsidRPr="000876F9">
        <w:rPr>
          <w:rFonts w:asciiTheme="majorHAnsi" w:eastAsia="MS PGothic" w:hAnsiTheme="majorHAnsi" w:cstheme="majorHAnsi"/>
          <w:sz w:val="24"/>
          <w:szCs w:val="24"/>
        </w:rPr>
        <w:t xml:space="preserve"> cannot be made</w:t>
      </w:r>
      <w:r w:rsidRPr="000876F9">
        <w:rPr>
          <w:rFonts w:asciiTheme="majorHAnsi" w:eastAsia="MS PGothic" w:hAnsiTheme="majorHAnsi" w:cstheme="majorHAnsi"/>
          <w:sz w:val="24"/>
          <w:szCs w:val="24"/>
        </w:rPr>
        <w:t xml:space="preserve"> between </w:t>
      </w:r>
      <w:r w:rsidR="00790FFA" w:rsidRPr="000876F9">
        <w:rPr>
          <w:rFonts w:asciiTheme="majorHAnsi" w:eastAsia="MS PGothic" w:hAnsiTheme="majorHAnsi" w:cstheme="majorHAnsi"/>
          <w:sz w:val="24"/>
          <w:szCs w:val="24"/>
        </w:rPr>
        <w:t>m</w:t>
      </w:r>
      <w:r w:rsidRPr="000876F9">
        <w:rPr>
          <w:rFonts w:asciiTheme="majorHAnsi" w:eastAsia="MS PGothic" w:hAnsiTheme="majorHAnsi" w:cstheme="majorHAnsi"/>
          <w:sz w:val="24"/>
          <w:szCs w:val="24"/>
        </w:rPr>
        <w:t>usculoskeletal</w:t>
      </w:r>
      <w:r w:rsidR="00790FFA" w:rsidRPr="000876F9">
        <w:rPr>
          <w:rFonts w:asciiTheme="majorHAnsi" w:eastAsia="MS PGothic" w:hAnsiTheme="majorHAnsi" w:cstheme="majorHAnsi"/>
          <w:sz w:val="24"/>
          <w:szCs w:val="24"/>
        </w:rPr>
        <w:t xml:space="preserve"> health</w:t>
      </w:r>
      <w:r w:rsidR="00776871" w:rsidRPr="000876F9">
        <w:rPr>
          <w:rFonts w:asciiTheme="majorHAnsi" w:eastAsia="MS PGothic" w:hAnsiTheme="majorHAnsi" w:cstheme="majorHAnsi"/>
          <w:sz w:val="24"/>
          <w:szCs w:val="24"/>
        </w:rPr>
        <w:t xml:space="preserve"> outcomes such as </w:t>
      </w:r>
      <w:r w:rsidR="00C36A16" w:rsidRPr="000876F9">
        <w:rPr>
          <w:rFonts w:asciiTheme="majorHAnsi" w:eastAsia="MS PGothic" w:hAnsiTheme="majorHAnsi" w:cstheme="majorHAnsi"/>
          <w:sz w:val="24"/>
          <w:szCs w:val="24"/>
        </w:rPr>
        <w:t>LBP</w:t>
      </w:r>
      <w:r w:rsidR="00776871" w:rsidRPr="000876F9">
        <w:rPr>
          <w:rFonts w:asciiTheme="majorHAnsi" w:eastAsia="MS PGothic" w:hAnsiTheme="majorHAnsi" w:cstheme="majorHAnsi"/>
          <w:sz w:val="24"/>
          <w:szCs w:val="24"/>
        </w:rPr>
        <w:t xml:space="preserve">, </w:t>
      </w:r>
      <w:r w:rsidR="00C36A16" w:rsidRPr="000876F9">
        <w:rPr>
          <w:rFonts w:asciiTheme="majorHAnsi" w:eastAsia="MS PGothic" w:hAnsiTheme="majorHAnsi" w:cstheme="majorHAnsi"/>
          <w:sz w:val="24"/>
          <w:szCs w:val="24"/>
        </w:rPr>
        <w:t>LSS</w:t>
      </w:r>
      <w:r w:rsidR="00776871" w:rsidRPr="000876F9">
        <w:rPr>
          <w:rFonts w:asciiTheme="majorHAnsi" w:eastAsia="MS PGothic" w:hAnsiTheme="majorHAnsi" w:cstheme="majorHAnsi"/>
          <w:sz w:val="24"/>
          <w:szCs w:val="24"/>
        </w:rPr>
        <w:t xml:space="preserve">, </w:t>
      </w:r>
      <w:r w:rsidR="00C36A16" w:rsidRPr="000876F9">
        <w:rPr>
          <w:rFonts w:asciiTheme="majorHAnsi" w:eastAsia="MS PGothic" w:hAnsiTheme="majorHAnsi" w:cstheme="majorHAnsi"/>
          <w:sz w:val="24"/>
          <w:szCs w:val="24"/>
        </w:rPr>
        <w:t>KOA</w:t>
      </w:r>
      <w:r w:rsidR="00776871" w:rsidRPr="000876F9">
        <w:rPr>
          <w:rFonts w:asciiTheme="majorHAnsi" w:eastAsia="MS PGothic" w:hAnsiTheme="majorHAnsi" w:cstheme="majorHAnsi"/>
          <w:sz w:val="24"/>
          <w:szCs w:val="24"/>
        </w:rPr>
        <w:t xml:space="preserve">, or radiographic features of reduced </w:t>
      </w:r>
      <w:r w:rsidR="00C36A16" w:rsidRPr="000876F9">
        <w:rPr>
          <w:rFonts w:asciiTheme="majorHAnsi" w:eastAsia="MS PGothic" w:hAnsiTheme="majorHAnsi" w:cstheme="majorHAnsi"/>
          <w:sz w:val="24"/>
          <w:szCs w:val="24"/>
        </w:rPr>
        <w:t>LL</w:t>
      </w:r>
      <w:r w:rsidRPr="000876F9">
        <w:rPr>
          <w:rFonts w:asciiTheme="majorHAnsi" w:eastAsia="MS PGothic" w:hAnsiTheme="majorHAnsi" w:cstheme="majorHAnsi"/>
          <w:sz w:val="24"/>
          <w:szCs w:val="24"/>
        </w:rPr>
        <w:t xml:space="preserve"> and poor quality of life</w:t>
      </w:r>
      <w:r w:rsidR="009F2B8D" w:rsidRPr="000876F9">
        <w:rPr>
          <w:rFonts w:asciiTheme="majorHAnsi" w:eastAsia="MS PGothic" w:hAnsiTheme="majorHAnsi" w:cstheme="majorHAnsi"/>
          <w:sz w:val="24"/>
          <w:szCs w:val="24"/>
        </w:rPr>
        <w:t>. Second, t</w:t>
      </w:r>
      <w:r w:rsidRPr="000876F9">
        <w:rPr>
          <w:rFonts w:asciiTheme="majorHAnsi" w:eastAsia="MS PGothic" w:hAnsiTheme="majorHAnsi" w:cstheme="majorHAnsi"/>
          <w:sz w:val="24"/>
          <w:szCs w:val="24"/>
        </w:rPr>
        <w:t xml:space="preserve">hrough our recruitment method </w:t>
      </w:r>
      <w:r w:rsidR="00776871" w:rsidRPr="000876F9">
        <w:rPr>
          <w:rFonts w:asciiTheme="majorHAnsi" w:eastAsia="MS PGothic" w:hAnsiTheme="majorHAnsi" w:cstheme="majorHAnsi"/>
          <w:sz w:val="24"/>
          <w:szCs w:val="24"/>
        </w:rPr>
        <w:t>of</w:t>
      </w:r>
      <w:r w:rsidRPr="000876F9">
        <w:rPr>
          <w:rFonts w:asciiTheme="majorHAnsi" w:eastAsia="MS PGothic" w:hAnsiTheme="majorHAnsi" w:cstheme="majorHAnsi"/>
          <w:sz w:val="24"/>
          <w:szCs w:val="24"/>
        </w:rPr>
        <w:t xml:space="preserve"> consenting members of the population attending for an annual health check</w:t>
      </w:r>
      <w:r w:rsidR="00776871" w:rsidRPr="000876F9">
        <w:rPr>
          <w:rFonts w:asciiTheme="majorHAnsi" w:eastAsia="MS PGothic" w:hAnsiTheme="majorHAnsi" w:cstheme="majorHAnsi"/>
          <w:sz w:val="24"/>
          <w:szCs w:val="24"/>
        </w:rPr>
        <w:t xml:space="preserve"> to take part in a research study</w:t>
      </w:r>
      <w:r w:rsidRPr="000876F9">
        <w:rPr>
          <w:rFonts w:asciiTheme="majorHAnsi" w:eastAsia="MS PGothic" w:hAnsiTheme="majorHAnsi" w:cstheme="majorHAnsi"/>
          <w:sz w:val="24"/>
          <w:szCs w:val="24"/>
        </w:rPr>
        <w:t xml:space="preserve">, random sampling cannot be ensured. </w:t>
      </w:r>
      <w:r w:rsidR="0038557A" w:rsidRPr="000876F9">
        <w:rPr>
          <w:rFonts w:asciiTheme="majorHAnsi" w:hAnsiTheme="majorHAnsi" w:cstheme="majorHAnsi"/>
          <w:sz w:val="24"/>
          <w:szCs w:val="24"/>
        </w:rPr>
        <w:t>This may limit the generalizability of these findings</w:t>
      </w:r>
      <w:r w:rsidRPr="000876F9">
        <w:rPr>
          <w:rFonts w:asciiTheme="majorHAnsi" w:hAnsiTheme="majorHAnsi" w:cstheme="majorHAnsi"/>
          <w:sz w:val="24"/>
          <w:szCs w:val="24"/>
        </w:rPr>
        <w:t xml:space="preserve"> through selection bias, as those enrolling in a healthcare based study may not have been representative of the population.</w:t>
      </w:r>
      <w:r w:rsidR="0038557A" w:rsidRPr="000876F9">
        <w:rPr>
          <w:rFonts w:asciiTheme="majorHAnsi" w:hAnsiTheme="majorHAnsi" w:cstheme="majorHAnsi"/>
          <w:sz w:val="24"/>
          <w:szCs w:val="24"/>
        </w:rPr>
        <w:t xml:space="preserve"> </w:t>
      </w:r>
      <w:r w:rsidR="002A1E01" w:rsidRPr="000876F9">
        <w:rPr>
          <w:rFonts w:asciiTheme="majorHAnsi" w:hAnsiTheme="majorHAnsi" w:cstheme="majorHAnsi"/>
          <w:sz w:val="24"/>
          <w:szCs w:val="24"/>
        </w:rPr>
        <w:t>Third, owing to the small size of the study sample</w:t>
      </w:r>
      <w:r w:rsidRPr="000876F9">
        <w:rPr>
          <w:rFonts w:asciiTheme="majorHAnsi" w:hAnsiTheme="majorHAnsi" w:cstheme="majorHAnsi"/>
          <w:sz w:val="24"/>
          <w:szCs w:val="24"/>
        </w:rPr>
        <w:t xml:space="preserve"> (n=334)</w:t>
      </w:r>
      <w:r w:rsidR="002A1E01" w:rsidRPr="000876F9">
        <w:rPr>
          <w:rFonts w:asciiTheme="majorHAnsi" w:hAnsiTheme="majorHAnsi" w:cstheme="majorHAnsi"/>
          <w:sz w:val="24"/>
          <w:szCs w:val="24"/>
        </w:rPr>
        <w:t xml:space="preserve">, the effect estimates </w:t>
      </w:r>
      <w:r w:rsidR="00814361" w:rsidRPr="000876F9">
        <w:rPr>
          <w:rFonts w:asciiTheme="majorHAnsi" w:hAnsiTheme="majorHAnsi" w:cstheme="majorHAnsi"/>
          <w:sz w:val="24"/>
          <w:szCs w:val="24"/>
        </w:rPr>
        <w:t xml:space="preserve">are of </w:t>
      </w:r>
      <w:r w:rsidR="002A1E01" w:rsidRPr="000876F9">
        <w:rPr>
          <w:rFonts w:asciiTheme="majorHAnsi" w:hAnsiTheme="majorHAnsi" w:cstheme="majorHAnsi"/>
          <w:sz w:val="24"/>
          <w:szCs w:val="24"/>
        </w:rPr>
        <w:t xml:space="preserve">low precision and could have occurred </w:t>
      </w:r>
      <w:r w:rsidR="00814361" w:rsidRPr="000876F9">
        <w:rPr>
          <w:rFonts w:asciiTheme="majorHAnsi" w:hAnsiTheme="majorHAnsi" w:cstheme="majorHAnsi"/>
          <w:sz w:val="24"/>
          <w:szCs w:val="24"/>
        </w:rPr>
        <w:t>through chance, information or selection bias</w:t>
      </w:r>
      <w:r w:rsidR="002A1E01" w:rsidRPr="000876F9">
        <w:rPr>
          <w:rFonts w:asciiTheme="majorHAnsi" w:hAnsiTheme="majorHAnsi" w:cstheme="majorHAnsi"/>
          <w:sz w:val="24"/>
          <w:szCs w:val="24"/>
        </w:rPr>
        <w:t>.</w:t>
      </w:r>
      <w:r w:rsidR="00C121AB">
        <w:rPr>
          <w:rFonts w:asciiTheme="majorHAnsi" w:hAnsiTheme="majorHAnsi" w:cstheme="majorHAnsi"/>
          <w:sz w:val="24"/>
          <w:szCs w:val="24"/>
        </w:rPr>
        <w:t xml:space="preserve"> </w:t>
      </w:r>
      <w:r w:rsidR="00C121AB" w:rsidRPr="00511217">
        <w:rPr>
          <w:rFonts w:asciiTheme="majorHAnsi" w:hAnsiTheme="majorHAnsi" w:cstheme="majorHAnsi"/>
          <w:sz w:val="24"/>
          <w:szCs w:val="24"/>
        </w:rPr>
        <w:t>Fo</w:t>
      </w:r>
      <w:r w:rsidR="00555427" w:rsidRPr="00511217">
        <w:rPr>
          <w:rFonts w:asciiTheme="majorHAnsi" w:hAnsiTheme="majorHAnsi" w:cstheme="majorHAnsi"/>
          <w:sz w:val="24"/>
          <w:szCs w:val="24"/>
        </w:rPr>
        <w:t>u</w:t>
      </w:r>
      <w:r w:rsidR="00C121AB" w:rsidRPr="00511217">
        <w:rPr>
          <w:rFonts w:asciiTheme="majorHAnsi" w:hAnsiTheme="majorHAnsi" w:cstheme="majorHAnsi"/>
          <w:sz w:val="24"/>
          <w:szCs w:val="24"/>
        </w:rPr>
        <w:t>rth, ODI does not always reflect the whole QOL but the QOL related to LBP.</w:t>
      </w:r>
      <w:r w:rsidR="00C121AB">
        <w:rPr>
          <w:rFonts w:asciiTheme="majorHAnsi" w:hAnsiTheme="majorHAnsi" w:cstheme="majorHAnsi"/>
          <w:sz w:val="24"/>
          <w:szCs w:val="24"/>
        </w:rPr>
        <w:t xml:space="preserve"> </w:t>
      </w:r>
      <w:r w:rsidR="0038557A" w:rsidRPr="000876F9">
        <w:rPr>
          <w:rFonts w:asciiTheme="majorHAnsi" w:hAnsiTheme="majorHAnsi" w:cstheme="majorHAnsi"/>
          <w:sz w:val="24"/>
          <w:szCs w:val="24"/>
        </w:rPr>
        <w:t xml:space="preserve">Finally, the study </w:t>
      </w:r>
      <w:r w:rsidR="00776871" w:rsidRPr="000876F9">
        <w:rPr>
          <w:rFonts w:asciiTheme="majorHAnsi" w:hAnsiTheme="majorHAnsi" w:cstheme="majorHAnsi"/>
          <w:sz w:val="24"/>
          <w:szCs w:val="24"/>
        </w:rPr>
        <w:t xml:space="preserve">findings would only apply to individuals living independently, as the recruitment strategy </w:t>
      </w:r>
      <w:r w:rsidR="0038557A" w:rsidRPr="000876F9">
        <w:rPr>
          <w:rFonts w:asciiTheme="majorHAnsi" w:hAnsiTheme="majorHAnsi" w:cstheme="majorHAnsi"/>
          <w:sz w:val="24"/>
          <w:szCs w:val="24"/>
        </w:rPr>
        <w:t xml:space="preserve">did not </w:t>
      </w:r>
      <w:r w:rsidR="00776871" w:rsidRPr="000876F9">
        <w:rPr>
          <w:rFonts w:asciiTheme="majorHAnsi" w:hAnsiTheme="majorHAnsi" w:cstheme="majorHAnsi"/>
          <w:sz w:val="24"/>
          <w:szCs w:val="24"/>
        </w:rPr>
        <w:t xml:space="preserve">target </w:t>
      </w:r>
      <w:r w:rsidR="0038557A" w:rsidRPr="000876F9">
        <w:rPr>
          <w:rFonts w:asciiTheme="majorHAnsi" w:hAnsiTheme="majorHAnsi" w:cstheme="majorHAnsi"/>
          <w:sz w:val="24"/>
          <w:szCs w:val="24"/>
        </w:rPr>
        <w:t>elderly</w:t>
      </w:r>
      <w:r w:rsidR="00E93AB8" w:rsidRPr="000876F9">
        <w:rPr>
          <w:rFonts w:asciiTheme="majorHAnsi" w:hAnsiTheme="majorHAnsi" w:cstheme="majorHAnsi"/>
          <w:sz w:val="24"/>
          <w:szCs w:val="24"/>
        </w:rPr>
        <w:t xml:space="preserve"> people living in care homes.</w:t>
      </w:r>
      <w:r w:rsidR="0038557A" w:rsidRPr="000876F9">
        <w:rPr>
          <w:rFonts w:asciiTheme="majorHAnsi" w:hAnsiTheme="majorHAnsi" w:cstheme="majorHAnsi"/>
          <w:sz w:val="24"/>
          <w:szCs w:val="24"/>
        </w:rPr>
        <w:t xml:space="preserve"> </w:t>
      </w:r>
      <w:r w:rsidR="00776871" w:rsidRPr="000876F9">
        <w:rPr>
          <w:rFonts w:asciiTheme="majorHAnsi" w:hAnsiTheme="majorHAnsi" w:cstheme="majorHAnsi"/>
          <w:sz w:val="24"/>
          <w:szCs w:val="24"/>
        </w:rPr>
        <w:t xml:space="preserve">However, the direction of the </w:t>
      </w:r>
      <w:r w:rsidR="0038557A" w:rsidRPr="000876F9">
        <w:rPr>
          <w:rFonts w:asciiTheme="majorHAnsi" w:hAnsiTheme="majorHAnsi" w:cstheme="majorHAnsi"/>
          <w:sz w:val="24"/>
          <w:szCs w:val="24"/>
        </w:rPr>
        <w:t xml:space="preserve">effect would have been likely to reduce the estimated prevalence of </w:t>
      </w:r>
      <w:r w:rsidR="00814361" w:rsidRPr="000876F9">
        <w:rPr>
          <w:rFonts w:asciiTheme="majorHAnsi" w:hAnsiTheme="majorHAnsi" w:cstheme="majorHAnsi"/>
          <w:sz w:val="24"/>
          <w:szCs w:val="24"/>
        </w:rPr>
        <w:t>these conditions</w:t>
      </w:r>
      <w:r w:rsidR="0038557A" w:rsidRPr="000876F9">
        <w:rPr>
          <w:rFonts w:asciiTheme="majorHAnsi" w:hAnsiTheme="majorHAnsi" w:cstheme="majorHAnsi"/>
          <w:sz w:val="24"/>
          <w:szCs w:val="24"/>
        </w:rPr>
        <w:t xml:space="preserve"> in the current study.</w:t>
      </w:r>
    </w:p>
    <w:p w14:paraId="7BBE4164" w14:textId="77777777" w:rsidR="00543877" w:rsidRPr="000876F9" w:rsidRDefault="00543877" w:rsidP="00B26F1C">
      <w:pPr>
        <w:widowControl/>
        <w:snapToGrid w:val="0"/>
        <w:spacing w:line="480" w:lineRule="auto"/>
        <w:jc w:val="left"/>
        <w:rPr>
          <w:rFonts w:asciiTheme="majorHAnsi" w:eastAsia="MS PGothic" w:hAnsiTheme="majorHAnsi" w:cstheme="majorHAnsi"/>
          <w:sz w:val="24"/>
          <w:szCs w:val="24"/>
        </w:rPr>
      </w:pPr>
    </w:p>
    <w:p w14:paraId="052D03DE" w14:textId="288773E3" w:rsidR="0092496A" w:rsidRPr="000876F9" w:rsidRDefault="0092496A" w:rsidP="00B26F1C">
      <w:pPr>
        <w:widowControl/>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In our study, </w:t>
      </w:r>
      <w:r w:rsidR="00673C8D" w:rsidRPr="000876F9">
        <w:rPr>
          <w:rFonts w:asciiTheme="majorHAnsi" w:eastAsia="MS PGothic" w:hAnsiTheme="majorHAnsi" w:cstheme="majorHAnsi"/>
          <w:sz w:val="24"/>
          <w:szCs w:val="24"/>
        </w:rPr>
        <w:t xml:space="preserve">LSS </w:t>
      </w:r>
      <w:r w:rsidR="00593CED" w:rsidRPr="000876F9">
        <w:rPr>
          <w:rFonts w:asciiTheme="majorHAnsi" w:eastAsia="MS PGothic" w:hAnsiTheme="majorHAnsi" w:cstheme="majorHAnsi"/>
          <w:sz w:val="24"/>
          <w:szCs w:val="24"/>
        </w:rPr>
        <w:t xml:space="preserve">and KOA </w:t>
      </w:r>
      <w:r w:rsidRPr="000876F9">
        <w:rPr>
          <w:rFonts w:asciiTheme="majorHAnsi" w:eastAsia="MS PGothic" w:hAnsiTheme="majorHAnsi" w:cstheme="majorHAnsi"/>
          <w:sz w:val="24"/>
          <w:szCs w:val="24"/>
        </w:rPr>
        <w:t>were associated with a higher odds</w:t>
      </w:r>
      <w:r w:rsidR="00593CED" w:rsidRPr="000876F9">
        <w:rPr>
          <w:rFonts w:asciiTheme="majorHAnsi" w:eastAsia="MS PGothic" w:hAnsiTheme="majorHAnsi" w:cstheme="majorHAnsi"/>
          <w:sz w:val="24"/>
          <w:szCs w:val="24"/>
        </w:rPr>
        <w:t xml:space="preserve"> of </w:t>
      </w:r>
      <w:r w:rsidRPr="000876F9">
        <w:rPr>
          <w:rFonts w:asciiTheme="majorHAnsi" w:eastAsia="MS PGothic" w:hAnsiTheme="majorHAnsi" w:cstheme="majorHAnsi"/>
          <w:sz w:val="24"/>
          <w:szCs w:val="24"/>
        </w:rPr>
        <w:t>poor</w:t>
      </w:r>
      <w:r w:rsidR="00593CED" w:rsidRPr="000876F9">
        <w:rPr>
          <w:rFonts w:asciiTheme="majorHAnsi" w:eastAsia="MS PGothic" w:hAnsiTheme="majorHAnsi" w:cstheme="majorHAnsi"/>
          <w:sz w:val="24"/>
          <w:szCs w:val="24"/>
        </w:rPr>
        <w:t xml:space="preserve"> QOL than all the other</w:t>
      </w:r>
      <w:r w:rsidR="00673C8D" w:rsidRPr="000876F9">
        <w:rPr>
          <w:rFonts w:asciiTheme="majorHAnsi" w:eastAsia="MS PGothic" w:hAnsiTheme="majorHAnsi" w:cstheme="majorHAnsi"/>
          <w:sz w:val="24"/>
          <w:szCs w:val="24"/>
        </w:rPr>
        <w:t xml:space="preserve"> predictors.</w:t>
      </w:r>
      <w:r w:rsidRPr="000876F9">
        <w:rPr>
          <w:rFonts w:asciiTheme="majorHAnsi" w:eastAsia="MS PGothic" w:hAnsiTheme="majorHAnsi" w:cstheme="majorHAnsi"/>
          <w:sz w:val="24"/>
          <w:szCs w:val="24"/>
        </w:rPr>
        <w:t xml:space="preserve"> This is in keeping with other studies, suggesting that</w:t>
      </w:r>
      <w:r w:rsidR="00673C8D" w:rsidRPr="000876F9">
        <w:rPr>
          <w:rFonts w:asciiTheme="majorHAnsi" w:eastAsia="MS PGothic" w:hAnsiTheme="majorHAnsi" w:cstheme="majorHAnsi"/>
          <w:sz w:val="24"/>
          <w:szCs w:val="24"/>
        </w:rPr>
        <w:t xml:space="preserve"> those with LSS</w:t>
      </w:r>
      <w:r w:rsidR="00593CED" w:rsidRPr="000876F9">
        <w:rPr>
          <w:rFonts w:asciiTheme="majorHAnsi" w:eastAsia="MS PGothic" w:hAnsiTheme="majorHAnsi" w:cstheme="majorHAnsi"/>
          <w:sz w:val="24"/>
          <w:szCs w:val="24"/>
        </w:rPr>
        <w:t xml:space="preserve"> and/or </w:t>
      </w:r>
      <w:r w:rsidRPr="000876F9">
        <w:rPr>
          <w:rFonts w:asciiTheme="majorHAnsi" w:eastAsia="MS PGothic" w:hAnsiTheme="majorHAnsi" w:cstheme="majorHAnsi"/>
          <w:sz w:val="24"/>
          <w:szCs w:val="24"/>
        </w:rPr>
        <w:t xml:space="preserve">KOA in general </w:t>
      </w:r>
      <w:r w:rsidR="00673C8D" w:rsidRPr="000876F9">
        <w:rPr>
          <w:rFonts w:asciiTheme="majorHAnsi" w:eastAsia="MS PGothic" w:hAnsiTheme="majorHAnsi" w:cstheme="majorHAnsi"/>
          <w:sz w:val="24"/>
          <w:szCs w:val="24"/>
        </w:rPr>
        <w:t>ha</w:t>
      </w:r>
      <w:r w:rsidRPr="000876F9">
        <w:rPr>
          <w:rFonts w:asciiTheme="majorHAnsi" w:eastAsia="MS PGothic" w:hAnsiTheme="majorHAnsi" w:cstheme="majorHAnsi"/>
          <w:sz w:val="24"/>
          <w:szCs w:val="24"/>
        </w:rPr>
        <w:t>ve</w:t>
      </w:r>
      <w:r w:rsidR="00673C8D" w:rsidRPr="000876F9">
        <w:rPr>
          <w:rFonts w:asciiTheme="majorHAnsi" w:eastAsia="MS PGothic" w:hAnsiTheme="majorHAnsi" w:cstheme="majorHAnsi"/>
          <w:sz w:val="24"/>
          <w:szCs w:val="24"/>
        </w:rPr>
        <w:t xml:space="preserve"> poorer physical health status compared to those without</w:t>
      </w:r>
      <w:r w:rsidRPr="000876F9">
        <w:rPr>
          <w:rFonts w:asciiTheme="majorHAnsi" w:eastAsia="MS PGothic" w:hAnsiTheme="majorHAnsi" w:cstheme="majorHAnsi"/>
          <w:sz w:val="24"/>
          <w:szCs w:val="24"/>
        </w:rPr>
        <w:t>, and as a result suffer a poorer quality of life</w:t>
      </w:r>
      <w:r w:rsidR="00673C8D" w:rsidRPr="000876F9">
        <w:rPr>
          <w:rFonts w:asciiTheme="majorHAnsi" w:eastAsia="MS PGothic" w:hAnsiTheme="majorHAnsi" w:cstheme="majorHAnsi"/>
          <w:sz w:val="24"/>
          <w:szCs w:val="24"/>
        </w:rPr>
        <w:t xml:space="preserve"> </w:t>
      </w:r>
      <w:r w:rsidR="00906733" w:rsidRPr="000876F9">
        <w:rPr>
          <w:rFonts w:asciiTheme="majorHAnsi" w:eastAsia="MS PGothic" w:hAnsiTheme="majorHAnsi" w:cstheme="majorHAnsi"/>
          <w:sz w:val="24"/>
          <w:szCs w:val="24"/>
          <w:vertAlign w:val="superscript"/>
        </w:rPr>
        <w:t>14</w:t>
      </w:r>
      <w:r w:rsidR="00CE75E7" w:rsidRPr="000876F9">
        <w:rPr>
          <w:rFonts w:asciiTheme="majorHAnsi" w:eastAsia="MS PGothic" w:hAnsiTheme="majorHAnsi" w:cstheme="majorHAnsi"/>
          <w:sz w:val="24"/>
          <w:szCs w:val="24"/>
        </w:rPr>
        <w:t>.</w:t>
      </w:r>
    </w:p>
    <w:p w14:paraId="59DF72DD" w14:textId="6F6CB773" w:rsidR="00607D96" w:rsidRPr="000876F9" w:rsidRDefault="0092496A" w:rsidP="00B26F1C">
      <w:pPr>
        <w:widowControl/>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It is interesting that BMD was not associated with QOL in this study, despite osteoporosis (OP) being one o</w:t>
      </w:r>
      <w:r w:rsidR="00D511C6" w:rsidRPr="000876F9">
        <w:rPr>
          <w:rFonts w:asciiTheme="majorHAnsi" w:eastAsia="MS PGothic" w:hAnsiTheme="majorHAnsi" w:cstheme="majorHAnsi"/>
          <w:sz w:val="24"/>
          <w:szCs w:val="24"/>
        </w:rPr>
        <w:t xml:space="preserve">f the </w:t>
      </w:r>
      <w:r w:rsidR="005C4B2D" w:rsidRPr="000876F9">
        <w:rPr>
          <w:rFonts w:asciiTheme="majorHAnsi" w:eastAsia="MS PGothic" w:hAnsiTheme="majorHAnsi" w:cstheme="majorHAnsi"/>
          <w:sz w:val="24"/>
          <w:szCs w:val="24"/>
        </w:rPr>
        <w:t xml:space="preserve">primary </w:t>
      </w:r>
      <w:r w:rsidR="00D511C6" w:rsidRPr="000876F9">
        <w:rPr>
          <w:rFonts w:asciiTheme="majorHAnsi" w:eastAsia="MS PGothic" w:hAnsiTheme="majorHAnsi" w:cstheme="majorHAnsi"/>
          <w:sz w:val="24"/>
          <w:szCs w:val="24"/>
        </w:rPr>
        <w:t>musculoskeletal disease</w:t>
      </w:r>
      <w:r w:rsidR="00660801" w:rsidRPr="000876F9">
        <w:rPr>
          <w:rFonts w:asciiTheme="majorHAnsi" w:eastAsia="MS PGothic" w:hAnsiTheme="majorHAnsi" w:cstheme="majorHAnsi"/>
          <w:sz w:val="24"/>
          <w:szCs w:val="24"/>
        </w:rPr>
        <w:t xml:space="preserve">s </w:t>
      </w:r>
      <w:r w:rsidRPr="000876F9">
        <w:rPr>
          <w:rFonts w:asciiTheme="majorHAnsi" w:eastAsia="MS PGothic" w:hAnsiTheme="majorHAnsi" w:cstheme="majorHAnsi"/>
          <w:sz w:val="24"/>
          <w:szCs w:val="24"/>
        </w:rPr>
        <w:t>leading to the “</w:t>
      </w:r>
      <w:r w:rsidR="00D511C6" w:rsidRPr="000876F9">
        <w:rPr>
          <w:rFonts w:asciiTheme="majorHAnsi" w:eastAsia="MS PGothic" w:hAnsiTheme="majorHAnsi" w:cstheme="majorHAnsi"/>
          <w:sz w:val="24"/>
          <w:szCs w:val="24"/>
        </w:rPr>
        <w:t>locomotive syndrome</w:t>
      </w:r>
      <w:r w:rsidRPr="000876F9">
        <w:rPr>
          <w:rFonts w:asciiTheme="majorHAnsi" w:eastAsia="MS PGothic" w:hAnsiTheme="majorHAnsi" w:cstheme="majorHAnsi"/>
          <w:sz w:val="24"/>
          <w:szCs w:val="24"/>
        </w:rPr>
        <w:t>”</w:t>
      </w:r>
      <w:r w:rsidR="00D150EF" w:rsidRPr="000876F9">
        <w:rPr>
          <w:rFonts w:asciiTheme="majorHAnsi" w:eastAsia="MS PGothic" w:hAnsiTheme="majorHAnsi" w:cstheme="majorHAnsi"/>
          <w:sz w:val="24"/>
          <w:szCs w:val="24"/>
        </w:rPr>
        <w:t xml:space="preserve"> </w:t>
      </w:r>
      <w:r w:rsidR="00906733" w:rsidRPr="000876F9">
        <w:rPr>
          <w:rFonts w:asciiTheme="majorHAnsi" w:eastAsia="MS PGothic" w:hAnsiTheme="majorHAnsi" w:cstheme="majorHAnsi"/>
          <w:sz w:val="24"/>
          <w:szCs w:val="24"/>
          <w:vertAlign w:val="superscript"/>
        </w:rPr>
        <w:t>4</w:t>
      </w:r>
      <w:r w:rsidR="00D511C6" w:rsidRPr="000876F9">
        <w:rPr>
          <w:rFonts w:asciiTheme="majorHAnsi" w:eastAsia="MS PGothic" w:hAnsiTheme="majorHAnsi" w:cstheme="majorHAnsi"/>
          <w:sz w:val="24"/>
          <w:szCs w:val="24"/>
        </w:rPr>
        <w:t>.</w:t>
      </w:r>
      <w:r w:rsidRPr="000876F9">
        <w:rPr>
          <w:rFonts w:asciiTheme="majorHAnsi" w:eastAsia="MS PGothic" w:hAnsiTheme="majorHAnsi" w:cstheme="majorHAnsi"/>
          <w:sz w:val="24"/>
          <w:szCs w:val="24"/>
        </w:rPr>
        <w:t xml:space="preserve"> However, this is perhaps unsurprising as the mean age of the cohort was 62.5 years (40-75), and the prevalence of OP in the Japanese population increases rapidly from age 80</w:t>
      </w:r>
      <w:r w:rsidR="005C4B2D" w:rsidRPr="000876F9">
        <w:rPr>
          <w:rFonts w:asciiTheme="majorHAnsi" w:eastAsia="MS PGothic" w:hAnsiTheme="majorHAnsi" w:cstheme="majorHAnsi"/>
          <w:sz w:val="24"/>
          <w:szCs w:val="24"/>
        </w:rPr>
        <w:t xml:space="preserve"> </w:t>
      </w:r>
      <w:r w:rsidR="00906733" w:rsidRPr="000876F9">
        <w:rPr>
          <w:rFonts w:asciiTheme="majorHAnsi" w:eastAsia="MS PGothic" w:hAnsiTheme="majorHAnsi" w:cstheme="majorHAnsi"/>
          <w:sz w:val="24"/>
          <w:szCs w:val="24"/>
          <w:vertAlign w:val="superscript"/>
        </w:rPr>
        <w:t>15</w:t>
      </w:r>
      <w:r w:rsidRPr="000876F9">
        <w:rPr>
          <w:rFonts w:asciiTheme="majorHAnsi" w:eastAsia="MS PGothic" w:hAnsiTheme="majorHAnsi" w:cstheme="majorHAnsi"/>
          <w:sz w:val="24"/>
          <w:szCs w:val="24"/>
        </w:rPr>
        <w:t>. Therefore, it is likely that very few of our participants would have suffered fractures leading to musculoskeletal disability, back pain or kyphosis at the time of the study. In fact, as many</w:t>
      </w:r>
      <w:r w:rsidR="00FA2C7F" w:rsidRPr="000876F9">
        <w:rPr>
          <w:rFonts w:asciiTheme="majorHAnsi" w:eastAsia="MS PGothic" w:hAnsiTheme="majorHAnsi" w:cstheme="majorHAnsi"/>
          <w:sz w:val="24"/>
          <w:szCs w:val="24"/>
        </w:rPr>
        <w:t xml:space="preserve"> Japanese industries have an age of retirement almost 65 years</w:t>
      </w:r>
      <w:r w:rsidR="009661A5" w:rsidRPr="000876F9">
        <w:rPr>
          <w:rFonts w:asciiTheme="majorHAnsi" w:eastAsia="MS PGothic" w:hAnsiTheme="majorHAnsi" w:cstheme="majorHAnsi"/>
          <w:sz w:val="24"/>
          <w:szCs w:val="24"/>
        </w:rPr>
        <w:t>,</w:t>
      </w:r>
      <w:r w:rsidR="00FA2C7F" w:rsidRPr="000876F9">
        <w:rPr>
          <w:rFonts w:asciiTheme="majorHAnsi" w:eastAsia="MS PGothic" w:hAnsiTheme="majorHAnsi" w:cstheme="majorHAnsi"/>
          <w:sz w:val="24"/>
          <w:szCs w:val="24"/>
        </w:rPr>
        <w:t xml:space="preserve"> </w:t>
      </w:r>
      <w:r w:rsidR="009661A5" w:rsidRPr="000876F9">
        <w:rPr>
          <w:rFonts w:asciiTheme="majorHAnsi" w:eastAsia="MS PGothic" w:hAnsiTheme="majorHAnsi" w:cstheme="majorHAnsi"/>
          <w:sz w:val="24"/>
          <w:szCs w:val="24"/>
        </w:rPr>
        <w:t>almost half of our</w:t>
      </w:r>
      <w:r w:rsidR="00FA2C7F" w:rsidRPr="000876F9">
        <w:rPr>
          <w:rFonts w:asciiTheme="majorHAnsi" w:eastAsia="MS PGothic" w:hAnsiTheme="majorHAnsi" w:cstheme="majorHAnsi"/>
          <w:sz w:val="24"/>
          <w:szCs w:val="24"/>
        </w:rPr>
        <w:t xml:space="preserve"> participants would not have stopped work at </w:t>
      </w:r>
      <w:r w:rsidR="009661A5" w:rsidRPr="000876F9">
        <w:rPr>
          <w:rFonts w:asciiTheme="majorHAnsi" w:eastAsia="MS PGothic" w:hAnsiTheme="majorHAnsi" w:cstheme="majorHAnsi"/>
          <w:sz w:val="24"/>
          <w:szCs w:val="24"/>
        </w:rPr>
        <w:t xml:space="preserve">the time of </w:t>
      </w:r>
      <w:r w:rsidR="00FA2C7F" w:rsidRPr="000876F9">
        <w:rPr>
          <w:rFonts w:asciiTheme="majorHAnsi" w:eastAsia="MS PGothic" w:hAnsiTheme="majorHAnsi" w:cstheme="majorHAnsi"/>
          <w:sz w:val="24"/>
          <w:szCs w:val="24"/>
        </w:rPr>
        <w:t>their examination</w:t>
      </w:r>
      <w:r w:rsidR="005C4B2D" w:rsidRPr="000876F9">
        <w:rPr>
          <w:rFonts w:asciiTheme="majorHAnsi" w:eastAsia="MS PGothic" w:hAnsiTheme="majorHAnsi" w:cstheme="majorHAnsi"/>
          <w:sz w:val="24"/>
          <w:szCs w:val="24"/>
        </w:rPr>
        <w:t>.</w:t>
      </w:r>
    </w:p>
    <w:p w14:paraId="665CB2B2" w14:textId="77777777" w:rsidR="00607D96" w:rsidRPr="000876F9" w:rsidRDefault="00607D96" w:rsidP="00B26F1C">
      <w:pPr>
        <w:widowControl/>
        <w:snapToGrid w:val="0"/>
        <w:spacing w:line="480" w:lineRule="auto"/>
        <w:jc w:val="left"/>
        <w:rPr>
          <w:rFonts w:asciiTheme="majorHAnsi" w:eastAsia="MS PGothic" w:hAnsiTheme="majorHAnsi" w:cstheme="majorHAnsi"/>
          <w:sz w:val="24"/>
          <w:szCs w:val="24"/>
        </w:rPr>
      </w:pPr>
    </w:p>
    <w:p w14:paraId="4D8A026B" w14:textId="78F2BFCB" w:rsidR="00BB54DA" w:rsidRPr="000876F9" w:rsidRDefault="003A02ED" w:rsidP="00B26F1C">
      <w:pPr>
        <w:widowControl/>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In terms of radiographic features, decreasing LL w</w:t>
      </w:r>
      <w:r w:rsidR="00927002" w:rsidRPr="000876F9">
        <w:rPr>
          <w:rFonts w:asciiTheme="majorHAnsi" w:eastAsia="MS PGothic" w:hAnsiTheme="majorHAnsi" w:cstheme="majorHAnsi"/>
          <w:sz w:val="24"/>
          <w:szCs w:val="24"/>
        </w:rPr>
        <w:t>as a</w:t>
      </w:r>
      <w:r w:rsidR="005C4B2D" w:rsidRPr="000876F9">
        <w:rPr>
          <w:rFonts w:asciiTheme="majorHAnsi" w:eastAsia="MS PGothic" w:hAnsiTheme="majorHAnsi" w:cstheme="majorHAnsi"/>
          <w:sz w:val="24"/>
          <w:szCs w:val="24"/>
        </w:rPr>
        <w:t>ssociated with greater odds of poor quality of life, which persist</w:t>
      </w:r>
      <w:r w:rsidR="00122101" w:rsidRPr="000876F9">
        <w:rPr>
          <w:rFonts w:asciiTheme="majorHAnsi" w:eastAsia="MS PGothic" w:hAnsiTheme="majorHAnsi" w:cstheme="majorHAnsi"/>
          <w:sz w:val="24"/>
          <w:szCs w:val="24"/>
        </w:rPr>
        <w:t xml:space="preserve">ed after adjustment for </w:t>
      </w:r>
      <w:r w:rsidR="00E01E01" w:rsidRPr="000876F9">
        <w:rPr>
          <w:rFonts w:asciiTheme="majorHAnsi" w:eastAsia="MS PGothic" w:hAnsiTheme="majorHAnsi" w:cstheme="majorHAnsi"/>
          <w:sz w:val="24"/>
          <w:szCs w:val="24"/>
        </w:rPr>
        <w:t>all the same confounders</w:t>
      </w:r>
      <w:r w:rsidR="005C4B2D" w:rsidRPr="000876F9">
        <w:rPr>
          <w:rFonts w:asciiTheme="majorHAnsi" w:eastAsia="MS PGothic" w:hAnsiTheme="majorHAnsi" w:cstheme="majorHAnsi"/>
          <w:sz w:val="24"/>
          <w:szCs w:val="24"/>
        </w:rPr>
        <w:t xml:space="preserve">. SVA was associated with an increased odds of poor quality of life also, though the effect became non-significant after adjustment for </w:t>
      </w:r>
      <w:r w:rsidR="00E01E01" w:rsidRPr="000876F9">
        <w:rPr>
          <w:rFonts w:asciiTheme="majorHAnsi" w:eastAsia="MS PGothic" w:hAnsiTheme="majorHAnsi" w:cstheme="majorHAnsi"/>
          <w:sz w:val="24"/>
          <w:szCs w:val="24"/>
        </w:rPr>
        <w:t>all the same confounders</w:t>
      </w:r>
      <w:r w:rsidR="005C4B2D" w:rsidRPr="000876F9">
        <w:rPr>
          <w:rFonts w:asciiTheme="majorHAnsi" w:eastAsia="MS PGothic" w:hAnsiTheme="majorHAnsi" w:cstheme="majorHAnsi"/>
          <w:sz w:val="24"/>
          <w:szCs w:val="24"/>
        </w:rPr>
        <w:t xml:space="preserve">. Interestingly, in our study, the degree of thoracic kyphosis was not associated with poorer QOL, neither was it associated with advancing age. Consequently, our findings suggest that a radiographic </w:t>
      </w:r>
      <w:r w:rsidR="00D2269F" w:rsidRPr="000876F9">
        <w:rPr>
          <w:rFonts w:asciiTheme="majorHAnsi" w:eastAsia="MS PGothic" w:hAnsiTheme="majorHAnsi" w:cstheme="majorHAnsi"/>
          <w:sz w:val="24"/>
          <w:szCs w:val="24"/>
        </w:rPr>
        <w:t>LL</w:t>
      </w:r>
      <w:r w:rsidR="005C4B2D" w:rsidRPr="000876F9">
        <w:rPr>
          <w:rFonts w:asciiTheme="majorHAnsi" w:eastAsia="MS PGothic" w:hAnsiTheme="majorHAnsi" w:cstheme="majorHAnsi"/>
          <w:sz w:val="24"/>
          <w:szCs w:val="24"/>
        </w:rPr>
        <w:t xml:space="preserve"> measurement is the </w:t>
      </w:r>
      <w:r w:rsidR="00A679FD" w:rsidRPr="000876F9">
        <w:rPr>
          <w:rFonts w:asciiTheme="majorHAnsi" w:eastAsia="MS PGothic" w:hAnsiTheme="majorHAnsi" w:cstheme="majorHAnsi"/>
          <w:sz w:val="24"/>
          <w:szCs w:val="24"/>
        </w:rPr>
        <w:t>most</w:t>
      </w:r>
      <w:r w:rsidR="0003192D" w:rsidRPr="000876F9">
        <w:rPr>
          <w:rFonts w:asciiTheme="majorHAnsi" w:eastAsia="MS PGothic" w:hAnsiTheme="majorHAnsi" w:cstheme="majorHAnsi"/>
          <w:sz w:val="24"/>
          <w:szCs w:val="24"/>
        </w:rPr>
        <w:t xml:space="preserve"> </w:t>
      </w:r>
      <w:r w:rsidR="005C4B2D" w:rsidRPr="000876F9">
        <w:rPr>
          <w:rFonts w:asciiTheme="majorHAnsi" w:eastAsia="MS PGothic" w:hAnsiTheme="majorHAnsi" w:cstheme="majorHAnsi"/>
          <w:sz w:val="24"/>
          <w:szCs w:val="24"/>
        </w:rPr>
        <w:t>suitable</w:t>
      </w:r>
      <w:r w:rsidR="0003192D" w:rsidRPr="000876F9">
        <w:rPr>
          <w:rFonts w:asciiTheme="majorHAnsi" w:eastAsia="MS PGothic" w:hAnsiTheme="majorHAnsi" w:cstheme="majorHAnsi"/>
          <w:sz w:val="24"/>
          <w:szCs w:val="24"/>
        </w:rPr>
        <w:t xml:space="preserve"> ma</w:t>
      </w:r>
      <w:r w:rsidR="00FE5834" w:rsidRPr="000876F9">
        <w:rPr>
          <w:rFonts w:asciiTheme="majorHAnsi" w:eastAsia="MS PGothic" w:hAnsiTheme="majorHAnsi" w:cstheme="majorHAnsi"/>
          <w:sz w:val="24"/>
          <w:szCs w:val="24"/>
        </w:rPr>
        <w:t>r</w:t>
      </w:r>
      <w:r w:rsidR="0003192D" w:rsidRPr="000876F9">
        <w:rPr>
          <w:rFonts w:asciiTheme="majorHAnsi" w:eastAsia="MS PGothic" w:hAnsiTheme="majorHAnsi" w:cstheme="majorHAnsi"/>
          <w:sz w:val="24"/>
          <w:szCs w:val="24"/>
        </w:rPr>
        <w:t xml:space="preserve">ker </w:t>
      </w:r>
      <w:r w:rsidR="00FE5834" w:rsidRPr="000876F9">
        <w:rPr>
          <w:rFonts w:asciiTheme="majorHAnsi" w:eastAsia="MS PGothic" w:hAnsiTheme="majorHAnsi" w:cstheme="majorHAnsi"/>
          <w:sz w:val="24"/>
          <w:szCs w:val="24"/>
        </w:rPr>
        <w:t xml:space="preserve">for </w:t>
      </w:r>
      <w:r w:rsidR="00A679FD" w:rsidRPr="000876F9">
        <w:rPr>
          <w:rFonts w:asciiTheme="majorHAnsi" w:eastAsia="MS PGothic" w:hAnsiTheme="majorHAnsi" w:cstheme="majorHAnsi"/>
          <w:sz w:val="24"/>
          <w:szCs w:val="24"/>
        </w:rPr>
        <w:t>QOL</w:t>
      </w:r>
      <w:r w:rsidR="00FE5834" w:rsidRPr="000876F9">
        <w:rPr>
          <w:rFonts w:asciiTheme="majorHAnsi" w:eastAsia="MS PGothic" w:hAnsiTheme="majorHAnsi" w:cstheme="majorHAnsi"/>
          <w:sz w:val="24"/>
          <w:szCs w:val="24"/>
        </w:rPr>
        <w:t xml:space="preserve"> </w:t>
      </w:r>
      <w:r w:rsidR="00A679FD" w:rsidRPr="000876F9">
        <w:rPr>
          <w:rFonts w:asciiTheme="majorHAnsi" w:eastAsia="MS PGothic" w:hAnsiTheme="majorHAnsi" w:cstheme="majorHAnsi"/>
          <w:sz w:val="24"/>
          <w:szCs w:val="24"/>
        </w:rPr>
        <w:t>among</w:t>
      </w:r>
      <w:r w:rsidR="0003192D" w:rsidRPr="000876F9">
        <w:rPr>
          <w:rFonts w:asciiTheme="majorHAnsi" w:eastAsia="MS PGothic" w:hAnsiTheme="majorHAnsi" w:cstheme="majorHAnsi"/>
          <w:sz w:val="24"/>
          <w:szCs w:val="24"/>
        </w:rPr>
        <w:t xml:space="preserve"> radiographic features for spinal alignment</w:t>
      </w:r>
      <w:r w:rsidR="005C4B2D" w:rsidRPr="000876F9">
        <w:rPr>
          <w:rFonts w:asciiTheme="majorHAnsi" w:eastAsia="MS PGothic" w:hAnsiTheme="majorHAnsi" w:cstheme="majorHAnsi"/>
          <w:sz w:val="24"/>
          <w:szCs w:val="24"/>
        </w:rPr>
        <w:t>. The SVA measurement is likely to be of less value in an elderly population as the</w:t>
      </w:r>
      <w:r w:rsidR="0003192D" w:rsidRPr="000876F9">
        <w:rPr>
          <w:rFonts w:asciiTheme="majorHAnsi" w:eastAsia="MS PGothic" w:hAnsiTheme="majorHAnsi" w:cstheme="majorHAnsi"/>
          <w:sz w:val="24"/>
          <w:szCs w:val="24"/>
        </w:rPr>
        <w:t xml:space="preserve"> knee </w:t>
      </w:r>
      <w:r w:rsidR="00D2269F" w:rsidRPr="000876F9">
        <w:rPr>
          <w:rFonts w:asciiTheme="majorHAnsi" w:eastAsia="MS PGothic" w:hAnsiTheme="majorHAnsi" w:cstheme="majorHAnsi"/>
          <w:sz w:val="24"/>
          <w:szCs w:val="24"/>
        </w:rPr>
        <w:t xml:space="preserve">angle </w:t>
      </w:r>
      <w:r w:rsidR="005C4B2D" w:rsidRPr="000876F9">
        <w:rPr>
          <w:rFonts w:asciiTheme="majorHAnsi" w:eastAsia="MS PGothic" w:hAnsiTheme="majorHAnsi" w:cstheme="majorHAnsi"/>
          <w:sz w:val="24"/>
          <w:szCs w:val="24"/>
        </w:rPr>
        <w:t>may compensate for</w:t>
      </w:r>
      <w:r w:rsidR="001B59A7" w:rsidRPr="000876F9">
        <w:rPr>
          <w:rFonts w:asciiTheme="majorHAnsi" w:eastAsia="MS PGothic" w:hAnsiTheme="majorHAnsi" w:cstheme="majorHAnsi"/>
          <w:sz w:val="24"/>
          <w:szCs w:val="24"/>
        </w:rPr>
        <w:t xml:space="preserve"> sagittal balance </w:t>
      </w:r>
      <w:r w:rsidR="008B5B03" w:rsidRPr="000876F9">
        <w:rPr>
          <w:rFonts w:asciiTheme="majorHAnsi" w:eastAsia="MS PGothic" w:hAnsiTheme="majorHAnsi" w:cstheme="majorHAnsi"/>
          <w:sz w:val="24"/>
          <w:szCs w:val="24"/>
          <w:vertAlign w:val="superscript"/>
        </w:rPr>
        <w:t>16</w:t>
      </w:r>
      <w:r w:rsidR="008B5B03" w:rsidRPr="000876F9">
        <w:rPr>
          <w:rFonts w:asciiTheme="majorHAnsi" w:eastAsia="MS PGothic" w:hAnsiTheme="majorHAnsi" w:cstheme="majorHAnsi"/>
          <w:sz w:val="24"/>
          <w:szCs w:val="24"/>
        </w:rPr>
        <w:t xml:space="preserve"> </w:t>
      </w:r>
      <w:r w:rsidR="0003192D" w:rsidRPr="000876F9">
        <w:rPr>
          <w:rFonts w:asciiTheme="majorHAnsi" w:eastAsia="MS PGothic" w:hAnsiTheme="majorHAnsi" w:cstheme="majorHAnsi"/>
          <w:sz w:val="24"/>
          <w:szCs w:val="24"/>
        </w:rPr>
        <w:t>when people stand</w:t>
      </w:r>
      <w:r w:rsidR="00BB54DA" w:rsidRPr="000876F9">
        <w:rPr>
          <w:rFonts w:asciiTheme="majorHAnsi" w:eastAsia="MS PGothic" w:hAnsiTheme="majorHAnsi" w:cstheme="majorHAnsi"/>
          <w:sz w:val="24"/>
          <w:szCs w:val="24"/>
        </w:rPr>
        <w:t xml:space="preserve">, provided </w:t>
      </w:r>
      <w:r w:rsidR="00607D96" w:rsidRPr="000876F9">
        <w:rPr>
          <w:rFonts w:asciiTheme="majorHAnsi" w:eastAsia="MS PGothic" w:hAnsiTheme="majorHAnsi" w:cstheme="majorHAnsi"/>
          <w:sz w:val="24"/>
          <w:szCs w:val="24"/>
        </w:rPr>
        <w:t>they do not have vertebral fractures.</w:t>
      </w:r>
    </w:p>
    <w:p w14:paraId="5ED2B935" w14:textId="1DC8AE24" w:rsidR="00C5435A" w:rsidRPr="000876F9" w:rsidRDefault="00BB54DA" w:rsidP="00B26F1C">
      <w:pPr>
        <w:widowControl/>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On review of the current literature, t</w:t>
      </w:r>
      <w:r w:rsidR="00320551" w:rsidRPr="000876F9">
        <w:rPr>
          <w:rFonts w:asciiTheme="majorHAnsi" w:eastAsia="MS PGothic" w:hAnsiTheme="majorHAnsi" w:cstheme="majorHAnsi"/>
          <w:sz w:val="24"/>
          <w:szCs w:val="24"/>
        </w:rPr>
        <w:t xml:space="preserve">here is </w:t>
      </w:r>
      <w:r w:rsidRPr="000876F9">
        <w:rPr>
          <w:rFonts w:asciiTheme="majorHAnsi" w:eastAsia="MS PGothic" w:hAnsiTheme="majorHAnsi" w:cstheme="majorHAnsi"/>
          <w:sz w:val="24"/>
          <w:szCs w:val="24"/>
        </w:rPr>
        <w:t xml:space="preserve">scarce </w:t>
      </w:r>
      <w:r w:rsidR="00320551" w:rsidRPr="000876F9">
        <w:rPr>
          <w:rFonts w:asciiTheme="majorHAnsi" w:eastAsia="MS PGothic" w:hAnsiTheme="majorHAnsi" w:cstheme="majorHAnsi"/>
          <w:sz w:val="24"/>
          <w:szCs w:val="24"/>
        </w:rPr>
        <w:t>evidence</w:t>
      </w:r>
      <w:r w:rsidRPr="000876F9">
        <w:rPr>
          <w:rFonts w:asciiTheme="majorHAnsi" w:eastAsia="MS PGothic" w:hAnsiTheme="majorHAnsi" w:cstheme="majorHAnsi"/>
          <w:sz w:val="24"/>
          <w:szCs w:val="24"/>
        </w:rPr>
        <w:t xml:space="preserve"> from population-based cohorts</w:t>
      </w:r>
      <w:r w:rsidR="00320551" w:rsidRPr="000876F9">
        <w:rPr>
          <w:rFonts w:asciiTheme="majorHAnsi" w:eastAsia="MS PGothic" w:hAnsiTheme="majorHAnsi" w:cstheme="majorHAnsi"/>
          <w:sz w:val="24"/>
          <w:szCs w:val="24"/>
        </w:rPr>
        <w:t xml:space="preserve"> that LL </w:t>
      </w:r>
      <w:r w:rsidRPr="000876F9">
        <w:rPr>
          <w:rFonts w:asciiTheme="majorHAnsi" w:eastAsia="MS PGothic" w:hAnsiTheme="majorHAnsi" w:cstheme="majorHAnsi"/>
          <w:sz w:val="24"/>
          <w:szCs w:val="24"/>
        </w:rPr>
        <w:t>is</w:t>
      </w:r>
      <w:r w:rsidR="00320551" w:rsidRPr="000876F9">
        <w:rPr>
          <w:rFonts w:asciiTheme="majorHAnsi" w:eastAsia="MS PGothic" w:hAnsiTheme="majorHAnsi" w:cstheme="majorHAnsi"/>
          <w:sz w:val="24"/>
          <w:szCs w:val="24"/>
        </w:rPr>
        <w:t xml:space="preserve"> </w:t>
      </w:r>
      <w:r w:rsidRPr="000876F9">
        <w:rPr>
          <w:rFonts w:asciiTheme="majorHAnsi" w:eastAsia="MS PGothic" w:hAnsiTheme="majorHAnsi" w:cstheme="majorHAnsi"/>
          <w:sz w:val="24"/>
          <w:szCs w:val="24"/>
        </w:rPr>
        <w:t xml:space="preserve">associated </w:t>
      </w:r>
      <w:r w:rsidR="00320551" w:rsidRPr="000876F9">
        <w:rPr>
          <w:rFonts w:asciiTheme="majorHAnsi" w:eastAsia="MS PGothic" w:hAnsiTheme="majorHAnsi" w:cstheme="majorHAnsi"/>
          <w:sz w:val="24"/>
          <w:szCs w:val="24"/>
        </w:rPr>
        <w:t>with poor</w:t>
      </w:r>
      <w:r w:rsidRPr="000876F9">
        <w:rPr>
          <w:rFonts w:asciiTheme="majorHAnsi" w:eastAsia="MS PGothic" w:hAnsiTheme="majorHAnsi" w:cstheme="majorHAnsi"/>
          <w:sz w:val="24"/>
          <w:szCs w:val="24"/>
        </w:rPr>
        <w:t>er</w:t>
      </w:r>
      <w:r w:rsidR="00320551" w:rsidRPr="000876F9">
        <w:rPr>
          <w:rFonts w:asciiTheme="majorHAnsi" w:eastAsia="MS PGothic" w:hAnsiTheme="majorHAnsi" w:cstheme="majorHAnsi"/>
          <w:sz w:val="24"/>
          <w:szCs w:val="24"/>
        </w:rPr>
        <w:t xml:space="preserve"> health</w:t>
      </w:r>
      <w:r w:rsidR="001475A3" w:rsidRPr="000876F9">
        <w:rPr>
          <w:rFonts w:asciiTheme="majorHAnsi" w:eastAsia="MS PGothic" w:hAnsiTheme="majorHAnsi" w:cstheme="majorHAnsi"/>
          <w:sz w:val="24"/>
          <w:szCs w:val="24"/>
        </w:rPr>
        <w:t xml:space="preserve">. </w:t>
      </w:r>
      <w:r w:rsidR="005E000B" w:rsidRPr="000876F9">
        <w:rPr>
          <w:rFonts w:asciiTheme="majorHAnsi" w:eastAsia="MS PGothic" w:hAnsiTheme="majorHAnsi" w:cstheme="majorHAnsi"/>
          <w:sz w:val="24"/>
          <w:szCs w:val="24"/>
        </w:rPr>
        <w:t>Imagama</w:t>
      </w:r>
      <w:r w:rsidR="004538E9" w:rsidRPr="000876F9">
        <w:rPr>
          <w:rFonts w:asciiTheme="majorHAnsi" w:eastAsia="MS PGothic" w:hAnsiTheme="majorHAnsi" w:cstheme="majorHAnsi"/>
          <w:sz w:val="24"/>
          <w:szCs w:val="24"/>
        </w:rPr>
        <w:t xml:space="preserve"> </w:t>
      </w:r>
      <w:r w:rsidR="008B5B03" w:rsidRPr="000876F9">
        <w:rPr>
          <w:rFonts w:asciiTheme="majorHAnsi" w:eastAsia="MS PGothic" w:hAnsiTheme="majorHAnsi" w:cstheme="majorHAnsi"/>
          <w:sz w:val="24"/>
          <w:szCs w:val="24"/>
        </w:rPr>
        <w:t>et al.</w:t>
      </w:r>
      <w:r w:rsidR="008B5B03" w:rsidRPr="000876F9">
        <w:rPr>
          <w:rFonts w:asciiTheme="majorHAnsi" w:eastAsia="MS PGothic" w:hAnsiTheme="majorHAnsi" w:cstheme="majorHAnsi"/>
          <w:sz w:val="24"/>
          <w:szCs w:val="24"/>
          <w:vertAlign w:val="superscript"/>
        </w:rPr>
        <w:t>17</w:t>
      </w:r>
      <w:r w:rsidR="008B5B03" w:rsidRPr="000876F9">
        <w:rPr>
          <w:rFonts w:asciiTheme="majorHAnsi" w:eastAsia="MS PGothic" w:hAnsiTheme="majorHAnsi" w:cstheme="majorHAnsi"/>
          <w:sz w:val="24"/>
          <w:szCs w:val="24"/>
        </w:rPr>
        <w:t xml:space="preserve"> </w:t>
      </w:r>
      <w:r w:rsidR="004538E9" w:rsidRPr="000876F9">
        <w:rPr>
          <w:rFonts w:asciiTheme="majorHAnsi" w:eastAsia="MS PGothic" w:hAnsiTheme="majorHAnsi" w:cstheme="majorHAnsi"/>
          <w:sz w:val="24"/>
          <w:szCs w:val="24"/>
        </w:rPr>
        <w:t>reported that LL and back muscle strength we</w:t>
      </w:r>
      <w:r w:rsidR="00DA42ED" w:rsidRPr="000876F9">
        <w:rPr>
          <w:rFonts w:asciiTheme="majorHAnsi" w:eastAsia="MS PGothic" w:hAnsiTheme="majorHAnsi" w:cstheme="majorHAnsi"/>
          <w:sz w:val="24"/>
          <w:szCs w:val="24"/>
        </w:rPr>
        <w:t xml:space="preserve">re related to decreasing QOL in </w:t>
      </w:r>
      <w:r w:rsidR="004538E9" w:rsidRPr="000876F9">
        <w:rPr>
          <w:rFonts w:asciiTheme="majorHAnsi" w:eastAsia="MS PGothic" w:hAnsiTheme="majorHAnsi" w:cstheme="majorHAnsi"/>
          <w:sz w:val="24"/>
          <w:szCs w:val="24"/>
        </w:rPr>
        <w:t>elderly m</w:t>
      </w:r>
      <w:r w:rsidRPr="000876F9">
        <w:rPr>
          <w:rFonts w:asciiTheme="majorHAnsi" w:eastAsia="MS PGothic" w:hAnsiTheme="majorHAnsi" w:cstheme="majorHAnsi"/>
          <w:sz w:val="24"/>
          <w:szCs w:val="24"/>
        </w:rPr>
        <w:t>en</w:t>
      </w:r>
      <w:r w:rsidR="004538E9" w:rsidRPr="000876F9">
        <w:rPr>
          <w:rFonts w:asciiTheme="majorHAnsi" w:eastAsia="MS PGothic" w:hAnsiTheme="majorHAnsi" w:cstheme="majorHAnsi"/>
          <w:sz w:val="24"/>
          <w:szCs w:val="24"/>
        </w:rPr>
        <w:t>.</w:t>
      </w:r>
      <w:r w:rsidR="00B3194E" w:rsidRPr="000876F9">
        <w:rPr>
          <w:rFonts w:asciiTheme="majorHAnsi" w:eastAsia="MS PGothic" w:hAnsiTheme="majorHAnsi" w:cstheme="majorHAnsi"/>
          <w:sz w:val="24"/>
          <w:szCs w:val="24"/>
        </w:rPr>
        <w:t xml:space="preserve"> </w:t>
      </w:r>
      <w:r w:rsidR="00DA42ED" w:rsidRPr="000876F9">
        <w:rPr>
          <w:rFonts w:asciiTheme="majorHAnsi" w:eastAsia="MS PGothic" w:hAnsiTheme="majorHAnsi" w:cstheme="majorHAnsi"/>
          <w:sz w:val="24"/>
          <w:szCs w:val="24"/>
        </w:rPr>
        <w:t xml:space="preserve">The current study is the first to evaluate the influence of LL to determine the relationship with QOL in a population-based cohort including both genders. </w:t>
      </w:r>
      <w:r w:rsidR="00B32DB1" w:rsidRPr="000876F9">
        <w:rPr>
          <w:rFonts w:asciiTheme="majorHAnsi" w:eastAsia="MS PGothic" w:hAnsiTheme="majorHAnsi" w:cstheme="majorHAnsi"/>
          <w:sz w:val="24"/>
          <w:szCs w:val="24"/>
        </w:rPr>
        <w:t xml:space="preserve">A further study by </w:t>
      </w:r>
      <w:r w:rsidR="00896673" w:rsidRPr="000876F9">
        <w:rPr>
          <w:rFonts w:asciiTheme="majorHAnsi" w:eastAsia="MS PGothic" w:hAnsiTheme="majorHAnsi" w:cstheme="majorHAnsi"/>
          <w:sz w:val="24"/>
          <w:szCs w:val="24"/>
        </w:rPr>
        <w:t>Imagama et al.</w:t>
      </w:r>
      <w:r w:rsidR="008B5B03" w:rsidRPr="000876F9">
        <w:rPr>
          <w:rFonts w:asciiTheme="majorHAnsi" w:eastAsia="MS PGothic" w:hAnsiTheme="majorHAnsi" w:cstheme="majorHAnsi"/>
          <w:sz w:val="24"/>
          <w:szCs w:val="24"/>
          <w:vertAlign w:val="superscript"/>
        </w:rPr>
        <w:t>18</w:t>
      </w:r>
      <w:r w:rsidR="008B5B03" w:rsidRPr="000876F9">
        <w:rPr>
          <w:rFonts w:asciiTheme="majorHAnsi" w:eastAsia="MS PGothic" w:hAnsiTheme="majorHAnsi" w:cstheme="majorHAnsi"/>
          <w:sz w:val="24"/>
          <w:szCs w:val="24"/>
        </w:rPr>
        <w:t xml:space="preserve"> </w:t>
      </w:r>
      <w:r w:rsidR="00896673" w:rsidRPr="000876F9">
        <w:rPr>
          <w:rFonts w:asciiTheme="majorHAnsi" w:eastAsia="MS PGothic" w:hAnsiTheme="majorHAnsi" w:cstheme="majorHAnsi"/>
          <w:sz w:val="24"/>
          <w:szCs w:val="24"/>
        </w:rPr>
        <w:t xml:space="preserve">reported that </w:t>
      </w:r>
      <w:r w:rsidR="00B32DB1" w:rsidRPr="000876F9">
        <w:rPr>
          <w:rFonts w:asciiTheme="majorHAnsi" w:eastAsia="MS PGothic" w:hAnsiTheme="majorHAnsi" w:cstheme="majorHAnsi"/>
          <w:sz w:val="24"/>
          <w:szCs w:val="24"/>
        </w:rPr>
        <w:t>an exercised designed to improve sag</w:t>
      </w:r>
      <w:r w:rsidR="00896673" w:rsidRPr="000876F9">
        <w:rPr>
          <w:rFonts w:asciiTheme="majorHAnsi" w:eastAsia="MS PGothic" w:hAnsiTheme="majorHAnsi" w:cstheme="majorHAnsi"/>
          <w:sz w:val="24"/>
          <w:szCs w:val="24"/>
        </w:rPr>
        <w:t>ittal balance by</w:t>
      </w:r>
      <w:r w:rsidR="00B32DB1" w:rsidRPr="000876F9">
        <w:rPr>
          <w:rFonts w:asciiTheme="majorHAnsi" w:eastAsia="MS PGothic" w:hAnsiTheme="majorHAnsi" w:cstheme="majorHAnsi"/>
          <w:sz w:val="24"/>
          <w:szCs w:val="24"/>
        </w:rPr>
        <w:t xml:space="preserve"> improving back m</w:t>
      </w:r>
      <w:r w:rsidR="00896673" w:rsidRPr="000876F9">
        <w:rPr>
          <w:rFonts w:asciiTheme="majorHAnsi" w:eastAsia="MS PGothic" w:hAnsiTheme="majorHAnsi" w:cstheme="majorHAnsi"/>
          <w:sz w:val="24"/>
          <w:szCs w:val="24"/>
        </w:rPr>
        <w:t>uscle strength and thoracic ROM i</w:t>
      </w:r>
      <w:r w:rsidR="00B32DB1" w:rsidRPr="000876F9">
        <w:rPr>
          <w:rFonts w:asciiTheme="majorHAnsi" w:eastAsia="MS PGothic" w:hAnsiTheme="majorHAnsi" w:cstheme="majorHAnsi"/>
          <w:sz w:val="24"/>
          <w:szCs w:val="24"/>
        </w:rPr>
        <w:t>mproved quality of life measures in men</w:t>
      </w:r>
      <w:r w:rsidR="004206B6" w:rsidRPr="000876F9">
        <w:rPr>
          <w:rFonts w:asciiTheme="majorHAnsi" w:eastAsia="MS PGothic" w:hAnsiTheme="majorHAnsi" w:cstheme="majorHAnsi"/>
          <w:sz w:val="24"/>
          <w:szCs w:val="24"/>
        </w:rPr>
        <w:t xml:space="preserve">. </w:t>
      </w:r>
      <w:r w:rsidR="004437C3" w:rsidRPr="000876F9">
        <w:rPr>
          <w:rFonts w:asciiTheme="majorHAnsi" w:eastAsia="MS PGothic" w:hAnsiTheme="majorHAnsi" w:cstheme="majorHAnsi"/>
          <w:sz w:val="24"/>
          <w:szCs w:val="24"/>
        </w:rPr>
        <w:t>Miyakoshi et al.</w:t>
      </w:r>
      <w:r w:rsidR="00580BE6" w:rsidRPr="000876F9">
        <w:rPr>
          <w:rFonts w:asciiTheme="majorHAnsi" w:eastAsia="MS PGothic" w:hAnsiTheme="majorHAnsi" w:cstheme="majorHAnsi"/>
          <w:sz w:val="24"/>
          <w:szCs w:val="24"/>
          <w:vertAlign w:val="superscript"/>
        </w:rPr>
        <w:t>19</w:t>
      </w:r>
      <w:r w:rsidR="004437C3" w:rsidRPr="000876F9">
        <w:rPr>
          <w:rFonts w:asciiTheme="majorHAnsi" w:eastAsia="MS PGothic" w:hAnsiTheme="majorHAnsi" w:cstheme="majorHAnsi"/>
          <w:sz w:val="24"/>
          <w:szCs w:val="24"/>
        </w:rPr>
        <w:t xml:space="preserve"> </w:t>
      </w:r>
      <w:r w:rsidR="00B32DB1" w:rsidRPr="000876F9">
        <w:rPr>
          <w:rFonts w:asciiTheme="majorHAnsi" w:eastAsia="MS PGothic" w:hAnsiTheme="majorHAnsi" w:cstheme="majorHAnsi"/>
          <w:sz w:val="24"/>
          <w:szCs w:val="24"/>
        </w:rPr>
        <w:t>showed that</w:t>
      </w:r>
      <w:r w:rsidR="004437C3" w:rsidRPr="000876F9">
        <w:rPr>
          <w:rFonts w:asciiTheme="majorHAnsi" w:eastAsia="MS PGothic" w:hAnsiTheme="majorHAnsi" w:cstheme="majorHAnsi"/>
          <w:sz w:val="24"/>
          <w:szCs w:val="24"/>
        </w:rPr>
        <w:t xml:space="preserve"> </w:t>
      </w:r>
      <w:r w:rsidR="00B32DB1" w:rsidRPr="000876F9">
        <w:rPr>
          <w:rFonts w:asciiTheme="majorHAnsi" w:eastAsia="MS PGothic" w:hAnsiTheme="majorHAnsi" w:cstheme="majorHAnsi"/>
          <w:sz w:val="24"/>
          <w:szCs w:val="24"/>
        </w:rPr>
        <w:t>worsening b</w:t>
      </w:r>
      <w:r w:rsidR="004437C3" w:rsidRPr="000876F9">
        <w:rPr>
          <w:rFonts w:asciiTheme="majorHAnsi" w:eastAsia="MS PGothic" w:hAnsiTheme="majorHAnsi" w:cstheme="majorHAnsi"/>
          <w:sz w:val="24"/>
          <w:szCs w:val="24"/>
        </w:rPr>
        <w:t>ack muscle strength was the most important factor</w:t>
      </w:r>
      <w:r w:rsidR="00C5435A" w:rsidRPr="000876F9">
        <w:rPr>
          <w:rFonts w:asciiTheme="majorHAnsi" w:eastAsia="MS PGothic" w:hAnsiTheme="majorHAnsi" w:cstheme="majorHAnsi"/>
          <w:sz w:val="24"/>
          <w:szCs w:val="24"/>
        </w:rPr>
        <w:t xml:space="preserve"> contributing to a decline in spinal r</w:t>
      </w:r>
      <w:r w:rsidR="00B32DB1" w:rsidRPr="000876F9">
        <w:rPr>
          <w:rFonts w:asciiTheme="majorHAnsi" w:eastAsia="MS PGothic" w:hAnsiTheme="majorHAnsi" w:cstheme="majorHAnsi"/>
          <w:sz w:val="24"/>
          <w:szCs w:val="24"/>
        </w:rPr>
        <w:t>ange of movement in postmenopausal women</w:t>
      </w:r>
      <w:r w:rsidR="00C5435A" w:rsidRPr="000876F9">
        <w:rPr>
          <w:rFonts w:asciiTheme="majorHAnsi" w:eastAsia="MS PGothic" w:hAnsiTheme="majorHAnsi" w:cstheme="majorHAnsi"/>
          <w:sz w:val="24"/>
          <w:szCs w:val="24"/>
        </w:rPr>
        <w:t>, indicating the importance of both</w:t>
      </w:r>
      <w:r w:rsidR="004437C3" w:rsidRPr="000876F9">
        <w:rPr>
          <w:rFonts w:asciiTheme="majorHAnsi" w:eastAsia="MS PGothic" w:hAnsiTheme="majorHAnsi" w:cstheme="majorHAnsi"/>
          <w:sz w:val="24"/>
          <w:szCs w:val="24"/>
        </w:rPr>
        <w:t xml:space="preserve"> back muscle strength and lumbar </w:t>
      </w:r>
      <w:r w:rsidR="00C5435A" w:rsidRPr="000876F9">
        <w:rPr>
          <w:rFonts w:asciiTheme="majorHAnsi" w:eastAsia="MS PGothic" w:hAnsiTheme="majorHAnsi" w:cstheme="majorHAnsi"/>
          <w:sz w:val="24"/>
          <w:szCs w:val="24"/>
        </w:rPr>
        <w:t>range of movement in determining quality of life</w:t>
      </w:r>
      <w:r w:rsidR="004437C3" w:rsidRPr="000876F9">
        <w:rPr>
          <w:rFonts w:asciiTheme="majorHAnsi" w:eastAsia="MS PGothic" w:hAnsiTheme="majorHAnsi" w:cstheme="majorHAnsi"/>
          <w:sz w:val="24"/>
          <w:szCs w:val="24"/>
        </w:rPr>
        <w:t xml:space="preserve">. </w:t>
      </w:r>
    </w:p>
    <w:p w14:paraId="6D9EBAEE" w14:textId="03C240E9" w:rsidR="00094820" w:rsidRPr="000876F9" w:rsidRDefault="00C5435A" w:rsidP="00B26F1C">
      <w:pPr>
        <w:widowControl/>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There is also evidence from randomised controlled trials that back muscle strength training was associated with a significant improvement in quality of life </w:t>
      </w:r>
      <w:r w:rsidR="00C63AA8" w:rsidRPr="000876F9">
        <w:rPr>
          <w:rFonts w:asciiTheme="majorHAnsi" w:eastAsia="MS PGothic" w:hAnsiTheme="majorHAnsi" w:cstheme="majorHAnsi"/>
          <w:sz w:val="24"/>
          <w:szCs w:val="24"/>
          <w:vertAlign w:val="superscript"/>
        </w:rPr>
        <w:t>20</w:t>
      </w:r>
      <w:r w:rsidR="00C63AA8" w:rsidRPr="000876F9">
        <w:rPr>
          <w:rFonts w:asciiTheme="majorHAnsi" w:eastAsia="MS PGothic" w:hAnsiTheme="majorHAnsi" w:cstheme="majorHAnsi"/>
          <w:sz w:val="24"/>
          <w:szCs w:val="24"/>
        </w:rPr>
        <w:t xml:space="preserve">. </w:t>
      </w:r>
      <w:r w:rsidRPr="000876F9">
        <w:rPr>
          <w:rFonts w:asciiTheme="majorHAnsi" w:eastAsia="MS PGothic" w:hAnsiTheme="majorHAnsi" w:cstheme="majorHAnsi"/>
          <w:sz w:val="24"/>
          <w:szCs w:val="24"/>
        </w:rPr>
        <w:t xml:space="preserve">Studies have linked lumbar lordosis to the quantity of lumbar muscle which contributes a </w:t>
      </w:r>
      <w:r w:rsidR="00861E48" w:rsidRPr="000876F9">
        <w:rPr>
          <w:rFonts w:asciiTheme="majorHAnsi" w:eastAsia="MS PGothic" w:hAnsiTheme="majorHAnsi" w:cstheme="majorHAnsi"/>
          <w:sz w:val="24"/>
          <w:szCs w:val="24"/>
        </w:rPr>
        <w:t>high percentage of</w:t>
      </w:r>
      <w:r w:rsidRPr="000876F9">
        <w:rPr>
          <w:rFonts w:asciiTheme="majorHAnsi" w:eastAsia="MS PGothic" w:hAnsiTheme="majorHAnsi" w:cstheme="majorHAnsi"/>
          <w:sz w:val="24"/>
          <w:szCs w:val="24"/>
        </w:rPr>
        <w:t xml:space="preserve"> overall</w:t>
      </w:r>
      <w:r w:rsidR="00861E48" w:rsidRPr="000876F9">
        <w:rPr>
          <w:rFonts w:asciiTheme="majorHAnsi" w:eastAsia="MS PGothic" w:hAnsiTheme="majorHAnsi" w:cstheme="majorHAnsi"/>
          <w:sz w:val="24"/>
          <w:szCs w:val="24"/>
        </w:rPr>
        <w:t xml:space="preserve"> back muscle</w:t>
      </w:r>
      <w:r w:rsidR="00094820" w:rsidRPr="000876F9">
        <w:rPr>
          <w:rFonts w:asciiTheme="majorHAnsi" w:eastAsia="MS PGothic" w:hAnsiTheme="majorHAnsi" w:cstheme="majorHAnsi"/>
          <w:sz w:val="24"/>
          <w:szCs w:val="24"/>
        </w:rPr>
        <w:t>, which may be an explanatory factor in the way that exercise interventions have been shown to improve lumbar lordosis and quality of life</w:t>
      </w:r>
      <w:r w:rsidR="00861E48" w:rsidRPr="000876F9">
        <w:rPr>
          <w:rFonts w:asciiTheme="majorHAnsi" w:eastAsia="MS PGothic" w:hAnsiTheme="majorHAnsi" w:cstheme="majorHAnsi"/>
          <w:sz w:val="24"/>
          <w:szCs w:val="24"/>
        </w:rPr>
        <w:t xml:space="preserve"> </w:t>
      </w:r>
      <w:r w:rsidR="003D572F" w:rsidRPr="000876F9">
        <w:rPr>
          <w:rFonts w:asciiTheme="majorHAnsi" w:eastAsia="MS PGothic" w:hAnsiTheme="majorHAnsi" w:cstheme="majorHAnsi"/>
          <w:sz w:val="24"/>
          <w:szCs w:val="24"/>
          <w:vertAlign w:val="superscript"/>
        </w:rPr>
        <w:t>21</w:t>
      </w:r>
      <w:r w:rsidR="00861E48" w:rsidRPr="000876F9">
        <w:rPr>
          <w:rFonts w:asciiTheme="majorHAnsi" w:eastAsia="MS PGothic" w:hAnsiTheme="majorHAnsi" w:cstheme="majorHAnsi"/>
          <w:sz w:val="24"/>
          <w:szCs w:val="24"/>
        </w:rPr>
        <w:t xml:space="preserve">. </w:t>
      </w:r>
    </w:p>
    <w:p w14:paraId="56D134E4" w14:textId="6097D0C7" w:rsidR="00E66098" w:rsidRPr="000876F9" w:rsidRDefault="00094820" w:rsidP="00B26F1C">
      <w:pPr>
        <w:widowControl/>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M</w:t>
      </w:r>
      <w:r w:rsidR="0018166E" w:rsidRPr="000876F9">
        <w:rPr>
          <w:rFonts w:asciiTheme="majorHAnsi" w:eastAsia="MS PGothic" w:hAnsiTheme="majorHAnsi" w:cstheme="majorHAnsi"/>
          <w:sz w:val="24"/>
          <w:szCs w:val="24"/>
        </w:rPr>
        <w:t xml:space="preserve">any reports </w:t>
      </w:r>
      <w:r w:rsidRPr="000876F9">
        <w:rPr>
          <w:rFonts w:asciiTheme="majorHAnsi" w:eastAsia="MS PGothic" w:hAnsiTheme="majorHAnsi" w:cstheme="majorHAnsi"/>
          <w:sz w:val="24"/>
          <w:szCs w:val="24"/>
        </w:rPr>
        <w:t xml:space="preserve">have described associations between low back pain and </w:t>
      </w:r>
      <w:r w:rsidR="0018166E" w:rsidRPr="000876F9">
        <w:rPr>
          <w:rFonts w:asciiTheme="majorHAnsi" w:eastAsia="MS PGothic" w:hAnsiTheme="majorHAnsi" w:cstheme="majorHAnsi"/>
          <w:sz w:val="24"/>
          <w:szCs w:val="24"/>
        </w:rPr>
        <w:t xml:space="preserve">lumbar degenerative changes, </w:t>
      </w:r>
      <w:r w:rsidRPr="000876F9">
        <w:rPr>
          <w:rFonts w:asciiTheme="majorHAnsi" w:eastAsia="MS PGothic" w:hAnsiTheme="majorHAnsi" w:cstheme="majorHAnsi"/>
          <w:sz w:val="24"/>
          <w:szCs w:val="24"/>
        </w:rPr>
        <w:t xml:space="preserve">with </w:t>
      </w:r>
      <w:r w:rsidR="0018166E" w:rsidRPr="000876F9">
        <w:rPr>
          <w:rFonts w:asciiTheme="majorHAnsi" w:eastAsia="MS PGothic" w:hAnsiTheme="majorHAnsi" w:cstheme="majorHAnsi"/>
          <w:sz w:val="24"/>
          <w:szCs w:val="24"/>
        </w:rPr>
        <w:t>disc space narrowing</w:t>
      </w:r>
      <w:r w:rsidRPr="000876F9">
        <w:rPr>
          <w:rFonts w:asciiTheme="majorHAnsi" w:eastAsia="MS PGothic" w:hAnsiTheme="majorHAnsi" w:cstheme="majorHAnsi"/>
          <w:sz w:val="24"/>
          <w:szCs w:val="24"/>
        </w:rPr>
        <w:t xml:space="preserve"> being the most</w:t>
      </w:r>
      <w:r w:rsidR="0018166E" w:rsidRPr="000876F9">
        <w:rPr>
          <w:rFonts w:asciiTheme="majorHAnsi" w:eastAsia="MS PGothic" w:hAnsiTheme="majorHAnsi" w:cstheme="majorHAnsi"/>
          <w:sz w:val="24"/>
          <w:szCs w:val="24"/>
        </w:rPr>
        <w:t xml:space="preserve"> commonly used </w:t>
      </w:r>
      <w:r w:rsidRPr="000876F9">
        <w:rPr>
          <w:rFonts w:asciiTheme="majorHAnsi" w:eastAsia="MS PGothic" w:hAnsiTheme="majorHAnsi" w:cstheme="majorHAnsi"/>
          <w:sz w:val="24"/>
          <w:szCs w:val="24"/>
        </w:rPr>
        <w:t xml:space="preserve">marker of </w:t>
      </w:r>
      <w:r w:rsidR="0018166E" w:rsidRPr="000876F9">
        <w:rPr>
          <w:rFonts w:asciiTheme="majorHAnsi" w:eastAsia="MS PGothic" w:hAnsiTheme="majorHAnsi" w:cstheme="majorHAnsi"/>
          <w:sz w:val="24"/>
          <w:szCs w:val="24"/>
        </w:rPr>
        <w:t>lumbar disc</w:t>
      </w:r>
      <w:r w:rsidRPr="000876F9">
        <w:rPr>
          <w:rFonts w:asciiTheme="majorHAnsi" w:eastAsia="MS PGothic" w:hAnsiTheme="majorHAnsi" w:cstheme="majorHAnsi"/>
          <w:sz w:val="24"/>
          <w:szCs w:val="24"/>
        </w:rPr>
        <w:t xml:space="preserve"> degeneration</w:t>
      </w:r>
      <w:r w:rsidR="0018166E" w:rsidRPr="000876F9">
        <w:rPr>
          <w:rFonts w:asciiTheme="majorHAnsi" w:eastAsia="MS PGothic" w:hAnsiTheme="majorHAnsi" w:cstheme="majorHAnsi"/>
          <w:sz w:val="24"/>
          <w:szCs w:val="24"/>
        </w:rPr>
        <w:t>.</w:t>
      </w:r>
      <w:r w:rsidR="00B466C2" w:rsidRPr="000876F9">
        <w:rPr>
          <w:rFonts w:asciiTheme="majorHAnsi" w:eastAsia="MS PGothic" w:hAnsiTheme="majorHAnsi" w:cstheme="majorHAnsi"/>
          <w:sz w:val="24"/>
          <w:szCs w:val="24"/>
        </w:rPr>
        <w:t xml:space="preserve"> </w:t>
      </w:r>
      <w:r w:rsidRPr="000876F9">
        <w:rPr>
          <w:rFonts w:asciiTheme="majorHAnsi" w:eastAsia="MS PGothic" w:hAnsiTheme="majorHAnsi" w:cstheme="majorHAnsi"/>
          <w:sz w:val="24"/>
          <w:szCs w:val="24"/>
        </w:rPr>
        <w:t xml:space="preserve">One study </w:t>
      </w:r>
      <w:r w:rsidR="00FC0AE2" w:rsidRPr="000876F9">
        <w:rPr>
          <w:rFonts w:asciiTheme="majorHAnsi" w:eastAsia="MS PGothic" w:hAnsiTheme="majorHAnsi" w:cstheme="majorHAnsi"/>
          <w:sz w:val="24"/>
          <w:szCs w:val="24"/>
        </w:rPr>
        <w:t>sugges</w:t>
      </w:r>
      <w:r w:rsidRPr="000876F9">
        <w:rPr>
          <w:rFonts w:asciiTheme="majorHAnsi" w:eastAsia="MS PGothic" w:hAnsiTheme="majorHAnsi" w:cstheme="majorHAnsi"/>
          <w:sz w:val="24"/>
          <w:szCs w:val="24"/>
        </w:rPr>
        <w:t>ted</w:t>
      </w:r>
      <w:r w:rsidR="00FC0AE2" w:rsidRPr="000876F9">
        <w:rPr>
          <w:rFonts w:asciiTheme="majorHAnsi" w:eastAsia="MS PGothic" w:hAnsiTheme="majorHAnsi" w:cstheme="majorHAnsi"/>
          <w:sz w:val="24"/>
          <w:szCs w:val="24"/>
        </w:rPr>
        <w:t xml:space="preserve"> that</w:t>
      </w:r>
      <w:r w:rsidRPr="000876F9">
        <w:rPr>
          <w:rFonts w:asciiTheme="majorHAnsi" w:eastAsia="MS PGothic" w:hAnsiTheme="majorHAnsi" w:cstheme="majorHAnsi"/>
          <w:sz w:val="24"/>
          <w:szCs w:val="24"/>
        </w:rPr>
        <w:t xml:space="preserve"> individuals with a</w:t>
      </w:r>
      <w:r w:rsidR="00FC0AE2" w:rsidRPr="000876F9">
        <w:rPr>
          <w:rFonts w:asciiTheme="majorHAnsi" w:eastAsia="MS PGothic" w:hAnsiTheme="majorHAnsi" w:cstheme="majorHAnsi"/>
          <w:sz w:val="24"/>
          <w:szCs w:val="24"/>
        </w:rPr>
        <w:t xml:space="preserve"> degenerative disc may </w:t>
      </w:r>
      <w:r w:rsidRPr="000876F9">
        <w:rPr>
          <w:rFonts w:asciiTheme="majorHAnsi" w:eastAsia="MS PGothic" w:hAnsiTheme="majorHAnsi" w:cstheme="majorHAnsi"/>
          <w:sz w:val="24"/>
          <w:szCs w:val="24"/>
        </w:rPr>
        <w:t>be at greater risk of</w:t>
      </w:r>
      <w:r w:rsidR="00FC0AE2" w:rsidRPr="000876F9">
        <w:rPr>
          <w:rFonts w:asciiTheme="majorHAnsi" w:eastAsia="MS PGothic" w:hAnsiTheme="majorHAnsi" w:cstheme="majorHAnsi"/>
          <w:sz w:val="24"/>
          <w:szCs w:val="24"/>
        </w:rPr>
        <w:t xml:space="preserve"> poor health</w:t>
      </w:r>
      <w:r w:rsidR="008B5B03" w:rsidRPr="000876F9">
        <w:rPr>
          <w:rFonts w:asciiTheme="majorHAnsi" w:eastAsia="MS PGothic" w:hAnsiTheme="majorHAnsi" w:cstheme="majorHAnsi"/>
          <w:sz w:val="24"/>
          <w:szCs w:val="24"/>
        </w:rPr>
        <w:t xml:space="preserve"> </w:t>
      </w:r>
      <w:r w:rsidR="008B5B03" w:rsidRPr="000876F9">
        <w:rPr>
          <w:rFonts w:asciiTheme="majorHAnsi" w:eastAsia="MS PGothic" w:hAnsiTheme="majorHAnsi" w:cstheme="majorHAnsi"/>
          <w:sz w:val="24"/>
          <w:szCs w:val="24"/>
          <w:vertAlign w:val="superscript"/>
        </w:rPr>
        <w:t>2</w:t>
      </w:r>
      <w:r w:rsidR="00CE75E7" w:rsidRPr="000876F9">
        <w:rPr>
          <w:rFonts w:asciiTheme="majorHAnsi" w:eastAsia="MS PGothic" w:hAnsiTheme="majorHAnsi" w:cstheme="majorHAnsi"/>
          <w:sz w:val="24"/>
          <w:szCs w:val="24"/>
          <w:vertAlign w:val="superscript"/>
        </w:rPr>
        <w:t>2</w:t>
      </w:r>
      <w:r w:rsidR="00FC0AE2" w:rsidRPr="000876F9">
        <w:rPr>
          <w:rFonts w:asciiTheme="majorHAnsi" w:eastAsia="MS PGothic" w:hAnsiTheme="majorHAnsi" w:cstheme="majorHAnsi"/>
          <w:sz w:val="24"/>
          <w:szCs w:val="24"/>
        </w:rPr>
        <w:t xml:space="preserve">. </w:t>
      </w:r>
      <w:r w:rsidR="00414C79" w:rsidRPr="000876F9">
        <w:rPr>
          <w:rFonts w:asciiTheme="majorHAnsi" w:eastAsia="MS PGothic" w:hAnsiTheme="majorHAnsi" w:cstheme="majorHAnsi"/>
          <w:sz w:val="24"/>
          <w:szCs w:val="24"/>
        </w:rPr>
        <w:t>Savinainen et al.</w:t>
      </w:r>
      <w:r w:rsidR="00D54858" w:rsidRPr="000876F9">
        <w:rPr>
          <w:rFonts w:asciiTheme="majorHAnsi" w:eastAsia="MS PGothic" w:hAnsiTheme="majorHAnsi" w:cstheme="majorHAnsi"/>
          <w:sz w:val="24"/>
          <w:szCs w:val="24"/>
          <w:vertAlign w:val="superscript"/>
        </w:rPr>
        <w:t>23</w:t>
      </w:r>
      <w:r w:rsidR="00414C79" w:rsidRPr="000876F9">
        <w:rPr>
          <w:rFonts w:asciiTheme="majorHAnsi" w:eastAsia="MS PGothic" w:hAnsiTheme="majorHAnsi" w:cstheme="majorHAnsi"/>
          <w:sz w:val="24"/>
          <w:szCs w:val="24"/>
        </w:rPr>
        <w:t xml:space="preserve"> reported </w:t>
      </w:r>
      <w:r w:rsidR="001C080D" w:rsidRPr="000876F9">
        <w:rPr>
          <w:rFonts w:asciiTheme="majorHAnsi" w:eastAsia="MS PGothic" w:hAnsiTheme="majorHAnsi" w:cstheme="majorHAnsi"/>
          <w:sz w:val="24"/>
          <w:szCs w:val="24"/>
        </w:rPr>
        <w:t xml:space="preserve">that the </w:t>
      </w:r>
      <w:r w:rsidR="004B7B79" w:rsidRPr="000876F9">
        <w:rPr>
          <w:rFonts w:asciiTheme="majorHAnsi" w:eastAsia="MS PGothic" w:hAnsiTheme="majorHAnsi" w:cstheme="majorHAnsi"/>
          <w:sz w:val="24"/>
          <w:szCs w:val="24"/>
        </w:rPr>
        <w:t>musculoskel</w:t>
      </w:r>
      <w:r w:rsidR="00E66098" w:rsidRPr="000876F9">
        <w:rPr>
          <w:rFonts w:asciiTheme="majorHAnsi" w:eastAsia="MS PGothic" w:hAnsiTheme="majorHAnsi" w:cstheme="majorHAnsi"/>
          <w:sz w:val="24"/>
          <w:szCs w:val="24"/>
        </w:rPr>
        <w:t>e</w:t>
      </w:r>
      <w:r w:rsidR="004B7B79" w:rsidRPr="000876F9">
        <w:rPr>
          <w:rFonts w:asciiTheme="majorHAnsi" w:eastAsia="MS PGothic" w:hAnsiTheme="majorHAnsi" w:cstheme="majorHAnsi"/>
          <w:sz w:val="24"/>
          <w:szCs w:val="24"/>
        </w:rPr>
        <w:t>tal</w:t>
      </w:r>
      <w:r w:rsidR="00BB1DBF" w:rsidRPr="000876F9">
        <w:rPr>
          <w:rFonts w:asciiTheme="majorHAnsi" w:eastAsia="MS PGothic" w:hAnsiTheme="majorHAnsi" w:cstheme="majorHAnsi"/>
          <w:sz w:val="24"/>
          <w:szCs w:val="24"/>
        </w:rPr>
        <w:t xml:space="preserve"> capacity in </w:t>
      </w:r>
      <w:r w:rsidR="00E66098" w:rsidRPr="000876F9">
        <w:rPr>
          <w:rFonts w:asciiTheme="majorHAnsi" w:eastAsia="MS PGothic" w:hAnsiTheme="majorHAnsi" w:cstheme="majorHAnsi"/>
          <w:sz w:val="24"/>
          <w:szCs w:val="24"/>
        </w:rPr>
        <w:t>subjects with a higher</w:t>
      </w:r>
      <w:r w:rsidR="00820434" w:rsidRPr="000876F9">
        <w:rPr>
          <w:rFonts w:asciiTheme="majorHAnsi" w:eastAsia="MS PGothic" w:hAnsiTheme="majorHAnsi" w:cstheme="majorHAnsi"/>
          <w:sz w:val="24"/>
          <w:szCs w:val="24"/>
        </w:rPr>
        <w:t xml:space="preserve"> workload was poorer than that in </w:t>
      </w:r>
      <w:r w:rsidR="00A74EFE" w:rsidRPr="000876F9">
        <w:rPr>
          <w:rFonts w:asciiTheme="majorHAnsi" w:eastAsia="MS PGothic" w:hAnsiTheme="majorHAnsi" w:cstheme="majorHAnsi"/>
          <w:sz w:val="24"/>
          <w:szCs w:val="24"/>
        </w:rPr>
        <w:t xml:space="preserve">the subjects with </w:t>
      </w:r>
      <w:r w:rsidR="00E66098" w:rsidRPr="000876F9">
        <w:rPr>
          <w:rFonts w:asciiTheme="majorHAnsi" w:eastAsia="MS PGothic" w:hAnsiTheme="majorHAnsi" w:cstheme="majorHAnsi"/>
          <w:sz w:val="24"/>
          <w:szCs w:val="24"/>
        </w:rPr>
        <w:t xml:space="preserve">a </w:t>
      </w:r>
      <w:r w:rsidR="00A74EFE" w:rsidRPr="000876F9">
        <w:rPr>
          <w:rFonts w:asciiTheme="majorHAnsi" w:eastAsia="MS PGothic" w:hAnsiTheme="majorHAnsi" w:cstheme="majorHAnsi"/>
          <w:sz w:val="24"/>
          <w:szCs w:val="24"/>
        </w:rPr>
        <w:t>low workload</w:t>
      </w:r>
      <w:r w:rsidR="00E66098" w:rsidRPr="000876F9">
        <w:rPr>
          <w:rFonts w:asciiTheme="majorHAnsi" w:eastAsia="MS PGothic" w:hAnsiTheme="majorHAnsi" w:cstheme="majorHAnsi"/>
          <w:sz w:val="24"/>
          <w:szCs w:val="24"/>
        </w:rPr>
        <w:t>. A difference in trunk extension strength was detected between these two groups, which is known to be associated with decreasing LL. H</w:t>
      </w:r>
      <w:r w:rsidR="00A74EFE" w:rsidRPr="000876F9">
        <w:rPr>
          <w:rFonts w:asciiTheme="majorHAnsi" w:eastAsia="MS PGothic" w:hAnsiTheme="majorHAnsi" w:cstheme="majorHAnsi"/>
          <w:sz w:val="24"/>
          <w:szCs w:val="24"/>
        </w:rPr>
        <w:t xml:space="preserve">eavy manual work is </w:t>
      </w:r>
      <w:r w:rsidR="00E66098" w:rsidRPr="000876F9">
        <w:rPr>
          <w:rFonts w:asciiTheme="majorHAnsi" w:eastAsia="MS PGothic" w:hAnsiTheme="majorHAnsi" w:cstheme="majorHAnsi"/>
          <w:sz w:val="24"/>
          <w:szCs w:val="24"/>
        </w:rPr>
        <w:t xml:space="preserve">also </w:t>
      </w:r>
      <w:r w:rsidR="00A74EFE" w:rsidRPr="000876F9">
        <w:rPr>
          <w:rFonts w:asciiTheme="majorHAnsi" w:eastAsia="MS PGothic" w:hAnsiTheme="majorHAnsi" w:cstheme="majorHAnsi"/>
          <w:sz w:val="24"/>
          <w:szCs w:val="24"/>
        </w:rPr>
        <w:t>significantly associated with disc degeneration.</w:t>
      </w:r>
      <w:r w:rsidR="004126E3" w:rsidRPr="000876F9">
        <w:rPr>
          <w:rFonts w:asciiTheme="majorHAnsi" w:eastAsia="MS PGothic" w:hAnsiTheme="majorHAnsi" w:cstheme="majorHAnsi"/>
          <w:sz w:val="24"/>
          <w:szCs w:val="24"/>
        </w:rPr>
        <w:t xml:space="preserve"> Katsuragi is a rural </w:t>
      </w:r>
      <w:r w:rsidR="002758ED" w:rsidRPr="000876F9">
        <w:rPr>
          <w:rFonts w:asciiTheme="majorHAnsi" w:eastAsia="MS PGothic" w:hAnsiTheme="majorHAnsi" w:cstheme="majorHAnsi"/>
          <w:sz w:val="24"/>
          <w:szCs w:val="24"/>
        </w:rPr>
        <w:t xml:space="preserve">city, </w:t>
      </w:r>
      <w:r w:rsidR="00E66098" w:rsidRPr="000876F9">
        <w:rPr>
          <w:rFonts w:asciiTheme="majorHAnsi" w:eastAsia="MS PGothic" w:hAnsiTheme="majorHAnsi" w:cstheme="majorHAnsi"/>
          <w:sz w:val="24"/>
          <w:szCs w:val="24"/>
        </w:rPr>
        <w:t xml:space="preserve">and the patient population comprises a </w:t>
      </w:r>
      <w:r w:rsidR="002758ED" w:rsidRPr="000876F9">
        <w:rPr>
          <w:rFonts w:asciiTheme="majorHAnsi" w:eastAsia="MS PGothic" w:hAnsiTheme="majorHAnsi" w:cstheme="majorHAnsi"/>
          <w:sz w:val="24"/>
          <w:szCs w:val="24"/>
        </w:rPr>
        <w:t>high percentage of farmers,</w:t>
      </w:r>
      <w:r w:rsidR="004126E3" w:rsidRPr="000876F9">
        <w:rPr>
          <w:rFonts w:asciiTheme="majorHAnsi" w:eastAsia="MS PGothic" w:hAnsiTheme="majorHAnsi" w:cstheme="majorHAnsi"/>
          <w:sz w:val="24"/>
          <w:szCs w:val="24"/>
        </w:rPr>
        <w:t xml:space="preserve"> </w:t>
      </w:r>
      <w:r w:rsidR="00E66098" w:rsidRPr="000876F9">
        <w:rPr>
          <w:rFonts w:asciiTheme="majorHAnsi" w:eastAsia="MS PGothic" w:hAnsiTheme="majorHAnsi" w:cstheme="majorHAnsi"/>
          <w:sz w:val="24"/>
          <w:szCs w:val="24"/>
        </w:rPr>
        <w:t>hence heavy manual work may have had an influence on a large proportion of the spinal health in our population. It is possible that there may have been occupational effects on quality of life measures in our population, but unfortunately the s</w:t>
      </w:r>
      <w:r w:rsidR="002758ED" w:rsidRPr="000876F9">
        <w:rPr>
          <w:rFonts w:asciiTheme="majorHAnsi" w:eastAsia="MS PGothic" w:hAnsiTheme="majorHAnsi" w:cstheme="majorHAnsi"/>
          <w:sz w:val="24"/>
          <w:szCs w:val="24"/>
        </w:rPr>
        <w:t>udy questionnaire was not specifically designed to characterize occupational risk factors for QOL</w:t>
      </w:r>
      <w:r w:rsidR="00E66098" w:rsidRPr="000876F9">
        <w:rPr>
          <w:rFonts w:asciiTheme="majorHAnsi" w:eastAsia="MS PGothic" w:hAnsiTheme="majorHAnsi" w:cstheme="majorHAnsi"/>
          <w:sz w:val="24"/>
          <w:szCs w:val="24"/>
        </w:rPr>
        <w:t>. Similarly, the questionnaire did not allow us to assess nutritional risk factors for musculoskeletal measures and quality of life outcomes.</w:t>
      </w:r>
    </w:p>
    <w:p w14:paraId="3FACE5BA" w14:textId="7488C9F0" w:rsidR="00715019" w:rsidRPr="000876F9" w:rsidRDefault="00E66098" w:rsidP="00B26F1C">
      <w:pPr>
        <w:widowControl/>
        <w:snapToGrid w:val="0"/>
        <w:spacing w:line="480" w:lineRule="auto"/>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In conclusion, we have demonstrated, in a </w:t>
      </w:r>
      <w:r w:rsidR="006C6415" w:rsidRPr="000876F9">
        <w:rPr>
          <w:rFonts w:asciiTheme="majorHAnsi" w:eastAsia="MS PGothic" w:hAnsiTheme="majorHAnsi" w:cstheme="majorHAnsi"/>
          <w:sz w:val="24"/>
          <w:szCs w:val="24"/>
        </w:rPr>
        <w:t>population</w:t>
      </w:r>
      <w:r w:rsidRPr="000876F9">
        <w:rPr>
          <w:rFonts w:asciiTheme="majorHAnsi" w:eastAsia="MS PGothic" w:hAnsiTheme="majorHAnsi" w:cstheme="majorHAnsi"/>
          <w:sz w:val="24"/>
          <w:szCs w:val="24"/>
        </w:rPr>
        <w:t xml:space="preserve"> of older men and women, to our knowledge for the first time, </w:t>
      </w:r>
      <w:r w:rsidR="006C6415" w:rsidRPr="000876F9">
        <w:rPr>
          <w:rFonts w:asciiTheme="majorHAnsi" w:eastAsia="MS PGothic" w:hAnsiTheme="majorHAnsi" w:cstheme="majorHAnsi"/>
          <w:sz w:val="24"/>
          <w:szCs w:val="24"/>
        </w:rPr>
        <w:t>association</w:t>
      </w:r>
      <w:r w:rsidRPr="000876F9">
        <w:rPr>
          <w:rFonts w:asciiTheme="majorHAnsi" w:eastAsia="MS PGothic" w:hAnsiTheme="majorHAnsi" w:cstheme="majorHAnsi"/>
          <w:sz w:val="24"/>
          <w:szCs w:val="24"/>
        </w:rPr>
        <w:t>s</w:t>
      </w:r>
      <w:r w:rsidR="006C6415" w:rsidRPr="000876F9">
        <w:rPr>
          <w:rFonts w:asciiTheme="majorHAnsi" w:eastAsia="MS PGothic" w:hAnsiTheme="majorHAnsi" w:cstheme="majorHAnsi"/>
          <w:sz w:val="24"/>
          <w:szCs w:val="24"/>
        </w:rPr>
        <w:t xml:space="preserve"> </w:t>
      </w:r>
      <w:r w:rsidRPr="000876F9">
        <w:rPr>
          <w:rFonts w:asciiTheme="majorHAnsi" w:eastAsia="MS PGothic" w:hAnsiTheme="majorHAnsi" w:cstheme="majorHAnsi"/>
          <w:sz w:val="24"/>
          <w:szCs w:val="24"/>
        </w:rPr>
        <w:t>between</w:t>
      </w:r>
      <w:r w:rsidR="006C6415" w:rsidRPr="000876F9">
        <w:rPr>
          <w:rFonts w:asciiTheme="majorHAnsi" w:eastAsia="MS PGothic" w:hAnsiTheme="majorHAnsi" w:cstheme="majorHAnsi"/>
          <w:sz w:val="24"/>
          <w:szCs w:val="24"/>
        </w:rPr>
        <w:t xml:space="preserve"> several musculoskeletal diseases</w:t>
      </w:r>
      <w:r w:rsidRPr="000876F9">
        <w:rPr>
          <w:rFonts w:asciiTheme="majorHAnsi" w:eastAsia="MS PGothic" w:hAnsiTheme="majorHAnsi" w:cstheme="majorHAnsi"/>
          <w:sz w:val="24"/>
          <w:szCs w:val="24"/>
        </w:rPr>
        <w:t xml:space="preserve">, </w:t>
      </w:r>
      <w:r w:rsidR="006C6415" w:rsidRPr="000876F9">
        <w:rPr>
          <w:rFonts w:asciiTheme="majorHAnsi" w:eastAsia="MS PGothic" w:hAnsiTheme="majorHAnsi" w:cstheme="majorHAnsi"/>
          <w:sz w:val="24"/>
          <w:szCs w:val="24"/>
        </w:rPr>
        <w:t>spinal radiographic features</w:t>
      </w:r>
      <w:r w:rsidRPr="000876F9">
        <w:rPr>
          <w:rFonts w:asciiTheme="majorHAnsi" w:eastAsia="MS PGothic" w:hAnsiTheme="majorHAnsi" w:cstheme="majorHAnsi"/>
          <w:sz w:val="24"/>
          <w:szCs w:val="24"/>
        </w:rPr>
        <w:t>, and quality of life</w:t>
      </w:r>
      <w:r w:rsidR="006C6415" w:rsidRPr="000876F9">
        <w:rPr>
          <w:rFonts w:asciiTheme="majorHAnsi" w:eastAsia="MS PGothic" w:hAnsiTheme="majorHAnsi" w:cstheme="majorHAnsi"/>
          <w:sz w:val="24"/>
          <w:szCs w:val="24"/>
        </w:rPr>
        <w:t>.</w:t>
      </w:r>
      <w:r w:rsidRPr="000876F9">
        <w:rPr>
          <w:rFonts w:asciiTheme="majorHAnsi" w:eastAsia="MS PGothic" w:hAnsiTheme="majorHAnsi" w:cstheme="majorHAnsi"/>
          <w:sz w:val="24"/>
          <w:szCs w:val="24"/>
        </w:rPr>
        <w:t xml:space="preserve"> We have shown that the odds of poor quality of life</w:t>
      </w:r>
      <w:r w:rsidR="00FC28C3" w:rsidRPr="000876F9">
        <w:rPr>
          <w:rFonts w:asciiTheme="majorHAnsi" w:eastAsia="MS PGothic" w:hAnsiTheme="majorHAnsi" w:cstheme="majorHAnsi"/>
          <w:sz w:val="24"/>
          <w:szCs w:val="24"/>
        </w:rPr>
        <w:t xml:space="preserve"> appears strongest in those with LSS </w:t>
      </w:r>
      <w:r w:rsidR="00780AE4" w:rsidRPr="000876F9">
        <w:rPr>
          <w:rFonts w:asciiTheme="majorHAnsi" w:eastAsia="MS PGothic" w:hAnsiTheme="majorHAnsi" w:cstheme="majorHAnsi"/>
          <w:sz w:val="24"/>
          <w:szCs w:val="24"/>
        </w:rPr>
        <w:t xml:space="preserve">or KOA </w:t>
      </w:r>
      <w:r w:rsidR="00FC28C3" w:rsidRPr="000876F9">
        <w:rPr>
          <w:rFonts w:asciiTheme="majorHAnsi" w:eastAsia="MS PGothic" w:hAnsiTheme="majorHAnsi" w:cstheme="majorHAnsi"/>
          <w:sz w:val="24"/>
          <w:szCs w:val="24"/>
        </w:rPr>
        <w:t>among the musculoskeletal diseases</w:t>
      </w:r>
      <w:r w:rsidRPr="000876F9">
        <w:rPr>
          <w:rFonts w:asciiTheme="majorHAnsi" w:eastAsia="MS PGothic" w:hAnsiTheme="majorHAnsi" w:cstheme="majorHAnsi"/>
          <w:sz w:val="24"/>
          <w:szCs w:val="24"/>
        </w:rPr>
        <w:t>. Among the spinal radiographic measures, d</w:t>
      </w:r>
      <w:r w:rsidR="00790B12" w:rsidRPr="000876F9">
        <w:rPr>
          <w:rFonts w:asciiTheme="majorHAnsi" w:eastAsia="MS PGothic" w:hAnsiTheme="majorHAnsi" w:cstheme="majorHAnsi"/>
          <w:sz w:val="24"/>
          <w:szCs w:val="24"/>
        </w:rPr>
        <w:t xml:space="preserve">ecreasing </w:t>
      </w:r>
      <w:r w:rsidR="00FC28C3" w:rsidRPr="000876F9">
        <w:rPr>
          <w:rFonts w:asciiTheme="majorHAnsi" w:eastAsia="MS PGothic" w:hAnsiTheme="majorHAnsi" w:cstheme="majorHAnsi"/>
          <w:sz w:val="24"/>
          <w:szCs w:val="24"/>
        </w:rPr>
        <w:t>LL was also</w:t>
      </w:r>
      <w:r w:rsidRPr="000876F9">
        <w:rPr>
          <w:rFonts w:asciiTheme="majorHAnsi" w:eastAsia="MS PGothic" w:hAnsiTheme="majorHAnsi" w:cstheme="majorHAnsi"/>
          <w:sz w:val="24"/>
          <w:szCs w:val="24"/>
        </w:rPr>
        <w:t xml:space="preserve"> a significant </w:t>
      </w:r>
      <w:r w:rsidR="00E33B9A" w:rsidRPr="000876F9">
        <w:rPr>
          <w:rFonts w:asciiTheme="majorHAnsi" w:eastAsia="MS PGothic" w:hAnsiTheme="majorHAnsi" w:cstheme="majorHAnsi"/>
          <w:sz w:val="24"/>
          <w:szCs w:val="24"/>
        </w:rPr>
        <w:t>predictor</w:t>
      </w:r>
      <w:r w:rsidR="00FC28C3" w:rsidRPr="000876F9">
        <w:rPr>
          <w:rFonts w:asciiTheme="majorHAnsi" w:eastAsia="MS PGothic" w:hAnsiTheme="majorHAnsi" w:cstheme="majorHAnsi"/>
          <w:sz w:val="24"/>
          <w:szCs w:val="24"/>
        </w:rPr>
        <w:t xml:space="preserve"> </w:t>
      </w:r>
      <w:r w:rsidRPr="000876F9">
        <w:rPr>
          <w:rFonts w:asciiTheme="majorHAnsi" w:eastAsia="MS PGothic" w:hAnsiTheme="majorHAnsi" w:cstheme="majorHAnsi"/>
          <w:sz w:val="24"/>
          <w:szCs w:val="24"/>
        </w:rPr>
        <w:t xml:space="preserve">of </w:t>
      </w:r>
      <w:r w:rsidR="00790B12" w:rsidRPr="000876F9">
        <w:rPr>
          <w:rFonts w:asciiTheme="majorHAnsi" w:eastAsia="MS PGothic" w:hAnsiTheme="majorHAnsi" w:cstheme="majorHAnsi"/>
          <w:sz w:val="24"/>
          <w:szCs w:val="24"/>
        </w:rPr>
        <w:t>poor</w:t>
      </w:r>
      <w:r w:rsidRPr="000876F9">
        <w:rPr>
          <w:rFonts w:asciiTheme="majorHAnsi" w:eastAsia="MS PGothic" w:hAnsiTheme="majorHAnsi" w:cstheme="majorHAnsi"/>
          <w:sz w:val="24"/>
          <w:szCs w:val="24"/>
        </w:rPr>
        <w:t xml:space="preserve"> quality of life</w:t>
      </w:r>
      <w:r w:rsidR="00FC28C3" w:rsidRPr="000876F9">
        <w:rPr>
          <w:rFonts w:asciiTheme="majorHAnsi" w:eastAsia="MS PGothic" w:hAnsiTheme="majorHAnsi" w:cstheme="majorHAnsi"/>
          <w:sz w:val="24"/>
          <w:szCs w:val="24"/>
        </w:rPr>
        <w:t>.</w:t>
      </w:r>
      <w:r w:rsidR="00790B12" w:rsidRPr="000876F9">
        <w:rPr>
          <w:rFonts w:asciiTheme="majorHAnsi" w:eastAsia="MS PGothic" w:hAnsiTheme="majorHAnsi" w:cstheme="majorHAnsi"/>
          <w:sz w:val="24"/>
          <w:szCs w:val="24"/>
        </w:rPr>
        <w:t xml:space="preserve"> </w:t>
      </w:r>
      <w:r w:rsidR="00C70EEC" w:rsidRPr="000876F9">
        <w:rPr>
          <w:rFonts w:asciiTheme="majorHAnsi" w:eastAsia="MS PGothic" w:hAnsiTheme="majorHAnsi" w:cstheme="majorHAnsi"/>
          <w:sz w:val="24"/>
          <w:szCs w:val="24"/>
        </w:rPr>
        <w:t>Further research is required to examine whether t</w:t>
      </w:r>
      <w:r w:rsidRPr="000876F9">
        <w:rPr>
          <w:rFonts w:asciiTheme="majorHAnsi" w:eastAsia="MS PGothic" w:hAnsiTheme="majorHAnsi" w:cstheme="majorHAnsi"/>
          <w:sz w:val="24"/>
          <w:szCs w:val="24"/>
        </w:rPr>
        <w:t>argeted exercise and nutritional interventions aimed at improving</w:t>
      </w:r>
      <w:r w:rsidR="00790B12" w:rsidRPr="000876F9">
        <w:rPr>
          <w:rFonts w:asciiTheme="majorHAnsi" w:eastAsia="MS PGothic" w:hAnsiTheme="majorHAnsi" w:cstheme="majorHAnsi"/>
          <w:sz w:val="24"/>
          <w:szCs w:val="24"/>
        </w:rPr>
        <w:t xml:space="preserve"> muscle strength</w:t>
      </w:r>
      <w:r w:rsidRPr="000876F9">
        <w:rPr>
          <w:rFonts w:asciiTheme="majorHAnsi" w:eastAsia="MS PGothic" w:hAnsiTheme="majorHAnsi" w:cstheme="majorHAnsi"/>
          <w:sz w:val="24"/>
          <w:szCs w:val="24"/>
        </w:rPr>
        <w:t xml:space="preserve">, and reducing the burden of </w:t>
      </w:r>
      <w:r w:rsidR="00790B12" w:rsidRPr="000876F9">
        <w:rPr>
          <w:rFonts w:asciiTheme="majorHAnsi" w:eastAsia="MS PGothic" w:hAnsiTheme="majorHAnsi" w:cstheme="majorHAnsi"/>
          <w:sz w:val="24"/>
          <w:szCs w:val="24"/>
        </w:rPr>
        <w:t>occupational activity</w:t>
      </w:r>
      <w:r w:rsidRPr="000876F9">
        <w:rPr>
          <w:rFonts w:asciiTheme="majorHAnsi" w:eastAsia="MS PGothic" w:hAnsiTheme="majorHAnsi" w:cstheme="majorHAnsi"/>
          <w:sz w:val="24"/>
          <w:szCs w:val="24"/>
        </w:rPr>
        <w:t>,</w:t>
      </w:r>
      <w:r w:rsidR="00790B12" w:rsidRPr="000876F9">
        <w:rPr>
          <w:rFonts w:asciiTheme="majorHAnsi" w:eastAsia="MS PGothic" w:hAnsiTheme="majorHAnsi" w:cstheme="majorHAnsi"/>
          <w:sz w:val="24"/>
          <w:szCs w:val="24"/>
        </w:rPr>
        <w:t xml:space="preserve"> may be able to </w:t>
      </w:r>
      <w:r w:rsidR="00C70EEC" w:rsidRPr="000876F9">
        <w:rPr>
          <w:rFonts w:asciiTheme="majorHAnsi" w:eastAsia="MS PGothic" w:hAnsiTheme="majorHAnsi" w:cstheme="majorHAnsi"/>
          <w:sz w:val="24"/>
          <w:szCs w:val="24"/>
        </w:rPr>
        <w:t xml:space="preserve">reduce the risk of </w:t>
      </w:r>
      <w:r w:rsidR="00402B5B" w:rsidRPr="000876F9">
        <w:rPr>
          <w:rFonts w:asciiTheme="majorHAnsi" w:eastAsia="MS PGothic" w:hAnsiTheme="majorHAnsi" w:cstheme="majorHAnsi"/>
          <w:sz w:val="24"/>
          <w:szCs w:val="24"/>
        </w:rPr>
        <w:t>LBP</w:t>
      </w:r>
      <w:r w:rsidR="00C70EEC" w:rsidRPr="000876F9">
        <w:rPr>
          <w:rFonts w:asciiTheme="majorHAnsi" w:eastAsia="MS PGothic" w:hAnsiTheme="majorHAnsi" w:cstheme="majorHAnsi"/>
          <w:sz w:val="24"/>
          <w:szCs w:val="24"/>
        </w:rPr>
        <w:t xml:space="preserve">, </w:t>
      </w:r>
      <w:r w:rsidR="00402B5B" w:rsidRPr="000876F9">
        <w:rPr>
          <w:rFonts w:asciiTheme="majorHAnsi" w:eastAsia="MS PGothic" w:hAnsiTheme="majorHAnsi" w:cstheme="majorHAnsi"/>
          <w:sz w:val="24"/>
          <w:szCs w:val="24"/>
        </w:rPr>
        <w:t>LSS</w:t>
      </w:r>
      <w:r w:rsidR="00C70EEC" w:rsidRPr="000876F9">
        <w:rPr>
          <w:rFonts w:asciiTheme="majorHAnsi" w:eastAsia="MS PGothic" w:hAnsiTheme="majorHAnsi" w:cstheme="majorHAnsi"/>
          <w:sz w:val="24"/>
          <w:szCs w:val="24"/>
        </w:rPr>
        <w:t xml:space="preserve"> </w:t>
      </w:r>
      <w:r w:rsidR="00402B5B" w:rsidRPr="000876F9">
        <w:rPr>
          <w:rFonts w:asciiTheme="majorHAnsi" w:eastAsia="MS PGothic" w:hAnsiTheme="majorHAnsi" w:cstheme="majorHAnsi"/>
          <w:sz w:val="24"/>
          <w:szCs w:val="24"/>
        </w:rPr>
        <w:t>and K</w:t>
      </w:r>
      <w:r w:rsidR="00C70EEC" w:rsidRPr="000876F9">
        <w:rPr>
          <w:rFonts w:asciiTheme="majorHAnsi" w:eastAsia="MS PGothic" w:hAnsiTheme="majorHAnsi" w:cstheme="majorHAnsi"/>
          <w:sz w:val="24"/>
          <w:szCs w:val="24"/>
        </w:rPr>
        <w:t xml:space="preserve">OA, hence reducing the burden of these conditions on </w:t>
      </w:r>
      <w:r w:rsidR="00790B12" w:rsidRPr="000876F9">
        <w:rPr>
          <w:rFonts w:asciiTheme="majorHAnsi" w:eastAsia="MS PGothic" w:hAnsiTheme="majorHAnsi" w:cstheme="majorHAnsi"/>
          <w:sz w:val="24"/>
          <w:szCs w:val="24"/>
        </w:rPr>
        <w:t>QOL</w:t>
      </w:r>
      <w:r w:rsidR="00C70EEC" w:rsidRPr="000876F9">
        <w:rPr>
          <w:rFonts w:asciiTheme="majorHAnsi" w:eastAsia="MS PGothic" w:hAnsiTheme="majorHAnsi" w:cstheme="majorHAnsi"/>
          <w:sz w:val="24"/>
          <w:szCs w:val="24"/>
        </w:rPr>
        <w:t xml:space="preserve"> in future generations. </w:t>
      </w:r>
      <w:r w:rsidR="00790B12" w:rsidRPr="000876F9">
        <w:rPr>
          <w:rFonts w:asciiTheme="majorHAnsi" w:eastAsia="MS PGothic" w:hAnsiTheme="majorHAnsi" w:cstheme="majorHAnsi"/>
          <w:sz w:val="24"/>
          <w:szCs w:val="24"/>
        </w:rPr>
        <w:t xml:space="preserve"> </w:t>
      </w:r>
    </w:p>
    <w:p w14:paraId="58999519" w14:textId="77777777" w:rsidR="00B76CD1" w:rsidRPr="000876F9" w:rsidRDefault="00B76CD1" w:rsidP="00B26F1C">
      <w:pPr>
        <w:widowControl/>
        <w:snapToGrid w:val="0"/>
        <w:jc w:val="left"/>
        <w:rPr>
          <w:rFonts w:asciiTheme="majorHAnsi" w:eastAsia="MS PGothic" w:hAnsiTheme="majorHAnsi" w:cstheme="majorHAnsi"/>
          <w:sz w:val="24"/>
          <w:szCs w:val="24"/>
        </w:rPr>
      </w:pPr>
    </w:p>
    <w:p w14:paraId="11808A88" w14:textId="260C8E10" w:rsidR="00495C0B" w:rsidRPr="000876F9" w:rsidRDefault="007A317B" w:rsidP="00B26F1C">
      <w:pPr>
        <w:widowControl/>
        <w:snapToGrid w:val="0"/>
        <w:jc w:val="left"/>
        <w:rPr>
          <w:rFonts w:asciiTheme="majorHAnsi" w:eastAsia="MS PGothic" w:hAnsiTheme="majorHAnsi" w:cstheme="majorHAnsi"/>
          <w:sz w:val="24"/>
          <w:szCs w:val="24"/>
        </w:rPr>
      </w:pPr>
      <w:r w:rsidRPr="000876F9">
        <w:rPr>
          <w:rFonts w:asciiTheme="majorHAnsi" w:eastAsia="MS PGothic" w:hAnsiTheme="majorHAnsi" w:cstheme="majorHAnsi"/>
          <w:b/>
          <w:sz w:val="24"/>
          <w:szCs w:val="24"/>
          <w:lang w:val="en-GB"/>
        </w:rPr>
        <w:br w:type="page"/>
        <w:t>References</w:t>
      </w:r>
    </w:p>
    <w:p w14:paraId="3300C5A5" w14:textId="3BE2586E" w:rsidR="00F81821" w:rsidRPr="000876F9" w:rsidRDefault="0042203B" w:rsidP="00F81821">
      <w:pPr>
        <w:autoSpaceDE w:val="0"/>
        <w:autoSpaceDN w:val="0"/>
        <w:adjustRightInd w:val="0"/>
        <w:ind w:left="640" w:hanging="640"/>
        <w:jc w:val="left"/>
        <w:rPr>
          <w:rFonts w:asciiTheme="majorHAnsi" w:eastAsia="Times New Roman" w:hAnsiTheme="majorHAnsi" w:cstheme="majorHAnsi"/>
          <w:noProof/>
          <w:kern w:val="0"/>
          <w:sz w:val="24"/>
        </w:rPr>
      </w:pPr>
      <w:r w:rsidRPr="000876F9">
        <w:rPr>
          <w:rFonts w:asciiTheme="majorHAnsi" w:hAnsiTheme="majorHAnsi" w:cstheme="majorHAnsi"/>
        </w:rPr>
        <w:fldChar w:fldCharType="begin" w:fldLock="1"/>
      </w:r>
      <w:r w:rsidRPr="000876F9">
        <w:rPr>
          <w:rFonts w:asciiTheme="majorHAnsi" w:hAnsiTheme="majorHAnsi" w:cstheme="majorHAnsi"/>
        </w:rPr>
        <w:instrText xml:space="preserve">ADDIN Mendeley Bibliography CSL_BIBLIOGRAPHY </w:instrText>
      </w:r>
      <w:r w:rsidRPr="000876F9">
        <w:rPr>
          <w:rFonts w:asciiTheme="majorHAnsi" w:hAnsiTheme="majorHAnsi" w:cstheme="majorHAnsi"/>
        </w:rPr>
        <w:fldChar w:fldCharType="separate"/>
      </w:r>
      <w:r w:rsidRPr="000876F9">
        <w:rPr>
          <w:rFonts w:asciiTheme="majorHAnsi" w:eastAsia="Times New Roman" w:hAnsiTheme="majorHAnsi" w:cstheme="majorHAnsi"/>
          <w:noProof/>
          <w:kern w:val="0"/>
          <w:sz w:val="24"/>
        </w:rPr>
        <w:t xml:space="preserve">1. </w:t>
      </w:r>
      <w:r w:rsidRPr="000876F9">
        <w:rPr>
          <w:rFonts w:asciiTheme="majorHAnsi" w:eastAsia="Times New Roman" w:hAnsiTheme="majorHAnsi" w:cstheme="majorHAnsi"/>
          <w:noProof/>
          <w:kern w:val="0"/>
          <w:sz w:val="24"/>
        </w:rPr>
        <w:tab/>
        <w:t xml:space="preserve">Yoshimura N, Muraki S, Oka H, et al. Is osteoporosis a predictor for future sarcopenia or vice versa ? Four-year observations between the second and third ROAD study surveys. </w:t>
      </w:r>
      <w:r w:rsidRPr="000876F9">
        <w:rPr>
          <w:rFonts w:asciiTheme="majorHAnsi" w:eastAsia="Times New Roman" w:hAnsiTheme="majorHAnsi" w:cstheme="majorHAnsi"/>
          <w:iCs/>
          <w:noProof/>
          <w:kern w:val="0"/>
          <w:sz w:val="24"/>
        </w:rPr>
        <w:t>Osteoporos Int</w:t>
      </w:r>
      <w:r w:rsidRPr="000876F9">
        <w:rPr>
          <w:rFonts w:asciiTheme="majorHAnsi" w:eastAsia="Times New Roman" w:hAnsiTheme="majorHAnsi" w:cstheme="majorHAnsi"/>
          <w:noProof/>
          <w:kern w:val="0"/>
          <w:sz w:val="24"/>
        </w:rPr>
        <w:t xml:space="preserve"> 2017;</w:t>
      </w:r>
      <w:r w:rsidR="00B02179" w:rsidRPr="000876F9">
        <w:rPr>
          <w:rFonts w:asciiTheme="majorHAnsi" w:eastAsia="Times New Roman" w:hAnsiTheme="majorHAnsi" w:cstheme="majorHAnsi"/>
          <w:noProof/>
          <w:kern w:val="0"/>
          <w:sz w:val="24"/>
        </w:rPr>
        <w:t xml:space="preserve">28(1): </w:t>
      </w:r>
      <w:r w:rsidRPr="000876F9">
        <w:rPr>
          <w:rFonts w:asciiTheme="majorHAnsi" w:eastAsia="Times New Roman" w:hAnsiTheme="majorHAnsi" w:cstheme="majorHAnsi"/>
          <w:noProof/>
          <w:kern w:val="0"/>
          <w:sz w:val="24"/>
        </w:rPr>
        <w:t>189–99.</w:t>
      </w:r>
    </w:p>
    <w:p w14:paraId="695AA1AD" w14:textId="3776B83C" w:rsidR="0042203B" w:rsidRPr="000876F9" w:rsidRDefault="0042203B" w:rsidP="00B26F1C">
      <w:pPr>
        <w:adjustRightInd w:val="0"/>
        <w:snapToGrid w:val="0"/>
        <w:jc w:val="left"/>
        <w:rPr>
          <w:rFonts w:asciiTheme="majorHAnsi" w:eastAsia="MS PGothic" w:hAnsiTheme="majorHAnsi" w:cstheme="majorHAnsi"/>
          <w:b/>
          <w:sz w:val="24"/>
          <w:szCs w:val="24"/>
          <w:lang w:val="en-GB"/>
        </w:rPr>
      </w:pPr>
      <w:r w:rsidRPr="000876F9">
        <w:rPr>
          <w:rFonts w:asciiTheme="majorHAnsi" w:hAnsiTheme="majorHAnsi" w:cstheme="majorHAnsi"/>
        </w:rPr>
        <w:fldChar w:fldCharType="end"/>
      </w:r>
      <w:r w:rsidR="0057280E" w:rsidRPr="000876F9">
        <w:rPr>
          <w:rFonts w:asciiTheme="majorHAnsi" w:eastAsia="MS PGothic" w:hAnsiTheme="majorHAnsi" w:cstheme="majorHAnsi"/>
          <w:sz w:val="24"/>
          <w:szCs w:val="24"/>
        </w:rPr>
        <w:fldChar w:fldCharType="begin"/>
      </w:r>
      <w:r w:rsidR="0057280E" w:rsidRPr="000876F9">
        <w:rPr>
          <w:rFonts w:asciiTheme="majorHAnsi" w:eastAsia="MS PGothic" w:hAnsiTheme="majorHAnsi" w:cstheme="majorHAnsi"/>
          <w:sz w:val="24"/>
          <w:szCs w:val="24"/>
        </w:rPr>
        <w:instrText xml:space="preserve"> ADDIN EN.REFLIST </w:instrText>
      </w:r>
      <w:r w:rsidR="0057280E" w:rsidRPr="000876F9">
        <w:rPr>
          <w:rFonts w:asciiTheme="majorHAnsi" w:eastAsia="MS PGothic" w:hAnsiTheme="majorHAnsi" w:cstheme="majorHAnsi"/>
          <w:sz w:val="24"/>
          <w:szCs w:val="24"/>
        </w:rPr>
        <w:fldChar w:fldCharType="separate"/>
      </w:r>
      <w:r w:rsidRPr="000876F9">
        <w:rPr>
          <w:rFonts w:asciiTheme="majorHAnsi" w:hAnsiTheme="majorHAnsi" w:cstheme="majorHAnsi"/>
          <w:sz w:val="24"/>
          <w:szCs w:val="24"/>
        </w:rPr>
        <w:t>2</w:t>
      </w:r>
      <w:r w:rsidR="00343EB8" w:rsidRPr="000876F9">
        <w:rPr>
          <w:rFonts w:asciiTheme="majorHAnsi" w:hAnsiTheme="majorHAnsi" w:cstheme="majorHAnsi"/>
          <w:sz w:val="24"/>
          <w:szCs w:val="24"/>
        </w:rPr>
        <w:t>.</w:t>
      </w:r>
      <w:r w:rsidR="00343EB8" w:rsidRPr="000876F9">
        <w:rPr>
          <w:rFonts w:asciiTheme="majorHAnsi" w:hAnsiTheme="majorHAnsi" w:cstheme="majorHAnsi" w:hint="eastAsia"/>
          <w:sz w:val="24"/>
          <w:szCs w:val="24"/>
        </w:rPr>
        <w:t xml:space="preserve">    </w:t>
      </w:r>
      <w:r w:rsidR="00A972F8" w:rsidRPr="000876F9">
        <w:rPr>
          <w:rFonts w:asciiTheme="majorHAnsi" w:hAnsiTheme="majorHAnsi" w:cstheme="majorHAnsi"/>
          <w:sz w:val="24"/>
          <w:szCs w:val="24"/>
        </w:rPr>
        <w:t xml:space="preserve">Prince MJ, Wu F, Guo Y, et al. The burden of disease in older people </w:t>
      </w:r>
    </w:p>
    <w:p w14:paraId="23898A1D" w14:textId="0A051BE1" w:rsidR="00A972F8" w:rsidRPr="000876F9" w:rsidRDefault="00A972F8" w:rsidP="00AA24C6">
      <w:pPr>
        <w:pStyle w:val="EndNoteBibliography"/>
        <w:ind w:leftChars="337" w:left="708"/>
        <w:rPr>
          <w:rFonts w:asciiTheme="majorHAnsi" w:hAnsiTheme="majorHAnsi" w:cstheme="majorHAnsi"/>
          <w:sz w:val="24"/>
          <w:szCs w:val="24"/>
        </w:rPr>
      </w:pPr>
      <w:r w:rsidRPr="000876F9">
        <w:rPr>
          <w:rFonts w:asciiTheme="majorHAnsi" w:hAnsiTheme="majorHAnsi" w:cstheme="majorHAnsi"/>
          <w:sz w:val="24"/>
          <w:szCs w:val="24"/>
        </w:rPr>
        <w:t>and implications for hea</w:t>
      </w:r>
      <w:r w:rsidR="00AA24C6" w:rsidRPr="000876F9">
        <w:rPr>
          <w:rFonts w:asciiTheme="majorHAnsi" w:hAnsiTheme="majorHAnsi" w:cstheme="majorHAnsi"/>
          <w:sz w:val="24"/>
          <w:szCs w:val="24"/>
        </w:rPr>
        <w:t xml:space="preserve">lth policy and practice. Lancet     </w:t>
      </w:r>
      <w:r w:rsidRPr="000876F9">
        <w:rPr>
          <w:rFonts w:asciiTheme="majorHAnsi" w:hAnsiTheme="majorHAnsi" w:cstheme="majorHAnsi"/>
          <w:sz w:val="24"/>
          <w:szCs w:val="24"/>
        </w:rPr>
        <w:t>2015;385</w:t>
      </w:r>
      <w:r w:rsidR="00AA24C6" w:rsidRPr="000876F9">
        <w:rPr>
          <w:rFonts w:asciiTheme="majorHAnsi" w:hAnsiTheme="majorHAnsi" w:cstheme="majorHAnsi"/>
          <w:sz w:val="24"/>
          <w:szCs w:val="24"/>
        </w:rPr>
        <w:t xml:space="preserve">(9957) </w:t>
      </w:r>
      <w:r w:rsidRPr="000876F9">
        <w:rPr>
          <w:rFonts w:asciiTheme="majorHAnsi" w:hAnsiTheme="majorHAnsi" w:cstheme="majorHAnsi"/>
          <w:sz w:val="24"/>
          <w:szCs w:val="24"/>
        </w:rPr>
        <w:t>:549-62.</w:t>
      </w:r>
    </w:p>
    <w:p w14:paraId="4537F5A6" w14:textId="37FE2066" w:rsidR="00A972F8" w:rsidRPr="000876F9" w:rsidRDefault="0042203B" w:rsidP="00B26F1C">
      <w:pPr>
        <w:pStyle w:val="EndNoteBibliography"/>
        <w:ind w:left="708" w:hanging="708"/>
        <w:rPr>
          <w:rFonts w:asciiTheme="majorHAnsi" w:hAnsiTheme="majorHAnsi" w:cstheme="majorHAnsi"/>
          <w:sz w:val="24"/>
          <w:szCs w:val="24"/>
        </w:rPr>
      </w:pPr>
      <w:r w:rsidRPr="000876F9">
        <w:rPr>
          <w:rFonts w:asciiTheme="majorHAnsi" w:hAnsiTheme="majorHAnsi" w:cstheme="majorHAnsi"/>
          <w:sz w:val="24"/>
          <w:szCs w:val="24"/>
        </w:rPr>
        <w:t>3</w:t>
      </w:r>
      <w:r w:rsidR="00A972F8" w:rsidRPr="000876F9">
        <w:rPr>
          <w:rFonts w:asciiTheme="majorHAnsi" w:hAnsiTheme="majorHAnsi" w:cstheme="majorHAnsi"/>
          <w:sz w:val="24"/>
          <w:szCs w:val="24"/>
        </w:rPr>
        <w:t>.</w:t>
      </w:r>
      <w:r w:rsidR="00A972F8" w:rsidRPr="000876F9">
        <w:rPr>
          <w:rFonts w:asciiTheme="majorHAnsi" w:hAnsiTheme="majorHAnsi" w:cstheme="majorHAnsi"/>
          <w:sz w:val="24"/>
          <w:szCs w:val="24"/>
        </w:rPr>
        <w:tab/>
        <w:t>Picavet HS, Hoeymans N. Health related quality of life in multiple musculoskeletal diseases: SF-36 and EQ-5D in the DMC3 study. Annals of the rheumatic diseases 2004;63</w:t>
      </w:r>
      <w:r w:rsidR="003D72A4" w:rsidRPr="000876F9">
        <w:rPr>
          <w:rFonts w:asciiTheme="majorHAnsi" w:hAnsiTheme="majorHAnsi" w:cstheme="majorHAnsi"/>
          <w:sz w:val="24"/>
          <w:szCs w:val="24"/>
        </w:rPr>
        <w:t xml:space="preserve">(6) </w:t>
      </w:r>
      <w:r w:rsidR="00A972F8" w:rsidRPr="000876F9">
        <w:rPr>
          <w:rFonts w:asciiTheme="majorHAnsi" w:hAnsiTheme="majorHAnsi" w:cstheme="majorHAnsi"/>
          <w:sz w:val="24"/>
          <w:szCs w:val="24"/>
        </w:rPr>
        <w:t>:723-9.</w:t>
      </w:r>
    </w:p>
    <w:p w14:paraId="3CDE39CB" w14:textId="2F5CB80D" w:rsidR="0042203B" w:rsidRPr="000876F9" w:rsidRDefault="0042203B" w:rsidP="009C576D">
      <w:pPr>
        <w:pStyle w:val="EndNoteBibliography"/>
        <w:ind w:leftChars="-2" w:left="704" w:hangingChars="295" w:hanging="708"/>
        <w:rPr>
          <w:rFonts w:asciiTheme="majorHAnsi" w:hAnsiTheme="majorHAnsi" w:cstheme="majorHAnsi"/>
          <w:sz w:val="24"/>
          <w:szCs w:val="24"/>
        </w:rPr>
      </w:pPr>
      <w:r w:rsidRPr="000876F9">
        <w:rPr>
          <w:rFonts w:asciiTheme="majorHAnsi" w:hAnsiTheme="majorHAnsi" w:cstheme="majorHAnsi"/>
          <w:sz w:val="24"/>
          <w:szCs w:val="24"/>
        </w:rPr>
        <w:t>4</w:t>
      </w:r>
      <w:r w:rsidR="00A972F8" w:rsidRPr="000876F9">
        <w:rPr>
          <w:rFonts w:asciiTheme="majorHAnsi" w:hAnsiTheme="majorHAnsi" w:cstheme="majorHAnsi"/>
          <w:sz w:val="24"/>
          <w:szCs w:val="24"/>
        </w:rPr>
        <w:t>.</w:t>
      </w:r>
      <w:r w:rsidR="00A972F8" w:rsidRPr="000876F9">
        <w:rPr>
          <w:rFonts w:asciiTheme="majorHAnsi" w:hAnsiTheme="majorHAnsi" w:cstheme="majorHAnsi"/>
          <w:sz w:val="24"/>
          <w:szCs w:val="24"/>
        </w:rPr>
        <w:tab/>
        <w:t>Nakamura K. The concept and treatment of locomotive syndrome: its acceptance and spread in Japan. Journal of orthopaedic science : official journal of the Japanese Orthopaedic Association 2011;16</w:t>
      </w:r>
      <w:r w:rsidR="003D72A4" w:rsidRPr="000876F9">
        <w:rPr>
          <w:rFonts w:asciiTheme="majorHAnsi" w:hAnsiTheme="majorHAnsi" w:cstheme="majorHAnsi"/>
          <w:sz w:val="24"/>
          <w:szCs w:val="24"/>
        </w:rPr>
        <w:t xml:space="preserve"> (5)</w:t>
      </w:r>
      <w:r w:rsidR="00A972F8" w:rsidRPr="000876F9">
        <w:rPr>
          <w:rFonts w:asciiTheme="majorHAnsi" w:hAnsiTheme="majorHAnsi" w:cstheme="majorHAnsi"/>
          <w:sz w:val="24"/>
          <w:szCs w:val="24"/>
        </w:rPr>
        <w:t>:489-91.</w:t>
      </w:r>
    </w:p>
    <w:p w14:paraId="345BF3D8" w14:textId="49DF6472" w:rsidR="0042203B" w:rsidRPr="000876F9" w:rsidRDefault="008B3A72" w:rsidP="00B26F1C">
      <w:pPr>
        <w:pStyle w:val="EndNoteBibliography"/>
        <w:ind w:left="708" w:hanging="708"/>
        <w:rPr>
          <w:rFonts w:ascii="Arial" w:eastAsia="Times New Roman" w:hAnsi="Arial" w:cs="Arial"/>
          <w:kern w:val="0"/>
          <w:sz w:val="24"/>
        </w:rPr>
      </w:pPr>
      <w:r w:rsidRPr="000876F9">
        <w:rPr>
          <w:rFonts w:ascii="Arial" w:eastAsia="Times New Roman" w:hAnsi="Arial" w:cs="Arial"/>
          <w:kern w:val="0"/>
          <w:sz w:val="24"/>
        </w:rPr>
        <w:t xml:space="preserve">5. </w:t>
      </w:r>
      <w:r w:rsidRPr="000876F9">
        <w:rPr>
          <w:rFonts w:ascii="Arial" w:eastAsia="Times New Roman" w:hAnsi="Arial" w:cs="Arial"/>
          <w:kern w:val="0"/>
          <w:sz w:val="24"/>
        </w:rPr>
        <w:tab/>
        <w:t xml:space="preserve">Yoshimura N, Oka H, Muraki S, et al. Reference values for hand grip strength, muscle mass, walking time, and one-leg standing time as indices for locomotive syndrome and associated disability: The second survey of the ROAD study. </w:t>
      </w:r>
      <w:r w:rsidRPr="000876F9">
        <w:rPr>
          <w:rFonts w:ascii="Arial" w:eastAsia="Times New Roman" w:hAnsi="Arial" w:cs="Arial"/>
          <w:iCs/>
          <w:kern w:val="0"/>
          <w:sz w:val="24"/>
        </w:rPr>
        <w:t>J Orthop Sc</w:t>
      </w:r>
      <w:r w:rsidR="003D72A4" w:rsidRPr="000876F9">
        <w:rPr>
          <w:rFonts w:ascii="Arial" w:eastAsia="Times New Roman" w:hAnsi="Arial" w:cs="Arial"/>
          <w:iCs/>
          <w:kern w:val="0"/>
          <w:sz w:val="24"/>
        </w:rPr>
        <w:t xml:space="preserve"> 2011</w:t>
      </w:r>
      <w:r w:rsidR="003D72A4" w:rsidRPr="000876F9">
        <w:rPr>
          <w:rFonts w:ascii="Arial" w:eastAsia="Times New Roman" w:hAnsi="Arial" w:cs="Arial"/>
          <w:kern w:val="0"/>
          <w:sz w:val="24"/>
        </w:rPr>
        <w:t>;36(16) :1312-9</w:t>
      </w:r>
      <w:r w:rsidRPr="000876F9">
        <w:rPr>
          <w:rFonts w:ascii="Arial" w:eastAsia="Times New Roman" w:hAnsi="Arial" w:cs="Arial"/>
          <w:kern w:val="0"/>
          <w:sz w:val="24"/>
        </w:rPr>
        <w:t>.</w:t>
      </w:r>
    </w:p>
    <w:p w14:paraId="524B39E0" w14:textId="52CDCFC0" w:rsidR="008B3A72" w:rsidRPr="000876F9" w:rsidRDefault="008B3A72" w:rsidP="00B26F1C">
      <w:pPr>
        <w:autoSpaceDE w:val="0"/>
        <w:autoSpaceDN w:val="0"/>
        <w:adjustRightInd w:val="0"/>
        <w:ind w:left="640" w:hanging="640"/>
        <w:jc w:val="left"/>
        <w:rPr>
          <w:rFonts w:ascii="Arial" w:hAnsi="Arial" w:cs="Arial"/>
          <w:noProof/>
          <w:sz w:val="24"/>
        </w:rPr>
      </w:pPr>
      <w:r w:rsidRPr="000876F9">
        <w:rPr>
          <w:rFonts w:ascii="Arial" w:eastAsia="Times New Roman" w:hAnsi="Arial" w:cs="Arial"/>
          <w:noProof/>
          <w:kern w:val="0"/>
          <w:sz w:val="24"/>
        </w:rPr>
        <w:t xml:space="preserve">6. </w:t>
      </w:r>
      <w:r w:rsidRPr="000876F9">
        <w:rPr>
          <w:rFonts w:ascii="Arial" w:eastAsia="Times New Roman" w:hAnsi="Arial" w:cs="Arial"/>
          <w:noProof/>
          <w:kern w:val="0"/>
          <w:sz w:val="24"/>
        </w:rPr>
        <w:tab/>
        <w:t xml:space="preserve">Muraki S, Akune T, Oka H, et al. Health-related quality of life with vertebral fracture, lumbar spondylosis and knee osteoarthritis in Japanese men: the ROAD study. </w:t>
      </w:r>
      <w:r w:rsidR="003D72A4" w:rsidRPr="000876F9">
        <w:rPr>
          <w:rFonts w:ascii="Arial" w:eastAsia="Times New Roman" w:hAnsi="Arial" w:cs="Arial"/>
          <w:iCs/>
          <w:noProof/>
          <w:kern w:val="0"/>
          <w:sz w:val="24"/>
        </w:rPr>
        <w:t>Spine</w:t>
      </w:r>
      <w:r w:rsidR="003D72A4" w:rsidRPr="000876F9">
        <w:rPr>
          <w:rFonts w:ascii="Arial" w:eastAsia="Times New Roman" w:hAnsi="Arial" w:cs="Arial"/>
          <w:noProof/>
          <w:kern w:val="0"/>
          <w:sz w:val="24"/>
        </w:rPr>
        <w:t xml:space="preserve"> 2011</w:t>
      </w:r>
      <w:r w:rsidRPr="000876F9">
        <w:rPr>
          <w:rFonts w:ascii="Arial" w:eastAsia="Times New Roman" w:hAnsi="Arial" w:cs="Arial"/>
          <w:noProof/>
          <w:kern w:val="0"/>
          <w:sz w:val="24"/>
        </w:rPr>
        <w:t>;5:91–9.</w:t>
      </w:r>
    </w:p>
    <w:p w14:paraId="7420BA56" w14:textId="6BDFE51A" w:rsidR="00A972F8" w:rsidRPr="000876F9" w:rsidRDefault="008B3A72" w:rsidP="00B26F1C">
      <w:pPr>
        <w:pStyle w:val="EndNoteBibliography"/>
        <w:ind w:leftChars="-2" w:left="704" w:hanging="708"/>
        <w:rPr>
          <w:rFonts w:asciiTheme="majorHAnsi" w:hAnsiTheme="majorHAnsi" w:cstheme="majorHAnsi"/>
          <w:sz w:val="24"/>
          <w:szCs w:val="24"/>
        </w:rPr>
      </w:pPr>
      <w:r w:rsidRPr="000876F9">
        <w:rPr>
          <w:rFonts w:asciiTheme="majorHAnsi" w:hAnsiTheme="majorHAnsi" w:cstheme="majorHAnsi"/>
          <w:sz w:val="24"/>
          <w:szCs w:val="24"/>
        </w:rPr>
        <w:t>7</w:t>
      </w:r>
      <w:r w:rsidR="00A972F8" w:rsidRPr="000876F9">
        <w:rPr>
          <w:rFonts w:asciiTheme="majorHAnsi" w:hAnsiTheme="majorHAnsi" w:cstheme="majorHAnsi"/>
          <w:sz w:val="24"/>
          <w:szCs w:val="24"/>
        </w:rPr>
        <w:t>.</w:t>
      </w:r>
      <w:r w:rsidR="00A972F8" w:rsidRPr="000876F9">
        <w:rPr>
          <w:rFonts w:asciiTheme="majorHAnsi" w:hAnsiTheme="majorHAnsi" w:cstheme="majorHAnsi"/>
          <w:sz w:val="24"/>
          <w:szCs w:val="24"/>
        </w:rPr>
        <w:tab/>
        <w:t>Fairbank JC, Couper J, Davies JB</w:t>
      </w:r>
      <w:r w:rsidR="00944E54" w:rsidRPr="000876F9">
        <w:rPr>
          <w:rFonts w:asciiTheme="majorHAnsi" w:hAnsiTheme="majorHAnsi" w:cstheme="majorHAnsi"/>
          <w:sz w:val="24"/>
          <w:szCs w:val="24"/>
        </w:rPr>
        <w:t xml:space="preserve"> el al</w:t>
      </w:r>
      <w:r w:rsidR="00A972F8" w:rsidRPr="000876F9">
        <w:rPr>
          <w:rFonts w:asciiTheme="majorHAnsi" w:hAnsiTheme="majorHAnsi" w:cstheme="majorHAnsi"/>
          <w:sz w:val="24"/>
          <w:szCs w:val="24"/>
        </w:rPr>
        <w:t>. The Oswestry low back pain disability questionnaire. Physiotherapy 1980;66</w:t>
      </w:r>
      <w:r w:rsidR="003D72A4" w:rsidRPr="000876F9">
        <w:rPr>
          <w:rFonts w:asciiTheme="majorHAnsi" w:hAnsiTheme="majorHAnsi" w:cstheme="majorHAnsi"/>
          <w:sz w:val="24"/>
          <w:szCs w:val="24"/>
        </w:rPr>
        <w:t xml:space="preserve">(8) </w:t>
      </w:r>
      <w:r w:rsidR="00A972F8" w:rsidRPr="000876F9">
        <w:rPr>
          <w:rFonts w:asciiTheme="majorHAnsi" w:hAnsiTheme="majorHAnsi" w:cstheme="majorHAnsi"/>
          <w:sz w:val="24"/>
          <w:szCs w:val="24"/>
        </w:rPr>
        <w:t>:271-3.</w:t>
      </w:r>
    </w:p>
    <w:p w14:paraId="677DB0B2" w14:textId="0F4E38D2" w:rsidR="00A972F8" w:rsidRPr="000876F9" w:rsidRDefault="008B3A72" w:rsidP="00B26F1C">
      <w:pPr>
        <w:pStyle w:val="EndNoteBibliography"/>
        <w:ind w:left="708" w:hanging="708"/>
        <w:rPr>
          <w:rFonts w:asciiTheme="majorHAnsi" w:hAnsiTheme="majorHAnsi" w:cstheme="majorHAnsi"/>
          <w:sz w:val="24"/>
          <w:szCs w:val="24"/>
        </w:rPr>
      </w:pPr>
      <w:r w:rsidRPr="000876F9">
        <w:rPr>
          <w:rFonts w:asciiTheme="majorHAnsi" w:hAnsiTheme="majorHAnsi" w:cstheme="majorHAnsi"/>
          <w:sz w:val="24"/>
          <w:szCs w:val="24"/>
        </w:rPr>
        <w:t>8</w:t>
      </w:r>
      <w:r w:rsidR="00A972F8" w:rsidRPr="000876F9">
        <w:rPr>
          <w:rFonts w:asciiTheme="majorHAnsi" w:hAnsiTheme="majorHAnsi" w:cstheme="majorHAnsi"/>
          <w:sz w:val="24"/>
          <w:szCs w:val="24"/>
        </w:rPr>
        <w:t>.</w:t>
      </w:r>
      <w:r w:rsidR="00A972F8" w:rsidRPr="000876F9">
        <w:rPr>
          <w:rFonts w:asciiTheme="majorHAnsi" w:hAnsiTheme="majorHAnsi" w:cstheme="majorHAnsi"/>
          <w:sz w:val="24"/>
          <w:szCs w:val="24"/>
        </w:rPr>
        <w:tab/>
        <w:t>Fairbank JC, Pynsent PB. The Oswestry Disability Index. Spine 2000;25</w:t>
      </w:r>
      <w:r w:rsidR="003D72A4" w:rsidRPr="000876F9">
        <w:rPr>
          <w:rFonts w:asciiTheme="majorHAnsi" w:hAnsiTheme="majorHAnsi" w:cstheme="majorHAnsi"/>
          <w:sz w:val="24"/>
          <w:szCs w:val="24"/>
        </w:rPr>
        <w:t xml:space="preserve">(20) </w:t>
      </w:r>
      <w:r w:rsidR="00A972F8" w:rsidRPr="000876F9">
        <w:rPr>
          <w:rFonts w:asciiTheme="majorHAnsi" w:hAnsiTheme="majorHAnsi" w:cstheme="majorHAnsi"/>
          <w:sz w:val="24"/>
          <w:szCs w:val="24"/>
        </w:rPr>
        <w:t>:2940-52.</w:t>
      </w:r>
    </w:p>
    <w:p w14:paraId="325D621A" w14:textId="75781605" w:rsidR="00290767" w:rsidRPr="000876F9" w:rsidRDefault="0057280E" w:rsidP="00B26F1C">
      <w:pPr>
        <w:autoSpaceDE w:val="0"/>
        <w:autoSpaceDN w:val="0"/>
        <w:adjustRightInd w:val="0"/>
        <w:ind w:left="640" w:hanging="640"/>
        <w:jc w:val="left"/>
        <w:rPr>
          <w:rFonts w:ascii="Arial" w:hAnsi="Arial" w:cs="Arial"/>
          <w:noProof/>
          <w:sz w:val="24"/>
        </w:rPr>
      </w:pPr>
      <w:r w:rsidRPr="000876F9">
        <w:rPr>
          <w:rFonts w:asciiTheme="majorHAnsi" w:eastAsia="MS PGothic" w:hAnsiTheme="majorHAnsi" w:cstheme="majorHAnsi"/>
          <w:sz w:val="24"/>
          <w:szCs w:val="24"/>
        </w:rPr>
        <w:fldChar w:fldCharType="end"/>
      </w:r>
      <w:r w:rsidR="008B3A72" w:rsidRPr="000876F9">
        <w:rPr>
          <w:rFonts w:ascii="Arial" w:eastAsia="Times New Roman" w:hAnsi="Arial" w:cs="Arial"/>
          <w:noProof/>
          <w:kern w:val="0"/>
          <w:sz w:val="24"/>
        </w:rPr>
        <w:t xml:space="preserve">9. </w:t>
      </w:r>
      <w:r w:rsidR="008B3A72" w:rsidRPr="000876F9">
        <w:rPr>
          <w:rFonts w:ascii="Arial" w:eastAsia="Times New Roman" w:hAnsi="Arial" w:cs="Arial"/>
          <w:noProof/>
          <w:kern w:val="0"/>
          <w:sz w:val="24"/>
        </w:rPr>
        <w:tab/>
        <w:t xml:space="preserve">Tonosu J, Takeshita K, Hara N, et al. The normative score and the cut-off value of the Oswestry Disability Index (ODI). </w:t>
      </w:r>
      <w:r w:rsidR="008B3A72" w:rsidRPr="000876F9">
        <w:rPr>
          <w:rFonts w:ascii="Arial" w:eastAsia="Times New Roman" w:hAnsi="Arial" w:cs="Arial"/>
          <w:iCs/>
          <w:noProof/>
          <w:kern w:val="0"/>
          <w:sz w:val="24"/>
        </w:rPr>
        <w:t>Eur Spine J</w:t>
      </w:r>
      <w:r w:rsidR="008B3A72" w:rsidRPr="000876F9">
        <w:rPr>
          <w:rFonts w:ascii="Arial" w:eastAsia="Times New Roman" w:hAnsi="Arial" w:cs="Arial"/>
          <w:noProof/>
          <w:kern w:val="0"/>
          <w:sz w:val="24"/>
        </w:rPr>
        <w:t xml:space="preserve"> 2012;21</w:t>
      </w:r>
      <w:r w:rsidR="002203B4" w:rsidRPr="000876F9">
        <w:rPr>
          <w:rFonts w:ascii="Arial" w:eastAsia="Times New Roman" w:hAnsi="Arial" w:cs="Arial"/>
          <w:noProof/>
          <w:kern w:val="0"/>
          <w:sz w:val="24"/>
        </w:rPr>
        <w:t xml:space="preserve">(8) </w:t>
      </w:r>
      <w:r w:rsidR="008B3A72" w:rsidRPr="000876F9">
        <w:rPr>
          <w:rFonts w:ascii="Arial" w:eastAsia="Times New Roman" w:hAnsi="Arial" w:cs="Arial"/>
          <w:noProof/>
          <w:kern w:val="0"/>
          <w:sz w:val="24"/>
        </w:rPr>
        <w:t>:1596–602.</w:t>
      </w:r>
      <w:r w:rsidR="00290767" w:rsidRPr="000876F9">
        <w:rPr>
          <w:rFonts w:asciiTheme="majorHAnsi" w:hAnsiTheme="majorHAnsi" w:cstheme="majorHAnsi"/>
        </w:rPr>
        <w:fldChar w:fldCharType="begin" w:fldLock="1"/>
      </w:r>
      <w:r w:rsidR="00290767" w:rsidRPr="000876F9">
        <w:rPr>
          <w:rFonts w:asciiTheme="majorHAnsi" w:hAnsiTheme="majorHAnsi" w:cstheme="majorHAnsi"/>
        </w:rPr>
        <w:instrText xml:space="preserve">ADDIN Mendeley Bibliography CSL_BIBLIOGRAPHY </w:instrText>
      </w:r>
      <w:r w:rsidR="00290767" w:rsidRPr="000876F9">
        <w:rPr>
          <w:rFonts w:asciiTheme="majorHAnsi" w:hAnsiTheme="majorHAnsi" w:cstheme="majorHAnsi"/>
        </w:rPr>
        <w:fldChar w:fldCharType="separate"/>
      </w:r>
    </w:p>
    <w:p w14:paraId="43894A13" w14:textId="70AEA271" w:rsidR="00290767" w:rsidRPr="000876F9" w:rsidRDefault="00290767" w:rsidP="00B26F1C">
      <w:pPr>
        <w:autoSpaceDE w:val="0"/>
        <w:autoSpaceDN w:val="0"/>
        <w:adjustRightInd w:val="0"/>
        <w:ind w:left="640" w:hanging="640"/>
        <w:jc w:val="left"/>
        <w:rPr>
          <w:rFonts w:ascii="Arial" w:hAnsi="Arial" w:cs="Arial"/>
          <w:noProof/>
          <w:sz w:val="24"/>
        </w:rPr>
      </w:pPr>
      <w:r w:rsidRPr="000876F9">
        <w:rPr>
          <w:rFonts w:ascii="Arial" w:eastAsia="Times New Roman" w:hAnsi="Arial" w:cs="Arial"/>
          <w:noProof/>
          <w:kern w:val="0"/>
          <w:sz w:val="24"/>
        </w:rPr>
        <w:t xml:space="preserve">10. </w:t>
      </w:r>
      <w:r w:rsidRPr="000876F9">
        <w:rPr>
          <w:rFonts w:ascii="Arial" w:eastAsia="Times New Roman" w:hAnsi="Arial" w:cs="Arial"/>
          <w:noProof/>
          <w:kern w:val="0"/>
          <w:sz w:val="24"/>
        </w:rPr>
        <w:tab/>
        <w:t xml:space="preserve">Muraki S, Oka H, Akune T, et al. Prevalence of radiographic lumbar spondylosis and its association with low back pain in elderly subjects of population-based cohorts: the ROAD study. </w:t>
      </w:r>
      <w:r w:rsidRPr="000876F9">
        <w:rPr>
          <w:rFonts w:ascii="Arial" w:eastAsia="Times New Roman" w:hAnsi="Arial" w:cs="Arial"/>
          <w:iCs/>
          <w:noProof/>
          <w:kern w:val="0"/>
          <w:sz w:val="24"/>
        </w:rPr>
        <w:t>Ann Rheum Dis</w:t>
      </w:r>
      <w:r w:rsidRPr="000876F9">
        <w:rPr>
          <w:rFonts w:ascii="Arial" w:eastAsia="Times New Roman" w:hAnsi="Arial" w:cs="Arial"/>
          <w:noProof/>
          <w:kern w:val="0"/>
          <w:sz w:val="24"/>
        </w:rPr>
        <w:t xml:space="preserve"> 2009;68</w:t>
      </w:r>
      <w:r w:rsidR="000F3297" w:rsidRPr="000876F9">
        <w:rPr>
          <w:rFonts w:ascii="Arial" w:eastAsia="Times New Roman" w:hAnsi="Arial" w:cs="Arial"/>
          <w:noProof/>
          <w:kern w:val="0"/>
          <w:sz w:val="24"/>
        </w:rPr>
        <w:t xml:space="preserve">(9) </w:t>
      </w:r>
      <w:r w:rsidRPr="000876F9">
        <w:rPr>
          <w:rFonts w:ascii="Arial" w:eastAsia="Times New Roman" w:hAnsi="Arial" w:cs="Arial"/>
          <w:noProof/>
          <w:kern w:val="0"/>
          <w:sz w:val="24"/>
        </w:rPr>
        <w:t>:1401–6.</w:t>
      </w:r>
    </w:p>
    <w:p w14:paraId="22B62D6C" w14:textId="68D405BD" w:rsidR="00290767" w:rsidRPr="000876F9" w:rsidRDefault="00290767" w:rsidP="00B26F1C">
      <w:pPr>
        <w:autoSpaceDE w:val="0"/>
        <w:autoSpaceDN w:val="0"/>
        <w:adjustRightInd w:val="0"/>
        <w:ind w:left="640" w:hanging="640"/>
        <w:jc w:val="left"/>
        <w:rPr>
          <w:rFonts w:ascii="Arial" w:hAnsi="Arial" w:cs="Arial"/>
          <w:noProof/>
          <w:sz w:val="24"/>
        </w:rPr>
      </w:pPr>
      <w:r w:rsidRPr="000876F9">
        <w:rPr>
          <w:rFonts w:asciiTheme="majorHAnsi" w:hAnsiTheme="majorHAnsi" w:cstheme="majorHAnsi"/>
        </w:rPr>
        <w:fldChar w:fldCharType="end"/>
      </w:r>
      <w:r w:rsidRPr="000876F9">
        <w:rPr>
          <w:rFonts w:ascii="Arial" w:eastAsia="Times New Roman" w:hAnsi="Arial" w:cs="Arial"/>
          <w:noProof/>
          <w:kern w:val="0"/>
          <w:sz w:val="24"/>
        </w:rPr>
        <w:t xml:space="preserve">11. </w:t>
      </w:r>
      <w:r w:rsidRPr="000876F9">
        <w:rPr>
          <w:rFonts w:ascii="Arial" w:eastAsia="Times New Roman" w:hAnsi="Arial" w:cs="Arial"/>
          <w:noProof/>
          <w:kern w:val="0"/>
          <w:sz w:val="24"/>
        </w:rPr>
        <w:tab/>
        <w:t xml:space="preserve">Schwab F, Patel A, Ungar B, et al. Adult spinal deformity-postoperative standing imbalance: how much can you tolerate? An overview of key parameters in assessing alignment and planning corrective surgery. </w:t>
      </w:r>
      <w:r w:rsidRPr="000876F9">
        <w:rPr>
          <w:rFonts w:ascii="Arial" w:eastAsia="Times New Roman" w:hAnsi="Arial" w:cs="Arial"/>
          <w:iCs/>
          <w:noProof/>
          <w:kern w:val="0"/>
          <w:sz w:val="24"/>
        </w:rPr>
        <w:t>Spine</w:t>
      </w:r>
      <w:r w:rsidRPr="000876F9">
        <w:rPr>
          <w:rFonts w:ascii="Arial" w:eastAsia="Times New Roman" w:hAnsi="Arial" w:cs="Arial"/>
          <w:noProof/>
          <w:kern w:val="0"/>
          <w:sz w:val="24"/>
        </w:rPr>
        <w:t xml:space="preserve"> 2010;35</w:t>
      </w:r>
      <w:r w:rsidR="000F3297" w:rsidRPr="000876F9">
        <w:rPr>
          <w:rFonts w:ascii="Arial" w:eastAsia="Times New Roman" w:hAnsi="Arial" w:cs="Arial"/>
          <w:noProof/>
          <w:kern w:val="0"/>
          <w:sz w:val="24"/>
        </w:rPr>
        <w:t xml:space="preserve">(25) </w:t>
      </w:r>
      <w:r w:rsidRPr="000876F9">
        <w:rPr>
          <w:rFonts w:ascii="Arial" w:eastAsia="Times New Roman" w:hAnsi="Arial" w:cs="Arial"/>
          <w:noProof/>
          <w:kern w:val="0"/>
          <w:sz w:val="24"/>
        </w:rPr>
        <w:t>:2224–31.</w:t>
      </w:r>
    </w:p>
    <w:p w14:paraId="0D9B03E8" w14:textId="77777777" w:rsidR="00302696" w:rsidRPr="000876F9" w:rsidRDefault="00302696" w:rsidP="00B26F1C">
      <w:pPr>
        <w:adjustRightInd w:val="0"/>
        <w:snapToGrid w:val="0"/>
        <w:ind w:leftChars="-4" w:left="-8" w:firstLine="1"/>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12.  Kellgren JH, Lawrence JS, eds. The epidemiology of chronic rheumatism:   </w:t>
      </w:r>
    </w:p>
    <w:p w14:paraId="6B11F475" w14:textId="0EF18FA9" w:rsidR="00302696" w:rsidRPr="000876F9" w:rsidRDefault="00302696" w:rsidP="00B26F1C">
      <w:pPr>
        <w:adjustRightInd w:val="0"/>
        <w:snapToGrid w:val="0"/>
        <w:ind w:leftChars="-4" w:left="-8" w:firstLine="1"/>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 </w:t>
      </w:r>
    </w:p>
    <w:p w14:paraId="510127D8" w14:textId="59DB0A89" w:rsidR="00495C0B" w:rsidRPr="000876F9" w:rsidRDefault="00302696" w:rsidP="00B26F1C">
      <w:pPr>
        <w:adjustRightInd w:val="0"/>
        <w:snapToGrid w:val="0"/>
        <w:ind w:leftChars="-4" w:left="-8" w:firstLine="1"/>
        <w:jc w:val="left"/>
        <w:rPr>
          <w:rFonts w:asciiTheme="majorHAnsi" w:eastAsia="MS PGothic" w:hAnsiTheme="majorHAnsi" w:cstheme="majorHAnsi"/>
          <w:sz w:val="24"/>
          <w:szCs w:val="24"/>
        </w:rPr>
      </w:pPr>
      <w:r w:rsidRPr="000876F9">
        <w:rPr>
          <w:rFonts w:asciiTheme="majorHAnsi" w:eastAsia="MS PGothic" w:hAnsiTheme="majorHAnsi" w:cstheme="majorHAnsi"/>
          <w:sz w:val="24"/>
          <w:szCs w:val="24"/>
        </w:rPr>
        <w:t xml:space="preserve">     atlas of standard radiographs of arthritis. Oxford Blackwell Scientific, 1963</w:t>
      </w:r>
    </w:p>
    <w:p w14:paraId="6420F898" w14:textId="77777777" w:rsidR="00302696" w:rsidRPr="000876F9" w:rsidRDefault="00302696" w:rsidP="00B26F1C">
      <w:pPr>
        <w:adjustRightInd w:val="0"/>
        <w:snapToGrid w:val="0"/>
        <w:ind w:leftChars="-4" w:left="-8" w:firstLine="1"/>
        <w:jc w:val="left"/>
        <w:rPr>
          <w:rFonts w:asciiTheme="majorHAnsi" w:eastAsia="MS PGothic" w:hAnsiTheme="majorHAnsi" w:cstheme="majorHAnsi"/>
          <w:sz w:val="24"/>
          <w:szCs w:val="24"/>
        </w:rPr>
      </w:pPr>
    </w:p>
    <w:p w14:paraId="168ADC66" w14:textId="751B06C9" w:rsidR="00302696" w:rsidRPr="000876F9" w:rsidRDefault="00302696" w:rsidP="00B26F1C">
      <w:pPr>
        <w:autoSpaceDE w:val="0"/>
        <w:autoSpaceDN w:val="0"/>
        <w:adjustRightInd w:val="0"/>
        <w:ind w:left="640" w:hanging="640"/>
        <w:jc w:val="left"/>
        <w:rPr>
          <w:rFonts w:ascii="Arial" w:eastAsia="Times New Roman" w:hAnsi="Arial" w:cs="Arial"/>
          <w:noProof/>
          <w:kern w:val="0"/>
          <w:sz w:val="24"/>
        </w:rPr>
      </w:pPr>
      <w:r w:rsidRPr="000876F9">
        <w:rPr>
          <w:rFonts w:ascii="Arial" w:eastAsia="Times New Roman" w:hAnsi="Arial" w:cs="Arial"/>
          <w:noProof/>
          <w:kern w:val="0"/>
          <w:sz w:val="24"/>
        </w:rPr>
        <w:t>13.</w:t>
      </w:r>
      <w:r w:rsidRPr="000876F9">
        <w:rPr>
          <w:rFonts w:ascii="Arial" w:eastAsia="Times New Roman" w:hAnsi="Arial" w:cs="Arial"/>
          <w:noProof/>
          <w:kern w:val="0"/>
          <w:sz w:val="24"/>
        </w:rPr>
        <w:tab/>
        <w:t xml:space="preserve">Konno S, Hayashino Y, Fukuhara S, et al. Development of a clinical diagnosis support tool to identify patients with lumbar spinal stenosis. </w:t>
      </w:r>
      <w:r w:rsidRPr="000876F9">
        <w:rPr>
          <w:rFonts w:ascii="Arial" w:eastAsia="Times New Roman" w:hAnsi="Arial" w:cs="Arial"/>
          <w:iCs/>
          <w:noProof/>
          <w:kern w:val="0"/>
          <w:sz w:val="24"/>
        </w:rPr>
        <w:t>Eur Spine J</w:t>
      </w:r>
      <w:r w:rsidRPr="000876F9">
        <w:rPr>
          <w:rFonts w:ascii="Arial" w:eastAsia="Times New Roman" w:hAnsi="Arial" w:cs="Arial"/>
          <w:noProof/>
          <w:kern w:val="0"/>
          <w:sz w:val="24"/>
        </w:rPr>
        <w:t xml:space="preserve"> 2007;16</w:t>
      </w:r>
      <w:r w:rsidR="00F3693B" w:rsidRPr="000876F9">
        <w:rPr>
          <w:rFonts w:ascii="Arial" w:eastAsia="Times New Roman" w:hAnsi="Arial" w:cs="Arial"/>
          <w:noProof/>
          <w:kern w:val="0"/>
          <w:sz w:val="24"/>
        </w:rPr>
        <w:t xml:space="preserve">(11) </w:t>
      </w:r>
      <w:r w:rsidRPr="000876F9">
        <w:rPr>
          <w:rFonts w:ascii="Arial" w:eastAsia="Times New Roman" w:hAnsi="Arial" w:cs="Arial"/>
          <w:noProof/>
          <w:kern w:val="0"/>
          <w:sz w:val="24"/>
        </w:rPr>
        <w:t>:1951–7.</w:t>
      </w:r>
    </w:p>
    <w:p w14:paraId="587A73C3" w14:textId="67C6BC71" w:rsidR="00906733" w:rsidRPr="000876F9" w:rsidRDefault="00906733" w:rsidP="00B26F1C">
      <w:pPr>
        <w:autoSpaceDE w:val="0"/>
        <w:autoSpaceDN w:val="0"/>
        <w:adjustRightInd w:val="0"/>
        <w:ind w:left="640" w:hanging="640"/>
        <w:jc w:val="left"/>
        <w:rPr>
          <w:rFonts w:ascii="Arial" w:hAnsi="Arial" w:cs="Arial"/>
          <w:noProof/>
          <w:sz w:val="24"/>
        </w:rPr>
      </w:pPr>
      <w:r w:rsidRPr="000876F9">
        <w:rPr>
          <w:rFonts w:ascii="Arial" w:eastAsia="Times New Roman" w:hAnsi="Arial" w:cs="Arial"/>
          <w:noProof/>
          <w:kern w:val="0"/>
          <w:sz w:val="24"/>
        </w:rPr>
        <w:t xml:space="preserve">14. </w:t>
      </w:r>
      <w:r w:rsidRPr="000876F9">
        <w:rPr>
          <w:rFonts w:ascii="Arial" w:eastAsia="Times New Roman" w:hAnsi="Arial" w:cs="Arial"/>
          <w:noProof/>
          <w:kern w:val="0"/>
          <w:sz w:val="24"/>
        </w:rPr>
        <w:tab/>
        <w:t>Vogt MT, Cawthon PM, Kang JD, et al. Prevalence of Symptoms of Cervical and Lumbar Stenosis Among Participants in the Osteoporotic Fractures in Men Study. 2006;31</w:t>
      </w:r>
      <w:r w:rsidR="00F3693B" w:rsidRPr="000876F9">
        <w:rPr>
          <w:rFonts w:ascii="Arial" w:eastAsia="Times New Roman" w:hAnsi="Arial" w:cs="Arial"/>
          <w:noProof/>
          <w:kern w:val="0"/>
          <w:sz w:val="24"/>
        </w:rPr>
        <w:t xml:space="preserve">(13) </w:t>
      </w:r>
      <w:r w:rsidRPr="000876F9">
        <w:rPr>
          <w:rFonts w:ascii="Arial" w:eastAsia="Times New Roman" w:hAnsi="Arial" w:cs="Arial"/>
          <w:noProof/>
          <w:kern w:val="0"/>
          <w:sz w:val="24"/>
        </w:rPr>
        <w:t>:1445–51.</w:t>
      </w:r>
    </w:p>
    <w:p w14:paraId="3AAB4753" w14:textId="5A9448D5" w:rsidR="00906733" w:rsidRPr="000876F9" w:rsidRDefault="00906733" w:rsidP="00B26F1C">
      <w:pPr>
        <w:autoSpaceDE w:val="0"/>
        <w:autoSpaceDN w:val="0"/>
        <w:adjustRightInd w:val="0"/>
        <w:ind w:left="640" w:hanging="640"/>
        <w:jc w:val="left"/>
        <w:rPr>
          <w:rFonts w:ascii="Arial" w:eastAsia="Times New Roman" w:hAnsi="Arial" w:cs="Arial"/>
          <w:noProof/>
          <w:kern w:val="0"/>
          <w:sz w:val="24"/>
        </w:rPr>
      </w:pPr>
      <w:r w:rsidRPr="000876F9">
        <w:rPr>
          <w:rFonts w:ascii="Arial" w:eastAsia="Times New Roman" w:hAnsi="Arial" w:cs="Arial"/>
          <w:noProof/>
          <w:kern w:val="0"/>
          <w:sz w:val="24"/>
        </w:rPr>
        <w:t xml:space="preserve">15. </w:t>
      </w:r>
      <w:r w:rsidRPr="000876F9">
        <w:rPr>
          <w:rFonts w:ascii="Arial" w:eastAsia="Times New Roman" w:hAnsi="Arial" w:cs="Arial"/>
          <w:noProof/>
          <w:kern w:val="0"/>
          <w:sz w:val="24"/>
        </w:rPr>
        <w:tab/>
        <w:t xml:space="preserve">Yoshimura N, Muraki S, Oka H, et al. Prevalence of knee osteoarthritis, lumbar spondylosis, and osteoporosis in Japanese men and women: the research on osteoarthritis/osteoporosis against disability study. </w:t>
      </w:r>
      <w:r w:rsidRPr="000876F9">
        <w:rPr>
          <w:rFonts w:ascii="Arial" w:eastAsia="Times New Roman" w:hAnsi="Arial" w:cs="Arial"/>
          <w:iCs/>
          <w:noProof/>
          <w:kern w:val="0"/>
          <w:sz w:val="24"/>
        </w:rPr>
        <w:t>J Bone Miner Metab</w:t>
      </w:r>
      <w:r w:rsidRPr="000876F9">
        <w:rPr>
          <w:rFonts w:ascii="Arial" w:eastAsia="Times New Roman" w:hAnsi="Arial" w:cs="Arial"/>
          <w:noProof/>
          <w:kern w:val="0"/>
          <w:sz w:val="24"/>
        </w:rPr>
        <w:t xml:space="preserve"> 2009;27</w:t>
      </w:r>
      <w:r w:rsidR="00F3693B" w:rsidRPr="000876F9">
        <w:rPr>
          <w:rFonts w:ascii="Arial" w:eastAsia="Times New Roman" w:hAnsi="Arial" w:cs="Arial"/>
          <w:noProof/>
          <w:kern w:val="0"/>
          <w:sz w:val="24"/>
        </w:rPr>
        <w:t xml:space="preserve">(5) </w:t>
      </w:r>
      <w:r w:rsidRPr="000876F9">
        <w:rPr>
          <w:rFonts w:ascii="Arial" w:eastAsia="Times New Roman" w:hAnsi="Arial" w:cs="Arial"/>
          <w:noProof/>
          <w:kern w:val="0"/>
          <w:sz w:val="24"/>
        </w:rPr>
        <w:t>:620–8.</w:t>
      </w:r>
    </w:p>
    <w:p w14:paraId="35A20BBB" w14:textId="2CE8E5AD" w:rsidR="008B5B03" w:rsidRPr="000876F9" w:rsidRDefault="008B5B03" w:rsidP="00B26F1C">
      <w:pPr>
        <w:autoSpaceDE w:val="0"/>
        <w:autoSpaceDN w:val="0"/>
        <w:adjustRightInd w:val="0"/>
        <w:ind w:left="640" w:hanging="640"/>
        <w:jc w:val="left"/>
        <w:rPr>
          <w:rFonts w:ascii="Arial" w:hAnsi="Arial" w:cs="Arial"/>
          <w:noProof/>
          <w:sz w:val="24"/>
        </w:rPr>
      </w:pPr>
      <w:r w:rsidRPr="000876F9">
        <w:rPr>
          <w:rFonts w:ascii="Arial" w:eastAsia="Times New Roman" w:hAnsi="Arial" w:cs="Arial"/>
          <w:noProof/>
          <w:kern w:val="0"/>
          <w:sz w:val="24"/>
        </w:rPr>
        <w:t xml:space="preserve">16. </w:t>
      </w:r>
      <w:r w:rsidRPr="000876F9">
        <w:rPr>
          <w:rFonts w:ascii="Arial" w:eastAsia="Times New Roman" w:hAnsi="Arial" w:cs="Arial"/>
          <w:noProof/>
          <w:kern w:val="0"/>
          <w:sz w:val="24"/>
        </w:rPr>
        <w:tab/>
        <w:t xml:space="preserve">Murata Y, Takahashi K, Yamagata M, et al. The knee-spine syndrome. </w:t>
      </w:r>
      <w:r w:rsidRPr="000876F9">
        <w:rPr>
          <w:rFonts w:ascii="Arial" w:eastAsia="Times New Roman" w:hAnsi="Arial" w:cs="Arial"/>
          <w:iCs/>
          <w:noProof/>
          <w:kern w:val="0"/>
          <w:sz w:val="24"/>
        </w:rPr>
        <w:t>J Bone Jt Surg</w:t>
      </w:r>
      <w:r w:rsidRPr="000876F9">
        <w:rPr>
          <w:rFonts w:ascii="Arial" w:eastAsia="Times New Roman" w:hAnsi="Arial" w:cs="Arial"/>
          <w:noProof/>
          <w:kern w:val="0"/>
          <w:sz w:val="24"/>
        </w:rPr>
        <w:t xml:space="preserve"> 2003;85</w:t>
      </w:r>
      <w:r w:rsidR="00940DBD" w:rsidRPr="000876F9">
        <w:rPr>
          <w:rFonts w:ascii="Arial" w:eastAsia="Times New Roman" w:hAnsi="Arial" w:cs="Arial"/>
          <w:noProof/>
          <w:kern w:val="0"/>
          <w:sz w:val="24"/>
        </w:rPr>
        <w:t xml:space="preserve">(1) </w:t>
      </w:r>
      <w:r w:rsidRPr="000876F9">
        <w:rPr>
          <w:rFonts w:ascii="Arial" w:eastAsia="Times New Roman" w:hAnsi="Arial" w:cs="Arial"/>
          <w:noProof/>
          <w:kern w:val="0"/>
          <w:sz w:val="24"/>
        </w:rPr>
        <w:t>:95–9.</w:t>
      </w:r>
    </w:p>
    <w:p w14:paraId="0D49522D" w14:textId="5C4EAE5A" w:rsidR="008B5B03" w:rsidRPr="000876F9" w:rsidRDefault="008B5B03" w:rsidP="00B26F1C">
      <w:pPr>
        <w:autoSpaceDE w:val="0"/>
        <w:autoSpaceDN w:val="0"/>
        <w:adjustRightInd w:val="0"/>
        <w:ind w:left="640" w:hanging="640"/>
        <w:jc w:val="left"/>
        <w:rPr>
          <w:rFonts w:ascii="Arial" w:eastAsia="Times New Roman" w:hAnsi="Arial" w:cs="Arial"/>
          <w:noProof/>
          <w:kern w:val="0"/>
          <w:sz w:val="24"/>
        </w:rPr>
      </w:pPr>
      <w:r w:rsidRPr="000876F9">
        <w:rPr>
          <w:rFonts w:asciiTheme="majorHAnsi" w:hAnsiTheme="majorHAnsi" w:cstheme="majorHAnsi"/>
        </w:rPr>
        <w:fldChar w:fldCharType="begin" w:fldLock="1"/>
      </w:r>
      <w:r w:rsidRPr="000876F9">
        <w:rPr>
          <w:rFonts w:asciiTheme="majorHAnsi" w:hAnsiTheme="majorHAnsi" w:cstheme="majorHAnsi"/>
        </w:rPr>
        <w:instrText xml:space="preserve">ADDIN Mendeley Bibliography CSL_BIBLIOGRAPHY </w:instrText>
      </w:r>
      <w:r w:rsidRPr="000876F9">
        <w:rPr>
          <w:rFonts w:asciiTheme="majorHAnsi" w:hAnsiTheme="majorHAnsi" w:cstheme="majorHAnsi"/>
        </w:rPr>
        <w:fldChar w:fldCharType="separate"/>
      </w:r>
      <w:r w:rsidRPr="000876F9">
        <w:rPr>
          <w:rFonts w:ascii="Arial" w:eastAsia="Times New Roman" w:hAnsi="Arial" w:cs="Arial"/>
          <w:noProof/>
          <w:kern w:val="0"/>
          <w:sz w:val="24"/>
        </w:rPr>
        <w:t xml:space="preserve">17. </w:t>
      </w:r>
      <w:r w:rsidRPr="000876F9">
        <w:rPr>
          <w:rFonts w:ascii="Arial" w:eastAsia="Times New Roman" w:hAnsi="Arial" w:cs="Arial"/>
          <w:noProof/>
          <w:kern w:val="0"/>
          <w:sz w:val="24"/>
        </w:rPr>
        <w:tab/>
        <w:t xml:space="preserve">Imagama S, Matsuyama Y, Hasegawa Y, et al. Back muscle strength and spinal mobility are predictors of quality of life in middle-aged and elderly males. </w:t>
      </w:r>
      <w:r w:rsidRPr="000876F9">
        <w:rPr>
          <w:rFonts w:ascii="Arial" w:eastAsia="Times New Roman" w:hAnsi="Arial" w:cs="Arial"/>
          <w:iCs/>
          <w:noProof/>
          <w:kern w:val="0"/>
          <w:sz w:val="24"/>
        </w:rPr>
        <w:t>Eur Spine J</w:t>
      </w:r>
      <w:r w:rsidRPr="000876F9">
        <w:rPr>
          <w:rFonts w:ascii="Arial" w:eastAsia="Times New Roman" w:hAnsi="Arial" w:cs="Arial"/>
          <w:noProof/>
          <w:kern w:val="0"/>
          <w:sz w:val="24"/>
        </w:rPr>
        <w:t xml:space="preserve"> 2011;20</w:t>
      </w:r>
      <w:r w:rsidR="00940DBD" w:rsidRPr="000876F9">
        <w:rPr>
          <w:rFonts w:ascii="Arial" w:eastAsia="Times New Roman" w:hAnsi="Arial" w:cs="Arial"/>
          <w:noProof/>
          <w:kern w:val="0"/>
          <w:sz w:val="24"/>
        </w:rPr>
        <w:t xml:space="preserve">(6) </w:t>
      </w:r>
      <w:r w:rsidRPr="000876F9">
        <w:rPr>
          <w:rFonts w:ascii="Arial" w:eastAsia="Times New Roman" w:hAnsi="Arial" w:cs="Arial"/>
          <w:noProof/>
          <w:kern w:val="0"/>
          <w:sz w:val="24"/>
        </w:rPr>
        <w:t>:954–61.</w:t>
      </w:r>
    </w:p>
    <w:p w14:paraId="08E30761" w14:textId="089ECA91" w:rsidR="00580BE6" w:rsidRPr="000876F9" w:rsidRDefault="008B5B03" w:rsidP="00B26F1C">
      <w:pPr>
        <w:autoSpaceDE w:val="0"/>
        <w:autoSpaceDN w:val="0"/>
        <w:adjustRightInd w:val="0"/>
        <w:ind w:left="640" w:hanging="640"/>
        <w:jc w:val="left"/>
        <w:rPr>
          <w:rFonts w:ascii="Arial" w:eastAsia="Times New Roman" w:hAnsi="Arial" w:cs="Arial"/>
          <w:noProof/>
          <w:kern w:val="0"/>
          <w:sz w:val="24"/>
        </w:rPr>
      </w:pPr>
      <w:r w:rsidRPr="000876F9">
        <w:rPr>
          <w:rFonts w:ascii="Arial" w:eastAsia="Times New Roman" w:hAnsi="Arial" w:cs="Arial"/>
          <w:noProof/>
          <w:kern w:val="0"/>
          <w:sz w:val="24"/>
        </w:rPr>
        <w:t xml:space="preserve">18. </w:t>
      </w:r>
      <w:r w:rsidRPr="000876F9">
        <w:rPr>
          <w:rFonts w:ascii="Arial" w:eastAsia="Times New Roman" w:hAnsi="Arial" w:cs="Arial"/>
          <w:noProof/>
          <w:kern w:val="0"/>
          <w:sz w:val="24"/>
        </w:rPr>
        <w:tab/>
        <w:t xml:space="preserve">Imagama S, Hasegawa Y, Matsuyama Y, et al. Influence of sagittal balance and physical ability associated with exercise on quality of life in middle-aged and elderly people. </w:t>
      </w:r>
      <w:r w:rsidRPr="000876F9">
        <w:rPr>
          <w:rFonts w:ascii="Arial" w:eastAsia="Times New Roman" w:hAnsi="Arial" w:cs="Arial"/>
          <w:iCs/>
          <w:noProof/>
          <w:kern w:val="0"/>
          <w:sz w:val="24"/>
        </w:rPr>
        <w:t>Arch Osteoporos</w:t>
      </w:r>
      <w:r w:rsidRPr="000876F9">
        <w:rPr>
          <w:rFonts w:ascii="Arial" w:eastAsia="Times New Roman" w:hAnsi="Arial" w:cs="Arial"/>
          <w:noProof/>
          <w:kern w:val="0"/>
          <w:sz w:val="24"/>
        </w:rPr>
        <w:t xml:space="preserve"> 2011;6:13–20.</w:t>
      </w:r>
    </w:p>
    <w:p w14:paraId="69255A5E" w14:textId="2744825F" w:rsidR="00580BE6" w:rsidRPr="000876F9" w:rsidRDefault="00580BE6" w:rsidP="00B26F1C">
      <w:pPr>
        <w:autoSpaceDE w:val="0"/>
        <w:autoSpaceDN w:val="0"/>
        <w:adjustRightInd w:val="0"/>
        <w:ind w:left="640" w:hanging="640"/>
        <w:jc w:val="left"/>
        <w:rPr>
          <w:rFonts w:ascii="Arial" w:eastAsia="Times New Roman" w:hAnsi="Arial" w:cs="Arial"/>
          <w:noProof/>
          <w:kern w:val="0"/>
          <w:sz w:val="24"/>
        </w:rPr>
      </w:pPr>
      <w:r w:rsidRPr="000876F9">
        <w:rPr>
          <w:rFonts w:ascii="Arial" w:eastAsia="Times New Roman" w:hAnsi="Arial" w:cs="Arial"/>
          <w:noProof/>
          <w:kern w:val="0"/>
          <w:sz w:val="24"/>
        </w:rPr>
        <w:t>19.  Miyakoshi N, Hongo M, Maekawa S et al. Back extensor strength and lumbar spinal mobility are predictors of quality of life in patients with postmenopausal osteoporosis. Osteoporos Int 2007;18</w:t>
      </w:r>
      <w:r w:rsidR="00940DBD" w:rsidRPr="000876F9">
        <w:rPr>
          <w:rFonts w:ascii="Arial" w:eastAsia="Times New Roman" w:hAnsi="Arial" w:cs="Arial"/>
          <w:noProof/>
          <w:kern w:val="0"/>
          <w:sz w:val="24"/>
        </w:rPr>
        <w:t xml:space="preserve">(10) </w:t>
      </w:r>
      <w:r w:rsidRPr="000876F9">
        <w:rPr>
          <w:rFonts w:ascii="Arial" w:eastAsia="Times New Roman" w:hAnsi="Arial" w:cs="Arial"/>
          <w:noProof/>
          <w:kern w:val="0"/>
          <w:sz w:val="24"/>
        </w:rPr>
        <w:t xml:space="preserve">:1397–1403 </w:t>
      </w:r>
    </w:p>
    <w:p w14:paraId="1D8FA669" w14:textId="1029A171" w:rsidR="003D572F" w:rsidRPr="000876F9" w:rsidRDefault="00580BE6" w:rsidP="00B26F1C">
      <w:pPr>
        <w:autoSpaceDE w:val="0"/>
        <w:autoSpaceDN w:val="0"/>
        <w:adjustRightInd w:val="0"/>
        <w:ind w:left="640" w:hanging="640"/>
        <w:jc w:val="left"/>
        <w:rPr>
          <w:rFonts w:ascii="Arial" w:eastAsia="Times New Roman" w:hAnsi="Arial" w:cs="Arial"/>
          <w:noProof/>
          <w:kern w:val="0"/>
          <w:sz w:val="24"/>
        </w:rPr>
      </w:pPr>
      <w:r w:rsidRPr="000876F9">
        <w:rPr>
          <w:rFonts w:ascii="Arial" w:eastAsia="Times New Roman" w:hAnsi="Arial" w:cs="Arial"/>
          <w:noProof/>
          <w:kern w:val="0"/>
          <w:sz w:val="24"/>
        </w:rPr>
        <w:t xml:space="preserve">20.   </w:t>
      </w:r>
      <w:r w:rsidR="007563A8" w:rsidRPr="000876F9">
        <w:rPr>
          <w:rFonts w:ascii="Arial" w:eastAsia="Times New Roman" w:hAnsi="Arial" w:cs="Arial"/>
          <w:noProof/>
          <w:kern w:val="0"/>
          <w:sz w:val="24"/>
        </w:rPr>
        <w:t xml:space="preserve">Hongo </w:t>
      </w:r>
      <w:r w:rsidRPr="000876F9">
        <w:rPr>
          <w:rFonts w:ascii="Arial" w:eastAsia="Times New Roman" w:hAnsi="Arial" w:cs="Arial"/>
          <w:noProof/>
          <w:kern w:val="0"/>
          <w:sz w:val="24"/>
        </w:rPr>
        <w:t>M, Itoi E, Sinaki M</w:t>
      </w:r>
      <w:r w:rsidR="007563A8" w:rsidRPr="000876F9">
        <w:rPr>
          <w:rFonts w:ascii="Arial" w:eastAsia="Times New Roman" w:hAnsi="Arial" w:cs="Arial"/>
          <w:noProof/>
          <w:kern w:val="0"/>
          <w:sz w:val="24"/>
        </w:rPr>
        <w:t xml:space="preserve"> et al. </w:t>
      </w:r>
      <w:r w:rsidRPr="000876F9">
        <w:rPr>
          <w:rFonts w:ascii="Arial" w:eastAsia="Times New Roman" w:hAnsi="Arial" w:cs="Arial"/>
          <w:noProof/>
          <w:kern w:val="0"/>
          <w:sz w:val="24"/>
        </w:rPr>
        <w:t xml:space="preserve">Effect of low-intensity back exercise on quality of life and back extensor strength in patients with osteoporosis: a randomized controlled trial. Osteoporos Int </w:t>
      </w:r>
      <w:r w:rsidR="007563A8" w:rsidRPr="000876F9">
        <w:rPr>
          <w:rFonts w:ascii="Arial" w:eastAsia="Times New Roman" w:hAnsi="Arial" w:cs="Arial"/>
          <w:noProof/>
          <w:kern w:val="0"/>
          <w:sz w:val="24"/>
        </w:rPr>
        <w:t>2007;</w:t>
      </w:r>
      <w:r w:rsidRPr="000876F9">
        <w:rPr>
          <w:rFonts w:ascii="Arial" w:eastAsia="Times New Roman" w:hAnsi="Arial" w:cs="Arial"/>
          <w:noProof/>
          <w:kern w:val="0"/>
          <w:sz w:val="24"/>
        </w:rPr>
        <w:t>18</w:t>
      </w:r>
      <w:r w:rsidR="00F1236D" w:rsidRPr="000876F9">
        <w:rPr>
          <w:rFonts w:ascii="Arial" w:eastAsia="Times New Roman" w:hAnsi="Arial" w:cs="Arial"/>
          <w:noProof/>
          <w:kern w:val="0"/>
          <w:sz w:val="24"/>
        </w:rPr>
        <w:t xml:space="preserve">(10) </w:t>
      </w:r>
      <w:r w:rsidRPr="000876F9">
        <w:rPr>
          <w:rFonts w:ascii="Arial" w:eastAsia="Times New Roman" w:hAnsi="Arial" w:cs="Arial"/>
          <w:noProof/>
          <w:kern w:val="0"/>
          <w:sz w:val="24"/>
        </w:rPr>
        <w:t>:1389–</w:t>
      </w:r>
      <w:r w:rsidR="007563A8" w:rsidRPr="000876F9">
        <w:rPr>
          <w:rFonts w:ascii="Arial" w:eastAsia="Times New Roman" w:hAnsi="Arial" w:cs="Arial"/>
          <w:noProof/>
          <w:kern w:val="0"/>
          <w:sz w:val="24"/>
        </w:rPr>
        <w:t>95</w:t>
      </w:r>
    </w:p>
    <w:p w14:paraId="0B445B22" w14:textId="3B23F114" w:rsidR="00580BE6" w:rsidRPr="000876F9" w:rsidRDefault="003D572F" w:rsidP="00B26F1C">
      <w:pPr>
        <w:autoSpaceDE w:val="0"/>
        <w:autoSpaceDN w:val="0"/>
        <w:adjustRightInd w:val="0"/>
        <w:ind w:left="640" w:hanging="640"/>
        <w:jc w:val="left"/>
        <w:rPr>
          <w:rFonts w:ascii="Arial" w:eastAsia="Times New Roman" w:hAnsi="Arial" w:cs="Arial"/>
          <w:noProof/>
          <w:kern w:val="0"/>
          <w:sz w:val="24"/>
        </w:rPr>
      </w:pPr>
      <w:r w:rsidRPr="000876F9">
        <w:rPr>
          <w:rFonts w:ascii="Arial" w:eastAsia="Times New Roman" w:hAnsi="Arial" w:cs="Arial"/>
          <w:noProof/>
          <w:kern w:val="0"/>
          <w:sz w:val="24"/>
        </w:rPr>
        <w:t>21.   Marras WS, Jorgensen MJ, Granata KP et al. Female and male trunk geometry: size and prediction of the spine loading trunk muscles derived from MRI. Clin Biomech (Bristol, Avon) 2001;16</w:t>
      </w:r>
      <w:r w:rsidR="001E53A6" w:rsidRPr="000876F9">
        <w:rPr>
          <w:rFonts w:ascii="Arial" w:eastAsia="Times New Roman" w:hAnsi="Arial" w:cs="Arial"/>
          <w:noProof/>
          <w:kern w:val="0"/>
          <w:sz w:val="24"/>
        </w:rPr>
        <w:t xml:space="preserve">(1) </w:t>
      </w:r>
      <w:r w:rsidRPr="000876F9">
        <w:rPr>
          <w:rFonts w:ascii="Arial" w:eastAsia="Times New Roman" w:hAnsi="Arial" w:cs="Arial"/>
          <w:noProof/>
          <w:kern w:val="0"/>
          <w:sz w:val="24"/>
        </w:rPr>
        <w:t>:38–46</w:t>
      </w:r>
    </w:p>
    <w:p w14:paraId="4A1D2527" w14:textId="62663A2F" w:rsidR="00D54858" w:rsidRPr="000876F9" w:rsidRDefault="00CE75E7" w:rsidP="00B26F1C">
      <w:pPr>
        <w:autoSpaceDE w:val="0"/>
        <w:autoSpaceDN w:val="0"/>
        <w:adjustRightInd w:val="0"/>
        <w:ind w:left="640" w:hanging="640"/>
        <w:jc w:val="left"/>
        <w:rPr>
          <w:rFonts w:asciiTheme="majorHAnsi" w:hAnsiTheme="majorHAnsi" w:cstheme="majorHAnsi"/>
        </w:rPr>
      </w:pPr>
      <w:r w:rsidRPr="000876F9">
        <w:rPr>
          <w:rFonts w:asciiTheme="majorHAnsi" w:eastAsia="Times New Roman" w:hAnsiTheme="majorHAnsi" w:cstheme="majorHAnsi"/>
          <w:noProof/>
          <w:kern w:val="0"/>
          <w:sz w:val="24"/>
        </w:rPr>
        <w:t xml:space="preserve">22.  Yi-Xiang J Wang, James F Griffith, Xian-Jun Zeng et al. Prevalence and gender difference of lumbar disc space narrowing in elderly Chinese men and women: Mr. OS (Hong Kong) and Ms. OS (Hong Kong) studies. </w:t>
      </w:r>
      <w:r w:rsidRPr="000876F9">
        <w:rPr>
          <w:rFonts w:asciiTheme="majorHAnsi" w:eastAsia="Times New Roman" w:hAnsiTheme="majorHAnsi" w:cstheme="majorHAnsi"/>
          <w:iCs/>
          <w:noProof/>
          <w:kern w:val="0"/>
          <w:sz w:val="24"/>
        </w:rPr>
        <w:t>Arthritis Rheum</w:t>
      </w:r>
      <w:r w:rsidRPr="000876F9">
        <w:rPr>
          <w:rFonts w:asciiTheme="majorHAnsi" w:eastAsia="Times New Roman" w:hAnsiTheme="majorHAnsi" w:cstheme="majorHAnsi"/>
          <w:noProof/>
          <w:kern w:val="0"/>
          <w:sz w:val="24"/>
        </w:rPr>
        <w:t xml:space="preserve"> 2013;65</w:t>
      </w:r>
      <w:r w:rsidR="001E53A6" w:rsidRPr="000876F9">
        <w:rPr>
          <w:rFonts w:asciiTheme="majorHAnsi" w:eastAsia="Times New Roman" w:hAnsiTheme="majorHAnsi" w:cstheme="majorHAnsi"/>
          <w:noProof/>
          <w:kern w:val="0"/>
          <w:sz w:val="24"/>
        </w:rPr>
        <w:t xml:space="preserve">(4) </w:t>
      </w:r>
      <w:r w:rsidRPr="000876F9">
        <w:rPr>
          <w:rFonts w:asciiTheme="majorHAnsi" w:eastAsia="Times New Roman" w:hAnsiTheme="majorHAnsi" w:cstheme="majorHAnsi"/>
          <w:noProof/>
          <w:kern w:val="0"/>
          <w:sz w:val="24"/>
        </w:rPr>
        <w:t>:1004–10.</w:t>
      </w:r>
      <w:r w:rsidR="00D54858" w:rsidRPr="000876F9">
        <w:rPr>
          <w:rFonts w:asciiTheme="majorHAnsi" w:hAnsiTheme="majorHAnsi" w:cstheme="majorHAnsi"/>
        </w:rPr>
        <w:t xml:space="preserve"> </w:t>
      </w:r>
    </w:p>
    <w:p w14:paraId="39C524C2" w14:textId="17597904" w:rsidR="00D54858" w:rsidRPr="000876F9" w:rsidRDefault="00D54858" w:rsidP="00B26F1C">
      <w:pPr>
        <w:autoSpaceDE w:val="0"/>
        <w:autoSpaceDN w:val="0"/>
        <w:adjustRightInd w:val="0"/>
        <w:ind w:left="640" w:hanging="640"/>
        <w:jc w:val="left"/>
        <w:rPr>
          <w:rFonts w:asciiTheme="majorHAnsi" w:hAnsiTheme="majorHAnsi" w:cstheme="majorHAnsi"/>
          <w:noProof/>
          <w:sz w:val="24"/>
        </w:rPr>
      </w:pPr>
      <w:r w:rsidRPr="000876F9">
        <w:rPr>
          <w:rFonts w:asciiTheme="majorHAnsi" w:hAnsiTheme="majorHAnsi" w:cstheme="majorHAnsi"/>
        </w:rPr>
        <w:fldChar w:fldCharType="begin" w:fldLock="1"/>
      </w:r>
      <w:r w:rsidRPr="000876F9">
        <w:rPr>
          <w:rFonts w:asciiTheme="majorHAnsi" w:hAnsiTheme="majorHAnsi" w:cstheme="majorHAnsi"/>
        </w:rPr>
        <w:instrText xml:space="preserve">ADDIN Mendeley Bibliography CSL_BIBLIOGRAPHY </w:instrText>
      </w:r>
      <w:r w:rsidRPr="000876F9">
        <w:rPr>
          <w:rFonts w:asciiTheme="majorHAnsi" w:hAnsiTheme="majorHAnsi" w:cstheme="majorHAnsi"/>
        </w:rPr>
        <w:fldChar w:fldCharType="separate"/>
      </w:r>
      <w:r w:rsidRPr="000876F9">
        <w:rPr>
          <w:rFonts w:asciiTheme="majorHAnsi" w:eastAsia="Times New Roman" w:hAnsiTheme="majorHAnsi" w:cstheme="majorHAnsi"/>
          <w:noProof/>
          <w:kern w:val="0"/>
          <w:sz w:val="24"/>
        </w:rPr>
        <w:t xml:space="preserve">23. </w:t>
      </w:r>
      <w:r w:rsidRPr="000876F9">
        <w:rPr>
          <w:rFonts w:asciiTheme="majorHAnsi" w:eastAsia="Times New Roman" w:hAnsiTheme="majorHAnsi" w:cstheme="majorHAnsi"/>
          <w:noProof/>
          <w:kern w:val="0"/>
          <w:sz w:val="24"/>
        </w:rPr>
        <w:tab/>
        <w:t xml:space="preserve">Savinainen M, Nygård CH, Ilmarinen J. A 16-year follow-up study of physical capacity in relation to perceived workload among ageing employees. </w:t>
      </w:r>
      <w:r w:rsidRPr="000876F9">
        <w:rPr>
          <w:rFonts w:asciiTheme="majorHAnsi" w:eastAsia="Times New Roman" w:hAnsiTheme="majorHAnsi" w:cstheme="majorHAnsi"/>
          <w:iCs/>
          <w:noProof/>
          <w:kern w:val="0"/>
          <w:sz w:val="24"/>
        </w:rPr>
        <w:t>Ergonomics</w:t>
      </w:r>
      <w:r w:rsidRPr="000876F9">
        <w:rPr>
          <w:rFonts w:asciiTheme="majorHAnsi" w:eastAsia="Times New Roman" w:hAnsiTheme="majorHAnsi" w:cstheme="majorHAnsi"/>
          <w:noProof/>
          <w:kern w:val="0"/>
          <w:sz w:val="24"/>
        </w:rPr>
        <w:t xml:space="preserve"> 2004;47</w:t>
      </w:r>
      <w:r w:rsidR="001E53A6" w:rsidRPr="000876F9">
        <w:rPr>
          <w:rFonts w:asciiTheme="majorHAnsi" w:eastAsia="Times New Roman" w:hAnsiTheme="majorHAnsi" w:cstheme="majorHAnsi"/>
          <w:noProof/>
          <w:kern w:val="0"/>
          <w:sz w:val="24"/>
        </w:rPr>
        <w:t xml:space="preserve">(10) </w:t>
      </w:r>
      <w:r w:rsidRPr="000876F9">
        <w:rPr>
          <w:rFonts w:asciiTheme="majorHAnsi" w:eastAsia="Times New Roman" w:hAnsiTheme="majorHAnsi" w:cstheme="majorHAnsi"/>
          <w:noProof/>
          <w:kern w:val="0"/>
          <w:sz w:val="24"/>
        </w:rPr>
        <w:t>:1087–102.</w:t>
      </w:r>
    </w:p>
    <w:p w14:paraId="657D906F" w14:textId="5B1FF2D4" w:rsidR="00580BE6" w:rsidRPr="000876F9" w:rsidRDefault="00D54858" w:rsidP="00B26F1C">
      <w:pPr>
        <w:autoSpaceDE w:val="0"/>
        <w:autoSpaceDN w:val="0"/>
        <w:adjustRightInd w:val="0"/>
        <w:ind w:left="640" w:hanging="640"/>
        <w:jc w:val="left"/>
        <w:rPr>
          <w:rFonts w:asciiTheme="majorHAnsi" w:eastAsia="Times New Roman" w:hAnsiTheme="majorHAnsi" w:cstheme="majorHAnsi"/>
          <w:noProof/>
          <w:kern w:val="0"/>
          <w:sz w:val="24"/>
        </w:rPr>
      </w:pPr>
      <w:r w:rsidRPr="000876F9">
        <w:rPr>
          <w:rFonts w:asciiTheme="majorHAnsi" w:hAnsiTheme="majorHAnsi" w:cstheme="majorHAnsi"/>
        </w:rPr>
        <w:fldChar w:fldCharType="end"/>
      </w:r>
    </w:p>
    <w:p w14:paraId="328B514D" w14:textId="77777777" w:rsidR="00580BE6" w:rsidRPr="000876F9" w:rsidRDefault="00580BE6" w:rsidP="00B26F1C">
      <w:pPr>
        <w:autoSpaceDE w:val="0"/>
        <w:autoSpaceDN w:val="0"/>
        <w:adjustRightInd w:val="0"/>
        <w:ind w:left="640" w:hanging="640"/>
        <w:jc w:val="left"/>
        <w:rPr>
          <w:rFonts w:ascii="Arial" w:eastAsia="Times New Roman" w:hAnsi="Arial" w:cs="Arial"/>
          <w:noProof/>
          <w:kern w:val="0"/>
          <w:sz w:val="24"/>
        </w:rPr>
      </w:pPr>
    </w:p>
    <w:p w14:paraId="5FEDD3E1" w14:textId="3B7FD7EC" w:rsidR="00302696" w:rsidRPr="000876F9" w:rsidRDefault="008B5B03" w:rsidP="00B26F1C">
      <w:pPr>
        <w:adjustRightInd w:val="0"/>
        <w:snapToGrid w:val="0"/>
        <w:ind w:left="567" w:hanging="567"/>
        <w:jc w:val="left"/>
        <w:rPr>
          <w:rFonts w:asciiTheme="majorHAnsi" w:hAnsiTheme="majorHAnsi" w:cstheme="majorHAnsi"/>
          <w:sz w:val="24"/>
        </w:rPr>
      </w:pPr>
      <w:r w:rsidRPr="000876F9">
        <w:rPr>
          <w:rFonts w:asciiTheme="majorHAnsi" w:hAnsiTheme="majorHAnsi" w:cstheme="majorHAnsi"/>
        </w:rPr>
        <w:fldChar w:fldCharType="end"/>
      </w:r>
    </w:p>
    <w:p w14:paraId="4ECDC43D" w14:textId="77777777" w:rsidR="00580BE6" w:rsidRPr="000876F9" w:rsidRDefault="00580BE6" w:rsidP="00B26F1C">
      <w:pPr>
        <w:adjustRightInd w:val="0"/>
        <w:snapToGrid w:val="0"/>
        <w:ind w:left="648" w:hanging="648"/>
        <w:jc w:val="left"/>
        <w:rPr>
          <w:rFonts w:asciiTheme="majorHAnsi" w:hAnsiTheme="majorHAnsi" w:cstheme="majorHAnsi"/>
          <w:sz w:val="24"/>
        </w:rPr>
      </w:pPr>
    </w:p>
    <w:p w14:paraId="46EE2E67" w14:textId="0B75E5AE" w:rsidR="00580BE6" w:rsidRDefault="00580BE6" w:rsidP="00B26F1C">
      <w:pPr>
        <w:adjustRightInd w:val="0"/>
        <w:snapToGrid w:val="0"/>
        <w:ind w:left="864" w:hanging="864"/>
        <w:jc w:val="left"/>
        <w:rPr>
          <w:rFonts w:asciiTheme="majorHAnsi" w:eastAsia="MS PGothic" w:hAnsiTheme="majorHAnsi" w:cstheme="majorHAnsi"/>
          <w:sz w:val="32"/>
          <w:szCs w:val="24"/>
        </w:rPr>
      </w:pPr>
    </w:p>
    <w:p w14:paraId="28EB88E1"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p w14:paraId="6EEEDFB9"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p w14:paraId="5D09C10E"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p w14:paraId="5A4011DF"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p w14:paraId="66FA8568"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p w14:paraId="33DCC81D"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p w14:paraId="37F5D880"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p w14:paraId="6D7F89C7"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p w14:paraId="50D58AFB"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p w14:paraId="2B41AA68"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p w14:paraId="11332EDA"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pPr>
    </w:p>
    <w:tbl>
      <w:tblPr>
        <w:tblpPr w:leftFromText="180" w:rightFromText="180" w:vertAnchor="text" w:horzAnchor="margin" w:tblpY="-518"/>
        <w:tblW w:w="8485" w:type="dxa"/>
        <w:tblLook w:val="04A0" w:firstRow="1" w:lastRow="0" w:firstColumn="1" w:lastColumn="0" w:noHBand="0" w:noVBand="1"/>
      </w:tblPr>
      <w:tblGrid>
        <w:gridCol w:w="3190"/>
        <w:gridCol w:w="1940"/>
        <w:gridCol w:w="2264"/>
        <w:gridCol w:w="1091"/>
      </w:tblGrid>
      <w:tr w:rsidR="00511217" w:rsidRPr="00511217" w14:paraId="5239DDC5" w14:textId="77777777" w:rsidTr="00511217">
        <w:trPr>
          <w:trHeight w:val="320"/>
        </w:trPr>
        <w:tc>
          <w:tcPr>
            <w:tcW w:w="8485" w:type="dxa"/>
            <w:gridSpan w:val="4"/>
            <w:tcBorders>
              <w:top w:val="nil"/>
              <w:left w:val="nil"/>
              <w:bottom w:val="single" w:sz="8" w:space="0" w:color="auto"/>
              <w:right w:val="nil"/>
            </w:tcBorders>
            <w:shd w:val="clear" w:color="auto" w:fill="auto"/>
            <w:noWrap/>
            <w:vAlign w:val="bottom"/>
            <w:hideMark/>
          </w:tcPr>
          <w:p w14:paraId="61F6C03D"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Table 1. Data for study participants</w:t>
            </w:r>
          </w:p>
        </w:tc>
      </w:tr>
      <w:tr w:rsidR="00511217" w:rsidRPr="00511217" w14:paraId="71B7AB55" w14:textId="77777777" w:rsidTr="00511217">
        <w:trPr>
          <w:trHeight w:val="310"/>
        </w:trPr>
        <w:tc>
          <w:tcPr>
            <w:tcW w:w="3190" w:type="dxa"/>
            <w:tcBorders>
              <w:top w:val="nil"/>
              <w:left w:val="nil"/>
              <w:bottom w:val="single" w:sz="4" w:space="0" w:color="auto"/>
              <w:right w:val="nil"/>
            </w:tcBorders>
            <w:shd w:val="clear" w:color="auto" w:fill="auto"/>
            <w:noWrap/>
            <w:vAlign w:val="bottom"/>
            <w:hideMark/>
          </w:tcPr>
          <w:p w14:paraId="10FDA0D7"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w:t>
            </w:r>
          </w:p>
        </w:tc>
        <w:tc>
          <w:tcPr>
            <w:tcW w:w="1940" w:type="dxa"/>
            <w:tcBorders>
              <w:top w:val="nil"/>
              <w:left w:val="nil"/>
              <w:bottom w:val="single" w:sz="4" w:space="0" w:color="auto"/>
              <w:right w:val="nil"/>
            </w:tcBorders>
            <w:shd w:val="clear" w:color="auto" w:fill="auto"/>
            <w:noWrap/>
            <w:vAlign w:val="bottom"/>
            <w:hideMark/>
          </w:tcPr>
          <w:p w14:paraId="6D101C83" w14:textId="77777777" w:rsidR="00511217" w:rsidRPr="00511217" w:rsidRDefault="00511217" w:rsidP="00511217">
            <w:pPr>
              <w:widowControl/>
              <w:jc w:val="center"/>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Cases (N=107)</w:t>
            </w:r>
          </w:p>
        </w:tc>
        <w:tc>
          <w:tcPr>
            <w:tcW w:w="2264" w:type="dxa"/>
            <w:tcBorders>
              <w:top w:val="nil"/>
              <w:left w:val="nil"/>
              <w:bottom w:val="single" w:sz="4" w:space="0" w:color="auto"/>
              <w:right w:val="nil"/>
            </w:tcBorders>
            <w:shd w:val="clear" w:color="auto" w:fill="auto"/>
            <w:noWrap/>
            <w:vAlign w:val="bottom"/>
            <w:hideMark/>
          </w:tcPr>
          <w:p w14:paraId="1E22C793" w14:textId="77777777" w:rsidR="00511217" w:rsidRPr="00511217" w:rsidRDefault="00511217" w:rsidP="00511217">
            <w:pPr>
              <w:widowControl/>
              <w:jc w:val="center"/>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Controls (N=227)</w:t>
            </w:r>
          </w:p>
        </w:tc>
        <w:tc>
          <w:tcPr>
            <w:tcW w:w="1091" w:type="dxa"/>
            <w:tcBorders>
              <w:top w:val="nil"/>
              <w:left w:val="nil"/>
              <w:bottom w:val="single" w:sz="4" w:space="0" w:color="auto"/>
              <w:right w:val="nil"/>
            </w:tcBorders>
            <w:shd w:val="clear" w:color="auto" w:fill="auto"/>
            <w:noWrap/>
            <w:vAlign w:val="bottom"/>
            <w:hideMark/>
          </w:tcPr>
          <w:p w14:paraId="374F2127" w14:textId="77777777" w:rsidR="00511217" w:rsidRPr="00511217" w:rsidRDefault="00511217" w:rsidP="00511217">
            <w:pPr>
              <w:widowControl/>
              <w:jc w:val="center"/>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Pvalue</w:t>
            </w:r>
          </w:p>
        </w:tc>
      </w:tr>
      <w:tr w:rsidR="00511217" w:rsidRPr="00511217" w14:paraId="2603F3A5" w14:textId="77777777" w:rsidTr="00511217">
        <w:trPr>
          <w:trHeight w:val="310"/>
        </w:trPr>
        <w:tc>
          <w:tcPr>
            <w:tcW w:w="3190" w:type="dxa"/>
            <w:tcBorders>
              <w:top w:val="nil"/>
              <w:left w:val="nil"/>
              <w:bottom w:val="nil"/>
              <w:right w:val="nil"/>
            </w:tcBorders>
            <w:shd w:val="clear" w:color="auto" w:fill="auto"/>
            <w:noWrap/>
            <w:vAlign w:val="bottom"/>
            <w:hideMark/>
          </w:tcPr>
          <w:p w14:paraId="2E34D7BD"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Sex</w:t>
            </w:r>
          </w:p>
        </w:tc>
        <w:tc>
          <w:tcPr>
            <w:tcW w:w="1940" w:type="dxa"/>
            <w:tcBorders>
              <w:top w:val="nil"/>
              <w:left w:val="nil"/>
              <w:bottom w:val="nil"/>
              <w:right w:val="nil"/>
            </w:tcBorders>
            <w:shd w:val="clear" w:color="auto" w:fill="auto"/>
            <w:noWrap/>
            <w:vAlign w:val="bottom"/>
            <w:hideMark/>
          </w:tcPr>
          <w:p w14:paraId="3C452AE1"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p>
        </w:tc>
        <w:tc>
          <w:tcPr>
            <w:tcW w:w="2264" w:type="dxa"/>
            <w:tcBorders>
              <w:top w:val="nil"/>
              <w:left w:val="nil"/>
              <w:bottom w:val="nil"/>
              <w:right w:val="nil"/>
            </w:tcBorders>
            <w:shd w:val="clear" w:color="auto" w:fill="auto"/>
            <w:noWrap/>
            <w:vAlign w:val="bottom"/>
            <w:hideMark/>
          </w:tcPr>
          <w:p w14:paraId="448ABC93" w14:textId="77777777" w:rsidR="00511217" w:rsidRPr="00511217" w:rsidRDefault="00511217" w:rsidP="00511217">
            <w:pPr>
              <w:widowControl/>
              <w:jc w:val="center"/>
              <w:rPr>
                <w:rFonts w:ascii="Times New Roman" w:eastAsia="Times New Roman" w:hAnsi="Times New Roman" w:cs="Times New Roman"/>
                <w:kern w:val="0"/>
                <w:sz w:val="20"/>
                <w:szCs w:val="20"/>
                <w:lang w:val="en-GB" w:eastAsia="en-GB"/>
              </w:rPr>
            </w:pPr>
          </w:p>
        </w:tc>
        <w:tc>
          <w:tcPr>
            <w:tcW w:w="1091" w:type="dxa"/>
            <w:tcBorders>
              <w:top w:val="nil"/>
              <w:left w:val="nil"/>
              <w:bottom w:val="nil"/>
              <w:right w:val="nil"/>
            </w:tcBorders>
            <w:shd w:val="clear" w:color="auto" w:fill="auto"/>
            <w:noWrap/>
            <w:vAlign w:val="bottom"/>
            <w:hideMark/>
          </w:tcPr>
          <w:p w14:paraId="19712E25" w14:textId="77777777" w:rsidR="00511217" w:rsidRPr="00511217" w:rsidRDefault="00511217" w:rsidP="00511217">
            <w:pPr>
              <w:widowControl/>
              <w:jc w:val="center"/>
              <w:rPr>
                <w:rFonts w:ascii="Times New Roman" w:eastAsia="Times New Roman" w:hAnsi="Times New Roman" w:cs="Times New Roman"/>
                <w:kern w:val="0"/>
                <w:sz w:val="20"/>
                <w:szCs w:val="20"/>
                <w:lang w:val="en-GB" w:eastAsia="en-GB"/>
              </w:rPr>
            </w:pPr>
          </w:p>
        </w:tc>
      </w:tr>
      <w:tr w:rsidR="00511217" w:rsidRPr="00511217" w14:paraId="4C8B1144" w14:textId="77777777" w:rsidTr="00511217">
        <w:trPr>
          <w:trHeight w:val="310"/>
        </w:trPr>
        <w:tc>
          <w:tcPr>
            <w:tcW w:w="3190" w:type="dxa"/>
            <w:tcBorders>
              <w:top w:val="nil"/>
              <w:left w:val="nil"/>
              <w:bottom w:val="nil"/>
              <w:right w:val="nil"/>
            </w:tcBorders>
            <w:shd w:val="clear" w:color="auto" w:fill="auto"/>
            <w:noWrap/>
            <w:vAlign w:val="bottom"/>
            <w:hideMark/>
          </w:tcPr>
          <w:p w14:paraId="00A6CF3F"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xml:space="preserve">  Males</w:t>
            </w:r>
          </w:p>
        </w:tc>
        <w:tc>
          <w:tcPr>
            <w:tcW w:w="1940" w:type="dxa"/>
            <w:tcBorders>
              <w:top w:val="nil"/>
              <w:left w:val="nil"/>
              <w:bottom w:val="nil"/>
              <w:right w:val="nil"/>
            </w:tcBorders>
            <w:shd w:val="clear" w:color="auto" w:fill="auto"/>
            <w:noWrap/>
            <w:vAlign w:val="bottom"/>
            <w:hideMark/>
          </w:tcPr>
          <w:p w14:paraId="1A69503F"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33 (30.8%)</w:t>
            </w:r>
          </w:p>
        </w:tc>
        <w:tc>
          <w:tcPr>
            <w:tcW w:w="2264" w:type="dxa"/>
            <w:tcBorders>
              <w:top w:val="nil"/>
              <w:left w:val="nil"/>
              <w:bottom w:val="nil"/>
              <w:right w:val="nil"/>
            </w:tcBorders>
            <w:shd w:val="clear" w:color="auto" w:fill="auto"/>
            <w:noWrap/>
            <w:vAlign w:val="bottom"/>
            <w:hideMark/>
          </w:tcPr>
          <w:p w14:paraId="553848BE"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87 (38.3%)</w:t>
            </w:r>
          </w:p>
        </w:tc>
        <w:tc>
          <w:tcPr>
            <w:tcW w:w="1091" w:type="dxa"/>
            <w:vMerge w:val="restart"/>
            <w:tcBorders>
              <w:top w:val="nil"/>
              <w:left w:val="nil"/>
              <w:bottom w:val="nil"/>
              <w:right w:val="nil"/>
            </w:tcBorders>
            <w:shd w:val="clear" w:color="auto" w:fill="auto"/>
            <w:noWrap/>
            <w:vAlign w:val="center"/>
            <w:hideMark/>
          </w:tcPr>
          <w:p w14:paraId="6B4B8DC8"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0.183</w:t>
            </w:r>
          </w:p>
        </w:tc>
      </w:tr>
      <w:tr w:rsidR="00511217" w:rsidRPr="00511217" w14:paraId="2C9AFD60" w14:textId="77777777" w:rsidTr="00511217">
        <w:trPr>
          <w:trHeight w:val="310"/>
        </w:trPr>
        <w:tc>
          <w:tcPr>
            <w:tcW w:w="3190" w:type="dxa"/>
            <w:tcBorders>
              <w:top w:val="nil"/>
              <w:left w:val="nil"/>
              <w:bottom w:val="nil"/>
              <w:right w:val="nil"/>
            </w:tcBorders>
            <w:shd w:val="clear" w:color="auto" w:fill="auto"/>
            <w:noWrap/>
            <w:vAlign w:val="bottom"/>
            <w:hideMark/>
          </w:tcPr>
          <w:p w14:paraId="0E222EDB"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xml:space="preserve">  Females</w:t>
            </w:r>
          </w:p>
        </w:tc>
        <w:tc>
          <w:tcPr>
            <w:tcW w:w="1940" w:type="dxa"/>
            <w:tcBorders>
              <w:top w:val="nil"/>
              <w:left w:val="nil"/>
              <w:bottom w:val="nil"/>
              <w:right w:val="nil"/>
            </w:tcBorders>
            <w:shd w:val="clear" w:color="auto" w:fill="auto"/>
            <w:noWrap/>
            <w:vAlign w:val="bottom"/>
            <w:hideMark/>
          </w:tcPr>
          <w:p w14:paraId="506C302B"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74 (69.2%)</w:t>
            </w:r>
          </w:p>
        </w:tc>
        <w:tc>
          <w:tcPr>
            <w:tcW w:w="2264" w:type="dxa"/>
            <w:tcBorders>
              <w:top w:val="nil"/>
              <w:left w:val="nil"/>
              <w:bottom w:val="nil"/>
              <w:right w:val="nil"/>
            </w:tcBorders>
            <w:shd w:val="clear" w:color="auto" w:fill="auto"/>
            <w:noWrap/>
            <w:vAlign w:val="bottom"/>
            <w:hideMark/>
          </w:tcPr>
          <w:p w14:paraId="6180CCB1"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140 (61.7%)</w:t>
            </w:r>
          </w:p>
        </w:tc>
        <w:tc>
          <w:tcPr>
            <w:tcW w:w="1091" w:type="dxa"/>
            <w:vMerge/>
            <w:tcBorders>
              <w:top w:val="nil"/>
              <w:left w:val="nil"/>
              <w:bottom w:val="nil"/>
              <w:right w:val="nil"/>
            </w:tcBorders>
            <w:vAlign w:val="center"/>
            <w:hideMark/>
          </w:tcPr>
          <w:p w14:paraId="253991CC" w14:textId="77777777" w:rsidR="00511217" w:rsidRPr="00511217" w:rsidRDefault="00511217" w:rsidP="00511217">
            <w:pPr>
              <w:widowControl/>
              <w:jc w:val="left"/>
              <w:rPr>
                <w:rFonts w:ascii="Arial" w:eastAsia="Times New Roman" w:hAnsi="Arial" w:cs="Arial"/>
                <w:color w:val="000000"/>
                <w:kern w:val="0"/>
                <w:sz w:val="24"/>
                <w:szCs w:val="24"/>
                <w:lang w:val="en-GB" w:eastAsia="en-GB"/>
              </w:rPr>
            </w:pPr>
          </w:p>
        </w:tc>
      </w:tr>
      <w:tr w:rsidR="00511217" w:rsidRPr="00511217" w14:paraId="246E5467" w14:textId="77777777" w:rsidTr="00511217">
        <w:trPr>
          <w:trHeight w:val="310"/>
        </w:trPr>
        <w:tc>
          <w:tcPr>
            <w:tcW w:w="3190" w:type="dxa"/>
            <w:tcBorders>
              <w:top w:val="nil"/>
              <w:left w:val="nil"/>
              <w:bottom w:val="nil"/>
              <w:right w:val="nil"/>
            </w:tcBorders>
            <w:shd w:val="clear" w:color="auto" w:fill="auto"/>
            <w:noWrap/>
            <w:vAlign w:val="bottom"/>
            <w:hideMark/>
          </w:tcPr>
          <w:p w14:paraId="50F7238A"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Age (mean (SD)) (years)</w:t>
            </w:r>
          </w:p>
        </w:tc>
        <w:tc>
          <w:tcPr>
            <w:tcW w:w="1940" w:type="dxa"/>
            <w:tcBorders>
              <w:top w:val="nil"/>
              <w:left w:val="nil"/>
              <w:bottom w:val="nil"/>
              <w:right w:val="nil"/>
            </w:tcBorders>
            <w:shd w:val="clear" w:color="auto" w:fill="auto"/>
            <w:noWrap/>
            <w:vAlign w:val="bottom"/>
            <w:hideMark/>
          </w:tcPr>
          <w:p w14:paraId="341B52E7"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64.4 (7.9)</w:t>
            </w:r>
          </w:p>
        </w:tc>
        <w:tc>
          <w:tcPr>
            <w:tcW w:w="2264" w:type="dxa"/>
            <w:tcBorders>
              <w:top w:val="nil"/>
              <w:left w:val="nil"/>
              <w:bottom w:val="nil"/>
              <w:right w:val="nil"/>
            </w:tcBorders>
            <w:shd w:val="clear" w:color="auto" w:fill="auto"/>
            <w:noWrap/>
            <w:vAlign w:val="bottom"/>
            <w:hideMark/>
          </w:tcPr>
          <w:p w14:paraId="174845BB"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61.9 (8.9)</w:t>
            </w:r>
          </w:p>
        </w:tc>
        <w:tc>
          <w:tcPr>
            <w:tcW w:w="1091" w:type="dxa"/>
            <w:tcBorders>
              <w:top w:val="nil"/>
              <w:left w:val="nil"/>
              <w:bottom w:val="nil"/>
              <w:right w:val="nil"/>
            </w:tcBorders>
            <w:shd w:val="clear" w:color="auto" w:fill="auto"/>
            <w:noWrap/>
            <w:vAlign w:val="bottom"/>
            <w:hideMark/>
          </w:tcPr>
          <w:p w14:paraId="4AA7DA4B"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0.014</w:t>
            </w:r>
          </w:p>
        </w:tc>
      </w:tr>
      <w:tr w:rsidR="00511217" w:rsidRPr="00511217" w14:paraId="0C673D66" w14:textId="77777777" w:rsidTr="00511217">
        <w:trPr>
          <w:trHeight w:val="350"/>
        </w:trPr>
        <w:tc>
          <w:tcPr>
            <w:tcW w:w="3190" w:type="dxa"/>
            <w:tcBorders>
              <w:top w:val="nil"/>
              <w:left w:val="nil"/>
              <w:bottom w:val="nil"/>
              <w:right w:val="nil"/>
            </w:tcBorders>
            <w:shd w:val="clear" w:color="auto" w:fill="auto"/>
            <w:noWrap/>
            <w:vAlign w:val="bottom"/>
            <w:hideMark/>
          </w:tcPr>
          <w:p w14:paraId="37A8AF23"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BMI (mean (SD)) (kg/m</w:t>
            </w:r>
            <w:r w:rsidRPr="00511217">
              <w:rPr>
                <w:rFonts w:ascii="Arial" w:eastAsia="Times New Roman" w:hAnsi="Arial" w:cs="Arial"/>
                <w:b/>
                <w:bCs/>
                <w:color w:val="000000"/>
                <w:kern w:val="0"/>
                <w:sz w:val="24"/>
                <w:szCs w:val="24"/>
                <w:vertAlign w:val="superscript"/>
                <w:lang w:val="en-GB" w:eastAsia="en-GB"/>
              </w:rPr>
              <w:t>2</w:t>
            </w:r>
            <w:r w:rsidRPr="00511217">
              <w:rPr>
                <w:rFonts w:ascii="Arial" w:eastAsia="Times New Roman" w:hAnsi="Arial" w:cs="Arial"/>
                <w:b/>
                <w:bCs/>
                <w:color w:val="000000"/>
                <w:kern w:val="0"/>
                <w:sz w:val="24"/>
                <w:szCs w:val="24"/>
                <w:lang w:val="en-GB" w:eastAsia="en-GB"/>
              </w:rPr>
              <w:t>)</w:t>
            </w:r>
          </w:p>
        </w:tc>
        <w:tc>
          <w:tcPr>
            <w:tcW w:w="1940" w:type="dxa"/>
            <w:tcBorders>
              <w:top w:val="nil"/>
              <w:left w:val="nil"/>
              <w:bottom w:val="nil"/>
              <w:right w:val="nil"/>
            </w:tcBorders>
            <w:shd w:val="clear" w:color="auto" w:fill="auto"/>
            <w:noWrap/>
            <w:vAlign w:val="bottom"/>
            <w:hideMark/>
          </w:tcPr>
          <w:p w14:paraId="5D53A2A3"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23.4 (3.7)</w:t>
            </w:r>
          </w:p>
        </w:tc>
        <w:tc>
          <w:tcPr>
            <w:tcW w:w="2264" w:type="dxa"/>
            <w:tcBorders>
              <w:top w:val="nil"/>
              <w:left w:val="nil"/>
              <w:bottom w:val="nil"/>
              <w:right w:val="nil"/>
            </w:tcBorders>
            <w:shd w:val="clear" w:color="auto" w:fill="auto"/>
            <w:noWrap/>
            <w:vAlign w:val="bottom"/>
            <w:hideMark/>
          </w:tcPr>
          <w:p w14:paraId="6C9327A5"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22.1 (3.2)</w:t>
            </w:r>
          </w:p>
        </w:tc>
        <w:tc>
          <w:tcPr>
            <w:tcW w:w="1091" w:type="dxa"/>
            <w:tcBorders>
              <w:top w:val="nil"/>
              <w:left w:val="nil"/>
              <w:bottom w:val="nil"/>
              <w:right w:val="nil"/>
            </w:tcBorders>
            <w:shd w:val="clear" w:color="auto" w:fill="auto"/>
            <w:noWrap/>
            <w:vAlign w:val="bottom"/>
            <w:hideMark/>
          </w:tcPr>
          <w:p w14:paraId="6464DC60"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0.002</w:t>
            </w:r>
          </w:p>
        </w:tc>
      </w:tr>
      <w:tr w:rsidR="00511217" w:rsidRPr="00511217" w14:paraId="3AAB967E" w14:textId="77777777" w:rsidTr="00511217">
        <w:trPr>
          <w:trHeight w:val="310"/>
        </w:trPr>
        <w:tc>
          <w:tcPr>
            <w:tcW w:w="3190" w:type="dxa"/>
            <w:tcBorders>
              <w:top w:val="nil"/>
              <w:left w:val="nil"/>
              <w:bottom w:val="nil"/>
              <w:right w:val="nil"/>
            </w:tcBorders>
            <w:shd w:val="clear" w:color="auto" w:fill="auto"/>
            <w:noWrap/>
            <w:vAlign w:val="bottom"/>
            <w:hideMark/>
          </w:tcPr>
          <w:p w14:paraId="6FAB2275"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LBP</w:t>
            </w:r>
          </w:p>
        </w:tc>
        <w:tc>
          <w:tcPr>
            <w:tcW w:w="1940" w:type="dxa"/>
            <w:tcBorders>
              <w:top w:val="nil"/>
              <w:left w:val="nil"/>
              <w:bottom w:val="nil"/>
              <w:right w:val="nil"/>
            </w:tcBorders>
            <w:shd w:val="clear" w:color="auto" w:fill="auto"/>
            <w:noWrap/>
            <w:vAlign w:val="bottom"/>
            <w:hideMark/>
          </w:tcPr>
          <w:p w14:paraId="1355C962"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58 (54.2%)</w:t>
            </w:r>
          </w:p>
        </w:tc>
        <w:tc>
          <w:tcPr>
            <w:tcW w:w="2264" w:type="dxa"/>
            <w:tcBorders>
              <w:top w:val="nil"/>
              <w:left w:val="nil"/>
              <w:bottom w:val="nil"/>
              <w:right w:val="nil"/>
            </w:tcBorders>
            <w:shd w:val="clear" w:color="auto" w:fill="auto"/>
            <w:noWrap/>
            <w:vAlign w:val="bottom"/>
            <w:hideMark/>
          </w:tcPr>
          <w:p w14:paraId="5D1B7736"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54 (23.8%)</w:t>
            </w:r>
          </w:p>
        </w:tc>
        <w:tc>
          <w:tcPr>
            <w:tcW w:w="1091" w:type="dxa"/>
            <w:tcBorders>
              <w:top w:val="nil"/>
              <w:left w:val="nil"/>
              <w:bottom w:val="nil"/>
              <w:right w:val="nil"/>
            </w:tcBorders>
            <w:shd w:val="clear" w:color="auto" w:fill="auto"/>
            <w:noWrap/>
            <w:vAlign w:val="bottom"/>
            <w:hideMark/>
          </w:tcPr>
          <w:p w14:paraId="01B93ED1"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&lt;0.0001</w:t>
            </w:r>
          </w:p>
        </w:tc>
      </w:tr>
      <w:tr w:rsidR="00511217" w:rsidRPr="00511217" w14:paraId="5F3083C3" w14:textId="77777777" w:rsidTr="00511217">
        <w:trPr>
          <w:trHeight w:val="310"/>
        </w:trPr>
        <w:tc>
          <w:tcPr>
            <w:tcW w:w="3190" w:type="dxa"/>
            <w:tcBorders>
              <w:top w:val="nil"/>
              <w:left w:val="nil"/>
              <w:bottom w:val="nil"/>
              <w:right w:val="nil"/>
            </w:tcBorders>
            <w:shd w:val="clear" w:color="auto" w:fill="auto"/>
            <w:noWrap/>
            <w:vAlign w:val="bottom"/>
            <w:hideMark/>
          </w:tcPr>
          <w:p w14:paraId="63B92CF3"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LSS</w:t>
            </w:r>
          </w:p>
        </w:tc>
        <w:tc>
          <w:tcPr>
            <w:tcW w:w="1940" w:type="dxa"/>
            <w:tcBorders>
              <w:top w:val="nil"/>
              <w:left w:val="nil"/>
              <w:bottom w:val="nil"/>
              <w:right w:val="nil"/>
            </w:tcBorders>
            <w:shd w:val="clear" w:color="auto" w:fill="auto"/>
            <w:noWrap/>
            <w:vAlign w:val="bottom"/>
            <w:hideMark/>
          </w:tcPr>
          <w:p w14:paraId="51FE5A91"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15 (14.0%)</w:t>
            </w:r>
          </w:p>
        </w:tc>
        <w:tc>
          <w:tcPr>
            <w:tcW w:w="2264" w:type="dxa"/>
            <w:tcBorders>
              <w:top w:val="nil"/>
              <w:left w:val="nil"/>
              <w:bottom w:val="nil"/>
              <w:right w:val="nil"/>
            </w:tcBorders>
            <w:shd w:val="clear" w:color="auto" w:fill="auto"/>
            <w:noWrap/>
            <w:vAlign w:val="bottom"/>
            <w:hideMark/>
          </w:tcPr>
          <w:p w14:paraId="25E542EC"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8 (3.5%)</w:t>
            </w:r>
          </w:p>
        </w:tc>
        <w:tc>
          <w:tcPr>
            <w:tcW w:w="1091" w:type="dxa"/>
            <w:tcBorders>
              <w:top w:val="nil"/>
              <w:left w:val="nil"/>
              <w:bottom w:val="nil"/>
              <w:right w:val="nil"/>
            </w:tcBorders>
            <w:shd w:val="clear" w:color="auto" w:fill="auto"/>
            <w:noWrap/>
            <w:vAlign w:val="bottom"/>
            <w:hideMark/>
          </w:tcPr>
          <w:p w14:paraId="67450DD5"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0.004</w:t>
            </w:r>
          </w:p>
        </w:tc>
      </w:tr>
      <w:tr w:rsidR="00511217" w:rsidRPr="00511217" w14:paraId="099145EE" w14:textId="77777777" w:rsidTr="00511217">
        <w:trPr>
          <w:trHeight w:val="310"/>
        </w:trPr>
        <w:tc>
          <w:tcPr>
            <w:tcW w:w="3190" w:type="dxa"/>
            <w:tcBorders>
              <w:top w:val="nil"/>
              <w:left w:val="nil"/>
              <w:bottom w:val="nil"/>
              <w:right w:val="nil"/>
            </w:tcBorders>
            <w:shd w:val="clear" w:color="auto" w:fill="auto"/>
            <w:noWrap/>
            <w:vAlign w:val="bottom"/>
            <w:hideMark/>
          </w:tcPr>
          <w:p w14:paraId="633BB272"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KOA</w:t>
            </w:r>
          </w:p>
        </w:tc>
        <w:tc>
          <w:tcPr>
            <w:tcW w:w="1940" w:type="dxa"/>
            <w:tcBorders>
              <w:top w:val="nil"/>
              <w:left w:val="nil"/>
              <w:bottom w:val="nil"/>
              <w:right w:val="nil"/>
            </w:tcBorders>
            <w:shd w:val="clear" w:color="auto" w:fill="auto"/>
            <w:noWrap/>
            <w:vAlign w:val="bottom"/>
            <w:hideMark/>
          </w:tcPr>
          <w:p w14:paraId="04399AC1"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32 (30.2%)</w:t>
            </w:r>
          </w:p>
        </w:tc>
        <w:tc>
          <w:tcPr>
            <w:tcW w:w="2264" w:type="dxa"/>
            <w:tcBorders>
              <w:top w:val="nil"/>
              <w:left w:val="nil"/>
              <w:bottom w:val="nil"/>
              <w:right w:val="nil"/>
            </w:tcBorders>
            <w:shd w:val="clear" w:color="auto" w:fill="auto"/>
            <w:noWrap/>
            <w:vAlign w:val="bottom"/>
            <w:hideMark/>
          </w:tcPr>
          <w:p w14:paraId="30F2A1B3"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21(9.3%)</w:t>
            </w:r>
          </w:p>
        </w:tc>
        <w:tc>
          <w:tcPr>
            <w:tcW w:w="1091" w:type="dxa"/>
            <w:tcBorders>
              <w:top w:val="nil"/>
              <w:left w:val="nil"/>
              <w:bottom w:val="nil"/>
              <w:right w:val="nil"/>
            </w:tcBorders>
            <w:shd w:val="clear" w:color="auto" w:fill="auto"/>
            <w:noWrap/>
            <w:vAlign w:val="bottom"/>
            <w:hideMark/>
          </w:tcPr>
          <w:p w14:paraId="673223B8"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&lt;0.0001</w:t>
            </w:r>
          </w:p>
        </w:tc>
      </w:tr>
      <w:tr w:rsidR="00511217" w:rsidRPr="00511217" w14:paraId="3D6DF243" w14:textId="77777777" w:rsidTr="00511217">
        <w:trPr>
          <w:trHeight w:val="350"/>
        </w:trPr>
        <w:tc>
          <w:tcPr>
            <w:tcW w:w="3190" w:type="dxa"/>
            <w:tcBorders>
              <w:top w:val="nil"/>
              <w:left w:val="nil"/>
              <w:bottom w:val="nil"/>
              <w:right w:val="nil"/>
            </w:tcBorders>
            <w:shd w:val="clear" w:color="auto" w:fill="auto"/>
            <w:noWrap/>
            <w:vAlign w:val="bottom"/>
            <w:hideMark/>
          </w:tcPr>
          <w:p w14:paraId="25346725"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BMD (g/cm</w:t>
            </w:r>
            <w:r w:rsidRPr="00511217">
              <w:rPr>
                <w:rFonts w:ascii="Arial" w:eastAsia="Times New Roman" w:hAnsi="Arial" w:cs="Arial"/>
                <w:b/>
                <w:bCs/>
                <w:color w:val="000000"/>
                <w:kern w:val="0"/>
                <w:sz w:val="24"/>
                <w:szCs w:val="24"/>
                <w:vertAlign w:val="superscript"/>
                <w:lang w:val="en-GB" w:eastAsia="en-GB"/>
              </w:rPr>
              <w:t>2</w:t>
            </w:r>
            <w:r w:rsidRPr="00511217">
              <w:rPr>
                <w:rFonts w:ascii="Arial" w:eastAsia="Times New Roman" w:hAnsi="Arial" w:cs="Arial"/>
                <w:b/>
                <w:bCs/>
                <w:color w:val="000000"/>
                <w:kern w:val="0"/>
                <w:sz w:val="24"/>
                <w:szCs w:val="24"/>
                <w:lang w:val="en-GB" w:eastAsia="en-GB"/>
              </w:rPr>
              <w:t>)</w:t>
            </w:r>
          </w:p>
        </w:tc>
        <w:tc>
          <w:tcPr>
            <w:tcW w:w="1940" w:type="dxa"/>
            <w:tcBorders>
              <w:top w:val="nil"/>
              <w:left w:val="nil"/>
              <w:bottom w:val="nil"/>
              <w:right w:val="nil"/>
            </w:tcBorders>
            <w:shd w:val="clear" w:color="auto" w:fill="auto"/>
            <w:noWrap/>
            <w:vAlign w:val="bottom"/>
            <w:hideMark/>
          </w:tcPr>
          <w:p w14:paraId="6665CC4F"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p>
        </w:tc>
        <w:tc>
          <w:tcPr>
            <w:tcW w:w="2264" w:type="dxa"/>
            <w:tcBorders>
              <w:top w:val="nil"/>
              <w:left w:val="nil"/>
              <w:bottom w:val="nil"/>
              <w:right w:val="nil"/>
            </w:tcBorders>
            <w:shd w:val="clear" w:color="auto" w:fill="auto"/>
            <w:noWrap/>
            <w:vAlign w:val="bottom"/>
            <w:hideMark/>
          </w:tcPr>
          <w:p w14:paraId="6A5BD2AE" w14:textId="77777777" w:rsidR="00511217" w:rsidRPr="00511217" w:rsidRDefault="00511217" w:rsidP="00511217">
            <w:pPr>
              <w:widowControl/>
              <w:jc w:val="center"/>
              <w:rPr>
                <w:rFonts w:ascii="Times New Roman" w:eastAsia="Times New Roman" w:hAnsi="Times New Roman" w:cs="Times New Roman"/>
                <w:kern w:val="0"/>
                <w:sz w:val="20"/>
                <w:szCs w:val="20"/>
                <w:lang w:val="en-GB" w:eastAsia="en-GB"/>
              </w:rPr>
            </w:pPr>
          </w:p>
        </w:tc>
        <w:tc>
          <w:tcPr>
            <w:tcW w:w="1091" w:type="dxa"/>
            <w:tcBorders>
              <w:top w:val="nil"/>
              <w:left w:val="nil"/>
              <w:bottom w:val="nil"/>
              <w:right w:val="nil"/>
            </w:tcBorders>
            <w:shd w:val="clear" w:color="auto" w:fill="auto"/>
            <w:noWrap/>
            <w:vAlign w:val="bottom"/>
            <w:hideMark/>
          </w:tcPr>
          <w:p w14:paraId="5FAE5133" w14:textId="77777777" w:rsidR="00511217" w:rsidRPr="00511217" w:rsidRDefault="00511217" w:rsidP="00511217">
            <w:pPr>
              <w:widowControl/>
              <w:jc w:val="center"/>
              <w:rPr>
                <w:rFonts w:ascii="Times New Roman" w:eastAsia="Times New Roman" w:hAnsi="Times New Roman" w:cs="Times New Roman"/>
                <w:kern w:val="0"/>
                <w:sz w:val="20"/>
                <w:szCs w:val="20"/>
                <w:lang w:val="en-GB" w:eastAsia="en-GB"/>
              </w:rPr>
            </w:pPr>
          </w:p>
        </w:tc>
      </w:tr>
      <w:tr w:rsidR="00511217" w:rsidRPr="00511217" w14:paraId="519BEE7F" w14:textId="77777777" w:rsidTr="00511217">
        <w:trPr>
          <w:trHeight w:val="310"/>
        </w:trPr>
        <w:tc>
          <w:tcPr>
            <w:tcW w:w="3190" w:type="dxa"/>
            <w:tcBorders>
              <w:top w:val="nil"/>
              <w:left w:val="nil"/>
              <w:bottom w:val="nil"/>
              <w:right w:val="nil"/>
            </w:tcBorders>
            <w:shd w:val="clear" w:color="auto" w:fill="auto"/>
            <w:noWrap/>
            <w:vAlign w:val="bottom"/>
            <w:hideMark/>
          </w:tcPr>
          <w:p w14:paraId="3DF3BAEC"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xml:space="preserve">  Femoral Neck</w:t>
            </w:r>
          </w:p>
        </w:tc>
        <w:tc>
          <w:tcPr>
            <w:tcW w:w="1940" w:type="dxa"/>
            <w:tcBorders>
              <w:top w:val="nil"/>
              <w:left w:val="nil"/>
              <w:bottom w:val="nil"/>
              <w:right w:val="nil"/>
            </w:tcBorders>
            <w:shd w:val="clear" w:color="auto" w:fill="auto"/>
            <w:noWrap/>
            <w:vAlign w:val="bottom"/>
            <w:hideMark/>
          </w:tcPr>
          <w:p w14:paraId="4A56CD9F"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0.88 (0.14)</w:t>
            </w:r>
          </w:p>
        </w:tc>
        <w:tc>
          <w:tcPr>
            <w:tcW w:w="2264" w:type="dxa"/>
            <w:tcBorders>
              <w:top w:val="nil"/>
              <w:left w:val="nil"/>
              <w:bottom w:val="nil"/>
              <w:right w:val="nil"/>
            </w:tcBorders>
            <w:shd w:val="clear" w:color="auto" w:fill="auto"/>
            <w:noWrap/>
            <w:vAlign w:val="bottom"/>
            <w:hideMark/>
          </w:tcPr>
          <w:p w14:paraId="7F1B1716"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0.88 (0.15)</w:t>
            </w:r>
          </w:p>
        </w:tc>
        <w:tc>
          <w:tcPr>
            <w:tcW w:w="1091" w:type="dxa"/>
            <w:tcBorders>
              <w:top w:val="nil"/>
              <w:left w:val="nil"/>
              <w:bottom w:val="nil"/>
              <w:right w:val="nil"/>
            </w:tcBorders>
            <w:shd w:val="clear" w:color="auto" w:fill="auto"/>
            <w:noWrap/>
            <w:vAlign w:val="bottom"/>
            <w:hideMark/>
          </w:tcPr>
          <w:p w14:paraId="4D51AE63"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0.82</w:t>
            </w:r>
          </w:p>
        </w:tc>
      </w:tr>
      <w:tr w:rsidR="00511217" w:rsidRPr="00511217" w14:paraId="35CD4DDD" w14:textId="77777777" w:rsidTr="00511217">
        <w:trPr>
          <w:trHeight w:val="310"/>
        </w:trPr>
        <w:tc>
          <w:tcPr>
            <w:tcW w:w="3190" w:type="dxa"/>
            <w:tcBorders>
              <w:top w:val="nil"/>
              <w:left w:val="nil"/>
              <w:bottom w:val="nil"/>
              <w:right w:val="nil"/>
            </w:tcBorders>
            <w:shd w:val="clear" w:color="auto" w:fill="auto"/>
            <w:noWrap/>
            <w:vAlign w:val="bottom"/>
            <w:hideMark/>
          </w:tcPr>
          <w:p w14:paraId="66195281"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xml:space="preserve">  Lumbar</w:t>
            </w:r>
          </w:p>
        </w:tc>
        <w:tc>
          <w:tcPr>
            <w:tcW w:w="1940" w:type="dxa"/>
            <w:tcBorders>
              <w:top w:val="nil"/>
              <w:left w:val="nil"/>
              <w:bottom w:val="nil"/>
              <w:right w:val="nil"/>
            </w:tcBorders>
            <w:shd w:val="clear" w:color="auto" w:fill="auto"/>
            <w:noWrap/>
            <w:vAlign w:val="bottom"/>
            <w:hideMark/>
          </w:tcPr>
          <w:p w14:paraId="747F0CEE"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1.12 (0.23)</w:t>
            </w:r>
          </w:p>
        </w:tc>
        <w:tc>
          <w:tcPr>
            <w:tcW w:w="2264" w:type="dxa"/>
            <w:tcBorders>
              <w:top w:val="nil"/>
              <w:left w:val="nil"/>
              <w:bottom w:val="nil"/>
              <w:right w:val="nil"/>
            </w:tcBorders>
            <w:shd w:val="clear" w:color="auto" w:fill="auto"/>
            <w:noWrap/>
            <w:vAlign w:val="bottom"/>
            <w:hideMark/>
          </w:tcPr>
          <w:p w14:paraId="49200025"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1.10 (0.21)</w:t>
            </w:r>
          </w:p>
        </w:tc>
        <w:tc>
          <w:tcPr>
            <w:tcW w:w="1091" w:type="dxa"/>
            <w:tcBorders>
              <w:top w:val="nil"/>
              <w:left w:val="nil"/>
              <w:bottom w:val="nil"/>
              <w:right w:val="nil"/>
            </w:tcBorders>
            <w:shd w:val="clear" w:color="auto" w:fill="auto"/>
            <w:noWrap/>
            <w:vAlign w:val="bottom"/>
            <w:hideMark/>
          </w:tcPr>
          <w:p w14:paraId="6BB264AE"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0.44</w:t>
            </w:r>
          </w:p>
        </w:tc>
      </w:tr>
      <w:tr w:rsidR="00511217" w:rsidRPr="00511217" w14:paraId="558D19C7" w14:textId="77777777" w:rsidTr="00511217">
        <w:trPr>
          <w:trHeight w:val="310"/>
        </w:trPr>
        <w:tc>
          <w:tcPr>
            <w:tcW w:w="3190" w:type="dxa"/>
            <w:tcBorders>
              <w:top w:val="nil"/>
              <w:left w:val="nil"/>
              <w:bottom w:val="nil"/>
              <w:right w:val="nil"/>
            </w:tcBorders>
            <w:shd w:val="clear" w:color="auto" w:fill="auto"/>
            <w:noWrap/>
            <w:vAlign w:val="bottom"/>
            <w:hideMark/>
          </w:tcPr>
          <w:p w14:paraId="2030EB6F"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Radiographic features</w:t>
            </w:r>
          </w:p>
        </w:tc>
        <w:tc>
          <w:tcPr>
            <w:tcW w:w="1940" w:type="dxa"/>
            <w:tcBorders>
              <w:top w:val="nil"/>
              <w:left w:val="nil"/>
              <w:bottom w:val="nil"/>
              <w:right w:val="nil"/>
            </w:tcBorders>
            <w:shd w:val="clear" w:color="auto" w:fill="auto"/>
            <w:noWrap/>
            <w:vAlign w:val="bottom"/>
            <w:hideMark/>
          </w:tcPr>
          <w:p w14:paraId="0FC4B421"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p>
        </w:tc>
        <w:tc>
          <w:tcPr>
            <w:tcW w:w="2264" w:type="dxa"/>
            <w:tcBorders>
              <w:top w:val="nil"/>
              <w:left w:val="nil"/>
              <w:bottom w:val="nil"/>
              <w:right w:val="nil"/>
            </w:tcBorders>
            <w:shd w:val="clear" w:color="auto" w:fill="auto"/>
            <w:noWrap/>
            <w:vAlign w:val="bottom"/>
            <w:hideMark/>
          </w:tcPr>
          <w:p w14:paraId="083F0F50" w14:textId="77777777" w:rsidR="00511217" w:rsidRPr="00511217" w:rsidRDefault="00511217" w:rsidP="00511217">
            <w:pPr>
              <w:widowControl/>
              <w:jc w:val="center"/>
              <w:rPr>
                <w:rFonts w:ascii="Times New Roman" w:eastAsia="Times New Roman" w:hAnsi="Times New Roman" w:cs="Times New Roman"/>
                <w:kern w:val="0"/>
                <w:sz w:val="20"/>
                <w:szCs w:val="20"/>
                <w:lang w:val="en-GB" w:eastAsia="en-GB"/>
              </w:rPr>
            </w:pPr>
          </w:p>
        </w:tc>
        <w:tc>
          <w:tcPr>
            <w:tcW w:w="1091" w:type="dxa"/>
            <w:tcBorders>
              <w:top w:val="nil"/>
              <w:left w:val="nil"/>
              <w:bottom w:val="nil"/>
              <w:right w:val="nil"/>
            </w:tcBorders>
            <w:shd w:val="clear" w:color="auto" w:fill="auto"/>
            <w:noWrap/>
            <w:vAlign w:val="bottom"/>
            <w:hideMark/>
          </w:tcPr>
          <w:p w14:paraId="763B21D0" w14:textId="77777777" w:rsidR="00511217" w:rsidRPr="00511217" w:rsidRDefault="00511217" w:rsidP="00511217">
            <w:pPr>
              <w:widowControl/>
              <w:jc w:val="center"/>
              <w:rPr>
                <w:rFonts w:ascii="Times New Roman" w:eastAsia="Times New Roman" w:hAnsi="Times New Roman" w:cs="Times New Roman"/>
                <w:kern w:val="0"/>
                <w:sz w:val="20"/>
                <w:szCs w:val="20"/>
                <w:lang w:val="en-GB" w:eastAsia="en-GB"/>
              </w:rPr>
            </w:pPr>
          </w:p>
        </w:tc>
      </w:tr>
      <w:tr w:rsidR="00511217" w:rsidRPr="00511217" w14:paraId="2AEF348A" w14:textId="77777777" w:rsidTr="00511217">
        <w:trPr>
          <w:trHeight w:val="310"/>
        </w:trPr>
        <w:tc>
          <w:tcPr>
            <w:tcW w:w="3190" w:type="dxa"/>
            <w:tcBorders>
              <w:top w:val="nil"/>
              <w:left w:val="nil"/>
              <w:bottom w:val="nil"/>
              <w:right w:val="nil"/>
            </w:tcBorders>
            <w:shd w:val="clear" w:color="auto" w:fill="auto"/>
            <w:noWrap/>
            <w:vAlign w:val="bottom"/>
            <w:hideMark/>
          </w:tcPr>
          <w:p w14:paraId="2122D2D1"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xml:space="preserve">  LL  (L1-5) (°)</w:t>
            </w:r>
          </w:p>
        </w:tc>
        <w:tc>
          <w:tcPr>
            <w:tcW w:w="1940" w:type="dxa"/>
            <w:tcBorders>
              <w:top w:val="nil"/>
              <w:left w:val="nil"/>
              <w:bottom w:val="nil"/>
              <w:right w:val="nil"/>
            </w:tcBorders>
            <w:shd w:val="clear" w:color="auto" w:fill="auto"/>
            <w:noWrap/>
            <w:vAlign w:val="bottom"/>
            <w:hideMark/>
          </w:tcPr>
          <w:p w14:paraId="4FFE6880"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33.8 (12.4)</w:t>
            </w:r>
          </w:p>
        </w:tc>
        <w:tc>
          <w:tcPr>
            <w:tcW w:w="2264" w:type="dxa"/>
            <w:tcBorders>
              <w:top w:val="nil"/>
              <w:left w:val="nil"/>
              <w:bottom w:val="nil"/>
              <w:right w:val="nil"/>
            </w:tcBorders>
            <w:shd w:val="clear" w:color="auto" w:fill="auto"/>
            <w:noWrap/>
            <w:vAlign w:val="bottom"/>
            <w:hideMark/>
          </w:tcPr>
          <w:p w14:paraId="6DFBE8C3"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36.9 (13.0)</w:t>
            </w:r>
          </w:p>
        </w:tc>
        <w:tc>
          <w:tcPr>
            <w:tcW w:w="1091" w:type="dxa"/>
            <w:tcBorders>
              <w:top w:val="nil"/>
              <w:left w:val="nil"/>
              <w:bottom w:val="nil"/>
              <w:right w:val="nil"/>
            </w:tcBorders>
            <w:shd w:val="clear" w:color="auto" w:fill="auto"/>
            <w:noWrap/>
            <w:vAlign w:val="bottom"/>
            <w:hideMark/>
          </w:tcPr>
          <w:p w14:paraId="741D811D"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0.047</w:t>
            </w:r>
          </w:p>
        </w:tc>
      </w:tr>
      <w:tr w:rsidR="00511217" w:rsidRPr="00511217" w14:paraId="4BFA29D8" w14:textId="77777777" w:rsidTr="00511217">
        <w:trPr>
          <w:trHeight w:val="310"/>
        </w:trPr>
        <w:tc>
          <w:tcPr>
            <w:tcW w:w="3190" w:type="dxa"/>
            <w:tcBorders>
              <w:top w:val="nil"/>
              <w:left w:val="nil"/>
              <w:bottom w:val="nil"/>
              <w:right w:val="nil"/>
            </w:tcBorders>
            <w:shd w:val="clear" w:color="auto" w:fill="auto"/>
            <w:noWrap/>
            <w:vAlign w:val="bottom"/>
            <w:hideMark/>
          </w:tcPr>
          <w:p w14:paraId="35BF677A"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xml:space="preserve">  TK  (T1-12) (°)</w:t>
            </w:r>
          </w:p>
        </w:tc>
        <w:tc>
          <w:tcPr>
            <w:tcW w:w="1940" w:type="dxa"/>
            <w:tcBorders>
              <w:top w:val="nil"/>
              <w:left w:val="nil"/>
              <w:bottom w:val="nil"/>
              <w:right w:val="nil"/>
            </w:tcBorders>
            <w:shd w:val="clear" w:color="auto" w:fill="auto"/>
            <w:noWrap/>
            <w:vAlign w:val="bottom"/>
            <w:hideMark/>
          </w:tcPr>
          <w:p w14:paraId="0AF188E4"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36.7 (12.6)</w:t>
            </w:r>
          </w:p>
        </w:tc>
        <w:tc>
          <w:tcPr>
            <w:tcW w:w="2264" w:type="dxa"/>
            <w:tcBorders>
              <w:top w:val="nil"/>
              <w:left w:val="nil"/>
              <w:bottom w:val="nil"/>
              <w:right w:val="nil"/>
            </w:tcBorders>
            <w:shd w:val="clear" w:color="auto" w:fill="auto"/>
            <w:noWrap/>
            <w:vAlign w:val="bottom"/>
            <w:hideMark/>
          </w:tcPr>
          <w:p w14:paraId="6F1D56EF"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36.6 (10.7)</w:t>
            </w:r>
          </w:p>
        </w:tc>
        <w:tc>
          <w:tcPr>
            <w:tcW w:w="1091" w:type="dxa"/>
            <w:tcBorders>
              <w:top w:val="nil"/>
              <w:left w:val="nil"/>
              <w:bottom w:val="nil"/>
              <w:right w:val="nil"/>
            </w:tcBorders>
            <w:shd w:val="clear" w:color="auto" w:fill="auto"/>
            <w:noWrap/>
            <w:vAlign w:val="bottom"/>
            <w:hideMark/>
          </w:tcPr>
          <w:p w14:paraId="539D134C"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0.91</w:t>
            </w:r>
          </w:p>
        </w:tc>
      </w:tr>
      <w:tr w:rsidR="00511217" w:rsidRPr="00511217" w14:paraId="3CA0F8BC" w14:textId="77777777" w:rsidTr="00511217">
        <w:trPr>
          <w:trHeight w:val="320"/>
        </w:trPr>
        <w:tc>
          <w:tcPr>
            <w:tcW w:w="3190" w:type="dxa"/>
            <w:tcBorders>
              <w:top w:val="nil"/>
              <w:left w:val="nil"/>
              <w:bottom w:val="single" w:sz="8" w:space="0" w:color="auto"/>
              <w:right w:val="nil"/>
            </w:tcBorders>
            <w:shd w:val="clear" w:color="auto" w:fill="auto"/>
            <w:noWrap/>
            <w:vAlign w:val="bottom"/>
            <w:hideMark/>
          </w:tcPr>
          <w:p w14:paraId="57241823" w14:textId="77777777" w:rsidR="00511217" w:rsidRPr="00511217" w:rsidRDefault="00511217" w:rsidP="00511217">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xml:space="preserve">  SVA (cm)</w:t>
            </w:r>
          </w:p>
        </w:tc>
        <w:tc>
          <w:tcPr>
            <w:tcW w:w="1940" w:type="dxa"/>
            <w:tcBorders>
              <w:top w:val="nil"/>
              <w:left w:val="nil"/>
              <w:bottom w:val="single" w:sz="8" w:space="0" w:color="auto"/>
              <w:right w:val="nil"/>
            </w:tcBorders>
            <w:shd w:val="clear" w:color="auto" w:fill="auto"/>
            <w:noWrap/>
            <w:vAlign w:val="bottom"/>
            <w:hideMark/>
          </w:tcPr>
          <w:p w14:paraId="1EBEDA4C"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2.59 (3.8)</w:t>
            </w:r>
          </w:p>
        </w:tc>
        <w:tc>
          <w:tcPr>
            <w:tcW w:w="2264" w:type="dxa"/>
            <w:tcBorders>
              <w:top w:val="nil"/>
              <w:left w:val="nil"/>
              <w:bottom w:val="single" w:sz="8" w:space="0" w:color="auto"/>
              <w:right w:val="nil"/>
            </w:tcBorders>
            <w:shd w:val="clear" w:color="auto" w:fill="auto"/>
            <w:noWrap/>
            <w:vAlign w:val="bottom"/>
            <w:hideMark/>
          </w:tcPr>
          <w:p w14:paraId="1AC95873"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1.6 (3.1)</w:t>
            </w:r>
          </w:p>
        </w:tc>
        <w:tc>
          <w:tcPr>
            <w:tcW w:w="1091" w:type="dxa"/>
            <w:tcBorders>
              <w:top w:val="nil"/>
              <w:left w:val="nil"/>
              <w:bottom w:val="single" w:sz="8" w:space="0" w:color="auto"/>
              <w:right w:val="nil"/>
            </w:tcBorders>
            <w:shd w:val="clear" w:color="auto" w:fill="auto"/>
            <w:noWrap/>
            <w:vAlign w:val="bottom"/>
            <w:hideMark/>
          </w:tcPr>
          <w:p w14:paraId="3952E827" w14:textId="77777777" w:rsidR="00511217" w:rsidRPr="00511217" w:rsidRDefault="00511217" w:rsidP="00511217">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0.013</w:t>
            </w:r>
          </w:p>
        </w:tc>
      </w:tr>
      <w:tr w:rsidR="00511217" w:rsidRPr="00511217" w14:paraId="079D4A4E" w14:textId="77777777" w:rsidTr="00511217">
        <w:trPr>
          <w:trHeight w:val="657"/>
        </w:trPr>
        <w:tc>
          <w:tcPr>
            <w:tcW w:w="8485" w:type="dxa"/>
            <w:gridSpan w:val="4"/>
            <w:vMerge w:val="restart"/>
            <w:tcBorders>
              <w:top w:val="single" w:sz="8" w:space="0" w:color="auto"/>
              <w:left w:val="nil"/>
              <w:bottom w:val="nil"/>
              <w:right w:val="nil"/>
            </w:tcBorders>
            <w:shd w:val="clear" w:color="auto" w:fill="auto"/>
            <w:vAlign w:val="center"/>
            <w:hideMark/>
          </w:tcPr>
          <w:p w14:paraId="0673129A" w14:textId="77777777" w:rsidR="00511217" w:rsidRPr="00511217" w:rsidRDefault="00511217" w:rsidP="00511217">
            <w:pPr>
              <w:widowControl/>
              <w:jc w:val="left"/>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LBP: low back pain, LSS: lumbar spinal stenosis, KOA: knee osteoarthritis,</w:t>
            </w:r>
            <w:r w:rsidRPr="00511217">
              <w:rPr>
                <w:rFonts w:ascii="Arial" w:eastAsia="Times New Roman" w:hAnsi="Arial" w:cs="Arial"/>
                <w:color w:val="000000"/>
                <w:kern w:val="0"/>
                <w:sz w:val="24"/>
                <w:szCs w:val="24"/>
                <w:lang w:val="en-GB" w:eastAsia="en-GB"/>
              </w:rPr>
              <w:br/>
              <w:t>BMD: bone mineral density, LL: lumbar lordosis, TK: thoracic kyphosis,</w:t>
            </w:r>
            <w:r w:rsidRPr="00511217">
              <w:rPr>
                <w:rFonts w:ascii="Arial" w:eastAsia="Times New Roman" w:hAnsi="Arial" w:cs="Arial"/>
                <w:color w:val="000000"/>
                <w:kern w:val="0"/>
                <w:sz w:val="24"/>
                <w:szCs w:val="24"/>
                <w:lang w:val="en-GB" w:eastAsia="en-GB"/>
              </w:rPr>
              <w:br/>
              <w:t>SVA: sagittal vertical axis</w:t>
            </w:r>
          </w:p>
        </w:tc>
      </w:tr>
      <w:tr w:rsidR="00511217" w:rsidRPr="00511217" w14:paraId="64E8EB0E" w14:textId="77777777" w:rsidTr="00511217">
        <w:trPr>
          <w:trHeight w:val="657"/>
        </w:trPr>
        <w:tc>
          <w:tcPr>
            <w:tcW w:w="8485" w:type="dxa"/>
            <w:gridSpan w:val="4"/>
            <w:vMerge/>
            <w:tcBorders>
              <w:top w:val="single" w:sz="8" w:space="0" w:color="auto"/>
              <w:left w:val="nil"/>
              <w:bottom w:val="nil"/>
              <w:right w:val="nil"/>
            </w:tcBorders>
            <w:vAlign w:val="center"/>
            <w:hideMark/>
          </w:tcPr>
          <w:p w14:paraId="38385A31" w14:textId="77777777" w:rsidR="00511217" w:rsidRPr="00511217" w:rsidRDefault="00511217" w:rsidP="00511217">
            <w:pPr>
              <w:widowControl/>
              <w:jc w:val="left"/>
              <w:rPr>
                <w:rFonts w:ascii="Arial" w:eastAsia="Times New Roman" w:hAnsi="Arial" w:cs="Arial"/>
                <w:color w:val="000000"/>
                <w:kern w:val="0"/>
                <w:sz w:val="24"/>
                <w:szCs w:val="24"/>
                <w:lang w:val="en-GB" w:eastAsia="en-GB"/>
              </w:rPr>
            </w:pPr>
          </w:p>
        </w:tc>
      </w:tr>
      <w:tr w:rsidR="00511217" w:rsidRPr="00511217" w14:paraId="31564FD1" w14:textId="77777777" w:rsidTr="00511217">
        <w:trPr>
          <w:trHeight w:val="657"/>
        </w:trPr>
        <w:tc>
          <w:tcPr>
            <w:tcW w:w="8485" w:type="dxa"/>
            <w:gridSpan w:val="4"/>
            <w:vMerge/>
            <w:tcBorders>
              <w:top w:val="single" w:sz="8" w:space="0" w:color="auto"/>
              <w:left w:val="nil"/>
              <w:bottom w:val="nil"/>
              <w:right w:val="nil"/>
            </w:tcBorders>
            <w:vAlign w:val="center"/>
            <w:hideMark/>
          </w:tcPr>
          <w:p w14:paraId="568E6F72" w14:textId="77777777" w:rsidR="00511217" w:rsidRPr="00511217" w:rsidRDefault="00511217" w:rsidP="00511217">
            <w:pPr>
              <w:widowControl/>
              <w:jc w:val="left"/>
              <w:rPr>
                <w:rFonts w:ascii="Arial" w:eastAsia="Times New Roman" w:hAnsi="Arial" w:cs="Arial"/>
                <w:color w:val="000000"/>
                <w:kern w:val="0"/>
                <w:sz w:val="24"/>
                <w:szCs w:val="24"/>
                <w:lang w:val="en-GB" w:eastAsia="en-GB"/>
              </w:rPr>
            </w:pPr>
          </w:p>
        </w:tc>
      </w:tr>
    </w:tbl>
    <w:p w14:paraId="42C8759C" w14:textId="77777777" w:rsidR="00511217" w:rsidRDefault="00511217" w:rsidP="00B26F1C">
      <w:pPr>
        <w:adjustRightInd w:val="0"/>
        <w:snapToGrid w:val="0"/>
        <w:ind w:left="864" w:hanging="864"/>
        <w:jc w:val="left"/>
        <w:rPr>
          <w:rFonts w:asciiTheme="majorHAnsi" w:eastAsia="MS PGothic" w:hAnsiTheme="majorHAnsi" w:cstheme="majorHAnsi"/>
          <w:sz w:val="32"/>
          <w:szCs w:val="24"/>
        </w:rPr>
        <w:sectPr w:rsidR="00511217">
          <w:footerReference w:type="even" r:id="rId9"/>
          <w:footerReference w:type="default" r:id="rId10"/>
          <w:pgSz w:w="11906" w:h="16838"/>
          <w:pgMar w:top="1985" w:right="1701" w:bottom="1701" w:left="1701" w:header="851" w:footer="992" w:gutter="0"/>
          <w:cols w:space="425"/>
          <w:docGrid w:type="lines" w:linePitch="657"/>
        </w:sectPr>
      </w:pPr>
    </w:p>
    <w:tbl>
      <w:tblPr>
        <w:tblpPr w:leftFromText="180" w:rightFromText="180" w:vertAnchor="text" w:horzAnchor="margin" w:tblpY="-428"/>
        <w:tblW w:w="13892" w:type="dxa"/>
        <w:tblLook w:val="04A0" w:firstRow="1" w:lastRow="0" w:firstColumn="1" w:lastColumn="0" w:noHBand="0" w:noVBand="1"/>
      </w:tblPr>
      <w:tblGrid>
        <w:gridCol w:w="2835"/>
        <w:gridCol w:w="993"/>
        <w:gridCol w:w="1417"/>
        <w:gridCol w:w="1276"/>
        <w:gridCol w:w="684"/>
        <w:gridCol w:w="1300"/>
        <w:gridCol w:w="1560"/>
        <w:gridCol w:w="992"/>
        <w:gridCol w:w="1559"/>
        <w:gridCol w:w="1276"/>
      </w:tblGrid>
      <w:tr w:rsidR="00904196" w:rsidRPr="00511217" w14:paraId="50E7C0AB" w14:textId="77777777" w:rsidTr="00904196">
        <w:trPr>
          <w:trHeight w:val="320"/>
        </w:trPr>
        <w:tc>
          <w:tcPr>
            <w:tcW w:w="10065" w:type="dxa"/>
            <w:gridSpan w:val="7"/>
            <w:tcBorders>
              <w:top w:val="nil"/>
              <w:left w:val="nil"/>
              <w:bottom w:val="single" w:sz="8" w:space="0" w:color="auto"/>
              <w:right w:val="nil"/>
            </w:tcBorders>
            <w:shd w:val="clear" w:color="auto" w:fill="auto"/>
            <w:noWrap/>
            <w:vAlign w:val="bottom"/>
            <w:hideMark/>
          </w:tcPr>
          <w:p w14:paraId="0CF5CF51"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Table 2. Associations between predictors and risk of being a case (ODI &gt; 12)</w:t>
            </w:r>
          </w:p>
        </w:tc>
        <w:tc>
          <w:tcPr>
            <w:tcW w:w="992" w:type="dxa"/>
            <w:tcBorders>
              <w:top w:val="nil"/>
              <w:left w:val="nil"/>
              <w:bottom w:val="single" w:sz="8" w:space="0" w:color="auto"/>
              <w:right w:val="nil"/>
            </w:tcBorders>
            <w:shd w:val="clear" w:color="auto" w:fill="auto"/>
            <w:noWrap/>
            <w:vAlign w:val="bottom"/>
            <w:hideMark/>
          </w:tcPr>
          <w:p w14:paraId="4D1F0E2C"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B6F8D38"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w:t>
            </w:r>
          </w:p>
        </w:tc>
        <w:tc>
          <w:tcPr>
            <w:tcW w:w="1276" w:type="dxa"/>
            <w:tcBorders>
              <w:top w:val="nil"/>
              <w:left w:val="nil"/>
              <w:bottom w:val="single" w:sz="8" w:space="0" w:color="auto"/>
              <w:right w:val="nil"/>
            </w:tcBorders>
            <w:shd w:val="clear" w:color="auto" w:fill="auto"/>
            <w:noWrap/>
            <w:vAlign w:val="bottom"/>
            <w:hideMark/>
          </w:tcPr>
          <w:p w14:paraId="41897203"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w:t>
            </w:r>
          </w:p>
        </w:tc>
      </w:tr>
      <w:tr w:rsidR="00904196" w:rsidRPr="00511217" w14:paraId="75E9112D" w14:textId="77777777" w:rsidTr="00904196">
        <w:trPr>
          <w:trHeight w:val="310"/>
        </w:trPr>
        <w:tc>
          <w:tcPr>
            <w:tcW w:w="2835" w:type="dxa"/>
            <w:tcBorders>
              <w:top w:val="nil"/>
              <w:left w:val="nil"/>
              <w:bottom w:val="single" w:sz="4" w:space="0" w:color="auto"/>
              <w:right w:val="single" w:sz="4" w:space="0" w:color="auto"/>
            </w:tcBorders>
            <w:shd w:val="clear" w:color="auto" w:fill="auto"/>
            <w:noWrap/>
            <w:vAlign w:val="bottom"/>
            <w:hideMark/>
          </w:tcPr>
          <w:p w14:paraId="65D74952" w14:textId="77777777" w:rsidR="00904196" w:rsidRPr="00511217" w:rsidRDefault="00904196" w:rsidP="00904196">
            <w:pPr>
              <w:widowControl/>
              <w:jc w:val="left"/>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 </w:t>
            </w:r>
          </w:p>
        </w:tc>
        <w:tc>
          <w:tcPr>
            <w:tcW w:w="3686" w:type="dxa"/>
            <w:gridSpan w:val="3"/>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F24A988" w14:textId="77777777" w:rsidR="00904196" w:rsidRPr="00511217" w:rsidRDefault="00904196" w:rsidP="00904196">
            <w:pPr>
              <w:widowControl/>
              <w:jc w:val="center"/>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Model 1</w:t>
            </w:r>
          </w:p>
        </w:tc>
        <w:tc>
          <w:tcPr>
            <w:tcW w:w="3544" w:type="dxa"/>
            <w:gridSpan w:val="3"/>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C88789D" w14:textId="77777777" w:rsidR="00904196" w:rsidRPr="00511217" w:rsidRDefault="00904196" w:rsidP="00904196">
            <w:pPr>
              <w:widowControl/>
              <w:jc w:val="center"/>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Model 2</w:t>
            </w:r>
          </w:p>
        </w:tc>
        <w:tc>
          <w:tcPr>
            <w:tcW w:w="3827" w:type="dxa"/>
            <w:gridSpan w:val="3"/>
            <w:tcBorders>
              <w:top w:val="single" w:sz="8" w:space="0" w:color="auto"/>
              <w:left w:val="single" w:sz="4" w:space="0" w:color="auto"/>
              <w:bottom w:val="single" w:sz="4" w:space="0" w:color="auto"/>
              <w:right w:val="nil"/>
            </w:tcBorders>
            <w:shd w:val="clear" w:color="auto" w:fill="auto"/>
            <w:noWrap/>
            <w:vAlign w:val="bottom"/>
            <w:hideMark/>
          </w:tcPr>
          <w:p w14:paraId="6A87C6F8" w14:textId="77777777" w:rsidR="00904196" w:rsidRPr="00511217" w:rsidRDefault="00904196" w:rsidP="00904196">
            <w:pPr>
              <w:widowControl/>
              <w:jc w:val="center"/>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Model 3</w:t>
            </w:r>
          </w:p>
        </w:tc>
      </w:tr>
      <w:tr w:rsidR="00904196" w:rsidRPr="00511217" w14:paraId="1FEF19AC" w14:textId="77777777" w:rsidTr="00904196">
        <w:trPr>
          <w:trHeight w:val="310"/>
        </w:trPr>
        <w:tc>
          <w:tcPr>
            <w:tcW w:w="2835" w:type="dxa"/>
            <w:tcBorders>
              <w:top w:val="nil"/>
              <w:left w:val="nil"/>
              <w:bottom w:val="single" w:sz="4" w:space="0" w:color="auto"/>
              <w:right w:val="single" w:sz="4" w:space="0" w:color="auto"/>
            </w:tcBorders>
            <w:shd w:val="clear" w:color="auto" w:fill="auto"/>
            <w:noWrap/>
            <w:vAlign w:val="bottom"/>
            <w:hideMark/>
          </w:tcPr>
          <w:p w14:paraId="0944D992" w14:textId="77777777" w:rsidR="00904196" w:rsidRPr="00511217" w:rsidRDefault="00904196" w:rsidP="00904196">
            <w:pPr>
              <w:widowControl/>
              <w:jc w:val="left"/>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Predictors</w:t>
            </w:r>
          </w:p>
        </w:tc>
        <w:tc>
          <w:tcPr>
            <w:tcW w:w="993" w:type="dxa"/>
            <w:tcBorders>
              <w:top w:val="nil"/>
              <w:left w:val="single" w:sz="4" w:space="0" w:color="auto"/>
              <w:bottom w:val="single" w:sz="4" w:space="0" w:color="auto"/>
              <w:right w:val="nil"/>
            </w:tcBorders>
            <w:shd w:val="clear" w:color="auto" w:fill="auto"/>
            <w:noWrap/>
            <w:vAlign w:val="bottom"/>
            <w:hideMark/>
          </w:tcPr>
          <w:p w14:paraId="315B7102"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OR</w:t>
            </w:r>
          </w:p>
        </w:tc>
        <w:tc>
          <w:tcPr>
            <w:tcW w:w="1417" w:type="dxa"/>
            <w:tcBorders>
              <w:top w:val="nil"/>
              <w:left w:val="nil"/>
              <w:bottom w:val="single" w:sz="4" w:space="0" w:color="auto"/>
              <w:right w:val="nil"/>
            </w:tcBorders>
            <w:shd w:val="clear" w:color="auto" w:fill="auto"/>
            <w:noWrap/>
            <w:vAlign w:val="bottom"/>
            <w:hideMark/>
          </w:tcPr>
          <w:p w14:paraId="1C0B31B2"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95% CIs</w:t>
            </w:r>
          </w:p>
        </w:tc>
        <w:tc>
          <w:tcPr>
            <w:tcW w:w="1276" w:type="dxa"/>
            <w:tcBorders>
              <w:top w:val="nil"/>
              <w:left w:val="nil"/>
              <w:bottom w:val="single" w:sz="4" w:space="0" w:color="auto"/>
              <w:right w:val="single" w:sz="4" w:space="0" w:color="auto"/>
            </w:tcBorders>
            <w:shd w:val="clear" w:color="auto" w:fill="auto"/>
            <w:noWrap/>
            <w:vAlign w:val="bottom"/>
            <w:hideMark/>
          </w:tcPr>
          <w:p w14:paraId="747E3694"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P</w:t>
            </w:r>
          </w:p>
        </w:tc>
        <w:tc>
          <w:tcPr>
            <w:tcW w:w="684" w:type="dxa"/>
            <w:tcBorders>
              <w:top w:val="nil"/>
              <w:left w:val="single" w:sz="4" w:space="0" w:color="auto"/>
              <w:bottom w:val="single" w:sz="4" w:space="0" w:color="auto"/>
              <w:right w:val="nil"/>
            </w:tcBorders>
            <w:shd w:val="clear" w:color="auto" w:fill="auto"/>
            <w:noWrap/>
            <w:vAlign w:val="bottom"/>
            <w:hideMark/>
          </w:tcPr>
          <w:p w14:paraId="2900BF75"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OR</w:t>
            </w:r>
          </w:p>
        </w:tc>
        <w:tc>
          <w:tcPr>
            <w:tcW w:w="1300" w:type="dxa"/>
            <w:tcBorders>
              <w:top w:val="nil"/>
              <w:left w:val="nil"/>
              <w:bottom w:val="single" w:sz="4" w:space="0" w:color="auto"/>
              <w:right w:val="nil"/>
            </w:tcBorders>
            <w:shd w:val="clear" w:color="auto" w:fill="auto"/>
            <w:noWrap/>
            <w:vAlign w:val="bottom"/>
            <w:hideMark/>
          </w:tcPr>
          <w:p w14:paraId="1CBDB05E"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95% CIs</w:t>
            </w:r>
          </w:p>
        </w:tc>
        <w:tc>
          <w:tcPr>
            <w:tcW w:w="1560" w:type="dxa"/>
            <w:tcBorders>
              <w:top w:val="nil"/>
              <w:left w:val="nil"/>
              <w:bottom w:val="single" w:sz="4" w:space="0" w:color="auto"/>
              <w:right w:val="single" w:sz="4" w:space="0" w:color="auto"/>
            </w:tcBorders>
            <w:shd w:val="clear" w:color="auto" w:fill="auto"/>
            <w:noWrap/>
            <w:vAlign w:val="bottom"/>
            <w:hideMark/>
          </w:tcPr>
          <w:p w14:paraId="3423B6DA"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P</w:t>
            </w:r>
          </w:p>
        </w:tc>
        <w:tc>
          <w:tcPr>
            <w:tcW w:w="992" w:type="dxa"/>
            <w:tcBorders>
              <w:top w:val="nil"/>
              <w:left w:val="single" w:sz="4" w:space="0" w:color="auto"/>
              <w:bottom w:val="single" w:sz="4" w:space="0" w:color="auto"/>
              <w:right w:val="nil"/>
            </w:tcBorders>
            <w:shd w:val="clear" w:color="auto" w:fill="auto"/>
            <w:noWrap/>
            <w:vAlign w:val="bottom"/>
            <w:hideMark/>
          </w:tcPr>
          <w:p w14:paraId="592AA595"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OR</w:t>
            </w:r>
          </w:p>
        </w:tc>
        <w:tc>
          <w:tcPr>
            <w:tcW w:w="1559" w:type="dxa"/>
            <w:tcBorders>
              <w:top w:val="nil"/>
              <w:left w:val="nil"/>
              <w:bottom w:val="single" w:sz="4" w:space="0" w:color="auto"/>
              <w:right w:val="nil"/>
            </w:tcBorders>
            <w:shd w:val="clear" w:color="auto" w:fill="auto"/>
            <w:noWrap/>
            <w:vAlign w:val="bottom"/>
            <w:hideMark/>
          </w:tcPr>
          <w:p w14:paraId="541F1D8B"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95% CIs</w:t>
            </w:r>
          </w:p>
        </w:tc>
        <w:tc>
          <w:tcPr>
            <w:tcW w:w="1276" w:type="dxa"/>
            <w:tcBorders>
              <w:top w:val="nil"/>
              <w:left w:val="nil"/>
              <w:bottom w:val="single" w:sz="4" w:space="0" w:color="auto"/>
              <w:right w:val="nil"/>
            </w:tcBorders>
            <w:shd w:val="clear" w:color="auto" w:fill="auto"/>
            <w:noWrap/>
            <w:vAlign w:val="bottom"/>
            <w:hideMark/>
          </w:tcPr>
          <w:p w14:paraId="48BD4439"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P</w:t>
            </w:r>
          </w:p>
        </w:tc>
      </w:tr>
      <w:tr w:rsidR="00904196" w:rsidRPr="00511217" w14:paraId="06570BA4" w14:textId="77777777" w:rsidTr="00904196">
        <w:trPr>
          <w:trHeight w:val="310"/>
        </w:trPr>
        <w:tc>
          <w:tcPr>
            <w:tcW w:w="2835" w:type="dxa"/>
            <w:tcBorders>
              <w:top w:val="nil"/>
              <w:left w:val="nil"/>
              <w:bottom w:val="nil"/>
              <w:right w:val="single" w:sz="4" w:space="0" w:color="auto"/>
            </w:tcBorders>
            <w:shd w:val="clear" w:color="auto" w:fill="auto"/>
            <w:noWrap/>
            <w:vAlign w:val="bottom"/>
            <w:hideMark/>
          </w:tcPr>
          <w:p w14:paraId="32B8A298"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LBP</w:t>
            </w:r>
          </w:p>
        </w:tc>
        <w:tc>
          <w:tcPr>
            <w:tcW w:w="993" w:type="dxa"/>
            <w:tcBorders>
              <w:top w:val="nil"/>
              <w:left w:val="single" w:sz="4" w:space="0" w:color="auto"/>
              <w:bottom w:val="nil"/>
              <w:right w:val="nil"/>
            </w:tcBorders>
            <w:shd w:val="clear" w:color="auto" w:fill="auto"/>
            <w:noWrap/>
            <w:vAlign w:val="bottom"/>
            <w:hideMark/>
          </w:tcPr>
          <w:p w14:paraId="70426327"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3.79</w:t>
            </w:r>
          </w:p>
        </w:tc>
        <w:tc>
          <w:tcPr>
            <w:tcW w:w="1417" w:type="dxa"/>
            <w:tcBorders>
              <w:top w:val="nil"/>
              <w:left w:val="nil"/>
              <w:bottom w:val="nil"/>
              <w:right w:val="nil"/>
            </w:tcBorders>
            <w:shd w:val="clear" w:color="auto" w:fill="auto"/>
            <w:noWrap/>
            <w:vAlign w:val="bottom"/>
            <w:hideMark/>
          </w:tcPr>
          <w:p w14:paraId="3DE2C960"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2.34-6.21</w:t>
            </w:r>
          </w:p>
        </w:tc>
        <w:tc>
          <w:tcPr>
            <w:tcW w:w="1276" w:type="dxa"/>
            <w:tcBorders>
              <w:top w:val="nil"/>
              <w:left w:val="nil"/>
              <w:bottom w:val="nil"/>
              <w:right w:val="single" w:sz="4" w:space="0" w:color="auto"/>
            </w:tcBorders>
            <w:shd w:val="clear" w:color="auto" w:fill="auto"/>
            <w:noWrap/>
            <w:vAlign w:val="bottom"/>
            <w:hideMark/>
          </w:tcPr>
          <w:p w14:paraId="40544B9B"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&lt;0.0001</w:t>
            </w:r>
          </w:p>
        </w:tc>
        <w:tc>
          <w:tcPr>
            <w:tcW w:w="684" w:type="dxa"/>
            <w:tcBorders>
              <w:top w:val="nil"/>
              <w:left w:val="single" w:sz="4" w:space="0" w:color="auto"/>
              <w:bottom w:val="nil"/>
              <w:right w:val="nil"/>
            </w:tcBorders>
            <w:shd w:val="clear" w:color="auto" w:fill="auto"/>
            <w:noWrap/>
            <w:vAlign w:val="bottom"/>
            <w:hideMark/>
          </w:tcPr>
          <w:p w14:paraId="7CE54A14"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3.78</w:t>
            </w:r>
          </w:p>
        </w:tc>
        <w:tc>
          <w:tcPr>
            <w:tcW w:w="1300" w:type="dxa"/>
            <w:tcBorders>
              <w:top w:val="nil"/>
              <w:left w:val="nil"/>
              <w:bottom w:val="nil"/>
              <w:right w:val="nil"/>
            </w:tcBorders>
            <w:shd w:val="clear" w:color="auto" w:fill="auto"/>
            <w:noWrap/>
            <w:vAlign w:val="bottom"/>
            <w:hideMark/>
          </w:tcPr>
          <w:p w14:paraId="0357DA21"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2.29-6.30</w:t>
            </w:r>
          </w:p>
        </w:tc>
        <w:tc>
          <w:tcPr>
            <w:tcW w:w="1560" w:type="dxa"/>
            <w:tcBorders>
              <w:top w:val="nil"/>
              <w:left w:val="nil"/>
              <w:bottom w:val="nil"/>
              <w:right w:val="single" w:sz="4" w:space="0" w:color="auto"/>
            </w:tcBorders>
            <w:shd w:val="clear" w:color="auto" w:fill="auto"/>
            <w:noWrap/>
            <w:vAlign w:val="bottom"/>
            <w:hideMark/>
          </w:tcPr>
          <w:p w14:paraId="5C57D703"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&lt;0.0001</w:t>
            </w:r>
          </w:p>
        </w:tc>
        <w:tc>
          <w:tcPr>
            <w:tcW w:w="992" w:type="dxa"/>
            <w:tcBorders>
              <w:top w:val="nil"/>
              <w:left w:val="single" w:sz="4" w:space="0" w:color="auto"/>
              <w:bottom w:val="nil"/>
              <w:right w:val="nil"/>
            </w:tcBorders>
            <w:shd w:val="clear" w:color="auto" w:fill="auto"/>
            <w:noWrap/>
            <w:vAlign w:val="bottom"/>
            <w:hideMark/>
          </w:tcPr>
          <w:p w14:paraId="30E082AE"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3.2</w:t>
            </w:r>
          </w:p>
        </w:tc>
        <w:tc>
          <w:tcPr>
            <w:tcW w:w="1559" w:type="dxa"/>
            <w:tcBorders>
              <w:top w:val="nil"/>
              <w:left w:val="nil"/>
              <w:bottom w:val="nil"/>
              <w:right w:val="nil"/>
            </w:tcBorders>
            <w:shd w:val="clear" w:color="auto" w:fill="auto"/>
            <w:noWrap/>
            <w:vAlign w:val="bottom"/>
            <w:hideMark/>
          </w:tcPr>
          <w:p w14:paraId="300218F7"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1.86-5.65</w:t>
            </w:r>
          </w:p>
        </w:tc>
        <w:tc>
          <w:tcPr>
            <w:tcW w:w="1276" w:type="dxa"/>
            <w:tcBorders>
              <w:top w:val="nil"/>
              <w:left w:val="nil"/>
              <w:bottom w:val="nil"/>
              <w:right w:val="nil"/>
            </w:tcBorders>
            <w:shd w:val="clear" w:color="auto" w:fill="auto"/>
            <w:noWrap/>
            <w:vAlign w:val="bottom"/>
            <w:hideMark/>
          </w:tcPr>
          <w:p w14:paraId="5B8487B5"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&lt;0.0001</w:t>
            </w:r>
          </w:p>
        </w:tc>
      </w:tr>
      <w:tr w:rsidR="00904196" w:rsidRPr="00511217" w14:paraId="66E7D25B" w14:textId="77777777" w:rsidTr="00904196">
        <w:trPr>
          <w:trHeight w:val="310"/>
        </w:trPr>
        <w:tc>
          <w:tcPr>
            <w:tcW w:w="2835" w:type="dxa"/>
            <w:tcBorders>
              <w:top w:val="nil"/>
              <w:left w:val="nil"/>
              <w:bottom w:val="nil"/>
              <w:right w:val="single" w:sz="4" w:space="0" w:color="auto"/>
            </w:tcBorders>
            <w:shd w:val="clear" w:color="auto" w:fill="auto"/>
            <w:noWrap/>
            <w:vAlign w:val="bottom"/>
            <w:hideMark/>
          </w:tcPr>
          <w:p w14:paraId="546640BC"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LSS</w:t>
            </w:r>
          </w:p>
        </w:tc>
        <w:tc>
          <w:tcPr>
            <w:tcW w:w="993" w:type="dxa"/>
            <w:tcBorders>
              <w:top w:val="nil"/>
              <w:left w:val="single" w:sz="4" w:space="0" w:color="auto"/>
              <w:bottom w:val="nil"/>
              <w:right w:val="nil"/>
            </w:tcBorders>
            <w:shd w:val="clear" w:color="auto" w:fill="auto"/>
            <w:noWrap/>
            <w:vAlign w:val="bottom"/>
            <w:hideMark/>
          </w:tcPr>
          <w:p w14:paraId="71CE41F0"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4.46</w:t>
            </w:r>
          </w:p>
        </w:tc>
        <w:tc>
          <w:tcPr>
            <w:tcW w:w="1417" w:type="dxa"/>
            <w:tcBorders>
              <w:top w:val="nil"/>
              <w:left w:val="nil"/>
              <w:bottom w:val="nil"/>
              <w:right w:val="nil"/>
            </w:tcBorders>
            <w:shd w:val="clear" w:color="auto" w:fill="auto"/>
            <w:noWrap/>
            <w:vAlign w:val="bottom"/>
            <w:hideMark/>
          </w:tcPr>
          <w:p w14:paraId="10C485A2"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1.87-11.4</w:t>
            </w:r>
          </w:p>
        </w:tc>
        <w:tc>
          <w:tcPr>
            <w:tcW w:w="1276" w:type="dxa"/>
            <w:tcBorders>
              <w:top w:val="nil"/>
              <w:left w:val="nil"/>
              <w:bottom w:val="nil"/>
              <w:right w:val="single" w:sz="4" w:space="0" w:color="auto"/>
            </w:tcBorders>
            <w:shd w:val="clear" w:color="auto" w:fill="auto"/>
            <w:noWrap/>
            <w:vAlign w:val="bottom"/>
            <w:hideMark/>
          </w:tcPr>
          <w:p w14:paraId="5E474BA0"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0.0007</w:t>
            </w:r>
          </w:p>
        </w:tc>
        <w:tc>
          <w:tcPr>
            <w:tcW w:w="684" w:type="dxa"/>
            <w:tcBorders>
              <w:top w:val="nil"/>
              <w:left w:val="single" w:sz="4" w:space="0" w:color="auto"/>
              <w:bottom w:val="nil"/>
              <w:right w:val="nil"/>
            </w:tcBorders>
            <w:shd w:val="clear" w:color="auto" w:fill="auto"/>
            <w:noWrap/>
            <w:vAlign w:val="bottom"/>
            <w:hideMark/>
          </w:tcPr>
          <w:p w14:paraId="702D26AB"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4.77</w:t>
            </w:r>
          </w:p>
        </w:tc>
        <w:tc>
          <w:tcPr>
            <w:tcW w:w="1300" w:type="dxa"/>
            <w:tcBorders>
              <w:top w:val="nil"/>
              <w:left w:val="nil"/>
              <w:bottom w:val="nil"/>
              <w:right w:val="nil"/>
            </w:tcBorders>
            <w:shd w:val="clear" w:color="auto" w:fill="auto"/>
            <w:noWrap/>
            <w:vAlign w:val="bottom"/>
            <w:hideMark/>
          </w:tcPr>
          <w:p w14:paraId="0F315D65"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1.93-12.7</w:t>
            </w:r>
          </w:p>
        </w:tc>
        <w:tc>
          <w:tcPr>
            <w:tcW w:w="1560" w:type="dxa"/>
            <w:tcBorders>
              <w:top w:val="nil"/>
              <w:left w:val="nil"/>
              <w:bottom w:val="nil"/>
              <w:right w:val="single" w:sz="4" w:space="0" w:color="auto"/>
            </w:tcBorders>
            <w:shd w:val="clear" w:color="auto" w:fill="auto"/>
            <w:noWrap/>
            <w:vAlign w:val="bottom"/>
            <w:hideMark/>
          </w:tcPr>
          <w:p w14:paraId="73D89520"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0.001</w:t>
            </w:r>
          </w:p>
        </w:tc>
        <w:tc>
          <w:tcPr>
            <w:tcW w:w="992" w:type="dxa"/>
            <w:tcBorders>
              <w:top w:val="nil"/>
              <w:left w:val="single" w:sz="4" w:space="0" w:color="auto"/>
              <w:bottom w:val="nil"/>
              <w:right w:val="nil"/>
            </w:tcBorders>
            <w:shd w:val="clear" w:color="auto" w:fill="auto"/>
            <w:noWrap/>
            <w:vAlign w:val="bottom"/>
            <w:hideMark/>
          </w:tcPr>
          <w:p w14:paraId="56DDD79F"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4.1</w:t>
            </w:r>
          </w:p>
        </w:tc>
        <w:tc>
          <w:tcPr>
            <w:tcW w:w="1559" w:type="dxa"/>
            <w:tcBorders>
              <w:top w:val="nil"/>
              <w:left w:val="nil"/>
              <w:bottom w:val="nil"/>
              <w:right w:val="nil"/>
            </w:tcBorders>
            <w:shd w:val="clear" w:color="auto" w:fill="auto"/>
            <w:noWrap/>
            <w:vAlign w:val="bottom"/>
            <w:hideMark/>
          </w:tcPr>
          <w:p w14:paraId="17A5D74A"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1.56-11.29</w:t>
            </w:r>
          </w:p>
        </w:tc>
        <w:tc>
          <w:tcPr>
            <w:tcW w:w="1276" w:type="dxa"/>
            <w:tcBorders>
              <w:top w:val="nil"/>
              <w:left w:val="nil"/>
              <w:bottom w:val="nil"/>
              <w:right w:val="nil"/>
            </w:tcBorders>
            <w:shd w:val="clear" w:color="auto" w:fill="auto"/>
            <w:noWrap/>
            <w:vAlign w:val="bottom"/>
            <w:hideMark/>
          </w:tcPr>
          <w:p w14:paraId="5040F445"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0.003</w:t>
            </w:r>
          </w:p>
        </w:tc>
      </w:tr>
      <w:tr w:rsidR="00904196" w:rsidRPr="00511217" w14:paraId="28A46DFD" w14:textId="77777777" w:rsidTr="00904196">
        <w:trPr>
          <w:trHeight w:val="310"/>
        </w:trPr>
        <w:tc>
          <w:tcPr>
            <w:tcW w:w="2835" w:type="dxa"/>
            <w:tcBorders>
              <w:top w:val="nil"/>
              <w:left w:val="nil"/>
              <w:bottom w:val="nil"/>
              <w:right w:val="single" w:sz="4" w:space="0" w:color="auto"/>
            </w:tcBorders>
            <w:shd w:val="clear" w:color="auto" w:fill="auto"/>
            <w:noWrap/>
            <w:vAlign w:val="bottom"/>
            <w:hideMark/>
          </w:tcPr>
          <w:p w14:paraId="667DDE59"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KOA</w:t>
            </w:r>
          </w:p>
        </w:tc>
        <w:tc>
          <w:tcPr>
            <w:tcW w:w="993" w:type="dxa"/>
            <w:tcBorders>
              <w:top w:val="nil"/>
              <w:left w:val="single" w:sz="4" w:space="0" w:color="auto"/>
              <w:bottom w:val="nil"/>
              <w:right w:val="nil"/>
            </w:tcBorders>
            <w:shd w:val="clear" w:color="auto" w:fill="auto"/>
            <w:noWrap/>
            <w:vAlign w:val="bottom"/>
            <w:hideMark/>
          </w:tcPr>
          <w:p w14:paraId="05C7EEC0"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4.24</w:t>
            </w:r>
          </w:p>
        </w:tc>
        <w:tc>
          <w:tcPr>
            <w:tcW w:w="1417" w:type="dxa"/>
            <w:tcBorders>
              <w:top w:val="nil"/>
              <w:left w:val="nil"/>
              <w:bottom w:val="nil"/>
              <w:right w:val="nil"/>
            </w:tcBorders>
            <w:shd w:val="clear" w:color="auto" w:fill="auto"/>
            <w:noWrap/>
            <w:vAlign w:val="bottom"/>
            <w:hideMark/>
          </w:tcPr>
          <w:p w14:paraId="621EFD3C"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2.31-7.91</w:t>
            </w:r>
          </w:p>
        </w:tc>
        <w:tc>
          <w:tcPr>
            <w:tcW w:w="1276" w:type="dxa"/>
            <w:tcBorders>
              <w:top w:val="nil"/>
              <w:left w:val="nil"/>
              <w:bottom w:val="nil"/>
              <w:right w:val="single" w:sz="4" w:space="0" w:color="auto"/>
            </w:tcBorders>
            <w:shd w:val="clear" w:color="auto" w:fill="auto"/>
            <w:noWrap/>
            <w:vAlign w:val="bottom"/>
            <w:hideMark/>
          </w:tcPr>
          <w:p w14:paraId="59E5DD8F"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&lt;0.0001</w:t>
            </w:r>
          </w:p>
        </w:tc>
        <w:tc>
          <w:tcPr>
            <w:tcW w:w="684" w:type="dxa"/>
            <w:tcBorders>
              <w:top w:val="nil"/>
              <w:left w:val="single" w:sz="4" w:space="0" w:color="auto"/>
              <w:bottom w:val="nil"/>
              <w:right w:val="nil"/>
            </w:tcBorders>
            <w:shd w:val="clear" w:color="auto" w:fill="auto"/>
            <w:noWrap/>
            <w:vAlign w:val="bottom"/>
            <w:hideMark/>
          </w:tcPr>
          <w:p w14:paraId="62718CF7"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4.2</w:t>
            </w:r>
          </w:p>
        </w:tc>
        <w:tc>
          <w:tcPr>
            <w:tcW w:w="1300" w:type="dxa"/>
            <w:tcBorders>
              <w:top w:val="nil"/>
              <w:left w:val="nil"/>
              <w:bottom w:val="nil"/>
              <w:right w:val="nil"/>
            </w:tcBorders>
            <w:shd w:val="clear" w:color="auto" w:fill="auto"/>
            <w:noWrap/>
            <w:vAlign w:val="bottom"/>
            <w:hideMark/>
          </w:tcPr>
          <w:p w14:paraId="3939CDA7"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2.26-8.00</w:t>
            </w:r>
          </w:p>
        </w:tc>
        <w:tc>
          <w:tcPr>
            <w:tcW w:w="1560" w:type="dxa"/>
            <w:tcBorders>
              <w:top w:val="nil"/>
              <w:left w:val="nil"/>
              <w:bottom w:val="nil"/>
              <w:right w:val="single" w:sz="4" w:space="0" w:color="auto"/>
            </w:tcBorders>
            <w:shd w:val="clear" w:color="auto" w:fill="auto"/>
            <w:noWrap/>
            <w:vAlign w:val="bottom"/>
            <w:hideMark/>
          </w:tcPr>
          <w:p w14:paraId="7993450C"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&lt;0.0001</w:t>
            </w:r>
          </w:p>
        </w:tc>
        <w:tc>
          <w:tcPr>
            <w:tcW w:w="992" w:type="dxa"/>
            <w:tcBorders>
              <w:top w:val="nil"/>
              <w:left w:val="single" w:sz="4" w:space="0" w:color="auto"/>
              <w:bottom w:val="nil"/>
              <w:right w:val="nil"/>
            </w:tcBorders>
            <w:shd w:val="clear" w:color="auto" w:fill="auto"/>
            <w:noWrap/>
            <w:vAlign w:val="bottom"/>
            <w:hideMark/>
          </w:tcPr>
          <w:p w14:paraId="21CCE535"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4.97</w:t>
            </w:r>
          </w:p>
        </w:tc>
        <w:tc>
          <w:tcPr>
            <w:tcW w:w="1559" w:type="dxa"/>
            <w:tcBorders>
              <w:top w:val="nil"/>
              <w:left w:val="nil"/>
              <w:bottom w:val="nil"/>
              <w:right w:val="nil"/>
            </w:tcBorders>
            <w:shd w:val="clear" w:color="auto" w:fill="auto"/>
            <w:noWrap/>
            <w:vAlign w:val="bottom"/>
            <w:hideMark/>
          </w:tcPr>
          <w:p w14:paraId="4C81E1DE"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2.54-9.94</w:t>
            </w:r>
          </w:p>
        </w:tc>
        <w:tc>
          <w:tcPr>
            <w:tcW w:w="1276" w:type="dxa"/>
            <w:tcBorders>
              <w:top w:val="nil"/>
              <w:left w:val="nil"/>
              <w:bottom w:val="nil"/>
              <w:right w:val="nil"/>
            </w:tcBorders>
            <w:shd w:val="clear" w:color="auto" w:fill="auto"/>
            <w:noWrap/>
            <w:vAlign w:val="bottom"/>
            <w:hideMark/>
          </w:tcPr>
          <w:p w14:paraId="2DC2E3A8"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&lt;0.0001</w:t>
            </w:r>
          </w:p>
        </w:tc>
      </w:tr>
      <w:tr w:rsidR="00904196" w:rsidRPr="00511217" w14:paraId="2A6332D1" w14:textId="77777777" w:rsidTr="00904196">
        <w:trPr>
          <w:trHeight w:val="310"/>
        </w:trPr>
        <w:tc>
          <w:tcPr>
            <w:tcW w:w="2835" w:type="dxa"/>
            <w:tcBorders>
              <w:top w:val="nil"/>
              <w:left w:val="nil"/>
              <w:bottom w:val="nil"/>
              <w:right w:val="single" w:sz="4" w:space="0" w:color="auto"/>
            </w:tcBorders>
            <w:shd w:val="clear" w:color="auto" w:fill="auto"/>
            <w:noWrap/>
            <w:vAlign w:val="bottom"/>
            <w:hideMark/>
          </w:tcPr>
          <w:p w14:paraId="471C411A"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Radiographic features</w:t>
            </w:r>
          </w:p>
        </w:tc>
        <w:tc>
          <w:tcPr>
            <w:tcW w:w="993" w:type="dxa"/>
            <w:tcBorders>
              <w:top w:val="nil"/>
              <w:left w:val="single" w:sz="4" w:space="0" w:color="auto"/>
              <w:bottom w:val="nil"/>
              <w:right w:val="nil"/>
            </w:tcBorders>
            <w:shd w:val="clear" w:color="auto" w:fill="auto"/>
            <w:noWrap/>
            <w:vAlign w:val="bottom"/>
            <w:hideMark/>
          </w:tcPr>
          <w:p w14:paraId="21FA5325"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p>
        </w:tc>
        <w:tc>
          <w:tcPr>
            <w:tcW w:w="1417" w:type="dxa"/>
            <w:tcBorders>
              <w:top w:val="nil"/>
              <w:left w:val="nil"/>
              <w:bottom w:val="nil"/>
              <w:right w:val="nil"/>
            </w:tcBorders>
            <w:shd w:val="clear" w:color="auto" w:fill="auto"/>
            <w:noWrap/>
            <w:vAlign w:val="bottom"/>
            <w:hideMark/>
          </w:tcPr>
          <w:p w14:paraId="1B547DF9" w14:textId="77777777" w:rsidR="00904196" w:rsidRPr="00511217" w:rsidRDefault="00904196" w:rsidP="00904196">
            <w:pPr>
              <w:widowControl/>
              <w:jc w:val="center"/>
              <w:rPr>
                <w:rFonts w:ascii="Times New Roman" w:eastAsia="Times New Roman" w:hAnsi="Times New Roman" w:cs="Times New Roman"/>
                <w:kern w:val="0"/>
                <w:sz w:val="20"/>
                <w:szCs w:val="20"/>
                <w:lang w:val="en-GB" w:eastAsia="en-GB"/>
              </w:rPr>
            </w:pPr>
          </w:p>
        </w:tc>
        <w:tc>
          <w:tcPr>
            <w:tcW w:w="1276" w:type="dxa"/>
            <w:tcBorders>
              <w:top w:val="nil"/>
              <w:left w:val="nil"/>
              <w:bottom w:val="nil"/>
              <w:right w:val="single" w:sz="4" w:space="0" w:color="auto"/>
            </w:tcBorders>
            <w:shd w:val="clear" w:color="auto" w:fill="auto"/>
            <w:noWrap/>
            <w:vAlign w:val="bottom"/>
            <w:hideMark/>
          </w:tcPr>
          <w:p w14:paraId="13717088" w14:textId="77777777" w:rsidR="00904196" w:rsidRPr="00511217" w:rsidRDefault="00904196" w:rsidP="00904196">
            <w:pPr>
              <w:widowControl/>
              <w:jc w:val="center"/>
              <w:rPr>
                <w:rFonts w:ascii="Times New Roman" w:eastAsia="Times New Roman" w:hAnsi="Times New Roman" w:cs="Times New Roman"/>
                <w:kern w:val="0"/>
                <w:sz w:val="20"/>
                <w:szCs w:val="20"/>
                <w:lang w:val="en-GB" w:eastAsia="en-GB"/>
              </w:rPr>
            </w:pPr>
          </w:p>
        </w:tc>
        <w:tc>
          <w:tcPr>
            <w:tcW w:w="684" w:type="dxa"/>
            <w:tcBorders>
              <w:top w:val="nil"/>
              <w:left w:val="single" w:sz="4" w:space="0" w:color="auto"/>
              <w:bottom w:val="nil"/>
              <w:right w:val="nil"/>
            </w:tcBorders>
            <w:shd w:val="clear" w:color="auto" w:fill="auto"/>
            <w:noWrap/>
            <w:vAlign w:val="bottom"/>
            <w:hideMark/>
          </w:tcPr>
          <w:p w14:paraId="01F6D84B" w14:textId="77777777" w:rsidR="00904196" w:rsidRPr="00511217" w:rsidRDefault="00904196" w:rsidP="00904196">
            <w:pPr>
              <w:widowControl/>
              <w:jc w:val="center"/>
              <w:rPr>
                <w:rFonts w:ascii="Times New Roman" w:eastAsia="Times New Roman" w:hAnsi="Times New Roman" w:cs="Times New Roman"/>
                <w:kern w:val="0"/>
                <w:sz w:val="20"/>
                <w:szCs w:val="20"/>
                <w:lang w:val="en-GB" w:eastAsia="en-GB"/>
              </w:rPr>
            </w:pPr>
          </w:p>
        </w:tc>
        <w:tc>
          <w:tcPr>
            <w:tcW w:w="1300" w:type="dxa"/>
            <w:tcBorders>
              <w:top w:val="nil"/>
              <w:left w:val="nil"/>
              <w:bottom w:val="nil"/>
              <w:right w:val="nil"/>
            </w:tcBorders>
            <w:shd w:val="clear" w:color="auto" w:fill="auto"/>
            <w:noWrap/>
            <w:vAlign w:val="bottom"/>
            <w:hideMark/>
          </w:tcPr>
          <w:p w14:paraId="75D46246" w14:textId="77777777" w:rsidR="00904196" w:rsidRPr="00511217" w:rsidRDefault="00904196" w:rsidP="00904196">
            <w:pPr>
              <w:widowControl/>
              <w:jc w:val="center"/>
              <w:rPr>
                <w:rFonts w:ascii="Times New Roman" w:eastAsia="Times New Roman" w:hAnsi="Times New Roman" w:cs="Times New Roman"/>
                <w:kern w:val="0"/>
                <w:sz w:val="20"/>
                <w:szCs w:val="20"/>
                <w:lang w:val="en-GB" w:eastAsia="en-GB"/>
              </w:rPr>
            </w:pPr>
          </w:p>
        </w:tc>
        <w:tc>
          <w:tcPr>
            <w:tcW w:w="1560" w:type="dxa"/>
            <w:tcBorders>
              <w:top w:val="nil"/>
              <w:left w:val="nil"/>
              <w:bottom w:val="nil"/>
              <w:right w:val="single" w:sz="4" w:space="0" w:color="auto"/>
            </w:tcBorders>
            <w:shd w:val="clear" w:color="auto" w:fill="auto"/>
            <w:noWrap/>
            <w:vAlign w:val="bottom"/>
            <w:hideMark/>
          </w:tcPr>
          <w:p w14:paraId="6FCB1E00" w14:textId="77777777" w:rsidR="00904196" w:rsidRPr="00511217" w:rsidRDefault="00904196" w:rsidP="00904196">
            <w:pPr>
              <w:widowControl/>
              <w:jc w:val="center"/>
              <w:rPr>
                <w:rFonts w:ascii="Times New Roman" w:eastAsia="Times New Roman" w:hAnsi="Times New Roman" w:cs="Times New Roman"/>
                <w:kern w:val="0"/>
                <w:sz w:val="20"/>
                <w:szCs w:val="20"/>
                <w:lang w:val="en-GB" w:eastAsia="en-GB"/>
              </w:rPr>
            </w:pPr>
          </w:p>
        </w:tc>
        <w:tc>
          <w:tcPr>
            <w:tcW w:w="992" w:type="dxa"/>
            <w:tcBorders>
              <w:top w:val="nil"/>
              <w:left w:val="single" w:sz="4" w:space="0" w:color="auto"/>
              <w:bottom w:val="nil"/>
              <w:right w:val="nil"/>
            </w:tcBorders>
            <w:shd w:val="clear" w:color="auto" w:fill="auto"/>
            <w:noWrap/>
            <w:vAlign w:val="bottom"/>
            <w:hideMark/>
          </w:tcPr>
          <w:p w14:paraId="5E4ADF9B" w14:textId="77777777" w:rsidR="00904196" w:rsidRPr="00511217" w:rsidRDefault="00904196" w:rsidP="00904196">
            <w:pPr>
              <w:widowControl/>
              <w:jc w:val="center"/>
              <w:rPr>
                <w:rFonts w:ascii="Times New Roman" w:eastAsia="Times New Roman" w:hAnsi="Times New Roman" w:cs="Times New Roman"/>
                <w:kern w:val="0"/>
                <w:sz w:val="20"/>
                <w:szCs w:val="20"/>
                <w:lang w:val="en-GB" w:eastAsia="en-GB"/>
              </w:rPr>
            </w:pPr>
          </w:p>
        </w:tc>
        <w:tc>
          <w:tcPr>
            <w:tcW w:w="1559" w:type="dxa"/>
            <w:tcBorders>
              <w:top w:val="nil"/>
              <w:left w:val="nil"/>
              <w:bottom w:val="nil"/>
              <w:right w:val="nil"/>
            </w:tcBorders>
            <w:shd w:val="clear" w:color="auto" w:fill="auto"/>
            <w:noWrap/>
            <w:vAlign w:val="bottom"/>
            <w:hideMark/>
          </w:tcPr>
          <w:p w14:paraId="79713604" w14:textId="77777777" w:rsidR="00904196" w:rsidRPr="00511217" w:rsidRDefault="00904196" w:rsidP="00904196">
            <w:pPr>
              <w:widowControl/>
              <w:jc w:val="center"/>
              <w:rPr>
                <w:rFonts w:ascii="Times New Roman" w:eastAsia="Times New Roman" w:hAnsi="Times New Roman" w:cs="Times New Roman"/>
                <w:kern w:val="0"/>
                <w:sz w:val="20"/>
                <w:szCs w:val="20"/>
                <w:lang w:val="en-GB" w:eastAsia="en-GB"/>
              </w:rPr>
            </w:pPr>
          </w:p>
        </w:tc>
        <w:tc>
          <w:tcPr>
            <w:tcW w:w="1276" w:type="dxa"/>
            <w:tcBorders>
              <w:top w:val="nil"/>
              <w:left w:val="nil"/>
              <w:bottom w:val="nil"/>
              <w:right w:val="nil"/>
            </w:tcBorders>
            <w:shd w:val="clear" w:color="auto" w:fill="auto"/>
            <w:noWrap/>
            <w:vAlign w:val="bottom"/>
            <w:hideMark/>
          </w:tcPr>
          <w:p w14:paraId="07322933" w14:textId="77777777" w:rsidR="00904196" w:rsidRPr="00511217" w:rsidRDefault="00904196" w:rsidP="00904196">
            <w:pPr>
              <w:widowControl/>
              <w:jc w:val="center"/>
              <w:rPr>
                <w:rFonts w:ascii="Times New Roman" w:eastAsia="Times New Roman" w:hAnsi="Times New Roman" w:cs="Times New Roman"/>
                <w:kern w:val="0"/>
                <w:sz w:val="20"/>
                <w:szCs w:val="20"/>
                <w:lang w:val="en-GB" w:eastAsia="en-GB"/>
              </w:rPr>
            </w:pPr>
          </w:p>
        </w:tc>
      </w:tr>
      <w:tr w:rsidR="00904196" w:rsidRPr="00511217" w14:paraId="44867459" w14:textId="77777777" w:rsidTr="00904196">
        <w:trPr>
          <w:trHeight w:val="350"/>
        </w:trPr>
        <w:tc>
          <w:tcPr>
            <w:tcW w:w="2835" w:type="dxa"/>
            <w:tcBorders>
              <w:top w:val="nil"/>
              <w:left w:val="nil"/>
              <w:right w:val="single" w:sz="4" w:space="0" w:color="auto"/>
            </w:tcBorders>
            <w:shd w:val="clear" w:color="auto" w:fill="auto"/>
            <w:noWrap/>
            <w:vAlign w:val="bottom"/>
            <w:hideMark/>
          </w:tcPr>
          <w:p w14:paraId="3AA132A0"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xml:space="preserve">  </w:t>
            </w:r>
            <w:r w:rsidRPr="00511217">
              <w:rPr>
                <w:rFonts w:ascii="Arial" w:eastAsia="Times New Roman" w:hAnsi="Arial" w:cs="Arial"/>
                <w:b/>
                <w:bCs/>
                <w:color w:val="000000"/>
                <w:kern w:val="0"/>
                <w:sz w:val="24"/>
                <w:szCs w:val="24"/>
                <w:vertAlign w:val="superscript"/>
                <w:lang w:val="en-GB" w:eastAsia="en-GB"/>
              </w:rPr>
              <w:t>a</w:t>
            </w:r>
            <w:r w:rsidRPr="00511217">
              <w:rPr>
                <w:rFonts w:ascii="Arial" w:eastAsia="Times New Roman" w:hAnsi="Arial" w:cs="Arial"/>
                <w:b/>
                <w:bCs/>
                <w:color w:val="000000"/>
                <w:kern w:val="0"/>
                <w:sz w:val="24"/>
                <w:szCs w:val="24"/>
                <w:lang w:val="en-GB" w:eastAsia="en-GB"/>
              </w:rPr>
              <w:t>LL (L1-5) (-1°)</w:t>
            </w:r>
          </w:p>
        </w:tc>
        <w:tc>
          <w:tcPr>
            <w:tcW w:w="993" w:type="dxa"/>
            <w:tcBorders>
              <w:top w:val="nil"/>
              <w:left w:val="single" w:sz="4" w:space="0" w:color="auto"/>
              <w:right w:val="nil"/>
            </w:tcBorders>
            <w:shd w:val="clear" w:color="auto" w:fill="auto"/>
            <w:noWrap/>
            <w:vAlign w:val="bottom"/>
            <w:hideMark/>
          </w:tcPr>
          <w:p w14:paraId="551FEE87"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1.02</w:t>
            </w:r>
          </w:p>
        </w:tc>
        <w:tc>
          <w:tcPr>
            <w:tcW w:w="1417" w:type="dxa"/>
            <w:tcBorders>
              <w:top w:val="nil"/>
              <w:left w:val="nil"/>
              <w:right w:val="nil"/>
            </w:tcBorders>
            <w:shd w:val="clear" w:color="auto" w:fill="auto"/>
            <w:noWrap/>
            <w:vAlign w:val="bottom"/>
            <w:hideMark/>
          </w:tcPr>
          <w:p w14:paraId="450E990B"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1.00-1.04</w:t>
            </w:r>
          </w:p>
        </w:tc>
        <w:tc>
          <w:tcPr>
            <w:tcW w:w="1276" w:type="dxa"/>
            <w:tcBorders>
              <w:top w:val="nil"/>
              <w:left w:val="nil"/>
              <w:right w:val="single" w:sz="4" w:space="0" w:color="auto"/>
            </w:tcBorders>
            <w:shd w:val="clear" w:color="auto" w:fill="auto"/>
            <w:noWrap/>
            <w:vAlign w:val="bottom"/>
            <w:hideMark/>
          </w:tcPr>
          <w:p w14:paraId="5C121954"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0.047</w:t>
            </w:r>
          </w:p>
        </w:tc>
        <w:tc>
          <w:tcPr>
            <w:tcW w:w="684" w:type="dxa"/>
            <w:tcBorders>
              <w:top w:val="nil"/>
              <w:left w:val="single" w:sz="4" w:space="0" w:color="auto"/>
              <w:right w:val="nil"/>
            </w:tcBorders>
            <w:shd w:val="clear" w:color="auto" w:fill="auto"/>
            <w:noWrap/>
            <w:vAlign w:val="bottom"/>
            <w:hideMark/>
          </w:tcPr>
          <w:p w14:paraId="3D629FA8"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1.02</w:t>
            </w:r>
          </w:p>
        </w:tc>
        <w:tc>
          <w:tcPr>
            <w:tcW w:w="1300" w:type="dxa"/>
            <w:tcBorders>
              <w:top w:val="nil"/>
              <w:left w:val="nil"/>
              <w:right w:val="nil"/>
            </w:tcBorders>
            <w:shd w:val="clear" w:color="auto" w:fill="auto"/>
            <w:noWrap/>
            <w:vAlign w:val="bottom"/>
            <w:hideMark/>
          </w:tcPr>
          <w:p w14:paraId="0B93B857"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1.00-1.04</w:t>
            </w:r>
          </w:p>
        </w:tc>
        <w:tc>
          <w:tcPr>
            <w:tcW w:w="1560" w:type="dxa"/>
            <w:tcBorders>
              <w:top w:val="nil"/>
              <w:left w:val="nil"/>
              <w:right w:val="single" w:sz="4" w:space="0" w:color="auto"/>
            </w:tcBorders>
            <w:shd w:val="clear" w:color="auto" w:fill="auto"/>
            <w:noWrap/>
            <w:vAlign w:val="bottom"/>
            <w:hideMark/>
          </w:tcPr>
          <w:p w14:paraId="3D139FF2"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0.038</w:t>
            </w:r>
          </w:p>
        </w:tc>
        <w:tc>
          <w:tcPr>
            <w:tcW w:w="992" w:type="dxa"/>
            <w:tcBorders>
              <w:top w:val="nil"/>
              <w:left w:val="single" w:sz="4" w:space="0" w:color="auto"/>
              <w:right w:val="nil"/>
            </w:tcBorders>
            <w:shd w:val="clear" w:color="auto" w:fill="auto"/>
            <w:noWrap/>
            <w:vAlign w:val="bottom"/>
            <w:hideMark/>
          </w:tcPr>
          <w:p w14:paraId="34EBE58D"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1.02</w:t>
            </w:r>
          </w:p>
        </w:tc>
        <w:tc>
          <w:tcPr>
            <w:tcW w:w="1559" w:type="dxa"/>
            <w:tcBorders>
              <w:top w:val="nil"/>
              <w:left w:val="nil"/>
              <w:right w:val="nil"/>
            </w:tcBorders>
            <w:shd w:val="clear" w:color="auto" w:fill="auto"/>
            <w:noWrap/>
            <w:vAlign w:val="bottom"/>
            <w:hideMark/>
          </w:tcPr>
          <w:p w14:paraId="58D21582"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1.00-1.05</w:t>
            </w:r>
          </w:p>
        </w:tc>
        <w:tc>
          <w:tcPr>
            <w:tcW w:w="1276" w:type="dxa"/>
            <w:tcBorders>
              <w:top w:val="nil"/>
              <w:left w:val="nil"/>
              <w:right w:val="nil"/>
            </w:tcBorders>
            <w:shd w:val="clear" w:color="auto" w:fill="auto"/>
            <w:noWrap/>
            <w:vAlign w:val="bottom"/>
            <w:hideMark/>
          </w:tcPr>
          <w:p w14:paraId="0E8FFA6A"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0.021</w:t>
            </w:r>
          </w:p>
        </w:tc>
      </w:tr>
      <w:tr w:rsidR="00904196" w:rsidRPr="00511217" w14:paraId="05EFF0A5" w14:textId="77777777" w:rsidTr="00904196">
        <w:trPr>
          <w:trHeight w:val="360"/>
        </w:trPr>
        <w:tc>
          <w:tcPr>
            <w:tcW w:w="2835" w:type="dxa"/>
            <w:tcBorders>
              <w:top w:val="nil"/>
              <w:left w:val="nil"/>
              <w:bottom w:val="single" w:sz="4" w:space="0" w:color="auto"/>
              <w:right w:val="single" w:sz="4" w:space="0" w:color="auto"/>
            </w:tcBorders>
            <w:shd w:val="clear" w:color="auto" w:fill="auto"/>
            <w:noWrap/>
            <w:vAlign w:val="bottom"/>
            <w:hideMark/>
          </w:tcPr>
          <w:p w14:paraId="752A4AE1" w14:textId="77777777" w:rsidR="00904196" w:rsidRPr="00511217" w:rsidRDefault="00904196" w:rsidP="00904196">
            <w:pPr>
              <w:widowControl/>
              <w:jc w:val="left"/>
              <w:rPr>
                <w:rFonts w:ascii="Arial" w:eastAsia="Times New Roman" w:hAnsi="Arial" w:cs="Arial"/>
                <w:b/>
                <w:bCs/>
                <w:color w:val="000000"/>
                <w:kern w:val="0"/>
                <w:sz w:val="24"/>
                <w:szCs w:val="24"/>
                <w:lang w:val="en-GB" w:eastAsia="en-GB"/>
              </w:rPr>
            </w:pPr>
            <w:r w:rsidRPr="00511217">
              <w:rPr>
                <w:rFonts w:ascii="Arial" w:eastAsia="Times New Roman" w:hAnsi="Arial" w:cs="Arial"/>
                <w:b/>
                <w:bCs/>
                <w:color w:val="000000"/>
                <w:kern w:val="0"/>
                <w:sz w:val="24"/>
                <w:szCs w:val="24"/>
                <w:lang w:val="en-GB" w:eastAsia="en-GB"/>
              </w:rPr>
              <w:t xml:space="preserve">  </w:t>
            </w:r>
            <w:r w:rsidRPr="00511217">
              <w:rPr>
                <w:rFonts w:ascii="Arial" w:eastAsia="Times New Roman" w:hAnsi="Arial" w:cs="Arial"/>
                <w:b/>
                <w:bCs/>
                <w:color w:val="000000"/>
                <w:kern w:val="0"/>
                <w:sz w:val="24"/>
                <w:szCs w:val="24"/>
                <w:vertAlign w:val="superscript"/>
                <w:lang w:val="en-GB" w:eastAsia="en-GB"/>
              </w:rPr>
              <w:t>b</w:t>
            </w:r>
            <w:r w:rsidRPr="00511217">
              <w:rPr>
                <w:rFonts w:ascii="Arial" w:eastAsia="Times New Roman" w:hAnsi="Arial" w:cs="Arial"/>
                <w:b/>
                <w:bCs/>
                <w:color w:val="000000"/>
                <w:kern w:val="0"/>
                <w:sz w:val="24"/>
                <w:szCs w:val="24"/>
                <w:lang w:val="en-GB" w:eastAsia="en-GB"/>
              </w:rPr>
              <w:t>SVA (+1cm)</w:t>
            </w:r>
          </w:p>
        </w:tc>
        <w:tc>
          <w:tcPr>
            <w:tcW w:w="993" w:type="dxa"/>
            <w:tcBorders>
              <w:top w:val="nil"/>
              <w:left w:val="single" w:sz="4" w:space="0" w:color="auto"/>
              <w:bottom w:val="single" w:sz="4" w:space="0" w:color="auto"/>
              <w:right w:val="nil"/>
            </w:tcBorders>
            <w:shd w:val="clear" w:color="auto" w:fill="auto"/>
            <w:noWrap/>
            <w:vAlign w:val="bottom"/>
            <w:hideMark/>
          </w:tcPr>
          <w:p w14:paraId="72877DB1"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1.09</w:t>
            </w:r>
          </w:p>
        </w:tc>
        <w:tc>
          <w:tcPr>
            <w:tcW w:w="1417" w:type="dxa"/>
            <w:tcBorders>
              <w:top w:val="nil"/>
              <w:left w:val="nil"/>
              <w:bottom w:val="single" w:sz="4" w:space="0" w:color="auto"/>
              <w:right w:val="nil"/>
            </w:tcBorders>
            <w:shd w:val="clear" w:color="auto" w:fill="auto"/>
            <w:noWrap/>
            <w:vAlign w:val="bottom"/>
            <w:hideMark/>
          </w:tcPr>
          <w:p w14:paraId="52EDD521"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1.02-1.18</w:t>
            </w:r>
          </w:p>
        </w:tc>
        <w:tc>
          <w:tcPr>
            <w:tcW w:w="1276" w:type="dxa"/>
            <w:tcBorders>
              <w:top w:val="nil"/>
              <w:left w:val="nil"/>
              <w:bottom w:val="single" w:sz="4" w:space="0" w:color="auto"/>
              <w:right w:val="single" w:sz="4" w:space="0" w:color="auto"/>
            </w:tcBorders>
            <w:shd w:val="clear" w:color="auto" w:fill="auto"/>
            <w:noWrap/>
            <w:vAlign w:val="bottom"/>
            <w:hideMark/>
          </w:tcPr>
          <w:p w14:paraId="09162723"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0.013</w:t>
            </w:r>
          </w:p>
        </w:tc>
        <w:tc>
          <w:tcPr>
            <w:tcW w:w="684" w:type="dxa"/>
            <w:tcBorders>
              <w:top w:val="nil"/>
              <w:left w:val="single" w:sz="4" w:space="0" w:color="auto"/>
              <w:bottom w:val="single" w:sz="4" w:space="0" w:color="auto"/>
              <w:right w:val="nil"/>
            </w:tcBorders>
            <w:shd w:val="clear" w:color="auto" w:fill="auto"/>
            <w:noWrap/>
            <w:vAlign w:val="bottom"/>
            <w:hideMark/>
          </w:tcPr>
          <w:p w14:paraId="31E81C84"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1.09</w:t>
            </w:r>
          </w:p>
        </w:tc>
        <w:tc>
          <w:tcPr>
            <w:tcW w:w="1300" w:type="dxa"/>
            <w:tcBorders>
              <w:top w:val="nil"/>
              <w:left w:val="nil"/>
              <w:bottom w:val="single" w:sz="4" w:space="0" w:color="auto"/>
              <w:right w:val="nil"/>
            </w:tcBorders>
            <w:shd w:val="clear" w:color="auto" w:fill="auto"/>
            <w:noWrap/>
            <w:vAlign w:val="bottom"/>
            <w:hideMark/>
          </w:tcPr>
          <w:p w14:paraId="309AD3A3"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1.01-1.18</w:t>
            </w:r>
          </w:p>
        </w:tc>
        <w:tc>
          <w:tcPr>
            <w:tcW w:w="1560" w:type="dxa"/>
            <w:tcBorders>
              <w:top w:val="nil"/>
              <w:left w:val="nil"/>
              <w:bottom w:val="single" w:sz="4" w:space="0" w:color="auto"/>
              <w:right w:val="single" w:sz="4" w:space="0" w:color="auto"/>
            </w:tcBorders>
            <w:shd w:val="clear" w:color="auto" w:fill="auto"/>
            <w:noWrap/>
            <w:vAlign w:val="bottom"/>
            <w:hideMark/>
          </w:tcPr>
          <w:p w14:paraId="3EB5EC55"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0.025</w:t>
            </w:r>
          </w:p>
        </w:tc>
        <w:tc>
          <w:tcPr>
            <w:tcW w:w="992" w:type="dxa"/>
            <w:tcBorders>
              <w:top w:val="nil"/>
              <w:left w:val="single" w:sz="4" w:space="0" w:color="auto"/>
              <w:bottom w:val="single" w:sz="4" w:space="0" w:color="auto"/>
              <w:right w:val="nil"/>
            </w:tcBorders>
            <w:shd w:val="clear" w:color="auto" w:fill="auto"/>
            <w:noWrap/>
            <w:vAlign w:val="bottom"/>
            <w:hideMark/>
          </w:tcPr>
          <w:p w14:paraId="643843BB"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1.07</w:t>
            </w:r>
          </w:p>
        </w:tc>
        <w:tc>
          <w:tcPr>
            <w:tcW w:w="1559" w:type="dxa"/>
            <w:tcBorders>
              <w:top w:val="nil"/>
              <w:left w:val="nil"/>
              <w:bottom w:val="single" w:sz="4" w:space="0" w:color="auto"/>
              <w:right w:val="nil"/>
            </w:tcBorders>
            <w:shd w:val="clear" w:color="auto" w:fill="auto"/>
            <w:noWrap/>
            <w:vAlign w:val="bottom"/>
            <w:hideMark/>
          </w:tcPr>
          <w:p w14:paraId="5D8B4861"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0.98-1.16</w:t>
            </w:r>
          </w:p>
        </w:tc>
        <w:tc>
          <w:tcPr>
            <w:tcW w:w="1276" w:type="dxa"/>
            <w:tcBorders>
              <w:top w:val="nil"/>
              <w:left w:val="nil"/>
              <w:bottom w:val="single" w:sz="4" w:space="0" w:color="auto"/>
              <w:right w:val="nil"/>
            </w:tcBorders>
            <w:shd w:val="clear" w:color="auto" w:fill="auto"/>
            <w:noWrap/>
            <w:vAlign w:val="bottom"/>
            <w:hideMark/>
          </w:tcPr>
          <w:p w14:paraId="43649D36" w14:textId="77777777" w:rsidR="00904196" w:rsidRPr="00511217" w:rsidRDefault="00904196" w:rsidP="00904196">
            <w:pPr>
              <w:widowControl/>
              <w:jc w:val="center"/>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0.138</w:t>
            </w:r>
          </w:p>
        </w:tc>
      </w:tr>
      <w:tr w:rsidR="00904196" w:rsidRPr="00511217" w14:paraId="46F7FEA2" w14:textId="77777777" w:rsidTr="00904196">
        <w:trPr>
          <w:trHeight w:val="360"/>
        </w:trPr>
        <w:tc>
          <w:tcPr>
            <w:tcW w:w="13892" w:type="dxa"/>
            <w:gridSpan w:val="10"/>
            <w:tcBorders>
              <w:top w:val="single" w:sz="4" w:space="0" w:color="auto"/>
              <w:left w:val="nil"/>
            </w:tcBorders>
            <w:shd w:val="clear" w:color="auto" w:fill="auto"/>
            <w:noWrap/>
            <w:vAlign w:val="bottom"/>
          </w:tcPr>
          <w:p w14:paraId="341CB02E" w14:textId="77777777" w:rsidR="00904196" w:rsidRDefault="00904196" w:rsidP="00904196">
            <w:pPr>
              <w:widowControl/>
              <w:jc w:val="left"/>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LL: lumbar lordosis, S</w:t>
            </w:r>
            <w:r>
              <w:rPr>
                <w:rFonts w:ascii="Arial" w:eastAsia="Times New Roman" w:hAnsi="Arial" w:cs="Arial"/>
                <w:color w:val="000000"/>
                <w:kern w:val="0"/>
                <w:sz w:val="24"/>
                <w:szCs w:val="24"/>
                <w:lang w:val="en-GB" w:eastAsia="en-GB"/>
              </w:rPr>
              <w:t xml:space="preserve">VA: sagittal vertical alignment,   </w:t>
            </w:r>
            <w:r w:rsidRPr="00511217">
              <w:rPr>
                <w:rFonts w:ascii="Arial" w:eastAsia="Times New Roman" w:hAnsi="Arial" w:cs="Arial"/>
                <w:color w:val="000000"/>
                <w:kern w:val="0"/>
                <w:sz w:val="24"/>
                <w:szCs w:val="24"/>
                <w:vertAlign w:val="superscript"/>
                <w:lang w:val="en-GB" w:eastAsia="en-GB"/>
              </w:rPr>
              <w:t>a</w:t>
            </w:r>
            <w:r w:rsidRPr="00511217">
              <w:rPr>
                <w:rFonts w:ascii="Arial" w:eastAsia="Times New Roman" w:hAnsi="Arial" w:cs="Arial"/>
                <w:color w:val="000000"/>
                <w:kern w:val="0"/>
                <w:sz w:val="24"/>
                <w:szCs w:val="24"/>
                <w:lang w:val="en-GB" w:eastAsia="en-GB"/>
              </w:rPr>
              <w:t xml:space="preserve">Odds ratio per 1°decrease in LL, </w:t>
            </w:r>
            <w:r w:rsidRPr="00511217">
              <w:rPr>
                <w:rFonts w:ascii="Arial" w:eastAsia="Times New Roman" w:hAnsi="Arial" w:cs="Arial"/>
                <w:color w:val="000000"/>
                <w:kern w:val="0"/>
                <w:sz w:val="24"/>
                <w:szCs w:val="24"/>
                <w:vertAlign w:val="superscript"/>
                <w:lang w:val="en-GB" w:eastAsia="en-GB"/>
              </w:rPr>
              <w:t>b</w:t>
            </w:r>
            <w:r>
              <w:rPr>
                <w:rFonts w:ascii="Arial" w:eastAsia="Times New Roman" w:hAnsi="Arial" w:cs="Arial"/>
                <w:color w:val="000000"/>
                <w:kern w:val="0"/>
                <w:sz w:val="24"/>
                <w:szCs w:val="24"/>
                <w:lang w:val="en-GB" w:eastAsia="en-GB"/>
              </w:rPr>
              <w:t xml:space="preserve">Odds ratio per </w:t>
            </w:r>
            <w:r w:rsidRPr="00511217">
              <w:rPr>
                <w:rFonts w:ascii="Arial" w:eastAsia="Times New Roman" w:hAnsi="Arial" w:cs="Arial"/>
                <w:color w:val="000000"/>
                <w:kern w:val="0"/>
                <w:sz w:val="24"/>
                <w:szCs w:val="24"/>
                <w:lang w:val="en-GB" w:eastAsia="en-GB"/>
              </w:rPr>
              <w:t>1cm increase in SVA</w:t>
            </w:r>
            <w:r>
              <w:rPr>
                <w:rFonts w:ascii="Arial" w:eastAsia="Times New Roman" w:hAnsi="Arial" w:cs="Arial"/>
                <w:color w:val="000000"/>
                <w:kern w:val="0"/>
                <w:sz w:val="24"/>
                <w:szCs w:val="24"/>
                <w:lang w:val="en-GB" w:eastAsia="en-GB"/>
              </w:rPr>
              <w:br/>
              <w:t xml:space="preserve">Model 1: unadjusted </w:t>
            </w:r>
          </w:p>
          <w:p w14:paraId="4B9F9479" w14:textId="77777777" w:rsidR="00904196" w:rsidRDefault="00904196" w:rsidP="00904196">
            <w:pPr>
              <w:widowControl/>
              <w:jc w:val="left"/>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Model 2: adjusted for sex, age and BMI</w:t>
            </w:r>
          </w:p>
          <w:p w14:paraId="5CF53B7C" w14:textId="440FD5E6" w:rsidR="00904196" w:rsidRPr="00511217" w:rsidRDefault="00904196" w:rsidP="00904196">
            <w:pPr>
              <w:widowControl/>
              <w:rPr>
                <w:rFonts w:ascii="Arial" w:eastAsia="Times New Roman" w:hAnsi="Arial" w:cs="Arial"/>
                <w:color w:val="000000"/>
                <w:kern w:val="0"/>
                <w:sz w:val="24"/>
                <w:szCs w:val="24"/>
                <w:lang w:val="en-GB" w:eastAsia="en-GB"/>
              </w:rPr>
            </w:pPr>
            <w:r w:rsidRPr="00511217">
              <w:rPr>
                <w:rFonts w:ascii="Arial" w:eastAsia="Times New Roman" w:hAnsi="Arial" w:cs="Arial"/>
                <w:color w:val="000000"/>
                <w:kern w:val="0"/>
                <w:sz w:val="24"/>
                <w:szCs w:val="24"/>
                <w:lang w:val="en-GB" w:eastAsia="en-GB"/>
              </w:rPr>
              <w:t>Model 3: adjusted for the other predictors as well as sex, age and BMI</w:t>
            </w:r>
          </w:p>
        </w:tc>
      </w:tr>
    </w:tbl>
    <w:p w14:paraId="63BB905D" w14:textId="416342B2" w:rsidR="00511217" w:rsidRPr="00904196" w:rsidRDefault="00511217" w:rsidP="00904196">
      <w:pPr>
        <w:tabs>
          <w:tab w:val="left" w:pos="3384"/>
        </w:tabs>
        <w:rPr>
          <w:rFonts w:asciiTheme="majorHAnsi" w:eastAsia="MS PGothic" w:hAnsiTheme="majorHAnsi" w:cstheme="majorHAnsi"/>
          <w:sz w:val="32"/>
          <w:szCs w:val="24"/>
        </w:rPr>
      </w:pPr>
    </w:p>
    <w:sectPr w:rsidR="00511217" w:rsidRPr="00904196" w:rsidSect="00511217">
      <w:pgSz w:w="16838" w:h="11906" w:orient="landscape"/>
      <w:pgMar w:top="1701" w:right="1985" w:bottom="1701" w:left="1701" w:header="851" w:footer="992" w:gutter="0"/>
      <w:cols w:space="425"/>
      <w:docGrid w:type="lines" w:linePitch="6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8705D" w14:textId="77777777" w:rsidR="00CF14A8" w:rsidRDefault="00CF14A8">
      <w:r>
        <w:separator/>
      </w:r>
    </w:p>
  </w:endnote>
  <w:endnote w:type="continuationSeparator" w:id="0">
    <w:p w14:paraId="5E7BC701" w14:textId="77777777" w:rsidR="00CF14A8" w:rsidRDefault="00CF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006D2" w14:textId="77777777" w:rsidR="003D72A4" w:rsidRDefault="003D72A4" w:rsidP="00BF08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BA0649" w14:textId="77777777" w:rsidR="003D72A4" w:rsidRDefault="003D7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D7405" w14:textId="77777777" w:rsidR="003D72A4" w:rsidRDefault="003D72A4" w:rsidP="00BF08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C66">
      <w:rPr>
        <w:rStyle w:val="PageNumber"/>
        <w:noProof/>
      </w:rPr>
      <w:t>2</w:t>
    </w:r>
    <w:r>
      <w:rPr>
        <w:rStyle w:val="PageNumber"/>
      </w:rPr>
      <w:fldChar w:fldCharType="end"/>
    </w:r>
  </w:p>
  <w:p w14:paraId="4DDEFDCE" w14:textId="7528D543" w:rsidR="003D72A4" w:rsidRDefault="003D72A4">
    <w:pPr>
      <w:pStyle w:val="Footer"/>
      <w:jc w:val="center"/>
    </w:pPr>
  </w:p>
  <w:p w14:paraId="7EBB9FB9" w14:textId="77777777" w:rsidR="003D72A4" w:rsidRDefault="003D7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41D1B" w14:textId="77777777" w:rsidR="00CF14A8" w:rsidRDefault="00CF14A8">
      <w:r>
        <w:separator/>
      </w:r>
    </w:p>
  </w:footnote>
  <w:footnote w:type="continuationSeparator" w:id="0">
    <w:p w14:paraId="4728550A" w14:textId="77777777" w:rsidR="00CF14A8" w:rsidRDefault="00CF1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F7F89"/>
    <w:multiLevelType w:val="hybridMultilevel"/>
    <w:tmpl w:val="50A4F214"/>
    <w:lvl w:ilvl="0" w:tplc="3A2C1872">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A6030C"/>
    <w:multiLevelType w:val="hybridMultilevel"/>
    <w:tmpl w:val="09FE98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0921B0"/>
    <w:multiLevelType w:val="hybridMultilevel"/>
    <w:tmpl w:val="B7C23176"/>
    <w:lvl w:ilvl="0" w:tplc="029C552A">
      <w:start w:val="1"/>
      <w:numFmt w:val="decimal"/>
      <w:lvlText w:val="%1."/>
      <w:lvlJc w:val="left"/>
      <w:pPr>
        <w:ind w:left="360"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6B992706"/>
    <w:multiLevelType w:val="multilevel"/>
    <w:tmpl w:val="7A42A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F63633"/>
    <w:multiLevelType w:val="hybridMultilevel"/>
    <w:tmpl w:val="E5627B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NotTrackFormatting/>
  <w:defaultTabStop w:val="840"/>
  <w:drawingGridHorizontalSpacing w:val="105"/>
  <w:drawingGridVerticalSpacing w:val="6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9ww0rbapezee9esb5saxf9wr55ar2stzs&quot;&gt;NCH EN&lt;record-ids&gt;&lt;item&gt;7317&lt;/item&gt;&lt;item&gt;7318&lt;/item&gt;&lt;item&gt;7319&lt;/item&gt;&lt;item&gt;7320&lt;/item&gt;&lt;item&gt;7321&lt;/item&gt;&lt;/record-ids&gt;&lt;/item&gt;&lt;/Libraries&gt;"/>
  </w:docVars>
  <w:rsids>
    <w:rsidRoot w:val="00495C0B"/>
    <w:rsid w:val="000004F2"/>
    <w:rsid w:val="00013AA8"/>
    <w:rsid w:val="00016105"/>
    <w:rsid w:val="00026605"/>
    <w:rsid w:val="0003192D"/>
    <w:rsid w:val="00037A72"/>
    <w:rsid w:val="00046CA5"/>
    <w:rsid w:val="00047099"/>
    <w:rsid w:val="000645AC"/>
    <w:rsid w:val="000654D0"/>
    <w:rsid w:val="000876F9"/>
    <w:rsid w:val="00091461"/>
    <w:rsid w:val="00094820"/>
    <w:rsid w:val="000A1C1B"/>
    <w:rsid w:val="000C3448"/>
    <w:rsid w:val="000C7349"/>
    <w:rsid w:val="000E1AD7"/>
    <w:rsid w:val="000E7133"/>
    <w:rsid w:val="000F204A"/>
    <w:rsid w:val="000F3297"/>
    <w:rsid w:val="000F5042"/>
    <w:rsid w:val="0010066A"/>
    <w:rsid w:val="00100FB3"/>
    <w:rsid w:val="00110B29"/>
    <w:rsid w:val="0011559E"/>
    <w:rsid w:val="00116913"/>
    <w:rsid w:val="00121714"/>
    <w:rsid w:val="00122101"/>
    <w:rsid w:val="00122574"/>
    <w:rsid w:val="001227C6"/>
    <w:rsid w:val="00132C05"/>
    <w:rsid w:val="00134C4D"/>
    <w:rsid w:val="00135F4B"/>
    <w:rsid w:val="00137068"/>
    <w:rsid w:val="00140168"/>
    <w:rsid w:val="001426FA"/>
    <w:rsid w:val="0014406A"/>
    <w:rsid w:val="001475A3"/>
    <w:rsid w:val="0015074C"/>
    <w:rsid w:val="00154AC3"/>
    <w:rsid w:val="001641EF"/>
    <w:rsid w:val="00164866"/>
    <w:rsid w:val="00165AED"/>
    <w:rsid w:val="00180CAC"/>
    <w:rsid w:val="0018166E"/>
    <w:rsid w:val="001817BE"/>
    <w:rsid w:val="001817DE"/>
    <w:rsid w:val="00181D7A"/>
    <w:rsid w:val="001851AC"/>
    <w:rsid w:val="00185820"/>
    <w:rsid w:val="00185F6C"/>
    <w:rsid w:val="001B53DD"/>
    <w:rsid w:val="001B59A7"/>
    <w:rsid w:val="001C080D"/>
    <w:rsid w:val="001C0FA6"/>
    <w:rsid w:val="001C1233"/>
    <w:rsid w:val="001D0B5D"/>
    <w:rsid w:val="001E34FE"/>
    <w:rsid w:val="001E53A6"/>
    <w:rsid w:val="00200FE6"/>
    <w:rsid w:val="0020173B"/>
    <w:rsid w:val="002066D7"/>
    <w:rsid w:val="00207C01"/>
    <w:rsid w:val="0021329B"/>
    <w:rsid w:val="00216EE6"/>
    <w:rsid w:val="002203B4"/>
    <w:rsid w:val="00231FA9"/>
    <w:rsid w:val="00241EF9"/>
    <w:rsid w:val="00242116"/>
    <w:rsid w:val="002430DE"/>
    <w:rsid w:val="00246AF5"/>
    <w:rsid w:val="00254BA0"/>
    <w:rsid w:val="00261E9F"/>
    <w:rsid w:val="00262E27"/>
    <w:rsid w:val="002758ED"/>
    <w:rsid w:val="00280159"/>
    <w:rsid w:val="00283AF9"/>
    <w:rsid w:val="002857D2"/>
    <w:rsid w:val="00290767"/>
    <w:rsid w:val="002A0942"/>
    <w:rsid w:val="002A1E01"/>
    <w:rsid w:val="002A4382"/>
    <w:rsid w:val="002A4558"/>
    <w:rsid w:val="002A5522"/>
    <w:rsid w:val="002A5E77"/>
    <w:rsid w:val="002B46E4"/>
    <w:rsid w:val="002C1F73"/>
    <w:rsid w:val="00302696"/>
    <w:rsid w:val="00317828"/>
    <w:rsid w:val="00320551"/>
    <w:rsid w:val="003317CF"/>
    <w:rsid w:val="00343EB8"/>
    <w:rsid w:val="00344DA6"/>
    <w:rsid w:val="00353EAB"/>
    <w:rsid w:val="00354B12"/>
    <w:rsid w:val="00356848"/>
    <w:rsid w:val="003632A9"/>
    <w:rsid w:val="003632CF"/>
    <w:rsid w:val="0037157C"/>
    <w:rsid w:val="00371FB2"/>
    <w:rsid w:val="00380DFB"/>
    <w:rsid w:val="0038121C"/>
    <w:rsid w:val="0038334C"/>
    <w:rsid w:val="0038557A"/>
    <w:rsid w:val="00390AC9"/>
    <w:rsid w:val="00393CA6"/>
    <w:rsid w:val="003941F4"/>
    <w:rsid w:val="003A02ED"/>
    <w:rsid w:val="003A36F8"/>
    <w:rsid w:val="003A5684"/>
    <w:rsid w:val="003A5FC9"/>
    <w:rsid w:val="003A6C66"/>
    <w:rsid w:val="003B1679"/>
    <w:rsid w:val="003B6963"/>
    <w:rsid w:val="003C0295"/>
    <w:rsid w:val="003C03A6"/>
    <w:rsid w:val="003C7EAB"/>
    <w:rsid w:val="003D4DB1"/>
    <w:rsid w:val="003D572F"/>
    <w:rsid w:val="003D58BD"/>
    <w:rsid w:val="003D72A4"/>
    <w:rsid w:val="003D7C86"/>
    <w:rsid w:val="003E58B5"/>
    <w:rsid w:val="003F1B69"/>
    <w:rsid w:val="003F21B8"/>
    <w:rsid w:val="003F528C"/>
    <w:rsid w:val="00402B5B"/>
    <w:rsid w:val="00405829"/>
    <w:rsid w:val="004126E3"/>
    <w:rsid w:val="00414C79"/>
    <w:rsid w:val="00417FD7"/>
    <w:rsid w:val="004206B6"/>
    <w:rsid w:val="0042203B"/>
    <w:rsid w:val="0042426A"/>
    <w:rsid w:val="004437C3"/>
    <w:rsid w:val="00450C95"/>
    <w:rsid w:val="0045319A"/>
    <w:rsid w:val="004538E9"/>
    <w:rsid w:val="00455636"/>
    <w:rsid w:val="00457452"/>
    <w:rsid w:val="00460F75"/>
    <w:rsid w:val="00464FF5"/>
    <w:rsid w:val="00465BF2"/>
    <w:rsid w:val="00466367"/>
    <w:rsid w:val="0047107A"/>
    <w:rsid w:val="00477ACC"/>
    <w:rsid w:val="00477EBD"/>
    <w:rsid w:val="00487E0B"/>
    <w:rsid w:val="00495C0B"/>
    <w:rsid w:val="004A4414"/>
    <w:rsid w:val="004B36A2"/>
    <w:rsid w:val="004B58DB"/>
    <w:rsid w:val="004B7B79"/>
    <w:rsid w:val="004D1B3F"/>
    <w:rsid w:val="004D59F7"/>
    <w:rsid w:val="004D718D"/>
    <w:rsid w:val="004E2E38"/>
    <w:rsid w:val="004F27A5"/>
    <w:rsid w:val="004F758E"/>
    <w:rsid w:val="00511208"/>
    <w:rsid w:val="00511217"/>
    <w:rsid w:val="00525BA4"/>
    <w:rsid w:val="005307FE"/>
    <w:rsid w:val="00530EC9"/>
    <w:rsid w:val="005344FC"/>
    <w:rsid w:val="00541952"/>
    <w:rsid w:val="00543877"/>
    <w:rsid w:val="00544784"/>
    <w:rsid w:val="00547F8B"/>
    <w:rsid w:val="00552FC7"/>
    <w:rsid w:val="00554FC7"/>
    <w:rsid w:val="00555427"/>
    <w:rsid w:val="0057280E"/>
    <w:rsid w:val="00580BE6"/>
    <w:rsid w:val="00581968"/>
    <w:rsid w:val="00582B36"/>
    <w:rsid w:val="00591F66"/>
    <w:rsid w:val="00593CED"/>
    <w:rsid w:val="005962D9"/>
    <w:rsid w:val="005A4700"/>
    <w:rsid w:val="005C2AF2"/>
    <w:rsid w:val="005C4B2D"/>
    <w:rsid w:val="005E000B"/>
    <w:rsid w:val="005E210A"/>
    <w:rsid w:val="005E7A75"/>
    <w:rsid w:val="005F01DD"/>
    <w:rsid w:val="005F62B9"/>
    <w:rsid w:val="00607D96"/>
    <w:rsid w:val="00610E92"/>
    <w:rsid w:val="0061519E"/>
    <w:rsid w:val="0061568F"/>
    <w:rsid w:val="00620C8B"/>
    <w:rsid w:val="00620EF4"/>
    <w:rsid w:val="00624525"/>
    <w:rsid w:val="00633CD6"/>
    <w:rsid w:val="00635145"/>
    <w:rsid w:val="00642A7F"/>
    <w:rsid w:val="006453E1"/>
    <w:rsid w:val="0065099B"/>
    <w:rsid w:val="00652760"/>
    <w:rsid w:val="00652815"/>
    <w:rsid w:val="00660801"/>
    <w:rsid w:val="00663711"/>
    <w:rsid w:val="0067169E"/>
    <w:rsid w:val="00671B70"/>
    <w:rsid w:val="00673C8D"/>
    <w:rsid w:val="006A3AC7"/>
    <w:rsid w:val="006A5B18"/>
    <w:rsid w:val="006A6C49"/>
    <w:rsid w:val="006B08E2"/>
    <w:rsid w:val="006B113A"/>
    <w:rsid w:val="006B6F3C"/>
    <w:rsid w:val="006C1D3A"/>
    <w:rsid w:val="006C30EC"/>
    <w:rsid w:val="006C6415"/>
    <w:rsid w:val="006E43E1"/>
    <w:rsid w:val="006E7601"/>
    <w:rsid w:val="006F3A8A"/>
    <w:rsid w:val="006F7FB7"/>
    <w:rsid w:val="00700176"/>
    <w:rsid w:val="007031F6"/>
    <w:rsid w:val="00704753"/>
    <w:rsid w:val="0071141F"/>
    <w:rsid w:val="00715019"/>
    <w:rsid w:val="00715877"/>
    <w:rsid w:val="0072314E"/>
    <w:rsid w:val="00751054"/>
    <w:rsid w:val="0075589E"/>
    <w:rsid w:val="007563A8"/>
    <w:rsid w:val="0076070A"/>
    <w:rsid w:val="00761717"/>
    <w:rsid w:val="00773969"/>
    <w:rsid w:val="00773BDA"/>
    <w:rsid w:val="00775D13"/>
    <w:rsid w:val="00776871"/>
    <w:rsid w:val="00780AE4"/>
    <w:rsid w:val="007828E4"/>
    <w:rsid w:val="00784339"/>
    <w:rsid w:val="00790B12"/>
    <w:rsid w:val="00790FFA"/>
    <w:rsid w:val="007927C0"/>
    <w:rsid w:val="007A2843"/>
    <w:rsid w:val="007A317B"/>
    <w:rsid w:val="007A4943"/>
    <w:rsid w:val="007D2E96"/>
    <w:rsid w:val="007D3304"/>
    <w:rsid w:val="007D5841"/>
    <w:rsid w:val="007F224A"/>
    <w:rsid w:val="00802883"/>
    <w:rsid w:val="008134E0"/>
    <w:rsid w:val="00814361"/>
    <w:rsid w:val="0081466D"/>
    <w:rsid w:val="00820434"/>
    <w:rsid w:val="00823D1D"/>
    <w:rsid w:val="00835106"/>
    <w:rsid w:val="00837399"/>
    <w:rsid w:val="008412F3"/>
    <w:rsid w:val="00841F11"/>
    <w:rsid w:val="00850CC2"/>
    <w:rsid w:val="00853C90"/>
    <w:rsid w:val="00861E48"/>
    <w:rsid w:val="00867CD5"/>
    <w:rsid w:val="0087689E"/>
    <w:rsid w:val="008829D2"/>
    <w:rsid w:val="0088489B"/>
    <w:rsid w:val="00884AE7"/>
    <w:rsid w:val="00896673"/>
    <w:rsid w:val="00897BA3"/>
    <w:rsid w:val="008A456E"/>
    <w:rsid w:val="008B3A72"/>
    <w:rsid w:val="008B3EF1"/>
    <w:rsid w:val="008B41ED"/>
    <w:rsid w:val="008B5B03"/>
    <w:rsid w:val="008C7CA7"/>
    <w:rsid w:val="0090320C"/>
    <w:rsid w:val="00904196"/>
    <w:rsid w:val="00904B92"/>
    <w:rsid w:val="00906733"/>
    <w:rsid w:val="0091409C"/>
    <w:rsid w:val="0092496A"/>
    <w:rsid w:val="00927002"/>
    <w:rsid w:val="00940DBD"/>
    <w:rsid w:val="00942D6C"/>
    <w:rsid w:val="00944E54"/>
    <w:rsid w:val="009547CD"/>
    <w:rsid w:val="00961038"/>
    <w:rsid w:val="009661A5"/>
    <w:rsid w:val="00994B41"/>
    <w:rsid w:val="009C576D"/>
    <w:rsid w:val="009D0449"/>
    <w:rsid w:val="009D1481"/>
    <w:rsid w:val="009D153A"/>
    <w:rsid w:val="009D1D57"/>
    <w:rsid w:val="009D3E4F"/>
    <w:rsid w:val="009D6E82"/>
    <w:rsid w:val="009E2CE9"/>
    <w:rsid w:val="009E512B"/>
    <w:rsid w:val="009F1D93"/>
    <w:rsid w:val="009F25B0"/>
    <w:rsid w:val="009F2B8D"/>
    <w:rsid w:val="00A02BBE"/>
    <w:rsid w:val="00A0386E"/>
    <w:rsid w:val="00A1227D"/>
    <w:rsid w:val="00A21B16"/>
    <w:rsid w:val="00A2797E"/>
    <w:rsid w:val="00A34BA3"/>
    <w:rsid w:val="00A42711"/>
    <w:rsid w:val="00A43360"/>
    <w:rsid w:val="00A46B8F"/>
    <w:rsid w:val="00A57934"/>
    <w:rsid w:val="00A66913"/>
    <w:rsid w:val="00A679FD"/>
    <w:rsid w:val="00A710B4"/>
    <w:rsid w:val="00A7392F"/>
    <w:rsid w:val="00A74EFE"/>
    <w:rsid w:val="00A963F1"/>
    <w:rsid w:val="00A972F8"/>
    <w:rsid w:val="00AA24C6"/>
    <w:rsid w:val="00AA766C"/>
    <w:rsid w:val="00AB3DC6"/>
    <w:rsid w:val="00AC524F"/>
    <w:rsid w:val="00AE02CA"/>
    <w:rsid w:val="00AE1F9F"/>
    <w:rsid w:val="00B02179"/>
    <w:rsid w:val="00B035AE"/>
    <w:rsid w:val="00B0788D"/>
    <w:rsid w:val="00B11FCA"/>
    <w:rsid w:val="00B16D32"/>
    <w:rsid w:val="00B25B4B"/>
    <w:rsid w:val="00B26F1C"/>
    <w:rsid w:val="00B30664"/>
    <w:rsid w:val="00B30735"/>
    <w:rsid w:val="00B3194E"/>
    <w:rsid w:val="00B32DB1"/>
    <w:rsid w:val="00B426AD"/>
    <w:rsid w:val="00B46010"/>
    <w:rsid w:val="00B466C2"/>
    <w:rsid w:val="00B470F6"/>
    <w:rsid w:val="00B504C9"/>
    <w:rsid w:val="00B507EF"/>
    <w:rsid w:val="00B53E8D"/>
    <w:rsid w:val="00B573F6"/>
    <w:rsid w:val="00B57B1F"/>
    <w:rsid w:val="00B637FF"/>
    <w:rsid w:val="00B678A5"/>
    <w:rsid w:val="00B76CD1"/>
    <w:rsid w:val="00B810DD"/>
    <w:rsid w:val="00B850D1"/>
    <w:rsid w:val="00B87D7F"/>
    <w:rsid w:val="00BA1850"/>
    <w:rsid w:val="00BA5B42"/>
    <w:rsid w:val="00BB1DBF"/>
    <w:rsid w:val="00BB286B"/>
    <w:rsid w:val="00BB3C72"/>
    <w:rsid w:val="00BB54DA"/>
    <w:rsid w:val="00BB6C10"/>
    <w:rsid w:val="00BC4ACD"/>
    <w:rsid w:val="00BD3206"/>
    <w:rsid w:val="00BE1DA7"/>
    <w:rsid w:val="00BF0895"/>
    <w:rsid w:val="00BF13F2"/>
    <w:rsid w:val="00C0558B"/>
    <w:rsid w:val="00C10260"/>
    <w:rsid w:val="00C121AB"/>
    <w:rsid w:val="00C13F5F"/>
    <w:rsid w:val="00C32F65"/>
    <w:rsid w:val="00C35EE1"/>
    <w:rsid w:val="00C36A16"/>
    <w:rsid w:val="00C36BB6"/>
    <w:rsid w:val="00C44FAC"/>
    <w:rsid w:val="00C453FB"/>
    <w:rsid w:val="00C472D2"/>
    <w:rsid w:val="00C5435A"/>
    <w:rsid w:val="00C63AA8"/>
    <w:rsid w:val="00C63FB9"/>
    <w:rsid w:val="00C70EEC"/>
    <w:rsid w:val="00C83A13"/>
    <w:rsid w:val="00C85EE1"/>
    <w:rsid w:val="00C9194B"/>
    <w:rsid w:val="00CA38C1"/>
    <w:rsid w:val="00CB4335"/>
    <w:rsid w:val="00CE75E7"/>
    <w:rsid w:val="00CF14A8"/>
    <w:rsid w:val="00CF3B29"/>
    <w:rsid w:val="00D07B2E"/>
    <w:rsid w:val="00D10E42"/>
    <w:rsid w:val="00D150EF"/>
    <w:rsid w:val="00D1698E"/>
    <w:rsid w:val="00D2269F"/>
    <w:rsid w:val="00D23A31"/>
    <w:rsid w:val="00D3733A"/>
    <w:rsid w:val="00D50332"/>
    <w:rsid w:val="00D511C6"/>
    <w:rsid w:val="00D54858"/>
    <w:rsid w:val="00D6107D"/>
    <w:rsid w:val="00D623B8"/>
    <w:rsid w:val="00D64D52"/>
    <w:rsid w:val="00D80A6F"/>
    <w:rsid w:val="00D941C9"/>
    <w:rsid w:val="00DA42ED"/>
    <w:rsid w:val="00DC0DCE"/>
    <w:rsid w:val="00DC343D"/>
    <w:rsid w:val="00DC547C"/>
    <w:rsid w:val="00DC560B"/>
    <w:rsid w:val="00DF0D1E"/>
    <w:rsid w:val="00E01E01"/>
    <w:rsid w:val="00E115FA"/>
    <w:rsid w:val="00E175CC"/>
    <w:rsid w:val="00E3051E"/>
    <w:rsid w:val="00E33B9A"/>
    <w:rsid w:val="00E36F6F"/>
    <w:rsid w:val="00E47C32"/>
    <w:rsid w:val="00E50C53"/>
    <w:rsid w:val="00E55F8A"/>
    <w:rsid w:val="00E5727C"/>
    <w:rsid w:val="00E62E31"/>
    <w:rsid w:val="00E6309A"/>
    <w:rsid w:val="00E66098"/>
    <w:rsid w:val="00E70777"/>
    <w:rsid w:val="00E72BBF"/>
    <w:rsid w:val="00E82D19"/>
    <w:rsid w:val="00E90D6B"/>
    <w:rsid w:val="00E931CA"/>
    <w:rsid w:val="00E93AB8"/>
    <w:rsid w:val="00EA3D7F"/>
    <w:rsid w:val="00EA4CD3"/>
    <w:rsid w:val="00EA61CC"/>
    <w:rsid w:val="00EB2452"/>
    <w:rsid w:val="00EB3B41"/>
    <w:rsid w:val="00EC3C44"/>
    <w:rsid w:val="00ED1321"/>
    <w:rsid w:val="00EE3441"/>
    <w:rsid w:val="00EE70A4"/>
    <w:rsid w:val="00EF121C"/>
    <w:rsid w:val="00EF2AB6"/>
    <w:rsid w:val="00EF489C"/>
    <w:rsid w:val="00EF4E17"/>
    <w:rsid w:val="00EF577E"/>
    <w:rsid w:val="00F07661"/>
    <w:rsid w:val="00F1236D"/>
    <w:rsid w:val="00F2036A"/>
    <w:rsid w:val="00F3693B"/>
    <w:rsid w:val="00F43E84"/>
    <w:rsid w:val="00F57A94"/>
    <w:rsid w:val="00F64724"/>
    <w:rsid w:val="00F7183A"/>
    <w:rsid w:val="00F81821"/>
    <w:rsid w:val="00F8242B"/>
    <w:rsid w:val="00F83697"/>
    <w:rsid w:val="00F9716E"/>
    <w:rsid w:val="00FA2C7F"/>
    <w:rsid w:val="00FA6B33"/>
    <w:rsid w:val="00FA7029"/>
    <w:rsid w:val="00FB5796"/>
    <w:rsid w:val="00FC0AE2"/>
    <w:rsid w:val="00FC0EC4"/>
    <w:rsid w:val="00FC28C3"/>
    <w:rsid w:val="00FD2E46"/>
    <w:rsid w:val="00FE2D0B"/>
    <w:rsid w:val="00FE5834"/>
    <w:rsid w:val="00FF6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029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link w:val="Heading1Char"/>
    <w:uiPriority w:val="9"/>
    <w:qFormat/>
    <w:rsid w:val="00BB3C72"/>
    <w:pPr>
      <w:widowControl/>
      <w:spacing w:before="100" w:beforeAutospacing="1" w:after="100" w:afterAutospacing="1"/>
      <w:jc w:val="left"/>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customStyle="1" w:styleId="PaperStyle">
    <w:name w:val="Paper Style"/>
    <w:basedOn w:val="Normal"/>
    <w:pPr>
      <w:widowControl/>
      <w:overflowPunct w:val="0"/>
      <w:autoSpaceDE w:val="0"/>
      <w:autoSpaceDN w:val="0"/>
      <w:adjustRightInd w:val="0"/>
      <w:spacing w:line="480" w:lineRule="auto"/>
      <w:jc w:val="left"/>
      <w:textAlignment w:val="baseline"/>
    </w:pPr>
    <w:rPr>
      <w:rFonts w:ascii="Times" w:eastAsia="平成明朝" w:hAnsi="Times" w:cs="Times New Roman"/>
      <w:noProof/>
      <w:kern w:val="0"/>
      <w:sz w:val="24"/>
      <w:szCs w:val="20"/>
    </w:rPr>
  </w:style>
  <w:style w:type="character" w:styleId="Hyperlink">
    <w:name w:val="Hyperlink"/>
    <w:basedOn w:val="DefaultParagraphFon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paragraph" w:styleId="BalloonText">
    <w:name w:val="Balloon Text"/>
    <w:basedOn w:val="Normal"/>
    <w:link w:val="BalloonTextChar"/>
    <w:uiPriority w:val="99"/>
    <w:semiHidden/>
    <w:unhideWhenUse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styleId="HTMLPreformatted">
    <w:name w:val="HTML Preformatted"/>
    <w:basedOn w:val="Normal"/>
    <w:link w:val="HTMLPreformattedChar"/>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cs="MS Gothic"/>
      <w:kern w:val="0"/>
      <w:sz w:val="24"/>
      <w:szCs w:val="24"/>
    </w:rPr>
  </w:style>
  <w:style w:type="character" w:customStyle="1" w:styleId="HTMLPreformattedChar">
    <w:name w:val="HTML Preformatted Char"/>
    <w:basedOn w:val="DefaultParagraphFont"/>
    <w:link w:val="HTMLPreformatted"/>
    <w:semiHidden/>
    <w:rPr>
      <w:rFonts w:ascii="MS Gothic" w:eastAsia="MS Gothic" w:hAnsi="MS Gothic" w:cs="MS Gothic"/>
      <w:kern w:val="0"/>
      <w:sz w:val="24"/>
      <w:szCs w:val="24"/>
    </w:rPr>
  </w:style>
  <w:style w:type="paragraph" w:styleId="NormalWeb">
    <w:name w:val="Normal (Web)"/>
    <w:basedOn w:val="Normal"/>
    <w:uiPriority w:val="99"/>
    <w:unhideWhenUsed/>
    <w:pPr>
      <w:widowControl/>
      <w:spacing w:before="100" w:beforeAutospacing="1" w:after="100" w:afterAutospacing="1"/>
      <w:jc w:val="left"/>
    </w:pPr>
    <w:rPr>
      <w:rFonts w:ascii="Times" w:hAnsi="Times" w:cs="Times New Roman"/>
      <w:kern w:val="0"/>
      <w:sz w:val="20"/>
      <w:szCs w:val="20"/>
    </w:rPr>
  </w:style>
  <w:style w:type="paragraph" w:styleId="ListParagraph">
    <w:name w:val="List Paragraph"/>
    <w:basedOn w:val="Normal"/>
    <w:uiPriority w:val="34"/>
    <w:qFormat/>
    <w:pPr>
      <w:ind w:leftChars="400" w:left="960"/>
    </w:pPr>
  </w:style>
  <w:style w:type="paragraph" w:styleId="CommentSubject">
    <w:name w:val="annotation subject"/>
    <w:basedOn w:val="CommentText"/>
    <w:next w:val="CommentText"/>
    <w:link w:val="CommentSubjectChar"/>
    <w:uiPriority w:val="99"/>
    <w:semiHidden/>
    <w:unhideWhenUsed/>
    <w:pPr>
      <w:jc w:val="left"/>
    </w:pPr>
    <w:rPr>
      <w:b/>
      <w:bCs/>
      <w:sz w:val="21"/>
      <w:szCs w:val="22"/>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itle1">
    <w:name w:val="Title1"/>
    <w:basedOn w:val="Normal"/>
    <w:rsid w:val="00D941C9"/>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Heading1Char">
    <w:name w:val="Heading 1 Char"/>
    <w:basedOn w:val="DefaultParagraphFont"/>
    <w:link w:val="Heading1"/>
    <w:uiPriority w:val="9"/>
    <w:rsid w:val="00BB3C72"/>
    <w:rPr>
      <w:rFonts w:ascii="Times" w:hAnsi="Times"/>
      <w:b/>
      <w:bCs/>
      <w:kern w:val="36"/>
      <w:sz w:val="48"/>
      <w:szCs w:val="48"/>
    </w:rPr>
  </w:style>
  <w:style w:type="character" w:customStyle="1" w:styleId="apple-converted-space">
    <w:name w:val="apple-converted-space"/>
    <w:basedOn w:val="DefaultParagraphFont"/>
    <w:rsid w:val="00BB3C72"/>
  </w:style>
  <w:style w:type="character" w:customStyle="1" w:styleId="highlight">
    <w:name w:val="highlight"/>
    <w:basedOn w:val="DefaultParagraphFont"/>
    <w:rsid w:val="00BB3C72"/>
  </w:style>
  <w:style w:type="character" w:styleId="PageNumber">
    <w:name w:val="page number"/>
    <w:basedOn w:val="DefaultParagraphFont"/>
    <w:uiPriority w:val="99"/>
    <w:semiHidden/>
    <w:unhideWhenUsed/>
    <w:rsid w:val="00046CA5"/>
  </w:style>
  <w:style w:type="paragraph" w:styleId="Revision">
    <w:name w:val="Revision"/>
    <w:hidden/>
    <w:uiPriority w:val="99"/>
    <w:semiHidden/>
    <w:rsid w:val="00F64724"/>
  </w:style>
  <w:style w:type="paragraph" w:customStyle="1" w:styleId="EndNoteBibliographyTitle">
    <w:name w:val="EndNote Bibliography Title"/>
    <w:basedOn w:val="Normal"/>
    <w:link w:val="EndNoteBibliographyTitleChar"/>
    <w:rsid w:val="0057280E"/>
    <w:pPr>
      <w:jc w:val="center"/>
    </w:pPr>
    <w:rPr>
      <w:rFonts w:ascii="Century" w:hAnsi="Century"/>
      <w:noProof/>
      <w:sz w:val="20"/>
    </w:rPr>
  </w:style>
  <w:style w:type="character" w:customStyle="1" w:styleId="EndNoteBibliographyTitleChar">
    <w:name w:val="EndNote Bibliography Title Char"/>
    <w:basedOn w:val="DefaultParagraphFont"/>
    <w:link w:val="EndNoteBibliographyTitle"/>
    <w:rsid w:val="0057280E"/>
    <w:rPr>
      <w:rFonts w:ascii="Century" w:hAnsi="Century"/>
      <w:noProof/>
      <w:sz w:val="20"/>
    </w:rPr>
  </w:style>
  <w:style w:type="paragraph" w:customStyle="1" w:styleId="EndNoteBibliography">
    <w:name w:val="EndNote Bibliography"/>
    <w:basedOn w:val="Normal"/>
    <w:link w:val="EndNoteBibliographyChar"/>
    <w:rsid w:val="0057280E"/>
    <w:pPr>
      <w:jc w:val="left"/>
    </w:pPr>
    <w:rPr>
      <w:rFonts w:ascii="Century" w:hAnsi="Century"/>
      <w:noProof/>
      <w:sz w:val="20"/>
    </w:rPr>
  </w:style>
  <w:style w:type="character" w:customStyle="1" w:styleId="EndNoteBibliographyChar">
    <w:name w:val="EndNote Bibliography Char"/>
    <w:basedOn w:val="DefaultParagraphFont"/>
    <w:link w:val="EndNoteBibliography"/>
    <w:rsid w:val="0057280E"/>
    <w:rPr>
      <w:rFonts w:ascii="Century" w:hAnsi="Century"/>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997">
      <w:bodyDiv w:val="1"/>
      <w:marLeft w:val="0"/>
      <w:marRight w:val="0"/>
      <w:marTop w:val="0"/>
      <w:marBottom w:val="0"/>
      <w:divBdr>
        <w:top w:val="none" w:sz="0" w:space="0" w:color="auto"/>
        <w:left w:val="none" w:sz="0" w:space="0" w:color="auto"/>
        <w:bottom w:val="none" w:sz="0" w:space="0" w:color="auto"/>
        <w:right w:val="none" w:sz="0" w:space="0" w:color="auto"/>
      </w:divBdr>
    </w:div>
    <w:div w:id="200752043">
      <w:bodyDiv w:val="1"/>
      <w:marLeft w:val="0"/>
      <w:marRight w:val="0"/>
      <w:marTop w:val="0"/>
      <w:marBottom w:val="0"/>
      <w:divBdr>
        <w:top w:val="none" w:sz="0" w:space="0" w:color="auto"/>
        <w:left w:val="none" w:sz="0" w:space="0" w:color="auto"/>
        <w:bottom w:val="none" w:sz="0" w:space="0" w:color="auto"/>
        <w:right w:val="none" w:sz="0" w:space="0" w:color="auto"/>
      </w:divBdr>
    </w:div>
    <w:div w:id="430517529">
      <w:bodyDiv w:val="1"/>
      <w:marLeft w:val="0"/>
      <w:marRight w:val="0"/>
      <w:marTop w:val="0"/>
      <w:marBottom w:val="0"/>
      <w:divBdr>
        <w:top w:val="none" w:sz="0" w:space="0" w:color="auto"/>
        <w:left w:val="none" w:sz="0" w:space="0" w:color="auto"/>
        <w:bottom w:val="none" w:sz="0" w:space="0" w:color="auto"/>
        <w:right w:val="none" w:sz="0" w:space="0" w:color="auto"/>
      </w:divBdr>
    </w:div>
    <w:div w:id="841893034">
      <w:bodyDiv w:val="1"/>
      <w:marLeft w:val="0"/>
      <w:marRight w:val="0"/>
      <w:marTop w:val="0"/>
      <w:marBottom w:val="0"/>
      <w:divBdr>
        <w:top w:val="none" w:sz="0" w:space="0" w:color="auto"/>
        <w:left w:val="none" w:sz="0" w:space="0" w:color="auto"/>
        <w:bottom w:val="none" w:sz="0" w:space="0" w:color="auto"/>
        <w:right w:val="none" w:sz="0" w:space="0" w:color="auto"/>
      </w:divBdr>
    </w:div>
    <w:div w:id="970205826">
      <w:bodyDiv w:val="1"/>
      <w:marLeft w:val="0"/>
      <w:marRight w:val="0"/>
      <w:marTop w:val="0"/>
      <w:marBottom w:val="0"/>
      <w:divBdr>
        <w:top w:val="none" w:sz="0" w:space="0" w:color="auto"/>
        <w:left w:val="none" w:sz="0" w:space="0" w:color="auto"/>
        <w:bottom w:val="none" w:sz="0" w:space="0" w:color="auto"/>
        <w:right w:val="none" w:sz="0" w:space="0" w:color="auto"/>
      </w:divBdr>
    </w:div>
    <w:div w:id="1101803986">
      <w:bodyDiv w:val="1"/>
      <w:marLeft w:val="0"/>
      <w:marRight w:val="0"/>
      <w:marTop w:val="0"/>
      <w:marBottom w:val="0"/>
      <w:divBdr>
        <w:top w:val="none" w:sz="0" w:space="0" w:color="auto"/>
        <w:left w:val="none" w:sz="0" w:space="0" w:color="auto"/>
        <w:bottom w:val="none" w:sz="0" w:space="0" w:color="auto"/>
        <w:right w:val="none" w:sz="0" w:space="0" w:color="auto"/>
      </w:divBdr>
    </w:div>
    <w:div w:id="1228304056">
      <w:bodyDiv w:val="1"/>
      <w:marLeft w:val="0"/>
      <w:marRight w:val="0"/>
      <w:marTop w:val="0"/>
      <w:marBottom w:val="0"/>
      <w:divBdr>
        <w:top w:val="none" w:sz="0" w:space="0" w:color="auto"/>
        <w:left w:val="none" w:sz="0" w:space="0" w:color="auto"/>
        <w:bottom w:val="none" w:sz="0" w:space="0" w:color="auto"/>
        <w:right w:val="none" w:sz="0" w:space="0" w:color="auto"/>
      </w:divBdr>
    </w:div>
    <w:div w:id="1551645470">
      <w:bodyDiv w:val="1"/>
      <w:marLeft w:val="0"/>
      <w:marRight w:val="0"/>
      <w:marTop w:val="0"/>
      <w:marBottom w:val="0"/>
      <w:divBdr>
        <w:top w:val="none" w:sz="0" w:space="0" w:color="auto"/>
        <w:left w:val="none" w:sz="0" w:space="0" w:color="auto"/>
        <w:bottom w:val="none" w:sz="0" w:space="0" w:color="auto"/>
        <w:right w:val="none" w:sz="0" w:space="0" w:color="auto"/>
      </w:divBdr>
    </w:div>
    <w:div w:id="1780490963">
      <w:bodyDiv w:val="1"/>
      <w:marLeft w:val="0"/>
      <w:marRight w:val="0"/>
      <w:marTop w:val="0"/>
      <w:marBottom w:val="0"/>
      <w:divBdr>
        <w:top w:val="none" w:sz="0" w:space="0" w:color="auto"/>
        <w:left w:val="none" w:sz="0" w:space="0" w:color="auto"/>
        <w:bottom w:val="none" w:sz="0" w:space="0" w:color="auto"/>
        <w:right w:val="none" w:sz="0" w:space="0" w:color="auto"/>
      </w:divBdr>
    </w:div>
    <w:div w:id="1856117139">
      <w:bodyDiv w:val="1"/>
      <w:marLeft w:val="0"/>
      <w:marRight w:val="0"/>
      <w:marTop w:val="0"/>
      <w:marBottom w:val="0"/>
      <w:divBdr>
        <w:top w:val="none" w:sz="0" w:space="0" w:color="auto"/>
        <w:left w:val="none" w:sz="0" w:space="0" w:color="auto"/>
        <w:bottom w:val="none" w:sz="0" w:space="0" w:color="auto"/>
        <w:right w:val="none" w:sz="0" w:space="0" w:color="auto"/>
      </w:divBdr>
    </w:div>
    <w:div w:id="20110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yu.ishimot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FDDB3-2765-4FE2-A40C-BD91C6D2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4075</Words>
  <Characters>23228</Characters>
  <Application>Microsoft Office Word</Application>
  <DocSecurity>4</DocSecurity>
  <Lines>193</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27249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2018-08-13T09:58:00Z</dcterms:created>
  <dcterms:modified xsi:type="dcterms:W3CDTF">2018-08-13T09:58:00Z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b540d33f-ccf4-31b7-876f-aafda627b355</vt:lpwstr>
  </property>
  <property fmtid="{D5CDD505-2E9C-101B-9397-08002B2CF9AE}" pid="4" name="Mendeley Citation Style_1">
    <vt:lpwstr>http://www.zotero.org/styles/spine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http://www.zotero.org/styles/spine</vt:lpwstr>
  </property>
  <property fmtid="{D5CDD505-2E9C-101B-9397-08002B2CF9AE}" pid="24" name="Mendeley Recent Style Name 9_1">
    <vt:lpwstr>Spine</vt:lpwstr>
  </property>
</Properties>
</file>