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A35" w:rsidRPr="0008685E" w:rsidRDefault="002D097A" w:rsidP="002D097A">
      <w:pPr>
        <w:spacing w:after="120" w:line="480" w:lineRule="auto"/>
        <w:rPr>
          <w:rFonts w:eastAsia="SimSun" w:cs="Arial"/>
          <w:b/>
          <w:bCs/>
          <w:sz w:val="24"/>
          <w:szCs w:val="24"/>
          <w:lang w:eastAsia="en-GB"/>
        </w:rPr>
      </w:pPr>
      <w:r w:rsidRPr="0008685E">
        <w:rPr>
          <w:rFonts w:eastAsia="SimSun" w:cs="Arial"/>
          <w:b/>
          <w:bCs/>
          <w:sz w:val="24"/>
          <w:szCs w:val="24"/>
          <w:lang w:eastAsia="en-GB"/>
        </w:rPr>
        <w:t>Conviction</w:t>
      </w:r>
      <w:r w:rsidR="00584A35" w:rsidRPr="0008685E">
        <w:rPr>
          <w:rFonts w:eastAsia="SimSun" w:cs="Arial"/>
          <w:b/>
          <w:bCs/>
          <w:sz w:val="24"/>
          <w:szCs w:val="24"/>
          <w:lang w:eastAsia="en-GB"/>
        </w:rPr>
        <w:t xml:space="preserve"> and Apocalyp</w:t>
      </w:r>
      <w:r w:rsidRPr="0008685E">
        <w:rPr>
          <w:rFonts w:eastAsia="SimSun" w:cs="Arial"/>
          <w:b/>
          <w:bCs/>
          <w:sz w:val="24"/>
          <w:szCs w:val="24"/>
          <w:lang w:eastAsia="en-GB"/>
        </w:rPr>
        <w:t>se</w:t>
      </w:r>
      <w:r w:rsidR="00584A35" w:rsidRPr="0008685E">
        <w:rPr>
          <w:rFonts w:eastAsia="SimSun" w:cs="Arial"/>
          <w:b/>
          <w:bCs/>
          <w:sz w:val="24"/>
          <w:szCs w:val="24"/>
          <w:lang w:eastAsia="en-GB"/>
        </w:rPr>
        <w:t xml:space="preserve"> in Joseph Priestley</w:t>
      </w:r>
      <w:r w:rsidRPr="0008685E">
        <w:rPr>
          <w:rFonts w:eastAsia="SimSun" w:cs="Arial"/>
          <w:b/>
          <w:bCs/>
          <w:sz w:val="24"/>
          <w:szCs w:val="24"/>
          <w:lang w:eastAsia="en-GB"/>
        </w:rPr>
        <w:t>’s Writing</w:t>
      </w:r>
    </w:p>
    <w:p w:rsidR="00522A84" w:rsidRDefault="0045025C" w:rsidP="00522A84">
      <w:pPr>
        <w:spacing w:after="120" w:line="480" w:lineRule="auto"/>
        <w:rPr>
          <w:rFonts w:ascii="Calibri" w:eastAsia="SimSun" w:hAnsi="Calibri" w:cs="Arial"/>
          <w:sz w:val="24"/>
          <w:szCs w:val="24"/>
          <w:lang w:eastAsia="en-GB"/>
        </w:rPr>
      </w:pPr>
      <w:r w:rsidRPr="0008685E">
        <w:rPr>
          <w:rFonts w:ascii="Calibri" w:eastAsia="SimSun" w:hAnsi="Calibri" w:cs="Arial"/>
          <w:sz w:val="24"/>
          <w:szCs w:val="24"/>
          <w:lang w:eastAsia="en-GB"/>
        </w:rPr>
        <w:t>The idea of</w:t>
      </w:r>
      <w:r w:rsidR="002D097A" w:rsidRPr="0008685E">
        <w:rPr>
          <w:rFonts w:ascii="Calibri" w:eastAsia="SimSun" w:hAnsi="Calibri" w:cs="Arial"/>
          <w:sz w:val="24"/>
          <w:szCs w:val="24"/>
          <w:lang w:eastAsia="en-GB"/>
        </w:rPr>
        <w:t xml:space="preserve"> </w:t>
      </w:r>
      <w:r w:rsidR="006B37AF" w:rsidRPr="0008685E">
        <w:rPr>
          <w:rFonts w:ascii="Calibri" w:eastAsia="SimSun" w:hAnsi="Calibri" w:cs="Arial"/>
          <w:sz w:val="24"/>
          <w:szCs w:val="24"/>
          <w:lang w:eastAsia="en-GB"/>
        </w:rPr>
        <w:t xml:space="preserve">an enlightenment based </w:t>
      </w:r>
      <w:r w:rsidRPr="0008685E">
        <w:rPr>
          <w:rFonts w:ascii="Calibri" w:eastAsia="SimSun" w:hAnsi="Calibri" w:cs="Arial"/>
          <w:sz w:val="24"/>
          <w:szCs w:val="24"/>
          <w:lang w:eastAsia="en-GB"/>
        </w:rPr>
        <w:t xml:space="preserve">only </w:t>
      </w:r>
      <w:r w:rsidR="006B37AF" w:rsidRPr="0008685E">
        <w:rPr>
          <w:rFonts w:ascii="Calibri" w:eastAsia="SimSun" w:hAnsi="Calibri" w:cs="Arial"/>
          <w:sz w:val="24"/>
          <w:szCs w:val="24"/>
          <w:lang w:eastAsia="en-GB"/>
        </w:rPr>
        <w:t>on the French encyclopaedists and marked by atheism</w:t>
      </w:r>
      <w:r w:rsidRPr="0008685E">
        <w:rPr>
          <w:rFonts w:ascii="Calibri" w:eastAsia="SimSun" w:hAnsi="Calibri" w:cs="Arial"/>
          <w:sz w:val="24"/>
          <w:szCs w:val="24"/>
          <w:lang w:eastAsia="en-GB"/>
        </w:rPr>
        <w:t xml:space="preserve"> has become</w:t>
      </w:r>
      <w:r w:rsidR="006B37AF" w:rsidRPr="0008685E">
        <w:rPr>
          <w:rFonts w:ascii="Calibri" w:eastAsia="SimSun" w:hAnsi="Calibri" w:cs="Arial"/>
          <w:sz w:val="24"/>
          <w:szCs w:val="24"/>
          <w:lang w:eastAsia="en-GB"/>
        </w:rPr>
        <w:t xml:space="preserve"> so </w:t>
      </w:r>
      <w:r w:rsidRPr="0008685E">
        <w:rPr>
          <w:rFonts w:ascii="Calibri" w:eastAsia="SimSun" w:hAnsi="Calibri" w:cs="Arial"/>
          <w:sz w:val="24"/>
          <w:szCs w:val="24"/>
          <w:lang w:eastAsia="en-GB"/>
        </w:rPr>
        <w:t>outmoded</w:t>
      </w:r>
      <w:r w:rsidR="00DF6D03" w:rsidRPr="0008685E">
        <w:rPr>
          <w:rFonts w:ascii="Calibri" w:eastAsia="SimSun" w:hAnsi="Calibri" w:cs="Arial"/>
          <w:sz w:val="24"/>
          <w:szCs w:val="24"/>
          <w:lang w:eastAsia="en-GB"/>
        </w:rPr>
        <w:t xml:space="preserve"> </w:t>
      </w:r>
      <w:r w:rsidR="006B37AF" w:rsidRPr="0008685E">
        <w:rPr>
          <w:rFonts w:ascii="Calibri" w:eastAsia="SimSun" w:hAnsi="Calibri" w:cs="Arial"/>
          <w:sz w:val="24"/>
          <w:szCs w:val="24"/>
          <w:lang w:eastAsia="en-GB"/>
        </w:rPr>
        <w:t xml:space="preserve">that the phrase </w:t>
      </w:r>
      <w:r w:rsidR="00315766">
        <w:rPr>
          <w:rFonts w:ascii="Calibri" w:eastAsia="SimSun" w:hAnsi="Calibri" w:cs="Arial"/>
          <w:sz w:val="24"/>
          <w:szCs w:val="24"/>
          <w:lang w:eastAsia="en-GB"/>
        </w:rPr>
        <w:t>“</w:t>
      </w:r>
      <w:r w:rsidR="006B37AF" w:rsidRPr="0008685E">
        <w:rPr>
          <w:rFonts w:ascii="Calibri" w:eastAsia="SimSun" w:hAnsi="Calibri" w:cs="Arial"/>
          <w:sz w:val="24"/>
          <w:szCs w:val="24"/>
          <w:lang w:eastAsia="en-GB"/>
        </w:rPr>
        <w:t>the</w:t>
      </w:r>
      <w:r w:rsidR="002D097A" w:rsidRPr="0008685E">
        <w:rPr>
          <w:rFonts w:ascii="Calibri" w:eastAsia="SimSun" w:hAnsi="Calibri" w:cs="Arial"/>
          <w:sz w:val="24"/>
          <w:szCs w:val="24"/>
          <w:lang w:eastAsia="en-GB"/>
        </w:rPr>
        <w:t xml:space="preserve"> religious enlightenment</w:t>
      </w:r>
      <w:r w:rsidR="00315766">
        <w:rPr>
          <w:rFonts w:ascii="Calibri" w:eastAsia="SimSun" w:hAnsi="Calibri" w:cs="Arial"/>
          <w:sz w:val="24"/>
          <w:szCs w:val="24"/>
          <w:lang w:eastAsia="en-GB"/>
        </w:rPr>
        <w:t>”</w:t>
      </w:r>
      <w:r w:rsidR="002D097A" w:rsidRPr="0008685E">
        <w:rPr>
          <w:rFonts w:ascii="Calibri" w:eastAsia="SimSun" w:hAnsi="Calibri" w:cs="Arial"/>
          <w:sz w:val="24"/>
          <w:szCs w:val="24"/>
          <w:lang w:eastAsia="en-GB"/>
        </w:rPr>
        <w:t xml:space="preserve"> </w:t>
      </w:r>
      <w:r w:rsidR="006B37AF" w:rsidRPr="0008685E">
        <w:rPr>
          <w:rFonts w:ascii="Calibri" w:eastAsia="SimSun" w:hAnsi="Calibri" w:cs="Arial"/>
          <w:sz w:val="24"/>
          <w:szCs w:val="24"/>
          <w:lang w:eastAsia="en-GB"/>
        </w:rPr>
        <w:t>may be</w:t>
      </w:r>
      <w:r w:rsidR="00563A15" w:rsidRPr="0008685E">
        <w:rPr>
          <w:rFonts w:ascii="Calibri" w:eastAsia="SimSun" w:hAnsi="Calibri" w:cs="Arial"/>
          <w:sz w:val="24"/>
          <w:szCs w:val="24"/>
          <w:lang w:eastAsia="en-GB"/>
        </w:rPr>
        <w:t xml:space="preserve"> not so much</w:t>
      </w:r>
      <w:r w:rsidR="006B37AF" w:rsidRPr="0008685E">
        <w:rPr>
          <w:rFonts w:ascii="Calibri" w:eastAsia="SimSun" w:hAnsi="Calibri" w:cs="Arial"/>
          <w:sz w:val="24"/>
          <w:szCs w:val="24"/>
          <w:lang w:eastAsia="en-GB"/>
        </w:rPr>
        <w:t xml:space="preserve"> a description of a subsidiary movement </w:t>
      </w:r>
      <w:r w:rsidR="00563A15" w:rsidRPr="0008685E">
        <w:rPr>
          <w:rFonts w:ascii="Calibri" w:eastAsia="SimSun" w:hAnsi="Calibri" w:cs="Arial"/>
          <w:sz w:val="24"/>
          <w:szCs w:val="24"/>
          <w:lang w:eastAsia="en-GB"/>
        </w:rPr>
        <w:t>as simply</w:t>
      </w:r>
      <w:r w:rsidR="006B37AF" w:rsidRPr="0008685E">
        <w:rPr>
          <w:rFonts w:ascii="Calibri" w:eastAsia="SimSun" w:hAnsi="Calibri" w:cs="Arial"/>
          <w:sz w:val="24"/>
          <w:szCs w:val="24"/>
          <w:lang w:eastAsia="en-GB"/>
        </w:rPr>
        <w:t xml:space="preserve"> a pleonasm. </w:t>
      </w:r>
      <w:r w:rsidR="0008685E" w:rsidRPr="0008685E">
        <w:rPr>
          <w:sz w:val="24"/>
          <w:szCs w:val="24"/>
        </w:rPr>
        <w:t>B</w:t>
      </w:r>
      <w:r w:rsidR="004824C3">
        <w:rPr>
          <w:sz w:val="24"/>
          <w:szCs w:val="24"/>
        </w:rPr>
        <w:t>.W.</w:t>
      </w:r>
      <w:r w:rsidR="0008685E" w:rsidRPr="0008685E">
        <w:rPr>
          <w:sz w:val="24"/>
          <w:szCs w:val="24"/>
        </w:rPr>
        <w:t xml:space="preserve"> Young has described </w:t>
      </w:r>
      <w:r w:rsidR="0054353C">
        <w:rPr>
          <w:sz w:val="24"/>
          <w:szCs w:val="24"/>
        </w:rPr>
        <w:t>“</w:t>
      </w:r>
      <w:r w:rsidR="004821E3" w:rsidRPr="0008685E">
        <w:rPr>
          <w:sz w:val="24"/>
          <w:szCs w:val="24"/>
        </w:rPr>
        <w:t>England’s experience of Enlightenment and Counter-Enlightenment</w:t>
      </w:r>
      <w:r w:rsidR="0054353C">
        <w:rPr>
          <w:sz w:val="24"/>
          <w:szCs w:val="24"/>
        </w:rPr>
        <w:t>”</w:t>
      </w:r>
      <w:r w:rsidR="004821E3">
        <w:rPr>
          <w:rFonts w:ascii="Calibri" w:eastAsia="SimSun" w:hAnsi="Calibri" w:cs="Arial"/>
          <w:sz w:val="24"/>
          <w:szCs w:val="24"/>
          <w:lang w:eastAsia="en-GB"/>
        </w:rPr>
        <w:t xml:space="preserve"> </w:t>
      </w:r>
      <w:r w:rsidR="0054353C">
        <w:rPr>
          <w:rFonts w:ascii="Calibri" w:eastAsia="SimSun" w:hAnsi="Calibri" w:cs="Arial"/>
          <w:sz w:val="24"/>
          <w:szCs w:val="24"/>
          <w:lang w:eastAsia="en-GB"/>
        </w:rPr>
        <w:t>in particular</w:t>
      </w:r>
      <w:r w:rsidR="0054353C" w:rsidRPr="0008685E">
        <w:rPr>
          <w:sz w:val="24"/>
          <w:szCs w:val="24"/>
        </w:rPr>
        <w:t xml:space="preserve"> </w:t>
      </w:r>
      <w:r w:rsidR="004821E3">
        <w:rPr>
          <w:rFonts w:ascii="Calibri" w:eastAsia="SimSun" w:hAnsi="Calibri" w:cs="Arial"/>
          <w:sz w:val="24"/>
          <w:szCs w:val="24"/>
          <w:lang w:eastAsia="en-GB"/>
        </w:rPr>
        <w:t xml:space="preserve">as </w:t>
      </w:r>
      <w:r w:rsidR="0054353C">
        <w:rPr>
          <w:rFonts w:ascii="Calibri" w:eastAsia="SimSun" w:hAnsi="Calibri" w:cs="Arial"/>
          <w:sz w:val="24"/>
          <w:szCs w:val="24"/>
          <w:lang w:eastAsia="en-GB"/>
        </w:rPr>
        <w:t>“</w:t>
      </w:r>
      <w:r w:rsidR="0008685E" w:rsidRPr="0008685E">
        <w:rPr>
          <w:sz w:val="24"/>
          <w:szCs w:val="24"/>
        </w:rPr>
        <w:t>uniquely clerical</w:t>
      </w:r>
      <w:r w:rsidR="0054353C">
        <w:rPr>
          <w:sz w:val="24"/>
          <w:szCs w:val="24"/>
        </w:rPr>
        <w:t>”</w:t>
      </w:r>
      <w:r w:rsidR="0008685E" w:rsidRPr="0008685E">
        <w:rPr>
          <w:sz w:val="24"/>
          <w:szCs w:val="24"/>
        </w:rPr>
        <w:t>.</w:t>
      </w:r>
      <w:r w:rsidR="0008685E" w:rsidRPr="0008685E">
        <w:rPr>
          <w:rStyle w:val="Style"/>
          <w:rFonts w:ascii="Calibri" w:hAnsi="Calibri"/>
          <w:szCs w:val="20"/>
        </w:rPr>
        <w:footnoteReference w:id="1"/>
      </w:r>
      <w:r w:rsidR="0008685E">
        <w:rPr>
          <w:sz w:val="24"/>
          <w:szCs w:val="24"/>
        </w:rPr>
        <w:t xml:space="preserve"> </w:t>
      </w:r>
      <w:r w:rsidR="004824C3">
        <w:rPr>
          <w:rFonts w:ascii="Calibri" w:eastAsia="SimSun" w:hAnsi="Calibri" w:cs="Arial"/>
          <w:sz w:val="24"/>
          <w:szCs w:val="24"/>
          <w:lang w:eastAsia="en-GB"/>
        </w:rPr>
        <w:t>All the same</w:t>
      </w:r>
      <w:r w:rsidR="0008685E">
        <w:rPr>
          <w:rFonts w:ascii="Calibri" w:eastAsia="SimSun" w:hAnsi="Calibri" w:cs="Arial"/>
          <w:sz w:val="24"/>
          <w:szCs w:val="24"/>
          <w:lang w:eastAsia="en-GB"/>
        </w:rPr>
        <w:t xml:space="preserve">, it </w:t>
      </w:r>
      <w:r w:rsidR="002709FC">
        <w:rPr>
          <w:rFonts w:ascii="Calibri" w:eastAsia="SimSun" w:hAnsi="Calibri" w:cs="Arial"/>
          <w:sz w:val="24"/>
          <w:szCs w:val="24"/>
          <w:lang w:eastAsia="en-GB"/>
        </w:rPr>
        <w:t>is</w:t>
      </w:r>
      <w:r w:rsidR="0008685E">
        <w:rPr>
          <w:rFonts w:ascii="Calibri" w:eastAsia="SimSun" w:hAnsi="Calibri" w:cs="Arial"/>
          <w:sz w:val="24"/>
          <w:szCs w:val="24"/>
          <w:lang w:eastAsia="en-GB"/>
        </w:rPr>
        <w:t xml:space="preserve"> difficult to escape a </w:t>
      </w:r>
      <w:proofErr w:type="spellStart"/>
      <w:r w:rsidR="0008685E">
        <w:rPr>
          <w:rFonts w:ascii="Calibri" w:eastAsia="SimSun" w:hAnsi="Calibri" w:cs="Arial"/>
          <w:sz w:val="24"/>
          <w:szCs w:val="24"/>
          <w:lang w:eastAsia="en-GB"/>
        </w:rPr>
        <w:t>Whiggish</w:t>
      </w:r>
      <w:proofErr w:type="spellEnd"/>
      <w:r w:rsidR="0008685E">
        <w:rPr>
          <w:rFonts w:ascii="Calibri" w:eastAsia="SimSun" w:hAnsi="Calibri" w:cs="Arial"/>
          <w:sz w:val="24"/>
          <w:szCs w:val="24"/>
          <w:lang w:eastAsia="en-GB"/>
        </w:rPr>
        <w:t xml:space="preserve"> tendency to stress only those elements of the past of which we can see contemporary reflexes</w:t>
      </w:r>
      <w:r w:rsidR="00B31E5B">
        <w:rPr>
          <w:rFonts w:ascii="Calibri" w:eastAsia="SimSun" w:hAnsi="Calibri" w:cs="Arial"/>
          <w:sz w:val="24"/>
          <w:szCs w:val="24"/>
          <w:lang w:eastAsia="en-GB"/>
        </w:rPr>
        <w:t>,</w:t>
      </w:r>
      <w:r w:rsidR="0008685E">
        <w:rPr>
          <w:rFonts w:ascii="Calibri" w:eastAsia="SimSun" w:hAnsi="Calibri" w:cs="Arial"/>
          <w:sz w:val="24"/>
          <w:szCs w:val="24"/>
          <w:lang w:eastAsia="en-GB"/>
        </w:rPr>
        <w:t xml:space="preserve"> </w:t>
      </w:r>
      <w:r w:rsidR="00522A84">
        <w:rPr>
          <w:rFonts w:ascii="Calibri" w:eastAsia="SimSun" w:hAnsi="Calibri" w:cs="Arial"/>
          <w:sz w:val="24"/>
          <w:szCs w:val="24"/>
          <w:lang w:eastAsia="en-GB"/>
        </w:rPr>
        <w:t>so</w:t>
      </w:r>
      <w:r w:rsidR="0008685E">
        <w:rPr>
          <w:rFonts w:ascii="Calibri" w:eastAsia="SimSun" w:hAnsi="Calibri" w:cs="Arial"/>
          <w:sz w:val="24"/>
          <w:szCs w:val="24"/>
          <w:lang w:eastAsia="en-GB"/>
        </w:rPr>
        <w:t xml:space="preserve"> </w:t>
      </w:r>
      <w:r w:rsidR="00522A84">
        <w:rPr>
          <w:rFonts w:ascii="Calibri" w:eastAsia="SimSun" w:hAnsi="Calibri" w:cs="Arial"/>
          <w:sz w:val="24"/>
          <w:szCs w:val="24"/>
          <w:lang w:eastAsia="en-GB"/>
        </w:rPr>
        <w:t>underrat</w:t>
      </w:r>
      <w:r w:rsidR="0008685E">
        <w:rPr>
          <w:rFonts w:ascii="Calibri" w:eastAsia="SimSun" w:hAnsi="Calibri" w:cs="Arial"/>
          <w:sz w:val="24"/>
          <w:szCs w:val="24"/>
          <w:lang w:eastAsia="en-GB"/>
        </w:rPr>
        <w:t xml:space="preserve">ing the pervasiveness of religion or </w:t>
      </w:r>
      <w:r w:rsidR="00522A84">
        <w:rPr>
          <w:rFonts w:ascii="Calibri" w:eastAsia="SimSun" w:hAnsi="Calibri" w:cs="Arial"/>
          <w:sz w:val="24"/>
          <w:szCs w:val="24"/>
          <w:lang w:eastAsia="en-GB"/>
        </w:rPr>
        <w:t>see</w:t>
      </w:r>
      <w:r w:rsidR="0008685E">
        <w:rPr>
          <w:rFonts w:ascii="Calibri" w:eastAsia="SimSun" w:hAnsi="Calibri" w:cs="Arial"/>
          <w:sz w:val="24"/>
          <w:szCs w:val="24"/>
          <w:lang w:eastAsia="en-GB"/>
        </w:rPr>
        <w:t xml:space="preserve">ing it as of only antiquarian interest. For a figure such as Joseph Priestley, being a Unitarian minister and theologian was sometimes difficult to reconcile with also being a natural philosopher and political controversialist </w:t>
      </w:r>
      <w:r w:rsidR="00B31E5B">
        <w:rPr>
          <w:rFonts w:ascii="Calibri" w:eastAsia="SimSun" w:hAnsi="Calibri" w:cs="Arial"/>
          <w:sz w:val="24"/>
          <w:szCs w:val="24"/>
          <w:lang w:eastAsia="en-GB"/>
        </w:rPr>
        <w:t xml:space="preserve">– </w:t>
      </w:r>
      <w:r w:rsidR="0008685E">
        <w:rPr>
          <w:rFonts w:ascii="Calibri" w:eastAsia="SimSun" w:hAnsi="Calibri" w:cs="Arial"/>
          <w:sz w:val="24"/>
          <w:szCs w:val="24"/>
          <w:lang w:eastAsia="en-GB"/>
        </w:rPr>
        <w:t xml:space="preserve">but not because religion was antithetical to those discourses. </w:t>
      </w:r>
    </w:p>
    <w:p w:rsidR="0008685E" w:rsidRDefault="0008685E" w:rsidP="00394314">
      <w:pPr>
        <w:spacing w:after="120" w:line="480" w:lineRule="auto"/>
        <w:ind w:firstLine="540"/>
        <w:rPr>
          <w:rFonts w:ascii="Calibri" w:eastAsia="SimSun" w:hAnsi="Calibri" w:cs="Arial"/>
          <w:sz w:val="24"/>
          <w:szCs w:val="24"/>
          <w:lang w:eastAsia="en-GB"/>
        </w:rPr>
      </w:pPr>
      <w:r>
        <w:rPr>
          <w:rFonts w:ascii="Calibri" w:eastAsia="SimSun" w:hAnsi="Calibri" w:cs="Arial"/>
          <w:sz w:val="24"/>
          <w:szCs w:val="24"/>
          <w:lang w:eastAsia="en-GB"/>
        </w:rPr>
        <w:t xml:space="preserve">Recent scholarly stress on a multifarious print culture </w:t>
      </w:r>
      <w:r w:rsidR="006D5D6C">
        <w:rPr>
          <w:rFonts w:ascii="Calibri" w:eastAsia="SimSun" w:hAnsi="Calibri" w:cs="Arial"/>
          <w:sz w:val="24"/>
          <w:szCs w:val="24"/>
          <w:lang w:eastAsia="en-GB"/>
        </w:rPr>
        <w:t xml:space="preserve">substantiating the continued dominance of religion </w:t>
      </w:r>
      <w:r>
        <w:rPr>
          <w:rFonts w:ascii="Calibri" w:eastAsia="SimSun" w:hAnsi="Calibri" w:cs="Arial"/>
          <w:sz w:val="24"/>
          <w:szCs w:val="24"/>
          <w:lang w:eastAsia="en-GB"/>
        </w:rPr>
        <w:t xml:space="preserve">can help </w:t>
      </w:r>
      <w:r w:rsidR="006D5D6C">
        <w:rPr>
          <w:rFonts w:ascii="Calibri" w:eastAsia="SimSun" w:hAnsi="Calibri" w:cs="Arial"/>
          <w:sz w:val="24"/>
          <w:szCs w:val="24"/>
          <w:lang w:eastAsia="en-GB"/>
        </w:rPr>
        <w:t>overcome the sense of an opposition</w:t>
      </w:r>
      <w:r>
        <w:rPr>
          <w:rFonts w:ascii="Calibri" w:eastAsia="SimSun" w:hAnsi="Calibri" w:cs="Arial"/>
          <w:sz w:val="24"/>
          <w:szCs w:val="24"/>
          <w:lang w:eastAsia="en-GB"/>
        </w:rPr>
        <w:t>, as several essays in this volume attest.</w:t>
      </w:r>
      <w:r w:rsidR="00394314" w:rsidRPr="008A6EB8">
        <w:rPr>
          <w:rStyle w:val="FootnoteReference"/>
          <w:rFonts w:ascii="Calibri" w:eastAsia="SimSun" w:hAnsi="Calibri" w:cs="Arial"/>
          <w:sz w:val="20"/>
          <w:szCs w:val="20"/>
          <w:lang w:eastAsia="en-GB"/>
        </w:rPr>
        <w:footnoteReference w:id="2"/>
      </w:r>
      <w:r w:rsidR="00394314">
        <w:rPr>
          <w:rFonts w:ascii="Calibri" w:eastAsia="SimSun" w:hAnsi="Calibri" w:cs="Arial"/>
          <w:sz w:val="24"/>
          <w:szCs w:val="24"/>
          <w:lang w:eastAsia="en-GB"/>
        </w:rPr>
        <w:t xml:space="preserve"> </w:t>
      </w:r>
      <w:r w:rsidR="006D5D6C">
        <w:rPr>
          <w:rFonts w:ascii="Calibri" w:eastAsia="SimSun" w:hAnsi="Calibri" w:cs="Arial"/>
          <w:sz w:val="24"/>
          <w:szCs w:val="24"/>
          <w:lang w:eastAsia="en-GB"/>
        </w:rPr>
        <w:t xml:space="preserve">That </w:t>
      </w:r>
      <w:r w:rsidR="002709FC">
        <w:rPr>
          <w:rFonts w:ascii="Calibri" w:eastAsia="SimSun" w:hAnsi="Calibri" w:cs="Arial"/>
          <w:sz w:val="24"/>
          <w:szCs w:val="24"/>
          <w:lang w:eastAsia="en-GB"/>
        </w:rPr>
        <w:t>can</w:t>
      </w:r>
      <w:r>
        <w:rPr>
          <w:rFonts w:ascii="Calibri" w:eastAsia="SimSun" w:hAnsi="Calibri" w:cs="Arial"/>
          <w:sz w:val="24"/>
          <w:szCs w:val="24"/>
          <w:lang w:eastAsia="en-GB"/>
        </w:rPr>
        <w:t xml:space="preserve"> lead to </w:t>
      </w:r>
      <w:r w:rsidR="006D5D6C">
        <w:rPr>
          <w:rFonts w:ascii="Calibri" w:eastAsia="SimSun" w:hAnsi="Calibri" w:cs="Arial"/>
          <w:sz w:val="24"/>
          <w:szCs w:val="24"/>
          <w:lang w:eastAsia="en-GB"/>
        </w:rPr>
        <w:t>other opposition</w:t>
      </w:r>
      <w:r w:rsidR="00522A84">
        <w:rPr>
          <w:rFonts w:ascii="Calibri" w:eastAsia="SimSun" w:hAnsi="Calibri" w:cs="Arial"/>
          <w:sz w:val="24"/>
          <w:szCs w:val="24"/>
          <w:lang w:eastAsia="en-GB"/>
        </w:rPr>
        <w:t>s</w:t>
      </w:r>
      <w:r w:rsidR="006D5D6C">
        <w:rPr>
          <w:rFonts w:ascii="Calibri" w:eastAsia="SimSun" w:hAnsi="Calibri" w:cs="Arial"/>
          <w:sz w:val="24"/>
          <w:szCs w:val="24"/>
          <w:lang w:eastAsia="en-GB"/>
        </w:rPr>
        <w:t xml:space="preserve">, </w:t>
      </w:r>
      <w:r w:rsidR="00522A84">
        <w:rPr>
          <w:rFonts w:ascii="Calibri" w:eastAsia="SimSun" w:hAnsi="Calibri" w:cs="Arial"/>
          <w:sz w:val="24"/>
          <w:szCs w:val="24"/>
          <w:lang w:eastAsia="en-GB"/>
        </w:rPr>
        <w:t>and to</w:t>
      </w:r>
      <w:r>
        <w:rPr>
          <w:rFonts w:ascii="Calibri" w:eastAsia="SimSun" w:hAnsi="Calibri" w:cs="Arial"/>
          <w:sz w:val="24"/>
          <w:szCs w:val="24"/>
          <w:lang w:eastAsia="en-GB"/>
        </w:rPr>
        <w:t xml:space="preserve"> </w:t>
      </w:r>
      <w:r>
        <w:rPr>
          <w:rFonts w:ascii="Calibri" w:eastAsia="SimSun" w:hAnsi="Calibri" w:cs="Arial"/>
          <w:sz w:val="24"/>
          <w:szCs w:val="24"/>
          <w:lang w:eastAsia="en-GB"/>
        </w:rPr>
        <w:lastRenderedPageBreak/>
        <w:t xml:space="preserve">ideologically opposed positions. On the one hand, evidence of a continued adherence to Anglicanism </w:t>
      </w:r>
      <w:r w:rsidR="002709FC">
        <w:rPr>
          <w:rFonts w:ascii="Calibri" w:eastAsia="SimSun" w:hAnsi="Calibri" w:cs="Arial"/>
          <w:sz w:val="24"/>
          <w:szCs w:val="24"/>
          <w:lang w:eastAsia="en-GB"/>
        </w:rPr>
        <w:t>can</w:t>
      </w:r>
      <w:r>
        <w:rPr>
          <w:rFonts w:ascii="Calibri" w:eastAsia="SimSun" w:hAnsi="Calibri" w:cs="Arial"/>
          <w:sz w:val="24"/>
          <w:szCs w:val="24"/>
          <w:lang w:eastAsia="en-GB"/>
        </w:rPr>
        <w:t xml:space="preserve"> be the basis for an insistence on a rigid social hierarchy, essentially structurally unchanged by wars and revolutions abroad until the reform acts of the 1830s.</w:t>
      </w:r>
      <w:r w:rsidRPr="006342FC">
        <w:rPr>
          <w:rStyle w:val="FootnoteReference"/>
          <w:rFonts w:ascii="Calibri" w:eastAsia="SimSun" w:hAnsi="Calibri" w:cs="Arial"/>
          <w:sz w:val="20"/>
          <w:szCs w:val="20"/>
          <w:lang w:eastAsia="en-GB"/>
        </w:rPr>
        <w:footnoteReference w:id="3"/>
      </w:r>
      <w:r>
        <w:rPr>
          <w:rFonts w:ascii="Calibri" w:eastAsia="SimSun" w:hAnsi="Calibri" w:cs="Arial"/>
          <w:sz w:val="24"/>
          <w:szCs w:val="24"/>
          <w:lang w:eastAsia="en-GB"/>
        </w:rPr>
        <w:t xml:space="preserve"> On the other hand, a scholarly attraction to </w:t>
      </w:r>
      <w:r w:rsidR="00315766">
        <w:rPr>
          <w:rFonts w:ascii="Calibri" w:eastAsia="SimSun" w:hAnsi="Calibri" w:cs="Arial"/>
          <w:sz w:val="24"/>
          <w:szCs w:val="24"/>
          <w:lang w:eastAsia="en-GB"/>
        </w:rPr>
        <w:t>“</w:t>
      </w:r>
      <w:r>
        <w:rPr>
          <w:rFonts w:ascii="Calibri" w:eastAsia="SimSun" w:hAnsi="Calibri" w:cs="Arial"/>
          <w:sz w:val="24"/>
          <w:szCs w:val="24"/>
          <w:lang w:eastAsia="en-GB"/>
        </w:rPr>
        <w:t>dissent</w:t>
      </w:r>
      <w:r w:rsidR="00315766">
        <w:rPr>
          <w:rFonts w:ascii="Calibri" w:eastAsia="SimSun" w:hAnsi="Calibri" w:cs="Arial"/>
          <w:sz w:val="24"/>
          <w:szCs w:val="24"/>
          <w:lang w:eastAsia="en-GB"/>
        </w:rPr>
        <w:t>”</w:t>
      </w:r>
      <w:r>
        <w:rPr>
          <w:rFonts w:ascii="Calibri" w:eastAsia="SimSun" w:hAnsi="Calibri" w:cs="Arial"/>
          <w:sz w:val="24"/>
          <w:szCs w:val="24"/>
          <w:lang w:eastAsia="en-GB"/>
        </w:rPr>
        <w:t xml:space="preserve"> </w:t>
      </w:r>
      <w:r w:rsidR="002709FC">
        <w:rPr>
          <w:rFonts w:ascii="Calibri" w:eastAsia="SimSun" w:hAnsi="Calibri" w:cs="Arial"/>
          <w:sz w:val="24"/>
          <w:szCs w:val="24"/>
          <w:lang w:eastAsia="en-GB"/>
        </w:rPr>
        <w:t>can</w:t>
      </w:r>
      <w:r>
        <w:rPr>
          <w:rFonts w:ascii="Calibri" w:eastAsia="SimSun" w:hAnsi="Calibri" w:cs="Arial"/>
          <w:sz w:val="24"/>
          <w:szCs w:val="24"/>
          <w:lang w:eastAsia="en-GB"/>
        </w:rPr>
        <w:t xml:space="preserve"> be a romantic attraction to the evidence of opposition to such hierarchy and may be predicated wholly on political grounds.  </w:t>
      </w:r>
    </w:p>
    <w:p w:rsidR="002709FC" w:rsidRDefault="00AD7C9A" w:rsidP="00394314">
      <w:pPr>
        <w:spacing w:after="120" w:line="480" w:lineRule="auto"/>
        <w:ind w:firstLine="540"/>
        <w:rPr>
          <w:sz w:val="24"/>
          <w:szCs w:val="24"/>
        </w:rPr>
      </w:pPr>
      <w:r>
        <w:rPr>
          <w:sz w:val="24"/>
          <w:szCs w:val="24"/>
        </w:rPr>
        <w:t xml:space="preserve">The truism that everything is political </w:t>
      </w:r>
      <w:r w:rsidR="00522A84">
        <w:rPr>
          <w:sz w:val="24"/>
          <w:szCs w:val="24"/>
        </w:rPr>
        <w:t>can</w:t>
      </w:r>
      <w:r>
        <w:rPr>
          <w:sz w:val="24"/>
          <w:szCs w:val="24"/>
        </w:rPr>
        <w:t xml:space="preserve"> mean </w:t>
      </w:r>
      <w:r w:rsidR="00522A84">
        <w:rPr>
          <w:sz w:val="24"/>
          <w:szCs w:val="24"/>
        </w:rPr>
        <w:t>no more than</w:t>
      </w:r>
      <w:r>
        <w:rPr>
          <w:sz w:val="24"/>
          <w:szCs w:val="24"/>
        </w:rPr>
        <w:t xml:space="preserve"> that things occur in a context and may be construed in different ways. Especially in the 1790s, all kinds of heterodox speculation might be construed as a threat to the state, no matter how girded round with professions of loyalty. </w:t>
      </w:r>
      <w:r w:rsidR="00522A84">
        <w:rPr>
          <w:rFonts w:eastAsia="SimSun"/>
          <w:sz w:val="24"/>
          <w:szCs w:val="24"/>
          <w:lang w:eastAsia="en-GB"/>
        </w:rPr>
        <w:t>T</w:t>
      </w:r>
      <w:r w:rsidR="007A5DAD" w:rsidRPr="007A5DAD">
        <w:rPr>
          <w:rFonts w:eastAsia="SimSun"/>
          <w:sz w:val="24"/>
          <w:szCs w:val="24"/>
          <w:lang w:eastAsia="en-GB"/>
        </w:rPr>
        <w:t xml:space="preserve">hose who attacked </w:t>
      </w:r>
      <w:r w:rsidR="00394314">
        <w:rPr>
          <w:rFonts w:eastAsia="SimSun"/>
          <w:sz w:val="24"/>
          <w:szCs w:val="24"/>
          <w:lang w:eastAsia="en-GB"/>
        </w:rPr>
        <w:t>and</w:t>
      </w:r>
      <w:r w:rsidR="00394314" w:rsidRPr="00394314">
        <w:rPr>
          <w:rFonts w:eastAsia="SimSun"/>
          <w:sz w:val="24"/>
          <w:szCs w:val="24"/>
          <w:lang w:eastAsia="en-GB"/>
        </w:rPr>
        <w:t xml:space="preserve"> destroyed Priestley’s </w:t>
      </w:r>
      <w:r w:rsidR="00394314">
        <w:rPr>
          <w:rFonts w:eastAsia="SimSun"/>
          <w:sz w:val="24"/>
          <w:szCs w:val="24"/>
          <w:lang w:eastAsia="en-GB"/>
        </w:rPr>
        <w:t xml:space="preserve">house </w:t>
      </w:r>
      <w:r w:rsidR="00394314" w:rsidRPr="00394314">
        <w:rPr>
          <w:rFonts w:eastAsia="SimSun"/>
          <w:sz w:val="24"/>
          <w:szCs w:val="24"/>
          <w:lang w:eastAsia="en-GB"/>
        </w:rPr>
        <w:t>and laboratory</w:t>
      </w:r>
      <w:r w:rsidR="007A5DAD">
        <w:rPr>
          <w:rFonts w:eastAsia="SimSun"/>
          <w:sz w:val="24"/>
          <w:szCs w:val="24"/>
          <w:lang w:eastAsia="en-GB"/>
        </w:rPr>
        <w:t xml:space="preserve"> in 1791</w:t>
      </w:r>
      <w:r w:rsidR="007A5DAD" w:rsidRPr="007A5DAD">
        <w:rPr>
          <w:rFonts w:eastAsia="SimSun"/>
          <w:sz w:val="24"/>
          <w:szCs w:val="24"/>
          <w:lang w:eastAsia="en-GB"/>
        </w:rPr>
        <w:t xml:space="preserve"> </w:t>
      </w:r>
      <w:r w:rsidR="00522A84">
        <w:rPr>
          <w:rFonts w:eastAsia="SimSun"/>
          <w:sz w:val="24"/>
          <w:szCs w:val="24"/>
          <w:lang w:eastAsia="en-GB"/>
        </w:rPr>
        <w:t xml:space="preserve">must have </w:t>
      </w:r>
      <w:r w:rsidR="007A5DAD" w:rsidRPr="007A5DAD">
        <w:rPr>
          <w:rFonts w:eastAsia="SimSun"/>
          <w:sz w:val="24"/>
          <w:szCs w:val="24"/>
          <w:lang w:eastAsia="en-GB"/>
        </w:rPr>
        <w:t xml:space="preserve">construed his writings as seditious, or those who incited them </w:t>
      </w:r>
      <w:r w:rsidR="00522A84">
        <w:rPr>
          <w:rFonts w:eastAsia="SimSun"/>
          <w:sz w:val="24"/>
          <w:szCs w:val="24"/>
          <w:lang w:eastAsia="en-GB"/>
        </w:rPr>
        <w:t>must have</w:t>
      </w:r>
      <w:r w:rsidR="007A5DAD" w:rsidRPr="007A5DAD">
        <w:rPr>
          <w:rFonts w:eastAsia="SimSun"/>
          <w:sz w:val="24"/>
          <w:szCs w:val="24"/>
          <w:lang w:eastAsia="en-GB"/>
        </w:rPr>
        <w:t xml:space="preserve">. </w:t>
      </w:r>
      <w:r w:rsidR="00522A84">
        <w:rPr>
          <w:rFonts w:eastAsia="SimSun"/>
          <w:sz w:val="24"/>
          <w:szCs w:val="24"/>
          <w:lang w:eastAsia="en-GB"/>
        </w:rPr>
        <w:t xml:space="preserve">It is not blaming the victim to observe that </w:t>
      </w:r>
      <w:r w:rsidRPr="00A55F22">
        <w:rPr>
          <w:sz w:val="24"/>
          <w:szCs w:val="24"/>
        </w:rPr>
        <w:t>Priestley himself</w:t>
      </w:r>
      <w:r w:rsidR="00522A84">
        <w:rPr>
          <w:sz w:val="24"/>
          <w:szCs w:val="24"/>
        </w:rPr>
        <w:t>, theologian and scientist,</w:t>
      </w:r>
      <w:r w:rsidRPr="00A55F22">
        <w:rPr>
          <w:sz w:val="24"/>
          <w:szCs w:val="24"/>
        </w:rPr>
        <w:t xml:space="preserve"> was no politician and </w:t>
      </w:r>
      <w:r w:rsidR="00522A84">
        <w:rPr>
          <w:sz w:val="24"/>
          <w:szCs w:val="24"/>
        </w:rPr>
        <w:t>might</w:t>
      </w:r>
      <w:r w:rsidRPr="00A55F22">
        <w:rPr>
          <w:sz w:val="24"/>
          <w:szCs w:val="24"/>
        </w:rPr>
        <w:t xml:space="preserve"> offer his theological writings as a challenge or corrective to opponents</w:t>
      </w:r>
      <w:r w:rsidR="00522A84">
        <w:rPr>
          <w:sz w:val="24"/>
          <w:szCs w:val="24"/>
        </w:rPr>
        <w:t xml:space="preserve"> and</w:t>
      </w:r>
      <w:r w:rsidRPr="00A55F22">
        <w:rPr>
          <w:sz w:val="24"/>
          <w:szCs w:val="24"/>
        </w:rPr>
        <w:t xml:space="preserve"> not always conceal his contempt for them: Thomas </w:t>
      </w:r>
      <w:proofErr w:type="spellStart"/>
      <w:r w:rsidRPr="00A55F22">
        <w:rPr>
          <w:sz w:val="24"/>
          <w:szCs w:val="24"/>
        </w:rPr>
        <w:t>Belsham</w:t>
      </w:r>
      <w:proofErr w:type="spellEnd"/>
      <w:r w:rsidRPr="00A55F22">
        <w:rPr>
          <w:sz w:val="24"/>
          <w:szCs w:val="24"/>
        </w:rPr>
        <w:t xml:space="preserve"> wrote that </w:t>
      </w:r>
      <w:r w:rsidR="0054353C">
        <w:rPr>
          <w:sz w:val="24"/>
          <w:szCs w:val="24"/>
        </w:rPr>
        <w:t>“</w:t>
      </w:r>
      <w:r w:rsidRPr="00A55F22">
        <w:rPr>
          <w:sz w:val="24"/>
          <w:szCs w:val="24"/>
        </w:rPr>
        <w:t>Dr Priestley … expresses his sentiments upon this subject, as upon all others, unequivocally, and without disguise; and certainly, though not with intention to give offence, yet without any precaution to guard against it</w:t>
      </w:r>
      <w:r w:rsidR="0054353C">
        <w:rPr>
          <w:sz w:val="24"/>
          <w:szCs w:val="24"/>
        </w:rPr>
        <w:t>”</w:t>
      </w:r>
      <w:r w:rsidRPr="00A55F22">
        <w:rPr>
          <w:sz w:val="24"/>
          <w:szCs w:val="24"/>
        </w:rPr>
        <w:t>.</w:t>
      </w:r>
      <w:r w:rsidRPr="00AD7C9A">
        <w:rPr>
          <w:sz w:val="20"/>
          <w:szCs w:val="20"/>
          <w:vertAlign w:val="superscript"/>
        </w:rPr>
        <w:footnoteReference w:id="4"/>
      </w:r>
      <w:r>
        <w:rPr>
          <w:sz w:val="24"/>
          <w:szCs w:val="24"/>
        </w:rPr>
        <w:t xml:space="preserve"> </w:t>
      </w:r>
      <w:r w:rsidRPr="00C179F1">
        <w:rPr>
          <w:sz w:val="24"/>
          <w:szCs w:val="24"/>
        </w:rPr>
        <w:t xml:space="preserve">Stephen </w:t>
      </w:r>
      <w:proofErr w:type="spellStart"/>
      <w:r w:rsidRPr="00C179F1">
        <w:rPr>
          <w:sz w:val="24"/>
          <w:szCs w:val="24"/>
        </w:rPr>
        <w:t>Toulmin</w:t>
      </w:r>
      <w:proofErr w:type="spellEnd"/>
      <w:r w:rsidR="00522A84">
        <w:rPr>
          <w:sz w:val="24"/>
          <w:szCs w:val="24"/>
        </w:rPr>
        <w:t xml:space="preserve">, however, </w:t>
      </w:r>
      <w:r w:rsidRPr="00C179F1">
        <w:rPr>
          <w:sz w:val="24"/>
          <w:szCs w:val="24"/>
        </w:rPr>
        <w:t>remind</w:t>
      </w:r>
      <w:r>
        <w:rPr>
          <w:sz w:val="24"/>
          <w:szCs w:val="24"/>
        </w:rPr>
        <w:t>ed</w:t>
      </w:r>
      <w:r w:rsidRPr="00C179F1">
        <w:rPr>
          <w:sz w:val="24"/>
          <w:szCs w:val="24"/>
        </w:rPr>
        <w:t xml:space="preserve"> </w:t>
      </w:r>
      <w:r w:rsidRPr="00C179F1">
        <w:rPr>
          <w:sz w:val="24"/>
          <w:szCs w:val="24"/>
        </w:rPr>
        <w:lastRenderedPageBreak/>
        <w:t>us not to confuse dissent with dissidence, and Marilyn Butle</w:t>
      </w:r>
      <w:r>
        <w:rPr>
          <w:sz w:val="24"/>
          <w:szCs w:val="24"/>
        </w:rPr>
        <w:t>r</w:t>
      </w:r>
      <w:r w:rsidRPr="00C179F1">
        <w:rPr>
          <w:sz w:val="24"/>
          <w:szCs w:val="24"/>
        </w:rPr>
        <w:t xml:space="preserve"> descr</w:t>
      </w:r>
      <w:r>
        <w:rPr>
          <w:sz w:val="24"/>
          <w:szCs w:val="24"/>
        </w:rPr>
        <w:t>ibed</w:t>
      </w:r>
      <w:r w:rsidRPr="00C179F1">
        <w:rPr>
          <w:sz w:val="24"/>
          <w:szCs w:val="24"/>
        </w:rPr>
        <w:t xml:space="preserve"> religious dissenters occupying a position of </w:t>
      </w:r>
      <w:r w:rsidR="0054353C">
        <w:rPr>
          <w:sz w:val="24"/>
          <w:szCs w:val="24"/>
        </w:rPr>
        <w:t>“</w:t>
      </w:r>
      <w:r w:rsidRPr="00C179F1">
        <w:rPr>
          <w:sz w:val="24"/>
          <w:szCs w:val="24"/>
        </w:rPr>
        <w:t>pacific dissidence</w:t>
      </w:r>
      <w:r w:rsidR="0054353C">
        <w:rPr>
          <w:sz w:val="24"/>
          <w:szCs w:val="24"/>
        </w:rPr>
        <w:t>”</w:t>
      </w:r>
      <w:r w:rsidRPr="00C179F1">
        <w:rPr>
          <w:sz w:val="24"/>
          <w:szCs w:val="24"/>
        </w:rPr>
        <w:t>.</w:t>
      </w:r>
      <w:r w:rsidRPr="00425D59">
        <w:rPr>
          <w:sz w:val="20"/>
          <w:szCs w:val="20"/>
          <w:vertAlign w:val="superscript"/>
        </w:rPr>
        <w:footnoteReference w:id="5"/>
      </w:r>
      <w:r>
        <w:rPr>
          <w:sz w:val="24"/>
          <w:szCs w:val="24"/>
        </w:rPr>
        <w:t xml:space="preserve"> </w:t>
      </w:r>
    </w:p>
    <w:p w:rsidR="0008685E" w:rsidRDefault="0008685E" w:rsidP="00394314">
      <w:pPr>
        <w:spacing w:after="120" w:line="480" w:lineRule="auto"/>
        <w:ind w:firstLine="540"/>
        <w:rPr>
          <w:rFonts w:ascii="Calibri" w:eastAsia="SimSun" w:hAnsi="Calibri" w:cs="Arial"/>
          <w:sz w:val="24"/>
          <w:szCs w:val="24"/>
          <w:lang w:eastAsia="en-GB"/>
        </w:rPr>
      </w:pPr>
      <w:r>
        <w:rPr>
          <w:rFonts w:ascii="Calibri" w:eastAsia="SimSun" w:hAnsi="Calibri" w:cs="Arial"/>
          <w:sz w:val="24"/>
          <w:szCs w:val="24"/>
          <w:lang w:eastAsia="en-GB"/>
        </w:rPr>
        <w:t xml:space="preserve">Priestley’s overarching theological interests are worth attending to not only for historical reasons — because they give us a more accurate sense of the period </w:t>
      </w:r>
      <w:proofErr w:type="gramStart"/>
      <w:r>
        <w:rPr>
          <w:rFonts w:ascii="Calibri" w:eastAsia="SimSun" w:hAnsi="Calibri" w:cs="Arial"/>
          <w:sz w:val="24"/>
          <w:szCs w:val="24"/>
          <w:lang w:eastAsia="en-GB"/>
        </w:rPr>
        <w:t>and  of</w:t>
      </w:r>
      <w:proofErr w:type="gramEnd"/>
      <w:r>
        <w:rPr>
          <w:rFonts w:ascii="Calibri" w:eastAsia="SimSun" w:hAnsi="Calibri" w:cs="Arial"/>
          <w:sz w:val="24"/>
          <w:szCs w:val="24"/>
          <w:lang w:eastAsia="en-GB"/>
        </w:rPr>
        <w:t xml:space="preserve"> enlightenment — but also because those interests are pursued in texts that require to be read in unfamiliar ways, not least because his writing </w:t>
      </w:r>
      <w:r w:rsidR="004824C3">
        <w:rPr>
          <w:rFonts w:ascii="Calibri" w:eastAsia="SimSun" w:hAnsi="Calibri" w:cs="Arial"/>
          <w:sz w:val="24"/>
          <w:szCs w:val="24"/>
          <w:lang w:eastAsia="en-GB"/>
        </w:rPr>
        <w:t>tends to</w:t>
      </w:r>
      <w:r>
        <w:rPr>
          <w:rFonts w:ascii="Calibri" w:eastAsia="SimSun" w:hAnsi="Calibri" w:cs="Arial"/>
          <w:sz w:val="24"/>
          <w:szCs w:val="24"/>
          <w:lang w:eastAsia="en-GB"/>
        </w:rPr>
        <w:t xml:space="preserve"> juxtapose political and scientific argument with discourses not </w:t>
      </w:r>
      <w:r w:rsidR="00394314">
        <w:rPr>
          <w:rFonts w:ascii="Calibri" w:eastAsia="SimSun" w:hAnsi="Calibri" w:cs="Arial"/>
          <w:sz w:val="24"/>
          <w:szCs w:val="24"/>
          <w:lang w:eastAsia="en-GB"/>
        </w:rPr>
        <w:t xml:space="preserve">necessarily </w:t>
      </w:r>
      <w:r>
        <w:rPr>
          <w:rFonts w:ascii="Calibri" w:eastAsia="SimSun" w:hAnsi="Calibri" w:cs="Arial"/>
          <w:sz w:val="24"/>
          <w:szCs w:val="24"/>
          <w:lang w:eastAsia="en-GB"/>
        </w:rPr>
        <w:t>subject to criteria</w:t>
      </w:r>
      <w:r w:rsidR="002679C2" w:rsidRPr="002679C2">
        <w:rPr>
          <w:rFonts w:ascii="Calibri" w:eastAsia="SimSun" w:hAnsi="Calibri" w:cs="Arial"/>
          <w:sz w:val="24"/>
          <w:szCs w:val="24"/>
          <w:lang w:eastAsia="en-GB"/>
        </w:rPr>
        <w:t xml:space="preserve"> </w:t>
      </w:r>
      <w:r w:rsidR="002679C2">
        <w:rPr>
          <w:rFonts w:ascii="Calibri" w:eastAsia="SimSun" w:hAnsi="Calibri" w:cs="Arial"/>
          <w:sz w:val="24"/>
          <w:szCs w:val="24"/>
          <w:lang w:eastAsia="en-GB"/>
        </w:rPr>
        <w:t>of observation, experiment and proof</w:t>
      </w:r>
      <w:r>
        <w:rPr>
          <w:rFonts w:ascii="Calibri" w:eastAsia="SimSun" w:hAnsi="Calibri" w:cs="Arial"/>
          <w:sz w:val="24"/>
          <w:szCs w:val="24"/>
          <w:lang w:eastAsia="en-GB"/>
        </w:rPr>
        <w:t xml:space="preserve">. It is not anachronistic for the reader to feel discomfited since contemporaries too saw an uneasy fit between </w:t>
      </w:r>
      <w:r w:rsidR="002058F0">
        <w:rPr>
          <w:rFonts w:ascii="Calibri" w:eastAsia="SimSun" w:hAnsi="Calibri" w:cs="Arial"/>
          <w:sz w:val="24"/>
          <w:szCs w:val="24"/>
          <w:lang w:eastAsia="en-GB"/>
        </w:rPr>
        <w:t>his</w:t>
      </w:r>
      <w:r>
        <w:rPr>
          <w:rFonts w:ascii="Calibri" w:eastAsia="SimSun" w:hAnsi="Calibri" w:cs="Arial"/>
          <w:sz w:val="24"/>
          <w:szCs w:val="24"/>
          <w:lang w:eastAsia="en-GB"/>
        </w:rPr>
        <w:t xml:space="preserve"> theolog</w:t>
      </w:r>
      <w:r w:rsidR="002058F0">
        <w:rPr>
          <w:rFonts w:ascii="Calibri" w:eastAsia="SimSun" w:hAnsi="Calibri" w:cs="Arial"/>
          <w:sz w:val="24"/>
          <w:szCs w:val="24"/>
          <w:lang w:eastAsia="en-GB"/>
        </w:rPr>
        <w:t xml:space="preserve">ical writings </w:t>
      </w:r>
      <w:r>
        <w:rPr>
          <w:rFonts w:ascii="Calibri" w:eastAsia="SimSun" w:hAnsi="Calibri" w:cs="Arial"/>
          <w:sz w:val="24"/>
          <w:szCs w:val="24"/>
          <w:lang w:eastAsia="en-GB"/>
        </w:rPr>
        <w:t xml:space="preserve">and </w:t>
      </w:r>
      <w:r w:rsidR="002058F0">
        <w:rPr>
          <w:rFonts w:ascii="Calibri" w:eastAsia="SimSun" w:hAnsi="Calibri" w:cs="Arial"/>
          <w:sz w:val="24"/>
          <w:szCs w:val="24"/>
          <w:lang w:eastAsia="en-GB"/>
        </w:rPr>
        <w:t xml:space="preserve">the </w:t>
      </w:r>
      <w:r>
        <w:rPr>
          <w:rFonts w:ascii="Calibri" w:eastAsia="SimSun" w:hAnsi="Calibri" w:cs="Arial"/>
          <w:sz w:val="24"/>
          <w:szCs w:val="24"/>
          <w:lang w:eastAsia="en-GB"/>
        </w:rPr>
        <w:t>others.</w:t>
      </w:r>
    </w:p>
    <w:p w:rsidR="0008685E" w:rsidRDefault="0008685E" w:rsidP="0054353C">
      <w:pPr>
        <w:spacing w:after="120" w:line="480" w:lineRule="auto"/>
        <w:ind w:firstLine="576"/>
        <w:rPr>
          <w:rFonts w:ascii="Calibri" w:eastAsia="SimSun" w:hAnsi="Calibri" w:cs="Arial"/>
          <w:sz w:val="24"/>
          <w:szCs w:val="24"/>
          <w:lang w:eastAsia="en-GB"/>
        </w:rPr>
      </w:pPr>
      <w:r w:rsidRPr="00A23228">
        <w:rPr>
          <w:rFonts w:eastAsia="SimSun" w:cs="Arial"/>
          <w:sz w:val="24"/>
          <w:szCs w:val="24"/>
          <w:lang w:eastAsia="en-GB"/>
        </w:rPr>
        <w:t xml:space="preserve">To </w:t>
      </w:r>
      <w:r w:rsidRPr="00A23228">
        <w:rPr>
          <w:rFonts w:eastAsia="SimSun" w:cs="Arial"/>
          <w:i/>
          <w:iCs/>
          <w:sz w:val="24"/>
          <w:szCs w:val="24"/>
          <w:lang w:eastAsia="en-GB"/>
        </w:rPr>
        <w:t>philosophes</w:t>
      </w:r>
      <w:r w:rsidRPr="00A23228">
        <w:rPr>
          <w:rFonts w:eastAsia="SimSun" w:cs="Arial"/>
          <w:sz w:val="24"/>
          <w:szCs w:val="24"/>
          <w:lang w:eastAsia="en-GB"/>
        </w:rPr>
        <w:t xml:space="preserve"> in the Paris salons, Priestley was </w:t>
      </w:r>
      <w:r w:rsidR="0054353C">
        <w:rPr>
          <w:rFonts w:eastAsia="SimSun" w:cs="Arial"/>
          <w:sz w:val="24"/>
          <w:szCs w:val="24"/>
          <w:lang w:eastAsia="en-GB"/>
        </w:rPr>
        <w:t>“</w:t>
      </w:r>
      <w:r w:rsidRPr="00A23228">
        <w:rPr>
          <w:rFonts w:eastAsia="SimSun" w:cs="Arial"/>
          <w:sz w:val="24"/>
          <w:szCs w:val="24"/>
          <w:lang w:eastAsia="en-GB"/>
        </w:rPr>
        <w:t>the only person they had ever met with, of whose understanding they had any opinion, who pr</w:t>
      </w:r>
      <w:r w:rsidR="0054353C">
        <w:rPr>
          <w:rFonts w:eastAsia="SimSun" w:cs="Arial"/>
          <w:sz w:val="24"/>
          <w:szCs w:val="24"/>
          <w:lang w:eastAsia="en-GB"/>
        </w:rPr>
        <w:t>ofessed to believe Christianity”</w:t>
      </w:r>
      <w:r w:rsidR="0042646E">
        <w:rPr>
          <w:rFonts w:eastAsia="SimSun" w:cs="Arial"/>
          <w:sz w:val="24"/>
          <w:szCs w:val="24"/>
          <w:lang w:eastAsia="en-GB"/>
        </w:rPr>
        <w:t>.</w:t>
      </w:r>
      <w:r w:rsidR="002679C2" w:rsidRPr="002058F0">
        <w:rPr>
          <w:rStyle w:val="FootnoteReference"/>
          <w:rFonts w:eastAsia="SimSun" w:cs="Arial"/>
          <w:sz w:val="20"/>
          <w:szCs w:val="20"/>
          <w:lang w:eastAsia="en-GB"/>
        </w:rPr>
        <w:footnoteReference w:id="6"/>
      </w:r>
      <w:r w:rsidRPr="002058F0">
        <w:rPr>
          <w:rFonts w:eastAsia="SimSun" w:cs="Arial"/>
          <w:sz w:val="20"/>
          <w:szCs w:val="20"/>
          <w:lang w:eastAsia="en-GB"/>
        </w:rPr>
        <w:t xml:space="preserve"> </w:t>
      </w:r>
      <w:r w:rsidRPr="00F224BB">
        <w:rPr>
          <w:rFonts w:eastAsia="SimSun" w:cs="Arial"/>
          <w:sz w:val="24"/>
          <w:szCs w:val="24"/>
          <w:lang w:eastAsia="en-GB"/>
        </w:rPr>
        <w:t>J</w:t>
      </w:r>
      <w:r>
        <w:rPr>
          <w:rFonts w:ascii="Calibri Light" w:eastAsia="MS Mincho" w:hAnsi="Calibri Light" w:cs="Lucida Sans Unicode"/>
          <w:b/>
          <w:color w:val="000000"/>
          <w:sz w:val="24"/>
          <w:szCs w:val="24"/>
          <w:lang w:eastAsia="en-US"/>
        </w:rPr>
        <w:t>o</w:t>
      </w:r>
      <w:r w:rsidRPr="00F224BB">
        <w:rPr>
          <w:rFonts w:eastAsia="SimSun" w:cs="Arial"/>
          <w:sz w:val="24"/>
          <w:szCs w:val="24"/>
          <w:lang w:eastAsia="en-GB"/>
        </w:rPr>
        <w:t xml:space="preserve">hn Adams recalled Joseph Priestley averring that all his hopes for </w:t>
      </w:r>
      <w:r>
        <w:rPr>
          <w:rFonts w:eastAsia="SimSun" w:cs="Arial"/>
          <w:sz w:val="24"/>
          <w:szCs w:val="24"/>
          <w:lang w:eastAsia="en-GB"/>
        </w:rPr>
        <w:t xml:space="preserve">Revolutionary </w:t>
      </w:r>
      <w:r w:rsidRPr="00F224BB">
        <w:rPr>
          <w:rFonts w:eastAsia="SimSun" w:cs="Arial"/>
          <w:sz w:val="24"/>
          <w:szCs w:val="24"/>
          <w:lang w:eastAsia="en-GB"/>
        </w:rPr>
        <w:t xml:space="preserve">France were founded </w:t>
      </w:r>
      <w:r w:rsidR="0054353C">
        <w:rPr>
          <w:rFonts w:eastAsia="SimSun" w:cs="Arial"/>
          <w:sz w:val="24"/>
          <w:szCs w:val="24"/>
          <w:lang w:eastAsia="en-GB"/>
        </w:rPr>
        <w:t>“</w:t>
      </w:r>
      <w:r w:rsidRPr="00F224BB">
        <w:rPr>
          <w:rFonts w:eastAsia="SimSun" w:cs="Arial"/>
          <w:sz w:val="24"/>
          <w:szCs w:val="24"/>
          <w:lang w:eastAsia="en-GB"/>
        </w:rPr>
        <w:t>o</w:t>
      </w:r>
      <w:r w:rsidR="0054353C">
        <w:rPr>
          <w:rFonts w:eastAsia="SimSun" w:cs="Arial"/>
          <w:sz w:val="24"/>
          <w:szCs w:val="24"/>
          <w:lang w:eastAsia="en-GB"/>
        </w:rPr>
        <w:t>n revelation and the prophecies”</w:t>
      </w:r>
      <w:r>
        <w:rPr>
          <w:rFonts w:eastAsia="SimSun" w:cs="Arial"/>
          <w:sz w:val="24"/>
          <w:szCs w:val="24"/>
          <w:lang w:eastAsia="en-GB"/>
        </w:rPr>
        <w:t>;</w:t>
      </w:r>
      <w:r w:rsidRPr="00F224BB">
        <w:rPr>
          <w:rFonts w:eastAsia="SimSun" w:cs="Arial"/>
          <w:sz w:val="24"/>
          <w:szCs w:val="24"/>
          <w:lang w:eastAsia="en-GB"/>
        </w:rPr>
        <w:t xml:space="preserve"> </w:t>
      </w:r>
      <w:r>
        <w:rPr>
          <w:rFonts w:eastAsia="SimSun" w:cs="Arial"/>
          <w:sz w:val="24"/>
          <w:szCs w:val="24"/>
          <w:lang w:eastAsia="en-GB"/>
        </w:rPr>
        <w:t xml:space="preserve">Priestley </w:t>
      </w:r>
      <w:r w:rsidR="0042646E">
        <w:rPr>
          <w:rFonts w:eastAsia="SimSun" w:cs="Arial"/>
          <w:sz w:val="24"/>
          <w:szCs w:val="24"/>
          <w:lang w:eastAsia="en-GB"/>
        </w:rPr>
        <w:t xml:space="preserve">had </w:t>
      </w:r>
      <w:r w:rsidRPr="00F224BB">
        <w:rPr>
          <w:rFonts w:eastAsia="SimSun" w:cs="Arial"/>
          <w:sz w:val="24"/>
          <w:szCs w:val="24"/>
          <w:lang w:eastAsia="en-GB"/>
        </w:rPr>
        <w:t>explain</w:t>
      </w:r>
      <w:r>
        <w:rPr>
          <w:rFonts w:eastAsia="SimSun" w:cs="Arial"/>
          <w:sz w:val="24"/>
          <w:szCs w:val="24"/>
          <w:lang w:eastAsia="en-GB"/>
        </w:rPr>
        <w:t>ed</w:t>
      </w:r>
      <w:r w:rsidR="0054353C">
        <w:rPr>
          <w:rFonts w:eastAsia="SimSun" w:cs="Arial"/>
          <w:sz w:val="24"/>
          <w:szCs w:val="24"/>
          <w:lang w:eastAsia="en-GB"/>
        </w:rPr>
        <w:t xml:space="preserve"> “</w:t>
      </w:r>
      <w:r w:rsidRPr="00F224BB">
        <w:rPr>
          <w:rFonts w:eastAsia="SimSun" w:cs="Arial"/>
          <w:sz w:val="24"/>
          <w:szCs w:val="24"/>
          <w:lang w:eastAsia="en-GB"/>
        </w:rPr>
        <w:t>that the ten horns of the great beast in revelations, mean the ten crowned heads of Europe: and … the execution of the king of France is the falling off of the first of those horns; and the nine monarchies of Europe will fall one after another in the sam</w:t>
      </w:r>
      <w:r w:rsidR="0054353C">
        <w:rPr>
          <w:rFonts w:eastAsia="SimSun" w:cs="Arial"/>
          <w:sz w:val="24"/>
          <w:szCs w:val="24"/>
          <w:lang w:eastAsia="en-GB"/>
        </w:rPr>
        <w:t>e way"</w:t>
      </w:r>
      <w:r w:rsidRPr="00F224BB">
        <w:rPr>
          <w:rFonts w:eastAsia="SimSun" w:cs="Arial"/>
          <w:sz w:val="24"/>
          <w:szCs w:val="24"/>
          <w:lang w:eastAsia="en-GB"/>
        </w:rPr>
        <w:t xml:space="preserve">. </w:t>
      </w:r>
      <w:r w:rsidR="0009003D">
        <w:rPr>
          <w:rFonts w:eastAsia="SimSun" w:cs="Arial"/>
          <w:sz w:val="24"/>
          <w:szCs w:val="24"/>
          <w:lang w:eastAsia="en-GB"/>
        </w:rPr>
        <w:t>“</w:t>
      </w:r>
      <w:r w:rsidRPr="00F224BB">
        <w:rPr>
          <w:rFonts w:eastAsia="SimSun" w:cs="Arial"/>
          <w:sz w:val="24"/>
          <w:szCs w:val="24"/>
          <w:lang w:eastAsia="en-GB"/>
        </w:rPr>
        <w:t>Such</w:t>
      </w:r>
      <w:r w:rsidR="0009003D">
        <w:rPr>
          <w:rFonts w:eastAsia="SimSun" w:cs="Arial"/>
          <w:sz w:val="24"/>
          <w:szCs w:val="24"/>
          <w:lang w:eastAsia="en-GB"/>
        </w:rPr>
        <w:t>”</w:t>
      </w:r>
      <w:r w:rsidRPr="00F224BB">
        <w:rPr>
          <w:rFonts w:eastAsia="SimSun" w:cs="Arial"/>
          <w:sz w:val="24"/>
          <w:szCs w:val="24"/>
          <w:lang w:eastAsia="en-GB"/>
        </w:rPr>
        <w:t>, the former U</w:t>
      </w:r>
      <w:r>
        <w:rPr>
          <w:rFonts w:eastAsia="SimSun" w:cs="Arial"/>
          <w:sz w:val="24"/>
          <w:szCs w:val="24"/>
          <w:lang w:eastAsia="en-GB"/>
        </w:rPr>
        <w:t xml:space="preserve">nited </w:t>
      </w:r>
      <w:r w:rsidRPr="00F224BB">
        <w:rPr>
          <w:rFonts w:eastAsia="SimSun" w:cs="Arial"/>
          <w:sz w:val="24"/>
          <w:szCs w:val="24"/>
          <w:lang w:eastAsia="en-GB"/>
        </w:rPr>
        <w:t>S</w:t>
      </w:r>
      <w:r>
        <w:rPr>
          <w:rFonts w:eastAsia="SimSun" w:cs="Arial"/>
          <w:sz w:val="24"/>
          <w:szCs w:val="24"/>
          <w:lang w:eastAsia="en-GB"/>
        </w:rPr>
        <w:t>tates</w:t>
      </w:r>
      <w:r w:rsidRPr="00F224BB">
        <w:rPr>
          <w:rFonts w:eastAsia="SimSun" w:cs="Arial"/>
          <w:sz w:val="24"/>
          <w:szCs w:val="24"/>
          <w:lang w:eastAsia="en-GB"/>
        </w:rPr>
        <w:t xml:space="preserve"> President commented, </w:t>
      </w:r>
      <w:r w:rsidR="0009003D">
        <w:rPr>
          <w:rFonts w:eastAsia="SimSun" w:cs="Arial"/>
          <w:sz w:val="24"/>
          <w:szCs w:val="24"/>
          <w:lang w:eastAsia="en-GB"/>
        </w:rPr>
        <w:t>“</w:t>
      </w:r>
      <w:r w:rsidRPr="00F224BB">
        <w:rPr>
          <w:rFonts w:eastAsia="SimSun" w:cs="Arial"/>
          <w:sz w:val="24"/>
          <w:szCs w:val="24"/>
          <w:lang w:eastAsia="en-GB"/>
        </w:rPr>
        <w:t>was the enthusiasm of that grea</w:t>
      </w:r>
      <w:r>
        <w:rPr>
          <w:rFonts w:eastAsia="SimSun" w:cs="Arial"/>
          <w:sz w:val="24"/>
          <w:szCs w:val="24"/>
          <w:lang w:eastAsia="en-GB"/>
        </w:rPr>
        <w:t>t man, that reasoning machine</w:t>
      </w:r>
      <w:r w:rsidR="0009003D">
        <w:rPr>
          <w:rFonts w:eastAsia="SimSun" w:cs="Arial"/>
          <w:sz w:val="24"/>
          <w:szCs w:val="24"/>
          <w:lang w:eastAsia="en-GB"/>
        </w:rPr>
        <w:t>”</w:t>
      </w:r>
      <w:r>
        <w:rPr>
          <w:rFonts w:eastAsia="SimSun" w:cs="Arial"/>
          <w:sz w:val="24"/>
          <w:szCs w:val="24"/>
          <w:lang w:eastAsia="en-GB"/>
        </w:rPr>
        <w:t>.</w:t>
      </w:r>
      <w:r w:rsidRPr="00B5561F">
        <w:rPr>
          <w:rStyle w:val="FootnoteReference"/>
          <w:rFonts w:eastAsia="SimSun" w:cs="Arial"/>
          <w:sz w:val="20"/>
          <w:szCs w:val="20"/>
          <w:lang w:eastAsia="en-GB"/>
        </w:rPr>
        <w:footnoteReference w:id="7"/>
      </w:r>
      <w:r>
        <w:rPr>
          <w:rFonts w:eastAsia="SimSun" w:cs="Arial"/>
          <w:sz w:val="24"/>
          <w:szCs w:val="24"/>
          <w:lang w:eastAsia="en-GB"/>
        </w:rPr>
        <w:t xml:space="preserve"> </w:t>
      </w:r>
    </w:p>
    <w:p w:rsidR="0008685E" w:rsidRDefault="0008685E" w:rsidP="00024770">
      <w:pPr>
        <w:spacing w:after="120" w:line="480" w:lineRule="auto"/>
        <w:ind w:firstLine="576"/>
        <w:rPr>
          <w:rFonts w:ascii="Calibri" w:eastAsia="SimSun" w:hAnsi="Calibri" w:cs="Arial"/>
          <w:sz w:val="24"/>
          <w:szCs w:val="24"/>
          <w:lang w:eastAsia="en-GB"/>
        </w:rPr>
      </w:pPr>
      <w:r w:rsidRPr="00B510CB">
        <w:rPr>
          <w:rFonts w:eastAsia="SimSun" w:cs="Arial"/>
          <w:sz w:val="24"/>
          <w:szCs w:val="24"/>
          <w:lang w:eastAsia="en-GB"/>
        </w:rPr>
        <w:t xml:space="preserve">Priestley’s </w:t>
      </w:r>
      <w:r>
        <w:rPr>
          <w:rFonts w:eastAsia="SimSun" w:cs="Arial"/>
          <w:sz w:val="24"/>
          <w:szCs w:val="24"/>
          <w:lang w:eastAsia="en-GB"/>
        </w:rPr>
        <w:t xml:space="preserve">theology and even his </w:t>
      </w:r>
      <w:r w:rsidRPr="00B510CB">
        <w:rPr>
          <w:rFonts w:eastAsia="SimSun" w:cs="Arial"/>
          <w:sz w:val="24"/>
          <w:szCs w:val="24"/>
          <w:lang w:eastAsia="en-GB"/>
        </w:rPr>
        <w:t xml:space="preserve">millenarian prophecies </w:t>
      </w:r>
      <w:r>
        <w:rPr>
          <w:rFonts w:eastAsia="SimSun" w:cs="Arial"/>
          <w:sz w:val="24"/>
          <w:szCs w:val="24"/>
          <w:lang w:eastAsia="en-GB"/>
        </w:rPr>
        <w:t xml:space="preserve">of the 1790s </w:t>
      </w:r>
      <w:r w:rsidRPr="00B510CB">
        <w:rPr>
          <w:rFonts w:eastAsia="SimSun" w:cs="Arial"/>
          <w:sz w:val="24"/>
          <w:szCs w:val="24"/>
          <w:lang w:eastAsia="en-GB"/>
        </w:rPr>
        <w:t xml:space="preserve">were not necessarily at odds with natural philosophy, but seemed to be to the </w:t>
      </w:r>
      <w:r w:rsidRPr="00B510CB">
        <w:rPr>
          <w:rFonts w:eastAsia="SimSun" w:cs="Arial"/>
          <w:i/>
          <w:iCs/>
          <w:sz w:val="24"/>
          <w:szCs w:val="24"/>
          <w:lang w:eastAsia="en-GB"/>
        </w:rPr>
        <w:t>philosophes</w:t>
      </w:r>
      <w:r w:rsidRPr="00B510CB">
        <w:rPr>
          <w:rFonts w:eastAsia="SimSun" w:cs="Arial"/>
          <w:sz w:val="24"/>
          <w:szCs w:val="24"/>
          <w:lang w:eastAsia="en-GB"/>
        </w:rPr>
        <w:t xml:space="preserve"> and Adams, and may seem so to us. </w:t>
      </w:r>
      <w:r w:rsidRPr="0032621A">
        <w:rPr>
          <w:rFonts w:ascii="Calibri" w:eastAsia="SimSun" w:hAnsi="Calibri" w:cs="Arial"/>
          <w:sz w:val="24"/>
          <w:szCs w:val="24"/>
          <w:lang w:eastAsia="en-GB"/>
        </w:rPr>
        <w:t xml:space="preserve">That is what this article considers in its </w:t>
      </w:r>
      <w:r>
        <w:rPr>
          <w:rFonts w:ascii="Calibri" w:eastAsia="SimSun" w:hAnsi="Calibri" w:cs="Arial"/>
          <w:sz w:val="24"/>
          <w:szCs w:val="24"/>
          <w:lang w:eastAsia="en-GB"/>
        </w:rPr>
        <w:t>four</w:t>
      </w:r>
      <w:r w:rsidRPr="0032621A">
        <w:rPr>
          <w:rFonts w:ascii="Calibri" w:eastAsia="SimSun" w:hAnsi="Calibri" w:cs="Arial"/>
          <w:sz w:val="24"/>
          <w:szCs w:val="24"/>
          <w:lang w:eastAsia="en-GB"/>
        </w:rPr>
        <w:t xml:space="preserve"> parts: </w:t>
      </w:r>
      <w:r>
        <w:rPr>
          <w:rFonts w:ascii="Calibri" w:eastAsia="SimSun" w:hAnsi="Calibri" w:cs="Arial"/>
          <w:sz w:val="24"/>
          <w:szCs w:val="24"/>
          <w:lang w:eastAsia="en-GB"/>
        </w:rPr>
        <w:t>the f</w:t>
      </w:r>
      <w:r w:rsidRPr="0032621A">
        <w:rPr>
          <w:rFonts w:ascii="Calibri" w:eastAsia="SimSun" w:hAnsi="Calibri" w:cs="Arial"/>
          <w:sz w:val="24"/>
          <w:szCs w:val="24"/>
          <w:lang w:eastAsia="en-GB"/>
        </w:rPr>
        <w:t>irst</w:t>
      </w:r>
      <w:r>
        <w:rPr>
          <w:rFonts w:ascii="Calibri" w:eastAsia="SimSun" w:hAnsi="Calibri" w:cs="Arial"/>
          <w:sz w:val="24"/>
          <w:szCs w:val="24"/>
          <w:lang w:eastAsia="en-GB"/>
        </w:rPr>
        <w:t xml:space="preserve"> considers</w:t>
      </w:r>
      <w:r w:rsidRPr="0032621A">
        <w:rPr>
          <w:rFonts w:ascii="Calibri" w:eastAsia="SimSun" w:hAnsi="Calibri" w:cs="Arial"/>
          <w:sz w:val="24"/>
          <w:szCs w:val="24"/>
          <w:lang w:eastAsia="en-GB"/>
        </w:rPr>
        <w:t xml:space="preserve"> Priestley</w:t>
      </w:r>
      <w:r>
        <w:rPr>
          <w:rFonts w:ascii="Calibri" w:eastAsia="SimSun" w:hAnsi="Calibri" w:cs="Arial"/>
          <w:sz w:val="24"/>
          <w:szCs w:val="24"/>
          <w:lang w:eastAsia="en-GB"/>
        </w:rPr>
        <w:t xml:space="preserve"> a</w:t>
      </w:r>
      <w:r w:rsidRPr="0032621A">
        <w:rPr>
          <w:rFonts w:ascii="Calibri" w:eastAsia="SimSun" w:hAnsi="Calibri" w:cs="Arial"/>
          <w:sz w:val="24"/>
          <w:szCs w:val="24"/>
          <w:lang w:eastAsia="en-GB"/>
        </w:rPr>
        <w:t xml:space="preserve">s </w:t>
      </w:r>
      <w:r>
        <w:rPr>
          <w:rFonts w:ascii="Calibri" w:eastAsia="SimSun" w:hAnsi="Calibri" w:cs="Arial"/>
          <w:sz w:val="24"/>
          <w:szCs w:val="24"/>
          <w:lang w:eastAsia="en-GB"/>
        </w:rPr>
        <w:t xml:space="preserve">a writer and the </w:t>
      </w:r>
      <w:r w:rsidRPr="0032621A">
        <w:rPr>
          <w:rFonts w:ascii="Calibri" w:eastAsia="SimSun" w:hAnsi="Calibri" w:cs="Arial"/>
          <w:sz w:val="24"/>
          <w:szCs w:val="24"/>
          <w:lang w:eastAsia="en-GB"/>
        </w:rPr>
        <w:t xml:space="preserve">second </w:t>
      </w:r>
      <w:r>
        <w:rPr>
          <w:rFonts w:ascii="Calibri" w:eastAsia="SimSun" w:hAnsi="Calibri" w:cs="Arial"/>
          <w:sz w:val="24"/>
          <w:szCs w:val="24"/>
          <w:lang w:eastAsia="en-GB"/>
        </w:rPr>
        <w:t>as a reader of the Bible</w:t>
      </w:r>
      <w:r w:rsidRPr="0032621A">
        <w:rPr>
          <w:rFonts w:ascii="Calibri" w:eastAsia="SimSun" w:hAnsi="Calibri" w:cs="Arial"/>
          <w:sz w:val="24"/>
          <w:szCs w:val="24"/>
          <w:lang w:eastAsia="en-GB"/>
        </w:rPr>
        <w:t xml:space="preserve">; </w:t>
      </w:r>
      <w:r>
        <w:rPr>
          <w:rFonts w:ascii="Calibri" w:eastAsia="SimSun" w:hAnsi="Calibri" w:cs="Arial"/>
          <w:sz w:val="24"/>
          <w:szCs w:val="24"/>
          <w:lang w:eastAsia="en-GB"/>
        </w:rPr>
        <w:t>then its third section</w:t>
      </w:r>
      <w:r w:rsidRPr="0032621A">
        <w:rPr>
          <w:rFonts w:ascii="Calibri" w:eastAsia="SimSun" w:hAnsi="Calibri" w:cs="Arial"/>
          <w:sz w:val="24"/>
          <w:szCs w:val="24"/>
          <w:lang w:eastAsia="en-GB"/>
        </w:rPr>
        <w:t xml:space="preserve"> </w:t>
      </w:r>
      <w:r>
        <w:rPr>
          <w:rFonts w:ascii="Calibri" w:eastAsia="SimSun" w:hAnsi="Calibri" w:cs="Arial"/>
          <w:sz w:val="24"/>
          <w:szCs w:val="24"/>
          <w:lang w:eastAsia="en-GB"/>
        </w:rPr>
        <w:t xml:space="preserve">considers </w:t>
      </w:r>
      <w:r w:rsidRPr="0032621A">
        <w:rPr>
          <w:rFonts w:ascii="Calibri" w:eastAsia="SimSun" w:hAnsi="Calibri" w:cs="Arial"/>
          <w:sz w:val="24"/>
          <w:szCs w:val="24"/>
          <w:lang w:eastAsia="en-GB"/>
        </w:rPr>
        <w:t xml:space="preserve">the politics entailed by </w:t>
      </w:r>
      <w:r>
        <w:rPr>
          <w:rFonts w:ascii="Calibri" w:eastAsia="SimSun" w:hAnsi="Calibri" w:cs="Arial"/>
          <w:sz w:val="24"/>
          <w:szCs w:val="24"/>
          <w:lang w:eastAsia="en-GB"/>
        </w:rPr>
        <w:t>religious beliefs and the consequent refusal to conform, even where politics had to be avowed as separate from religion. The fourth and final section of the article is concerned with an area where</w:t>
      </w:r>
      <w:r w:rsidRPr="0032621A">
        <w:rPr>
          <w:rFonts w:ascii="Calibri" w:eastAsia="SimSun" w:hAnsi="Calibri" w:cs="Arial"/>
          <w:sz w:val="24"/>
          <w:szCs w:val="24"/>
          <w:lang w:eastAsia="en-GB"/>
        </w:rPr>
        <w:t xml:space="preserve"> religion and politics </w:t>
      </w:r>
      <w:r>
        <w:rPr>
          <w:rFonts w:ascii="Calibri" w:eastAsia="SimSun" w:hAnsi="Calibri" w:cs="Arial"/>
          <w:sz w:val="24"/>
          <w:szCs w:val="24"/>
          <w:lang w:eastAsia="en-GB"/>
        </w:rPr>
        <w:t xml:space="preserve">came into dangerous proximity: some of the millennial prophecies of the 1790s to which Adams refers interrupt narratives of secular improvement, partly by bringing together (or even confusing) the theological and the secular. </w:t>
      </w:r>
    </w:p>
    <w:p w:rsidR="0008685E" w:rsidRPr="009C544A" w:rsidRDefault="0008685E" w:rsidP="009C544A">
      <w:pPr>
        <w:pStyle w:val="ListParagraph"/>
        <w:numPr>
          <w:ilvl w:val="0"/>
          <w:numId w:val="4"/>
        </w:numPr>
        <w:spacing w:after="120" w:line="480" w:lineRule="auto"/>
        <w:jc w:val="center"/>
        <w:rPr>
          <w:rFonts w:cstheme="minorHAnsi"/>
          <w:b/>
          <w:bCs/>
          <w:sz w:val="24"/>
          <w:szCs w:val="24"/>
        </w:rPr>
      </w:pPr>
      <w:r w:rsidRPr="009C544A">
        <w:rPr>
          <w:rFonts w:eastAsia="SimSun" w:cs="Arial"/>
          <w:b/>
          <w:bCs/>
          <w:sz w:val="24"/>
          <w:szCs w:val="24"/>
          <w:lang w:eastAsia="en-GB"/>
        </w:rPr>
        <w:t>Priestley as writer</w:t>
      </w:r>
    </w:p>
    <w:p w:rsidR="0008685E" w:rsidRPr="00316E15" w:rsidRDefault="0008685E" w:rsidP="00315766">
      <w:pPr>
        <w:spacing w:after="120" w:line="480" w:lineRule="auto"/>
        <w:rPr>
          <w:rFonts w:cstheme="minorHAnsi"/>
          <w:sz w:val="24"/>
          <w:szCs w:val="24"/>
        </w:rPr>
      </w:pPr>
      <w:r w:rsidRPr="00316E15">
        <w:rPr>
          <w:rFonts w:eastAsia="SimSun" w:cs="Arial"/>
          <w:sz w:val="24"/>
          <w:szCs w:val="24"/>
          <w:lang w:eastAsia="en-GB"/>
        </w:rPr>
        <w:t xml:space="preserve">Priestley published more than 200 books, pamphlets, sermons and essays, was correcting proofs on the day he died, and the 26 volumes of his works in the standard edition exclude most of the works on optics, electricity or chemistry but include much theological and political controversy. </w:t>
      </w:r>
      <w:r w:rsidR="0009003D">
        <w:rPr>
          <w:rFonts w:cstheme="minorHAnsi"/>
          <w:sz w:val="24"/>
          <w:szCs w:val="24"/>
        </w:rPr>
        <w:t>“</w:t>
      </w:r>
      <w:r w:rsidRPr="00316E15">
        <w:rPr>
          <w:rFonts w:cstheme="minorHAnsi"/>
          <w:sz w:val="24"/>
          <w:szCs w:val="24"/>
        </w:rPr>
        <w:t>My natural infirmity ... is a too great promptness to write</w:t>
      </w:r>
      <w:r w:rsidR="0009003D">
        <w:rPr>
          <w:rFonts w:cstheme="minorHAnsi"/>
          <w:sz w:val="24"/>
          <w:szCs w:val="24"/>
        </w:rPr>
        <w:t>”</w:t>
      </w:r>
      <w:r w:rsidRPr="00316E15">
        <w:rPr>
          <w:rFonts w:cstheme="minorHAnsi"/>
          <w:sz w:val="24"/>
          <w:szCs w:val="24"/>
        </w:rPr>
        <w:t>, Priestley confessed</w:t>
      </w:r>
      <w:r>
        <w:rPr>
          <w:rFonts w:cstheme="minorHAnsi"/>
          <w:sz w:val="24"/>
          <w:szCs w:val="24"/>
        </w:rPr>
        <w:t xml:space="preserve"> (</w:t>
      </w:r>
      <w:r w:rsidRPr="00E36504">
        <w:rPr>
          <w:rFonts w:cstheme="minorHAnsi"/>
          <w:i/>
          <w:sz w:val="24"/>
          <w:szCs w:val="24"/>
        </w:rPr>
        <w:t>Works</w:t>
      </w:r>
      <w:r>
        <w:rPr>
          <w:rFonts w:cstheme="minorHAnsi"/>
          <w:sz w:val="24"/>
          <w:szCs w:val="24"/>
        </w:rPr>
        <w:t xml:space="preserve"> </w:t>
      </w:r>
      <w:r w:rsidRPr="00E36504">
        <w:rPr>
          <w:iCs/>
        </w:rPr>
        <w:t>19.305</w:t>
      </w:r>
      <w:r>
        <w:rPr>
          <w:iCs/>
        </w:rPr>
        <w:t>)</w:t>
      </w:r>
      <w:r w:rsidRPr="00316E15">
        <w:rPr>
          <w:rFonts w:cstheme="minorHAnsi"/>
          <w:sz w:val="24"/>
          <w:szCs w:val="24"/>
        </w:rPr>
        <w:t>, and an opponent infer</w:t>
      </w:r>
      <w:r w:rsidR="00790BE7">
        <w:rPr>
          <w:rFonts w:cstheme="minorHAnsi"/>
          <w:sz w:val="24"/>
          <w:szCs w:val="24"/>
        </w:rPr>
        <w:t>red</w:t>
      </w:r>
      <w:r w:rsidRPr="00316E15">
        <w:rPr>
          <w:rFonts w:cstheme="minorHAnsi"/>
          <w:sz w:val="24"/>
          <w:szCs w:val="24"/>
        </w:rPr>
        <w:t xml:space="preserve"> that </w:t>
      </w:r>
      <w:r w:rsidR="00315766">
        <w:rPr>
          <w:rFonts w:cstheme="minorHAnsi"/>
          <w:sz w:val="24"/>
          <w:szCs w:val="24"/>
        </w:rPr>
        <w:t>“</w:t>
      </w:r>
      <w:r w:rsidRPr="00316E15">
        <w:rPr>
          <w:rFonts w:cstheme="minorHAnsi"/>
          <w:sz w:val="24"/>
          <w:szCs w:val="24"/>
        </w:rPr>
        <w:t xml:space="preserve">the public is to believe that he is greater than other men, because he writes faster; and that he writes unanswerably because he writes </w:t>
      </w:r>
      <w:r w:rsidRPr="00316E15">
        <w:rPr>
          <w:rFonts w:cstheme="minorHAnsi"/>
          <w:i/>
          <w:iCs/>
          <w:sz w:val="24"/>
          <w:szCs w:val="24"/>
        </w:rPr>
        <w:t>without end</w:t>
      </w:r>
      <w:r w:rsidR="00315766">
        <w:rPr>
          <w:rFonts w:cstheme="minorHAnsi"/>
          <w:sz w:val="24"/>
          <w:szCs w:val="24"/>
        </w:rPr>
        <w:t>”</w:t>
      </w:r>
      <w:r w:rsidRPr="00316E15">
        <w:rPr>
          <w:rFonts w:cstheme="minorHAnsi"/>
          <w:sz w:val="24"/>
          <w:szCs w:val="24"/>
        </w:rPr>
        <w:t>.</w:t>
      </w:r>
      <w:r w:rsidRPr="00E9728B">
        <w:rPr>
          <w:rFonts w:cstheme="minorHAnsi"/>
          <w:sz w:val="20"/>
          <w:szCs w:val="20"/>
          <w:vertAlign w:val="superscript"/>
        </w:rPr>
        <w:footnoteReference w:id="8"/>
      </w:r>
      <w:r w:rsidRPr="00316E15">
        <w:rPr>
          <w:rFonts w:cstheme="minorHAnsi"/>
          <w:sz w:val="24"/>
          <w:szCs w:val="24"/>
        </w:rPr>
        <w:t xml:space="preserve"> </w:t>
      </w:r>
    </w:p>
    <w:p w:rsidR="0008685E" w:rsidRDefault="0008685E" w:rsidP="00B321C6">
      <w:pPr>
        <w:spacing w:line="480" w:lineRule="auto"/>
        <w:ind w:firstLine="540"/>
        <w:rPr>
          <w:rFonts w:cstheme="minorHAnsi"/>
          <w:sz w:val="24"/>
          <w:szCs w:val="24"/>
        </w:rPr>
      </w:pPr>
      <w:r w:rsidRPr="00B510CB">
        <w:rPr>
          <w:rFonts w:cstheme="minorHAnsi"/>
          <w:sz w:val="24"/>
          <w:szCs w:val="24"/>
        </w:rPr>
        <w:t xml:space="preserve">The kind of writing </w:t>
      </w:r>
      <w:r>
        <w:rPr>
          <w:rFonts w:cstheme="minorHAnsi"/>
          <w:sz w:val="24"/>
          <w:szCs w:val="24"/>
        </w:rPr>
        <w:t xml:space="preserve">he </w:t>
      </w:r>
      <w:r w:rsidRPr="00B510CB">
        <w:rPr>
          <w:rFonts w:cstheme="minorHAnsi"/>
          <w:sz w:val="24"/>
          <w:szCs w:val="24"/>
        </w:rPr>
        <w:t xml:space="preserve">produced can be evident from a single sentence. Let us take a sentence from the start of the preface to </w:t>
      </w:r>
      <w:r w:rsidRPr="00B510CB">
        <w:rPr>
          <w:rFonts w:cstheme="minorHAnsi"/>
          <w:i/>
          <w:iCs/>
          <w:sz w:val="24"/>
          <w:szCs w:val="24"/>
        </w:rPr>
        <w:t>Additional Letters to a Philosophical Unbeliever</w:t>
      </w:r>
      <w:r w:rsidRPr="00B510CB">
        <w:rPr>
          <w:rFonts w:cstheme="minorHAnsi"/>
          <w:sz w:val="24"/>
          <w:szCs w:val="24"/>
        </w:rPr>
        <w:t xml:space="preserve">, published in Birmingham for Joseph Johnson in 1783: </w:t>
      </w:r>
    </w:p>
    <w:p w:rsidR="0008685E" w:rsidRDefault="0008685E" w:rsidP="00B321C6">
      <w:pPr>
        <w:spacing w:line="480" w:lineRule="auto"/>
        <w:ind w:left="540"/>
        <w:rPr>
          <w:rFonts w:cstheme="minorHAnsi"/>
          <w:sz w:val="24"/>
          <w:szCs w:val="24"/>
        </w:rPr>
      </w:pPr>
      <w:r w:rsidRPr="00B510CB">
        <w:rPr>
          <w:rFonts w:cstheme="minorHAnsi"/>
          <w:sz w:val="24"/>
          <w:szCs w:val="24"/>
        </w:rPr>
        <w:t xml:space="preserve">I myself have no opinions that I wish to shelter behind any </w:t>
      </w:r>
      <w:r w:rsidRPr="00B510CB">
        <w:rPr>
          <w:rFonts w:cstheme="minorHAnsi"/>
          <w:i/>
          <w:iCs/>
          <w:sz w:val="24"/>
          <w:szCs w:val="24"/>
        </w:rPr>
        <w:t>authority</w:t>
      </w:r>
      <w:r w:rsidRPr="00B510CB">
        <w:rPr>
          <w:rFonts w:cstheme="minorHAnsi"/>
          <w:sz w:val="24"/>
          <w:szCs w:val="24"/>
        </w:rPr>
        <w:t xml:space="preserve"> whatever; and should rejoice to see the time (and that time, I doubt not as the world improves in wisdom, will come) when the civil powers will relieve themselves from the attention they have hitherto given to all matters of speculation, and religion amongst the rest; an attention which has proved so embarrassing to the governors, and so distressing to the governed; and when no more countenance will be given to any particular mode of </w:t>
      </w:r>
      <w:r w:rsidRPr="00B510CB">
        <w:rPr>
          <w:rFonts w:cstheme="minorHAnsi"/>
          <w:i/>
          <w:iCs/>
          <w:sz w:val="24"/>
          <w:szCs w:val="24"/>
        </w:rPr>
        <w:t>religion</w:t>
      </w:r>
      <w:r w:rsidRPr="00B510CB">
        <w:rPr>
          <w:rFonts w:cstheme="minorHAnsi"/>
          <w:sz w:val="24"/>
          <w:szCs w:val="24"/>
        </w:rPr>
        <w:t xml:space="preserve">, than is given to particular modes of </w:t>
      </w:r>
      <w:r w:rsidRPr="00B510CB">
        <w:rPr>
          <w:rFonts w:cstheme="minorHAnsi"/>
          <w:i/>
          <w:iCs/>
          <w:sz w:val="24"/>
          <w:szCs w:val="24"/>
        </w:rPr>
        <w:t>medicine</w:t>
      </w:r>
      <w:r w:rsidRPr="00B510CB">
        <w:rPr>
          <w:rFonts w:cstheme="minorHAnsi"/>
          <w:sz w:val="24"/>
          <w:szCs w:val="24"/>
        </w:rPr>
        <w:t xml:space="preserve">, or of </w:t>
      </w:r>
      <w:r w:rsidRPr="00B510CB">
        <w:rPr>
          <w:rFonts w:cstheme="minorHAnsi"/>
          <w:i/>
          <w:iCs/>
          <w:sz w:val="24"/>
          <w:szCs w:val="24"/>
        </w:rPr>
        <w:t>philosophy</w:t>
      </w:r>
      <w:r>
        <w:rPr>
          <w:rFonts w:cstheme="minorHAnsi"/>
          <w:sz w:val="24"/>
          <w:szCs w:val="24"/>
        </w:rPr>
        <w:t>.</w:t>
      </w:r>
      <w:r w:rsidRPr="00AD7C9A">
        <w:rPr>
          <w:rFonts w:cstheme="minorHAnsi"/>
          <w:sz w:val="20"/>
          <w:szCs w:val="20"/>
          <w:vertAlign w:val="superscript"/>
        </w:rPr>
        <w:footnoteReference w:id="9"/>
      </w:r>
      <w:r w:rsidRPr="00B510CB">
        <w:rPr>
          <w:rFonts w:cstheme="minorHAnsi"/>
          <w:sz w:val="24"/>
          <w:szCs w:val="24"/>
        </w:rPr>
        <w:t xml:space="preserve"> </w:t>
      </w:r>
    </w:p>
    <w:p w:rsidR="0008685E" w:rsidRPr="00B510CB" w:rsidRDefault="0008685E" w:rsidP="00B31E5B">
      <w:pPr>
        <w:spacing w:line="480" w:lineRule="auto"/>
        <w:rPr>
          <w:rFonts w:cstheme="minorHAnsi"/>
          <w:sz w:val="24"/>
          <w:szCs w:val="24"/>
        </w:rPr>
      </w:pPr>
      <w:r>
        <w:rPr>
          <w:rFonts w:cstheme="minorHAnsi"/>
          <w:sz w:val="24"/>
          <w:szCs w:val="24"/>
        </w:rPr>
        <w:t>T</w:t>
      </w:r>
      <w:r w:rsidRPr="00B510CB">
        <w:rPr>
          <w:rFonts w:cstheme="minorHAnsi"/>
          <w:sz w:val="24"/>
          <w:szCs w:val="24"/>
        </w:rPr>
        <w:t>his is a long sentence, semi-colons marking what Coleridge would call its landing-places; its argument takes it from the rational first-person individual to a prophecy of reason eventually triumphant over all.</w:t>
      </w:r>
      <w:r w:rsidRPr="005C7804">
        <w:rPr>
          <w:rStyle w:val="FootnoteReference"/>
          <w:rFonts w:cstheme="minorHAnsi"/>
          <w:sz w:val="20"/>
          <w:szCs w:val="20"/>
        </w:rPr>
        <w:footnoteReference w:id="10"/>
      </w:r>
      <w:r w:rsidRPr="005C7804">
        <w:rPr>
          <w:rFonts w:cstheme="minorHAnsi"/>
          <w:sz w:val="20"/>
          <w:szCs w:val="20"/>
        </w:rPr>
        <w:t xml:space="preserve"> </w:t>
      </w:r>
    </w:p>
    <w:p w:rsidR="0008685E" w:rsidRPr="00B510CB" w:rsidRDefault="0008685E" w:rsidP="00315766">
      <w:pPr>
        <w:spacing w:after="120" w:line="480" w:lineRule="auto"/>
        <w:ind w:firstLine="547"/>
        <w:rPr>
          <w:rFonts w:cstheme="minorHAnsi"/>
          <w:sz w:val="24"/>
          <w:szCs w:val="24"/>
        </w:rPr>
      </w:pPr>
      <w:r w:rsidRPr="00B510CB">
        <w:rPr>
          <w:rFonts w:cstheme="minorHAnsi"/>
          <w:sz w:val="24"/>
          <w:szCs w:val="24"/>
        </w:rPr>
        <w:t>Each of those argumentative clauses iterate</w:t>
      </w:r>
      <w:r w:rsidR="00B31E5B">
        <w:rPr>
          <w:rFonts w:cstheme="minorHAnsi"/>
          <w:sz w:val="24"/>
          <w:szCs w:val="24"/>
        </w:rPr>
        <w:t>s</w:t>
      </w:r>
      <w:r w:rsidRPr="00B510CB">
        <w:rPr>
          <w:rFonts w:cstheme="minorHAnsi"/>
          <w:sz w:val="24"/>
          <w:szCs w:val="24"/>
        </w:rPr>
        <w:t xml:space="preserve"> an important principle for Priestley, for which the term article of faith seems right: a distrust of authority; a conviction (embedded in the parenthesis) that progress has an unstoppable momentum; that the confounding of political with religious authority is tyrannical and must end; and a</w:t>
      </w:r>
      <w:r>
        <w:rPr>
          <w:rFonts w:cstheme="minorHAnsi"/>
          <w:sz w:val="24"/>
          <w:szCs w:val="24"/>
        </w:rPr>
        <w:t>n irenic</w:t>
      </w:r>
      <w:r w:rsidRPr="00B510CB">
        <w:rPr>
          <w:rFonts w:cstheme="minorHAnsi"/>
          <w:sz w:val="24"/>
          <w:szCs w:val="24"/>
        </w:rPr>
        <w:t xml:space="preserve"> </w:t>
      </w:r>
      <w:r>
        <w:rPr>
          <w:rFonts w:cstheme="minorHAnsi"/>
          <w:sz w:val="24"/>
          <w:szCs w:val="24"/>
        </w:rPr>
        <w:t>outcome</w:t>
      </w:r>
      <w:r w:rsidRPr="00B510CB">
        <w:rPr>
          <w:rFonts w:cstheme="minorHAnsi"/>
          <w:sz w:val="24"/>
          <w:szCs w:val="24"/>
        </w:rPr>
        <w:t xml:space="preserve"> follow</w:t>
      </w:r>
      <w:r>
        <w:rPr>
          <w:rFonts w:cstheme="minorHAnsi"/>
          <w:sz w:val="24"/>
          <w:szCs w:val="24"/>
        </w:rPr>
        <w:t>ing</w:t>
      </w:r>
      <w:r w:rsidRPr="00B510CB">
        <w:rPr>
          <w:rFonts w:cstheme="minorHAnsi"/>
          <w:sz w:val="24"/>
          <w:szCs w:val="24"/>
        </w:rPr>
        <w:t xml:space="preserve"> logically from the ineluctable evidence of progress. Priestley’s </w:t>
      </w:r>
      <w:r w:rsidR="00B31E5B">
        <w:rPr>
          <w:rFonts w:cstheme="minorHAnsi"/>
          <w:sz w:val="24"/>
          <w:szCs w:val="24"/>
        </w:rPr>
        <w:t xml:space="preserve">initial </w:t>
      </w:r>
      <w:r w:rsidRPr="00B510CB">
        <w:rPr>
          <w:rFonts w:cstheme="minorHAnsi"/>
          <w:sz w:val="24"/>
          <w:szCs w:val="24"/>
        </w:rPr>
        <w:t>claim to be able to proceed on the basis of no authority whatsoever looks like a particularly bold statement of an enlightened credo.</w:t>
      </w:r>
      <w:r w:rsidRPr="00B510CB">
        <w:rPr>
          <w:rFonts w:cstheme="minorHAnsi"/>
          <w:sz w:val="20"/>
          <w:szCs w:val="20"/>
          <w:vertAlign w:val="superscript"/>
        </w:rPr>
        <w:footnoteReference w:id="11"/>
      </w:r>
      <w:r w:rsidRPr="00B510CB">
        <w:rPr>
          <w:rFonts w:cstheme="minorHAnsi"/>
          <w:sz w:val="20"/>
          <w:szCs w:val="20"/>
        </w:rPr>
        <w:t xml:space="preserve">  </w:t>
      </w:r>
      <w:r w:rsidR="00B31E5B">
        <w:rPr>
          <w:rFonts w:cstheme="minorHAnsi"/>
          <w:sz w:val="24"/>
          <w:szCs w:val="24"/>
        </w:rPr>
        <w:t>O</w:t>
      </w:r>
      <w:r w:rsidRPr="00B510CB">
        <w:rPr>
          <w:rFonts w:cstheme="minorHAnsi"/>
          <w:sz w:val="24"/>
          <w:szCs w:val="24"/>
        </w:rPr>
        <w:t>ther principles are repeated – only a few pages later,</w:t>
      </w:r>
      <w:r>
        <w:rPr>
          <w:rFonts w:cstheme="minorHAnsi"/>
          <w:sz w:val="24"/>
          <w:szCs w:val="24"/>
        </w:rPr>
        <w:t xml:space="preserve"> where he writes that</w:t>
      </w:r>
      <w:r w:rsidRPr="00B510CB">
        <w:rPr>
          <w:rFonts w:cstheme="minorHAnsi"/>
          <w:sz w:val="24"/>
          <w:szCs w:val="24"/>
        </w:rPr>
        <w:t xml:space="preserve"> </w:t>
      </w:r>
      <w:r w:rsidR="00315766">
        <w:rPr>
          <w:rFonts w:cstheme="minorHAnsi"/>
          <w:sz w:val="24"/>
          <w:szCs w:val="24"/>
        </w:rPr>
        <w:t>“</w:t>
      </w:r>
      <w:r w:rsidRPr="00B510CB">
        <w:rPr>
          <w:rFonts w:cstheme="minorHAnsi"/>
          <w:sz w:val="24"/>
          <w:szCs w:val="24"/>
        </w:rPr>
        <w:t>calling in the aid of a magistrate to suppress heresy</w:t>
      </w:r>
      <w:r w:rsidR="00315766">
        <w:rPr>
          <w:rFonts w:cstheme="minorHAnsi"/>
          <w:sz w:val="24"/>
          <w:szCs w:val="24"/>
        </w:rPr>
        <w:t>”</w:t>
      </w:r>
      <w:r w:rsidRPr="00B510CB">
        <w:rPr>
          <w:rFonts w:cstheme="minorHAnsi"/>
          <w:sz w:val="24"/>
          <w:szCs w:val="24"/>
        </w:rPr>
        <w:t xml:space="preserve"> is the characteristic of a </w:t>
      </w:r>
      <w:r w:rsidR="00315766">
        <w:rPr>
          <w:rFonts w:cstheme="minorHAnsi"/>
          <w:sz w:val="24"/>
          <w:szCs w:val="24"/>
        </w:rPr>
        <w:t>“</w:t>
      </w:r>
      <w:r w:rsidRPr="00B510CB">
        <w:rPr>
          <w:rFonts w:cstheme="minorHAnsi"/>
          <w:sz w:val="24"/>
          <w:szCs w:val="24"/>
        </w:rPr>
        <w:t xml:space="preserve">weak </w:t>
      </w:r>
      <w:proofErr w:type="spellStart"/>
      <w:r w:rsidRPr="00B510CB">
        <w:rPr>
          <w:rFonts w:cstheme="minorHAnsi"/>
          <w:sz w:val="24"/>
          <w:szCs w:val="24"/>
        </w:rPr>
        <w:t>christian</w:t>
      </w:r>
      <w:proofErr w:type="spellEnd"/>
      <w:r w:rsidR="00315766">
        <w:rPr>
          <w:rFonts w:cstheme="minorHAnsi"/>
          <w:sz w:val="24"/>
          <w:szCs w:val="24"/>
        </w:rPr>
        <w:t>”</w:t>
      </w:r>
      <w:r>
        <w:rPr>
          <w:rFonts w:cstheme="minorHAnsi"/>
          <w:sz w:val="24"/>
          <w:szCs w:val="24"/>
        </w:rPr>
        <w:t>.</w:t>
      </w:r>
      <w:r w:rsidRPr="00E12430">
        <w:rPr>
          <w:rStyle w:val="FootnoteReference"/>
          <w:rFonts w:cstheme="minorHAnsi"/>
          <w:sz w:val="20"/>
          <w:szCs w:val="20"/>
        </w:rPr>
        <w:footnoteReference w:id="12"/>
      </w:r>
      <w:r w:rsidRPr="00B510CB">
        <w:rPr>
          <w:rFonts w:cstheme="minorHAnsi"/>
          <w:i/>
          <w:iCs/>
          <w:sz w:val="24"/>
          <w:szCs w:val="24"/>
        </w:rPr>
        <w:t xml:space="preserve"> </w:t>
      </w:r>
      <w:r w:rsidRPr="00244327">
        <w:rPr>
          <w:rFonts w:cstheme="minorHAnsi"/>
          <w:sz w:val="24"/>
          <w:szCs w:val="24"/>
        </w:rPr>
        <w:t>For Priestley, knowledge is not synthetic and encyclopaedic but serial and narrative; however it is not dialogic.</w:t>
      </w:r>
      <w:r w:rsidRPr="00992620">
        <w:rPr>
          <w:rFonts w:cstheme="minorHAnsi"/>
          <w:sz w:val="20"/>
          <w:szCs w:val="20"/>
          <w:vertAlign w:val="superscript"/>
        </w:rPr>
        <w:footnoteReference w:id="13"/>
      </w:r>
      <w:r w:rsidRPr="00992620">
        <w:rPr>
          <w:rFonts w:cstheme="minorHAnsi"/>
          <w:sz w:val="20"/>
          <w:szCs w:val="20"/>
        </w:rPr>
        <w:t xml:space="preserve"> </w:t>
      </w:r>
      <w:r w:rsidRPr="00244327">
        <w:rPr>
          <w:rFonts w:cstheme="minorHAnsi"/>
          <w:sz w:val="24"/>
          <w:szCs w:val="24"/>
        </w:rPr>
        <w:t xml:space="preserve"> His long sentences, such as th</w:t>
      </w:r>
      <w:r w:rsidR="00B31E5B">
        <w:rPr>
          <w:rFonts w:cstheme="minorHAnsi"/>
          <w:sz w:val="24"/>
          <w:szCs w:val="24"/>
        </w:rPr>
        <w:t>i</w:t>
      </w:r>
      <w:r w:rsidR="00394314">
        <w:rPr>
          <w:rFonts w:cstheme="minorHAnsi"/>
          <w:sz w:val="24"/>
          <w:szCs w:val="24"/>
        </w:rPr>
        <w:t xml:space="preserve">s </w:t>
      </w:r>
      <w:r w:rsidRPr="00244327">
        <w:rPr>
          <w:rFonts w:cstheme="minorHAnsi"/>
          <w:sz w:val="24"/>
          <w:szCs w:val="24"/>
        </w:rPr>
        <w:t xml:space="preserve">one </w:t>
      </w:r>
      <w:r>
        <w:rPr>
          <w:rFonts w:cstheme="minorHAnsi"/>
          <w:sz w:val="24"/>
          <w:szCs w:val="24"/>
        </w:rPr>
        <w:t>quot</w:t>
      </w:r>
      <w:r w:rsidRPr="00244327">
        <w:rPr>
          <w:rFonts w:cstheme="minorHAnsi"/>
          <w:sz w:val="24"/>
          <w:szCs w:val="24"/>
        </w:rPr>
        <w:t>ed, tend to be discursive rather than iterative, each clause arguing an important principle or article of faith, not least the contention that progress is inevitable and will not be thwarted.</w:t>
      </w:r>
    </w:p>
    <w:p w:rsidR="0008685E" w:rsidRPr="00B510CB" w:rsidRDefault="0008685E" w:rsidP="00570D89">
      <w:pPr>
        <w:spacing w:after="120" w:line="480" w:lineRule="auto"/>
        <w:ind w:firstLine="540"/>
        <w:rPr>
          <w:rFonts w:eastAsia="SimSun" w:cs="Arial"/>
          <w:sz w:val="24"/>
          <w:szCs w:val="24"/>
          <w:lang w:eastAsia="en-GB"/>
        </w:rPr>
      </w:pPr>
      <w:r>
        <w:rPr>
          <w:rFonts w:cstheme="minorHAnsi"/>
          <w:sz w:val="24"/>
          <w:szCs w:val="24"/>
        </w:rPr>
        <w:t>T</w:t>
      </w:r>
      <w:r w:rsidRPr="00B510CB">
        <w:rPr>
          <w:rFonts w:cstheme="minorHAnsi"/>
          <w:sz w:val="24"/>
          <w:szCs w:val="24"/>
        </w:rPr>
        <w:t xml:space="preserve">he </w:t>
      </w:r>
      <w:r>
        <w:rPr>
          <w:rFonts w:cstheme="minorHAnsi"/>
          <w:sz w:val="24"/>
          <w:szCs w:val="24"/>
        </w:rPr>
        <w:t xml:space="preserve">individual </w:t>
      </w:r>
      <w:r w:rsidRPr="00B510CB">
        <w:rPr>
          <w:rFonts w:cstheme="minorHAnsi"/>
          <w:sz w:val="24"/>
          <w:szCs w:val="24"/>
        </w:rPr>
        <w:t>sentence</w:t>
      </w:r>
      <w:r>
        <w:rPr>
          <w:rFonts w:cstheme="minorHAnsi"/>
          <w:sz w:val="24"/>
          <w:szCs w:val="24"/>
        </w:rPr>
        <w:t xml:space="preserve">, then, if not as distinctive as </w:t>
      </w:r>
      <w:r w:rsidRPr="00B510CB">
        <w:rPr>
          <w:rFonts w:cstheme="minorHAnsi"/>
          <w:sz w:val="24"/>
          <w:szCs w:val="24"/>
        </w:rPr>
        <w:t>Rousseau’s paradoxes or Paine’s rhetorical questions</w:t>
      </w:r>
      <w:r>
        <w:rPr>
          <w:rFonts w:cstheme="minorHAnsi"/>
          <w:sz w:val="24"/>
          <w:szCs w:val="24"/>
        </w:rPr>
        <w:t xml:space="preserve">, </w:t>
      </w:r>
      <w:r w:rsidR="00570D89">
        <w:rPr>
          <w:rFonts w:cstheme="minorHAnsi"/>
          <w:sz w:val="24"/>
          <w:szCs w:val="24"/>
        </w:rPr>
        <w:t>is</w:t>
      </w:r>
      <w:r w:rsidR="002709FC">
        <w:rPr>
          <w:rFonts w:cstheme="minorHAnsi"/>
          <w:sz w:val="24"/>
          <w:szCs w:val="24"/>
        </w:rPr>
        <w:t xml:space="preserve"> </w:t>
      </w:r>
      <w:r>
        <w:rPr>
          <w:rFonts w:cstheme="minorHAnsi"/>
          <w:sz w:val="24"/>
          <w:szCs w:val="24"/>
        </w:rPr>
        <w:t xml:space="preserve">marked by a similarly </w:t>
      </w:r>
      <w:r w:rsidRPr="00B510CB">
        <w:rPr>
          <w:rFonts w:cstheme="minorHAnsi"/>
          <w:sz w:val="24"/>
          <w:szCs w:val="24"/>
        </w:rPr>
        <w:t>insistent cussedness</w:t>
      </w:r>
      <w:r>
        <w:rPr>
          <w:rFonts w:cstheme="minorHAnsi"/>
          <w:sz w:val="24"/>
          <w:szCs w:val="24"/>
        </w:rPr>
        <w:t xml:space="preserve"> and </w:t>
      </w:r>
      <w:r w:rsidR="002709FC">
        <w:rPr>
          <w:rFonts w:cstheme="minorHAnsi"/>
          <w:sz w:val="24"/>
          <w:szCs w:val="24"/>
        </w:rPr>
        <w:t>could have similarly negative</w:t>
      </w:r>
      <w:r>
        <w:rPr>
          <w:rFonts w:cstheme="minorHAnsi"/>
          <w:sz w:val="24"/>
          <w:szCs w:val="24"/>
        </w:rPr>
        <w:t xml:space="preserve"> political</w:t>
      </w:r>
      <w:r w:rsidRPr="00B510CB">
        <w:rPr>
          <w:rFonts w:cstheme="minorHAnsi"/>
          <w:sz w:val="24"/>
          <w:szCs w:val="24"/>
        </w:rPr>
        <w:t xml:space="preserve"> consequen</w:t>
      </w:r>
      <w:r w:rsidR="002709FC">
        <w:rPr>
          <w:rFonts w:cstheme="minorHAnsi"/>
          <w:sz w:val="24"/>
          <w:szCs w:val="24"/>
        </w:rPr>
        <w:t>ces</w:t>
      </w:r>
      <w:r w:rsidR="00C61EF0">
        <w:rPr>
          <w:rFonts w:cstheme="minorHAnsi"/>
          <w:sz w:val="24"/>
          <w:szCs w:val="24"/>
        </w:rPr>
        <w:t xml:space="preserve"> </w:t>
      </w:r>
      <w:r w:rsidR="00C61EF0" w:rsidRPr="00C61EF0">
        <w:rPr>
          <w:rFonts w:cs="Calibri"/>
          <w:sz w:val="24"/>
          <w:szCs w:val="24"/>
        </w:rPr>
        <w:t>for its writer</w:t>
      </w:r>
      <w:r w:rsidRPr="00C61EF0">
        <w:rPr>
          <w:rFonts w:cstheme="minorHAnsi"/>
          <w:sz w:val="24"/>
          <w:szCs w:val="24"/>
        </w:rPr>
        <w:t>.</w:t>
      </w:r>
      <w:r w:rsidRPr="00B510CB">
        <w:rPr>
          <w:rFonts w:cstheme="minorHAnsi"/>
          <w:sz w:val="24"/>
          <w:szCs w:val="24"/>
        </w:rPr>
        <w:t xml:space="preserve">  The graphic tradition of </w:t>
      </w:r>
      <w:proofErr w:type="spellStart"/>
      <w:r w:rsidRPr="00B510CB">
        <w:rPr>
          <w:rFonts w:cstheme="minorHAnsi"/>
          <w:sz w:val="24"/>
          <w:szCs w:val="24"/>
        </w:rPr>
        <w:t>Gillray</w:t>
      </w:r>
      <w:proofErr w:type="spellEnd"/>
      <w:r w:rsidRPr="00B510CB">
        <w:rPr>
          <w:rFonts w:cstheme="minorHAnsi"/>
          <w:sz w:val="24"/>
          <w:szCs w:val="24"/>
        </w:rPr>
        <w:t xml:space="preserve"> and others suggest</w:t>
      </w:r>
      <w:r>
        <w:rPr>
          <w:rFonts w:cstheme="minorHAnsi"/>
          <w:sz w:val="24"/>
          <w:szCs w:val="24"/>
        </w:rPr>
        <w:t>s</w:t>
      </w:r>
      <w:r w:rsidRPr="00B510CB">
        <w:rPr>
          <w:rFonts w:cstheme="minorHAnsi"/>
          <w:sz w:val="24"/>
          <w:szCs w:val="24"/>
        </w:rPr>
        <w:t xml:space="preserve"> that </w:t>
      </w:r>
      <w:r>
        <w:rPr>
          <w:rFonts w:cstheme="minorHAnsi"/>
          <w:sz w:val="24"/>
          <w:szCs w:val="24"/>
        </w:rPr>
        <w:t>Priestley’s</w:t>
      </w:r>
      <w:r w:rsidRPr="00B510CB">
        <w:rPr>
          <w:rFonts w:cstheme="minorHAnsi"/>
          <w:sz w:val="24"/>
          <w:szCs w:val="24"/>
        </w:rPr>
        <w:t xml:space="preserve"> provocations were to be feared </w:t>
      </w:r>
      <w:r>
        <w:rPr>
          <w:rFonts w:cstheme="minorHAnsi"/>
          <w:sz w:val="24"/>
          <w:szCs w:val="24"/>
        </w:rPr>
        <w:t>almost as much as Paine or Rousseau</w:t>
      </w:r>
      <w:r w:rsidRPr="00B510CB">
        <w:rPr>
          <w:rFonts w:cstheme="minorHAnsi"/>
          <w:sz w:val="24"/>
          <w:szCs w:val="24"/>
        </w:rPr>
        <w:t>, since he was sometimes represented alongside them</w:t>
      </w:r>
      <w:r>
        <w:rPr>
          <w:rFonts w:cstheme="minorHAnsi"/>
          <w:sz w:val="24"/>
          <w:szCs w:val="24"/>
        </w:rPr>
        <w:t>, but there is a difference in kind</w:t>
      </w:r>
      <w:r w:rsidRPr="00B510CB">
        <w:rPr>
          <w:rFonts w:cstheme="minorHAnsi"/>
          <w:sz w:val="24"/>
          <w:szCs w:val="24"/>
        </w:rPr>
        <w:t>.</w:t>
      </w:r>
      <w:r w:rsidRPr="00B510CB">
        <w:rPr>
          <w:rFonts w:cstheme="minorHAnsi"/>
          <w:sz w:val="20"/>
          <w:szCs w:val="20"/>
          <w:vertAlign w:val="superscript"/>
        </w:rPr>
        <w:footnoteReference w:id="14"/>
      </w:r>
      <w:r>
        <w:rPr>
          <w:rFonts w:cstheme="minorHAnsi"/>
          <w:sz w:val="24"/>
          <w:szCs w:val="24"/>
        </w:rPr>
        <w:t xml:space="preserve"> </w:t>
      </w:r>
    </w:p>
    <w:p w:rsidR="0008685E" w:rsidRPr="00244327" w:rsidRDefault="0008685E" w:rsidP="00C61EF0">
      <w:pPr>
        <w:widowControl w:val="0"/>
        <w:spacing w:line="480" w:lineRule="auto"/>
        <w:ind w:firstLine="540"/>
        <w:rPr>
          <w:rFonts w:cstheme="minorHAnsi"/>
          <w:sz w:val="24"/>
          <w:szCs w:val="24"/>
        </w:rPr>
      </w:pPr>
      <w:r w:rsidRPr="00244327">
        <w:rPr>
          <w:rFonts w:cstheme="minorHAnsi"/>
          <w:sz w:val="24"/>
          <w:szCs w:val="24"/>
        </w:rPr>
        <w:t>Priestley</w:t>
      </w:r>
      <w:r w:rsidR="00C61EF0">
        <w:rPr>
          <w:rFonts w:cstheme="minorHAnsi"/>
          <w:sz w:val="24"/>
          <w:szCs w:val="24"/>
        </w:rPr>
        <w:t xml:space="preserve"> himself claim</w:t>
      </w:r>
      <w:r w:rsidRPr="00244327">
        <w:rPr>
          <w:rFonts w:cstheme="minorHAnsi"/>
          <w:sz w:val="24"/>
          <w:szCs w:val="24"/>
        </w:rPr>
        <w:t xml:space="preserve">s that the writing is always only instrumental: He </w:t>
      </w:r>
      <w:r w:rsidR="00D9614D">
        <w:rPr>
          <w:rFonts w:cstheme="minorHAnsi"/>
          <w:sz w:val="24"/>
          <w:szCs w:val="24"/>
        </w:rPr>
        <w:t>wou</w:t>
      </w:r>
      <w:r w:rsidRPr="00244327">
        <w:rPr>
          <w:rFonts w:cstheme="minorHAnsi"/>
          <w:sz w:val="24"/>
          <w:szCs w:val="24"/>
        </w:rPr>
        <w:t>l</w:t>
      </w:r>
      <w:r w:rsidR="00D9614D">
        <w:rPr>
          <w:rFonts w:cstheme="minorHAnsi"/>
          <w:sz w:val="24"/>
          <w:szCs w:val="24"/>
        </w:rPr>
        <w:t>d</w:t>
      </w:r>
      <w:r w:rsidRPr="00244327">
        <w:rPr>
          <w:rFonts w:cstheme="minorHAnsi"/>
          <w:sz w:val="24"/>
          <w:szCs w:val="24"/>
        </w:rPr>
        <w:t xml:space="preserve"> not, for example, assume the character of another, even to make a point ironically.  Although he </w:t>
      </w:r>
      <w:r w:rsidR="00D9614D">
        <w:rPr>
          <w:rFonts w:cstheme="minorHAnsi"/>
          <w:sz w:val="24"/>
          <w:szCs w:val="24"/>
        </w:rPr>
        <w:t xml:space="preserve">did </w:t>
      </w:r>
      <w:r w:rsidRPr="00244327">
        <w:rPr>
          <w:rFonts w:cstheme="minorHAnsi"/>
          <w:sz w:val="24"/>
          <w:szCs w:val="24"/>
        </w:rPr>
        <w:t xml:space="preserve">adopt pseudonyms (Clemens, Ebionita, </w:t>
      </w:r>
      <w:proofErr w:type="spellStart"/>
      <w:r w:rsidRPr="00244327">
        <w:rPr>
          <w:rFonts w:cstheme="minorHAnsi"/>
          <w:sz w:val="24"/>
          <w:szCs w:val="24"/>
        </w:rPr>
        <w:t>Liberius</w:t>
      </w:r>
      <w:proofErr w:type="spellEnd"/>
      <w:r w:rsidRPr="00244327">
        <w:rPr>
          <w:rFonts w:cstheme="minorHAnsi"/>
          <w:sz w:val="24"/>
          <w:szCs w:val="24"/>
        </w:rPr>
        <w:t xml:space="preserve">, </w:t>
      </w:r>
      <w:proofErr w:type="spellStart"/>
      <w:r w:rsidRPr="00244327">
        <w:rPr>
          <w:rFonts w:cstheme="minorHAnsi"/>
          <w:sz w:val="24"/>
          <w:szCs w:val="24"/>
        </w:rPr>
        <w:t>Paulinus</w:t>
      </w:r>
      <w:proofErr w:type="spellEnd"/>
      <w:r w:rsidRPr="00244327">
        <w:rPr>
          <w:rFonts w:cstheme="minorHAnsi"/>
          <w:sz w:val="24"/>
          <w:szCs w:val="24"/>
        </w:rPr>
        <w:t>, Photinus)</w:t>
      </w:r>
      <w:r w:rsidRPr="00244327">
        <w:rPr>
          <w:rFonts w:cstheme="minorHAnsi"/>
          <w:sz w:val="24"/>
          <w:szCs w:val="24"/>
          <w:vertAlign w:val="superscript"/>
        </w:rPr>
        <w:t xml:space="preserve"> </w:t>
      </w:r>
      <w:r w:rsidRPr="00244327">
        <w:rPr>
          <w:rFonts w:cstheme="minorHAnsi"/>
          <w:sz w:val="24"/>
          <w:szCs w:val="24"/>
        </w:rPr>
        <w:t>in print</w:t>
      </w:r>
      <w:r w:rsidR="00D9614D">
        <w:rPr>
          <w:rFonts w:cstheme="minorHAnsi"/>
          <w:sz w:val="24"/>
          <w:szCs w:val="24"/>
        </w:rPr>
        <w:t xml:space="preserve"> –</w:t>
      </w:r>
      <w:r w:rsidRPr="00244327">
        <w:rPr>
          <w:rFonts w:cstheme="minorHAnsi"/>
          <w:sz w:val="24"/>
          <w:szCs w:val="24"/>
        </w:rPr>
        <w:t xml:space="preserve"> for reasons of prudence</w:t>
      </w:r>
      <w:r w:rsidR="000C6AA0">
        <w:rPr>
          <w:rFonts w:cstheme="minorHAnsi"/>
          <w:sz w:val="24"/>
          <w:szCs w:val="24"/>
        </w:rPr>
        <w:t>,</w:t>
      </w:r>
      <w:r w:rsidRPr="00244327">
        <w:rPr>
          <w:rFonts w:cstheme="minorHAnsi"/>
          <w:sz w:val="24"/>
          <w:szCs w:val="24"/>
        </w:rPr>
        <w:t xml:space="preserve"> </w:t>
      </w:r>
      <w:r w:rsidR="00D9614D">
        <w:rPr>
          <w:rFonts w:cs="Calibri"/>
          <w:sz w:val="24"/>
          <w:szCs w:val="24"/>
        </w:rPr>
        <w:t xml:space="preserve">when being provocative in </w:t>
      </w:r>
      <w:r w:rsidR="000C6AA0">
        <w:rPr>
          <w:rFonts w:cs="Calibri"/>
          <w:sz w:val="24"/>
          <w:szCs w:val="24"/>
        </w:rPr>
        <w:t xml:space="preserve">his periodical </w:t>
      </w:r>
      <w:r w:rsidR="00D9614D">
        <w:rPr>
          <w:rFonts w:cs="Calibri"/>
          <w:sz w:val="24"/>
          <w:szCs w:val="24"/>
        </w:rPr>
        <w:t xml:space="preserve">the </w:t>
      </w:r>
      <w:r w:rsidR="00D9614D" w:rsidRPr="00D9614D">
        <w:rPr>
          <w:rFonts w:cs="Calibri"/>
          <w:i/>
          <w:iCs/>
          <w:sz w:val="24"/>
          <w:szCs w:val="24"/>
        </w:rPr>
        <w:t>Theological Repository</w:t>
      </w:r>
      <w:r w:rsidR="00D9614D">
        <w:rPr>
          <w:rFonts w:cs="Calibri"/>
          <w:sz w:val="24"/>
          <w:szCs w:val="24"/>
        </w:rPr>
        <w:t xml:space="preserve"> – he recorded a </w:t>
      </w:r>
      <w:r w:rsidR="00315766">
        <w:rPr>
          <w:rFonts w:cs="Calibri"/>
          <w:sz w:val="24"/>
          <w:szCs w:val="24"/>
        </w:rPr>
        <w:t>“</w:t>
      </w:r>
      <w:r w:rsidR="00D9614D">
        <w:rPr>
          <w:rFonts w:cs="Calibri"/>
          <w:sz w:val="24"/>
          <w:szCs w:val="24"/>
        </w:rPr>
        <w:t>great aversion</w:t>
      </w:r>
      <w:r w:rsidR="00315766">
        <w:rPr>
          <w:rFonts w:cs="Calibri"/>
          <w:sz w:val="24"/>
          <w:szCs w:val="24"/>
        </w:rPr>
        <w:t>”</w:t>
      </w:r>
      <w:r w:rsidR="00D9614D">
        <w:rPr>
          <w:rFonts w:cs="Calibri"/>
          <w:sz w:val="24"/>
          <w:szCs w:val="24"/>
        </w:rPr>
        <w:t xml:space="preserve"> </w:t>
      </w:r>
      <w:r w:rsidRPr="00244327">
        <w:rPr>
          <w:rFonts w:cs="Calibri"/>
          <w:sz w:val="24"/>
          <w:szCs w:val="24"/>
        </w:rPr>
        <w:t>(</w:t>
      </w:r>
      <w:r w:rsidRPr="00244327">
        <w:rPr>
          <w:rFonts w:cs="Calibri"/>
          <w:i/>
          <w:iCs/>
          <w:sz w:val="24"/>
          <w:szCs w:val="24"/>
        </w:rPr>
        <w:t>Works</w:t>
      </w:r>
      <w:r w:rsidRPr="00244327">
        <w:rPr>
          <w:rFonts w:cs="Calibri"/>
          <w:sz w:val="24"/>
          <w:szCs w:val="24"/>
        </w:rPr>
        <w:t xml:space="preserve"> 1. 38)</w:t>
      </w:r>
      <w:r w:rsidR="00D9614D">
        <w:rPr>
          <w:rFonts w:cs="Calibri"/>
          <w:sz w:val="24"/>
          <w:szCs w:val="24"/>
        </w:rPr>
        <w:t xml:space="preserve"> to such fictional devices, never consciously deviating from </w:t>
      </w:r>
      <w:r w:rsidR="00D9614D">
        <w:rPr>
          <w:rFonts w:cstheme="minorHAnsi"/>
          <w:sz w:val="24"/>
          <w:szCs w:val="24"/>
        </w:rPr>
        <w:t>the puritanical denial</w:t>
      </w:r>
      <w:r w:rsidR="00D9614D" w:rsidRPr="00244327">
        <w:rPr>
          <w:rFonts w:cstheme="minorHAnsi"/>
          <w:sz w:val="24"/>
          <w:szCs w:val="24"/>
        </w:rPr>
        <w:t xml:space="preserve"> that </w:t>
      </w:r>
      <w:r w:rsidR="00D9614D">
        <w:rPr>
          <w:rFonts w:cstheme="minorHAnsi"/>
          <w:sz w:val="24"/>
          <w:szCs w:val="24"/>
        </w:rPr>
        <w:t xml:space="preserve">writing might be play, display, </w:t>
      </w:r>
      <w:r w:rsidR="00D9614D" w:rsidRPr="00244327">
        <w:rPr>
          <w:rFonts w:cstheme="minorHAnsi"/>
          <w:sz w:val="24"/>
          <w:szCs w:val="24"/>
        </w:rPr>
        <w:t xml:space="preserve">or anything other than a medium for arriving at conviction or agreement.  </w:t>
      </w:r>
      <w:r w:rsidR="000C6AA0">
        <w:rPr>
          <w:rFonts w:cstheme="minorHAnsi"/>
          <w:sz w:val="24"/>
          <w:szCs w:val="24"/>
        </w:rPr>
        <w:t>B</w:t>
      </w:r>
      <w:r w:rsidR="000C6AA0" w:rsidRPr="00244327">
        <w:rPr>
          <w:rFonts w:cstheme="minorHAnsi"/>
          <w:sz w:val="24"/>
          <w:szCs w:val="24"/>
        </w:rPr>
        <w:t>oast</w:t>
      </w:r>
      <w:r w:rsidR="000C6AA0">
        <w:rPr>
          <w:rFonts w:cstheme="minorHAnsi"/>
          <w:sz w:val="24"/>
          <w:szCs w:val="24"/>
        </w:rPr>
        <w:t>ing</w:t>
      </w:r>
      <w:r w:rsidR="000C6AA0" w:rsidRPr="00244327">
        <w:rPr>
          <w:rFonts w:cstheme="minorHAnsi"/>
          <w:sz w:val="24"/>
          <w:szCs w:val="24"/>
        </w:rPr>
        <w:t xml:space="preserve"> </w:t>
      </w:r>
      <w:r w:rsidRPr="00244327">
        <w:rPr>
          <w:rFonts w:cstheme="minorHAnsi"/>
          <w:sz w:val="24"/>
          <w:szCs w:val="24"/>
        </w:rPr>
        <w:t xml:space="preserve">that </w:t>
      </w:r>
      <w:r w:rsidR="000C6AA0">
        <w:rPr>
          <w:rFonts w:cstheme="minorHAnsi"/>
          <w:sz w:val="24"/>
          <w:szCs w:val="24"/>
        </w:rPr>
        <w:t>“</w:t>
      </w:r>
      <w:r w:rsidRPr="00244327">
        <w:rPr>
          <w:rFonts w:cstheme="minorHAnsi"/>
          <w:sz w:val="24"/>
          <w:szCs w:val="24"/>
        </w:rPr>
        <w:t>few men write more intelligibly than I do</w:t>
      </w:r>
      <w:r w:rsidR="000C6AA0">
        <w:rPr>
          <w:rFonts w:cstheme="minorHAnsi"/>
          <w:sz w:val="24"/>
          <w:szCs w:val="24"/>
        </w:rPr>
        <w:t>”</w:t>
      </w:r>
      <w:r w:rsidR="003C3469">
        <w:rPr>
          <w:rFonts w:cstheme="minorHAnsi"/>
          <w:sz w:val="24"/>
          <w:szCs w:val="24"/>
        </w:rPr>
        <w:t>,</w:t>
      </w:r>
      <w:r w:rsidR="003C3469" w:rsidRPr="003C3469">
        <w:rPr>
          <w:rFonts w:cstheme="minorHAnsi"/>
          <w:sz w:val="24"/>
          <w:szCs w:val="24"/>
        </w:rPr>
        <w:t xml:space="preserve"> </w:t>
      </w:r>
      <w:r w:rsidR="003C3469" w:rsidRPr="00244327">
        <w:rPr>
          <w:rFonts w:cstheme="minorHAnsi"/>
          <w:sz w:val="24"/>
          <w:szCs w:val="24"/>
        </w:rPr>
        <w:t xml:space="preserve">Priestley </w:t>
      </w:r>
      <w:r w:rsidR="003C3469">
        <w:rPr>
          <w:rFonts w:cstheme="minorHAnsi"/>
          <w:sz w:val="24"/>
          <w:szCs w:val="24"/>
        </w:rPr>
        <w:t>was proud to assert</w:t>
      </w:r>
      <w:r w:rsidRPr="00244327">
        <w:rPr>
          <w:rFonts w:cstheme="minorHAnsi"/>
          <w:sz w:val="24"/>
          <w:szCs w:val="24"/>
        </w:rPr>
        <w:t xml:space="preserve"> that </w:t>
      </w:r>
      <w:r w:rsidR="003C3469">
        <w:rPr>
          <w:rFonts w:cstheme="minorHAnsi"/>
          <w:sz w:val="24"/>
          <w:szCs w:val="24"/>
        </w:rPr>
        <w:t xml:space="preserve">his writings </w:t>
      </w:r>
      <w:r w:rsidRPr="00244327">
        <w:rPr>
          <w:rFonts w:cstheme="minorHAnsi"/>
          <w:sz w:val="24"/>
          <w:szCs w:val="24"/>
        </w:rPr>
        <w:t>communicat</w:t>
      </w:r>
      <w:r w:rsidR="003C3469">
        <w:rPr>
          <w:rFonts w:cstheme="minorHAnsi"/>
          <w:sz w:val="24"/>
          <w:szCs w:val="24"/>
        </w:rPr>
        <w:t>ed</w:t>
      </w:r>
      <w:r w:rsidRPr="00244327">
        <w:rPr>
          <w:rFonts w:cstheme="minorHAnsi"/>
          <w:sz w:val="24"/>
          <w:szCs w:val="24"/>
        </w:rPr>
        <w:t xml:space="preserve"> </w:t>
      </w:r>
      <w:r w:rsidR="003C3469">
        <w:rPr>
          <w:rFonts w:cstheme="minorHAnsi"/>
          <w:sz w:val="24"/>
          <w:szCs w:val="24"/>
        </w:rPr>
        <w:t xml:space="preserve">without </w:t>
      </w:r>
      <w:r w:rsidRPr="00244327">
        <w:rPr>
          <w:rFonts w:cstheme="minorHAnsi"/>
          <w:sz w:val="24"/>
          <w:szCs w:val="24"/>
        </w:rPr>
        <w:t>i</w:t>
      </w:r>
      <w:r>
        <w:rPr>
          <w:rFonts w:cstheme="minorHAnsi"/>
          <w:sz w:val="24"/>
          <w:szCs w:val="24"/>
        </w:rPr>
        <w:t>nterrupt</w:t>
      </w:r>
      <w:r w:rsidR="003C3469">
        <w:rPr>
          <w:rFonts w:cstheme="minorHAnsi"/>
          <w:sz w:val="24"/>
          <w:szCs w:val="24"/>
        </w:rPr>
        <w:t>ion from any</w:t>
      </w:r>
      <w:r>
        <w:rPr>
          <w:rFonts w:cstheme="minorHAnsi"/>
          <w:sz w:val="24"/>
          <w:szCs w:val="24"/>
        </w:rPr>
        <w:t xml:space="preserve"> medial noise.</w:t>
      </w:r>
      <w:r w:rsidRPr="00E12430">
        <w:rPr>
          <w:rStyle w:val="FootnoteReference"/>
          <w:rFonts w:cstheme="minorHAnsi"/>
          <w:sz w:val="20"/>
          <w:szCs w:val="20"/>
        </w:rPr>
        <w:footnoteReference w:id="15"/>
      </w:r>
    </w:p>
    <w:p w:rsidR="0008685E" w:rsidRPr="00244327" w:rsidRDefault="0008685E" w:rsidP="00315766">
      <w:pPr>
        <w:spacing w:line="480" w:lineRule="auto"/>
        <w:ind w:firstLine="540"/>
        <w:rPr>
          <w:rFonts w:cstheme="minorHAnsi"/>
          <w:sz w:val="24"/>
          <w:szCs w:val="24"/>
        </w:rPr>
      </w:pPr>
      <w:r w:rsidRPr="00244327">
        <w:rPr>
          <w:rFonts w:cstheme="minorHAnsi"/>
          <w:sz w:val="24"/>
          <w:szCs w:val="24"/>
        </w:rPr>
        <w:t xml:space="preserve">As such, </w:t>
      </w:r>
      <w:r w:rsidR="003C3469">
        <w:rPr>
          <w:rFonts w:cstheme="minorHAnsi"/>
          <w:sz w:val="24"/>
          <w:szCs w:val="24"/>
        </w:rPr>
        <w:t xml:space="preserve">his </w:t>
      </w:r>
      <w:r w:rsidRPr="00244327">
        <w:rPr>
          <w:rFonts w:cstheme="minorHAnsi"/>
          <w:sz w:val="24"/>
          <w:szCs w:val="24"/>
        </w:rPr>
        <w:t xml:space="preserve">writing is actually opposed to the fictive. Although </w:t>
      </w:r>
      <w:r w:rsidR="003C3469" w:rsidRPr="00244327">
        <w:rPr>
          <w:rFonts w:cstheme="minorHAnsi"/>
          <w:sz w:val="24"/>
          <w:szCs w:val="24"/>
        </w:rPr>
        <w:t>Priestley</w:t>
      </w:r>
      <w:r w:rsidRPr="00244327">
        <w:rPr>
          <w:rFonts w:cstheme="minorHAnsi"/>
          <w:sz w:val="24"/>
          <w:szCs w:val="24"/>
        </w:rPr>
        <w:t xml:space="preserve"> says in the memoir he began in the 1780s</w:t>
      </w:r>
      <w:r w:rsidRPr="00244327">
        <w:rPr>
          <w:sz w:val="24"/>
          <w:szCs w:val="24"/>
        </w:rPr>
        <w:t xml:space="preserve"> </w:t>
      </w:r>
      <w:r w:rsidRPr="00244327">
        <w:rPr>
          <w:rFonts w:cstheme="minorHAnsi"/>
          <w:sz w:val="24"/>
          <w:szCs w:val="24"/>
        </w:rPr>
        <w:t xml:space="preserve">that </w:t>
      </w:r>
      <w:r w:rsidR="003C3469">
        <w:rPr>
          <w:rFonts w:cstheme="minorHAnsi"/>
          <w:sz w:val="24"/>
          <w:szCs w:val="24"/>
        </w:rPr>
        <w:t>“</w:t>
      </w:r>
      <w:r w:rsidR="000F59B3">
        <w:rPr>
          <w:rFonts w:cstheme="minorHAnsi"/>
          <w:sz w:val="24"/>
          <w:szCs w:val="24"/>
        </w:rPr>
        <w:t>i</w:t>
      </w:r>
      <w:r w:rsidRPr="00244327">
        <w:rPr>
          <w:rFonts w:cstheme="minorHAnsi"/>
          <w:sz w:val="24"/>
          <w:szCs w:val="24"/>
        </w:rPr>
        <w:t>n the early part of my life I was a great versifier</w:t>
      </w:r>
      <w:r w:rsidR="003C3469">
        <w:rPr>
          <w:rFonts w:cstheme="minorHAnsi"/>
          <w:sz w:val="24"/>
          <w:szCs w:val="24"/>
        </w:rPr>
        <w:t>”</w:t>
      </w:r>
      <w:r w:rsidRPr="00244327">
        <w:rPr>
          <w:rFonts w:cstheme="minorHAnsi"/>
          <w:sz w:val="24"/>
          <w:szCs w:val="24"/>
        </w:rPr>
        <w:t xml:space="preserve">, and his first published work was </w:t>
      </w:r>
      <w:r w:rsidR="00275061">
        <w:rPr>
          <w:rFonts w:cstheme="minorHAnsi"/>
          <w:sz w:val="24"/>
          <w:szCs w:val="24"/>
        </w:rPr>
        <w:t xml:space="preserve">actually </w:t>
      </w:r>
      <w:r w:rsidRPr="00244327">
        <w:rPr>
          <w:rFonts w:cstheme="minorHAnsi"/>
          <w:sz w:val="24"/>
          <w:szCs w:val="24"/>
        </w:rPr>
        <w:t>a poem (</w:t>
      </w:r>
      <w:r w:rsidRPr="00244327">
        <w:rPr>
          <w:rFonts w:cstheme="minorHAnsi"/>
          <w:i/>
          <w:iCs/>
          <w:sz w:val="24"/>
          <w:szCs w:val="24"/>
        </w:rPr>
        <w:t>Works</w:t>
      </w:r>
      <w:r w:rsidRPr="00244327">
        <w:rPr>
          <w:rFonts w:cstheme="minorHAnsi"/>
          <w:sz w:val="24"/>
          <w:szCs w:val="24"/>
        </w:rPr>
        <w:t xml:space="preserve"> 1.i. 54), he also recalls having had the puritan’s </w:t>
      </w:r>
      <w:r w:rsidR="00315766">
        <w:rPr>
          <w:rFonts w:cstheme="minorHAnsi"/>
          <w:sz w:val="24"/>
          <w:szCs w:val="24"/>
        </w:rPr>
        <w:t>“</w:t>
      </w:r>
      <w:r w:rsidRPr="00244327">
        <w:rPr>
          <w:rFonts w:cstheme="minorHAnsi"/>
          <w:sz w:val="24"/>
          <w:szCs w:val="24"/>
        </w:rPr>
        <w:t>great aversion</w:t>
      </w:r>
      <w:r w:rsidR="00315766">
        <w:rPr>
          <w:rFonts w:cstheme="minorHAnsi"/>
          <w:sz w:val="24"/>
          <w:szCs w:val="24"/>
        </w:rPr>
        <w:t>”</w:t>
      </w:r>
      <w:r w:rsidRPr="00244327">
        <w:rPr>
          <w:rFonts w:cstheme="minorHAnsi"/>
          <w:sz w:val="24"/>
          <w:szCs w:val="24"/>
        </w:rPr>
        <w:t xml:space="preserve"> to fiction</w:t>
      </w:r>
      <w:r w:rsidR="003C3469" w:rsidRPr="003C3469">
        <w:rPr>
          <w:rFonts w:cstheme="minorHAnsi"/>
          <w:sz w:val="24"/>
          <w:szCs w:val="24"/>
        </w:rPr>
        <w:t xml:space="preserve"> </w:t>
      </w:r>
      <w:r w:rsidR="003C3469" w:rsidRPr="00244327">
        <w:rPr>
          <w:rFonts w:cstheme="minorHAnsi"/>
          <w:sz w:val="24"/>
          <w:szCs w:val="24"/>
        </w:rPr>
        <w:t>from childhood</w:t>
      </w:r>
      <w:r w:rsidRPr="00244327">
        <w:rPr>
          <w:rFonts w:cstheme="minorHAnsi"/>
          <w:sz w:val="24"/>
          <w:szCs w:val="24"/>
        </w:rPr>
        <w:t>, priggishly throwing away</w:t>
      </w:r>
      <w:r w:rsidR="003C3469">
        <w:rPr>
          <w:rFonts w:cstheme="minorHAnsi"/>
          <w:sz w:val="24"/>
          <w:szCs w:val="24"/>
        </w:rPr>
        <w:t xml:space="preserve"> the</w:t>
      </w:r>
      <w:r w:rsidRPr="00244327">
        <w:rPr>
          <w:rFonts w:cstheme="minorHAnsi"/>
          <w:sz w:val="24"/>
          <w:szCs w:val="24"/>
        </w:rPr>
        <w:t xml:space="preserve"> </w:t>
      </w:r>
      <w:r w:rsidR="003C3469" w:rsidRPr="00244327">
        <w:rPr>
          <w:rFonts w:cstheme="minorHAnsi"/>
          <w:sz w:val="24"/>
          <w:szCs w:val="24"/>
        </w:rPr>
        <w:t xml:space="preserve">book </w:t>
      </w:r>
      <w:r w:rsidR="003C3469">
        <w:rPr>
          <w:rFonts w:cstheme="minorHAnsi"/>
          <w:sz w:val="24"/>
          <w:szCs w:val="24"/>
        </w:rPr>
        <w:t xml:space="preserve">of chivalric tales </w:t>
      </w:r>
      <w:r w:rsidRPr="00244327">
        <w:rPr>
          <w:rFonts w:cstheme="minorHAnsi"/>
          <w:sz w:val="24"/>
          <w:szCs w:val="24"/>
        </w:rPr>
        <w:t>his brother</w:t>
      </w:r>
      <w:r w:rsidR="003C3469">
        <w:rPr>
          <w:rFonts w:cstheme="minorHAnsi"/>
          <w:sz w:val="24"/>
          <w:szCs w:val="24"/>
        </w:rPr>
        <w:t xml:space="preserve"> was enjoying</w:t>
      </w:r>
      <w:r w:rsidRPr="00244327">
        <w:rPr>
          <w:rFonts w:cstheme="minorHAnsi"/>
          <w:sz w:val="24"/>
          <w:szCs w:val="24"/>
        </w:rPr>
        <w:t xml:space="preserve">. Like Rousseau’s </w:t>
      </w:r>
      <w:proofErr w:type="spellStart"/>
      <w:r w:rsidRPr="00244327">
        <w:rPr>
          <w:rFonts w:cstheme="minorHAnsi"/>
          <w:sz w:val="24"/>
          <w:szCs w:val="24"/>
        </w:rPr>
        <w:t>Émile</w:t>
      </w:r>
      <w:proofErr w:type="spellEnd"/>
      <w:r w:rsidRPr="00244327">
        <w:rPr>
          <w:rFonts w:cstheme="minorHAnsi"/>
          <w:sz w:val="24"/>
          <w:szCs w:val="24"/>
        </w:rPr>
        <w:t xml:space="preserve">, the young Priestley read only </w:t>
      </w:r>
      <w:r w:rsidRPr="00244327">
        <w:rPr>
          <w:rFonts w:cstheme="minorHAnsi"/>
          <w:i/>
          <w:sz w:val="24"/>
          <w:szCs w:val="24"/>
        </w:rPr>
        <w:t>Robinson Crusoe</w:t>
      </w:r>
      <w:r w:rsidRPr="00244327">
        <w:rPr>
          <w:rFonts w:cstheme="minorHAnsi"/>
          <w:sz w:val="24"/>
          <w:szCs w:val="24"/>
        </w:rPr>
        <w:t xml:space="preserve">, before progressing to </w:t>
      </w:r>
      <w:r w:rsidR="00275061">
        <w:rPr>
          <w:rFonts w:cstheme="minorHAnsi"/>
          <w:sz w:val="24"/>
          <w:szCs w:val="24"/>
        </w:rPr>
        <w:t xml:space="preserve">David </w:t>
      </w:r>
      <w:r w:rsidRPr="00244327">
        <w:rPr>
          <w:rFonts w:cstheme="minorHAnsi"/>
          <w:sz w:val="24"/>
          <w:szCs w:val="24"/>
        </w:rPr>
        <w:t xml:space="preserve">Hartley’s </w:t>
      </w:r>
      <w:r w:rsidRPr="00244327">
        <w:rPr>
          <w:rFonts w:cstheme="minorHAnsi"/>
          <w:i/>
          <w:sz w:val="24"/>
          <w:szCs w:val="24"/>
        </w:rPr>
        <w:t>Observations on Man</w:t>
      </w:r>
      <w:r w:rsidRPr="00244327">
        <w:rPr>
          <w:rFonts w:cstheme="minorHAnsi"/>
          <w:sz w:val="24"/>
          <w:szCs w:val="24"/>
        </w:rPr>
        <w:t xml:space="preserve"> as a book suitable for grownups (</w:t>
      </w:r>
      <w:r w:rsidRPr="00244327">
        <w:rPr>
          <w:rFonts w:cstheme="minorHAnsi"/>
          <w:i/>
          <w:iCs/>
          <w:sz w:val="24"/>
          <w:szCs w:val="24"/>
        </w:rPr>
        <w:t>Works</w:t>
      </w:r>
      <w:r w:rsidRPr="00244327">
        <w:rPr>
          <w:rFonts w:cstheme="minorHAnsi"/>
          <w:sz w:val="24"/>
          <w:szCs w:val="24"/>
        </w:rPr>
        <w:t xml:space="preserve"> 1.i. 19).</w:t>
      </w:r>
    </w:p>
    <w:p w:rsidR="0008685E" w:rsidRPr="00422D87" w:rsidRDefault="0008685E" w:rsidP="00315766">
      <w:pPr>
        <w:widowControl w:val="0"/>
        <w:spacing w:line="480" w:lineRule="auto"/>
        <w:ind w:firstLine="547"/>
        <w:rPr>
          <w:rFonts w:ascii="Calibri" w:eastAsia="SimSun" w:hAnsi="Calibri" w:cs="Calibri"/>
          <w:sz w:val="24"/>
          <w:szCs w:val="24"/>
          <w:lang w:eastAsia="en-GB"/>
        </w:rPr>
      </w:pPr>
      <w:r w:rsidRPr="00244327">
        <w:rPr>
          <w:rFonts w:cstheme="minorHAnsi"/>
          <w:sz w:val="24"/>
          <w:szCs w:val="24"/>
        </w:rPr>
        <w:t xml:space="preserve">Later, Priestley </w:t>
      </w:r>
      <w:r>
        <w:rPr>
          <w:rFonts w:cstheme="minorHAnsi"/>
          <w:sz w:val="24"/>
          <w:szCs w:val="24"/>
        </w:rPr>
        <w:t>wa</w:t>
      </w:r>
      <w:r w:rsidRPr="00244327">
        <w:rPr>
          <w:rFonts w:cstheme="minorHAnsi"/>
          <w:sz w:val="24"/>
          <w:szCs w:val="24"/>
        </w:rPr>
        <w:t xml:space="preserve">s unashamed that his book on electrical experiments was a </w:t>
      </w:r>
      <w:r w:rsidR="00315766">
        <w:rPr>
          <w:rFonts w:cstheme="minorHAnsi"/>
          <w:sz w:val="24"/>
          <w:szCs w:val="24"/>
        </w:rPr>
        <w:t>“</w:t>
      </w:r>
      <w:r w:rsidRPr="00244327">
        <w:rPr>
          <w:rFonts w:cstheme="minorHAnsi"/>
          <w:sz w:val="24"/>
          <w:szCs w:val="24"/>
        </w:rPr>
        <w:t>hasty performance</w:t>
      </w:r>
      <w:r w:rsidR="00315766">
        <w:rPr>
          <w:rFonts w:cstheme="minorHAnsi"/>
          <w:sz w:val="24"/>
          <w:szCs w:val="24"/>
        </w:rPr>
        <w:t>”</w:t>
      </w:r>
      <w:r w:rsidRPr="00244327">
        <w:rPr>
          <w:rFonts w:cstheme="minorHAnsi"/>
          <w:sz w:val="24"/>
          <w:szCs w:val="24"/>
        </w:rPr>
        <w:t xml:space="preserve"> because, he sa</w:t>
      </w:r>
      <w:r>
        <w:rPr>
          <w:rFonts w:cstheme="minorHAnsi"/>
          <w:sz w:val="24"/>
          <w:szCs w:val="24"/>
        </w:rPr>
        <w:t>id</w:t>
      </w:r>
      <w:r w:rsidRPr="00244327">
        <w:rPr>
          <w:rFonts w:cstheme="minorHAnsi"/>
          <w:sz w:val="24"/>
          <w:szCs w:val="24"/>
        </w:rPr>
        <w:t xml:space="preserve">, </w:t>
      </w:r>
      <w:r w:rsidR="00315766">
        <w:rPr>
          <w:rFonts w:cstheme="minorHAnsi"/>
          <w:sz w:val="24"/>
          <w:szCs w:val="24"/>
        </w:rPr>
        <w:t>“</w:t>
      </w:r>
      <w:r w:rsidRPr="00244327">
        <w:rPr>
          <w:rFonts w:cstheme="minorHAnsi"/>
          <w:sz w:val="24"/>
          <w:szCs w:val="24"/>
        </w:rPr>
        <w:t>My object was not to acquire the character of a fine writer, but of a useful one</w:t>
      </w:r>
      <w:r w:rsidR="00315766">
        <w:rPr>
          <w:rFonts w:cstheme="minorHAnsi"/>
          <w:sz w:val="24"/>
          <w:szCs w:val="24"/>
        </w:rPr>
        <w:t>”</w:t>
      </w:r>
      <w:r w:rsidRPr="00244327">
        <w:rPr>
          <w:rFonts w:cstheme="minorHAnsi"/>
          <w:sz w:val="24"/>
          <w:szCs w:val="24"/>
        </w:rPr>
        <w:t xml:space="preserve"> (</w:t>
      </w:r>
      <w:r w:rsidRPr="00244327">
        <w:rPr>
          <w:rFonts w:cstheme="minorHAnsi"/>
          <w:i/>
          <w:iCs/>
          <w:sz w:val="24"/>
          <w:szCs w:val="24"/>
        </w:rPr>
        <w:t>Works</w:t>
      </w:r>
      <w:r w:rsidRPr="00244327">
        <w:rPr>
          <w:rFonts w:cstheme="minorHAnsi"/>
          <w:sz w:val="24"/>
          <w:szCs w:val="24"/>
        </w:rPr>
        <w:t xml:space="preserve">, 1.i. 56-57).  Fine writing can indeed be a cloak for a dangerous, even </w:t>
      </w:r>
      <w:proofErr w:type="spellStart"/>
      <w:r w:rsidRPr="00244327">
        <w:rPr>
          <w:rFonts w:cstheme="minorHAnsi"/>
          <w:sz w:val="24"/>
          <w:szCs w:val="24"/>
        </w:rPr>
        <w:t>atheistical</w:t>
      </w:r>
      <w:proofErr w:type="spellEnd"/>
      <w:r w:rsidRPr="00244327">
        <w:rPr>
          <w:rFonts w:cstheme="minorHAnsi"/>
          <w:sz w:val="24"/>
          <w:szCs w:val="24"/>
        </w:rPr>
        <w:t xml:space="preserve"> suspension of certain knowledge, as is evident from the eleventh of his </w:t>
      </w:r>
      <w:r w:rsidRPr="00244327">
        <w:rPr>
          <w:rFonts w:cstheme="minorHAnsi"/>
          <w:i/>
          <w:sz w:val="24"/>
          <w:szCs w:val="24"/>
        </w:rPr>
        <w:t>Letters to a Philosophical Unbeliever</w:t>
      </w:r>
      <w:r w:rsidRPr="00244327">
        <w:rPr>
          <w:rFonts w:cstheme="minorHAnsi"/>
          <w:sz w:val="24"/>
          <w:szCs w:val="24"/>
        </w:rPr>
        <w:t xml:space="preserve">, in which Priestley criticises </w:t>
      </w:r>
      <w:r>
        <w:rPr>
          <w:rFonts w:cstheme="minorHAnsi"/>
          <w:sz w:val="24"/>
          <w:szCs w:val="24"/>
        </w:rPr>
        <w:t xml:space="preserve">David </w:t>
      </w:r>
      <w:r w:rsidRPr="00244327">
        <w:rPr>
          <w:rFonts w:cstheme="minorHAnsi"/>
          <w:sz w:val="24"/>
          <w:szCs w:val="24"/>
        </w:rPr>
        <w:t xml:space="preserve">Hume </w:t>
      </w:r>
      <w:r w:rsidR="00275061">
        <w:rPr>
          <w:rFonts w:cstheme="minorHAnsi"/>
          <w:sz w:val="24"/>
          <w:szCs w:val="24"/>
        </w:rPr>
        <w:t>“</w:t>
      </w:r>
      <w:r w:rsidRPr="00244327">
        <w:rPr>
          <w:rFonts w:cstheme="minorHAnsi"/>
          <w:sz w:val="24"/>
          <w:szCs w:val="24"/>
        </w:rPr>
        <w:t xml:space="preserve">as a mere </w:t>
      </w:r>
      <w:r w:rsidRPr="00244327">
        <w:rPr>
          <w:rFonts w:cstheme="minorHAnsi"/>
          <w:i/>
          <w:sz w:val="24"/>
          <w:szCs w:val="24"/>
        </w:rPr>
        <w:t>writer</w:t>
      </w:r>
      <w:r w:rsidRPr="00244327">
        <w:rPr>
          <w:rFonts w:cstheme="minorHAnsi"/>
          <w:sz w:val="24"/>
          <w:szCs w:val="24"/>
        </w:rPr>
        <w:t xml:space="preserve"> or </w:t>
      </w:r>
      <w:r w:rsidRPr="00244327">
        <w:rPr>
          <w:rFonts w:cstheme="minorHAnsi"/>
          <w:i/>
          <w:sz w:val="24"/>
          <w:szCs w:val="24"/>
        </w:rPr>
        <w:t>declaimer</w:t>
      </w:r>
      <w:r w:rsidR="00275061">
        <w:rPr>
          <w:rFonts w:cstheme="minorHAnsi"/>
          <w:sz w:val="24"/>
          <w:szCs w:val="24"/>
        </w:rPr>
        <w:t>”</w:t>
      </w:r>
      <w:r w:rsidRPr="00244327">
        <w:rPr>
          <w:rFonts w:cstheme="minorHAnsi"/>
          <w:sz w:val="24"/>
          <w:szCs w:val="24"/>
        </w:rPr>
        <w:t xml:space="preserve">. What he calls the </w:t>
      </w:r>
      <w:r w:rsidR="00275061">
        <w:rPr>
          <w:rFonts w:cstheme="minorHAnsi"/>
          <w:sz w:val="24"/>
          <w:szCs w:val="24"/>
        </w:rPr>
        <w:t>“</w:t>
      </w:r>
      <w:r w:rsidRPr="00244327">
        <w:rPr>
          <w:rFonts w:cstheme="minorHAnsi"/>
          <w:sz w:val="24"/>
          <w:szCs w:val="24"/>
        </w:rPr>
        <w:t>wire-drawn</w:t>
      </w:r>
      <w:r w:rsidR="00275061">
        <w:rPr>
          <w:rFonts w:cstheme="minorHAnsi"/>
          <w:sz w:val="24"/>
          <w:szCs w:val="24"/>
        </w:rPr>
        <w:t>”</w:t>
      </w:r>
      <w:r w:rsidRPr="00244327">
        <w:rPr>
          <w:rFonts w:cstheme="minorHAnsi"/>
          <w:sz w:val="24"/>
          <w:szCs w:val="24"/>
        </w:rPr>
        <w:t xml:space="preserve"> style of </w:t>
      </w:r>
      <w:proofErr w:type="spellStart"/>
      <w:r w:rsidRPr="00244327">
        <w:rPr>
          <w:rFonts w:cstheme="minorHAnsi"/>
          <w:sz w:val="24"/>
          <w:szCs w:val="24"/>
        </w:rPr>
        <w:t>Hume</w:t>
      </w:r>
      <w:r w:rsidR="00275061">
        <w:rPr>
          <w:rFonts w:cstheme="minorHAnsi"/>
          <w:sz w:val="24"/>
          <w:szCs w:val="24"/>
        </w:rPr>
        <w:t>”</w:t>
      </w:r>
      <w:r w:rsidRPr="00244327">
        <w:rPr>
          <w:rFonts w:cstheme="minorHAnsi"/>
          <w:sz w:val="24"/>
          <w:szCs w:val="24"/>
        </w:rPr>
        <w:t>s</w:t>
      </w:r>
      <w:proofErr w:type="spellEnd"/>
      <w:r w:rsidRPr="00244327">
        <w:rPr>
          <w:rFonts w:cstheme="minorHAnsi"/>
          <w:sz w:val="24"/>
          <w:szCs w:val="24"/>
        </w:rPr>
        <w:t xml:space="preserve"> essays is a medium of elongation or suspension rather than a medium through which conviction can be achieved; and at worst it is the vehicle of an irresponsible scepticism: </w:t>
      </w:r>
      <w:r w:rsidR="00275061">
        <w:rPr>
          <w:rFonts w:cstheme="minorHAnsi"/>
          <w:sz w:val="24"/>
          <w:szCs w:val="24"/>
        </w:rPr>
        <w:t>“</w:t>
      </w:r>
      <w:r w:rsidRPr="00244327">
        <w:rPr>
          <w:rFonts w:cstheme="minorHAnsi"/>
          <w:sz w:val="24"/>
          <w:szCs w:val="24"/>
        </w:rPr>
        <w:t>Mr Hume seems to have had nothing in view but to amuse his readers, which he generally does agreeably enough; proposing doubts to received hypotheses, leaving them without any solution and altogether unconcerned about it</w:t>
      </w:r>
      <w:r w:rsidR="00275061">
        <w:rPr>
          <w:rFonts w:cstheme="minorHAnsi"/>
          <w:sz w:val="24"/>
          <w:szCs w:val="24"/>
        </w:rPr>
        <w:t>”</w:t>
      </w:r>
      <w:r w:rsidRPr="00244327">
        <w:rPr>
          <w:rFonts w:cstheme="minorHAnsi"/>
          <w:sz w:val="24"/>
          <w:szCs w:val="24"/>
        </w:rPr>
        <w:t>.</w:t>
      </w:r>
      <w:r w:rsidRPr="00992620">
        <w:rPr>
          <w:rFonts w:cstheme="minorHAnsi"/>
          <w:sz w:val="20"/>
          <w:szCs w:val="20"/>
          <w:vertAlign w:val="superscript"/>
        </w:rPr>
        <w:footnoteReference w:id="16"/>
      </w:r>
      <w:r w:rsidRPr="00244327">
        <w:rPr>
          <w:rFonts w:cstheme="minorHAnsi"/>
          <w:sz w:val="24"/>
          <w:szCs w:val="24"/>
        </w:rPr>
        <w:t xml:space="preserve">  </w:t>
      </w:r>
      <w:r w:rsidRPr="00422D87">
        <w:rPr>
          <w:rFonts w:ascii="Calibri" w:eastAsia="SimSun" w:hAnsi="Calibri" w:cs="Calibri"/>
          <w:sz w:val="24"/>
          <w:szCs w:val="24"/>
          <w:lang w:eastAsia="en-GB"/>
        </w:rPr>
        <w:t xml:space="preserve">Hume’s style is fuelled by the desire </w:t>
      </w:r>
      <w:r w:rsidR="00275061">
        <w:rPr>
          <w:rFonts w:ascii="Calibri" w:eastAsia="SimSun" w:hAnsi="Calibri" w:cs="Calibri"/>
          <w:sz w:val="24"/>
          <w:szCs w:val="24"/>
          <w:lang w:eastAsia="en-GB"/>
        </w:rPr>
        <w:t>“</w:t>
      </w:r>
      <w:r w:rsidRPr="00422D87">
        <w:rPr>
          <w:rFonts w:ascii="Calibri" w:eastAsia="SimSun" w:hAnsi="Calibri" w:cs="Calibri"/>
          <w:sz w:val="24"/>
          <w:szCs w:val="24"/>
          <w:lang w:eastAsia="en-GB"/>
        </w:rPr>
        <w:t>to amuse</w:t>
      </w:r>
      <w:r w:rsidR="00275061">
        <w:rPr>
          <w:rFonts w:ascii="Calibri" w:eastAsia="SimSun" w:hAnsi="Calibri" w:cs="Calibri"/>
          <w:sz w:val="24"/>
          <w:szCs w:val="24"/>
          <w:lang w:eastAsia="en-GB"/>
        </w:rPr>
        <w:t>”</w:t>
      </w:r>
      <w:r w:rsidRPr="00422D87">
        <w:rPr>
          <w:rFonts w:ascii="Calibri" w:eastAsia="SimSun" w:hAnsi="Calibri" w:cs="Calibri"/>
          <w:sz w:val="24"/>
          <w:szCs w:val="24"/>
          <w:lang w:eastAsia="en-GB"/>
        </w:rPr>
        <w:t xml:space="preserve"> rather than </w:t>
      </w:r>
      <w:r>
        <w:rPr>
          <w:rFonts w:ascii="Calibri" w:eastAsia="SimSun" w:hAnsi="Calibri" w:cs="Calibri"/>
          <w:sz w:val="24"/>
          <w:szCs w:val="24"/>
          <w:lang w:eastAsia="en-GB"/>
        </w:rPr>
        <w:t xml:space="preserve">being </w:t>
      </w:r>
      <w:r w:rsidRPr="00422D87">
        <w:rPr>
          <w:rFonts w:ascii="Calibri" w:eastAsia="SimSun" w:hAnsi="Calibri" w:cs="Calibri"/>
          <w:sz w:val="24"/>
          <w:szCs w:val="24"/>
          <w:lang w:eastAsia="en-GB"/>
        </w:rPr>
        <w:t xml:space="preserve">a quest for </w:t>
      </w:r>
      <w:r w:rsidR="00275061">
        <w:rPr>
          <w:rFonts w:ascii="Calibri" w:eastAsia="SimSun" w:hAnsi="Calibri" w:cs="Calibri"/>
          <w:sz w:val="24"/>
          <w:szCs w:val="24"/>
          <w:lang w:eastAsia="en-GB"/>
        </w:rPr>
        <w:t>“</w:t>
      </w:r>
      <w:r w:rsidRPr="00422D87">
        <w:rPr>
          <w:rFonts w:ascii="Calibri" w:eastAsia="SimSun" w:hAnsi="Calibri" w:cs="Calibri"/>
          <w:sz w:val="24"/>
          <w:szCs w:val="24"/>
          <w:lang w:eastAsia="en-GB"/>
        </w:rPr>
        <w:t>solutions</w:t>
      </w:r>
      <w:r w:rsidR="00275061">
        <w:rPr>
          <w:rFonts w:ascii="Calibri" w:eastAsia="SimSun" w:hAnsi="Calibri" w:cs="Calibri"/>
          <w:sz w:val="24"/>
          <w:szCs w:val="24"/>
          <w:lang w:eastAsia="en-GB"/>
        </w:rPr>
        <w:t>”</w:t>
      </w:r>
      <w:r w:rsidRPr="00422D87">
        <w:rPr>
          <w:rFonts w:ascii="Calibri" w:eastAsia="SimSun" w:hAnsi="Calibri" w:cs="Calibri"/>
          <w:sz w:val="24"/>
          <w:szCs w:val="24"/>
          <w:lang w:eastAsia="en-GB"/>
        </w:rPr>
        <w:t xml:space="preserve">; what is needed, Priestley insists, is new certainty and not speculations. </w:t>
      </w:r>
    </w:p>
    <w:p w:rsidR="0008685E" w:rsidRPr="00244327" w:rsidRDefault="0008685E" w:rsidP="00C61EF0">
      <w:pPr>
        <w:spacing w:line="480" w:lineRule="auto"/>
        <w:ind w:firstLine="540"/>
        <w:rPr>
          <w:rFonts w:cs="Arial"/>
          <w:sz w:val="24"/>
          <w:szCs w:val="24"/>
        </w:rPr>
      </w:pPr>
      <w:r w:rsidRPr="00244327">
        <w:rPr>
          <w:rFonts w:cstheme="minorHAnsi"/>
          <w:sz w:val="24"/>
          <w:szCs w:val="24"/>
        </w:rPr>
        <w:t xml:space="preserve">The other characteristic of the instrumentalism of Priestley’s writing is that it </w:t>
      </w:r>
      <w:r w:rsidR="00275061">
        <w:rPr>
          <w:rFonts w:cstheme="minorHAnsi"/>
          <w:sz w:val="24"/>
          <w:szCs w:val="24"/>
        </w:rPr>
        <w:t xml:space="preserve">hardly </w:t>
      </w:r>
      <w:r w:rsidRPr="00244327">
        <w:rPr>
          <w:rFonts w:cstheme="minorHAnsi"/>
          <w:sz w:val="24"/>
          <w:szCs w:val="24"/>
        </w:rPr>
        <w:t xml:space="preserve">varies according to the audience he is addressing.  Of course he is most explicit about the disabilities Dissenters suffered when addressing </w:t>
      </w:r>
      <w:r w:rsidR="00C61EF0">
        <w:rPr>
          <w:rFonts w:cstheme="minorHAnsi"/>
          <w:sz w:val="24"/>
          <w:szCs w:val="24"/>
        </w:rPr>
        <w:t xml:space="preserve">fellow </w:t>
      </w:r>
      <w:r w:rsidRPr="00244327">
        <w:rPr>
          <w:rFonts w:cstheme="minorHAnsi"/>
          <w:sz w:val="24"/>
          <w:szCs w:val="24"/>
        </w:rPr>
        <w:t xml:space="preserve">Dissenters and is only explicit about the disastrousness of Britain’s policy towards the United States when he is living there, but aside from what might be seen only   as expediency, not much alters when Priestley addresses different audiences: his </w:t>
      </w:r>
      <w:r w:rsidRPr="00244327">
        <w:rPr>
          <w:rFonts w:cstheme="minorHAnsi"/>
          <w:i/>
          <w:sz w:val="24"/>
          <w:szCs w:val="24"/>
        </w:rPr>
        <w:t>Institutes of Natural and Revealed Religion</w:t>
      </w:r>
      <w:r w:rsidR="001C4339" w:rsidRPr="001C4339">
        <w:rPr>
          <w:rFonts w:ascii="Calibri" w:eastAsia="SimSun" w:hAnsi="Calibri" w:cs="Arial"/>
          <w:i/>
          <w:iCs/>
          <w:sz w:val="24"/>
          <w:szCs w:val="24"/>
          <w:lang w:eastAsia="en-GB"/>
        </w:rPr>
        <w:t xml:space="preserve"> </w:t>
      </w:r>
      <w:r w:rsidR="001C4339" w:rsidRPr="00660A2C">
        <w:rPr>
          <w:rFonts w:ascii="Calibri" w:eastAsia="SimSun" w:hAnsi="Calibri" w:cs="Arial"/>
          <w:i/>
          <w:iCs/>
          <w:sz w:val="24"/>
          <w:szCs w:val="24"/>
          <w:lang w:eastAsia="en-GB"/>
        </w:rPr>
        <w:t>of Natural and Revealed Religion</w:t>
      </w:r>
      <w:r w:rsidR="001C4339" w:rsidRPr="00660A2C">
        <w:rPr>
          <w:rFonts w:ascii="Calibri" w:eastAsia="SimSun" w:hAnsi="Calibri" w:cs="Arial"/>
          <w:sz w:val="24"/>
          <w:szCs w:val="24"/>
          <w:lang w:eastAsia="en-GB"/>
        </w:rPr>
        <w:t xml:space="preserve"> (1782)</w:t>
      </w:r>
      <w:r w:rsidRPr="00244327">
        <w:rPr>
          <w:rFonts w:cstheme="minorHAnsi"/>
          <w:i/>
          <w:sz w:val="24"/>
          <w:szCs w:val="24"/>
        </w:rPr>
        <w:t>,</w:t>
      </w:r>
      <w:r w:rsidRPr="00244327">
        <w:rPr>
          <w:rFonts w:cstheme="minorHAnsi"/>
          <w:sz w:val="24"/>
          <w:szCs w:val="24"/>
        </w:rPr>
        <w:t xml:space="preserve"> </w:t>
      </w:r>
      <w:r w:rsidR="00C61EF0" w:rsidRPr="00C61EF0">
        <w:rPr>
          <w:rFonts w:cstheme="minorHAnsi"/>
          <w:sz w:val="24"/>
          <w:szCs w:val="24"/>
        </w:rPr>
        <w:t>for example,</w:t>
      </w:r>
      <w:r w:rsidR="00C61EF0" w:rsidRPr="00C61EF0">
        <w:rPr>
          <w:rFonts w:cstheme="minorHAnsi"/>
          <w:sz w:val="24"/>
          <w:szCs w:val="24"/>
          <w:vertAlign w:val="superscript"/>
        </w:rPr>
        <w:t xml:space="preserve"> </w:t>
      </w:r>
      <w:r w:rsidR="00C61EF0" w:rsidRPr="00C61EF0">
        <w:rPr>
          <w:rFonts w:cstheme="minorHAnsi"/>
          <w:sz w:val="24"/>
          <w:szCs w:val="24"/>
        </w:rPr>
        <w:t>makes few concessions to the child readers at whom it is ostensibly aimed</w:t>
      </w:r>
      <w:r w:rsidRPr="00C61EF0">
        <w:rPr>
          <w:rFonts w:cstheme="minorHAnsi"/>
          <w:sz w:val="24"/>
          <w:szCs w:val="24"/>
        </w:rPr>
        <w:t>.</w:t>
      </w:r>
      <w:r w:rsidRPr="00992620">
        <w:rPr>
          <w:rFonts w:cstheme="minorHAnsi"/>
          <w:sz w:val="20"/>
          <w:szCs w:val="20"/>
          <w:vertAlign w:val="superscript"/>
        </w:rPr>
        <w:footnoteReference w:id="17"/>
      </w:r>
      <w:r w:rsidRPr="00244327">
        <w:rPr>
          <w:rFonts w:cstheme="minorHAnsi"/>
          <w:sz w:val="24"/>
          <w:szCs w:val="24"/>
        </w:rPr>
        <w:t xml:space="preserve">   </w:t>
      </w:r>
    </w:p>
    <w:p w:rsidR="0008685E" w:rsidRPr="00244327" w:rsidRDefault="0008685E" w:rsidP="001C16FE">
      <w:pPr>
        <w:widowControl w:val="0"/>
        <w:spacing w:after="120" w:line="480" w:lineRule="auto"/>
        <w:ind w:firstLine="547"/>
        <w:rPr>
          <w:rFonts w:cstheme="minorHAnsi"/>
          <w:sz w:val="24"/>
          <w:szCs w:val="24"/>
        </w:rPr>
      </w:pPr>
      <w:r w:rsidRPr="00244327">
        <w:rPr>
          <w:rFonts w:cstheme="minorHAnsi"/>
          <w:sz w:val="24"/>
          <w:szCs w:val="24"/>
        </w:rPr>
        <w:t xml:space="preserve">That Priestley’s writing should have been similar no matter who the audience addressed was perhaps the result of a hopeful conviction that those addressed were basically similar.  </w:t>
      </w:r>
      <w:r w:rsidRPr="00B321C6">
        <w:rPr>
          <w:rFonts w:cstheme="minorHAnsi"/>
          <w:sz w:val="24"/>
          <w:szCs w:val="24"/>
        </w:rPr>
        <w:t>The number of readers was not large; Priestley’s brother Timothy recalls asking Joseph</w:t>
      </w:r>
      <w:r w:rsidR="006704B4">
        <w:rPr>
          <w:rFonts w:cstheme="minorHAnsi"/>
          <w:sz w:val="24"/>
          <w:szCs w:val="24"/>
        </w:rPr>
        <w:t xml:space="preserve"> if he had</w:t>
      </w:r>
      <w:r w:rsidRPr="00B321C6">
        <w:rPr>
          <w:rFonts w:cstheme="minorHAnsi"/>
          <w:sz w:val="24"/>
          <w:szCs w:val="24"/>
        </w:rPr>
        <w:t xml:space="preserve"> twenty</w:t>
      </w:r>
      <w:r w:rsidR="006704B4">
        <w:rPr>
          <w:rFonts w:cstheme="minorHAnsi"/>
          <w:sz w:val="24"/>
          <w:szCs w:val="24"/>
        </w:rPr>
        <w:t xml:space="preserve"> readers who shared his principles: “</w:t>
      </w:r>
      <w:r w:rsidRPr="00B321C6">
        <w:rPr>
          <w:rFonts w:cstheme="minorHAnsi"/>
          <w:sz w:val="24"/>
          <w:szCs w:val="24"/>
        </w:rPr>
        <w:t xml:space="preserve">he answered </w:t>
      </w:r>
      <w:r w:rsidR="006704B4">
        <w:rPr>
          <w:rFonts w:cstheme="minorHAnsi"/>
          <w:sz w:val="24"/>
          <w:szCs w:val="24"/>
        </w:rPr>
        <w:t>‘</w:t>
      </w:r>
      <w:r w:rsidRPr="00B321C6">
        <w:rPr>
          <w:rFonts w:cstheme="minorHAnsi"/>
          <w:sz w:val="24"/>
          <w:szCs w:val="24"/>
        </w:rPr>
        <w:t>have I eight? Only two buy my pamphlets and I sometimes find them not cut open at the mouth’s end’</w:t>
      </w:r>
      <w:r w:rsidR="006704B4">
        <w:rPr>
          <w:rFonts w:cstheme="minorHAnsi"/>
          <w:sz w:val="24"/>
          <w:szCs w:val="24"/>
        </w:rPr>
        <w:t>”</w:t>
      </w:r>
      <w:r w:rsidRPr="00B321C6">
        <w:rPr>
          <w:rFonts w:cstheme="minorHAnsi"/>
          <w:sz w:val="24"/>
          <w:szCs w:val="24"/>
        </w:rPr>
        <w:t>.</w:t>
      </w:r>
      <w:r w:rsidRPr="00E12430">
        <w:rPr>
          <w:rFonts w:cstheme="minorHAnsi"/>
          <w:sz w:val="20"/>
          <w:szCs w:val="20"/>
          <w:vertAlign w:val="superscript"/>
        </w:rPr>
        <w:footnoteReference w:id="18"/>
      </w:r>
      <w:r w:rsidRPr="00E12430">
        <w:rPr>
          <w:rFonts w:cstheme="minorHAnsi"/>
          <w:sz w:val="20"/>
          <w:szCs w:val="20"/>
        </w:rPr>
        <w:t xml:space="preserve"> </w:t>
      </w:r>
      <w:r w:rsidR="001C16FE" w:rsidRPr="001C16FE">
        <w:rPr>
          <w:rFonts w:cstheme="minorHAnsi"/>
          <w:sz w:val="24"/>
          <w:szCs w:val="24"/>
        </w:rPr>
        <w:t xml:space="preserve">It is a truism that a relatively homogeneous group of readers produced earlier in the century by </w:t>
      </w:r>
      <w:r w:rsidR="001C16FE" w:rsidRPr="001C16FE">
        <w:rPr>
          <w:rFonts w:cstheme="minorHAnsi"/>
          <w:i/>
          <w:sz w:val="24"/>
          <w:szCs w:val="24"/>
        </w:rPr>
        <w:t>The Spectator</w:t>
      </w:r>
      <w:r w:rsidR="001C16FE" w:rsidRPr="001C16FE">
        <w:rPr>
          <w:rFonts w:cstheme="minorHAnsi"/>
          <w:sz w:val="24"/>
          <w:szCs w:val="24"/>
        </w:rPr>
        <w:t xml:space="preserve"> or for Richardson’s novels; and the educated minority culture of dissent growing up throughout the century constitutes an alternative reading public.  </w:t>
      </w:r>
      <w:r w:rsidRPr="00244327">
        <w:rPr>
          <w:rFonts w:cstheme="minorHAnsi"/>
          <w:sz w:val="24"/>
          <w:szCs w:val="24"/>
        </w:rPr>
        <w:t xml:space="preserve">Priestley’s appeals to a disinterested but sympathetic readership </w:t>
      </w:r>
      <w:r w:rsidR="00F965FE">
        <w:rPr>
          <w:rFonts w:cstheme="minorHAnsi"/>
          <w:sz w:val="24"/>
          <w:szCs w:val="24"/>
        </w:rPr>
        <w:t>invoke</w:t>
      </w:r>
      <w:r w:rsidRPr="00244327">
        <w:rPr>
          <w:rFonts w:cstheme="minorHAnsi"/>
          <w:sz w:val="24"/>
          <w:szCs w:val="24"/>
        </w:rPr>
        <w:t xml:space="preserve"> an imagined reforming consensus. </w:t>
      </w:r>
      <w:r w:rsidR="002C0CC6">
        <w:rPr>
          <w:rFonts w:cstheme="minorHAnsi"/>
          <w:sz w:val="24"/>
          <w:szCs w:val="24"/>
        </w:rPr>
        <w:t>Hi</w:t>
      </w:r>
      <w:r>
        <w:rPr>
          <w:rFonts w:cstheme="minorHAnsi"/>
          <w:sz w:val="24"/>
          <w:szCs w:val="24"/>
        </w:rPr>
        <w:t xml:space="preserve">s confidence in </w:t>
      </w:r>
      <w:r w:rsidR="006704B4">
        <w:rPr>
          <w:rFonts w:cstheme="minorHAnsi"/>
          <w:sz w:val="24"/>
          <w:szCs w:val="24"/>
        </w:rPr>
        <w:t>such an</w:t>
      </w:r>
      <w:r w:rsidRPr="00244327">
        <w:rPr>
          <w:rFonts w:cstheme="minorHAnsi"/>
          <w:sz w:val="24"/>
          <w:szCs w:val="24"/>
        </w:rPr>
        <w:t xml:space="preserve"> imagined consensus can enable </w:t>
      </w:r>
      <w:r w:rsidR="006704B4">
        <w:rPr>
          <w:rFonts w:cstheme="minorHAnsi"/>
          <w:sz w:val="24"/>
          <w:szCs w:val="24"/>
        </w:rPr>
        <w:t>him</w:t>
      </w:r>
      <w:r w:rsidR="002C0CC6">
        <w:rPr>
          <w:rFonts w:cstheme="minorHAnsi"/>
          <w:sz w:val="24"/>
          <w:szCs w:val="24"/>
        </w:rPr>
        <w:t xml:space="preserve"> </w:t>
      </w:r>
      <w:r w:rsidRPr="00244327">
        <w:rPr>
          <w:rFonts w:cstheme="minorHAnsi"/>
          <w:sz w:val="24"/>
          <w:szCs w:val="24"/>
        </w:rPr>
        <w:t xml:space="preserve">to smuggle in contentious </w:t>
      </w:r>
      <w:r w:rsidR="006704B4">
        <w:rPr>
          <w:rFonts w:cstheme="minorHAnsi"/>
          <w:sz w:val="24"/>
          <w:szCs w:val="24"/>
        </w:rPr>
        <w:t>assertion</w:t>
      </w:r>
      <w:r w:rsidRPr="00244327">
        <w:rPr>
          <w:rFonts w:cstheme="minorHAnsi"/>
          <w:sz w:val="24"/>
          <w:szCs w:val="24"/>
        </w:rPr>
        <w:t>s such as the claim</w:t>
      </w:r>
      <w:r w:rsidR="006704B4">
        <w:rPr>
          <w:rFonts w:cstheme="minorHAnsi"/>
          <w:sz w:val="24"/>
          <w:szCs w:val="24"/>
        </w:rPr>
        <w:t xml:space="preserve"> –</w:t>
      </w:r>
      <w:r w:rsidRPr="00244327">
        <w:rPr>
          <w:rFonts w:cstheme="minorHAnsi"/>
          <w:sz w:val="24"/>
          <w:szCs w:val="24"/>
        </w:rPr>
        <w:t xml:space="preserve"> again in the </w:t>
      </w:r>
      <w:r w:rsidRPr="00244327">
        <w:rPr>
          <w:rFonts w:cstheme="minorHAnsi"/>
          <w:i/>
          <w:sz w:val="24"/>
          <w:szCs w:val="24"/>
        </w:rPr>
        <w:t>Institutes</w:t>
      </w:r>
      <w:r w:rsidR="006704B4">
        <w:rPr>
          <w:rFonts w:cstheme="minorHAnsi"/>
          <w:sz w:val="24"/>
          <w:szCs w:val="24"/>
        </w:rPr>
        <w:t xml:space="preserve"> </w:t>
      </w:r>
      <w:r w:rsidR="006704B4" w:rsidRPr="006704B4">
        <w:rPr>
          <w:rFonts w:cstheme="minorHAnsi"/>
          <w:sz w:val="24"/>
          <w:szCs w:val="24"/>
        </w:rPr>
        <w:t xml:space="preserve">– </w:t>
      </w:r>
      <w:r w:rsidRPr="00244327">
        <w:rPr>
          <w:rFonts w:cstheme="minorHAnsi"/>
          <w:sz w:val="24"/>
          <w:szCs w:val="24"/>
        </w:rPr>
        <w:t>that association of ideas rather than, say, the moral sense is the originating faculty of the mind: neither taste nor even conscience is innate, but each is a product of association.</w:t>
      </w:r>
      <w:r w:rsidRPr="00E12430">
        <w:rPr>
          <w:rFonts w:cstheme="minorHAnsi"/>
          <w:sz w:val="20"/>
          <w:szCs w:val="20"/>
          <w:vertAlign w:val="superscript"/>
        </w:rPr>
        <w:footnoteReference w:id="19"/>
      </w:r>
      <w:r w:rsidR="00B24616">
        <w:rPr>
          <w:rFonts w:cstheme="minorHAnsi"/>
          <w:sz w:val="24"/>
          <w:szCs w:val="24"/>
        </w:rPr>
        <w:t xml:space="preserve"> </w:t>
      </w:r>
      <w:r w:rsidR="00B24616" w:rsidRPr="00B24616">
        <w:rPr>
          <w:rFonts w:cstheme="minorHAnsi"/>
          <w:sz w:val="24"/>
          <w:szCs w:val="24"/>
        </w:rPr>
        <w:t>Priestley claims association as the basis of all his speculative work</w:t>
      </w:r>
      <w:r w:rsidR="00B24616">
        <w:rPr>
          <w:rFonts w:cstheme="minorHAnsi"/>
          <w:sz w:val="24"/>
          <w:szCs w:val="24"/>
        </w:rPr>
        <w:t>, just</w:t>
      </w:r>
      <w:r w:rsidR="00B24616" w:rsidRPr="00B24616">
        <w:rPr>
          <w:rFonts w:cstheme="minorHAnsi"/>
          <w:sz w:val="24"/>
          <w:szCs w:val="24"/>
        </w:rPr>
        <w:t xml:space="preserve"> as it is the basis for all our knowledge of the world (a case he argue</w:t>
      </w:r>
      <w:r w:rsidR="00B24616">
        <w:rPr>
          <w:rFonts w:cstheme="minorHAnsi"/>
          <w:sz w:val="24"/>
          <w:szCs w:val="24"/>
        </w:rPr>
        <w:t>d</w:t>
      </w:r>
      <w:r w:rsidR="00B24616" w:rsidRPr="00B24616">
        <w:rPr>
          <w:rFonts w:cstheme="minorHAnsi"/>
          <w:sz w:val="24"/>
          <w:szCs w:val="24"/>
        </w:rPr>
        <w:t xml:space="preserve"> most cogently against the common-sense philosophers at the start of his 1774 </w:t>
      </w:r>
      <w:r w:rsidR="00B24616" w:rsidRPr="00B24616">
        <w:rPr>
          <w:rFonts w:cstheme="minorHAnsi"/>
          <w:i/>
          <w:iCs/>
          <w:sz w:val="24"/>
          <w:szCs w:val="24"/>
        </w:rPr>
        <w:t>Examination</w:t>
      </w:r>
      <w:r w:rsidR="00B24616" w:rsidRPr="00B24616">
        <w:rPr>
          <w:rFonts w:cstheme="minorHAnsi"/>
          <w:sz w:val="24"/>
          <w:szCs w:val="24"/>
        </w:rPr>
        <w:t xml:space="preserve"> of their works).</w:t>
      </w:r>
    </w:p>
    <w:p w:rsidR="0008685E" w:rsidRPr="00413207" w:rsidRDefault="0008685E" w:rsidP="00315766">
      <w:pPr>
        <w:spacing w:after="120" w:line="480" w:lineRule="auto"/>
        <w:ind w:firstLine="540"/>
        <w:rPr>
          <w:rFonts w:eastAsia="SimSun" w:cs="Arial"/>
          <w:sz w:val="24"/>
          <w:szCs w:val="24"/>
          <w:lang w:eastAsia="en-GB"/>
        </w:rPr>
      </w:pPr>
      <w:r w:rsidRPr="00413207">
        <w:rPr>
          <w:rFonts w:eastAsia="SimSun" w:cs="Arial"/>
          <w:sz w:val="24"/>
          <w:szCs w:val="24"/>
          <w:lang w:eastAsia="en-GB"/>
        </w:rPr>
        <w:t xml:space="preserve">Association as developed by Hartley in his 1749 </w:t>
      </w:r>
      <w:r w:rsidRPr="00413207">
        <w:rPr>
          <w:rFonts w:eastAsia="SimSun" w:cs="Arial"/>
          <w:i/>
          <w:iCs/>
          <w:sz w:val="24"/>
          <w:szCs w:val="24"/>
          <w:lang w:eastAsia="en-GB"/>
        </w:rPr>
        <w:t>Observations on Man</w:t>
      </w:r>
      <w:r w:rsidRPr="00413207">
        <w:rPr>
          <w:rFonts w:eastAsia="SimSun" w:cs="Arial"/>
          <w:sz w:val="24"/>
          <w:szCs w:val="24"/>
          <w:lang w:eastAsia="en-GB"/>
        </w:rPr>
        <w:t xml:space="preserve"> ascribes a material basis to actions and events, all of which discernibly proceed from simple to complex in series</w:t>
      </w:r>
      <w:r w:rsidR="00C93C77">
        <w:rPr>
          <w:rFonts w:eastAsia="SimSun" w:cs="Arial"/>
          <w:sz w:val="24"/>
          <w:szCs w:val="24"/>
          <w:lang w:eastAsia="en-GB"/>
        </w:rPr>
        <w:t xml:space="preserve">. </w:t>
      </w:r>
      <w:r w:rsidR="00CB030D">
        <w:rPr>
          <w:rFonts w:eastAsia="SimSun" w:cs="Arial"/>
          <w:sz w:val="24"/>
          <w:szCs w:val="24"/>
          <w:lang w:eastAsia="en-GB"/>
        </w:rPr>
        <w:t>As we have seen, the upward momentum of an individual sentence depends on being animated by associational links</w:t>
      </w:r>
      <w:r w:rsidR="002C0CC6" w:rsidRPr="002C0CC6">
        <w:rPr>
          <w:rFonts w:eastAsia="SimSun" w:cs="Arial"/>
          <w:sz w:val="24"/>
          <w:szCs w:val="24"/>
          <w:lang w:eastAsia="en-GB"/>
        </w:rPr>
        <w:t xml:space="preserve"> </w:t>
      </w:r>
      <w:r w:rsidR="002C0CC6">
        <w:rPr>
          <w:rFonts w:eastAsia="SimSun" w:cs="Arial"/>
          <w:sz w:val="24"/>
          <w:szCs w:val="24"/>
          <w:lang w:eastAsia="en-GB"/>
        </w:rPr>
        <w:t>that turn the iteration of its clauses in to something discursive</w:t>
      </w:r>
      <w:r w:rsidR="00CB030D">
        <w:rPr>
          <w:rFonts w:eastAsia="SimSun" w:cs="Arial"/>
          <w:sz w:val="24"/>
          <w:szCs w:val="24"/>
          <w:lang w:eastAsia="en-GB"/>
        </w:rPr>
        <w:t xml:space="preserve">. </w:t>
      </w:r>
      <w:r w:rsidR="002C0CC6">
        <w:rPr>
          <w:rFonts w:eastAsia="SimSun" w:cs="Arial"/>
          <w:sz w:val="24"/>
          <w:szCs w:val="24"/>
          <w:lang w:eastAsia="en-GB"/>
        </w:rPr>
        <w:t xml:space="preserve">In Hartley’s </w:t>
      </w:r>
      <w:proofErr w:type="spellStart"/>
      <w:r w:rsidR="002C0CC6">
        <w:rPr>
          <w:rFonts w:eastAsia="SimSun" w:cs="Arial"/>
          <w:sz w:val="24"/>
          <w:szCs w:val="24"/>
          <w:lang w:eastAsia="en-GB"/>
        </w:rPr>
        <w:t>associationism</w:t>
      </w:r>
      <w:proofErr w:type="spellEnd"/>
      <w:r w:rsidR="002C0CC6">
        <w:rPr>
          <w:rFonts w:eastAsia="SimSun" w:cs="Arial"/>
          <w:sz w:val="24"/>
          <w:szCs w:val="24"/>
          <w:lang w:eastAsia="en-GB"/>
        </w:rPr>
        <w:t xml:space="preserve"> t</w:t>
      </w:r>
      <w:r w:rsidR="002C0CC6" w:rsidRPr="002C0CC6">
        <w:rPr>
          <w:rFonts w:eastAsia="SimSun" w:cs="Arial"/>
          <w:sz w:val="24"/>
          <w:szCs w:val="24"/>
          <w:lang w:eastAsia="en-GB"/>
        </w:rPr>
        <w:t xml:space="preserve">he series itself </w:t>
      </w:r>
      <w:r w:rsidR="002C0CC6">
        <w:rPr>
          <w:rFonts w:eastAsia="SimSun" w:cs="Arial"/>
          <w:sz w:val="24"/>
          <w:szCs w:val="24"/>
          <w:lang w:eastAsia="en-GB"/>
        </w:rPr>
        <w:t xml:space="preserve">must </w:t>
      </w:r>
      <w:r w:rsidR="002C0CC6" w:rsidRPr="002C0CC6">
        <w:rPr>
          <w:rFonts w:eastAsia="SimSun" w:cs="Arial"/>
          <w:sz w:val="24"/>
          <w:szCs w:val="24"/>
          <w:lang w:eastAsia="en-GB"/>
        </w:rPr>
        <w:t>culminat</w:t>
      </w:r>
      <w:r w:rsidR="002C0CC6">
        <w:rPr>
          <w:rFonts w:eastAsia="SimSun" w:cs="Arial"/>
          <w:sz w:val="24"/>
          <w:szCs w:val="24"/>
          <w:lang w:eastAsia="en-GB"/>
        </w:rPr>
        <w:t>e</w:t>
      </w:r>
      <w:r w:rsidR="002C0CC6" w:rsidRPr="002C0CC6">
        <w:rPr>
          <w:rFonts w:eastAsia="SimSun" w:cs="Arial"/>
          <w:sz w:val="24"/>
          <w:szCs w:val="24"/>
          <w:lang w:eastAsia="en-GB"/>
        </w:rPr>
        <w:t xml:space="preserve"> in the </w:t>
      </w:r>
      <w:r w:rsidR="002C0CC6">
        <w:rPr>
          <w:rFonts w:eastAsia="SimSun" w:cs="Arial"/>
          <w:sz w:val="24"/>
          <w:szCs w:val="24"/>
          <w:lang w:eastAsia="en-GB"/>
        </w:rPr>
        <w:t>spiritual, and f</w:t>
      </w:r>
      <w:r w:rsidRPr="00413207">
        <w:rPr>
          <w:rFonts w:eastAsia="SimSun" w:cs="Arial"/>
          <w:sz w:val="24"/>
          <w:szCs w:val="24"/>
          <w:lang w:eastAsia="en-GB"/>
        </w:rPr>
        <w:t xml:space="preserve">or Priestley, faith is consistent with </w:t>
      </w:r>
      <w:r w:rsidR="00CB030D">
        <w:rPr>
          <w:rFonts w:eastAsia="SimSun" w:cs="Arial"/>
          <w:sz w:val="24"/>
          <w:szCs w:val="24"/>
          <w:lang w:eastAsia="en-GB"/>
        </w:rPr>
        <w:t>k</w:t>
      </w:r>
      <w:r w:rsidRPr="00413207">
        <w:rPr>
          <w:rFonts w:eastAsia="SimSun" w:cs="Arial"/>
          <w:sz w:val="24"/>
          <w:szCs w:val="24"/>
          <w:lang w:eastAsia="en-GB"/>
        </w:rPr>
        <w:t xml:space="preserve">nowledge arrived at by the repeated and eventually habitual connection of ideas to propositions – or, in logical terms, of a subject to a predicate. In recounting his experiments with </w:t>
      </w:r>
      <w:r w:rsidR="00315766">
        <w:rPr>
          <w:rFonts w:eastAsia="SimSun" w:cs="Arial"/>
          <w:sz w:val="24"/>
          <w:szCs w:val="24"/>
          <w:lang w:eastAsia="en-GB"/>
        </w:rPr>
        <w:t>“</w:t>
      </w:r>
      <w:r w:rsidRPr="00413207">
        <w:rPr>
          <w:rFonts w:eastAsia="SimSun" w:cs="Arial"/>
          <w:sz w:val="24"/>
          <w:szCs w:val="24"/>
          <w:lang w:eastAsia="en-GB"/>
        </w:rPr>
        <w:t>fixed air</w:t>
      </w:r>
      <w:r w:rsidR="00315766">
        <w:rPr>
          <w:rFonts w:eastAsia="SimSun" w:cs="Arial"/>
          <w:sz w:val="24"/>
          <w:szCs w:val="24"/>
          <w:lang w:eastAsia="en-GB"/>
        </w:rPr>
        <w:t>”</w:t>
      </w:r>
      <w:r w:rsidRPr="00413207">
        <w:rPr>
          <w:rFonts w:eastAsia="SimSun" w:cs="Arial"/>
          <w:sz w:val="24"/>
          <w:szCs w:val="24"/>
          <w:lang w:eastAsia="en-GB"/>
        </w:rPr>
        <w:t xml:space="preserve"> and the process of trial and error they involved, Priestley observes that the method of association would have led to connected discovery; that it did</w:t>
      </w:r>
      <w:r w:rsidR="002C0CC6">
        <w:rPr>
          <w:rFonts w:eastAsia="SimSun" w:cs="Arial"/>
          <w:sz w:val="24"/>
          <w:szCs w:val="24"/>
          <w:lang w:eastAsia="en-GB"/>
        </w:rPr>
        <w:t xml:space="preserve"> </w:t>
      </w:r>
      <w:r w:rsidRPr="00413207">
        <w:rPr>
          <w:rFonts w:eastAsia="SimSun" w:cs="Arial"/>
          <w:sz w:val="24"/>
          <w:szCs w:val="24"/>
          <w:lang w:eastAsia="en-GB"/>
        </w:rPr>
        <w:t>n</w:t>
      </w:r>
      <w:r w:rsidR="002C0CC6">
        <w:rPr>
          <w:rFonts w:eastAsia="SimSun" w:cs="Arial"/>
          <w:sz w:val="24"/>
          <w:szCs w:val="24"/>
          <w:lang w:eastAsia="en-GB"/>
        </w:rPr>
        <w:t>o</w:t>
      </w:r>
      <w:r w:rsidRPr="00413207">
        <w:rPr>
          <w:rFonts w:eastAsia="SimSun" w:cs="Arial"/>
          <w:sz w:val="24"/>
          <w:szCs w:val="24"/>
          <w:lang w:eastAsia="en-GB"/>
        </w:rPr>
        <w:t xml:space="preserve">t is down to the force of prejudice which </w:t>
      </w:r>
      <w:r w:rsidR="00315766">
        <w:rPr>
          <w:rFonts w:eastAsia="SimSun" w:cs="Arial"/>
          <w:sz w:val="24"/>
          <w:szCs w:val="24"/>
          <w:lang w:eastAsia="en-GB"/>
        </w:rPr>
        <w:t>“</w:t>
      </w:r>
      <w:proofErr w:type="spellStart"/>
      <w:r w:rsidRPr="00413207">
        <w:rPr>
          <w:rFonts w:eastAsia="SimSun" w:cs="Arial"/>
          <w:sz w:val="24"/>
          <w:szCs w:val="24"/>
          <w:lang w:eastAsia="en-GB"/>
        </w:rPr>
        <w:t>biasses</w:t>
      </w:r>
      <w:proofErr w:type="spellEnd"/>
      <w:r w:rsidRPr="00413207">
        <w:rPr>
          <w:rFonts w:eastAsia="SimSun" w:cs="Arial"/>
          <w:sz w:val="24"/>
          <w:szCs w:val="24"/>
          <w:lang w:eastAsia="en-GB"/>
        </w:rPr>
        <w:t xml:space="preserve"> not only our </w:t>
      </w:r>
      <w:r w:rsidRPr="00413207">
        <w:rPr>
          <w:rFonts w:eastAsia="SimSun" w:cs="Arial"/>
          <w:i/>
          <w:iCs/>
          <w:sz w:val="24"/>
          <w:szCs w:val="24"/>
          <w:lang w:eastAsia="en-GB"/>
        </w:rPr>
        <w:t>judgement</w:t>
      </w:r>
      <w:r w:rsidRPr="00413207">
        <w:rPr>
          <w:rFonts w:eastAsia="SimSun" w:cs="Arial"/>
          <w:sz w:val="24"/>
          <w:szCs w:val="24"/>
          <w:lang w:eastAsia="en-GB"/>
        </w:rPr>
        <w:t xml:space="preserve"> … but even the perceptions of our senses</w:t>
      </w:r>
      <w:r w:rsidR="00315766">
        <w:rPr>
          <w:rFonts w:eastAsia="SimSun" w:cs="Arial"/>
          <w:sz w:val="24"/>
          <w:szCs w:val="24"/>
          <w:lang w:eastAsia="en-GB"/>
        </w:rPr>
        <w:t>”</w:t>
      </w:r>
      <w:r w:rsidR="002C0CC6">
        <w:rPr>
          <w:rFonts w:eastAsia="SimSun" w:cs="Arial"/>
          <w:sz w:val="24"/>
          <w:szCs w:val="24"/>
          <w:lang w:eastAsia="en-GB"/>
        </w:rPr>
        <w:t>, so that even</w:t>
      </w:r>
      <w:r w:rsidR="002C0CC6" w:rsidRPr="00413207">
        <w:rPr>
          <w:rFonts w:eastAsia="SimSun" w:cs="Arial"/>
          <w:sz w:val="24"/>
          <w:szCs w:val="24"/>
          <w:lang w:eastAsia="en-GB"/>
        </w:rPr>
        <w:t xml:space="preserve"> the apparent failures of association can themselv</w:t>
      </w:r>
      <w:r w:rsidR="003432FD">
        <w:rPr>
          <w:rFonts w:eastAsia="SimSun" w:cs="Arial"/>
          <w:sz w:val="24"/>
          <w:szCs w:val="24"/>
          <w:lang w:eastAsia="en-GB"/>
        </w:rPr>
        <w:t>es be attributed to association</w:t>
      </w:r>
      <w:r w:rsidRPr="00413207">
        <w:rPr>
          <w:rFonts w:eastAsia="SimSun" w:cs="Arial"/>
          <w:sz w:val="24"/>
          <w:szCs w:val="24"/>
          <w:lang w:eastAsia="en-GB"/>
        </w:rPr>
        <w:t>.</w:t>
      </w:r>
      <w:r w:rsidRPr="00413207">
        <w:rPr>
          <w:rFonts w:eastAsia="SimSun" w:cs="Arial"/>
          <w:sz w:val="24"/>
          <w:szCs w:val="24"/>
          <w:vertAlign w:val="superscript"/>
          <w:lang w:eastAsia="en-GB"/>
        </w:rPr>
        <w:footnoteReference w:id="20"/>
      </w:r>
      <w:r w:rsidRPr="00413207">
        <w:rPr>
          <w:rFonts w:eastAsia="SimSun" w:cs="Arial"/>
          <w:sz w:val="24"/>
          <w:szCs w:val="24"/>
          <w:lang w:eastAsia="en-GB"/>
        </w:rPr>
        <w:t xml:space="preserve">  </w:t>
      </w:r>
    </w:p>
    <w:p w:rsidR="0008685E" w:rsidRDefault="0008685E" w:rsidP="00315766">
      <w:pPr>
        <w:spacing w:after="120" w:line="480" w:lineRule="auto"/>
        <w:ind w:firstLine="540"/>
        <w:rPr>
          <w:rFonts w:eastAsia="SimSun" w:cs="Arial"/>
          <w:sz w:val="20"/>
          <w:szCs w:val="20"/>
          <w:lang w:eastAsia="en-GB"/>
        </w:rPr>
      </w:pPr>
      <w:r w:rsidRPr="004C14FE">
        <w:rPr>
          <w:rFonts w:eastAsia="SimSun" w:cs="Arial"/>
          <w:sz w:val="24"/>
          <w:szCs w:val="24"/>
          <w:lang w:eastAsia="en-GB"/>
        </w:rPr>
        <w:t xml:space="preserve">Priestley’s language is consistently directed at collaborative rational inquiry and claims no incompatibility of faith with the kinds of proof that his experimental work demanded.  </w:t>
      </w:r>
      <w:r w:rsidR="00315766">
        <w:rPr>
          <w:rFonts w:eastAsia="SimSun" w:cs="Arial"/>
          <w:sz w:val="24"/>
          <w:szCs w:val="24"/>
          <w:lang w:eastAsia="en-GB"/>
        </w:rPr>
        <w:t>“</w:t>
      </w:r>
      <w:r>
        <w:rPr>
          <w:rFonts w:eastAsia="SimSun" w:cs="Arial"/>
          <w:sz w:val="24"/>
          <w:szCs w:val="24"/>
          <w:lang w:eastAsia="en-GB"/>
        </w:rPr>
        <w:t>[T]</w:t>
      </w:r>
      <w:r w:rsidRPr="00B510CB">
        <w:rPr>
          <w:rFonts w:eastAsia="SimSun" w:cs="Arial"/>
          <w:sz w:val="24"/>
          <w:szCs w:val="24"/>
          <w:lang w:eastAsia="en-GB"/>
        </w:rPr>
        <w:t>he only proper evidence of … God, as the author of nature,</w:t>
      </w:r>
      <w:r w:rsidR="00315766">
        <w:rPr>
          <w:rFonts w:eastAsia="SimSun" w:cs="Arial"/>
          <w:sz w:val="24"/>
          <w:szCs w:val="24"/>
          <w:lang w:eastAsia="en-GB"/>
        </w:rPr>
        <w:t xml:space="preserve"> “</w:t>
      </w:r>
      <w:r>
        <w:rPr>
          <w:rFonts w:eastAsia="SimSun" w:cs="Arial"/>
          <w:sz w:val="24"/>
          <w:szCs w:val="24"/>
          <w:lang w:eastAsia="en-GB"/>
        </w:rPr>
        <w:t>he wrote,</w:t>
      </w:r>
      <w:r w:rsidRPr="00B510CB">
        <w:rPr>
          <w:rFonts w:eastAsia="SimSun" w:cs="Arial"/>
          <w:sz w:val="24"/>
          <w:szCs w:val="24"/>
          <w:lang w:eastAsia="en-GB"/>
        </w:rPr>
        <w:t xml:space="preserve"> </w:t>
      </w:r>
      <w:r w:rsidR="00315766">
        <w:rPr>
          <w:rFonts w:eastAsia="SimSun" w:cs="Arial"/>
          <w:sz w:val="24"/>
          <w:szCs w:val="24"/>
          <w:lang w:eastAsia="en-GB"/>
        </w:rPr>
        <w:t>“</w:t>
      </w:r>
      <w:r w:rsidRPr="00B510CB">
        <w:rPr>
          <w:rFonts w:eastAsia="SimSun" w:cs="Arial"/>
          <w:sz w:val="24"/>
          <w:szCs w:val="24"/>
          <w:lang w:eastAsia="en-GB"/>
        </w:rPr>
        <w:t>is an exhibition of something which he alone is capable of performing</w:t>
      </w:r>
      <w:r w:rsidR="00315766">
        <w:rPr>
          <w:rFonts w:eastAsia="SimSun" w:cs="Arial"/>
          <w:sz w:val="24"/>
          <w:szCs w:val="24"/>
          <w:lang w:eastAsia="en-GB"/>
        </w:rPr>
        <w:t>”</w:t>
      </w:r>
      <w:r>
        <w:rPr>
          <w:rFonts w:eastAsia="SimSun" w:cs="Arial"/>
          <w:sz w:val="24"/>
          <w:szCs w:val="24"/>
          <w:lang w:eastAsia="en-GB"/>
        </w:rPr>
        <w:t xml:space="preserve"> (</w:t>
      </w:r>
      <w:r w:rsidRPr="00853182">
        <w:rPr>
          <w:rFonts w:eastAsia="SimSun" w:cs="Arial"/>
          <w:i/>
          <w:iCs/>
          <w:sz w:val="24"/>
          <w:szCs w:val="24"/>
          <w:lang w:eastAsia="en-GB"/>
        </w:rPr>
        <w:t>Works</w:t>
      </w:r>
      <w:r>
        <w:rPr>
          <w:rFonts w:eastAsia="SimSun" w:cs="Arial"/>
          <w:sz w:val="24"/>
          <w:szCs w:val="24"/>
          <w:lang w:eastAsia="en-GB"/>
        </w:rPr>
        <w:t>, 16.117)</w:t>
      </w:r>
      <w:r w:rsidRPr="00B510CB">
        <w:rPr>
          <w:rFonts w:eastAsia="SimSun" w:cs="Arial"/>
          <w:sz w:val="24"/>
          <w:szCs w:val="24"/>
          <w:lang w:eastAsia="en-GB"/>
        </w:rPr>
        <w:t>.</w:t>
      </w:r>
      <w:r w:rsidRPr="003E086A">
        <w:rPr>
          <w:rFonts w:eastAsia="SimSun" w:cs="Arial"/>
          <w:sz w:val="20"/>
          <w:szCs w:val="20"/>
          <w:lang w:eastAsia="en-GB"/>
        </w:rPr>
        <w:t xml:space="preserve"> </w:t>
      </w:r>
      <w:r w:rsidRPr="00B510CB">
        <w:rPr>
          <w:rFonts w:eastAsia="SimSun" w:cs="Arial"/>
          <w:sz w:val="24"/>
          <w:szCs w:val="24"/>
          <w:lang w:eastAsia="en-GB"/>
        </w:rPr>
        <w:t xml:space="preserve">Adducing </w:t>
      </w:r>
      <w:r w:rsidR="00315766">
        <w:rPr>
          <w:rFonts w:eastAsia="SimSun" w:cs="Arial"/>
          <w:sz w:val="24"/>
          <w:szCs w:val="24"/>
          <w:lang w:eastAsia="en-GB"/>
        </w:rPr>
        <w:t>“</w:t>
      </w:r>
      <w:r w:rsidRPr="00B510CB">
        <w:rPr>
          <w:rFonts w:eastAsia="SimSun" w:cs="Arial"/>
          <w:sz w:val="24"/>
          <w:szCs w:val="24"/>
          <w:lang w:eastAsia="en-GB"/>
        </w:rPr>
        <w:t>evidence</w:t>
      </w:r>
      <w:r w:rsidR="00315766">
        <w:rPr>
          <w:rFonts w:eastAsia="SimSun" w:cs="Arial"/>
          <w:sz w:val="24"/>
          <w:szCs w:val="24"/>
          <w:lang w:eastAsia="en-GB"/>
        </w:rPr>
        <w:t>”</w:t>
      </w:r>
      <w:r w:rsidRPr="00B510CB">
        <w:rPr>
          <w:rFonts w:eastAsia="SimSun" w:cs="Arial"/>
          <w:sz w:val="24"/>
          <w:szCs w:val="24"/>
          <w:lang w:eastAsia="en-GB"/>
        </w:rPr>
        <w:t xml:space="preserve"> as a criterion suggests materialism and faith may not be antithetical, although they may fissure a language for the numinous in ways more typical of the propositional scepticism of literary language. </w:t>
      </w:r>
      <w:r w:rsidRPr="004C14FE">
        <w:rPr>
          <w:rFonts w:eastAsia="SimSun" w:cs="Arial"/>
          <w:sz w:val="24"/>
          <w:szCs w:val="24"/>
          <w:lang w:eastAsia="en-GB"/>
        </w:rPr>
        <w:t xml:space="preserve">He took up the compatibility or otherwise of theology with metaphysics and natural philosophy in the prefatory </w:t>
      </w:r>
      <w:r>
        <w:rPr>
          <w:rFonts w:eastAsia="SimSun" w:cs="Arial"/>
          <w:sz w:val="24"/>
          <w:szCs w:val="24"/>
          <w:lang w:eastAsia="en-GB"/>
        </w:rPr>
        <w:t xml:space="preserve">and supplementary </w:t>
      </w:r>
      <w:r w:rsidRPr="004C14FE">
        <w:rPr>
          <w:rFonts w:eastAsia="SimSun" w:cs="Arial"/>
          <w:sz w:val="24"/>
          <w:szCs w:val="24"/>
          <w:lang w:eastAsia="en-GB"/>
        </w:rPr>
        <w:t xml:space="preserve">matter of his </w:t>
      </w:r>
      <w:r w:rsidRPr="004C14FE">
        <w:rPr>
          <w:rFonts w:eastAsia="SimSun" w:cs="Arial"/>
          <w:i/>
          <w:iCs/>
          <w:sz w:val="24"/>
          <w:szCs w:val="24"/>
          <w:lang w:eastAsia="en-GB"/>
        </w:rPr>
        <w:t>Disquisitions on Matter and Spirit</w:t>
      </w:r>
      <w:r>
        <w:rPr>
          <w:rFonts w:eastAsia="SimSun" w:cs="Arial"/>
          <w:sz w:val="24"/>
          <w:szCs w:val="24"/>
          <w:lang w:eastAsia="en-GB"/>
        </w:rPr>
        <w:t xml:space="preserve">, </w:t>
      </w:r>
      <w:r w:rsidRPr="00641662">
        <w:rPr>
          <w:rFonts w:ascii="Calibri" w:eastAsia="SimSun" w:hAnsi="Calibri" w:cs="Arial"/>
          <w:sz w:val="24"/>
          <w:szCs w:val="24"/>
          <w:lang w:eastAsia="en-GB"/>
        </w:rPr>
        <w:t>in which he wrote that natural philosophy ‘relieve[s] the severity of these more serious pursuits’ (</w:t>
      </w:r>
      <w:r w:rsidRPr="00641662">
        <w:rPr>
          <w:rFonts w:ascii="Calibri" w:eastAsia="SimSun" w:hAnsi="Calibri" w:cs="Arial"/>
          <w:i/>
          <w:iCs/>
          <w:sz w:val="24"/>
          <w:szCs w:val="24"/>
          <w:lang w:eastAsia="en-GB"/>
        </w:rPr>
        <w:t>Works</w:t>
      </w:r>
      <w:r w:rsidRPr="00641662">
        <w:rPr>
          <w:rFonts w:ascii="Calibri" w:eastAsia="SimSun" w:hAnsi="Calibri" w:cs="Arial"/>
          <w:sz w:val="24"/>
          <w:szCs w:val="24"/>
          <w:lang w:eastAsia="en-GB"/>
        </w:rPr>
        <w:t xml:space="preserve"> 3. 200) </w:t>
      </w:r>
      <w:r w:rsidRPr="004C14FE">
        <w:rPr>
          <w:rFonts w:eastAsia="SimSun" w:cs="Arial"/>
          <w:sz w:val="24"/>
          <w:szCs w:val="24"/>
          <w:lang w:eastAsia="en-GB"/>
        </w:rPr>
        <w:t xml:space="preserve">and affirmed in a letter to the Dutch natural philosopher Martin von </w:t>
      </w:r>
      <w:proofErr w:type="spellStart"/>
      <w:r w:rsidRPr="004C14FE">
        <w:rPr>
          <w:rFonts w:eastAsia="SimSun" w:cs="Arial"/>
          <w:sz w:val="24"/>
          <w:szCs w:val="24"/>
          <w:lang w:eastAsia="en-GB"/>
        </w:rPr>
        <w:t>Marum</w:t>
      </w:r>
      <w:proofErr w:type="spellEnd"/>
      <w:r w:rsidRPr="004C14FE">
        <w:rPr>
          <w:rFonts w:eastAsia="SimSun" w:cs="Arial"/>
          <w:sz w:val="24"/>
          <w:szCs w:val="24"/>
          <w:lang w:eastAsia="en-GB"/>
        </w:rPr>
        <w:t xml:space="preserve"> that </w:t>
      </w:r>
      <w:r w:rsidR="00315766">
        <w:rPr>
          <w:rFonts w:eastAsia="SimSun" w:cs="Arial"/>
          <w:sz w:val="24"/>
          <w:szCs w:val="24"/>
          <w:lang w:eastAsia="en-GB"/>
        </w:rPr>
        <w:t>“</w:t>
      </w:r>
      <w:r w:rsidRPr="004C14FE">
        <w:rPr>
          <w:rFonts w:eastAsia="SimSun" w:cs="Arial"/>
          <w:sz w:val="24"/>
          <w:szCs w:val="24"/>
          <w:lang w:eastAsia="en-GB"/>
        </w:rPr>
        <w:t>a philosophical and rational Christian is a character on which I set the highest value</w:t>
      </w:r>
      <w:r w:rsidR="00315766">
        <w:rPr>
          <w:rFonts w:eastAsia="SimSun" w:cs="Arial"/>
          <w:sz w:val="24"/>
          <w:szCs w:val="24"/>
          <w:lang w:eastAsia="en-GB"/>
        </w:rPr>
        <w:t>”</w:t>
      </w:r>
      <w:r w:rsidRPr="004C14FE">
        <w:rPr>
          <w:rFonts w:eastAsia="SimSun" w:cs="Arial"/>
          <w:sz w:val="24"/>
          <w:szCs w:val="24"/>
          <w:lang w:eastAsia="en-GB"/>
        </w:rPr>
        <w:t>.</w:t>
      </w:r>
      <w:r w:rsidRPr="000E49CE">
        <w:rPr>
          <w:rStyle w:val="FootnoteReference"/>
          <w:rFonts w:eastAsia="SimSun" w:cs="Arial"/>
          <w:sz w:val="20"/>
          <w:szCs w:val="20"/>
          <w:lang w:eastAsia="en-GB"/>
        </w:rPr>
        <w:footnoteReference w:id="21"/>
      </w:r>
      <w:r w:rsidRPr="000E49CE">
        <w:rPr>
          <w:rFonts w:eastAsia="SimSun" w:cs="Arial"/>
          <w:sz w:val="20"/>
          <w:szCs w:val="20"/>
          <w:lang w:eastAsia="en-GB"/>
        </w:rPr>
        <w:t xml:space="preserve"> </w:t>
      </w:r>
    </w:p>
    <w:p w:rsidR="0008685E" w:rsidRPr="00EA398F" w:rsidRDefault="0008685E" w:rsidP="00386E58">
      <w:pPr>
        <w:spacing w:line="480" w:lineRule="auto"/>
        <w:ind w:firstLine="540"/>
        <w:rPr>
          <w:rFonts w:eastAsia="SimSun" w:cs="Arial"/>
          <w:sz w:val="24"/>
          <w:szCs w:val="24"/>
          <w:lang w:eastAsia="en-GB"/>
        </w:rPr>
      </w:pPr>
      <w:r w:rsidRPr="00EA398F">
        <w:rPr>
          <w:rFonts w:eastAsia="SimSun" w:cs="Arial"/>
          <w:sz w:val="24"/>
          <w:szCs w:val="24"/>
          <w:lang w:eastAsia="en-GB"/>
        </w:rPr>
        <w:t>The aesthetic realm too is given some kind of exceptional status</w:t>
      </w:r>
      <w:r>
        <w:rPr>
          <w:rFonts w:eastAsia="SimSun" w:cs="Arial"/>
          <w:sz w:val="24"/>
          <w:szCs w:val="24"/>
          <w:lang w:eastAsia="en-GB"/>
        </w:rPr>
        <w:t xml:space="preserve">. </w:t>
      </w:r>
      <w:r w:rsidRPr="00EA398F">
        <w:rPr>
          <w:rFonts w:eastAsia="SimSun" w:cs="Arial"/>
          <w:sz w:val="24"/>
          <w:szCs w:val="24"/>
          <w:lang w:eastAsia="en-GB"/>
        </w:rPr>
        <w:t xml:space="preserve"> </w:t>
      </w:r>
      <w:r w:rsidRPr="00AF1FEC">
        <w:rPr>
          <w:rFonts w:ascii="Calibri" w:eastAsia="SimSun" w:hAnsi="Calibri" w:cs="Arial"/>
          <w:sz w:val="24"/>
          <w:szCs w:val="24"/>
          <w:lang w:eastAsia="en-GB"/>
        </w:rPr>
        <w:t>Elizabeth</w:t>
      </w:r>
      <w:r w:rsidRPr="00EA398F">
        <w:rPr>
          <w:rFonts w:ascii="Calibri" w:eastAsia="SimSun" w:hAnsi="Calibri" w:cs="Arial"/>
          <w:sz w:val="20"/>
          <w:szCs w:val="20"/>
          <w:lang w:eastAsia="en-GB"/>
        </w:rPr>
        <w:t xml:space="preserve"> </w:t>
      </w:r>
      <w:r w:rsidRPr="00EA398F">
        <w:rPr>
          <w:rFonts w:eastAsia="SimSun" w:cs="Arial"/>
          <w:sz w:val="24"/>
          <w:szCs w:val="24"/>
          <w:lang w:eastAsia="en-GB"/>
        </w:rPr>
        <w:t xml:space="preserve">Kingston </w:t>
      </w:r>
      <w:r>
        <w:rPr>
          <w:rFonts w:eastAsia="SimSun" w:cs="Arial"/>
          <w:sz w:val="24"/>
          <w:szCs w:val="24"/>
          <w:lang w:eastAsia="en-GB"/>
        </w:rPr>
        <w:t xml:space="preserve">has </w:t>
      </w:r>
      <w:r w:rsidRPr="00EA398F">
        <w:rPr>
          <w:rFonts w:eastAsia="SimSun" w:cs="Arial"/>
          <w:sz w:val="24"/>
          <w:szCs w:val="24"/>
          <w:lang w:eastAsia="en-GB"/>
        </w:rPr>
        <w:t>demonstrate</w:t>
      </w:r>
      <w:r>
        <w:rPr>
          <w:rFonts w:eastAsia="SimSun" w:cs="Arial"/>
          <w:sz w:val="24"/>
          <w:szCs w:val="24"/>
          <w:lang w:eastAsia="en-GB"/>
        </w:rPr>
        <w:t>d</w:t>
      </w:r>
      <w:r w:rsidRPr="00EA398F">
        <w:rPr>
          <w:rFonts w:eastAsia="SimSun" w:cs="Arial"/>
          <w:sz w:val="24"/>
          <w:szCs w:val="24"/>
          <w:lang w:eastAsia="en-GB"/>
        </w:rPr>
        <w:t xml:space="preserve"> that Priestley’s </w:t>
      </w:r>
      <w:r w:rsidRPr="00EA398F">
        <w:rPr>
          <w:rFonts w:eastAsia="SimSun" w:cs="Arial"/>
          <w:i/>
          <w:sz w:val="24"/>
          <w:szCs w:val="24"/>
          <w:lang w:eastAsia="en-GB"/>
        </w:rPr>
        <w:t>Lectures on Oratory and Criticism</w:t>
      </w:r>
      <w:r w:rsidRPr="00EA398F">
        <w:rPr>
          <w:rFonts w:eastAsia="SimSun" w:cs="Arial"/>
          <w:sz w:val="24"/>
          <w:szCs w:val="24"/>
          <w:lang w:eastAsia="en-GB"/>
        </w:rPr>
        <w:t xml:space="preserve"> </w:t>
      </w:r>
      <w:r>
        <w:rPr>
          <w:rFonts w:eastAsia="SimSun" w:cs="Arial"/>
          <w:sz w:val="24"/>
          <w:szCs w:val="24"/>
          <w:lang w:eastAsia="en-GB"/>
        </w:rPr>
        <w:t>we</w:t>
      </w:r>
      <w:r w:rsidRPr="00EA398F">
        <w:rPr>
          <w:rFonts w:eastAsia="SimSun" w:cs="Arial"/>
          <w:sz w:val="24"/>
          <w:szCs w:val="24"/>
          <w:lang w:eastAsia="en-GB"/>
        </w:rPr>
        <w:t xml:space="preserve">re a unique exception to the largely </w:t>
      </w:r>
      <w:proofErr w:type="spellStart"/>
      <w:r w:rsidRPr="00EA398F">
        <w:rPr>
          <w:rFonts w:eastAsia="SimSun" w:cs="Arial"/>
          <w:sz w:val="24"/>
          <w:szCs w:val="24"/>
          <w:lang w:eastAsia="en-GB"/>
        </w:rPr>
        <w:t>Lockean</w:t>
      </w:r>
      <w:proofErr w:type="spellEnd"/>
      <w:r w:rsidRPr="00EA398F">
        <w:rPr>
          <w:rFonts w:eastAsia="SimSun" w:cs="Arial"/>
          <w:sz w:val="24"/>
          <w:szCs w:val="24"/>
          <w:lang w:eastAsia="en-GB"/>
        </w:rPr>
        <w:t xml:space="preserve"> </w:t>
      </w:r>
      <w:proofErr w:type="spellStart"/>
      <w:r w:rsidRPr="00EA398F">
        <w:rPr>
          <w:rFonts w:eastAsia="SimSun" w:cs="Arial"/>
          <w:sz w:val="24"/>
          <w:szCs w:val="24"/>
          <w:lang w:eastAsia="en-GB"/>
        </w:rPr>
        <w:t>associationist</w:t>
      </w:r>
      <w:proofErr w:type="spellEnd"/>
      <w:r w:rsidRPr="00EA398F">
        <w:rPr>
          <w:rFonts w:eastAsia="SimSun" w:cs="Arial"/>
          <w:sz w:val="24"/>
          <w:szCs w:val="24"/>
          <w:lang w:eastAsia="en-GB"/>
        </w:rPr>
        <w:t xml:space="preserve"> system he defend</w:t>
      </w:r>
      <w:r>
        <w:rPr>
          <w:rFonts w:eastAsia="SimSun" w:cs="Arial"/>
          <w:sz w:val="24"/>
          <w:szCs w:val="24"/>
          <w:lang w:eastAsia="en-GB"/>
        </w:rPr>
        <w:t>ed</w:t>
      </w:r>
      <w:r w:rsidRPr="00EA398F">
        <w:rPr>
          <w:rFonts w:eastAsia="SimSun" w:cs="Arial"/>
          <w:sz w:val="24"/>
          <w:szCs w:val="24"/>
          <w:lang w:eastAsia="en-GB"/>
        </w:rPr>
        <w:t>.</w:t>
      </w:r>
      <w:r w:rsidRPr="00AF1FEC">
        <w:rPr>
          <w:rStyle w:val="FootnoteReference"/>
          <w:rFonts w:eastAsia="SimSun" w:cs="Arial"/>
          <w:sz w:val="20"/>
          <w:szCs w:val="20"/>
          <w:lang w:eastAsia="en-GB"/>
        </w:rPr>
        <w:footnoteReference w:id="22"/>
      </w:r>
      <w:r w:rsidRPr="00EA398F">
        <w:rPr>
          <w:rFonts w:eastAsia="SimSun" w:cs="Arial"/>
          <w:sz w:val="24"/>
          <w:szCs w:val="24"/>
          <w:lang w:eastAsia="en-GB"/>
        </w:rPr>
        <w:t xml:space="preserve">  </w:t>
      </w:r>
      <w:r>
        <w:rPr>
          <w:rFonts w:eastAsia="SimSun" w:cs="Arial"/>
          <w:sz w:val="24"/>
          <w:szCs w:val="24"/>
          <w:lang w:eastAsia="en-GB"/>
        </w:rPr>
        <w:t>The aesthetic realm may tacitly</w:t>
      </w:r>
      <w:r w:rsidRPr="00EA398F">
        <w:rPr>
          <w:rFonts w:eastAsia="SimSun" w:cs="Arial"/>
          <w:sz w:val="24"/>
          <w:szCs w:val="24"/>
          <w:lang w:eastAsia="en-GB"/>
        </w:rPr>
        <w:t xml:space="preserve"> </w:t>
      </w:r>
      <w:r>
        <w:rPr>
          <w:rFonts w:eastAsia="SimSun" w:cs="Arial"/>
          <w:sz w:val="24"/>
          <w:szCs w:val="24"/>
          <w:lang w:eastAsia="en-GB"/>
        </w:rPr>
        <w:t xml:space="preserve">be </w:t>
      </w:r>
      <w:r w:rsidRPr="00EA398F">
        <w:rPr>
          <w:rFonts w:eastAsia="SimSun" w:cs="Arial"/>
          <w:sz w:val="24"/>
          <w:szCs w:val="24"/>
          <w:lang w:eastAsia="en-GB"/>
        </w:rPr>
        <w:t xml:space="preserve">afforded certain privileges that mean it does not in the end have to be susceptible to rational questioning, although it is a status that also depends on its performative impotence </w:t>
      </w:r>
      <w:r>
        <w:rPr>
          <w:rFonts w:eastAsia="SimSun" w:cs="Arial"/>
          <w:sz w:val="24"/>
          <w:szCs w:val="24"/>
          <w:lang w:eastAsia="en-GB"/>
        </w:rPr>
        <w:t>–</w:t>
      </w:r>
      <w:r w:rsidRPr="00EA398F">
        <w:rPr>
          <w:rFonts w:eastAsia="SimSun" w:cs="Arial"/>
          <w:sz w:val="24"/>
          <w:szCs w:val="24"/>
          <w:lang w:eastAsia="en-GB"/>
        </w:rPr>
        <w:t xml:space="preserve"> or at least Priestley never returns to aesthetics with the patient disciplinary attention he pays it in those lectures. </w:t>
      </w:r>
      <w:r>
        <w:rPr>
          <w:rFonts w:eastAsia="SimSun" w:cs="Arial"/>
          <w:sz w:val="24"/>
          <w:szCs w:val="24"/>
          <w:lang w:eastAsia="en-GB"/>
        </w:rPr>
        <w:t>Kingston</w:t>
      </w:r>
      <w:r w:rsidRPr="00EA398F">
        <w:rPr>
          <w:rFonts w:eastAsia="SimSun" w:cs="Arial"/>
          <w:sz w:val="24"/>
          <w:szCs w:val="24"/>
          <w:lang w:eastAsia="en-GB"/>
        </w:rPr>
        <w:t xml:space="preserve"> sees the place of the aesthetic within Priestley’s </w:t>
      </w:r>
      <w:proofErr w:type="spellStart"/>
      <w:r w:rsidRPr="00EA398F">
        <w:rPr>
          <w:rFonts w:eastAsia="SimSun" w:cs="Arial"/>
          <w:sz w:val="24"/>
          <w:szCs w:val="24"/>
          <w:lang w:eastAsia="en-GB"/>
        </w:rPr>
        <w:t>associationism</w:t>
      </w:r>
      <w:proofErr w:type="spellEnd"/>
      <w:r w:rsidRPr="00EA398F">
        <w:rPr>
          <w:rFonts w:eastAsia="SimSun" w:cs="Arial"/>
          <w:sz w:val="24"/>
          <w:szCs w:val="24"/>
          <w:lang w:eastAsia="en-GB"/>
        </w:rPr>
        <w:t xml:space="preserve"> as troubling but also perhaps foundational</w:t>
      </w:r>
      <w:r>
        <w:rPr>
          <w:rFonts w:eastAsia="SimSun" w:cs="Arial"/>
          <w:sz w:val="24"/>
          <w:szCs w:val="24"/>
          <w:lang w:eastAsia="en-GB"/>
        </w:rPr>
        <w:t xml:space="preserve">; </w:t>
      </w:r>
      <w:r w:rsidRPr="00EA398F">
        <w:rPr>
          <w:rFonts w:eastAsia="SimSun" w:cs="Arial"/>
          <w:sz w:val="24"/>
          <w:szCs w:val="24"/>
          <w:lang w:eastAsia="en-GB"/>
        </w:rPr>
        <w:t xml:space="preserve">even if it is unique there are implications for the system he upholds as a whole, that the aesthetic is, as he comes to acknowledge himself there, not a mere decoration for propositional thought. </w:t>
      </w:r>
    </w:p>
    <w:p w:rsidR="0008685E" w:rsidRPr="004C14FE" w:rsidRDefault="0008685E" w:rsidP="00D57295">
      <w:pPr>
        <w:spacing w:after="120" w:line="480" w:lineRule="auto"/>
        <w:jc w:val="center"/>
        <w:rPr>
          <w:rFonts w:eastAsia="SimSun" w:cs="Calibri"/>
          <w:b/>
          <w:bCs/>
          <w:sz w:val="24"/>
          <w:szCs w:val="24"/>
          <w:lang w:eastAsia="en-GB"/>
        </w:rPr>
      </w:pPr>
      <w:r>
        <w:rPr>
          <w:rFonts w:eastAsia="SimSun" w:cs="Calibri"/>
          <w:b/>
          <w:bCs/>
          <w:sz w:val="24"/>
          <w:szCs w:val="24"/>
          <w:lang w:eastAsia="en-GB"/>
        </w:rPr>
        <w:t>II</w:t>
      </w:r>
      <w:r w:rsidRPr="004C14FE">
        <w:rPr>
          <w:rFonts w:eastAsia="SimSun" w:cs="Calibri"/>
          <w:b/>
          <w:bCs/>
          <w:sz w:val="24"/>
          <w:szCs w:val="24"/>
          <w:lang w:eastAsia="en-GB"/>
        </w:rPr>
        <w:t>. Conviction.</w:t>
      </w:r>
    </w:p>
    <w:p w:rsidR="0008685E" w:rsidRDefault="00952BF1" w:rsidP="001C16FE">
      <w:pPr>
        <w:spacing w:after="120" w:line="480" w:lineRule="auto"/>
        <w:rPr>
          <w:rFonts w:eastAsia="SimSun" w:cs="Calibri"/>
          <w:sz w:val="24"/>
          <w:szCs w:val="24"/>
          <w:lang w:eastAsia="en-GB"/>
        </w:rPr>
      </w:pPr>
      <w:r>
        <w:rPr>
          <w:rFonts w:eastAsia="SimSun" w:cs="Calibri"/>
          <w:sz w:val="24"/>
          <w:szCs w:val="24"/>
          <w:lang w:eastAsia="en-GB"/>
        </w:rPr>
        <w:t>I</w:t>
      </w:r>
      <w:r w:rsidRPr="00952BF1">
        <w:rPr>
          <w:rFonts w:eastAsia="SimSun" w:cs="Calibri"/>
          <w:sz w:val="24"/>
          <w:szCs w:val="24"/>
          <w:lang w:eastAsia="en-GB"/>
        </w:rPr>
        <w:t xml:space="preserve">n the preface to the </w:t>
      </w:r>
      <w:r w:rsidRPr="00952BF1">
        <w:rPr>
          <w:rFonts w:eastAsia="SimSun" w:cs="Calibri"/>
          <w:i/>
          <w:sz w:val="24"/>
          <w:szCs w:val="24"/>
          <w:lang w:eastAsia="en-GB"/>
        </w:rPr>
        <w:t>Institutes</w:t>
      </w:r>
      <w:r w:rsidRPr="00952BF1">
        <w:rPr>
          <w:rFonts w:eastAsia="SimSun" w:cs="Calibri"/>
          <w:sz w:val="24"/>
          <w:szCs w:val="24"/>
          <w:lang w:eastAsia="en-GB"/>
        </w:rPr>
        <w:t xml:space="preserve"> </w:t>
      </w:r>
      <w:r w:rsidRPr="00952BF1">
        <w:rPr>
          <w:rFonts w:eastAsia="SimSun" w:cs="Calibri"/>
          <w:i/>
          <w:sz w:val="24"/>
          <w:szCs w:val="24"/>
          <w:lang w:eastAsia="en-GB"/>
        </w:rPr>
        <w:t>of Natural and Revealed Religion</w:t>
      </w:r>
      <w:r w:rsidRPr="00952BF1">
        <w:rPr>
          <w:rFonts w:eastAsia="SimSun" w:cs="Calibri"/>
          <w:sz w:val="24"/>
          <w:szCs w:val="24"/>
          <w:lang w:eastAsia="en-GB"/>
        </w:rPr>
        <w:t xml:space="preserve"> Priestley t</w:t>
      </w:r>
      <w:r w:rsidR="001C16FE">
        <w:rPr>
          <w:rFonts w:eastAsia="SimSun" w:cs="Calibri"/>
          <w:sz w:val="24"/>
          <w:szCs w:val="24"/>
          <w:lang w:eastAsia="en-GB"/>
        </w:rPr>
        <w:t>old</w:t>
      </w:r>
      <w:r w:rsidRPr="00952BF1">
        <w:rPr>
          <w:rFonts w:eastAsia="SimSun" w:cs="Calibri"/>
          <w:sz w:val="24"/>
          <w:szCs w:val="24"/>
          <w:lang w:eastAsia="en-GB"/>
        </w:rPr>
        <w:t xml:space="preserve"> his young readers that he aimed at “Conviction” (</w:t>
      </w:r>
      <w:r w:rsidRPr="00952BF1">
        <w:rPr>
          <w:rFonts w:eastAsia="SimSun" w:cs="Calibri"/>
          <w:i/>
          <w:iCs/>
          <w:sz w:val="24"/>
          <w:szCs w:val="24"/>
          <w:lang w:eastAsia="en-GB"/>
        </w:rPr>
        <w:t>Works</w:t>
      </w:r>
      <w:r w:rsidRPr="00952BF1">
        <w:rPr>
          <w:rFonts w:eastAsia="SimSun" w:cs="Calibri"/>
          <w:sz w:val="24"/>
          <w:szCs w:val="24"/>
          <w:lang w:eastAsia="en-GB"/>
        </w:rPr>
        <w:t xml:space="preserve"> 2. xx), which is a rhetorical effect, or the end of a series of such effects</w:t>
      </w:r>
      <w:r>
        <w:rPr>
          <w:rFonts w:eastAsia="SimSun" w:cs="Calibri"/>
          <w:sz w:val="24"/>
          <w:szCs w:val="24"/>
          <w:lang w:eastAsia="en-GB"/>
        </w:rPr>
        <w:t>.</w:t>
      </w:r>
      <w:r w:rsidRPr="00952BF1">
        <w:rPr>
          <w:rFonts w:eastAsia="SimSun" w:cs="Calibri"/>
          <w:sz w:val="24"/>
          <w:szCs w:val="24"/>
          <w:lang w:eastAsia="en-GB"/>
        </w:rPr>
        <w:t xml:space="preserve"> </w:t>
      </w:r>
      <w:r w:rsidR="001C16FE">
        <w:rPr>
          <w:rFonts w:eastAsia="SimSun" w:cs="Calibri"/>
          <w:sz w:val="24"/>
          <w:szCs w:val="24"/>
          <w:lang w:eastAsia="en-GB"/>
        </w:rPr>
        <w:t>He</w:t>
      </w:r>
      <w:r w:rsidR="0008685E" w:rsidRPr="00F43C1D">
        <w:rPr>
          <w:rFonts w:eastAsia="SimSun" w:cs="Calibri"/>
          <w:sz w:val="24"/>
          <w:szCs w:val="24"/>
          <w:lang w:eastAsia="en-GB"/>
        </w:rPr>
        <w:t xml:space="preserve"> base</w:t>
      </w:r>
      <w:r w:rsidR="0008685E">
        <w:rPr>
          <w:rFonts w:eastAsia="SimSun" w:cs="Calibri"/>
          <w:sz w:val="24"/>
          <w:szCs w:val="24"/>
          <w:lang w:eastAsia="en-GB"/>
        </w:rPr>
        <w:t>s</w:t>
      </w:r>
      <w:r w:rsidR="0008685E" w:rsidRPr="00F43C1D">
        <w:rPr>
          <w:rFonts w:eastAsia="SimSun" w:cs="Calibri"/>
          <w:sz w:val="24"/>
          <w:szCs w:val="24"/>
          <w:lang w:eastAsia="en-GB"/>
        </w:rPr>
        <w:t xml:space="preserve"> </w:t>
      </w:r>
      <w:r w:rsidR="0008685E">
        <w:rPr>
          <w:rFonts w:eastAsia="SimSun" w:cs="Calibri"/>
          <w:sz w:val="24"/>
          <w:szCs w:val="24"/>
          <w:lang w:eastAsia="en-GB"/>
        </w:rPr>
        <w:t xml:space="preserve">his </w:t>
      </w:r>
      <w:r w:rsidR="0008685E" w:rsidRPr="00F43C1D">
        <w:rPr>
          <w:rFonts w:eastAsia="SimSun" w:cs="Calibri"/>
          <w:sz w:val="24"/>
          <w:szCs w:val="24"/>
          <w:lang w:eastAsia="en-GB"/>
        </w:rPr>
        <w:t xml:space="preserve">movement to </w:t>
      </w:r>
      <w:r>
        <w:rPr>
          <w:rFonts w:eastAsia="SimSun" w:cs="Calibri"/>
          <w:sz w:val="24"/>
          <w:szCs w:val="24"/>
          <w:lang w:eastAsia="en-GB"/>
        </w:rPr>
        <w:t>“</w:t>
      </w:r>
      <w:r w:rsidR="0008685E" w:rsidRPr="00F43C1D">
        <w:rPr>
          <w:rFonts w:eastAsia="SimSun" w:cs="Calibri"/>
          <w:sz w:val="24"/>
          <w:szCs w:val="24"/>
          <w:lang w:eastAsia="en-GB"/>
        </w:rPr>
        <w:t>conviction</w:t>
      </w:r>
      <w:r>
        <w:rPr>
          <w:rFonts w:eastAsia="SimSun" w:cs="Calibri"/>
          <w:sz w:val="24"/>
          <w:szCs w:val="24"/>
          <w:lang w:eastAsia="en-GB"/>
        </w:rPr>
        <w:t>”</w:t>
      </w:r>
      <w:r w:rsidR="0008685E" w:rsidRPr="00F43C1D">
        <w:rPr>
          <w:rFonts w:eastAsia="SimSun" w:cs="Calibri"/>
          <w:sz w:val="24"/>
          <w:szCs w:val="24"/>
          <w:lang w:eastAsia="en-GB"/>
        </w:rPr>
        <w:t xml:space="preserve"> on the reasonableness of an appeal to readers who are posited as similarly reasonable and who weigh the balance of probabilities. However, his is a different kind of rational procedure from Benjamin Franklin’s or that of another friend, Jeremy Bentham – it is about probability and the reliability of witnesses.</w:t>
      </w:r>
      <w:r w:rsidR="0008685E">
        <w:rPr>
          <w:rFonts w:eastAsia="SimSun" w:cs="Calibri"/>
          <w:sz w:val="24"/>
          <w:szCs w:val="24"/>
          <w:lang w:eastAsia="en-GB"/>
        </w:rPr>
        <w:t xml:space="preserve">  That</w:t>
      </w:r>
      <w:r w:rsidR="0008685E" w:rsidRPr="004C14FE">
        <w:rPr>
          <w:rFonts w:eastAsia="SimSun" w:cs="Calibri"/>
          <w:sz w:val="24"/>
          <w:szCs w:val="24"/>
          <w:lang w:eastAsia="en-GB"/>
        </w:rPr>
        <w:t xml:space="preserve"> is evident in the way Priestley undertakes to explain the realms o</w:t>
      </w:r>
      <w:r w:rsidR="0008685E">
        <w:rPr>
          <w:rFonts w:eastAsia="SimSun" w:cs="Calibri"/>
          <w:sz w:val="24"/>
          <w:szCs w:val="24"/>
          <w:lang w:eastAsia="en-GB"/>
        </w:rPr>
        <w:t>f natural and revealed religion</w:t>
      </w:r>
      <w:r w:rsidR="0008685E" w:rsidRPr="004C14FE">
        <w:rPr>
          <w:rFonts w:eastAsia="SimSun" w:cs="Calibri"/>
          <w:sz w:val="24"/>
          <w:szCs w:val="24"/>
          <w:lang w:eastAsia="en-GB"/>
        </w:rPr>
        <w:t xml:space="preserve"> </w:t>
      </w:r>
      <w:r w:rsidR="00C819CD">
        <w:rPr>
          <w:rFonts w:eastAsia="SimSun" w:cs="Calibri"/>
          <w:sz w:val="24"/>
          <w:szCs w:val="24"/>
          <w:lang w:eastAsia="en-GB"/>
        </w:rPr>
        <w:t>–</w:t>
      </w:r>
      <w:r w:rsidR="0008685E" w:rsidRPr="004C14FE">
        <w:rPr>
          <w:rFonts w:eastAsia="SimSun" w:cs="Calibri"/>
          <w:sz w:val="24"/>
          <w:szCs w:val="24"/>
          <w:lang w:eastAsia="en-GB"/>
        </w:rPr>
        <w:t xml:space="preserve"> the works and the word of God</w:t>
      </w:r>
      <w:r w:rsidR="00C819CD" w:rsidRPr="00C819CD">
        <w:rPr>
          <w:rFonts w:eastAsia="SimSun" w:cs="Calibri"/>
          <w:sz w:val="24"/>
          <w:szCs w:val="24"/>
          <w:lang w:eastAsia="en-GB"/>
        </w:rPr>
        <w:t xml:space="preserve"> – </w:t>
      </w:r>
      <w:r w:rsidR="0008685E" w:rsidRPr="004C14FE">
        <w:rPr>
          <w:rFonts w:eastAsia="SimSun" w:cs="Calibri"/>
          <w:sz w:val="24"/>
          <w:szCs w:val="24"/>
          <w:lang w:eastAsia="en-GB"/>
        </w:rPr>
        <w:t xml:space="preserve">in his </w:t>
      </w:r>
      <w:r w:rsidR="0008685E" w:rsidRPr="004C14FE">
        <w:rPr>
          <w:rFonts w:eastAsia="SimSun" w:cs="Calibri"/>
          <w:i/>
          <w:sz w:val="24"/>
          <w:szCs w:val="24"/>
          <w:lang w:eastAsia="en-GB"/>
        </w:rPr>
        <w:t>Institutes of Natural and Revealed Religion</w:t>
      </w:r>
      <w:r w:rsidR="0008685E" w:rsidRPr="004C14FE">
        <w:rPr>
          <w:rFonts w:eastAsia="SimSun" w:cs="Calibri"/>
          <w:sz w:val="24"/>
          <w:szCs w:val="24"/>
          <w:lang w:eastAsia="en-GB"/>
        </w:rPr>
        <w:t xml:space="preserve"> of 1772-4. </w:t>
      </w:r>
    </w:p>
    <w:p w:rsidR="0008685E" w:rsidRDefault="0008685E" w:rsidP="006C5BE6">
      <w:pPr>
        <w:spacing w:after="120" w:line="480" w:lineRule="auto"/>
        <w:ind w:firstLine="540"/>
        <w:rPr>
          <w:rFonts w:eastAsia="SimSun" w:cs="Calibri"/>
          <w:sz w:val="24"/>
          <w:szCs w:val="24"/>
          <w:lang w:eastAsia="en-GB"/>
        </w:rPr>
      </w:pPr>
      <w:r w:rsidRPr="004C14FE">
        <w:rPr>
          <w:rFonts w:eastAsia="SimSun" w:cs="Calibri"/>
          <w:sz w:val="24"/>
          <w:szCs w:val="24"/>
          <w:lang w:eastAsia="en-GB"/>
        </w:rPr>
        <w:t>Natural religion is that which is everywhere about us, while revealed religion is what the Bible reveals and thus is anterior,  already mediated and needing  further exposition, or what might be called hermeneutic support. The reason the Bible might be in need of support was that the claims of Priestley and others for rational religion could not depend on the same kind of rational test</w:t>
      </w:r>
      <w:r>
        <w:rPr>
          <w:rFonts w:eastAsia="SimSun" w:cs="Calibri"/>
          <w:sz w:val="24"/>
          <w:szCs w:val="24"/>
          <w:lang w:eastAsia="en-GB"/>
        </w:rPr>
        <w:t xml:space="preserve"> as in experiments with electricity or gases</w:t>
      </w:r>
      <w:r w:rsidRPr="004C14FE">
        <w:rPr>
          <w:rFonts w:eastAsia="SimSun" w:cs="Calibri"/>
          <w:sz w:val="24"/>
          <w:szCs w:val="24"/>
          <w:lang w:eastAsia="en-GB"/>
        </w:rPr>
        <w:t xml:space="preserve">. The </w:t>
      </w:r>
      <w:r w:rsidRPr="004C14FE">
        <w:rPr>
          <w:rFonts w:eastAsia="SimSun" w:cs="Calibri"/>
          <w:i/>
          <w:iCs/>
          <w:sz w:val="24"/>
          <w:szCs w:val="24"/>
          <w:lang w:eastAsia="en-GB"/>
        </w:rPr>
        <w:t>Institutes</w:t>
      </w:r>
      <w:r w:rsidRPr="004C14FE">
        <w:rPr>
          <w:rFonts w:eastAsia="SimSun" w:cs="Calibri"/>
          <w:sz w:val="24"/>
          <w:szCs w:val="24"/>
          <w:lang w:eastAsia="en-GB"/>
        </w:rPr>
        <w:t xml:space="preserve"> is a primer of doctrine, aimed at younger readers. </w:t>
      </w:r>
      <w:r>
        <w:rPr>
          <w:rFonts w:eastAsia="SimSun" w:cs="Calibri"/>
          <w:sz w:val="24"/>
          <w:szCs w:val="24"/>
          <w:lang w:eastAsia="en-GB"/>
        </w:rPr>
        <w:t>A</w:t>
      </w:r>
      <w:r w:rsidRPr="004C14FE">
        <w:rPr>
          <w:rFonts w:eastAsia="SimSun" w:cs="Calibri"/>
          <w:sz w:val="24"/>
          <w:szCs w:val="24"/>
          <w:lang w:eastAsia="en-GB"/>
        </w:rPr>
        <w:t>rgu</w:t>
      </w:r>
      <w:r>
        <w:rPr>
          <w:rFonts w:eastAsia="SimSun" w:cs="Calibri"/>
          <w:sz w:val="24"/>
          <w:szCs w:val="24"/>
          <w:lang w:eastAsia="en-GB"/>
        </w:rPr>
        <w:t>ing</w:t>
      </w:r>
      <w:r w:rsidRPr="004C14FE">
        <w:rPr>
          <w:rFonts w:eastAsia="SimSun" w:cs="Calibri"/>
          <w:sz w:val="24"/>
          <w:szCs w:val="24"/>
          <w:lang w:eastAsia="en-GB"/>
        </w:rPr>
        <w:t xml:space="preserve"> against atheists and scepti</w:t>
      </w:r>
      <w:r>
        <w:rPr>
          <w:rFonts w:eastAsia="SimSun" w:cs="Calibri"/>
          <w:sz w:val="24"/>
          <w:szCs w:val="24"/>
          <w:lang w:eastAsia="en-GB"/>
        </w:rPr>
        <w:t>cs</w:t>
      </w:r>
      <w:r w:rsidRPr="004C14FE">
        <w:rPr>
          <w:rFonts w:eastAsia="SimSun" w:cs="Calibri"/>
          <w:sz w:val="24"/>
          <w:szCs w:val="24"/>
          <w:lang w:eastAsia="en-GB"/>
        </w:rPr>
        <w:t xml:space="preserve">, </w:t>
      </w:r>
      <w:r>
        <w:rPr>
          <w:rFonts w:eastAsia="SimSun" w:cs="Calibri"/>
          <w:sz w:val="24"/>
          <w:szCs w:val="24"/>
          <w:lang w:eastAsia="en-GB"/>
        </w:rPr>
        <w:t>it</w:t>
      </w:r>
      <w:r w:rsidRPr="004C14FE">
        <w:rPr>
          <w:rFonts w:eastAsia="SimSun" w:cs="Calibri"/>
          <w:sz w:val="24"/>
          <w:szCs w:val="24"/>
          <w:lang w:eastAsia="en-GB"/>
        </w:rPr>
        <w:t xml:space="preserve"> has to do different work from Priestley’s later </w:t>
      </w:r>
      <w:r w:rsidRPr="004C14FE">
        <w:rPr>
          <w:rFonts w:eastAsia="SimSun" w:cs="Calibri"/>
          <w:i/>
          <w:iCs/>
          <w:sz w:val="24"/>
          <w:szCs w:val="24"/>
          <w:lang w:eastAsia="en-GB"/>
        </w:rPr>
        <w:t>History of the Corruptions of Christianity</w:t>
      </w:r>
      <w:r w:rsidRPr="004C14FE">
        <w:rPr>
          <w:rFonts w:eastAsia="SimSun" w:cs="Calibri"/>
          <w:sz w:val="24"/>
          <w:szCs w:val="24"/>
          <w:lang w:eastAsia="en-GB"/>
        </w:rPr>
        <w:t xml:space="preserve"> (1782) which, in anatomising what he saw as heresies and doctrinal accretions upon primitive Christianity, caused more controversy.</w:t>
      </w:r>
    </w:p>
    <w:p w:rsidR="0008685E" w:rsidRDefault="0008685E" w:rsidP="001D127A">
      <w:pPr>
        <w:spacing w:after="120" w:line="480" w:lineRule="auto"/>
        <w:ind w:firstLine="540"/>
        <w:rPr>
          <w:rFonts w:eastAsia="SimSun" w:cs="Calibri"/>
          <w:sz w:val="20"/>
          <w:szCs w:val="20"/>
          <w:lang w:eastAsia="en-GB"/>
        </w:rPr>
      </w:pPr>
      <w:r w:rsidRPr="004C14FE">
        <w:rPr>
          <w:rFonts w:eastAsia="SimSun" w:cs="Calibri"/>
          <w:sz w:val="24"/>
          <w:szCs w:val="24"/>
          <w:lang w:eastAsia="en-GB"/>
        </w:rPr>
        <w:t xml:space="preserve">Priestley’s </w:t>
      </w:r>
      <w:r w:rsidRPr="004C14FE">
        <w:rPr>
          <w:rFonts w:eastAsia="SimSun" w:cs="Calibri"/>
          <w:i/>
          <w:sz w:val="24"/>
          <w:szCs w:val="24"/>
          <w:lang w:eastAsia="en-GB"/>
        </w:rPr>
        <w:t>Institutes</w:t>
      </w:r>
      <w:r w:rsidRPr="004C14FE">
        <w:rPr>
          <w:rFonts w:eastAsia="SimSun" w:cs="Calibri"/>
          <w:sz w:val="24"/>
          <w:szCs w:val="24"/>
          <w:lang w:eastAsia="en-GB"/>
        </w:rPr>
        <w:t xml:space="preserve"> were among the works he recommended to Franklin in a failed bid to convert him from a Deism that Priestley worried was effectively atheism (</w:t>
      </w:r>
      <w:r w:rsidRPr="004C14FE">
        <w:rPr>
          <w:rFonts w:eastAsia="SimSun" w:cs="Calibri"/>
          <w:i/>
          <w:iCs/>
          <w:sz w:val="24"/>
          <w:szCs w:val="24"/>
          <w:lang w:eastAsia="en-GB"/>
        </w:rPr>
        <w:t>Works</w:t>
      </w:r>
      <w:r w:rsidRPr="004C14FE">
        <w:rPr>
          <w:rFonts w:eastAsia="SimSun" w:cs="Calibri"/>
          <w:sz w:val="24"/>
          <w:szCs w:val="24"/>
          <w:lang w:eastAsia="en-GB"/>
        </w:rPr>
        <w:t xml:space="preserve"> 1.i. 212). Priestley tends to keep separate the </w:t>
      </w:r>
      <w:r w:rsidR="00CB5C9C">
        <w:rPr>
          <w:rFonts w:eastAsia="SimSun" w:cs="Calibri"/>
          <w:sz w:val="24"/>
          <w:szCs w:val="24"/>
          <w:lang w:eastAsia="en-GB"/>
        </w:rPr>
        <w:t>“</w:t>
      </w:r>
      <w:r w:rsidRPr="004C14FE">
        <w:rPr>
          <w:rFonts w:eastAsia="SimSun" w:cs="Calibri"/>
          <w:sz w:val="24"/>
          <w:szCs w:val="24"/>
          <w:lang w:eastAsia="en-GB"/>
        </w:rPr>
        <w:t>philosophy</w:t>
      </w:r>
      <w:r w:rsidR="00CB5C9C">
        <w:rPr>
          <w:rFonts w:eastAsia="SimSun" w:cs="Calibri"/>
          <w:sz w:val="24"/>
          <w:szCs w:val="24"/>
          <w:lang w:eastAsia="en-GB"/>
        </w:rPr>
        <w:t>”</w:t>
      </w:r>
      <w:r w:rsidRPr="004C14FE">
        <w:rPr>
          <w:rFonts w:eastAsia="SimSun" w:cs="Calibri"/>
          <w:sz w:val="24"/>
          <w:szCs w:val="24"/>
          <w:lang w:eastAsia="en-GB"/>
        </w:rPr>
        <w:t xml:space="preserve"> and the politics – there is a rare instance of scientific metaphor when he </w:t>
      </w:r>
      <w:r>
        <w:rPr>
          <w:rFonts w:eastAsia="SimSun" w:cs="Calibri"/>
          <w:sz w:val="24"/>
          <w:szCs w:val="24"/>
          <w:lang w:eastAsia="en-GB"/>
        </w:rPr>
        <w:t>ci</w:t>
      </w:r>
      <w:r w:rsidRPr="004C14FE">
        <w:rPr>
          <w:rFonts w:eastAsia="SimSun" w:cs="Calibri"/>
          <w:sz w:val="24"/>
          <w:szCs w:val="24"/>
          <w:lang w:eastAsia="en-GB"/>
        </w:rPr>
        <w:t xml:space="preserve">tes Franklin’s experiments </w:t>
      </w:r>
      <w:r>
        <w:rPr>
          <w:rFonts w:eastAsia="SimSun" w:cs="Calibri"/>
          <w:sz w:val="24"/>
          <w:szCs w:val="24"/>
          <w:lang w:eastAsia="en-GB"/>
        </w:rPr>
        <w:t xml:space="preserve">to argue that </w:t>
      </w:r>
      <w:r w:rsidR="001D127A">
        <w:rPr>
          <w:rFonts w:eastAsia="SimSun" w:cs="Calibri"/>
          <w:sz w:val="24"/>
          <w:szCs w:val="24"/>
          <w:lang w:eastAsia="en-GB"/>
        </w:rPr>
        <w:t xml:space="preserve">if </w:t>
      </w:r>
      <w:r>
        <w:rPr>
          <w:rFonts w:eastAsia="SimSun" w:cs="Calibri"/>
          <w:sz w:val="24"/>
          <w:szCs w:val="24"/>
          <w:lang w:eastAsia="en-GB"/>
        </w:rPr>
        <w:t xml:space="preserve">the court </w:t>
      </w:r>
      <w:r w:rsidR="001D127A">
        <w:rPr>
          <w:rFonts w:eastAsia="SimSun" w:cs="Calibri"/>
          <w:sz w:val="24"/>
          <w:szCs w:val="24"/>
          <w:lang w:eastAsia="en-GB"/>
        </w:rPr>
        <w:t xml:space="preserve">were to </w:t>
      </w:r>
      <w:r>
        <w:rPr>
          <w:rFonts w:eastAsia="SimSun" w:cs="Calibri"/>
          <w:sz w:val="24"/>
          <w:szCs w:val="24"/>
          <w:lang w:eastAsia="en-GB"/>
        </w:rPr>
        <w:t>interven</w:t>
      </w:r>
      <w:r w:rsidR="001D127A">
        <w:rPr>
          <w:rFonts w:eastAsia="SimSun" w:cs="Calibri"/>
          <w:sz w:val="24"/>
          <w:szCs w:val="24"/>
          <w:lang w:eastAsia="en-GB"/>
        </w:rPr>
        <w:t>e</w:t>
      </w:r>
      <w:r>
        <w:rPr>
          <w:rFonts w:eastAsia="SimSun" w:cs="Calibri"/>
          <w:sz w:val="24"/>
          <w:szCs w:val="24"/>
          <w:lang w:eastAsia="en-GB"/>
        </w:rPr>
        <w:t xml:space="preserve"> to </w:t>
      </w:r>
      <w:r w:rsidR="001D127A">
        <w:rPr>
          <w:rFonts w:eastAsia="SimSun" w:cs="Calibri"/>
          <w:sz w:val="24"/>
          <w:szCs w:val="24"/>
          <w:lang w:eastAsia="en-GB"/>
        </w:rPr>
        <w:t xml:space="preserve">protect </w:t>
      </w:r>
      <w:r>
        <w:rPr>
          <w:rFonts w:eastAsia="SimSun" w:cs="Calibri"/>
          <w:sz w:val="24"/>
          <w:szCs w:val="24"/>
          <w:lang w:eastAsia="en-GB"/>
        </w:rPr>
        <w:t>dissent</w:t>
      </w:r>
      <w:r w:rsidR="001D127A">
        <w:rPr>
          <w:rFonts w:eastAsia="SimSun" w:cs="Calibri"/>
          <w:sz w:val="24"/>
          <w:szCs w:val="24"/>
          <w:lang w:eastAsia="en-GB"/>
        </w:rPr>
        <w:t>ers it</w:t>
      </w:r>
      <w:r w:rsidR="00ED17C3">
        <w:rPr>
          <w:rFonts w:eastAsia="SimSun" w:cs="Calibri"/>
          <w:sz w:val="24"/>
          <w:szCs w:val="24"/>
          <w:lang w:eastAsia="en-GB"/>
        </w:rPr>
        <w:t xml:space="preserve"> would</w:t>
      </w:r>
      <w:r>
        <w:rPr>
          <w:rFonts w:eastAsia="SimSun" w:cs="Calibri"/>
          <w:sz w:val="24"/>
          <w:szCs w:val="24"/>
          <w:lang w:eastAsia="en-GB"/>
        </w:rPr>
        <w:t xml:space="preserve"> </w:t>
      </w:r>
      <w:r w:rsidR="00ED17C3">
        <w:rPr>
          <w:rFonts w:eastAsia="SimSun" w:cs="Calibri"/>
          <w:sz w:val="24"/>
          <w:szCs w:val="24"/>
          <w:lang w:eastAsia="en-GB"/>
        </w:rPr>
        <w:t>“</w:t>
      </w:r>
      <w:r>
        <w:rPr>
          <w:rFonts w:eastAsia="SimSun" w:cs="Calibri"/>
          <w:sz w:val="24"/>
          <w:szCs w:val="24"/>
          <w:lang w:eastAsia="en-GB"/>
        </w:rPr>
        <w:t xml:space="preserve">be like throwing a few drops of </w:t>
      </w:r>
      <w:proofErr w:type="spellStart"/>
      <w:r>
        <w:rPr>
          <w:rFonts w:eastAsia="SimSun" w:cs="Calibri"/>
          <w:sz w:val="24"/>
          <w:szCs w:val="24"/>
          <w:lang w:eastAsia="en-GB"/>
        </w:rPr>
        <w:t>Dr.</w:t>
      </w:r>
      <w:proofErr w:type="spellEnd"/>
      <w:r>
        <w:rPr>
          <w:rFonts w:eastAsia="SimSun" w:cs="Calibri"/>
          <w:sz w:val="24"/>
          <w:szCs w:val="24"/>
          <w:lang w:eastAsia="en-GB"/>
        </w:rPr>
        <w:t xml:space="preserve"> Franklin’s oil upon the waves, </w:t>
      </w:r>
      <w:r w:rsidR="00ED17C3">
        <w:rPr>
          <w:rFonts w:eastAsia="SimSun" w:cs="Calibri"/>
          <w:sz w:val="24"/>
          <w:szCs w:val="24"/>
          <w:lang w:eastAsia="en-GB"/>
        </w:rPr>
        <w:t>[and]</w:t>
      </w:r>
      <w:r>
        <w:rPr>
          <w:rFonts w:eastAsia="SimSun" w:cs="Calibri"/>
          <w:sz w:val="24"/>
          <w:szCs w:val="24"/>
          <w:lang w:eastAsia="en-GB"/>
        </w:rPr>
        <w:t xml:space="preserve"> will make their troubled waters as smooth as a looking-glass</w:t>
      </w:r>
      <w:r w:rsidR="00ED17C3">
        <w:rPr>
          <w:rFonts w:eastAsia="SimSun" w:cs="Calibri"/>
          <w:sz w:val="24"/>
          <w:szCs w:val="24"/>
          <w:lang w:eastAsia="en-GB"/>
        </w:rPr>
        <w:t>”</w:t>
      </w:r>
      <w:r>
        <w:rPr>
          <w:rFonts w:eastAsia="SimSun" w:cs="Calibri"/>
          <w:sz w:val="24"/>
          <w:szCs w:val="24"/>
          <w:lang w:eastAsia="en-GB"/>
        </w:rPr>
        <w:t xml:space="preserve"> </w:t>
      </w:r>
      <w:r w:rsidRPr="004C14FE">
        <w:rPr>
          <w:rFonts w:eastAsia="SimSun" w:cs="Calibri"/>
          <w:sz w:val="24"/>
          <w:szCs w:val="24"/>
          <w:lang w:eastAsia="en-GB"/>
        </w:rPr>
        <w:t>(</w:t>
      </w:r>
      <w:r w:rsidRPr="004C14FE">
        <w:rPr>
          <w:rFonts w:eastAsia="SimSun" w:cs="Calibri"/>
          <w:i/>
          <w:iCs/>
          <w:sz w:val="24"/>
          <w:szCs w:val="24"/>
          <w:lang w:eastAsia="en-GB"/>
        </w:rPr>
        <w:t>Works</w:t>
      </w:r>
      <w:r w:rsidRPr="004C14FE">
        <w:rPr>
          <w:rFonts w:eastAsia="SimSun" w:cs="Calibri"/>
          <w:sz w:val="24"/>
          <w:szCs w:val="24"/>
          <w:lang w:eastAsia="en-GB"/>
        </w:rPr>
        <w:t xml:space="preserve"> 19. 170).</w:t>
      </w:r>
      <w:r w:rsidRPr="004C14FE">
        <w:rPr>
          <w:rFonts w:eastAsia="SimSun" w:cs="Calibri"/>
          <w:sz w:val="20"/>
          <w:szCs w:val="24"/>
          <w:vertAlign w:val="superscript"/>
          <w:lang w:eastAsia="en-GB"/>
        </w:rPr>
        <w:footnoteReference w:id="23"/>
      </w:r>
      <w:r w:rsidRPr="004C14FE">
        <w:rPr>
          <w:rFonts w:eastAsia="SimSun" w:cs="Calibri"/>
          <w:sz w:val="24"/>
          <w:szCs w:val="24"/>
          <w:lang w:eastAsia="en-GB"/>
        </w:rPr>
        <w:t xml:space="preserve"> The elicitation of theological from philosophical principles (from materialism and </w:t>
      </w:r>
      <w:proofErr w:type="spellStart"/>
      <w:r w:rsidRPr="004C14FE">
        <w:rPr>
          <w:rFonts w:eastAsia="SimSun" w:cs="Calibri"/>
          <w:sz w:val="24"/>
          <w:szCs w:val="24"/>
          <w:lang w:eastAsia="en-GB"/>
        </w:rPr>
        <w:t>necessitarianism</w:t>
      </w:r>
      <w:proofErr w:type="spellEnd"/>
      <w:r w:rsidRPr="004C14FE">
        <w:rPr>
          <w:rFonts w:eastAsia="SimSun" w:cs="Calibri"/>
          <w:sz w:val="24"/>
          <w:szCs w:val="24"/>
          <w:lang w:eastAsia="en-GB"/>
        </w:rPr>
        <w:t xml:space="preserve">) was more controversial.  The goal of Priestley’s arguments </w:t>
      </w:r>
      <w:r w:rsidR="001D127A">
        <w:rPr>
          <w:rFonts w:eastAsia="SimSun" w:cs="Calibri"/>
          <w:sz w:val="24"/>
          <w:szCs w:val="24"/>
          <w:lang w:eastAsia="en-GB"/>
        </w:rPr>
        <w:t>wa</w:t>
      </w:r>
      <w:r w:rsidRPr="004C14FE">
        <w:rPr>
          <w:rFonts w:eastAsia="SimSun" w:cs="Calibri"/>
          <w:sz w:val="24"/>
          <w:szCs w:val="24"/>
          <w:lang w:eastAsia="en-GB"/>
        </w:rPr>
        <w:t xml:space="preserve">s always to secure </w:t>
      </w:r>
      <w:r w:rsidR="00CB5C9C">
        <w:rPr>
          <w:rFonts w:eastAsia="SimSun" w:cs="Calibri"/>
          <w:sz w:val="24"/>
          <w:szCs w:val="24"/>
          <w:lang w:eastAsia="en-GB"/>
        </w:rPr>
        <w:t>“</w:t>
      </w:r>
      <w:r w:rsidRPr="004C14FE">
        <w:rPr>
          <w:rFonts w:eastAsia="SimSun" w:cs="Calibri"/>
          <w:sz w:val="24"/>
          <w:szCs w:val="24"/>
          <w:lang w:eastAsia="en-GB"/>
        </w:rPr>
        <w:t>conviction</w:t>
      </w:r>
      <w:r w:rsidR="00CB5C9C">
        <w:rPr>
          <w:rFonts w:eastAsia="SimSun" w:cs="Calibri"/>
          <w:sz w:val="24"/>
          <w:szCs w:val="24"/>
          <w:lang w:eastAsia="en-GB"/>
        </w:rPr>
        <w:t>”</w:t>
      </w:r>
      <w:r w:rsidRPr="004C14FE">
        <w:rPr>
          <w:rFonts w:eastAsia="SimSun" w:cs="Calibri"/>
          <w:sz w:val="24"/>
          <w:szCs w:val="24"/>
          <w:lang w:eastAsia="en-GB"/>
        </w:rPr>
        <w:t xml:space="preserve"> and in that sense there is more than an analogical relation to Bentham’s employment of similar arguments to secure convictions in legal cases.</w:t>
      </w:r>
      <w:r w:rsidRPr="003225E9">
        <w:rPr>
          <w:rFonts w:eastAsia="SimSun" w:cs="Calibri"/>
          <w:sz w:val="20"/>
          <w:szCs w:val="20"/>
          <w:vertAlign w:val="superscript"/>
          <w:lang w:eastAsia="en-GB"/>
        </w:rPr>
        <w:footnoteReference w:id="24"/>
      </w:r>
      <w:r w:rsidRPr="004C14FE">
        <w:rPr>
          <w:rFonts w:eastAsia="SimSun" w:cs="Calibri"/>
          <w:sz w:val="24"/>
          <w:szCs w:val="24"/>
          <w:lang w:eastAsia="en-GB"/>
        </w:rPr>
        <w:t xml:space="preserve">  The applicability of the language and methods of experimental science to ethical schemes was not, however, always obvious. Neither Coleridge’s aspiration to </w:t>
      </w:r>
      <w:r w:rsidR="00CB5C9C">
        <w:rPr>
          <w:rFonts w:eastAsia="SimSun" w:cs="Calibri"/>
          <w:sz w:val="24"/>
          <w:szCs w:val="24"/>
          <w:lang w:eastAsia="en-GB"/>
        </w:rPr>
        <w:t>“</w:t>
      </w:r>
      <w:r w:rsidRPr="004C14FE">
        <w:rPr>
          <w:rFonts w:eastAsia="SimSun" w:cs="Calibri"/>
          <w:sz w:val="24"/>
          <w:szCs w:val="24"/>
          <w:lang w:eastAsia="en-GB"/>
        </w:rPr>
        <w:t>Transfer the proofs of natural to moral Sciences</w:t>
      </w:r>
      <w:r w:rsidR="00CB5C9C">
        <w:rPr>
          <w:rFonts w:eastAsia="SimSun" w:cs="Calibri"/>
          <w:sz w:val="24"/>
          <w:szCs w:val="24"/>
          <w:lang w:eastAsia="en-GB"/>
        </w:rPr>
        <w:t>”</w:t>
      </w:r>
      <w:r w:rsidRPr="004C14FE">
        <w:rPr>
          <w:rFonts w:eastAsia="SimSun" w:cs="Calibri"/>
          <w:sz w:val="24"/>
          <w:szCs w:val="24"/>
          <w:lang w:eastAsia="en-GB"/>
        </w:rPr>
        <w:t xml:space="preserve"> nor Franklin’s </w:t>
      </w:r>
      <w:r w:rsidR="00CB5C9C">
        <w:rPr>
          <w:rFonts w:eastAsia="SimSun" w:cs="Calibri"/>
          <w:sz w:val="24"/>
          <w:szCs w:val="24"/>
          <w:lang w:eastAsia="en-GB"/>
        </w:rPr>
        <w:t>“</w:t>
      </w:r>
      <w:r w:rsidRPr="004C14FE">
        <w:rPr>
          <w:rFonts w:eastAsia="SimSun" w:cs="Calibri"/>
          <w:sz w:val="24"/>
          <w:szCs w:val="24"/>
          <w:lang w:eastAsia="en-GB"/>
        </w:rPr>
        <w:t>project of</w:t>
      </w:r>
      <w:r w:rsidR="004E0E41">
        <w:rPr>
          <w:rFonts w:eastAsia="SimSun" w:cs="Calibri"/>
          <w:sz w:val="24"/>
          <w:szCs w:val="24"/>
          <w:lang w:eastAsia="en-GB"/>
        </w:rPr>
        <w:t xml:space="preserve"> arriving at moral perfection</w:t>
      </w:r>
      <w:r w:rsidR="00CB5C9C">
        <w:rPr>
          <w:rFonts w:eastAsia="SimSun" w:cs="Calibri"/>
          <w:sz w:val="24"/>
          <w:szCs w:val="24"/>
          <w:lang w:eastAsia="en-GB"/>
        </w:rPr>
        <w:t>”</w:t>
      </w:r>
      <w:r w:rsidR="004E0E41">
        <w:rPr>
          <w:rFonts w:eastAsia="SimSun" w:cs="Calibri"/>
          <w:sz w:val="24"/>
          <w:szCs w:val="24"/>
          <w:lang w:eastAsia="en-GB"/>
        </w:rPr>
        <w:t xml:space="preserve"> </w:t>
      </w:r>
      <w:r w:rsidRPr="004C14FE">
        <w:rPr>
          <w:rFonts w:eastAsia="SimSun" w:cs="Calibri"/>
          <w:sz w:val="24"/>
          <w:szCs w:val="24"/>
          <w:lang w:eastAsia="en-GB"/>
        </w:rPr>
        <w:t>was ever achieved.</w:t>
      </w:r>
      <w:r w:rsidRPr="004C14FE">
        <w:rPr>
          <w:rFonts w:eastAsia="SimSun" w:cs="Calibri"/>
          <w:sz w:val="20"/>
          <w:szCs w:val="24"/>
          <w:vertAlign w:val="superscript"/>
          <w:lang w:eastAsia="en-GB"/>
        </w:rPr>
        <w:footnoteReference w:id="25"/>
      </w:r>
      <w:r>
        <w:rPr>
          <w:rFonts w:eastAsia="SimSun" w:cs="Calibri"/>
          <w:sz w:val="24"/>
          <w:szCs w:val="24"/>
          <w:lang w:eastAsia="en-GB"/>
        </w:rPr>
        <w:t xml:space="preserve"> </w:t>
      </w:r>
    </w:p>
    <w:p w:rsidR="0008685E" w:rsidRPr="00E946B7" w:rsidRDefault="0008685E" w:rsidP="00C819CD">
      <w:pPr>
        <w:spacing w:after="120" w:line="480" w:lineRule="auto"/>
        <w:ind w:firstLine="540"/>
        <w:rPr>
          <w:rFonts w:eastAsia="SimSun" w:cs="Calibri"/>
          <w:sz w:val="20"/>
          <w:szCs w:val="20"/>
          <w:lang w:eastAsia="en-GB"/>
        </w:rPr>
      </w:pPr>
      <w:r w:rsidRPr="004C14FE">
        <w:rPr>
          <w:rFonts w:eastAsia="SimSun" w:cs="Calibri"/>
          <w:sz w:val="24"/>
          <w:szCs w:val="24"/>
          <w:lang w:eastAsia="en-GB"/>
        </w:rPr>
        <w:t xml:space="preserve">The basic criterion for experiments that they be reproducible could not be adduced in examining what for Priestley were </w:t>
      </w:r>
      <w:r w:rsidR="00CB5C9C">
        <w:rPr>
          <w:rFonts w:eastAsia="SimSun" w:cs="Calibri"/>
          <w:sz w:val="24"/>
          <w:szCs w:val="24"/>
          <w:lang w:eastAsia="en-GB"/>
        </w:rPr>
        <w:t>“</w:t>
      </w:r>
      <w:r w:rsidRPr="004C14FE">
        <w:rPr>
          <w:rFonts w:eastAsia="SimSun" w:cs="Calibri"/>
          <w:sz w:val="24"/>
          <w:szCs w:val="24"/>
          <w:lang w:eastAsia="en-GB"/>
        </w:rPr>
        <w:t>historical</w:t>
      </w:r>
      <w:r w:rsidR="00CB5C9C">
        <w:rPr>
          <w:rFonts w:eastAsia="SimSun" w:cs="Calibri"/>
          <w:sz w:val="24"/>
          <w:szCs w:val="24"/>
          <w:lang w:eastAsia="en-GB"/>
        </w:rPr>
        <w:t>”</w:t>
      </w:r>
      <w:r w:rsidRPr="004C14FE">
        <w:rPr>
          <w:rFonts w:eastAsia="SimSun" w:cs="Calibri"/>
          <w:sz w:val="24"/>
          <w:szCs w:val="24"/>
          <w:lang w:eastAsia="en-GB"/>
        </w:rPr>
        <w:t xml:space="preserve"> phenomena such as the Resurrection and other biblical miracles, in the cases of which he adopted several strategies, asking how many accounts there were, what the witnesses might have had to gain, and so on.  The forensic approach employed in the second volume of the </w:t>
      </w:r>
      <w:proofErr w:type="gramStart"/>
      <w:r w:rsidRPr="004C14FE">
        <w:rPr>
          <w:rFonts w:eastAsia="SimSun" w:cs="Calibri"/>
          <w:i/>
          <w:iCs/>
          <w:sz w:val="24"/>
          <w:szCs w:val="24"/>
          <w:lang w:eastAsia="en-GB"/>
        </w:rPr>
        <w:t>Institutes</w:t>
      </w:r>
      <w:r>
        <w:rPr>
          <w:rFonts w:eastAsia="SimSun" w:cs="Calibri"/>
          <w:sz w:val="24"/>
          <w:szCs w:val="24"/>
          <w:lang w:eastAsia="en-GB"/>
        </w:rPr>
        <w:t xml:space="preserve"> </w:t>
      </w:r>
      <w:r w:rsidR="00C819CD" w:rsidRPr="00C819CD">
        <w:rPr>
          <w:rFonts w:eastAsia="SimSun" w:cs="Calibri"/>
          <w:sz w:val="24"/>
          <w:szCs w:val="24"/>
          <w:lang w:eastAsia="en-GB"/>
        </w:rPr>
        <w:t xml:space="preserve"> –</w:t>
      </w:r>
      <w:proofErr w:type="gramEnd"/>
      <w:r w:rsidR="00C819CD" w:rsidRPr="00C819CD">
        <w:rPr>
          <w:rFonts w:eastAsia="SimSun" w:cs="Calibri"/>
          <w:sz w:val="24"/>
          <w:szCs w:val="24"/>
          <w:lang w:eastAsia="en-GB"/>
        </w:rPr>
        <w:t xml:space="preserve"> </w:t>
      </w:r>
      <w:r w:rsidRPr="004C14FE">
        <w:rPr>
          <w:rFonts w:eastAsia="SimSun" w:cs="Calibri"/>
          <w:sz w:val="24"/>
          <w:szCs w:val="24"/>
          <w:lang w:eastAsia="en-GB"/>
        </w:rPr>
        <w:t xml:space="preserve"> weighing the evidence for divine interposition</w:t>
      </w:r>
      <w:r w:rsidR="00C819CD">
        <w:rPr>
          <w:rFonts w:eastAsia="SimSun" w:cs="Calibri"/>
          <w:sz w:val="24"/>
          <w:szCs w:val="24"/>
          <w:lang w:eastAsia="en-GB"/>
        </w:rPr>
        <w:t xml:space="preserve"> </w:t>
      </w:r>
      <w:r w:rsidR="00C819CD" w:rsidRPr="00C819CD">
        <w:rPr>
          <w:rFonts w:eastAsia="SimSun" w:cs="Calibri"/>
          <w:sz w:val="24"/>
          <w:szCs w:val="24"/>
          <w:lang w:eastAsia="en-GB"/>
        </w:rPr>
        <w:t xml:space="preserve">– </w:t>
      </w:r>
      <w:r w:rsidRPr="004C14FE">
        <w:rPr>
          <w:rFonts w:eastAsia="SimSun" w:cs="Calibri"/>
          <w:sz w:val="24"/>
          <w:szCs w:val="24"/>
          <w:lang w:eastAsia="en-GB"/>
        </w:rPr>
        <w:t xml:space="preserve">rests on a </w:t>
      </w:r>
      <w:r w:rsidR="004E0E41">
        <w:rPr>
          <w:rFonts w:eastAsia="SimSun" w:cs="Calibri"/>
          <w:sz w:val="24"/>
          <w:szCs w:val="24"/>
          <w:lang w:eastAsia="en-GB"/>
        </w:rPr>
        <w:t>presump</w:t>
      </w:r>
      <w:r w:rsidRPr="004C14FE">
        <w:rPr>
          <w:rFonts w:eastAsia="SimSun" w:cs="Calibri"/>
          <w:sz w:val="24"/>
          <w:szCs w:val="24"/>
          <w:lang w:eastAsia="en-GB"/>
        </w:rPr>
        <w:t>tion about testimony that can be tested by asking questions. How many of the gospels report an event? Who is the source? What might have been their motives? (It is evident how quickly the interpreter would be obliged to go from questions about the number of testimonies to questions about the intentions of the witnesses.) For example, the absence of any foundation in nature for a resurrection is evidence for it to be believed because of the number of witnesses who attested to it and because Christ’s insistence on so counter-intuitive a notion suggests him to have been divinely inspired – what other motive could he possibly have had (</w:t>
      </w:r>
      <w:r w:rsidRPr="004C14FE">
        <w:rPr>
          <w:rFonts w:eastAsia="SimSun" w:cs="Calibri"/>
          <w:i/>
          <w:iCs/>
          <w:sz w:val="24"/>
          <w:szCs w:val="24"/>
          <w:lang w:eastAsia="en-GB"/>
        </w:rPr>
        <w:t>Works</w:t>
      </w:r>
      <w:r w:rsidRPr="004C14FE">
        <w:rPr>
          <w:rFonts w:eastAsia="SimSun" w:cs="Calibri"/>
          <w:sz w:val="24"/>
          <w:szCs w:val="24"/>
          <w:lang w:eastAsia="en-GB"/>
        </w:rPr>
        <w:t xml:space="preserve"> 2: 158)?</w:t>
      </w:r>
    </w:p>
    <w:p w:rsidR="0008685E" w:rsidRPr="004C14FE" w:rsidRDefault="0008685E" w:rsidP="00315766">
      <w:pPr>
        <w:spacing w:after="120" w:line="480" w:lineRule="auto"/>
        <w:ind w:firstLine="540"/>
        <w:rPr>
          <w:rFonts w:eastAsia="SimSun" w:cs="Calibri"/>
          <w:sz w:val="24"/>
          <w:szCs w:val="24"/>
          <w:lang w:eastAsia="en-GB"/>
        </w:rPr>
      </w:pPr>
      <w:r w:rsidRPr="004C14FE">
        <w:rPr>
          <w:rFonts w:eastAsia="SimSun" w:cs="Calibri"/>
          <w:sz w:val="24"/>
          <w:szCs w:val="24"/>
          <w:lang w:eastAsia="en-GB"/>
        </w:rPr>
        <w:t xml:space="preserve">Voltaire and others had argued against miracles, but Priestley’s unnamed antagonist is likely to be Hume, whose shrewd assertion </w:t>
      </w:r>
      <w:r w:rsidR="00C40329">
        <w:rPr>
          <w:rFonts w:eastAsia="SimSun" w:cs="Calibri"/>
          <w:sz w:val="24"/>
          <w:szCs w:val="24"/>
          <w:lang w:eastAsia="en-GB"/>
        </w:rPr>
        <w:t xml:space="preserve">in the </w:t>
      </w:r>
      <w:r w:rsidR="00C40329" w:rsidRPr="00C40329">
        <w:rPr>
          <w:rFonts w:eastAsia="SimSun" w:cs="Calibri"/>
          <w:i/>
          <w:iCs/>
          <w:sz w:val="24"/>
          <w:szCs w:val="24"/>
          <w:lang w:eastAsia="en-GB"/>
        </w:rPr>
        <w:t>Enquiries concerning Human Understanding</w:t>
      </w:r>
      <w:r w:rsidR="00C40329">
        <w:rPr>
          <w:rFonts w:eastAsia="SimSun" w:cs="Calibri"/>
          <w:sz w:val="24"/>
          <w:szCs w:val="24"/>
          <w:lang w:eastAsia="en-GB"/>
        </w:rPr>
        <w:t xml:space="preserve"> </w:t>
      </w:r>
      <w:r w:rsidRPr="004C14FE">
        <w:rPr>
          <w:rFonts w:eastAsia="SimSun" w:cs="Calibri"/>
          <w:sz w:val="24"/>
          <w:szCs w:val="24"/>
          <w:lang w:eastAsia="en-GB"/>
        </w:rPr>
        <w:t xml:space="preserve">that his argument against miracles </w:t>
      </w:r>
      <w:r w:rsidR="00CB5C9C">
        <w:rPr>
          <w:rFonts w:eastAsia="SimSun" w:cs="Calibri"/>
          <w:sz w:val="24"/>
          <w:szCs w:val="24"/>
          <w:lang w:eastAsia="en-GB"/>
        </w:rPr>
        <w:t>“</w:t>
      </w:r>
      <w:r w:rsidRPr="004C14FE">
        <w:rPr>
          <w:rFonts w:eastAsia="SimSun" w:cs="Calibri"/>
          <w:sz w:val="24"/>
          <w:szCs w:val="24"/>
          <w:lang w:eastAsia="en-GB"/>
        </w:rPr>
        <w:t xml:space="preserve">may serve to confound those dangerous friends or disguised enemies to the </w:t>
      </w:r>
      <w:r w:rsidRPr="004C14FE">
        <w:rPr>
          <w:rFonts w:eastAsia="SimSun" w:cs="Calibri"/>
          <w:i/>
          <w:iCs/>
          <w:sz w:val="24"/>
          <w:szCs w:val="24"/>
          <w:lang w:eastAsia="en-GB"/>
        </w:rPr>
        <w:t>Christian religion</w:t>
      </w:r>
      <w:r w:rsidRPr="004C14FE">
        <w:rPr>
          <w:rFonts w:eastAsia="SimSun" w:cs="Calibri"/>
          <w:sz w:val="24"/>
          <w:szCs w:val="24"/>
          <w:lang w:eastAsia="en-GB"/>
        </w:rPr>
        <w:t>, who have undertaken to defend it by the principles of human reason</w:t>
      </w:r>
      <w:r w:rsidR="00CB5C9C">
        <w:rPr>
          <w:rFonts w:eastAsia="SimSun" w:cs="Calibri"/>
          <w:sz w:val="24"/>
          <w:szCs w:val="24"/>
          <w:lang w:eastAsia="en-GB"/>
        </w:rPr>
        <w:t>”</w:t>
      </w:r>
      <w:r w:rsidRPr="004C14FE">
        <w:rPr>
          <w:rFonts w:eastAsia="SimSun" w:cs="Calibri"/>
          <w:sz w:val="24"/>
          <w:szCs w:val="24"/>
          <w:lang w:eastAsia="en-GB"/>
        </w:rPr>
        <w:t xml:space="preserve"> might have been aimed at Priestley were it not much too early.</w:t>
      </w:r>
      <w:r w:rsidRPr="003225E9">
        <w:rPr>
          <w:rFonts w:eastAsia="SimSun" w:cs="Calibri"/>
          <w:sz w:val="20"/>
          <w:szCs w:val="20"/>
          <w:vertAlign w:val="superscript"/>
          <w:lang w:eastAsia="en-GB"/>
        </w:rPr>
        <w:footnoteReference w:id="26"/>
      </w:r>
      <w:r w:rsidRPr="004C14FE">
        <w:rPr>
          <w:rFonts w:eastAsia="SimSun" w:cs="Calibri"/>
          <w:sz w:val="24"/>
          <w:szCs w:val="24"/>
          <w:lang w:eastAsia="en-GB"/>
        </w:rPr>
        <w:t xml:space="preserve"> Hume begins by asserting that where there is no sensuous testimony, everything is second hand and, testimony is like anything else in that it has to be tested by our </w:t>
      </w:r>
      <w:r w:rsidR="00315766">
        <w:rPr>
          <w:rFonts w:eastAsia="SimSun" w:cs="Calibri"/>
          <w:sz w:val="24"/>
          <w:szCs w:val="24"/>
          <w:lang w:eastAsia="en-GB"/>
        </w:rPr>
        <w:t>“</w:t>
      </w:r>
      <w:r w:rsidRPr="004C14FE">
        <w:rPr>
          <w:rFonts w:eastAsia="SimSun" w:cs="Calibri"/>
          <w:sz w:val="24"/>
          <w:szCs w:val="24"/>
          <w:lang w:eastAsia="en-GB"/>
        </w:rPr>
        <w:t>experience</w:t>
      </w:r>
      <w:r w:rsidR="00315766">
        <w:rPr>
          <w:rFonts w:eastAsia="SimSun" w:cs="Calibri"/>
          <w:sz w:val="24"/>
          <w:szCs w:val="24"/>
          <w:lang w:eastAsia="en-GB"/>
        </w:rPr>
        <w:t>”</w:t>
      </w:r>
      <w:r w:rsidRPr="004C14FE">
        <w:rPr>
          <w:rFonts w:eastAsia="SimSun" w:cs="Calibri"/>
          <w:sz w:val="24"/>
          <w:szCs w:val="24"/>
          <w:lang w:eastAsia="en-GB"/>
        </w:rPr>
        <w:t xml:space="preserve">.  He recommends a kind of customary credulity – </w:t>
      </w:r>
      <w:r w:rsidR="00CB5C9C">
        <w:rPr>
          <w:rFonts w:eastAsia="SimSun" w:cs="Calibri"/>
          <w:sz w:val="24"/>
          <w:szCs w:val="24"/>
          <w:lang w:eastAsia="en-GB"/>
        </w:rPr>
        <w:t>“</w:t>
      </w:r>
      <w:r>
        <w:rPr>
          <w:rFonts w:eastAsia="SimSun" w:cs="Calibri"/>
          <w:sz w:val="24"/>
          <w:szCs w:val="24"/>
          <w:lang w:eastAsia="en-GB"/>
        </w:rPr>
        <w:t>[t]</w:t>
      </w:r>
      <w:r w:rsidRPr="004C14FE">
        <w:rPr>
          <w:rFonts w:eastAsia="SimSun" w:cs="Calibri"/>
          <w:sz w:val="24"/>
          <w:szCs w:val="24"/>
          <w:lang w:eastAsia="en-GB"/>
        </w:rPr>
        <w:t>he reason why we place any credit in witnesses and historians, is not derived from any connexion, which we perceive a priori, between testimony and reality, but because we are accustomed to find a conformity between them</w:t>
      </w:r>
      <w:r w:rsidR="00CB5C9C">
        <w:rPr>
          <w:rFonts w:eastAsia="SimSun" w:cs="Calibri"/>
          <w:sz w:val="24"/>
          <w:szCs w:val="24"/>
          <w:lang w:eastAsia="en-GB"/>
        </w:rPr>
        <w:t>”</w:t>
      </w:r>
      <w:r w:rsidRPr="004C14FE">
        <w:rPr>
          <w:rFonts w:eastAsia="SimSun" w:cs="Calibri"/>
          <w:sz w:val="24"/>
          <w:szCs w:val="24"/>
          <w:lang w:eastAsia="en-GB"/>
        </w:rPr>
        <w:t xml:space="preserve"> (113).  Hume weighs the account of the miracle against the person giving the account, weighing </w:t>
      </w:r>
      <w:r w:rsidR="00CB5C9C">
        <w:rPr>
          <w:rFonts w:eastAsia="SimSun" w:cs="Calibri"/>
          <w:sz w:val="24"/>
          <w:szCs w:val="24"/>
          <w:lang w:eastAsia="en-GB"/>
        </w:rPr>
        <w:t>“</w:t>
      </w:r>
      <w:r w:rsidRPr="004C14FE">
        <w:rPr>
          <w:rFonts w:eastAsia="SimSun" w:cs="Calibri"/>
          <w:sz w:val="24"/>
          <w:szCs w:val="24"/>
          <w:lang w:eastAsia="en-GB"/>
        </w:rPr>
        <w:t>the one miracle against the other</w:t>
      </w:r>
      <w:r w:rsidR="00CB5C9C">
        <w:rPr>
          <w:rFonts w:eastAsia="SimSun" w:cs="Calibri"/>
          <w:sz w:val="24"/>
          <w:szCs w:val="24"/>
          <w:lang w:eastAsia="en-GB"/>
        </w:rPr>
        <w:t>”</w:t>
      </w:r>
      <w:r w:rsidRPr="004C14FE">
        <w:rPr>
          <w:rFonts w:eastAsia="SimSun" w:cs="Calibri"/>
          <w:sz w:val="24"/>
          <w:szCs w:val="24"/>
          <w:lang w:eastAsia="en-GB"/>
        </w:rPr>
        <w:t xml:space="preserve"> and </w:t>
      </w:r>
      <w:r w:rsidR="00CB5C9C">
        <w:rPr>
          <w:rFonts w:eastAsia="SimSun" w:cs="Calibri"/>
          <w:sz w:val="24"/>
          <w:szCs w:val="24"/>
          <w:lang w:eastAsia="en-GB"/>
        </w:rPr>
        <w:t>“</w:t>
      </w:r>
      <w:r w:rsidRPr="004C14FE">
        <w:rPr>
          <w:rFonts w:eastAsia="SimSun" w:cs="Calibri"/>
          <w:sz w:val="24"/>
          <w:szCs w:val="24"/>
          <w:lang w:eastAsia="en-GB"/>
        </w:rPr>
        <w:t>If the falsehood of this testimony would be more miraculous, than the event which he relates; then, and not till then, can he pretend to command my belief or opinion</w:t>
      </w:r>
      <w:r w:rsidR="00CB5C9C">
        <w:rPr>
          <w:rFonts w:eastAsia="SimSun" w:cs="Calibri"/>
          <w:sz w:val="24"/>
          <w:szCs w:val="24"/>
          <w:lang w:eastAsia="en-GB"/>
        </w:rPr>
        <w:t>”</w:t>
      </w:r>
      <w:r w:rsidRPr="004C14FE">
        <w:rPr>
          <w:rFonts w:eastAsia="SimSun" w:cs="Calibri"/>
          <w:sz w:val="24"/>
          <w:szCs w:val="24"/>
          <w:lang w:eastAsia="en-GB"/>
        </w:rPr>
        <w:t xml:space="preserve"> (116).</w:t>
      </w:r>
    </w:p>
    <w:p w:rsidR="0008685E" w:rsidRPr="004C14FE" w:rsidRDefault="001D127A" w:rsidP="001D127A">
      <w:pPr>
        <w:spacing w:line="480" w:lineRule="auto"/>
        <w:ind w:firstLine="450"/>
        <w:rPr>
          <w:rFonts w:eastAsia="SimSun" w:cs="Arial"/>
          <w:sz w:val="24"/>
          <w:szCs w:val="24"/>
          <w:lang w:eastAsia="en-GB"/>
        </w:rPr>
      </w:pPr>
      <w:r>
        <w:rPr>
          <w:rFonts w:eastAsia="SimSun" w:cs="Arial"/>
          <w:sz w:val="24"/>
          <w:szCs w:val="24"/>
          <w:lang w:eastAsia="en-GB"/>
        </w:rPr>
        <w:t>For Priestley, a</w:t>
      </w:r>
      <w:r w:rsidR="0008685E">
        <w:rPr>
          <w:rFonts w:eastAsia="SimSun" w:cs="Arial"/>
          <w:sz w:val="24"/>
          <w:szCs w:val="24"/>
          <w:lang w:eastAsia="en-GB"/>
        </w:rPr>
        <w:t>ssociation</w:t>
      </w:r>
      <w:r w:rsidR="0008685E" w:rsidRPr="004C14FE">
        <w:rPr>
          <w:rFonts w:eastAsia="SimSun" w:cs="Arial"/>
          <w:sz w:val="24"/>
          <w:szCs w:val="24"/>
          <w:lang w:eastAsia="en-GB"/>
        </w:rPr>
        <w:t xml:space="preserve"> </w:t>
      </w:r>
      <w:r>
        <w:rPr>
          <w:rFonts w:eastAsia="SimSun" w:cs="Arial"/>
          <w:sz w:val="24"/>
          <w:szCs w:val="24"/>
          <w:lang w:eastAsia="en-GB"/>
        </w:rPr>
        <w:t>wa</w:t>
      </w:r>
      <w:r w:rsidR="0008685E" w:rsidRPr="004C14FE">
        <w:rPr>
          <w:rFonts w:eastAsia="SimSun" w:cs="Arial"/>
          <w:sz w:val="24"/>
          <w:szCs w:val="24"/>
          <w:lang w:eastAsia="en-GB"/>
        </w:rPr>
        <w:t>s the route by which religious faith is acquired, and in many respects religious faith is of the same order as any other kind of knowledge: the next step is the syllogism by which, for example, the doctrine of the resurrection is true because Christ has asserted it and Christ is the instrument of divine truth (</w:t>
      </w:r>
      <w:r w:rsidR="0008685E" w:rsidRPr="004C14FE">
        <w:rPr>
          <w:rFonts w:eastAsia="SimSun" w:cs="Arial"/>
          <w:i/>
          <w:iCs/>
          <w:sz w:val="24"/>
          <w:szCs w:val="24"/>
          <w:lang w:eastAsia="en-GB"/>
        </w:rPr>
        <w:t>Works</w:t>
      </w:r>
      <w:r w:rsidR="0008685E" w:rsidRPr="004C14FE">
        <w:rPr>
          <w:rFonts w:eastAsia="SimSun" w:cs="Arial"/>
          <w:sz w:val="24"/>
          <w:szCs w:val="24"/>
          <w:lang w:eastAsia="en-GB"/>
        </w:rPr>
        <w:t xml:space="preserve"> 3. 17-18).  </w:t>
      </w:r>
      <w:r w:rsidR="00C40329">
        <w:rPr>
          <w:rFonts w:eastAsia="SimSun" w:cs="Arial"/>
          <w:sz w:val="24"/>
          <w:szCs w:val="24"/>
          <w:lang w:eastAsia="en-GB"/>
        </w:rPr>
        <w:t xml:space="preserve">Here </w:t>
      </w:r>
      <w:r w:rsidR="0008685E" w:rsidRPr="004C14FE">
        <w:rPr>
          <w:rFonts w:eastAsia="SimSun" w:cs="Arial"/>
          <w:sz w:val="24"/>
          <w:szCs w:val="24"/>
          <w:lang w:eastAsia="en-GB"/>
        </w:rPr>
        <w:t xml:space="preserve">Priestley uses the word </w:t>
      </w:r>
      <w:r w:rsidR="00CB5C9C">
        <w:rPr>
          <w:rFonts w:eastAsia="SimSun" w:cs="Arial"/>
          <w:sz w:val="24"/>
          <w:szCs w:val="24"/>
          <w:lang w:eastAsia="en-GB"/>
        </w:rPr>
        <w:t>“</w:t>
      </w:r>
      <w:r w:rsidR="0008685E" w:rsidRPr="004C14FE">
        <w:rPr>
          <w:rFonts w:eastAsia="SimSun" w:cs="Arial"/>
          <w:sz w:val="24"/>
          <w:szCs w:val="24"/>
          <w:lang w:eastAsia="en-GB"/>
        </w:rPr>
        <w:t>faith</w:t>
      </w:r>
      <w:r w:rsidR="00CB5C9C">
        <w:rPr>
          <w:rFonts w:eastAsia="SimSun" w:cs="Arial"/>
          <w:sz w:val="24"/>
          <w:szCs w:val="24"/>
          <w:lang w:eastAsia="en-GB"/>
        </w:rPr>
        <w:t>”</w:t>
      </w:r>
      <w:r w:rsidR="0008685E" w:rsidRPr="004C14FE">
        <w:rPr>
          <w:rFonts w:eastAsia="SimSun" w:cs="Arial"/>
          <w:sz w:val="24"/>
          <w:szCs w:val="24"/>
          <w:lang w:eastAsia="en-GB"/>
        </w:rPr>
        <w:t xml:space="preserve"> rather than </w:t>
      </w:r>
      <w:r w:rsidR="00CB5C9C">
        <w:rPr>
          <w:rFonts w:eastAsia="SimSun" w:cs="Arial"/>
          <w:sz w:val="24"/>
          <w:szCs w:val="24"/>
          <w:lang w:eastAsia="en-GB"/>
        </w:rPr>
        <w:t>“</w:t>
      </w:r>
      <w:r w:rsidR="0008685E" w:rsidRPr="004C14FE">
        <w:rPr>
          <w:rFonts w:eastAsia="SimSun" w:cs="Arial"/>
          <w:sz w:val="24"/>
          <w:szCs w:val="24"/>
          <w:lang w:eastAsia="en-GB"/>
        </w:rPr>
        <w:t>truth</w:t>
      </w:r>
      <w:r w:rsidR="00CB5C9C">
        <w:rPr>
          <w:rFonts w:eastAsia="SimSun" w:cs="Arial"/>
          <w:sz w:val="24"/>
          <w:szCs w:val="24"/>
          <w:lang w:eastAsia="en-GB"/>
        </w:rPr>
        <w:t>”</w:t>
      </w:r>
      <w:r w:rsidR="0008685E" w:rsidRPr="004C14FE">
        <w:rPr>
          <w:rFonts w:eastAsia="SimSun" w:cs="Arial"/>
          <w:sz w:val="24"/>
          <w:szCs w:val="24"/>
          <w:lang w:eastAsia="en-GB"/>
        </w:rPr>
        <w:t xml:space="preserve"> or </w:t>
      </w:r>
      <w:r w:rsidR="00CB5C9C">
        <w:rPr>
          <w:rFonts w:eastAsia="SimSun" w:cs="Arial"/>
          <w:sz w:val="24"/>
          <w:szCs w:val="24"/>
          <w:lang w:eastAsia="en-GB"/>
        </w:rPr>
        <w:t>“</w:t>
      </w:r>
      <w:r w:rsidR="0008685E" w:rsidRPr="004C14FE">
        <w:rPr>
          <w:rFonts w:eastAsia="SimSun" w:cs="Arial"/>
          <w:sz w:val="24"/>
          <w:szCs w:val="24"/>
          <w:lang w:eastAsia="en-GB"/>
        </w:rPr>
        <w:t>knowledge</w:t>
      </w:r>
      <w:r w:rsidR="00CB5C9C">
        <w:rPr>
          <w:rFonts w:eastAsia="SimSun" w:cs="Arial"/>
          <w:sz w:val="24"/>
          <w:szCs w:val="24"/>
          <w:lang w:eastAsia="en-GB"/>
        </w:rPr>
        <w:t>”</w:t>
      </w:r>
      <w:r w:rsidR="0008685E" w:rsidRPr="004C14FE">
        <w:rPr>
          <w:rFonts w:eastAsia="SimSun" w:cs="Arial"/>
          <w:sz w:val="24"/>
          <w:szCs w:val="24"/>
          <w:lang w:eastAsia="en-GB"/>
        </w:rPr>
        <w:t xml:space="preserve"> and later seems to concede that it is only probable that objects exist externally to the </w:t>
      </w:r>
      <w:proofErr w:type="gramStart"/>
      <w:r w:rsidR="0008685E" w:rsidRPr="004C14FE">
        <w:rPr>
          <w:rFonts w:eastAsia="SimSun" w:cs="Arial"/>
          <w:sz w:val="24"/>
          <w:szCs w:val="24"/>
          <w:lang w:eastAsia="en-GB"/>
        </w:rPr>
        <w:t xml:space="preserve">mind </w:t>
      </w:r>
      <w:r w:rsidR="00C819CD" w:rsidRPr="00C819CD">
        <w:rPr>
          <w:rFonts w:eastAsia="SimSun" w:cs="Arial"/>
          <w:sz w:val="24"/>
          <w:szCs w:val="24"/>
          <w:lang w:eastAsia="en-GB"/>
        </w:rPr>
        <w:t xml:space="preserve"> –</w:t>
      </w:r>
      <w:proofErr w:type="gramEnd"/>
      <w:r w:rsidR="00C819CD" w:rsidRPr="00C819CD">
        <w:rPr>
          <w:rFonts w:eastAsia="SimSun" w:cs="Arial"/>
          <w:sz w:val="24"/>
          <w:szCs w:val="24"/>
          <w:lang w:eastAsia="en-GB"/>
        </w:rPr>
        <w:t xml:space="preserve"> </w:t>
      </w:r>
      <w:r w:rsidR="0008685E" w:rsidRPr="004C14FE">
        <w:rPr>
          <w:rFonts w:eastAsia="SimSun" w:cs="Arial"/>
          <w:sz w:val="24"/>
          <w:szCs w:val="24"/>
          <w:lang w:eastAsia="en-GB"/>
        </w:rPr>
        <w:t>as the common sense philosophers had contended they did not</w:t>
      </w:r>
      <w:r w:rsidR="00C819CD" w:rsidRPr="00C819CD">
        <w:rPr>
          <w:rFonts w:eastAsia="SimSun" w:cs="Arial"/>
          <w:sz w:val="24"/>
          <w:szCs w:val="24"/>
          <w:lang w:eastAsia="en-GB"/>
        </w:rPr>
        <w:t xml:space="preserve"> – </w:t>
      </w:r>
      <w:r w:rsidR="0008685E" w:rsidRPr="004C14FE">
        <w:rPr>
          <w:rFonts w:eastAsia="SimSun" w:cs="Arial"/>
          <w:sz w:val="24"/>
          <w:szCs w:val="24"/>
          <w:lang w:eastAsia="en-GB"/>
        </w:rPr>
        <w:t xml:space="preserve">and cannot be proved: </w:t>
      </w:r>
      <w:r w:rsidR="00CB5C9C">
        <w:rPr>
          <w:rFonts w:eastAsia="SimSun" w:cs="Arial"/>
          <w:sz w:val="24"/>
          <w:szCs w:val="24"/>
          <w:lang w:eastAsia="en-GB"/>
        </w:rPr>
        <w:t>“</w:t>
      </w:r>
      <w:r w:rsidR="0008685E" w:rsidRPr="004C14FE">
        <w:rPr>
          <w:rFonts w:eastAsia="SimSun" w:cs="Arial"/>
          <w:sz w:val="24"/>
          <w:szCs w:val="24"/>
          <w:lang w:eastAsia="en-GB"/>
        </w:rPr>
        <w:t>the Divine Being leaves us to be governed by a kind of faith far inferior to mathematical certainty in things of infinitely more consequence</w:t>
      </w:r>
      <w:r w:rsidR="00CB5C9C">
        <w:rPr>
          <w:rFonts w:eastAsia="SimSun" w:cs="Arial"/>
          <w:sz w:val="24"/>
          <w:szCs w:val="24"/>
          <w:lang w:eastAsia="en-GB"/>
        </w:rPr>
        <w:t>”</w:t>
      </w:r>
      <w:r w:rsidR="0008685E" w:rsidRPr="004C14FE">
        <w:rPr>
          <w:rFonts w:eastAsia="SimSun" w:cs="Arial"/>
          <w:sz w:val="24"/>
          <w:szCs w:val="24"/>
          <w:lang w:eastAsia="en-GB"/>
        </w:rPr>
        <w:t xml:space="preserve"> (</w:t>
      </w:r>
      <w:r w:rsidR="0008685E" w:rsidRPr="004C14FE">
        <w:rPr>
          <w:rFonts w:eastAsia="SimSun" w:cs="Arial"/>
          <w:i/>
          <w:iCs/>
          <w:sz w:val="24"/>
          <w:szCs w:val="24"/>
          <w:lang w:eastAsia="en-GB"/>
        </w:rPr>
        <w:t>Works</w:t>
      </w:r>
      <w:r w:rsidR="0008685E" w:rsidRPr="004C14FE">
        <w:rPr>
          <w:rFonts w:eastAsia="SimSun" w:cs="Arial"/>
          <w:sz w:val="24"/>
          <w:szCs w:val="24"/>
          <w:lang w:eastAsia="en-GB"/>
        </w:rPr>
        <w:t xml:space="preserve"> 3. 42). </w:t>
      </w:r>
    </w:p>
    <w:p w:rsidR="0008685E" w:rsidRPr="004C14FE" w:rsidRDefault="0008685E" w:rsidP="00CB5C9C">
      <w:pPr>
        <w:spacing w:after="120" w:line="480" w:lineRule="auto"/>
        <w:ind w:firstLine="576"/>
        <w:rPr>
          <w:rFonts w:eastAsia="SimSun" w:cs="Calibri"/>
          <w:sz w:val="24"/>
          <w:szCs w:val="24"/>
          <w:lang w:eastAsia="en-GB"/>
        </w:rPr>
      </w:pPr>
      <w:r w:rsidRPr="004C14FE">
        <w:rPr>
          <w:rFonts w:eastAsia="SimSun" w:cs="Arial"/>
          <w:sz w:val="24"/>
          <w:szCs w:val="24"/>
          <w:lang w:eastAsia="en-GB"/>
        </w:rPr>
        <w:t xml:space="preserve">The concession, and the change of vocabulary there is telling and is at odds with the more belligerent claims </w:t>
      </w:r>
      <w:r w:rsidR="00CB5C9C">
        <w:rPr>
          <w:rFonts w:eastAsia="SimSun" w:cs="Arial"/>
          <w:sz w:val="24"/>
          <w:szCs w:val="24"/>
          <w:lang w:eastAsia="en-GB"/>
        </w:rPr>
        <w:t xml:space="preserve">he made elsewhere </w:t>
      </w:r>
      <w:r w:rsidRPr="004C14FE">
        <w:rPr>
          <w:rFonts w:eastAsia="SimSun" w:cs="Arial"/>
          <w:sz w:val="24"/>
          <w:szCs w:val="24"/>
          <w:lang w:eastAsia="en-GB"/>
        </w:rPr>
        <w:t xml:space="preserve">for the uniformity of natural or sensuous and religious knowledge.  In the </w:t>
      </w:r>
      <w:r w:rsidRPr="004C14FE">
        <w:rPr>
          <w:rFonts w:eastAsia="SimSun" w:cs="Arial"/>
          <w:i/>
          <w:iCs/>
          <w:sz w:val="24"/>
          <w:szCs w:val="24"/>
          <w:lang w:eastAsia="en-GB"/>
        </w:rPr>
        <w:t>Lectures on Oratory</w:t>
      </w:r>
      <w:r w:rsidRPr="004C14FE">
        <w:rPr>
          <w:rFonts w:eastAsia="SimSun" w:cs="Arial"/>
          <w:sz w:val="24"/>
          <w:szCs w:val="24"/>
          <w:lang w:eastAsia="en-GB"/>
        </w:rPr>
        <w:t xml:space="preserve"> published three years later Priestley insist</w:t>
      </w:r>
      <w:r>
        <w:rPr>
          <w:rFonts w:eastAsia="SimSun" w:cs="Arial"/>
          <w:sz w:val="24"/>
          <w:szCs w:val="24"/>
          <w:lang w:eastAsia="en-GB"/>
        </w:rPr>
        <w:t>ed</w:t>
      </w:r>
      <w:r w:rsidRPr="004C14FE">
        <w:rPr>
          <w:rFonts w:eastAsia="SimSun" w:cs="Arial"/>
          <w:sz w:val="24"/>
          <w:szCs w:val="24"/>
          <w:lang w:eastAsia="en-GB"/>
        </w:rPr>
        <w:t xml:space="preserve"> that </w:t>
      </w:r>
      <w:r>
        <w:rPr>
          <w:rFonts w:eastAsia="SimSun" w:cs="Arial"/>
          <w:sz w:val="24"/>
          <w:szCs w:val="24"/>
          <w:lang w:eastAsia="en-GB"/>
        </w:rPr>
        <w:t>there wa</w:t>
      </w:r>
      <w:r w:rsidRPr="004C14FE">
        <w:rPr>
          <w:rFonts w:eastAsia="SimSun" w:cs="Arial"/>
          <w:sz w:val="24"/>
          <w:szCs w:val="24"/>
          <w:lang w:eastAsia="en-GB"/>
        </w:rPr>
        <w:t xml:space="preserve">s no difference in the objects of knowledge nor of the means of acquiring it:  </w:t>
      </w:r>
      <w:r w:rsidR="00CB5C9C">
        <w:rPr>
          <w:rFonts w:eastAsia="SimSun" w:cs="Arial"/>
          <w:sz w:val="24"/>
          <w:szCs w:val="24"/>
          <w:lang w:eastAsia="en-GB"/>
        </w:rPr>
        <w:t>“</w:t>
      </w:r>
      <w:r w:rsidRPr="004C14FE">
        <w:rPr>
          <w:rFonts w:eastAsia="SimSun" w:cs="Arial"/>
          <w:sz w:val="24"/>
          <w:szCs w:val="24"/>
          <w:lang w:eastAsia="en-GB"/>
        </w:rPr>
        <w:t>Truth whether geometrical, metaphysical, moral, or theological, is of the same nature, and the evidence of it is perceived in the same manner by the same  human minds</w:t>
      </w:r>
      <w:r w:rsidR="00CB5C9C">
        <w:rPr>
          <w:rFonts w:eastAsia="SimSun" w:cs="Arial"/>
          <w:sz w:val="24"/>
          <w:szCs w:val="24"/>
          <w:lang w:eastAsia="en-GB"/>
        </w:rPr>
        <w:t>”</w:t>
      </w:r>
      <w:r w:rsidRPr="004C14FE">
        <w:rPr>
          <w:rFonts w:eastAsia="SimSun" w:cs="Arial"/>
          <w:sz w:val="24"/>
          <w:szCs w:val="24"/>
          <w:lang w:eastAsia="en-GB"/>
        </w:rPr>
        <w:t xml:space="preserve"> (</w:t>
      </w:r>
      <w:r w:rsidRPr="004C14FE">
        <w:rPr>
          <w:rFonts w:eastAsia="SimSun" w:cs="Arial"/>
          <w:i/>
          <w:iCs/>
          <w:sz w:val="24"/>
          <w:szCs w:val="24"/>
          <w:lang w:eastAsia="en-GB"/>
        </w:rPr>
        <w:t>Works</w:t>
      </w:r>
      <w:r w:rsidRPr="004C14FE">
        <w:rPr>
          <w:rFonts w:eastAsia="SimSun" w:cs="Arial"/>
          <w:sz w:val="24"/>
          <w:szCs w:val="24"/>
          <w:lang w:eastAsia="en-GB"/>
        </w:rPr>
        <w:t xml:space="preserve"> 23. 288).  </w:t>
      </w:r>
    </w:p>
    <w:p w:rsidR="0008685E" w:rsidRPr="004C14FE" w:rsidRDefault="0008685E" w:rsidP="00CB5C9C">
      <w:pPr>
        <w:spacing w:after="120" w:line="480" w:lineRule="auto"/>
        <w:ind w:firstLine="540"/>
        <w:rPr>
          <w:rFonts w:eastAsia="SimSun" w:cs="Calibri"/>
          <w:sz w:val="24"/>
          <w:szCs w:val="24"/>
          <w:lang w:eastAsia="en-GB"/>
        </w:rPr>
      </w:pPr>
      <w:r w:rsidRPr="004C14FE">
        <w:rPr>
          <w:rFonts w:eastAsia="SimSun" w:cs="Calibri"/>
          <w:sz w:val="24"/>
          <w:szCs w:val="24"/>
          <w:lang w:eastAsia="en-GB"/>
        </w:rPr>
        <w:t>For Priestley, historical propositions too (</w:t>
      </w:r>
      <w:r>
        <w:rPr>
          <w:rFonts w:eastAsia="SimSun" w:cs="Calibri"/>
          <w:sz w:val="24"/>
          <w:szCs w:val="24"/>
          <w:lang w:eastAsia="en-GB"/>
        </w:rPr>
        <w:t>by which he means</w:t>
      </w:r>
      <w:r w:rsidRPr="004C14FE">
        <w:rPr>
          <w:rFonts w:eastAsia="SimSun" w:cs="Calibri"/>
          <w:sz w:val="24"/>
          <w:szCs w:val="24"/>
          <w:lang w:eastAsia="en-GB"/>
        </w:rPr>
        <w:t xml:space="preserve">, occurrences for which our evidence is the testimony of others) are assented to by means of association. Testimony itself can (and should) be weighed and tested by rational criteria. There is a kind of utilitarian criterion for Scriptural </w:t>
      </w:r>
      <w:r w:rsidR="00CB5C9C">
        <w:rPr>
          <w:rFonts w:eastAsia="SimSun" w:cs="Calibri"/>
          <w:sz w:val="24"/>
          <w:szCs w:val="24"/>
          <w:lang w:eastAsia="en-GB"/>
        </w:rPr>
        <w:t>“</w:t>
      </w:r>
      <w:r w:rsidRPr="004C14FE">
        <w:rPr>
          <w:rFonts w:eastAsia="SimSun" w:cs="Calibri"/>
          <w:sz w:val="24"/>
          <w:szCs w:val="24"/>
          <w:lang w:eastAsia="en-GB"/>
        </w:rPr>
        <w:t>facts</w:t>
      </w:r>
      <w:r w:rsidR="00CB5C9C">
        <w:rPr>
          <w:rFonts w:eastAsia="SimSun" w:cs="Calibri"/>
          <w:sz w:val="24"/>
          <w:szCs w:val="24"/>
          <w:lang w:eastAsia="en-GB"/>
        </w:rPr>
        <w:t>”</w:t>
      </w:r>
      <w:r w:rsidRPr="004C14FE">
        <w:rPr>
          <w:rFonts w:eastAsia="SimSun" w:cs="Calibri"/>
          <w:sz w:val="24"/>
          <w:szCs w:val="24"/>
          <w:lang w:eastAsia="en-GB"/>
        </w:rPr>
        <w:t xml:space="preserve"> – the evidence for miracles is overwhelming because attested to by so many witnesses (</w:t>
      </w:r>
      <w:r w:rsidRPr="004C14FE">
        <w:rPr>
          <w:rFonts w:eastAsia="SimSun" w:cs="Calibri"/>
          <w:i/>
          <w:iCs/>
          <w:sz w:val="24"/>
          <w:szCs w:val="24"/>
          <w:lang w:eastAsia="en-GB"/>
        </w:rPr>
        <w:t>Works</w:t>
      </w:r>
      <w:r w:rsidRPr="004C14FE">
        <w:rPr>
          <w:rFonts w:eastAsia="SimSun" w:cs="Calibri"/>
          <w:sz w:val="24"/>
          <w:szCs w:val="24"/>
          <w:lang w:eastAsia="en-GB"/>
        </w:rPr>
        <w:t xml:space="preserve"> 2. 113-20; 16.34).   In general, the evidence for revelation should be tested by appeal to the veracity of those who report it and the ascription to them of motives for doing so: </w:t>
      </w:r>
      <w:r w:rsidR="00CB5C9C">
        <w:rPr>
          <w:rFonts w:eastAsia="SimSun" w:cs="Calibri"/>
          <w:sz w:val="24"/>
          <w:szCs w:val="24"/>
          <w:lang w:eastAsia="en-GB"/>
        </w:rPr>
        <w:t>“</w:t>
      </w:r>
      <w:r w:rsidRPr="004C14FE">
        <w:rPr>
          <w:rFonts w:eastAsia="SimSun" w:cs="Calibri"/>
          <w:sz w:val="24"/>
          <w:szCs w:val="24"/>
          <w:lang w:eastAsia="en-GB"/>
        </w:rPr>
        <w:t>That testimony so copious, and so particularly circumstanced, given by such numbers of persons, who had the best opportunity of being informed, and who were so far from having any motive to impose upon the world, should notwithstanding, be given to a falsehood, cannot be admitted, without supposing all those persons to have been constituted in a manner quite different from other men</w:t>
      </w:r>
      <w:r w:rsidR="00CB5C9C">
        <w:rPr>
          <w:rFonts w:eastAsia="SimSun" w:cs="Calibri"/>
          <w:sz w:val="24"/>
          <w:szCs w:val="24"/>
          <w:lang w:eastAsia="en-GB"/>
        </w:rPr>
        <w:t>”</w:t>
      </w:r>
      <w:r w:rsidR="00952BF1">
        <w:rPr>
          <w:rFonts w:eastAsia="SimSun" w:cs="Calibri"/>
          <w:sz w:val="24"/>
          <w:szCs w:val="24"/>
          <w:lang w:eastAsia="en-GB"/>
        </w:rPr>
        <w:t xml:space="preserve"> </w:t>
      </w:r>
      <w:r w:rsidR="00CB5C9C" w:rsidRPr="004C14FE">
        <w:rPr>
          <w:rFonts w:eastAsia="SimSun" w:cs="Calibri"/>
          <w:sz w:val="24"/>
          <w:szCs w:val="24"/>
          <w:lang w:eastAsia="en-GB"/>
        </w:rPr>
        <w:t>(</w:t>
      </w:r>
      <w:r w:rsidR="00CB5C9C" w:rsidRPr="004C14FE">
        <w:rPr>
          <w:rFonts w:eastAsia="SimSun" w:cs="Calibri"/>
          <w:i/>
          <w:iCs/>
          <w:sz w:val="24"/>
          <w:szCs w:val="24"/>
          <w:lang w:eastAsia="en-GB"/>
        </w:rPr>
        <w:t>Works</w:t>
      </w:r>
      <w:r w:rsidR="00CB5C9C" w:rsidRPr="004C14FE">
        <w:rPr>
          <w:rFonts w:eastAsia="SimSun" w:cs="Calibri"/>
          <w:sz w:val="24"/>
          <w:szCs w:val="24"/>
          <w:lang w:eastAsia="en-GB"/>
        </w:rPr>
        <w:t xml:space="preserve"> 2.</w:t>
      </w:r>
      <w:r w:rsidR="00CB5C9C">
        <w:rPr>
          <w:rFonts w:eastAsia="SimSun" w:cs="Calibri"/>
          <w:sz w:val="24"/>
          <w:szCs w:val="24"/>
          <w:lang w:eastAsia="en-GB"/>
        </w:rPr>
        <w:t>197)</w:t>
      </w:r>
      <w:r w:rsidRPr="004C14FE">
        <w:rPr>
          <w:rFonts w:eastAsia="SimSun" w:cs="Calibri"/>
          <w:sz w:val="24"/>
          <w:szCs w:val="24"/>
          <w:lang w:eastAsia="en-GB"/>
        </w:rPr>
        <w:t xml:space="preserve">. This stress on the reasonableness of many of the accounts of divine intervention is avowedly based on what is probable and is accompanied by the concession that other stories must be </w:t>
      </w:r>
      <w:r w:rsidR="00952BF1">
        <w:rPr>
          <w:rFonts w:eastAsia="SimSun" w:cs="Calibri"/>
          <w:sz w:val="24"/>
          <w:szCs w:val="24"/>
          <w:lang w:eastAsia="en-GB"/>
        </w:rPr>
        <w:t>“</w:t>
      </w:r>
      <w:r w:rsidRPr="004C14FE">
        <w:rPr>
          <w:rFonts w:eastAsia="SimSun" w:cs="Calibri"/>
          <w:sz w:val="24"/>
          <w:szCs w:val="24"/>
          <w:lang w:eastAsia="en-GB"/>
        </w:rPr>
        <w:t>fables</w:t>
      </w:r>
      <w:r w:rsidR="00952BF1">
        <w:rPr>
          <w:rFonts w:eastAsia="SimSun" w:cs="Calibri"/>
          <w:sz w:val="24"/>
          <w:szCs w:val="24"/>
          <w:lang w:eastAsia="en-GB"/>
        </w:rPr>
        <w:t>”</w:t>
      </w:r>
      <w:r w:rsidRPr="004C14FE">
        <w:rPr>
          <w:rFonts w:eastAsia="SimSun" w:cs="Calibri"/>
          <w:sz w:val="24"/>
          <w:szCs w:val="24"/>
          <w:lang w:eastAsia="en-GB"/>
        </w:rPr>
        <w:t>.  The questions to be put to the scriptures are similar to those that might be posed to any historical testimony (</w:t>
      </w:r>
      <w:r w:rsidRPr="004C14FE">
        <w:rPr>
          <w:rFonts w:eastAsia="SimSun" w:cs="Calibri"/>
          <w:i/>
          <w:iCs/>
          <w:sz w:val="24"/>
          <w:szCs w:val="24"/>
          <w:lang w:eastAsia="en-GB"/>
        </w:rPr>
        <w:t>Works</w:t>
      </w:r>
      <w:r w:rsidRPr="004C14FE">
        <w:rPr>
          <w:rFonts w:eastAsia="SimSun" w:cs="Calibri"/>
          <w:sz w:val="24"/>
          <w:szCs w:val="24"/>
          <w:lang w:eastAsia="en-GB"/>
        </w:rPr>
        <w:t xml:space="preserve"> 2. 197). </w:t>
      </w:r>
    </w:p>
    <w:p w:rsidR="0008685E" w:rsidRPr="004C14FE" w:rsidRDefault="0008685E" w:rsidP="004C14FE">
      <w:pPr>
        <w:spacing w:after="120" w:line="480" w:lineRule="auto"/>
        <w:ind w:firstLine="540"/>
        <w:rPr>
          <w:rFonts w:eastAsia="SimSun" w:cs="Calibri"/>
          <w:sz w:val="24"/>
          <w:szCs w:val="24"/>
          <w:lang w:eastAsia="en-GB"/>
        </w:rPr>
      </w:pPr>
      <w:r w:rsidRPr="004C14FE">
        <w:rPr>
          <w:rFonts w:eastAsia="SimSun" w:cs="Calibri"/>
          <w:sz w:val="24"/>
          <w:szCs w:val="24"/>
          <w:lang w:eastAsia="en-GB"/>
        </w:rPr>
        <w:t xml:space="preserve">The fallibility of witnesses is in fact further evidence for contending the biblical accounts to be rational.  </w:t>
      </w:r>
      <w:r w:rsidR="00952BF1">
        <w:rPr>
          <w:rFonts w:eastAsia="SimSun" w:cs="Calibri"/>
          <w:sz w:val="24"/>
          <w:szCs w:val="24"/>
          <w:lang w:eastAsia="en-GB"/>
        </w:rPr>
        <w:t>“</w:t>
      </w:r>
      <w:r w:rsidRPr="004C14FE">
        <w:rPr>
          <w:rFonts w:eastAsia="SimSun" w:cs="Calibri"/>
          <w:sz w:val="24"/>
          <w:szCs w:val="24"/>
          <w:lang w:eastAsia="en-GB"/>
        </w:rPr>
        <w:t>Marks of human imperfection</w:t>
      </w:r>
      <w:r w:rsidR="00952BF1">
        <w:rPr>
          <w:rFonts w:eastAsia="SimSun" w:cs="Calibri"/>
          <w:sz w:val="24"/>
          <w:szCs w:val="24"/>
          <w:lang w:eastAsia="en-GB"/>
        </w:rPr>
        <w:t>”</w:t>
      </w:r>
      <w:r w:rsidRPr="004C14FE">
        <w:rPr>
          <w:rFonts w:eastAsia="SimSun" w:cs="Calibri"/>
          <w:sz w:val="24"/>
          <w:szCs w:val="24"/>
          <w:lang w:eastAsia="en-GB"/>
        </w:rPr>
        <w:t xml:space="preserve"> in the stories are far from being proof that the Bible was not divinely inspired.  Rather, the mistakes demonstrate that their writers were also too imperfect to be up to fabricating a supernatural scheme.  (If they had been making it up, he suggests, they would have got their stories straight.)  In any case, the incidentals may be different or be given more or less emphasis from account to account (for example, only Matthew mentions the wise men but all the gospels give an account of </w:t>
      </w:r>
      <w:proofErr w:type="spellStart"/>
      <w:r w:rsidRPr="004C14FE">
        <w:rPr>
          <w:rFonts w:eastAsia="SimSun" w:cs="Calibri"/>
          <w:sz w:val="24"/>
          <w:szCs w:val="24"/>
          <w:lang w:eastAsia="en-GB"/>
        </w:rPr>
        <w:t>Christ</w:t>
      </w:r>
      <w:r w:rsidR="00952BF1">
        <w:rPr>
          <w:rFonts w:eastAsia="SimSun" w:cs="Calibri"/>
          <w:sz w:val="24"/>
          <w:szCs w:val="24"/>
          <w:lang w:eastAsia="en-GB"/>
        </w:rPr>
        <w:t>”</w:t>
      </w:r>
      <w:r w:rsidRPr="004C14FE">
        <w:rPr>
          <w:rFonts w:eastAsia="SimSun" w:cs="Calibri"/>
          <w:sz w:val="24"/>
          <w:szCs w:val="24"/>
          <w:lang w:eastAsia="en-GB"/>
        </w:rPr>
        <w:t>s</w:t>
      </w:r>
      <w:proofErr w:type="spellEnd"/>
      <w:r w:rsidRPr="004C14FE">
        <w:rPr>
          <w:rFonts w:eastAsia="SimSun" w:cs="Calibri"/>
          <w:sz w:val="24"/>
          <w:szCs w:val="24"/>
          <w:lang w:eastAsia="en-GB"/>
        </w:rPr>
        <w:t xml:space="preserve"> death and resurrection), just as in ancient history: </w:t>
      </w:r>
      <w:r w:rsidR="00952BF1">
        <w:rPr>
          <w:rFonts w:eastAsia="SimSun" w:cs="Calibri"/>
          <w:sz w:val="24"/>
          <w:szCs w:val="24"/>
          <w:lang w:eastAsia="en-GB"/>
        </w:rPr>
        <w:t>“</w:t>
      </w:r>
      <w:r w:rsidRPr="004C14FE">
        <w:rPr>
          <w:rFonts w:eastAsia="SimSun" w:cs="Calibri"/>
          <w:sz w:val="24"/>
          <w:szCs w:val="24"/>
          <w:lang w:eastAsia="en-GB"/>
        </w:rPr>
        <w:t>different historians agree in their accounts of the principal things only; but as certainly differ in their accounts of lesser circumstances</w:t>
      </w:r>
      <w:r w:rsidR="00952BF1">
        <w:rPr>
          <w:rFonts w:eastAsia="SimSun" w:cs="Calibri"/>
          <w:sz w:val="24"/>
          <w:szCs w:val="24"/>
          <w:lang w:eastAsia="en-GB"/>
        </w:rPr>
        <w:t>”</w:t>
      </w:r>
      <w:r w:rsidRPr="004C14FE">
        <w:rPr>
          <w:rFonts w:eastAsia="SimSun" w:cs="Calibri"/>
          <w:sz w:val="24"/>
          <w:szCs w:val="24"/>
          <w:lang w:eastAsia="en-GB"/>
        </w:rPr>
        <w:t xml:space="preserve"> (</w:t>
      </w:r>
      <w:r w:rsidRPr="004C14FE">
        <w:rPr>
          <w:rFonts w:eastAsia="SimSun" w:cs="Calibri"/>
          <w:i/>
          <w:iCs/>
          <w:sz w:val="24"/>
          <w:szCs w:val="24"/>
          <w:lang w:eastAsia="en-GB"/>
        </w:rPr>
        <w:t>Works</w:t>
      </w:r>
      <w:r w:rsidRPr="004C14FE">
        <w:rPr>
          <w:rFonts w:eastAsia="SimSun" w:cs="Calibri"/>
          <w:sz w:val="24"/>
          <w:szCs w:val="24"/>
          <w:lang w:eastAsia="en-GB"/>
        </w:rPr>
        <w:t xml:space="preserve"> 2. 218).</w:t>
      </w:r>
    </w:p>
    <w:p w:rsidR="0008685E" w:rsidRPr="004C14FE" w:rsidRDefault="00952BF1" w:rsidP="00315766">
      <w:pPr>
        <w:spacing w:after="120" w:line="480" w:lineRule="auto"/>
        <w:ind w:firstLine="576"/>
        <w:rPr>
          <w:rFonts w:eastAsia="SimSun" w:cs="Calibri"/>
          <w:sz w:val="24"/>
          <w:szCs w:val="24"/>
          <w:lang w:eastAsia="en-GB"/>
        </w:rPr>
      </w:pPr>
      <w:r>
        <w:rPr>
          <w:rFonts w:eastAsia="SimSun" w:cs="Calibri"/>
          <w:sz w:val="24"/>
          <w:szCs w:val="24"/>
          <w:lang w:eastAsia="en-GB"/>
        </w:rPr>
        <w:t>“Conviction”</w:t>
      </w:r>
      <w:r w:rsidRPr="00952BF1">
        <w:rPr>
          <w:rFonts w:eastAsia="SimSun" w:cs="Calibri"/>
          <w:sz w:val="24"/>
          <w:szCs w:val="24"/>
          <w:lang w:eastAsia="en-GB"/>
        </w:rPr>
        <w:t xml:space="preserve"> is different from a claim for truth because capable of being serially revised.</w:t>
      </w:r>
      <w:r>
        <w:rPr>
          <w:rFonts w:eastAsia="SimSun" w:cs="Calibri"/>
          <w:sz w:val="24"/>
          <w:szCs w:val="24"/>
          <w:lang w:eastAsia="en-GB"/>
        </w:rPr>
        <w:t xml:space="preserve"> </w:t>
      </w:r>
      <w:r w:rsidR="0008685E" w:rsidRPr="004C14FE">
        <w:rPr>
          <w:rFonts w:eastAsia="SimSun" w:cs="Calibri"/>
          <w:sz w:val="24"/>
          <w:szCs w:val="24"/>
          <w:lang w:eastAsia="en-GB"/>
        </w:rPr>
        <w:t xml:space="preserve">Introducing </w:t>
      </w:r>
      <w:r w:rsidR="0008685E">
        <w:rPr>
          <w:rFonts w:eastAsia="SimSun" w:cs="Calibri"/>
          <w:sz w:val="24"/>
          <w:szCs w:val="24"/>
          <w:lang w:eastAsia="en-GB"/>
        </w:rPr>
        <w:t xml:space="preserve">his scientific rival Antoine </w:t>
      </w:r>
      <w:r w:rsidR="0008685E" w:rsidRPr="004C14FE">
        <w:rPr>
          <w:rFonts w:eastAsia="SimSun" w:cs="Calibri"/>
          <w:sz w:val="24"/>
          <w:szCs w:val="24"/>
          <w:lang w:eastAsia="en-GB"/>
        </w:rPr>
        <w:t xml:space="preserve">Lavoisier to </w:t>
      </w:r>
      <w:r w:rsidR="0008685E">
        <w:rPr>
          <w:rFonts w:eastAsia="SimSun" w:cs="Calibri"/>
          <w:sz w:val="24"/>
          <w:szCs w:val="24"/>
          <w:lang w:eastAsia="en-GB"/>
        </w:rPr>
        <w:t xml:space="preserve">the minister </w:t>
      </w:r>
      <w:r w:rsidR="0008685E" w:rsidRPr="004C14FE">
        <w:rPr>
          <w:rFonts w:eastAsia="SimSun" w:cs="Calibri"/>
          <w:sz w:val="24"/>
          <w:szCs w:val="24"/>
          <w:lang w:eastAsia="en-GB"/>
        </w:rPr>
        <w:t xml:space="preserve">David Jones, Priestley praises Jones for being </w:t>
      </w:r>
      <w:r>
        <w:rPr>
          <w:rFonts w:eastAsia="SimSun" w:cs="Calibri"/>
          <w:sz w:val="24"/>
          <w:szCs w:val="24"/>
          <w:lang w:eastAsia="en-GB"/>
        </w:rPr>
        <w:t>“</w:t>
      </w:r>
      <w:r w:rsidR="0008685E" w:rsidRPr="004C14FE">
        <w:rPr>
          <w:rFonts w:eastAsia="SimSun" w:cs="Calibri"/>
          <w:sz w:val="24"/>
          <w:szCs w:val="24"/>
          <w:lang w:eastAsia="en-GB"/>
        </w:rPr>
        <w:t>open, as we all ought to be, to conviction as new facts present themselves to us</w:t>
      </w:r>
      <w:r>
        <w:rPr>
          <w:rFonts w:eastAsia="SimSun" w:cs="Calibri"/>
          <w:sz w:val="24"/>
          <w:szCs w:val="24"/>
          <w:lang w:eastAsia="en-GB"/>
        </w:rPr>
        <w:t>”</w:t>
      </w:r>
      <w:r w:rsidR="0008685E" w:rsidRPr="004C14FE">
        <w:rPr>
          <w:rFonts w:eastAsia="SimSun" w:cs="Calibri"/>
          <w:sz w:val="20"/>
          <w:szCs w:val="20"/>
          <w:lang w:eastAsia="en-GB"/>
        </w:rPr>
        <w:t>.</w:t>
      </w:r>
      <w:r w:rsidR="0008685E" w:rsidRPr="003225E9">
        <w:rPr>
          <w:rFonts w:eastAsia="SimSun" w:cs="Calibri"/>
          <w:sz w:val="20"/>
          <w:szCs w:val="20"/>
          <w:vertAlign w:val="superscript"/>
          <w:lang w:eastAsia="en-GB"/>
        </w:rPr>
        <w:footnoteReference w:id="27"/>
      </w:r>
      <w:r w:rsidR="0008685E" w:rsidRPr="004C14FE">
        <w:rPr>
          <w:rFonts w:eastAsia="SimSun" w:cs="Calibri"/>
          <w:sz w:val="20"/>
          <w:szCs w:val="20"/>
          <w:lang w:eastAsia="en-GB"/>
        </w:rPr>
        <w:t xml:space="preserve"> </w:t>
      </w:r>
      <w:r w:rsidR="0008685E" w:rsidRPr="004C14FE">
        <w:rPr>
          <w:rFonts w:eastAsia="SimSun" w:cs="Calibri"/>
          <w:sz w:val="24"/>
          <w:szCs w:val="24"/>
          <w:lang w:eastAsia="en-GB"/>
        </w:rPr>
        <w:t>Conviction</w:t>
      </w:r>
      <w:r>
        <w:rPr>
          <w:rFonts w:eastAsia="SimSun" w:cs="Calibri"/>
          <w:sz w:val="24"/>
          <w:szCs w:val="24"/>
          <w:lang w:eastAsia="en-GB"/>
        </w:rPr>
        <w:t xml:space="preserve">, then, </w:t>
      </w:r>
      <w:r w:rsidR="0008685E" w:rsidRPr="004C14FE">
        <w:rPr>
          <w:rFonts w:eastAsia="SimSun" w:cs="Calibri"/>
          <w:sz w:val="24"/>
          <w:szCs w:val="24"/>
          <w:lang w:eastAsia="en-GB"/>
        </w:rPr>
        <w:t xml:space="preserve">is a point of rest rather than a fixed point, and is also teleological rather than inferential, proceeding from a prior faith in the Bible as the word of God: Priestley asking </w:t>
      </w:r>
      <w:r>
        <w:rPr>
          <w:rFonts w:eastAsia="SimSun" w:cs="Calibri"/>
          <w:sz w:val="24"/>
          <w:szCs w:val="24"/>
          <w:lang w:eastAsia="en-GB"/>
        </w:rPr>
        <w:t>“</w:t>
      </w:r>
      <w:r w:rsidR="0008685E" w:rsidRPr="004C14FE">
        <w:rPr>
          <w:rFonts w:eastAsia="SimSun" w:cs="Calibri"/>
          <w:sz w:val="24"/>
          <w:szCs w:val="24"/>
          <w:lang w:eastAsia="en-GB"/>
        </w:rPr>
        <w:t>why is it true?</w:t>
      </w:r>
      <w:r>
        <w:rPr>
          <w:rFonts w:eastAsia="SimSun" w:cs="Calibri"/>
          <w:sz w:val="24"/>
          <w:szCs w:val="24"/>
          <w:lang w:eastAsia="en-GB"/>
        </w:rPr>
        <w:t>”</w:t>
      </w:r>
      <w:r w:rsidR="0008685E" w:rsidRPr="004C14FE">
        <w:rPr>
          <w:rFonts w:eastAsia="SimSun" w:cs="Calibri"/>
          <w:sz w:val="24"/>
          <w:szCs w:val="24"/>
          <w:lang w:eastAsia="en-GB"/>
        </w:rPr>
        <w:t xml:space="preserve"> already has a different starting point from the atheist’s question </w:t>
      </w:r>
      <w:r w:rsidR="00315766">
        <w:rPr>
          <w:rFonts w:eastAsia="SimSun" w:cs="Calibri"/>
          <w:sz w:val="24"/>
          <w:szCs w:val="24"/>
          <w:lang w:eastAsia="en-GB"/>
        </w:rPr>
        <w:t>“</w:t>
      </w:r>
      <w:r w:rsidR="0008685E" w:rsidRPr="004C14FE">
        <w:rPr>
          <w:rFonts w:eastAsia="SimSun" w:cs="Calibri"/>
          <w:sz w:val="24"/>
          <w:szCs w:val="24"/>
          <w:lang w:eastAsia="en-GB"/>
        </w:rPr>
        <w:t>is it true?</w:t>
      </w:r>
      <w:r w:rsidR="00315766">
        <w:rPr>
          <w:rFonts w:eastAsia="SimSun" w:cs="Calibri"/>
          <w:sz w:val="24"/>
          <w:szCs w:val="24"/>
          <w:lang w:eastAsia="en-GB"/>
        </w:rPr>
        <w:t>”</w:t>
      </w:r>
      <w:r w:rsidR="0008685E" w:rsidRPr="004C14FE">
        <w:rPr>
          <w:rFonts w:eastAsia="SimSun" w:cs="Calibri"/>
          <w:sz w:val="24"/>
          <w:szCs w:val="24"/>
          <w:lang w:eastAsia="en-GB"/>
        </w:rPr>
        <w:t xml:space="preserve"> In the end the alternatives are still binary – miracles and other phenomena are either true or not – although latitude can be afforded those who have mediated those accounts to us.</w:t>
      </w:r>
    </w:p>
    <w:p w:rsidR="0008685E" w:rsidRPr="003225E9" w:rsidRDefault="0008685E" w:rsidP="004C14FE">
      <w:pPr>
        <w:spacing w:line="480" w:lineRule="auto"/>
        <w:jc w:val="center"/>
        <w:rPr>
          <w:rFonts w:cs="Arial"/>
          <w:b/>
          <w:bCs/>
          <w:sz w:val="24"/>
          <w:szCs w:val="24"/>
        </w:rPr>
      </w:pPr>
      <w:r>
        <w:rPr>
          <w:rFonts w:cs="Arial"/>
          <w:b/>
          <w:bCs/>
          <w:sz w:val="24"/>
          <w:szCs w:val="24"/>
        </w:rPr>
        <w:t>I</w:t>
      </w:r>
      <w:r w:rsidRPr="003225E9">
        <w:rPr>
          <w:rFonts w:cs="Arial"/>
          <w:b/>
          <w:bCs/>
          <w:sz w:val="24"/>
          <w:szCs w:val="24"/>
        </w:rPr>
        <w:t>II. Theological Principles and Politics</w:t>
      </w:r>
    </w:p>
    <w:p w:rsidR="001D127A" w:rsidRDefault="007A5DAD" w:rsidP="001D127A">
      <w:pPr>
        <w:pStyle w:val="NormalWeb"/>
        <w:ind w:firstLine="0"/>
      </w:pPr>
      <w:r w:rsidRPr="007A5DAD">
        <w:t xml:space="preserve">The relationship of religion to politics was therefore less abstract and with more evident material consequences than the relationship of reason to faith. Even where it did not issue in violence as it did against Priestley and other </w:t>
      </w:r>
      <w:r w:rsidR="001D127A" w:rsidRPr="007A5DAD">
        <w:t xml:space="preserve">dissenters </w:t>
      </w:r>
      <w:r w:rsidR="001D127A">
        <w:t xml:space="preserve">in </w:t>
      </w:r>
      <w:r w:rsidRPr="007A5DAD">
        <w:t xml:space="preserve">Birmingham, that relationship was bound to be particularly uneasy for those economically and politically disadvantaged because they were unable to subscribe to the Thirty-Nine Articles. The arguments of Bishop William Warburton in the 1730s for ‘the hegemony of the Church of England’ (in Jonathan Clark’s term) were revived with a new urgency in the 1760s and then following the loss of the American colonies, and while such arguments had to acknowledge that doctrinal differences might be tolerated it was also imperative not to allow toleration of difference to override Anglicanism as an institution; the Church could expect allegiance, Clark says, </w:t>
      </w:r>
      <w:r w:rsidR="00315766">
        <w:t>“</w:t>
      </w:r>
      <w:r w:rsidRPr="007A5DAD">
        <w:t>because its establishment was expedient, not because its doctrine was true</w:t>
      </w:r>
      <w:r w:rsidR="00315766">
        <w:t>”</w:t>
      </w:r>
      <w:r w:rsidRPr="007A5DAD">
        <w:t>.</w:t>
      </w:r>
      <w:r w:rsidRPr="007A5DAD">
        <w:rPr>
          <w:vertAlign w:val="superscript"/>
        </w:rPr>
        <w:footnoteReference w:id="28"/>
      </w:r>
      <w:r w:rsidRPr="007A5DAD">
        <w:t xml:space="preserve"> </w:t>
      </w:r>
    </w:p>
    <w:p w:rsidR="007A5DAD" w:rsidRDefault="007A5DAD" w:rsidP="001D127A">
      <w:pPr>
        <w:pStyle w:val="NormalWeb"/>
        <w:ind w:firstLine="540"/>
        <w:rPr>
          <w:rFonts w:asciiTheme="minorHAnsi" w:hAnsiTheme="minorHAnsi"/>
        </w:rPr>
      </w:pPr>
      <w:r w:rsidRPr="007A5DAD">
        <w:t xml:space="preserve">In Priestley’s case, the uneasy relationship was because, as a dissenter, his avowals of allegiance to the Crown themselves might look merely expedient. </w:t>
      </w:r>
      <w:proofErr w:type="spellStart"/>
      <w:r w:rsidR="001D127A">
        <w:t>His</w:t>
      </w:r>
      <w:r w:rsidR="0008685E">
        <w:rPr>
          <w:rFonts w:asciiTheme="minorHAnsi" w:hAnsiTheme="minorHAnsi"/>
        </w:rPr>
        <w:t>ley’s</w:t>
      </w:r>
      <w:proofErr w:type="spellEnd"/>
      <w:r w:rsidR="0008685E">
        <w:rPr>
          <w:rFonts w:asciiTheme="minorHAnsi" w:hAnsiTheme="minorHAnsi"/>
        </w:rPr>
        <w:t xml:space="preserve"> writings of the 1770s and 80s, as well as local provocations, made him a target in the 1791 riots, especially the often exuberantly historicising refutations of such Anglican dogma as the Trinity or the doctrine of atonement or </w:t>
      </w:r>
      <w:r w:rsidR="0008685E" w:rsidRPr="007A5DAD">
        <w:rPr>
          <w:rFonts w:asciiTheme="minorHAnsi" w:hAnsiTheme="minorHAnsi"/>
        </w:rPr>
        <w:t>the Lord’s Supper in the Institutes and History of the Corruptions</w:t>
      </w:r>
      <w:r w:rsidR="0008685E">
        <w:rPr>
          <w:rFonts w:asciiTheme="minorHAnsi" w:hAnsiTheme="minorHAnsi"/>
        </w:rPr>
        <w:t xml:space="preserve">.  Other works too suggested that religion and politics were mutually involved and that their involvement was almost inevitable. </w:t>
      </w:r>
    </w:p>
    <w:p w:rsidR="0008685E" w:rsidRPr="003225E9" w:rsidRDefault="0008685E" w:rsidP="00315766">
      <w:pPr>
        <w:pStyle w:val="NormalWeb"/>
        <w:spacing w:before="0" w:beforeAutospacing="0" w:after="120" w:afterAutospacing="0"/>
        <w:rPr>
          <w:rFonts w:asciiTheme="minorHAnsi" w:hAnsiTheme="minorHAnsi"/>
        </w:rPr>
      </w:pPr>
      <w:r w:rsidRPr="003225E9">
        <w:rPr>
          <w:rFonts w:asciiTheme="minorHAnsi" w:hAnsiTheme="minorHAnsi"/>
        </w:rPr>
        <w:t>Although Priestley himself was obliged to deny it, the establishment of the Church of England made dissent a political position, so politics need</w:t>
      </w:r>
      <w:r w:rsidR="00952BF1">
        <w:rPr>
          <w:rFonts w:asciiTheme="minorHAnsi" w:hAnsiTheme="minorHAnsi"/>
        </w:rPr>
        <w:t>s</w:t>
      </w:r>
      <w:r w:rsidRPr="003225E9">
        <w:rPr>
          <w:rFonts w:asciiTheme="minorHAnsi" w:hAnsiTheme="minorHAnsi"/>
        </w:rPr>
        <w:t xml:space="preserve"> to be quite broadly defined – more broadly than in Peter N. Miller’s excellent edition of Priestley’s </w:t>
      </w:r>
      <w:r w:rsidRPr="003225E9">
        <w:rPr>
          <w:rFonts w:asciiTheme="minorHAnsi" w:hAnsiTheme="minorHAnsi"/>
          <w:i/>
          <w:iCs/>
        </w:rPr>
        <w:t>Political Writings</w:t>
      </w:r>
      <w:r w:rsidRPr="003225E9">
        <w:rPr>
          <w:rFonts w:asciiTheme="minorHAnsi" w:hAnsiTheme="minorHAnsi"/>
        </w:rPr>
        <w:t xml:space="preserve"> for C</w:t>
      </w:r>
      <w:r>
        <w:rPr>
          <w:rFonts w:asciiTheme="minorHAnsi" w:hAnsiTheme="minorHAnsi"/>
        </w:rPr>
        <w:t xml:space="preserve">ambridge </w:t>
      </w:r>
      <w:r w:rsidRPr="003225E9">
        <w:rPr>
          <w:rFonts w:asciiTheme="minorHAnsi" w:hAnsiTheme="minorHAnsi"/>
        </w:rPr>
        <w:t>U</w:t>
      </w:r>
      <w:r>
        <w:rPr>
          <w:rFonts w:asciiTheme="minorHAnsi" w:hAnsiTheme="minorHAnsi"/>
        </w:rPr>
        <w:t xml:space="preserve">niversity </w:t>
      </w:r>
      <w:r w:rsidRPr="003225E9">
        <w:rPr>
          <w:rFonts w:asciiTheme="minorHAnsi" w:hAnsiTheme="minorHAnsi"/>
        </w:rPr>
        <w:t>P</w:t>
      </w:r>
      <w:r>
        <w:rPr>
          <w:rFonts w:asciiTheme="minorHAnsi" w:hAnsiTheme="minorHAnsi"/>
        </w:rPr>
        <w:t>ress (1995)</w:t>
      </w:r>
      <w:r w:rsidRPr="003225E9">
        <w:rPr>
          <w:rFonts w:asciiTheme="minorHAnsi" w:hAnsiTheme="minorHAnsi"/>
        </w:rPr>
        <w:t xml:space="preserve">, which is a surprisingly thin volume, containing just the </w:t>
      </w:r>
      <w:r w:rsidRPr="003225E9">
        <w:rPr>
          <w:rFonts w:asciiTheme="minorHAnsi" w:hAnsiTheme="minorHAnsi"/>
          <w:i/>
          <w:iCs/>
        </w:rPr>
        <w:t>Essay on the first Principles of Government</w:t>
      </w:r>
      <w:r w:rsidRPr="003225E9">
        <w:rPr>
          <w:rFonts w:asciiTheme="minorHAnsi" w:hAnsiTheme="minorHAnsi"/>
        </w:rPr>
        <w:t xml:space="preserve"> (1768) and </w:t>
      </w:r>
      <w:r w:rsidRPr="003225E9">
        <w:rPr>
          <w:rFonts w:asciiTheme="minorHAnsi" w:hAnsiTheme="minorHAnsi"/>
          <w:i/>
          <w:iCs/>
        </w:rPr>
        <w:t>The Present State of Liberty in Great Britain and America</w:t>
      </w:r>
      <w:r w:rsidRPr="003225E9">
        <w:rPr>
          <w:rFonts w:asciiTheme="minorHAnsi" w:hAnsiTheme="minorHAnsi"/>
        </w:rPr>
        <w:t xml:space="preserve"> (1769). Priestley himself does suggest such a broad definition: he could show his audiences the workings of natural phenomena, revelations of nature which were superior to manifestations of temporal authority, declaring, in a much-quoted phrase from the Preface to his </w:t>
      </w:r>
      <w:r w:rsidRPr="003225E9">
        <w:rPr>
          <w:rFonts w:asciiTheme="minorHAnsi" w:hAnsiTheme="minorHAnsi"/>
          <w:i/>
          <w:iCs/>
        </w:rPr>
        <w:t>Experiments on Air</w:t>
      </w:r>
      <w:r w:rsidRPr="003225E9">
        <w:rPr>
          <w:rFonts w:asciiTheme="minorHAnsi" w:hAnsiTheme="minorHAnsi"/>
        </w:rPr>
        <w:t xml:space="preserve"> that </w:t>
      </w:r>
      <w:r w:rsidR="00315766">
        <w:rPr>
          <w:rFonts w:asciiTheme="minorHAnsi" w:hAnsiTheme="minorHAnsi"/>
        </w:rPr>
        <w:t>“</w:t>
      </w:r>
      <w:r w:rsidRPr="003225E9">
        <w:rPr>
          <w:rFonts w:asciiTheme="minorHAnsi" w:hAnsiTheme="minorHAnsi"/>
        </w:rPr>
        <w:t>the English hierarchy has equal reason to tremble at an air pump or an electrical machine.</w:t>
      </w:r>
      <w:r w:rsidR="00315766">
        <w:rPr>
          <w:rFonts w:asciiTheme="minorHAnsi" w:hAnsiTheme="minorHAnsi"/>
        </w:rPr>
        <w:t>”</w:t>
      </w:r>
      <w:r w:rsidRPr="003225E9">
        <w:rPr>
          <w:rStyle w:val="Style"/>
          <w:rFonts w:asciiTheme="minorHAnsi" w:hAnsiTheme="minorHAnsi"/>
        </w:rPr>
        <w:footnoteReference w:id="29"/>
      </w:r>
      <w:r w:rsidRPr="003225E9">
        <w:rPr>
          <w:rFonts w:asciiTheme="minorHAnsi" w:hAnsiTheme="minorHAnsi"/>
        </w:rPr>
        <w:t xml:space="preserve"> </w:t>
      </w:r>
    </w:p>
    <w:p w:rsidR="0008685E" w:rsidRPr="003225E9" w:rsidRDefault="001D127A" w:rsidP="001D127A">
      <w:pPr>
        <w:pStyle w:val="NormalWeb"/>
        <w:spacing w:before="0" w:beforeAutospacing="0" w:after="120" w:afterAutospacing="0"/>
        <w:ind w:firstLine="540"/>
        <w:rPr>
          <w:rFonts w:asciiTheme="minorHAnsi" w:hAnsiTheme="minorHAnsi"/>
        </w:rPr>
      </w:pPr>
      <w:r>
        <w:rPr>
          <w:rFonts w:asciiTheme="minorHAnsi" w:hAnsiTheme="minorHAnsi"/>
        </w:rPr>
        <w:t>Of course the</w:t>
      </w:r>
      <w:r w:rsidR="00624B2A">
        <w:rPr>
          <w:rFonts w:asciiTheme="minorHAnsi" w:hAnsiTheme="minorHAnsi"/>
        </w:rPr>
        <w:t xml:space="preserve"> explicit</w:t>
      </w:r>
      <w:r w:rsidR="00952BF1">
        <w:rPr>
          <w:rFonts w:asciiTheme="minorHAnsi" w:hAnsiTheme="minorHAnsi"/>
        </w:rPr>
        <w:t xml:space="preserve"> connection </w:t>
      </w:r>
      <w:r>
        <w:rPr>
          <w:rFonts w:asciiTheme="minorHAnsi" w:hAnsiTheme="minorHAnsi"/>
        </w:rPr>
        <w:t>Priestley</w:t>
      </w:r>
      <w:r w:rsidRPr="003225E9">
        <w:rPr>
          <w:rFonts w:asciiTheme="minorHAnsi" w:hAnsiTheme="minorHAnsi"/>
        </w:rPr>
        <w:t xml:space="preserve"> </w:t>
      </w:r>
      <w:r>
        <w:rPr>
          <w:rFonts w:asciiTheme="minorHAnsi" w:hAnsiTheme="minorHAnsi"/>
        </w:rPr>
        <w:t xml:space="preserve">drew </w:t>
      </w:r>
      <w:r w:rsidR="00952BF1">
        <w:rPr>
          <w:rFonts w:asciiTheme="minorHAnsi" w:hAnsiTheme="minorHAnsi"/>
        </w:rPr>
        <w:t>between</w:t>
      </w:r>
      <w:r w:rsidR="0008685E" w:rsidRPr="003225E9">
        <w:rPr>
          <w:rFonts w:asciiTheme="minorHAnsi" w:hAnsiTheme="minorHAnsi"/>
        </w:rPr>
        <w:t xml:space="preserve"> scientific innovation </w:t>
      </w:r>
      <w:r w:rsidR="00952BF1">
        <w:rPr>
          <w:rFonts w:asciiTheme="minorHAnsi" w:hAnsiTheme="minorHAnsi"/>
        </w:rPr>
        <w:t>and</w:t>
      </w:r>
      <w:r w:rsidR="0008685E" w:rsidRPr="003225E9">
        <w:rPr>
          <w:rFonts w:asciiTheme="minorHAnsi" w:hAnsiTheme="minorHAnsi"/>
        </w:rPr>
        <w:t xml:space="preserve"> a threat to the class-structure</w:t>
      </w:r>
      <w:r w:rsidR="0008685E">
        <w:rPr>
          <w:rFonts w:asciiTheme="minorHAnsi" w:hAnsiTheme="minorHAnsi"/>
        </w:rPr>
        <w:t xml:space="preserve">, </w:t>
      </w:r>
      <w:r>
        <w:rPr>
          <w:rFonts w:asciiTheme="minorHAnsi" w:hAnsiTheme="minorHAnsi"/>
        </w:rPr>
        <w:t xml:space="preserve">was </w:t>
      </w:r>
      <w:r w:rsidR="0008685E">
        <w:rPr>
          <w:rFonts w:asciiTheme="minorHAnsi" w:hAnsiTheme="minorHAnsi"/>
        </w:rPr>
        <w:t>also made in violent terms by the mob that smashed up his laboratory in 1791. More abstractly, th</w:t>
      </w:r>
      <w:r w:rsidR="00624B2A">
        <w:rPr>
          <w:rFonts w:asciiTheme="minorHAnsi" w:hAnsiTheme="minorHAnsi"/>
        </w:rPr>
        <w:t xml:space="preserve">at such connections can be drawn </w:t>
      </w:r>
      <w:r w:rsidR="0008685E" w:rsidRPr="003225E9">
        <w:rPr>
          <w:rFonts w:asciiTheme="minorHAnsi" w:hAnsiTheme="minorHAnsi"/>
        </w:rPr>
        <w:t xml:space="preserve">shows that similar principles could be seen to underlie apparently different sets of phenomena, </w:t>
      </w:r>
      <w:r w:rsidR="0008685E">
        <w:rPr>
          <w:rFonts w:asciiTheme="minorHAnsi" w:hAnsiTheme="minorHAnsi"/>
        </w:rPr>
        <w:t xml:space="preserve">or what were </w:t>
      </w:r>
      <w:r w:rsidR="0008685E" w:rsidRPr="003225E9">
        <w:rPr>
          <w:rFonts w:asciiTheme="minorHAnsi" w:hAnsiTheme="minorHAnsi"/>
        </w:rPr>
        <w:t xml:space="preserve">apparently different disciplines. </w:t>
      </w:r>
      <w:r w:rsidR="00BB4891">
        <w:rPr>
          <w:rFonts w:asciiTheme="minorHAnsi" w:hAnsiTheme="minorHAnsi"/>
        </w:rPr>
        <w:t>However, analogy is merely a heuristic device and a basis in similar principles was far from meaning homogeneity: Priestley would always confirm that t</w:t>
      </w:r>
      <w:r w:rsidR="00BB4891" w:rsidRPr="003225E9">
        <w:rPr>
          <w:rFonts w:asciiTheme="minorHAnsi" w:hAnsiTheme="minorHAnsi"/>
        </w:rPr>
        <w:t xml:space="preserve">he power of nature </w:t>
      </w:r>
      <w:r w:rsidR="00BB4891">
        <w:rPr>
          <w:rFonts w:asciiTheme="minorHAnsi" w:hAnsiTheme="minorHAnsi"/>
        </w:rPr>
        <w:t>wa</w:t>
      </w:r>
      <w:r w:rsidR="00BB4891" w:rsidRPr="003225E9">
        <w:rPr>
          <w:rFonts w:asciiTheme="minorHAnsi" w:hAnsiTheme="minorHAnsi"/>
        </w:rPr>
        <w:t>s greater than that of mere politics</w:t>
      </w:r>
      <w:r w:rsidR="00BB4891">
        <w:rPr>
          <w:rFonts w:asciiTheme="minorHAnsi" w:hAnsiTheme="minorHAnsi"/>
        </w:rPr>
        <w:t xml:space="preserve">. </w:t>
      </w:r>
      <w:r w:rsidR="0008685E" w:rsidRPr="003225E9">
        <w:rPr>
          <w:rFonts w:asciiTheme="minorHAnsi" w:hAnsiTheme="minorHAnsi"/>
        </w:rPr>
        <w:t xml:space="preserve">In the </w:t>
      </w:r>
      <w:r w:rsidR="0008685E" w:rsidRPr="003225E9">
        <w:rPr>
          <w:rFonts w:asciiTheme="minorHAnsi" w:hAnsiTheme="minorHAnsi"/>
          <w:i/>
          <w:iCs/>
        </w:rPr>
        <w:t>Essay on the First Principles of Government</w:t>
      </w:r>
      <w:r w:rsidR="0008685E" w:rsidRPr="003225E9">
        <w:rPr>
          <w:rFonts w:asciiTheme="minorHAnsi" w:hAnsiTheme="minorHAnsi"/>
        </w:rPr>
        <w:t xml:space="preserve"> </w:t>
      </w:r>
      <w:r w:rsidR="0008685E">
        <w:rPr>
          <w:rFonts w:asciiTheme="minorHAnsi" w:hAnsiTheme="minorHAnsi"/>
        </w:rPr>
        <w:t>he</w:t>
      </w:r>
      <w:r w:rsidR="0008685E" w:rsidRPr="003225E9">
        <w:rPr>
          <w:rFonts w:asciiTheme="minorHAnsi" w:hAnsiTheme="minorHAnsi"/>
        </w:rPr>
        <w:t xml:space="preserve"> claimed that the same principle actuated his political as his theological work; that, specifically, the principle of the happiness of the greatest number of the members of a society is shared by any system of politics with the divine being.</w:t>
      </w:r>
      <w:r w:rsidR="0008685E" w:rsidRPr="003225E9">
        <w:rPr>
          <w:rStyle w:val="FootnoteReference"/>
          <w:rFonts w:asciiTheme="minorHAnsi" w:hAnsiTheme="minorHAnsi"/>
          <w:sz w:val="20"/>
          <w:szCs w:val="20"/>
        </w:rPr>
        <w:footnoteReference w:id="30"/>
      </w:r>
      <w:r w:rsidR="0008685E" w:rsidRPr="003225E9">
        <w:rPr>
          <w:rFonts w:asciiTheme="minorHAnsi" w:hAnsiTheme="minorHAnsi"/>
        </w:rPr>
        <w:t xml:space="preserve"> God too was a utilitarian and experiment was equally the condition of progress in the organisation of states and of progress in scientific knowledge: </w:t>
      </w:r>
      <w:r w:rsidR="00315766">
        <w:rPr>
          <w:rFonts w:asciiTheme="minorHAnsi" w:hAnsiTheme="minorHAnsi"/>
        </w:rPr>
        <w:t>“</w:t>
      </w:r>
      <w:r w:rsidR="0008685E" w:rsidRPr="003225E9">
        <w:rPr>
          <w:rFonts w:asciiTheme="minorHAnsi" w:hAnsiTheme="minorHAnsi"/>
        </w:rPr>
        <w:t>All civil societies, and the whole science of civil government, on which they are founded, are yet in their infancy. Like other arts and sciences, this is gradually improving; but it improves more slowly, because opportunities for making experiments are fewer</w:t>
      </w:r>
      <w:r w:rsidR="00315766">
        <w:rPr>
          <w:rFonts w:asciiTheme="minorHAnsi" w:hAnsiTheme="minorHAnsi"/>
        </w:rPr>
        <w:t>”</w:t>
      </w:r>
      <w:r w:rsidR="0008685E" w:rsidRPr="003225E9">
        <w:rPr>
          <w:rFonts w:asciiTheme="minorHAnsi" w:hAnsiTheme="minorHAnsi"/>
        </w:rPr>
        <w:t xml:space="preserve"> (108).</w:t>
      </w:r>
    </w:p>
    <w:p w:rsidR="0008685E" w:rsidRPr="003225E9" w:rsidRDefault="0008685E" w:rsidP="001D127A">
      <w:pPr>
        <w:pStyle w:val="NormalWeb"/>
        <w:spacing w:before="0" w:beforeAutospacing="0" w:after="120" w:afterAutospacing="0"/>
        <w:rPr>
          <w:rFonts w:asciiTheme="minorHAnsi" w:hAnsiTheme="minorHAnsi"/>
        </w:rPr>
      </w:pPr>
      <w:r w:rsidRPr="003225E9">
        <w:rPr>
          <w:rFonts w:asciiTheme="minorHAnsi" w:hAnsiTheme="minorHAnsi"/>
        </w:rPr>
        <w:t xml:space="preserve">Although </w:t>
      </w:r>
      <w:r w:rsidR="001D127A">
        <w:rPr>
          <w:rFonts w:asciiTheme="minorHAnsi" w:hAnsiTheme="minorHAnsi"/>
        </w:rPr>
        <w:t xml:space="preserve">Priestley’s </w:t>
      </w:r>
      <w:r w:rsidRPr="003225E9">
        <w:rPr>
          <w:rFonts w:asciiTheme="minorHAnsi" w:hAnsiTheme="minorHAnsi"/>
        </w:rPr>
        <w:t xml:space="preserve">politics and </w:t>
      </w:r>
      <w:r w:rsidR="001D127A">
        <w:rPr>
          <w:rFonts w:asciiTheme="minorHAnsi" w:hAnsiTheme="minorHAnsi"/>
        </w:rPr>
        <w:t>his</w:t>
      </w:r>
      <w:r w:rsidR="001D127A" w:rsidRPr="003225E9">
        <w:rPr>
          <w:rFonts w:asciiTheme="minorHAnsi" w:hAnsiTheme="minorHAnsi"/>
        </w:rPr>
        <w:t xml:space="preserve"> </w:t>
      </w:r>
      <w:r w:rsidRPr="003225E9">
        <w:rPr>
          <w:rFonts w:asciiTheme="minorHAnsi" w:hAnsiTheme="minorHAnsi"/>
        </w:rPr>
        <w:t xml:space="preserve">theology share a set of principles they continue to occupy discrete domains: </w:t>
      </w:r>
      <w:r w:rsidR="00216B52">
        <w:rPr>
          <w:rFonts w:asciiTheme="minorHAnsi" w:hAnsiTheme="minorHAnsi"/>
        </w:rPr>
        <w:t xml:space="preserve">although </w:t>
      </w:r>
      <w:r w:rsidRPr="003225E9">
        <w:rPr>
          <w:rFonts w:asciiTheme="minorHAnsi" w:hAnsiTheme="minorHAnsi"/>
        </w:rPr>
        <w:t>God never instituted civil power and does not support any now existing</w:t>
      </w:r>
      <w:r w:rsidR="00216B52">
        <w:rPr>
          <w:rFonts w:asciiTheme="minorHAnsi" w:hAnsiTheme="minorHAnsi"/>
        </w:rPr>
        <w:t xml:space="preserve">, there are inferences to be drawn from natural theology that fuse secular and religious understanding of the processes of enlightenment. </w:t>
      </w:r>
      <w:r w:rsidRPr="003225E9">
        <w:rPr>
          <w:rFonts w:asciiTheme="minorHAnsi" w:hAnsiTheme="minorHAnsi"/>
        </w:rPr>
        <w:t xml:space="preserve">The very first principle in the </w:t>
      </w:r>
      <w:r w:rsidRPr="003225E9">
        <w:rPr>
          <w:rFonts w:asciiTheme="minorHAnsi" w:hAnsiTheme="minorHAnsi"/>
          <w:i/>
          <w:iCs/>
        </w:rPr>
        <w:t>Essay on the First Principles of Government</w:t>
      </w:r>
      <w:r w:rsidRPr="003225E9">
        <w:rPr>
          <w:rFonts w:asciiTheme="minorHAnsi" w:hAnsiTheme="minorHAnsi"/>
        </w:rPr>
        <w:t xml:space="preserve"> is that awareness of other times is what distinguishes humans from animals.  For Priestley, this testifies to a concern with futurity as continual improvement; he assumes the momentum of progress to be unstoppable: </w:t>
      </w:r>
      <w:r w:rsidR="00315766">
        <w:rPr>
          <w:rFonts w:asciiTheme="minorHAnsi" w:hAnsiTheme="minorHAnsi"/>
        </w:rPr>
        <w:t>“</w:t>
      </w:r>
      <w:r w:rsidRPr="003225E9">
        <w:rPr>
          <w:rFonts w:asciiTheme="minorHAnsi" w:hAnsiTheme="minorHAnsi"/>
        </w:rPr>
        <w:t>If things proceed as they have done ... the earth w</w:t>
      </w:r>
      <w:r>
        <w:rPr>
          <w:rFonts w:asciiTheme="minorHAnsi" w:hAnsiTheme="minorHAnsi"/>
        </w:rPr>
        <w:t>ill become a paradise</w:t>
      </w:r>
      <w:r w:rsidR="00315766">
        <w:rPr>
          <w:rFonts w:asciiTheme="minorHAnsi" w:hAnsiTheme="minorHAnsi"/>
        </w:rPr>
        <w:t>”</w:t>
      </w:r>
      <w:r w:rsidRPr="003225E9">
        <w:rPr>
          <w:rFonts w:asciiTheme="minorHAnsi" w:hAnsiTheme="minorHAnsi"/>
        </w:rPr>
        <w:t xml:space="preserve"> </w:t>
      </w:r>
      <w:r>
        <w:rPr>
          <w:rFonts w:asciiTheme="minorHAnsi" w:hAnsiTheme="minorHAnsi"/>
        </w:rPr>
        <w:t>(</w:t>
      </w:r>
      <w:r w:rsidRPr="004D1790">
        <w:rPr>
          <w:rFonts w:asciiTheme="minorHAnsi" w:hAnsiTheme="minorHAnsi"/>
          <w:i/>
          <w:iCs/>
        </w:rPr>
        <w:t>Works</w:t>
      </w:r>
      <w:r>
        <w:rPr>
          <w:rFonts w:asciiTheme="minorHAnsi" w:hAnsiTheme="minorHAnsi"/>
        </w:rPr>
        <w:t xml:space="preserve"> 2.8).</w:t>
      </w:r>
      <w:r w:rsidRPr="003225E9">
        <w:rPr>
          <w:rFonts w:asciiTheme="minorHAnsi" w:hAnsiTheme="minorHAnsi"/>
        </w:rPr>
        <w:t xml:space="preserve"> Progress is a power akin to a natural force that can be harnessed but that operates outside the established channels. </w:t>
      </w:r>
    </w:p>
    <w:p w:rsidR="0008685E" w:rsidRDefault="0008685E" w:rsidP="00755930">
      <w:pPr>
        <w:pStyle w:val="NormalWeb"/>
        <w:spacing w:before="0" w:beforeAutospacing="0" w:after="120" w:afterAutospacing="0"/>
      </w:pPr>
      <w:r w:rsidRPr="003225E9">
        <w:rPr>
          <w:rFonts w:asciiTheme="minorHAnsi" w:hAnsiTheme="minorHAnsi"/>
        </w:rPr>
        <w:t xml:space="preserve">To Priestley, nature and the author of nature were permanent and universal whereas politics were local and evanescent: </w:t>
      </w:r>
      <w:r w:rsidR="00315766">
        <w:rPr>
          <w:rFonts w:asciiTheme="minorHAnsi" w:hAnsiTheme="minorHAnsi"/>
        </w:rPr>
        <w:t>“</w:t>
      </w:r>
      <w:r w:rsidRPr="003225E9">
        <w:rPr>
          <w:rFonts w:asciiTheme="minorHAnsi" w:hAnsiTheme="minorHAnsi"/>
        </w:rPr>
        <w:t>The wisdom of one generation will ever be folly in the next. And yet, … we persist in the absurd maxim of making a preceding generation dictate to a succeeding one, which is the same thing as making the foolish instruct the wise</w:t>
      </w:r>
      <w:r w:rsidR="00315766">
        <w:rPr>
          <w:rFonts w:asciiTheme="minorHAnsi" w:hAnsiTheme="minorHAnsi"/>
        </w:rPr>
        <w:t>”</w:t>
      </w:r>
      <w:r>
        <w:rPr>
          <w:rFonts w:asciiTheme="minorHAnsi" w:hAnsiTheme="minorHAnsi"/>
        </w:rPr>
        <w:t xml:space="preserve"> (</w:t>
      </w:r>
      <w:r w:rsidRPr="00E63628">
        <w:rPr>
          <w:rFonts w:asciiTheme="minorHAnsi" w:hAnsiTheme="minorHAnsi"/>
          <w:i/>
          <w:iCs/>
        </w:rPr>
        <w:t>Essay</w:t>
      </w:r>
      <w:r>
        <w:rPr>
          <w:rFonts w:asciiTheme="minorHAnsi" w:hAnsiTheme="minorHAnsi"/>
        </w:rPr>
        <w:t>, 114)</w:t>
      </w:r>
      <w:r w:rsidRPr="003225E9">
        <w:rPr>
          <w:rFonts w:asciiTheme="minorHAnsi" w:hAnsiTheme="minorHAnsi"/>
        </w:rPr>
        <w:t xml:space="preserve">. </w:t>
      </w:r>
      <w:r w:rsidR="00F3023E">
        <w:rPr>
          <w:rFonts w:asciiTheme="minorHAnsi" w:hAnsiTheme="minorHAnsi"/>
        </w:rPr>
        <w:t>He does not need to appeal to Newton or Hartley to demonstrate that a notion that</w:t>
      </w:r>
      <w:r>
        <w:rPr>
          <w:rFonts w:asciiTheme="minorHAnsi" w:hAnsiTheme="minorHAnsi"/>
        </w:rPr>
        <w:t xml:space="preserve"> improvements proceed iteratively</w:t>
      </w:r>
      <w:r w:rsidR="00F3023E">
        <w:rPr>
          <w:rFonts w:asciiTheme="minorHAnsi" w:hAnsiTheme="minorHAnsi"/>
        </w:rPr>
        <w:t xml:space="preserve"> without altering that which they improve </w:t>
      </w:r>
      <w:r w:rsidR="00755930">
        <w:rPr>
          <w:rFonts w:asciiTheme="minorHAnsi" w:hAnsiTheme="minorHAnsi"/>
        </w:rPr>
        <w:t>can only be</w:t>
      </w:r>
      <w:r w:rsidR="00F3023E">
        <w:rPr>
          <w:rFonts w:asciiTheme="minorHAnsi" w:hAnsiTheme="minorHAnsi"/>
        </w:rPr>
        <w:t xml:space="preserve"> absurd. On the contrary,</w:t>
      </w:r>
      <w:r>
        <w:rPr>
          <w:rFonts w:asciiTheme="minorHAnsi" w:hAnsiTheme="minorHAnsi"/>
        </w:rPr>
        <w:t xml:space="preserve"> the </w:t>
      </w:r>
      <w:r w:rsidRPr="003225E9">
        <w:rPr>
          <w:rFonts w:asciiTheme="minorHAnsi" w:hAnsiTheme="minorHAnsi"/>
        </w:rPr>
        <w:t xml:space="preserve">statement of belief in a progress which renders every reform certain to be superseded becomes the basis for a political claim: that citizens cannot be obliged to honour contracts made by the dead. The realms of the earthly life and the life after death are to be kept distinct and the </w:t>
      </w:r>
      <w:r w:rsidR="0075052D">
        <w:rPr>
          <w:rFonts w:asciiTheme="minorHAnsi" w:hAnsiTheme="minorHAnsi"/>
        </w:rPr>
        <w:t>“</w:t>
      </w:r>
      <w:r w:rsidRPr="003225E9">
        <w:rPr>
          <w:rFonts w:asciiTheme="minorHAnsi" w:hAnsiTheme="minorHAnsi"/>
        </w:rPr>
        <w:t>civil magistrate</w:t>
      </w:r>
      <w:r w:rsidR="0075052D">
        <w:rPr>
          <w:rFonts w:asciiTheme="minorHAnsi" w:hAnsiTheme="minorHAnsi"/>
        </w:rPr>
        <w:t>”</w:t>
      </w:r>
      <w:r w:rsidRPr="003225E9">
        <w:rPr>
          <w:rFonts w:asciiTheme="minorHAnsi" w:hAnsiTheme="minorHAnsi"/>
        </w:rPr>
        <w:t xml:space="preserve"> should legislate only for the former.  </w:t>
      </w:r>
      <w:r>
        <w:t>Not to tolerate dissent from an established Church wa</w:t>
      </w:r>
      <w:r w:rsidRPr="002814B4">
        <w:t xml:space="preserve">s </w:t>
      </w:r>
      <w:r>
        <w:t xml:space="preserve">therefore </w:t>
      </w:r>
      <w:r w:rsidRPr="002814B4">
        <w:t xml:space="preserve">an abuse of civil power, as he tells dissenters: </w:t>
      </w:r>
      <w:r w:rsidR="00315766">
        <w:t>“</w:t>
      </w:r>
      <w:r w:rsidRPr="0063707E">
        <w:t>Religious liberty</w:t>
      </w:r>
      <w:r w:rsidRPr="002814B4">
        <w:t xml:space="preserve">, indeed, is the immediate ground on which you stand, but this cannot be maintained except on the basis of </w:t>
      </w:r>
      <w:r w:rsidRPr="0063707E">
        <w:t>civil liberty</w:t>
      </w:r>
      <w:r w:rsidR="00315766">
        <w:t>”</w:t>
      </w:r>
      <w:r w:rsidRPr="0063707E">
        <w:t>.</w:t>
      </w:r>
      <w:r w:rsidRPr="00B95444">
        <w:rPr>
          <w:rFonts w:asciiTheme="minorHAnsi" w:hAnsiTheme="minorHAnsi"/>
          <w:sz w:val="20"/>
          <w:szCs w:val="20"/>
          <w:vertAlign w:val="superscript"/>
        </w:rPr>
        <w:footnoteReference w:id="31"/>
      </w:r>
      <w:r w:rsidRPr="0063707E">
        <w:t xml:space="preserve">  </w:t>
      </w:r>
    </w:p>
    <w:p w:rsidR="0008685E" w:rsidRPr="003225E9" w:rsidRDefault="0008685E" w:rsidP="00315766">
      <w:pPr>
        <w:pStyle w:val="NormalWeb"/>
        <w:spacing w:before="0" w:beforeAutospacing="0" w:after="120" w:afterAutospacing="0"/>
        <w:rPr>
          <w:rFonts w:asciiTheme="minorHAnsi" w:hAnsiTheme="minorHAnsi"/>
        </w:rPr>
      </w:pPr>
      <w:r w:rsidRPr="003225E9">
        <w:rPr>
          <w:rFonts w:asciiTheme="minorHAnsi" w:hAnsiTheme="minorHAnsi"/>
        </w:rPr>
        <w:t xml:space="preserve"> Politics may also be resistant to the disinterested scrutiny of the inquirer. Priestley appeal</w:t>
      </w:r>
      <w:r>
        <w:rPr>
          <w:rFonts w:asciiTheme="minorHAnsi" w:hAnsiTheme="minorHAnsi"/>
        </w:rPr>
        <w:t>ed</w:t>
      </w:r>
      <w:r w:rsidRPr="003225E9">
        <w:rPr>
          <w:rFonts w:asciiTheme="minorHAnsi" w:hAnsiTheme="minorHAnsi"/>
        </w:rPr>
        <w:t xml:space="preserve"> not to rationalism but rather to </w:t>
      </w:r>
      <w:r w:rsidR="00315766">
        <w:rPr>
          <w:rFonts w:asciiTheme="minorHAnsi" w:hAnsiTheme="minorHAnsi"/>
        </w:rPr>
        <w:t>“</w:t>
      </w:r>
      <w:r w:rsidRPr="003225E9">
        <w:rPr>
          <w:rFonts w:asciiTheme="minorHAnsi" w:hAnsiTheme="minorHAnsi"/>
        </w:rPr>
        <w:t>fact and experience</w:t>
      </w:r>
      <w:r w:rsidR="00315766">
        <w:rPr>
          <w:rFonts w:asciiTheme="minorHAnsi" w:hAnsiTheme="minorHAnsi"/>
        </w:rPr>
        <w:t>”</w:t>
      </w:r>
      <w:r w:rsidRPr="003225E9">
        <w:rPr>
          <w:rFonts w:asciiTheme="minorHAnsi" w:hAnsiTheme="minorHAnsi"/>
        </w:rPr>
        <w:t xml:space="preserve"> in the question of the state’s authority to interfere in religion.  Political liberty is the </w:t>
      </w:r>
      <w:r w:rsidR="0075052D">
        <w:rPr>
          <w:rFonts w:asciiTheme="minorHAnsi" w:hAnsiTheme="minorHAnsi"/>
        </w:rPr>
        <w:t>“</w:t>
      </w:r>
      <w:r w:rsidRPr="003225E9">
        <w:rPr>
          <w:rFonts w:asciiTheme="minorHAnsi" w:hAnsiTheme="minorHAnsi"/>
        </w:rPr>
        <w:t>natural guard</w:t>
      </w:r>
      <w:r w:rsidR="0075052D">
        <w:rPr>
          <w:rFonts w:asciiTheme="minorHAnsi" w:hAnsiTheme="minorHAnsi"/>
        </w:rPr>
        <w:t>”</w:t>
      </w:r>
      <w:r w:rsidRPr="003225E9">
        <w:rPr>
          <w:rFonts w:asciiTheme="minorHAnsi" w:hAnsiTheme="minorHAnsi"/>
        </w:rPr>
        <w:t xml:space="preserve"> of civil liberty but the two are distinguished.</w:t>
      </w:r>
      <w:r w:rsidRPr="003225E9">
        <w:rPr>
          <w:rFonts w:asciiTheme="minorHAnsi" w:hAnsiTheme="minorHAnsi"/>
          <w:sz w:val="20"/>
          <w:szCs w:val="20"/>
          <w:vertAlign w:val="superscript"/>
        </w:rPr>
        <w:footnoteReference w:id="32"/>
      </w:r>
      <w:r w:rsidRPr="003225E9">
        <w:rPr>
          <w:rFonts w:asciiTheme="minorHAnsi" w:hAnsiTheme="minorHAnsi"/>
        </w:rPr>
        <w:t xml:space="preserve"> </w:t>
      </w:r>
      <w:r w:rsidRPr="00B95444">
        <w:rPr>
          <w:rFonts w:asciiTheme="minorHAnsi" w:hAnsiTheme="minorHAnsi"/>
        </w:rPr>
        <w:t>Priestley stress</w:t>
      </w:r>
      <w:r>
        <w:rPr>
          <w:rFonts w:asciiTheme="minorHAnsi" w:hAnsiTheme="minorHAnsi"/>
        </w:rPr>
        <w:t>ed</w:t>
      </w:r>
      <w:r w:rsidRPr="00B95444">
        <w:rPr>
          <w:rFonts w:asciiTheme="minorHAnsi" w:hAnsiTheme="minorHAnsi"/>
        </w:rPr>
        <w:t xml:space="preserve"> proliferation and diversity, prefer</w:t>
      </w:r>
      <w:r>
        <w:rPr>
          <w:rFonts w:asciiTheme="minorHAnsi" w:hAnsiTheme="minorHAnsi"/>
        </w:rPr>
        <w:t>ring</w:t>
      </w:r>
      <w:r w:rsidRPr="00B95444">
        <w:rPr>
          <w:rFonts w:asciiTheme="minorHAnsi" w:hAnsiTheme="minorHAnsi"/>
        </w:rPr>
        <w:t xml:space="preserve"> Athens </w:t>
      </w:r>
      <w:r>
        <w:rPr>
          <w:rFonts w:asciiTheme="minorHAnsi" w:hAnsiTheme="minorHAnsi"/>
        </w:rPr>
        <w:t>to</w:t>
      </w:r>
      <w:r w:rsidRPr="00B95444">
        <w:rPr>
          <w:rFonts w:asciiTheme="minorHAnsi" w:hAnsiTheme="minorHAnsi"/>
        </w:rPr>
        <w:t xml:space="preserve"> Sparta</w:t>
      </w:r>
      <w:r>
        <w:rPr>
          <w:rFonts w:asciiTheme="minorHAnsi" w:hAnsiTheme="minorHAnsi"/>
        </w:rPr>
        <w:t>, a preference</w:t>
      </w:r>
      <w:r w:rsidRPr="00B95444">
        <w:rPr>
          <w:rFonts w:asciiTheme="minorHAnsi" w:hAnsiTheme="minorHAnsi"/>
        </w:rPr>
        <w:t xml:space="preserve"> </w:t>
      </w:r>
      <w:r>
        <w:rPr>
          <w:rFonts w:asciiTheme="minorHAnsi" w:hAnsiTheme="minorHAnsi"/>
        </w:rPr>
        <w:t>that received</w:t>
      </w:r>
      <w:r w:rsidRPr="00B95444">
        <w:rPr>
          <w:rFonts w:asciiTheme="minorHAnsi" w:hAnsiTheme="minorHAnsi"/>
        </w:rPr>
        <w:t xml:space="preserve"> its programmatic version in the </w:t>
      </w:r>
      <w:r w:rsidRPr="001A722E">
        <w:rPr>
          <w:rFonts w:asciiTheme="minorHAnsi" w:hAnsiTheme="minorHAnsi"/>
          <w:i/>
          <w:iCs/>
        </w:rPr>
        <w:t>Essay</w:t>
      </w:r>
      <w:r w:rsidRPr="003225E9">
        <w:rPr>
          <w:rFonts w:asciiTheme="minorHAnsi" w:hAnsiTheme="minorHAnsi"/>
        </w:rPr>
        <w:t>. He argue</w:t>
      </w:r>
      <w:r>
        <w:rPr>
          <w:rFonts w:asciiTheme="minorHAnsi" w:hAnsiTheme="minorHAnsi"/>
        </w:rPr>
        <w:t>d</w:t>
      </w:r>
      <w:r w:rsidRPr="003225E9">
        <w:rPr>
          <w:rFonts w:asciiTheme="minorHAnsi" w:hAnsiTheme="minorHAnsi"/>
        </w:rPr>
        <w:t xml:space="preserve"> that two institutions </w:t>
      </w:r>
      <w:r>
        <w:rPr>
          <w:rFonts w:asciiTheme="minorHAnsi" w:hAnsiTheme="minorHAnsi"/>
        </w:rPr>
        <w:t>we</w:t>
      </w:r>
      <w:r w:rsidRPr="003225E9">
        <w:rPr>
          <w:rFonts w:asciiTheme="minorHAnsi" w:hAnsiTheme="minorHAnsi"/>
        </w:rPr>
        <w:t xml:space="preserve">re crucial and </w:t>
      </w:r>
      <w:r>
        <w:rPr>
          <w:rFonts w:asciiTheme="minorHAnsi" w:hAnsiTheme="minorHAnsi"/>
        </w:rPr>
        <w:t xml:space="preserve">that </w:t>
      </w:r>
      <w:r w:rsidRPr="003225E9">
        <w:rPr>
          <w:rFonts w:asciiTheme="minorHAnsi" w:hAnsiTheme="minorHAnsi"/>
        </w:rPr>
        <w:t>both require</w:t>
      </w:r>
      <w:r>
        <w:rPr>
          <w:rFonts w:asciiTheme="minorHAnsi" w:hAnsiTheme="minorHAnsi"/>
        </w:rPr>
        <w:t>d</w:t>
      </w:r>
      <w:r w:rsidRPr="003225E9">
        <w:rPr>
          <w:rFonts w:asciiTheme="minorHAnsi" w:hAnsiTheme="minorHAnsi"/>
        </w:rPr>
        <w:t xml:space="preserve"> liberty: these </w:t>
      </w:r>
      <w:r>
        <w:rPr>
          <w:rFonts w:asciiTheme="minorHAnsi" w:hAnsiTheme="minorHAnsi"/>
        </w:rPr>
        <w:t>we</w:t>
      </w:r>
      <w:r w:rsidRPr="003225E9">
        <w:rPr>
          <w:rFonts w:asciiTheme="minorHAnsi" w:hAnsiTheme="minorHAnsi"/>
        </w:rPr>
        <w:t>re religion and education</w:t>
      </w:r>
      <w:r>
        <w:rPr>
          <w:rFonts w:asciiTheme="minorHAnsi" w:hAnsiTheme="minorHAnsi"/>
        </w:rPr>
        <w:t>, b</w:t>
      </w:r>
      <w:r w:rsidRPr="003225E9">
        <w:rPr>
          <w:rFonts w:asciiTheme="minorHAnsi" w:hAnsiTheme="minorHAnsi"/>
        </w:rPr>
        <w:t xml:space="preserve">oth </w:t>
      </w:r>
      <w:r>
        <w:rPr>
          <w:rFonts w:asciiTheme="minorHAnsi" w:hAnsiTheme="minorHAnsi"/>
        </w:rPr>
        <w:t>of which would</w:t>
      </w:r>
      <w:r w:rsidRPr="003225E9">
        <w:rPr>
          <w:rFonts w:asciiTheme="minorHAnsi" w:hAnsiTheme="minorHAnsi"/>
        </w:rPr>
        <w:t xml:space="preserve"> be better provided by individuals than by the state.</w:t>
      </w:r>
      <w:r w:rsidRPr="003225E9">
        <w:rPr>
          <w:rFonts w:asciiTheme="minorHAnsi" w:hAnsiTheme="minorHAnsi"/>
          <w:sz w:val="20"/>
          <w:szCs w:val="20"/>
          <w:vertAlign w:val="superscript"/>
        </w:rPr>
        <w:footnoteReference w:id="33"/>
      </w:r>
      <w:r w:rsidRPr="003225E9">
        <w:rPr>
          <w:rFonts w:asciiTheme="minorHAnsi" w:hAnsiTheme="minorHAnsi"/>
          <w:sz w:val="20"/>
          <w:szCs w:val="20"/>
        </w:rPr>
        <w:t xml:space="preserve"> </w:t>
      </w:r>
    </w:p>
    <w:p w:rsidR="0008685E" w:rsidRPr="003225E9" w:rsidRDefault="0008685E" w:rsidP="0075052D">
      <w:pPr>
        <w:pStyle w:val="NormalWeb"/>
        <w:spacing w:before="0" w:beforeAutospacing="0" w:after="120" w:afterAutospacing="0"/>
        <w:rPr>
          <w:rFonts w:asciiTheme="minorHAnsi" w:hAnsiTheme="minorHAnsi"/>
        </w:rPr>
      </w:pPr>
      <w:r>
        <w:rPr>
          <w:rFonts w:asciiTheme="minorHAnsi" w:hAnsiTheme="minorHAnsi"/>
        </w:rPr>
        <w:t>I</w:t>
      </w:r>
      <w:r w:rsidRPr="003225E9">
        <w:rPr>
          <w:rFonts w:asciiTheme="minorHAnsi" w:hAnsiTheme="minorHAnsi"/>
        </w:rPr>
        <w:t>t</w:t>
      </w:r>
      <w:r>
        <w:rPr>
          <w:rFonts w:asciiTheme="minorHAnsi" w:hAnsiTheme="minorHAnsi"/>
        </w:rPr>
        <w:t xml:space="preserve"> i</w:t>
      </w:r>
      <w:r w:rsidRPr="003225E9">
        <w:rPr>
          <w:rFonts w:asciiTheme="minorHAnsi" w:hAnsiTheme="minorHAnsi"/>
        </w:rPr>
        <w:t xml:space="preserve">s suggested later </w:t>
      </w:r>
      <w:r>
        <w:rPr>
          <w:rFonts w:asciiTheme="minorHAnsi" w:hAnsiTheme="minorHAnsi"/>
        </w:rPr>
        <w:t>that the individual</w:t>
      </w:r>
      <w:r w:rsidRPr="003225E9">
        <w:rPr>
          <w:rFonts w:asciiTheme="minorHAnsi" w:hAnsiTheme="minorHAnsi"/>
        </w:rPr>
        <w:t xml:space="preserve"> has a conscience, where the collective may not</w:t>
      </w:r>
      <w:r>
        <w:rPr>
          <w:rFonts w:asciiTheme="minorHAnsi" w:hAnsiTheme="minorHAnsi"/>
        </w:rPr>
        <w:t>; a</w:t>
      </w:r>
      <w:r w:rsidRPr="003225E9">
        <w:rPr>
          <w:rFonts w:asciiTheme="minorHAnsi" w:hAnsiTheme="minorHAnsi"/>
        </w:rPr>
        <w:t xml:space="preserve">nd conscience is not a faculty to be gainsaid by a collective: </w:t>
      </w:r>
      <w:r w:rsidR="0075052D">
        <w:rPr>
          <w:rFonts w:asciiTheme="minorHAnsi" w:hAnsiTheme="minorHAnsi"/>
        </w:rPr>
        <w:t>“</w:t>
      </w:r>
      <w:r w:rsidRPr="003225E9">
        <w:rPr>
          <w:rFonts w:asciiTheme="minorHAnsi" w:hAnsiTheme="minorHAnsi"/>
        </w:rPr>
        <w:t>the voice of conscience is, in all cases, as the voice of God to every man</w:t>
      </w:r>
      <w:r w:rsidR="0075052D">
        <w:rPr>
          <w:rFonts w:asciiTheme="minorHAnsi" w:hAnsiTheme="minorHAnsi"/>
        </w:rPr>
        <w:t>”</w:t>
      </w:r>
      <w:r w:rsidRPr="003225E9">
        <w:rPr>
          <w:rFonts w:asciiTheme="minorHAnsi" w:hAnsiTheme="minorHAnsi"/>
        </w:rPr>
        <w:t xml:space="preserve"> (</w:t>
      </w:r>
      <w:r w:rsidRPr="003225E9">
        <w:rPr>
          <w:rFonts w:asciiTheme="minorHAnsi" w:hAnsiTheme="minorHAnsi"/>
          <w:i/>
          <w:iCs/>
        </w:rPr>
        <w:t>Essay</w:t>
      </w:r>
      <w:r w:rsidRPr="003225E9">
        <w:rPr>
          <w:rFonts w:asciiTheme="minorHAnsi" w:hAnsiTheme="minorHAnsi"/>
        </w:rPr>
        <w:t xml:space="preserve">, </w:t>
      </w:r>
      <w:r>
        <w:rPr>
          <w:rFonts w:asciiTheme="minorHAnsi" w:hAnsiTheme="minorHAnsi"/>
        </w:rPr>
        <w:t xml:space="preserve">64; </w:t>
      </w:r>
      <w:r w:rsidRPr="003225E9">
        <w:rPr>
          <w:rFonts w:asciiTheme="minorHAnsi" w:hAnsiTheme="minorHAnsi"/>
        </w:rPr>
        <w:t xml:space="preserve">67-8). Priestley advocates an expansion of the private realm into areas unjustly colonized by the collective bodies of Church and State – just as if the state were to choose spouses for its citizens or direct the education of their </w:t>
      </w:r>
      <w:proofErr w:type="gramStart"/>
      <w:r w:rsidRPr="003225E9">
        <w:rPr>
          <w:rFonts w:asciiTheme="minorHAnsi" w:hAnsiTheme="minorHAnsi"/>
        </w:rPr>
        <w:t>children, that</w:t>
      </w:r>
      <w:proofErr w:type="gramEnd"/>
      <w:r w:rsidRPr="003225E9">
        <w:rPr>
          <w:rFonts w:asciiTheme="minorHAnsi" w:hAnsiTheme="minorHAnsi"/>
        </w:rPr>
        <w:t xml:space="preserve"> too would be tyrannical (p.47). Education is like husbandry, architecture or shipbuilding: </w:t>
      </w:r>
      <w:r w:rsidR="0075052D">
        <w:rPr>
          <w:rFonts w:asciiTheme="minorHAnsi" w:hAnsiTheme="minorHAnsi"/>
        </w:rPr>
        <w:t>“</w:t>
      </w:r>
      <w:r w:rsidRPr="003225E9">
        <w:rPr>
          <w:rFonts w:asciiTheme="minorHAnsi" w:hAnsiTheme="minorHAnsi"/>
        </w:rPr>
        <w:t>In all these cases we have a practical problem proposed to us, which must be performed by the help of data, with which experience and observation furnish us</w:t>
      </w:r>
      <w:r w:rsidR="0075052D">
        <w:rPr>
          <w:rFonts w:asciiTheme="minorHAnsi" w:hAnsiTheme="minorHAnsi"/>
        </w:rPr>
        <w:t>”</w:t>
      </w:r>
      <w:r w:rsidRPr="003225E9">
        <w:rPr>
          <w:rFonts w:asciiTheme="minorHAnsi" w:hAnsiTheme="minorHAnsi"/>
        </w:rPr>
        <w:t xml:space="preserve"> (p.42). </w:t>
      </w:r>
    </w:p>
    <w:p w:rsidR="0008685E" w:rsidRPr="001A722E" w:rsidRDefault="0008685E" w:rsidP="0075052D">
      <w:pPr>
        <w:pStyle w:val="NormalWeb"/>
        <w:spacing w:before="0" w:beforeAutospacing="0" w:after="120" w:afterAutospacing="0"/>
        <w:rPr>
          <w:rFonts w:asciiTheme="minorHAnsi" w:hAnsiTheme="minorHAnsi"/>
        </w:rPr>
      </w:pPr>
      <w:r w:rsidRPr="00B95444">
        <w:rPr>
          <w:rFonts w:asciiTheme="minorHAnsi" w:hAnsiTheme="minorHAnsi"/>
        </w:rPr>
        <w:t>In a later (1791) sermon concerned with how best to prepare the students of the dissenting academy at Hackney for public life, Priestley claim</w:t>
      </w:r>
      <w:r>
        <w:rPr>
          <w:rFonts w:asciiTheme="minorHAnsi" w:hAnsiTheme="minorHAnsi"/>
        </w:rPr>
        <w:t>ed</w:t>
      </w:r>
      <w:r w:rsidRPr="00B95444">
        <w:rPr>
          <w:rFonts w:asciiTheme="minorHAnsi" w:hAnsiTheme="minorHAnsi"/>
        </w:rPr>
        <w:t xml:space="preserve"> that the political situation </w:t>
      </w:r>
      <w:r>
        <w:rPr>
          <w:rFonts w:asciiTheme="minorHAnsi" w:hAnsiTheme="minorHAnsi"/>
        </w:rPr>
        <w:t>had been</w:t>
      </w:r>
      <w:r w:rsidRPr="00B95444">
        <w:rPr>
          <w:rFonts w:asciiTheme="minorHAnsi" w:hAnsiTheme="minorHAnsi"/>
        </w:rPr>
        <w:t xml:space="preserve"> better for the primitive Church</w:t>
      </w:r>
      <w:r>
        <w:rPr>
          <w:rFonts w:asciiTheme="minorHAnsi" w:hAnsiTheme="minorHAnsi"/>
        </w:rPr>
        <w:t xml:space="preserve">, </w:t>
      </w:r>
      <w:r w:rsidRPr="00B95444">
        <w:rPr>
          <w:rFonts w:asciiTheme="minorHAnsi" w:hAnsiTheme="minorHAnsi"/>
        </w:rPr>
        <w:t xml:space="preserve">that he and his audience </w:t>
      </w:r>
      <w:r>
        <w:rPr>
          <w:rFonts w:asciiTheme="minorHAnsi" w:hAnsiTheme="minorHAnsi"/>
        </w:rPr>
        <w:t>we</w:t>
      </w:r>
      <w:r w:rsidRPr="00B95444">
        <w:rPr>
          <w:rFonts w:asciiTheme="minorHAnsi" w:hAnsiTheme="minorHAnsi"/>
        </w:rPr>
        <w:t>re in a state similar to that the</w:t>
      </w:r>
      <w:r>
        <w:rPr>
          <w:rFonts w:asciiTheme="minorHAnsi" w:hAnsiTheme="minorHAnsi"/>
        </w:rPr>
        <w:t xml:space="preserve"> apostles had been in and that </w:t>
      </w:r>
      <w:r w:rsidRPr="00B95444">
        <w:rPr>
          <w:rFonts w:asciiTheme="minorHAnsi" w:hAnsiTheme="minorHAnsi"/>
        </w:rPr>
        <w:t xml:space="preserve">the world </w:t>
      </w:r>
      <w:r>
        <w:rPr>
          <w:rFonts w:asciiTheme="minorHAnsi" w:hAnsiTheme="minorHAnsi"/>
        </w:rPr>
        <w:t>needed</w:t>
      </w:r>
      <w:r w:rsidRPr="00B95444">
        <w:rPr>
          <w:rFonts w:asciiTheme="minorHAnsi" w:hAnsiTheme="minorHAnsi"/>
        </w:rPr>
        <w:t xml:space="preserve"> to be </w:t>
      </w:r>
      <w:r w:rsidR="0075052D">
        <w:rPr>
          <w:rFonts w:asciiTheme="minorHAnsi" w:hAnsiTheme="minorHAnsi"/>
        </w:rPr>
        <w:t>“</w:t>
      </w:r>
      <w:r w:rsidRPr="00B95444">
        <w:rPr>
          <w:rFonts w:asciiTheme="minorHAnsi" w:hAnsiTheme="minorHAnsi"/>
        </w:rPr>
        <w:t>re-</w:t>
      </w:r>
      <w:proofErr w:type="spellStart"/>
      <w:r w:rsidRPr="00B95444">
        <w:rPr>
          <w:rFonts w:asciiTheme="minorHAnsi" w:hAnsiTheme="minorHAnsi"/>
        </w:rPr>
        <w:t>christianized</w:t>
      </w:r>
      <w:proofErr w:type="spellEnd"/>
      <w:r w:rsidR="0075052D">
        <w:rPr>
          <w:rFonts w:asciiTheme="minorHAnsi" w:hAnsiTheme="minorHAnsi"/>
        </w:rPr>
        <w:t>”</w:t>
      </w:r>
      <w:r w:rsidRPr="00B95444">
        <w:rPr>
          <w:rFonts w:asciiTheme="minorHAnsi" w:hAnsiTheme="minorHAnsi"/>
        </w:rPr>
        <w:t xml:space="preserve">.   In the early Church the demands of public good </w:t>
      </w:r>
      <w:r>
        <w:rPr>
          <w:rFonts w:asciiTheme="minorHAnsi" w:hAnsiTheme="minorHAnsi"/>
        </w:rPr>
        <w:t>could be</w:t>
      </w:r>
      <w:r w:rsidRPr="00B95444">
        <w:rPr>
          <w:rFonts w:asciiTheme="minorHAnsi" w:hAnsiTheme="minorHAnsi"/>
        </w:rPr>
        <w:t xml:space="preserve"> served immediately by private individuals </w:t>
      </w:r>
      <w:r w:rsidR="0055764A">
        <w:rPr>
          <w:rFonts w:asciiTheme="minorHAnsi" w:hAnsiTheme="minorHAnsi"/>
        </w:rPr>
        <w:t>but in modern Britain the state enjoys a suffocating monopoly</w:t>
      </w:r>
      <w:r w:rsidRPr="00B95444">
        <w:rPr>
          <w:rFonts w:asciiTheme="minorHAnsi" w:hAnsiTheme="minorHAnsi"/>
        </w:rPr>
        <w:t xml:space="preserve">: </w:t>
      </w:r>
      <w:r w:rsidR="0075052D">
        <w:rPr>
          <w:rFonts w:asciiTheme="minorHAnsi" w:hAnsiTheme="minorHAnsi"/>
        </w:rPr>
        <w:t>“</w:t>
      </w:r>
      <w:r w:rsidRPr="00B95444">
        <w:rPr>
          <w:rFonts w:asciiTheme="minorHAnsi" w:hAnsiTheme="minorHAnsi"/>
        </w:rPr>
        <w:t>Monasteries, universities, and pub[l]</w:t>
      </w:r>
      <w:proofErr w:type="spellStart"/>
      <w:r w:rsidRPr="00B95444">
        <w:rPr>
          <w:rFonts w:asciiTheme="minorHAnsi" w:hAnsiTheme="minorHAnsi"/>
        </w:rPr>
        <w:t>ic</w:t>
      </w:r>
      <w:proofErr w:type="spellEnd"/>
      <w:r w:rsidRPr="00B95444">
        <w:rPr>
          <w:rFonts w:asciiTheme="minorHAnsi" w:hAnsiTheme="minorHAnsi"/>
        </w:rPr>
        <w:t xml:space="preserve"> libraries … were established and endowed in the most splendid manner by the munificence of individuals, without the interference of public authority: and wretched has been the state of Christianity where it has been otherwise</w:t>
      </w:r>
      <w:r w:rsidR="0075052D">
        <w:rPr>
          <w:rFonts w:asciiTheme="minorHAnsi" w:hAnsiTheme="minorHAnsi"/>
        </w:rPr>
        <w:t>”</w:t>
      </w:r>
      <w:r w:rsidRPr="00B95444">
        <w:rPr>
          <w:rFonts w:asciiTheme="minorHAnsi" w:hAnsiTheme="minorHAnsi"/>
        </w:rPr>
        <w:t>.</w:t>
      </w:r>
      <w:r w:rsidRPr="001A722E">
        <w:rPr>
          <w:rFonts w:asciiTheme="minorHAnsi" w:hAnsiTheme="minorHAnsi"/>
          <w:sz w:val="20"/>
          <w:szCs w:val="20"/>
          <w:vertAlign w:val="superscript"/>
        </w:rPr>
        <w:footnoteReference w:id="34"/>
      </w:r>
      <w:r w:rsidRPr="001A722E">
        <w:rPr>
          <w:rFonts w:asciiTheme="minorHAnsi" w:hAnsiTheme="minorHAnsi"/>
          <w:sz w:val="20"/>
          <w:szCs w:val="20"/>
          <w:vertAlign w:val="superscript"/>
        </w:rPr>
        <w:t xml:space="preserve"> </w:t>
      </w:r>
      <w:r w:rsidR="0055764A">
        <w:rPr>
          <w:rFonts w:asciiTheme="minorHAnsi" w:hAnsiTheme="minorHAnsi"/>
          <w:sz w:val="20"/>
          <w:szCs w:val="20"/>
          <w:vertAlign w:val="superscript"/>
        </w:rPr>
        <w:t xml:space="preserve">  </w:t>
      </w:r>
      <w:r w:rsidR="0055764A" w:rsidRPr="0055764A">
        <w:rPr>
          <w:rFonts w:asciiTheme="minorHAnsi" w:hAnsiTheme="minorHAnsi"/>
          <w:sz w:val="20"/>
          <w:szCs w:val="20"/>
        </w:rPr>
        <w:t xml:space="preserve">The </w:t>
      </w:r>
      <w:r w:rsidR="0055764A" w:rsidRPr="00B95444">
        <w:rPr>
          <w:rFonts w:asciiTheme="minorHAnsi" w:hAnsiTheme="minorHAnsi"/>
        </w:rPr>
        <w:t xml:space="preserve">established Church </w:t>
      </w:r>
      <w:r w:rsidR="0055764A">
        <w:rPr>
          <w:rFonts w:asciiTheme="minorHAnsi" w:hAnsiTheme="minorHAnsi"/>
        </w:rPr>
        <w:t xml:space="preserve">was </w:t>
      </w:r>
      <w:r w:rsidR="0055764A" w:rsidRPr="00B95444">
        <w:rPr>
          <w:rFonts w:asciiTheme="minorHAnsi" w:hAnsiTheme="minorHAnsi"/>
        </w:rPr>
        <w:t xml:space="preserve">dependent on tithes </w:t>
      </w:r>
      <w:r w:rsidR="0055764A">
        <w:rPr>
          <w:rFonts w:asciiTheme="minorHAnsi" w:hAnsiTheme="minorHAnsi"/>
        </w:rPr>
        <w:t>paid by all, whether or not they subscribed to the doctrines of the Church, so t</w:t>
      </w:r>
      <w:r w:rsidRPr="001A722E">
        <w:rPr>
          <w:rFonts w:asciiTheme="minorHAnsi" w:hAnsiTheme="minorHAnsi"/>
        </w:rPr>
        <w:t xml:space="preserve">he argument against paying tithes is like Smith’s in </w:t>
      </w:r>
      <w:r w:rsidRPr="001A722E">
        <w:rPr>
          <w:rFonts w:asciiTheme="minorHAnsi" w:hAnsiTheme="minorHAnsi"/>
          <w:i/>
          <w:iCs/>
        </w:rPr>
        <w:t>The Wealth of Nations</w:t>
      </w:r>
      <w:r w:rsidRPr="001A722E">
        <w:rPr>
          <w:rFonts w:asciiTheme="minorHAnsi" w:hAnsiTheme="minorHAnsi"/>
        </w:rPr>
        <w:t xml:space="preserve"> that those only who use the services ought to pay the taxes levied for them. Freedom of the market is for Priestley a civil liberty, and </w:t>
      </w:r>
      <w:r>
        <w:rPr>
          <w:rFonts w:asciiTheme="minorHAnsi" w:hAnsiTheme="minorHAnsi"/>
        </w:rPr>
        <w:t>his</w:t>
      </w:r>
      <w:r w:rsidRPr="001A722E">
        <w:rPr>
          <w:rFonts w:asciiTheme="minorHAnsi" w:hAnsiTheme="minorHAnsi"/>
        </w:rPr>
        <w:t xml:space="preserve"> opposition to centralised state provision is also an opposition to any restraints on economic activity</w:t>
      </w:r>
      <w:r>
        <w:rPr>
          <w:rFonts w:asciiTheme="minorHAnsi" w:hAnsiTheme="minorHAnsi"/>
        </w:rPr>
        <w:t>; a</w:t>
      </w:r>
      <w:r w:rsidRPr="001A722E">
        <w:rPr>
          <w:rFonts w:asciiTheme="minorHAnsi" w:hAnsiTheme="minorHAnsi"/>
        </w:rPr>
        <w:t xml:space="preserve"> re-</w:t>
      </w:r>
      <w:proofErr w:type="spellStart"/>
      <w:r w:rsidRPr="001A722E">
        <w:rPr>
          <w:rFonts w:asciiTheme="minorHAnsi" w:hAnsiTheme="minorHAnsi"/>
        </w:rPr>
        <w:t>christianized</w:t>
      </w:r>
      <w:proofErr w:type="spellEnd"/>
      <w:r w:rsidRPr="001A722E">
        <w:rPr>
          <w:rFonts w:asciiTheme="minorHAnsi" w:hAnsiTheme="minorHAnsi"/>
        </w:rPr>
        <w:t xml:space="preserve"> world would be governed equally by the laws of God and the laws of the market.</w:t>
      </w:r>
    </w:p>
    <w:p w:rsidR="0008685E" w:rsidRPr="003225E9" w:rsidRDefault="0008685E" w:rsidP="0075052D">
      <w:pPr>
        <w:pStyle w:val="NormalWeb"/>
        <w:spacing w:before="0" w:beforeAutospacing="0" w:after="120" w:afterAutospacing="0"/>
        <w:rPr>
          <w:rFonts w:asciiTheme="minorHAnsi" w:hAnsiTheme="minorHAnsi"/>
        </w:rPr>
      </w:pPr>
      <w:r w:rsidRPr="003225E9">
        <w:rPr>
          <w:rFonts w:asciiTheme="minorHAnsi" w:hAnsiTheme="minorHAnsi"/>
        </w:rPr>
        <w:t xml:space="preserve">Questions of policy in the </w:t>
      </w:r>
      <w:r w:rsidRPr="003225E9">
        <w:rPr>
          <w:rFonts w:asciiTheme="minorHAnsi" w:hAnsiTheme="minorHAnsi"/>
          <w:i/>
          <w:iCs/>
        </w:rPr>
        <w:t>Essay</w:t>
      </w:r>
      <w:r w:rsidRPr="003225E9">
        <w:rPr>
          <w:rFonts w:asciiTheme="minorHAnsi" w:hAnsiTheme="minorHAnsi"/>
        </w:rPr>
        <w:t xml:space="preserve"> are of less moment than the imperatives for experiment and toleration. Should those dependent on the state be allowed the franchise, should we have annual or septennial parliaments?  No matter, the answer comes back: </w:t>
      </w:r>
      <w:r w:rsidR="0075052D">
        <w:rPr>
          <w:rFonts w:asciiTheme="minorHAnsi" w:hAnsiTheme="minorHAnsi"/>
        </w:rPr>
        <w:t>“</w:t>
      </w:r>
      <w:r w:rsidRPr="003225E9">
        <w:rPr>
          <w:rFonts w:asciiTheme="minorHAnsi" w:hAnsiTheme="minorHAnsi"/>
        </w:rPr>
        <w:t>it is not of much consequence … since a considerable degree of perfection in government will admit of great varieties in this respect</w:t>
      </w:r>
      <w:r w:rsidR="0075052D">
        <w:rPr>
          <w:rFonts w:asciiTheme="minorHAnsi" w:hAnsiTheme="minorHAnsi"/>
        </w:rPr>
        <w:t>”</w:t>
      </w:r>
      <w:r w:rsidRPr="003225E9">
        <w:rPr>
          <w:rFonts w:asciiTheme="minorHAnsi" w:hAnsiTheme="minorHAnsi"/>
        </w:rPr>
        <w:t>.</w:t>
      </w:r>
      <w:r w:rsidRPr="003225E9">
        <w:rPr>
          <w:rFonts w:asciiTheme="minorHAnsi" w:hAnsiTheme="minorHAnsi"/>
          <w:sz w:val="20"/>
          <w:szCs w:val="20"/>
          <w:vertAlign w:val="superscript"/>
        </w:rPr>
        <w:footnoteReference w:id="35"/>
      </w:r>
      <w:r w:rsidRPr="003225E9">
        <w:rPr>
          <w:rFonts w:asciiTheme="minorHAnsi" w:hAnsiTheme="minorHAnsi"/>
        </w:rPr>
        <w:t xml:space="preserve"> Toleration of those differences and the admission of temporal schemes alongside the dominant are the only means to maintain an original equilibrium: </w:t>
      </w:r>
      <w:r w:rsidR="0075052D">
        <w:rPr>
          <w:rFonts w:asciiTheme="minorHAnsi" w:hAnsiTheme="minorHAnsi"/>
        </w:rPr>
        <w:t>“</w:t>
      </w:r>
      <w:r w:rsidRPr="003225E9">
        <w:rPr>
          <w:rFonts w:asciiTheme="minorHAnsi" w:hAnsiTheme="minorHAnsi"/>
        </w:rPr>
        <w:t>the only method of preserving the balance, which at present subsists among the several political and religious parties in Great-Britain, is for each to provide for the education of their own children</w:t>
      </w:r>
      <w:r w:rsidR="0075052D">
        <w:rPr>
          <w:rFonts w:asciiTheme="minorHAnsi" w:hAnsiTheme="minorHAnsi"/>
        </w:rPr>
        <w:t>”</w:t>
      </w:r>
      <w:r w:rsidRPr="003225E9">
        <w:rPr>
          <w:rFonts w:asciiTheme="minorHAnsi" w:hAnsiTheme="minorHAnsi"/>
        </w:rPr>
        <w:t xml:space="preserve"> (</w:t>
      </w:r>
      <w:r w:rsidRPr="003225E9">
        <w:rPr>
          <w:rFonts w:asciiTheme="minorHAnsi" w:hAnsiTheme="minorHAnsi"/>
          <w:i/>
          <w:iCs/>
        </w:rPr>
        <w:t>Essay</w:t>
      </w:r>
      <w:r w:rsidRPr="003225E9">
        <w:rPr>
          <w:rFonts w:asciiTheme="minorHAnsi" w:hAnsiTheme="minorHAnsi"/>
        </w:rPr>
        <w:t>, p.51).</w:t>
      </w:r>
    </w:p>
    <w:p w:rsidR="0008685E" w:rsidRDefault="0008685E" w:rsidP="0075052D">
      <w:pPr>
        <w:spacing w:line="480" w:lineRule="auto"/>
        <w:ind w:firstLine="360"/>
        <w:rPr>
          <w:sz w:val="24"/>
          <w:szCs w:val="24"/>
        </w:rPr>
      </w:pPr>
      <w:r w:rsidRPr="003500D0">
        <w:rPr>
          <w:sz w:val="24"/>
          <w:szCs w:val="24"/>
        </w:rPr>
        <w:t xml:space="preserve">Priestley’s willingness to stress the common ground there might be between a rationalised Christianity and the faiths of Jews and Catholics is demonstrated in letters — </w:t>
      </w:r>
      <w:r w:rsidR="0075052D">
        <w:rPr>
          <w:sz w:val="24"/>
          <w:szCs w:val="24"/>
        </w:rPr>
        <w:t>“</w:t>
      </w:r>
      <w:r w:rsidRPr="003500D0">
        <w:rPr>
          <w:sz w:val="24"/>
          <w:szCs w:val="24"/>
        </w:rPr>
        <w:t>I do not see any danger we are in from the Papists</w:t>
      </w:r>
      <w:r w:rsidR="0075052D">
        <w:rPr>
          <w:sz w:val="24"/>
          <w:szCs w:val="24"/>
        </w:rPr>
        <w:t>”</w:t>
      </w:r>
      <w:r w:rsidRPr="003500D0">
        <w:rPr>
          <w:sz w:val="24"/>
          <w:szCs w:val="24"/>
        </w:rPr>
        <w:t>, he writes to Thomas Hollis in 1768</w:t>
      </w:r>
      <w:r>
        <w:rPr>
          <w:sz w:val="24"/>
          <w:szCs w:val="24"/>
        </w:rPr>
        <w:t>,</w:t>
      </w:r>
      <w:r w:rsidRPr="003500D0">
        <w:rPr>
          <w:sz w:val="24"/>
          <w:szCs w:val="24"/>
        </w:rPr>
        <w:t xml:space="preserve"> </w:t>
      </w:r>
      <w:r w:rsidR="0075052D">
        <w:rPr>
          <w:sz w:val="24"/>
          <w:szCs w:val="24"/>
        </w:rPr>
        <w:t>“</w:t>
      </w:r>
      <w:r w:rsidRPr="003500D0">
        <w:rPr>
          <w:sz w:val="24"/>
          <w:szCs w:val="24"/>
        </w:rPr>
        <w:t>and I cannot think we are authorized to molest them merely because they are disaffected to us</w:t>
      </w:r>
      <w:r w:rsidR="0075052D">
        <w:rPr>
          <w:sz w:val="24"/>
          <w:szCs w:val="24"/>
        </w:rPr>
        <w:t>”</w:t>
      </w:r>
      <w:r w:rsidRPr="003500D0">
        <w:rPr>
          <w:sz w:val="24"/>
          <w:szCs w:val="24"/>
        </w:rPr>
        <w:t xml:space="preserve"> (</w:t>
      </w:r>
      <w:r w:rsidRPr="003500D0">
        <w:rPr>
          <w:i/>
          <w:iCs/>
          <w:sz w:val="24"/>
          <w:szCs w:val="24"/>
        </w:rPr>
        <w:t>Works</w:t>
      </w:r>
      <w:r w:rsidRPr="003500D0">
        <w:rPr>
          <w:sz w:val="24"/>
          <w:szCs w:val="24"/>
        </w:rPr>
        <w:t>, I, 97) – by a series of pamphlets, and by his meetings with scholars from both groups. For</w:t>
      </w:r>
      <w:r w:rsidRPr="003500D0">
        <w:rPr>
          <w:sz w:val="24"/>
          <w:szCs w:val="24"/>
          <w:vertAlign w:val="superscript"/>
        </w:rPr>
        <w:t xml:space="preserve"> </w:t>
      </w:r>
      <w:r w:rsidRPr="003500D0">
        <w:rPr>
          <w:sz w:val="24"/>
          <w:szCs w:val="24"/>
        </w:rPr>
        <w:t xml:space="preserve">Priestley, Jews and Christians were older and younger </w:t>
      </w:r>
      <w:r w:rsidR="0075052D">
        <w:rPr>
          <w:sz w:val="24"/>
          <w:szCs w:val="24"/>
        </w:rPr>
        <w:t>“</w:t>
      </w:r>
      <w:r w:rsidRPr="003500D0">
        <w:rPr>
          <w:sz w:val="24"/>
          <w:szCs w:val="24"/>
        </w:rPr>
        <w:t>brethren, in the great family of God</w:t>
      </w:r>
      <w:r w:rsidR="0075052D">
        <w:rPr>
          <w:sz w:val="24"/>
          <w:szCs w:val="24"/>
        </w:rPr>
        <w:t>”</w:t>
      </w:r>
      <w:r w:rsidRPr="003500D0">
        <w:rPr>
          <w:sz w:val="24"/>
          <w:szCs w:val="24"/>
        </w:rPr>
        <w:t xml:space="preserve"> </w:t>
      </w:r>
      <w:r w:rsidRPr="00821FEB">
        <w:rPr>
          <w:sz w:val="24"/>
          <w:szCs w:val="24"/>
        </w:rPr>
        <w:t>(</w:t>
      </w:r>
      <w:r w:rsidRPr="00821FEB">
        <w:rPr>
          <w:i/>
          <w:iCs/>
          <w:sz w:val="24"/>
          <w:szCs w:val="24"/>
        </w:rPr>
        <w:t>Works</w:t>
      </w:r>
      <w:r w:rsidRPr="00821FEB">
        <w:rPr>
          <w:sz w:val="24"/>
          <w:szCs w:val="24"/>
        </w:rPr>
        <w:t xml:space="preserve">, </w:t>
      </w:r>
      <w:r>
        <w:rPr>
          <w:sz w:val="24"/>
          <w:szCs w:val="24"/>
        </w:rPr>
        <w:t>20</w:t>
      </w:r>
      <w:r w:rsidRPr="00821FEB">
        <w:rPr>
          <w:sz w:val="24"/>
          <w:szCs w:val="24"/>
        </w:rPr>
        <w:t xml:space="preserve">, </w:t>
      </w:r>
      <w:r>
        <w:rPr>
          <w:sz w:val="24"/>
          <w:szCs w:val="24"/>
        </w:rPr>
        <w:t>249</w:t>
      </w:r>
      <w:r w:rsidRPr="00821FEB">
        <w:rPr>
          <w:sz w:val="24"/>
          <w:szCs w:val="24"/>
        </w:rPr>
        <w:t>)</w:t>
      </w:r>
      <w:r>
        <w:rPr>
          <w:sz w:val="24"/>
          <w:szCs w:val="24"/>
        </w:rPr>
        <w:t xml:space="preserve">. </w:t>
      </w:r>
      <w:r w:rsidRPr="003500D0">
        <w:rPr>
          <w:sz w:val="24"/>
          <w:szCs w:val="24"/>
        </w:rPr>
        <w:t xml:space="preserve"> </w:t>
      </w:r>
      <w:r>
        <w:rPr>
          <w:sz w:val="24"/>
          <w:szCs w:val="24"/>
        </w:rPr>
        <w:t>Priestley’</w:t>
      </w:r>
      <w:r w:rsidRPr="003500D0">
        <w:rPr>
          <w:sz w:val="24"/>
          <w:szCs w:val="24"/>
        </w:rPr>
        <w:t xml:space="preserve">s support for such extended toleration </w:t>
      </w:r>
      <w:r>
        <w:rPr>
          <w:sz w:val="24"/>
          <w:szCs w:val="24"/>
        </w:rPr>
        <w:t>– for</w:t>
      </w:r>
      <w:r w:rsidRPr="003500D0">
        <w:rPr>
          <w:sz w:val="24"/>
          <w:szCs w:val="24"/>
        </w:rPr>
        <w:t xml:space="preserve"> what David </w:t>
      </w:r>
      <w:proofErr w:type="spellStart"/>
      <w:r w:rsidRPr="003500D0">
        <w:rPr>
          <w:sz w:val="24"/>
          <w:szCs w:val="24"/>
        </w:rPr>
        <w:t>Ruderman</w:t>
      </w:r>
      <w:proofErr w:type="spellEnd"/>
      <w:r w:rsidRPr="003500D0">
        <w:rPr>
          <w:sz w:val="24"/>
          <w:szCs w:val="24"/>
        </w:rPr>
        <w:t xml:space="preserve"> calls </w:t>
      </w:r>
      <w:r w:rsidR="0075052D">
        <w:rPr>
          <w:sz w:val="24"/>
          <w:szCs w:val="24"/>
        </w:rPr>
        <w:t>“</w:t>
      </w:r>
      <w:r w:rsidRPr="003500D0">
        <w:rPr>
          <w:sz w:val="24"/>
          <w:szCs w:val="24"/>
        </w:rPr>
        <w:t>a kind of syncretistic faith</w:t>
      </w:r>
      <w:r w:rsidR="0075052D">
        <w:rPr>
          <w:sz w:val="24"/>
          <w:szCs w:val="24"/>
        </w:rPr>
        <w:t>”</w:t>
      </w:r>
      <w:r w:rsidRPr="003500D0">
        <w:rPr>
          <w:sz w:val="24"/>
          <w:szCs w:val="24"/>
        </w:rPr>
        <w:t xml:space="preserve"> </w:t>
      </w:r>
      <w:r>
        <w:rPr>
          <w:sz w:val="24"/>
          <w:szCs w:val="24"/>
        </w:rPr>
        <w:t xml:space="preserve">– </w:t>
      </w:r>
      <w:r w:rsidRPr="003500D0">
        <w:rPr>
          <w:sz w:val="24"/>
          <w:szCs w:val="24"/>
        </w:rPr>
        <w:t xml:space="preserve">led to </w:t>
      </w:r>
      <w:r>
        <w:rPr>
          <w:sz w:val="24"/>
          <w:szCs w:val="24"/>
        </w:rPr>
        <w:t>h</w:t>
      </w:r>
      <w:r w:rsidRPr="003500D0">
        <w:rPr>
          <w:sz w:val="24"/>
          <w:szCs w:val="24"/>
        </w:rPr>
        <w:t>is being ridiculed by some more orthodox Anglicans</w:t>
      </w:r>
      <w:r>
        <w:rPr>
          <w:sz w:val="24"/>
          <w:szCs w:val="24"/>
        </w:rPr>
        <w:t>.</w:t>
      </w:r>
      <w:r w:rsidRPr="00821FEB">
        <w:rPr>
          <w:rStyle w:val="FootnoteReference"/>
          <w:sz w:val="20"/>
          <w:szCs w:val="20"/>
        </w:rPr>
        <w:footnoteReference w:id="36"/>
      </w:r>
      <w:r w:rsidRPr="00821FEB">
        <w:rPr>
          <w:sz w:val="20"/>
          <w:szCs w:val="20"/>
        </w:rPr>
        <w:t xml:space="preserve"> </w:t>
      </w:r>
      <w:r>
        <w:rPr>
          <w:sz w:val="24"/>
          <w:szCs w:val="24"/>
        </w:rPr>
        <w:t>A</w:t>
      </w:r>
      <w:r w:rsidRPr="003500D0">
        <w:rPr>
          <w:sz w:val="24"/>
          <w:szCs w:val="24"/>
        </w:rPr>
        <w:t xml:space="preserve"> satirist purporting to reply on behalf of the Jews in 1787 asked whether Priestley had not </w:t>
      </w:r>
      <w:r w:rsidR="0075052D">
        <w:rPr>
          <w:sz w:val="24"/>
          <w:szCs w:val="24"/>
        </w:rPr>
        <w:t>“</w:t>
      </w:r>
      <w:r w:rsidRPr="003500D0">
        <w:rPr>
          <w:sz w:val="24"/>
          <w:szCs w:val="24"/>
        </w:rPr>
        <w:t>acted a very unwise part in inviting us to be of a religion which it does not appear you have adopted yourself</w:t>
      </w:r>
      <w:r w:rsidR="0075052D">
        <w:rPr>
          <w:sz w:val="24"/>
          <w:szCs w:val="24"/>
        </w:rPr>
        <w:t>”</w:t>
      </w:r>
      <w:r>
        <w:rPr>
          <w:sz w:val="24"/>
          <w:szCs w:val="24"/>
        </w:rPr>
        <w:t xml:space="preserve"> and </w:t>
      </w:r>
      <w:r w:rsidRPr="003500D0">
        <w:rPr>
          <w:sz w:val="24"/>
          <w:szCs w:val="24"/>
        </w:rPr>
        <w:t>conclud</w:t>
      </w:r>
      <w:r>
        <w:rPr>
          <w:sz w:val="24"/>
          <w:szCs w:val="24"/>
        </w:rPr>
        <w:t>ed</w:t>
      </w:r>
      <w:r w:rsidRPr="003500D0">
        <w:rPr>
          <w:sz w:val="24"/>
          <w:szCs w:val="24"/>
        </w:rPr>
        <w:t xml:space="preserve"> </w:t>
      </w:r>
      <w:r>
        <w:rPr>
          <w:sz w:val="24"/>
          <w:szCs w:val="24"/>
        </w:rPr>
        <w:t xml:space="preserve">with an </w:t>
      </w:r>
      <w:r w:rsidRPr="003500D0">
        <w:rPr>
          <w:sz w:val="24"/>
          <w:szCs w:val="24"/>
        </w:rPr>
        <w:t xml:space="preserve">exhortation </w:t>
      </w:r>
      <w:r>
        <w:rPr>
          <w:sz w:val="24"/>
          <w:szCs w:val="24"/>
        </w:rPr>
        <w:t>that he</w:t>
      </w:r>
      <w:r w:rsidRPr="003500D0">
        <w:rPr>
          <w:sz w:val="24"/>
          <w:szCs w:val="24"/>
        </w:rPr>
        <w:t xml:space="preserve"> </w:t>
      </w:r>
      <w:r w:rsidR="0075052D">
        <w:rPr>
          <w:sz w:val="24"/>
          <w:szCs w:val="24"/>
        </w:rPr>
        <w:t>“</w:t>
      </w:r>
      <w:r w:rsidRPr="003500D0">
        <w:rPr>
          <w:sz w:val="24"/>
          <w:szCs w:val="24"/>
        </w:rPr>
        <w:t>Try to become a Turk or if desperate, circumcise yourself!</w:t>
      </w:r>
      <w:proofErr w:type="gramStart"/>
      <w:r w:rsidR="0075052D">
        <w:rPr>
          <w:sz w:val="24"/>
          <w:szCs w:val="24"/>
        </w:rPr>
        <w:t>”</w:t>
      </w:r>
      <w:r w:rsidRPr="003500D0">
        <w:rPr>
          <w:sz w:val="24"/>
          <w:szCs w:val="24"/>
        </w:rPr>
        <w:t>.</w:t>
      </w:r>
      <w:proofErr w:type="gramEnd"/>
      <w:r w:rsidRPr="003500D0">
        <w:rPr>
          <w:sz w:val="20"/>
          <w:szCs w:val="20"/>
          <w:vertAlign w:val="superscript"/>
        </w:rPr>
        <w:footnoteReference w:id="37"/>
      </w:r>
      <w:r w:rsidRPr="003500D0">
        <w:rPr>
          <w:sz w:val="24"/>
          <w:szCs w:val="24"/>
        </w:rPr>
        <w:t xml:space="preserve"> </w:t>
      </w:r>
      <w:r>
        <w:rPr>
          <w:sz w:val="24"/>
          <w:szCs w:val="24"/>
        </w:rPr>
        <w:t xml:space="preserve">Priestley’s overtures could </w:t>
      </w:r>
      <w:r w:rsidRPr="003500D0">
        <w:rPr>
          <w:sz w:val="24"/>
          <w:szCs w:val="24"/>
        </w:rPr>
        <w:t>be rejected not only by defe</w:t>
      </w:r>
      <w:r>
        <w:rPr>
          <w:sz w:val="24"/>
          <w:szCs w:val="24"/>
        </w:rPr>
        <w:t>nders of Anglicanism</w:t>
      </w:r>
      <w:r w:rsidRPr="003500D0">
        <w:rPr>
          <w:sz w:val="24"/>
          <w:szCs w:val="24"/>
        </w:rPr>
        <w:t xml:space="preserve"> but also by Jewish intellectuals on similar grounds. As </w:t>
      </w:r>
      <w:proofErr w:type="spellStart"/>
      <w:r w:rsidRPr="003500D0">
        <w:rPr>
          <w:sz w:val="24"/>
          <w:szCs w:val="24"/>
        </w:rPr>
        <w:t>Rudeman</w:t>
      </w:r>
      <w:proofErr w:type="spellEnd"/>
      <w:r w:rsidRPr="003500D0">
        <w:rPr>
          <w:sz w:val="24"/>
          <w:szCs w:val="24"/>
        </w:rPr>
        <w:t xml:space="preserve"> summarises it, Priestley was taunted that </w:t>
      </w:r>
      <w:r w:rsidR="0075052D">
        <w:rPr>
          <w:sz w:val="24"/>
          <w:szCs w:val="24"/>
        </w:rPr>
        <w:t>“</w:t>
      </w:r>
      <w:r w:rsidRPr="003500D0">
        <w:rPr>
          <w:sz w:val="24"/>
          <w:szCs w:val="24"/>
        </w:rPr>
        <w:t>the logic of his conversion to Judaism, makes more sense than the Jew’s conversion to an inauthentic version of Christianity</w:t>
      </w:r>
      <w:r w:rsidR="0075052D">
        <w:rPr>
          <w:sz w:val="24"/>
          <w:szCs w:val="24"/>
        </w:rPr>
        <w:t>”</w:t>
      </w:r>
      <w:r w:rsidRPr="003500D0">
        <w:rPr>
          <w:sz w:val="24"/>
          <w:szCs w:val="24"/>
        </w:rPr>
        <w:t>.</w:t>
      </w:r>
      <w:r w:rsidRPr="00AA68EB">
        <w:rPr>
          <w:rStyle w:val="FootnoteReference"/>
          <w:sz w:val="20"/>
          <w:szCs w:val="20"/>
        </w:rPr>
        <w:footnoteReference w:id="38"/>
      </w:r>
    </w:p>
    <w:p w:rsidR="0008685E" w:rsidRPr="00C04B75" w:rsidRDefault="0008685E" w:rsidP="00315766">
      <w:pPr>
        <w:spacing w:line="480" w:lineRule="auto"/>
        <w:ind w:firstLine="360"/>
        <w:rPr>
          <w:sz w:val="24"/>
          <w:szCs w:val="24"/>
        </w:rPr>
      </w:pPr>
      <w:r w:rsidRPr="00C04B75">
        <w:rPr>
          <w:sz w:val="24"/>
          <w:szCs w:val="24"/>
        </w:rPr>
        <w:t xml:space="preserve">Priestley was, however, clear in the </w:t>
      </w:r>
      <w:r w:rsidRPr="00C04B75">
        <w:rPr>
          <w:i/>
          <w:iCs/>
          <w:sz w:val="24"/>
          <w:szCs w:val="24"/>
        </w:rPr>
        <w:t>Essay</w:t>
      </w:r>
      <w:r w:rsidRPr="00C04B75">
        <w:rPr>
          <w:sz w:val="24"/>
          <w:szCs w:val="24"/>
        </w:rPr>
        <w:t xml:space="preserve"> that toleration put him on the side of history, wryly noting, after dismissing the anti-</w:t>
      </w:r>
      <w:proofErr w:type="spellStart"/>
      <w:r w:rsidRPr="00C04B75">
        <w:rPr>
          <w:sz w:val="24"/>
          <w:szCs w:val="24"/>
        </w:rPr>
        <w:t>Hutchesonian</w:t>
      </w:r>
      <w:proofErr w:type="spellEnd"/>
      <w:r w:rsidRPr="00C04B75">
        <w:rPr>
          <w:sz w:val="24"/>
          <w:szCs w:val="24"/>
        </w:rPr>
        <w:t xml:space="preserve"> John </w:t>
      </w:r>
      <w:proofErr w:type="spellStart"/>
      <w:r w:rsidRPr="00C04B75">
        <w:rPr>
          <w:sz w:val="24"/>
          <w:szCs w:val="24"/>
        </w:rPr>
        <w:t>Balguy</w:t>
      </w:r>
      <w:proofErr w:type="spellEnd"/>
      <w:r w:rsidRPr="00C04B75">
        <w:rPr>
          <w:sz w:val="24"/>
          <w:szCs w:val="24"/>
        </w:rPr>
        <w:t xml:space="preserve">, that the spirit of the age was against his antagonist: </w:t>
      </w:r>
      <w:r w:rsidR="00315766">
        <w:rPr>
          <w:sz w:val="24"/>
          <w:szCs w:val="24"/>
        </w:rPr>
        <w:t>“</w:t>
      </w:r>
      <w:r w:rsidRPr="00C04B75">
        <w:rPr>
          <w:sz w:val="24"/>
          <w:szCs w:val="24"/>
        </w:rPr>
        <w:t xml:space="preserve">toleration, very fortunately, happens to be the fashionable doctrine at present; and it must be incorporated into every system, how ill </w:t>
      </w:r>
      <w:proofErr w:type="spellStart"/>
      <w:r w:rsidRPr="00C04B75">
        <w:rPr>
          <w:sz w:val="24"/>
          <w:szCs w:val="24"/>
        </w:rPr>
        <w:t>soever</w:t>
      </w:r>
      <w:proofErr w:type="spellEnd"/>
      <w:r w:rsidRPr="00C04B75">
        <w:rPr>
          <w:sz w:val="24"/>
          <w:szCs w:val="24"/>
        </w:rPr>
        <w:t xml:space="preserve"> it may connect with it</w:t>
      </w:r>
      <w:r w:rsidR="00315766">
        <w:rPr>
          <w:sz w:val="24"/>
          <w:szCs w:val="24"/>
        </w:rPr>
        <w:t>”</w:t>
      </w:r>
      <w:r w:rsidRPr="00C04B75">
        <w:rPr>
          <w:sz w:val="24"/>
          <w:szCs w:val="24"/>
        </w:rPr>
        <w:t xml:space="preserve"> (</w:t>
      </w:r>
      <w:r w:rsidRPr="00C04B75">
        <w:rPr>
          <w:i/>
          <w:iCs/>
          <w:sz w:val="24"/>
          <w:szCs w:val="24"/>
        </w:rPr>
        <w:t>Essay</w:t>
      </w:r>
      <w:r w:rsidRPr="00C04B75">
        <w:rPr>
          <w:sz w:val="24"/>
          <w:szCs w:val="24"/>
        </w:rPr>
        <w:t xml:space="preserve">, 102). Priestley was writing in the 1760s but, arguing for an essential principle, his advocacy of both ecumenicalism and toleration remained consistent throughout his career. </w:t>
      </w:r>
    </w:p>
    <w:p w:rsidR="0008685E" w:rsidRDefault="0008685E" w:rsidP="005C0AD9">
      <w:pPr>
        <w:pStyle w:val="NormalWeb"/>
        <w:spacing w:before="0" w:beforeAutospacing="0" w:after="120" w:afterAutospacing="0"/>
        <w:rPr>
          <w:rFonts w:asciiTheme="minorHAnsi" w:hAnsiTheme="minorHAnsi"/>
        </w:rPr>
      </w:pPr>
      <w:r w:rsidRPr="003225E9">
        <w:rPr>
          <w:rFonts w:asciiTheme="minorHAnsi" w:hAnsiTheme="minorHAnsi"/>
        </w:rPr>
        <w:t xml:space="preserve">Political toleration will also be the means of ensuring stability, he says in his </w:t>
      </w:r>
      <w:r w:rsidRPr="003225E9">
        <w:rPr>
          <w:rFonts w:asciiTheme="minorHAnsi" w:hAnsiTheme="minorHAnsi"/>
          <w:i/>
          <w:iCs/>
        </w:rPr>
        <w:t>Appeal to the Public</w:t>
      </w:r>
      <w:r>
        <w:rPr>
          <w:rFonts w:asciiTheme="minorHAnsi" w:hAnsiTheme="minorHAnsi"/>
        </w:rPr>
        <w:t xml:space="preserve"> following the Birmingham riots</w:t>
      </w:r>
      <w:r w:rsidRPr="003225E9">
        <w:rPr>
          <w:rFonts w:asciiTheme="minorHAnsi" w:hAnsiTheme="minorHAnsi"/>
        </w:rPr>
        <w:t xml:space="preserve">: </w:t>
      </w:r>
      <w:r w:rsidR="00AE45FE">
        <w:rPr>
          <w:rFonts w:asciiTheme="minorHAnsi" w:hAnsiTheme="minorHAnsi"/>
        </w:rPr>
        <w:t>“</w:t>
      </w:r>
      <w:r w:rsidRPr="003225E9">
        <w:rPr>
          <w:rFonts w:asciiTheme="minorHAnsi" w:hAnsiTheme="minorHAnsi"/>
        </w:rPr>
        <w:t>By this gentle and generous proceeding, no convulsion will ever happen in any state</w:t>
      </w:r>
      <w:r w:rsidR="00AE45FE">
        <w:rPr>
          <w:rFonts w:asciiTheme="minorHAnsi" w:hAnsiTheme="minorHAnsi"/>
        </w:rPr>
        <w:t>”</w:t>
      </w:r>
      <w:r w:rsidRPr="003225E9">
        <w:rPr>
          <w:rFonts w:asciiTheme="minorHAnsi" w:hAnsiTheme="minorHAnsi"/>
        </w:rPr>
        <w:t>.</w:t>
      </w:r>
      <w:r w:rsidRPr="003225E9">
        <w:rPr>
          <w:rFonts w:asciiTheme="minorHAnsi" w:hAnsiTheme="minorHAnsi"/>
          <w:sz w:val="20"/>
          <w:szCs w:val="20"/>
          <w:vertAlign w:val="superscript"/>
        </w:rPr>
        <w:footnoteReference w:id="39"/>
      </w:r>
      <w:r w:rsidRPr="003225E9">
        <w:rPr>
          <w:rFonts w:asciiTheme="minorHAnsi" w:hAnsiTheme="minorHAnsi"/>
        </w:rPr>
        <w:t xml:space="preserve">  He can reassure readers of his second, more self-justifying </w:t>
      </w:r>
      <w:r w:rsidRPr="003225E9">
        <w:rPr>
          <w:rFonts w:asciiTheme="minorHAnsi" w:hAnsiTheme="minorHAnsi"/>
          <w:i/>
          <w:iCs/>
        </w:rPr>
        <w:t>Appeal to the Public</w:t>
      </w:r>
      <w:r w:rsidRPr="003225E9">
        <w:rPr>
          <w:rFonts w:asciiTheme="minorHAnsi" w:hAnsiTheme="minorHAnsi"/>
        </w:rPr>
        <w:t xml:space="preserve"> that they have less to fear from him than from the reactionary conservatism of someone like John Brown, whose </w:t>
      </w:r>
      <w:r>
        <w:rPr>
          <w:rFonts w:asciiTheme="minorHAnsi" w:hAnsiTheme="minorHAnsi"/>
        </w:rPr>
        <w:t>advocacy of</w:t>
      </w:r>
      <w:r w:rsidRPr="003225E9">
        <w:rPr>
          <w:rFonts w:asciiTheme="minorHAnsi" w:hAnsiTheme="minorHAnsi"/>
        </w:rPr>
        <w:t xml:space="preserve"> a kind of degree-zero state in which Britain could imitate Sparta he attack</w:t>
      </w:r>
      <w:r>
        <w:rPr>
          <w:rFonts w:asciiTheme="minorHAnsi" w:hAnsiTheme="minorHAnsi"/>
        </w:rPr>
        <w:t>ed</w:t>
      </w:r>
      <w:r w:rsidRPr="003225E9">
        <w:rPr>
          <w:rFonts w:asciiTheme="minorHAnsi" w:hAnsiTheme="minorHAnsi"/>
        </w:rPr>
        <w:t xml:space="preserve"> in the </w:t>
      </w:r>
      <w:r w:rsidRPr="003225E9">
        <w:rPr>
          <w:rFonts w:asciiTheme="minorHAnsi" w:hAnsiTheme="minorHAnsi"/>
          <w:i/>
          <w:iCs/>
        </w:rPr>
        <w:t>Essay</w:t>
      </w:r>
      <w:r w:rsidRPr="003225E9">
        <w:rPr>
          <w:rFonts w:asciiTheme="minorHAnsi" w:hAnsiTheme="minorHAnsi"/>
        </w:rPr>
        <w:t xml:space="preserve">. </w:t>
      </w:r>
      <w:r>
        <w:rPr>
          <w:rFonts w:asciiTheme="minorHAnsi" w:hAnsiTheme="minorHAnsi"/>
        </w:rPr>
        <w:t>B</w:t>
      </w:r>
      <w:r w:rsidRPr="003225E9">
        <w:rPr>
          <w:rFonts w:asciiTheme="minorHAnsi" w:hAnsiTheme="minorHAnsi"/>
        </w:rPr>
        <w:t xml:space="preserve">y contrast to Brown, Priestley </w:t>
      </w:r>
      <w:r>
        <w:rPr>
          <w:rFonts w:asciiTheme="minorHAnsi" w:hAnsiTheme="minorHAnsi"/>
        </w:rPr>
        <w:t>would</w:t>
      </w:r>
      <w:r w:rsidRPr="003225E9">
        <w:rPr>
          <w:rFonts w:asciiTheme="minorHAnsi" w:hAnsiTheme="minorHAnsi"/>
        </w:rPr>
        <w:t xml:space="preserve"> be pragmatic in advocating reform: </w:t>
      </w:r>
      <w:r w:rsidR="00AE45FE">
        <w:rPr>
          <w:rFonts w:asciiTheme="minorHAnsi" w:hAnsiTheme="minorHAnsi"/>
        </w:rPr>
        <w:t>“</w:t>
      </w:r>
      <w:r w:rsidRPr="003225E9">
        <w:rPr>
          <w:rFonts w:asciiTheme="minorHAnsi" w:hAnsiTheme="minorHAnsi"/>
        </w:rPr>
        <w:t>though I might now recommend a very different form of government to a people who had no previous prejudices or habits, the case is very different to one that has; and it is the duty of every good citizen to maintain that government of any country which the majority of its inhabitants approve, whether he himself should otherwise prefer it, or not.</w:t>
      </w:r>
      <w:r w:rsidR="00AE45FE">
        <w:rPr>
          <w:rFonts w:asciiTheme="minorHAnsi" w:hAnsiTheme="minorHAnsi"/>
        </w:rPr>
        <w:t>”</w:t>
      </w:r>
      <w:r w:rsidRPr="003225E9">
        <w:rPr>
          <w:rFonts w:asciiTheme="minorHAnsi" w:hAnsiTheme="minorHAnsi"/>
          <w:sz w:val="20"/>
          <w:szCs w:val="20"/>
          <w:vertAlign w:val="superscript"/>
        </w:rPr>
        <w:footnoteReference w:id="40"/>
      </w:r>
      <w:r>
        <w:rPr>
          <w:rFonts w:asciiTheme="minorHAnsi" w:hAnsiTheme="minorHAnsi"/>
        </w:rPr>
        <w:br w:type="page"/>
      </w:r>
    </w:p>
    <w:p w:rsidR="0008685E" w:rsidRDefault="0008685E" w:rsidP="005C0AD9">
      <w:pPr>
        <w:pStyle w:val="NormalWeb"/>
        <w:spacing w:before="0" w:beforeAutospacing="0" w:after="120" w:afterAutospacing="0"/>
        <w:rPr>
          <w:rFonts w:asciiTheme="minorHAnsi" w:hAnsiTheme="minorHAnsi"/>
        </w:rPr>
      </w:pPr>
    </w:p>
    <w:p w:rsidR="0008685E" w:rsidRPr="004E65C7" w:rsidRDefault="0008685E" w:rsidP="00124962">
      <w:pPr>
        <w:pStyle w:val="NormalWeb"/>
        <w:spacing w:before="0" w:beforeAutospacing="0" w:after="120" w:afterAutospacing="0"/>
        <w:ind w:firstLine="0"/>
        <w:jc w:val="center"/>
        <w:rPr>
          <w:rFonts w:asciiTheme="minorHAnsi" w:hAnsiTheme="minorHAnsi"/>
        </w:rPr>
      </w:pPr>
      <w:r>
        <w:rPr>
          <w:b/>
          <w:bCs/>
        </w:rPr>
        <w:t>IV</w:t>
      </w:r>
      <w:r w:rsidRPr="007B5F20">
        <w:rPr>
          <w:b/>
          <w:bCs/>
        </w:rPr>
        <w:t>. The future</w:t>
      </w:r>
    </w:p>
    <w:p w:rsidR="0008685E" w:rsidRPr="00660A2C" w:rsidRDefault="0008685E" w:rsidP="006056F9">
      <w:pPr>
        <w:spacing w:after="120" w:line="480" w:lineRule="auto"/>
        <w:rPr>
          <w:rFonts w:ascii="Calibri" w:eastAsia="SimSun" w:hAnsi="Calibri" w:cs="Arial"/>
          <w:sz w:val="24"/>
          <w:szCs w:val="24"/>
          <w:lang w:eastAsia="en-GB"/>
        </w:rPr>
      </w:pPr>
      <w:r w:rsidRPr="00660A2C">
        <w:rPr>
          <w:rFonts w:ascii="Calibri" w:eastAsia="SimSun" w:hAnsi="Calibri" w:cs="Arial"/>
          <w:sz w:val="24"/>
          <w:szCs w:val="24"/>
          <w:lang w:eastAsia="en-GB"/>
        </w:rPr>
        <w:t>The trajectory of Priestley’s thinking might well eventually have drawn him to atheism if he had lived longer, but the events of the 1790s both test</w:t>
      </w:r>
      <w:r>
        <w:rPr>
          <w:rFonts w:ascii="Calibri" w:eastAsia="SimSun" w:hAnsi="Calibri" w:cs="Arial"/>
          <w:sz w:val="24"/>
          <w:szCs w:val="24"/>
          <w:lang w:eastAsia="en-GB"/>
        </w:rPr>
        <w:t>ed</w:t>
      </w:r>
      <w:r w:rsidRPr="00660A2C">
        <w:rPr>
          <w:rFonts w:ascii="Calibri" w:eastAsia="SimSun" w:hAnsi="Calibri" w:cs="Arial"/>
          <w:sz w:val="24"/>
          <w:szCs w:val="24"/>
          <w:lang w:eastAsia="en-GB"/>
        </w:rPr>
        <w:t xml:space="preserve"> his commitment to progress and </w:t>
      </w:r>
      <w:r>
        <w:rPr>
          <w:rFonts w:ascii="Calibri" w:eastAsia="SimSun" w:hAnsi="Calibri" w:cs="Arial"/>
          <w:sz w:val="24"/>
          <w:szCs w:val="24"/>
          <w:lang w:eastAsia="en-GB"/>
        </w:rPr>
        <w:t>we</w:t>
      </w:r>
      <w:r w:rsidRPr="00660A2C">
        <w:rPr>
          <w:rFonts w:ascii="Calibri" w:eastAsia="SimSun" w:hAnsi="Calibri" w:cs="Arial"/>
          <w:sz w:val="24"/>
          <w:szCs w:val="24"/>
          <w:lang w:eastAsia="en-GB"/>
        </w:rPr>
        <w:t>re instances and signs of the millennium.  In 1791, before the outbreak of war with France, he anticipate</w:t>
      </w:r>
      <w:r>
        <w:rPr>
          <w:rFonts w:ascii="Calibri" w:eastAsia="SimSun" w:hAnsi="Calibri" w:cs="Arial"/>
          <w:sz w:val="24"/>
          <w:szCs w:val="24"/>
          <w:lang w:eastAsia="en-GB"/>
        </w:rPr>
        <w:t>d</w:t>
      </w:r>
      <w:r w:rsidRPr="00660A2C">
        <w:rPr>
          <w:rFonts w:ascii="Calibri" w:eastAsia="SimSun" w:hAnsi="Calibri" w:cs="Arial"/>
          <w:sz w:val="24"/>
          <w:szCs w:val="24"/>
          <w:lang w:eastAsia="en-GB"/>
        </w:rPr>
        <w:t xml:space="preserve"> a providential outcome:</w:t>
      </w:r>
    </w:p>
    <w:p w:rsidR="0008685E" w:rsidRPr="00660A2C" w:rsidRDefault="0008685E" w:rsidP="00660A2C">
      <w:pPr>
        <w:spacing w:after="120" w:line="480" w:lineRule="auto"/>
        <w:ind w:left="540"/>
        <w:rPr>
          <w:rFonts w:ascii="Calibri" w:eastAsia="SimSun" w:hAnsi="Calibri" w:cs="Arial"/>
          <w:sz w:val="24"/>
          <w:szCs w:val="24"/>
          <w:lang w:eastAsia="en-GB"/>
        </w:rPr>
      </w:pPr>
      <w:r w:rsidRPr="00660A2C">
        <w:rPr>
          <w:rFonts w:ascii="Calibri" w:eastAsia="SimSun" w:hAnsi="Calibri" w:cs="Arial"/>
          <w:sz w:val="24"/>
          <w:szCs w:val="24"/>
          <w:lang w:eastAsia="en-GB"/>
        </w:rPr>
        <w:t xml:space="preserve">If the condition of other nations be as much bettered as that of France will probably be, by her improved system of government, this great crisis, dreadful as it appears in prospect, will be </w:t>
      </w:r>
      <w:r w:rsidRPr="00660A2C">
        <w:rPr>
          <w:rFonts w:ascii="Calibri" w:eastAsia="SimSun" w:hAnsi="Calibri" w:cs="Arial"/>
          <w:i/>
          <w:iCs/>
          <w:sz w:val="24"/>
          <w:szCs w:val="24"/>
          <w:lang w:eastAsia="en-GB"/>
        </w:rPr>
        <w:t>a consummation devoutly to be wished for</w:t>
      </w:r>
      <w:r w:rsidRPr="00660A2C">
        <w:rPr>
          <w:rFonts w:ascii="Calibri" w:eastAsia="SimSun" w:hAnsi="Calibri" w:cs="Arial"/>
          <w:sz w:val="24"/>
          <w:szCs w:val="24"/>
          <w:lang w:eastAsia="en-GB"/>
        </w:rPr>
        <w:t xml:space="preserve">, and though calamitous to many, perhaps </w:t>
      </w:r>
      <w:proofErr w:type="gramStart"/>
      <w:r w:rsidRPr="00660A2C">
        <w:rPr>
          <w:rFonts w:ascii="Calibri" w:eastAsia="SimSun" w:hAnsi="Calibri" w:cs="Arial"/>
          <w:sz w:val="24"/>
          <w:szCs w:val="24"/>
          <w:lang w:eastAsia="en-GB"/>
        </w:rPr>
        <w:t>to</w:t>
      </w:r>
      <w:proofErr w:type="gramEnd"/>
      <w:r w:rsidRPr="00660A2C">
        <w:rPr>
          <w:rFonts w:ascii="Calibri" w:eastAsia="SimSun" w:hAnsi="Calibri" w:cs="Arial"/>
          <w:sz w:val="24"/>
          <w:szCs w:val="24"/>
          <w:lang w:eastAsia="en-GB"/>
        </w:rPr>
        <w:t xml:space="preserve"> many innocent persons, will be eventually most glorious and happy.</w:t>
      </w:r>
      <w:r w:rsidRPr="00660A2C">
        <w:rPr>
          <w:rFonts w:ascii="Calibri" w:eastAsia="SimSun" w:hAnsi="Calibri" w:cs="Arial"/>
          <w:sz w:val="20"/>
          <w:szCs w:val="20"/>
          <w:vertAlign w:val="superscript"/>
          <w:lang w:eastAsia="en-GB"/>
        </w:rPr>
        <w:footnoteReference w:id="41"/>
      </w:r>
    </w:p>
    <w:p w:rsidR="0008685E" w:rsidRPr="00660A2C" w:rsidRDefault="0008685E" w:rsidP="00660A2C">
      <w:pPr>
        <w:spacing w:after="120" w:line="480" w:lineRule="auto"/>
        <w:rPr>
          <w:rFonts w:ascii="Calibri" w:eastAsia="SimSun" w:hAnsi="Calibri" w:cs="Arial"/>
          <w:sz w:val="24"/>
          <w:szCs w:val="24"/>
          <w:lang w:eastAsia="en-GB"/>
        </w:rPr>
      </w:pPr>
      <w:r w:rsidRPr="00660A2C">
        <w:rPr>
          <w:rFonts w:ascii="Calibri" w:eastAsia="SimSun" w:hAnsi="Calibri" w:cs="Arial"/>
          <w:sz w:val="24"/>
          <w:szCs w:val="24"/>
          <w:lang w:eastAsia="en-GB"/>
        </w:rPr>
        <w:t xml:space="preserve">The allusion to </w:t>
      </w:r>
      <w:r w:rsidRPr="00660A2C">
        <w:rPr>
          <w:rFonts w:ascii="Calibri" w:eastAsia="SimSun" w:hAnsi="Calibri" w:cs="Arial"/>
          <w:i/>
          <w:iCs/>
          <w:sz w:val="24"/>
          <w:szCs w:val="24"/>
          <w:lang w:eastAsia="en-GB"/>
        </w:rPr>
        <w:t>Hamlet</w:t>
      </w:r>
      <w:r w:rsidRPr="00660A2C">
        <w:rPr>
          <w:rFonts w:ascii="Calibri" w:eastAsia="SimSun" w:hAnsi="Calibri" w:cs="Arial"/>
          <w:sz w:val="24"/>
          <w:szCs w:val="24"/>
          <w:lang w:eastAsia="en-GB"/>
        </w:rPr>
        <w:t xml:space="preserve"> suggests a resolution of political crisis not as the accomplishment of revenge nor even as mutually assured destruction but as an apocalypse.  A later passage sees religious and secular kinds of enlightenment as consonant:</w:t>
      </w:r>
    </w:p>
    <w:p w:rsidR="0008685E" w:rsidRPr="00660A2C" w:rsidRDefault="0008685E" w:rsidP="00660A2C">
      <w:pPr>
        <w:spacing w:after="120" w:line="480" w:lineRule="auto"/>
        <w:ind w:left="540" w:firstLine="36"/>
        <w:rPr>
          <w:rFonts w:ascii="Calibri" w:eastAsia="SimSun" w:hAnsi="Calibri" w:cs="Arial"/>
          <w:sz w:val="24"/>
          <w:szCs w:val="24"/>
          <w:lang w:eastAsia="en-GB"/>
        </w:rPr>
      </w:pPr>
      <w:r w:rsidRPr="00660A2C">
        <w:rPr>
          <w:rFonts w:ascii="Calibri" w:eastAsia="SimSun" w:hAnsi="Calibri" w:cs="Arial"/>
          <w:sz w:val="24"/>
          <w:szCs w:val="24"/>
          <w:lang w:eastAsia="en-GB"/>
        </w:rPr>
        <w:t>By the light of revelation we have the pleasing prospect of the gradual improvement of the whole human race, in their progress from darkness to light, from ignorance to knowledge, and from a state of barbarity and perpetual hostility, to a state of universal peace, virtue, and happiness, in which we are assured that this world is to terminate.</w:t>
      </w:r>
      <w:r w:rsidRPr="00660A2C">
        <w:rPr>
          <w:rFonts w:ascii="Calibri" w:eastAsia="SimSun" w:hAnsi="Calibri" w:cs="Arial"/>
          <w:sz w:val="24"/>
          <w:szCs w:val="24"/>
          <w:vertAlign w:val="superscript"/>
          <w:lang w:eastAsia="en-GB"/>
        </w:rPr>
        <w:footnoteReference w:id="42"/>
      </w:r>
    </w:p>
    <w:p w:rsidR="0008685E" w:rsidRPr="00660A2C" w:rsidRDefault="0008685E" w:rsidP="002C2165">
      <w:pPr>
        <w:spacing w:after="120" w:line="480" w:lineRule="auto"/>
        <w:ind w:firstLine="576"/>
        <w:rPr>
          <w:rFonts w:ascii="Calibri" w:eastAsia="SimSun" w:hAnsi="Calibri" w:cs="Arial"/>
          <w:sz w:val="24"/>
          <w:szCs w:val="24"/>
          <w:lang w:eastAsia="en-GB"/>
        </w:rPr>
      </w:pPr>
      <w:r w:rsidRPr="00660A2C">
        <w:rPr>
          <w:rFonts w:ascii="Calibri" w:eastAsia="SimSun" w:hAnsi="Calibri" w:cs="Arial"/>
          <w:sz w:val="24"/>
          <w:szCs w:val="24"/>
          <w:lang w:eastAsia="en-GB"/>
        </w:rPr>
        <w:t xml:space="preserve">The first of these passages from the 1790s sees betterment coming out of an immediate crisis, while the other sees </w:t>
      </w:r>
      <w:r w:rsidR="00AE45FE">
        <w:rPr>
          <w:rFonts w:ascii="Calibri" w:eastAsia="SimSun" w:hAnsi="Calibri" w:cs="Arial"/>
          <w:sz w:val="24"/>
          <w:szCs w:val="24"/>
          <w:lang w:eastAsia="en-GB"/>
        </w:rPr>
        <w:t>“</w:t>
      </w:r>
      <w:r w:rsidRPr="00660A2C">
        <w:rPr>
          <w:rFonts w:ascii="Calibri" w:eastAsia="SimSun" w:hAnsi="Calibri" w:cs="Arial"/>
          <w:sz w:val="24"/>
          <w:szCs w:val="24"/>
          <w:lang w:eastAsia="en-GB"/>
        </w:rPr>
        <w:t>gradual improvement</w:t>
      </w:r>
      <w:r w:rsidR="00AE45FE">
        <w:rPr>
          <w:rFonts w:ascii="Calibri" w:eastAsia="SimSun" w:hAnsi="Calibri" w:cs="Arial"/>
          <w:sz w:val="24"/>
          <w:szCs w:val="24"/>
          <w:lang w:eastAsia="en-GB"/>
        </w:rPr>
        <w:t>”</w:t>
      </w:r>
      <w:r w:rsidRPr="00660A2C">
        <w:rPr>
          <w:rFonts w:ascii="Calibri" w:eastAsia="SimSun" w:hAnsi="Calibri" w:cs="Arial"/>
          <w:sz w:val="24"/>
          <w:szCs w:val="24"/>
          <w:lang w:eastAsia="en-GB"/>
        </w:rPr>
        <w:t xml:space="preserve"> in familiar enlightened terms.   However, on looking more closely, the two kinds seem more alike: the imminent </w:t>
      </w:r>
      <w:r w:rsidR="002C2165">
        <w:rPr>
          <w:rFonts w:ascii="Calibri" w:eastAsia="SimSun" w:hAnsi="Calibri" w:cs="Arial"/>
          <w:sz w:val="24"/>
          <w:szCs w:val="24"/>
          <w:lang w:eastAsia="en-GB"/>
        </w:rPr>
        <w:t>“</w:t>
      </w:r>
      <w:r w:rsidRPr="00660A2C">
        <w:rPr>
          <w:rFonts w:ascii="Calibri" w:eastAsia="SimSun" w:hAnsi="Calibri" w:cs="Arial"/>
          <w:sz w:val="24"/>
          <w:szCs w:val="24"/>
          <w:lang w:eastAsia="en-GB"/>
        </w:rPr>
        <w:t>calamity</w:t>
      </w:r>
      <w:r w:rsidR="002C2165">
        <w:rPr>
          <w:rFonts w:ascii="Calibri" w:eastAsia="SimSun" w:hAnsi="Calibri" w:cs="Arial"/>
          <w:sz w:val="24"/>
          <w:szCs w:val="24"/>
          <w:lang w:eastAsia="en-GB"/>
        </w:rPr>
        <w:t>”</w:t>
      </w:r>
      <w:r w:rsidRPr="00660A2C">
        <w:rPr>
          <w:rFonts w:ascii="Calibri" w:eastAsia="SimSun" w:hAnsi="Calibri" w:cs="Arial"/>
          <w:sz w:val="24"/>
          <w:szCs w:val="24"/>
          <w:lang w:eastAsia="en-GB"/>
        </w:rPr>
        <w:t xml:space="preserve"> in the first passage presages the apocalypse and the millennium in the longer </w:t>
      </w:r>
      <w:proofErr w:type="spellStart"/>
      <w:r w:rsidRPr="00660A2C">
        <w:rPr>
          <w:rFonts w:ascii="Calibri" w:eastAsia="SimSun" w:hAnsi="Calibri" w:cs="Arial"/>
          <w:i/>
          <w:iCs/>
          <w:sz w:val="24"/>
          <w:szCs w:val="24"/>
          <w:lang w:eastAsia="en-GB"/>
        </w:rPr>
        <w:t>durée</w:t>
      </w:r>
      <w:proofErr w:type="spellEnd"/>
      <w:r w:rsidRPr="00660A2C">
        <w:rPr>
          <w:rFonts w:ascii="Calibri" w:eastAsia="SimSun" w:hAnsi="Calibri" w:cs="Arial"/>
          <w:sz w:val="24"/>
          <w:szCs w:val="24"/>
          <w:lang w:eastAsia="en-GB"/>
        </w:rPr>
        <w:t xml:space="preserve"> of the second.  </w:t>
      </w:r>
    </w:p>
    <w:p w:rsidR="0008685E" w:rsidRPr="00660A2C" w:rsidRDefault="0008685E" w:rsidP="002C2165">
      <w:pPr>
        <w:spacing w:after="120" w:line="480" w:lineRule="auto"/>
        <w:ind w:firstLine="540"/>
        <w:rPr>
          <w:rFonts w:ascii="Calibri" w:eastAsia="SimSun" w:hAnsi="Calibri" w:cs="Arial"/>
          <w:sz w:val="24"/>
          <w:szCs w:val="24"/>
          <w:lang w:eastAsia="en-GB"/>
        </w:rPr>
      </w:pPr>
      <w:r w:rsidRPr="00660A2C">
        <w:rPr>
          <w:rFonts w:ascii="Calibri" w:eastAsia="SimSun" w:hAnsi="Calibri" w:cs="Arial"/>
          <w:sz w:val="24"/>
          <w:szCs w:val="24"/>
          <w:lang w:eastAsia="en-GB"/>
        </w:rPr>
        <w:t xml:space="preserve">A third passage shows how the one may impinge upon the other: in it, Priestley is addressing the Rev. Edward Burn of Birmingham in 1790:  </w:t>
      </w:r>
      <w:r w:rsidR="002C2165">
        <w:rPr>
          <w:rFonts w:ascii="Calibri" w:eastAsia="SimSun" w:hAnsi="Calibri" w:cs="Arial"/>
          <w:sz w:val="24"/>
          <w:szCs w:val="24"/>
          <w:lang w:eastAsia="en-GB"/>
        </w:rPr>
        <w:t>“</w:t>
      </w:r>
      <w:r w:rsidRPr="00660A2C">
        <w:rPr>
          <w:rFonts w:ascii="Calibri" w:eastAsia="SimSun" w:hAnsi="Calibri" w:cs="Arial"/>
          <w:sz w:val="24"/>
          <w:szCs w:val="24"/>
          <w:lang w:eastAsia="en-GB"/>
        </w:rPr>
        <w:t xml:space="preserve">having an immortal state hereafter in </w:t>
      </w:r>
      <w:proofErr w:type="spellStart"/>
      <w:r w:rsidRPr="00660A2C">
        <w:rPr>
          <w:rFonts w:ascii="Calibri" w:eastAsia="SimSun" w:hAnsi="Calibri" w:cs="Arial"/>
          <w:sz w:val="24"/>
          <w:szCs w:val="24"/>
          <w:lang w:eastAsia="en-GB"/>
        </w:rPr>
        <w:t>continuall</w:t>
      </w:r>
      <w:proofErr w:type="spellEnd"/>
      <w:r w:rsidRPr="00660A2C">
        <w:rPr>
          <w:rFonts w:ascii="Calibri" w:eastAsia="SimSun" w:hAnsi="Calibri" w:cs="Arial"/>
          <w:sz w:val="24"/>
          <w:szCs w:val="24"/>
          <w:lang w:eastAsia="en-GB"/>
        </w:rPr>
        <w:t xml:space="preserve"> prospect, our hearts will be loosened from all improper attachments to this world, all inordinate desires will be suppressed, all undue resentments stifled, and we shall rejoice in nothing so much as the pursuit of truth, and the uniform practice of virtue</w:t>
      </w:r>
      <w:r w:rsidR="002C2165">
        <w:rPr>
          <w:rFonts w:ascii="Calibri" w:eastAsia="SimSun" w:hAnsi="Calibri" w:cs="Arial"/>
          <w:sz w:val="24"/>
          <w:szCs w:val="24"/>
          <w:lang w:eastAsia="en-GB"/>
        </w:rPr>
        <w:t>”</w:t>
      </w:r>
      <w:r w:rsidRPr="00660A2C">
        <w:rPr>
          <w:rFonts w:ascii="Calibri" w:eastAsia="SimSun" w:hAnsi="Calibri" w:cs="Arial"/>
          <w:sz w:val="24"/>
          <w:szCs w:val="24"/>
          <w:lang w:eastAsia="en-GB"/>
        </w:rPr>
        <w:t xml:space="preserve"> (</w:t>
      </w:r>
      <w:r w:rsidRPr="00660A2C">
        <w:rPr>
          <w:rFonts w:ascii="Calibri" w:eastAsia="SimSun" w:hAnsi="Calibri" w:cs="Arial"/>
          <w:i/>
          <w:iCs/>
          <w:sz w:val="24"/>
          <w:szCs w:val="24"/>
          <w:lang w:eastAsia="en-GB"/>
        </w:rPr>
        <w:t>Works</w:t>
      </w:r>
      <w:r w:rsidRPr="00660A2C">
        <w:rPr>
          <w:rFonts w:ascii="Calibri" w:eastAsia="SimSun" w:hAnsi="Calibri" w:cs="Arial"/>
          <w:sz w:val="24"/>
          <w:szCs w:val="24"/>
          <w:lang w:eastAsia="en-GB"/>
        </w:rPr>
        <w:t>, 19.340).</w:t>
      </w:r>
      <w:r w:rsidRPr="00660A2C">
        <w:rPr>
          <w:rFonts w:ascii="Calibri" w:eastAsia="SimSun" w:hAnsi="Calibri" w:cs="Arial"/>
          <w:sz w:val="20"/>
          <w:szCs w:val="20"/>
          <w:vertAlign w:val="superscript"/>
          <w:lang w:eastAsia="en-GB"/>
        </w:rPr>
        <w:footnoteReference w:id="43"/>
      </w:r>
      <w:r w:rsidRPr="00660A2C">
        <w:rPr>
          <w:rFonts w:ascii="Calibri" w:eastAsia="SimSun" w:hAnsi="Calibri" w:cs="Arial"/>
          <w:sz w:val="20"/>
          <w:szCs w:val="20"/>
          <w:lang w:eastAsia="en-GB"/>
        </w:rPr>
        <w:t xml:space="preserve"> </w:t>
      </w:r>
      <w:r w:rsidRPr="00660A2C">
        <w:rPr>
          <w:rFonts w:ascii="Calibri" w:eastAsia="SimSun" w:hAnsi="Calibri" w:cs="Arial"/>
          <w:sz w:val="24"/>
          <w:szCs w:val="24"/>
          <w:lang w:eastAsia="en-GB"/>
        </w:rPr>
        <w:t xml:space="preserve">  As it turned out, there was soon to be a different outcome for Birmingham from what Priestley had expected in addressing his Anglican antagonist.  </w:t>
      </w:r>
    </w:p>
    <w:p w:rsidR="0008685E" w:rsidRPr="00660A2C" w:rsidRDefault="0008685E" w:rsidP="002C2165">
      <w:pPr>
        <w:spacing w:after="120" w:line="480" w:lineRule="auto"/>
        <w:ind w:firstLine="540"/>
        <w:rPr>
          <w:rFonts w:ascii="Calibri" w:eastAsia="SimSun" w:hAnsi="Calibri" w:cs="Arial"/>
          <w:sz w:val="24"/>
          <w:szCs w:val="24"/>
          <w:lang w:eastAsia="en-GB"/>
        </w:rPr>
      </w:pPr>
      <w:r w:rsidRPr="00660A2C">
        <w:rPr>
          <w:rFonts w:ascii="Calibri" w:eastAsia="SimSun" w:hAnsi="Calibri" w:cs="Arial"/>
          <w:sz w:val="24"/>
          <w:szCs w:val="24"/>
          <w:lang w:eastAsia="en-GB"/>
        </w:rPr>
        <w:t xml:space="preserve">These passages are not just about the way the future is invoked, but also about the way it becomes possible to talk about a state after time or when time is cancelled.   For Priestley the present is insufficient and so the conduct of those who do not prepare for the afterlife </w:t>
      </w:r>
      <w:r w:rsidR="002C2165">
        <w:rPr>
          <w:rFonts w:ascii="Calibri" w:eastAsia="SimSun" w:hAnsi="Calibri" w:cs="Arial"/>
          <w:sz w:val="24"/>
          <w:szCs w:val="24"/>
          <w:lang w:eastAsia="en-GB"/>
        </w:rPr>
        <w:t>“</w:t>
      </w:r>
      <w:r w:rsidRPr="00660A2C">
        <w:rPr>
          <w:rFonts w:ascii="Calibri" w:eastAsia="SimSun" w:hAnsi="Calibri" w:cs="Arial"/>
          <w:sz w:val="24"/>
          <w:szCs w:val="24"/>
          <w:lang w:eastAsia="en-GB"/>
        </w:rPr>
        <w:t>is much more inexcusable than that of the atheist, who not believing in futurity, minds only what is present</w:t>
      </w:r>
      <w:r w:rsidR="002C2165">
        <w:rPr>
          <w:rFonts w:ascii="Calibri" w:eastAsia="SimSun" w:hAnsi="Calibri" w:cs="Arial"/>
          <w:sz w:val="24"/>
          <w:szCs w:val="24"/>
          <w:lang w:eastAsia="en-GB"/>
        </w:rPr>
        <w:t>”</w:t>
      </w:r>
      <w:r w:rsidRPr="00660A2C">
        <w:rPr>
          <w:rFonts w:ascii="Calibri" w:eastAsia="SimSun" w:hAnsi="Calibri" w:cs="Arial"/>
          <w:sz w:val="24"/>
          <w:szCs w:val="24"/>
          <w:lang w:eastAsia="en-GB"/>
        </w:rPr>
        <w:t>.</w:t>
      </w:r>
      <w:r w:rsidRPr="00660A2C">
        <w:rPr>
          <w:rFonts w:ascii="Calibri" w:eastAsia="SimSun" w:hAnsi="Calibri" w:cs="Arial"/>
          <w:sz w:val="20"/>
          <w:szCs w:val="20"/>
          <w:vertAlign w:val="superscript"/>
          <w:lang w:eastAsia="en-GB"/>
        </w:rPr>
        <w:footnoteReference w:id="44"/>
      </w:r>
      <w:r w:rsidRPr="00660A2C">
        <w:rPr>
          <w:rFonts w:ascii="Calibri" w:eastAsia="SimSun" w:hAnsi="Calibri" w:cs="Arial"/>
          <w:sz w:val="20"/>
          <w:szCs w:val="20"/>
          <w:lang w:eastAsia="en-GB"/>
        </w:rPr>
        <w:t xml:space="preserve"> </w:t>
      </w:r>
      <w:r w:rsidRPr="00660A2C">
        <w:rPr>
          <w:rFonts w:ascii="Calibri" w:eastAsia="SimSun" w:hAnsi="Calibri" w:cs="Arial"/>
          <w:sz w:val="24"/>
          <w:szCs w:val="24"/>
          <w:lang w:eastAsia="en-GB"/>
        </w:rPr>
        <w:t xml:space="preserve">  Perhaps the terms are time-bound as well as temporal: they bec</w:t>
      </w:r>
      <w:r>
        <w:rPr>
          <w:rFonts w:ascii="Calibri" w:eastAsia="SimSun" w:hAnsi="Calibri" w:cs="Arial"/>
          <w:sz w:val="24"/>
          <w:szCs w:val="24"/>
          <w:lang w:eastAsia="en-GB"/>
        </w:rPr>
        <w:t>a</w:t>
      </w:r>
      <w:r w:rsidRPr="00660A2C">
        <w:rPr>
          <w:rFonts w:ascii="Calibri" w:eastAsia="SimSun" w:hAnsi="Calibri" w:cs="Arial"/>
          <w:sz w:val="24"/>
          <w:szCs w:val="24"/>
          <w:lang w:eastAsia="en-GB"/>
        </w:rPr>
        <w:t>me crucial in the 1790s.  Priestley and others claim</w:t>
      </w:r>
      <w:r>
        <w:rPr>
          <w:rFonts w:ascii="Calibri" w:eastAsia="SimSun" w:hAnsi="Calibri" w:cs="Arial"/>
          <w:sz w:val="24"/>
          <w:szCs w:val="24"/>
          <w:lang w:eastAsia="en-GB"/>
        </w:rPr>
        <w:t>ed</w:t>
      </w:r>
      <w:r w:rsidRPr="00660A2C">
        <w:rPr>
          <w:rFonts w:ascii="Calibri" w:eastAsia="SimSun" w:hAnsi="Calibri" w:cs="Arial"/>
          <w:sz w:val="24"/>
          <w:szCs w:val="24"/>
          <w:lang w:eastAsia="en-GB"/>
        </w:rPr>
        <w:t xml:space="preserve"> there to be an unbreakable analogy between historic and eschatological time and the relation between those states is obviously crucial to the relation between his religious and secular investments.  </w:t>
      </w:r>
    </w:p>
    <w:p w:rsidR="0008685E" w:rsidRPr="00660A2C" w:rsidRDefault="0008685E" w:rsidP="002B14D8">
      <w:pPr>
        <w:spacing w:after="120" w:line="480" w:lineRule="auto"/>
        <w:ind w:firstLine="540"/>
        <w:rPr>
          <w:rFonts w:ascii="Calibri" w:eastAsia="SimSun" w:hAnsi="Calibri" w:cs="Arial"/>
          <w:sz w:val="24"/>
          <w:szCs w:val="24"/>
          <w:lang w:eastAsia="en-GB"/>
        </w:rPr>
      </w:pPr>
      <w:r w:rsidRPr="00660A2C">
        <w:rPr>
          <w:rFonts w:ascii="Calibri" w:eastAsia="SimSun" w:hAnsi="Calibri" w:cs="Arial"/>
          <w:sz w:val="24"/>
          <w:szCs w:val="24"/>
          <w:lang w:eastAsia="en-GB"/>
        </w:rPr>
        <w:t>While to some the 1790s betrayed signs of leading to the last days, for Priestley on the other hand, natural philosophy testifie</w:t>
      </w:r>
      <w:r>
        <w:rPr>
          <w:rFonts w:ascii="Calibri" w:eastAsia="SimSun" w:hAnsi="Calibri" w:cs="Arial"/>
          <w:sz w:val="24"/>
          <w:szCs w:val="24"/>
          <w:lang w:eastAsia="en-GB"/>
        </w:rPr>
        <w:t>d</w:t>
      </w:r>
      <w:r w:rsidRPr="00660A2C">
        <w:rPr>
          <w:rFonts w:ascii="Calibri" w:eastAsia="SimSun" w:hAnsi="Calibri" w:cs="Arial"/>
          <w:sz w:val="24"/>
          <w:szCs w:val="24"/>
          <w:lang w:eastAsia="en-GB"/>
        </w:rPr>
        <w:t xml:space="preserve"> to a concern with futurity as continual improvement; he assume</w:t>
      </w:r>
      <w:r>
        <w:rPr>
          <w:rFonts w:ascii="Calibri" w:eastAsia="SimSun" w:hAnsi="Calibri" w:cs="Arial"/>
          <w:sz w:val="24"/>
          <w:szCs w:val="24"/>
          <w:lang w:eastAsia="en-GB"/>
        </w:rPr>
        <w:t>d</w:t>
      </w:r>
      <w:r w:rsidRPr="00660A2C">
        <w:rPr>
          <w:rFonts w:ascii="Calibri" w:eastAsia="SimSun" w:hAnsi="Calibri" w:cs="Arial"/>
          <w:sz w:val="24"/>
          <w:szCs w:val="24"/>
          <w:lang w:eastAsia="en-GB"/>
        </w:rPr>
        <w:t xml:space="preserve"> the momentum of progress to be unstoppable</w:t>
      </w:r>
      <w:r>
        <w:rPr>
          <w:rFonts w:ascii="Calibri" w:eastAsia="SimSun" w:hAnsi="Calibri" w:cs="Arial"/>
          <w:sz w:val="24"/>
          <w:szCs w:val="24"/>
          <w:lang w:eastAsia="en-GB"/>
        </w:rPr>
        <w:t xml:space="preserve"> and w</w:t>
      </w:r>
      <w:r w:rsidRPr="00660A2C">
        <w:rPr>
          <w:rFonts w:ascii="Calibri" w:eastAsia="SimSun" w:hAnsi="Calibri" w:cs="Arial"/>
          <w:sz w:val="24"/>
          <w:szCs w:val="24"/>
          <w:lang w:eastAsia="en-GB"/>
        </w:rPr>
        <w:t xml:space="preserve">hat was in prospect remained benign, inevitable, proving God to be a kind of enlightened Whig with a vested interest in progress, as in the second passage above.  </w:t>
      </w:r>
      <w:r w:rsidRPr="00EE54AF">
        <w:rPr>
          <w:rFonts w:ascii="Calibri" w:eastAsia="SimSun" w:hAnsi="Calibri" w:cs="Arial"/>
          <w:sz w:val="24"/>
          <w:szCs w:val="24"/>
          <w:lang w:eastAsia="en-GB"/>
        </w:rPr>
        <w:t>One contradiction is to do with representations of time: on the one hand, Priestley’s research in chemistry and other fields of natural philosophy</w:t>
      </w:r>
      <w:r>
        <w:rPr>
          <w:rFonts w:ascii="Calibri" w:eastAsia="SimSun" w:hAnsi="Calibri" w:cs="Arial"/>
          <w:sz w:val="24"/>
          <w:szCs w:val="24"/>
          <w:lang w:eastAsia="en-GB"/>
        </w:rPr>
        <w:t xml:space="preserve"> repeatedly derives</w:t>
      </w:r>
      <w:r w:rsidRPr="00EE54AF">
        <w:rPr>
          <w:rFonts w:ascii="Calibri" w:eastAsia="SimSun" w:hAnsi="Calibri" w:cs="Arial"/>
          <w:sz w:val="24"/>
          <w:szCs w:val="24"/>
          <w:lang w:eastAsia="en-GB"/>
        </w:rPr>
        <w:t xml:space="preserve"> </w:t>
      </w:r>
      <w:r>
        <w:rPr>
          <w:rFonts w:ascii="Calibri" w:eastAsia="SimSun" w:hAnsi="Calibri" w:cs="Arial"/>
          <w:sz w:val="24"/>
          <w:szCs w:val="24"/>
          <w:lang w:eastAsia="en-GB"/>
        </w:rPr>
        <w:t>evid</w:t>
      </w:r>
      <w:r w:rsidRPr="00EE54AF">
        <w:rPr>
          <w:rFonts w:ascii="Calibri" w:eastAsia="SimSun" w:hAnsi="Calibri" w:cs="Arial"/>
          <w:sz w:val="24"/>
          <w:szCs w:val="24"/>
          <w:lang w:eastAsia="en-GB"/>
        </w:rPr>
        <w:t>ence o</w:t>
      </w:r>
      <w:r>
        <w:rPr>
          <w:rFonts w:ascii="Calibri" w:eastAsia="SimSun" w:hAnsi="Calibri" w:cs="Arial"/>
          <w:sz w:val="24"/>
          <w:szCs w:val="24"/>
          <w:lang w:eastAsia="en-GB"/>
        </w:rPr>
        <w:t>f</w:t>
      </w:r>
      <w:r w:rsidRPr="00EE54AF">
        <w:rPr>
          <w:rFonts w:ascii="Calibri" w:eastAsia="SimSun" w:hAnsi="Calibri" w:cs="Arial"/>
          <w:sz w:val="24"/>
          <w:szCs w:val="24"/>
          <w:lang w:eastAsia="en-GB"/>
        </w:rPr>
        <w:t xml:space="preserve"> progress. (For some, such as John </w:t>
      </w:r>
      <w:proofErr w:type="spellStart"/>
      <w:r w:rsidRPr="00EE54AF">
        <w:rPr>
          <w:rFonts w:ascii="Calibri" w:eastAsia="SimSun" w:hAnsi="Calibri" w:cs="Arial"/>
          <w:sz w:val="24"/>
          <w:szCs w:val="24"/>
          <w:lang w:eastAsia="en-GB"/>
        </w:rPr>
        <w:t>Gray</w:t>
      </w:r>
      <w:proofErr w:type="spellEnd"/>
      <w:r w:rsidRPr="00EE54AF">
        <w:rPr>
          <w:rFonts w:ascii="Calibri" w:eastAsia="SimSun" w:hAnsi="Calibri" w:cs="Arial"/>
          <w:sz w:val="24"/>
          <w:szCs w:val="24"/>
          <w:lang w:eastAsia="en-GB"/>
        </w:rPr>
        <w:t>, such an insistence is definitive of all claims for enlightenment.)</w:t>
      </w:r>
      <w:r w:rsidRPr="00EE54AF">
        <w:rPr>
          <w:rFonts w:ascii="Calibri" w:eastAsia="SimSun" w:hAnsi="Calibri" w:cs="Arial"/>
          <w:sz w:val="24"/>
          <w:szCs w:val="24"/>
          <w:vertAlign w:val="superscript"/>
          <w:lang w:eastAsia="en-GB"/>
        </w:rPr>
        <w:footnoteReference w:id="45"/>
      </w:r>
      <w:r w:rsidRPr="00EE54AF">
        <w:rPr>
          <w:rFonts w:ascii="Calibri" w:eastAsia="SimSun" w:hAnsi="Calibri" w:cs="Arial"/>
          <w:sz w:val="24"/>
          <w:szCs w:val="24"/>
          <w:lang w:eastAsia="en-GB"/>
        </w:rPr>
        <w:t xml:space="preserve"> On the other hand, Priestley </w:t>
      </w:r>
      <w:proofErr w:type="gramStart"/>
      <w:r w:rsidRPr="00EE54AF">
        <w:rPr>
          <w:rFonts w:ascii="Calibri" w:eastAsia="SimSun" w:hAnsi="Calibri" w:cs="Arial"/>
          <w:sz w:val="24"/>
          <w:szCs w:val="24"/>
          <w:lang w:eastAsia="en-GB"/>
        </w:rPr>
        <w:t>insists  that</w:t>
      </w:r>
      <w:proofErr w:type="gramEnd"/>
      <w:r w:rsidRPr="00EE54AF">
        <w:rPr>
          <w:rFonts w:ascii="Calibri" w:eastAsia="SimSun" w:hAnsi="Calibri" w:cs="Arial"/>
          <w:sz w:val="24"/>
          <w:szCs w:val="24"/>
          <w:lang w:eastAsia="en-GB"/>
        </w:rPr>
        <w:t xml:space="preserve"> historical events as interpreted by Revelation showed that the world was hastening to an apocalyptic calamity. </w:t>
      </w:r>
      <w:r w:rsidRPr="00660A2C">
        <w:rPr>
          <w:rFonts w:ascii="Calibri" w:eastAsia="SimSun" w:hAnsi="Calibri" w:cs="Arial"/>
          <w:sz w:val="24"/>
          <w:szCs w:val="24"/>
          <w:lang w:eastAsia="en-GB"/>
        </w:rPr>
        <w:t xml:space="preserve"> Coleridge saw </w:t>
      </w:r>
      <w:r w:rsidR="002B14D8">
        <w:rPr>
          <w:rFonts w:ascii="Calibri" w:eastAsia="SimSun" w:hAnsi="Calibri" w:cs="Arial"/>
          <w:sz w:val="24"/>
          <w:szCs w:val="24"/>
          <w:lang w:eastAsia="en-GB"/>
        </w:rPr>
        <w:t>a similar</w:t>
      </w:r>
      <w:r w:rsidRPr="00660A2C">
        <w:rPr>
          <w:rFonts w:ascii="Calibri" w:eastAsia="SimSun" w:hAnsi="Calibri" w:cs="Arial"/>
          <w:sz w:val="24"/>
          <w:szCs w:val="24"/>
          <w:lang w:eastAsia="en-GB"/>
        </w:rPr>
        <w:t xml:space="preserve"> happy confluence of natural philosophy and the millennium in a notebook entry of 1796:</w:t>
      </w:r>
    </w:p>
    <w:p w:rsidR="0008685E" w:rsidRPr="00660A2C" w:rsidRDefault="0008685E" w:rsidP="00660A2C">
      <w:pPr>
        <w:spacing w:after="120" w:line="480" w:lineRule="auto"/>
        <w:ind w:left="630" w:firstLine="576"/>
        <w:rPr>
          <w:rFonts w:ascii="Calibri" w:eastAsia="SimSun" w:hAnsi="Calibri" w:cs="Arial"/>
          <w:sz w:val="24"/>
          <w:szCs w:val="24"/>
          <w:lang w:eastAsia="en-GB"/>
        </w:rPr>
      </w:pPr>
      <w:r w:rsidRPr="00660A2C">
        <w:rPr>
          <w:rFonts w:ascii="Calibri" w:eastAsia="SimSun" w:hAnsi="Calibri" w:cs="Arial"/>
          <w:sz w:val="24"/>
          <w:szCs w:val="24"/>
          <w:lang w:eastAsia="en-GB"/>
        </w:rPr>
        <w:t xml:space="preserve">Millennium, an History of, as brought about by a progression in natural philosophy — particularly, meteorology or science of airs and </w:t>
      </w:r>
      <w:proofErr w:type="gramStart"/>
      <w:r w:rsidRPr="00660A2C">
        <w:rPr>
          <w:rFonts w:ascii="Calibri" w:eastAsia="SimSun" w:hAnsi="Calibri" w:cs="Arial"/>
          <w:sz w:val="24"/>
          <w:szCs w:val="24"/>
          <w:lang w:eastAsia="en-GB"/>
        </w:rPr>
        <w:t>winds  —</w:t>
      </w:r>
      <w:proofErr w:type="gramEnd"/>
    </w:p>
    <w:p w:rsidR="0008685E" w:rsidRPr="00660A2C" w:rsidRDefault="0008685E" w:rsidP="00660A2C">
      <w:pPr>
        <w:spacing w:after="120" w:line="480" w:lineRule="auto"/>
        <w:ind w:left="630" w:firstLine="576"/>
        <w:rPr>
          <w:rFonts w:ascii="Calibri" w:eastAsia="SimSun" w:hAnsi="Calibri" w:cs="Arial"/>
          <w:sz w:val="24"/>
          <w:szCs w:val="24"/>
          <w:lang w:eastAsia="en-GB"/>
        </w:rPr>
      </w:pPr>
      <w:proofErr w:type="spellStart"/>
      <w:proofErr w:type="gramStart"/>
      <w:r w:rsidRPr="00660A2C">
        <w:rPr>
          <w:rFonts w:ascii="Calibri" w:eastAsia="SimSun" w:hAnsi="Calibri" w:cs="Arial"/>
          <w:sz w:val="24"/>
          <w:szCs w:val="24"/>
          <w:lang w:eastAsia="en-GB"/>
        </w:rPr>
        <w:t>Quaere</w:t>
      </w:r>
      <w:proofErr w:type="spellEnd"/>
      <w:r w:rsidRPr="00660A2C">
        <w:rPr>
          <w:rFonts w:ascii="Calibri" w:eastAsia="SimSun" w:hAnsi="Calibri" w:cs="Arial"/>
          <w:sz w:val="24"/>
          <w:szCs w:val="24"/>
          <w:lang w:eastAsia="en-GB"/>
        </w:rPr>
        <w:t xml:space="preserve">  —</w:t>
      </w:r>
      <w:proofErr w:type="gramEnd"/>
      <w:r w:rsidRPr="00660A2C">
        <w:rPr>
          <w:rFonts w:ascii="Calibri" w:eastAsia="SimSun" w:hAnsi="Calibri" w:cs="Arial"/>
          <w:sz w:val="24"/>
          <w:szCs w:val="24"/>
          <w:lang w:eastAsia="en-GB"/>
        </w:rPr>
        <w:t xml:space="preserve"> might not a Commentary on the Revelations be written from late philosophical discoveries?</w:t>
      </w:r>
      <w:r w:rsidRPr="00660A2C">
        <w:rPr>
          <w:rFonts w:ascii="Calibri" w:eastAsia="SimSun" w:hAnsi="Calibri" w:cs="Arial"/>
          <w:sz w:val="24"/>
          <w:szCs w:val="24"/>
          <w:vertAlign w:val="superscript"/>
          <w:lang w:eastAsia="en-GB"/>
        </w:rPr>
        <w:footnoteReference w:id="46"/>
      </w:r>
    </w:p>
    <w:p w:rsidR="0008685E" w:rsidRPr="00660A2C" w:rsidRDefault="0008685E" w:rsidP="00660A2C">
      <w:pPr>
        <w:spacing w:after="120" w:line="480" w:lineRule="auto"/>
        <w:ind w:firstLine="576"/>
        <w:rPr>
          <w:rFonts w:ascii="Calibri" w:eastAsia="SimSun" w:hAnsi="Calibri" w:cs="Arial"/>
          <w:sz w:val="24"/>
          <w:szCs w:val="24"/>
          <w:lang w:eastAsia="en-GB"/>
        </w:rPr>
      </w:pPr>
      <w:r w:rsidRPr="00660A2C">
        <w:rPr>
          <w:rFonts w:ascii="Calibri" w:eastAsia="SimSun" w:hAnsi="Calibri" w:cs="Arial"/>
          <w:sz w:val="24"/>
          <w:szCs w:val="24"/>
          <w:lang w:eastAsia="en-GB"/>
        </w:rPr>
        <w:t>Priestley noted that thunderstorms and earthquakes in the prophetic books signified political overturning.</w:t>
      </w:r>
      <w:r w:rsidRPr="00660A2C">
        <w:rPr>
          <w:rFonts w:ascii="Calibri" w:eastAsia="SimSun" w:hAnsi="Calibri" w:cs="Arial"/>
          <w:sz w:val="20"/>
          <w:szCs w:val="20"/>
          <w:vertAlign w:val="superscript"/>
          <w:lang w:eastAsia="en-GB"/>
        </w:rPr>
        <w:footnoteReference w:id="47"/>
      </w:r>
      <w:r w:rsidRPr="00660A2C">
        <w:rPr>
          <w:rFonts w:ascii="Calibri" w:eastAsia="SimSun" w:hAnsi="Calibri" w:cs="Arial"/>
          <w:sz w:val="24"/>
          <w:szCs w:val="24"/>
          <w:lang w:eastAsia="en-GB"/>
        </w:rPr>
        <w:t xml:space="preserve">  If these were part of a weather forecast for Britain they might be perceived as seditious.</w:t>
      </w:r>
      <w:r>
        <w:rPr>
          <w:rFonts w:ascii="Calibri" w:eastAsia="SimSun" w:hAnsi="Calibri" w:cs="Arial"/>
          <w:sz w:val="24"/>
          <w:szCs w:val="24"/>
          <w:lang w:eastAsia="en-GB"/>
        </w:rPr>
        <w:t xml:space="preserve"> If, that is, these were interpreted as signs of the imminent overthrow of the monarchy, such an interpretation would be treasonable, so a great deal centres on whether Priestley had a conviction of the literal truth of millennial prophecy.</w:t>
      </w:r>
    </w:p>
    <w:p w:rsidR="0008685E" w:rsidRDefault="0008685E" w:rsidP="002B14D8">
      <w:pPr>
        <w:spacing w:line="480" w:lineRule="auto"/>
        <w:ind w:firstLine="540"/>
        <w:rPr>
          <w:rFonts w:ascii="Calibri" w:eastAsia="SimSun" w:hAnsi="Calibri" w:cs="Arial"/>
          <w:sz w:val="24"/>
          <w:szCs w:val="24"/>
          <w:lang w:eastAsia="en-GB"/>
        </w:rPr>
      </w:pPr>
      <w:r w:rsidRPr="00660A2C">
        <w:rPr>
          <w:rFonts w:ascii="Calibri" w:eastAsia="SimSun" w:hAnsi="Calibri" w:cs="Arial"/>
          <w:sz w:val="24"/>
          <w:szCs w:val="24"/>
          <w:lang w:eastAsia="en-GB"/>
        </w:rPr>
        <w:t xml:space="preserve">Priestley told Thomas </w:t>
      </w:r>
      <w:proofErr w:type="spellStart"/>
      <w:r w:rsidRPr="00660A2C">
        <w:rPr>
          <w:rFonts w:ascii="Calibri" w:eastAsia="SimSun" w:hAnsi="Calibri" w:cs="Arial"/>
          <w:sz w:val="24"/>
          <w:szCs w:val="24"/>
          <w:lang w:eastAsia="en-GB"/>
        </w:rPr>
        <w:t>Belsham</w:t>
      </w:r>
      <w:proofErr w:type="spellEnd"/>
      <w:r w:rsidRPr="00660A2C">
        <w:rPr>
          <w:rFonts w:ascii="Calibri" w:eastAsia="SimSun" w:hAnsi="Calibri" w:cs="Arial"/>
          <w:sz w:val="24"/>
          <w:szCs w:val="24"/>
          <w:lang w:eastAsia="en-GB"/>
        </w:rPr>
        <w:t xml:space="preserve">, </w:t>
      </w:r>
      <w:r>
        <w:rPr>
          <w:rFonts w:ascii="Calibri" w:eastAsia="SimSun" w:hAnsi="Calibri" w:cs="Arial"/>
          <w:sz w:val="24"/>
          <w:szCs w:val="24"/>
          <w:lang w:eastAsia="en-GB"/>
        </w:rPr>
        <w:t>fewer</w:t>
      </w:r>
      <w:r w:rsidRPr="00660A2C">
        <w:rPr>
          <w:rFonts w:ascii="Calibri" w:eastAsia="SimSun" w:hAnsi="Calibri" w:cs="Arial"/>
          <w:sz w:val="24"/>
          <w:szCs w:val="24"/>
          <w:lang w:eastAsia="en-GB"/>
        </w:rPr>
        <w:t xml:space="preserve"> than twenty years </w:t>
      </w:r>
      <w:r>
        <w:rPr>
          <w:rFonts w:ascii="Calibri" w:eastAsia="SimSun" w:hAnsi="Calibri" w:cs="Arial"/>
          <w:sz w:val="24"/>
          <w:szCs w:val="24"/>
          <w:lang w:eastAsia="en-GB"/>
        </w:rPr>
        <w:t>his junior</w:t>
      </w:r>
      <w:r w:rsidRPr="00660A2C">
        <w:rPr>
          <w:rFonts w:ascii="Calibri" w:eastAsia="SimSun" w:hAnsi="Calibri" w:cs="Arial"/>
          <w:sz w:val="24"/>
          <w:szCs w:val="24"/>
          <w:lang w:eastAsia="en-GB"/>
        </w:rPr>
        <w:t xml:space="preserve">, that </w:t>
      </w:r>
      <w:proofErr w:type="spellStart"/>
      <w:r w:rsidRPr="00660A2C">
        <w:rPr>
          <w:rFonts w:ascii="Calibri" w:eastAsia="SimSun" w:hAnsi="Calibri" w:cs="Arial"/>
          <w:sz w:val="24"/>
          <w:szCs w:val="24"/>
          <w:lang w:eastAsia="en-GB"/>
        </w:rPr>
        <w:t>Belsham</w:t>
      </w:r>
      <w:proofErr w:type="spellEnd"/>
      <w:r w:rsidRPr="00660A2C">
        <w:rPr>
          <w:rFonts w:ascii="Calibri" w:eastAsia="SimSun" w:hAnsi="Calibri" w:cs="Arial"/>
          <w:sz w:val="24"/>
          <w:szCs w:val="24"/>
          <w:lang w:eastAsia="en-GB"/>
        </w:rPr>
        <w:t xml:space="preserve"> would live to see the Second Coming and the restoration of the Jews, having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inferred from the state of the world, compared with the language of prophecy that the second personal appearance of Christ was very near at hand</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 – within twenty years in fact.</w:t>
      </w:r>
      <w:r w:rsidRPr="009847AD">
        <w:rPr>
          <w:rFonts w:ascii="Calibri" w:eastAsia="SimSun" w:hAnsi="Calibri" w:cs="Arial"/>
          <w:sz w:val="20"/>
          <w:szCs w:val="20"/>
          <w:vertAlign w:val="superscript"/>
          <w:lang w:eastAsia="en-GB"/>
        </w:rPr>
        <w:footnoteReference w:id="48"/>
      </w:r>
      <w:r>
        <w:rPr>
          <w:rFonts w:ascii="Calibri" w:eastAsia="SimSun" w:hAnsi="Calibri" w:cs="Arial"/>
          <w:sz w:val="24"/>
          <w:szCs w:val="24"/>
          <w:lang w:eastAsia="en-GB"/>
        </w:rPr>
        <w:t xml:space="preserve"> </w:t>
      </w:r>
      <w:r>
        <w:rPr>
          <w:sz w:val="24"/>
          <w:szCs w:val="24"/>
        </w:rPr>
        <w:t xml:space="preserve"> However, </w:t>
      </w:r>
      <w:r w:rsidRPr="00E63628">
        <w:rPr>
          <w:sz w:val="24"/>
          <w:szCs w:val="24"/>
        </w:rPr>
        <w:t>not only expediency but also rationality protected Priestley</w:t>
      </w:r>
      <w:r w:rsidR="002B14D8">
        <w:rPr>
          <w:sz w:val="24"/>
          <w:szCs w:val="24"/>
        </w:rPr>
        <w:t>’</w:t>
      </w:r>
      <w:r w:rsidRPr="00E63628">
        <w:rPr>
          <w:sz w:val="24"/>
          <w:szCs w:val="24"/>
        </w:rPr>
        <w:t>s own writings from prosecution.</w:t>
      </w:r>
      <w:r>
        <w:rPr>
          <w:sz w:val="24"/>
          <w:szCs w:val="24"/>
        </w:rPr>
        <w:t xml:space="preserve"> </w:t>
      </w:r>
      <w:r w:rsidRPr="00660A2C">
        <w:rPr>
          <w:rFonts w:ascii="Calibri" w:eastAsia="SimSun" w:hAnsi="Calibri" w:cs="Arial"/>
          <w:sz w:val="24"/>
          <w:szCs w:val="24"/>
          <w:lang w:eastAsia="en-GB"/>
        </w:rPr>
        <w:t>Priestley d</w:t>
      </w:r>
      <w:r>
        <w:rPr>
          <w:rFonts w:ascii="Calibri" w:eastAsia="SimSun" w:hAnsi="Calibri" w:cs="Arial"/>
          <w:sz w:val="24"/>
          <w:szCs w:val="24"/>
          <w:lang w:eastAsia="en-GB"/>
        </w:rPr>
        <w:t>id</w:t>
      </w:r>
      <w:r w:rsidRPr="00660A2C">
        <w:rPr>
          <w:rFonts w:ascii="Calibri" w:eastAsia="SimSun" w:hAnsi="Calibri" w:cs="Arial"/>
          <w:sz w:val="24"/>
          <w:szCs w:val="24"/>
          <w:lang w:eastAsia="en-GB"/>
        </w:rPr>
        <w:t xml:space="preserve"> not require of prophecy </w:t>
      </w:r>
      <w:r>
        <w:rPr>
          <w:rFonts w:ascii="Calibri" w:eastAsia="SimSun" w:hAnsi="Calibri" w:cs="Arial"/>
          <w:sz w:val="24"/>
          <w:szCs w:val="24"/>
          <w:lang w:eastAsia="en-GB"/>
        </w:rPr>
        <w:t xml:space="preserve">(nor of miracles) </w:t>
      </w:r>
      <w:r w:rsidRPr="00660A2C">
        <w:rPr>
          <w:rFonts w:ascii="Calibri" w:eastAsia="SimSun" w:hAnsi="Calibri" w:cs="Arial"/>
          <w:sz w:val="24"/>
          <w:szCs w:val="24"/>
          <w:lang w:eastAsia="en-GB"/>
        </w:rPr>
        <w:t>the proofs that are required by natural philosophy, but he d</w:t>
      </w:r>
      <w:r>
        <w:rPr>
          <w:rFonts w:ascii="Calibri" w:eastAsia="SimSun" w:hAnsi="Calibri" w:cs="Arial"/>
          <w:sz w:val="24"/>
          <w:szCs w:val="24"/>
          <w:lang w:eastAsia="en-GB"/>
        </w:rPr>
        <w:t>id</w:t>
      </w:r>
      <w:r w:rsidRPr="00660A2C">
        <w:rPr>
          <w:rFonts w:ascii="Calibri" w:eastAsia="SimSun" w:hAnsi="Calibri" w:cs="Arial"/>
          <w:sz w:val="24"/>
          <w:szCs w:val="24"/>
          <w:lang w:eastAsia="en-GB"/>
        </w:rPr>
        <w:t xml:space="preserve"> need to demonstrate that nature and politics obey</w:t>
      </w:r>
      <w:r>
        <w:rPr>
          <w:rFonts w:ascii="Calibri" w:eastAsia="SimSun" w:hAnsi="Calibri" w:cs="Arial"/>
          <w:sz w:val="24"/>
          <w:szCs w:val="24"/>
          <w:lang w:eastAsia="en-GB"/>
        </w:rPr>
        <w:t>ed analogous</w:t>
      </w:r>
      <w:r w:rsidRPr="00660A2C">
        <w:rPr>
          <w:rFonts w:ascii="Calibri" w:eastAsia="SimSun" w:hAnsi="Calibri" w:cs="Arial"/>
          <w:sz w:val="24"/>
          <w:szCs w:val="24"/>
          <w:lang w:eastAsia="en-GB"/>
        </w:rPr>
        <w:t xml:space="preserve"> laws.  </w:t>
      </w:r>
    </w:p>
    <w:p w:rsidR="0008685E" w:rsidRPr="00660A2C" w:rsidRDefault="0008685E" w:rsidP="00C04B75">
      <w:pPr>
        <w:spacing w:line="480" w:lineRule="auto"/>
        <w:ind w:firstLine="540"/>
        <w:rPr>
          <w:rFonts w:ascii="Calibri" w:eastAsia="SimSun" w:hAnsi="Calibri" w:cs="Arial"/>
          <w:sz w:val="24"/>
          <w:szCs w:val="24"/>
          <w:lang w:eastAsia="en-GB"/>
        </w:rPr>
      </w:pPr>
      <w:r w:rsidRPr="00660A2C">
        <w:rPr>
          <w:rFonts w:ascii="Calibri" w:eastAsia="SimSun" w:hAnsi="Calibri" w:cs="Arial"/>
          <w:sz w:val="24"/>
          <w:szCs w:val="24"/>
          <w:lang w:eastAsia="en-GB"/>
        </w:rPr>
        <w:t xml:space="preserve">This apparent relaxation of the protocols of philosophical investigation and the process of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conviction</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 was too much for some who had sympathised with the religion of the dissenters and the disabilities they had suffered because of it. John Adams was still exasperated enough by what he saw as the gulf between </w:t>
      </w:r>
      <w:proofErr w:type="spellStart"/>
      <w:r w:rsidRPr="00660A2C">
        <w:rPr>
          <w:rFonts w:ascii="Calibri" w:eastAsia="SimSun" w:hAnsi="Calibri" w:cs="Arial"/>
          <w:sz w:val="24"/>
          <w:szCs w:val="24"/>
          <w:lang w:eastAsia="en-GB"/>
        </w:rPr>
        <w:t>Priestley</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s</w:t>
      </w:r>
      <w:proofErr w:type="spellEnd"/>
      <w:r w:rsidRPr="00660A2C">
        <w:rPr>
          <w:rFonts w:ascii="Calibri" w:eastAsia="SimSun" w:hAnsi="Calibri" w:cs="Arial"/>
          <w:sz w:val="24"/>
          <w:szCs w:val="24"/>
          <w:lang w:eastAsia="en-GB"/>
        </w:rPr>
        <w:t xml:space="preserve"> rationality and his confidence in revelation to reproduce verbatim nearly twenty years </w:t>
      </w:r>
      <w:r>
        <w:rPr>
          <w:rFonts w:ascii="Calibri" w:eastAsia="SimSun" w:hAnsi="Calibri" w:cs="Arial"/>
          <w:sz w:val="24"/>
          <w:szCs w:val="24"/>
          <w:lang w:eastAsia="en-GB"/>
        </w:rPr>
        <w:t>after</w:t>
      </w:r>
      <w:r w:rsidRPr="00660A2C">
        <w:rPr>
          <w:rFonts w:ascii="Calibri" w:eastAsia="SimSun" w:hAnsi="Calibri" w:cs="Arial"/>
          <w:sz w:val="24"/>
          <w:szCs w:val="24"/>
          <w:lang w:eastAsia="en-GB"/>
        </w:rPr>
        <w:t xml:space="preserve"> </w:t>
      </w:r>
      <w:proofErr w:type="spellStart"/>
      <w:r w:rsidRPr="00660A2C">
        <w:rPr>
          <w:rFonts w:ascii="Calibri" w:eastAsia="SimSun" w:hAnsi="Calibri" w:cs="Arial"/>
          <w:sz w:val="24"/>
          <w:szCs w:val="24"/>
          <w:lang w:eastAsia="en-GB"/>
        </w:rPr>
        <w:t>Priestley</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s</w:t>
      </w:r>
      <w:proofErr w:type="spellEnd"/>
      <w:r w:rsidRPr="00660A2C">
        <w:rPr>
          <w:rFonts w:ascii="Calibri" w:eastAsia="SimSun" w:hAnsi="Calibri" w:cs="Arial"/>
          <w:sz w:val="24"/>
          <w:szCs w:val="24"/>
          <w:lang w:eastAsia="en-GB"/>
        </w:rPr>
        <w:t xml:space="preserve"> death </w:t>
      </w:r>
      <w:r>
        <w:rPr>
          <w:rFonts w:ascii="Calibri" w:eastAsia="SimSun" w:hAnsi="Calibri" w:cs="Arial"/>
          <w:sz w:val="24"/>
          <w:szCs w:val="24"/>
          <w:lang w:eastAsia="en-GB"/>
        </w:rPr>
        <w:t>the</w:t>
      </w:r>
      <w:r w:rsidRPr="00660A2C">
        <w:rPr>
          <w:rFonts w:ascii="Calibri" w:eastAsia="SimSun" w:hAnsi="Calibri" w:cs="Arial"/>
          <w:sz w:val="24"/>
          <w:szCs w:val="24"/>
          <w:lang w:eastAsia="en-GB"/>
        </w:rPr>
        <w:t xml:space="preserve"> conversation </w:t>
      </w:r>
      <w:r>
        <w:rPr>
          <w:rFonts w:ascii="Calibri" w:eastAsia="SimSun" w:hAnsi="Calibri" w:cs="Arial"/>
          <w:sz w:val="24"/>
          <w:szCs w:val="24"/>
          <w:lang w:eastAsia="en-GB"/>
        </w:rPr>
        <w:t xml:space="preserve">quoted at the start of this article, which </w:t>
      </w:r>
      <w:r w:rsidRPr="00660A2C">
        <w:rPr>
          <w:rFonts w:ascii="Calibri" w:eastAsia="SimSun" w:hAnsi="Calibri" w:cs="Arial"/>
          <w:sz w:val="24"/>
          <w:szCs w:val="24"/>
          <w:lang w:eastAsia="en-GB"/>
        </w:rPr>
        <w:t xml:space="preserve">he had held with Priestley nearly thirty years </w:t>
      </w:r>
      <w:r>
        <w:rPr>
          <w:rFonts w:ascii="Calibri" w:eastAsia="SimSun" w:hAnsi="Calibri" w:cs="Arial"/>
          <w:sz w:val="24"/>
          <w:szCs w:val="24"/>
          <w:lang w:eastAsia="en-GB"/>
        </w:rPr>
        <w:t>earlier</w:t>
      </w:r>
      <w:r w:rsidRPr="00660A2C">
        <w:rPr>
          <w:rFonts w:ascii="Calibri" w:eastAsia="SimSun" w:hAnsi="Calibri" w:cs="Arial"/>
          <w:sz w:val="24"/>
          <w:szCs w:val="24"/>
          <w:lang w:eastAsia="en-GB"/>
        </w:rPr>
        <w:t>. As Adams remembers it, the two had breakfast together soon after the execution of Louis XVI, when Adams was Vice-President – although it must have been in the United States and so in 1794 or later;  Priestley aver</w:t>
      </w:r>
      <w:r>
        <w:rPr>
          <w:rFonts w:ascii="Calibri" w:eastAsia="SimSun" w:hAnsi="Calibri" w:cs="Arial"/>
          <w:sz w:val="24"/>
          <w:szCs w:val="24"/>
          <w:lang w:eastAsia="en-GB"/>
        </w:rPr>
        <w:t>red</w:t>
      </w:r>
      <w:r w:rsidRPr="00660A2C">
        <w:rPr>
          <w:rFonts w:ascii="Calibri" w:eastAsia="SimSun" w:hAnsi="Calibri" w:cs="Arial"/>
          <w:sz w:val="24"/>
          <w:szCs w:val="24"/>
          <w:lang w:eastAsia="en-GB"/>
        </w:rPr>
        <w:t xml:space="preserve"> that all his hopes for France were founded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on revelation and the prophecies</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 and Adams presse</w:t>
      </w:r>
      <w:r>
        <w:rPr>
          <w:rFonts w:ascii="Calibri" w:eastAsia="SimSun" w:hAnsi="Calibri" w:cs="Arial"/>
          <w:sz w:val="24"/>
          <w:szCs w:val="24"/>
          <w:lang w:eastAsia="en-GB"/>
        </w:rPr>
        <w:t>d</w:t>
      </w:r>
      <w:r w:rsidRPr="00660A2C">
        <w:rPr>
          <w:rFonts w:ascii="Calibri" w:eastAsia="SimSun" w:hAnsi="Calibri" w:cs="Arial"/>
          <w:sz w:val="24"/>
          <w:szCs w:val="24"/>
          <w:lang w:eastAsia="en-GB"/>
        </w:rPr>
        <w:t xml:space="preserve"> him:</w:t>
      </w:r>
    </w:p>
    <w:p w:rsidR="0008685E" w:rsidRPr="00660A2C" w:rsidRDefault="0008685E" w:rsidP="00660A2C">
      <w:pPr>
        <w:spacing w:after="120" w:line="480" w:lineRule="auto"/>
        <w:ind w:left="576"/>
        <w:rPr>
          <w:rFonts w:ascii="Calibri" w:eastAsia="SimSun" w:hAnsi="Calibri" w:cs="Arial"/>
          <w:sz w:val="24"/>
          <w:szCs w:val="24"/>
          <w:lang w:eastAsia="en-GB"/>
        </w:rPr>
      </w:pPr>
      <w:r w:rsidRPr="00660A2C">
        <w:rPr>
          <w:rFonts w:ascii="Calibri" w:eastAsia="SimSun" w:hAnsi="Calibri" w:cs="Arial"/>
          <w:sz w:val="24"/>
          <w:szCs w:val="24"/>
          <w:lang w:eastAsia="en-GB"/>
        </w:rPr>
        <w:t xml:space="preserve">At last I asked the </w:t>
      </w:r>
      <w:proofErr w:type="spellStart"/>
      <w:r w:rsidRPr="00660A2C">
        <w:rPr>
          <w:rFonts w:ascii="Calibri" w:eastAsia="SimSun" w:hAnsi="Calibri" w:cs="Arial"/>
          <w:sz w:val="24"/>
          <w:szCs w:val="24"/>
          <w:lang w:eastAsia="en-GB"/>
        </w:rPr>
        <w:t>Dr.</w:t>
      </w:r>
      <w:proofErr w:type="spellEnd"/>
      <w:r w:rsidRPr="00660A2C">
        <w:rPr>
          <w:rFonts w:ascii="Calibri" w:eastAsia="SimSun" w:hAnsi="Calibri" w:cs="Arial"/>
          <w:sz w:val="24"/>
          <w:szCs w:val="24"/>
          <w:lang w:eastAsia="en-GB"/>
        </w:rPr>
        <w:t xml:space="preserve"> do you really believe the French will establish a free </w:t>
      </w:r>
      <w:proofErr w:type="spellStart"/>
      <w:r w:rsidRPr="00660A2C">
        <w:rPr>
          <w:rFonts w:ascii="Calibri" w:eastAsia="SimSun" w:hAnsi="Calibri" w:cs="Arial"/>
          <w:sz w:val="24"/>
          <w:szCs w:val="24"/>
          <w:lang w:eastAsia="en-GB"/>
        </w:rPr>
        <w:t>democratical</w:t>
      </w:r>
      <w:proofErr w:type="spellEnd"/>
      <w:r w:rsidRPr="00660A2C">
        <w:rPr>
          <w:rFonts w:ascii="Calibri" w:eastAsia="SimSun" w:hAnsi="Calibri" w:cs="Arial"/>
          <w:sz w:val="24"/>
          <w:szCs w:val="24"/>
          <w:lang w:eastAsia="en-GB"/>
        </w:rPr>
        <w:t xml:space="preserve"> government in </w:t>
      </w:r>
      <w:proofErr w:type="gramStart"/>
      <w:r w:rsidRPr="00660A2C">
        <w:rPr>
          <w:rFonts w:ascii="Calibri" w:eastAsia="SimSun" w:hAnsi="Calibri" w:cs="Arial"/>
          <w:sz w:val="24"/>
          <w:szCs w:val="24"/>
          <w:lang w:eastAsia="en-GB"/>
        </w:rPr>
        <w:t>France?</w:t>
      </w:r>
      <w:proofErr w:type="gramEnd"/>
      <w:r w:rsidRPr="00660A2C">
        <w:rPr>
          <w:rFonts w:ascii="Calibri" w:eastAsia="SimSun" w:hAnsi="Calibri" w:cs="Arial"/>
          <w:sz w:val="24"/>
          <w:szCs w:val="24"/>
          <w:lang w:eastAsia="en-GB"/>
        </w:rPr>
        <w:t xml:space="preserve"> He answered: I do firmly believe it. Will you give me leave to ask you upon what grounds you entertain this opinion? Is it from anything you ever read in history —is there any instance of a Roman Catholic monarchy of five and twenty millions at once converted into as free and rational people? No, I know of no instance like it. Is there anything in knowledge of human nature derived from books or experience that any nation ancient or modern consisting of such multitudes of ignorant people ever were or ever can be converted suddenly into materials capable of conducting a free government especially a </w:t>
      </w:r>
      <w:proofErr w:type="spellStart"/>
      <w:r w:rsidRPr="00660A2C">
        <w:rPr>
          <w:rFonts w:ascii="Calibri" w:eastAsia="SimSun" w:hAnsi="Calibri" w:cs="Arial"/>
          <w:sz w:val="24"/>
          <w:szCs w:val="24"/>
          <w:lang w:eastAsia="en-GB"/>
        </w:rPr>
        <w:t>democratical</w:t>
      </w:r>
      <w:proofErr w:type="spellEnd"/>
      <w:r w:rsidRPr="00660A2C">
        <w:rPr>
          <w:rFonts w:ascii="Calibri" w:eastAsia="SimSun" w:hAnsi="Calibri" w:cs="Arial"/>
          <w:sz w:val="24"/>
          <w:szCs w:val="24"/>
          <w:lang w:eastAsia="en-GB"/>
        </w:rPr>
        <w:t xml:space="preserve"> republic? No, I know of nothing of the kind. Well then, Sir, what is the ground of your opinion? The answer was, my opinion is founded altogether on revelation and the prophecies; I take it that the ten horns of the great beast in revelations, mean the ten crowned heads of Europe: and that the execution of the king of France is the falling off of the first of those horns; and the nine monarchies of Europe will fall one after another in the same way. Such was the enthusiasm of that great man, that reasoning machine.</w:t>
      </w:r>
      <w:r w:rsidRPr="00660A2C">
        <w:rPr>
          <w:rFonts w:ascii="Calibri" w:eastAsia="SimSun" w:hAnsi="Calibri" w:cs="Arial"/>
          <w:sz w:val="20"/>
          <w:szCs w:val="20"/>
          <w:vertAlign w:val="superscript"/>
          <w:lang w:eastAsia="en-GB"/>
        </w:rPr>
        <w:footnoteReference w:id="49"/>
      </w:r>
    </w:p>
    <w:p w:rsidR="0008685E" w:rsidRPr="00660A2C" w:rsidRDefault="0008685E" w:rsidP="00C819CD">
      <w:pPr>
        <w:spacing w:after="120" w:line="480" w:lineRule="auto"/>
        <w:ind w:firstLine="540"/>
        <w:rPr>
          <w:rFonts w:ascii="Calibri" w:eastAsia="SimSun" w:hAnsi="Calibri" w:cs="Arial"/>
          <w:sz w:val="24"/>
          <w:szCs w:val="24"/>
          <w:lang w:eastAsia="en-GB"/>
        </w:rPr>
        <w:sectPr w:rsidR="0008685E" w:rsidRPr="00660A2C" w:rsidSect="00CB030D">
          <w:headerReference w:type="default" r:id="rId8"/>
          <w:endnotePr>
            <w:numFmt w:val="decimal"/>
          </w:endnotePr>
          <w:type w:val="continuous"/>
          <w:pgSz w:w="11906" w:h="16838"/>
          <w:pgMar w:top="1440" w:right="1800" w:bottom="1440" w:left="1800" w:header="708" w:footer="708" w:gutter="0"/>
          <w:cols w:space="708"/>
          <w:docGrid w:linePitch="360"/>
        </w:sectPr>
      </w:pPr>
      <w:r w:rsidRPr="00660A2C">
        <w:rPr>
          <w:rFonts w:ascii="Calibri" w:eastAsia="SimSun" w:hAnsi="Calibri" w:cs="Arial"/>
          <w:sz w:val="24"/>
          <w:szCs w:val="24"/>
          <w:lang w:eastAsia="en-GB"/>
        </w:rPr>
        <w:t xml:space="preserve">This conversation had made enough of an impact for Adams to have already recalled it to Jefferson once before, in a letter, ten years previously when he was reading two prophets from Virginia of whom he opined that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though they are evidently cracked … they are not much more irrational than </w:t>
      </w:r>
      <w:proofErr w:type="spellStart"/>
      <w:r w:rsidRPr="00660A2C">
        <w:rPr>
          <w:rFonts w:ascii="Calibri" w:eastAsia="SimSun" w:hAnsi="Calibri" w:cs="Arial"/>
          <w:sz w:val="24"/>
          <w:szCs w:val="24"/>
          <w:lang w:eastAsia="en-GB"/>
        </w:rPr>
        <w:t>Dr.</w:t>
      </w:r>
      <w:proofErr w:type="spellEnd"/>
      <w:r w:rsidRPr="00660A2C">
        <w:rPr>
          <w:rFonts w:ascii="Calibri" w:eastAsia="SimSun" w:hAnsi="Calibri" w:cs="Arial"/>
          <w:sz w:val="24"/>
          <w:szCs w:val="24"/>
          <w:lang w:eastAsia="en-GB"/>
        </w:rPr>
        <w:t xml:space="preserve"> Priestley</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 He concluded that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I shall never be a Disciple of Priestley. He is as absurd, inconsistent, credulous and </w:t>
      </w:r>
      <w:r>
        <w:rPr>
          <w:rFonts w:ascii="Calibri" w:eastAsia="SimSun" w:hAnsi="Calibri" w:cs="Arial"/>
          <w:sz w:val="24"/>
          <w:szCs w:val="24"/>
          <w:lang w:eastAsia="en-GB"/>
        </w:rPr>
        <w:t>incomprehensible as Athanasius</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w:t>
      </w:r>
      <w:r w:rsidRPr="00660A2C">
        <w:rPr>
          <w:rFonts w:ascii="Calibri" w:eastAsia="SimSun" w:hAnsi="Calibri" w:cs="Arial"/>
          <w:sz w:val="20"/>
          <w:szCs w:val="20"/>
          <w:vertAlign w:val="superscript"/>
          <w:lang w:eastAsia="en-GB"/>
        </w:rPr>
        <w:footnoteReference w:id="50"/>
      </w:r>
      <w:r w:rsidRPr="00660A2C">
        <w:rPr>
          <w:rFonts w:ascii="Calibri" w:eastAsia="SimSun" w:hAnsi="Calibri" w:cs="Arial"/>
          <w:sz w:val="24"/>
          <w:szCs w:val="24"/>
          <w:lang w:eastAsia="en-GB"/>
        </w:rPr>
        <w:t xml:space="preserve">  In Adams</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 later version quoted above, the disparity between Priestley</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s capacities for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enthusiasm</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 and his  mechanical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reasoning</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 is resolved a little by  Adams securing from Priestley the admission– on which Adams withholds comment but would surely have regarded as only slightly less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evidently cracked</w:t>
      </w:r>
      <w:r w:rsidR="000A2B9A">
        <w:rPr>
          <w:rFonts w:ascii="Calibri" w:eastAsia="SimSun" w:hAnsi="Calibri" w:cs="Arial"/>
          <w:sz w:val="24"/>
          <w:szCs w:val="24"/>
          <w:lang w:eastAsia="en-GB"/>
        </w:rPr>
        <w:t>”</w:t>
      </w:r>
      <w:r w:rsidR="00C819CD">
        <w:rPr>
          <w:rFonts w:ascii="Calibri" w:eastAsia="SimSun" w:hAnsi="Calibri" w:cs="Arial"/>
          <w:sz w:val="24"/>
          <w:szCs w:val="24"/>
          <w:lang w:eastAsia="en-GB"/>
        </w:rPr>
        <w:t xml:space="preserve"> </w:t>
      </w:r>
      <w:r w:rsidR="00C819CD" w:rsidRPr="00C819CD">
        <w:rPr>
          <w:rFonts w:ascii="Calibri" w:eastAsia="SimSun" w:hAnsi="Calibri" w:cs="Arial"/>
          <w:sz w:val="24"/>
          <w:szCs w:val="24"/>
          <w:lang w:eastAsia="en-GB"/>
        </w:rPr>
        <w:t xml:space="preserve">– </w:t>
      </w:r>
      <w:r w:rsidRPr="00660A2C">
        <w:rPr>
          <w:rFonts w:ascii="Calibri" w:eastAsia="SimSun" w:hAnsi="Calibri" w:cs="Arial"/>
          <w:sz w:val="24"/>
          <w:szCs w:val="24"/>
          <w:lang w:eastAsia="en-GB"/>
        </w:rPr>
        <w:t xml:space="preserve"> that he wouldn</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t kill kings but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would shut them up like the man in the iron mask, feed them well, give them as much finery as they </w:t>
      </w:r>
      <w:proofErr w:type="spellStart"/>
      <w:r w:rsidRPr="00660A2C">
        <w:rPr>
          <w:rFonts w:ascii="Calibri" w:eastAsia="SimSun" w:hAnsi="Calibri" w:cs="Arial"/>
          <w:sz w:val="24"/>
          <w:szCs w:val="24"/>
          <w:lang w:eastAsia="en-GB"/>
        </w:rPr>
        <w:t>pleas</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d</w:t>
      </w:r>
      <w:proofErr w:type="spellEnd"/>
      <w:r w:rsidRPr="00660A2C">
        <w:rPr>
          <w:rFonts w:ascii="Calibri" w:eastAsia="SimSun" w:hAnsi="Calibri" w:cs="Arial"/>
          <w:sz w:val="24"/>
          <w:szCs w:val="24"/>
          <w:lang w:eastAsia="en-GB"/>
        </w:rPr>
        <w:t xml:space="preserve"> until they could be converted to right reason and common sense</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w:t>
      </w:r>
      <w:r w:rsidRPr="00660A2C">
        <w:rPr>
          <w:rFonts w:ascii="Calibri" w:eastAsia="SimSun" w:hAnsi="Calibri" w:cs="Arial"/>
          <w:sz w:val="20"/>
          <w:szCs w:val="20"/>
          <w:vertAlign w:val="superscript"/>
          <w:lang w:eastAsia="en-GB"/>
        </w:rPr>
        <w:footnoteReference w:id="51"/>
      </w:r>
      <w:r w:rsidRPr="00660A2C">
        <w:rPr>
          <w:rFonts w:ascii="Calibri" w:eastAsia="SimSun" w:hAnsi="Calibri" w:cs="Arial"/>
          <w:sz w:val="20"/>
          <w:szCs w:val="20"/>
          <w:lang w:eastAsia="en-GB"/>
        </w:rPr>
        <w:t xml:space="preserve">  </w:t>
      </w:r>
    </w:p>
    <w:p w:rsidR="0008685E" w:rsidRDefault="0008685E" w:rsidP="00315766">
      <w:pPr>
        <w:spacing w:after="120" w:line="480" w:lineRule="auto"/>
        <w:ind w:firstLine="540"/>
        <w:rPr>
          <w:rFonts w:ascii="Calibri" w:eastAsia="SimSun" w:hAnsi="Calibri" w:cs="Arial"/>
          <w:sz w:val="24"/>
          <w:szCs w:val="24"/>
          <w:lang w:eastAsia="en-GB"/>
        </w:rPr>
      </w:pPr>
      <w:r>
        <w:rPr>
          <w:rFonts w:ascii="Calibri" w:eastAsia="SimSun" w:hAnsi="Calibri" w:cs="Arial"/>
          <w:sz w:val="24"/>
          <w:szCs w:val="24"/>
          <w:lang w:eastAsia="en-GB"/>
        </w:rPr>
        <w:t>E</w:t>
      </w:r>
      <w:r w:rsidRPr="00660A2C">
        <w:rPr>
          <w:rFonts w:ascii="Calibri" w:eastAsia="SimSun" w:hAnsi="Calibri" w:cs="Arial"/>
          <w:sz w:val="24"/>
          <w:szCs w:val="24"/>
          <w:lang w:eastAsia="en-GB"/>
        </w:rPr>
        <w:t xml:space="preserve">xtracts from Priestley’s 1794 fast sermon </w:t>
      </w:r>
      <w:r w:rsidRPr="009847AD">
        <w:rPr>
          <w:rFonts w:ascii="Calibri" w:eastAsia="SimSun" w:hAnsi="Calibri" w:cs="Arial"/>
          <w:sz w:val="24"/>
          <w:szCs w:val="24"/>
          <w:lang w:eastAsia="en-GB"/>
        </w:rPr>
        <w:t>had</w:t>
      </w:r>
      <w:r>
        <w:rPr>
          <w:rFonts w:ascii="Calibri" w:eastAsia="SimSun" w:hAnsi="Calibri" w:cs="Arial"/>
          <w:i/>
          <w:iCs/>
          <w:sz w:val="24"/>
          <w:szCs w:val="24"/>
          <w:lang w:eastAsia="en-GB"/>
        </w:rPr>
        <w:t xml:space="preserve"> </w:t>
      </w:r>
      <w:r w:rsidRPr="009847AD">
        <w:rPr>
          <w:rFonts w:ascii="Calibri" w:eastAsia="SimSun" w:hAnsi="Calibri" w:cs="Arial"/>
          <w:sz w:val="24"/>
          <w:szCs w:val="24"/>
          <w:lang w:eastAsia="en-GB"/>
        </w:rPr>
        <w:t>been</w:t>
      </w:r>
      <w:r>
        <w:rPr>
          <w:rFonts w:ascii="Calibri" w:eastAsia="SimSun" w:hAnsi="Calibri" w:cs="Arial"/>
          <w:i/>
          <w:iCs/>
          <w:sz w:val="24"/>
          <w:szCs w:val="24"/>
          <w:lang w:eastAsia="en-GB"/>
        </w:rPr>
        <w:t xml:space="preserve"> </w:t>
      </w:r>
      <w:r w:rsidRPr="00660A2C">
        <w:rPr>
          <w:rFonts w:ascii="Calibri" w:eastAsia="SimSun" w:hAnsi="Calibri" w:cs="Arial"/>
          <w:sz w:val="24"/>
          <w:szCs w:val="24"/>
          <w:lang w:eastAsia="en-GB"/>
        </w:rPr>
        <w:t xml:space="preserve">included in an anthology, </w:t>
      </w:r>
      <w:r w:rsidRPr="00660A2C">
        <w:rPr>
          <w:rFonts w:ascii="Calibri" w:eastAsia="SimSun" w:hAnsi="Calibri" w:cs="Arial"/>
          <w:i/>
          <w:iCs/>
          <w:sz w:val="24"/>
          <w:szCs w:val="24"/>
          <w:lang w:eastAsia="en-GB"/>
        </w:rPr>
        <w:t>Wonderful Prophecies</w:t>
      </w:r>
      <w:r w:rsidRPr="00660A2C">
        <w:rPr>
          <w:rFonts w:ascii="Calibri" w:eastAsia="SimSun" w:hAnsi="Calibri" w:cs="Arial"/>
          <w:sz w:val="24"/>
          <w:szCs w:val="24"/>
          <w:lang w:eastAsia="en-GB"/>
        </w:rPr>
        <w:t xml:space="preserve"> published the next year by Richard Brothers, the former naval officer who had become a cause célèbre when, having proclaimed himself the </w:t>
      </w:r>
      <w:r w:rsidR="00315766">
        <w:rPr>
          <w:rFonts w:ascii="Calibri" w:eastAsia="SimSun" w:hAnsi="Calibri" w:cs="Arial"/>
          <w:sz w:val="24"/>
          <w:szCs w:val="24"/>
          <w:lang w:eastAsia="en-GB"/>
        </w:rPr>
        <w:t>“</w:t>
      </w:r>
      <w:r w:rsidRPr="00660A2C">
        <w:rPr>
          <w:rFonts w:ascii="Calibri" w:eastAsia="SimSun" w:hAnsi="Calibri" w:cs="Arial"/>
          <w:sz w:val="24"/>
          <w:szCs w:val="24"/>
          <w:lang w:eastAsia="en-GB"/>
        </w:rPr>
        <w:t>Prince of the Hebrews</w:t>
      </w:r>
      <w:r w:rsidR="00315766">
        <w:rPr>
          <w:rFonts w:ascii="Calibri" w:eastAsia="SimSun" w:hAnsi="Calibri" w:cs="Arial"/>
          <w:sz w:val="24"/>
          <w:szCs w:val="24"/>
          <w:lang w:eastAsia="en-GB"/>
        </w:rPr>
        <w:t>”</w:t>
      </w:r>
      <w:r w:rsidRPr="00660A2C">
        <w:rPr>
          <w:rFonts w:ascii="Calibri" w:eastAsia="SimSun" w:hAnsi="Calibri" w:cs="Arial"/>
          <w:sz w:val="24"/>
          <w:szCs w:val="24"/>
          <w:lang w:eastAsia="en-GB"/>
        </w:rPr>
        <w:t xml:space="preserve">, he prophesied </w:t>
      </w:r>
      <w:r w:rsidR="00315766">
        <w:rPr>
          <w:rFonts w:ascii="Calibri" w:eastAsia="SimSun" w:hAnsi="Calibri" w:cs="Arial"/>
          <w:sz w:val="24"/>
          <w:szCs w:val="24"/>
          <w:lang w:eastAsia="en-GB"/>
        </w:rPr>
        <w:t>“</w:t>
      </w:r>
      <w:r w:rsidRPr="00660A2C">
        <w:rPr>
          <w:rFonts w:ascii="Calibri" w:eastAsia="SimSun" w:hAnsi="Calibri" w:cs="Arial"/>
          <w:sz w:val="24"/>
          <w:szCs w:val="24"/>
          <w:lang w:eastAsia="en-GB"/>
        </w:rPr>
        <w:t>destruction</w:t>
      </w:r>
      <w:r w:rsidR="00315766">
        <w:rPr>
          <w:rFonts w:ascii="Calibri" w:eastAsia="SimSun" w:hAnsi="Calibri" w:cs="Arial"/>
          <w:sz w:val="24"/>
          <w:szCs w:val="24"/>
          <w:lang w:eastAsia="en-GB"/>
        </w:rPr>
        <w:t>”</w:t>
      </w:r>
      <w:r w:rsidRPr="00660A2C">
        <w:rPr>
          <w:rFonts w:ascii="Calibri" w:eastAsia="SimSun" w:hAnsi="Calibri" w:cs="Arial"/>
          <w:sz w:val="24"/>
          <w:szCs w:val="24"/>
          <w:lang w:eastAsia="en-GB"/>
        </w:rPr>
        <w:t xml:space="preserve"> for London and apparently predicted the overthrow of the British monarchy by the revolutionary armies of France.</w:t>
      </w:r>
      <w:r w:rsidRPr="00660A2C">
        <w:rPr>
          <w:rFonts w:ascii="Calibri" w:eastAsia="SimSun" w:hAnsi="Calibri" w:cs="Arial"/>
          <w:sz w:val="20"/>
          <w:szCs w:val="20"/>
          <w:vertAlign w:val="superscript"/>
          <w:lang w:eastAsia="en-GB"/>
        </w:rPr>
        <w:footnoteReference w:id="52"/>
      </w:r>
      <w:r w:rsidRPr="00660A2C">
        <w:rPr>
          <w:rFonts w:ascii="Calibri" w:eastAsia="SimSun" w:hAnsi="Calibri" w:cs="Arial"/>
          <w:sz w:val="24"/>
          <w:szCs w:val="24"/>
          <w:lang w:eastAsia="en-GB"/>
        </w:rPr>
        <w:t xml:space="preserve">   Brothers was arrested and examined by the Privy Council to see if there was a case of treason to answer.  They found </w:t>
      </w:r>
      <w:r>
        <w:rPr>
          <w:rFonts w:ascii="Calibri" w:eastAsia="SimSun" w:hAnsi="Calibri" w:cs="Arial"/>
          <w:sz w:val="24"/>
          <w:szCs w:val="24"/>
          <w:lang w:eastAsia="en-GB"/>
        </w:rPr>
        <w:t xml:space="preserve">it not to be the case </w:t>
      </w:r>
      <w:r w:rsidRPr="00660A2C">
        <w:rPr>
          <w:rFonts w:ascii="Calibri" w:eastAsia="SimSun" w:hAnsi="Calibri" w:cs="Arial"/>
          <w:sz w:val="24"/>
          <w:szCs w:val="24"/>
          <w:lang w:eastAsia="en-GB"/>
        </w:rPr>
        <w:t>that Brothers</w:t>
      </w:r>
      <w:r>
        <w:rPr>
          <w:rFonts w:ascii="Calibri" w:eastAsia="SimSun" w:hAnsi="Calibri" w:cs="Arial"/>
          <w:sz w:val="24"/>
          <w:szCs w:val="24"/>
          <w:lang w:eastAsia="en-GB"/>
        </w:rPr>
        <w:t>’</w:t>
      </w:r>
      <w:r w:rsidRPr="00660A2C">
        <w:rPr>
          <w:rFonts w:ascii="Calibri" w:eastAsia="SimSun" w:hAnsi="Calibri" w:cs="Arial"/>
          <w:sz w:val="24"/>
          <w:szCs w:val="24"/>
          <w:lang w:eastAsia="en-GB"/>
        </w:rPr>
        <w:t xml:space="preserve"> proph</w:t>
      </w:r>
      <w:r>
        <w:rPr>
          <w:rFonts w:ascii="Calibri" w:eastAsia="SimSun" w:hAnsi="Calibri" w:cs="Arial"/>
          <w:sz w:val="24"/>
          <w:szCs w:val="24"/>
          <w:lang w:eastAsia="en-GB"/>
        </w:rPr>
        <w:t>ecies of</w:t>
      </w:r>
      <w:r w:rsidRPr="00660A2C">
        <w:rPr>
          <w:rFonts w:ascii="Calibri" w:eastAsia="SimSun" w:hAnsi="Calibri" w:cs="Arial"/>
          <w:sz w:val="24"/>
          <w:szCs w:val="24"/>
          <w:lang w:eastAsia="en-GB"/>
        </w:rPr>
        <w:t xml:space="preserve"> the overthrow of the monarch or the defeat of his armies reveal</w:t>
      </w:r>
      <w:r>
        <w:rPr>
          <w:rFonts w:ascii="Calibri" w:eastAsia="SimSun" w:hAnsi="Calibri" w:cs="Arial"/>
          <w:sz w:val="24"/>
          <w:szCs w:val="24"/>
          <w:lang w:eastAsia="en-GB"/>
        </w:rPr>
        <w:t>ed</w:t>
      </w:r>
      <w:r w:rsidRPr="00660A2C">
        <w:rPr>
          <w:rFonts w:ascii="Calibri" w:eastAsia="SimSun" w:hAnsi="Calibri" w:cs="Arial"/>
          <w:sz w:val="24"/>
          <w:szCs w:val="24"/>
          <w:lang w:eastAsia="en-GB"/>
        </w:rPr>
        <w:t xml:space="preserve"> republican or Revolutionary sympathies and </w:t>
      </w:r>
      <w:r>
        <w:rPr>
          <w:rFonts w:ascii="Calibri" w:eastAsia="SimSun" w:hAnsi="Calibri" w:cs="Arial"/>
          <w:sz w:val="24"/>
          <w:szCs w:val="24"/>
          <w:lang w:eastAsia="en-GB"/>
        </w:rPr>
        <w:t xml:space="preserve">instead </w:t>
      </w:r>
      <w:r w:rsidRPr="00660A2C">
        <w:rPr>
          <w:rFonts w:ascii="Calibri" w:eastAsia="SimSun" w:hAnsi="Calibri" w:cs="Arial"/>
          <w:sz w:val="24"/>
          <w:szCs w:val="24"/>
          <w:lang w:eastAsia="en-GB"/>
        </w:rPr>
        <w:t>he was declared insane and confined to a private asylum</w:t>
      </w:r>
      <w:r>
        <w:rPr>
          <w:rFonts w:ascii="Calibri" w:eastAsia="SimSun" w:hAnsi="Calibri" w:cs="Arial"/>
          <w:sz w:val="24"/>
          <w:szCs w:val="24"/>
          <w:lang w:eastAsia="en-GB"/>
        </w:rPr>
        <w:t>. O</w:t>
      </w:r>
      <w:r w:rsidRPr="00660A2C">
        <w:rPr>
          <w:rFonts w:ascii="Calibri" w:eastAsia="SimSun" w:hAnsi="Calibri" w:cs="Arial"/>
          <w:sz w:val="24"/>
          <w:szCs w:val="24"/>
          <w:lang w:eastAsia="en-GB"/>
        </w:rPr>
        <w:t>ther prophecies</w:t>
      </w:r>
      <w:r>
        <w:rPr>
          <w:rFonts w:ascii="Calibri" w:eastAsia="SimSun" w:hAnsi="Calibri" w:cs="Arial"/>
          <w:sz w:val="24"/>
          <w:szCs w:val="24"/>
          <w:lang w:eastAsia="en-GB"/>
        </w:rPr>
        <w:t>, however,</w:t>
      </w:r>
      <w:r w:rsidRPr="00660A2C">
        <w:rPr>
          <w:rFonts w:ascii="Calibri" w:eastAsia="SimSun" w:hAnsi="Calibri" w:cs="Arial"/>
          <w:sz w:val="24"/>
          <w:szCs w:val="24"/>
          <w:lang w:eastAsia="en-GB"/>
        </w:rPr>
        <w:t xml:space="preserve"> might be construed as seditious.  For Brothers, the imminent restoration of the Jews to their </w:t>
      </w:r>
      <w:r w:rsidR="00315766">
        <w:rPr>
          <w:rFonts w:ascii="Calibri" w:eastAsia="SimSun" w:hAnsi="Calibri" w:cs="Arial"/>
          <w:sz w:val="24"/>
          <w:szCs w:val="24"/>
          <w:lang w:eastAsia="en-GB"/>
        </w:rPr>
        <w:t>“</w:t>
      </w:r>
      <w:r w:rsidRPr="00660A2C">
        <w:rPr>
          <w:rFonts w:ascii="Calibri" w:eastAsia="SimSun" w:hAnsi="Calibri" w:cs="Arial"/>
          <w:sz w:val="24"/>
          <w:szCs w:val="24"/>
          <w:lang w:eastAsia="en-GB"/>
        </w:rPr>
        <w:t>Promised Land</w:t>
      </w:r>
      <w:r w:rsidR="00315766">
        <w:rPr>
          <w:rFonts w:ascii="Calibri" w:eastAsia="SimSun" w:hAnsi="Calibri" w:cs="Arial"/>
          <w:sz w:val="24"/>
          <w:szCs w:val="24"/>
          <w:lang w:eastAsia="en-GB"/>
        </w:rPr>
        <w:t>”</w:t>
      </w:r>
      <w:r w:rsidRPr="00660A2C">
        <w:rPr>
          <w:rFonts w:ascii="Calibri" w:eastAsia="SimSun" w:hAnsi="Calibri" w:cs="Arial"/>
          <w:sz w:val="24"/>
          <w:szCs w:val="24"/>
          <w:lang w:eastAsia="en-GB"/>
        </w:rPr>
        <w:t xml:space="preserve"> would be the prelude to a renewed Jerusalem and the Second Coming of Christ; although Priestley too saw that this event would portend the millennium, he tends to be seen as belonging to a rational fringe.  </w:t>
      </w:r>
    </w:p>
    <w:p w:rsidR="0008685E" w:rsidRPr="00660A2C" w:rsidRDefault="0008685E" w:rsidP="00B22514">
      <w:pPr>
        <w:spacing w:after="120" w:line="480" w:lineRule="auto"/>
        <w:ind w:firstLine="540"/>
        <w:rPr>
          <w:rFonts w:ascii="Calibri" w:eastAsia="SimSun" w:hAnsi="Calibri" w:cs="Arial"/>
          <w:sz w:val="24"/>
          <w:szCs w:val="24"/>
          <w:lang w:eastAsia="en-GB"/>
        </w:rPr>
      </w:pPr>
      <w:r w:rsidRPr="00660A2C">
        <w:rPr>
          <w:rFonts w:ascii="Calibri" w:eastAsia="SimSun" w:hAnsi="Calibri" w:cs="Arial"/>
          <w:sz w:val="24"/>
          <w:szCs w:val="24"/>
          <w:lang w:eastAsia="en-GB"/>
        </w:rPr>
        <w:t xml:space="preserve">The respectability of Priestley’s kind of prophecy has a class basis, at least in part. Even Brothers’ patron and supporter, the MP Nathaniel </w:t>
      </w:r>
      <w:proofErr w:type="spellStart"/>
      <w:r w:rsidRPr="00660A2C">
        <w:rPr>
          <w:rFonts w:ascii="Calibri" w:eastAsia="SimSun" w:hAnsi="Calibri" w:cs="Arial"/>
          <w:sz w:val="24"/>
          <w:szCs w:val="24"/>
          <w:lang w:eastAsia="en-GB"/>
        </w:rPr>
        <w:t>Brassey</w:t>
      </w:r>
      <w:proofErr w:type="spellEnd"/>
      <w:r w:rsidRPr="00660A2C">
        <w:rPr>
          <w:rFonts w:ascii="Calibri" w:eastAsia="SimSun" w:hAnsi="Calibri" w:cs="Arial"/>
          <w:sz w:val="24"/>
          <w:szCs w:val="24"/>
          <w:lang w:eastAsia="en-GB"/>
        </w:rPr>
        <w:t xml:space="preserve"> </w:t>
      </w:r>
      <w:proofErr w:type="spellStart"/>
      <w:r w:rsidRPr="00660A2C">
        <w:rPr>
          <w:rFonts w:ascii="Calibri" w:eastAsia="SimSun" w:hAnsi="Calibri" w:cs="Arial"/>
          <w:sz w:val="24"/>
          <w:szCs w:val="24"/>
          <w:lang w:eastAsia="en-GB"/>
        </w:rPr>
        <w:t>Halhed</w:t>
      </w:r>
      <w:proofErr w:type="spellEnd"/>
      <w:r>
        <w:rPr>
          <w:rFonts w:ascii="Calibri" w:eastAsia="SimSun" w:hAnsi="Calibri" w:cs="Arial"/>
          <w:sz w:val="24"/>
          <w:szCs w:val="24"/>
          <w:lang w:eastAsia="en-GB"/>
        </w:rPr>
        <w:t>,</w:t>
      </w:r>
      <w:r w:rsidRPr="00660A2C">
        <w:rPr>
          <w:rFonts w:ascii="Calibri" w:eastAsia="SimSun" w:hAnsi="Calibri" w:cs="Arial"/>
          <w:sz w:val="24"/>
          <w:szCs w:val="24"/>
          <w:lang w:eastAsia="en-GB"/>
        </w:rPr>
        <w:t xml:space="preserve"> called attention to Brothers’ want of grammatical correctness and elegance, </w:t>
      </w:r>
      <w:r w:rsidR="00315766">
        <w:rPr>
          <w:rFonts w:ascii="Calibri" w:eastAsia="SimSun" w:hAnsi="Calibri" w:cs="Arial"/>
          <w:sz w:val="24"/>
          <w:szCs w:val="24"/>
          <w:lang w:eastAsia="en-GB"/>
        </w:rPr>
        <w:t>“i</w:t>
      </w:r>
      <w:r w:rsidRPr="00660A2C">
        <w:rPr>
          <w:rFonts w:ascii="Calibri" w:eastAsia="SimSun" w:hAnsi="Calibri" w:cs="Arial"/>
          <w:sz w:val="24"/>
          <w:szCs w:val="24"/>
          <w:lang w:eastAsia="en-GB"/>
        </w:rPr>
        <w:t>n the style of a peasant exalting himself above the mightiest of princes</w:t>
      </w:r>
      <w:r w:rsidR="00315766">
        <w:rPr>
          <w:rFonts w:ascii="Calibri" w:eastAsia="SimSun" w:hAnsi="Calibri" w:cs="Arial"/>
          <w:sz w:val="24"/>
          <w:szCs w:val="24"/>
          <w:lang w:eastAsia="en-GB"/>
        </w:rPr>
        <w:t>”</w:t>
      </w:r>
      <w:r w:rsidRPr="00660A2C">
        <w:rPr>
          <w:rFonts w:ascii="Calibri" w:eastAsia="SimSun" w:hAnsi="Calibri" w:cs="Arial"/>
          <w:sz w:val="24"/>
          <w:szCs w:val="24"/>
          <w:lang w:eastAsia="en-GB"/>
        </w:rPr>
        <w:t xml:space="preserve">, so that the danger was, as a correspondent shocked by </w:t>
      </w:r>
      <w:proofErr w:type="spellStart"/>
      <w:r w:rsidRPr="00660A2C">
        <w:rPr>
          <w:rFonts w:ascii="Calibri" w:eastAsia="SimSun" w:hAnsi="Calibri" w:cs="Arial"/>
          <w:sz w:val="24"/>
          <w:szCs w:val="24"/>
          <w:lang w:eastAsia="en-GB"/>
        </w:rPr>
        <w:t>Halhed’s</w:t>
      </w:r>
      <w:proofErr w:type="spellEnd"/>
      <w:r w:rsidRPr="00660A2C">
        <w:rPr>
          <w:rFonts w:ascii="Calibri" w:eastAsia="SimSun" w:hAnsi="Calibri" w:cs="Arial"/>
          <w:sz w:val="24"/>
          <w:szCs w:val="24"/>
          <w:lang w:eastAsia="en-GB"/>
        </w:rPr>
        <w:t xml:space="preserve"> decl</w:t>
      </w:r>
      <w:r>
        <w:rPr>
          <w:rFonts w:ascii="Calibri" w:eastAsia="SimSun" w:hAnsi="Calibri" w:cs="Arial"/>
          <w:sz w:val="24"/>
          <w:szCs w:val="24"/>
          <w:lang w:eastAsia="en-GB"/>
        </w:rPr>
        <w:t>aration to the House of Commons</w:t>
      </w:r>
      <w:r w:rsidRPr="00660A2C">
        <w:rPr>
          <w:rFonts w:ascii="Calibri" w:eastAsia="SimSun" w:hAnsi="Calibri" w:cs="Arial"/>
          <w:sz w:val="24"/>
          <w:szCs w:val="24"/>
          <w:lang w:eastAsia="en-GB"/>
        </w:rPr>
        <w:t xml:space="preserve"> wrote to the </w:t>
      </w:r>
      <w:r w:rsidRPr="00660A2C">
        <w:rPr>
          <w:rFonts w:ascii="Calibri" w:eastAsia="SimSun" w:hAnsi="Calibri" w:cs="Arial"/>
          <w:i/>
          <w:iCs/>
          <w:sz w:val="24"/>
          <w:szCs w:val="24"/>
          <w:lang w:eastAsia="en-GB"/>
        </w:rPr>
        <w:t>Gentleman’s Magazine</w:t>
      </w:r>
      <w:r w:rsidRPr="00660A2C">
        <w:rPr>
          <w:rFonts w:ascii="Calibri" w:eastAsia="SimSun" w:hAnsi="Calibri" w:cs="Arial"/>
          <w:sz w:val="24"/>
          <w:szCs w:val="24"/>
          <w:lang w:eastAsia="en-GB"/>
        </w:rPr>
        <w:t xml:space="preserve">, that his prophecies were </w:t>
      </w:r>
      <w:r w:rsidR="00315766">
        <w:rPr>
          <w:rFonts w:ascii="Calibri" w:eastAsia="SimSun" w:hAnsi="Calibri" w:cs="Arial"/>
          <w:sz w:val="24"/>
          <w:szCs w:val="24"/>
          <w:lang w:eastAsia="en-GB"/>
        </w:rPr>
        <w:t>“</w:t>
      </w:r>
      <w:r w:rsidRPr="00660A2C">
        <w:rPr>
          <w:rFonts w:ascii="Calibri" w:eastAsia="SimSun" w:hAnsi="Calibri" w:cs="Arial"/>
          <w:sz w:val="24"/>
          <w:szCs w:val="24"/>
          <w:lang w:eastAsia="en-GB"/>
        </w:rPr>
        <w:t>written for the understanding, and adapted to the purchase of the lower class, the bulk of the people, whose minds in these days do not need disquiet</w:t>
      </w:r>
      <w:r w:rsidR="00315766">
        <w:rPr>
          <w:rFonts w:ascii="Calibri" w:eastAsia="SimSun" w:hAnsi="Calibri" w:cs="Arial"/>
          <w:sz w:val="24"/>
          <w:szCs w:val="24"/>
          <w:lang w:eastAsia="en-GB"/>
        </w:rPr>
        <w:t>”</w:t>
      </w:r>
      <w:r w:rsidRPr="00660A2C">
        <w:rPr>
          <w:rFonts w:ascii="Calibri" w:eastAsia="SimSun" w:hAnsi="Calibri" w:cs="Arial"/>
          <w:sz w:val="24"/>
          <w:szCs w:val="24"/>
          <w:lang w:eastAsia="en-GB"/>
        </w:rPr>
        <w:t>.</w:t>
      </w:r>
      <w:r w:rsidRPr="00660A2C">
        <w:rPr>
          <w:rFonts w:ascii="Calibri" w:eastAsia="SimSun" w:hAnsi="Calibri" w:cs="Arial"/>
          <w:sz w:val="20"/>
          <w:szCs w:val="20"/>
          <w:vertAlign w:val="superscript"/>
          <w:lang w:eastAsia="en-GB"/>
        </w:rPr>
        <w:footnoteReference w:id="53"/>
      </w:r>
      <w:r w:rsidRPr="00660A2C">
        <w:rPr>
          <w:rFonts w:ascii="Calibri" w:eastAsia="SimSun" w:hAnsi="Calibri" w:cs="Arial"/>
          <w:sz w:val="20"/>
          <w:szCs w:val="20"/>
          <w:lang w:eastAsia="en-GB"/>
        </w:rPr>
        <w:t xml:space="preserve"> </w:t>
      </w:r>
      <w:r w:rsidRPr="00660A2C">
        <w:rPr>
          <w:rFonts w:ascii="Calibri" w:eastAsia="SimSun" w:hAnsi="Calibri" w:cs="Arial"/>
          <w:sz w:val="24"/>
          <w:szCs w:val="24"/>
          <w:lang w:eastAsia="en-GB"/>
        </w:rPr>
        <w:t xml:space="preserve"> Brothers claimed his revelations were direct, in the form of visions, rather than being derived from study of the scriptures as was the case with Priestley, who thought Brothers </w:t>
      </w:r>
      <w:r>
        <w:rPr>
          <w:rFonts w:ascii="Calibri" w:eastAsia="SimSun" w:hAnsi="Calibri" w:cs="Arial"/>
          <w:sz w:val="24"/>
          <w:szCs w:val="24"/>
          <w:lang w:eastAsia="en-GB"/>
        </w:rPr>
        <w:t>no more than</w:t>
      </w:r>
      <w:r w:rsidRPr="00660A2C">
        <w:rPr>
          <w:rFonts w:ascii="Calibri" w:eastAsia="SimSun" w:hAnsi="Calibri" w:cs="Arial"/>
          <w:sz w:val="24"/>
          <w:szCs w:val="24"/>
          <w:lang w:eastAsia="en-GB"/>
        </w:rPr>
        <w:t xml:space="preserve"> a </w:t>
      </w:r>
      <w:r w:rsidR="00B22514">
        <w:rPr>
          <w:rFonts w:ascii="Calibri" w:eastAsia="SimSun" w:hAnsi="Calibri" w:cs="Arial"/>
          <w:sz w:val="24"/>
          <w:szCs w:val="24"/>
          <w:lang w:eastAsia="en-GB"/>
        </w:rPr>
        <w:t>“</w:t>
      </w:r>
      <w:r w:rsidRPr="00660A2C">
        <w:rPr>
          <w:rFonts w:ascii="Calibri" w:eastAsia="SimSun" w:hAnsi="Calibri" w:cs="Arial"/>
          <w:sz w:val="24"/>
          <w:szCs w:val="24"/>
          <w:lang w:eastAsia="en-GB"/>
        </w:rPr>
        <w:t>curiosity</w:t>
      </w:r>
      <w:r w:rsidR="00B22514">
        <w:rPr>
          <w:rFonts w:ascii="Calibri" w:eastAsia="SimSun" w:hAnsi="Calibri" w:cs="Arial"/>
          <w:sz w:val="24"/>
          <w:szCs w:val="24"/>
          <w:lang w:eastAsia="en-GB"/>
        </w:rPr>
        <w:t>”</w:t>
      </w:r>
      <w:r w:rsidRPr="00660A2C">
        <w:rPr>
          <w:rFonts w:ascii="Calibri" w:eastAsia="SimSun" w:hAnsi="Calibri" w:cs="Arial"/>
          <w:sz w:val="24"/>
          <w:szCs w:val="24"/>
          <w:lang w:eastAsia="en-GB"/>
        </w:rPr>
        <w:t xml:space="preserve"> (</w:t>
      </w:r>
      <w:r w:rsidRPr="00660A2C">
        <w:rPr>
          <w:rFonts w:ascii="Calibri" w:eastAsia="SimSun" w:hAnsi="Calibri" w:cs="Arial"/>
          <w:i/>
          <w:iCs/>
          <w:sz w:val="24"/>
          <w:szCs w:val="24"/>
          <w:lang w:eastAsia="en-GB"/>
        </w:rPr>
        <w:t>Works</w:t>
      </w:r>
      <w:r w:rsidRPr="00660A2C">
        <w:rPr>
          <w:rFonts w:ascii="Calibri" w:eastAsia="SimSun" w:hAnsi="Calibri" w:cs="Arial"/>
          <w:sz w:val="24"/>
          <w:szCs w:val="24"/>
          <w:lang w:eastAsia="en-GB"/>
        </w:rPr>
        <w:t xml:space="preserve">, 1.ii. 312). </w:t>
      </w:r>
    </w:p>
    <w:p w:rsidR="0008685E" w:rsidRPr="00660A2C" w:rsidRDefault="00B22514" w:rsidP="00B22514">
      <w:pPr>
        <w:spacing w:after="120" w:line="480" w:lineRule="auto"/>
        <w:ind w:firstLine="576"/>
        <w:rPr>
          <w:rFonts w:ascii="Calibri" w:eastAsia="SimSun" w:hAnsi="Calibri" w:cs="Arial"/>
          <w:sz w:val="24"/>
          <w:szCs w:val="24"/>
          <w:lang w:eastAsia="en-GB"/>
        </w:rPr>
      </w:pPr>
      <w:r>
        <w:rPr>
          <w:rFonts w:ascii="Calibri" w:eastAsia="SimSun" w:hAnsi="Calibri" w:cs="Arial"/>
          <w:sz w:val="24"/>
          <w:szCs w:val="24"/>
          <w:lang w:eastAsia="en-GB"/>
        </w:rPr>
        <w:t>“</w:t>
      </w:r>
      <w:r w:rsidR="0008685E" w:rsidRPr="00660A2C">
        <w:rPr>
          <w:rFonts w:ascii="Calibri" w:eastAsia="SimSun" w:hAnsi="Calibri" w:cs="Arial"/>
          <w:sz w:val="24"/>
          <w:szCs w:val="24"/>
          <w:lang w:eastAsia="en-GB"/>
        </w:rPr>
        <w:t>It is sometimes difficult</w:t>
      </w:r>
      <w:r>
        <w:rPr>
          <w:rFonts w:ascii="Calibri" w:eastAsia="SimSun" w:hAnsi="Calibri" w:cs="Arial"/>
          <w:sz w:val="24"/>
          <w:szCs w:val="24"/>
          <w:lang w:eastAsia="en-GB"/>
        </w:rPr>
        <w:t>”</w:t>
      </w:r>
      <w:r w:rsidR="0008685E" w:rsidRPr="00660A2C">
        <w:rPr>
          <w:rFonts w:ascii="Calibri" w:eastAsia="SimSun" w:hAnsi="Calibri" w:cs="Arial"/>
          <w:sz w:val="24"/>
          <w:szCs w:val="24"/>
          <w:lang w:eastAsia="en-GB"/>
        </w:rPr>
        <w:t xml:space="preserve">, Morton Paley observes, </w:t>
      </w:r>
      <w:r>
        <w:rPr>
          <w:rFonts w:ascii="Calibri" w:eastAsia="SimSun" w:hAnsi="Calibri" w:cs="Arial"/>
          <w:sz w:val="24"/>
          <w:szCs w:val="24"/>
          <w:lang w:eastAsia="en-GB"/>
        </w:rPr>
        <w:t>“</w:t>
      </w:r>
      <w:r w:rsidR="0008685E" w:rsidRPr="00660A2C">
        <w:rPr>
          <w:rFonts w:ascii="Calibri" w:eastAsia="SimSun" w:hAnsi="Calibri" w:cs="Arial"/>
          <w:sz w:val="24"/>
          <w:szCs w:val="24"/>
          <w:lang w:eastAsia="en-GB"/>
        </w:rPr>
        <w:t>to discriminate between the discourses of millenarianism and those of secular radicalism</w:t>
      </w:r>
      <w:r>
        <w:rPr>
          <w:rFonts w:ascii="Calibri" w:eastAsia="SimSun" w:hAnsi="Calibri" w:cs="Arial"/>
          <w:sz w:val="24"/>
          <w:szCs w:val="24"/>
          <w:lang w:eastAsia="en-GB"/>
        </w:rPr>
        <w:t>”</w:t>
      </w:r>
      <w:r w:rsidR="0008685E" w:rsidRPr="00660A2C">
        <w:rPr>
          <w:rFonts w:ascii="Calibri" w:eastAsia="SimSun" w:hAnsi="Calibri" w:cs="Arial"/>
          <w:sz w:val="24"/>
          <w:szCs w:val="24"/>
          <w:lang w:eastAsia="en-GB"/>
        </w:rPr>
        <w:t xml:space="preserve">; and John </w:t>
      </w:r>
      <w:proofErr w:type="spellStart"/>
      <w:r w:rsidR="0008685E" w:rsidRPr="00660A2C">
        <w:rPr>
          <w:rFonts w:ascii="Calibri" w:eastAsia="SimSun" w:hAnsi="Calibri" w:cs="Arial"/>
          <w:sz w:val="24"/>
          <w:szCs w:val="24"/>
          <w:lang w:eastAsia="en-GB"/>
        </w:rPr>
        <w:t>Barrell</w:t>
      </w:r>
      <w:proofErr w:type="spellEnd"/>
      <w:r w:rsidR="0008685E" w:rsidRPr="00660A2C">
        <w:rPr>
          <w:rFonts w:ascii="Calibri" w:eastAsia="SimSun" w:hAnsi="Calibri" w:cs="Arial"/>
          <w:sz w:val="24"/>
          <w:szCs w:val="24"/>
          <w:lang w:eastAsia="en-GB"/>
        </w:rPr>
        <w:t xml:space="preserve"> has shown the overlap between them, at least in the eyes of the authorities, who would determine in a given instance whether the conditions of publication or utterance made a piece seditious.</w:t>
      </w:r>
      <w:r w:rsidR="0008685E" w:rsidRPr="00660A2C">
        <w:rPr>
          <w:rFonts w:ascii="Calibri" w:eastAsia="SimSun" w:hAnsi="Calibri" w:cs="Arial"/>
          <w:sz w:val="20"/>
          <w:szCs w:val="20"/>
          <w:vertAlign w:val="superscript"/>
          <w:lang w:eastAsia="en-GB"/>
        </w:rPr>
        <w:footnoteReference w:id="54"/>
      </w:r>
      <w:r w:rsidR="0008685E" w:rsidRPr="00660A2C">
        <w:rPr>
          <w:rFonts w:ascii="Calibri" w:eastAsia="SimSun" w:hAnsi="Calibri" w:cs="Arial"/>
          <w:sz w:val="24"/>
          <w:szCs w:val="24"/>
          <w:lang w:eastAsia="en-GB"/>
        </w:rPr>
        <w:t xml:space="preserve">  For Brothers</w:t>
      </w:r>
      <w:r>
        <w:rPr>
          <w:rFonts w:ascii="Calibri" w:eastAsia="SimSun" w:hAnsi="Calibri" w:cs="Arial"/>
          <w:sz w:val="24"/>
          <w:szCs w:val="24"/>
          <w:lang w:eastAsia="en-GB"/>
        </w:rPr>
        <w:t>, the function of prophecy was “</w:t>
      </w:r>
      <w:r w:rsidR="0008685E" w:rsidRPr="00660A2C">
        <w:rPr>
          <w:rFonts w:ascii="Calibri" w:eastAsia="SimSun" w:hAnsi="Calibri" w:cs="Arial"/>
          <w:sz w:val="24"/>
          <w:szCs w:val="24"/>
          <w:lang w:val="en-US" w:eastAsia="en-GB"/>
        </w:rPr>
        <w:t>To warn the guilty, console the afflicted, and confirm the dubious, w</w:t>
      </w:r>
      <w:r>
        <w:rPr>
          <w:rFonts w:ascii="Calibri" w:eastAsia="SimSun" w:hAnsi="Calibri" w:cs="Arial"/>
          <w:sz w:val="24"/>
          <w:szCs w:val="24"/>
          <w:lang w:val="en-US" w:eastAsia="en-GB"/>
        </w:rPr>
        <w:t>ith prophetic views of futurity”</w:t>
      </w:r>
      <w:r w:rsidR="0008685E" w:rsidRPr="00660A2C">
        <w:rPr>
          <w:rFonts w:ascii="Calibri" w:eastAsia="SimSun" w:hAnsi="Calibri" w:cs="Arial"/>
          <w:sz w:val="24"/>
          <w:szCs w:val="24"/>
          <w:lang w:val="en-US" w:eastAsia="en-GB"/>
        </w:rPr>
        <w:t>.</w:t>
      </w:r>
      <w:r w:rsidR="0008685E" w:rsidRPr="00660A2C">
        <w:rPr>
          <w:rFonts w:ascii="Calibri" w:eastAsia="SimSun" w:hAnsi="Calibri" w:cs="Arial"/>
          <w:sz w:val="20"/>
          <w:szCs w:val="20"/>
          <w:vertAlign w:val="superscript"/>
          <w:lang w:val="en-US" w:eastAsia="en-GB"/>
        </w:rPr>
        <w:footnoteReference w:id="55"/>
      </w:r>
      <w:r w:rsidR="0008685E" w:rsidRPr="00660A2C">
        <w:rPr>
          <w:rFonts w:ascii="Calibri" w:eastAsia="SimSun" w:hAnsi="Calibri" w:cs="Arial"/>
          <w:sz w:val="24"/>
          <w:szCs w:val="24"/>
          <w:lang w:val="en-US" w:eastAsia="en-GB"/>
        </w:rPr>
        <w:t xml:space="preserve">   Of the items in this list, only confirming the dubious might be controversial.  What distinguishes Brothers, who allots himself eight pages of </w:t>
      </w:r>
      <w:r w:rsidR="0008685E" w:rsidRPr="00660A2C">
        <w:rPr>
          <w:rFonts w:ascii="Calibri" w:eastAsia="SimSun" w:hAnsi="Calibri" w:cs="Arial"/>
          <w:i/>
          <w:iCs/>
          <w:sz w:val="24"/>
          <w:szCs w:val="24"/>
          <w:lang w:val="en-US" w:eastAsia="en-GB"/>
        </w:rPr>
        <w:t>Wonderful prophecies</w:t>
      </w:r>
      <w:r w:rsidR="0008685E" w:rsidRPr="00660A2C">
        <w:rPr>
          <w:rFonts w:ascii="Calibri" w:eastAsia="SimSun" w:hAnsi="Calibri" w:cs="Arial"/>
          <w:sz w:val="24"/>
          <w:szCs w:val="24"/>
          <w:lang w:val="en-US" w:eastAsia="en-GB"/>
        </w:rPr>
        <w:t xml:space="preserve">, from Defoe, Addison, Smollett and others along with Priestley is his explicitness about dates and names (since 1789, and Pitt, </w:t>
      </w:r>
      <w:proofErr w:type="spellStart"/>
      <w:r w:rsidR="0008685E" w:rsidRPr="00660A2C">
        <w:rPr>
          <w:rFonts w:ascii="Calibri" w:eastAsia="SimSun" w:hAnsi="Calibri" w:cs="Arial"/>
          <w:sz w:val="24"/>
          <w:szCs w:val="24"/>
          <w:lang w:val="en-US" w:eastAsia="en-GB"/>
        </w:rPr>
        <w:t>Pulteney</w:t>
      </w:r>
      <w:proofErr w:type="spellEnd"/>
      <w:r w:rsidR="0008685E" w:rsidRPr="00660A2C">
        <w:rPr>
          <w:rFonts w:ascii="Calibri" w:eastAsia="SimSun" w:hAnsi="Calibri" w:cs="Arial"/>
          <w:sz w:val="24"/>
          <w:szCs w:val="24"/>
          <w:lang w:val="en-US" w:eastAsia="en-GB"/>
        </w:rPr>
        <w:t xml:space="preserve"> and others).</w:t>
      </w:r>
      <w:r w:rsidR="0008685E" w:rsidRPr="00660A2C">
        <w:rPr>
          <w:rFonts w:ascii="Calibri" w:eastAsia="SimSun" w:hAnsi="Calibri" w:cs="Arial"/>
          <w:sz w:val="20"/>
          <w:szCs w:val="20"/>
          <w:vertAlign w:val="superscript"/>
          <w:lang w:val="en-US" w:eastAsia="en-GB"/>
        </w:rPr>
        <w:footnoteReference w:id="56"/>
      </w:r>
      <w:r w:rsidR="0008685E" w:rsidRPr="00660A2C">
        <w:rPr>
          <w:rFonts w:ascii="Calibri" w:eastAsia="SimSun" w:hAnsi="Calibri" w:cs="Arial"/>
          <w:sz w:val="24"/>
          <w:szCs w:val="24"/>
          <w:lang w:eastAsia="en-GB"/>
        </w:rPr>
        <w:t xml:space="preserve">  One benefit of speaking in prophetic or allegorical terms is that it might keep the prophet from a charge of treason: because there is no explicit reference to contemporary politics the speaker can always claim to be talking not about the political future but about the eternal.  Priestley is placed in an interpretative bind in which his writing must negotiate two different kinds of future, the eschatological time appropriate to the kingdom of God and the kingdom of this world whose present incumbent was George III.  He felt obliged to sift prophecies that could be read as </w:t>
      </w:r>
      <w:r w:rsidR="000A2B9A">
        <w:rPr>
          <w:rFonts w:ascii="Calibri" w:eastAsia="SimSun" w:hAnsi="Calibri" w:cs="Arial"/>
          <w:sz w:val="24"/>
          <w:szCs w:val="24"/>
          <w:lang w:eastAsia="en-GB"/>
        </w:rPr>
        <w:t>“</w:t>
      </w:r>
      <w:r w:rsidR="0008685E" w:rsidRPr="00660A2C">
        <w:rPr>
          <w:rFonts w:ascii="Calibri" w:eastAsia="SimSun" w:hAnsi="Calibri" w:cs="Arial"/>
          <w:sz w:val="24"/>
          <w:szCs w:val="24"/>
          <w:lang w:eastAsia="en-GB"/>
        </w:rPr>
        <w:t>literal</w:t>
      </w:r>
      <w:r w:rsidR="000A2B9A">
        <w:rPr>
          <w:rFonts w:ascii="Calibri" w:eastAsia="SimSun" w:hAnsi="Calibri" w:cs="Arial"/>
          <w:sz w:val="24"/>
          <w:szCs w:val="24"/>
          <w:lang w:eastAsia="en-GB"/>
        </w:rPr>
        <w:t>”</w:t>
      </w:r>
      <w:r w:rsidR="0008685E" w:rsidRPr="00660A2C">
        <w:rPr>
          <w:rFonts w:ascii="Calibri" w:eastAsia="SimSun" w:hAnsi="Calibri" w:cs="Arial"/>
          <w:sz w:val="24"/>
          <w:szCs w:val="24"/>
          <w:lang w:eastAsia="en-GB"/>
        </w:rPr>
        <w:t xml:space="preserve"> from those that were </w:t>
      </w:r>
      <w:r w:rsidR="000A2B9A">
        <w:rPr>
          <w:rFonts w:ascii="Calibri" w:eastAsia="SimSun" w:hAnsi="Calibri" w:cs="Arial"/>
          <w:sz w:val="24"/>
          <w:szCs w:val="24"/>
          <w:lang w:eastAsia="en-GB"/>
        </w:rPr>
        <w:t>“</w:t>
      </w:r>
      <w:r w:rsidR="0008685E" w:rsidRPr="00660A2C">
        <w:rPr>
          <w:rFonts w:ascii="Calibri" w:eastAsia="SimSun" w:hAnsi="Calibri" w:cs="Arial"/>
          <w:sz w:val="24"/>
          <w:szCs w:val="24"/>
          <w:lang w:eastAsia="en-GB"/>
        </w:rPr>
        <w:t>figurative</w:t>
      </w:r>
      <w:r w:rsidR="000A2B9A">
        <w:rPr>
          <w:rFonts w:ascii="Calibri" w:eastAsia="SimSun" w:hAnsi="Calibri" w:cs="Arial"/>
          <w:sz w:val="24"/>
          <w:szCs w:val="24"/>
          <w:lang w:eastAsia="en-GB"/>
        </w:rPr>
        <w:t>”</w:t>
      </w:r>
      <w:r w:rsidR="0008685E" w:rsidRPr="00660A2C">
        <w:rPr>
          <w:rFonts w:ascii="Calibri" w:eastAsia="SimSun" w:hAnsi="Calibri" w:cs="Arial"/>
          <w:sz w:val="24"/>
          <w:szCs w:val="24"/>
          <w:lang w:eastAsia="en-GB"/>
        </w:rPr>
        <w:t>.  The reflexes in the mundane o</w:t>
      </w:r>
      <w:r w:rsidR="0008685E">
        <w:rPr>
          <w:rFonts w:ascii="Calibri" w:eastAsia="SimSun" w:hAnsi="Calibri" w:cs="Arial"/>
          <w:sz w:val="24"/>
          <w:szCs w:val="24"/>
          <w:lang w:eastAsia="en-GB"/>
        </w:rPr>
        <w:t>r diurnal world of that move in</w:t>
      </w:r>
      <w:r w:rsidR="0008685E" w:rsidRPr="00660A2C">
        <w:rPr>
          <w:rFonts w:ascii="Calibri" w:eastAsia="SimSun" w:hAnsi="Calibri" w:cs="Arial"/>
          <w:sz w:val="24"/>
          <w:szCs w:val="24"/>
          <w:lang w:eastAsia="en-GB"/>
        </w:rPr>
        <w:t>to an ideal one would be open to question since visionary language might be construed to have political reference.</w:t>
      </w:r>
      <w:r w:rsidR="0008685E">
        <w:rPr>
          <w:rFonts w:ascii="Calibri" w:eastAsia="SimSun" w:hAnsi="Calibri" w:cs="Arial"/>
          <w:sz w:val="24"/>
          <w:szCs w:val="24"/>
          <w:lang w:eastAsia="en-GB"/>
        </w:rPr>
        <w:t xml:space="preserve"> </w:t>
      </w:r>
      <w:r w:rsidR="0008685E" w:rsidRPr="00660A2C">
        <w:rPr>
          <w:rFonts w:ascii="Calibri" w:eastAsia="SimSun" w:hAnsi="Calibri" w:cs="Arial"/>
          <w:sz w:val="24"/>
          <w:szCs w:val="24"/>
          <w:lang w:eastAsia="en-GB"/>
        </w:rPr>
        <w:t xml:space="preserve">Although </w:t>
      </w:r>
      <w:r w:rsidR="0008685E">
        <w:rPr>
          <w:rFonts w:ascii="Calibri" w:eastAsia="SimSun" w:hAnsi="Calibri" w:cs="Arial"/>
          <w:sz w:val="24"/>
          <w:szCs w:val="24"/>
          <w:lang w:eastAsia="en-GB"/>
        </w:rPr>
        <w:t>Priestley</w:t>
      </w:r>
      <w:r w:rsidR="0008685E" w:rsidRPr="00660A2C">
        <w:rPr>
          <w:rFonts w:ascii="Calibri" w:eastAsia="SimSun" w:hAnsi="Calibri" w:cs="Arial"/>
          <w:sz w:val="24"/>
          <w:szCs w:val="24"/>
          <w:lang w:eastAsia="en-GB"/>
        </w:rPr>
        <w:t xml:space="preserve"> managed to avoid prosecution, he was of course the victim of direct action from the public. </w:t>
      </w:r>
    </w:p>
    <w:p w:rsidR="0008685E" w:rsidRPr="00660A2C" w:rsidRDefault="0008685E" w:rsidP="000A2B9A">
      <w:pPr>
        <w:spacing w:after="120" w:line="480" w:lineRule="auto"/>
        <w:ind w:firstLine="576"/>
        <w:rPr>
          <w:rFonts w:ascii="Calibri" w:eastAsia="SimSun" w:hAnsi="Calibri" w:cs="Arial"/>
          <w:sz w:val="24"/>
          <w:szCs w:val="24"/>
          <w:lang w:eastAsia="en-GB"/>
        </w:rPr>
      </w:pPr>
      <w:r w:rsidRPr="008177EA">
        <w:rPr>
          <w:sz w:val="24"/>
          <w:szCs w:val="24"/>
        </w:rPr>
        <w:t xml:space="preserve">Priestley delivered the sermon anthologised by Brothers, </w:t>
      </w:r>
      <w:r w:rsidRPr="008177EA">
        <w:rPr>
          <w:i/>
          <w:iCs/>
          <w:sz w:val="24"/>
          <w:szCs w:val="24"/>
        </w:rPr>
        <w:t>The Present State of Europe compared with Ancient Prophecy</w:t>
      </w:r>
      <w:r w:rsidRPr="008177EA">
        <w:rPr>
          <w:sz w:val="24"/>
          <w:szCs w:val="24"/>
        </w:rPr>
        <w:t xml:space="preserve">, just before eventually immigrating to </w:t>
      </w:r>
      <w:r w:rsidRPr="005A20C0">
        <w:rPr>
          <w:sz w:val="24"/>
          <w:szCs w:val="24"/>
        </w:rPr>
        <w:t xml:space="preserve">America in 1794. (His farewell sermon followed only a month later.)  </w:t>
      </w:r>
      <w:r w:rsidRPr="005A20C0">
        <w:rPr>
          <w:rFonts w:ascii="Calibri" w:eastAsia="SimSun" w:hAnsi="Calibri" w:cs="Arial"/>
          <w:sz w:val="24"/>
          <w:szCs w:val="24"/>
          <w:lang w:eastAsia="en-GB"/>
        </w:rPr>
        <w:t>It was published with a Preface that provides a kind of apologia and attempts to put in a longer historical context</w:t>
      </w:r>
      <w:r w:rsidRPr="005A20C0">
        <w:rPr>
          <w:sz w:val="24"/>
          <w:szCs w:val="24"/>
        </w:rPr>
        <w:t xml:space="preserve"> the riots in Birmingham that destroyed his home and laboratory and caused him to flee at first to London and </w:t>
      </w:r>
      <w:r>
        <w:rPr>
          <w:sz w:val="24"/>
          <w:szCs w:val="24"/>
        </w:rPr>
        <w:t>ultimately to the United States</w:t>
      </w:r>
      <w:r w:rsidRPr="005A20C0">
        <w:rPr>
          <w:rFonts w:ascii="Calibri" w:eastAsia="SimSun" w:hAnsi="Calibri" w:cs="Arial"/>
          <w:sz w:val="24"/>
          <w:szCs w:val="24"/>
          <w:lang w:eastAsia="en-GB"/>
        </w:rPr>
        <w:t xml:space="preserve">.  If the Gordon Riots of 1780 had </w:t>
      </w:r>
      <w:r w:rsidR="000A2B9A">
        <w:rPr>
          <w:rFonts w:ascii="Calibri" w:eastAsia="SimSun" w:hAnsi="Calibri" w:cs="Arial"/>
          <w:sz w:val="24"/>
          <w:szCs w:val="24"/>
          <w:lang w:eastAsia="en-GB"/>
        </w:rPr>
        <w:t>“</w:t>
      </w:r>
      <w:r w:rsidRPr="005A20C0">
        <w:rPr>
          <w:rFonts w:ascii="Calibri" w:eastAsia="SimSun" w:hAnsi="Calibri" w:cs="Arial"/>
          <w:sz w:val="24"/>
          <w:szCs w:val="24"/>
          <w:lang w:eastAsia="en-GB"/>
        </w:rPr>
        <w:t>checked</w:t>
      </w:r>
      <w:r w:rsidR="000A2B9A">
        <w:rPr>
          <w:rFonts w:ascii="Calibri" w:eastAsia="SimSun" w:hAnsi="Calibri" w:cs="Arial"/>
          <w:sz w:val="24"/>
          <w:szCs w:val="24"/>
          <w:lang w:eastAsia="en-GB"/>
        </w:rPr>
        <w:t>”</w:t>
      </w:r>
      <w:r w:rsidR="003C7D68">
        <w:rPr>
          <w:rFonts w:ascii="Calibri" w:eastAsia="SimSun" w:hAnsi="Calibri" w:cs="Arial"/>
          <w:sz w:val="24"/>
          <w:szCs w:val="24"/>
          <w:lang w:eastAsia="en-GB"/>
        </w:rPr>
        <w:t xml:space="preserve"> </w:t>
      </w:r>
      <w:r w:rsidRPr="005A20C0">
        <w:rPr>
          <w:rFonts w:ascii="Calibri" w:eastAsia="SimSun" w:hAnsi="Calibri" w:cs="Arial"/>
          <w:sz w:val="24"/>
          <w:szCs w:val="24"/>
          <w:lang w:eastAsia="en-GB"/>
        </w:rPr>
        <w:t xml:space="preserve">anti-Catholicism, the Birmingham riots had no such effect, in preventing people from </w:t>
      </w:r>
      <w:r w:rsidR="000A2B9A">
        <w:rPr>
          <w:rFonts w:ascii="Calibri" w:eastAsia="SimSun" w:hAnsi="Calibri" w:cs="Arial"/>
          <w:sz w:val="24"/>
          <w:szCs w:val="24"/>
          <w:lang w:eastAsia="en-GB"/>
        </w:rPr>
        <w:t>“</w:t>
      </w:r>
      <w:r w:rsidRPr="005A20C0">
        <w:rPr>
          <w:rFonts w:ascii="Calibri" w:eastAsia="SimSun" w:hAnsi="Calibri" w:cs="Arial"/>
          <w:sz w:val="24"/>
          <w:szCs w:val="24"/>
          <w:lang w:eastAsia="en-GB"/>
        </w:rPr>
        <w:t>insulting and abusing the Dissenters</w:t>
      </w:r>
      <w:r w:rsidR="000A2B9A">
        <w:rPr>
          <w:rFonts w:ascii="Calibri" w:eastAsia="SimSun" w:hAnsi="Calibri" w:cs="Arial"/>
          <w:sz w:val="24"/>
          <w:szCs w:val="24"/>
          <w:lang w:eastAsia="en-GB"/>
        </w:rPr>
        <w:t>”</w:t>
      </w:r>
      <w:r w:rsidRPr="005A20C0">
        <w:rPr>
          <w:rFonts w:ascii="Calibri" w:eastAsia="SimSun" w:hAnsi="Calibri" w:cs="Arial"/>
          <w:sz w:val="24"/>
          <w:szCs w:val="24"/>
          <w:lang w:eastAsia="en-GB"/>
        </w:rPr>
        <w:t>; rather,</w:t>
      </w:r>
      <w:r w:rsidRPr="00660A2C">
        <w:rPr>
          <w:rFonts w:ascii="Calibri" w:eastAsia="SimSun" w:hAnsi="Calibri" w:cs="Arial"/>
          <w:sz w:val="24"/>
          <w:szCs w:val="24"/>
          <w:lang w:eastAsia="en-GB"/>
        </w:rPr>
        <w:t xml:space="preserve">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there prevails an idea, well or ill-founded, that </w:t>
      </w:r>
      <w:proofErr w:type="spellStart"/>
      <w:r w:rsidRPr="00660A2C">
        <w:rPr>
          <w:rFonts w:ascii="Calibri" w:eastAsia="SimSun" w:hAnsi="Calibri" w:cs="Arial"/>
          <w:sz w:val="24"/>
          <w:szCs w:val="24"/>
          <w:lang w:eastAsia="en-GB"/>
        </w:rPr>
        <w:t>tumultuary</w:t>
      </w:r>
      <w:proofErr w:type="spellEnd"/>
      <w:r w:rsidRPr="00660A2C">
        <w:rPr>
          <w:rFonts w:ascii="Calibri" w:eastAsia="SimSun" w:hAnsi="Calibri" w:cs="Arial"/>
          <w:sz w:val="24"/>
          <w:szCs w:val="24"/>
          <w:lang w:eastAsia="en-GB"/>
        </w:rPr>
        <w:t xml:space="preserve"> proceedings against Dissenters will not receive any effectual discouragement</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 (</w:t>
      </w:r>
      <w:r w:rsidRPr="00660A2C">
        <w:rPr>
          <w:rFonts w:ascii="Calibri" w:eastAsia="SimSun" w:hAnsi="Calibri" w:cs="Arial"/>
          <w:i/>
          <w:iCs/>
          <w:sz w:val="24"/>
          <w:szCs w:val="24"/>
          <w:lang w:eastAsia="en-GB"/>
        </w:rPr>
        <w:t>Works</w:t>
      </w:r>
      <w:r w:rsidRPr="00660A2C">
        <w:rPr>
          <w:rFonts w:ascii="Calibri" w:eastAsia="SimSun" w:hAnsi="Calibri" w:cs="Arial"/>
          <w:sz w:val="24"/>
          <w:szCs w:val="24"/>
          <w:lang w:eastAsia="en-GB"/>
        </w:rPr>
        <w:t xml:space="preserve">. 15.522).  At the same time, Priestley is clearly still outraged, both by insinuations about his own motives and by the failure of the Government and of local authorities to compensate him for his losses.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I never preached a political sermon in my life</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 he insists (525).  In the sermon proper, his acknowledgement that </w:t>
      </w:r>
      <w:proofErr w:type="spellStart"/>
      <w:r w:rsidRPr="00660A2C">
        <w:rPr>
          <w:rFonts w:ascii="Calibri" w:eastAsia="SimSun" w:hAnsi="Calibri" w:cs="Arial"/>
          <w:sz w:val="24"/>
          <w:szCs w:val="24"/>
          <w:lang w:eastAsia="en-GB"/>
        </w:rPr>
        <w:t>Christ</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s</w:t>
      </w:r>
      <w:proofErr w:type="spellEnd"/>
      <w:r w:rsidRPr="00660A2C">
        <w:rPr>
          <w:rFonts w:ascii="Calibri" w:eastAsia="SimSun" w:hAnsi="Calibri" w:cs="Arial"/>
          <w:sz w:val="24"/>
          <w:szCs w:val="24"/>
          <w:lang w:eastAsia="en-GB"/>
        </w:rPr>
        <w:t xml:space="preserve"> reply to the Romans,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My kingdom is not of this world</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was merely expedient suggests that this may have been disingenuous.</w:t>
      </w:r>
    </w:p>
    <w:p w:rsidR="001C4339" w:rsidRDefault="0008685E" w:rsidP="001C4339">
      <w:pPr>
        <w:spacing w:after="120" w:line="480" w:lineRule="auto"/>
        <w:ind w:firstLine="540"/>
        <w:rPr>
          <w:rFonts w:ascii="Calibri" w:eastAsia="SimSun" w:hAnsi="Calibri" w:cs="Arial"/>
          <w:sz w:val="24"/>
          <w:szCs w:val="24"/>
          <w:lang w:eastAsia="en-GB"/>
        </w:rPr>
      </w:pPr>
      <w:r w:rsidRPr="00660A2C">
        <w:rPr>
          <w:rFonts w:ascii="Calibri" w:eastAsia="SimSun" w:hAnsi="Calibri" w:cs="Arial"/>
          <w:sz w:val="24"/>
          <w:szCs w:val="24"/>
          <w:lang w:eastAsia="en-GB"/>
        </w:rPr>
        <w:t xml:space="preserve">The exclamatory syntax of his summary of the previous four years is apocalyptic rather than analytic:  </w:t>
      </w:r>
    </w:p>
    <w:p w:rsidR="0008685E" w:rsidRDefault="0008685E" w:rsidP="001C4339">
      <w:pPr>
        <w:spacing w:after="120" w:line="480" w:lineRule="auto"/>
        <w:ind w:left="540"/>
        <w:rPr>
          <w:rFonts w:ascii="Calibri" w:eastAsia="SimSun" w:hAnsi="Calibri" w:cs="Arial"/>
          <w:sz w:val="24"/>
          <w:szCs w:val="24"/>
          <w:lang w:eastAsia="en-GB"/>
        </w:rPr>
      </w:pPr>
      <w:r w:rsidRPr="00660A2C">
        <w:rPr>
          <w:rFonts w:ascii="Calibri" w:eastAsia="SimSun" w:hAnsi="Calibri" w:cs="Arial"/>
          <w:sz w:val="24"/>
          <w:szCs w:val="24"/>
          <w:lang w:eastAsia="en-GB"/>
        </w:rPr>
        <w:t xml:space="preserve">What could have been more unexpected than the events of any one of the last four years, at the beginning of it?  What a total revolution in the ideas and conduct of a whole nation!  What a total subversion of principles!   What reverses of fortune, and what a waste of life!   In how bloody and eventful a war are we engaged!  How inconsiderable its beginning, how rapid and wide in its progress, and how dark with respect to its termination!  At first, it resembled Elijah’s cloud, appearing no bigger than a </w:t>
      </w:r>
      <w:r w:rsidRPr="00660A2C">
        <w:rPr>
          <w:rFonts w:ascii="Calibri" w:eastAsia="SimSun" w:hAnsi="Calibri" w:cs="Arial"/>
          <w:i/>
          <w:iCs/>
          <w:sz w:val="24"/>
          <w:szCs w:val="24"/>
          <w:lang w:eastAsia="en-GB"/>
        </w:rPr>
        <w:t>man’s hand</w:t>
      </w:r>
      <w:r w:rsidRPr="00660A2C">
        <w:rPr>
          <w:rFonts w:ascii="Calibri" w:eastAsia="SimSun" w:hAnsi="Calibri" w:cs="Arial"/>
          <w:sz w:val="24"/>
          <w:szCs w:val="24"/>
          <w:lang w:eastAsia="en-GB"/>
        </w:rPr>
        <w:t xml:space="preserve">; but now it covers and darkens the whole European hemisphere!’ (550-51).   </w:t>
      </w:r>
    </w:p>
    <w:p w:rsidR="0008685E" w:rsidRPr="007501D4" w:rsidRDefault="0008685E" w:rsidP="000E00BE">
      <w:pPr>
        <w:spacing w:after="120" w:line="480" w:lineRule="auto"/>
        <w:rPr>
          <w:rFonts w:ascii="Calibri" w:eastAsia="SimSun" w:hAnsi="Calibri" w:cs="Arial"/>
          <w:sz w:val="24"/>
          <w:szCs w:val="24"/>
          <w:lang w:eastAsia="en-GB"/>
        </w:rPr>
      </w:pPr>
      <w:r>
        <w:rPr>
          <w:rFonts w:ascii="Calibri" w:eastAsia="SimSun" w:hAnsi="Calibri" w:cs="Arial"/>
          <w:sz w:val="24"/>
          <w:szCs w:val="24"/>
          <w:lang w:eastAsia="en-GB"/>
        </w:rPr>
        <w:t xml:space="preserve">What is Priestley referring to? Does he mean </w:t>
      </w:r>
      <w:r w:rsidRPr="007501D4">
        <w:rPr>
          <w:rFonts w:ascii="Calibri" w:eastAsia="SimSun" w:hAnsi="Calibri" w:cs="Arial"/>
          <w:sz w:val="24"/>
          <w:szCs w:val="24"/>
          <w:lang w:eastAsia="en-GB"/>
        </w:rPr>
        <w:t>the abolition of aristocracy and monarchy and execution of the king of France</w:t>
      </w:r>
      <w:r>
        <w:rPr>
          <w:rFonts w:ascii="Calibri" w:eastAsia="SimSun" w:hAnsi="Calibri" w:cs="Arial"/>
          <w:sz w:val="24"/>
          <w:szCs w:val="24"/>
          <w:lang w:eastAsia="en-GB"/>
        </w:rPr>
        <w:t>?</w:t>
      </w:r>
      <w:r w:rsidRPr="007501D4">
        <w:rPr>
          <w:rFonts w:ascii="Calibri" w:eastAsia="SimSun" w:hAnsi="Calibri" w:cs="Arial"/>
          <w:sz w:val="24"/>
          <w:szCs w:val="24"/>
          <w:lang w:eastAsia="en-GB"/>
        </w:rPr>
        <w:t xml:space="preserve"> Britain and other European nations going to war with the new republic</w:t>
      </w:r>
      <w:r>
        <w:rPr>
          <w:rFonts w:ascii="Calibri" w:eastAsia="SimSun" w:hAnsi="Calibri" w:cs="Arial"/>
          <w:sz w:val="24"/>
          <w:szCs w:val="24"/>
          <w:lang w:eastAsia="en-GB"/>
        </w:rPr>
        <w:t xml:space="preserve">? The apparent reticence is a product of inwardness with its audience. </w:t>
      </w:r>
      <w:r w:rsidRPr="007501D4">
        <w:rPr>
          <w:rFonts w:ascii="Calibri" w:eastAsia="SimSun" w:hAnsi="Calibri" w:cs="Arial"/>
          <w:sz w:val="24"/>
          <w:szCs w:val="24"/>
          <w:lang w:eastAsia="en-GB"/>
        </w:rPr>
        <w:t>The questions are rhetorical and the exclamations remark on events that go unstated</w:t>
      </w:r>
      <w:r>
        <w:rPr>
          <w:rFonts w:ascii="Calibri" w:eastAsia="SimSun" w:hAnsi="Calibri" w:cs="Arial"/>
          <w:sz w:val="24"/>
          <w:szCs w:val="24"/>
          <w:lang w:eastAsia="en-GB"/>
        </w:rPr>
        <w:t xml:space="preserve"> because</w:t>
      </w:r>
      <w:r w:rsidRPr="007501D4">
        <w:rPr>
          <w:rFonts w:ascii="Calibri" w:eastAsia="SimSun" w:hAnsi="Calibri" w:cs="Arial"/>
          <w:sz w:val="24"/>
          <w:szCs w:val="24"/>
          <w:lang w:eastAsia="en-GB"/>
        </w:rPr>
        <w:t xml:space="preserve"> </w:t>
      </w:r>
      <w:r>
        <w:rPr>
          <w:rFonts w:ascii="Calibri" w:eastAsia="SimSun" w:hAnsi="Calibri" w:cs="Arial"/>
          <w:sz w:val="24"/>
          <w:szCs w:val="24"/>
          <w:lang w:eastAsia="en-GB"/>
        </w:rPr>
        <w:t xml:space="preserve">there </w:t>
      </w:r>
      <w:r w:rsidRPr="007501D4">
        <w:rPr>
          <w:rFonts w:ascii="Calibri" w:eastAsia="SimSun" w:hAnsi="Calibri" w:cs="Arial"/>
          <w:sz w:val="24"/>
          <w:szCs w:val="24"/>
          <w:lang w:eastAsia="en-GB"/>
        </w:rPr>
        <w:t>was no need to specify them to this audience</w:t>
      </w:r>
      <w:r>
        <w:rPr>
          <w:rFonts w:ascii="Calibri" w:eastAsia="SimSun" w:hAnsi="Calibri" w:cs="Arial"/>
          <w:sz w:val="24"/>
          <w:szCs w:val="24"/>
          <w:lang w:eastAsia="en-GB"/>
        </w:rPr>
        <w:t>, whereas there was good reason for being unspecific.</w:t>
      </w:r>
      <w:r w:rsidRPr="007501D4">
        <w:rPr>
          <w:rFonts w:ascii="Calibri" w:eastAsia="SimSun" w:hAnsi="Calibri" w:cs="Arial"/>
          <w:sz w:val="24"/>
          <w:szCs w:val="24"/>
          <w:lang w:eastAsia="en-GB"/>
        </w:rPr>
        <w:t xml:space="preserve">  </w:t>
      </w:r>
      <w:r>
        <w:rPr>
          <w:rFonts w:ascii="Calibri" w:eastAsia="SimSun" w:hAnsi="Calibri" w:cs="Arial"/>
          <w:sz w:val="24"/>
          <w:szCs w:val="24"/>
          <w:lang w:eastAsia="en-GB"/>
        </w:rPr>
        <w:t>Priestley’s audience here is</w:t>
      </w:r>
      <w:r w:rsidRPr="007501D4">
        <w:rPr>
          <w:rFonts w:ascii="Calibri" w:eastAsia="SimSun" w:hAnsi="Calibri" w:cs="Arial"/>
          <w:sz w:val="24"/>
          <w:szCs w:val="24"/>
          <w:lang w:eastAsia="en-GB"/>
        </w:rPr>
        <w:t xml:space="preserve"> the Hackney congregation he had inherited from his friend Richard Price </w:t>
      </w:r>
      <w:r>
        <w:rPr>
          <w:rFonts w:ascii="Calibri" w:eastAsia="SimSun" w:hAnsi="Calibri" w:cs="Arial"/>
          <w:sz w:val="24"/>
          <w:szCs w:val="24"/>
          <w:lang w:eastAsia="en-GB"/>
        </w:rPr>
        <w:t>and</w:t>
      </w:r>
      <w:r w:rsidRPr="007501D4">
        <w:rPr>
          <w:rFonts w:ascii="Calibri" w:eastAsia="SimSun" w:hAnsi="Calibri" w:cs="Arial"/>
          <w:sz w:val="24"/>
          <w:szCs w:val="24"/>
          <w:lang w:eastAsia="en-GB"/>
        </w:rPr>
        <w:t xml:space="preserve"> </w:t>
      </w:r>
      <w:r>
        <w:rPr>
          <w:rFonts w:ascii="Calibri" w:eastAsia="SimSun" w:hAnsi="Calibri" w:cs="Arial"/>
          <w:sz w:val="24"/>
          <w:szCs w:val="24"/>
          <w:lang w:eastAsia="en-GB"/>
        </w:rPr>
        <w:t xml:space="preserve">they </w:t>
      </w:r>
      <w:r w:rsidRPr="007501D4">
        <w:rPr>
          <w:rFonts w:ascii="Calibri" w:eastAsia="SimSun" w:hAnsi="Calibri" w:cs="Arial"/>
          <w:sz w:val="24"/>
          <w:szCs w:val="24"/>
          <w:lang w:eastAsia="en-GB"/>
        </w:rPr>
        <w:t xml:space="preserve">would have made the inference, </w:t>
      </w:r>
      <w:r>
        <w:rPr>
          <w:rFonts w:ascii="Calibri" w:eastAsia="SimSun" w:hAnsi="Calibri" w:cs="Arial"/>
          <w:sz w:val="24"/>
          <w:szCs w:val="24"/>
          <w:lang w:eastAsia="en-GB"/>
        </w:rPr>
        <w:t>and</w:t>
      </w:r>
      <w:r w:rsidRPr="007501D4">
        <w:rPr>
          <w:rFonts w:ascii="Calibri" w:eastAsia="SimSun" w:hAnsi="Calibri" w:cs="Arial"/>
          <w:sz w:val="24"/>
          <w:szCs w:val="24"/>
          <w:lang w:eastAsia="en-GB"/>
        </w:rPr>
        <w:t xml:space="preserve"> might also have seen an allusion to Priestley’s own history since the riots in 1791, which were what had brought him to Hackney. The biblical allusion (1 Kings 18:44) has a suggestion of a human scale but also connotes forthcoming menace.  </w:t>
      </w:r>
      <w:r>
        <w:rPr>
          <w:rFonts w:ascii="Calibri" w:eastAsia="SimSun" w:hAnsi="Calibri" w:cs="Arial"/>
          <w:sz w:val="24"/>
          <w:szCs w:val="24"/>
          <w:lang w:eastAsia="en-GB"/>
        </w:rPr>
        <w:t>A</w:t>
      </w:r>
      <w:r w:rsidRPr="007501D4">
        <w:rPr>
          <w:rFonts w:ascii="Calibri" w:eastAsia="SimSun" w:hAnsi="Calibri" w:cs="Arial"/>
          <w:sz w:val="24"/>
          <w:szCs w:val="24"/>
          <w:lang w:eastAsia="en-GB"/>
        </w:rPr>
        <w:t>fter three years of drought</w:t>
      </w:r>
      <w:r>
        <w:rPr>
          <w:rFonts w:ascii="Calibri" w:eastAsia="SimSun" w:hAnsi="Calibri" w:cs="Arial"/>
          <w:sz w:val="24"/>
          <w:szCs w:val="24"/>
          <w:lang w:eastAsia="en-GB"/>
        </w:rPr>
        <w:t>,</w:t>
      </w:r>
      <w:r w:rsidRPr="007501D4">
        <w:rPr>
          <w:rFonts w:ascii="Calibri" w:eastAsia="SimSun" w:hAnsi="Calibri" w:cs="Arial"/>
          <w:sz w:val="24"/>
          <w:szCs w:val="24"/>
          <w:lang w:eastAsia="en-GB"/>
        </w:rPr>
        <w:t xml:space="preserve"> Elijah sees the cloud and hears </w:t>
      </w:r>
      <w:r w:rsidR="000E00BE">
        <w:rPr>
          <w:rFonts w:ascii="Calibri" w:eastAsia="SimSun" w:hAnsi="Calibri" w:cs="Arial"/>
          <w:sz w:val="24"/>
          <w:szCs w:val="24"/>
          <w:lang w:eastAsia="en-GB"/>
        </w:rPr>
        <w:t>“</w:t>
      </w:r>
      <w:r w:rsidRPr="007501D4">
        <w:rPr>
          <w:rFonts w:ascii="Calibri" w:eastAsia="SimSun" w:hAnsi="Calibri" w:cs="Arial"/>
          <w:sz w:val="24"/>
          <w:szCs w:val="24"/>
          <w:lang w:eastAsia="en-GB"/>
        </w:rPr>
        <w:t>the sound of an abundance of rain</w:t>
      </w:r>
      <w:r w:rsidR="000E00BE">
        <w:rPr>
          <w:rFonts w:ascii="Calibri" w:eastAsia="SimSun" w:hAnsi="Calibri" w:cs="Arial"/>
          <w:sz w:val="24"/>
          <w:szCs w:val="24"/>
          <w:lang w:eastAsia="en-GB"/>
        </w:rPr>
        <w:t>”</w:t>
      </w:r>
      <w:r>
        <w:rPr>
          <w:rFonts w:ascii="Calibri" w:eastAsia="SimSun" w:hAnsi="Calibri" w:cs="Arial"/>
          <w:sz w:val="24"/>
          <w:szCs w:val="24"/>
          <w:lang w:eastAsia="en-GB"/>
        </w:rPr>
        <w:t>; so t</w:t>
      </w:r>
      <w:r w:rsidRPr="007501D4">
        <w:rPr>
          <w:rFonts w:ascii="Calibri" w:eastAsia="SimSun" w:hAnsi="Calibri" w:cs="Arial"/>
          <w:sz w:val="24"/>
          <w:szCs w:val="24"/>
          <w:lang w:eastAsia="en-GB"/>
        </w:rPr>
        <w:t xml:space="preserve">he biblical cloud </w:t>
      </w:r>
      <w:r>
        <w:rPr>
          <w:rFonts w:ascii="Calibri" w:eastAsia="SimSun" w:hAnsi="Calibri" w:cs="Arial"/>
          <w:sz w:val="24"/>
          <w:szCs w:val="24"/>
          <w:lang w:eastAsia="en-GB"/>
        </w:rPr>
        <w:t xml:space="preserve">carried </w:t>
      </w:r>
      <w:r w:rsidRPr="007501D4">
        <w:rPr>
          <w:rFonts w:ascii="Calibri" w:eastAsia="SimSun" w:hAnsi="Calibri" w:cs="Arial"/>
          <w:sz w:val="24"/>
          <w:szCs w:val="24"/>
          <w:lang w:eastAsia="en-GB"/>
        </w:rPr>
        <w:t xml:space="preserve">a promise </w:t>
      </w:r>
      <w:r>
        <w:rPr>
          <w:rFonts w:ascii="Calibri" w:eastAsia="SimSun" w:hAnsi="Calibri" w:cs="Arial"/>
          <w:sz w:val="24"/>
          <w:szCs w:val="24"/>
          <w:lang w:eastAsia="en-GB"/>
        </w:rPr>
        <w:t xml:space="preserve">as well as </w:t>
      </w:r>
      <w:r w:rsidRPr="007501D4">
        <w:rPr>
          <w:rFonts w:ascii="Calibri" w:eastAsia="SimSun" w:hAnsi="Calibri" w:cs="Arial"/>
          <w:sz w:val="24"/>
          <w:szCs w:val="24"/>
          <w:lang w:eastAsia="en-GB"/>
        </w:rPr>
        <w:t xml:space="preserve">a threat. The dark cloud louring over Europe might </w:t>
      </w:r>
      <w:r>
        <w:rPr>
          <w:rFonts w:ascii="Calibri" w:eastAsia="SimSun" w:hAnsi="Calibri" w:cs="Arial"/>
          <w:sz w:val="24"/>
          <w:szCs w:val="24"/>
          <w:lang w:eastAsia="en-GB"/>
        </w:rPr>
        <w:t xml:space="preserve">have </w:t>
      </w:r>
      <w:r w:rsidRPr="007501D4">
        <w:rPr>
          <w:rFonts w:ascii="Calibri" w:eastAsia="SimSun" w:hAnsi="Calibri" w:cs="Arial"/>
          <w:sz w:val="24"/>
          <w:szCs w:val="24"/>
          <w:lang w:eastAsia="en-GB"/>
        </w:rPr>
        <w:t>presage</w:t>
      </w:r>
      <w:r>
        <w:rPr>
          <w:rFonts w:ascii="Calibri" w:eastAsia="SimSun" w:hAnsi="Calibri" w:cs="Arial"/>
          <w:sz w:val="24"/>
          <w:szCs w:val="24"/>
          <w:lang w:eastAsia="en-GB"/>
        </w:rPr>
        <w:t xml:space="preserve">d </w:t>
      </w:r>
      <w:r w:rsidRPr="007501D4">
        <w:rPr>
          <w:rFonts w:ascii="Calibri" w:eastAsia="SimSun" w:hAnsi="Calibri" w:cs="Arial"/>
          <w:sz w:val="24"/>
          <w:szCs w:val="24"/>
          <w:lang w:eastAsia="en-GB"/>
        </w:rPr>
        <w:t xml:space="preserve">inundation, but it is also </w:t>
      </w:r>
      <w:r>
        <w:rPr>
          <w:rFonts w:ascii="Calibri" w:eastAsia="SimSun" w:hAnsi="Calibri" w:cs="Arial"/>
          <w:sz w:val="24"/>
          <w:szCs w:val="24"/>
          <w:lang w:eastAsia="en-GB"/>
        </w:rPr>
        <w:t>a harbinger of ultimate relief</w:t>
      </w:r>
      <w:r w:rsidRPr="007501D4">
        <w:rPr>
          <w:rFonts w:ascii="Calibri" w:eastAsia="SimSun" w:hAnsi="Calibri" w:cs="Arial"/>
          <w:sz w:val="24"/>
          <w:szCs w:val="24"/>
          <w:lang w:eastAsia="en-GB"/>
        </w:rPr>
        <w:t>.</w:t>
      </w:r>
      <w:r w:rsidRPr="009D75F8">
        <w:rPr>
          <w:rStyle w:val="FootnoteReference"/>
          <w:rFonts w:ascii="Calibri" w:eastAsia="SimSun" w:hAnsi="Calibri" w:cs="Arial"/>
          <w:sz w:val="20"/>
          <w:szCs w:val="20"/>
          <w:lang w:eastAsia="en-GB"/>
        </w:rPr>
        <w:footnoteReference w:id="57"/>
      </w:r>
    </w:p>
    <w:p w:rsidR="0008685E" w:rsidRPr="00660A2C" w:rsidRDefault="0008685E" w:rsidP="00B22514">
      <w:pPr>
        <w:spacing w:after="120" w:line="480" w:lineRule="auto"/>
        <w:ind w:firstLine="540"/>
        <w:rPr>
          <w:rFonts w:ascii="Calibri" w:eastAsia="SimSun" w:hAnsi="Calibri" w:cs="Arial"/>
          <w:sz w:val="24"/>
          <w:szCs w:val="24"/>
          <w:lang w:eastAsia="en-GB"/>
        </w:rPr>
      </w:pPr>
      <w:r w:rsidRPr="00660A2C">
        <w:rPr>
          <w:rFonts w:ascii="Calibri" w:eastAsia="SimSun" w:hAnsi="Calibri" w:cs="Arial"/>
          <w:sz w:val="24"/>
          <w:szCs w:val="24"/>
          <w:lang w:eastAsia="en-GB"/>
        </w:rPr>
        <w:t xml:space="preserve">In the </w:t>
      </w:r>
      <w:r w:rsidRPr="00660A2C">
        <w:rPr>
          <w:rFonts w:ascii="Calibri" w:eastAsia="SimSun" w:hAnsi="Calibri" w:cs="Arial"/>
          <w:i/>
          <w:iCs/>
          <w:sz w:val="24"/>
          <w:szCs w:val="24"/>
          <w:lang w:eastAsia="en-GB"/>
        </w:rPr>
        <w:t xml:space="preserve">Institutes </w:t>
      </w:r>
      <w:r w:rsidRPr="00660A2C">
        <w:rPr>
          <w:rFonts w:ascii="Calibri" w:eastAsia="SimSun" w:hAnsi="Calibri" w:cs="Arial"/>
          <w:sz w:val="24"/>
          <w:szCs w:val="24"/>
          <w:lang w:eastAsia="en-GB"/>
        </w:rPr>
        <w:t xml:space="preserve">Priestley had distinguished eschatology from politics: he distinguished, that is, events in which we are interested as individuals (resurrection, judgement, retribution) from those </w:t>
      </w:r>
      <w:r w:rsidR="00B22514">
        <w:rPr>
          <w:rFonts w:ascii="Calibri" w:eastAsia="SimSun" w:hAnsi="Calibri" w:cs="Arial"/>
          <w:sz w:val="24"/>
          <w:szCs w:val="24"/>
          <w:lang w:eastAsia="en-GB"/>
        </w:rPr>
        <w:t>“</w:t>
      </w:r>
      <w:r w:rsidRPr="00660A2C">
        <w:rPr>
          <w:rFonts w:ascii="Calibri" w:eastAsia="SimSun" w:hAnsi="Calibri" w:cs="Arial"/>
          <w:sz w:val="24"/>
          <w:szCs w:val="24"/>
          <w:lang w:eastAsia="en-GB"/>
        </w:rPr>
        <w:t>in which we are interested as members of civil societies</w:t>
      </w:r>
      <w:r w:rsidR="00B22514">
        <w:rPr>
          <w:rFonts w:ascii="Calibri" w:eastAsia="SimSun" w:hAnsi="Calibri" w:cs="Arial"/>
          <w:sz w:val="24"/>
          <w:szCs w:val="24"/>
          <w:lang w:eastAsia="en-GB"/>
        </w:rPr>
        <w:t>”</w:t>
      </w:r>
      <w:r w:rsidRPr="00660A2C">
        <w:rPr>
          <w:rFonts w:ascii="Calibri" w:eastAsia="SimSun" w:hAnsi="Calibri" w:cs="Arial"/>
          <w:sz w:val="24"/>
          <w:szCs w:val="24"/>
          <w:lang w:eastAsia="en-GB"/>
        </w:rPr>
        <w:t>.  There he had read the language of the Book of Revelations as figurative (</w:t>
      </w:r>
      <w:r w:rsidRPr="00660A2C">
        <w:rPr>
          <w:rFonts w:ascii="Calibri" w:eastAsia="SimSun" w:hAnsi="Calibri" w:cs="Arial"/>
          <w:i/>
          <w:iCs/>
          <w:sz w:val="24"/>
          <w:szCs w:val="24"/>
          <w:lang w:eastAsia="en-GB"/>
        </w:rPr>
        <w:t>Works</w:t>
      </w:r>
      <w:r w:rsidRPr="00660A2C">
        <w:rPr>
          <w:rFonts w:ascii="Calibri" w:eastAsia="SimSun" w:hAnsi="Calibri" w:cs="Arial"/>
          <w:sz w:val="24"/>
          <w:szCs w:val="24"/>
          <w:lang w:eastAsia="en-GB"/>
        </w:rPr>
        <w:t>, 2. 364-6).</w:t>
      </w:r>
      <w:r w:rsidRPr="00660A2C">
        <w:rPr>
          <w:rFonts w:ascii="Calibri" w:eastAsia="SimSun" w:hAnsi="Calibri" w:cs="Arial"/>
          <w:sz w:val="20"/>
          <w:szCs w:val="20"/>
          <w:vertAlign w:val="superscript"/>
          <w:lang w:eastAsia="en-GB"/>
        </w:rPr>
        <w:footnoteReference w:id="58"/>
      </w:r>
      <w:r w:rsidRPr="00660A2C">
        <w:rPr>
          <w:rFonts w:ascii="Calibri" w:eastAsia="SimSun" w:hAnsi="Calibri" w:cs="Arial"/>
          <w:sz w:val="24"/>
          <w:szCs w:val="24"/>
          <w:lang w:eastAsia="en-GB"/>
        </w:rPr>
        <w:t xml:space="preserve">  </w:t>
      </w:r>
      <w:proofErr w:type="gramStart"/>
      <w:r w:rsidRPr="00660A2C">
        <w:rPr>
          <w:rFonts w:ascii="Calibri" w:eastAsia="SimSun" w:hAnsi="Calibri" w:cs="Arial"/>
          <w:sz w:val="24"/>
          <w:szCs w:val="24"/>
          <w:lang w:eastAsia="en-GB"/>
        </w:rPr>
        <w:t>If  in</w:t>
      </w:r>
      <w:proofErr w:type="gramEnd"/>
      <w:r w:rsidRPr="00660A2C">
        <w:rPr>
          <w:rFonts w:ascii="Calibri" w:eastAsia="SimSun" w:hAnsi="Calibri" w:cs="Arial"/>
          <w:sz w:val="24"/>
          <w:szCs w:val="24"/>
          <w:lang w:eastAsia="en-GB"/>
        </w:rPr>
        <w:t xml:space="preserve"> prophecies </w:t>
      </w:r>
      <w:r w:rsidR="00B22514">
        <w:rPr>
          <w:rFonts w:ascii="Calibri" w:eastAsia="SimSun" w:hAnsi="Calibri" w:cs="Arial"/>
          <w:sz w:val="24"/>
          <w:szCs w:val="24"/>
          <w:lang w:eastAsia="en-GB"/>
        </w:rPr>
        <w:t>“</w:t>
      </w:r>
      <w:r w:rsidRPr="00660A2C">
        <w:rPr>
          <w:rFonts w:ascii="Calibri" w:eastAsia="SimSun" w:hAnsi="Calibri" w:cs="Arial"/>
          <w:sz w:val="24"/>
          <w:szCs w:val="24"/>
          <w:lang w:eastAsia="en-GB"/>
        </w:rPr>
        <w:t>day</w:t>
      </w:r>
      <w:r w:rsidR="00B22514">
        <w:rPr>
          <w:rFonts w:ascii="Calibri" w:eastAsia="SimSun" w:hAnsi="Calibri" w:cs="Arial"/>
          <w:sz w:val="24"/>
          <w:szCs w:val="24"/>
          <w:lang w:eastAsia="en-GB"/>
        </w:rPr>
        <w:t>”</w:t>
      </w:r>
      <w:r w:rsidRPr="00660A2C">
        <w:rPr>
          <w:rFonts w:ascii="Calibri" w:eastAsia="SimSun" w:hAnsi="Calibri" w:cs="Arial"/>
          <w:sz w:val="24"/>
          <w:szCs w:val="24"/>
          <w:lang w:eastAsia="en-GB"/>
        </w:rPr>
        <w:t xml:space="preserve"> tends to mean </w:t>
      </w:r>
      <w:r w:rsidR="00B22514">
        <w:rPr>
          <w:rFonts w:ascii="Calibri" w:eastAsia="SimSun" w:hAnsi="Calibri" w:cs="Arial"/>
          <w:sz w:val="24"/>
          <w:szCs w:val="24"/>
          <w:lang w:eastAsia="en-GB"/>
        </w:rPr>
        <w:t>“</w:t>
      </w:r>
      <w:r w:rsidRPr="00660A2C">
        <w:rPr>
          <w:rFonts w:ascii="Calibri" w:eastAsia="SimSun" w:hAnsi="Calibri" w:cs="Arial"/>
          <w:sz w:val="24"/>
          <w:szCs w:val="24"/>
          <w:lang w:eastAsia="en-GB"/>
        </w:rPr>
        <w:t>year</w:t>
      </w:r>
      <w:r w:rsidR="00B22514">
        <w:rPr>
          <w:rFonts w:ascii="Calibri" w:eastAsia="SimSun" w:hAnsi="Calibri" w:cs="Arial"/>
          <w:sz w:val="24"/>
          <w:szCs w:val="24"/>
          <w:lang w:eastAsia="en-GB"/>
        </w:rPr>
        <w:t>”</w:t>
      </w:r>
      <w:r w:rsidRPr="00660A2C">
        <w:rPr>
          <w:rFonts w:ascii="Calibri" w:eastAsia="SimSun" w:hAnsi="Calibri" w:cs="Arial"/>
          <w:sz w:val="24"/>
          <w:szCs w:val="24"/>
          <w:lang w:eastAsia="en-GB"/>
        </w:rPr>
        <w:t xml:space="preserve">,  Priestley works out that </w:t>
      </w:r>
      <w:r w:rsidR="00B22514">
        <w:rPr>
          <w:rFonts w:ascii="Calibri" w:eastAsia="SimSun" w:hAnsi="Calibri" w:cs="Arial"/>
          <w:sz w:val="24"/>
          <w:szCs w:val="24"/>
          <w:lang w:eastAsia="en-GB"/>
        </w:rPr>
        <w:t>“</w:t>
      </w:r>
      <w:r w:rsidRPr="00660A2C">
        <w:rPr>
          <w:rFonts w:ascii="Calibri" w:eastAsia="SimSun" w:hAnsi="Calibri" w:cs="Arial"/>
          <w:sz w:val="24"/>
          <w:szCs w:val="24"/>
          <w:lang w:eastAsia="en-GB"/>
        </w:rPr>
        <w:t>year</w:t>
      </w:r>
      <w:r w:rsidR="00B22514">
        <w:rPr>
          <w:rFonts w:ascii="Calibri" w:eastAsia="SimSun" w:hAnsi="Calibri" w:cs="Arial"/>
          <w:sz w:val="24"/>
          <w:szCs w:val="24"/>
          <w:lang w:eastAsia="en-GB"/>
        </w:rPr>
        <w:t>”</w:t>
      </w:r>
      <w:r w:rsidRPr="00660A2C">
        <w:rPr>
          <w:rFonts w:ascii="Calibri" w:eastAsia="SimSun" w:hAnsi="Calibri" w:cs="Arial"/>
          <w:sz w:val="24"/>
          <w:szCs w:val="24"/>
          <w:lang w:eastAsia="en-GB"/>
        </w:rPr>
        <w:t xml:space="preserve"> must mean something that has to be multiplied by 365, so calculating that the millennium will be delayed.  However, he is also convinced that events such as the destruction of Babylon or the coming of Christ were foretold in Biblical prophecy (</w:t>
      </w:r>
      <w:r w:rsidRPr="00660A2C">
        <w:rPr>
          <w:rFonts w:ascii="Calibri" w:eastAsia="SimSun" w:hAnsi="Calibri" w:cs="Arial"/>
          <w:i/>
          <w:iCs/>
          <w:sz w:val="24"/>
          <w:szCs w:val="24"/>
          <w:lang w:eastAsia="en-GB"/>
        </w:rPr>
        <w:t>Works</w:t>
      </w:r>
      <w:r w:rsidRPr="00660A2C">
        <w:rPr>
          <w:rFonts w:ascii="Calibri" w:eastAsia="SimSun" w:hAnsi="Calibri" w:cs="Arial"/>
          <w:sz w:val="24"/>
          <w:szCs w:val="24"/>
          <w:lang w:eastAsia="en-GB"/>
        </w:rPr>
        <w:t>, 8.204). The examples he gives of those things in which we are collectively interested as members of civil society include the return of the Jews to their homeland and the millennium.</w:t>
      </w:r>
    </w:p>
    <w:p w:rsidR="0008685E" w:rsidRPr="00C04B75" w:rsidRDefault="0008685E" w:rsidP="00D401D2">
      <w:pPr>
        <w:spacing w:after="120" w:line="480" w:lineRule="auto"/>
        <w:ind w:firstLine="540"/>
        <w:rPr>
          <w:rFonts w:ascii="Calibri" w:eastAsia="SimSun" w:hAnsi="Calibri" w:cs="Arial"/>
          <w:sz w:val="24"/>
          <w:szCs w:val="24"/>
          <w:lang w:eastAsia="en-GB"/>
        </w:rPr>
      </w:pPr>
      <w:r w:rsidRPr="00C04B75">
        <w:rPr>
          <w:rFonts w:ascii="Calibri" w:eastAsia="SimSun" w:hAnsi="Calibri" w:cs="Arial"/>
          <w:sz w:val="24"/>
          <w:szCs w:val="24"/>
          <w:lang w:eastAsia="en-GB"/>
        </w:rPr>
        <w:t xml:space="preserve">In the 1794 sermon Priestley mentions the figurative nature of prophecy again in relation to the prophecy of the restoration of the Jews, but the restoration must be preceded by an apocalypse: </w:t>
      </w:r>
      <w:r w:rsidR="00B22514">
        <w:rPr>
          <w:rFonts w:ascii="Calibri" w:eastAsia="SimSun" w:hAnsi="Calibri" w:cs="Arial"/>
          <w:sz w:val="24"/>
          <w:szCs w:val="24"/>
          <w:lang w:eastAsia="en-GB"/>
        </w:rPr>
        <w:t>“</w:t>
      </w:r>
      <w:r w:rsidRPr="00C04B75">
        <w:rPr>
          <w:rFonts w:ascii="Calibri" w:eastAsia="SimSun" w:hAnsi="Calibri" w:cs="Arial"/>
          <w:sz w:val="24"/>
          <w:szCs w:val="24"/>
          <w:lang w:eastAsia="en-GB"/>
        </w:rPr>
        <w:t>Every description, figurative or otherwise, of this great revolution, clearly implies violence, and consequently great calamity</w:t>
      </w:r>
      <w:r w:rsidR="00B22514">
        <w:rPr>
          <w:rFonts w:ascii="Calibri" w:eastAsia="SimSun" w:hAnsi="Calibri" w:cs="Arial"/>
          <w:sz w:val="24"/>
          <w:szCs w:val="24"/>
          <w:lang w:eastAsia="en-GB"/>
        </w:rPr>
        <w:t>”</w:t>
      </w:r>
      <w:r w:rsidRPr="00C04B75">
        <w:rPr>
          <w:rFonts w:ascii="Calibri" w:eastAsia="SimSun" w:hAnsi="Calibri" w:cs="Arial"/>
          <w:sz w:val="24"/>
          <w:szCs w:val="24"/>
          <w:lang w:eastAsia="en-GB"/>
        </w:rPr>
        <w:t xml:space="preserve"> (</w:t>
      </w:r>
      <w:r w:rsidRPr="00C04B75">
        <w:rPr>
          <w:rFonts w:ascii="Calibri" w:eastAsia="SimSun" w:hAnsi="Calibri" w:cs="Arial"/>
          <w:i/>
          <w:iCs/>
          <w:sz w:val="24"/>
          <w:szCs w:val="24"/>
          <w:lang w:eastAsia="en-GB"/>
        </w:rPr>
        <w:t>Works</w:t>
      </w:r>
      <w:r w:rsidRPr="00C04B75">
        <w:rPr>
          <w:rFonts w:ascii="Calibri" w:eastAsia="SimSun" w:hAnsi="Calibri" w:cs="Arial"/>
          <w:sz w:val="24"/>
          <w:szCs w:val="24"/>
          <w:lang w:eastAsia="en-GB"/>
        </w:rPr>
        <w:t xml:space="preserve"> 15. 535).  </w:t>
      </w:r>
      <w:r w:rsidR="00B22514">
        <w:rPr>
          <w:rFonts w:ascii="Calibri" w:eastAsia="SimSun" w:hAnsi="Calibri" w:cs="Arial"/>
          <w:sz w:val="24"/>
          <w:szCs w:val="24"/>
          <w:lang w:eastAsia="en-GB"/>
        </w:rPr>
        <w:t>“</w:t>
      </w:r>
      <w:r w:rsidRPr="00C04B75">
        <w:rPr>
          <w:rFonts w:ascii="Calibri" w:eastAsia="SimSun" w:hAnsi="Calibri" w:cs="Arial"/>
          <w:sz w:val="24"/>
          <w:szCs w:val="24"/>
          <w:lang w:eastAsia="en-GB"/>
        </w:rPr>
        <w:t>Calamity</w:t>
      </w:r>
      <w:r w:rsidR="00B22514">
        <w:rPr>
          <w:rFonts w:ascii="Calibri" w:eastAsia="SimSun" w:hAnsi="Calibri" w:cs="Arial"/>
          <w:sz w:val="24"/>
          <w:szCs w:val="24"/>
          <w:lang w:eastAsia="en-GB"/>
        </w:rPr>
        <w:t>”</w:t>
      </w:r>
      <w:r w:rsidRPr="00C04B75">
        <w:rPr>
          <w:rFonts w:ascii="Calibri" w:eastAsia="SimSun" w:hAnsi="Calibri" w:cs="Arial"/>
          <w:sz w:val="24"/>
          <w:szCs w:val="24"/>
          <w:lang w:eastAsia="en-GB"/>
        </w:rPr>
        <w:t xml:space="preserve"> is the term several contemporary sermons use for a public or historic disaster visited on a nation  as in a sermon by William Steadman, </w:t>
      </w:r>
      <w:r w:rsidR="00B22514">
        <w:rPr>
          <w:rFonts w:ascii="Calibri" w:eastAsia="SimSun" w:hAnsi="Calibri" w:cs="Arial"/>
          <w:sz w:val="24"/>
          <w:szCs w:val="24"/>
          <w:lang w:eastAsia="en-GB"/>
        </w:rPr>
        <w:t>“</w:t>
      </w:r>
      <w:r w:rsidRPr="00C04B75">
        <w:rPr>
          <w:rFonts w:ascii="Calibri" w:eastAsia="SimSun" w:hAnsi="Calibri" w:cs="Arial"/>
          <w:sz w:val="24"/>
          <w:szCs w:val="24"/>
          <w:lang w:eastAsia="en-GB"/>
        </w:rPr>
        <w:t>The safety of true penitents in a time of public calamity</w:t>
      </w:r>
      <w:r w:rsidR="00B22514">
        <w:rPr>
          <w:rFonts w:ascii="Calibri" w:eastAsia="SimSun" w:hAnsi="Calibri" w:cs="Arial"/>
          <w:sz w:val="24"/>
          <w:szCs w:val="24"/>
          <w:lang w:eastAsia="en-GB"/>
        </w:rPr>
        <w:t>”</w:t>
      </w:r>
      <w:r w:rsidRPr="00C04B75">
        <w:rPr>
          <w:rFonts w:ascii="Calibri" w:eastAsia="SimSun" w:hAnsi="Calibri" w:cs="Arial"/>
          <w:sz w:val="24"/>
          <w:szCs w:val="24"/>
          <w:lang w:eastAsia="en-GB"/>
        </w:rPr>
        <w:t xml:space="preserve"> (1795),  or in another the next year by William Holcombe, </w:t>
      </w:r>
      <w:r w:rsidRPr="00C04B75">
        <w:rPr>
          <w:rFonts w:ascii="Calibri" w:eastAsia="SimSun" w:hAnsi="Calibri" w:cs="Arial"/>
          <w:i/>
          <w:iCs/>
          <w:sz w:val="24"/>
          <w:szCs w:val="24"/>
          <w:lang w:eastAsia="en-GB"/>
        </w:rPr>
        <w:t>Self-correction a duty we owe to our country in times of public calamity</w:t>
      </w:r>
      <w:r w:rsidRPr="00C04B75">
        <w:rPr>
          <w:rFonts w:ascii="Calibri" w:eastAsia="SimSun" w:hAnsi="Calibri" w:cs="Arial"/>
          <w:sz w:val="24"/>
          <w:szCs w:val="24"/>
          <w:lang w:eastAsia="en-GB"/>
        </w:rPr>
        <w:t xml:space="preserve">.  The titles of these sermons are like Priestley’s in evincing ‘calamity’ as the occasion for a recall to religion. </w:t>
      </w:r>
      <w:r w:rsidR="00B22514">
        <w:rPr>
          <w:rFonts w:ascii="Calibri" w:eastAsia="SimSun" w:hAnsi="Calibri" w:cs="Arial"/>
          <w:sz w:val="24"/>
          <w:szCs w:val="24"/>
          <w:lang w:eastAsia="en-GB"/>
        </w:rPr>
        <w:t>“</w:t>
      </w:r>
      <w:r w:rsidRPr="00C04B75">
        <w:rPr>
          <w:sz w:val="24"/>
          <w:szCs w:val="24"/>
        </w:rPr>
        <w:t>Calamities</w:t>
      </w:r>
      <w:r w:rsidR="00B22514">
        <w:rPr>
          <w:sz w:val="24"/>
          <w:szCs w:val="24"/>
        </w:rPr>
        <w:t xml:space="preserve">” </w:t>
      </w:r>
      <w:r w:rsidRPr="00C04B75">
        <w:rPr>
          <w:sz w:val="24"/>
          <w:szCs w:val="24"/>
        </w:rPr>
        <w:t>are natural disasters foreseen by</w:t>
      </w:r>
      <w:r w:rsidR="00B22514">
        <w:rPr>
          <w:sz w:val="24"/>
          <w:szCs w:val="24"/>
        </w:rPr>
        <w:t xml:space="preserve"> God and evidence of Providence</w:t>
      </w:r>
      <w:r w:rsidRPr="00C04B75">
        <w:rPr>
          <w:sz w:val="24"/>
          <w:szCs w:val="24"/>
        </w:rPr>
        <w:t xml:space="preserve"> (</w:t>
      </w:r>
      <w:r w:rsidRPr="00C04B75">
        <w:rPr>
          <w:i/>
          <w:iCs/>
          <w:sz w:val="24"/>
          <w:szCs w:val="24"/>
        </w:rPr>
        <w:t>Works</w:t>
      </w:r>
      <w:r w:rsidRPr="00C04B75">
        <w:rPr>
          <w:sz w:val="24"/>
          <w:szCs w:val="24"/>
        </w:rPr>
        <w:t xml:space="preserve">, 17.43). </w:t>
      </w:r>
      <w:r w:rsidRPr="00C04B75">
        <w:rPr>
          <w:rFonts w:ascii="Calibri" w:eastAsia="SimSun" w:hAnsi="Calibri" w:cs="Arial"/>
          <w:sz w:val="24"/>
          <w:szCs w:val="24"/>
          <w:lang w:eastAsia="en-GB"/>
        </w:rPr>
        <w:t xml:space="preserve">Priestley has a footnote quoting his own </w:t>
      </w:r>
      <w:r w:rsidRPr="00C04B75">
        <w:rPr>
          <w:rFonts w:ascii="Calibri" w:eastAsia="SimSun" w:hAnsi="Calibri" w:cs="Arial"/>
          <w:i/>
          <w:iCs/>
          <w:sz w:val="24"/>
          <w:szCs w:val="24"/>
          <w:lang w:eastAsia="en-GB"/>
        </w:rPr>
        <w:t>History of the Corruptions of Christianity</w:t>
      </w:r>
      <w:r w:rsidRPr="00C04B75">
        <w:rPr>
          <w:rFonts w:ascii="Calibri" w:eastAsia="SimSun" w:hAnsi="Calibri" w:cs="Arial"/>
          <w:sz w:val="24"/>
          <w:szCs w:val="24"/>
          <w:lang w:eastAsia="en-GB"/>
        </w:rPr>
        <w:t xml:space="preserve"> (1782) which was also one of the sentences quoted by </w:t>
      </w:r>
      <w:r w:rsidR="00B22514">
        <w:rPr>
          <w:rFonts w:ascii="Calibri" w:eastAsia="SimSun" w:hAnsi="Calibri" w:cs="Arial"/>
          <w:sz w:val="24"/>
          <w:szCs w:val="24"/>
          <w:lang w:eastAsia="en-GB"/>
        </w:rPr>
        <w:t xml:space="preserve">Edmund </w:t>
      </w:r>
      <w:r w:rsidRPr="00C04B75">
        <w:rPr>
          <w:rFonts w:ascii="Calibri" w:eastAsia="SimSun" w:hAnsi="Calibri" w:cs="Arial"/>
          <w:sz w:val="24"/>
          <w:szCs w:val="24"/>
          <w:lang w:eastAsia="en-GB"/>
        </w:rPr>
        <w:t xml:space="preserve">Burke in the </w:t>
      </w:r>
      <w:r w:rsidRPr="00D401D2">
        <w:rPr>
          <w:rFonts w:ascii="Calibri" w:eastAsia="SimSun" w:hAnsi="Calibri" w:cs="Arial"/>
          <w:i/>
          <w:iCs/>
          <w:sz w:val="24"/>
          <w:szCs w:val="24"/>
          <w:lang w:eastAsia="en-GB"/>
        </w:rPr>
        <w:t xml:space="preserve">Reflections </w:t>
      </w:r>
      <w:r w:rsidR="00B22514" w:rsidRPr="00D401D2">
        <w:rPr>
          <w:rFonts w:ascii="Calibri" w:eastAsia="SimSun" w:hAnsi="Calibri" w:cs="Arial"/>
          <w:i/>
          <w:iCs/>
          <w:sz w:val="24"/>
          <w:szCs w:val="24"/>
          <w:lang w:eastAsia="en-GB"/>
        </w:rPr>
        <w:t>on the Revolution in France</w:t>
      </w:r>
      <w:r w:rsidR="00B22514">
        <w:rPr>
          <w:rFonts w:ascii="Calibri" w:eastAsia="SimSun" w:hAnsi="Calibri" w:cs="Arial"/>
          <w:sz w:val="24"/>
          <w:szCs w:val="24"/>
          <w:lang w:eastAsia="en-GB"/>
        </w:rPr>
        <w:t xml:space="preserve"> </w:t>
      </w:r>
      <w:r w:rsidRPr="00C04B75">
        <w:rPr>
          <w:rFonts w:ascii="Calibri" w:eastAsia="SimSun" w:hAnsi="Calibri" w:cs="Arial"/>
          <w:sz w:val="24"/>
          <w:szCs w:val="24"/>
          <w:lang w:eastAsia="en-GB"/>
        </w:rPr>
        <w:t xml:space="preserve">on the </w:t>
      </w:r>
      <w:r w:rsidR="00B22514">
        <w:rPr>
          <w:rFonts w:ascii="Calibri" w:eastAsia="SimSun" w:hAnsi="Calibri" w:cs="Arial"/>
          <w:sz w:val="24"/>
          <w:szCs w:val="24"/>
          <w:lang w:eastAsia="en-GB"/>
        </w:rPr>
        <w:t>“</w:t>
      </w:r>
      <w:r w:rsidRPr="00C04B75">
        <w:rPr>
          <w:rFonts w:ascii="Calibri" w:eastAsia="SimSun" w:hAnsi="Calibri" w:cs="Arial"/>
          <w:sz w:val="24"/>
          <w:szCs w:val="24"/>
          <w:lang w:eastAsia="en-GB"/>
        </w:rPr>
        <w:t>calamitous</w:t>
      </w:r>
      <w:r w:rsidR="00B22514">
        <w:rPr>
          <w:rFonts w:ascii="Calibri" w:eastAsia="SimSun" w:hAnsi="Calibri" w:cs="Arial"/>
          <w:sz w:val="24"/>
          <w:szCs w:val="24"/>
          <w:lang w:eastAsia="en-GB"/>
        </w:rPr>
        <w:t xml:space="preserve">” </w:t>
      </w:r>
      <w:r w:rsidRPr="00C04B75">
        <w:rPr>
          <w:rFonts w:ascii="Calibri" w:eastAsia="SimSun" w:hAnsi="Calibri" w:cs="Arial"/>
          <w:sz w:val="24"/>
          <w:szCs w:val="24"/>
          <w:lang w:eastAsia="en-GB"/>
        </w:rPr>
        <w:t>consequences of confounding divine with civil power (</w:t>
      </w:r>
      <w:r w:rsidRPr="0007469A">
        <w:rPr>
          <w:rFonts w:ascii="Calibri" w:eastAsia="SimSun" w:hAnsi="Calibri" w:cs="Arial"/>
          <w:i/>
          <w:iCs/>
          <w:sz w:val="24"/>
          <w:szCs w:val="24"/>
          <w:lang w:eastAsia="en-GB"/>
        </w:rPr>
        <w:t>Works</w:t>
      </w:r>
      <w:r>
        <w:rPr>
          <w:rFonts w:ascii="Calibri" w:eastAsia="SimSun" w:hAnsi="Calibri" w:cs="Arial"/>
          <w:sz w:val="24"/>
          <w:szCs w:val="24"/>
          <w:lang w:eastAsia="en-GB"/>
        </w:rPr>
        <w:t xml:space="preserve"> 15.</w:t>
      </w:r>
      <w:r w:rsidRPr="00C04B75">
        <w:rPr>
          <w:rFonts w:ascii="Calibri" w:eastAsia="SimSun" w:hAnsi="Calibri" w:cs="Arial"/>
          <w:sz w:val="24"/>
          <w:szCs w:val="24"/>
          <w:lang w:eastAsia="en-GB"/>
        </w:rPr>
        <w:t>548-9, f/n).</w:t>
      </w:r>
      <w:r w:rsidRPr="00C04B75">
        <w:rPr>
          <w:rFonts w:ascii="Calibri" w:eastAsia="SimSun" w:hAnsi="Calibri" w:cs="Calibri"/>
          <w:sz w:val="24"/>
          <w:szCs w:val="24"/>
          <w:lang w:eastAsia="en-GB"/>
        </w:rPr>
        <w:t xml:space="preserve"> In his reply to Burke Priestley insists that he was referring to the Catholic states of Europe although he concedes that </w:t>
      </w:r>
      <w:r w:rsidR="00D401D2">
        <w:rPr>
          <w:rFonts w:ascii="Calibri" w:eastAsia="SimSun" w:hAnsi="Calibri" w:cs="Calibri"/>
          <w:sz w:val="24"/>
          <w:szCs w:val="24"/>
          <w:lang w:eastAsia="en-GB"/>
        </w:rPr>
        <w:t>“</w:t>
      </w:r>
      <w:r w:rsidRPr="00C04B75">
        <w:rPr>
          <w:rFonts w:ascii="Calibri" w:eastAsia="SimSun" w:hAnsi="Calibri" w:cs="Calibri"/>
          <w:sz w:val="24"/>
          <w:szCs w:val="24"/>
          <w:lang w:eastAsia="en-GB"/>
        </w:rPr>
        <w:t>the interpretation of prophecy ought to be free to all</w:t>
      </w:r>
      <w:r w:rsidR="00D401D2">
        <w:rPr>
          <w:rFonts w:ascii="Calibri" w:eastAsia="SimSun" w:hAnsi="Calibri" w:cs="Calibri"/>
          <w:sz w:val="24"/>
          <w:szCs w:val="24"/>
          <w:lang w:eastAsia="en-GB"/>
        </w:rPr>
        <w:t>”</w:t>
      </w:r>
      <w:r w:rsidRPr="00C04B75">
        <w:rPr>
          <w:rFonts w:ascii="Calibri" w:eastAsia="SimSun" w:hAnsi="Calibri" w:cs="Calibri"/>
          <w:sz w:val="24"/>
          <w:szCs w:val="24"/>
          <w:lang w:eastAsia="en-GB"/>
        </w:rPr>
        <w:t xml:space="preserve"> (</w:t>
      </w:r>
      <w:r w:rsidRPr="00C04B75">
        <w:rPr>
          <w:rFonts w:ascii="Calibri" w:eastAsia="SimSun" w:hAnsi="Calibri" w:cs="Calibri"/>
          <w:i/>
          <w:iCs/>
          <w:sz w:val="24"/>
          <w:szCs w:val="24"/>
          <w:lang w:eastAsia="en-GB"/>
        </w:rPr>
        <w:t>Works</w:t>
      </w:r>
      <w:r w:rsidRPr="00C04B75">
        <w:rPr>
          <w:rFonts w:ascii="Calibri" w:eastAsia="SimSun" w:hAnsi="Calibri" w:cs="Calibri"/>
          <w:sz w:val="24"/>
          <w:szCs w:val="24"/>
          <w:lang w:eastAsia="en-GB"/>
        </w:rPr>
        <w:t xml:space="preserve"> 25.397) and that the separation of state from church need be </w:t>
      </w:r>
      <w:r w:rsidR="00D401D2">
        <w:rPr>
          <w:rFonts w:ascii="Calibri" w:eastAsia="SimSun" w:hAnsi="Calibri" w:cs="Calibri"/>
          <w:sz w:val="24"/>
          <w:szCs w:val="24"/>
          <w:lang w:eastAsia="en-GB"/>
        </w:rPr>
        <w:t>“</w:t>
      </w:r>
      <w:r w:rsidRPr="00C04B75">
        <w:rPr>
          <w:rFonts w:ascii="Calibri" w:eastAsia="SimSun" w:hAnsi="Calibri" w:cs="Calibri"/>
          <w:sz w:val="24"/>
          <w:szCs w:val="24"/>
          <w:lang w:eastAsia="en-GB"/>
        </w:rPr>
        <w:t>attended with no calamity</w:t>
      </w:r>
      <w:r w:rsidR="00D401D2">
        <w:rPr>
          <w:rFonts w:ascii="Calibri" w:eastAsia="SimSun" w:hAnsi="Calibri" w:cs="Calibri"/>
          <w:sz w:val="24"/>
          <w:szCs w:val="24"/>
          <w:lang w:eastAsia="en-GB"/>
        </w:rPr>
        <w:t>”</w:t>
      </w:r>
      <w:r w:rsidRPr="00C04B75">
        <w:rPr>
          <w:rFonts w:ascii="Calibri" w:eastAsia="SimSun" w:hAnsi="Calibri" w:cs="Calibri"/>
          <w:sz w:val="24"/>
          <w:szCs w:val="24"/>
          <w:lang w:eastAsia="en-GB"/>
        </w:rPr>
        <w:t xml:space="preserve"> (</w:t>
      </w:r>
      <w:r w:rsidRPr="00C04B75">
        <w:rPr>
          <w:rFonts w:ascii="Calibri" w:eastAsia="SimSun" w:hAnsi="Calibri" w:cs="Calibri"/>
          <w:i/>
          <w:iCs/>
          <w:sz w:val="24"/>
          <w:szCs w:val="24"/>
          <w:lang w:eastAsia="en-GB"/>
        </w:rPr>
        <w:t>Works</w:t>
      </w:r>
      <w:r w:rsidRPr="00C04B75">
        <w:rPr>
          <w:rFonts w:ascii="Calibri" w:eastAsia="SimSun" w:hAnsi="Calibri" w:cs="Calibri"/>
          <w:sz w:val="24"/>
          <w:szCs w:val="24"/>
          <w:lang w:eastAsia="en-GB"/>
        </w:rPr>
        <w:t xml:space="preserve"> 22.229).</w:t>
      </w:r>
      <w:r w:rsidRPr="00C04B75">
        <w:rPr>
          <w:rFonts w:cs="Calibri"/>
          <w:sz w:val="24"/>
          <w:szCs w:val="24"/>
        </w:rPr>
        <w:t xml:space="preserve"> In an Appendix to the 1794 sermon he also quotes Hartley:  </w:t>
      </w:r>
      <w:r w:rsidR="00D401D2">
        <w:rPr>
          <w:rFonts w:cs="Calibri"/>
          <w:sz w:val="24"/>
          <w:szCs w:val="24"/>
        </w:rPr>
        <w:t>“</w:t>
      </w:r>
      <w:r w:rsidRPr="00C04B75">
        <w:rPr>
          <w:rFonts w:cs="Calibri"/>
          <w:sz w:val="24"/>
          <w:szCs w:val="24"/>
        </w:rPr>
        <w:t>The downfall of the civil and; ecclesiastical powers … must both be attended with such public calamities as will make men serious; and also drive them from the countries of Christendom into the remote parts of the world</w:t>
      </w:r>
      <w:r w:rsidR="00D401D2">
        <w:rPr>
          <w:rFonts w:cs="Calibri"/>
          <w:sz w:val="24"/>
          <w:szCs w:val="24"/>
        </w:rPr>
        <w:t>”</w:t>
      </w:r>
      <w:r w:rsidRPr="00C04B75">
        <w:rPr>
          <w:rFonts w:cs="Calibri"/>
          <w:sz w:val="24"/>
          <w:szCs w:val="24"/>
        </w:rPr>
        <w:t xml:space="preserve">. The fulfilment of this prophecy for Brothers, when he quotes it in his </w:t>
      </w:r>
      <w:r w:rsidRPr="00C04B75">
        <w:rPr>
          <w:rFonts w:cs="Calibri"/>
          <w:i/>
          <w:iCs/>
          <w:sz w:val="24"/>
          <w:szCs w:val="24"/>
        </w:rPr>
        <w:t>Wonderful prophecies</w:t>
      </w:r>
      <w:r w:rsidRPr="00C04B75">
        <w:rPr>
          <w:rFonts w:cs="Calibri"/>
          <w:sz w:val="24"/>
          <w:szCs w:val="24"/>
        </w:rPr>
        <w:t xml:space="preserve"> (1795), is that Priestley himself has now gone to </w:t>
      </w:r>
      <w:r w:rsidR="00D401D2">
        <w:rPr>
          <w:rFonts w:cs="Calibri"/>
          <w:sz w:val="24"/>
          <w:szCs w:val="24"/>
        </w:rPr>
        <w:t>“</w:t>
      </w:r>
      <w:r w:rsidRPr="00C04B75">
        <w:rPr>
          <w:rFonts w:cs="Calibri"/>
          <w:sz w:val="24"/>
          <w:szCs w:val="24"/>
        </w:rPr>
        <w:t>the remoter parts of the world</w:t>
      </w:r>
      <w:r w:rsidR="00D401D2">
        <w:rPr>
          <w:rFonts w:cs="Calibri"/>
          <w:sz w:val="24"/>
          <w:szCs w:val="24"/>
        </w:rPr>
        <w:t>”</w:t>
      </w:r>
      <w:r w:rsidRPr="00C04B75">
        <w:rPr>
          <w:rFonts w:cs="Calibri"/>
          <w:sz w:val="24"/>
          <w:szCs w:val="24"/>
        </w:rPr>
        <w:t xml:space="preserve"> by joining his sons in the United States.</w:t>
      </w:r>
      <w:r w:rsidRPr="00C04B75">
        <w:rPr>
          <w:rFonts w:ascii="Calibri" w:eastAsia="SimSun" w:hAnsi="Calibri" w:cs="Arial"/>
          <w:sz w:val="20"/>
          <w:szCs w:val="20"/>
          <w:vertAlign w:val="superscript"/>
          <w:lang w:eastAsia="en-GB"/>
        </w:rPr>
        <w:footnoteReference w:id="59"/>
      </w:r>
      <w:r w:rsidRPr="00C04B75">
        <w:rPr>
          <w:rFonts w:ascii="Calibri" w:eastAsia="SimSun" w:hAnsi="Calibri" w:cs="Arial"/>
          <w:sz w:val="24"/>
          <w:szCs w:val="24"/>
          <w:lang w:eastAsia="en-GB"/>
        </w:rPr>
        <w:t xml:space="preserve">   </w:t>
      </w:r>
    </w:p>
    <w:p w:rsidR="0008685E" w:rsidRPr="00660A2C" w:rsidRDefault="0008685E" w:rsidP="00D401D2">
      <w:pPr>
        <w:spacing w:after="120" w:line="480" w:lineRule="auto"/>
        <w:ind w:firstLine="540"/>
        <w:rPr>
          <w:rFonts w:ascii="Calibri" w:eastAsia="SimSun" w:hAnsi="Calibri" w:cs="Arial"/>
          <w:sz w:val="24"/>
          <w:szCs w:val="24"/>
          <w:lang w:eastAsia="en-GB"/>
        </w:rPr>
      </w:pPr>
      <w:r w:rsidRPr="00660A2C">
        <w:rPr>
          <w:rFonts w:ascii="Calibri" w:eastAsia="SimSun" w:hAnsi="Calibri" w:cs="Arial"/>
          <w:sz w:val="24"/>
          <w:szCs w:val="24"/>
          <w:lang w:eastAsia="en-GB"/>
        </w:rPr>
        <w:t xml:space="preserve">Priestley cannot say when calamity will end and the kingdom of Christ begin: </w:t>
      </w:r>
      <w:r w:rsidR="00D401D2">
        <w:rPr>
          <w:rFonts w:ascii="Calibri" w:eastAsia="SimSun" w:hAnsi="Calibri" w:cs="Arial"/>
          <w:sz w:val="24"/>
          <w:szCs w:val="24"/>
          <w:lang w:eastAsia="en-GB"/>
        </w:rPr>
        <w:t>“</w:t>
      </w:r>
      <w:r w:rsidRPr="00660A2C">
        <w:rPr>
          <w:rFonts w:ascii="Calibri" w:eastAsia="SimSun" w:hAnsi="Calibri" w:cs="Arial"/>
          <w:sz w:val="24"/>
          <w:szCs w:val="24"/>
          <w:lang w:eastAsia="en-GB"/>
        </w:rPr>
        <w:t xml:space="preserve">It is enough for us to know the certainty of these great events, that our faith may not fail on the approach of the predicted calamity, confident that it will have the happiest issue in </w:t>
      </w:r>
      <w:proofErr w:type="spellStart"/>
      <w:r w:rsidRPr="00660A2C">
        <w:rPr>
          <w:rFonts w:ascii="Calibri" w:eastAsia="SimSun" w:hAnsi="Calibri" w:cs="Arial"/>
          <w:sz w:val="24"/>
          <w:szCs w:val="24"/>
          <w:lang w:eastAsia="en-GB"/>
        </w:rPr>
        <w:t>God</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s</w:t>
      </w:r>
      <w:proofErr w:type="spellEnd"/>
      <w:r w:rsidRPr="00660A2C">
        <w:rPr>
          <w:rFonts w:ascii="Calibri" w:eastAsia="SimSun" w:hAnsi="Calibri" w:cs="Arial"/>
          <w:sz w:val="24"/>
          <w:szCs w:val="24"/>
          <w:lang w:eastAsia="en-GB"/>
        </w:rPr>
        <w:t xml:space="preserve"> own time</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 (543).  Priestley there has the accents of the DJ on an evangelical radio station, and he is clear about that which is not figurative.  It is the promise made to the disciples that Christ will re-descend in the same way he had earlier ascended (549).   (In the same year, but on a different continent, Priestley wrote from Philadelphia that the liberality of an atheist such as </w:t>
      </w:r>
      <w:r>
        <w:rPr>
          <w:rFonts w:ascii="Calibri" w:eastAsia="SimSun" w:hAnsi="Calibri" w:cs="Arial"/>
          <w:sz w:val="24"/>
          <w:szCs w:val="24"/>
          <w:lang w:eastAsia="en-GB"/>
        </w:rPr>
        <w:t xml:space="preserve">Thomas </w:t>
      </w:r>
      <w:r w:rsidRPr="00660A2C">
        <w:rPr>
          <w:rFonts w:ascii="Calibri" w:eastAsia="SimSun" w:hAnsi="Calibri" w:cs="Arial"/>
          <w:sz w:val="24"/>
          <w:szCs w:val="24"/>
          <w:lang w:eastAsia="en-GB"/>
        </w:rPr>
        <w:t>Paine is to be resisted partly by dire warnings that we may have entered the last days [</w:t>
      </w:r>
      <w:r w:rsidRPr="00660A2C">
        <w:rPr>
          <w:rFonts w:ascii="Calibri" w:eastAsia="SimSun" w:hAnsi="Calibri" w:cs="Arial"/>
          <w:i/>
          <w:iCs/>
          <w:sz w:val="24"/>
          <w:szCs w:val="24"/>
          <w:lang w:eastAsia="en-GB"/>
        </w:rPr>
        <w:t>Works</w:t>
      </w:r>
      <w:r w:rsidRPr="00660A2C">
        <w:rPr>
          <w:rFonts w:ascii="Calibri" w:eastAsia="SimSun" w:hAnsi="Calibri" w:cs="Arial"/>
          <w:sz w:val="24"/>
          <w:szCs w:val="24"/>
          <w:lang w:eastAsia="en-GB"/>
        </w:rPr>
        <w:t xml:space="preserve"> 16.10].)  Confident that apocalypse must be succeeded by millennium, the viewer of present calamities c</w:t>
      </w:r>
      <w:r>
        <w:rPr>
          <w:rFonts w:ascii="Calibri" w:eastAsia="SimSun" w:hAnsi="Calibri" w:cs="Arial"/>
          <w:sz w:val="24"/>
          <w:szCs w:val="24"/>
          <w:lang w:eastAsia="en-GB"/>
        </w:rPr>
        <w:t>ould afford to</w:t>
      </w:r>
      <w:r w:rsidRPr="00660A2C">
        <w:rPr>
          <w:rFonts w:ascii="Calibri" w:eastAsia="SimSun" w:hAnsi="Calibri" w:cs="Arial"/>
          <w:sz w:val="24"/>
          <w:szCs w:val="24"/>
          <w:lang w:eastAsia="en-GB"/>
        </w:rPr>
        <w:t xml:space="preserve"> be sanguine: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What … should hinder our contemplating the great scene that seems now to be opening upon us, awful as it is, with tranquillity, and even with satisfaction, from our firm persuasion, that its termination </w:t>
      </w:r>
      <w:proofErr w:type="gramStart"/>
      <w:r w:rsidRPr="00660A2C">
        <w:rPr>
          <w:rFonts w:ascii="Calibri" w:eastAsia="SimSun" w:hAnsi="Calibri" w:cs="Arial"/>
          <w:sz w:val="24"/>
          <w:szCs w:val="24"/>
          <w:lang w:eastAsia="en-GB"/>
        </w:rPr>
        <w:t>will  be</w:t>
      </w:r>
      <w:proofErr w:type="gramEnd"/>
      <w:r w:rsidRPr="00660A2C">
        <w:rPr>
          <w:rFonts w:ascii="Calibri" w:eastAsia="SimSun" w:hAnsi="Calibri" w:cs="Arial"/>
          <w:sz w:val="24"/>
          <w:szCs w:val="24"/>
          <w:lang w:eastAsia="en-GB"/>
        </w:rPr>
        <w:t xml:space="preserve"> glorious and happy?</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 (551).</w:t>
      </w:r>
    </w:p>
    <w:p w:rsidR="0008685E" w:rsidRPr="00660A2C" w:rsidRDefault="0008685E" w:rsidP="00CB2DCB">
      <w:pPr>
        <w:spacing w:after="120" w:line="480" w:lineRule="auto"/>
        <w:ind w:firstLine="540"/>
        <w:rPr>
          <w:rFonts w:ascii="Calibri" w:eastAsia="SimSun" w:hAnsi="Calibri" w:cs="Arial"/>
          <w:sz w:val="24"/>
          <w:szCs w:val="24"/>
          <w:lang w:eastAsia="en-GB"/>
        </w:rPr>
      </w:pPr>
      <w:r w:rsidRPr="00660A2C">
        <w:rPr>
          <w:rFonts w:ascii="Calibri" w:eastAsia="SimSun" w:hAnsi="Calibri" w:cs="Arial"/>
          <w:sz w:val="24"/>
          <w:szCs w:val="24"/>
          <w:lang w:eastAsia="en-GB"/>
        </w:rPr>
        <w:t xml:space="preserve">The kingdom of heaven that was at hand for the apostle Matthew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is not yet come, but much nearer than it was in their time</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  The supersession of the kingdoms of the world by the kingdom of Christ is presaged in general terms by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the present disturbances in Europe</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 which are unprecedented and are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the beginning of those very calamitous times</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 (</w:t>
      </w:r>
      <w:r w:rsidRPr="00660A2C">
        <w:rPr>
          <w:rFonts w:ascii="Calibri" w:eastAsia="SimSun" w:hAnsi="Calibri" w:cs="Arial"/>
          <w:i/>
          <w:iCs/>
          <w:sz w:val="24"/>
          <w:szCs w:val="24"/>
          <w:lang w:eastAsia="en-GB"/>
        </w:rPr>
        <w:t>Works</w:t>
      </w:r>
      <w:r>
        <w:rPr>
          <w:rFonts w:ascii="Calibri" w:eastAsia="SimSun" w:hAnsi="Calibri" w:cs="Arial"/>
          <w:sz w:val="24"/>
          <w:szCs w:val="24"/>
          <w:lang w:eastAsia="en-GB"/>
        </w:rPr>
        <w:t xml:space="preserve"> 15.533).  Although Priestley</w:t>
      </w:r>
      <w:r w:rsidRPr="00660A2C">
        <w:rPr>
          <w:rFonts w:ascii="Calibri" w:eastAsia="SimSun" w:hAnsi="Calibri" w:cs="Arial"/>
          <w:sz w:val="24"/>
          <w:szCs w:val="24"/>
          <w:lang w:eastAsia="en-GB"/>
        </w:rPr>
        <w:t xml:space="preserve"> again insists that the language of Revelations is figurative, its relevance to Europe </w:t>
      </w:r>
      <w:r>
        <w:rPr>
          <w:rFonts w:ascii="Calibri" w:eastAsia="SimSun" w:hAnsi="Calibri" w:cs="Arial"/>
          <w:sz w:val="24"/>
          <w:szCs w:val="24"/>
          <w:lang w:eastAsia="en-GB"/>
        </w:rPr>
        <w:t>wa</w:t>
      </w:r>
      <w:r w:rsidRPr="00660A2C">
        <w:rPr>
          <w:rFonts w:ascii="Calibri" w:eastAsia="SimSun" w:hAnsi="Calibri" w:cs="Arial"/>
          <w:sz w:val="24"/>
          <w:szCs w:val="24"/>
          <w:lang w:eastAsia="en-GB"/>
        </w:rPr>
        <w:t>s because the prophecies show</w:t>
      </w:r>
      <w:r>
        <w:rPr>
          <w:rFonts w:ascii="Calibri" w:eastAsia="SimSun" w:hAnsi="Calibri" w:cs="Arial"/>
          <w:sz w:val="24"/>
          <w:szCs w:val="24"/>
          <w:lang w:eastAsia="en-GB"/>
        </w:rPr>
        <w:t>ed that</w:t>
      </w:r>
      <w:r w:rsidRPr="00660A2C">
        <w:rPr>
          <w:rFonts w:ascii="Calibri" w:eastAsia="SimSun" w:hAnsi="Calibri" w:cs="Arial"/>
          <w:sz w:val="24"/>
          <w:szCs w:val="24"/>
          <w:lang w:eastAsia="en-GB"/>
        </w:rPr>
        <w:t xml:space="preserve"> the heaviest judgements w</w:t>
      </w:r>
      <w:r>
        <w:rPr>
          <w:rFonts w:ascii="Calibri" w:eastAsia="SimSun" w:hAnsi="Calibri" w:cs="Arial"/>
          <w:sz w:val="24"/>
          <w:szCs w:val="24"/>
          <w:lang w:eastAsia="en-GB"/>
        </w:rPr>
        <w:t>ould</w:t>
      </w:r>
      <w:r w:rsidRPr="00660A2C">
        <w:rPr>
          <w:rFonts w:ascii="Calibri" w:eastAsia="SimSun" w:hAnsi="Calibri" w:cs="Arial"/>
          <w:sz w:val="24"/>
          <w:szCs w:val="24"/>
          <w:lang w:eastAsia="en-GB"/>
        </w:rPr>
        <w:t xml:space="preserve"> fall on those nations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which have been subject first to the Roman empire, and then to the see of </w:t>
      </w:r>
      <w:proofErr w:type="gramStart"/>
      <w:r w:rsidRPr="00660A2C">
        <w:rPr>
          <w:rFonts w:ascii="Calibri" w:eastAsia="SimSun" w:hAnsi="Calibri" w:cs="Arial"/>
          <w:sz w:val="24"/>
          <w:szCs w:val="24"/>
          <w:lang w:eastAsia="en-GB"/>
        </w:rPr>
        <w:t>Rome  (</w:t>
      </w:r>
      <w:proofErr w:type="gramEnd"/>
      <w:r w:rsidRPr="00660A2C">
        <w:rPr>
          <w:rFonts w:ascii="Calibri" w:eastAsia="SimSun" w:hAnsi="Calibri" w:cs="Arial"/>
          <w:sz w:val="24"/>
          <w:szCs w:val="24"/>
          <w:lang w:eastAsia="en-GB"/>
        </w:rPr>
        <w:t xml:space="preserve">542), in an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earthquake</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 that </w:t>
      </w:r>
      <w:r>
        <w:rPr>
          <w:rFonts w:ascii="Calibri" w:eastAsia="SimSun" w:hAnsi="Calibri" w:cs="Arial"/>
          <w:sz w:val="24"/>
          <w:szCs w:val="24"/>
          <w:lang w:eastAsia="en-GB"/>
        </w:rPr>
        <w:t xml:space="preserve">was already </w:t>
      </w:r>
      <w:r w:rsidRPr="00660A2C">
        <w:rPr>
          <w:rFonts w:ascii="Calibri" w:eastAsia="SimSun" w:hAnsi="Calibri" w:cs="Arial"/>
          <w:sz w:val="24"/>
          <w:szCs w:val="24"/>
          <w:lang w:eastAsia="en-GB"/>
        </w:rPr>
        <w:t>convuls</w:t>
      </w:r>
      <w:r>
        <w:rPr>
          <w:rFonts w:ascii="Calibri" w:eastAsia="SimSun" w:hAnsi="Calibri" w:cs="Arial"/>
          <w:sz w:val="24"/>
          <w:szCs w:val="24"/>
          <w:lang w:eastAsia="en-GB"/>
        </w:rPr>
        <w:t>ing</w:t>
      </w:r>
      <w:r w:rsidRPr="00660A2C">
        <w:rPr>
          <w:rFonts w:ascii="Calibri" w:eastAsia="SimSun" w:hAnsi="Calibri" w:cs="Arial"/>
          <w:sz w:val="24"/>
          <w:szCs w:val="24"/>
          <w:lang w:eastAsia="en-GB"/>
        </w:rPr>
        <w:t xml:space="preserve"> the former Papal dominion of France. </w:t>
      </w:r>
    </w:p>
    <w:p w:rsidR="0008685E" w:rsidRPr="00660A2C" w:rsidRDefault="0008685E" w:rsidP="00C819CD">
      <w:pPr>
        <w:spacing w:after="120" w:line="480" w:lineRule="auto"/>
        <w:ind w:firstLine="547"/>
        <w:rPr>
          <w:rFonts w:ascii="Calibri" w:eastAsia="SimSun" w:hAnsi="Calibri" w:cs="Arial"/>
          <w:sz w:val="24"/>
          <w:szCs w:val="24"/>
          <w:lang w:eastAsia="en-GB"/>
        </w:rPr>
      </w:pPr>
      <w:r w:rsidRPr="00660A2C">
        <w:rPr>
          <w:rFonts w:ascii="Calibri" w:eastAsia="SimSun" w:hAnsi="Calibri" w:cs="Arial"/>
          <w:sz w:val="24"/>
          <w:szCs w:val="24"/>
          <w:lang w:eastAsia="en-GB"/>
        </w:rPr>
        <w:t xml:space="preserve">That is not a reading of prophecy that </w:t>
      </w:r>
      <w:r>
        <w:rPr>
          <w:rFonts w:ascii="Calibri" w:eastAsia="SimSun" w:hAnsi="Calibri" w:cs="Arial"/>
          <w:sz w:val="24"/>
          <w:szCs w:val="24"/>
          <w:lang w:eastAsia="en-GB"/>
        </w:rPr>
        <w:t>wa</w:t>
      </w:r>
      <w:r w:rsidRPr="00660A2C">
        <w:rPr>
          <w:rFonts w:ascii="Calibri" w:eastAsia="SimSun" w:hAnsi="Calibri" w:cs="Arial"/>
          <w:sz w:val="24"/>
          <w:szCs w:val="24"/>
          <w:lang w:eastAsia="en-GB"/>
        </w:rPr>
        <w:t>s going to disturb the British wartime government because such prophecies ha</w:t>
      </w:r>
      <w:r>
        <w:rPr>
          <w:rFonts w:ascii="Calibri" w:eastAsia="SimSun" w:hAnsi="Calibri" w:cs="Arial"/>
          <w:sz w:val="24"/>
          <w:szCs w:val="24"/>
          <w:lang w:eastAsia="en-GB"/>
        </w:rPr>
        <w:t>d</w:t>
      </w:r>
      <w:r w:rsidRPr="00660A2C">
        <w:rPr>
          <w:rFonts w:ascii="Calibri" w:eastAsia="SimSun" w:hAnsi="Calibri" w:cs="Arial"/>
          <w:sz w:val="24"/>
          <w:szCs w:val="24"/>
          <w:lang w:eastAsia="en-GB"/>
        </w:rPr>
        <w:t xml:space="preserve"> other functions.  First, they ha</w:t>
      </w:r>
      <w:r>
        <w:rPr>
          <w:rFonts w:ascii="Calibri" w:eastAsia="SimSun" w:hAnsi="Calibri" w:cs="Arial"/>
          <w:sz w:val="24"/>
          <w:szCs w:val="24"/>
          <w:lang w:eastAsia="en-GB"/>
        </w:rPr>
        <w:t>d</w:t>
      </w:r>
      <w:r w:rsidRPr="00660A2C">
        <w:rPr>
          <w:rFonts w:ascii="Calibri" w:eastAsia="SimSun" w:hAnsi="Calibri" w:cs="Arial"/>
          <w:sz w:val="24"/>
          <w:szCs w:val="24"/>
          <w:lang w:eastAsia="en-GB"/>
        </w:rPr>
        <w:t xml:space="preserve"> to console those fellow Dissenters, whose activities within institutions parallel to the dominant ones may, in time of war, no longer be tolerated, who might now have found that those institutions were not being as generously funded as they had been, who m</w:t>
      </w:r>
      <w:r>
        <w:rPr>
          <w:rFonts w:ascii="Calibri" w:eastAsia="SimSun" w:hAnsi="Calibri" w:cs="Arial"/>
          <w:sz w:val="24"/>
          <w:szCs w:val="24"/>
          <w:lang w:eastAsia="en-GB"/>
        </w:rPr>
        <w:t>ight</w:t>
      </w:r>
      <w:r w:rsidRPr="00660A2C">
        <w:rPr>
          <w:rFonts w:ascii="Calibri" w:eastAsia="SimSun" w:hAnsi="Calibri" w:cs="Arial"/>
          <w:sz w:val="24"/>
          <w:szCs w:val="24"/>
          <w:lang w:eastAsia="en-GB"/>
        </w:rPr>
        <w:t xml:space="preserve"> not (like Priestley himself) have been compensated for injuries they received and who had found that resentment against them had increased.  Second, Priestley based his prophecies on observation of natural religion (of historical events) as well as of research in revealed religion (by reading scripture).  An account of progress has to </w:t>
      </w:r>
      <w:r>
        <w:rPr>
          <w:rFonts w:ascii="Calibri" w:eastAsia="SimSun" w:hAnsi="Calibri" w:cs="Arial"/>
          <w:sz w:val="24"/>
          <w:szCs w:val="24"/>
          <w:lang w:eastAsia="en-GB"/>
        </w:rPr>
        <w:t>satisfy him that it is</w:t>
      </w:r>
      <w:r w:rsidRPr="00660A2C">
        <w:rPr>
          <w:rFonts w:ascii="Calibri" w:eastAsia="SimSun" w:hAnsi="Calibri" w:cs="Arial"/>
          <w:sz w:val="24"/>
          <w:szCs w:val="24"/>
          <w:lang w:eastAsia="en-GB"/>
        </w:rPr>
        <w:t xml:space="preserve"> consistent with hi</w:t>
      </w:r>
      <w:r>
        <w:rPr>
          <w:rFonts w:ascii="Calibri" w:eastAsia="SimSun" w:hAnsi="Calibri" w:cs="Arial"/>
          <w:sz w:val="24"/>
          <w:szCs w:val="24"/>
          <w:lang w:eastAsia="en-GB"/>
        </w:rPr>
        <w:t>s research in</w:t>
      </w:r>
      <w:r w:rsidRPr="00660A2C">
        <w:rPr>
          <w:rFonts w:ascii="Calibri" w:eastAsia="SimSun" w:hAnsi="Calibri" w:cs="Arial"/>
          <w:sz w:val="24"/>
          <w:szCs w:val="24"/>
          <w:lang w:eastAsia="en-GB"/>
        </w:rPr>
        <w:t>to natural philosophy</w:t>
      </w:r>
      <w:r w:rsidR="00C819CD">
        <w:rPr>
          <w:rFonts w:ascii="Calibri" w:eastAsia="SimSun" w:hAnsi="Calibri" w:cs="Arial"/>
          <w:sz w:val="24"/>
          <w:szCs w:val="24"/>
          <w:lang w:eastAsia="en-GB"/>
        </w:rPr>
        <w:t>.</w:t>
      </w:r>
      <w:r w:rsidR="00C819CD">
        <w:rPr>
          <w:rStyle w:val="FootnoteReference"/>
          <w:rFonts w:ascii="Calibri" w:eastAsia="SimSun" w:hAnsi="Calibri" w:cs="Arial"/>
          <w:sz w:val="24"/>
          <w:szCs w:val="24"/>
          <w:lang w:eastAsia="en-GB"/>
        </w:rPr>
        <w:footnoteReference w:id="60"/>
      </w:r>
      <w:r w:rsidRPr="00660A2C">
        <w:rPr>
          <w:rFonts w:ascii="Calibri" w:eastAsia="SimSun" w:hAnsi="Calibri" w:cs="Arial"/>
          <w:sz w:val="24"/>
          <w:szCs w:val="24"/>
          <w:lang w:eastAsia="en-GB"/>
        </w:rPr>
        <w:t xml:space="preserve"> Priestley </w:t>
      </w:r>
      <w:r>
        <w:rPr>
          <w:rFonts w:ascii="Calibri" w:eastAsia="SimSun" w:hAnsi="Calibri" w:cs="Arial"/>
          <w:sz w:val="24"/>
          <w:szCs w:val="24"/>
          <w:lang w:eastAsia="en-GB"/>
        </w:rPr>
        <w:t>saw</w:t>
      </w:r>
      <w:r w:rsidRPr="00660A2C">
        <w:rPr>
          <w:rFonts w:ascii="Calibri" w:eastAsia="SimSun" w:hAnsi="Calibri" w:cs="Arial"/>
          <w:sz w:val="24"/>
          <w:szCs w:val="24"/>
          <w:lang w:eastAsia="en-GB"/>
        </w:rPr>
        <w:t xml:space="preserve"> the Christian account as exemplified in the world but not as identical to it.  Prophecy relies on allegorical understanding: whether elements of the allegory are translated or merely represented, it relies on recognising two levels of representation.  If a figure such as Brothers w</w:t>
      </w:r>
      <w:r>
        <w:rPr>
          <w:rFonts w:ascii="Calibri" w:eastAsia="SimSun" w:hAnsi="Calibri" w:cs="Arial"/>
          <w:sz w:val="24"/>
          <w:szCs w:val="24"/>
          <w:lang w:eastAsia="en-GB"/>
        </w:rPr>
        <w:t>ants to collapse one in</w:t>
      </w:r>
      <w:r w:rsidRPr="00660A2C">
        <w:rPr>
          <w:rFonts w:ascii="Calibri" w:eastAsia="SimSun" w:hAnsi="Calibri" w:cs="Arial"/>
          <w:sz w:val="24"/>
          <w:szCs w:val="24"/>
          <w:lang w:eastAsia="en-GB"/>
        </w:rPr>
        <w:t xml:space="preserve">to the other – wants, that is, to collapse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symbolic</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 and </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literal</w:t>
      </w:r>
      <w:r w:rsidR="000A2B9A">
        <w:rPr>
          <w:rFonts w:ascii="Calibri" w:eastAsia="SimSun" w:hAnsi="Calibri" w:cs="Arial"/>
          <w:sz w:val="24"/>
          <w:szCs w:val="24"/>
          <w:lang w:eastAsia="en-GB"/>
        </w:rPr>
        <w:t>”</w:t>
      </w:r>
      <w:r w:rsidRPr="00660A2C">
        <w:rPr>
          <w:rFonts w:ascii="Calibri" w:eastAsia="SimSun" w:hAnsi="Calibri" w:cs="Arial"/>
          <w:sz w:val="24"/>
          <w:szCs w:val="24"/>
          <w:lang w:eastAsia="en-GB"/>
        </w:rPr>
        <w:t xml:space="preserve"> levels – for Priestley that literal level comprises not only political events but also the workings of nature, which show God’s plan in operation.  </w:t>
      </w:r>
    </w:p>
    <w:p w:rsidR="0008685E" w:rsidRDefault="0008685E" w:rsidP="0097354A">
      <w:pPr>
        <w:spacing w:after="120" w:line="480" w:lineRule="auto"/>
        <w:ind w:firstLine="547"/>
        <w:rPr>
          <w:rFonts w:ascii="Calibri" w:eastAsia="SimSun" w:hAnsi="Calibri" w:cs="Arial"/>
          <w:sz w:val="24"/>
          <w:szCs w:val="24"/>
          <w:lang w:eastAsia="en-GB"/>
        </w:rPr>
      </w:pPr>
      <w:r w:rsidRPr="00B5561F">
        <w:rPr>
          <w:rFonts w:ascii="Calibri" w:eastAsia="SimSun" w:hAnsi="Calibri" w:cs="Arial"/>
          <w:sz w:val="24"/>
          <w:szCs w:val="24"/>
          <w:lang w:eastAsia="en-GB"/>
        </w:rPr>
        <w:t>The apocalyptic turn c</w:t>
      </w:r>
      <w:r>
        <w:rPr>
          <w:rFonts w:ascii="Calibri" w:eastAsia="SimSun" w:hAnsi="Calibri" w:cs="Arial"/>
          <w:sz w:val="24"/>
          <w:szCs w:val="24"/>
          <w:lang w:eastAsia="en-GB"/>
        </w:rPr>
        <w:t>a</w:t>
      </w:r>
      <w:r w:rsidRPr="00B5561F">
        <w:rPr>
          <w:rFonts w:ascii="Calibri" w:eastAsia="SimSun" w:hAnsi="Calibri" w:cs="Arial"/>
          <w:sz w:val="24"/>
          <w:szCs w:val="24"/>
          <w:lang w:eastAsia="en-GB"/>
        </w:rPr>
        <w:t>me late in Priestley’s career, of course precipitated by th</w:t>
      </w:r>
      <w:r>
        <w:rPr>
          <w:rFonts w:ascii="Calibri" w:eastAsia="SimSun" w:hAnsi="Calibri" w:cs="Arial"/>
          <w:sz w:val="24"/>
          <w:szCs w:val="24"/>
          <w:lang w:eastAsia="en-GB"/>
        </w:rPr>
        <w:t>e incursion of public events in</w:t>
      </w:r>
      <w:r w:rsidRPr="00B5561F">
        <w:rPr>
          <w:rFonts w:ascii="Calibri" w:eastAsia="SimSun" w:hAnsi="Calibri" w:cs="Arial"/>
          <w:sz w:val="24"/>
          <w:szCs w:val="24"/>
          <w:lang w:eastAsia="en-GB"/>
        </w:rPr>
        <w:t xml:space="preserve">to his family life. Perhaps his own interrupted domesticity was refigured as millennial </w:t>
      </w:r>
      <w:r w:rsidR="000A2B9A">
        <w:rPr>
          <w:rFonts w:ascii="Calibri" w:eastAsia="SimSun" w:hAnsi="Calibri" w:cs="Arial"/>
          <w:sz w:val="24"/>
          <w:szCs w:val="24"/>
          <w:lang w:eastAsia="en-GB"/>
        </w:rPr>
        <w:t>“</w:t>
      </w:r>
      <w:r>
        <w:rPr>
          <w:rFonts w:ascii="Calibri" w:eastAsia="SimSun" w:hAnsi="Calibri" w:cs="Arial"/>
          <w:sz w:val="24"/>
          <w:szCs w:val="24"/>
          <w:lang w:eastAsia="en-GB"/>
        </w:rPr>
        <w:t>calamity</w:t>
      </w:r>
      <w:r w:rsidR="000A2B9A">
        <w:rPr>
          <w:rFonts w:ascii="Calibri" w:eastAsia="SimSun" w:hAnsi="Calibri" w:cs="Arial"/>
          <w:sz w:val="24"/>
          <w:szCs w:val="24"/>
          <w:lang w:eastAsia="en-GB"/>
        </w:rPr>
        <w:t>”</w:t>
      </w:r>
      <w:r>
        <w:rPr>
          <w:rFonts w:ascii="Calibri" w:eastAsia="SimSun" w:hAnsi="Calibri" w:cs="Arial"/>
          <w:sz w:val="24"/>
          <w:szCs w:val="24"/>
          <w:lang w:eastAsia="en-GB"/>
        </w:rPr>
        <w:t xml:space="preserve"> </w:t>
      </w:r>
      <w:r w:rsidRPr="00B5561F">
        <w:rPr>
          <w:rFonts w:ascii="Calibri" w:eastAsia="SimSun" w:hAnsi="Calibri" w:cs="Arial"/>
          <w:sz w:val="24"/>
          <w:szCs w:val="24"/>
          <w:lang w:eastAsia="en-GB"/>
        </w:rPr>
        <w:t>rather than redemptive reward; nevertheless, it is d</w:t>
      </w:r>
      <w:r w:rsidRPr="00660A2C">
        <w:rPr>
          <w:rFonts w:ascii="Calibri" w:eastAsia="SimSun" w:hAnsi="Calibri" w:cs="Arial"/>
          <w:sz w:val="24"/>
          <w:szCs w:val="24"/>
          <w:lang w:eastAsia="en-GB"/>
        </w:rPr>
        <w:t xml:space="preserve">ifficult to see that apocalyptic turn as anything </w:t>
      </w:r>
      <w:r>
        <w:rPr>
          <w:rFonts w:ascii="Calibri" w:eastAsia="SimSun" w:hAnsi="Calibri" w:cs="Arial"/>
          <w:sz w:val="24"/>
          <w:szCs w:val="24"/>
          <w:lang w:eastAsia="en-GB"/>
        </w:rPr>
        <w:t>other</w:t>
      </w:r>
      <w:r w:rsidRPr="00660A2C">
        <w:rPr>
          <w:rFonts w:ascii="Calibri" w:eastAsia="SimSun" w:hAnsi="Calibri" w:cs="Arial"/>
          <w:sz w:val="24"/>
          <w:szCs w:val="24"/>
          <w:lang w:eastAsia="en-GB"/>
        </w:rPr>
        <w:t xml:space="preserve"> than giving up on the historical – or conservatively reversing the terms of Gramsci’s famous dictum so that it </w:t>
      </w:r>
      <w:r>
        <w:rPr>
          <w:rFonts w:ascii="Calibri" w:eastAsia="SimSun" w:hAnsi="Calibri" w:cs="Arial"/>
          <w:sz w:val="24"/>
          <w:szCs w:val="24"/>
          <w:lang w:eastAsia="en-GB"/>
        </w:rPr>
        <w:t>wa</w:t>
      </w:r>
      <w:r w:rsidRPr="00660A2C">
        <w:rPr>
          <w:rFonts w:ascii="Calibri" w:eastAsia="SimSun" w:hAnsi="Calibri" w:cs="Arial"/>
          <w:sz w:val="24"/>
          <w:szCs w:val="24"/>
          <w:lang w:eastAsia="en-GB"/>
        </w:rPr>
        <w:t>s optimism of the spirit, pessimism of the will.</w:t>
      </w:r>
      <w:r w:rsidRPr="00676F2E">
        <w:rPr>
          <w:rStyle w:val="FootnoteReference"/>
          <w:rFonts w:ascii="Calibri" w:eastAsia="SimSun" w:hAnsi="Calibri" w:cs="Arial"/>
          <w:sz w:val="20"/>
          <w:szCs w:val="20"/>
          <w:lang w:eastAsia="en-GB"/>
        </w:rPr>
        <w:footnoteReference w:id="61"/>
      </w:r>
      <w:r>
        <w:rPr>
          <w:rFonts w:ascii="Calibri" w:eastAsia="SimSun" w:hAnsi="Calibri" w:cs="Arial"/>
          <w:sz w:val="24"/>
          <w:szCs w:val="24"/>
          <w:lang w:eastAsia="en-GB"/>
        </w:rPr>
        <w:t xml:space="preserve"> Perhaps the fatalism of Priestley’s convictions as much as the fundamentalist interpretation on which they depended was what worried John Adams. Taking that discourse seriously (although not literally) </w:t>
      </w:r>
      <w:r w:rsidR="0097354A">
        <w:rPr>
          <w:rFonts w:ascii="Calibri" w:eastAsia="SimSun" w:hAnsi="Calibri" w:cs="Arial"/>
          <w:sz w:val="24"/>
          <w:szCs w:val="24"/>
          <w:lang w:eastAsia="en-GB"/>
        </w:rPr>
        <w:t>would lead to</w:t>
      </w:r>
      <w:r>
        <w:rPr>
          <w:rFonts w:ascii="Calibri" w:eastAsia="SimSun" w:hAnsi="Calibri" w:cs="Arial"/>
          <w:sz w:val="24"/>
          <w:szCs w:val="24"/>
          <w:lang w:eastAsia="en-GB"/>
        </w:rPr>
        <w:t xml:space="preserve"> a gain in understanding that period but </w:t>
      </w:r>
      <w:r w:rsidR="0097354A">
        <w:rPr>
          <w:rFonts w:ascii="Calibri" w:eastAsia="SimSun" w:hAnsi="Calibri" w:cs="Arial"/>
          <w:sz w:val="24"/>
          <w:szCs w:val="24"/>
          <w:lang w:eastAsia="en-GB"/>
        </w:rPr>
        <w:t>also give</w:t>
      </w:r>
      <w:r>
        <w:rPr>
          <w:rFonts w:ascii="Calibri" w:eastAsia="SimSun" w:hAnsi="Calibri" w:cs="Arial"/>
          <w:sz w:val="24"/>
          <w:szCs w:val="24"/>
          <w:lang w:eastAsia="en-GB"/>
        </w:rPr>
        <w:t xml:space="preserve"> us a way of confronting the apparent collision or incompatibility of discourses that Adams also observed.</w:t>
      </w:r>
    </w:p>
    <w:p w:rsidR="00DE5881" w:rsidRDefault="0008685E" w:rsidP="004C7D63">
      <w:pPr>
        <w:spacing w:after="120" w:line="480" w:lineRule="auto"/>
        <w:ind w:firstLine="547"/>
      </w:pPr>
      <w:r>
        <w:rPr>
          <w:rFonts w:ascii="Calibri" w:eastAsia="SimSun" w:hAnsi="Calibri" w:cs="Arial"/>
          <w:sz w:val="24"/>
          <w:szCs w:val="24"/>
          <w:lang w:eastAsia="en-GB"/>
        </w:rPr>
        <w:t xml:space="preserve">An unintended consequence of the apocalyptic discourse is to undo a progressive narrative that could be adapted to religious or secular purposes. Priestley did not have to deal with that consequence; he did not have to construct an alternative narrative that might accommodate difference and dissent, despite his piecemeal and sometimes quixotic attempts to do so, let alone one that might answer the demands of his co-religionists that it should also be of practical utility.  Instead, taking an enlightened narrative of improvement apparently sanctioned by scripture and re-applying it to the political world, as Priestley did, is the kind of manoeuvre that may be best explained in terms that are essentially neither political nor religious, for all that they are terms that he would himself have rejected: in aesthetic terms, such as in Blake’s 1790s proverb imagining a history guided by the poets rather than dominated by the priests: </w:t>
      </w:r>
      <w:r w:rsidR="000A2B9A">
        <w:rPr>
          <w:rFonts w:ascii="Calibri" w:eastAsia="SimSun" w:hAnsi="Calibri" w:cs="Arial"/>
          <w:sz w:val="24"/>
          <w:szCs w:val="24"/>
          <w:lang w:eastAsia="en-GB"/>
        </w:rPr>
        <w:t>“</w:t>
      </w:r>
      <w:r>
        <w:rPr>
          <w:rFonts w:ascii="Calibri" w:eastAsia="SimSun" w:hAnsi="Calibri" w:cs="Arial"/>
          <w:sz w:val="24"/>
          <w:szCs w:val="24"/>
          <w:lang w:eastAsia="en-GB"/>
        </w:rPr>
        <w:t>what is now proved was once only imagined</w:t>
      </w:r>
      <w:r w:rsidR="000A2B9A">
        <w:rPr>
          <w:rFonts w:ascii="Calibri" w:eastAsia="SimSun" w:hAnsi="Calibri" w:cs="Arial"/>
          <w:sz w:val="24"/>
          <w:szCs w:val="24"/>
          <w:lang w:eastAsia="en-GB"/>
        </w:rPr>
        <w:t>”</w:t>
      </w:r>
      <w:r>
        <w:rPr>
          <w:rFonts w:ascii="Calibri" w:eastAsia="SimSun" w:hAnsi="Calibri" w:cs="Arial"/>
          <w:sz w:val="24"/>
          <w:szCs w:val="24"/>
          <w:lang w:eastAsia="en-GB"/>
        </w:rPr>
        <w:t>.</w:t>
      </w:r>
      <w:r w:rsidRPr="00E12430">
        <w:rPr>
          <w:rStyle w:val="FootnoteReference"/>
          <w:rFonts w:ascii="Calibri" w:eastAsia="SimSun" w:hAnsi="Calibri" w:cs="Arial"/>
          <w:sz w:val="20"/>
          <w:szCs w:val="20"/>
          <w:lang w:eastAsia="en-GB"/>
        </w:rPr>
        <w:footnoteReference w:id="62"/>
      </w:r>
      <w:r w:rsidRPr="00E12430">
        <w:rPr>
          <w:rFonts w:ascii="Calibri" w:eastAsia="SimSun" w:hAnsi="Calibri" w:cs="Arial"/>
          <w:sz w:val="20"/>
          <w:szCs w:val="20"/>
          <w:lang w:eastAsia="en-GB"/>
        </w:rPr>
        <w:t xml:space="preserve"> </w:t>
      </w:r>
      <w:r w:rsidR="008A5259">
        <w:rPr>
          <w:rFonts w:ascii="Calibri" w:eastAsia="SimSun" w:hAnsi="Calibri" w:cs="Arial"/>
          <w:sz w:val="24"/>
          <w:szCs w:val="24"/>
          <w:lang w:eastAsia="en-GB"/>
        </w:rPr>
        <w:t>A consummation devoutly to be wished for might have been occurring inevitably, regardless of human agency.</w:t>
      </w:r>
    </w:p>
    <w:sectPr w:rsidR="00DE5881" w:rsidSect="00C5501A">
      <w:headerReference w:type="default" r:id="rId9"/>
      <w:endnotePr>
        <w:numFmt w:val="decimal"/>
      </w:endnotePr>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A7A" w:rsidRDefault="00AD6A7A" w:rsidP="004C14FE">
      <w:pPr>
        <w:spacing w:after="0" w:line="240" w:lineRule="auto"/>
      </w:pPr>
      <w:r>
        <w:separator/>
      </w:r>
    </w:p>
  </w:endnote>
  <w:endnote w:type="continuationSeparator" w:id="0">
    <w:p w:rsidR="00AD6A7A" w:rsidRDefault="00AD6A7A" w:rsidP="004C1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Khmer UI">
    <w:altName w:val="Microsoft Tai Le"/>
    <w:panose1 w:val="020B0502040204020203"/>
    <w:charset w:val="00"/>
    <w:family w:val="swiss"/>
    <w:pitch w:val="variable"/>
    <w:sig w:usb0="8000002F" w:usb1="0000204A" w:usb2="0001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A7A" w:rsidRDefault="00AD6A7A" w:rsidP="004C14FE">
      <w:pPr>
        <w:spacing w:after="0" w:line="240" w:lineRule="auto"/>
      </w:pPr>
      <w:r>
        <w:separator/>
      </w:r>
    </w:p>
  </w:footnote>
  <w:footnote w:type="continuationSeparator" w:id="0">
    <w:p w:rsidR="00AD6A7A" w:rsidRDefault="00AD6A7A" w:rsidP="004C14FE">
      <w:pPr>
        <w:spacing w:after="0" w:line="240" w:lineRule="auto"/>
      </w:pPr>
      <w:r>
        <w:continuationSeparator/>
      </w:r>
    </w:p>
  </w:footnote>
  <w:footnote w:id="1">
    <w:p w:rsidR="00CB030D" w:rsidRPr="00B523AB" w:rsidRDefault="00CB030D" w:rsidP="0008685E">
      <w:pPr>
        <w:spacing w:line="276" w:lineRule="auto"/>
        <w:rPr>
          <w:sz w:val="20"/>
          <w:szCs w:val="20"/>
        </w:rPr>
      </w:pPr>
      <w:r w:rsidRPr="00B523AB">
        <w:rPr>
          <w:rStyle w:val="FootnoteReference"/>
          <w:sz w:val="20"/>
          <w:szCs w:val="20"/>
        </w:rPr>
        <w:footnoteRef/>
      </w:r>
      <w:r w:rsidRPr="00B523AB">
        <w:rPr>
          <w:sz w:val="20"/>
          <w:szCs w:val="20"/>
        </w:rPr>
        <w:t xml:space="preserve"> </w:t>
      </w:r>
      <w:r w:rsidRPr="00B523AB">
        <w:rPr>
          <w:rStyle w:val="FootnotetextChar"/>
        </w:rPr>
        <w:t xml:space="preserve">B. W. Young, </w:t>
      </w:r>
      <w:r w:rsidRPr="00B523AB">
        <w:rPr>
          <w:rStyle w:val="FootnotetextChar"/>
          <w:i/>
          <w:iCs/>
        </w:rPr>
        <w:t>Religion and Enlightenment in Eighteenth-Century England: Theological Debate from Locke to Burke</w:t>
      </w:r>
      <w:r w:rsidRPr="00B523AB">
        <w:rPr>
          <w:rStyle w:val="FootnotetextChar"/>
        </w:rPr>
        <w:t xml:space="preserve"> (Oxford: Clarendon Press, 1998), 15. </w:t>
      </w:r>
      <w:r>
        <w:rPr>
          <w:rStyle w:val="FootnotetextChar"/>
        </w:rPr>
        <w:t>(</w:t>
      </w:r>
      <w:r w:rsidRPr="009931AA">
        <w:rPr>
          <w:sz w:val="20"/>
          <w:szCs w:val="20"/>
        </w:rPr>
        <w:t xml:space="preserve">Stephen Eric </w:t>
      </w:r>
      <w:proofErr w:type="spellStart"/>
      <w:r w:rsidRPr="009931AA">
        <w:rPr>
          <w:sz w:val="20"/>
          <w:szCs w:val="20"/>
        </w:rPr>
        <w:t>Bronner</w:t>
      </w:r>
      <w:proofErr w:type="spellEnd"/>
      <w:r w:rsidRPr="009931AA">
        <w:rPr>
          <w:sz w:val="20"/>
          <w:szCs w:val="20"/>
        </w:rPr>
        <w:t xml:space="preserve">, </w:t>
      </w:r>
      <w:r w:rsidRPr="007F236E">
        <w:rPr>
          <w:i/>
          <w:iCs/>
          <w:sz w:val="20"/>
          <w:szCs w:val="20"/>
        </w:rPr>
        <w:t>Reclaiming the Enlightenment: Toward a Politics of Radical Engagement</w:t>
      </w:r>
      <w:r>
        <w:rPr>
          <w:sz w:val="20"/>
          <w:szCs w:val="20"/>
        </w:rPr>
        <w:t xml:space="preserve"> [New York: </w:t>
      </w:r>
      <w:r w:rsidRPr="009931AA">
        <w:rPr>
          <w:sz w:val="20"/>
          <w:szCs w:val="20"/>
        </w:rPr>
        <w:t>Columbia University Press, 2004</w:t>
      </w:r>
      <w:r>
        <w:rPr>
          <w:sz w:val="20"/>
          <w:szCs w:val="20"/>
        </w:rPr>
        <w:t>]</w:t>
      </w:r>
      <w:r w:rsidRPr="009931AA">
        <w:rPr>
          <w:sz w:val="20"/>
          <w:szCs w:val="20"/>
        </w:rPr>
        <w:t xml:space="preserve">, </w:t>
      </w:r>
      <w:r w:rsidRPr="00B523AB">
        <w:rPr>
          <w:sz w:val="20"/>
          <w:szCs w:val="20"/>
        </w:rPr>
        <w:t>p24</w:t>
      </w:r>
      <w:r>
        <w:rPr>
          <w:sz w:val="20"/>
          <w:szCs w:val="20"/>
        </w:rPr>
        <w:t>,</w:t>
      </w:r>
      <w:r w:rsidRPr="00B523AB">
        <w:rPr>
          <w:sz w:val="20"/>
          <w:szCs w:val="20"/>
        </w:rPr>
        <w:t xml:space="preserve"> cites </w:t>
      </w:r>
      <w:proofErr w:type="spellStart"/>
      <w:r w:rsidRPr="00B523AB">
        <w:rPr>
          <w:sz w:val="20"/>
          <w:szCs w:val="20"/>
        </w:rPr>
        <w:t>Horkheimer</w:t>
      </w:r>
      <w:proofErr w:type="spellEnd"/>
      <w:r w:rsidRPr="00B523AB">
        <w:rPr>
          <w:sz w:val="20"/>
          <w:szCs w:val="20"/>
        </w:rPr>
        <w:t xml:space="preserve"> claiming there were two kinds of enlightenment – a theory of knowledge and an animus against superstition and error.) </w:t>
      </w:r>
    </w:p>
  </w:footnote>
  <w:footnote w:id="2">
    <w:p w:rsidR="00394314" w:rsidRDefault="00394314" w:rsidP="00394314">
      <w:pPr>
        <w:spacing w:after="120" w:line="240" w:lineRule="auto"/>
        <w:outlineLvl w:val="0"/>
        <w:rPr>
          <w:sz w:val="20"/>
          <w:szCs w:val="20"/>
        </w:rPr>
      </w:pPr>
      <w:r>
        <w:rPr>
          <w:rStyle w:val="FootnoteReference"/>
        </w:rPr>
        <w:footnoteRef/>
      </w:r>
      <w:r>
        <w:t xml:space="preserve"> </w:t>
      </w:r>
      <w:r>
        <w:rPr>
          <w:sz w:val="20"/>
          <w:szCs w:val="20"/>
        </w:rPr>
        <w:t>A thorough account</w:t>
      </w:r>
      <w:r w:rsidRPr="003F5D75">
        <w:rPr>
          <w:sz w:val="20"/>
          <w:szCs w:val="20"/>
        </w:rPr>
        <w:t xml:space="preserve"> building on Robert </w:t>
      </w:r>
      <w:proofErr w:type="spellStart"/>
      <w:r w:rsidRPr="003F5D75">
        <w:rPr>
          <w:sz w:val="20"/>
          <w:szCs w:val="20"/>
        </w:rPr>
        <w:t>Darnton’s</w:t>
      </w:r>
      <w:proofErr w:type="spellEnd"/>
      <w:r w:rsidRPr="003F5D75">
        <w:rPr>
          <w:sz w:val="20"/>
          <w:szCs w:val="20"/>
        </w:rPr>
        <w:t xml:space="preserve"> famous work on the </w:t>
      </w:r>
      <w:proofErr w:type="spellStart"/>
      <w:r w:rsidRPr="003F5D75">
        <w:rPr>
          <w:sz w:val="20"/>
          <w:szCs w:val="20"/>
        </w:rPr>
        <w:t>Société</w:t>
      </w:r>
      <w:proofErr w:type="spellEnd"/>
      <w:r w:rsidRPr="003F5D75">
        <w:rPr>
          <w:sz w:val="20"/>
          <w:szCs w:val="20"/>
        </w:rPr>
        <w:t xml:space="preserve"> </w:t>
      </w:r>
      <w:proofErr w:type="spellStart"/>
      <w:r w:rsidRPr="003F5D75">
        <w:rPr>
          <w:sz w:val="20"/>
          <w:szCs w:val="20"/>
        </w:rPr>
        <w:t>typographique</w:t>
      </w:r>
      <w:proofErr w:type="spellEnd"/>
      <w:r w:rsidRPr="003F5D75">
        <w:rPr>
          <w:sz w:val="20"/>
          <w:szCs w:val="20"/>
        </w:rPr>
        <w:t xml:space="preserve"> de Neuchâtel, is by Simon Burrows, </w:t>
      </w:r>
      <w:r>
        <w:rPr>
          <w:sz w:val="20"/>
          <w:szCs w:val="20"/>
        </w:rPr>
        <w:t xml:space="preserve">in database form and  in </w:t>
      </w:r>
      <w:r w:rsidRPr="003F5D75">
        <w:rPr>
          <w:rFonts w:ascii="Calibri" w:eastAsia="Times New Roman" w:hAnsi="Calibri" w:cs="Times New Roman"/>
          <w:bCs/>
          <w:i/>
          <w:kern w:val="36"/>
          <w:sz w:val="20"/>
          <w:szCs w:val="20"/>
          <w:lang w:eastAsia="en-GB"/>
        </w:rPr>
        <w:t xml:space="preserve">The French Book Trade in Enlightenment Europe II: Enlightenment Bestsellers </w:t>
      </w:r>
      <w:r w:rsidRPr="00BB06E5">
        <w:rPr>
          <w:rFonts w:ascii="Calibri" w:eastAsia="Times New Roman" w:hAnsi="Calibri" w:cs="Times New Roman"/>
          <w:bCs/>
          <w:i/>
          <w:kern w:val="36"/>
          <w:sz w:val="20"/>
          <w:szCs w:val="20"/>
          <w:lang w:eastAsia="en-GB"/>
        </w:rPr>
        <w:t>(</w:t>
      </w:r>
      <w:r w:rsidRPr="00BB06E5">
        <w:rPr>
          <w:rStyle w:val="Emphasis"/>
          <w:i w:val="0"/>
          <w:sz w:val="20"/>
          <w:szCs w:val="20"/>
        </w:rPr>
        <w:t>L</w:t>
      </w:r>
      <w:r w:rsidRPr="003F5D75">
        <w:rPr>
          <w:rStyle w:val="Emphasis"/>
          <w:i w:val="0"/>
          <w:sz w:val="20"/>
          <w:szCs w:val="20"/>
        </w:rPr>
        <w:t xml:space="preserve">ondon: </w:t>
      </w:r>
      <w:r w:rsidRPr="003F5D75">
        <w:rPr>
          <w:sz w:val="20"/>
          <w:szCs w:val="20"/>
        </w:rPr>
        <w:t>Bloomsbury Academic, 2017).</w:t>
      </w:r>
      <w:r>
        <w:rPr>
          <w:sz w:val="20"/>
          <w:szCs w:val="20"/>
        </w:rPr>
        <w:t xml:space="preserve"> For Britain, see especially Isabel Rivers ed.), </w:t>
      </w:r>
      <w:r w:rsidRPr="00C179F1">
        <w:rPr>
          <w:i/>
          <w:iCs/>
          <w:sz w:val="20"/>
          <w:szCs w:val="20"/>
        </w:rPr>
        <w:t>Books and Their Readers in Eighteenth</w:t>
      </w:r>
      <w:r w:rsidRPr="00C179F1">
        <w:rPr>
          <w:sz w:val="20"/>
          <w:szCs w:val="20"/>
        </w:rPr>
        <w:t>-</w:t>
      </w:r>
      <w:r w:rsidRPr="00C179F1">
        <w:rPr>
          <w:i/>
          <w:iCs/>
          <w:sz w:val="20"/>
          <w:szCs w:val="20"/>
        </w:rPr>
        <w:t>Century England</w:t>
      </w:r>
      <w:r w:rsidRPr="00C179F1">
        <w:rPr>
          <w:sz w:val="20"/>
          <w:szCs w:val="20"/>
        </w:rPr>
        <w:t xml:space="preserve"> (</w:t>
      </w:r>
      <w:r>
        <w:rPr>
          <w:sz w:val="20"/>
          <w:szCs w:val="20"/>
        </w:rPr>
        <w:t xml:space="preserve">New York: St Martin’s Press, </w:t>
      </w:r>
      <w:r w:rsidRPr="00C179F1">
        <w:rPr>
          <w:sz w:val="20"/>
          <w:szCs w:val="20"/>
        </w:rPr>
        <w:t xml:space="preserve">1982), </w:t>
      </w:r>
      <w:r>
        <w:rPr>
          <w:sz w:val="20"/>
          <w:szCs w:val="20"/>
        </w:rPr>
        <w:t xml:space="preserve">and the forthcoming </w:t>
      </w:r>
      <w:r w:rsidRPr="00BB06E5">
        <w:rPr>
          <w:i/>
          <w:sz w:val="20"/>
          <w:szCs w:val="20"/>
        </w:rPr>
        <w:t>Vanity Fair and the New Jerusalem</w:t>
      </w:r>
      <w:r>
        <w:rPr>
          <w:sz w:val="20"/>
          <w:szCs w:val="20"/>
        </w:rPr>
        <w:t>.</w:t>
      </w:r>
    </w:p>
    <w:p w:rsidR="00394314" w:rsidRPr="00394314" w:rsidRDefault="00394314" w:rsidP="00394314">
      <w:pPr>
        <w:spacing w:after="120" w:line="240" w:lineRule="auto"/>
        <w:ind w:firstLine="540"/>
        <w:rPr>
          <w:sz w:val="20"/>
          <w:szCs w:val="20"/>
        </w:rPr>
      </w:pPr>
      <w:r w:rsidRPr="009846A4">
        <w:rPr>
          <w:rFonts w:ascii="Calibri" w:eastAsia="SimSun" w:hAnsi="Calibri" w:cs="Calibri"/>
          <w:sz w:val="20"/>
          <w:szCs w:val="20"/>
          <w:lang w:eastAsia="en-GB"/>
        </w:rPr>
        <w:t>Even in the aft</w:t>
      </w:r>
      <w:r>
        <w:rPr>
          <w:rFonts w:ascii="Calibri" w:eastAsia="SimSun" w:hAnsi="Calibri" w:cs="Calibri"/>
          <w:sz w:val="20"/>
          <w:szCs w:val="20"/>
          <w:lang w:eastAsia="en-GB"/>
        </w:rPr>
        <w:t>ermath of the Birmingham riots he</w:t>
      </w:r>
      <w:r w:rsidRPr="00216028">
        <w:rPr>
          <w:rFonts w:ascii="Calibri" w:eastAsia="SimSun" w:hAnsi="Calibri" w:cs="Calibri"/>
          <w:sz w:val="20"/>
          <w:szCs w:val="20"/>
          <w:lang w:eastAsia="en-GB"/>
        </w:rPr>
        <w:t xml:space="preserve"> </w:t>
      </w:r>
      <w:r w:rsidRPr="009846A4">
        <w:rPr>
          <w:rFonts w:ascii="Calibri" w:eastAsia="SimSun" w:hAnsi="Calibri" w:cs="Calibri"/>
          <w:sz w:val="20"/>
          <w:szCs w:val="20"/>
          <w:lang w:eastAsia="en-GB"/>
        </w:rPr>
        <w:t xml:space="preserve">could defend print culture against the conservative jeremiad about its influence; he  argued that proliferation of texts may diagnose the illness rather than itself being the illness and therefore went on to argue against proscription of free speech.  The Revolution in France had shown censorship and suppression to be counter-productive: in a </w:t>
      </w:r>
      <w:r>
        <w:rPr>
          <w:rFonts w:ascii="Calibri" w:eastAsia="SimSun" w:hAnsi="Calibri" w:cs="Calibri"/>
          <w:sz w:val="20"/>
          <w:szCs w:val="20"/>
          <w:lang w:eastAsia="en-GB"/>
        </w:rPr>
        <w:t>“</w:t>
      </w:r>
      <w:r w:rsidRPr="009846A4">
        <w:rPr>
          <w:rFonts w:ascii="Calibri" w:eastAsia="SimSun" w:hAnsi="Calibri" w:cs="Calibri"/>
          <w:sz w:val="20"/>
          <w:szCs w:val="20"/>
          <w:lang w:eastAsia="en-GB"/>
        </w:rPr>
        <w:t>state of restraint</w:t>
      </w:r>
      <w:r>
        <w:rPr>
          <w:rFonts w:ascii="Calibri" w:eastAsia="SimSun" w:hAnsi="Calibri" w:cs="Calibri"/>
          <w:sz w:val="20"/>
          <w:szCs w:val="20"/>
          <w:lang w:eastAsia="en-GB"/>
        </w:rPr>
        <w:t>” of print “</w:t>
      </w:r>
      <w:r w:rsidRPr="009846A4">
        <w:rPr>
          <w:rFonts w:ascii="Calibri" w:eastAsia="SimSun" w:hAnsi="Calibri" w:cs="Calibri"/>
          <w:sz w:val="20"/>
          <w:szCs w:val="20"/>
          <w:lang w:eastAsia="en-GB"/>
        </w:rPr>
        <w:t>private conversation ... did more m</w:t>
      </w:r>
      <w:r>
        <w:rPr>
          <w:rFonts w:ascii="Calibri" w:eastAsia="SimSun" w:hAnsi="Calibri" w:cs="Calibri"/>
          <w:sz w:val="20"/>
          <w:szCs w:val="20"/>
          <w:lang w:eastAsia="en-GB"/>
        </w:rPr>
        <w:t>ischief than any books whatever”</w:t>
      </w:r>
      <w:r>
        <w:rPr>
          <w:iCs/>
          <w:sz w:val="20"/>
          <w:szCs w:val="20"/>
        </w:rPr>
        <w:t xml:space="preserve">, </w:t>
      </w:r>
      <w:r w:rsidRPr="00522A84">
        <w:rPr>
          <w:rFonts w:ascii="Calibri" w:eastAsia="SimSun" w:hAnsi="Calibri" w:cs="Calibri"/>
          <w:sz w:val="20"/>
          <w:szCs w:val="20"/>
          <w:lang w:eastAsia="en-GB"/>
        </w:rPr>
        <w:t xml:space="preserve">Joseph Priestley, </w:t>
      </w:r>
      <w:r w:rsidRPr="00522A84">
        <w:rPr>
          <w:rFonts w:ascii="Calibri" w:eastAsia="SimSun" w:hAnsi="Calibri" w:cs="Calibri"/>
          <w:i/>
          <w:iCs/>
          <w:sz w:val="20"/>
          <w:szCs w:val="20"/>
          <w:lang w:eastAsia="en-GB"/>
        </w:rPr>
        <w:t>An Appeal to the Public, On the Subject of the Riots in Birmingham</w:t>
      </w:r>
      <w:r w:rsidRPr="00522A84">
        <w:rPr>
          <w:rFonts w:ascii="Calibri" w:eastAsia="SimSun" w:hAnsi="Calibri" w:cs="Calibri"/>
          <w:sz w:val="20"/>
          <w:szCs w:val="20"/>
          <w:lang w:eastAsia="en-GB"/>
        </w:rPr>
        <w:t xml:space="preserve"> (Birmingham: J. Thompson, 1791), </w:t>
      </w:r>
      <w:r w:rsidRPr="00522A84">
        <w:rPr>
          <w:sz w:val="20"/>
          <w:szCs w:val="20"/>
        </w:rPr>
        <w:t>91).</w:t>
      </w:r>
    </w:p>
  </w:footnote>
  <w:footnote w:id="3">
    <w:p w:rsidR="00CB030D" w:rsidRDefault="00CB030D" w:rsidP="002679C2">
      <w:pPr>
        <w:pStyle w:val="FootnoteText"/>
        <w:spacing w:after="120"/>
      </w:pPr>
      <w:r>
        <w:rPr>
          <w:rStyle w:val="FootnoteReference"/>
        </w:rPr>
        <w:footnoteRef/>
      </w:r>
      <w:r>
        <w:t xml:space="preserve"> I am thinking principally of J.C.D. Clark, </w:t>
      </w:r>
      <w:r w:rsidRPr="00AD5D77">
        <w:rPr>
          <w:bCs/>
          <w:i/>
        </w:rPr>
        <w:t xml:space="preserve">English Society 1688-1832: Ideology, Social Structure and Political Practice </w:t>
      </w:r>
      <w:proofErr w:type="gramStart"/>
      <w:r w:rsidRPr="00AD5D77">
        <w:rPr>
          <w:bCs/>
          <w:i/>
        </w:rPr>
        <w:t>During</w:t>
      </w:r>
      <w:proofErr w:type="gramEnd"/>
      <w:r w:rsidRPr="00AD5D77">
        <w:rPr>
          <w:bCs/>
          <w:i/>
        </w:rPr>
        <w:t xml:space="preserve"> the </w:t>
      </w:r>
      <w:proofErr w:type="spellStart"/>
      <w:r w:rsidRPr="00AD5D77">
        <w:rPr>
          <w:bCs/>
          <w:i/>
        </w:rPr>
        <w:t>Ancien</w:t>
      </w:r>
      <w:proofErr w:type="spellEnd"/>
      <w:r w:rsidRPr="00AD5D77">
        <w:rPr>
          <w:bCs/>
          <w:i/>
        </w:rPr>
        <w:t xml:space="preserve"> </w:t>
      </w:r>
      <w:proofErr w:type="spellStart"/>
      <w:r w:rsidRPr="002679C2">
        <w:rPr>
          <w:bCs/>
          <w:i/>
          <w:iCs/>
        </w:rPr>
        <w:t>Régime</w:t>
      </w:r>
      <w:proofErr w:type="spellEnd"/>
      <w:r>
        <w:t xml:space="preserve"> (</w:t>
      </w:r>
      <w:r w:rsidRPr="00AD5D77">
        <w:t>Cambridge, Cambridge University Press, 1985</w:t>
      </w:r>
      <w:r>
        <w:t>).</w:t>
      </w:r>
    </w:p>
  </w:footnote>
  <w:footnote w:id="4">
    <w:p w:rsidR="00CB030D" w:rsidRPr="00E472D1" w:rsidRDefault="00CB030D" w:rsidP="002679C2">
      <w:pPr>
        <w:pStyle w:val="FootnoteText"/>
        <w:spacing w:after="120"/>
      </w:pPr>
      <w:r w:rsidRPr="00E472D1">
        <w:rPr>
          <w:rStyle w:val="FootnoteReference"/>
        </w:rPr>
        <w:footnoteRef/>
      </w:r>
      <w:r w:rsidRPr="00E472D1">
        <w:t xml:space="preserve"> </w:t>
      </w:r>
      <w:r w:rsidRPr="00E472D1">
        <w:rPr>
          <w:rFonts w:ascii="Calibri" w:eastAsia="SimSun" w:hAnsi="Calibri" w:cs="Arial"/>
          <w:lang w:eastAsia="en-GB"/>
        </w:rPr>
        <w:t xml:space="preserve">Thomas </w:t>
      </w:r>
      <w:proofErr w:type="spellStart"/>
      <w:r w:rsidRPr="00E472D1">
        <w:rPr>
          <w:rFonts w:ascii="Calibri" w:eastAsia="SimSun" w:hAnsi="Calibri" w:cs="Arial"/>
          <w:lang w:eastAsia="en-GB"/>
        </w:rPr>
        <w:t>Belsham</w:t>
      </w:r>
      <w:proofErr w:type="spellEnd"/>
      <w:r w:rsidRPr="00E472D1">
        <w:rPr>
          <w:rFonts w:ascii="Calibri" w:eastAsia="SimSun" w:hAnsi="Calibri" w:cs="Arial"/>
          <w:lang w:eastAsia="en-GB"/>
        </w:rPr>
        <w:t xml:space="preserve">, </w:t>
      </w:r>
      <w:r w:rsidRPr="00E472D1">
        <w:rPr>
          <w:rFonts w:ascii="Calibri" w:eastAsia="SimSun" w:hAnsi="Calibri" w:cs="Arial"/>
          <w:i/>
          <w:iCs/>
          <w:lang w:eastAsia="en-GB"/>
        </w:rPr>
        <w:t>Memoirs of the Late Reverend Lindsey</w:t>
      </w:r>
      <w:r w:rsidRPr="00E472D1">
        <w:rPr>
          <w:rFonts w:ascii="Calibri" w:eastAsia="SimSun" w:hAnsi="Calibri" w:cs="Arial"/>
          <w:lang w:eastAsia="en-GB"/>
        </w:rPr>
        <w:t xml:space="preserve"> (London, 1812),</w:t>
      </w:r>
      <w:r>
        <w:rPr>
          <w:rFonts w:ascii="Calibri" w:eastAsia="SimSun" w:hAnsi="Calibri" w:cs="Arial"/>
          <w:lang w:eastAsia="en-GB"/>
        </w:rPr>
        <w:t xml:space="preserve"> 232-3. </w:t>
      </w:r>
      <w:proofErr w:type="spellStart"/>
      <w:r>
        <w:rPr>
          <w:rFonts w:ascii="Calibri" w:eastAsia="SimSun" w:hAnsi="Calibri" w:cs="Arial"/>
          <w:lang w:eastAsia="en-GB"/>
        </w:rPr>
        <w:t>Belsham</w:t>
      </w:r>
      <w:proofErr w:type="spellEnd"/>
      <w:r>
        <w:rPr>
          <w:rFonts w:ascii="Calibri" w:eastAsia="SimSun" w:hAnsi="Calibri" w:cs="Arial"/>
          <w:lang w:eastAsia="en-GB"/>
        </w:rPr>
        <w:t xml:space="preserve"> is discussing Priestley’s denial of the doctrine of the </w:t>
      </w:r>
      <w:proofErr w:type="gramStart"/>
      <w:r>
        <w:rPr>
          <w:rFonts w:ascii="Calibri" w:eastAsia="SimSun" w:hAnsi="Calibri" w:cs="Arial"/>
          <w:lang w:eastAsia="en-GB"/>
        </w:rPr>
        <w:t>immaculate conception</w:t>
      </w:r>
      <w:proofErr w:type="gramEnd"/>
      <w:r>
        <w:rPr>
          <w:rFonts w:ascii="Calibri" w:eastAsia="SimSun" w:hAnsi="Calibri" w:cs="Arial"/>
          <w:lang w:eastAsia="en-GB"/>
        </w:rPr>
        <w:t xml:space="preserve"> in the </w:t>
      </w:r>
      <w:r w:rsidRPr="00F07244">
        <w:rPr>
          <w:rFonts w:ascii="Calibri" w:eastAsia="SimSun" w:hAnsi="Calibri" w:cs="Arial"/>
          <w:i/>
          <w:iCs/>
          <w:lang w:eastAsia="en-GB"/>
        </w:rPr>
        <w:t>Theological Repository</w:t>
      </w:r>
      <w:r>
        <w:rPr>
          <w:rFonts w:ascii="Calibri" w:eastAsia="SimSun" w:hAnsi="Calibri" w:cs="Arial"/>
          <w:lang w:eastAsia="en-GB"/>
        </w:rPr>
        <w:t xml:space="preserve"> in the 1780s. A few pages earlier he has said ‘as his generous mind was above courting popularity, he took no pains to avoid offensive language in expressing his ideas’ (226).</w:t>
      </w:r>
    </w:p>
  </w:footnote>
  <w:footnote w:id="5">
    <w:p w:rsidR="00CB030D" w:rsidRPr="007825B6" w:rsidRDefault="00CB030D" w:rsidP="00394314">
      <w:pPr>
        <w:pStyle w:val="Heading3"/>
        <w:spacing w:before="0" w:after="120" w:line="240" w:lineRule="auto"/>
        <w:rPr>
          <w:rFonts w:ascii="Calibri" w:hAnsi="Calibri" w:cs="Calibri"/>
          <w:color w:val="000000" w:themeColor="text1"/>
          <w:sz w:val="20"/>
          <w:szCs w:val="20"/>
        </w:rPr>
      </w:pPr>
      <w:r w:rsidRPr="007825B6">
        <w:rPr>
          <w:rStyle w:val="FootnoteReference"/>
          <w:rFonts w:ascii="Calibri" w:hAnsi="Calibri" w:cs="Calibri"/>
          <w:color w:val="000000" w:themeColor="text1"/>
          <w:sz w:val="20"/>
          <w:szCs w:val="20"/>
        </w:rPr>
        <w:footnoteRef/>
      </w:r>
      <w:r w:rsidRPr="007825B6">
        <w:rPr>
          <w:rFonts w:ascii="Calibri" w:hAnsi="Calibri" w:cs="Calibri"/>
          <w:color w:val="000000" w:themeColor="text1"/>
          <w:sz w:val="20"/>
          <w:szCs w:val="20"/>
        </w:rPr>
        <w:t xml:space="preserve"> </w:t>
      </w:r>
      <w:r w:rsidRPr="007825B6">
        <w:rPr>
          <w:rStyle w:val="FootnotetextChar"/>
          <w:rFonts w:cs="Calibri"/>
          <w:color w:val="000000" w:themeColor="text1"/>
        </w:rPr>
        <w:t xml:space="preserve">Stephen </w:t>
      </w:r>
      <w:proofErr w:type="spellStart"/>
      <w:r w:rsidRPr="007825B6">
        <w:rPr>
          <w:rStyle w:val="FootnotetextChar"/>
          <w:rFonts w:cs="Calibri"/>
          <w:color w:val="000000" w:themeColor="text1"/>
        </w:rPr>
        <w:t>Toulmin</w:t>
      </w:r>
      <w:proofErr w:type="spellEnd"/>
      <w:r w:rsidRPr="007825B6">
        <w:rPr>
          <w:rStyle w:val="FootnotetextChar"/>
          <w:rFonts w:cs="Calibri"/>
          <w:color w:val="000000" w:themeColor="text1"/>
        </w:rPr>
        <w:t xml:space="preserve">, Thomas Jefferson Lecture, March 24, 1997, ‘ A Dissenter's Life’, The </w:t>
      </w:r>
      <w:proofErr w:type="spellStart"/>
      <w:r w:rsidRPr="007825B6">
        <w:rPr>
          <w:rStyle w:val="FootnotetextChar"/>
          <w:rFonts w:cs="Calibri"/>
          <w:color w:val="000000" w:themeColor="text1"/>
        </w:rPr>
        <w:t>Center</w:t>
      </w:r>
      <w:proofErr w:type="spellEnd"/>
      <w:r w:rsidRPr="007825B6">
        <w:rPr>
          <w:rStyle w:val="FootnotetextChar"/>
          <w:rFonts w:cs="Calibri"/>
          <w:color w:val="000000" w:themeColor="text1"/>
        </w:rPr>
        <w:t xml:space="preserve"> for </w:t>
      </w:r>
      <w:proofErr w:type="spellStart"/>
      <w:r w:rsidRPr="007825B6">
        <w:rPr>
          <w:rStyle w:val="FootnotetextChar"/>
          <w:rFonts w:cs="Calibri"/>
          <w:color w:val="000000" w:themeColor="text1"/>
        </w:rPr>
        <w:t>Multiethnic</w:t>
      </w:r>
      <w:proofErr w:type="spellEnd"/>
      <w:r w:rsidRPr="007825B6">
        <w:rPr>
          <w:rStyle w:val="FootnotetextChar"/>
          <w:rFonts w:cs="Calibri"/>
          <w:color w:val="000000" w:themeColor="text1"/>
        </w:rPr>
        <w:t xml:space="preserve"> and Transnational Studies, College of Letters, Arts and Sciences, University of Southern California. </w:t>
      </w:r>
      <w:hyperlink r:id="rId1" w:history="1">
        <w:r w:rsidRPr="00C179F1">
          <w:rPr>
            <w:rStyle w:val="Hyperlink"/>
            <w:rFonts w:ascii="Calibri" w:hAnsi="Calibri" w:cs="Calibri"/>
            <w:sz w:val="20"/>
            <w:szCs w:val="20"/>
          </w:rPr>
          <w:t>http://www.usc.edu/dept/LAS/CMTS/docs/dissent.html</w:t>
        </w:r>
      </w:hyperlink>
      <w:r w:rsidRPr="007825B6">
        <w:rPr>
          <w:rStyle w:val="FootnotetextChar"/>
          <w:rFonts w:cs="Calibri"/>
          <w:color w:val="000000" w:themeColor="text1"/>
        </w:rPr>
        <w:t xml:space="preserve">; Marilyn Butler, </w:t>
      </w:r>
      <w:r w:rsidRPr="007825B6">
        <w:rPr>
          <w:rStyle w:val="FootnotetextChar"/>
          <w:rFonts w:cs="Calibri"/>
          <w:i/>
          <w:iCs/>
          <w:color w:val="000000" w:themeColor="text1"/>
        </w:rPr>
        <w:t>Romantics, Rebels and Reactionaries:  English Literature and its Bac</w:t>
      </w:r>
      <w:r>
        <w:rPr>
          <w:rStyle w:val="FootnotetextChar"/>
          <w:rFonts w:cs="Calibri"/>
          <w:i/>
          <w:iCs/>
          <w:color w:val="000000" w:themeColor="text1"/>
        </w:rPr>
        <w:t>k</w:t>
      </w:r>
      <w:r w:rsidRPr="007825B6">
        <w:rPr>
          <w:rStyle w:val="FootnotetextChar"/>
          <w:rFonts w:cs="Calibri"/>
          <w:i/>
          <w:iCs/>
          <w:color w:val="000000" w:themeColor="text1"/>
        </w:rPr>
        <w:t>ground, 1760-</w:t>
      </w:r>
      <w:proofErr w:type="gramStart"/>
      <w:r w:rsidRPr="007825B6">
        <w:rPr>
          <w:rStyle w:val="FootnotetextChar"/>
          <w:rFonts w:cs="Calibri"/>
          <w:i/>
          <w:iCs/>
          <w:color w:val="000000" w:themeColor="text1"/>
        </w:rPr>
        <w:t>1830</w:t>
      </w:r>
      <w:r w:rsidRPr="007825B6">
        <w:rPr>
          <w:rStyle w:val="FootnotetextChar"/>
          <w:rFonts w:cs="Calibri"/>
          <w:color w:val="000000" w:themeColor="text1"/>
        </w:rPr>
        <w:t xml:space="preserve">  (</w:t>
      </w:r>
      <w:proofErr w:type="gramEnd"/>
      <w:r w:rsidRPr="007825B6">
        <w:rPr>
          <w:rStyle w:val="FootnotetextChar"/>
          <w:rFonts w:cs="Calibri"/>
          <w:color w:val="000000" w:themeColor="text1"/>
        </w:rPr>
        <w:t>Oxford: O</w:t>
      </w:r>
      <w:r>
        <w:rPr>
          <w:rStyle w:val="FootnotetextChar"/>
          <w:rFonts w:cs="Calibri"/>
          <w:color w:val="000000" w:themeColor="text1"/>
        </w:rPr>
        <w:t xml:space="preserve">xford </w:t>
      </w:r>
      <w:r w:rsidRPr="007825B6">
        <w:rPr>
          <w:rStyle w:val="FootnotetextChar"/>
          <w:rFonts w:cs="Calibri"/>
          <w:color w:val="000000" w:themeColor="text1"/>
        </w:rPr>
        <w:t>U</w:t>
      </w:r>
      <w:r>
        <w:rPr>
          <w:rStyle w:val="FootnotetextChar"/>
          <w:rFonts w:cs="Calibri"/>
          <w:color w:val="000000" w:themeColor="text1"/>
        </w:rPr>
        <w:t xml:space="preserve">niversity </w:t>
      </w:r>
      <w:r w:rsidRPr="007825B6">
        <w:rPr>
          <w:rStyle w:val="FootnotetextChar"/>
          <w:rFonts w:cs="Calibri"/>
          <w:color w:val="000000" w:themeColor="text1"/>
        </w:rPr>
        <w:t>P</w:t>
      </w:r>
      <w:r>
        <w:rPr>
          <w:rStyle w:val="FootnotetextChar"/>
          <w:rFonts w:cs="Calibri"/>
          <w:color w:val="000000" w:themeColor="text1"/>
        </w:rPr>
        <w:t>ress</w:t>
      </w:r>
      <w:r w:rsidRPr="007825B6">
        <w:rPr>
          <w:rStyle w:val="FootnotetextChar"/>
          <w:rFonts w:cs="Calibri"/>
          <w:color w:val="000000" w:themeColor="text1"/>
        </w:rPr>
        <w:t>, 1982), 13.</w:t>
      </w:r>
    </w:p>
  </w:footnote>
  <w:footnote w:id="6">
    <w:p w:rsidR="00CB030D" w:rsidRDefault="00CB030D" w:rsidP="00394314">
      <w:pPr>
        <w:pStyle w:val="FootnoteText"/>
        <w:spacing w:after="120"/>
      </w:pPr>
      <w:r>
        <w:rPr>
          <w:rStyle w:val="FootnoteReference"/>
        </w:rPr>
        <w:footnoteRef/>
      </w:r>
      <w:r>
        <w:t xml:space="preserve"> </w:t>
      </w:r>
      <w:r w:rsidRPr="002679C2">
        <w:rPr>
          <w:i/>
        </w:rPr>
        <w:t>The</w:t>
      </w:r>
      <w:r w:rsidRPr="002679C2">
        <w:rPr>
          <w:i/>
          <w:iCs/>
        </w:rPr>
        <w:t xml:space="preserve"> Theological and Miscellaneous Works of Joseph Priestley</w:t>
      </w:r>
      <w:r w:rsidRPr="002679C2">
        <w:rPr>
          <w:iCs/>
        </w:rPr>
        <w:t xml:space="preserve">, edited by John </w:t>
      </w:r>
      <w:proofErr w:type="spellStart"/>
      <w:r w:rsidRPr="002679C2">
        <w:rPr>
          <w:iCs/>
        </w:rPr>
        <w:t>Towill</w:t>
      </w:r>
      <w:proofErr w:type="spellEnd"/>
      <w:r w:rsidRPr="002679C2">
        <w:rPr>
          <w:iCs/>
        </w:rPr>
        <w:t xml:space="preserve"> </w:t>
      </w:r>
      <w:proofErr w:type="spellStart"/>
      <w:r w:rsidRPr="002679C2">
        <w:rPr>
          <w:iCs/>
        </w:rPr>
        <w:t>Rutt</w:t>
      </w:r>
      <w:proofErr w:type="spellEnd"/>
      <w:r w:rsidRPr="002679C2">
        <w:rPr>
          <w:iCs/>
        </w:rPr>
        <w:t xml:space="preserve">, 26-volumes (1817-31), </w:t>
      </w:r>
      <w:r w:rsidRPr="002679C2">
        <w:t>1.i, 199</w:t>
      </w:r>
      <w:r w:rsidRPr="002679C2">
        <w:rPr>
          <w:iCs/>
        </w:rPr>
        <w:t>. Page references are to this, subsequently twice reprinted in facsimile, which remains the standard edition of Priestley, hereafter cited in the text as</w:t>
      </w:r>
      <w:r w:rsidRPr="002679C2">
        <w:rPr>
          <w:i/>
        </w:rPr>
        <w:t xml:space="preserve"> </w:t>
      </w:r>
      <w:r w:rsidRPr="002679C2">
        <w:rPr>
          <w:i/>
          <w:iCs/>
        </w:rPr>
        <w:t>Works</w:t>
      </w:r>
      <w:r w:rsidR="00394314">
        <w:t>.</w:t>
      </w:r>
    </w:p>
  </w:footnote>
  <w:footnote w:id="7">
    <w:p w:rsidR="00CB030D" w:rsidRPr="00E36504" w:rsidRDefault="00CB030D" w:rsidP="002679C2">
      <w:pPr>
        <w:pStyle w:val="FootnoteText"/>
        <w:spacing w:after="120" w:line="276" w:lineRule="auto"/>
      </w:pPr>
      <w:r w:rsidRPr="00E36504">
        <w:rPr>
          <w:rStyle w:val="FootnoteReference"/>
        </w:rPr>
        <w:footnoteRef/>
      </w:r>
      <w:r w:rsidRPr="00E36504">
        <w:t xml:space="preserve"> Adams to Jefferson, August 15 1823.</w:t>
      </w:r>
    </w:p>
  </w:footnote>
  <w:footnote w:id="8">
    <w:p w:rsidR="00CB030D" w:rsidRPr="000D0D5B" w:rsidRDefault="00CB030D" w:rsidP="00394314">
      <w:pPr>
        <w:snapToGrid w:val="0"/>
        <w:spacing w:line="240" w:lineRule="auto"/>
        <w:rPr>
          <w:rFonts w:cstheme="minorHAnsi"/>
          <w:iCs/>
          <w:sz w:val="20"/>
          <w:szCs w:val="20"/>
        </w:rPr>
      </w:pPr>
      <w:r w:rsidRPr="000D0D5B">
        <w:rPr>
          <w:rStyle w:val="FootnoteReference"/>
          <w:rFonts w:cs="Calibri"/>
          <w:sz w:val="20"/>
          <w:szCs w:val="20"/>
        </w:rPr>
        <w:footnoteRef/>
      </w:r>
      <w:r w:rsidRPr="000D0D5B">
        <w:rPr>
          <w:rFonts w:cs="Calibri"/>
          <w:sz w:val="20"/>
          <w:szCs w:val="20"/>
        </w:rPr>
        <w:t xml:space="preserve"> </w:t>
      </w:r>
      <w:r w:rsidRPr="000D0D5B">
        <w:rPr>
          <w:rFonts w:cstheme="minorHAnsi"/>
          <w:i/>
          <w:sz w:val="20"/>
          <w:szCs w:val="20"/>
        </w:rPr>
        <w:t>A Small Whole-length of Dr Priestley, from his Printed Works; or, A Free Account … of his Style</w:t>
      </w:r>
      <w:r w:rsidRPr="000D0D5B">
        <w:rPr>
          <w:rFonts w:cstheme="minorHAnsi"/>
          <w:iCs/>
          <w:sz w:val="20"/>
          <w:szCs w:val="20"/>
        </w:rPr>
        <w:t xml:space="preserve"> (London: F, and C. </w:t>
      </w:r>
      <w:proofErr w:type="spellStart"/>
      <w:r w:rsidRPr="000D0D5B">
        <w:rPr>
          <w:rFonts w:cstheme="minorHAnsi"/>
          <w:iCs/>
          <w:sz w:val="20"/>
          <w:szCs w:val="20"/>
        </w:rPr>
        <w:t>Rivington</w:t>
      </w:r>
      <w:proofErr w:type="spellEnd"/>
      <w:r w:rsidRPr="000D0D5B">
        <w:rPr>
          <w:rFonts w:cstheme="minorHAnsi"/>
          <w:iCs/>
          <w:sz w:val="20"/>
          <w:szCs w:val="20"/>
        </w:rPr>
        <w:t xml:space="preserve">, 1792), 16. </w:t>
      </w:r>
    </w:p>
    <w:p w:rsidR="00CB030D" w:rsidRPr="000D0D5B" w:rsidRDefault="00CB030D" w:rsidP="00394314">
      <w:pPr>
        <w:snapToGrid w:val="0"/>
        <w:spacing w:line="240" w:lineRule="auto"/>
        <w:rPr>
          <w:rFonts w:cstheme="minorHAnsi"/>
          <w:iCs/>
          <w:sz w:val="20"/>
          <w:szCs w:val="20"/>
        </w:rPr>
      </w:pPr>
      <w:proofErr w:type="gramStart"/>
      <w:r w:rsidRPr="000D0D5B">
        <w:rPr>
          <w:rFonts w:cstheme="minorHAnsi"/>
          <w:sz w:val="20"/>
          <w:szCs w:val="20"/>
        </w:rPr>
        <w:t>Priestley  was</w:t>
      </w:r>
      <w:proofErr w:type="gramEnd"/>
      <w:r w:rsidRPr="000D0D5B">
        <w:rPr>
          <w:rFonts w:cstheme="minorHAnsi"/>
          <w:sz w:val="20"/>
          <w:szCs w:val="20"/>
        </w:rPr>
        <w:t xml:space="preserve"> able to publish so much partly thanks to his mastery of Peter </w:t>
      </w:r>
      <w:proofErr w:type="spellStart"/>
      <w:r w:rsidRPr="000D0D5B">
        <w:rPr>
          <w:rFonts w:cstheme="minorHAnsi"/>
          <w:sz w:val="20"/>
          <w:szCs w:val="20"/>
        </w:rPr>
        <w:t>Annet’s</w:t>
      </w:r>
      <w:proofErr w:type="spellEnd"/>
      <w:r w:rsidRPr="000D0D5B">
        <w:rPr>
          <w:rFonts w:cstheme="minorHAnsi"/>
          <w:sz w:val="20"/>
          <w:szCs w:val="20"/>
        </w:rPr>
        <w:t xml:space="preserve"> system of shorthand learned at Batley Grammar School and his own ‘mechanical methods’ of composition and memory. A former student reported how Priestley could be so prolific: ‘From minutes in short-hand, he dictated to each student, by </w:t>
      </w:r>
      <w:proofErr w:type="gramStart"/>
      <w:r w:rsidRPr="000D0D5B">
        <w:rPr>
          <w:rFonts w:cstheme="minorHAnsi"/>
          <w:sz w:val="20"/>
          <w:szCs w:val="20"/>
        </w:rPr>
        <w:t>turns,  ...</w:t>
      </w:r>
      <w:proofErr w:type="gramEnd"/>
      <w:r w:rsidRPr="000D0D5B">
        <w:rPr>
          <w:rFonts w:cstheme="minorHAnsi"/>
          <w:sz w:val="20"/>
          <w:szCs w:val="20"/>
        </w:rPr>
        <w:t xml:space="preserve"> who copied after him in long-hand. From this copy the Doctor told me they were printed, with some additions only, relative to subsequent events’ (</w:t>
      </w:r>
      <w:r w:rsidRPr="000D0D5B">
        <w:rPr>
          <w:rFonts w:cstheme="minorHAnsi"/>
          <w:i/>
          <w:iCs/>
          <w:sz w:val="20"/>
          <w:szCs w:val="20"/>
        </w:rPr>
        <w:t>Works</w:t>
      </w:r>
      <w:r w:rsidRPr="000D0D5B">
        <w:rPr>
          <w:rFonts w:cstheme="minorHAnsi"/>
          <w:sz w:val="20"/>
          <w:szCs w:val="20"/>
        </w:rPr>
        <w:t>, 1. 51n).  He confessed in a letter from Leeds that for him (as for Wordsworth), ‘writing long hand is irksome, and indeed painful to me’, so in Birmingham he employed an amanuensis three hours a day.</w:t>
      </w:r>
      <w:r w:rsidRPr="000D0D5B">
        <w:rPr>
          <w:rFonts w:cstheme="minorHAnsi"/>
          <w:iCs/>
          <w:sz w:val="20"/>
          <w:szCs w:val="20"/>
        </w:rPr>
        <w:t xml:space="preserve"> To </w:t>
      </w:r>
      <w:proofErr w:type="spellStart"/>
      <w:r w:rsidRPr="000D0D5B">
        <w:rPr>
          <w:rFonts w:cstheme="minorHAnsi"/>
          <w:iCs/>
          <w:sz w:val="20"/>
          <w:szCs w:val="20"/>
        </w:rPr>
        <w:t>Theophilus</w:t>
      </w:r>
      <w:proofErr w:type="spellEnd"/>
      <w:r w:rsidRPr="000D0D5B">
        <w:rPr>
          <w:rFonts w:cstheme="minorHAnsi"/>
          <w:iCs/>
          <w:sz w:val="20"/>
          <w:szCs w:val="20"/>
        </w:rPr>
        <w:t xml:space="preserve"> Lindsey 30 May 1770 (</w:t>
      </w:r>
      <w:r w:rsidRPr="000D0D5B">
        <w:rPr>
          <w:rFonts w:cstheme="minorHAnsi"/>
          <w:i/>
          <w:sz w:val="20"/>
          <w:szCs w:val="20"/>
        </w:rPr>
        <w:t>Works</w:t>
      </w:r>
      <w:r w:rsidRPr="000D0D5B">
        <w:rPr>
          <w:rFonts w:cstheme="minorHAnsi"/>
          <w:iCs/>
          <w:sz w:val="20"/>
          <w:szCs w:val="20"/>
        </w:rPr>
        <w:t xml:space="preserve">, 1.i. 115). This letter is among the selection of letters between Priestley and Lindsey edited by Simon Mills at the Dr Williams’s Centre for Dissenting Studies. See http://www.english.qmul.ac.uk/drwilliams/pubs/JP%20letters; </w:t>
      </w:r>
      <w:r w:rsidRPr="000D0D5B">
        <w:rPr>
          <w:rFonts w:cstheme="minorHAnsi"/>
          <w:i/>
          <w:sz w:val="20"/>
          <w:szCs w:val="20"/>
        </w:rPr>
        <w:t xml:space="preserve">Appeal to the </w:t>
      </w:r>
      <w:proofErr w:type="gramStart"/>
      <w:r w:rsidRPr="000D0D5B">
        <w:rPr>
          <w:rFonts w:cstheme="minorHAnsi"/>
          <w:i/>
          <w:sz w:val="20"/>
          <w:szCs w:val="20"/>
        </w:rPr>
        <w:t>Public</w:t>
      </w:r>
      <w:proofErr w:type="gramEnd"/>
      <w:r w:rsidRPr="000D0D5B">
        <w:rPr>
          <w:rFonts w:cstheme="minorHAnsi"/>
          <w:sz w:val="20"/>
          <w:szCs w:val="20"/>
        </w:rPr>
        <w:t>, 37.</w:t>
      </w:r>
    </w:p>
  </w:footnote>
  <w:footnote w:id="9">
    <w:p w:rsidR="00CB030D" w:rsidRPr="000D0D5B" w:rsidRDefault="00CB030D" w:rsidP="00394314">
      <w:pPr>
        <w:spacing w:line="240" w:lineRule="auto"/>
        <w:rPr>
          <w:rFonts w:cstheme="minorHAnsi"/>
          <w:sz w:val="20"/>
          <w:szCs w:val="20"/>
        </w:rPr>
      </w:pPr>
      <w:r w:rsidRPr="000D0D5B">
        <w:rPr>
          <w:rStyle w:val="FootnoteReference"/>
          <w:rFonts w:cstheme="minorHAnsi"/>
          <w:sz w:val="20"/>
          <w:szCs w:val="20"/>
        </w:rPr>
        <w:footnoteRef/>
      </w:r>
      <w:r w:rsidRPr="000D0D5B">
        <w:rPr>
          <w:rFonts w:cstheme="minorHAnsi"/>
          <w:sz w:val="20"/>
          <w:szCs w:val="20"/>
        </w:rPr>
        <w:t xml:space="preserve"> </w:t>
      </w:r>
      <w:r w:rsidRPr="000D0D5B">
        <w:rPr>
          <w:rFonts w:cstheme="minorHAnsi"/>
          <w:i/>
          <w:sz w:val="20"/>
          <w:szCs w:val="20"/>
        </w:rPr>
        <w:t>Additional Letters to a Philosophical Unbeliever</w:t>
      </w:r>
      <w:r w:rsidRPr="000D0D5B">
        <w:rPr>
          <w:rFonts w:cstheme="minorHAnsi"/>
          <w:sz w:val="20"/>
          <w:szCs w:val="20"/>
        </w:rPr>
        <w:t xml:space="preserve"> (Birmingham: Joseph Johnson, 1782), v – </w:t>
      </w:r>
      <w:proofErr w:type="gramStart"/>
      <w:r w:rsidRPr="000D0D5B">
        <w:rPr>
          <w:rFonts w:cstheme="minorHAnsi"/>
          <w:sz w:val="20"/>
          <w:szCs w:val="20"/>
        </w:rPr>
        <w:t>vi</w:t>
      </w:r>
      <w:proofErr w:type="gramEnd"/>
      <w:r w:rsidRPr="000D0D5B">
        <w:rPr>
          <w:rFonts w:cstheme="minorHAnsi"/>
          <w:sz w:val="20"/>
          <w:szCs w:val="20"/>
        </w:rPr>
        <w:t>.</w:t>
      </w:r>
    </w:p>
  </w:footnote>
  <w:footnote w:id="10">
    <w:p w:rsidR="00CB030D" w:rsidRPr="000D0D5B" w:rsidRDefault="00CB030D" w:rsidP="000D0D5B">
      <w:pPr>
        <w:pStyle w:val="FootnoteText"/>
        <w:spacing w:after="120" w:line="276" w:lineRule="auto"/>
      </w:pPr>
      <w:r w:rsidRPr="000D0D5B">
        <w:rPr>
          <w:rStyle w:val="FootnoteReference"/>
        </w:rPr>
        <w:footnoteRef/>
      </w:r>
      <w:r w:rsidRPr="000D0D5B">
        <w:t xml:space="preserve"> </w:t>
      </w:r>
      <w:r w:rsidRPr="000D0D5B">
        <w:rPr>
          <w:rFonts w:eastAsia="SimSun" w:cstheme="minorHAnsi"/>
          <w:lang w:eastAsia="en-GB"/>
        </w:rPr>
        <w:t xml:space="preserve">In the fourth essay of his 1809-10 periodical </w:t>
      </w:r>
      <w:r w:rsidRPr="000D0D5B">
        <w:rPr>
          <w:rFonts w:eastAsia="SimSun" w:cstheme="minorHAnsi"/>
          <w:i/>
          <w:iCs/>
          <w:lang w:eastAsia="en-GB"/>
        </w:rPr>
        <w:t>The Friend</w:t>
      </w:r>
      <w:r w:rsidRPr="000D0D5B">
        <w:rPr>
          <w:rFonts w:eastAsia="SimSun" w:cstheme="minorHAnsi"/>
          <w:lang w:eastAsia="en-GB"/>
        </w:rPr>
        <w:t xml:space="preserve">, Coleridge explains a term he will use for the summary reflections that will punctuate subsequent essays in the series; ‘landing places’ are  the wide landings on the spiral staircase of a great house he remembers from childhood; he describes their import in rather Hegelian terms: ‘from the last and highest the eye commanded the whole spiral ascent with the marble pavement of the great hall from which it seemed to spring up as if it merely used the ground on which it rested’. </w:t>
      </w:r>
      <w:r w:rsidRPr="000D0D5B">
        <w:rPr>
          <w:rFonts w:eastAsia="SimSun" w:cstheme="minorHAnsi"/>
          <w:i/>
          <w:iCs/>
          <w:lang w:eastAsia="en-GB"/>
        </w:rPr>
        <w:t>The Friend</w:t>
      </w:r>
      <w:r w:rsidRPr="000D0D5B">
        <w:rPr>
          <w:rFonts w:eastAsia="SimSun" w:cstheme="minorHAnsi"/>
          <w:lang w:eastAsia="en-GB"/>
        </w:rPr>
        <w:t xml:space="preserve">, ed. Barbara E. </w:t>
      </w:r>
      <w:proofErr w:type="spellStart"/>
      <w:r w:rsidRPr="000D0D5B">
        <w:rPr>
          <w:rFonts w:eastAsia="SimSun" w:cstheme="minorHAnsi"/>
          <w:lang w:eastAsia="en-GB"/>
        </w:rPr>
        <w:t>Rooke</w:t>
      </w:r>
      <w:proofErr w:type="spellEnd"/>
      <w:r w:rsidRPr="000D0D5B">
        <w:rPr>
          <w:rFonts w:eastAsia="SimSun" w:cstheme="minorHAnsi"/>
          <w:lang w:eastAsia="en-GB"/>
        </w:rPr>
        <w:t>, 2 volumes (London and Princeton: Routledge / Princeton University Press, 1969), I 148-9.</w:t>
      </w:r>
    </w:p>
  </w:footnote>
  <w:footnote w:id="11">
    <w:p w:rsidR="00CB030D" w:rsidRPr="000D0D5B" w:rsidRDefault="00CB030D" w:rsidP="000D0D5B">
      <w:pPr>
        <w:pStyle w:val="FootnoteText1"/>
        <w:spacing w:line="276" w:lineRule="auto"/>
        <w:ind w:firstLine="0"/>
        <w:rPr>
          <w:rFonts w:asciiTheme="minorHAnsi" w:hAnsiTheme="minorHAnsi" w:cstheme="minorHAnsi"/>
        </w:rPr>
      </w:pPr>
      <w:r w:rsidRPr="000D0D5B">
        <w:rPr>
          <w:rStyle w:val="FootnoteReference"/>
          <w:rFonts w:asciiTheme="minorHAnsi" w:hAnsiTheme="minorHAnsi" w:cstheme="minorHAnsi"/>
        </w:rPr>
        <w:footnoteRef/>
      </w:r>
      <w:r w:rsidRPr="000D0D5B">
        <w:rPr>
          <w:rFonts w:asciiTheme="minorHAnsi" w:hAnsiTheme="minorHAnsi" w:cstheme="minorHAnsi"/>
        </w:rPr>
        <w:t xml:space="preserve"> It is also not hard to see the bolder claim as overstated: a title page states his materialist credentials for countering the ‘philosophical unbeliever’ whom he addresses in his preface: Priestley is ‘Honorary member of the Academy of Sciences at </w:t>
      </w:r>
      <w:proofErr w:type="spellStart"/>
      <w:r w:rsidRPr="000D0D5B">
        <w:rPr>
          <w:rFonts w:asciiTheme="minorHAnsi" w:hAnsiTheme="minorHAnsi" w:cstheme="minorHAnsi"/>
        </w:rPr>
        <w:t>Petersburgh</w:t>
      </w:r>
      <w:proofErr w:type="spellEnd"/>
      <w:r w:rsidRPr="000D0D5B">
        <w:rPr>
          <w:rFonts w:asciiTheme="minorHAnsi" w:hAnsiTheme="minorHAnsi" w:cstheme="minorHAnsi"/>
        </w:rPr>
        <w:t>, and of the Roya</w:t>
      </w:r>
      <w:r>
        <w:rPr>
          <w:rFonts w:asciiTheme="minorHAnsi" w:hAnsiTheme="minorHAnsi" w:cstheme="minorHAnsi"/>
        </w:rPr>
        <w:t>l Academy of Medicine at Paris’</w:t>
      </w:r>
      <w:r w:rsidRPr="000D0D5B">
        <w:rPr>
          <w:rFonts w:asciiTheme="minorHAnsi" w:hAnsiTheme="minorHAnsi" w:cstheme="minorHAnsi"/>
        </w:rPr>
        <w:t>.</w:t>
      </w:r>
    </w:p>
  </w:footnote>
  <w:footnote w:id="12">
    <w:p w:rsidR="00CB030D" w:rsidRDefault="00CB030D" w:rsidP="00163F01">
      <w:pPr>
        <w:pStyle w:val="FootnoteText"/>
        <w:spacing w:after="120"/>
      </w:pPr>
      <w:r>
        <w:rPr>
          <w:rStyle w:val="FootnoteReference"/>
        </w:rPr>
        <w:footnoteRef/>
      </w:r>
      <w:r>
        <w:t xml:space="preserve"> </w:t>
      </w:r>
      <w:r w:rsidRPr="00163F01">
        <w:rPr>
          <w:i/>
          <w:iCs/>
        </w:rPr>
        <w:t>Additional Letters</w:t>
      </w:r>
      <w:r w:rsidRPr="00163F01">
        <w:rPr>
          <w:iCs/>
        </w:rPr>
        <w:t xml:space="preserve">, </w:t>
      </w:r>
      <w:r>
        <w:t>xii</w:t>
      </w:r>
      <w:r w:rsidRPr="00163F01">
        <w:t xml:space="preserve">.  </w:t>
      </w:r>
    </w:p>
  </w:footnote>
  <w:footnote w:id="13">
    <w:p w:rsidR="00CB030D" w:rsidRPr="000D0D5B" w:rsidRDefault="00CB030D" w:rsidP="000F59B3">
      <w:pPr>
        <w:pStyle w:val="FootnoteText"/>
        <w:spacing w:after="120" w:line="276" w:lineRule="auto"/>
        <w:rPr>
          <w:rFonts w:cstheme="minorHAnsi"/>
        </w:rPr>
      </w:pPr>
      <w:r w:rsidRPr="000D0D5B">
        <w:rPr>
          <w:rStyle w:val="FootnoteReference"/>
          <w:rFonts w:cstheme="minorHAnsi"/>
        </w:rPr>
        <w:footnoteRef/>
      </w:r>
      <w:r w:rsidRPr="000D0D5B">
        <w:rPr>
          <w:rFonts w:cstheme="minorHAnsi"/>
        </w:rPr>
        <w:t xml:space="preserve"> In recounting the experiments, the narrator is the experimenter. See Jan </w:t>
      </w:r>
      <w:proofErr w:type="spellStart"/>
      <w:r w:rsidRPr="000D0D5B">
        <w:rPr>
          <w:rFonts w:cstheme="minorHAnsi"/>
        </w:rPr>
        <w:t>Golinski</w:t>
      </w:r>
      <w:proofErr w:type="spellEnd"/>
      <w:r w:rsidRPr="000D0D5B">
        <w:rPr>
          <w:rFonts w:cstheme="minorHAnsi"/>
        </w:rPr>
        <w:t>,</w:t>
      </w:r>
      <w:r w:rsidRPr="000D0D5B">
        <w:rPr>
          <w:rFonts w:cstheme="minorHAnsi"/>
          <w:i/>
          <w:iCs/>
        </w:rPr>
        <w:t xml:space="preserve"> Science as Public Culture: Chemistry and Enlightenment in Britain, 1760-1820</w:t>
      </w:r>
      <w:r w:rsidRPr="000D0D5B">
        <w:rPr>
          <w:rFonts w:cstheme="minorHAnsi"/>
        </w:rPr>
        <w:t xml:space="preserve"> (Cambridge: Cambridge University Press, 1992), 84-5. See also W.H. Brock on the difference between Priestley’s writing-up of experiments and Lavoisier, ‘Joseph Priestley, Enlightened Experimentalist’, in Isabel Rivers and David L. </w:t>
      </w:r>
      <w:proofErr w:type="spellStart"/>
      <w:r w:rsidRPr="000D0D5B">
        <w:rPr>
          <w:rFonts w:cstheme="minorHAnsi"/>
        </w:rPr>
        <w:t>Wykes</w:t>
      </w:r>
      <w:proofErr w:type="spellEnd"/>
      <w:r w:rsidRPr="000D0D5B">
        <w:rPr>
          <w:rFonts w:cstheme="minorHAnsi"/>
        </w:rPr>
        <w:t xml:space="preserve"> (eds.), </w:t>
      </w:r>
      <w:r w:rsidRPr="000D0D5B">
        <w:rPr>
          <w:rFonts w:cstheme="minorHAnsi"/>
          <w:i/>
          <w:iCs/>
        </w:rPr>
        <w:t>Joseph Priestley, scientist, philosopher, and theologian</w:t>
      </w:r>
      <w:r w:rsidRPr="000D0D5B">
        <w:rPr>
          <w:rFonts w:cstheme="minorHAnsi"/>
        </w:rPr>
        <w:t xml:space="preserve"> (Oxford: Oxford UP, 2008), 49-79 [p.60].</w:t>
      </w:r>
      <w:r w:rsidR="000F59B3">
        <w:rPr>
          <w:rFonts w:cstheme="minorHAnsi"/>
        </w:rPr>
        <w:t xml:space="preserve"> </w:t>
      </w:r>
      <w:r w:rsidRPr="000D0D5B">
        <w:rPr>
          <w:rFonts w:cstheme="minorHAnsi"/>
        </w:rPr>
        <w:t>As a principle for relating experiments</w:t>
      </w:r>
      <w:r w:rsidR="000F59B3">
        <w:rPr>
          <w:rFonts w:cstheme="minorHAnsi"/>
        </w:rPr>
        <w:t>,</w:t>
      </w:r>
      <w:r w:rsidRPr="000D0D5B">
        <w:rPr>
          <w:rFonts w:cstheme="minorHAnsi"/>
        </w:rPr>
        <w:t xml:space="preserve"> such a method is elsewhere defended in moral and aesthetic terms: ‘… the recital of the labours of the philosophers in an historical method gives a writer a better opportunity than a </w:t>
      </w:r>
      <w:proofErr w:type="spellStart"/>
      <w:r w:rsidRPr="000D0D5B">
        <w:rPr>
          <w:rFonts w:cstheme="minorHAnsi"/>
        </w:rPr>
        <w:t>systematical</w:t>
      </w:r>
      <w:proofErr w:type="spellEnd"/>
      <w:r w:rsidRPr="000D0D5B">
        <w:rPr>
          <w:rFonts w:cstheme="minorHAnsi"/>
        </w:rPr>
        <w:t xml:space="preserve"> method would do, of transmitting them to posterity in such a manner as will operate most powerfully on the minds of readers, and be a motive with them to exert and distinguish themselves in philosophical pursuits’, </w:t>
      </w:r>
      <w:r w:rsidRPr="000D0D5B">
        <w:rPr>
          <w:rStyle w:val="FootnotetextChar"/>
          <w:rFonts w:asciiTheme="minorHAnsi" w:hAnsiTheme="minorHAnsi" w:cstheme="minorHAnsi"/>
          <w:i/>
        </w:rPr>
        <w:t>History of Discoveries Relating to Vision</w:t>
      </w:r>
      <w:r w:rsidRPr="000D0D5B">
        <w:rPr>
          <w:rStyle w:val="FootnotetextChar"/>
          <w:rFonts w:asciiTheme="minorHAnsi" w:hAnsiTheme="minorHAnsi" w:cstheme="minorHAnsi"/>
        </w:rPr>
        <w:t xml:space="preserve"> [1772], I, vii, cited by </w:t>
      </w:r>
      <w:proofErr w:type="spellStart"/>
      <w:r w:rsidRPr="000D0D5B">
        <w:rPr>
          <w:rStyle w:val="FootnotetextChar"/>
          <w:rFonts w:asciiTheme="minorHAnsi" w:hAnsiTheme="minorHAnsi" w:cstheme="minorHAnsi"/>
        </w:rPr>
        <w:t>Golinski</w:t>
      </w:r>
      <w:proofErr w:type="spellEnd"/>
      <w:r w:rsidRPr="000D0D5B">
        <w:rPr>
          <w:rStyle w:val="FootnotetextChar"/>
          <w:rFonts w:asciiTheme="minorHAnsi" w:hAnsiTheme="minorHAnsi" w:cstheme="minorHAnsi"/>
        </w:rPr>
        <w:t xml:space="preserve">, 80. </w:t>
      </w:r>
    </w:p>
  </w:footnote>
  <w:footnote w:id="14">
    <w:p w:rsidR="00CB030D" w:rsidRPr="000D0D5B" w:rsidRDefault="00CB030D" w:rsidP="00163F01">
      <w:pPr>
        <w:pStyle w:val="FootnoteText"/>
        <w:spacing w:after="120" w:line="276" w:lineRule="auto"/>
        <w:rPr>
          <w:rFonts w:cs="Calibri"/>
        </w:rPr>
      </w:pPr>
      <w:r w:rsidRPr="000D0D5B">
        <w:rPr>
          <w:rStyle w:val="FootnoteReference"/>
          <w:rFonts w:cs="Calibri"/>
        </w:rPr>
        <w:footnoteRef/>
      </w:r>
      <w:r w:rsidRPr="000D0D5B">
        <w:rPr>
          <w:rFonts w:cs="Calibri"/>
        </w:rPr>
        <w:t xml:space="preserve"> On graphic attacks, see especially Martin Fitzpatri</w:t>
      </w:r>
      <w:r>
        <w:rPr>
          <w:rFonts w:cs="Calibri"/>
        </w:rPr>
        <w:t>ck, ‘Priestley Caricatured’, in</w:t>
      </w:r>
      <w:r w:rsidRPr="000D0D5B">
        <w:rPr>
          <w:rFonts w:cs="Calibri"/>
        </w:rPr>
        <w:t xml:space="preserve"> A. Truman Schwartz and John G. </w:t>
      </w:r>
      <w:proofErr w:type="spellStart"/>
      <w:r w:rsidRPr="000D0D5B">
        <w:rPr>
          <w:rFonts w:cs="Calibri"/>
        </w:rPr>
        <w:t>McEvoy</w:t>
      </w:r>
      <w:proofErr w:type="spellEnd"/>
      <w:r w:rsidRPr="000D0D5B">
        <w:rPr>
          <w:rFonts w:cs="Calibri"/>
        </w:rPr>
        <w:t xml:space="preserve"> (eds.), </w:t>
      </w:r>
      <w:r w:rsidRPr="000D0D5B">
        <w:rPr>
          <w:rFonts w:cs="Calibri"/>
          <w:i/>
        </w:rPr>
        <w:t xml:space="preserve">Motion </w:t>
      </w:r>
      <w:proofErr w:type="gramStart"/>
      <w:r w:rsidRPr="000D0D5B">
        <w:rPr>
          <w:rFonts w:cs="Calibri"/>
          <w:i/>
        </w:rPr>
        <w:t>Toward</w:t>
      </w:r>
      <w:proofErr w:type="gramEnd"/>
      <w:r w:rsidRPr="000D0D5B">
        <w:rPr>
          <w:rFonts w:cs="Calibri"/>
          <w:i/>
        </w:rPr>
        <w:t xml:space="preserve"> Perfection: the Achievement of Joseph Priestley</w:t>
      </w:r>
      <w:r w:rsidRPr="000D0D5B">
        <w:rPr>
          <w:rFonts w:cs="Calibri"/>
        </w:rPr>
        <w:t xml:space="preserve"> (Boston: Skinner House Books, 1990), 161-218.</w:t>
      </w:r>
    </w:p>
  </w:footnote>
  <w:footnote w:id="15">
    <w:p w:rsidR="00CB030D" w:rsidRDefault="00CB030D" w:rsidP="00163F01">
      <w:pPr>
        <w:pStyle w:val="FootnoteText"/>
        <w:spacing w:after="120"/>
      </w:pPr>
      <w:r>
        <w:rPr>
          <w:rStyle w:val="FootnoteReference"/>
        </w:rPr>
        <w:footnoteRef/>
      </w:r>
      <w:r>
        <w:t xml:space="preserve"> </w:t>
      </w:r>
      <w:r w:rsidRPr="00163F01">
        <w:rPr>
          <w:i/>
        </w:rPr>
        <w:t xml:space="preserve">An Appeal </w:t>
      </w:r>
      <w:r>
        <w:t>Part II, 14.</w:t>
      </w:r>
    </w:p>
  </w:footnote>
  <w:footnote w:id="16">
    <w:p w:rsidR="00CB030D" w:rsidRPr="000D0D5B" w:rsidRDefault="00CB030D" w:rsidP="000D0D5B">
      <w:pPr>
        <w:spacing w:line="276" w:lineRule="auto"/>
        <w:rPr>
          <w:rFonts w:cstheme="minorHAnsi"/>
          <w:sz w:val="20"/>
          <w:szCs w:val="20"/>
        </w:rPr>
      </w:pPr>
      <w:r w:rsidRPr="000D0D5B">
        <w:rPr>
          <w:rStyle w:val="FootnoteReference"/>
          <w:rFonts w:cstheme="minorHAnsi"/>
          <w:sz w:val="20"/>
          <w:szCs w:val="20"/>
        </w:rPr>
        <w:footnoteRef/>
      </w:r>
      <w:r w:rsidRPr="000D0D5B">
        <w:rPr>
          <w:rFonts w:cstheme="minorHAnsi"/>
          <w:sz w:val="20"/>
          <w:szCs w:val="20"/>
        </w:rPr>
        <w:t xml:space="preserve"> </w:t>
      </w:r>
      <w:r w:rsidRPr="000D0D5B">
        <w:rPr>
          <w:rFonts w:cstheme="minorHAnsi"/>
          <w:i/>
          <w:sz w:val="20"/>
          <w:szCs w:val="20"/>
        </w:rPr>
        <w:t>Letters to a Philosophical Unbeliever</w:t>
      </w:r>
      <w:r w:rsidRPr="000D0D5B">
        <w:rPr>
          <w:rFonts w:cstheme="minorHAnsi"/>
          <w:iCs/>
          <w:sz w:val="20"/>
          <w:szCs w:val="20"/>
        </w:rPr>
        <w:t xml:space="preserve"> (Bath: R. Cruttwell, 1780)</w:t>
      </w:r>
      <w:r w:rsidRPr="000D0D5B">
        <w:rPr>
          <w:rFonts w:cstheme="minorHAnsi"/>
          <w:sz w:val="20"/>
          <w:szCs w:val="20"/>
        </w:rPr>
        <w:t xml:space="preserve">, 106-7. The </w:t>
      </w:r>
      <w:r w:rsidRPr="000D0D5B">
        <w:rPr>
          <w:rFonts w:cstheme="minorHAnsi"/>
          <w:i/>
          <w:sz w:val="20"/>
          <w:szCs w:val="20"/>
        </w:rPr>
        <w:t>Lectures on Oratory and Criticism</w:t>
      </w:r>
      <w:r w:rsidRPr="000D0D5B">
        <w:rPr>
          <w:rFonts w:cstheme="minorHAnsi"/>
          <w:sz w:val="20"/>
          <w:szCs w:val="20"/>
        </w:rPr>
        <w:t xml:space="preserve"> warn that Hume’s analytic method might blind the reader to logical flaws, so that Hume ‘ought to be read with very great caution’ (</w:t>
      </w:r>
      <w:r w:rsidRPr="000D0D5B">
        <w:rPr>
          <w:rFonts w:cstheme="minorHAnsi"/>
          <w:i/>
          <w:iCs/>
          <w:sz w:val="20"/>
          <w:szCs w:val="20"/>
        </w:rPr>
        <w:t>Works</w:t>
      </w:r>
      <w:r w:rsidRPr="000D0D5B">
        <w:rPr>
          <w:rFonts w:cstheme="minorHAnsi"/>
          <w:sz w:val="20"/>
          <w:szCs w:val="20"/>
        </w:rPr>
        <w:t xml:space="preserve"> 24. 301).</w:t>
      </w:r>
    </w:p>
    <w:p w:rsidR="00CB030D" w:rsidRPr="000D0D5B" w:rsidRDefault="00CB030D" w:rsidP="006704B4">
      <w:pPr>
        <w:spacing w:line="276" w:lineRule="auto"/>
        <w:rPr>
          <w:rFonts w:cstheme="minorHAnsi"/>
          <w:sz w:val="20"/>
          <w:szCs w:val="20"/>
        </w:rPr>
      </w:pPr>
      <w:r w:rsidRPr="000D0D5B">
        <w:rPr>
          <w:rFonts w:cstheme="minorHAnsi"/>
          <w:sz w:val="20"/>
          <w:szCs w:val="20"/>
        </w:rPr>
        <w:t>Compare Bentham on Blackstone, ‘the harmony of [whose] numbers [is] a kind of merit that of itself is sufficient to give a certain degree of celebrity to a work devoid of every other. So much is man governed by the ear’</w:t>
      </w:r>
      <w:r w:rsidR="001C16FE">
        <w:rPr>
          <w:rFonts w:cstheme="minorHAnsi"/>
          <w:sz w:val="20"/>
          <w:szCs w:val="20"/>
        </w:rPr>
        <w:t>. Jeremy Bentham</w:t>
      </w:r>
      <w:r w:rsidRPr="000D0D5B">
        <w:rPr>
          <w:rFonts w:cstheme="minorHAnsi"/>
          <w:sz w:val="20"/>
          <w:szCs w:val="20"/>
        </w:rPr>
        <w:t xml:space="preserve">, </w:t>
      </w:r>
      <w:r w:rsidRPr="000D0D5B">
        <w:rPr>
          <w:rFonts w:cstheme="minorHAnsi"/>
          <w:i/>
          <w:sz w:val="20"/>
          <w:szCs w:val="20"/>
        </w:rPr>
        <w:t>A Fragment on Government</w:t>
      </w:r>
      <w:r w:rsidRPr="000D0D5B">
        <w:rPr>
          <w:rFonts w:cstheme="minorHAnsi"/>
          <w:sz w:val="20"/>
          <w:szCs w:val="20"/>
        </w:rPr>
        <w:t xml:space="preserve">, eds. </w:t>
      </w:r>
      <w:r w:rsidR="001C16FE">
        <w:rPr>
          <w:rFonts w:cstheme="minorHAnsi"/>
          <w:sz w:val="20"/>
          <w:szCs w:val="20"/>
        </w:rPr>
        <w:t xml:space="preserve">J.H. </w:t>
      </w:r>
      <w:r w:rsidRPr="000D0D5B">
        <w:rPr>
          <w:rFonts w:cstheme="minorHAnsi"/>
          <w:sz w:val="20"/>
          <w:szCs w:val="20"/>
        </w:rPr>
        <w:t xml:space="preserve">Burns and </w:t>
      </w:r>
      <w:r w:rsidR="001C16FE">
        <w:rPr>
          <w:rFonts w:cstheme="minorHAnsi"/>
          <w:sz w:val="20"/>
          <w:szCs w:val="20"/>
        </w:rPr>
        <w:t xml:space="preserve">H.L.A. </w:t>
      </w:r>
      <w:r w:rsidRPr="000D0D5B">
        <w:rPr>
          <w:rFonts w:cstheme="minorHAnsi"/>
          <w:sz w:val="20"/>
          <w:szCs w:val="20"/>
        </w:rPr>
        <w:t>Hart, intro. Ross Harrison (Cambridge: Cambridge University Press, 1988), 24. For Bentham the alternatives are utility or mischievousness.</w:t>
      </w:r>
    </w:p>
    <w:p w:rsidR="00CB030D" w:rsidRPr="000D0D5B" w:rsidRDefault="00CB030D" w:rsidP="000D0D5B">
      <w:pPr>
        <w:spacing w:line="276" w:lineRule="auto"/>
        <w:rPr>
          <w:rFonts w:cstheme="minorHAnsi"/>
          <w:sz w:val="20"/>
          <w:szCs w:val="20"/>
        </w:rPr>
      </w:pPr>
      <w:r w:rsidRPr="000D0D5B">
        <w:rPr>
          <w:rFonts w:cstheme="minorHAnsi"/>
          <w:sz w:val="20"/>
          <w:szCs w:val="20"/>
        </w:rPr>
        <w:t>John Whale tells me that the centre of wire-drawing in Britain was Warrington.</w:t>
      </w:r>
    </w:p>
  </w:footnote>
  <w:footnote w:id="17">
    <w:p w:rsidR="00CB030D" w:rsidRPr="000D0D5B" w:rsidRDefault="00CB030D" w:rsidP="000D0D5B">
      <w:pPr>
        <w:spacing w:after="120" w:line="276" w:lineRule="auto"/>
        <w:rPr>
          <w:rFonts w:cs="Calibri"/>
          <w:sz w:val="20"/>
          <w:szCs w:val="20"/>
        </w:rPr>
      </w:pPr>
      <w:r w:rsidRPr="000D0D5B">
        <w:rPr>
          <w:rStyle w:val="FootnoteReference"/>
          <w:rFonts w:cs="Calibri"/>
          <w:sz w:val="20"/>
          <w:szCs w:val="20"/>
        </w:rPr>
        <w:footnoteRef/>
      </w:r>
      <w:r w:rsidRPr="000D0D5B">
        <w:rPr>
          <w:rFonts w:cs="Calibri"/>
          <w:sz w:val="20"/>
          <w:szCs w:val="20"/>
        </w:rPr>
        <w:t xml:space="preserve"> </w:t>
      </w:r>
      <w:r w:rsidRPr="000D0D5B">
        <w:rPr>
          <w:rStyle w:val="FootnotetextChar"/>
          <w:rFonts w:asciiTheme="minorHAnsi" w:hAnsiTheme="minorHAnsi" w:cs="Calibri"/>
        </w:rPr>
        <w:t xml:space="preserve">Preface to </w:t>
      </w:r>
      <w:r w:rsidRPr="000D0D5B">
        <w:rPr>
          <w:rStyle w:val="FootnotetextChar"/>
          <w:rFonts w:asciiTheme="minorHAnsi" w:hAnsiTheme="minorHAnsi" w:cs="Calibri"/>
          <w:i/>
        </w:rPr>
        <w:t>A Particular Attention to the Instruction of the Young Recommended</w:t>
      </w:r>
      <w:r w:rsidRPr="000D0D5B">
        <w:rPr>
          <w:rStyle w:val="FootnotetextChar"/>
          <w:rFonts w:asciiTheme="minorHAnsi" w:hAnsiTheme="minorHAnsi" w:cs="Calibri"/>
        </w:rPr>
        <w:t xml:space="preserve">, </w:t>
      </w:r>
      <w:r w:rsidRPr="000D0D5B">
        <w:rPr>
          <w:rStyle w:val="FootnotetextChar"/>
          <w:rFonts w:asciiTheme="minorHAnsi" w:hAnsiTheme="minorHAnsi" w:cs="Calibri"/>
          <w:i/>
        </w:rPr>
        <w:t>in A Discourse delivered at the Gravel Pit Meeting in Hackney</w:t>
      </w:r>
      <w:r w:rsidRPr="000D0D5B">
        <w:rPr>
          <w:rStyle w:val="FootnotetextChar"/>
          <w:rFonts w:asciiTheme="minorHAnsi" w:hAnsiTheme="minorHAnsi" w:cs="Calibri"/>
        </w:rPr>
        <w:t xml:space="preserve"> (London: J. Johnson, 1791) – Priestley used the </w:t>
      </w:r>
      <w:r w:rsidRPr="000D0D5B">
        <w:rPr>
          <w:rStyle w:val="FootnotetextChar"/>
          <w:rFonts w:asciiTheme="minorHAnsi" w:hAnsiTheme="minorHAnsi" w:cs="Calibri"/>
          <w:i/>
        </w:rPr>
        <w:t>Institutes</w:t>
      </w:r>
      <w:r w:rsidRPr="000D0D5B">
        <w:rPr>
          <w:rStyle w:val="FootnotetextChar"/>
          <w:rFonts w:asciiTheme="minorHAnsi" w:hAnsiTheme="minorHAnsi" w:cs="Calibri"/>
        </w:rPr>
        <w:t xml:space="preserve"> alongside his </w:t>
      </w:r>
      <w:r w:rsidRPr="000D0D5B">
        <w:rPr>
          <w:rStyle w:val="FootnotetextChar"/>
          <w:rFonts w:asciiTheme="minorHAnsi" w:hAnsiTheme="minorHAnsi" w:cs="Calibri"/>
          <w:i/>
        </w:rPr>
        <w:t>History of the Corruptions of Christianity</w:t>
      </w:r>
      <w:r w:rsidRPr="000D0D5B">
        <w:rPr>
          <w:rStyle w:val="FootnotetextChar"/>
          <w:rFonts w:asciiTheme="minorHAnsi" w:hAnsiTheme="minorHAnsi" w:cs="Calibri"/>
        </w:rPr>
        <w:t xml:space="preserve"> (viii). </w:t>
      </w:r>
      <w:r w:rsidRPr="000D0D5B">
        <w:rPr>
          <w:rFonts w:cs="Calibri"/>
          <w:sz w:val="20"/>
          <w:szCs w:val="20"/>
        </w:rPr>
        <w:t xml:space="preserve">Priestley may have claimed to proceed without authorities himself but is reluctant to allow the young similar liberty: he used the </w:t>
      </w:r>
      <w:r w:rsidRPr="000D0D5B">
        <w:rPr>
          <w:rFonts w:cs="Calibri"/>
          <w:i/>
          <w:sz w:val="20"/>
          <w:szCs w:val="20"/>
        </w:rPr>
        <w:t>Institutes</w:t>
      </w:r>
      <w:r w:rsidRPr="000D0D5B">
        <w:rPr>
          <w:rFonts w:cs="Calibri"/>
          <w:sz w:val="20"/>
          <w:szCs w:val="20"/>
        </w:rPr>
        <w:t xml:space="preserve"> as a textbook </w:t>
      </w:r>
      <w:r w:rsidRPr="000D0D5B">
        <w:rPr>
          <w:rStyle w:val="FootnotetextChar"/>
          <w:rFonts w:asciiTheme="minorHAnsi" w:hAnsiTheme="minorHAnsi" w:cs="Calibri"/>
        </w:rPr>
        <w:t xml:space="preserve">for the adult class </w:t>
      </w:r>
      <w:r w:rsidRPr="000D0D5B">
        <w:rPr>
          <w:rFonts w:cs="Calibri"/>
          <w:sz w:val="20"/>
          <w:szCs w:val="20"/>
        </w:rPr>
        <w:t>at Hackney, so still required the mediation of an instructor.</w:t>
      </w:r>
    </w:p>
  </w:footnote>
  <w:footnote w:id="18">
    <w:p w:rsidR="00CB030D" w:rsidRPr="000D0D5B" w:rsidRDefault="00CB030D" w:rsidP="000D0D5B">
      <w:pPr>
        <w:pStyle w:val="FootnoteText"/>
        <w:spacing w:after="120" w:line="276" w:lineRule="auto"/>
      </w:pPr>
      <w:r w:rsidRPr="000D0D5B">
        <w:rPr>
          <w:rStyle w:val="FootnoteReference"/>
        </w:rPr>
        <w:footnoteRef/>
      </w:r>
      <w:r w:rsidRPr="000D0D5B">
        <w:t xml:space="preserve"> Timothy Priestley, </w:t>
      </w:r>
      <w:proofErr w:type="gramStart"/>
      <w:r w:rsidRPr="000D0D5B">
        <w:rPr>
          <w:i/>
          <w:iCs/>
        </w:rPr>
        <w:t>A</w:t>
      </w:r>
      <w:proofErr w:type="gramEnd"/>
      <w:r w:rsidRPr="000D0D5B">
        <w:rPr>
          <w:i/>
          <w:iCs/>
        </w:rPr>
        <w:t xml:space="preserve"> Funeral Sermon Occasioned by the Death of the Late Rev. Joseph Priestley </w:t>
      </w:r>
      <w:r w:rsidRPr="000D0D5B">
        <w:t>(London: V. Griffiths, 1804), 40.</w:t>
      </w:r>
    </w:p>
  </w:footnote>
  <w:footnote w:id="19">
    <w:p w:rsidR="00CB030D" w:rsidRPr="000D0D5B" w:rsidRDefault="00CB030D" w:rsidP="000D0D5B">
      <w:pPr>
        <w:pStyle w:val="FootnoteText"/>
        <w:spacing w:after="120" w:line="276" w:lineRule="auto"/>
        <w:rPr>
          <w:rFonts w:cstheme="minorHAnsi"/>
        </w:rPr>
      </w:pPr>
      <w:r w:rsidRPr="000D0D5B">
        <w:rPr>
          <w:rStyle w:val="FootnoteReference"/>
          <w:rFonts w:cstheme="minorHAnsi"/>
        </w:rPr>
        <w:footnoteRef/>
      </w:r>
      <w:r w:rsidRPr="000D0D5B">
        <w:rPr>
          <w:rFonts w:cstheme="minorHAnsi"/>
        </w:rPr>
        <w:t xml:space="preserve"> See Simon Mills, ‘Joseph Priestley and the Intellectual Culture of Rational Dissent, 1752 – 1796’ (unpublished PhD thesis, Queen Mary University of London, 2009), 60-61.</w:t>
      </w:r>
    </w:p>
  </w:footnote>
  <w:footnote w:id="20">
    <w:p w:rsidR="00CB030D" w:rsidRPr="000D0D5B" w:rsidRDefault="00CB030D" w:rsidP="00413207">
      <w:pPr>
        <w:pStyle w:val="FootnoteText"/>
        <w:spacing w:after="120" w:line="276" w:lineRule="auto"/>
      </w:pPr>
      <w:r w:rsidRPr="000D0D5B">
        <w:rPr>
          <w:rStyle w:val="FootnoteReference"/>
        </w:rPr>
        <w:footnoteRef/>
      </w:r>
      <w:r w:rsidRPr="000D0D5B">
        <w:t xml:space="preserve"> </w:t>
      </w:r>
      <w:r w:rsidRPr="000D0D5B">
        <w:rPr>
          <w:i/>
          <w:iCs/>
        </w:rPr>
        <w:t>Experiments and Observations</w:t>
      </w:r>
      <w:r w:rsidR="007A115A">
        <w:rPr>
          <w:i/>
          <w:iCs/>
        </w:rPr>
        <w:t xml:space="preserve"> on Different Kinds of Air</w:t>
      </w:r>
      <w:r w:rsidRPr="000D0D5B">
        <w:t xml:space="preserve">, 3 </w:t>
      </w:r>
      <w:proofErr w:type="spellStart"/>
      <w:r w:rsidRPr="000D0D5B">
        <w:t>vols</w:t>
      </w:r>
      <w:proofErr w:type="spellEnd"/>
      <w:r w:rsidRPr="000D0D5B">
        <w:t xml:space="preserve"> (</w:t>
      </w:r>
      <w:r w:rsidR="007A115A">
        <w:t xml:space="preserve">London: </w:t>
      </w:r>
      <w:proofErr w:type="spellStart"/>
      <w:r w:rsidR="007A115A">
        <w:t>J.Johnson</w:t>
      </w:r>
      <w:proofErr w:type="spellEnd"/>
      <w:r w:rsidR="007A115A">
        <w:t xml:space="preserve">, </w:t>
      </w:r>
      <w:bookmarkStart w:id="0" w:name="_GoBack"/>
      <w:bookmarkEnd w:id="0"/>
      <w:r w:rsidRPr="000D0D5B">
        <w:t>1774-7), Vol II (1775), 30.</w:t>
      </w:r>
    </w:p>
  </w:footnote>
  <w:footnote w:id="21">
    <w:p w:rsidR="00CB030D" w:rsidRPr="000D0D5B" w:rsidRDefault="00CB030D" w:rsidP="00994842">
      <w:pPr>
        <w:pStyle w:val="FootnoteText"/>
        <w:spacing w:after="120" w:line="276" w:lineRule="auto"/>
      </w:pPr>
      <w:r w:rsidRPr="000D0D5B">
        <w:rPr>
          <w:rStyle w:val="FootnoteReference"/>
        </w:rPr>
        <w:footnoteRef/>
      </w:r>
      <w:r w:rsidRPr="000D0D5B">
        <w:t xml:space="preserve"> </w:t>
      </w:r>
      <w:r w:rsidR="00994842" w:rsidRPr="00994842">
        <w:rPr>
          <w:rFonts w:ascii="Calibri" w:eastAsia="SimSun" w:hAnsi="Calibri" w:cs="Arial"/>
          <w:lang w:eastAsia="en-GB"/>
        </w:rPr>
        <w:t xml:space="preserve">Robert E. Schofield (ed.), </w:t>
      </w:r>
      <w:proofErr w:type="gramStart"/>
      <w:r w:rsidR="00994842" w:rsidRPr="00994842">
        <w:rPr>
          <w:rFonts w:ascii="Calibri" w:eastAsia="SimSun" w:hAnsi="Calibri" w:cs="Arial"/>
          <w:i/>
          <w:iCs/>
          <w:lang w:eastAsia="en-GB"/>
        </w:rPr>
        <w:t>A</w:t>
      </w:r>
      <w:proofErr w:type="gramEnd"/>
      <w:r w:rsidR="00994842" w:rsidRPr="00994842">
        <w:rPr>
          <w:rFonts w:ascii="Calibri" w:eastAsia="SimSun" w:hAnsi="Calibri" w:cs="Arial"/>
          <w:i/>
          <w:iCs/>
          <w:lang w:eastAsia="en-GB"/>
        </w:rPr>
        <w:t xml:space="preserve"> Scientific Autobiography of Joseph Priestley (1733-1804)</w:t>
      </w:r>
      <w:r w:rsidR="00994842" w:rsidRPr="00994842">
        <w:rPr>
          <w:rFonts w:ascii="Calibri" w:eastAsia="SimSun" w:hAnsi="Calibri" w:cs="Arial"/>
          <w:lang w:eastAsia="en-GB"/>
        </w:rPr>
        <w:t xml:space="preserve"> (Cambridge: MIT Press, 1966</w:t>
      </w:r>
      <w:r w:rsidR="00994842">
        <w:rPr>
          <w:rFonts w:ascii="Calibri" w:eastAsia="SimSun" w:hAnsi="Calibri" w:cs="Arial"/>
          <w:lang w:eastAsia="en-GB"/>
        </w:rPr>
        <w:t>)</w:t>
      </w:r>
      <w:r w:rsidRPr="00994842">
        <w:t>, 251</w:t>
      </w:r>
      <w:r w:rsidR="00994842">
        <w:t>.</w:t>
      </w:r>
    </w:p>
  </w:footnote>
  <w:footnote w:id="22">
    <w:p w:rsidR="00CB030D" w:rsidRPr="00EA398F" w:rsidRDefault="00CB030D" w:rsidP="00EA398F">
      <w:pPr>
        <w:pStyle w:val="FootnoteText"/>
        <w:spacing w:after="120" w:line="276" w:lineRule="auto"/>
      </w:pPr>
      <w:r w:rsidRPr="00EA398F">
        <w:rPr>
          <w:rStyle w:val="FootnoteReference"/>
        </w:rPr>
        <w:footnoteRef/>
      </w:r>
      <w:r w:rsidRPr="00EA398F">
        <w:t xml:space="preserve"> </w:t>
      </w:r>
      <w:r>
        <w:t xml:space="preserve">See </w:t>
      </w:r>
      <w:r w:rsidRPr="00EA398F">
        <w:rPr>
          <w:rFonts w:ascii="Calibri" w:eastAsia="SimSun" w:hAnsi="Calibri" w:cs="Arial"/>
          <w:lang w:eastAsia="en-GB"/>
        </w:rPr>
        <w:t xml:space="preserve">Elizabeth Sarah Kingston, ‘”The Language of the Naked Facts”: Joseph Priestley on Language and revealed religion’ (unpublished </w:t>
      </w:r>
      <w:proofErr w:type="spellStart"/>
      <w:r w:rsidRPr="00EA398F">
        <w:rPr>
          <w:rFonts w:ascii="Calibri" w:eastAsia="SimSun" w:hAnsi="Calibri" w:cs="Arial"/>
          <w:lang w:eastAsia="en-GB"/>
        </w:rPr>
        <w:t>D.Phil</w:t>
      </w:r>
      <w:proofErr w:type="spellEnd"/>
      <w:r w:rsidRPr="00EA398F">
        <w:rPr>
          <w:rFonts w:ascii="Calibri" w:eastAsia="SimSun" w:hAnsi="Calibri" w:cs="Arial"/>
          <w:lang w:eastAsia="en-GB"/>
        </w:rPr>
        <w:t xml:space="preserve"> the</w:t>
      </w:r>
      <w:r>
        <w:rPr>
          <w:rFonts w:ascii="Calibri" w:eastAsia="SimSun" w:hAnsi="Calibri" w:cs="Arial"/>
          <w:lang w:eastAsia="en-GB"/>
        </w:rPr>
        <w:t>sis, University of Sussex, 2010</w:t>
      </w:r>
      <w:r w:rsidRPr="00EA398F">
        <w:rPr>
          <w:rFonts w:ascii="Calibri" w:eastAsia="SimSun" w:hAnsi="Calibri" w:cs="Arial"/>
          <w:lang w:eastAsia="en-GB"/>
        </w:rPr>
        <w:t>)</w:t>
      </w:r>
      <w:r>
        <w:rPr>
          <w:rFonts w:ascii="Calibri" w:eastAsia="SimSun" w:hAnsi="Calibri" w:cs="Arial"/>
          <w:lang w:eastAsia="en-GB"/>
        </w:rPr>
        <w:t>.</w:t>
      </w:r>
    </w:p>
  </w:footnote>
  <w:footnote w:id="23">
    <w:p w:rsidR="00CB030D" w:rsidRPr="000D0D5B" w:rsidRDefault="00CB030D" w:rsidP="000D0D5B">
      <w:pPr>
        <w:pStyle w:val="FootnoteText"/>
        <w:spacing w:after="120" w:line="276" w:lineRule="auto"/>
        <w:rPr>
          <w:rFonts w:cs="Calibri"/>
        </w:rPr>
      </w:pPr>
      <w:r w:rsidRPr="000D0D5B">
        <w:rPr>
          <w:rStyle w:val="FootnoteReference"/>
          <w:rFonts w:cs="Calibri"/>
        </w:rPr>
        <w:footnoteRef/>
      </w:r>
      <w:r w:rsidRPr="000D0D5B">
        <w:rPr>
          <w:rFonts w:cs="Calibri"/>
        </w:rPr>
        <w:t xml:space="preserve"> The famously similar idiom apparently derives from Bede’s </w:t>
      </w:r>
      <w:r w:rsidRPr="000D0D5B">
        <w:rPr>
          <w:rFonts w:cs="Calibri"/>
          <w:i/>
        </w:rPr>
        <w:t>Ecclesiastical History</w:t>
      </w:r>
      <w:r w:rsidRPr="000D0D5B">
        <w:rPr>
          <w:rFonts w:cs="Calibri"/>
        </w:rPr>
        <w:t xml:space="preserve"> rather than the Bible.</w:t>
      </w:r>
    </w:p>
  </w:footnote>
  <w:footnote w:id="24">
    <w:p w:rsidR="00CB030D" w:rsidRPr="000D0D5B" w:rsidRDefault="00CB030D" w:rsidP="000D0D5B">
      <w:pPr>
        <w:pStyle w:val="FootnoteText"/>
        <w:spacing w:after="120" w:line="276" w:lineRule="auto"/>
        <w:rPr>
          <w:rFonts w:cs="Calibri"/>
        </w:rPr>
      </w:pPr>
      <w:r w:rsidRPr="000D0D5B">
        <w:rPr>
          <w:rStyle w:val="FootnoteReference"/>
          <w:rFonts w:cs="Calibri"/>
        </w:rPr>
        <w:footnoteRef/>
      </w:r>
      <w:r w:rsidRPr="000D0D5B">
        <w:rPr>
          <w:rFonts w:cs="Calibri"/>
        </w:rPr>
        <w:t xml:space="preserve"> There is, however, nothing in Priestley’s oeuvre much like Bentham’s deconstructive reading of a paragraph from William Blackstone’s </w:t>
      </w:r>
      <w:r w:rsidRPr="000D0D5B">
        <w:rPr>
          <w:rFonts w:cs="Calibri"/>
          <w:i/>
          <w:iCs/>
        </w:rPr>
        <w:t>Commentaries on the Laws of England</w:t>
      </w:r>
      <w:r w:rsidRPr="000D0D5B">
        <w:rPr>
          <w:rFonts w:cs="Calibri"/>
        </w:rPr>
        <w:t xml:space="preserve"> in an unfinished supplement to his 1776 </w:t>
      </w:r>
      <w:r w:rsidRPr="000D0D5B">
        <w:rPr>
          <w:rFonts w:cs="Calibri"/>
          <w:i/>
          <w:iCs/>
        </w:rPr>
        <w:t>Fragment on Government</w:t>
      </w:r>
      <w:r w:rsidRPr="000D0D5B">
        <w:rPr>
          <w:rFonts w:cs="Calibri"/>
        </w:rPr>
        <w:t>. It is difficult to describe the status of Bentham’s text, partly because of his apparent carelessness about publication, and the collected works are still in the process of being edited.</w:t>
      </w:r>
    </w:p>
  </w:footnote>
  <w:footnote w:id="25">
    <w:p w:rsidR="00CB030D" w:rsidRPr="000D0D5B" w:rsidRDefault="00CB030D" w:rsidP="001D127A">
      <w:pPr>
        <w:pStyle w:val="FootnoteText"/>
        <w:spacing w:after="120" w:line="276" w:lineRule="auto"/>
        <w:rPr>
          <w:rFonts w:cs="Calibri"/>
        </w:rPr>
      </w:pPr>
      <w:r w:rsidRPr="000D0D5B">
        <w:rPr>
          <w:rStyle w:val="FootnoteReference"/>
          <w:rFonts w:cs="Calibri"/>
        </w:rPr>
        <w:footnoteRef/>
      </w:r>
      <w:r w:rsidRPr="000D0D5B">
        <w:rPr>
          <w:rFonts w:cs="Calibri"/>
        </w:rPr>
        <w:t xml:space="preserve"> </w:t>
      </w:r>
      <w:r w:rsidRPr="000D0D5B">
        <w:rPr>
          <w:rFonts w:cs="Calibri"/>
          <w:i/>
          <w:iCs/>
        </w:rPr>
        <w:t>The Notebooks of Samuel Taylor Coleridge</w:t>
      </w:r>
      <w:r w:rsidRPr="000D0D5B">
        <w:rPr>
          <w:rFonts w:cs="Calibri"/>
        </w:rPr>
        <w:t xml:space="preserve">, edited by Kathleen Coburn, 5 </w:t>
      </w:r>
      <w:proofErr w:type="spellStart"/>
      <w:r w:rsidRPr="000D0D5B">
        <w:rPr>
          <w:rFonts w:cs="Calibri"/>
        </w:rPr>
        <w:t>vols</w:t>
      </w:r>
      <w:proofErr w:type="spellEnd"/>
      <w:r w:rsidRPr="000D0D5B">
        <w:rPr>
          <w:rFonts w:cs="Calibri"/>
        </w:rPr>
        <w:t>,  (Princeton, NJ: Princeton UP and London: Routledge, 1957- 2002), Vol I  (1957), 100, October 1796); Benjamin Franklin,</w:t>
      </w:r>
      <w:r w:rsidRPr="000D0D5B">
        <w:rPr>
          <w:rFonts w:cs="Calibri"/>
          <w:i/>
        </w:rPr>
        <w:t xml:space="preserve"> Autobiography and other writings</w:t>
      </w:r>
      <w:r w:rsidRPr="000D0D5B">
        <w:rPr>
          <w:rFonts w:cs="Calibri"/>
        </w:rPr>
        <w:t xml:space="preserve">, ed. Ormond </w:t>
      </w:r>
      <w:proofErr w:type="spellStart"/>
      <w:r w:rsidRPr="000D0D5B">
        <w:rPr>
          <w:rFonts w:cs="Calibri"/>
        </w:rPr>
        <w:t>Seavey</w:t>
      </w:r>
      <w:proofErr w:type="spellEnd"/>
      <w:r w:rsidRPr="000D0D5B">
        <w:rPr>
          <w:rFonts w:cs="Calibri"/>
        </w:rPr>
        <w:t xml:space="preserve"> (Oxford: Oxford UP, 1993), 84 ff., 92. </w:t>
      </w:r>
      <w:r w:rsidRPr="000D0D5B">
        <w:rPr>
          <w:rFonts w:eastAsia="SimSun" w:cs="Calibri"/>
          <w:lang w:eastAsia="en-GB"/>
        </w:rPr>
        <w:t xml:space="preserve">The latter project was more than half a joke of course, and this and his famous letter to Priestley about </w:t>
      </w:r>
      <w:r w:rsidR="001D127A">
        <w:rPr>
          <w:rFonts w:eastAsia="SimSun" w:cs="Calibri"/>
          <w:lang w:eastAsia="en-GB"/>
        </w:rPr>
        <w:t>“</w:t>
      </w:r>
      <w:r w:rsidRPr="000D0D5B">
        <w:rPr>
          <w:rFonts w:eastAsia="SimSun" w:cs="Calibri"/>
          <w:lang w:eastAsia="en-GB"/>
        </w:rPr>
        <w:t>moral algebra</w:t>
      </w:r>
      <w:r w:rsidR="001D127A">
        <w:rPr>
          <w:rFonts w:eastAsia="SimSun" w:cs="Calibri"/>
          <w:lang w:eastAsia="en-GB"/>
        </w:rPr>
        <w:t>”</w:t>
      </w:r>
      <w:r w:rsidRPr="000D0D5B">
        <w:rPr>
          <w:rFonts w:eastAsia="SimSun" w:cs="Calibri"/>
          <w:lang w:eastAsia="en-GB"/>
        </w:rPr>
        <w:t xml:space="preserve"> are – to use that fraught word – private communications, not ultimately determined by the requirements to be definitive, to be propositional, or even (although there is nothing close to a joke anywhere in Priestley) to be serious.</w:t>
      </w:r>
    </w:p>
  </w:footnote>
  <w:footnote w:id="26">
    <w:p w:rsidR="00CB030D" w:rsidRPr="000D0D5B" w:rsidRDefault="00CB030D" w:rsidP="000D0D5B">
      <w:pPr>
        <w:pStyle w:val="FootnoteText"/>
        <w:spacing w:after="120" w:line="276" w:lineRule="auto"/>
      </w:pPr>
      <w:r w:rsidRPr="000D0D5B">
        <w:rPr>
          <w:rStyle w:val="FootnoteReference"/>
        </w:rPr>
        <w:footnoteRef/>
      </w:r>
      <w:r w:rsidRPr="000D0D5B">
        <w:rPr>
          <w:i/>
          <w:iCs/>
        </w:rPr>
        <w:t>Enquiries concerning Human Understanding and concerning the Principles of Morals</w:t>
      </w:r>
      <w:r w:rsidRPr="000D0D5B">
        <w:t>, ed. L.A. Selby-</w:t>
      </w:r>
      <w:proofErr w:type="spellStart"/>
      <w:r w:rsidRPr="000D0D5B">
        <w:t>Bigge</w:t>
      </w:r>
      <w:proofErr w:type="spellEnd"/>
      <w:r w:rsidRPr="000D0D5B">
        <w:t xml:space="preserve">, third edition rev. P.H. </w:t>
      </w:r>
      <w:proofErr w:type="spellStart"/>
      <w:r w:rsidRPr="000D0D5B">
        <w:t>Nidditch</w:t>
      </w:r>
      <w:proofErr w:type="spellEnd"/>
      <w:r w:rsidRPr="000D0D5B">
        <w:t xml:space="preserve"> (Oxford: Clarendon Press, 1975), pp. 129-30.</w:t>
      </w:r>
    </w:p>
  </w:footnote>
  <w:footnote w:id="27">
    <w:p w:rsidR="00CB030D" w:rsidRPr="000D0D5B" w:rsidRDefault="00CB030D" w:rsidP="000D0D5B">
      <w:pPr>
        <w:pStyle w:val="FootnoteText"/>
        <w:spacing w:after="120" w:line="276" w:lineRule="auto"/>
      </w:pPr>
      <w:r w:rsidRPr="000D0D5B">
        <w:rPr>
          <w:rStyle w:val="FootnoteReference"/>
        </w:rPr>
        <w:footnoteRef/>
      </w:r>
      <w:r w:rsidRPr="000D0D5B">
        <w:t xml:space="preserve"> Schofield, </w:t>
      </w:r>
      <w:r w:rsidRPr="000D0D5B">
        <w:rPr>
          <w:i/>
          <w:iCs/>
        </w:rPr>
        <w:t>Scientific Autobiography</w:t>
      </w:r>
      <w:r w:rsidRPr="000D0D5B">
        <w:t>, 263.</w:t>
      </w:r>
    </w:p>
  </w:footnote>
  <w:footnote w:id="28">
    <w:p w:rsidR="00CB030D" w:rsidRPr="00E472D1" w:rsidRDefault="00CB030D" w:rsidP="007A5DAD">
      <w:pPr>
        <w:pStyle w:val="FootnoteText"/>
        <w:spacing w:after="120"/>
      </w:pPr>
      <w:r w:rsidRPr="00E472D1">
        <w:rPr>
          <w:rStyle w:val="FootnoteReference"/>
        </w:rPr>
        <w:footnoteRef/>
      </w:r>
      <w:r w:rsidRPr="00E472D1">
        <w:t xml:space="preserve"> Clark</w:t>
      </w:r>
      <w:r w:rsidRPr="00E472D1">
        <w:rPr>
          <w:i/>
          <w:iCs/>
        </w:rPr>
        <w:t>, English Society</w:t>
      </w:r>
      <w:r w:rsidRPr="00E472D1">
        <w:t xml:space="preserve">, p.229. (Clark’s chapter significantly concatenates these terms; </w:t>
      </w:r>
      <w:r>
        <w:t xml:space="preserve">it </w:t>
      </w:r>
      <w:r w:rsidRPr="00E472D1">
        <w:t>is entitled ‘Orthodox Anglican Political Theology’.)</w:t>
      </w:r>
    </w:p>
  </w:footnote>
  <w:footnote w:id="29">
    <w:p w:rsidR="00CB030D" w:rsidRPr="000D0D5B" w:rsidRDefault="00CB030D" w:rsidP="000D0D5B">
      <w:pPr>
        <w:spacing w:after="120" w:line="276" w:lineRule="auto"/>
        <w:rPr>
          <w:sz w:val="20"/>
          <w:szCs w:val="20"/>
        </w:rPr>
      </w:pPr>
      <w:r w:rsidRPr="000D0D5B">
        <w:rPr>
          <w:rStyle w:val="FootnoteReference"/>
          <w:sz w:val="20"/>
          <w:szCs w:val="20"/>
        </w:rPr>
        <w:footnoteRef/>
      </w:r>
      <w:r w:rsidRPr="000D0D5B">
        <w:rPr>
          <w:rStyle w:val="FootnotetextChar"/>
          <w:rFonts w:asciiTheme="minorHAnsi" w:hAnsiTheme="minorHAnsi"/>
        </w:rPr>
        <w:t xml:space="preserve"> Joseph Priestley, </w:t>
      </w:r>
      <w:r w:rsidRPr="000D0D5B">
        <w:rPr>
          <w:rStyle w:val="FootnotetextChar"/>
          <w:rFonts w:asciiTheme="minorHAnsi" w:hAnsiTheme="minorHAnsi"/>
          <w:i/>
          <w:iCs/>
        </w:rPr>
        <w:t>Experiments and observations on different kinds of air, and other branches of natural philosophy, connected with the subject</w:t>
      </w:r>
      <w:r w:rsidRPr="000D0D5B">
        <w:rPr>
          <w:rStyle w:val="FootnotetextChar"/>
          <w:rFonts w:asciiTheme="minorHAnsi" w:hAnsiTheme="minorHAnsi"/>
        </w:rPr>
        <w:t>, three volumes (Birmingham, Thomas Pearson  1790), I, xxiii.</w:t>
      </w:r>
    </w:p>
  </w:footnote>
  <w:footnote w:id="30">
    <w:p w:rsidR="00CB030D" w:rsidRPr="000D0D5B" w:rsidRDefault="00CB030D" w:rsidP="00755930">
      <w:pPr>
        <w:spacing w:after="120" w:line="276" w:lineRule="auto"/>
        <w:rPr>
          <w:sz w:val="20"/>
          <w:szCs w:val="20"/>
        </w:rPr>
      </w:pPr>
      <w:r w:rsidRPr="000D0D5B">
        <w:rPr>
          <w:rStyle w:val="FootnoteReference"/>
          <w:sz w:val="20"/>
          <w:szCs w:val="20"/>
        </w:rPr>
        <w:footnoteRef/>
      </w:r>
      <w:r w:rsidRPr="000D0D5B">
        <w:rPr>
          <w:sz w:val="20"/>
          <w:szCs w:val="20"/>
        </w:rPr>
        <w:t xml:space="preserve"> </w:t>
      </w:r>
      <w:r w:rsidR="00755930" w:rsidRPr="00755930">
        <w:rPr>
          <w:i/>
          <w:sz w:val="20"/>
          <w:szCs w:val="20"/>
        </w:rPr>
        <w:t xml:space="preserve">Essay on the First Principles of Government, in Priestley: Political Writings, </w:t>
      </w:r>
      <w:r w:rsidR="00755930" w:rsidRPr="00755930">
        <w:rPr>
          <w:iCs/>
          <w:sz w:val="20"/>
          <w:szCs w:val="20"/>
        </w:rPr>
        <w:t>ed. Peter Miller (Cambridge: Cambridge UP, 1993</w:t>
      </w:r>
      <w:r w:rsidR="00755930" w:rsidRPr="00755930">
        <w:rPr>
          <w:i/>
          <w:sz w:val="20"/>
          <w:szCs w:val="20"/>
        </w:rPr>
        <w:t>)</w:t>
      </w:r>
      <w:r w:rsidR="00755930" w:rsidRPr="00755930">
        <w:rPr>
          <w:sz w:val="20"/>
          <w:szCs w:val="20"/>
        </w:rPr>
        <w:t>,</w:t>
      </w:r>
      <w:r w:rsidRPr="000D0D5B">
        <w:rPr>
          <w:sz w:val="20"/>
          <w:szCs w:val="20"/>
        </w:rPr>
        <w:t xml:space="preserve"> 14. For Isaac </w:t>
      </w:r>
      <w:proofErr w:type="spellStart"/>
      <w:r w:rsidRPr="000D0D5B">
        <w:rPr>
          <w:sz w:val="20"/>
          <w:szCs w:val="20"/>
        </w:rPr>
        <w:t>Kramnick</w:t>
      </w:r>
      <w:proofErr w:type="spellEnd"/>
      <w:r w:rsidRPr="000D0D5B">
        <w:rPr>
          <w:sz w:val="20"/>
          <w:szCs w:val="20"/>
        </w:rPr>
        <w:t xml:space="preserve">, the </w:t>
      </w:r>
      <w:r w:rsidRPr="000D0D5B">
        <w:rPr>
          <w:i/>
          <w:iCs/>
          <w:sz w:val="20"/>
          <w:szCs w:val="20"/>
        </w:rPr>
        <w:t>Essay</w:t>
      </w:r>
      <w:r w:rsidRPr="000D0D5B">
        <w:rPr>
          <w:sz w:val="20"/>
          <w:szCs w:val="20"/>
        </w:rPr>
        <w:t xml:space="preserve"> ‘is a virtual gloss on Locke’s </w:t>
      </w:r>
      <w:r w:rsidRPr="000D0D5B">
        <w:rPr>
          <w:i/>
          <w:iCs/>
          <w:sz w:val="20"/>
          <w:szCs w:val="20"/>
        </w:rPr>
        <w:t>Second Treatis</w:t>
      </w:r>
      <w:r w:rsidRPr="000D0D5B">
        <w:rPr>
          <w:sz w:val="20"/>
          <w:szCs w:val="20"/>
        </w:rPr>
        <w:t xml:space="preserve">e’ ‘Eighteenth-Century Science and Radical Social Theory: The Case of Joseph Priestley's Scientific Liberalism’, </w:t>
      </w:r>
      <w:r w:rsidRPr="000D0D5B">
        <w:rPr>
          <w:i/>
          <w:iCs/>
          <w:sz w:val="20"/>
          <w:szCs w:val="20"/>
        </w:rPr>
        <w:t>Journal of British Studies</w:t>
      </w:r>
      <w:r w:rsidRPr="000D0D5B">
        <w:rPr>
          <w:sz w:val="20"/>
          <w:szCs w:val="20"/>
        </w:rPr>
        <w:t>, Vol. 25, No. 1 (Jan., 1986), pp. 1-</w:t>
      </w:r>
      <w:proofErr w:type="gramStart"/>
      <w:r w:rsidRPr="000D0D5B">
        <w:rPr>
          <w:sz w:val="20"/>
          <w:szCs w:val="20"/>
        </w:rPr>
        <w:t>30  [</w:t>
      </w:r>
      <w:proofErr w:type="gramEnd"/>
      <w:r w:rsidRPr="000D0D5B">
        <w:rPr>
          <w:sz w:val="20"/>
          <w:szCs w:val="20"/>
        </w:rPr>
        <w:t>p.</w:t>
      </w:r>
      <w:r w:rsidR="00216B52">
        <w:rPr>
          <w:sz w:val="20"/>
          <w:szCs w:val="20"/>
        </w:rPr>
        <w:t>17</w:t>
      </w:r>
      <w:r w:rsidRPr="000D0D5B">
        <w:rPr>
          <w:sz w:val="20"/>
          <w:szCs w:val="20"/>
        </w:rPr>
        <w:t>)].  However, there is an incipient utilitarianism which diverges from Locke (and, incidentally, from the framers of the United States Declaration of Independence).</w:t>
      </w:r>
    </w:p>
  </w:footnote>
  <w:footnote w:id="31">
    <w:p w:rsidR="00CB030D" w:rsidRPr="00B523AB" w:rsidRDefault="00CB030D" w:rsidP="00851CD4">
      <w:pPr>
        <w:spacing w:line="276" w:lineRule="auto"/>
        <w:rPr>
          <w:sz w:val="20"/>
          <w:szCs w:val="20"/>
        </w:rPr>
      </w:pPr>
      <w:r w:rsidRPr="00B523AB">
        <w:rPr>
          <w:rStyle w:val="FootnoteReference"/>
          <w:sz w:val="20"/>
          <w:szCs w:val="20"/>
        </w:rPr>
        <w:footnoteRef/>
      </w:r>
      <w:r w:rsidRPr="00B523AB">
        <w:rPr>
          <w:sz w:val="20"/>
          <w:szCs w:val="20"/>
        </w:rPr>
        <w:t xml:space="preserve"> </w:t>
      </w:r>
      <w:r w:rsidRPr="00B523AB">
        <w:rPr>
          <w:i/>
          <w:sz w:val="20"/>
          <w:szCs w:val="20"/>
        </w:rPr>
        <w:t>An Address to Protestant Dissenters of All Denominations, On the Approaching Election of Members of Parliament</w:t>
      </w:r>
      <w:r w:rsidRPr="00B523AB">
        <w:rPr>
          <w:sz w:val="20"/>
          <w:szCs w:val="20"/>
        </w:rPr>
        <w:t xml:space="preserve"> (London: Joseph Johnson, 1774), p.4.</w:t>
      </w:r>
    </w:p>
  </w:footnote>
  <w:footnote w:id="32">
    <w:p w:rsidR="00CB030D" w:rsidRPr="000D0D5B" w:rsidRDefault="00CB030D" w:rsidP="000D0D5B">
      <w:pPr>
        <w:pStyle w:val="NormalWeb"/>
        <w:spacing w:before="0" w:beforeAutospacing="0" w:after="120" w:afterAutospacing="0" w:line="276" w:lineRule="auto"/>
        <w:ind w:firstLine="0"/>
        <w:rPr>
          <w:rFonts w:asciiTheme="minorHAnsi" w:hAnsiTheme="minorHAnsi"/>
          <w:sz w:val="20"/>
          <w:szCs w:val="20"/>
        </w:rPr>
      </w:pPr>
      <w:r w:rsidRPr="000D0D5B">
        <w:rPr>
          <w:rStyle w:val="FootnoteReference"/>
          <w:rFonts w:asciiTheme="minorHAnsi" w:hAnsiTheme="minorHAnsi"/>
          <w:sz w:val="20"/>
          <w:szCs w:val="20"/>
        </w:rPr>
        <w:footnoteRef/>
      </w:r>
      <w:r w:rsidRPr="000D0D5B">
        <w:rPr>
          <w:rFonts w:asciiTheme="minorHAnsi" w:hAnsiTheme="minorHAnsi"/>
          <w:sz w:val="20"/>
          <w:szCs w:val="20"/>
        </w:rPr>
        <w:t xml:space="preserve"> </w:t>
      </w:r>
      <w:r w:rsidRPr="000D0D5B">
        <w:rPr>
          <w:rFonts w:asciiTheme="minorHAnsi" w:hAnsiTheme="minorHAnsi"/>
          <w:i/>
          <w:sz w:val="20"/>
          <w:szCs w:val="20"/>
        </w:rPr>
        <w:t>Political Writings</w:t>
      </w:r>
      <w:r w:rsidRPr="000D0D5B">
        <w:rPr>
          <w:rFonts w:asciiTheme="minorHAnsi" w:hAnsiTheme="minorHAnsi"/>
          <w:sz w:val="20"/>
          <w:szCs w:val="20"/>
        </w:rPr>
        <w:t xml:space="preserve">, 53; 35. </w:t>
      </w:r>
      <w:r w:rsidRPr="000D0D5B">
        <w:rPr>
          <w:rStyle w:val="FootnotetextChar"/>
          <w:rFonts w:asciiTheme="minorHAnsi" w:hAnsiTheme="minorHAnsi"/>
        </w:rPr>
        <w:t xml:space="preserve">In the </w:t>
      </w:r>
      <w:r w:rsidRPr="000D0D5B">
        <w:rPr>
          <w:rStyle w:val="FootnotetextChar"/>
          <w:rFonts w:asciiTheme="minorHAnsi" w:hAnsiTheme="minorHAnsi"/>
          <w:i/>
        </w:rPr>
        <w:t>Essay</w:t>
      </w:r>
      <w:r w:rsidRPr="000D0D5B">
        <w:rPr>
          <w:rStyle w:val="FootnotetextChar"/>
          <w:rFonts w:asciiTheme="minorHAnsi" w:hAnsiTheme="minorHAnsi"/>
        </w:rPr>
        <w:t xml:space="preserve"> Priestley claims that conquest is a blessing for states that have ceased to progress, but there is a slow, providential progress which, in so far as it needs human intervention, requires that citizens be given ‘liberty’. Priestley claims that the reason the civil magistrate will be concerned with religion but not with medicine for example is because of the power religion has to ‘influence’ (p.75). </w:t>
      </w:r>
    </w:p>
  </w:footnote>
  <w:footnote w:id="33">
    <w:p w:rsidR="00CB030D" w:rsidRPr="000D0D5B" w:rsidRDefault="00CB030D" w:rsidP="00755930">
      <w:pPr>
        <w:pStyle w:val="FootnoteText"/>
        <w:spacing w:after="120" w:line="276" w:lineRule="auto"/>
        <w:rPr>
          <w:rFonts w:eastAsia="SimSun" w:cs="Arial"/>
          <w:lang w:eastAsia="en-GB"/>
        </w:rPr>
      </w:pPr>
      <w:r w:rsidRPr="000D0D5B">
        <w:rPr>
          <w:rStyle w:val="FootnoteReference"/>
        </w:rPr>
        <w:footnoteRef/>
      </w:r>
      <w:r w:rsidRPr="000D0D5B">
        <w:t xml:space="preserve"> </w:t>
      </w:r>
      <w:r w:rsidR="00755930" w:rsidRPr="00755930">
        <w:rPr>
          <w:i/>
          <w:iCs/>
        </w:rPr>
        <w:t>Political Writings</w:t>
      </w:r>
      <w:r w:rsidR="00755930">
        <w:t xml:space="preserve">, </w:t>
      </w:r>
      <w:r w:rsidRPr="000D0D5B">
        <w:t xml:space="preserve">38. Priestley says that the </w:t>
      </w:r>
      <w:r w:rsidRPr="000D0D5B">
        <w:rPr>
          <w:i/>
          <w:iCs/>
        </w:rPr>
        <w:t>Essay</w:t>
      </w:r>
      <w:r w:rsidRPr="000D0D5B">
        <w:t xml:space="preserve"> as a whole derives, from his reply to Brown and its fourth section derives directly from that controversy.  See Stephen Bygrave</w:t>
      </w:r>
      <w:r w:rsidRPr="000D0D5B">
        <w:rPr>
          <w:rFonts w:eastAsia="SimSun" w:cs="Arial"/>
          <w:lang w:eastAsia="en-GB"/>
        </w:rPr>
        <w:t xml:space="preserve"> See Stephen Bygrave, </w:t>
      </w:r>
      <w:r w:rsidRPr="000D0D5B">
        <w:rPr>
          <w:rFonts w:eastAsia="SimSun" w:cs="Arial"/>
          <w:i/>
          <w:iCs/>
          <w:lang w:eastAsia="en-GB"/>
        </w:rPr>
        <w:t xml:space="preserve">Uses of Education: Readings in Enlightenment in </w:t>
      </w:r>
      <w:proofErr w:type="gramStart"/>
      <w:r w:rsidRPr="000D0D5B">
        <w:rPr>
          <w:rFonts w:eastAsia="SimSun" w:cs="Arial"/>
          <w:i/>
          <w:iCs/>
          <w:lang w:eastAsia="en-GB"/>
        </w:rPr>
        <w:t>England</w:t>
      </w:r>
      <w:r w:rsidRPr="000D0D5B">
        <w:rPr>
          <w:rFonts w:eastAsia="SimSun" w:cs="Arial"/>
          <w:lang w:eastAsia="en-GB"/>
        </w:rPr>
        <w:t xml:space="preserve">  (</w:t>
      </w:r>
      <w:proofErr w:type="gramEnd"/>
      <w:r w:rsidRPr="000D0D5B">
        <w:rPr>
          <w:rFonts w:eastAsia="SimSun" w:cs="Arial"/>
          <w:lang w:eastAsia="en-GB"/>
        </w:rPr>
        <w:t xml:space="preserve">Lewisburg: </w:t>
      </w:r>
      <w:proofErr w:type="spellStart"/>
      <w:r w:rsidRPr="000D0D5B">
        <w:rPr>
          <w:rFonts w:eastAsia="SimSun" w:cs="Arial"/>
          <w:lang w:eastAsia="en-GB"/>
        </w:rPr>
        <w:t>Bucknell</w:t>
      </w:r>
      <w:proofErr w:type="spellEnd"/>
      <w:r w:rsidRPr="000D0D5B">
        <w:rPr>
          <w:rFonts w:eastAsia="SimSun" w:cs="Arial"/>
          <w:lang w:eastAsia="en-GB"/>
        </w:rPr>
        <w:t xml:space="preserve"> University Press, 2009), Chapter 3.</w:t>
      </w:r>
    </w:p>
  </w:footnote>
  <w:footnote w:id="34">
    <w:p w:rsidR="00CB030D" w:rsidRPr="000D0D5B" w:rsidRDefault="00CB030D" w:rsidP="000D0D5B">
      <w:pPr>
        <w:spacing w:line="276" w:lineRule="auto"/>
        <w:rPr>
          <w:sz w:val="20"/>
          <w:szCs w:val="20"/>
        </w:rPr>
      </w:pPr>
      <w:r w:rsidRPr="000D0D5B">
        <w:rPr>
          <w:rStyle w:val="FootnoteReference"/>
          <w:sz w:val="20"/>
          <w:szCs w:val="20"/>
        </w:rPr>
        <w:footnoteRef/>
      </w:r>
      <w:r w:rsidRPr="000D0D5B">
        <w:rPr>
          <w:sz w:val="20"/>
          <w:szCs w:val="20"/>
        </w:rPr>
        <w:t xml:space="preserve"> </w:t>
      </w:r>
      <w:r w:rsidRPr="000D0D5B">
        <w:rPr>
          <w:i/>
          <w:sz w:val="20"/>
          <w:szCs w:val="20"/>
        </w:rPr>
        <w:t>The Proper Objects of Education in the Present State of the World: represented in a discourse … to the supporters of the New College at Hackney</w:t>
      </w:r>
      <w:r w:rsidRPr="000D0D5B">
        <w:rPr>
          <w:sz w:val="20"/>
          <w:szCs w:val="20"/>
        </w:rPr>
        <w:t xml:space="preserve"> (London: J. Johnson, 1791), 19; 8.</w:t>
      </w:r>
    </w:p>
  </w:footnote>
  <w:footnote w:id="35">
    <w:p w:rsidR="00CB030D" w:rsidRPr="000D0D5B" w:rsidRDefault="00CB030D" w:rsidP="000D0D5B">
      <w:pPr>
        <w:spacing w:after="120" w:line="276" w:lineRule="auto"/>
        <w:rPr>
          <w:sz w:val="20"/>
          <w:szCs w:val="20"/>
        </w:rPr>
      </w:pPr>
      <w:r w:rsidRPr="000D0D5B">
        <w:rPr>
          <w:rStyle w:val="FootnoteReference"/>
          <w:sz w:val="20"/>
          <w:szCs w:val="20"/>
        </w:rPr>
        <w:footnoteRef/>
      </w:r>
      <w:r w:rsidRPr="000D0D5B">
        <w:rPr>
          <w:sz w:val="20"/>
          <w:szCs w:val="20"/>
        </w:rPr>
        <w:t xml:space="preserve"> </w:t>
      </w:r>
      <w:r w:rsidRPr="000D0D5B">
        <w:rPr>
          <w:i/>
          <w:sz w:val="20"/>
          <w:szCs w:val="20"/>
        </w:rPr>
        <w:t>Political Writings</w:t>
      </w:r>
      <w:r w:rsidRPr="000D0D5B">
        <w:rPr>
          <w:sz w:val="20"/>
          <w:szCs w:val="20"/>
        </w:rPr>
        <w:t>, 16-17.</w:t>
      </w:r>
    </w:p>
  </w:footnote>
  <w:footnote w:id="36">
    <w:p w:rsidR="00CB030D" w:rsidRDefault="00CB030D" w:rsidP="00755930">
      <w:pPr>
        <w:pStyle w:val="FootnoteText"/>
        <w:spacing w:after="120"/>
      </w:pPr>
      <w:r>
        <w:rPr>
          <w:rStyle w:val="FootnoteReference"/>
        </w:rPr>
        <w:footnoteRef/>
      </w:r>
      <w:r>
        <w:t xml:space="preserve"> </w:t>
      </w:r>
      <w:r w:rsidRPr="00AA68EB">
        <w:t xml:space="preserve">David </w:t>
      </w:r>
      <w:proofErr w:type="spellStart"/>
      <w:r w:rsidRPr="00AA68EB">
        <w:t>Ruderman</w:t>
      </w:r>
      <w:proofErr w:type="spellEnd"/>
      <w:r w:rsidRPr="00AA68EB">
        <w:t xml:space="preserve">, </w:t>
      </w:r>
      <w:r w:rsidRPr="00AA68EB">
        <w:rPr>
          <w:i/>
        </w:rPr>
        <w:t>Jewish Enlightenment in an English Key: Anglo-Jewry’s Construction of Modern Jewish Thought</w:t>
      </w:r>
      <w:r w:rsidRPr="00AA68EB">
        <w:t xml:space="preserve"> (Princeton, NJ: Princeton University Press, 2000), especially 170-79 [pp.173-175]</w:t>
      </w:r>
      <w:r>
        <w:t>.</w:t>
      </w:r>
    </w:p>
  </w:footnote>
  <w:footnote w:id="37">
    <w:p w:rsidR="00CB030D" w:rsidRPr="000D0D5B" w:rsidRDefault="00CB030D" w:rsidP="00755930">
      <w:pPr>
        <w:spacing w:after="120" w:line="240" w:lineRule="auto"/>
        <w:rPr>
          <w:sz w:val="20"/>
          <w:szCs w:val="20"/>
        </w:rPr>
      </w:pPr>
      <w:r w:rsidRPr="000D0D5B">
        <w:rPr>
          <w:rStyle w:val="FootnoteReference"/>
          <w:sz w:val="20"/>
          <w:szCs w:val="20"/>
        </w:rPr>
        <w:footnoteRef/>
      </w:r>
      <w:r w:rsidRPr="000D0D5B">
        <w:rPr>
          <w:sz w:val="20"/>
          <w:szCs w:val="20"/>
        </w:rPr>
        <w:t xml:space="preserve"> </w:t>
      </w:r>
      <w:r w:rsidR="0075052D">
        <w:rPr>
          <w:sz w:val="20"/>
          <w:szCs w:val="20"/>
        </w:rPr>
        <w:t>The first phrase is q</w:t>
      </w:r>
      <w:r w:rsidRPr="000D0D5B">
        <w:rPr>
          <w:sz w:val="20"/>
          <w:szCs w:val="20"/>
        </w:rPr>
        <w:t xml:space="preserve">uoted by </w:t>
      </w:r>
      <w:r w:rsidRPr="000D0D5B">
        <w:rPr>
          <w:rStyle w:val="FootnotetextChar"/>
          <w:rFonts w:asciiTheme="minorHAnsi" w:hAnsiTheme="minorHAnsi"/>
        </w:rPr>
        <w:t xml:space="preserve">Simon Mills, ‘Priestley’s Connections with Catholics and Jews’, </w:t>
      </w:r>
      <w:r w:rsidRPr="000D0D5B">
        <w:rPr>
          <w:rStyle w:val="FootnotetextChar"/>
          <w:rFonts w:asciiTheme="minorHAnsi" w:hAnsiTheme="minorHAnsi"/>
          <w:i/>
        </w:rPr>
        <w:t>T</w:t>
      </w:r>
      <w:r w:rsidRPr="000D0D5B">
        <w:rPr>
          <w:rStyle w:val="FootnotetextChar"/>
          <w:rFonts w:asciiTheme="minorHAnsi" w:hAnsiTheme="minorHAnsi"/>
          <w:i/>
          <w:iCs/>
        </w:rPr>
        <w:t>ransactions of the Unitarian Historical Society</w:t>
      </w:r>
      <w:r w:rsidRPr="000D0D5B">
        <w:rPr>
          <w:rStyle w:val="FootnotetextChar"/>
          <w:rFonts w:asciiTheme="minorHAnsi" w:hAnsiTheme="minorHAnsi"/>
        </w:rPr>
        <w:t xml:space="preserve">, Vol. 24, no. 3 (April 2009), 176-191 [186]. Mills surmises the author of the reply to be the high churchman George Horne. See also </w:t>
      </w:r>
      <w:proofErr w:type="spellStart"/>
      <w:r w:rsidRPr="000D0D5B">
        <w:rPr>
          <w:rStyle w:val="FootnotetextChar"/>
          <w:rFonts w:asciiTheme="minorHAnsi" w:hAnsiTheme="minorHAnsi"/>
        </w:rPr>
        <w:t>MacCalman</w:t>
      </w:r>
      <w:proofErr w:type="spellEnd"/>
      <w:r w:rsidRPr="000D0D5B">
        <w:rPr>
          <w:rStyle w:val="FootnotetextChar"/>
          <w:rFonts w:asciiTheme="minorHAnsi" w:hAnsiTheme="minorHAnsi"/>
        </w:rPr>
        <w:t xml:space="preserve"> in </w:t>
      </w:r>
      <w:proofErr w:type="spellStart"/>
      <w:r w:rsidRPr="000D0D5B">
        <w:rPr>
          <w:rStyle w:val="FootnotetextChar"/>
          <w:rFonts w:asciiTheme="minorHAnsi" w:hAnsiTheme="minorHAnsi"/>
        </w:rPr>
        <w:t>Haakonssen</w:t>
      </w:r>
      <w:proofErr w:type="spellEnd"/>
      <w:r w:rsidRPr="000D0D5B">
        <w:rPr>
          <w:rStyle w:val="FootnotetextChar"/>
          <w:rFonts w:asciiTheme="minorHAnsi" w:hAnsiTheme="minorHAnsi"/>
        </w:rPr>
        <w:t>.</w:t>
      </w:r>
      <w:r w:rsidR="0075052D">
        <w:rPr>
          <w:rStyle w:val="FootnotetextChar"/>
          <w:rFonts w:asciiTheme="minorHAnsi" w:hAnsiTheme="minorHAnsi"/>
        </w:rPr>
        <w:t xml:space="preserve"> The second phrase is quoted by </w:t>
      </w:r>
      <w:proofErr w:type="spellStart"/>
      <w:r w:rsidR="0075052D">
        <w:rPr>
          <w:rStyle w:val="FootnotetextChar"/>
          <w:rFonts w:asciiTheme="minorHAnsi" w:hAnsiTheme="minorHAnsi"/>
        </w:rPr>
        <w:t>Ruderman</w:t>
      </w:r>
      <w:proofErr w:type="spellEnd"/>
      <w:r w:rsidR="0075052D">
        <w:rPr>
          <w:rStyle w:val="FootnotetextChar"/>
          <w:rFonts w:asciiTheme="minorHAnsi" w:hAnsiTheme="minorHAnsi"/>
        </w:rPr>
        <w:t>, 175</w:t>
      </w:r>
      <w:r w:rsidR="00346E9C">
        <w:rPr>
          <w:rStyle w:val="FootnotetextChar"/>
          <w:rFonts w:asciiTheme="minorHAnsi" w:hAnsiTheme="minorHAnsi"/>
        </w:rPr>
        <w:t>.</w:t>
      </w:r>
    </w:p>
  </w:footnote>
  <w:footnote w:id="38">
    <w:p w:rsidR="00CB030D" w:rsidRPr="00A0507F" w:rsidRDefault="00CB030D" w:rsidP="00755930">
      <w:pPr>
        <w:pStyle w:val="FootnoteText"/>
        <w:spacing w:after="120"/>
      </w:pPr>
      <w:r>
        <w:rPr>
          <w:rStyle w:val="FootnoteReference"/>
        </w:rPr>
        <w:footnoteRef/>
      </w:r>
      <w:r>
        <w:t xml:space="preserve"> </w:t>
      </w:r>
      <w:proofErr w:type="spellStart"/>
      <w:r w:rsidRPr="00A0507F">
        <w:t>Ruderman</w:t>
      </w:r>
      <w:proofErr w:type="spellEnd"/>
      <w:r w:rsidRPr="00A0507F">
        <w:t xml:space="preserve">, </w:t>
      </w:r>
      <w:r w:rsidRPr="00A0507F">
        <w:rPr>
          <w:i/>
        </w:rPr>
        <w:t>Jewish Enlightenment in an English Key</w:t>
      </w:r>
      <w:r>
        <w:rPr>
          <w:i/>
        </w:rPr>
        <w:t xml:space="preserve">, </w:t>
      </w:r>
      <w:r>
        <w:t>173-175.</w:t>
      </w:r>
    </w:p>
    <w:p w:rsidR="00CB030D" w:rsidRDefault="00CB030D">
      <w:pPr>
        <w:pStyle w:val="FootnoteText"/>
      </w:pPr>
    </w:p>
  </w:footnote>
  <w:footnote w:id="39">
    <w:p w:rsidR="00CB030D" w:rsidRPr="000D0D5B" w:rsidRDefault="00CB030D" w:rsidP="000D0D5B">
      <w:pPr>
        <w:pStyle w:val="FootnoteText"/>
        <w:spacing w:after="120" w:line="276" w:lineRule="auto"/>
      </w:pPr>
      <w:r w:rsidRPr="000D0D5B">
        <w:rPr>
          <w:rStyle w:val="FootnoteReference"/>
        </w:rPr>
        <w:footnoteRef/>
      </w:r>
      <w:r w:rsidRPr="000D0D5B">
        <w:t xml:space="preserve"> </w:t>
      </w:r>
      <w:r w:rsidRPr="000D0D5B">
        <w:rPr>
          <w:i/>
        </w:rPr>
        <w:t>Appeal to the Public</w:t>
      </w:r>
      <w:r w:rsidRPr="000D0D5B">
        <w:t>, 92.</w:t>
      </w:r>
    </w:p>
  </w:footnote>
  <w:footnote w:id="40">
    <w:p w:rsidR="00755930" w:rsidRPr="000D0D5B" w:rsidRDefault="00CB030D" w:rsidP="00755930">
      <w:pPr>
        <w:pStyle w:val="FootnoteText"/>
        <w:spacing w:after="120" w:line="276" w:lineRule="auto"/>
        <w:rPr>
          <w:rFonts w:eastAsia="SimSun" w:cs="Arial"/>
          <w:lang w:eastAsia="en-GB"/>
        </w:rPr>
      </w:pPr>
      <w:r w:rsidRPr="000D0D5B">
        <w:rPr>
          <w:rStyle w:val="FootnoteReference"/>
        </w:rPr>
        <w:footnoteRef/>
      </w:r>
      <w:r w:rsidRPr="000D0D5B">
        <w:t xml:space="preserve"> </w:t>
      </w:r>
      <w:r w:rsidRPr="000D0D5B">
        <w:rPr>
          <w:i/>
        </w:rPr>
        <w:t>Appeal to the Public</w:t>
      </w:r>
      <w:r w:rsidRPr="000D0D5B">
        <w:t>, II, 112.</w:t>
      </w:r>
      <w:r w:rsidR="00755930">
        <w:t xml:space="preserve"> </w:t>
      </w:r>
      <w:r w:rsidR="00755930" w:rsidRPr="000D0D5B">
        <w:t xml:space="preserve">Priestley says that the </w:t>
      </w:r>
      <w:r w:rsidR="00755930" w:rsidRPr="000D0D5B">
        <w:rPr>
          <w:i/>
          <w:iCs/>
        </w:rPr>
        <w:t>Essay</w:t>
      </w:r>
      <w:r w:rsidR="00755930" w:rsidRPr="000D0D5B">
        <w:t xml:space="preserve"> as a whole derives, from his reply to Brown and its fourth section derives directly from that controversy.  </w:t>
      </w:r>
      <w:r w:rsidR="00755930" w:rsidRPr="000D0D5B">
        <w:rPr>
          <w:rFonts w:eastAsia="SimSun" w:cs="Arial"/>
          <w:lang w:eastAsia="en-GB"/>
        </w:rPr>
        <w:t xml:space="preserve">See Stephen Bygrave, </w:t>
      </w:r>
      <w:r w:rsidR="00755930" w:rsidRPr="000D0D5B">
        <w:rPr>
          <w:rFonts w:eastAsia="SimSun" w:cs="Arial"/>
          <w:i/>
          <w:iCs/>
          <w:lang w:eastAsia="en-GB"/>
        </w:rPr>
        <w:t xml:space="preserve">Uses of Education: Readings in Enlightenment in </w:t>
      </w:r>
      <w:proofErr w:type="gramStart"/>
      <w:r w:rsidR="00755930" w:rsidRPr="000D0D5B">
        <w:rPr>
          <w:rFonts w:eastAsia="SimSun" w:cs="Arial"/>
          <w:i/>
          <w:iCs/>
          <w:lang w:eastAsia="en-GB"/>
        </w:rPr>
        <w:t>England</w:t>
      </w:r>
      <w:r w:rsidR="00755930" w:rsidRPr="000D0D5B">
        <w:rPr>
          <w:rFonts w:eastAsia="SimSun" w:cs="Arial"/>
          <w:lang w:eastAsia="en-GB"/>
        </w:rPr>
        <w:t xml:space="preserve">  (</w:t>
      </w:r>
      <w:proofErr w:type="gramEnd"/>
      <w:r w:rsidR="00755930" w:rsidRPr="000D0D5B">
        <w:rPr>
          <w:rFonts w:eastAsia="SimSun" w:cs="Arial"/>
          <w:lang w:eastAsia="en-GB"/>
        </w:rPr>
        <w:t xml:space="preserve">Lewisburg: </w:t>
      </w:r>
      <w:proofErr w:type="spellStart"/>
      <w:r w:rsidR="00755930" w:rsidRPr="000D0D5B">
        <w:rPr>
          <w:rFonts w:eastAsia="SimSun" w:cs="Arial"/>
          <w:lang w:eastAsia="en-GB"/>
        </w:rPr>
        <w:t>Bucknell</w:t>
      </w:r>
      <w:proofErr w:type="spellEnd"/>
      <w:r w:rsidR="00755930" w:rsidRPr="000D0D5B">
        <w:rPr>
          <w:rFonts w:eastAsia="SimSun" w:cs="Arial"/>
          <w:lang w:eastAsia="en-GB"/>
        </w:rPr>
        <w:t xml:space="preserve"> University Press, 2009), Chapter 3.</w:t>
      </w:r>
    </w:p>
    <w:p w:rsidR="00CB030D" w:rsidRPr="000D0D5B" w:rsidRDefault="00CB030D" w:rsidP="000D0D5B">
      <w:pPr>
        <w:pStyle w:val="FootnoteText"/>
        <w:spacing w:after="120" w:line="276" w:lineRule="auto"/>
      </w:pPr>
    </w:p>
  </w:footnote>
  <w:footnote w:id="41">
    <w:p w:rsidR="00CB030D" w:rsidRPr="000D0D5B" w:rsidRDefault="00CB030D" w:rsidP="000D0D5B">
      <w:pPr>
        <w:pStyle w:val="FootnoteText"/>
        <w:spacing w:after="120" w:line="276" w:lineRule="auto"/>
        <w:rPr>
          <w:rFonts w:cs="Calibri"/>
        </w:rPr>
      </w:pPr>
      <w:r w:rsidRPr="000D0D5B">
        <w:rPr>
          <w:rStyle w:val="FootnoteReference"/>
          <w:rFonts w:cs="Calibri"/>
        </w:rPr>
        <w:footnoteRef/>
      </w:r>
      <w:r w:rsidRPr="000D0D5B">
        <w:rPr>
          <w:rFonts w:cs="Calibri"/>
        </w:rPr>
        <w:t xml:space="preserve"> </w:t>
      </w:r>
      <w:r w:rsidRPr="000D0D5B">
        <w:rPr>
          <w:rFonts w:cs="Calibri"/>
          <w:i/>
          <w:iCs/>
        </w:rPr>
        <w:t>Letters to the Right Honourable Edmund Burke, occasioned by his Reflections on the revolution in France</w:t>
      </w:r>
      <w:r w:rsidRPr="000D0D5B">
        <w:rPr>
          <w:rFonts w:cs="Calibri"/>
        </w:rPr>
        <w:t xml:space="preserve"> (London J. Johnson, 1791), 151,</w:t>
      </w:r>
    </w:p>
  </w:footnote>
  <w:footnote w:id="42">
    <w:p w:rsidR="00CB030D" w:rsidRPr="000D0D5B" w:rsidRDefault="00CB030D" w:rsidP="000D0D5B">
      <w:pPr>
        <w:pStyle w:val="FootnoteText"/>
        <w:spacing w:after="120" w:line="276" w:lineRule="auto"/>
        <w:rPr>
          <w:rFonts w:cs="Calibri"/>
        </w:rPr>
      </w:pPr>
      <w:r w:rsidRPr="000D0D5B">
        <w:rPr>
          <w:rStyle w:val="FootnoteReference"/>
          <w:rFonts w:cs="Calibri"/>
        </w:rPr>
        <w:footnoteRef/>
      </w:r>
      <w:r w:rsidRPr="000D0D5B">
        <w:rPr>
          <w:rFonts w:cs="Calibri"/>
        </w:rPr>
        <w:t xml:space="preserve"> </w:t>
      </w:r>
      <w:r w:rsidRPr="000D0D5B">
        <w:rPr>
          <w:rFonts w:cs="Calibri"/>
          <w:i/>
          <w:iCs/>
        </w:rPr>
        <w:t>Observations on the increase of infidelity</w:t>
      </w:r>
      <w:r w:rsidRPr="000D0D5B">
        <w:rPr>
          <w:rFonts w:cs="Calibri"/>
        </w:rPr>
        <w:t xml:space="preserve"> (1796),</w:t>
      </w:r>
      <w:r w:rsidRPr="000D0D5B">
        <w:rPr>
          <w:rFonts w:cs="Calibri"/>
          <w:b/>
          <w:bCs/>
        </w:rPr>
        <w:t xml:space="preserve">  </w:t>
      </w:r>
      <w:r w:rsidRPr="000D0D5B">
        <w:rPr>
          <w:rFonts w:cs="Calibri"/>
        </w:rPr>
        <w:t>53-4</w:t>
      </w:r>
    </w:p>
  </w:footnote>
  <w:footnote w:id="43">
    <w:p w:rsidR="00CB030D" w:rsidRPr="000D0D5B" w:rsidRDefault="00CB030D" w:rsidP="000D0D5B">
      <w:pPr>
        <w:pStyle w:val="FootnoteText"/>
        <w:spacing w:after="120" w:line="276" w:lineRule="auto"/>
        <w:rPr>
          <w:rFonts w:cs="Calibri"/>
        </w:rPr>
      </w:pPr>
      <w:r w:rsidRPr="000D0D5B">
        <w:rPr>
          <w:rStyle w:val="FootnoteReference"/>
          <w:rFonts w:cs="Calibri"/>
        </w:rPr>
        <w:footnoteRef/>
      </w:r>
      <w:r w:rsidRPr="000D0D5B">
        <w:rPr>
          <w:rFonts w:cs="Calibri"/>
        </w:rPr>
        <w:t xml:space="preserve"> </w:t>
      </w:r>
      <w:r w:rsidRPr="000D0D5B">
        <w:rPr>
          <w:rFonts w:cs="Calibri"/>
          <w:i/>
          <w:iCs/>
        </w:rPr>
        <w:t>Familiar letters, addressed to the inhabitants of Birmingham</w:t>
      </w:r>
      <w:r w:rsidRPr="000D0D5B">
        <w:rPr>
          <w:rFonts w:cs="Calibri"/>
        </w:rPr>
        <w:t xml:space="preserve"> (1790), 245-6</w:t>
      </w:r>
    </w:p>
  </w:footnote>
  <w:footnote w:id="44">
    <w:p w:rsidR="00CB030D" w:rsidRPr="000D0D5B" w:rsidRDefault="00CB030D" w:rsidP="000D0D5B">
      <w:pPr>
        <w:pStyle w:val="FootnoteText"/>
        <w:spacing w:after="120" w:line="276" w:lineRule="auto"/>
        <w:rPr>
          <w:rFonts w:cs="Calibri"/>
        </w:rPr>
      </w:pPr>
      <w:r w:rsidRPr="000D0D5B">
        <w:rPr>
          <w:rStyle w:val="FootnoteReference"/>
          <w:rFonts w:cs="Calibri"/>
        </w:rPr>
        <w:footnoteRef/>
      </w:r>
      <w:r w:rsidRPr="000D0D5B">
        <w:rPr>
          <w:rFonts w:cs="Calibri"/>
        </w:rPr>
        <w:t xml:space="preserve"> </w:t>
      </w:r>
      <w:r w:rsidRPr="000D0D5B">
        <w:rPr>
          <w:rFonts w:cs="Calibri"/>
          <w:i/>
          <w:iCs/>
        </w:rPr>
        <w:t xml:space="preserve"> Letters to a Philosophical Unbeliever</w:t>
      </w:r>
      <w:r w:rsidRPr="000D0D5B">
        <w:rPr>
          <w:rFonts w:cs="Calibri"/>
        </w:rPr>
        <w:t>, Part I (Birmingham, 1787), p.22</w:t>
      </w:r>
    </w:p>
  </w:footnote>
  <w:footnote w:id="45">
    <w:p w:rsidR="00CB030D" w:rsidRPr="000D0D5B" w:rsidRDefault="00CB030D" w:rsidP="000D0D5B">
      <w:pPr>
        <w:spacing w:after="120" w:line="276" w:lineRule="auto"/>
        <w:rPr>
          <w:rFonts w:eastAsia="SimSun" w:cs="Arial"/>
          <w:sz w:val="20"/>
          <w:szCs w:val="20"/>
          <w:lang w:eastAsia="en-GB"/>
        </w:rPr>
      </w:pPr>
      <w:r w:rsidRPr="000D0D5B">
        <w:rPr>
          <w:rStyle w:val="FootnoteReference"/>
          <w:sz w:val="20"/>
          <w:szCs w:val="20"/>
        </w:rPr>
        <w:footnoteRef/>
      </w:r>
      <w:r w:rsidRPr="000D0D5B">
        <w:rPr>
          <w:sz w:val="20"/>
          <w:szCs w:val="20"/>
        </w:rPr>
        <w:t xml:space="preserve"> </w:t>
      </w:r>
      <w:r w:rsidRPr="000D0D5B">
        <w:rPr>
          <w:rFonts w:eastAsia="SimSun" w:cs="Arial"/>
          <w:sz w:val="20"/>
          <w:szCs w:val="20"/>
          <w:lang w:eastAsia="en-GB"/>
        </w:rPr>
        <w:t xml:space="preserve">John </w:t>
      </w:r>
      <w:proofErr w:type="spellStart"/>
      <w:r w:rsidRPr="000D0D5B">
        <w:rPr>
          <w:rFonts w:eastAsia="SimSun" w:cs="Arial"/>
          <w:sz w:val="20"/>
          <w:szCs w:val="20"/>
          <w:lang w:eastAsia="en-GB"/>
        </w:rPr>
        <w:t>Gray</w:t>
      </w:r>
      <w:proofErr w:type="spellEnd"/>
      <w:r w:rsidRPr="000D0D5B">
        <w:rPr>
          <w:rFonts w:eastAsia="SimSun" w:cs="Arial"/>
          <w:sz w:val="20"/>
          <w:szCs w:val="20"/>
          <w:lang w:eastAsia="en-GB"/>
        </w:rPr>
        <w:t xml:space="preserve">, </w:t>
      </w:r>
      <w:r w:rsidRPr="000D0D5B">
        <w:rPr>
          <w:rFonts w:eastAsia="SimSun" w:cs="Arial"/>
          <w:i/>
          <w:sz w:val="20"/>
          <w:szCs w:val="20"/>
          <w:lang w:eastAsia="en-GB"/>
        </w:rPr>
        <w:t>Enlightenment’s Wake: Politics and culture at the close of the modern age</w:t>
      </w:r>
      <w:r w:rsidRPr="000D0D5B">
        <w:rPr>
          <w:rFonts w:eastAsia="SimSun" w:cs="Arial"/>
          <w:sz w:val="20"/>
          <w:szCs w:val="20"/>
          <w:lang w:eastAsia="en-GB"/>
        </w:rPr>
        <w:t xml:space="preserve"> (1995; London and New York: Routledge, 2007). Liberalism now being the only game in town, the alternative is a mode of thinking that would bypass Kant and the Enlightenment altogether, a kind of ‘agonistic liberalism’, to which </w:t>
      </w:r>
      <w:proofErr w:type="spellStart"/>
      <w:r w:rsidRPr="000D0D5B">
        <w:rPr>
          <w:rFonts w:eastAsia="SimSun" w:cs="Arial"/>
          <w:sz w:val="20"/>
          <w:szCs w:val="20"/>
          <w:lang w:eastAsia="en-GB"/>
        </w:rPr>
        <w:t>Gray</w:t>
      </w:r>
      <w:proofErr w:type="spellEnd"/>
      <w:r w:rsidRPr="000D0D5B">
        <w:rPr>
          <w:rFonts w:eastAsia="SimSun" w:cs="Arial"/>
          <w:sz w:val="20"/>
          <w:szCs w:val="20"/>
          <w:lang w:eastAsia="en-GB"/>
        </w:rPr>
        <w:t xml:space="preserve"> himself had, he says, previously subscribed. That is, only if the town is in the West: in Japan, Singapore, Malaysia and maybe even China the free market exists successfully without Enlightenment civil society (127). They are not liberal democracies but they are successful, economically and otherwise. However, they have the same instrumental and exploitative relation (</w:t>
      </w:r>
      <w:proofErr w:type="spellStart"/>
      <w:r w:rsidRPr="000D0D5B">
        <w:rPr>
          <w:rFonts w:eastAsia="SimSun" w:cs="Arial"/>
          <w:sz w:val="20"/>
          <w:szCs w:val="20"/>
          <w:lang w:eastAsia="en-GB"/>
        </w:rPr>
        <w:t>Gray</w:t>
      </w:r>
      <w:proofErr w:type="spellEnd"/>
      <w:r w:rsidRPr="000D0D5B">
        <w:rPr>
          <w:rFonts w:eastAsia="SimSun" w:cs="Arial"/>
          <w:sz w:val="20"/>
          <w:szCs w:val="20"/>
          <w:lang w:eastAsia="en-GB"/>
        </w:rPr>
        <w:t xml:space="preserve"> calls it ‘nihilist’) to the earth and its resources as the West.</w:t>
      </w:r>
    </w:p>
  </w:footnote>
  <w:footnote w:id="46">
    <w:p w:rsidR="00CB030D" w:rsidRPr="000D0D5B" w:rsidRDefault="00CB030D" w:rsidP="000A2B9A">
      <w:pPr>
        <w:pStyle w:val="FootnoteText"/>
        <w:spacing w:after="120" w:line="276" w:lineRule="auto"/>
        <w:rPr>
          <w:rFonts w:cs="Calibri"/>
        </w:rPr>
      </w:pPr>
      <w:r w:rsidRPr="000D0D5B">
        <w:rPr>
          <w:rStyle w:val="FootnoteReference"/>
          <w:rFonts w:cs="Calibri"/>
        </w:rPr>
        <w:footnoteRef/>
      </w:r>
      <w:r w:rsidRPr="000D0D5B">
        <w:rPr>
          <w:rFonts w:cs="Calibri"/>
        </w:rPr>
        <w:t xml:space="preserve"> </w:t>
      </w:r>
      <w:r w:rsidRPr="000D0D5B">
        <w:rPr>
          <w:rFonts w:cs="Calibri"/>
          <w:i/>
          <w:iCs/>
        </w:rPr>
        <w:t>The Notebooks of Samuel Taylor Coleridge</w:t>
      </w:r>
      <w:r w:rsidRPr="000D0D5B">
        <w:rPr>
          <w:rFonts w:cs="Calibri"/>
        </w:rPr>
        <w:t xml:space="preserve">, ed. Kathleen Coburn, 2 </w:t>
      </w:r>
      <w:proofErr w:type="spellStart"/>
      <w:r w:rsidRPr="000D0D5B">
        <w:rPr>
          <w:rFonts w:cs="Calibri"/>
        </w:rPr>
        <w:t>vols</w:t>
      </w:r>
      <w:proofErr w:type="spellEnd"/>
      <w:r w:rsidRPr="000D0D5B">
        <w:rPr>
          <w:rFonts w:cs="Calibri"/>
        </w:rPr>
        <w:t xml:space="preserve"> in 1 (London: Routledge, 1957), entry no. 133 (1796),</w:t>
      </w:r>
      <w:r>
        <w:rPr>
          <w:rFonts w:cs="Calibri"/>
        </w:rPr>
        <w:t xml:space="preserve"> I</w:t>
      </w:r>
      <w:proofErr w:type="gramStart"/>
      <w:r>
        <w:rPr>
          <w:rFonts w:cs="Calibri"/>
        </w:rPr>
        <w:t>, .</w:t>
      </w:r>
      <w:proofErr w:type="gramEnd"/>
    </w:p>
  </w:footnote>
  <w:footnote w:id="47">
    <w:p w:rsidR="00CB030D" w:rsidRPr="000D0D5B" w:rsidRDefault="00CB030D" w:rsidP="000D0D5B">
      <w:pPr>
        <w:pStyle w:val="FootnoteText"/>
        <w:spacing w:after="120" w:line="276" w:lineRule="auto"/>
        <w:rPr>
          <w:rFonts w:cs="Calibri"/>
        </w:rPr>
      </w:pPr>
      <w:r w:rsidRPr="000D0D5B">
        <w:rPr>
          <w:rStyle w:val="FootnoteReference"/>
          <w:rFonts w:cs="Calibri"/>
        </w:rPr>
        <w:footnoteRef/>
      </w:r>
      <w:r w:rsidRPr="000D0D5B">
        <w:rPr>
          <w:rFonts w:cs="Calibri"/>
        </w:rPr>
        <w:t xml:space="preserve"> Clarke Garrett quotes this passage, noting the ‘long history’ of this interpretation in his </w:t>
      </w:r>
      <w:r w:rsidRPr="000D0D5B">
        <w:rPr>
          <w:rFonts w:cs="Calibri"/>
          <w:i/>
          <w:iCs/>
        </w:rPr>
        <w:t>Respectable Folly: Millenarians and the French Revolution in France and England</w:t>
      </w:r>
      <w:r w:rsidRPr="000D0D5B">
        <w:rPr>
          <w:rFonts w:cs="Calibri"/>
        </w:rPr>
        <w:t xml:space="preserve"> (Baltimore and London: Johns Hopkins UP, 1975), p.190).</w:t>
      </w:r>
    </w:p>
  </w:footnote>
  <w:footnote w:id="48">
    <w:p w:rsidR="00CB030D" w:rsidRPr="000D0D5B" w:rsidRDefault="00CB030D" w:rsidP="000D0D5B">
      <w:pPr>
        <w:pStyle w:val="FootnoteText"/>
        <w:spacing w:after="120" w:line="276" w:lineRule="auto"/>
      </w:pPr>
      <w:r w:rsidRPr="000D0D5B">
        <w:rPr>
          <w:rStyle w:val="FootnoteReference"/>
        </w:rPr>
        <w:footnoteRef/>
      </w:r>
      <w:r w:rsidRPr="000D0D5B">
        <w:t xml:space="preserve"> Thomas </w:t>
      </w:r>
      <w:proofErr w:type="spellStart"/>
      <w:r w:rsidRPr="000D0D5B">
        <w:t>Belsham</w:t>
      </w:r>
      <w:proofErr w:type="spellEnd"/>
      <w:r w:rsidRPr="000D0D5B">
        <w:t xml:space="preserve">, </w:t>
      </w:r>
      <w:r w:rsidRPr="000D0D5B">
        <w:rPr>
          <w:i/>
          <w:iCs/>
        </w:rPr>
        <w:t xml:space="preserve">Memoirs of the Late Reverend </w:t>
      </w:r>
      <w:proofErr w:type="spellStart"/>
      <w:r w:rsidR="00346E9C">
        <w:rPr>
          <w:i/>
          <w:iCs/>
        </w:rPr>
        <w:t>Theophilus</w:t>
      </w:r>
      <w:r w:rsidRPr="000D0D5B">
        <w:rPr>
          <w:i/>
          <w:iCs/>
        </w:rPr>
        <w:t>Lindsey</w:t>
      </w:r>
      <w:proofErr w:type="spellEnd"/>
      <w:r w:rsidRPr="000D0D5B">
        <w:t xml:space="preserve"> (London, 1812), 375.</w:t>
      </w:r>
    </w:p>
  </w:footnote>
  <w:footnote w:id="49">
    <w:p w:rsidR="00CB030D" w:rsidRPr="000D0D5B" w:rsidRDefault="00CB030D" w:rsidP="000D0D5B">
      <w:pPr>
        <w:pStyle w:val="FootnoteText"/>
        <w:spacing w:after="120" w:line="276" w:lineRule="auto"/>
      </w:pPr>
      <w:r w:rsidRPr="000D0D5B">
        <w:rPr>
          <w:rStyle w:val="FootnoteReference"/>
        </w:rPr>
        <w:footnoteRef/>
      </w:r>
      <w:r w:rsidRPr="000D0D5B">
        <w:t xml:space="preserve"> Adams to Jefferson, August 15 1823.</w:t>
      </w:r>
    </w:p>
  </w:footnote>
  <w:footnote w:id="50">
    <w:p w:rsidR="00CB030D" w:rsidRPr="000D0D5B" w:rsidRDefault="00CB030D" w:rsidP="000D0D5B">
      <w:pPr>
        <w:pStyle w:val="FootnoteText"/>
        <w:spacing w:after="120" w:line="276" w:lineRule="auto"/>
      </w:pPr>
      <w:r w:rsidRPr="000D0D5B">
        <w:rPr>
          <w:rStyle w:val="FootnoteReference"/>
        </w:rPr>
        <w:footnoteRef/>
      </w:r>
      <w:r w:rsidRPr="000D0D5B">
        <w:t xml:space="preserve"> Adams to Jefferson, March 3 1814. In a letter of July 18 1813 Adams had praised Priestley: ‘This great, excellent and extraordinary Man, whom I sincerely loved esteemed and respected. Was really a Phenomenon; a Comet in the System, like Voltaire, Bolingbroke and Hume’.</w:t>
      </w:r>
    </w:p>
  </w:footnote>
  <w:footnote w:id="51">
    <w:p w:rsidR="00CB030D" w:rsidRPr="000D0D5B" w:rsidRDefault="00CB030D" w:rsidP="000D0D5B">
      <w:pPr>
        <w:pStyle w:val="FootnoteText"/>
        <w:spacing w:after="120" w:line="276" w:lineRule="auto"/>
      </w:pPr>
      <w:r w:rsidRPr="000D0D5B">
        <w:rPr>
          <w:rStyle w:val="FootnoteReference"/>
        </w:rPr>
        <w:footnoteRef/>
      </w:r>
      <w:r w:rsidRPr="000D0D5B">
        <w:t xml:space="preserve"> Adams to Jefferson, August 15 1823.</w:t>
      </w:r>
    </w:p>
  </w:footnote>
  <w:footnote w:id="52">
    <w:p w:rsidR="00CB030D" w:rsidRPr="000D0D5B" w:rsidRDefault="00CB030D" w:rsidP="000D0D5B">
      <w:pPr>
        <w:spacing w:line="276" w:lineRule="auto"/>
        <w:rPr>
          <w:rFonts w:eastAsia="SimSun" w:cs="Arial"/>
          <w:color w:val="000000"/>
          <w:sz w:val="20"/>
          <w:szCs w:val="20"/>
          <w:lang w:eastAsia="en-GB"/>
        </w:rPr>
      </w:pPr>
      <w:r w:rsidRPr="000D0D5B">
        <w:rPr>
          <w:rStyle w:val="FootnoteReference"/>
          <w:rFonts w:cs="Calibri"/>
          <w:sz w:val="20"/>
          <w:szCs w:val="20"/>
        </w:rPr>
        <w:footnoteRef/>
      </w:r>
      <w:r w:rsidRPr="000D0D5B">
        <w:rPr>
          <w:rFonts w:cs="Calibri"/>
          <w:sz w:val="20"/>
          <w:szCs w:val="20"/>
        </w:rPr>
        <w:t xml:space="preserve"> E.P. Thompson, </w:t>
      </w:r>
      <w:proofErr w:type="gramStart"/>
      <w:r w:rsidRPr="000D0D5B">
        <w:rPr>
          <w:rFonts w:cs="Calibri"/>
          <w:i/>
          <w:iCs/>
          <w:sz w:val="20"/>
          <w:szCs w:val="20"/>
        </w:rPr>
        <w:t>The</w:t>
      </w:r>
      <w:proofErr w:type="gramEnd"/>
      <w:r w:rsidRPr="000D0D5B">
        <w:rPr>
          <w:rFonts w:cs="Calibri"/>
          <w:i/>
          <w:iCs/>
          <w:sz w:val="20"/>
          <w:szCs w:val="20"/>
        </w:rPr>
        <w:t xml:space="preserve"> Making of the English Working Class </w:t>
      </w:r>
      <w:r w:rsidRPr="000D0D5B">
        <w:rPr>
          <w:rFonts w:cs="Calibri"/>
          <w:sz w:val="20"/>
          <w:szCs w:val="20"/>
        </w:rPr>
        <w:t>(</w:t>
      </w:r>
      <w:proofErr w:type="spellStart"/>
      <w:r w:rsidRPr="000D0D5B">
        <w:rPr>
          <w:rFonts w:cs="Calibri"/>
          <w:sz w:val="20"/>
          <w:szCs w:val="20"/>
        </w:rPr>
        <w:t>Harmondsworth</w:t>
      </w:r>
      <w:proofErr w:type="spellEnd"/>
      <w:r w:rsidRPr="000D0D5B">
        <w:rPr>
          <w:rFonts w:cs="Calibri"/>
          <w:sz w:val="20"/>
          <w:szCs w:val="20"/>
        </w:rPr>
        <w:t xml:space="preserve">: Pelican, 1968), 127-9.  See Deborah Madden, </w:t>
      </w:r>
      <w:r w:rsidRPr="000D0D5B">
        <w:rPr>
          <w:rFonts w:cs="Calibri"/>
          <w:i/>
          <w:iCs/>
          <w:sz w:val="20"/>
          <w:szCs w:val="20"/>
        </w:rPr>
        <w:t xml:space="preserve">The Paddington Prophet: Richard </w:t>
      </w:r>
      <w:proofErr w:type="spellStart"/>
      <w:r w:rsidRPr="000D0D5B">
        <w:rPr>
          <w:rFonts w:cs="Calibri"/>
          <w:i/>
          <w:iCs/>
          <w:sz w:val="20"/>
          <w:szCs w:val="20"/>
        </w:rPr>
        <w:t>Brothers's</w:t>
      </w:r>
      <w:proofErr w:type="spellEnd"/>
      <w:r w:rsidRPr="000D0D5B">
        <w:rPr>
          <w:rFonts w:cs="Calibri"/>
          <w:i/>
          <w:iCs/>
          <w:sz w:val="20"/>
          <w:szCs w:val="20"/>
        </w:rPr>
        <w:t xml:space="preserve"> journey to Jerusalem</w:t>
      </w:r>
      <w:r w:rsidRPr="000D0D5B">
        <w:rPr>
          <w:rFonts w:cs="Calibri"/>
          <w:sz w:val="20"/>
          <w:szCs w:val="20"/>
        </w:rPr>
        <w:t xml:space="preserve"> (Manchester: Manchester University Press, 2010); </w:t>
      </w:r>
      <w:r w:rsidRPr="000D0D5B">
        <w:rPr>
          <w:rFonts w:eastAsia="SimSun" w:cs="Calibri"/>
          <w:sz w:val="20"/>
          <w:szCs w:val="20"/>
          <w:lang w:eastAsia="en-GB"/>
        </w:rPr>
        <w:t>Emma Major,</w:t>
      </w:r>
      <w:r w:rsidRPr="000D0D5B">
        <w:rPr>
          <w:rFonts w:eastAsia="SimSun" w:cs="Arial"/>
          <w:color w:val="000000"/>
          <w:sz w:val="20"/>
          <w:szCs w:val="20"/>
          <w:lang w:eastAsia="en-GB"/>
        </w:rPr>
        <w:t xml:space="preserve"> ‘Fast Sermons of the 1790s’,  in </w:t>
      </w:r>
      <w:r w:rsidRPr="000D0D5B">
        <w:rPr>
          <w:rFonts w:eastAsia="SimSun" w:cs="Arial"/>
          <w:i/>
          <w:iCs/>
          <w:color w:val="000000"/>
          <w:sz w:val="20"/>
          <w:szCs w:val="20"/>
          <w:lang w:eastAsia="en-GB"/>
        </w:rPr>
        <w:t>Religion and Enlightenment</w:t>
      </w:r>
      <w:r w:rsidRPr="000D0D5B">
        <w:rPr>
          <w:rFonts w:eastAsia="SimSun" w:cs="Arial"/>
          <w:color w:val="000000"/>
          <w:sz w:val="20"/>
          <w:szCs w:val="20"/>
          <w:lang w:eastAsia="en-GB"/>
        </w:rPr>
        <w:t xml:space="preserve"> special issue, ‘Writing Religion, 1660-1830’, eds. </w:t>
      </w:r>
      <w:r w:rsidRPr="000D0D5B">
        <w:rPr>
          <w:rFonts w:eastAsia="SimSun" w:cs="Khmer UI"/>
          <w:color w:val="000000"/>
          <w:sz w:val="20"/>
          <w:szCs w:val="20"/>
          <w:lang w:eastAsia="en-GB"/>
        </w:rPr>
        <w:t xml:space="preserve">Emma </w:t>
      </w:r>
      <w:proofErr w:type="spellStart"/>
      <w:r w:rsidRPr="000D0D5B">
        <w:rPr>
          <w:rFonts w:eastAsia="SimSun" w:cs="Khmer UI"/>
          <w:color w:val="000000"/>
          <w:sz w:val="20"/>
          <w:szCs w:val="20"/>
          <w:lang w:eastAsia="en-GB"/>
        </w:rPr>
        <w:t>Salgard</w:t>
      </w:r>
      <w:proofErr w:type="spellEnd"/>
      <w:r w:rsidRPr="000D0D5B">
        <w:rPr>
          <w:rFonts w:eastAsia="SimSun" w:cs="Khmer UI"/>
          <w:color w:val="000000"/>
          <w:sz w:val="20"/>
          <w:szCs w:val="20"/>
          <w:lang w:eastAsia="en-GB"/>
        </w:rPr>
        <w:t xml:space="preserve"> Cunha and Laura Davies</w:t>
      </w:r>
      <w:r w:rsidRPr="000D0D5B">
        <w:rPr>
          <w:rFonts w:cs="Calibri"/>
          <w:sz w:val="20"/>
          <w:szCs w:val="20"/>
        </w:rPr>
        <w:t>.</w:t>
      </w:r>
    </w:p>
  </w:footnote>
  <w:footnote w:id="53">
    <w:p w:rsidR="00CB030D" w:rsidRPr="000D0D5B" w:rsidRDefault="00CB030D" w:rsidP="000D0D5B">
      <w:pPr>
        <w:pStyle w:val="FootnoteText"/>
        <w:spacing w:before="120" w:after="120" w:line="276" w:lineRule="auto"/>
        <w:rPr>
          <w:rFonts w:cs="Calibri"/>
        </w:rPr>
      </w:pPr>
      <w:r w:rsidRPr="000D0D5B">
        <w:rPr>
          <w:rStyle w:val="FootnoteReference"/>
          <w:rFonts w:cs="Calibri"/>
        </w:rPr>
        <w:footnoteRef/>
      </w:r>
      <w:r w:rsidRPr="000D0D5B">
        <w:rPr>
          <w:rFonts w:cs="Calibri"/>
        </w:rPr>
        <w:t xml:space="preserve"> Quoted by Garrett, pp. 192; 194.</w:t>
      </w:r>
    </w:p>
  </w:footnote>
  <w:footnote w:id="54">
    <w:p w:rsidR="00CB030D" w:rsidRPr="000D0D5B" w:rsidRDefault="00CB030D" w:rsidP="000D0D5B">
      <w:pPr>
        <w:pStyle w:val="FootnoteText"/>
        <w:spacing w:before="120" w:after="120" w:line="276" w:lineRule="auto"/>
        <w:rPr>
          <w:rFonts w:cs="Calibri"/>
        </w:rPr>
      </w:pPr>
      <w:r w:rsidRPr="000D0D5B">
        <w:rPr>
          <w:rStyle w:val="FootnoteReference"/>
          <w:rFonts w:cs="Calibri"/>
        </w:rPr>
        <w:footnoteRef/>
      </w:r>
      <w:r w:rsidRPr="000D0D5B">
        <w:rPr>
          <w:rFonts w:cs="Calibri"/>
        </w:rPr>
        <w:t xml:space="preserve"> Morton D. Paley, </w:t>
      </w:r>
      <w:r w:rsidRPr="000D0D5B">
        <w:rPr>
          <w:rFonts w:cs="Calibri"/>
          <w:i/>
          <w:iCs/>
        </w:rPr>
        <w:t xml:space="preserve">Apocalypse and Millennium in English Romantic Poetry </w:t>
      </w:r>
      <w:r w:rsidRPr="000D0D5B">
        <w:rPr>
          <w:rFonts w:cs="Calibri"/>
        </w:rPr>
        <w:t>(Oxford: Clarendon Press, 2003), 13</w:t>
      </w:r>
      <w:proofErr w:type="gramStart"/>
      <w:r w:rsidRPr="000D0D5B">
        <w:rPr>
          <w:rFonts w:cs="Calibri"/>
        </w:rPr>
        <w:t>;  John</w:t>
      </w:r>
      <w:proofErr w:type="gramEnd"/>
      <w:r w:rsidRPr="000D0D5B">
        <w:rPr>
          <w:rFonts w:cs="Calibri"/>
        </w:rPr>
        <w:t xml:space="preserve"> </w:t>
      </w:r>
      <w:proofErr w:type="spellStart"/>
      <w:r w:rsidRPr="000D0D5B">
        <w:rPr>
          <w:rFonts w:cs="Calibri"/>
        </w:rPr>
        <w:t>Barrell</w:t>
      </w:r>
      <w:proofErr w:type="spellEnd"/>
      <w:r w:rsidRPr="000D0D5B">
        <w:rPr>
          <w:rFonts w:cs="Calibri"/>
        </w:rPr>
        <w:t xml:space="preserve">, ‘Imagining the king’s death: the arrest of Richard Brothers’, </w:t>
      </w:r>
      <w:r w:rsidRPr="000D0D5B">
        <w:rPr>
          <w:rFonts w:cs="Calibri"/>
          <w:i/>
          <w:iCs/>
        </w:rPr>
        <w:t>History Workshop Journal</w:t>
      </w:r>
      <w:r w:rsidRPr="000D0D5B">
        <w:rPr>
          <w:rFonts w:cs="Calibri"/>
        </w:rPr>
        <w:t xml:space="preserve"> 37 (1994), 1- 32.</w:t>
      </w:r>
    </w:p>
  </w:footnote>
  <w:footnote w:id="55">
    <w:p w:rsidR="00CB030D" w:rsidRPr="000D0D5B" w:rsidRDefault="00CB030D" w:rsidP="000D0D5B">
      <w:pPr>
        <w:pStyle w:val="FootnoteText"/>
        <w:spacing w:before="120" w:after="120" w:line="276" w:lineRule="auto"/>
        <w:rPr>
          <w:rFonts w:cs="Calibri"/>
        </w:rPr>
      </w:pPr>
      <w:r w:rsidRPr="000D0D5B">
        <w:rPr>
          <w:rStyle w:val="FootnoteReference"/>
          <w:rFonts w:cs="Calibri"/>
        </w:rPr>
        <w:footnoteRef/>
      </w:r>
      <w:r w:rsidRPr="000D0D5B">
        <w:rPr>
          <w:rFonts w:cs="Calibri"/>
        </w:rPr>
        <w:t xml:space="preserve"> </w:t>
      </w:r>
      <w:r w:rsidRPr="000D0D5B">
        <w:rPr>
          <w:rFonts w:cs="Calibri"/>
          <w:i/>
          <w:iCs/>
          <w:lang w:val="en-US"/>
        </w:rPr>
        <w:t>Wonderful Prophecies</w:t>
      </w:r>
      <w:r w:rsidRPr="000D0D5B">
        <w:rPr>
          <w:rFonts w:cs="Calibri"/>
          <w:lang w:val="en-US"/>
        </w:rPr>
        <w:t>, p5.</w:t>
      </w:r>
    </w:p>
  </w:footnote>
  <w:footnote w:id="56">
    <w:p w:rsidR="00CB030D" w:rsidRPr="000D0D5B" w:rsidRDefault="00CB030D" w:rsidP="000D0D5B">
      <w:pPr>
        <w:pStyle w:val="FootnoteText"/>
        <w:spacing w:before="120" w:after="120" w:line="276" w:lineRule="auto"/>
        <w:rPr>
          <w:rFonts w:cs="Calibri"/>
          <w:lang w:val="en-US"/>
        </w:rPr>
      </w:pPr>
      <w:r w:rsidRPr="000D0D5B">
        <w:rPr>
          <w:rStyle w:val="FootnoteReference"/>
          <w:rFonts w:cs="Calibri"/>
        </w:rPr>
        <w:footnoteRef/>
      </w:r>
      <w:r w:rsidRPr="000D0D5B">
        <w:rPr>
          <w:rFonts w:cs="Calibri"/>
          <w:lang w:val="en-US"/>
        </w:rPr>
        <w:t xml:space="preserve"> As Jon Mee points out, William </w:t>
      </w:r>
      <w:proofErr w:type="spellStart"/>
      <w:r w:rsidRPr="000D0D5B">
        <w:rPr>
          <w:rFonts w:cs="Calibri"/>
          <w:lang w:val="en-US"/>
        </w:rPr>
        <w:t>Frend</w:t>
      </w:r>
      <w:proofErr w:type="spellEnd"/>
      <w:r w:rsidRPr="000D0D5B">
        <w:rPr>
          <w:rFonts w:cs="Calibri"/>
          <w:lang w:val="en-US"/>
        </w:rPr>
        <w:t xml:space="preserve"> and others </w:t>
      </w:r>
      <w:r w:rsidRPr="000D0D5B">
        <w:rPr>
          <w:rFonts w:cs="Calibri"/>
          <w:i/>
          <w:iCs/>
          <w:lang w:val="en-US"/>
        </w:rPr>
        <w:t>seek</w:t>
      </w:r>
      <w:r w:rsidRPr="000D0D5B">
        <w:rPr>
          <w:rFonts w:cs="Calibri"/>
          <w:lang w:val="en-US"/>
        </w:rPr>
        <w:t xml:space="preserve"> the power of prophecy whereas Brothers </w:t>
      </w:r>
      <w:r w:rsidRPr="000D0D5B">
        <w:rPr>
          <w:rFonts w:cs="Calibri"/>
          <w:i/>
          <w:iCs/>
          <w:lang w:val="en-US"/>
        </w:rPr>
        <w:t>claims</w:t>
      </w:r>
      <w:r w:rsidRPr="000D0D5B">
        <w:rPr>
          <w:rFonts w:cs="Calibri"/>
          <w:lang w:val="en-US"/>
        </w:rPr>
        <w:t xml:space="preserve"> it: ‘I am the prophet that will be revealed to the Jews’, he writes (</w:t>
      </w:r>
      <w:r w:rsidRPr="000D0D5B">
        <w:rPr>
          <w:rFonts w:cs="Calibri"/>
          <w:i/>
          <w:iCs/>
          <w:lang w:val="en-US"/>
        </w:rPr>
        <w:t>Wonderful Prophecies</w:t>
      </w:r>
      <w:r w:rsidRPr="000D0D5B">
        <w:rPr>
          <w:rFonts w:cs="Calibri"/>
          <w:lang w:val="en-US"/>
        </w:rPr>
        <w:t xml:space="preserve">, 23) </w:t>
      </w:r>
      <w:r w:rsidRPr="000D0D5B">
        <w:rPr>
          <w:rFonts w:cs="Calibri"/>
        </w:rPr>
        <w:t xml:space="preserve"> </w:t>
      </w:r>
      <w:r w:rsidRPr="000D0D5B">
        <w:rPr>
          <w:rFonts w:cs="Calibri"/>
          <w:i/>
          <w:iCs/>
          <w:lang w:val="en-US"/>
        </w:rPr>
        <w:t>Wonderful Prophecies</w:t>
      </w:r>
      <w:r w:rsidRPr="000D0D5B">
        <w:rPr>
          <w:rFonts w:cs="Calibri"/>
          <w:lang w:val="en-US"/>
        </w:rPr>
        <w:t xml:space="preserve"> is one of a number of works, the formally heterogeneity of which was an earnest of their democratic  potential</w:t>
      </w:r>
      <w:r w:rsidRPr="000D0D5B">
        <w:rPr>
          <w:rFonts w:cs="Calibri"/>
        </w:rPr>
        <w:t xml:space="preserve">.  See </w:t>
      </w:r>
      <w:r w:rsidRPr="000D0D5B">
        <w:rPr>
          <w:rFonts w:cs="Calibri"/>
          <w:lang w:val="en-US"/>
        </w:rPr>
        <w:t xml:space="preserve">Mee, </w:t>
      </w:r>
      <w:r w:rsidRPr="000D0D5B">
        <w:rPr>
          <w:rFonts w:cs="Calibri"/>
          <w:i/>
          <w:iCs/>
          <w:lang w:val="en-US"/>
        </w:rPr>
        <w:t>Dangerous Enthusiasm</w:t>
      </w:r>
      <w:r w:rsidRPr="000D0D5B">
        <w:rPr>
          <w:rFonts w:cs="Calibri"/>
          <w:lang w:val="en-US"/>
        </w:rPr>
        <w:t>, 33-5</w:t>
      </w:r>
      <w:r w:rsidRPr="000D0D5B">
        <w:rPr>
          <w:lang w:val="en-US"/>
        </w:rPr>
        <w:t xml:space="preserve">. </w:t>
      </w:r>
    </w:p>
  </w:footnote>
  <w:footnote w:id="57">
    <w:p w:rsidR="00CB030D" w:rsidRPr="000D0D5B" w:rsidRDefault="00CB030D" w:rsidP="000D0D5B">
      <w:pPr>
        <w:pStyle w:val="FootnoteText"/>
        <w:spacing w:line="276" w:lineRule="auto"/>
      </w:pPr>
      <w:r w:rsidRPr="000D0D5B">
        <w:rPr>
          <w:rStyle w:val="FootnoteReference"/>
        </w:rPr>
        <w:footnoteRef/>
      </w:r>
      <w:r w:rsidRPr="000D0D5B">
        <w:t xml:space="preserve"> Thomas Newton, </w:t>
      </w:r>
      <w:r w:rsidRPr="000D0D5B">
        <w:rPr>
          <w:i/>
          <w:iCs/>
        </w:rPr>
        <w:t>Dissertations on the Prophecies</w:t>
      </w:r>
      <w:r w:rsidRPr="000D0D5B">
        <w:t xml:space="preserve">, three </w:t>
      </w:r>
      <w:proofErr w:type="spellStart"/>
      <w:r w:rsidRPr="000D0D5B">
        <w:t>vols</w:t>
      </w:r>
      <w:proofErr w:type="spellEnd"/>
      <w:r w:rsidRPr="000D0D5B">
        <w:t xml:space="preserve"> (Dublin, 1773), II, 325.uses the biblical prophecy to apply to the actions of Mohammed and the victories of the Saracens </w:t>
      </w:r>
    </w:p>
  </w:footnote>
  <w:footnote w:id="58">
    <w:p w:rsidR="00CB030D" w:rsidRPr="000D0D5B" w:rsidRDefault="00CB030D" w:rsidP="000D0D5B">
      <w:pPr>
        <w:pStyle w:val="FootnoteText"/>
        <w:spacing w:before="120" w:after="120" w:line="276" w:lineRule="auto"/>
        <w:rPr>
          <w:rFonts w:cs="Calibri"/>
        </w:rPr>
      </w:pPr>
      <w:r w:rsidRPr="000D0D5B">
        <w:rPr>
          <w:rStyle w:val="FootnoteReference"/>
          <w:rFonts w:cs="Calibri"/>
        </w:rPr>
        <w:footnoteRef/>
      </w:r>
      <w:r w:rsidRPr="000D0D5B">
        <w:rPr>
          <w:rFonts w:cs="Calibri"/>
        </w:rPr>
        <w:t xml:space="preserve"> Garrett quotes the passage in </w:t>
      </w:r>
      <w:r w:rsidRPr="000D0D5B">
        <w:rPr>
          <w:rFonts w:cs="Calibri"/>
          <w:i/>
          <w:iCs/>
        </w:rPr>
        <w:t>Respectable Folly</w:t>
      </w:r>
      <w:r w:rsidRPr="000D0D5B">
        <w:rPr>
          <w:rFonts w:cs="Calibri"/>
        </w:rPr>
        <w:t xml:space="preserve">,  p.131, and also quotes the American prophet of the millennium, Elhanan Winchester, writing in his </w:t>
      </w:r>
      <w:r w:rsidRPr="000D0D5B">
        <w:rPr>
          <w:rFonts w:cs="Calibri"/>
          <w:i/>
          <w:iCs/>
        </w:rPr>
        <w:t>Course of Lectures on the Prophecies that Remain to be Fulfilled</w:t>
      </w:r>
      <w:r w:rsidRPr="000D0D5B">
        <w:rPr>
          <w:rFonts w:cs="Calibri"/>
        </w:rPr>
        <w:t xml:space="preserve"> (1790) that ‘these prophecies must be fulfilled in a plain literal manner or … they might as well not be fulfilled at all’ (p.138).</w:t>
      </w:r>
    </w:p>
  </w:footnote>
  <w:footnote w:id="59">
    <w:p w:rsidR="00CB030D" w:rsidRPr="000D0D5B" w:rsidRDefault="00CB030D" w:rsidP="000A2B9A">
      <w:pPr>
        <w:pStyle w:val="FootnoteText"/>
        <w:tabs>
          <w:tab w:val="left" w:pos="180"/>
        </w:tabs>
        <w:spacing w:before="120" w:after="120" w:line="276" w:lineRule="auto"/>
        <w:rPr>
          <w:rFonts w:cs="Calibri"/>
          <w:b/>
          <w:bCs/>
        </w:rPr>
      </w:pPr>
      <w:r w:rsidRPr="000D0D5B">
        <w:rPr>
          <w:rStyle w:val="FootnoteReference"/>
          <w:rFonts w:cs="Calibri"/>
        </w:rPr>
        <w:footnoteRef/>
      </w:r>
      <w:r w:rsidRPr="000D0D5B">
        <w:rPr>
          <w:rFonts w:cs="Calibri"/>
        </w:rPr>
        <w:t xml:space="preserve"> </w:t>
      </w:r>
      <w:r w:rsidRPr="00C04B75">
        <w:rPr>
          <w:rFonts w:cs="Calibri"/>
        </w:rPr>
        <w:t xml:space="preserve">David Hartley, </w:t>
      </w:r>
      <w:r w:rsidRPr="00C04B75">
        <w:rPr>
          <w:rFonts w:cs="Calibri"/>
          <w:i/>
          <w:iCs/>
        </w:rPr>
        <w:t>Observations on man, his frame, his duty, and his expectations</w:t>
      </w:r>
      <w:r>
        <w:rPr>
          <w:rFonts w:cs="Calibri"/>
        </w:rPr>
        <w:t xml:space="preserve"> (London, 1749), p.377; Brothers, </w:t>
      </w:r>
      <w:r w:rsidRPr="000D0D5B">
        <w:rPr>
          <w:rFonts w:cs="Calibri"/>
          <w:i/>
          <w:iCs/>
        </w:rPr>
        <w:t>Wonderful prophecies. Being a dissertation on the existence, nature, and extent of the prophetic powers in the human mind</w:t>
      </w:r>
      <w:r w:rsidRPr="000D0D5B">
        <w:rPr>
          <w:rFonts w:cs="Calibri"/>
        </w:rPr>
        <w:t xml:space="preserve"> (1795), 47.</w:t>
      </w:r>
    </w:p>
  </w:footnote>
  <w:footnote w:id="60">
    <w:p w:rsidR="00C819CD" w:rsidRDefault="00C819CD" w:rsidP="00C819CD">
      <w:pPr>
        <w:pStyle w:val="FootnoteText"/>
        <w:spacing w:after="120"/>
      </w:pPr>
      <w:r>
        <w:rPr>
          <w:rStyle w:val="FootnoteReference"/>
        </w:rPr>
        <w:footnoteRef/>
      </w:r>
      <w:r>
        <w:t xml:space="preserve"> </w:t>
      </w:r>
      <w:r w:rsidRPr="00C819CD">
        <w:t>Coleridge’s notebook entry intuits their connections; and in the prediction quoted earlier that ‘the earth will become a paradise’ Priestley has</w:t>
      </w:r>
      <w:r>
        <w:t xml:space="preserve"> been talking about agriculture</w:t>
      </w:r>
      <w:r w:rsidRPr="00C819CD">
        <w:t xml:space="preserve">.  </w:t>
      </w:r>
    </w:p>
  </w:footnote>
  <w:footnote w:id="61">
    <w:p w:rsidR="00CB030D" w:rsidRPr="000D0D5B" w:rsidRDefault="00CB030D" w:rsidP="00C819CD">
      <w:pPr>
        <w:pStyle w:val="FootnoteText"/>
        <w:spacing w:after="120"/>
      </w:pPr>
      <w:r w:rsidRPr="000D0D5B">
        <w:rPr>
          <w:rStyle w:val="FootnoteReference"/>
        </w:rPr>
        <w:footnoteRef/>
      </w:r>
      <w:r w:rsidRPr="000D0D5B">
        <w:t xml:space="preserve"> For a complication of this view see Kevin </w:t>
      </w:r>
      <w:proofErr w:type="spellStart"/>
      <w:r w:rsidRPr="000D0D5B">
        <w:t>Gilmartin</w:t>
      </w:r>
      <w:proofErr w:type="spellEnd"/>
      <w:r w:rsidRPr="000D0D5B">
        <w:t xml:space="preserve">, </w:t>
      </w:r>
      <w:r w:rsidRPr="000D0D5B">
        <w:rPr>
          <w:i/>
          <w:iCs/>
        </w:rPr>
        <w:t>Hazlitt: Political Essayist</w:t>
      </w:r>
      <w:r w:rsidRPr="000D0D5B">
        <w:t xml:space="preserve">, (Oxford and New York: Oxford University Press, 2015), 136-147.  The likely response to Robert Owen’s utopian </w:t>
      </w:r>
      <w:proofErr w:type="gramStart"/>
      <w:r w:rsidRPr="000D0D5B">
        <w:t>schemes  in</w:t>
      </w:r>
      <w:proofErr w:type="gramEnd"/>
      <w:r w:rsidRPr="000D0D5B">
        <w:t xml:space="preserve"> the 1810s would be like the </w:t>
      </w:r>
      <w:proofErr w:type="spellStart"/>
      <w:r w:rsidRPr="000D0D5B">
        <w:t>Pittite</w:t>
      </w:r>
      <w:proofErr w:type="spellEnd"/>
      <w:r w:rsidRPr="000D0D5B">
        <w:t xml:space="preserve"> response to radical millenarianism of the 1790s – as much a rebuke to the socialist as to the Tory Prime Minister, and its reversion to two decades earlier suggesting how those apocalyptic hopes (even if  Hazlitt might have shared them) had to be translated into other historical terms.</w:t>
      </w:r>
    </w:p>
  </w:footnote>
  <w:footnote w:id="62">
    <w:p w:rsidR="00CB030D" w:rsidRDefault="00CB030D" w:rsidP="005B4EA8">
      <w:pPr>
        <w:pStyle w:val="FootnoteText"/>
      </w:pPr>
      <w:r>
        <w:rPr>
          <w:rStyle w:val="FootnoteReference"/>
        </w:rPr>
        <w:footnoteRef/>
      </w:r>
      <w:r>
        <w:t xml:space="preserve"> </w:t>
      </w:r>
      <w:r w:rsidRPr="005B4EA8">
        <w:rPr>
          <w:i/>
          <w:iCs/>
        </w:rPr>
        <w:t>The Marriage of Heaven and Hell</w:t>
      </w:r>
      <w:r>
        <w:t xml:space="preserve"> (1790-93)</w:t>
      </w:r>
      <w:r>
        <w:rPr>
          <w:i/>
          <w:iCs/>
        </w:rPr>
        <w:t xml:space="preserve">, </w:t>
      </w:r>
      <w:r w:rsidRPr="005B4EA8">
        <w:t xml:space="preserve">in </w:t>
      </w:r>
      <w:r w:rsidRPr="005B4EA8">
        <w:rPr>
          <w:i/>
          <w:iCs/>
        </w:rPr>
        <w:t>The Complete Poetry and Prose of William Blake</w:t>
      </w:r>
      <w:r>
        <w:t>, ed. David Erdman, rev. Harold Bloom (Berkeley and Los Angeles: University of California Press, 1982), 35-38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365336"/>
      <w:docPartObj>
        <w:docPartGallery w:val="Page Numbers (Top of Page)"/>
        <w:docPartUnique/>
      </w:docPartObj>
    </w:sdtPr>
    <w:sdtEndPr>
      <w:rPr>
        <w:noProof/>
      </w:rPr>
    </w:sdtEndPr>
    <w:sdtContent>
      <w:p w:rsidR="00CB030D" w:rsidRDefault="00CB030D">
        <w:pPr>
          <w:pStyle w:val="Header"/>
          <w:jc w:val="right"/>
        </w:pPr>
        <w:r>
          <w:fldChar w:fldCharType="begin"/>
        </w:r>
        <w:r>
          <w:instrText xml:space="preserve"> PAGE   \* MERGEFORMAT </w:instrText>
        </w:r>
        <w:r>
          <w:fldChar w:fldCharType="separate"/>
        </w:r>
        <w:r w:rsidR="007A115A">
          <w:rPr>
            <w:noProof/>
          </w:rPr>
          <w:t>20</w:t>
        </w:r>
        <w:r>
          <w:rPr>
            <w:noProof/>
          </w:rPr>
          <w:fldChar w:fldCharType="end"/>
        </w:r>
      </w:p>
    </w:sdtContent>
  </w:sdt>
  <w:p w:rsidR="00CB030D" w:rsidRDefault="00CB03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90307"/>
      <w:docPartObj>
        <w:docPartGallery w:val="Page Numbers (Top of Page)"/>
        <w:docPartUnique/>
      </w:docPartObj>
    </w:sdtPr>
    <w:sdtEndPr>
      <w:rPr>
        <w:noProof/>
      </w:rPr>
    </w:sdtEndPr>
    <w:sdtContent>
      <w:p w:rsidR="00CB030D" w:rsidRDefault="00CB030D">
        <w:pPr>
          <w:pStyle w:val="Header"/>
          <w:jc w:val="right"/>
        </w:pPr>
        <w:r>
          <w:fldChar w:fldCharType="begin"/>
        </w:r>
        <w:r>
          <w:instrText xml:space="preserve"> PAGE   \* MERGEFORMAT </w:instrText>
        </w:r>
        <w:r>
          <w:fldChar w:fldCharType="separate"/>
        </w:r>
        <w:r w:rsidR="00994842">
          <w:rPr>
            <w:noProof/>
          </w:rPr>
          <w:t>40</w:t>
        </w:r>
        <w:r>
          <w:rPr>
            <w:noProof/>
          </w:rPr>
          <w:fldChar w:fldCharType="end"/>
        </w:r>
      </w:p>
    </w:sdtContent>
  </w:sdt>
  <w:p w:rsidR="00CB030D" w:rsidRDefault="00CB0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E3A43"/>
    <w:multiLevelType w:val="hybridMultilevel"/>
    <w:tmpl w:val="04244866"/>
    <w:lvl w:ilvl="0" w:tplc="BB86967E">
      <w:start w:val="1"/>
      <w:numFmt w:val="upperRoman"/>
      <w:lvlText w:val="%1."/>
      <w:lvlJc w:val="left"/>
      <w:pPr>
        <w:ind w:left="1080" w:hanging="720"/>
      </w:pPr>
      <w:rPr>
        <w:rFonts w:eastAsia="SimSu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334064"/>
    <w:multiLevelType w:val="hybridMultilevel"/>
    <w:tmpl w:val="034A6B22"/>
    <w:lvl w:ilvl="0" w:tplc="1EC27A58">
      <w:start w:val="1"/>
      <w:numFmt w:val="upperRoman"/>
      <w:lvlText w:val="%1."/>
      <w:lvlJc w:val="left"/>
      <w:pPr>
        <w:ind w:left="1080" w:hanging="720"/>
      </w:pPr>
      <w:rPr>
        <w:rFonts w:eastAsia="SimSu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6375D0"/>
    <w:multiLevelType w:val="hybridMultilevel"/>
    <w:tmpl w:val="55422244"/>
    <w:lvl w:ilvl="0" w:tplc="BED46EAC">
      <w:start w:val="1"/>
      <w:numFmt w:val="upperRoman"/>
      <w:lvlText w:val="%1."/>
      <w:lvlJc w:val="left"/>
      <w:pPr>
        <w:ind w:left="1080" w:hanging="720"/>
      </w:pPr>
      <w:rPr>
        <w:rFonts w:eastAsia="SimSu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F02A75"/>
    <w:multiLevelType w:val="hybridMultilevel"/>
    <w:tmpl w:val="1A2A3202"/>
    <w:lvl w:ilvl="0" w:tplc="3BF0EB72">
      <w:start w:val="1"/>
      <w:numFmt w:val="upperRoman"/>
      <w:lvlText w:val="%1."/>
      <w:lvlJc w:val="left"/>
      <w:pPr>
        <w:ind w:left="1260" w:hanging="720"/>
      </w:pPr>
      <w:rPr>
        <w:rFonts w:eastAsia="SimSun" w:cs="Arial"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4FE"/>
    <w:rsid w:val="00022916"/>
    <w:rsid w:val="00024770"/>
    <w:rsid w:val="00025C80"/>
    <w:rsid w:val="00046AFC"/>
    <w:rsid w:val="0005767B"/>
    <w:rsid w:val="0006012B"/>
    <w:rsid w:val="00070C78"/>
    <w:rsid w:val="0007232F"/>
    <w:rsid w:val="0007469A"/>
    <w:rsid w:val="0008685E"/>
    <w:rsid w:val="0009003D"/>
    <w:rsid w:val="00092071"/>
    <w:rsid w:val="000A2B9A"/>
    <w:rsid w:val="000C6AA0"/>
    <w:rsid w:val="000D0D5B"/>
    <w:rsid w:val="000E00BE"/>
    <w:rsid w:val="000E49CE"/>
    <w:rsid w:val="000F59B3"/>
    <w:rsid w:val="00124962"/>
    <w:rsid w:val="00125F12"/>
    <w:rsid w:val="00133433"/>
    <w:rsid w:val="00136C22"/>
    <w:rsid w:val="00157884"/>
    <w:rsid w:val="00163F01"/>
    <w:rsid w:val="001825D0"/>
    <w:rsid w:val="00183587"/>
    <w:rsid w:val="001A5530"/>
    <w:rsid w:val="001C16FE"/>
    <w:rsid w:val="001C4339"/>
    <w:rsid w:val="001C6AD1"/>
    <w:rsid w:val="001C7269"/>
    <w:rsid w:val="001D127A"/>
    <w:rsid w:val="001D1C80"/>
    <w:rsid w:val="001E12F5"/>
    <w:rsid w:val="002037CA"/>
    <w:rsid w:val="002058F0"/>
    <w:rsid w:val="002138BA"/>
    <w:rsid w:val="00216028"/>
    <w:rsid w:val="00216B52"/>
    <w:rsid w:val="0023643C"/>
    <w:rsid w:val="00244327"/>
    <w:rsid w:val="00253CD9"/>
    <w:rsid w:val="002679C2"/>
    <w:rsid w:val="002709FC"/>
    <w:rsid w:val="002731F4"/>
    <w:rsid w:val="00275061"/>
    <w:rsid w:val="0028507F"/>
    <w:rsid w:val="002A3373"/>
    <w:rsid w:val="002B14D8"/>
    <w:rsid w:val="002B4B54"/>
    <w:rsid w:val="002C0CC6"/>
    <w:rsid w:val="002C2165"/>
    <w:rsid w:val="002D097A"/>
    <w:rsid w:val="002D3165"/>
    <w:rsid w:val="002D4B86"/>
    <w:rsid w:val="002E5063"/>
    <w:rsid w:val="002F4CCA"/>
    <w:rsid w:val="0030115E"/>
    <w:rsid w:val="003068C7"/>
    <w:rsid w:val="00315766"/>
    <w:rsid w:val="00316B57"/>
    <w:rsid w:val="00316E15"/>
    <w:rsid w:val="003225E9"/>
    <w:rsid w:val="0032621A"/>
    <w:rsid w:val="00330151"/>
    <w:rsid w:val="00331243"/>
    <w:rsid w:val="003370B8"/>
    <w:rsid w:val="00342356"/>
    <w:rsid w:val="003432FD"/>
    <w:rsid w:val="00346E9C"/>
    <w:rsid w:val="003500D0"/>
    <w:rsid w:val="00370BA1"/>
    <w:rsid w:val="00386E58"/>
    <w:rsid w:val="00394314"/>
    <w:rsid w:val="003A509F"/>
    <w:rsid w:val="003A5229"/>
    <w:rsid w:val="003A5E82"/>
    <w:rsid w:val="003C3469"/>
    <w:rsid w:val="003C43E8"/>
    <w:rsid w:val="003C7D68"/>
    <w:rsid w:val="003E086A"/>
    <w:rsid w:val="003E35CC"/>
    <w:rsid w:val="003E5559"/>
    <w:rsid w:val="003E61F7"/>
    <w:rsid w:val="003F5003"/>
    <w:rsid w:val="003F5D75"/>
    <w:rsid w:val="00413207"/>
    <w:rsid w:val="00422D87"/>
    <w:rsid w:val="0042646E"/>
    <w:rsid w:val="00437B4D"/>
    <w:rsid w:val="004452A5"/>
    <w:rsid w:val="0045025C"/>
    <w:rsid w:val="00472F0C"/>
    <w:rsid w:val="004821E3"/>
    <w:rsid w:val="004824C3"/>
    <w:rsid w:val="004835A8"/>
    <w:rsid w:val="004A36DB"/>
    <w:rsid w:val="004A6F72"/>
    <w:rsid w:val="004B0B1A"/>
    <w:rsid w:val="004B37A3"/>
    <w:rsid w:val="004B6646"/>
    <w:rsid w:val="004C14FE"/>
    <w:rsid w:val="004C373E"/>
    <w:rsid w:val="004C7D63"/>
    <w:rsid w:val="004D1790"/>
    <w:rsid w:val="004D3789"/>
    <w:rsid w:val="004D45D4"/>
    <w:rsid w:val="004E0E41"/>
    <w:rsid w:val="004E65C7"/>
    <w:rsid w:val="00522A84"/>
    <w:rsid w:val="0054353C"/>
    <w:rsid w:val="005525AC"/>
    <w:rsid w:val="0055764A"/>
    <w:rsid w:val="00563A15"/>
    <w:rsid w:val="00570D89"/>
    <w:rsid w:val="00584A35"/>
    <w:rsid w:val="00594F2C"/>
    <w:rsid w:val="005A20C0"/>
    <w:rsid w:val="005B39D4"/>
    <w:rsid w:val="005B4EA8"/>
    <w:rsid w:val="005C0AD9"/>
    <w:rsid w:val="005C7804"/>
    <w:rsid w:val="005D52C6"/>
    <w:rsid w:val="005D7903"/>
    <w:rsid w:val="005E2A12"/>
    <w:rsid w:val="005E58AA"/>
    <w:rsid w:val="005F4AC2"/>
    <w:rsid w:val="005F4B4B"/>
    <w:rsid w:val="006056F9"/>
    <w:rsid w:val="006150EF"/>
    <w:rsid w:val="00624B2A"/>
    <w:rsid w:val="00627924"/>
    <w:rsid w:val="006342FC"/>
    <w:rsid w:val="00641662"/>
    <w:rsid w:val="00647B51"/>
    <w:rsid w:val="00651776"/>
    <w:rsid w:val="00660A2C"/>
    <w:rsid w:val="006704B4"/>
    <w:rsid w:val="00673CBC"/>
    <w:rsid w:val="0067526C"/>
    <w:rsid w:val="00676F2E"/>
    <w:rsid w:val="006A689F"/>
    <w:rsid w:val="006B37AF"/>
    <w:rsid w:val="006C5BE6"/>
    <w:rsid w:val="006C6B81"/>
    <w:rsid w:val="006D5D6C"/>
    <w:rsid w:val="006D5F98"/>
    <w:rsid w:val="006E33E0"/>
    <w:rsid w:val="006E41F7"/>
    <w:rsid w:val="00723D81"/>
    <w:rsid w:val="007375EA"/>
    <w:rsid w:val="007424B6"/>
    <w:rsid w:val="007501D4"/>
    <w:rsid w:val="0075052D"/>
    <w:rsid w:val="00754376"/>
    <w:rsid w:val="00755930"/>
    <w:rsid w:val="00766B5B"/>
    <w:rsid w:val="00782353"/>
    <w:rsid w:val="007876F0"/>
    <w:rsid w:val="00790BE7"/>
    <w:rsid w:val="007A115A"/>
    <w:rsid w:val="007A5DAD"/>
    <w:rsid w:val="007B5F20"/>
    <w:rsid w:val="007B74D8"/>
    <w:rsid w:val="007C10D2"/>
    <w:rsid w:val="007F25B5"/>
    <w:rsid w:val="007F3E7F"/>
    <w:rsid w:val="008177EA"/>
    <w:rsid w:val="00821FEB"/>
    <w:rsid w:val="00851CD4"/>
    <w:rsid w:val="00853182"/>
    <w:rsid w:val="00876A50"/>
    <w:rsid w:val="008A5259"/>
    <w:rsid w:val="008A56B1"/>
    <w:rsid w:val="008A6EB8"/>
    <w:rsid w:val="008A7A2F"/>
    <w:rsid w:val="008C32BD"/>
    <w:rsid w:val="00901D31"/>
    <w:rsid w:val="00924B14"/>
    <w:rsid w:val="00935501"/>
    <w:rsid w:val="00943F3D"/>
    <w:rsid w:val="00952BF1"/>
    <w:rsid w:val="009575B4"/>
    <w:rsid w:val="0097354A"/>
    <w:rsid w:val="00975C8E"/>
    <w:rsid w:val="009846A4"/>
    <w:rsid w:val="009847AD"/>
    <w:rsid w:val="00992620"/>
    <w:rsid w:val="00994842"/>
    <w:rsid w:val="00995199"/>
    <w:rsid w:val="00996158"/>
    <w:rsid w:val="00997408"/>
    <w:rsid w:val="009A1C72"/>
    <w:rsid w:val="009C2047"/>
    <w:rsid w:val="009C34CC"/>
    <w:rsid w:val="009C4C23"/>
    <w:rsid w:val="009C544A"/>
    <w:rsid w:val="009D4CA9"/>
    <w:rsid w:val="009D75F8"/>
    <w:rsid w:val="009E3F73"/>
    <w:rsid w:val="009F0EB2"/>
    <w:rsid w:val="00A0507F"/>
    <w:rsid w:val="00A23228"/>
    <w:rsid w:val="00A261A0"/>
    <w:rsid w:val="00A47988"/>
    <w:rsid w:val="00A5306A"/>
    <w:rsid w:val="00AA38D2"/>
    <w:rsid w:val="00AA60E1"/>
    <w:rsid w:val="00AA68EB"/>
    <w:rsid w:val="00AD5D77"/>
    <w:rsid w:val="00AD6A7A"/>
    <w:rsid w:val="00AD7C9A"/>
    <w:rsid w:val="00AE45FE"/>
    <w:rsid w:val="00AE4BA3"/>
    <w:rsid w:val="00AF1FEC"/>
    <w:rsid w:val="00AF6AF5"/>
    <w:rsid w:val="00B118E3"/>
    <w:rsid w:val="00B22514"/>
    <w:rsid w:val="00B24616"/>
    <w:rsid w:val="00B31E5B"/>
    <w:rsid w:val="00B321C6"/>
    <w:rsid w:val="00B467EB"/>
    <w:rsid w:val="00B510CB"/>
    <w:rsid w:val="00B5561F"/>
    <w:rsid w:val="00B83842"/>
    <w:rsid w:val="00B9349C"/>
    <w:rsid w:val="00BB06E5"/>
    <w:rsid w:val="00BB4891"/>
    <w:rsid w:val="00BC7EAE"/>
    <w:rsid w:val="00BD39D5"/>
    <w:rsid w:val="00BE0AD2"/>
    <w:rsid w:val="00C028B4"/>
    <w:rsid w:val="00C0398E"/>
    <w:rsid w:val="00C04B75"/>
    <w:rsid w:val="00C06F19"/>
    <w:rsid w:val="00C16AF9"/>
    <w:rsid w:val="00C179F1"/>
    <w:rsid w:val="00C32D0C"/>
    <w:rsid w:val="00C40329"/>
    <w:rsid w:val="00C43496"/>
    <w:rsid w:val="00C5501A"/>
    <w:rsid w:val="00C61EF0"/>
    <w:rsid w:val="00C819CD"/>
    <w:rsid w:val="00C93C77"/>
    <w:rsid w:val="00C93D11"/>
    <w:rsid w:val="00C972AF"/>
    <w:rsid w:val="00CA4182"/>
    <w:rsid w:val="00CB030D"/>
    <w:rsid w:val="00CB2DCB"/>
    <w:rsid w:val="00CB5C9C"/>
    <w:rsid w:val="00D109D2"/>
    <w:rsid w:val="00D10AC1"/>
    <w:rsid w:val="00D122E7"/>
    <w:rsid w:val="00D16BC7"/>
    <w:rsid w:val="00D401D2"/>
    <w:rsid w:val="00D4162C"/>
    <w:rsid w:val="00D57295"/>
    <w:rsid w:val="00D84ECF"/>
    <w:rsid w:val="00D9614D"/>
    <w:rsid w:val="00DB3E1D"/>
    <w:rsid w:val="00DC1222"/>
    <w:rsid w:val="00DC2845"/>
    <w:rsid w:val="00DE5881"/>
    <w:rsid w:val="00DF6D03"/>
    <w:rsid w:val="00DF7BDD"/>
    <w:rsid w:val="00E12430"/>
    <w:rsid w:val="00E12F52"/>
    <w:rsid w:val="00E154B5"/>
    <w:rsid w:val="00E36504"/>
    <w:rsid w:val="00E45971"/>
    <w:rsid w:val="00E62239"/>
    <w:rsid w:val="00E63628"/>
    <w:rsid w:val="00E65881"/>
    <w:rsid w:val="00E910C9"/>
    <w:rsid w:val="00E946B7"/>
    <w:rsid w:val="00E9728B"/>
    <w:rsid w:val="00EA398F"/>
    <w:rsid w:val="00EA7799"/>
    <w:rsid w:val="00EB145C"/>
    <w:rsid w:val="00ED17C3"/>
    <w:rsid w:val="00EE54AF"/>
    <w:rsid w:val="00EF720A"/>
    <w:rsid w:val="00F1081C"/>
    <w:rsid w:val="00F11E88"/>
    <w:rsid w:val="00F14792"/>
    <w:rsid w:val="00F224BB"/>
    <w:rsid w:val="00F3023E"/>
    <w:rsid w:val="00F40176"/>
    <w:rsid w:val="00F43C1D"/>
    <w:rsid w:val="00F6493D"/>
    <w:rsid w:val="00F80A28"/>
    <w:rsid w:val="00F965FE"/>
    <w:rsid w:val="00FC0A44"/>
    <w:rsid w:val="00FD00F9"/>
    <w:rsid w:val="00FD2F7B"/>
    <w:rsid w:val="00FF01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D1F6A-82E7-47BA-BBB6-D6D08C46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44327"/>
    <w:pPr>
      <w:keepNext/>
      <w:keepLines/>
      <w:spacing w:before="480" w:after="0" w:line="480" w:lineRule="auto"/>
      <w:ind w:firstLine="576"/>
      <w:outlineLvl w:val="0"/>
    </w:pPr>
    <w:rPr>
      <w:rFonts w:asciiTheme="majorHAnsi" w:eastAsiaTheme="majorEastAsia" w:hAnsiTheme="majorHAnsi" w:cstheme="majorBidi"/>
      <w:b/>
      <w:bCs/>
      <w:color w:val="2E74B5" w:themeColor="accent1" w:themeShade="BF"/>
      <w:sz w:val="28"/>
      <w:szCs w:val="28"/>
      <w:lang w:eastAsia="en-GB"/>
    </w:rPr>
  </w:style>
  <w:style w:type="paragraph" w:styleId="Heading2">
    <w:name w:val="heading 2"/>
    <w:basedOn w:val="Normal"/>
    <w:next w:val="Normal"/>
    <w:link w:val="Heading2Char"/>
    <w:uiPriority w:val="9"/>
    <w:semiHidden/>
    <w:unhideWhenUsed/>
    <w:qFormat/>
    <w:rsid w:val="00125F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79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C14FE"/>
    <w:pPr>
      <w:spacing w:after="0" w:line="240" w:lineRule="auto"/>
    </w:pPr>
    <w:rPr>
      <w:sz w:val="20"/>
      <w:szCs w:val="20"/>
    </w:rPr>
  </w:style>
  <w:style w:type="character" w:customStyle="1" w:styleId="EndnoteTextChar">
    <w:name w:val="Endnote Text Char"/>
    <w:basedOn w:val="DefaultParagraphFont"/>
    <w:link w:val="EndnoteText"/>
    <w:uiPriority w:val="99"/>
    <w:rsid w:val="004C14FE"/>
    <w:rPr>
      <w:sz w:val="20"/>
      <w:szCs w:val="20"/>
    </w:rPr>
  </w:style>
  <w:style w:type="character" w:styleId="EndnoteReference">
    <w:name w:val="endnote reference"/>
    <w:basedOn w:val="DefaultParagraphFont"/>
    <w:uiPriority w:val="99"/>
    <w:semiHidden/>
    <w:unhideWhenUsed/>
    <w:rsid w:val="004C14FE"/>
    <w:rPr>
      <w:vertAlign w:val="superscript"/>
    </w:rPr>
  </w:style>
  <w:style w:type="paragraph" w:styleId="NormalWeb">
    <w:name w:val="Normal (Web)"/>
    <w:basedOn w:val="Normal"/>
    <w:uiPriority w:val="99"/>
    <w:rsid w:val="004C14FE"/>
    <w:pPr>
      <w:spacing w:before="100" w:beforeAutospacing="1" w:after="100" w:afterAutospacing="1" w:line="480" w:lineRule="auto"/>
      <w:ind w:firstLine="576"/>
    </w:pPr>
    <w:rPr>
      <w:rFonts w:ascii="Calibri" w:eastAsia="SimSun" w:hAnsi="Calibri"/>
      <w:sz w:val="24"/>
      <w:szCs w:val="24"/>
      <w:lang w:eastAsia="en-GB"/>
    </w:rPr>
  </w:style>
  <w:style w:type="paragraph" w:customStyle="1" w:styleId="FootnoteText1">
    <w:name w:val="Footnote Text1"/>
    <w:basedOn w:val="FootnoteText"/>
    <w:link w:val="FootnotetextChar"/>
    <w:autoRedefine/>
    <w:uiPriority w:val="99"/>
    <w:qFormat/>
    <w:rsid w:val="004C14FE"/>
    <w:pPr>
      <w:tabs>
        <w:tab w:val="left" w:pos="540"/>
      </w:tabs>
      <w:spacing w:after="120"/>
      <w:ind w:firstLine="576"/>
    </w:pPr>
    <w:rPr>
      <w:rFonts w:ascii="Calibri" w:eastAsia="SimSun" w:hAnsi="Calibri"/>
      <w:lang w:eastAsia="en-GB"/>
    </w:rPr>
  </w:style>
  <w:style w:type="character" w:customStyle="1" w:styleId="FootnotetextChar">
    <w:name w:val="Footnote text Char"/>
    <w:basedOn w:val="DefaultParagraphFont"/>
    <w:link w:val="FootnoteText1"/>
    <w:uiPriority w:val="99"/>
    <w:locked/>
    <w:rsid w:val="004C14FE"/>
    <w:rPr>
      <w:rFonts w:ascii="Calibri" w:eastAsia="SimSun" w:hAnsi="Calibri"/>
      <w:sz w:val="20"/>
      <w:szCs w:val="20"/>
      <w:lang w:eastAsia="en-GB"/>
    </w:rPr>
  </w:style>
  <w:style w:type="character" w:customStyle="1" w:styleId="Style">
    <w:name w:val="Style"/>
    <w:basedOn w:val="FootnoteReference"/>
    <w:qFormat/>
    <w:rsid w:val="004C14FE"/>
    <w:rPr>
      <w:rFonts w:ascii="Verdana" w:hAnsi="Verdana" w:cs="Times New Roman"/>
      <w:sz w:val="20"/>
      <w:vertAlign w:val="superscript"/>
    </w:rPr>
  </w:style>
  <w:style w:type="paragraph" w:styleId="FootnoteText">
    <w:name w:val="footnote text"/>
    <w:basedOn w:val="Normal"/>
    <w:link w:val="FootnoteTextChar0"/>
    <w:uiPriority w:val="99"/>
    <w:semiHidden/>
    <w:unhideWhenUsed/>
    <w:rsid w:val="004C14FE"/>
    <w:pPr>
      <w:spacing w:after="0" w:line="240" w:lineRule="auto"/>
    </w:pPr>
    <w:rPr>
      <w:sz w:val="20"/>
      <w:szCs w:val="20"/>
    </w:rPr>
  </w:style>
  <w:style w:type="character" w:customStyle="1" w:styleId="FootnoteTextChar0">
    <w:name w:val="Footnote Text Char"/>
    <w:basedOn w:val="DefaultParagraphFont"/>
    <w:link w:val="FootnoteText"/>
    <w:uiPriority w:val="99"/>
    <w:semiHidden/>
    <w:rsid w:val="004C14FE"/>
    <w:rPr>
      <w:sz w:val="20"/>
      <w:szCs w:val="20"/>
    </w:rPr>
  </w:style>
  <w:style w:type="character" w:styleId="FootnoteReference">
    <w:name w:val="footnote reference"/>
    <w:basedOn w:val="DefaultParagraphFont"/>
    <w:uiPriority w:val="99"/>
    <w:semiHidden/>
    <w:unhideWhenUsed/>
    <w:rsid w:val="004C14FE"/>
    <w:rPr>
      <w:vertAlign w:val="superscript"/>
    </w:rPr>
  </w:style>
  <w:style w:type="paragraph" w:styleId="Header">
    <w:name w:val="header"/>
    <w:basedOn w:val="Normal"/>
    <w:link w:val="HeaderChar"/>
    <w:uiPriority w:val="99"/>
    <w:unhideWhenUsed/>
    <w:rsid w:val="007B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F20"/>
  </w:style>
  <w:style w:type="paragraph" w:styleId="Footer">
    <w:name w:val="footer"/>
    <w:basedOn w:val="Normal"/>
    <w:link w:val="FooterChar"/>
    <w:uiPriority w:val="99"/>
    <w:unhideWhenUsed/>
    <w:rsid w:val="007B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F20"/>
  </w:style>
  <w:style w:type="paragraph" w:styleId="BalloonText">
    <w:name w:val="Balloon Text"/>
    <w:basedOn w:val="Normal"/>
    <w:link w:val="BalloonTextChar"/>
    <w:uiPriority w:val="99"/>
    <w:semiHidden/>
    <w:unhideWhenUsed/>
    <w:rsid w:val="005B39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9D4"/>
    <w:rPr>
      <w:rFonts w:ascii="Segoe UI" w:hAnsi="Segoe UI" w:cs="Segoe UI"/>
      <w:sz w:val="18"/>
      <w:szCs w:val="18"/>
    </w:rPr>
  </w:style>
  <w:style w:type="character" w:customStyle="1" w:styleId="Heading1Char">
    <w:name w:val="Heading 1 Char"/>
    <w:basedOn w:val="DefaultParagraphFont"/>
    <w:link w:val="Heading1"/>
    <w:rsid w:val="00244327"/>
    <w:rPr>
      <w:rFonts w:asciiTheme="majorHAnsi" w:eastAsiaTheme="majorEastAsia" w:hAnsiTheme="majorHAnsi" w:cstheme="majorBidi"/>
      <w:b/>
      <w:bCs/>
      <w:color w:val="2E74B5" w:themeColor="accent1" w:themeShade="BF"/>
      <w:sz w:val="28"/>
      <w:szCs w:val="28"/>
      <w:lang w:eastAsia="en-GB"/>
    </w:rPr>
  </w:style>
  <w:style w:type="paragraph" w:styleId="ListParagraph">
    <w:name w:val="List Paragraph"/>
    <w:basedOn w:val="Normal"/>
    <w:uiPriority w:val="34"/>
    <w:qFormat/>
    <w:rsid w:val="00316E15"/>
    <w:pPr>
      <w:ind w:left="720"/>
      <w:contextualSpacing/>
    </w:pPr>
  </w:style>
  <w:style w:type="character" w:customStyle="1" w:styleId="Heading2Char">
    <w:name w:val="Heading 2 Char"/>
    <w:basedOn w:val="DefaultParagraphFont"/>
    <w:link w:val="Heading2"/>
    <w:uiPriority w:val="9"/>
    <w:semiHidden/>
    <w:rsid w:val="00125F12"/>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BE0AD2"/>
    <w:rPr>
      <w:i/>
      <w:iCs/>
    </w:rPr>
  </w:style>
  <w:style w:type="character" w:styleId="Hyperlink">
    <w:name w:val="Hyperlink"/>
    <w:basedOn w:val="DefaultParagraphFont"/>
    <w:uiPriority w:val="99"/>
    <w:semiHidden/>
    <w:unhideWhenUsed/>
    <w:rsid w:val="00BE0AD2"/>
    <w:rPr>
      <w:color w:val="0000FF"/>
      <w:u w:val="single"/>
    </w:rPr>
  </w:style>
  <w:style w:type="character" w:customStyle="1" w:styleId="Heading3Char">
    <w:name w:val="Heading 3 Char"/>
    <w:basedOn w:val="DefaultParagraphFont"/>
    <w:link w:val="Heading3"/>
    <w:uiPriority w:val="9"/>
    <w:semiHidden/>
    <w:rsid w:val="00C179F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963959">
      <w:bodyDiv w:val="1"/>
      <w:marLeft w:val="0"/>
      <w:marRight w:val="0"/>
      <w:marTop w:val="0"/>
      <w:marBottom w:val="0"/>
      <w:divBdr>
        <w:top w:val="none" w:sz="0" w:space="0" w:color="auto"/>
        <w:left w:val="none" w:sz="0" w:space="0" w:color="auto"/>
        <w:bottom w:val="none" w:sz="0" w:space="0" w:color="auto"/>
        <w:right w:val="none" w:sz="0" w:space="0" w:color="auto"/>
      </w:divBdr>
      <w:divsChild>
        <w:div w:id="794103929">
          <w:marLeft w:val="0"/>
          <w:marRight w:val="0"/>
          <w:marTop w:val="0"/>
          <w:marBottom w:val="0"/>
          <w:divBdr>
            <w:top w:val="none" w:sz="0" w:space="0" w:color="auto"/>
            <w:left w:val="none" w:sz="0" w:space="0" w:color="auto"/>
            <w:bottom w:val="none" w:sz="0" w:space="0" w:color="auto"/>
            <w:right w:val="none" w:sz="0" w:space="0" w:color="auto"/>
          </w:divBdr>
        </w:div>
      </w:divsChild>
    </w:div>
    <w:div w:id="1964461814">
      <w:bodyDiv w:val="1"/>
      <w:marLeft w:val="0"/>
      <w:marRight w:val="0"/>
      <w:marTop w:val="0"/>
      <w:marBottom w:val="0"/>
      <w:divBdr>
        <w:top w:val="none" w:sz="0" w:space="0" w:color="auto"/>
        <w:left w:val="none" w:sz="0" w:space="0" w:color="auto"/>
        <w:bottom w:val="none" w:sz="0" w:space="0" w:color="auto"/>
        <w:right w:val="none" w:sz="0" w:space="0" w:color="auto"/>
      </w:divBdr>
    </w:div>
    <w:div w:id="2022588966">
      <w:bodyDiv w:val="1"/>
      <w:marLeft w:val="0"/>
      <w:marRight w:val="0"/>
      <w:marTop w:val="0"/>
      <w:marBottom w:val="0"/>
      <w:divBdr>
        <w:top w:val="none" w:sz="0" w:space="0" w:color="auto"/>
        <w:left w:val="none" w:sz="0" w:space="0" w:color="auto"/>
        <w:bottom w:val="none" w:sz="0" w:space="0" w:color="auto"/>
        <w:right w:val="none" w:sz="0" w:space="0" w:color="auto"/>
      </w:divBdr>
      <w:divsChild>
        <w:div w:id="1173229070">
          <w:marLeft w:val="0"/>
          <w:marRight w:val="0"/>
          <w:marTop w:val="0"/>
          <w:marBottom w:val="0"/>
          <w:divBdr>
            <w:top w:val="none" w:sz="0" w:space="0" w:color="auto"/>
            <w:left w:val="none" w:sz="0" w:space="0" w:color="auto"/>
            <w:bottom w:val="none" w:sz="0" w:space="0" w:color="auto"/>
            <w:right w:val="none" w:sz="0" w:space="0" w:color="auto"/>
          </w:divBdr>
        </w:div>
        <w:div w:id="1119298519">
          <w:marLeft w:val="0"/>
          <w:marRight w:val="0"/>
          <w:marTop w:val="0"/>
          <w:marBottom w:val="0"/>
          <w:divBdr>
            <w:top w:val="none" w:sz="0" w:space="0" w:color="auto"/>
            <w:left w:val="none" w:sz="0" w:space="0" w:color="auto"/>
            <w:bottom w:val="none" w:sz="0" w:space="0" w:color="auto"/>
            <w:right w:val="none" w:sz="0" w:space="0" w:color="auto"/>
          </w:divBdr>
        </w:div>
        <w:div w:id="1970553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usc.edu/dept/LAS/CMTS/docs/diss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6F0B4FA-4A44-4822-B707-A74FC989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8961</Words>
  <Characters>51081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Bygrave S.J.</dc:creator>
  <cp:keywords/>
  <dc:description/>
  <cp:lastModifiedBy>Bygrave S.J.</cp:lastModifiedBy>
  <cp:revision>4</cp:revision>
  <cp:lastPrinted>2016-08-18T12:05:00Z</cp:lastPrinted>
  <dcterms:created xsi:type="dcterms:W3CDTF">2016-09-07T12:32:00Z</dcterms:created>
  <dcterms:modified xsi:type="dcterms:W3CDTF">2016-09-07T13:10:00Z</dcterms:modified>
</cp:coreProperties>
</file>