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63719" w14:textId="77777777" w:rsidR="003A5A47" w:rsidRPr="00C879D5" w:rsidRDefault="00FA2B5C">
      <w:pPr>
        <w:rPr>
          <w:rFonts w:ascii="Georgia" w:hAnsi="Georgia"/>
          <w:b/>
          <w:sz w:val="22"/>
          <w:szCs w:val="22"/>
          <w:lang w:val="en-GB"/>
        </w:rPr>
      </w:pPr>
      <w:r w:rsidRPr="00C879D5">
        <w:rPr>
          <w:rFonts w:ascii="Georgia" w:hAnsi="Georgia"/>
          <w:b/>
          <w:sz w:val="22"/>
          <w:szCs w:val="22"/>
          <w:lang w:val="en-GB"/>
        </w:rPr>
        <w:t>The year in EU copyright</w:t>
      </w:r>
      <w:r w:rsidR="00DB2BC0" w:rsidRPr="00C879D5">
        <w:rPr>
          <w:rFonts w:ascii="Georgia" w:hAnsi="Georgia"/>
          <w:b/>
          <w:sz w:val="22"/>
          <w:szCs w:val="22"/>
          <w:lang w:val="en-GB"/>
        </w:rPr>
        <w:t>: is the right approach an emotional approach?</w:t>
      </w:r>
    </w:p>
    <w:p w14:paraId="12CCC2FB" w14:textId="77777777" w:rsidR="00FA2B5C" w:rsidRPr="00C879D5" w:rsidRDefault="00FA2B5C">
      <w:pPr>
        <w:rPr>
          <w:rFonts w:ascii="Georgia" w:hAnsi="Georgia"/>
          <w:sz w:val="22"/>
          <w:szCs w:val="22"/>
          <w:lang w:val="en-GB"/>
        </w:rPr>
      </w:pPr>
    </w:p>
    <w:p w14:paraId="5460C543" w14:textId="77777777" w:rsidR="00CB1F0A" w:rsidRPr="00C879D5" w:rsidRDefault="00CB1F0A">
      <w:pPr>
        <w:rPr>
          <w:rFonts w:ascii="Georgia" w:hAnsi="Georgia"/>
          <w:sz w:val="22"/>
          <w:szCs w:val="22"/>
          <w:lang w:val="en-GB"/>
        </w:rPr>
      </w:pPr>
      <w:r w:rsidRPr="00C879D5">
        <w:rPr>
          <w:rFonts w:ascii="Georgia" w:hAnsi="Georgia"/>
          <w:sz w:val="22"/>
          <w:szCs w:val="22"/>
          <w:lang w:val="en-GB"/>
        </w:rPr>
        <w:t>by Eleonora Rosati</w:t>
      </w:r>
      <w:r w:rsidRPr="00C879D5">
        <w:rPr>
          <w:rStyle w:val="Rimandonotaapidipagina"/>
          <w:rFonts w:ascii="Georgia" w:hAnsi="Georgia"/>
          <w:sz w:val="22"/>
          <w:szCs w:val="22"/>
          <w:lang w:val="en-GB"/>
        </w:rPr>
        <w:footnoteReference w:customMarkFollows="1" w:id="1"/>
        <w:t>*</w:t>
      </w:r>
    </w:p>
    <w:p w14:paraId="1F7C9061" w14:textId="77777777" w:rsidR="00CB1F0A" w:rsidRPr="00C879D5" w:rsidRDefault="00CB1F0A">
      <w:pPr>
        <w:rPr>
          <w:rFonts w:ascii="Georgia" w:hAnsi="Georgia"/>
          <w:sz w:val="22"/>
          <w:szCs w:val="22"/>
          <w:lang w:val="en-GB"/>
        </w:rPr>
      </w:pPr>
    </w:p>
    <w:p w14:paraId="08BBA871" w14:textId="77777777" w:rsidR="00FA2B5C" w:rsidRPr="00C879D5" w:rsidRDefault="00FA2B5C">
      <w:pPr>
        <w:rPr>
          <w:rFonts w:ascii="Georgia" w:hAnsi="Georgia"/>
          <w:sz w:val="22"/>
          <w:szCs w:val="22"/>
          <w:lang w:val="en-GB"/>
        </w:rPr>
      </w:pPr>
      <w:r w:rsidRPr="00C879D5">
        <w:rPr>
          <w:rFonts w:ascii="Georgia" w:hAnsi="Georgia"/>
          <w:sz w:val="22"/>
          <w:szCs w:val="22"/>
          <w:lang w:val="en-GB"/>
        </w:rPr>
        <w:t>As expected, 2018 has been a crucial year for the progress of the EU copyright reform and what is rightly considered the most important draft piece of legislation in the group of initiatives released under the umbrella of the EU Commission’ Digital Single Market Strategy: the proposal for a directive on copyright in the Digital Single Market.</w:t>
      </w:r>
    </w:p>
    <w:p w14:paraId="2239AA4E" w14:textId="77777777" w:rsidR="00FA2B5C" w:rsidRPr="00C879D5" w:rsidRDefault="00FA2B5C">
      <w:pPr>
        <w:rPr>
          <w:rFonts w:ascii="Georgia" w:hAnsi="Georgia"/>
          <w:sz w:val="22"/>
          <w:szCs w:val="22"/>
          <w:lang w:val="en-GB"/>
        </w:rPr>
      </w:pPr>
    </w:p>
    <w:p w14:paraId="65E717A0" w14:textId="52D19536" w:rsidR="00FA2B5C" w:rsidRPr="00C879D5" w:rsidRDefault="00FA2B5C">
      <w:pPr>
        <w:rPr>
          <w:rFonts w:ascii="Georgia" w:hAnsi="Georgia"/>
          <w:sz w:val="22"/>
          <w:szCs w:val="22"/>
          <w:lang w:val="en-GB"/>
        </w:rPr>
      </w:pPr>
      <w:r w:rsidRPr="00C879D5">
        <w:rPr>
          <w:rFonts w:ascii="Georgia" w:hAnsi="Georgia"/>
          <w:sz w:val="22"/>
          <w:szCs w:val="22"/>
          <w:lang w:val="en-GB"/>
        </w:rPr>
        <w:t>Following the adoption – by both the Council and the EU Parliament – of the respective versions of the directive to be used as a mandate in the context of trilogue negotiations, the final – closed-doors – phase that will even</w:t>
      </w:r>
      <w:r w:rsidR="007A1EAA" w:rsidRPr="00C879D5">
        <w:rPr>
          <w:rFonts w:ascii="Georgia" w:hAnsi="Georgia"/>
          <w:sz w:val="22"/>
          <w:szCs w:val="22"/>
          <w:lang w:val="en-GB"/>
        </w:rPr>
        <w:t>tually lead to the adoption of this</w:t>
      </w:r>
      <w:r w:rsidRPr="00C879D5">
        <w:rPr>
          <w:rFonts w:ascii="Georgia" w:hAnsi="Georgia"/>
          <w:sz w:val="22"/>
          <w:szCs w:val="22"/>
          <w:lang w:val="en-GB"/>
        </w:rPr>
        <w:t xml:space="preserve"> new piece of </w:t>
      </w:r>
      <w:r w:rsidR="007A1EAA" w:rsidRPr="00C879D5">
        <w:rPr>
          <w:rFonts w:ascii="Georgia" w:hAnsi="Georgia"/>
          <w:sz w:val="22"/>
          <w:szCs w:val="22"/>
          <w:lang w:val="en-GB"/>
        </w:rPr>
        <w:t xml:space="preserve">copyright </w:t>
      </w:r>
      <w:r w:rsidRPr="00C879D5">
        <w:rPr>
          <w:rFonts w:ascii="Georgia" w:hAnsi="Georgia"/>
          <w:sz w:val="22"/>
          <w:szCs w:val="22"/>
          <w:lang w:val="en-GB"/>
        </w:rPr>
        <w:t>legislation has now begun.</w:t>
      </w:r>
      <w:r w:rsidR="007A1EAA" w:rsidRPr="00C879D5">
        <w:rPr>
          <w:rFonts w:ascii="Georgia" w:hAnsi="Georgia"/>
          <w:sz w:val="22"/>
          <w:szCs w:val="22"/>
          <w:lang w:val="en-GB"/>
        </w:rPr>
        <w:t xml:space="preserve"> </w:t>
      </w:r>
      <w:r w:rsidRPr="00C879D5">
        <w:rPr>
          <w:rFonts w:ascii="Georgia" w:hAnsi="Georgia"/>
          <w:sz w:val="22"/>
          <w:szCs w:val="22"/>
          <w:lang w:val="en-GB"/>
        </w:rPr>
        <w:t>Although we do not yet know what the final text of the directive will be like, there are three elements that stand out in the process as we have seen it unfold so far.</w:t>
      </w:r>
    </w:p>
    <w:p w14:paraId="6D8251CE" w14:textId="77777777" w:rsidR="00FA2B5C" w:rsidRPr="00C879D5" w:rsidRDefault="00FA2B5C">
      <w:pPr>
        <w:rPr>
          <w:rFonts w:ascii="Georgia" w:hAnsi="Georgia"/>
          <w:sz w:val="22"/>
          <w:szCs w:val="22"/>
          <w:lang w:val="en-GB"/>
        </w:rPr>
      </w:pPr>
    </w:p>
    <w:p w14:paraId="3B892F44" w14:textId="6A611D9B" w:rsidR="00FA2B5C" w:rsidRPr="00C879D5" w:rsidRDefault="000E2A1C">
      <w:pPr>
        <w:rPr>
          <w:rFonts w:ascii="Georgia" w:hAnsi="Georgia"/>
          <w:sz w:val="22"/>
          <w:szCs w:val="22"/>
          <w:lang w:val="en-GB"/>
        </w:rPr>
      </w:pPr>
      <w:r w:rsidRPr="00C879D5">
        <w:rPr>
          <w:rFonts w:ascii="Georgia" w:hAnsi="Georgia"/>
          <w:sz w:val="22"/>
          <w:szCs w:val="22"/>
          <w:lang w:val="en-GB"/>
        </w:rPr>
        <w:t>First, as it has increasingly become common in relation to copyright</w:t>
      </w:r>
      <w:r w:rsidR="00E97B5C" w:rsidRPr="00C879D5">
        <w:rPr>
          <w:rFonts w:ascii="Georgia" w:hAnsi="Georgia"/>
          <w:sz w:val="22"/>
          <w:szCs w:val="22"/>
          <w:lang w:val="en-GB"/>
        </w:rPr>
        <w:t xml:space="preserve">, the debate has been animated by emotional tones </w:t>
      </w:r>
      <w:r w:rsidR="007A1EAA" w:rsidRPr="00C879D5">
        <w:rPr>
          <w:rFonts w:ascii="Georgia" w:hAnsi="Georgia"/>
          <w:sz w:val="22"/>
          <w:szCs w:val="22"/>
          <w:lang w:val="en-GB"/>
        </w:rPr>
        <w:t>that</w:t>
      </w:r>
      <w:r w:rsidR="00E97B5C" w:rsidRPr="00C879D5">
        <w:rPr>
          <w:rFonts w:ascii="Georgia" w:hAnsi="Georgia"/>
          <w:sz w:val="22"/>
          <w:szCs w:val="22"/>
          <w:lang w:val="en-GB"/>
        </w:rPr>
        <w:t xml:space="preserve">, in turn, have resulted in the use of emotional terms (‘link tax’, ‘upload filters’). While these strategies have </w:t>
      </w:r>
      <w:r w:rsidR="007A1EAA" w:rsidRPr="00C879D5">
        <w:rPr>
          <w:rFonts w:ascii="Georgia" w:hAnsi="Georgia"/>
          <w:sz w:val="22"/>
          <w:szCs w:val="22"/>
          <w:lang w:val="en-GB"/>
        </w:rPr>
        <w:t xml:space="preserve">had </w:t>
      </w:r>
      <w:r w:rsidR="00E97B5C" w:rsidRPr="00C879D5">
        <w:rPr>
          <w:rFonts w:ascii="Georgia" w:hAnsi="Georgia"/>
          <w:sz w:val="22"/>
          <w:szCs w:val="22"/>
          <w:lang w:val="en-GB"/>
        </w:rPr>
        <w:t>the merit of bringing technical discussions about copyright protection outside the remit of specialist circles</w:t>
      </w:r>
      <w:r w:rsidR="007A1EAA" w:rsidRPr="00C879D5">
        <w:rPr>
          <w:rFonts w:ascii="Georgia" w:hAnsi="Georgia"/>
          <w:sz w:val="22"/>
          <w:szCs w:val="22"/>
          <w:lang w:val="en-GB"/>
        </w:rPr>
        <w:t>, thus favouring</w:t>
      </w:r>
      <w:r w:rsidR="00E97B5C" w:rsidRPr="00C879D5">
        <w:rPr>
          <w:rFonts w:ascii="Georgia" w:hAnsi="Georgia"/>
          <w:sz w:val="22"/>
          <w:szCs w:val="22"/>
          <w:lang w:val="en-GB"/>
        </w:rPr>
        <w:t xml:space="preserve"> public awareness and engagement with issues that have the potential </w:t>
      </w:r>
      <w:r w:rsidR="007A1EAA" w:rsidRPr="00C879D5">
        <w:rPr>
          <w:rFonts w:ascii="Georgia" w:hAnsi="Georgia"/>
          <w:sz w:val="22"/>
          <w:szCs w:val="22"/>
          <w:lang w:val="en-GB"/>
        </w:rPr>
        <w:t>of impacting</w:t>
      </w:r>
      <w:r w:rsidR="00E97B5C" w:rsidRPr="00C879D5">
        <w:rPr>
          <w:rFonts w:ascii="Georgia" w:hAnsi="Georgia"/>
          <w:sz w:val="22"/>
          <w:szCs w:val="22"/>
          <w:lang w:val="en-GB"/>
        </w:rPr>
        <w:t xml:space="preserve"> </w:t>
      </w:r>
      <w:r w:rsidR="007A1EAA" w:rsidRPr="00C879D5">
        <w:rPr>
          <w:rFonts w:ascii="Georgia" w:hAnsi="Georgia"/>
          <w:sz w:val="22"/>
          <w:szCs w:val="22"/>
          <w:lang w:val="en-GB"/>
        </w:rPr>
        <w:t xml:space="preserve">on </w:t>
      </w:r>
      <w:r w:rsidR="00E97B5C" w:rsidRPr="00C879D5">
        <w:rPr>
          <w:rFonts w:ascii="Georgia" w:hAnsi="Georgia"/>
          <w:sz w:val="22"/>
          <w:szCs w:val="22"/>
          <w:lang w:val="en-GB"/>
        </w:rPr>
        <w:t xml:space="preserve">internet users’ experience, they also make it difficult to appreciate the nuances underlying the actual text and implications as resulting from the adoption of new legislative provisions. </w:t>
      </w:r>
    </w:p>
    <w:p w14:paraId="18E71F0B" w14:textId="77777777" w:rsidR="00E97B5C" w:rsidRPr="00C879D5" w:rsidRDefault="00E97B5C">
      <w:pPr>
        <w:rPr>
          <w:rFonts w:ascii="Georgia" w:hAnsi="Georgia"/>
          <w:sz w:val="22"/>
          <w:szCs w:val="22"/>
          <w:lang w:val="en-GB"/>
        </w:rPr>
      </w:pPr>
    </w:p>
    <w:p w14:paraId="759EAC94" w14:textId="7218A43A" w:rsidR="00E97B5C" w:rsidRPr="00C879D5" w:rsidRDefault="00E97B5C">
      <w:pPr>
        <w:rPr>
          <w:rFonts w:ascii="Georgia" w:hAnsi="Georgia"/>
          <w:sz w:val="22"/>
          <w:szCs w:val="22"/>
          <w:lang w:val="en-GB"/>
        </w:rPr>
      </w:pPr>
      <w:r w:rsidRPr="00C879D5">
        <w:rPr>
          <w:rFonts w:ascii="Georgia" w:hAnsi="Georgia"/>
          <w:sz w:val="22"/>
          <w:szCs w:val="22"/>
          <w:lang w:val="en-GB"/>
        </w:rPr>
        <w:t xml:space="preserve">Second, the launch </w:t>
      </w:r>
      <w:r w:rsidR="007A1EAA" w:rsidRPr="00C879D5">
        <w:rPr>
          <w:rFonts w:ascii="Georgia" w:hAnsi="Georgia"/>
          <w:sz w:val="22"/>
          <w:szCs w:val="22"/>
          <w:lang w:val="en-GB"/>
        </w:rPr>
        <w:t xml:space="preserve">and evolution </w:t>
      </w:r>
      <w:r w:rsidRPr="00C879D5">
        <w:rPr>
          <w:rFonts w:ascii="Georgia" w:hAnsi="Georgia"/>
          <w:sz w:val="22"/>
          <w:szCs w:val="22"/>
          <w:lang w:val="en-GB"/>
        </w:rPr>
        <w:t xml:space="preserve">of EU copyright reform plans has suffered from ambiguities and contradictions, which have eventually led one to question what overall vision of copyright the EU </w:t>
      </w:r>
      <w:r w:rsidR="007A1EAA" w:rsidRPr="00C879D5">
        <w:rPr>
          <w:rFonts w:ascii="Georgia" w:hAnsi="Georgia"/>
          <w:sz w:val="22"/>
          <w:szCs w:val="22"/>
          <w:lang w:val="en-GB"/>
        </w:rPr>
        <w:t>wishes</w:t>
      </w:r>
      <w:r w:rsidRPr="00C879D5">
        <w:rPr>
          <w:rFonts w:ascii="Georgia" w:hAnsi="Georgia"/>
          <w:sz w:val="22"/>
          <w:szCs w:val="22"/>
          <w:lang w:val="en-GB"/>
        </w:rPr>
        <w:t xml:space="preserve"> to pursue. The case of text and data mining (Article 3 of the draft directive</w:t>
      </w:r>
      <w:r w:rsidR="00CB1F0A" w:rsidRPr="00C879D5">
        <w:rPr>
          <w:rFonts w:ascii="Georgia" w:hAnsi="Georgia"/>
          <w:sz w:val="22"/>
          <w:szCs w:val="22"/>
          <w:lang w:val="en-GB"/>
        </w:rPr>
        <w:t>) is telling</w:t>
      </w:r>
      <w:r w:rsidRPr="00C879D5">
        <w:rPr>
          <w:rFonts w:ascii="Georgia" w:hAnsi="Georgia"/>
          <w:sz w:val="22"/>
          <w:szCs w:val="22"/>
          <w:lang w:val="en-GB"/>
        </w:rPr>
        <w:t xml:space="preserve">. </w:t>
      </w:r>
      <w:r w:rsidR="00DB2BC0" w:rsidRPr="00C879D5">
        <w:rPr>
          <w:rFonts w:ascii="Georgia" w:hAnsi="Georgia"/>
          <w:sz w:val="22"/>
          <w:szCs w:val="22"/>
          <w:lang w:val="en-GB"/>
        </w:rPr>
        <w:t xml:space="preserve">It is likely that the beneficiaries of this mandatory exception would </w:t>
      </w:r>
      <w:r w:rsidR="004C194A">
        <w:rPr>
          <w:rFonts w:ascii="Georgia" w:hAnsi="Georgia"/>
          <w:sz w:val="22"/>
          <w:szCs w:val="22"/>
          <w:lang w:val="en-GB"/>
        </w:rPr>
        <w:t>be</w:t>
      </w:r>
      <w:r w:rsidR="00DB2BC0" w:rsidRPr="00C879D5">
        <w:rPr>
          <w:rFonts w:ascii="Georgia" w:hAnsi="Georgia"/>
          <w:sz w:val="22"/>
          <w:szCs w:val="22"/>
          <w:lang w:val="en-GB"/>
        </w:rPr>
        <w:t xml:space="preserve"> research organizations</w:t>
      </w:r>
      <w:r w:rsidR="004C194A">
        <w:rPr>
          <w:rFonts w:ascii="Georgia" w:hAnsi="Georgia"/>
          <w:sz w:val="22"/>
          <w:szCs w:val="22"/>
          <w:lang w:val="en-GB"/>
        </w:rPr>
        <w:t xml:space="preserve"> only</w:t>
      </w:r>
      <w:r w:rsidR="00DB2BC0" w:rsidRPr="00C879D5">
        <w:rPr>
          <w:rFonts w:ascii="Georgia" w:hAnsi="Georgia"/>
          <w:sz w:val="22"/>
          <w:szCs w:val="22"/>
          <w:lang w:val="en-GB"/>
        </w:rPr>
        <w:t xml:space="preserve">. Yet, in its Impact Assessment accompanying the proposal for a directive, the EU Commission outlined how currently in Europe these subjects are not </w:t>
      </w:r>
      <w:r w:rsidR="007A1EAA" w:rsidRPr="00C879D5">
        <w:rPr>
          <w:rFonts w:ascii="Georgia" w:hAnsi="Georgia"/>
          <w:sz w:val="22"/>
          <w:szCs w:val="22"/>
          <w:lang w:val="en-GB"/>
        </w:rPr>
        <w:t>among those that are mostly</w:t>
      </w:r>
      <w:r w:rsidR="00DB2BC0" w:rsidRPr="00C879D5">
        <w:rPr>
          <w:rFonts w:ascii="Georgia" w:hAnsi="Georgia"/>
          <w:sz w:val="22"/>
          <w:szCs w:val="22"/>
          <w:lang w:val="en-GB"/>
        </w:rPr>
        <w:t xml:space="preserve"> engaged in text and data mining activities. What is the point, then, of an exception specifically aimed at those that are not really doing what the provision would allow</w:t>
      </w:r>
      <w:r w:rsidR="007A1EAA" w:rsidRPr="00C879D5">
        <w:rPr>
          <w:rFonts w:ascii="Georgia" w:hAnsi="Georgia"/>
          <w:sz w:val="22"/>
          <w:szCs w:val="22"/>
          <w:lang w:val="en-GB"/>
        </w:rPr>
        <w:t xml:space="preserve"> for</w:t>
      </w:r>
      <w:r w:rsidR="00DB2BC0" w:rsidRPr="00C879D5">
        <w:rPr>
          <w:rFonts w:ascii="Georgia" w:hAnsi="Georgia"/>
          <w:sz w:val="22"/>
          <w:szCs w:val="22"/>
          <w:lang w:val="en-GB"/>
        </w:rPr>
        <w:t>? The optimist</w:t>
      </w:r>
      <w:r w:rsidR="007A1EAA" w:rsidRPr="00C879D5">
        <w:rPr>
          <w:rFonts w:ascii="Georgia" w:hAnsi="Georgia"/>
          <w:sz w:val="22"/>
          <w:szCs w:val="22"/>
          <w:lang w:val="en-GB"/>
        </w:rPr>
        <w:t xml:space="preserve"> (naïve?)</w:t>
      </w:r>
      <w:r w:rsidR="00DB2BC0" w:rsidRPr="00C879D5">
        <w:rPr>
          <w:rFonts w:ascii="Georgia" w:hAnsi="Georgia"/>
          <w:sz w:val="22"/>
          <w:szCs w:val="22"/>
          <w:lang w:val="en-GB"/>
        </w:rPr>
        <w:t xml:space="preserve"> reading is that the EU wishes to stimulate the </w:t>
      </w:r>
      <w:r w:rsidR="007A1EAA" w:rsidRPr="00C879D5">
        <w:rPr>
          <w:rFonts w:ascii="Georgia" w:hAnsi="Georgia"/>
          <w:sz w:val="22"/>
          <w:szCs w:val="22"/>
          <w:lang w:val="en-GB"/>
        </w:rPr>
        <w:t>making</w:t>
      </w:r>
      <w:r w:rsidR="00DB2BC0" w:rsidRPr="00C879D5">
        <w:rPr>
          <w:rFonts w:ascii="Georgia" w:hAnsi="Georgia"/>
          <w:sz w:val="22"/>
          <w:szCs w:val="22"/>
          <w:lang w:val="en-GB"/>
        </w:rPr>
        <w:t xml:space="preserve"> of text and data mining also in non-business settings. The cynical reading is that the EU is introducing an exception that will not be </w:t>
      </w:r>
      <w:r w:rsidR="004C194A">
        <w:rPr>
          <w:rFonts w:ascii="Georgia" w:hAnsi="Georgia"/>
          <w:sz w:val="22"/>
          <w:szCs w:val="22"/>
          <w:lang w:val="en-GB"/>
        </w:rPr>
        <w:t>used</w:t>
      </w:r>
      <w:r w:rsidR="00DB2BC0" w:rsidRPr="00C879D5">
        <w:rPr>
          <w:rFonts w:ascii="Georgia" w:hAnsi="Georgia"/>
          <w:sz w:val="22"/>
          <w:szCs w:val="22"/>
          <w:lang w:val="en-GB"/>
        </w:rPr>
        <w:t>. The bottom-line in both scenarios, however</w:t>
      </w:r>
      <w:r w:rsidR="007A1EAA" w:rsidRPr="00C879D5">
        <w:rPr>
          <w:rFonts w:ascii="Georgia" w:hAnsi="Georgia"/>
          <w:sz w:val="22"/>
          <w:szCs w:val="22"/>
          <w:lang w:val="en-GB"/>
        </w:rPr>
        <w:t xml:space="preserve"> (and that may be the actual take-home point), is that that </w:t>
      </w:r>
      <w:r w:rsidR="00DB2BC0" w:rsidRPr="00C879D5">
        <w:rPr>
          <w:rFonts w:ascii="Georgia" w:hAnsi="Georgia"/>
          <w:sz w:val="22"/>
          <w:szCs w:val="22"/>
          <w:lang w:val="en-GB"/>
        </w:rPr>
        <w:t>text and data mining falls within the scope of copyright protection and – to be performed lawfully – rightholders’ authorization is needed.</w:t>
      </w:r>
    </w:p>
    <w:p w14:paraId="634FA3D2" w14:textId="77777777" w:rsidR="00DB2BC0" w:rsidRPr="00C879D5" w:rsidRDefault="00DB2BC0">
      <w:pPr>
        <w:rPr>
          <w:rFonts w:ascii="Georgia" w:hAnsi="Georgia"/>
          <w:sz w:val="22"/>
          <w:szCs w:val="22"/>
          <w:lang w:val="en-GB"/>
        </w:rPr>
      </w:pPr>
    </w:p>
    <w:p w14:paraId="014CAB73" w14:textId="4CFBDC8E" w:rsidR="00DB2BC0" w:rsidRPr="00C879D5" w:rsidRDefault="00DB2BC0">
      <w:pPr>
        <w:rPr>
          <w:rFonts w:ascii="Georgia" w:hAnsi="Georgia"/>
          <w:sz w:val="22"/>
          <w:szCs w:val="22"/>
          <w:lang w:val="en-GB"/>
        </w:rPr>
      </w:pPr>
      <w:r w:rsidRPr="00C879D5">
        <w:rPr>
          <w:rFonts w:ascii="Georgia" w:hAnsi="Georgia"/>
          <w:sz w:val="22"/>
          <w:szCs w:val="22"/>
          <w:lang w:val="en-GB"/>
        </w:rPr>
        <w:t>Third, over time the proposed reform</w:t>
      </w:r>
      <w:r w:rsidR="007A1EAA" w:rsidRPr="00C879D5">
        <w:rPr>
          <w:rFonts w:ascii="Georgia" w:hAnsi="Georgia"/>
          <w:sz w:val="22"/>
          <w:szCs w:val="22"/>
          <w:lang w:val="en-GB"/>
        </w:rPr>
        <w:t xml:space="preserve"> has either lost ambition or its harmonizing </w:t>
      </w:r>
      <w:r w:rsidR="00BB0030" w:rsidRPr="00C879D5">
        <w:rPr>
          <w:rFonts w:ascii="Georgia" w:hAnsi="Georgia"/>
          <w:sz w:val="22"/>
          <w:szCs w:val="22"/>
          <w:lang w:val="en-GB"/>
        </w:rPr>
        <w:t>mission</w:t>
      </w:r>
      <w:r w:rsidR="00C879D5">
        <w:rPr>
          <w:rFonts w:ascii="Georgia" w:hAnsi="Georgia"/>
          <w:sz w:val="22"/>
          <w:szCs w:val="22"/>
          <w:lang w:val="en-GB"/>
        </w:rPr>
        <w:t xml:space="preserve">, </w:t>
      </w:r>
      <w:r w:rsidR="004C194A">
        <w:rPr>
          <w:rFonts w:ascii="Georgia" w:hAnsi="Georgia"/>
          <w:sz w:val="22"/>
          <w:szCs w:val="22"/>
          <w:lang w:val="en-GB"/>
        </w:rPr>
        <w:t xml:space="preserve">ie </w:t>
      </w:r>
      <w:bookmarkStart w:id="0" w:name="_GoBack"/>
      <w:bookmarkEnd w:id="0"/>
      <w:r w:rsidR="00C879D5">
        <w:rPr>
          <w:rFonts w:ascii="Georgia" w:hAnsi="Georgia"/>
          <w:sz w:val="22"/>
          <w:szCs w:val="22"/>
          <w:lang w:val="en-GB"/>
        </w:rPr>
        <w:t xml:space="preserve">creating a fully </w:t>
      </w:r>
      <w:r w:rsidR="00BB0030" w:rsidRPr="00C879D5">
        <w:rPr>
          <w:rFonts w:ascii="Georgia" w:hAnsi="Georgia"/>
          <w:sz w:val="22"/>
          <w:szCs w:val="22"/>
          <w:lang w:val="en-GB"/>
        </w:rPr>
        <w:t>functioning Digital Single Market,</w:t>
      </w:r>
      <w:r w:rsidR="007A1EAA" w:rsidRPr="00C879D5">
        <w:rPr>
          <w:rFonts w:ascii="Georgia" w:hAnsi="Georgia"/>
          <w:sz w:val="22"/>
          <w:szCs w:val="22"/>
          <w:lang w:val="en-GB"/>
        </w:rPr>
        <w:t xml:space="preserve"> has </w:t>
      </w:r>
      <w:r w:rsidR="00BB0030" w:rsidRPr="00C879D5">
        <w:rPr>
          <w:rFonts w:ascii="Georgia" w:hAnsi="Georgia"/>
          <w:sz w:val="22"/>
          <w:szCs w:val="22"/>
          <w:lang w:val="en-GB"/>
        </w:rPr>
        <w:t>somewhat faded</w:t>
      </w:r>
      <w:r w:rsidRPr="00C879D5">
        <w:rPr>
          <w:rFonts w:ascii="Georgia" w:hAnsi="Georgia"/>
          <w:sz w:val="22"/>
          <w:szCs w:val="22"/>
          <w:lang w:val="en-GB"/>
        </w:rPr>
        <w:t>. An example of the former is the initial plan to tackle unjustified geo-blocking also in the copyright field: nothing of this sort is going to happe</w:t>
      </w:r>
      <w:r w:rsidR="00BB0030" w:rsidRPr="00C879D5">
        <w:rPr>
          <w:rFonts w:ascii="Georgia" w:hAnsi="Georgia"/>
          <w:sz w:val="22"/>
          <w:szCs w:val="22"/>
          <w:lang w:val="en-GB"/>
        </w:rPr>
        <w:t>n. An example of the latter is, a</w:t>
      </w:r>
      <w:r w:rsidRPr="00C879D5">
        <w:rPr>
          <w:rFonts w:ascii="Georgia" w:hAnsi="Georgia"/>
          <w:sz w:val="22"/>
          <w:szCs w:val="22"/>
          <w:lang w:val="en-GB"/>
        </w:rPr>
        <w:t xml:space="preserve">gain, text and data mining. From being a mandatory exception (that is, something that would carry out a substantial and actual homogenization of Member States’ laws), now there might be also an optional exception (Article 3a) that Member States </w:t>
      </w:r>
      <w:r w:rsidR="00BB0030" w:rsidRPr="00C879D5">
        <w:rPr>
          <w:rFonts w:ascii="Georgia" w:hAnsi="Georgia"/>
          <w:sz w:val="22"/>
          <w:szCs w:val="22"/>
          <w:lang w:val="en-GB"/>
        </w:rPr>
        <w:t>would be free to introduce</w:t>
      </w:r>
      <w:r w:rsidRPr="00C879D5">
        <w:rPr>
          <w:rFonts w:ascii="Georgia" w:hAnsi="Georgia"/>
          <w:sz w:val="22"/>
          <w:szCs w:val="22"/>
          <w:lang w:val="en-GB"/>
        </w:rPr>
        <w:t xml:space="preserve"> into their own laws, if so they wish</w:t>
      </w:r>
      <w:r w:rsidR="00BB0030" w:rsidRPr="00C879D5">
        <w:rPr>
          <w:rFonts w:ascii="Georgia" w:hAnsi="Georgia"/>
          <w:sz w:val="22"/>
          <w:szCs w:val="22"/>
          <w:lang w:val="en-GB"/>
        </w:rPr>
        <w:t>ed</w:t>
      </w:r>
      <w:r w:rsidRPr="00C879D5">
        <w:rPr>
          <w:rFonts w:ascii="Georgia" w:hAnsi="Georgia"/>
          <w:sz w:val="22"/>
          <w:szCs w:val="22"/>
          <w:lang w:val="en-GB"/>
        </w:rPr>
        <w:t>. The question that arises is whether the response to inappropriate</w:t>
      </w:r>
      <w:r w:rsidR="00BB0030" w:rsidRPr="00C879D5">
        <w:rPr>
          <w:rFonts w:ascii="Georgia" w:hAnsi="Georgia"/>
          <w:sz w:val="22"/>
          <w:szCs w:val="22"/>
          <w:lang w:val="en-GB"/>
        </w:rPr>
        <w:t xml:space="preserve"> (in scope)</w:t>
      </w:r>
      <w:r w:rsidRPr="00C879D5">
        <w:rPr>
          <w:rFonts w:ascii="Georgia" w:hAnsi="Georgia"/>
          <w:sz w:val="22"/>
          <w:szCs w:val="22"/>
          <w:lang w:val="en-GB"/>
        </w:rPr>
        <w:t>, yet mandatory, provisions (Article 3) is creating further fragmentation in the EU internal market</w:t>
      </w:r>
      <w:r w:rsidR="00BB0030" w:rsidRPr="00C879D5">
        <w:rPr>
          <w:rFonts w:ascii="Georgia" w:hAnsi="Georgia"/>
          <w:sz w:val="22"/>
          <w:szCs w:val="22"/>
          <w:lang w:val="en-GB"/>
        </w:rPr>
        <w:t xml:space="preserve"> by means of optional side-exceptions</w:t>
      </w:r>
      <w:r w:rsidRPr="00C879D5">
        <w:rPr>
          <w:rFonts w:ascii="Georgia" w:hAnsi="Georgia"/>
          <w:sz w:val="22"/>
          <w:szCs w:val="22"/>
          <w:lang w:val="en-GB"/>
        </w:rPr>
        <w:t xml:space="preserve"> (Article 3a).</w:t>
      </w:r>
    </w:p>
    <w:p w14:paraId="755A0D6D" w14:textId="77777777" w:rsidR="00DB2BC0" w:rsidRPr="00C879D5" w:rsidRDefault="00DB2BC0">
      <w:pPr>
        <w:rPr>
          <w:rFonts w:ascii="Georgia" w:hAnsi="Georgia"/>
          <w:sz w:val="22"/>
          <w:szCs w:val="22"/>
          <w:lang w:val="en-GB"/>
        </w:rPr>
      </w:pPr>
    </w:p>
    <w:p w14:paraId="1AC206B6" w14:textId="41490C3B" w:rsidR="00DB2BC0" w:rsidRPr="00C879D5" w:rsidRDefault="00DB2BC0">
      <w:pPr>
        <w:rPr>
          <w:rFonts w:ascii="Georgia" w:hAnsi="Georgia"/>
          <w:sz w:val="22"/>
          <w:szCs w:val="22"/>
          <w:lang w:val="en-GB"/>
        </w:rPr>
      </w:pPr>
      <w:r w:rsidRPr="00C879D5">
        <w:rPr>
          <w:rFonts w:ascii="Georgia" w:hAnsi="Georgia"/>
          <w:sz w:val="22"/>
          <w:szCs w:val="22"/>
          <w:lang w:val="en-GB"/>
        </w:rPr>
        <w:t xml:space="preserve">Overall, this new directive will likely come to be, </w:t>
      </w:r>
      <w:r w:rsidR="00BB0030" w:rsidRPr="00C879D5">
        <w:rPr>
          <w:rFonts w:ascii="Georgia" w:hAnsi="Georgia"/>
          <w:sz w:val="22"/>
          <w:szCs w:val="22"/>
          <w:lang w:val="en-GB"/>
        </w:rPr>
        <w:t>while also</w:t>
      </w:r>
      <w:r w:rsidRPr="00C879D5">
        <w:rPr>
          <w:rFonts w:ascii="Georgia" w:hAnsi="Georgia"/>
          <w:sz w:val="22"/>
          <w:szCs w:val="22"/>
          <w:lang w:val="en-GB"/>
        </w:rPr>
        <w:t xml:space="preserve"> reflecting the </w:t>
      </w:r>
      <w:r w:rsidR="00BB0030" w:rsidRPr="00C879D5">
        <w:rPr>
          <w:rFonts w:ascii="Georgia" w:hAnsi="Georgia"/>
          <w:sz w:val="22"/>
          <w:szCs w:val="22"/>
          <w:lang w:val="en-GB"/>
        </w:rPr>
        <w:t xml:space="preserve">heavy </w:t>
      </w:r>
      <w:r w:rsidRPr="00C879D5">
        <w:rPr>
          <w:rFonts w:ascii="Georgia" w:hAnsi="Georgia"/>
          <w:sz w:val="22"/>
          <w:szCs w:val="22"/>
          <w:lang w:val="en-GB"/>
        </w:rPr>
        <w:t>legacy of emotional, contradictory and at times irrational tones</w:t>
      </w:r>
      <w:r w:rsidR="00BB0030" w:rsidRPr="00C879D5">
        <w:rPr>
          <w:rFonts w:ascii="Georgia" w:hAnsi="Georgia"/>
          <w:sz w:val="22"/>
          <w:szCs w:val="22"/>
          <w:lang w:val="en-GB"/>
        </w:rPr>
        <w:t xml:space="preserve"> that have animated the policy and legislative process</w:t>
      </w:r>
      <w:r w:rsidRPr="00C879D5">
        <w:rPr>
          <w:rFonts w:ascii="Georgia" w:hAnsi="Georgia"/>
          <w:sz w:val="22"/>
          <w:szCs w:val="22"/>
          <w:lang w:val="en-GB"/>
        </w:rPr>
        <w:t xml:space="preserve">. Once this </w:t>
      </w:r>
      <w:r w:rsidR="00BB0030" w:rsidRPr="00C879D5">
        <w:rPr>
          <w:rFonts w:ascii="Georgia" w:hAnsi="Georgia"/>
          <w:sz w:val="22"/>
          <w:szCs w:val="22"/>
          <w:lang w:val="en-GB"/>
        </w:rPr>
        <w:t>has happened</w:t>
      </w:r>
      <w:r w:rsidRPr="00C879D5">
        <w:rPr>
          <w:rFonts w:ascii="Georgia" w:hAnsi="Georgia"/>
          <w:sz w:val="22"/>
          <w:szCs w:val="22"/>
          <w:lang w:val="en-GB"/>
        </w:rPr>
        <w:t xml:space="preserve">, the </w:t>
      </w:r>
      <w:r w:rsidR="00CB1F0A" w:rsidRPr="00C879D5">
        <w:rPr>
          <w:rFonts w:ascii="Georgia" w:hAnsi="Georgia"/>
          <w:sz w:val="22"/>
          <w:szCs w:val="22"/>
          <w:lang w:val="en-GB"/>
        </w:rPr>
        <w:t>battleground</w:t>
      </w:r>
      <w:r w:rsidRPr="00C879D5">
        <w:rPr>
          <w:rFonts w:ascii="Georgia" w:hAnsi="Georgia"/>
          <w:sz w:val="22"/>
          <w:szCs w:val="22"/>
          <w:lang w:val="en-GB"/>
        </w:rPr>
        <w:t xml:space="preserve"> will move to national implementations and, eventually (and as it has happened with the other pieces of EU legislation) litigation and referrals to the Court of Justice of the European Union. </w:t>
      </w:r>
    </w:p>
    <w:sectPr w:rsidR="00DB2BC0" w:rsidRPr="00C879D5" w:rsidSect="006D4CF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66117" w14:textId="77777777" w:rsidR="00C879D5" w:rsidRDefault="00C879D5" w:rsidP="00CB1F0A">
      <w:r>
        <w:separator/>
      </w:r>
    </w:p>
  </w:endnote>
  <w:endnote w:type="continuationSeparator" w:id="0">
    <w:p w14:paraId="04E00B79" w14:textId="77777777" w:rsidR="00C879D5" w:rsidRDefault="00C879D5" w:rsidP="00CB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839BA" w14:textId="77777777" w:rsidR="00C879D5" w:rsidRDefault="00C879D5" w:rsidP="00CB1F0A">
      <w:r>
        <w:separator/>
      </w:r>
    </w:p>
  </w:footnote>
  <w:footnote w:type="continuationSeparator" w:id="0">
    <w:p w14:paraId="26EEF4C3" w14:textId="77777777" w:rsidR="00C879D5" w:rsidRDefault="00C879D5" w:rsidP="00CB1F0A">
      <w:r>
        <w:continuationSeparator/>
      </w:r>
    </w:p>
  </w:footnote>
  <w:footnote w:id="1">
    <w:p w14:paraId="0B6B34F3" w14:textId="77777777" w:rsidR="00C879D5" w:rsidRPr="00CB1F0A" w:rsidRDefault="00C879D5">
      <w:pPr>
        <w:pStyle w:val="Testonotaapidipagina"/>
        <w:rPr>
          <w:rFonts w:ascii="Georgia" w:hAnsi="Georgia"/>
          <w:sz w:val="16"/>
          <w:szCs w:val="16"/>
          <w:lang w:val="en-GB"/>
        </w:rPr>
      </w:pPr>
      <w:r w:rsidRPr="00CB1F0A">
        <w:rPr>
          <w:rStyle w:val="Rimandonotaapidipagina"/>
          <w:rFonts w:ascii="Georgia" w:hAnsi="Georgia"/>
          <w:sz w:val="16"/>
          <w:szCs w:val="16"/>
          <w:lang w:val="en-GB"/>
        </w:rPr>
        <w:t>*</w:t>
      </w:r>
      <w:r w:rsidRPr="00CB1F0A">
        <w:rPr>
          <w:rFonts w:ascii="Georgia" w:hAnsi="Georgia"/>
          <w:sz w:val="16"/>
          <w:szCs w:val="16"/>
          <w:lang w:val="en-GB"/>
        </w:rPr>
        <w:t xml:space="preserve"> JIPLP Co-Editor and Associate Professor in Intellectual Property Law at the University of Southampton. Email: eleonora@e-lawnora.com.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5C"/>
    <w:rsid w:val="000E2A1C"/>
    <w:rsid w:val="003A5A47"/>
    <w:rsid w:val="004C194A"/>
    <w:rsid w:val="006D4CF5"/>
    <w:rsid w:val="007A1EAA"/>
    <w:rsid w:val="00BB0030"/>
    <w:rsid w:val="00C879D5"/>
    <w:rsid w:val="00CB1F0A"/>
    <w:rsid w:val="00DB2BC0"/>
    <w:rsid w:val="00E97B5C"/>
    <w:rsid w:val="00FA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DA6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CB1F0A"/>
  </w:style>
  <w:style w:type="character" w:customStyle="1" w:styleId="TestonotaapidipaginaCarattere">
    <w:name w:val="Testo nota a piè di pagina Carattere"/>
    <w:basedOn w:val="Caratterepredefinitoparagrafo"/>
    <w:link w:val="Testonotaapidipagina"/>
    <w:uiPriority w:val="99"/>
    <w:rsid w:val="00CB1F0A"/>
  </w:style>
  <w:style w:type="character" w:styleId="Rimandonotaapidipagina">
    <w:name w:val="footnote reference"/>
    <w:basedOn w:val="Caratterepredefinitoparagrafo"/>
    <w:uiPriority w:val="99"/>
    <w:unhideWhenUsed/>
    <w:rsid w:val="00CB1F0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CB1F0A"/>
  </w:style>
  <w:style w:type="character" w:customStyle="1" w:styleId="TestonotaapidipaginaCarattere">
    <w:name w:val="Testo nota a piè di pagina Carattere"/>
    <w:basedOn w:val="Caratterepredefinitoparagrafo"/>
    <w:link w:val="Testonotaapidipagina"/>
    <w:uiPriority w:val="99"/>
    <w:rsid w:val="00CB1F0A"/>
  </w:style>
  <w:style w:type="character" w:styleId="Rimandonotaapidipagina">
    <w:name w:val="footnote reference"/>
    <w:basedOn w:val="Caratterepredefinitoparagrafo"/>
    <w:uiPriority w:val="99"/>
    <w:unhideWhenUsed/>
    <w:rsid w:val="00CB1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662</Words>
  <Characters>3425</Characters>
  <Application>Microsoft Macintosh Word</Application>
  <DocSecurity>0</DocSecurity>
  <Lines>53</Lines>
  <Paragraphs>9</Paragraphs>
  <ScaleCrop>false</ScaleCrop>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Eleonora Rosati</cp:lastModifiedBy>
  <cp:revision>4</cp:revision>
  <dcterms:created xsi:type="dcterms:W3CDTF">2018-09-29T06:33:00Z</dcterms:created>
  <dcterms:modified xsi:type="dcterms:W3CDTF">2018-09-29T07:41:00Z</dcterms:modified>
</cp:coreProperties>
</file>