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A33" w:rsidRPr="00F03A33" w:rsidRDefault="00F03A33" w:rsidP="00F03A33">
      <w:pPr>
        <w:spacing w:line="480" w:lineRule="auto"/>
        <w:jc w:val="center"/>
        <w:rPr>
          <w:rFonts w:ascii="Arial" w:eastAsiaTheme="minorHAnsi" w:hAnsi="Arial" w:cs="Arial"/>
          <w:b/>
          <w:bCs/>
          <w:color w:val="1A1A1A"/>
          <w:sz w:val="28"/>
          <w:szCs w:val="28"/>
          <w:lang w:val="en-US" w:eastAsia="en-US"/>
        </w:rPr>
      </w:pPr>
      <w:bookmarkStart w:id="0" w:name="_GoBack"/>
      <w:bookmarkEnd w:id="0"/>
      <w:r w:rsidRPr="00F03A33">
        <w:rPr>
          <w:rFonts w:ascii="Arial" w:eastAsiaTheme="minorHAnsi" w:hAnsi="Arial" w:cs="Arial"/>
          <w:b/>
          <w:bCs/>
          <w:color w:val="1A1A1A"/>
          <w:sz w:val="28"/>
          <w:szCs w:val="28"/>
          <w:lang w:val="en-US" w:eastAsia="en-US"/>
        </w:rPr>
        <w:t>PREVALENCE OF AND RISK FACTORS FOR GOUT IN HIV-POSITIVE ADULTS: A CASE-CONTROL STUDY</w:t>
      </w:r>
    </w:p>
    <w:p w:rsidR="00F03A33" w:rsidRPr="00F03A33" w:rsidRDefault="00F03A33" w:rsidP="00F03A33">
      <w:pPr>
        <w:spacing w:line="480" w:lineRule="auto"/>
        <w:rPr>
          <w:rFonts w:ascii="Arial" w:eastAsiaTheme="minorHAnsi" w:hAnsi="Arial" w:cs="Arial"/>
          <w:b/>
          <w:bCs/>
          <w:color w:val="1A1A1A"/>
          <w:sz w:val="28"/>
          <w:szCs w:val="28"/>
          <w:lang w:val="en-US" w:eastAsia="en-US"/>
        </w:rPr>
      </w:pPr>
    </w:p>
    <w:p w:rsidR="00F03A33" w:rsidRPr="00F03A33" w:rsidRDefault="00F03A33" w:rsidP="00F03A33">
      <w:pPr>
        <w:spacing w:line="480" w:lineRule="auto"/>
        <w:rPr>
          <w:rFonts w:ascii="Arial" w:eastAsiaTheme="minorHAnsi" w:hAnsi="Arial" w:cs="Arial"/>
          <w:b/>
          <w:bCs/>
          <w:color w:val="1A1A1A"/>
          <w:sz w:val="24"/>
          <w:szCs w:val="24"/>
          <w:lang w:val="it-IT" w:eastAsia="en-US"/>
        </w:rPr>
      </w:pPr>
      <w:r w:rsidRPr="00F03A33">
        <w:rPr>
          <w:rFonts w:ascii="Arial" w:eastAsiaTheme="minorHAnsi" w:hAnsi="Arial" w:cs="Arial"/>
          <w:b/>
          <w:bCs/>
          <w:color w:val="1A1A1A"/>
          <w:sz w:val="24"/>
          <w:szCs w:val="24"/>
          <w:lang w:val="it-IT" w:eastAsia="en-US"/>
        </w:rPr>
        <w:t>*Dr Prini Nicholson</w:t>
      </w:r>
      <w:r w:rsidRPr="00F03A33">
        <w:rPr>
          <w:rFonts w:ascii="Arial" w:eastAsiaTheme="minorHAnsi" w:hAnsi="Arial" w:cs="Arial"/>
          <w:b/>
          <w:bCs/>
          <w:color w:val="1A1A1A"/>
          <w:sz w:val="24"/>
          <w:szCs w:val="24"/>
          <w:vertAlign w:val="superscript"/>
          <w:lang w:val="it-IT" w:eastAsia="en-US"/>
        </w:rPr>
        <w:t xml:space="preserve">1 </w:t>
      </w:r>
      <w:r w:rsidRPr="00F03A33">
        <w:rPr>
          <w:rFonts w:ascii="Arial" w:eastAsiaTheme="minorHAnsi" w:hAnsi="Arial" w:cs="Arial"/>
          <w:b/>
          <w:bCs/>
          <w:color w:val="1A1A1A"/>
          <w:sz w:val="24"/>
          <w:szCs w:val="24"/>
          <w:lang w:val="it-IT" w:eastAsia="en-US"/>
        </w:rPr>
        <w:t xml:space="preserve"> </w:t>
      </w:r>
      <w:r w:rsidRPr="00F03A33">
        <w:rPr>
          <w:rFonts w:ascii="Arial" w:eastAsiaTheme="minorHAnsi" w:hAnsi="Arial" w:cs="Arial"/>
          <w:bCs/>
          <w:color w:val="1A1A1A"/>
          <w:sz w:val="24"/>
          <w:szCs w:val="24"/>
          <w:lang w:val="it-IT" w:eastAsia="en-US"/>
        </w:rPr>
        <w:t xml:space="preserve"> - Specialist Registrar in Dermatology</w:t>
      </w:r>
    </w:p>
    <w:p w:rsidR="00F03A33" w:rsidRPr="00F03A33" w:rsidRDefault="00F03A33" w:rsidP="00F03A33">
      <w:pPr>
        <w:spacing w:line="480" w:lineRule="auto"/>
        <w:rPr>
          <w:rFonts w:ascii="Arial" w:eastAsiaTheme="minorHAnsi" w:hAnsi="Arial" w:cs="Arial"/>
          <w:b/>
          <w:bCs/>
          <w:color w:val="1A1A1A"/>
          <w:sz w:val="24"/>
          <w:szCs w:val="24"/>
          <w:lang w:val="it-IT" w:eastAsia="en-US"/>
        </w:rPr>
      </w:pPr>
      <w:r w:rsidRPr="00F03A33">
        <w:rPr>
          <w:rFonts w:ascii="Arial" w:eastAsiaTheme="minorHAnsi" w:hAnsi="Arial" w:cs="Arial"/>
          <w:b/>
          <w:bCs/>
          <w:color w:val="1A1A1A"/>
          <w:sz w:val="24"/>
          <w:szCs w:val="24"/>
          <w:lang w:val="it-IT" w:eastAsia="en-US"/>
        </w:rPr>
        <w:t>*Dr Emma Saunsbury</w:t>
      </w:r>
      <w:r w:rsidRPr="00F03A33">
        <w:rPr>
          <w:rFonts w:ascii="Arial" w:eastAsiaTheme="minorHAnsi" w:hAnsi="Arial" w:cs="Arial"/>
          <w:b/>
          <w:bCs/>
          <w:color w:val="1A1A1A"/>
          <w:sz w:val="24"/>
          <w:szCs w:val="24"/>
          <w:vertAlign w:val="superscript"/>
          <w:lang w:val="it-IT" w:eastAsia="en-US"/>
        </w:rPr>
        <w:t>2</w:t>
      </w:r>
      <w:r w:rsidRPr="00F03A33">
        <w:rPr>
          <w:rFonts w:ascii="Arial" w:eastAsiaTheme="minorHAnsi" w:hAnsi="Arial" w:cs="Arial"/>
          <w:b/>
          <w:bCs/>
          <w:color w:val="1A1A1A"/>
          <w:sz w:val="24"/>
          <w:szCs w:val="24"/>
          <w:lang w:val="it-IT" w:eastAsia="en-US"/>
        </w:rPr>
        <w:t xml:space="preserve"> </w:t>
      </w:r>
      <w:r w:rsidRPr="00F03A33">
        <w:rPr>
          <w:rFonts w:ascii="Arial" w:eastAsiaTheme="minorHAnsi" w:hAnsi="Arial" w:cs="Arial"/>
          <w:bCs/>
          <w:color w:val="1A1A1A"/>
          <w:sz w:val="24"/>
          <w:szCs w:val="24"/>
          <w:lang w:val="it-IT" w:eastAsia="en-US"/>
        </w:rPr>
        <w:t>– Core Medical Trainee in Medicine</w:t>
      </w:r>
    </w:p>
    <w:p w:rsidR="00F03A33" w:rsidRPr="00F03A33" w:rsidRDefault="00F03A33" w:rsidP="00F03A33">
      <w:pPr>
        <w:spacing w:line="480" w:lineRule="auto"/>
        <w:rPr>
          <w:rFonts w:ascii="Arial" w:eastAsiaTheme="minorHAnsi" w:hAnsi="Arial" w:cs="Arial"/>
          <w:bCs/>
          <w:color w:val="1A1A1A"/>
          <w:sz w:val="24"/>
          <w:szCs w:val="24"/>
          <w:lang w:val="it-IT" w:eastAsia="en-US"/>
        </w:rPr>
      </w:pPr>
      <w:r w:rsidRPr="00F03A33">
        <w:rPr>
          <w:rFonts w:ascii="Arial" w:eastAsiaTheme="minorHAnsi" w:hAnsi="Arial" w:cs="Arial"/>
          <w:b/>
          <w:bCs/>
          <w:color w:val="1A1A1A"/>
          <w:sz w:val="24"/>
          <w:szCs w:val="24"/>
          <w:lang w:val="it-IT" w:eastAsia="en-US"/>
        </w:rPr>
        <w:t>Ms Stefania D’Angelo</w:t>
      </w:r>
      <w:r w:rsidRPr="00F03A33">
        <w:rPr>
          <w:rFonts w:ascii="Arial" w:eastAsiaTheme="minorHAnsi" w:hAnsi="Arial" w:cs="Arial"/>
          <w:b/>
          <w:bCs/>
          <w:color w:val="1A1A1A"/>
          <w:sz w:val="24"/>
          <w:szCs w:val="24"/>
          <w:vertAlign w:val="superscript"/>
          <w:lang w:val="it-IT" w:eastAsia="en-US"/>
        </w:rPr>
        <w:t>3</w:t>
      </w:r>
      <w:r w:rsidRPr="00F03A33">
        <w:rPr>
          <w:rFonts w:ascii="Arial" w:eastAsiaTheme="minorHAnsi" w:hAnsi="Arial" w:cs="Arial"/>
          <w:bCs/>
          <w:color w:val="1A1A1A"/>
          <w:sz w:val="24"/>
          <w:szCs w:val="24"/>
          <w:lang w:val="it-IT" w:eastAsia="en-US"/>
        </w:rPr>
        <w:t xml:space="preserve"> - Statistician</w:t>
      </w:r>
    </w:p>
    <w:p w:rsidR="00F03A33" w:rsidRPr="00F03A33" w:rsidRDefault="00F03A33" w:rsidP="00F03A33">
      <w:pPr>
        <w:spacing w:line="480" w:lineRule="auto"/>
        <w:rPr>
          <w:rFonts w:ascii="Arial" w:eastAsiaTheme="minorHAnsi" w:hAnsi="Arial" w:cs="Arial"/>
          <w:bCs/>
          <w:color w:val="1A1A1A"/>
          <w:sz w:val="24"/>
          <w:szCs w:val="24"/>
          <w:lang w:val="en-US" w:eastAsia="en-US"/>
        </w:rPr>
      </w:pPr>
      <w:r w:rsidRPr="00F03A33">
        <w:rPr>
          <w:rFonts w:ascii="Arial" w:eastAsiaTheme="minorHAnsi" w:hAnsi="Arial" w:cs="Arial"/>
          <w:b/>
          <w:bCs/>
          <w:color w:val="1A1A1A"/>
          <w:sz w:val="24"/>
          <w:szCs w:val="24"/>
          <w:lang w:val="en-US" w:eastAsia="en-US"/>
        </w:rPr>
        <w:t>Dr Duncan Churchill</w:t>
      </w:r>
      <w:r w:rsidRPr="00F03A33">
        <w:rPr>
          <w:rFonts w:ascii="Arial" w:eastAsiaTheme="minorHAnsi" w:hAnsi="Arial" w:cs="Arial"/>
          <w:b/>
          <w:bCs/>
          <w:color w:val="1A1A1A"/>
          <w:sz w:val="24"/>
          <w:szCs w:val="24"/>
          <w:vertAlign w:val="superscript"/>
          <w:lang w:val="en-US" w:eastAsia="en-US"/>
        </w:rPr>
        <w:t>4</w:t>
      </w:r>
      <w:r w:rsidRPr="00F03A33">
        <w:rPr>
          <w:rFonts w:ascii="Arial" w:eastAsiaTheme="minorHAnsi" w:hAnsi="Arial" w:cs="Arial"/>
          <w:b/>
          <w:bCs/>
          <w:color w:val="1A1A1A"/>
          <w:sz w:val="24"/>
          <w:szCs w:val="24"/>
          <w:lang w:val="en-US" w:eastAsia="en-US"/>
        </w:rPr>
        <w:t xml:space="preserve"> </w:t>
      </w:r>
      <w:r w:rsidRPr="00F03A33">
        <w:rPr>
          <w:rFonts w:ascii="Arial" w:eastAsiaTheme="minorHAnsi" w:hAnsi="Arial" w:cs="Arial"/>
          <w:bCs/>
          <w:color w:val="1A1A1A"/>
          <w:sz w:val="24"/>
          <w:szCs w:val="24"/>
          <w:lang w:val="en-US" w:eastAsia="en-US"/>
        </w:rPr>
        <w:t>– Consultant in HIV Medicine</w:t>
      </w:r>
    </w:p>
    <w:p w:rsidR="00F03A33" w:rsidRPr="00F03A33" w:rsidRDefault="00F03A33" w:rsidP="00F03A33">
      <w:pPr>
        <w:spacing w:line="480" w:lineRule="auto"/>
        <w:rPr>
          <w:rFonts w:ascii="Arial" w:eastAsiaTheme="minorHAnsi" w:hAnsi="Arial" w:cs="Arial"/>
          <w:bCs/>
          <w:color w:val="1A1A1A"/>
          <w:sz w:val="24"/>
          <w:szCs w:val="24"/>
          <w:lang w:val="en-US" w:eastAsia="en-US"/>
        </w:rPr>
      </w:pPr>
      <w:r w:rsidRPr="00F03A33">
        <w:rPr>
          <w:rFonts w:ascii="Arial" w:eastAsiaTheme="minorHAnsi" w:hAnsi="Arial" w:cs="Arial"/>
          <w:b/>
          <w:bCs/>
          <w:color w:val="1A1A1A"/>
          <w:sz w:val="24"/>
          <w:szCs w:val="24"/>
          <w:lang w:val="en-US" w:eastAsia="en-US"/>
        </w:rPr>
        <w:t>Prof Karen Walker-Bone</w:t>
      </w:r>
      <w:r w:rsidRPr="00F03A33">
        <w:rPr>
          <w:rFonts w:ascii="Arial" w:eastAsiaTheme="minorHAnsi" w:hAnsi="Arial" w:cs="Arial"/>
          <w:b/>
          <w:bCs/>
          <w:color w:val="1A1A1A"/>
          <w:sz w:val="24"/>
          <w:szCs w:val="24"/>
          <w:vertAlign w:val="superscript"/>
          <w:lang w:val="en-US" w:eastAsia="en-US"/>
        </w:rPr>
        <w:t>3,5</w:t>
      </w:r>
      <w:r w:rsidRPr="00F03A33">
        <w:rPr>
          <w:rFonts w:ascii="Arial" w:eastAsiaTheme="minorHAnsi" w:hAnsi="Arial" w:cs="Arial"/>
          <w:bCs/>
          <w:color w:val="1A1A1A"/>
          <w:sz w:val="24"/>
          <w:szCs w:val="24"/>
          <w:lang w:val="en-US" w:eastAsia="en-US"/>
        </w:rPr>
        <w:t xml:space="preserve"> – Professor of Occupational Rheumatology</w:t>
      </w:r>
    </w:p>
    <w:p w:rsidR="00F03A33" w:rsidRPr="00F03A33" w:rsidRDefault="00F03A33" w:rsidP="00F03A33">
      <w:pPr>
        <w:spacing w:line="480" w:lineRule="auto"/>
        <w:ind w:left="720"/>
        <w:contextualSpacing/>
        <w:rPr>
          <w:rFonts w:eastAsiaTheme="minorHAnsi" w:cs="Arial"/>
          <w:b/>
          <w:bCs/>
          <w:color w:val="1A1A1A"/>
          <w:sz w:val="28"/>
          <w:szCs w:val="28"/>
          <w:lang w:val="en-US" w:eastAsia="en-US"/>
        </w:rPr>
      </w:pPr>
      <w:r w:rsidRPr="00F03A33">
        <w:rPr>
          <w:rFonts w:eastAsiaTheme="minorHAnsi" w:cs="Arial"/>
          <w:b/>
          <w:bCs/>
          <w:color w:val="1A1A1A"/>
          <w:sz w:val="28"/>
          <w:szCs w:val="28"/>
          <w:lang w:val="en-US" w:eastAsia="en-US"/>
        </w:rPr>
        <w:t>*Joint first authors</w:t>
      </w:r>
    </w:p>
    <w:p w:rsidR="00F03A33" w:rsidRPr="00F03A33" w:rsidRDefault="00F03A33" w:rsidP="00F03A33">
      <w:pPr>
        <w:spacing w:after="0" w:line="240" w:lineRule="auto"/>
        <w:rPr>
          <w:rFonts w:eastAsiaTheme="minorHAnsi" w:cs="Arial"/>
          <w:b/>
          <w:bCs/>
          <w:color w:val="1A1A1A"/>
          <w:sz w:val="28"/>
          <w:szCs w:val="28"/>
          <w:lang w:val="en-US" w:eastAsia="en-US"/>
        </w:rPr>
      </w:pPr>
      <w:r w:rsidRPr="00F03A33">
        <w:rPr>
          <w:rFonts w:ascii="Arial" w:eastAsiaTheme="minorHAnsi" w:hAnsi="Arial" w:cs="Arial"/>
          <w:b/>
          <w:bCs/>
          <w:color w:val="1A1A1A"/>
          <w:vertAlign w:val="superscript"/>
          <w:lang w:eastAsia="en-US"/>
        </w:rPr>
        <w:t>1</w:t>
      </w:r>
      <w:r w:rsidRPr="00F03A33">
        <w:rPr>
          <w:rFonts w:ascii="Arial" w:eastAsiaTheme="minorHAnsi" w:hAnsi="Arial" w:cs="Arial"/>
          <w:b/>
          <w:bCs/>
          <w:color w:val="1A1A1A"/>
          <w:lang w:eastAsia="en-US"/>
        </w:rPr>
        <w:t>Chelsea and Westminster Hospital, London, UK</w:t>
      </w:r>
    </w:p>
    <w:p w:rsidR="00F03A33" w:rsidRPr="00F03A33" w:rsidRDefault="00F03A33" w:rsidP="00F03A33">
      <w:pPr>
        <w:spacing w:after="0" w:line="240" w:lineRule="auto"/>
        <w:rPr>
          <w:rFonts w:eastAsiaTheme="minorHAnsi" w:cs="Arial"/>
          <w:b/>
          <w:bCs/>
          <w:color w:val="1A1A1A"/>
          <w:sz w:val="24"/>
          <w:szCs w:val="24"/>
          <w:lang w:val="en-US" w:eastAsia="en-US"/>
        </w:rPr>
      </w:pPr>
      <w:r w:rsidRPr="00F03A33">
        <w:rPr>
          <w:rFonts w:eastAsiaTheme="minorHAnsi" w:cs="Arial"/>
          <w:b/>
          <w:bCs/>
          <w:color w:val="1A1A1A"/>
          <w:sz w:val="24"/>
          <w:szCs w:val="24"/>
          <w:vertAlign w:val="superscript"/>
          <w:lang w:val="en-US" w:eastAsia="en-US"/>
        </w:rPr>
        <w:t>2</w:t>
      </w:r>
      <w:r w:rsidRPr="00F03A33">
        <w:rPr>
          <w:rFonts w:eastAsiaTheme="minorHAnsi" w:cs="Arial"/>
          <w:b/>
          <w:bCs/>
          <w:color w:val="1A1A1A"/>
          <w:sz w:val="24"/>
          <w:szCs w:val="24"/>
          <w:lang w:val="en-US" w:eastAsia="en-US"/>
        </w:rPr>
        <w:t>Royal United Hospitals Bath, UK</w:t>
      </w:r>
    </w:p>
    <w:p w:rsidR="00F03A33" w:rsidRPr="00F03A33" w:rsidRDefault="00F03A33" w:rsidP="00F03A33">
      <w:pPr>
        <w:spacing w:after="0" w:line="240" w:lineRule="auto"/>
        <w:rPr>
          <w:rFonts w:eastAsiaTheme="minorHAnsi" w:cs="Arial"/>
          <w:b/>
          <w:bCs/>
          <w:color w:val="1A1A1A"/>
          <w:sz w:val="24"/>
          <w:szCs w:val="24"/>
          <w:lang w:val="en-US" w:eastAsia="en-US"/>
        </w:rPr>
      </w:pPr>
      <w:r w:rsidRPr="00F03A33">
        <w:rPr>
          <w:rFonts w:eastAsiaTheme="minorHAnsi" w:cs="Arial"/>
          <w:b/>
          <w:bCs/>
          <w:color w:val="1A1A1A"/>
          <w:sz w:val="24"/>
          <w:szCs w:val="24"/>
          <w:vertAlign w:val="superscript"/>
          <w:lang w:val="en-US" w:eastAsia="en-US"/>
        </w:rPr>
        <w:t>3</w:t>
      </w:r>
      <w:r w:rsidRPr="00F03A33">
        <w:rPr>
          <w:rFonts w:eastAsiaTheme="minorHAnsi" w:cs="Arial"/>
          <w:b/>
          <w:bCs/>
          <w:color w:val="1A1A1A"/>
          <w:sz w:val="24"/>
          <w:szCs w:val="24"/>
          <w:lang w:val="en-US" w:eastAsia="en-US"/>
        </w:rPr>
        <w:t>MRC Lifecourse Epidemiology Unit, Southampton General Hospital, UK</w:t>
      </w:r>
    </w:p>
    <w:p w:rsidR="00F03A33" w:rsidRPr="00F03A33" w:rsidRDefault="00F03A33" w:rsidP="00F03A33">
      <w:pPr>
        <w:spacing w:after="0" w:line="240" w:lineRule="auto"/>
        <w:rPr>
          <w:rFonts w:eastAsiaTheme="minorHAnsi" w:cs="Arial"/>
          <w:b/>
          <w:bCs/>
          <w:color w:val="1A1A1A"/>
          <w:sz w:val="24"/>
          <w:szCs w:val="24"/>
          <w:lang w:val="en-US" w:eastAsia="en-US"/>
        </w:rPr>
      </w:pPr>
      <w:r w:rsidRPr="00F03A33">
        <w:rPr>
          <w:rFonts w:eastAsiaTheme="minorHAnsi" w:cs="Arial"/>
          <w:b/>
          <w:bCs/>
          <w:color w:val="1A1A1A"/>
          <w:sz w:val="24"/>
          <w:szCs w:val="24"/>
          <w:vertAlign w:val="superscript"/>
          <w:lang w:val="en-US" w:eastAsia="en-US"/>
        </w:rPr>
        <w:t>4</w:t>
      </w:r>
      <w:r w:rsidRPr="00F03A33">
        <w:rPr>
          <w:rFonts w:eastAsiaTheme="minorHAnsi" w:cs="Arial"/>
          <w:b/>
          <w:bCs/>
          <w:color w:val="1A1A1A"/>
          <w:sz w:val="24"/>
          <w:szCs w:val="24"/>
          <w:lang w:val="en-US" w:eastAsia="en-US"/>
        </w:rPr>
        <w:t>Lawson Unit, Brighton &amp; Sussex University Hospitals NHS Trust, Brighton, UK</w:t>
      </w:r>
    </w:p>
    <w:p w:rsidR="00F03A33" w:rsidRPr="00F03A33" w:rsidRDefault="00F03A33" w:rsidP="00F03A33">
      <w:pPr>
        <w:spacing w:after="0" w:line="240" w:lineRule="auto"/>
        <w:rPr>
          <w:rFonts w:eastAsiaTheme="minorHAnsi" w:cs="Arial"/>
          <w:b/>
          <w:bCs/>
          <w:color w:val="1A1A1A"/>
          <w:sz w:val="24"/>
          <w:szCs w:val="24"/>
          <w:lang w:val="en-US" w:eastAsia="en-US"/>
        </w:rPr>
      </w:pPr>
      <w:r w:rsidRPr="00F03A33">
        <w:rPr>
          <w:rFonts w:eastAsiaTheme="minorHAnsi" w:cs="Arial"/>
          <w:b/>
          <w:bCs/>
          <w:color w:val="1A1A1A"/>
          <w:sz w:val="24"/>
          <w:szCs w:val="24"/>
          <w:vertAlign w:val="superscript"/>
          <w:lang w:val="en-US" w:eastAsia="en-US"/>
        </w:rPr>
        <w:t>5</w:t>
      </w:r>
      <w:r w:rsidRPr="00F03A33">
        <w:rPr>
          <w:rFonts w:eastAsiaTheme="minorHAnsi" w:cs="Arial"/>
          <w:b/>
          <w:bCs/>
          <w:color w:val="1A1A1A"/>
          <w:sz w:val="24"/>
          <w:szCs w:val="24"/>
          <w:lang w:val="en-US" w:eastAsia="en-US"/>
        </w:rPr>
        <w:t>Arthritis Research UK/MRC Centre for Musculoskeletal Health and Work, Southampton, UK</w:t>
      </w:r>
    </w:p>
    <w:p w:rsidR="00F03A33" w:rsidRPr="00F03A33" w:rsidRDefault="00F03A33" w:rsidP="00F03A33">
      <w:pPr>
        <w:spacing w:line="240" w:lineRule="auto"/>
        <w:rPr>
          <w:rFonts w:ascii="Arial" w:eastAsia="Times New Roman" w:hAnsi="Arial" w:cs="Arial"/>
          <w:b/>
          <w:i/>
          <w:sz w:val="24"/>
          <w:szCs w:val="20"/>
          <w:lang w:eastAsia="en-US"/>
        </w:rPr>
      </w:pPr>
    </w:p>
    <w:p w:rsidR="00F03A33" w:rsidRPr="00F03A33" w:rsidRDefault="00F03A33" w:rsidP="00F03A33">
      <w:pPr>
        <w:spacing w:line="240" w:lineRule="auto"/>
        <w:rPr>
          <w:rFonts w:ascii="Arial" w:eastAsia="Times New Roman" w:hAnsi="Arial" w:cs="Arial"/>
          <w:b/>
          <w:sz w:val="24"/>
          <w:szCs w:val="20"/>
          <w:lang w:eastAsia="en-US"/>
        </w:rPr>
      </w:pPr>
      <w:r w:rsidRPr="00F03A33">
        <w:rPr>
          <w:rFonts w:ascii="Arial" w:eastAsia="Times New Roman" w:hAnsi="Arial" w:cs="Arial"/>
          <w:b/>
          <w:sz w:val="24"/>
          <w:szCs w:val="20"/>
          <w:lang w:eastAsia="en-US"/>
        </w:rPr>
        <w:t>Total Word Count = 2918</w:t>
      </w:r>
    </w:p>
    <w:p w:rsidR="00F03A33" w:rsidRPr="00F03A33" w:rsidRDefault="00F03A33" w:rsidP="00F03A33">
      <w:pPr>
        <w:spacing w:line="240" w:lineRule="auto"/>
        <w:rPr>
          <w:rFonts w:ascii="Arial" w:eastAsia="Times New Roman" w:hAnsi="Arial" w:cs="Arial"/>
          <w:b/>
          <w:i/>
          <w:sz w:val="24"/>
          <w:szCs w:val="20"/>
          <w:lang w:eastAsia="en-US"/>
        </w:rPr>
      </w:pPr>
    </w:p>
    <w:p w:rsidR="00F03A33" w:rsidRPr="00F03A33" w:rsidRDefault="00F03A33" w:rsidP="00F03A33">
      <w:pPr>
        <w:spacing w:line="240" w:lineRule="auto"/>
        <w:rPr>
          <w:rFonts w:ascii="Arial" w:eastAsia="Times New Roman" w:hAnsi="Arial" w:cs="Arial"/>
          <w:b/>
          <w:i/>
          <w:sz w:val="24"/>
          <w:szCs w:val="20"/>
          <w:lang w:eastAsia="en-US"/>
        </w:rPr>
      </w:pPr>
      <w:r w:rsidRPr="00F03A33">
        <w:rPr>
          <w:rFonts w:ascii="Arial" w:eastAsia="Times New Roman" w:hAnsi="Arial" w:cs="Arial"/>
          <w:b/>
          <w:i/>
          <w:sz w:val="24"/>
          <w:szCs w:val="20"/>
          <w:lang w:eastAsia="en-US"/>
        </w:rPr>
        <w:t>Name and address for correspondence:</w:t>
      </w:r>
    </w:p>
    <w:p w:rsidR="00F03A33" w:rsidRPr="00F03A33" w:rsidRDefault="00F03A33" w:rsidP="00F03A33">
      <w:pPr>
        <w:spacing w:line="240" w:lineRule="auto"/>
        <w:rPr>
          <w:rFonts w:ascii="Arial" w:eastAsia="Times New Roman" w:hAnsi="Arial" w:cs="Arial"/>
          <w:sz w:val="24"/>
          <w:szCs w:val="20"/>
          <w:lang w:eastAsia="en-US"/>
        </w:rPr>
      </w:pPr>
      <w:r w:rsidRPr="00F03A33">
        <w:rPr>
          <w:rFonts w:ascii="Arial" w:eastAsia="Times New Roman" w:hAnsi="Arial" w:cs="Arial"/>
          <w:sz w:val="24"/>
          <w:szCs w:val="20"/>
          <w:lang w:eastAsia="en-US"/>
        </w:rPr>
        <w:t>Professor Karen Walker-Bone</w:t>
      </w:r>
    </w:p>
    <w:p w:rsidR="00F03A33" w:rsidRPr="00F03A33" w:rsidRDefault="00F03A33" w:rsidP="00F03A33">
      <w:pPr>
        <w:spacing w:line="240" w:lineRule="auto"/>
        <w:rPr>
          <w:rFonts w:ascii="Arial" w:eastAsia="Times New Roman" w:hAnsi="Arial" w:cs="Arial"/>
          <w:sz w:val="24"/>
          <w:szCs w:val="20"/>
          <w:lang w:eastAsia="en-US"/>
        </w:rPr>
      </w:pPr>
      <w:r w:rsidRPr="00F03A33">
        <w:rPr>
          <w:rFonts w:ascii="Arial" w:eastAsia="Times New Roman" w:hAnsi="Arial" w:cs="Arial"/>
          <w:sz w:val="24"/>
          <w:szCs w:val="20"/>
          <w:lang w:eastAsia="en-US"/>
        </w:rPr>
        <w:t>Professor &amp; Honorary Consultant in Occupational Rheumatology</w:t>
      </w:r>
    </w:p>
    <w:p w:rsidR="00F03A33" w:rsidRPr="00F03A33" w:rsidRDefault="00F03A33" w:rsidP="00F03A33">
      <w:pPr>
        <w:spacing w:line="240" w:lineRule="auto"/>
        <w:rPr>
          <w:rFonts w:ascii="Arial" w:eastAsia="Times New Roman" w:hAnsi="Arial" w:cs="Arial"/>
          <w:sz w:val="24"/>
          <w:szCs w:val="20"/>
          <w:lang w:eastAsia="en-US"/>
        </w:rPr>
      </w:pPr>
      <w:r w:rsidRPr="00F03A33">
        <w:rPr>
          <w:rFonts w:ascii="Arial" w:eastAsia="Times New Roman" w:hAnsi="Arial" w:cs="Arial"/>
          <w:sz w:val="24"/>
          <w:szCs w:val="20"/>
          <w:vertAlign w:val="superscript"/>
          <w:lang w:eastAsia="en-US"/>
        </w:rPr>
        <w:lastRenderedPageBreak/>
        <w:t>1</w:t>
      </w:r>
      <w:r w:rsidRPr="00F03A33">
        <w:rPr>
          <w:rFonts w:ascii="Arial" w:eastAsia="Times New Roman" w:hAnsi="Arial" w:cs="Arial"/>
          <w:sz w:val="24"/>
          <w:szCs w:val="20"/>
          <w:lang w:eastAsia="en-US"/>
        </w:rPr>
        <w:t xml:space="preserve">Medical Research Council Lifecourse Epidemiology Unit, University of Southampton, Southampton General Hospital, Southampton SO16 6YD, UK </w:t>
      </w:r>
    </w:p>
    <w:p w:rsidR="00F03A33" w:rsidRPr="00F03A33" w:rsidRDefault="00F03A33" w:rsidP="00F03A33">
      <w:pPr>
        <w:spacing w:line="240" w:lineRule="auto"/>
        <w:rPr>
          <w:rFonts w:ascii="Arial" w:eastAsia="Times New Roman" w:hAnsi="Arial" w:cs="Arial"/>
          <w:sz w:val="24"/>
          <w:szCs w:val="20"/>
          <w:lang w:eastAsia="en-US"/>
        </w:rPr>
      </w:pPr>
      <w:r w:rsidRPr="00F03A33">
        <w:rPr>
          <w:rFonts w:ascii="Arial" w:eastAsia="Times New Roman" w:hAnsi="Arial" w:cs="Arial"/>
          <w:sz w:val="24"/>
          <w:szCs w:val="20"/>
          <w:vertAlign w:val="superscript"/>
          <w:lang w:eastAsia="en-US"/>
        </w:rPr>
        <w:t>2</w:t>
      </w:r>
      <w:r w:rsidRPr="00F03A33">
        <w:rPr>
          <w:rFonts w:ascii="Arial" w:eastAsia="Times New Roman" w:hAnsi="Arial" w:cs="Arial"/>
          <w:sz w:val="24"/>
          <w:szCs w:val="20"/>
          <w:lang w:eastAsia="en-US"/>
        </w:rPr>
        <w:t>Arthritis Research-UK/MRC Centre for Musculoskeletal Health and Work, University of Southampton, Southampton General Hospital, Southampton SO16 6YD, UK</w:t>
      </w:r>
    </w:p>
    <w:p w:rsidR="00F03A33" w:rsidRPr="00F03A33" w:rsidRDefault="00F03A33" w:rsidP="00F03A33">
      <w:pPr>
        <w:keepNext/>
        <w:spacing w:after="0" w:line="240" w:lineRule="auto"/>
        <w:jc w:val="both"/>
        <w:outlineLvl w:val="0"/>
        <w:rPr>
          <w:rFonts w:ascii="Arial" w:eastAsia="Times New Roman" w:hAnsi="Arial" w:cs="Arial"/>
          <w:sz w:val="24"/>
          <w:szCs w:val="20"/>
          <w:lang w:val="it-IT" w:eastAsia="en-US"/>
        </w:rPr>
      </w:pPr>
      <w:r w:rsidRPr="00F03A33">
        <w:rPr>
          <w:rFonts w:ascii="Arial" w:eastAsia="Times New Roman" w:hAnsi="Arial" w:cs="Arial"/>
          <w:sz w:val="24"/>
          <w:szCs w:val="20"/>
          <w:lang w:val="it-IT" w:eastAsia="en-US"/>
        </w:rPr>
        <w:t xml:space="preserve">Tel: (023) 80777624, Fax no: (023) 80704021 </w:t>
      </w:r>
      <w:r w:rsidRPr="00F03A33">
        <w:rPr>
          <w:rFonts w:ascii="Arial" w:eastAsia="Times New Roman" w:hAnsi="Arial" w:cs="Arial"/>
          <w:sz w:val="24"/>
          <w:szCs w:val="20"/>
          <w:lang w:val="it-IT" w:eastAsia="en-US"/>
        </w:rPr>
        <w:tab/>
        <w:t>E-mail: kwb@mrc.soton.ac.uk</w:t>
      </w:r>
    </w:p>
    <w:p w:rsidR="00F03A33" w:rsidRPr="00F03A33" w:rsidRDefault="00F03A33" w:rsidP="00F03A33">
      <w:pPr>
        <w:rPr>
          <w:rFonts w:eastAsiaTheme="minorHAnsi" w:cs="Arial"/>
          <w:b/>
          <w:bCs/>
          <w:color w:val="1A1A1A"/>
          <w:u w:val="single"/>
          <w:lang w:val="it-IT" w:eastAsia="en-US"/>
        </w:rPr>
      </w:pPr>
      <w:r w:rsidRPr="00F03A33">
        <w:rPr>
          <w:rFonts w:eastAsiaTheme="minorHAnsi" w:cs="Arial"/>
          <w:b/>
          <w:bCs/>
          <w:color w:val="1A1A1A"/>
          <w:u w:val="single"/>
          <w:lang w:val="it-IT" w:eastAsia="en-US"/>
        </w:rPr>
        <w:br w:type="page"/>
      </w:r>
    </w:p>
    <w:p w:rsidR="00A34C6D" w:rsidRPr="0076340D" w:rsidRDefault="001B160A" w:rsidP="003579F7">
      <w:pPr>
        <w:spacing w:line="480" w:lineRule="auto"/>
        <w:rPr>
          <w:rFonts w:ascii="Arial" w:hAnsi="Arial" w:cs="Arial"/>
          <w:b/>
          <w:sz w:val="24"/>
          <w:szCs w:val="24"/>
        </w:rPr>
      </w:pPr>
      <w:r>
        <w:rPr>
          <w:rFonts w:ascii="Arial" w:hAnsi="Arial" w:cs="Arial"/>
          <w:b/>
          <w:sz w:val="24"/>
          <w:szCs w:val="24"/>
        </w:rPr>
        <w:lastRenderedPageBreak/>
        <w:t>BACKGROUND</w:t>
      </w:r>
    </w:p>
    <w:p w:rsidR="003337C3" w:rsidRDefault="00D10C0A" w:rsidP="00B142A4">
      <w:pPr>
        <w:spacing w:line="480" w:lineRule="auto"/>
        <w:jc w:val="both"/>
        <w:rPr>
          <w:rFonts w:ascii="Arial" w:hAnsi="Arial" w:cs="Arial"/>
          <w:sz w:val="24"/>
          <w:szCs w:val="24"/>
        </w:rPr>
      </w:pPr>
      <w:r>
        <w:rPr>
          <w:rFonts w:ascii="Arial" w:hAnsi="Arial" w:cs="Arial"/>
          <w:sz w:val="24"/>
          <w:szCs w:val="24"/>
        </w:rPr>
        <w:t xml:space="preserve">Combination anti-retroviral therapy </w:t>
      </w:r>
      <w:r w:rsidR="006B6522">
        <w:rPr>
          <w:rFonts w:ascii="Arial" w:hAnsi="Arial" w:cs="Arial"/>
          <w:sz w:val="24"/>
          <w:szCs w:val="24"/>
        </w:rPr>
        <w:t xml:space="preserve">(ART) </w:t>
      </w:r>
      <w:r>
        <w:rPr>
          <w:rFonts w:ascii="Arial" w:hAnsi="Arial" w:cs="Arial"/>
          <w:sz w:val="24"/>
          <w:szCs w:val="24"/>
        </w:rPr>
        <w:t>has transformed the prognosis of HIV infection and normali</w:t>
      </w:r>
      <w:r w:rsidR="006D74C3">
        <w:rPr>
          <w:rFonts w:ascii="Arial" w:hAnsi="Arial" w:cs="Arial"/>
          <w:sz w:val="24"/>
          <w:szCs w:val="24"/>
        </w:rPr>
        <w:t xml:space="preserve">sed life-expectancy. However, </w:t>
      </w:r>
      <w:r w:rsidR="002B3BB8">
        <w:rPr>
          <w:rFonts w:ascii="Arial" w:hAnsi="Arial" w:cs="Arial"/>
          <w:sz w:val="24"/>
          <w:szCs w:val="24"/>
        </w:rPr>
        <w:t>the consequence is</w:t>
      </w:r>
      <w:r>
        <w:rPr>
          <w:rFonts w:ascii="Arial" w:hAnsi="Arial" w:cs="Arial"/>
          <w:sz w:val="24"/>
          <w:szCs w:val="24"/>
        </w:rPr>
        <w:t xml:space="preserve"> a growing population of </w:t>
      </w:r>
      <w:r w:rsidR="00B2190E">
        <w:rPr>
          <w:rFonts w:ascii="Arial" w:hAnsi="Arial" w:cs="Arial"/>
          <w:sz w:val="24"/>
          <w:szCs w:val="24"/>
        </w:rPr>
        <w:t xml:space="preserve">people living with HIV (PLWHIV) </w:t>
      </w:r>
      <w:r w:rsidR="00354E57">
        <w:rPr>
          <w:rFonts w:ascii="Arial" w:hAnsi="Arial" w:cs="Arial"/>
          <w:sz w:val="24"/>
          <w:szCs w:val="24"/>
        </w:rPr>
        <w:t>w</w:t>
      </w:r>
      <w:r>
        <w:rPr>
          <w:rFonts w:ascii="Arial" w:hAnsi="Arial" w:cs="Arial"/>
          <w:sz w:val="24"/>
          <w:szCs w:val="24"/>
        </w:rPr>
        <w:t xml:space="preserve">ith a chronic long-term condition associated with co-morbidities related to the virus and/or its therapy. Amongst </w:t>
      </w:r>
      <w:r w:rsidR="00F1393F">
        <w:rPr>
          <w:rFonts w:ascii="Arial" w:hAnsi="Arial" w:cs="Arial"/>
          <w:sz w:val="24"/>
          <w:szCs w:val="24"/>
        </w:rPr>
        <w:t xml:space="preserve">the most common </w:t>
      </w:r>
      <w:r w:rsidR="00724EDE">
        <w:rPr>
          <w:rFonts w:ascii="Arial" w:hAnsi="Arial" w:cs="Arial"/>
          <w:sz w:val="24"/>
          <w:szCs w:val="24"/>
        </w:rPr>
        <w:t xml:space="preserve">comorbidities </w:t>
      </w:r>
      <w:r w:rsidR="00F1393F">
        <w:rPr>
          <w:rFonts w:ascii="Arial" w:hAnsi="Arial" w:cs="Arial"/>
          <w:sz w:val="24"/>
          <w:szCs w:val="24"/>
        </w:rPr>
        <w:t xml:space="preserve">recognised </w:t>
      </w:r>
      <w:r>
        <w:rPr>
          <w:rFonts w:ascii="Arial" w:hAnsi="Arial" w:cs="Arial"/>
          <w:sz w:val="24"/>
          <w:szCs w:val="24"/>
        </w:rPr>
        <w:t xml:space="preserve">are dyslipidaemias, hypertension, insulin resistance and diabetes mellitus, </w:t>
      </w:r>
      <w:r w:rsidR="00F1393F">
        <w:rPr>
          <w:rFonts w:ascii="Arial" w:hAnsi="Arial" w:cs="Arial"/>
          <w:sz w:val="24"/>
          <w:szCs w:val="24"/>
        </w:rPr>
        <w:t xml:space="preserve">all of which are </w:t>
      </w:r>
      <w:r w:rsidR="0082380F">
        <w:rPr>
          <w:rFonts w:ascii="Arial" w:hAnsi="Arial" w:cs="Arial"/>
          <w:sz w:val="24"/>
          <w:szCs w:val="24"/>
        </w:rPr>
        <w:t xml:space="preserve">clinical </w:t>
      </w:r>
      <w:r>
        <w:rPr>
          <w:rFonts w:ascii="Arial" w:hAnsi="Arial" w:cs="Arial"/>
          <w:sz w:val="24"/>
          <w:szCs w:val="24"/>
        </w:rPr>
        <w:t>features of the metabolic syndrome</w:t>
      </w:r>
      <w:r w:rsidR="00775D40">
        <w:rPr>
          <w:rFonts w:ascii="Arial" w:hAnsi="Arial" w:cs="Arial"/>
          <w:sz w:val="24"/>
          <w:szCs w:val="24"/>
        </w:rPr>
        <w:t>.[</w:t>
      </w:r>
      <w:r w:rsidR="00585DD0">
        <w:rPr>
          <w:rFonts w:ascii="Arial" w:hAnsi="Arial" w:cs="Arial"/>
          <w:sz w:val="24"/>
          <w:szCs w:val="24"/>
        </w:rPr>
        <w:t>1</w:t>
      </w:r>
      <w:r w:rsidR="00775D40">
        <w:rPr>
          <w:rFonts w:ascii="Arial" w:hAnsi="Arial" w:cs="Arial"/>
          <w:sz w:val="24"/>
          <w:szCs w:val="24"/>
        </w:rPr>
        <w:t>]</w:t>
      </w:r>
      <w:r w:rsidR="00386598">
        <w:rPr>
          <w:rFonts w:ascii="Arial" w:hAnsi="Arial" w:cs="Arial"/>
          <w:sz w:val="24"/>
          <w:szCs w:val="24"/>
        </w:rPr>
        <w:t xml:space="preserve"> </w:t>
      </w:r>
      <w:r w:rsidR="003337C3">
        <w:rPr>
          <w:rFonts w:ascii="Arial" w:hAnsi="Arial" w:cs="Arial"/>
          <w:sz w:val="24"/>
          <w:szCs w:val="24"/>
        </w:rPr>
        <w:t>Hyperuricaemia is a</w:t>
      </w:r>
      <w:r w:rsidR="0082380F">
        <w:rPr>
          <w:rFonts w:ascii="Arial" w:hAnsi="Arial" w:cs="Arial"/>
          <w:sz w:val="24"/>
          <w:szCs w:val="24"/>
        </w:rPr>
        <w:t xml:space="preserve">nother recognised manifestation of the metabolic syndrome </w:t>
      </w:r>
      <w:r w:rsidR="003337C3">
        <w:rPr>
          <w:rFonts w:ascii="Arial" w:hAnsi="Arial" w:cs="Arial"/>
          <w:sz w:val="24"/>
          <w:szCs w:val="24"/>
        </w:rPr>
        <w:t xml:space="preserve">and </w:t>
      </w:r>
      <w:r w:rsidR="002B3BB8">
        <w:rPr>
          <w:rFonts w:ascii="Arial" w:hAnsi="Arial" w:cs="Arial"/>
          <w:sz w:val="24"/>
          <w:szCs w:val="24"/>
        </w:rPr>
        <w:t xml:space="preserve">is the principal risk factor for gout, </w:t>
      </w:r>
      <w:r w:rsidR="003F6F70" w:rsidRPr="00E83FD1">
        <w:rPr>
          <w:rFonts w:ascii="Arial" w:hAnsi="Arial" w:cs="Arial"/>
          <w:sz w:val="24"/>
          <w:szCs w:val="24"/>
        </w:rPr>
        <w:t>the most prevalent inflammatory arthritis worldwide</w:t>
      </w:r>
      <w:r w:rsidR="00386598">
        <w:rPr>
          <w:rFonts w:ascii="Arial" w:hAnsi="Arial" w:cs="Arial"/>
          <w:sz w:val="24"/>
          <w:szCs w:val="24"/>
        </w:rPr>
        <w:t xml:space="preserve">. Gout </w:t>
      </w:r>
      <w:r w:rsidR="003337C3">
        <w:rPr>
          <w:rFonts w:ascii="Arial" w:hAnsi="Arial" w:cs="Arial"/>
          <w:sz w:val="24"/>
          <w:szCs w:val="24"/>
        </w:rPr>
        <w:t xml:space="preserve">is a relapsing, remitting painful arthritis which </w:t>
      </w:r>
      <w:r w:rsidR="00386598">
        <w:rPr>
          <w:rFonts w:ascii="Arial" w:hAnsi="Arial" w:cs="Arial"/>
          <w:sz w:val="24"/>
          <w:szCs w:val="24"/>
        </w:rPr>
        <w:t>causes</w:t>
      </w:r>
      <w:r w:rsidR="003F6F70" w:rsidRPr="00E83FD1">
        <w:rPr>
          <w:rFonts w:ascii="Arial" w:hAnsi="Arial" w:cs="Arial"/>
          <w:sz w:val="24"/>
          <w:szCs w:val="24"/>
        </w:rPr>
        <w:t xml:space="preserve"> substantial morbidity and impair</w:t>
      </w:r>
      <w:r w:rsidR="00386598">
        <w:rPr>
          <w:rFonts w:ascii="Arial" w:hAnsi="Arial" w:cs="Arial"/>
          <w:sz w:val="24"/>
          <w:szCs w:val="24"/>
        </w:rPr>
        <w:t>ed quality of life</w:t>
      </w:r>
      <w:r w:rsidR="00775D40">
        <w:rPr>
          <w:rFonts w:ascii="Arial" w:hAnsi="Arial" w:cs="Arial"/>
          <w:sz w:val="24"/>
          <w:szCs w:val="24"/>
        </w:rPr>
        <w:t>.[2,3]</w:t>
      </w:r>
      <w:r w:rsidR="00386598">
        <w:rPr>
          <w:rFonts w:ascii="Arial" w:hAnsi="Arial" w:cs="Arial"/>
          <w:sz w:val="24"/>
          <w:szCs w:val="24"/>
        </w:rPr>
        <w:t xml:space="preserve"> </w:t>
      </w:r>
      <w:r w:rsidR="003337C3">
        <w:rPr>
          <w:rFonts w:ascii="Arial" w:hAnsi="Arial" w:cs="Arial"/>
          <w:sz w:val="24"/>
          <w:szCs w:val="24"/>
        </w:rPr>
        <w:t>Amongst the general population, there is evidence that the prevalence of gout is increasing particularly among older men, aged &gt; 65 years</w:t>
      </w:r>
      <w:r w:rsidR="00775D40">
        <w:rPr>
          <w:rFonts w:ascii="Arial" w:hAnsi="Arial" w:cs="Arial"/>
          <w:sz w:val="24"/>
          <w:szCs w:val="24"/>
        </w:rPr>
        <w:t>.[</w:t>
      </w:r>
      <w:r w:rsidR="00585DD0">
        <w:rPr>
          <w:rFonts w:ascii="Arial" w:hAnsi="Arial" w:cs="Arial"/>
          <w:sz w:val="24"/>
          <w:szCs w:val="24"/>
        </w:rPr>
        <w:t>4</w:t>
      </w:r>
      <w:r w:rsidR="00775D40">
        <w:rPr>
          <w:rFonts w:ascii="Arial" w:hAnsi="Arial" w:cs="Arial"/>
          <w:sz w:val="24"/>
          <w:szCs w:val="24"/>
        </w:rPr>
        <w:t>]</w:t>
      </w:r>
      <w:r w:rsidR="003337C3">
        <w:rPr>
          <w:rFonts w:ascii="Arial" w:hAnsi="Arial" w:cs="Arial"/>
          <w:sz w:val="24"/>
          <w:szCs w:val="24"/>
        </w:rPr>
        <w:t xml:space="preserve"> </w:t>
      </w:r>
    </w:p>
    <w:p w:rsidR="003337C3" w:rsidRDefault="003337C3" w:rsidP="00B142A4">
      <w:pPr>
        <w:spacing w:line="480" w:lineRule="auto"/>
        <w:jc w:val="both"/>
        <w:rPr>
          <w:rFonts w:ascii="Arial" w:hAnsi="Arial" w:cs="Arial"/>
          <w:sz w:val="24"/>
          <w:szCs w:val="24"/>
        </w:rPr>
      </w:pPr>
    </w:p>
    <w:p w:rsidR="00B142A4" w:rsidRPr="00081A71" w:rsidRDefault="00B34FBE" w:rsidP="00B142A4">
      <w:pPr>
        <w:spacing w:line="480" w:lineRule="auto"/>
        <w:jc w:val="both"/>
        <w:rPr>
          <w:rFonts w:ascii="Arial" w:hAnsi="Arial" w:cs="Arial"/>
          <w:sz w:val="24"/>
          <w:szCs w:val="24"/>
        </w:rPr>
      </w:pPr>
      <w:r>
        <w:rPr>
          <w:rFonts w:ascii="Arial" w:hAnsi="Arial" w:cs="Arial"/>
          <w:sz w:val="24"/>
          <w:szCs w:val="24"/>
        </w:rPr>
        <w:t xml:space="preserve">There is limited data specifically on gout </w:t>
      </w:r>
      <w:r w:rsidR="00837E68">
        <w:rPr>
          <w:rFonts w:ascii="Arial" w:hAnsi="Arial" w:cs="Arial"/>
          <w:sz w:val="24"/>
          <w:szCs w:val="24"/>
        </w:rPr>
        <w:t>in PLW</w:t>
      </w:r>
      <w:r>
        <w:rPr>
          <w:rFonts w:ascii="Arial" w:hAnsi="Arial" w:cs="Arial"/>
          <w:sz w:val="24"/>
          <w:szCs w:val="24"/>
        </w:rPr>
        <w:t>HIV. One study which utilised exploratory factor methods to investigate patterns of multimorbidity in PLWHIV included a diagnosis of gout as part of a ‘metabolic’ cluster pattern of disease and reported a point prevalence of 2%</w:t>
      </w:r>
      <w:r w:rsidR="007E5F18">
        <w:rPr>
          <w:rFonts w:ascii="Arial" w:hAnsi="Arial" w:cs="Arial"/>
          <w:sz w:val="24"/>
          <w:szCs w:val="24"/>
        </w:rPr>
        <w:t xml:space="preserve"> (95% CI 1.6-2.9%)</w:t>
      </w:r>
      <w:r w:rsidR="00775D40">
        <w:rPr>
          <w:rFonts w:ascii="Arial" w:hAnsi="Arial" w:cs="Arial"/>
          <w:sz w:val="24"/>
          <w:szCs w:val="24"/>
        </w:rPr>
        <w:t>.[</w:t>
      </w:r>
      <w:r w:rsidR="00837E68">
        <w:rPr>
          <w:rFonts w:ascii="Arial" w:hAnsi="Arial" w:cs="Arial"/>
          <w:sz w:val="24"/>
          <w:szCs w:val="24"/>
        </w:rPr>
        <w:t>5</w:t>
      </w:r>
      <w:r w:rsidR="00775D40">
        <w:rPr>
          <w:rFonts w:ascii="Arial" w:hAnsi="Arial" w:cs="Arial"/>
          <w:sz w:val="24"/>
          <w:szCs w:val="24"/>
        </w:rPr>
        <w:t>]</w:t>
      </w:r>
      <w:r>
        <w:rPr>
          <w:rFonts w:ascii="Arial" w:hAnsi="Arial" w:cs="Arial"/>
          <w:sz w:val="24"/>
          <w:szCs w:val="24"/>
        </w:rPr>
        <w:t xml:space="preserve"> </w:t>
      </w:r>
      <w:r w:rsidR="00081A71">
        <w:rPr>
          <w:rFonts w:ascii="Arial" w:hAnsi="Arial" w:cs="Arial"/>
          <w:sz w:val="24"/>
          <w:szCs w:val="24"/>
        </w:rPr>
        <w:t xml:space="preserve">In addition, there have </w:t>
      </w:r>
      <w:r w:rsidR="003337C3">
        <w:rPr>
          <w:rFonts w:ascii="Arial" w:hAnsi="Arial" w:cs="Arial"/>
          <w:sz w:val="24"/>
          <w:szCs w:val="24"/>
        </w:rPr>
        <w:t>been</w:t>
      </w:r>
      <w:r w:rsidR="003337C3" w:rsidRPr="003337C3">
        <w:rPr>
          <w:rFonts w:ascii="Arial" w:hAnsi="Arial" w:cs="Arial"/>
          <w:sz w:val="24"/>
          <w:szCs w:val="24"/>
        </w:rPr>
        <w:t xml:space="preserve"> a number of case reports </w:t>
      </w:r>
      <w:r w:rsidR="003337C3">
        <w:rPr>
          <w:rFonts w:ascii="Arial" w:hAnsi="Arial" w:cs="Arial"/>
          <w:sz w:val="24"/>
          <w:szCs w:val="24"/>
        </w:rPr>
        <w:t>published</w:t>
      </w:r>
      <w:r w:rsidR="00775D40">
        <w:rPr>
          <w:rFonts w:ascii="Arial" w:hAnsi="Arial" w:cs="Arial"/>
          <w:sz w:val="24"/>
          <w:szCs w:val="24"/>
        </w:rPr>
        <w:t>.[</w:t>
      </w:r>
      <w:r w:rsidR="00B2190E">
        <w:rPr>
          <w:rFonts w:ascii="Arial" w:hAnsi="Arial" w:cs="Arial"/>
          <w:sz w:val="24"/>
          <w:szCs w:val="24"/>
        </w:rPr>
        <w:t>6</w:t>
      </w:r>
      <w:r w:rsidR="00585DD0">
        <w:rPr>
          <w:rFonts w:ascii="Arial" w:hAnsi="Arial" w:cs="Arial"/>
          <w:sz w:val="24"/>
          <w:szCs w:val="24"/>
        </w:rPr>
        <w:t>-1</w:t>
      </w:r>
      <w:r w:rsidR="00B2190E">
        <w:rPr>
          <w:rFonts w:ascii="Arial" w:hAnsi="Arial" w:cs="Arial"/>
          <w:sz w:val="24"/>
          <w:szCs w:val="24"/>
        </w:rPr>
        <w:t>1</w:t>
      </w:r>
      <w:r w:rsidR="00775D40">
        <w:rPr>
          <w:rFonts w:ascii="Arial" w:hAnsi="Arial" w:cs="Arial"/>
          <w:sz w:val="24"/>
          <w:szCs w:val="24"/>
        </w:rPr>
        <w:t>]</w:t>
      </w:r>
      <w:r w:rsidR="003337C3">
        <w:rPr>
          <w:rFonts w:ascii="Arial" w:hAnsi="Arial" w:cs="Arial"/>
          <w:sz w:val="24"/>
          <w:szCs w:val="24"/>
          <w:lang w:val="en-US"/>
        </w:rPr>
        <w:t xml:space="preserve"> Observational studies </w:t>
      </w:r>
      <w:r w:rsidR="006260DA">
        <w:rPr>
          <w:rFonts w:ascii="Arial" w:hAnsi="Arial" w:cs="Arial"/>
          <w:sz w:val="24"/>
          <w:szCs w:val="24"/>
          <w:lang w:val="en-US"/>
        </w:rPr>
        <w:t xml:space="preserve">that </w:t>
      </w:r>
      <w:r w:rsidR="003337C3">
        <w:rPr>
          <w:rFonts w:ascii="Arial" w:hAnsi="Arial" w:cs="Arial"/>
          <w:sz w:val="24"/>
          <w:szCs w:val="24"/>
          <w:lang w:val="en-US"/>
        </w:rPr>
        <w:t xml:space="preserve">have </w:t>
      </w:r>
      <w:r w:rsidR="00294D73">
        <w:rPr>
          <w:rFonts w:ascii="Arial" w:hAnsi="Arial" w:cs="Arial"/>
          <w:sz w:val="24"/>
          <w:szCs w:val="24"/>
          <w:lang w:val="en-US"/>
        </w:rPr>
        <w:lastRenderedPageBreak/>
        <w:t xml:space="preserve">estimated the prevalence </w:t>
      </w:r>
      <w:r w:rsidR="006260DA">
        <w:rPr>
          <w:rFonts w:ascii="Arial" w:hAnsi="Arial" w:cs="Arial"/>
          <w:sz w:val="24"/>
          <w:szCs w:val="24"/>
          <w:lang w:val="en-US"/>
        </w:rPr>
        <w:t>of gout in their HIV-positive patients have reported</w:t>
      </w:r>
      <w:r w:rsidR="00294D73">
        <w:rPr>
          <w:rFonts w:ascii="Arial" w:hAnsi="Arial" w:cs="Arial"/>
          <w:sz w:val="24"/>
          <w:szCs w:val="24"/>
          <w:lang w:val="en-US"/>
        </w:rPr>
        <w:t xml:space="preserve"> rates </w:t>
      </w:r>
      <w:r w:rsidR="003337C3">
        <w:rPr>
          <w:rFonts w:ascii="Arial" w:hAnsi="Arial" w:cs="Arial"/>
          <w:sz w:val="24"/>
          <w:szCs w:val="24"/>
        </w:rPr>
        <w:t xml:space="preserve">ranging between </w:t>
      </w:r>
      <w:r w:rsidR="00294D73">
        <w:rPr>
          <w:rFonts w:ascii="Arial" w:hAnsi="Arial" w:cs="Arial"/>
          <w:sz w:val="24"/>
          <w:szCs w:val="24"/>
        </w:rPr>
        <w:t>0.4% in Nigeria</w:t>
      </w:r>
      <w:r w:rsidR="00837E68">
        <w:rPr>
          <w:rFonts w:ascii="Arial" w:hAnsi="Arial" w:cs="Arial"/>
          <w:sz w:val="24"/>
          <w:szCs w:val="24"/>
        </w:rPr>
        <w:t xml:space="preserve"> </w:t>
      </w:r>
      <w:r w:rsidR="00775D40">
        <w:rPr>
          <w:rFonts w:ascii="Arial" w:hAnsi="Arial" w:cs="Arial"/>
          <w:sz w:val="24"/>
          <w:szCs w:val="24"/>
        </w:rPr>
        <w:t>[</w:t>
      </w:r>
      <w:r w:rsidR="00837E68">
        <w:rPr>
          <w:rFonts w:ascii="Arial" w:hAnsi="Arial" w:cs="Arial"/>
          <w:sz w:val="24"/>
          <w:szCs w:val="24"/>
        </w:rPr>
        <w:t>12</w:t>
      </w:r>
      <w:r w:rsidR="00775D40">
        <w:rPr>
          <w:rFonts w:ascii="Arial" w:hAnsi="Arial" w:cs="Arial"/>
          <w:sz w:val="24"/>
          <w:szCs w:val="24"/>
        </w:rPr>
        <w:t>]</w:t>
      </w:r>
      <w:r w:rsidR="00294D73">
        <w:rPr>
          <w:rFonts w:ascii="Arial" w:hAnsi="Arial" w:cs="Arial"/>
          <w:sz w:val="24"/>
          <w:szCs w:val="24"/>
        </w:rPr>
        <w:t xml:space="preserve"> to 1% among patients attending a tertiary referral centre in India</w:t>
      </w:r>
      <w:r w:rsidR="00775D40">
        <w:rPr>
          <w:rFonts w:ascii="Arial" w:hAnsi="Arial" w:cs="Arial"/>
          <w:sz w:val="24"/>
          <w:szCs w:val="24"/>
        </w:rPr>
        <w:t>.[</w:t>
      </w:r>
      <w:r w:rsidR="00837E68">
        <w:rPr>
          <w:rFonts w:ascii="Arial" w:hAnsi="Arial" w:cs="Arial"/>
          <w:sz w:val="24"/>
          <w:szCs w:val="24"/>
        </w:rPr>
        <w:t>13</w:t>
      </w:r>
      <w:r w:rsidR="00775D40">
        <w:rPr>
          <w:rFonts w:ascii="Arial" w:hAnsi="Arial" w:cs="Arial"/>
          <w:sz w:val="24"/>
          <w:szCs w:val="24"/>
        </w:rPr>
        <w:t>]</w:t>
      </w:r>
      <w:r w:rsidR="00E83FD1" w:rsidRPr="00E83FD1">
        <w:rPr>
          <w:rFonts w:ascii="Arial" w:hAnsi="Arial" w:cs="Arial"/>
          <w:sz w:val="24"/>
          <w:szCs w:val="24"/>
        </w:rPr>
        <w:t xml:space="preserve"> One U</w:t>
      </w:r>
      <w:r w:rsidR="00E67465">
        <w:rPr>
          <w:rFonts w:ascii="Arial" w:hAnsi="Arial" w:cs="Arial"/>
          <w:sz w:val="24"/>
          <w:szCs w:val="24"/>
        </w:rPr>
        <w:t>K</w:t>
      </w:r>
      <w:r w:rsidR="00E83FD1" w:rsidRPr="00E83FD1">
        <w:rPr>
          <w:rFonts w:ascii="Arial" w:hAnsi="Arial" w:cs="Arial"/>
          <w:sz w:val="24"/>
          <w:szCs w:val="24"/>
        </w:rPr>
        <w:t xml:space="preserve"> study </w:t>
      </w:r>
      <w:r w:rsidR="00E67465">
        <w:rPr>
          <w:rFonts w:ascii="Arial" w:hAnsi="Arial" w:cs="Arial"/>
          <w:sz w:val="24"/>
          <w:szCs w:val="24"/>
        </w:rPr>
        <w:t>investigating the risk of infectious diseases amongst people with gout found that 0.1% of people with gout in the Clinical Practice Research Datalink (a large representative primary care database) had co-existent HIV</w:t>
      </w:r>
      <w:r w:rsidR="00775D40">
        <w:rPr>
          <w:rFonts w:ascii="Arial" w:hAnsi="Arial" w:cs="Arial"/>
          <w:sz w:val="24"/>
          <w:szCs w:val="24"/>
        </w:rPr>
        <w:t>.[</w:t>
      </w:r>
      <w:r w:rsidR="00837E68">
        <w:rPr>
          <w:rFonts w:ascii="Arial" w:hAnsi="Arial" w:cs="Arial"/>
          <w:sz w:val="24"/>
          <w:szCs w:val="24"/>
        </w:rPr>
        <w:t>14</w:t>
      </w:r>
      <w:r w:rsidR="00775D40">
        <w:rPr>
          <w:rFonts w:ascii="Arial" w:hAnsi="Arial" w:cs="Arial"/>
          <w:sz w:val="24"/>
          <w:szCs w:val="24"/>
        </w:rPr>
        <w:t>]</w:t>
      </w:r>
      <w:r w:rsidR="00E83FD1" w:rsidRPr="00E83FD1">
        <w:rPr>
          <w:rFonts w:ascii="Arial" w:hAnsi="Arial" w:cs="Arial"/>
          <w:sz w:val="24"/>
          <w:szCs w:val="24"/>
        </w:rPr>
        <w:t xml:space="preserve"> </w:t>
      </w:r>
      <w:r w:rsidR="00331162">
        <w:rPr>
          <w:rFonts w:ascii="Arial" w:hAnsi="Arial" w:cs="Arial"/>
          <w:sz w:val="24"/>
          <w:szCs w:val="24"/>
        </w:rPr>
        <w:t xml:space="preserve">Some, but not all studies have implicated </w:t>
      </w:r>
      <w:r w:rsidR="00E83FD1">
        <w:rPr>
          <w:rFonts w:ascii="Arial" w:hAnsi="Arial" w:cs="Arial"/>
          <w:sz w:val="24"/>
          <w:szCs w:val="24"/>
          <w:lang w:val="en-US"/>
        </w:rPr>
        <w:t>different anti-retroviral therapies</w:t>
      </w:r>
      <w:r w:rsidR="006D74C3">
        <w:rPr>
          <w:rFonts w:ascii="Arial" w:hAnsi="Arial" w:cs="Arial"/>
          <w:sz w:val="24"/>
          <w:szCs w:val="24"/>
          <w:lang w:val="en-US"/>
        </w:rPr>
        <w:t xml:space="preserve">, </w:t>
      </w:r>
      <w:r w:rsidR="00E83FD1">
        <w:rPr>
          <w:rFonts w:ascii="Arial" w:hAnsi="Arial" w:cs="Arial"/>
          <w:sz w:val="24"/>
          <w:szCs w:val="24"/>
          <w:lang w:val="en-US"/>
        </w:rPr>
        <w:t>and</w:t>
      </w:r>
      <w:r w:rsidR="006D74C3">
        <w:rPr>
          <w:rFonts w:ascii="Arial" w:hAnsi="Arial" w:cs="Arial"/>
          <w:sz w:val="24"/>
          <w:szCs w:val="24"/>
          <w:lang w:val="en-US"/>
        </w:rPr>
        <w:t>,</w:t>
      </w:r>
      <w:r w:rsidR="00E83FD1">
        <w:rPr>
          <w:rFonts w:ascii="Arial" w:hAnsi="Arial" w:cs="Arial"/>
          <w:sz w:val="24"/>
          <w:szCs w:val="24"/>
          <w:lang w:val="en-US"/>
        </w:rPr>
        <w:t xml:space="preserve"> in </w:t>
      </w:r>
      <w:r w:rsidR="00EC4A61">
        <w:rPr>
          <w:rFonts w:ascii="Arial" w:hAnsi="Arial" w:cs="Arial"/>
          <w:sz w:val="24"/>
          <w:szCs w:val="24"/>
          <w:lang w:val="en-US"/>
        </w:rPr>
        <w:t>two</w:t>
      </w:r>
      <w:r w:rsidR="005E58A5">
        <w:rPr>
          <w:rFonts w:ascii="Arial" w:hAnsi="Arial" w:cs="Arial"/>
          <w:sz w:val="24"/>
          <w:szCs w:val="24"/>
          <w:lang w:val="en-US"/>
        </w:rPr>
        <w:t xml:space="preserve"> case reports, </w:t>
      </w:r>
      <w:r w:rsidR="00331162">
        <w:rPr>
          <w:rFonts w:ascii="Arial" w:hAnsi="Arial" w:cs="Arial"/>
          <w:sz w:val="24"/>
          <w:szCs w:val="24"/>
          <w:lang w:val="en-US"/>
        </w:rPr>
        <w:t xml:space="preserve">gout  has been described </w:t>
      </w:r>
      <w:r w:rsidR="00E83FD1">
        <w:rPr>
          <w:rFonts w:ascii="Arial" w:hAnsi="Arial" w:cs="Arial"/>
          <w:sz w:val="24"/>
          <w:szCs w:val="24"/>
          <w:lang w:val="en-US"/>
        </w:rPr>
        <w:t>as an ’immune reconstit</w:t>
      </w:r>
      <w:r w:rsidR="004D2A67">
        <w:rPr>
          <w:rFonts w:ascii="Arial" w:hAnsi="Arial" w:cs="Arial"/>
          <w:sz w:val="24"/>
          <w:szCs w:val="24"/>
          <w:lang w:val="en-US"/>
        </w:rPr>
        <w:t>ution</w:t>
      </w:r>
      <w:r w:rsidR="00EA0C23">
        <w:rPr>
          <w:rFonts w:ascii="Arial" w:hAnsi="Arial" w:cs="Arial"/>
          <w:sz w:val="24"/>
          <w:szCs w:val="24"/>
          <w:lang w:val="en-US"/>
        </w:rPr>
        <w:t>’</w:t>
      </w:r>
      <w:r w:rsidR="004D2A67">
        <w:rPr>
          <w:rFonts w:ascii="Arial" w:hAnsi="Arial" w:cs="Arial"/>
          <w:sz w:val="24"/>
          <w:szCs w:val="24"/>
          <w:lang w:val="en-US"/>
        </w:rPr>
        <w:t xml:space="preserve"> phenomenon</w:t>
      </w:r>
      <w:r w:rsidR="00EA0C23">
        <w:rPr>
          <w:rFonts w:ascii="Arial" w:hAnsi="Arial" w:cs="Arial"/>
          <w:sz w:val="24"/>
          <w:szCs w:val="24"/>
          <w:lang w:val="en-US"/>
        </w:rPr>
        <w:t xml:space="preserve">, occurring </w:t>
      </w:r>
      <w:r w:rsidR="00331162">
        <w:rPr>
          <w:rFonts w:ascii="Arial" w:hAnsi="Arial" w:cs="Arial"/>
          <w:sz w:val="24"/>
          <w:szCs w:val="24"/>
          <w:lang w:val="en-US"/>
        </w:rPr>
        <w:t xml:space="preserve">in ART-naïve patients </w:t>
      </w:r>
      <w:r w:rsidR="004D2A67">
        <w:rPr>
          <w:rFonts w:ascii="Arial" w:hAnsi="Arial" w:cs="Arial"/>
          <w:sz w:val="24"/>
          <w:szCs w:val="24"/>
          <w:lang w:val="en-US"/>
        </w:rPr>
        <w:t xml:space="preserve">4 </w:t>
      </w:r>
      <w:r w:rsidR="00E83FD1">
        <w:rPr>
          <w:rFonts w:ascii="Arial" w:hAnsi="Arial" w:cs="Arial"/>
          <w:sz w:val="24"/>
          <w:szCs w:val="24"/>
          <w:lang w:val="en-US"/>
        </w:rPr>
        <w:t xml:space="preserve">weeks after onset of </w:t>
      </w:r>
      <w:r w:rsidR="005E58A5">
        <w:rPr>
          <w:rFonts w:ascii="Arial" w:hAnsi="Arial" w:cs="Arial"/>
          <w:sz w:val="24"/>
          <w:szCs w:val="24"/>
          <w:lang w:val="en-US"/>
        </w:rPr>
        <w:t>an ART regimen</w:t>
      </w:r>
      <w:r w:rsidR="00775D40">
        <w:rPr>
          <w:rFonts w:ascii="Arial" w:hAnsi="Arial" w:cs="Arial"/>
          <w:sz w:val="24"/>
          <w:szCs w:val="24"/>
          <w:lang w:val="en-US"/>
        </w:rPr>
        <w:t>.[</w:t>
      </w:r>
      <w:r w:rsidR="00837E68">
        <w:rPr>
          <w:rFonts w:ascii="Arial" w:hAnsi="Arial" w:cs="Arial"/>
          <w:sz w:val="24"/>
          <w:szCs w:val="24"/>
          <w:lang w:val="en-US"/>
        </w:rPr>
        <w:t>10,11</w:t>
      </w:r>
      <w:r w:rsidR="00775D40">
        <w:rPr>
          <w:rFonts w:ascii="Arial" w:hAnsi="Arial" w:cs="Arial"/>
          <w:sz w:val="24"/>
          <w:szCs w:val="24"/>
          <w:lang w:val="en-US"/>
        </w:rPr>
        <w:t>]</w:t>
      </w:r>
      <w:r w:rsidR="00331162">
        <w:rPr>
          <w:rFonts w:ascii="Arial" w:hAnsi="Arial" w:cs="Arial"/>
          <w:sz w:val="24"/>
          <w:szCs w:val="24"/>
          <w:lang w:val="en-US"/>
        </w:rPr>
        <w:t xml:space="preserve"> </w:t>
      </w:r>
    </w:p>
    <w:p w:rsidR="00E67465" w:rsidRDefault="00E67465" w:rsidP="00B142A4">
      <w:pPr>
        <w:spacing w:line="480" w:lineRule="auto"/>
        <w:jc w:val="both"/>
        <w:rPr>
          <w:rFonts w:ascii="Arial" w:hAnsi="Arial" w:cs="Arial"/>
          <w:sz w:val="24"/>
          <w:szCs w:val="24"/>
          <w:lang w:val="en-US"/>
        </w:rPr>
      </w:pPr>
    </w:p>
    <w:p w:rsidR="00B142A4" w:rsidRDefault="00203888" w:rsidP="00B142A4">
      <w:pPr>
        <w:spacing w:line="480" w:lineRule="auto"/>
        <w:jc w:val="both"/>
        <w:rPr>
          <w:rFonts w:ascii="Arial" w:hAnsi="Arial" w:cs="Arial"/>
          <w:sz w:val="24"/>
          <w:szCs w:val="24"/>
          <w:lang w:val="en-US"/>
        </w:rPr>
      </w:pPr>
      <w:r>
        <w:rPr>
          <w:rFonts w:ascii="Arial" w:hAnsi="Arial" w:cs="Arial"/>
          <w:sz w:val="24"/>
          <w:szCs w:val="24"/>
          <w:lang w:val="en-US"/>
        </w:rPr>
        <w:t xml:space="preserve">Although there is a paucity of literature on gout and HIV, there is more information about </w:t>
      </w:r>
      <w:r w:rsidR="00331162">
        <w:rPr>
          <w:rFonts w:ascii="Arial" w:hAnsi="Arial" w:cs="Arial"/>
          <w:sz w:val="24"/>
          <w:szCs w:val="24"/>
          <w:lang w:val="en-US"/>
        </w:rPr>
        <w:t xml:space="preserve">serum </w:t>
      </w:r>
      <w:r>
        <w:rPr>
          <w:rFonts w:ascii="Arial" w:hAnsi="Arial" w:cs="Arial"/>
          <w:sz w:val="24"/>
          <w:szCs w:val="24"/>
          <w:lang w:val="en-US"/>
        </w:rPr>
        <w:t>urate and HIV, since uric acid excretion is frequentl</w:t>
      </w:r>
      <w:r w:rsidR="006B6522">
        <w:rPr>
          <w:rFonts w:ascii="Arial" w:hAnsi="Arial" w:cs="Arial"/>
          <w:sz w:val="24"/>
          <w:szCs w:val="24"/>
          <w:lang w:val="en-US"/>
        </w:rPr>
        <w:t xml:space="preserve">y measured in people receiving </w:t>
      </w:r>
      <w:r>
        <w:rPr>
          <w:rFonts w:ascii="Arial" w:hAnsi="Arial" w:cs="Arial"/>
          <w:sz w:val="24"/>
          <w:szCs w:val="24"/>
          <w:lang w:val="en-US"/>
        </w:rPr>
        <w:t xml:space="preserve">ART at risk of proximal renal tubule dysfunction. </w:t>
      </w:r>
      <w:r w:rsidR="006D74C3">
        <w:rPr>
          <w:rFonts w:ascii="Arial" w:hAnsi="Arial" w:cs="Arial"/>
          <w:sz w:val="24"/>
          <w:szCs w:val="24"/>
          <w:lang w:val="en-US"/>
        </w:rPr>
        <w:t xml:space="preserve">Hyperuricaemia </w:t>
      </w:r>
      <w:r w:rsidR="005E58A5">
        <w:rPr>
          <w:rFonts w:ascii="Arial" w:hAnsi="Arial" w:cs="Arial"/>
          <w:sz w:val="24"/>
          <w:szCs w:val="24"/>
          <w:lang w:val="en-US"/>
        </w:rPr>
        <w:t>was first described</w:t>
      </w:r>
      <w:r w:rsidR="006D74C3">
        <w:rPr>
          <w:rFonts w:ascii="Arial" w:hAnsi="Arial" w:cs="Arial"/>
          <w:sz w:val="24"/>
          <w:szCs w:val="24"/>
          <w:lang w:val="en-US"/>
        </w:rPr>
        <w:t xml:space="preserve"> in HIV </w:t>
      </w:r>
      <w:r w:rsidR="005E58A5">
        <w:rPr>
          <w:rFonts w:ascii="Arial" w:hAnsi="Arial" w:cs="Arial"/>
          <w:sz w:val="24"/>
          <w:szCs w:val="24"/>
          <w:lang w:val="en-US"/>
        </w:rPr>
        <w:t>by</w:t>
      </w:r>
      <w:r w:rsidR="006D74C3">
        <w:rPr>
          <w:rFonts w:ascii="Arial" w:hAnsi="Arial" w:cs="Arial"/>
          <w:sz w:val="24"/>
          <w:szCs w:val="24"/>
          <w:lang w:val="en-US"/>
        </w:rPr>
        <w:t xml:space="preserve"> Medina-Rodriguez and colleagues </w:t>
      </w:r>
      <w:r w:rsidR="005E58A5">
        <w:rPr>
          <w:rFonts w:ascii="Arial" w:hAnsi="Arial" w:cs="Arial"/>
          <w:sz w:val="24"/>
          <w:szCs w:val="24"/>
          <w:lang w:val="en-US"/>
        </w:rPr>
        <w:t>in 1993, when they reported</w:t>
      </w:r>
      <w:r w:rsidR="006D74C3">
        <w:rPr>
          <w:rFonts w:ascii="Arial" w:hAnsi="Arial" w:cs="Arial"/>
          <w:sz w:val="24"/>
          <w:szCs w:val="24"/>
          <w:lang w:val="en-US"/>
        </w:rPr>
        <w:t xml:space="preserve"> a prevalence </w:t>
      </w:r>
      <w:r w:rsidR="005E58A5">
        <w:rPr>
          <w:rFonts w:ascii="Arial" w:hAnsi="Arial" w:cs="Arial"/>
          <w:sz w:val="24"/>
          <w:szCs w:val="24"/>
          <w:lang w:val="en-US"/>
        </w:rPr>
        <w:t>rate</w:t>
      </w:r>
      <w:r w:rsidR="006D74C3">
        <w:rPr>
          <w:rFonts w:ascii="Arial" w:hAnsi="Arial" w:cs="Arial"/>
          <w:sz w:val="24"/>
          <w:szCs w:val="24"/>
          <w:lang w:val="en-US"/>
        </w:rPr>
        <w:t xml:space="preserve"> of 41% among 74 HIV-</w:t>
      </w:r>
      <w:r w:rsidR="006B6522">
        <w:rPr>
          <w:rFonts w:ascii="Arial" w:hAnsi="Arial" w:cs="Arial"/>
          <w:sz w:val="24"/>
          <w:szCs w:val="24"/>
          <w:lang w:val="en-US"/>
        </w:rPr>
        <w:t>positive</w:t>
      </w:r>
      <w:r w:rsidR="006D74C3">
        <w:rPr>
          <w:rFonts w:ascii="Arial" w:hAnsi="Arial" w:cs="Arial"/>
          <w:sz w:val="24"/>
          <w:szCs w:val="24"/>
          <w:lang w:val="en-US"/>
        </w:rPr>
        <w:t xml:space="preserve"> cases, as compared with 0% amo</w:t>
      </w:r>
      <w:r w:rsidR="005E58A5">
        <w:rPr>
          <w:rFonts w:ascii="Arial" w:hAnsi="Arial" w:cs="Arial"/>
          <w:sz w:val="24"/>
          <w:szCs w:val="24"/>
          <w:lang w:val="en-US"/>
        </w:rPr>
        <w:t xml:space="preserve">ng 72 </w:t>
      </w:r>
      <w:r w:rsidR="006D74C3">
        <w:rPr>
          <w:rFonts w:ascii="Arial" w:hAnsi="Arial" w:cs="Arial"/>
          <w:sz w:val="24"/>
          <w:szCs w:val="24"/>
          <w:lang w:val="en-US"/>
        </w:rPr>
        <w:t>matched controls</w:t>
      </w:r>
      <w:r w:rsidR="00775D40">
        <w:rPr>
          <w:rFonts w:ascii="Arial" w:hAnsi="Arial" w:cs="Arial"/>
          <w:sz w:val="24"/>
          <w:szCs w:val="24"/>
          <w:lang w:val="en-US"/>
        </w:rPr>
        <w:t>.[</w:t>
      </w:r>
      <w:r w:rsidR="00837E68">
        <w:rPr>
          <w:rFonts w:ascii="Arial" w:hAnsi="Arial" w:cs="Arial"/>
          <w:sz w:val="24"/>
          <w:szCs w:val="24"/>
          <w:lang w:val="en-US"/>
        </w:rPr>
        <w:t>15</w:t>
      </w:r>
      <w:r w:rsidR="00775D40">
        <w:rPr>
          <w:rFonts w:ascii="Arial" w:hAnsi="Arial" w:cs="Arial"/>
          <w:sz w:val="24"/>
          <w:szCs w:val="24"/>
          <w:lang w:val="en-US"/>
        </w:rPr>
        <w:t>]</w:t>
      </w:r>
      <w:r w:rsidR="006D74C3">
        <w:rPr>
          <w:rFonts w:ascii="Arial" w:hAnsi="Arial" w:cs="Arial"/>
          <w:sz w:val="24"/>
          <w:szCs w:val="24"/>
          <w:lang w:val="en-US"/>
        </w:rPr>
        <w:t xml:space="preserve"> Similar </w:t>
      </w:r>
      <w:r w:rsidR="00DA6AAA">
        <w:rPr>
          <w:rFonts w:ascii="Arial" w:hAnsi="Arial" w:cs="Arial"/>
          <w:sz w:val="24"/>
          <w:szCs w:val="24"/>
          <w:lang w:val="en-US"/>
        </w:rPr>
        <w:t>findings</w:t>
      </w:r>
      <w:r w:rsidR="006D74C3">
        <w:rPr>
          <w:rFonts w:ascii="Arial" w:hAnsi="Arial" w:cs="Arial"/>
          <w:sz w:val="24"/>
          <w:szCs w:val="24"/>
          <w:lang w:val="en-US"/>
        </w:rPr>
        <w:t xml:space="preserve"> were reported by other co</w:t>
      </w:r>
      <w:r w:rsidR="00DA6AAA">
        <w:rPr>
          <w:rFonts w:ascii="Arial" w:hAnsi="Arial" w:cs="Arial"/>
          <w:sz w:val="24"/>
          <w:szCs w:val="24"/>
          <w:lang w:val="en-US"/>
        </w:rPr>
        <w:t>l</w:t>
      </w:r>
      <w:r w:rsidR="006D74C3">
        <w:rPr>
          <w:rFonts w:ascii="Arial" w:hAnsi="Arial" w:cs="Arial"/>
          <w:sz w:val="24"/>
          <w:szCs w:val="24"/>
          <w:lang w:val="en-US"/>
        </w:rPr>
        <w:t>leagues</w:t>
      </w:r>
      <w:r w:rsidR="00775D40">
        <w:rPr>
          <w:rFonts w:ascii="Arial" w:hAnsi="Arial" w:cs="Arial"/>
          <w:sz w:val="24"/>
          <w:szCs w:val="24"/>
          <w:lang w:val="en-US"/>
        </w:rPr>
        <w:t>.[</w:t>
      </w:r>
      <w:r w:rsidR="00837E68">
        <w:rPr>
          <w:rFonts w:ascii="Arial" w:hAnsi="Arial" w:cs="Arial"/>
          <w:sz w:val="24"/>
          <w:szCs w:val="24"/>
          <w:lang w:val="en-US"/>
        </w:rPr>
        <w:t>16-18</w:t>
      </w:r>
      <w:r w:rsidR="00775D40">
        <w:rPr>
          <w:rFonts w:ascii="Arial" w:hAnsi="Arial" w:cs="Arial"/>
          <w:sz w:val="24"/>
          <w:szCs w:val="24"/>
          <w:lang w:val="en-US"/>
        </w:rPr>
        <w:t>]</w:t>
      </w:r>
      <w:r w:rsidR="006B6522">
        <w:rPr>
          <w:rFonts w:ascii="Arial" w:hAnsi="Arial" w:cs="Arial"/>
          <w:sz w:val="24"/>
          <w:szCs w:val="24"/>
          <w:lang w:val="en-US"/>
        </w:rPr>
        <w:t xml:space="preserve"> Since the development of </w:t>
      </w:r>
      <w:r w:rsidR="00DA6AAA">
        <w:rPr>
          <w:rFonts w:ascii="Arial" w:hAnsi="Arial" w:cs="Arial"/>
          <w:sz w:val="24"/>
          <w:szCs w:val="24"/>
          <w:lang w:val="en-US"/>
        </w:rPr>
        <w:t>ART, hyperuricaemia has been reported with the nucleoside reverse transcriptase inhibitor didanosine</w:t>
      </w:r>
      <w:r w:rsidR="00CB5672">
        <w:rPr>
          <w:rFonts w:ascii="Arial" w:hAnsi="Arial" w:cs="Arial"/>
          <w:sz w:val="24"/>
          <w:szCs w:val="24"/>
          <w:lang w:val="en-US"/>
        </w:rPr>
        <w:t>, stavudine</w:t>
      </w:r>
      <w:r w:rsidR="00DA6AAA">
        <w:rPr>
          <w:rFonts w:ascii="Arial" w:hAnsi="Arial" w:cs="Arial"/>
          <w:sz w:val="24"/>
          <w:szCs w:val="24"/>
          <w:lang w:val="en-US"/>
        </w:rPr>
        <w:t xml:space="preserve"> and the protease inhibitor, ritonavir. </w:t>
      </w:r>
    </w:p>
    <w:p w:rsidR="00331162" w:rsidRDefault="00331162" w:rsidP="00B142A4">
      <w:pPr>
        <w:spacing w:line="480" w:lineRule="auto"/>
        <w:jc w:val="both"/>
        <w:rPr>
          <w:rFonts w:ascii="Arial" w:hAnsi="Arial" w:cs="Arial"/>
          <w:sz w:val="24"/>
          <w:szCs w:val="24"/>
          <w:lang w:val="en-US"/>
        </w:rPr>
      </w:pPr>
    </w:p>
    <w:p w:rsidR="00DA6AAA" w:rsidRPr="00386598" w:rsidRDefault="00331162" w:rsidP="00B142A4">
      <w:pPr>
        <w:spacing w:line="480" w:lineRule="auto"/>
        <w:jc w:val="both"/>
        <w:rPr>
          <w:rFonts w:ascii="Arial" w:hAnsi="Arial" w:cs="Arial"/>
          <w:sz w:val="24"/>
          <w:szCs w:val="24"/>
        </w:rPr>
      </w:pPr>
      <w:r>
        <w:rPr>
          <w:rFonts w:ascii="Arial" w:hAnsi="Arial" w:cs="Arial"/>
          <w:sz w:val="24"/>
          <w:szCs w:val="24"/>
        </w:rPr>
        <w:t>Given the important relationship between serum urate and the metabolic syndrome, and population data suggesting that gout is becoming more common, t</w:t>
      </w:r>
      <w:r w:rsidR="00DA6AAA">
        <w:rPr>
          <w:rFonts w:ascii="Arial" w:hAnsi="Arial" w:cs="Arial"/>
          <w:sz w:val="24"/>
          <w:szCs w:val="24"/>
        </w:rPr>
        <w:t>he aim of this study was to explore the prevalence of and risk factors for gout in</w:t>
      </w:r>
      <w:r w:rsidR="00B142A4">
        <w:rPr>
          <w:rFonts w:ascii="Arial" w:hAnsi="Arial" w:cs="Arial"/>
          <w:sz w:val="24"/>
          <w:szCs w:val="24"/>
        </w:rPr>
        <w:t xml:space="preserve"> a large o</w:t>
      </w:r>
      <w:r w:rsidR="006B6522">
        <w:rPr>
          <w:rFonts w:ascii="Arial" w:hAnsi="Arial" w:cs="Arial"/>
          <w:sz w:val="24"/>
          <w:szCs w:val="24"/>
        </w:rPr>
        <w:t xml:space="preserve">utpatient cohort of </w:t>
      </w:r>
      <w:r w:rsidR="00837E68">
        <w:rPr>
          <w:rFonts w:ascii="Arial" w:hAnsi="Arial" w:cs="Arial"/>
          <w:sz w:val="24"/>
          <w:szCs w:val="24"/>
        </w:rPr>
        <w:t>PLWHIV</w:t>
      </w:r>
      <w:r w:rsidR="00B142A4">
        <w:rPr>
          <w:rFonts w:ascii="Arial" w:hAnsi="Arial" w:cs="Arial"/>
          <w:sz w:val="24"/>
          <w:szCs w:val="24"/>
        </w:rPr>
        <w:t xml:space="preserve"> using a matched case-control study design.</w:t>
      </w:r>
    </w:p>
    <w:p w:rsidR="00B142A4" w:rsidRDefault="00B142A4" w:rsidP="003579F7">
      <w:pPr>
        <w:spacing w:line="480" w:lineRule="auto"/>
        <w:rPr>
          <w:rFonts w:ascii="Arial" w:hAnsi="Arial" w:cs="Arial"/>
          <w:b/>
          <w:sz w:val="24"/>
          <w:szCs w:val="24"/>
        </w:rPr>
      </w:pPr>
    </w:p>
    <w:p w:rsidR="00942769" w:rsidRPr="00EA0C23" w:rsidRDefault="007D1313" w:rsidP="003579F7">
      <w:pPr>
        <w:spacing w:line="480" w:lineRule="auto"/>
        <w:rPr>
          <w:rFonts w:ascii="Arial" w:hAnsi="Arial" w:cs="Arial"/>
          <w:b/>
          <w:sz w:val="24"/>
          <w:szCs w:val="24"/>
        </w:rPr>
      </w:pPr>
      <w:r w:rsidRPr="00EA0C23">
        <w:rPr>
          <w:rFonts w:ascii="Arial" w:hAnsi="Arial" w:cs="Arial"/>
          <w:b/>
          <w:sz w:val="24"/>
          <w:szCs w:val="24"/>
        </w:rPr>
        <w:t>Method</w:t>
      </w:r>
      <w:r w:rsidR="00EA0C23">
        <w:rPr>
          <w:rFonts w:ascii="Arial" w:hAnsi="Arial" w:cs="Arial"/>
          <w:b/>
          <w:sz w:val="24"/>
          <w:szCs w:val="24"/>
        </w:rPr>
        <w:t>s</w:t>
      </w:r>
    </w:p>
    <w:p w:rsidR="00452481" w:rsidRDefault="00B142A4" w:rsidP="00B142A4">
      <w:pPr>
        <w:spacing w:line="480" w:lineRule="auto"/>
        <w:jc w:val="both"/>
        <w:rPr>
          <w:rFonts w:ascii="Arial" w:hAnsi="Arial" w:cs="Arial"/>
          <w:sz w:val="24"/>
          <w:szCs w:val="24"/>
        </w:rPr>
      </w:pPr>
      <w:r w:rsidRPr="0076340D">
        <w:rPr>
          <w:rFonts w:ascii="Arial" w:hAnsi="Arial" w:cs="Arial"/>
          <w:sz w:val="24"/>
          <w:szCs w:val="24"/>
        </w:rPr>
        <w:t xml:space="preserve">Ethical permission for this study was granted by the Brighton Local Research Ethics Committee (REC number: </w:t>
      </w:r>
      <w:r w:rsidRPr="0076340D">
        <w:rPr>
          <w:rFonts w:ascii="Arial" w:hAnsi="Arial" w:cs="Arial"/>
          <w:bCs/>
          <w:color w:val="1A1A1A"/>
          <w:sz w:val="24"/>
          <w:szCs w:val="24"/>
          <w:lang w:val="en-US"/>
        </w:rPr>
        <w:t>12/LO/1421)</w:t>
      </w:r>
      <w:r w:rsidRPr="0076340D">
        <w:rPr>
          <w:rFonts w:ascii="Arial" w:hAnsi="Arial" w:cs="Arial"/>
          <w:sz w:val="24"/>
          <w:szCs w:val="24"/>
        </w:rPr>
        <w:t xml:space="preserve">. </w:t>
      </w:r>
    </w:p>
    <w:p w:rsidR="00912158" w:rsidRDefault="00912158" w:rsidP="00B142A4">
      <w:pPr>
        <w:spacing w:line="480" w:lineRule="auto"/>
        <w:jc w:val="both"/>
        <w:rPr>
          <w:rFonts w:ascii="Arial" w:hAnsi="Arial" w:cs="Arial"/>
          <w:sz w:val="24"/>
          <w:szCs w:val="24"/>
        </w:rPr>
      </w:pPr>
    </w:p>
    <w:p w:rsidR="007E1B68" w:rsidRPr="0076340D" w:rsidRDefault="00F54057" w:rsidP="007E1B68">
      <w:pPr>
        <w:spacing w:line="480" w:lineRule="auto"/>
        <w:jc w:val="both"/>
        <w:rPr>
          <w:rFonts w:ascii="Arial" w:hAnsi="Arial" w:cs="Arial"/>
          <w:sz w:val="24"/>
          <w:szCs w:val="24"/>
        </w:rPr>
      </w:pPr>
      <w:r w:rsidRPr="0076340D">
        <w:rPr>
          <w:rFonts w:ascii="Arial" w:hAnsi="Arial" w:cs="Arial"/>
          <w:sz w:val="24"/>
          <w:szCs w:val="24"/>
        </w:rPr>
        <w:t xml:space="preserve">This case-control study </w:t>
      </w:r>
      <w:r w:rsidR="00286200">
        <w:rPr>
          <w:rFonts w:ascii="Arial" w:hAnsi="Arial" w:cs="Arial"/>
          <w:sz w:val="24"/>
          <w:szCs w:val="24"/>
        </w:rPr>
        <w:t xml:space="preserve">was </w:t>
      </w:r>
      <w:r w:rsidRPr="0076340D">
        <w:rPr>
          <w:rFonts w:ascii="Arial" w:hAnsi="Arial" w:cs="Arial"/>
          <w:sz w:val="24"/>
          <w:szCs w:val="24"/>
        </w:rPr>
        <w:t>performed 2012-2013</w:t>
      </w:r>
      <w:r w:rsidR="00B142A4">
        <w:rPr>
          <w:rFonts w:ascii="Arial" w:hAnsi="Arial" w:cs="Arial"/>
          <w:sz w:val="24"/>
          <w:szCs w:val="24"/>
        </w:rPr>
        <w:t xml:space="preserve">. All subjects were registered for outpatient HIV care at one centre in the South of England, UK. </w:t>
      </w:r>
      <w:r w:rsidR="007E1B68">
        <w:rPr>
          <w:rFonts w:ascii="Arial" w:hAnsi="Arial" w:cs="Arial"/>
          <w:sz w:val="24"/>
          <w:szCs w:val="24"/>
        </w:rPr>
        <w:t xml:space="preserve">All correspondence and test results for this cohort are digitised into a clinical database which is searchable. </w:t>
      </w:r>
      <w:r w:rsidR="006D079F">
        <w:rPr>
          <w:rFonts w:ascii="Arial" w:hAnsi="Arial" w:cs="Arial"/>
          <w:sz w:val="24"/>
          <w:szCs w:val="24"/>
        </w:rPr>
        <w:t xml:space="preserve">In total, the records of 2042 PLWHIV were available at the time of this study. </w:t>
      </w:r>
      <w:r w:rsidR="007E1B68">
        <w:rPr>
          <w:rFonts w:ascii="Arial" w:hAnsi="Arial" w:cs="Arial"/>
          <w:sz w:val="24"/>
          <w:szCs w:val="24"/>
        </w:rPr>
        <w:t>We used the keywords: “</w:t>
      </w:r>
      <w:r w:rsidR="007E1B68" w:rsidRPr="0076340D">
        <w:rPr>
          <w:rFonts w:ascii="Arial" w:hAnsi="Arial" w:cs="Arial"/>
          <w:sz w:val="24"/>
          <w:szCs w:val="24"/>
        </w:rPr>
        <w:t>gout”</w:t>
      </w:r>
      <w:r w:rsidR="007E1B68">
        <w:rPr>
          <w:rFonts w:ascii="Arial" w:hAnsi="Arial" w:cs="Arial"/>
          <w:sz w:val="24"/>
          <w:szCs w:val="24"/>
        </w:rPr>
        <w:t xml:space="preserve">, “hyperuricaemia” and “uric acid”, to search the database for any subjects who might be eligible as cases for this study. In addition, one rheumatologist </w:t>
      </w:r>
      <w:r w:rsidR="00912158">
        <w:rPr>
          <w:rFonts w:ascii="Arial" w:hAnsi="Arial" w:cs="Arial"/>
          <w:sz w:val="24"/>
          <w:szCs w:val="24"/>
        </w:rPr>
        <w:t>provided clinical care for all</w:t>
      </w:r>
      <w:r w:rsidR="007E1B68">
        <w:rPr>
          <w:rFonts w:ascii="Arial" w:hAnsi="Arial" w:cs="Arial"/>
          <w:sz w:val="24"/>
          <w:szCs w:val="24"/>
        </w:rPr>
        <w:t xml:space="preserve"> HIV-</w:t>
      </w:r>
      <w:r w:rsidR="006B6522">
        <w:rPr>
          <w:rFonts w:ascii="Arial" w:hAnsi="Arial" w:cs="Arial"/>
          <w:sz w:val="24"/>
          <w:szCs w:val="24"/>
        </w:rPr>
        <w:t>positive</w:t>
      </w:r>
      <w:r w:rsidR="007E1B68">
        <w:rPr>
          <w:rFonts w:ascii="Arial" w:hAnsi="Arial" w:cs="Arial"/>
          <w:sz w:val="24"/>
          <w:szCs w:val="24"/>
        </w:rPr>
        <w:t xml:space="preserve"> patients </w:t>
      </w:r>
      <w:r w:rsidR="00912158">
        <w:rPr>
          <w:rFonts w:ascii="Arial" w:hAnsi="Arial" w:cs="Arial"/>
          <w:sz w:val="24"/>
          <w:szCs w:val="24"/>
        </w:rPr>
        <w:t xml:space="preserve">developing rheumatological symptoms </w:t>
      </w:r>
      <w:r w:rsidR="007E1B68">
        <w:rPr>
          <w:rFonts w:ascii="Arial" w:hAnsi="Arial" w:cs="Arial"/>
          <w:sz w:val="24"/>
          <w:szCs w:val="24"/>
        </w:rPr>
        <w:t xml:space="preserve">at </w:t>
      </w:r>
      <w:r w:rsidR="007E1B68">
        <w:rPr>
          <w:rFonts w:ascii="Arial" w:hAnsi="Arial" w:cs="Arial"/>
          <w:sz w:val="24"/>
          <w:szCs w:val="24"/>
        </w:rPr>
        <w:lastRenderedPageBreak/>
        <w:t>this Centre for the past 8 years. The clinical database of this rheumatologist was also interrogated for cases and used to validate the search technique. The full clinical case notes were extracted for any individual identified by the preliminary search strategy. People were confirmed as c</w:t>
      </w:r>
      <w:r w:rsidR="00B142A4">
        <w:rPr>
          <w:rFonts w:ascii="Arial" w:hAnsi="Arial" w:cs="Arial"/>
          <w:sz w:val="24"/>
          <w:szCs w:val="24"/>
        </w:rPr>
        <w:t>ases if the</w:t>
      </w:r>
      <w:r w:rsidR="007E1B68">
        <w:rPr>
          <w:rFonts w:ascii="Arial" w:hAnsi="Arial" w:cs="Arial"/>
          <w:sz w:val="24"/>
          <w:szCs w:val="24"/>
        </w:rPr>
        <w:t>re was evidence that the</w:t>
      </w:r>
      <w:r w:rsidR="00B142A4">
        <w:rPr>
          <w:rFonts w:ascii="Arial" w:hAnsi="Arial" w:cs="Arial"/>
          <w:sz w:val="24"/>
          <w:szCs w:val="24"/>
        </w:rPr>
        <w:t xml:space="preserve">y had </w:t>
      </w:r>
      <w:r w:rsidR="007E1B68">
        <w:rPr>
          <w:rFonts w:ascii="Arial" w:hAnsi="Arial" w:cs="Arial"/>
          <w:sz w:val="24"/>
          <w:szCs w:val="24"/>
        </w:rPr>
        <w:t>been</w:t>
      </w:r>
      <w:r w:rsidR="007E1B68" w:rsidRPr="0076340D">
        <w:rPr>
          <w:rFonts w:ascii="Arial" w:hAnsi="Arial" w:cs="Arial"/>
          <w:sz w:val="24"/>
          <w:szCs w:val="24"/>
        </w:rPr>
        <w:t xml:space="preserve"> diagnosed from a convincing history and a clinical examination</w:t>
      </w:r>
      <w:r w:rsidR="007E1B68">
        <w:rPr>
          <w:rFonts w:ascii="Arial" w:hAnsi="Arial" w:cs="Arial"/>
          <w:sz w:val="24"/>
          <w:szCs w:val="24"/>
        </w:rPr>
        <w:t xml:space="preserve"> by either</w:t>
      </w:r>
      <w:r w:rsidR="00B142A4">
        <w:rPr>
          <w:rFonts w:ascii="Arial" w:hAnsi="Arial" w:cs="Arial"/>
          <w:sz w:val="24"/>
          <w:szCs w:val="24"/>
        </w:rPr>
        <w:t xml:space="preserve"> a prim</w:t>
      </w:r>
      <w:r w:rsidR="007E1B68">
        <w:rPr>
          <w:rFonts w:ascii="Arial" w:hAnsi="Arial" w:cs="Arial"/>
          <w:sz w:val="24"/>
          <w:szCs w:val="24"/>
        </w:rPr>
        <w:t xml:space="preserve">ary or secondary care clinician. </w:t>
      </w:r>
      <w:r w:rsidR="00912158" w:rsidRPr="0076340D">
        <w:rPr>
          <w:rFonts w:ascii="Arial" w:hAnsi="Arial" w:cs="Arial"/>
          <w:sz w:val="24"/>
          <w:szCs w:val="24"/>
        </w:rPr>
        <w:t xml:space="preserve">For each case, two controls were identified, </w:t>
      </w:r>
      <w:r w:rsidR="00837E68">
        <w:rPr>
          <w:rFonts w:ascii="Arial" w:hAnsi="Arial" w:cs="Arial"/>
          <w:sz w:val="24"/>
          <w:szCs w:val="24"/>
        </w:rPr>
        <w:t xml:space="preserve">selected from the </w:t>
      </w:r>
      <w:r w:rsidR="009B7EE6">
        <w:rPr>
          <w:rFonts w:ascii="Arial" w:hAnsi="Arial" w:cs="Arial"/>
          <w:sz w:val="24"/>
          <w:szCs w:val="24"/>
        </w:rPr>
        <w:t>HIV outpatient</w:t>
      </w:r>
      <w:r w:rsidR="00837E68">
        <w:rPr>
          <w:rFonts w:ascii="Arial" w:hAnsi="Arial" w:cs="Arial"/>
          <w:sz w:val="24"/>
          <w:szCs w:val="24"/>
        </w:rPr>
        <w:t xml:space="preserve"> database using a random number generator method </w:t>
      </w:r>
      <w:r w:rsidR="00775D40">
        <w:rPr>
          <w:rFonts w:ascii="Arial" w:hAnsi="Arial" w:cs="Arial"/>
          <w:sz w:val="24"/>
          <w:szCs w:val="24"/>
        </w:rPr>
        <w:t>(</w:t>
      </w:r>
      <w:r w:rsidR="00837E68">
        <w:rPr>
          <w:rFonts w:ascii="Arial" w:hAnsi="Arial" w:cs="Arial"/>
          <w:sz w:val="24"/>
          <w:szCs w:val="24"/>
        </w:rPr>
        <w:t>once matched for gender and age (</w:t>
      </w:r>
      <w:r w:rsidR="00912158" w:rsidRPr="0076340D">
        <w:rPr>
          <w:rFonts w:ascii="Arial" w:hAnsi="Arial" w:cs="Arial"/>
          <w:sz w:val="24"/>
          <w:szCs w:val="24"/>
        </w:rPr>
        <w:t>+/- 5 years)</w:t>
      </w:r>
      <w:r w:rsidR="00775D40">
        <w:rPr>
          <w:rFonts w:ascii="Arial" w:hAnsi="Arial" w:cs="Arial"/>
          <w:sz w:val="24"/>
          <w:szCs w:val="24"/>
        </w:rPr>
        <w:t>)</w:t>
      </w:r>
      <w:r w:rsidR="00912158">
        <w:rPr>
          <w:rFonts w:ascii="Arial" w:hAnsi="Arial" w:cs="Arial"/>
          <w:sz w:val="24"/>
          <w:szCs w:val="24"/>
        </w:rPr>
        <w:t>.</w:t>
      </w:r>
    </w:p>
    <w:p w:rsidR="00912158" w:rsidRDefault="00912158" w:rsidP="00B142A4">
      <w:pPr>
        <w:spacing w:line="480" w:lineRule="auto"/>
        <w:jc w:val="both"/>
        <w:rPr>
          <w:rFonts w:ascii="Arial" w:hAnsi="Arial" w:cs="Arial"/>
          <w:sz w:val="24"/>
          <w:szCs w:val="24"/>
        </w:rPr>
      </w:pPr>
    </w:p>
    <w:p w:rsidR="003F2E36" w:rsidRDefault="00D24255" w:rsidP="00B142A4">
      <w:pPr>
        <w:spacing w:line="480" w:lineRule="auto"/>
        <w:jc w:val="both"/>
        <w:rPr>
          <w:rFonts w:ascii="Arial" w:hAnsi="Arial" w:cs="Arial"/>
          <w:sz w:val="24"/>
          <w:szCs w:val="24"/>
        </w:rPr>
      </w:pPr>
      <w:r w:rsidRPr="0076340D">
        <w:rPr>
          <w:rFonts w:ascii="Arial" w:hAnsi="Arial" w:cs="Arial"/>
          <w:sz w:val="24"/>
          <w:szCs w:val="24"/>
        </w:rPr>
        <w:t>The HIV database and patient notes were reviewed for e</w:t>
      </w:r>
      <w:r w:rsidR="00D338AD">
        <w:rPr>
          <w:rFonts w:ascii="Arial" w:hAnsi="Arial" w:cs="Arial"/>
          <w:sz w:val="24"/>
          <w:szCs w:val="24"/>
        </w:rPr>
        <w:t>very</w:t>
      </w:r>
      <w:r w:rsidRPr="0076340D">
        <w:rPr>
          <w:rFonts w:ascii="Arial" w:hAnsi="Arial" w:cs="Arial"/>
          <w:sz w:val="24"/>
          <w:szCs w:val="24"/>
        </w:rPr>
        <w:t xml:space="preserve"> case and control.  </w:t>
      </w:r>
      <w:r w:rsidR="00912158">
        <w:rPr>
          <w:rFonts w:ascii="Arial" w:hAnsi="Arial" w:cs="Arial"/>
          <w:sz w:val="24"/>
          <w:szCs w:val="24"/>
        </w:rPr>
        <w:t xml:space="preserve">Data were extracted onto a </w:t>
      </w:r>
      <w:r w:rsidR="00D338AD">
        <w:rPr>
          <w:rFonts w:ascii="Arial" w:hAnsi="Arial" w:cs="Arial"/>
          <w:sz w:val="24"/>
          <w:szCs w:val="24"/>
        </w:rPr>
        <w:t>pre-de</w:t>
      </w:r>
      <w:r w:rsidR="004C0037">
        <w:rPr>
          <w:rFonts w:ascii="Arial" w:hAnsi="Arial" w:cs="Arial"/>
          <w:sz w:val="24"/>
          <w:szCs w:val="24"/>
        </w:rPr>
        <w:t>fin</w:t>
      </w:r>
      <w:r w:rsidR="00D338AD">
        <w:rPr>
          <w:rFonts w:ascii="Arial" w:hAnsi="Arial" w:cs="Arial"/>
          <w:sz w:val="24"/>
          <w:szCs w:val="24"/>
        </w:rPr>
        <w:t xml:space="preserve">ed </w:t>
      </w:r>
      <w:r w:rsidR="001217C0" w:rsidRPr="0076340D">
        <w:rPr>
          <w:rFonts w:ascii="Arial" w:hAnsi="Arial" w:cs="Arial"/>
          <w:sz w:val="24"/>
          <w:szCs w:val="24"/>
        </w:rPr>
        <w:t xml:space="preserve">proforma </w:t>
      </w:r>
      <w:r w:rsidR="003F2E36">
        <w:rPr>
          <w:rFonts w:ascii="Arial" w:hAnsi="Arial" w:cs="Arial"/>
          <w:sz w:val="24"/>
          <w:szCs w:val="24"/>
        </w:rPr>
        <w:t>designed</w:t>
      </w:r>
      <w:r w:rsidR="00912158">
        <w:rPr>
          <w:rFonts w:ascii="Arial" w:hAnsi="Arial" w:cs="Arial"/>
          <w:sz w:val="24"/>
          <w:szCs w:val="24"/>
        </w:rPr>
        <w:t xml:space="preserve"> to collect information about:</w:t>
      </w:r>
      <w:r w:rsidRPr="0076340D">
        <w:rPr>
          <w:rFonts w:ascii="Arial" w:hAnsi="Arial" w:cs="Arial"/>
          <w:sz w:val="24"/>
          <w:szCs w:val="24"/>
        </w:rPr>
        <w:t xml:space="preserve"> demography</w:t>
      </w:r>
      <w:r w:rsidR="00912158">
        <w:rPr>
          <w:rFonts w:ascii="Arial" w:hAnsi="Arial" w:cs="Arial"/>
          <w:sz w:val="24"/>
          <w:szCs w:val="24"/>
        </w:rPr>
        <w:t xml:space="preserve"> (age, gender, ethnicity, sexual orientation and occupation);</w:t>
      </w:r>
      <w:r w:rsidRPr="0076340D">
        <w:rPr>
          <w:rFonts w:ascii="Arial" w:hAnsi="Arial" w:cs="Arial"/>
          <w:sz w:val="24"/>
          <w:szCs w:val="24"/>
        </w:rPr>
        <w:t xml:space="preserve"> l</w:t>
      </w:r>
      <w:r w:rsidR="00EC5BDB" w:rsidRPr="0076340D">
        <w:rPr>
          <w:rFonts w:ascii="Arial" w:hAnsi="Arial" w:cs="Arial"/>
          <w:sz w:val="24"/>
          <w:szCs w:val="24"/>
        </w:rPr>
        <w:t>ife</w:t>
      </w:r>
      <w:r w:rsidRPr="0076340D">
        <w:rPr>
          <w:rFonts w:ascii="Arial" w:hAnsi="Arial" w:cs="Arial"/>
          <w:sz w:val="24"/>
          <w:szCs w:val="24"/>
        </w:rPr>
        <w:t>st</w:t>
      </w:r>
      <w:r w:rsidR="00A8311F" w:rsidRPr="0076340D">
        <w:rPr>
          <w:rFonts w:ascii="Arial" w:hAnsi="Arial" w:cs="Arial"/>
          <w:sz w:val="24"/>
          <w:szCs w:val="24"/>
        </w:rPr>
        <w:t xml:space="preserve">yle </w:t>
      </w:r>
      <w:r w:rsidR="00912158">
        <w:rPr>
          <w:rFonts w:ascii="Arial" w:hAnsi="Arial" w:cs="Arial"/>
          <w:sz w:val="24"/>
          <w:szCs w:val="24"/>
        </w:rPr>
        <w:t>(</w:t>
      </w:r>
      <w:r w:rsidR="00912158" w:rsidRPr="0076340D">
        <w:rPr>
          <w:rFonts w:ascii="Arial" w:hAnsi="Arial" w:cs="Arial"/>
          <w:sz w:val="24"/>
          <w:szCs w:val="24"/>
        </w:rPr>
        <w:t xml:space="preserve">smoking </w:t>
      </w:r>
      <w:r w:rsidR="00D338AD">
        <w:rPr>
          <w:rFonts w:ascii="Arial" w:hAnsi="Arial" w:cs="Arial"/>
          <w:sz w:val="24"/>
          <w:szCs w:val="24"/>
        </w:rPr>
        <w:t>and</w:t>
      </w:r>
      <w:r w:rsidR="00912158" w:rsidRPr="0076340D">
        <w:rPr>
          <w:rFonts w:ascii="Arial" w:hAnsi="Arial" w:cs="Arial"/>
          <w:sz w:val="24"/>
          <w:szCs w:val="24"/>
        </w:rPr>
        <w:t xml:space="preserve"> alcohol</w:t>
      </w:r>
      <w:r w:rsidR="00D338AD">
        <w:rPr>
          <w:rFonts w:ascii="Arial" w:hAnsi="Arial" w:cs="Arial"/>
          <w:sz w:val="24"/>
          <w:szCs w:val="24"/>
        </w:rPr>
        <w:t>)</w:t>
      </w:r>
      <w:r w:rsidR="00912158">
        <w:rPr>
          <w:rFonts w:ascii="Arial" w:hAnsi="Arial" w:cs="Arial"/>
          <w:sz w:val="24"/>
          <w:szCs w:val="24"/>
        </w:rPr>
        <w:t>;</w:t>
      </w:r>
      <w:r w:rsidR="00A8311F" w:rsidRPr="0076340D">
        <w:rPr>
          <w:rFonts w:ascii="Arial" w:hAnsi="Arial" w:cs="Arial"/>
          <w:sz w:val="24"/>
          <w:szCs w:val="24"/>
        </w:rPr>
        <w:t xml:space="preserve"> co-morbidities</w:t>
      </w:r>
      <w:r w:rsidR="00912158">
        <w:rPr>
          <w:rFonts w:ascii="Arial" w:hAnsi="Arial" w:cs="Arial"/>
          <w:sz w:val="24"/>
          <w:szCs w:val="24"/>
        </w:rPr>
        <w:t xml:space="preserve"> (hypertension, dyslipidaemias, diabetes mellitus, renal disease;</w:t>
      </w:r>
      <w:r w:rsidR="00A8311F" w:rsidRPr="0076340D">
        <w:rPr>
          <w:rFonts w:ascii="Arial" w:hAnsi="Arial" w:cs="Arial"/>
          <w:sz w:val="24"/>
          <w:szCs w:val="24"/>
        </w:rPr>
        <w:t xml:space="preserve"> medication</w:t>
      </w:r>
      <w:r w:rsidR="00912158">
        <w:rPr>
          <w:rFonts w:ascii="Arial" w:hAnsi="Arial" w:cs="Arial"/>
          <w:sz w:val="24"/>
          <w:szCs w:val="24"/>
        </w:rPr>
        <w:t xml:space="preserve"> </w:t>
      </w:r>
      <w:r w:rsidR="00D338AD">
        <w:rPr>
          <w:rFonts w:ascii="Arial" w:hAnsi="Arial" w:cs="Arial"/>
          <w:sz w:val="24"/>
          <w:szCs w:val="24"/>
        </w:rPr>
        <w:t xml:space="preserve">relevant to gout </w:t>
      </w:r>
      <w:r w:rsidR="00912158">
        <w:rPr>
          <w:rFonts w:ascii="Arial" w:hAnsi="Arial" w:cs="Arial"/>
          <w:sz w:val="24"/>
          <w:szCs w:val="24"/>
        </w:rPr>
        <w:t>(</w:t>
      </w:r>
      <w:r w:rsidR="00912158" w:rsidRPr="0076340D">
        <w:rPr>
          <w:rFonts w:ascii="Arial" w:hAnsi="Arial" w:cs="Arial"/>
          <w:sz w:val="24"/>
          <w:szCs w:val="24"/>
        </w:rPr>
        <w:t>NSAIDS, colchicine, allopurinol, other gout treatment, loop diuretic, thi</w:t>
      </w:r>
      <w:r w:rsidR="00331162">
        <w:rPr>
          <w:rFonts w:ascii="Arial" w:hAnsi="Arial" w:cs="Arial"/>
          <w:sz w:val="24"/>
          <w:szCs w:val="24"/>
        </w:rPr>
        <w:t>azide diuretic, low-dose salicy</w:t>
      </w:r>
      <w:r w:rsidR="00912158" w:rsidRPr="0076340D">
        <w:rPr>
          <w:rFonts w:ascii="Arial" w:hAnsi="Arial" w:cs="Arial"/>
          <w:sz w:val="24"/>
          <w:szCs w:val="24"/>
        </w:rPr>
        <w:t>late, nicotinic acid, pyrazinamide, cyclosporine, ethambutol, vitamin B12, prednisolone</w:t>
      </w:r>
      <w:r w:rsidR="00912158">
        <w:rPr>
          <w:rFonts w:ascii="Arial" w:hAnsi="Arial" w:cs="Arial"/>
          <w:sz w:val="24"/>
          <w:szCs w:val="24"/>
        </w:rPr>
        <w:t>);</w:t>
      </w:r>
      <w:r w:rsidR="00A8311F" w:rsidRPr="0076340D">
        <w:rPr>
          <w:rFonts w:ascii="Arial" w:hAnsi="Arial" w:cs="Arial"/>
          <w:sz w:val="24"/>
          <w:szCs w:val="24"/>
        </w:rPr>
        <w:t xml:space="preserve"> </w:t>
      </w:r>
      <w:r w:rsidR="00912158">
        <w:rPr>
          <w:rFonts w:ascii="Arial" w:hAnsi="Arial" w:cs="Arial"/>
          <w:sz w:val="24"/>
          <w:szCs w:val="24"/>
        </w:rPr>
        <w:t xml:space="preserve">blood pressure and body mass index (BMI) and </w:t>
      </w:r>
      <w:r w:rsidR="003F2E36">
        <w:rPr>
          <w:rFonts w:ascii="Arial" w:hAnsi="Arial" w:cs="Arial"/>
          <w:sz w:val="24"/>
          <w:szCs w:val="24"/>
        </w:rPr>
        <w:t>episodes of ‘arthritis’, ‘hot, swollen joint’ or confirmed</w:t>
      </w:r>
      <w:r w:rsidR="00D338AD">
        <w:rPr>
          <w:rFonts w:ascii="Arial" w:hAnsi="Arial" w:cs="Arial"/>
          <w:sz w:val="24"/>
          <w:szCs w:val="24"/>
        </w:rPr>
        <w:t xml:space="preserve"> </w:t>
      </w:r>
      <w:r w:rsidR="00912158">
        <w:rPr>
          <w:rFonts w:ascii="Arial" w:hAnsi="Arial" w:cs="Arial"/>
          <w:sz w:val="24"/>
          <w:szCs w:val="24"/>
        </w:rPr>
        <w:t xml:space="preserve">gout episodes.  </w:t>
      </w:r>
    </w:p>
    <w:p w:rsidR="003F2E36" w:rsidRDefault="003F2E36" w:rsidP="00B142A4">
      <w:pPr>
        <w:spacing w:line="480" w:lineRule="auto"/>
        <w:jc w:val="both"/>
        <w:rPr>
          <w:rFonts w:ascii="Arial" w:hAnsi="Arial" w:cs="Arial"/>
          <w:sz w:val="24"/>
          <w:szCs w:val="24"/>
        </w:rPr>
      </w:pPr>
    </w:p>
    <w:p w:rsidR="00C10F7D" w:rsidRDefault="00EA178E" w:rsidP="00B142A4">
      <w:pPr>
        <w:spacing w:line="480" w:lineRule="auto"/>
        <w:jc w:val="both"/>
        <w:rPr>
          <w:rFonts w:ascii="Arial" w:hAnsi="Arial" w:cs="Arial"/>
          <w:sz w:val="24"/>
          <w:szCs w:val="24"/>
        </w:rPr>
      </w:pPr>
      <w:r>
        <w:rPr>
          <w:rFonts w:ascii="Arial" w:hAnsi="Arial" w:cs="Arial"/>
          <w:sz w:val="24"/>
          <w:szCs w:val="24"/>
        </w:rPr>
        <w:lastRenderedPageBreak/>
        <w:t>HIV-</w:t>
      </w:r>
      <w:r w:rsidR="00901DE7" w:rsidRPr="0076340D">
        <w:rPr>
          <w:rFonts w:ascii="Arial" w:hAnsi="Arial" w:cs="Arial"/>
          <w:sz w:val="24"/>
          <w:szCs w:val="24"/>
        </w:rPr>
        <w:t>specific data was also collected including</w:t>
      </w:r>
      <w:r w:rsidR="00912158">
        <w:rPr>
          <w:rFonts w:ascii="Arial" w:hAnsi="Arial" w:cs="Arial"/>
          <w:sz w:val="24"/>
          <w:szCs w:val="24"/>
        </w:rPr>
        <w:t>:</w:t>
      </w:r>
      <w:r w:rsidR="00901DE7" w:rsidRPr="0076340D">
        <w:rPr>
          <w:rFonts w:ascii="Arial" w:hAnsi="Arial" w:cs="Arial"/>
          <w:sz w:val="24"/>
          <w:szCs w:val="24"/>
        </w:rPr>
        <w:t xml:space="preserve"> duration since diagnosis</w:t>
      </w:r>
      <w:r w:rsidR="00912158">
        <w:rPr>
          <w:rFonts w:ascii="Arial" w:hAnsi="Arial" w:cs="Arial"/>
          <w:sz w:val="24"/>
          <w:szCs w:val="24"/>
        </w:rPr>
        <w:t>; mode of transmission;</w:t>
      </w:r>
      <w:r w:rsidR="00901DE7" w:rsidRPr="0076340D">
        <w:rPr>
          <w:rFonts w:ascii="Arial" w:hAnsi="Arial" w:cs="Arial"/>
          <w:sz w:val="24"/>
          <w:szCs w:val="24"/>
        </w:rPr>
        <w:t xml:space="preserve"> </w:t>
      </w:r>
      <w:r w:rsidR="00837E68">
        <w:rPr>
          <w:rFonts w:ascii="Arial" w:hAnsi="Arial" w:cs="Arial"/>
          <w:sz w:val="24"/>
          <w:szCs w:val="24"/>
        </w:rPr>
        <w:t xml:space="preserve">World Health Organisation (WHO) </w:t>
      </w:r>
      <w:r w:rsidR="00901DE7" w:rsidRPr="0076340D">
        <w:rPr>
          <w:rFonts w:ascii="Arial" w:hAnsi="Arial" w:cs="Arial"/>
          <w:sz w:val="24"/>
          <w:szCs w:val="24"/>
        </w:rPr>
        <w:t>clinical stage of</w:t>
      </w:r>
      <w:r w:rsidR="00F151F3" w:rsidRPr="0076340D">
        <w:rPr>
          <w:rFonts w:ascii="Arial" w:hAnsi="Arial" w:cs="Arial"/>
          <w:sz w:val="24"/>
          <w:szCs w:val="24"/>
        </w:rPr>
        <w:t xml:space="preserve"> HIV infection</w:t>
      </w:r>
      <w:r w:rsidR="00912158">
        <w:rPr>
          <w:rFonts w:ascii="Arial" w:hAnsi="Arial" w:cs="Arial"/>
          <w:sz w:val="24"/>
          <w:szCs w:val="24"/>
        </w:rPr>
        <w:t xml:space="preserve"> ever exposure to </w:t>
      </w:r>
      <w:r w:rsidR="003F267B">
        <w:rPr>
          <w:rFonts w:ascii="Arial" w:hAnsi="Arial" w:cs="Arial"/>
          <w:sz w:val="24"/>
          <w:szCs w:val="24"/>
        </w:rPr>
        <w:t>ART</w:t>
      </w:r>
      <w:r w:rsidR="00912158">
        <w:rPr>
          <w:rFonts w:ascii="Arial" w:hAnsi="Arial" w:cs="Arial"/>
          <w:sz w:val="24"/>
          <w:szCs w:val="24"/>
        </w:rPr>
        <w:t xml:space="preserve"> and type and duration of ex</w:t>
      </w:r>
      <w:r w:rsidR="006B6522">
        <w:rPr>
          <w:rFonts w:ascii="Arial" w:hAnsi="Arial" w:cs="Arial"/>
          <w:sz w:val="24"/>
          <w:szCs w:val="24"/>
        </w:rPr>
        <w:t xml:space="preserve">posure to different classes of </w:t>
      </w:r>
      <w:r w:rsidR="00912158">
        <w:rPr>
          <w:rFonts w:ascii="Arial" w:hAnsi="Arial" w:cs="Arial"/>
          <w:sz w:val="24"/>
          <w:szCs w:val="24"/>
        </w:rPr>
        <w:t xml:space="preserve">ART, and </w:t>
      </w:r>
      <w:r w:rsidR="00912158" w:rsidRPr="0076340D">
        <w:rPr>
          <w:rFonts w:ascii="Arial" w:hAnsi="Arial" w:cs="Arial"/>
          <w:sz w:val="24"/>
          <w:szCs w:val="24"/>
        </w:rPr>
        <w:t>nadir and most recent CD4 count and viral load</w:t>
      </w:r>
      <w:r w:rsidR="00912158">
        <w:rPr>
          <w:rFonts w:ascii="Arial" w:hAnsi="Arial" w:cs="Arial"/>
          <w:sz w:val="24"/>
          <w:szCs w:val="24"/>
        </w:rPr>
        <w:t xml:space="preserve">. </w:t>
      </w:r>
      <w:r w:rsidR="00D338AD">
        <w:rPr>
          <w:rFonts w:ascii="Arial" w:hAnsi="Arial" w:cs="Arial"/>
          <w:sz w:val="24"/>
          <w:szCs w:val="24"/>
        </w:rPr>
        <w:t xml:space="preserve"> In addition, the</w:t>
      </w:r>
      <w:r w:rsidR="003F2E36">
        <w:rPr>
          <w:rFonts w:ascii="Arial" w:hAnsi="Arial" w:cs="Arial"/>
          <w:sz w:val="24"/>
          <w:szCs w:val="24"/>
        </w:rPr>
        <w:t xml:space="preserve"> results of relevant blood tests</w:t>
      </w:r>
      <w:r w:rsidR="00D338AD">
        <w:rPr>
          <w:rFonts w:ascii="Arial" w:hAnsi="Arial" w:cs="Arial"/>
          <w:sz w:val="24"/>
          <w:szCs w:val="24"/>
        </w:rPr>
        <w:t xml:space="preserve"> were extracted, including</w:t>
      </w:r>
      <w:r w:rsidR="002F2712" w:rsidRPr="0076340D">
        <w:rPr>
          <w:rFonts w:ascii="Arial" w:hAnsi="Arial" w:cs="Arial"/>
          <w:sz w:val="24"/>
          <w:szCs w:val="24"/>
        </w:rPr>
        <w:t xml:space="preserve">: </w:t>
      </w:r>
      <w:r w:rsidR="003075F0" w:rsidRPr="0076340D">
        <w:rPr>
          <w:rFonts w:ascii="Arial" w:hAnsi="Arial" w:cs="Arial"/>
          <w:sz w:val="24"/>
          <w:szCs w:val="24"/>
        </w:rPr>
        <w:t>full blood count, urea and electrolytes, liver function tests</w:t>
      </w:r>
      <w:r w:rsidR="00D338AD">
        <w:rPr>
          <w:rFonts w:ascii="Arial" w:hAnsi="Arial" w:cs="Arial"/>
          <w:sz w:val="24"/>
          <w:szCs w:val="24"/>
        </w:rPr>
        <w:t>, lipid profile, urine protein:</w:t>
      </w:r>
      <w:r w:rsidR="00F2354C">
        <w:rPr>
          <w:rFonts w:ascii="Arial" w:hAnsi="Arial" w:cs="Arial"/>
          <w:sz w:val="24"/>
          <w:szCs w:val="24"/>
        </w:rPr>
        <w:t xml:space="preserve"> </w:t>
      </w:r>
      <w:r w:rsidR="00D338AD">
        <w:rPr>
          <w:rFonts w:ascii="Arial" w:hAnsi="Arial" w:cs="Arial"/>
          <w:sz w:val="24"/>
          <w:szCs w:val="24"/>
        </w:rPr>
        <w:t>creatinine</w:t>
      </w:r>
      <w:r w:rsidR="003075F0" w:rsidRPr="0076340D">
        <w:rPr>
          <w:rFonts w:ascii="Arial" w:hAnsi="Arial" w:cs="Arial"/>
          <w:sz w:val="24"/>
          <w:szCs w:val="24"/>
        </w:rPr>
        <w:t xml:space="preserve"> ratio, </w:t>
      </w:r>
      <w:r w:rsidR="00A8311F" w:rsidRPr="0076340D">
        <w:rPr>
          <w:rFonts w:ascii="Arial" w:hAnsi="Arial" w:cs="Arial"/>
          <w:sz w:val="24"/>
          <w:szCs w:val="24"/>
        </w:rPr>
        <w:t xml:space="preserve">uric acid (most recent values). </w:t>
      </w:r>
    </w:p>
    <w:p w:rsidR="00194725" w:rsidRDefault="00A8311F" w:rsidP="00B142A4">
      <w:pPr>
        <w:spacing w:line="480" w:lineRule="auto"/>
        <w:jc w:val="both"/>
        <w:rPr>
          <w:rFonts w:ascii="Arial" w:hAnsi="Arial" w:cs="Arial"/>
          <w:sz w:val="24"/>
          <w:szCs w:val="24"/>
        </w:rPr>
      </w:pPr>
      <w:r w:rsidRPr="0076340D">
        <w:rPr>
          <w:rFonts w:ascii="Arial" w:hAnsi="Arial" w:cs="Arial"/>
          <w:sz w:val="24"/>
          <w:szCs w:val="24"/>
        </w:rPr>
        <w:t xml:space="preserve"> </w:t>
      </w:r>
    </w:p>
    <w:p w:rsidR="00D9631F" w:rsidRPr="0076340D" w:rsidRDefault="00CE6CEA" w:rsidP="00B142A4">
      <w:pPr>
        <w:spacing w:line="480" w:lineRule="auto"/>
        <w:jc w:val="both"/>
        <w:rPr>
          <w:rFonts w:ascii="Arial" w:hAnsi="Arial" w:cs="Arial"/>
          <w:color w:val="262626"/>
          <w:sz w:val="24"/>
          <w:szCs w:val="24"/>
          <w:lang w:val="en-US"/>
        </w:rPr>
      </w:pPr>
      <w:r>
        <w:rPr>
          <w:rFonts w:ascii="Arial" w:hAnsi="Arial" w:cs="Arial"/>
          <w:color w:val="262626"/>
          <w:sz w:val="24"/>
          <w:szCs w:val="24"/>
          <w:lang w:val="en-US"/>
        </w:rPr>
        <w:t>Basic summary statistics were used to describe</w:t>
      </w:r>
      <w:r w:rsidR="00B818B6">
        <w:rPr>
          <w:rFonts w:ascii="Arial" w:hAnsi="Arial" w:cs="Arial"/>
          <w:color w:val="262626"/>
          <w:sz w:val="24"/>
          <w:szCs w:val="24"/>
          <w:lang w:val="en-US"/>
        </w:rPr>
        <w:t xml:space="preserve"> differences in demographic characteristics, HIV factors, comorbidities, and relevant drug therapies between cases and controls. </w:t>
      </w:r>
      <w:r w:rsidR="006D079F">
        <w:rPr>
          <w:rFonts w:ascii="Arial" w:hAnsi="Arial" w:cs="Arial"/>
          <w:color w:val="262626"/>
          <w:sz w:val="24"/>
          <w:szCs w:val="24"/>
          <w:lang w:val="en-US"/>
        </w:rPr>
        <w:t xml:space="preserve">Comparisons were made using Fisher’s exact tests, given the sample size and that the values in some of the cells of the contingency tables were </w:t>
      </w:r>
      <w:r w:rsidR="00775D40">
        <w:rPr>
          <w:rFonts w:ascii="Arial" w:hAnsi="Arial" w:cs="Arial"/>
          <w:color w:val="262626"/>
          <w:sz w:val="24"/>
          <w:szCs w:val="24"/>
          <w:lang w:val="en-US"/>
        </w:rPr>
        <w:t>&lt;</w:t>
      </w:r>
      <w:r w:rsidR="006D079F">
        <w:rPr>
          <w:rFonts w:ascii="Arial" w:hAnsi="Arial" w:cs="Arial"/>
          <w:color w:val="262626"/>
          <w:sz w:val="24"/>
          <w:szCs w:val="24"/>
          <w:lang w:val="en-US"/>
        </w:rPr>
        <w:t xml:space="preserve">5. </w:t>
      </w:r>
      <w:r w:rsidR="00DD0C02">
        <w:rPr>
          <w:rFonts w:ascii="Arial" w:hAnsi="Arial" w:cs="Arial"/>
          <w:sz w:val="24"/>
          <w:szCs w:val="24"/>
        </w:rPr>
        <w:t xml:space="preserve">The same approach was used to compare ART use among cases and controls. </w:t>
      </w:r>
      <w:r w:rsidR="00984EB9">
        <w:rPr>
          <w:rFonts w:ascii="Arial" w:hAnsi="Arial" w:cs="Arial"/>
          <w:sz w:val="24"/>
          <w:szCs w:val="24"/>
        </w:rPr>
        <w:t>From the univariate analyses, we derived</w:t>
      </w:r>
      <w:r w:rsidR="00824341">
        <w:rPr>
          <w:rFonts w:ascii="Arial" w:hAnsi="Arial" w:cs="Arial"/>
          <w:sz w:val="24"/>
          <w:szCs w:val="24"/>
        </w:rPr>
        <w:t xml:space="preserve"> a multivariate</w:t>
      </w:r>
      <w:r w:rsidR="00984EB9">
        <w:rPr>
          <w:rFonts w:ascii="Arial" w:hAnsi="Arial" w:cs="Arial"/>
          <w:sz w:val="24"/>
          <w:szCs w:val="24"/>
        </w:rPr>
        <w:t xml:space="preserve"> conditional logistic regression</w:t>
      </w:r>
      <w:r w:rsidR="00824341">
        <w:rPr>
          <w:rFonts w:ascii="Arial" w:hAnsi="Arial" w:cs="Arial"/>
          <w:sz w:val="24"/>
          <w:szCs w:val="24"/>
        </w:rPr>
        <w:t xml:space="preserve"> model</w:t>
      </w:r>
      <w:r w:rsidR="00984EB9">
        <w:rPr>
          <w:rFonts w:ascii="Arial" w:hAnsi="Arial" w:cs="Arial"/>
          <w:sz w:val="24"/>
          <w:szCs w:val="24"/>
        </w:rPr>
        <w:t xml:space="preserve"> using forward logistic regression</w:t>
      </w:r>
      <w:r w:rsidR="00824341">
        <w:rPr>
          <w:rFonts w:ascii="Arial" w:hAnsi="Arial" w:cs="Arial"/>
          <w:sz w:val="24"/>
          <w:szCs w:val="24"/>
        </w:rPr>
        <w:t>, keeping factors which were significantly associated with the risk of being a case</w:t>
      </w:r>
      <w:r w:rsidR="00984EB9">
        <w:rPr>
          <w:rFonts w:ascii="Arial" w:hAnsi="Arial" w:cs="Arial"/>
          <w:sz w:val="24"/>
          <w:szCs w:val="24"/>
        </w:rPr>
        <w:t xml:space="preserve"> (p&lt;0.1)</w:t>
      </w:r>
      <w:r w:rsidR="00824341">
        <w:rPr>
          <w:rFonts w:ascii="Arial" w:hAnsi="Arial" w:cs="Arial"/>
          <w:sz w:val="24"/>
          <w:szCs w:val="24"/>
        </w:rPr>
        <w:t>, independently of other variables.</w:t>
      </w:r>
      <w:r w:rsidR="00984EB9">
        <w:rPr>
          <w:rFonts w:ascii="Arial" w:hAnsi="Arial" w:cs="Arial"/>
          <w:sz w:val="24"/>
          <w:szCs w:val="24"/>
        </w:rPr>
        <w:t xml:space="preserve"> </w:t>
      </w:r>
      <w:r w:rsidR="00D9631F">
        <w:rPr>
          <w:rFonts w:ascii="Arial" w:hAnsi="Arial" w:cs="Arial"/>
          <w:color w:val="262626"/>
          <w:sz w:val="24"/>
          <w:szCs w:val="24"/>
          <w:lang w:val="en-US"/>
        </w:rPr>
        <w:t xml:space="preserve">Analyses were conducted with Stata statistical software (v. 14.0) </w:t>
      </w:r>
      <w:r w:rsidR="00D9631F" w:rsidRPr="00D9631F">
        <w:rPr>
          <w:rFonts w:ascii="Arial" w:hAnsi="Arial" w:cs="Arial"/>
          <w:color w:val="262626"/>
          <w:sz w:val="24"/>
          <w:szCs w:val="24"/>
          <w:lang w:val="en-US"/>
        </w:rPr>
        <w:t>(StataCorp LP, College Station, Texas, USA).</w:t>
      </w:r>
    </w:p>
    <w:p w:rsidR="00194725" w:rsidRDefault="00194725" w:rsidP="003579F7">
      <w:pPr>
        <w:spacing w:line="480" w:lineRule="auto"/>
        <w:rPr>
          <w:rFonts w:ascii="Arial" w:hAnsi="Arial" w:cs="Arial"/>
          <w:sz w:val="24"/>
          <w:szCs w:val="24"/>
        </w:rPr>
      </w:pPr>
    </w:p>
    <w:p w:rsidR="00B142A4" w:rsidRDefault="00B142A4" w:rsidP="003579F7">
      <w:pPr>
        <w:spacing w:line="480" w:lineRule="auto"/>
        <w:rPr>
          <w:rFonts w:ascii="Arial" w:hAnsi="Arial" w:cs="Arial"/>
          <w:b/>
          <w:sz w:val="24"/>
          <w:szCs w:val="24"/>
        </w:rPr>
      </w:pPr>
      <w:r>
        <w:rPr>
          <w:rFonts w:ascii="Arial" w:hAnsi="Arial" w:cs="Arial"/>
          <w:b/>
          <w:sz w:val="24"/>
          <w:szCs w:val="24"/>
        </w:rPr>
        <w:lastRenderedPageBreak/>
        <w:t>Results</w:t>
      </w:r>
    </w:p>
    <w:p w:rsidR="00D76AC0" w:rsidRPr="00D76AC0" w:rsidRDefault="00417682" w:rsidP="00D76AC0">
      <w:pPr>
        <w:spacing w:line="480" w:lineRule="auto"/>
        <w:jc w:val="both"/>
        <w:rPr>
          <w:rFonts w:ascii="Arial" w:hAnsi="Arial" w:cs="Arial"/>
          <w:sz w:val="24"/>
          <w:szCs w:val="24"/>
        </w:rPr>
      </w:pPr>
      <w:r w:rsidRPr="00417682">
        <w:rPr>
          <w:rFonts w:ascii="Arial" w:hAnsi="Arial" w:cs="Arial"/>
          <w:sz w:val="24"/>
          <w:szCs w:val="24"/>
        </w:rPr>
        <w:t xml:space="preserve">In total, 45 </w:t>
      </w:r>
      <w:r w:rsidR="006D7891">
        <w:rPr>
          <w:rFonts w:ascii="Arial" w:hAnsi="Arial" w:cs="Arial"/>
          <w:sz w:val="24"/>
          <w:szCs w:val="24"/>
        </w:rPr>
        <w:t>HIV-</w:t>
      </w:r>
      <w:r w:rsidR="00DB5452">
        <w:rPr>
          <w:rFonts w:ascii="Arial" w:hAnsi="Arial" w:cs="Arial"/>
          <w:sz w:val="24"/>
          <w:szCs w:val="24"/>
        </w:rPr>
        <w:t>positive</w:t>
      </w:r>
      <w:r>
        <w:rPr>
          <w:rFonts w:ascii="Arial" w:hAnsi="Arial" w:cs="Arial"/>
          <w:sz w:val="24"/>
          <w:szCs w:val="24"/>
        </w:rPr>
        <w:t xml:space="preserve"> </w:t>
      </w:r>
      <w:r w:rsidR="00DD026E">
        <w:rPr>
          <w:rFonts w:ascii="Arial" w:hAnsi="Arial" w:cs="Arial"/>
          <w:sz w:val="24"/>
          <w:szCs w:val="24"/>
        </w:rPr>
        <w:t>patients</w:t>
      </w:r>
      <w:r>
        <w:rPr>
          <w:rFonts w:ascii="Arial" w:hAnsi="Arial" w:cs="Arial"/>
          <w:sz w:val="24"/>
          <w:szCs w:val="24"/>
        </w:rPr>
        <w:t xml:space="preserve"> were iden</w:t>
      </w:r>
      <w:r w:rsidR="00CE32B7">
        <w:rPr>
          <w:rFonts w:ascii="Arial" w:hAnsi="Arial" w:cs="Arial"/>
          <w:sz w:val="24"/>
          <w:szCs w:val="24"/>
        </w:rPr>
        <w:t>tified with a diagnosis of gout</w:t>
      </w:r>
      <w:r w:rsidR="00DD026E">
        <w:rPr>
          <w:rFonts w:ascii="Arial" w:hAnsi="Arial" w:cs="Arial"/>
          <w:sz w:val="24"/>
          <w:szCs w:val="24"/>
        </w:rPr>
        <w:t xml:space="preserve"> amongst the total cohort of 2042 registered </w:t>
      </w:r>
      <w:r w:rsidR="00486A71">
        <w:rPr>
          <w:rFonts w:ascii="Arial" w:hAnsi="Arial" w:cs="Arial"/>
          <w:sz w:val="24"/>
          <w:szCs w:val="24"/>
        </w:rPr>
        <w:t>on the database</w:t>
      </w:r>
      <w:r w:rsidR="00DD026E">
        <w:rPr>
          <w:rFonts w:ascii="Arial" w:hAnsi="Arial" w:cs="Arial"/>
          <w:sz w:val="24"/>
          <w:szCs w:val="24"/>
        </w:rPr>
        <w:t xml:space="preserve"> (</w:t>
      </w:r>
      <w:r w:rsidR="00331162">
        <w:rPr>
          <w:rFonts w:ascii="Arial" w:hAnsi="Arial" w:cs="Arial"/>
          <w:sz w:val="24"/>
          <w:szCs w:val="24"/>
        </w:rPr>
        <w:t xml:space="preserve">estimated </w:t>
      </w:r>
      <w:r w:rsidR="00DD026E">
        <w:rPr>
          <w:rFonts w:ascii="Arial" w:hAnsi="Arial" w:cs="Arial"/>
          <w:sz w:val="24"/>
          <w:szCs w:val="24"/>
        </w:rPr>
        <w:t>point prevalence 2.2%</w:t>
      </w:r>
      <w:r w:rsidR="00AC1334">
        <w:rPr>
          <w:rFonts w:ascii="Arial" w:hAnsi="Arial" w:cs="Arial"/>
          <w:sz w:val="24"/>
          <w:szCs w:val="24"/>
        </w:rPr>
        <w:t>, 95% CI 1.6-2.9%</w:t>
      </w:r>
      <w:r w:rsidR="00DD026E">
        <w:rPr>
          <w:rFonts w:ascii="Arial" w:hAnsi="Arial" w:cs="Arial"/>
          <w:sz w:val="24"/>
          <w:szCs w:val="24"/>
        </w:rPr>
        <w:t>). All of the cases identified were male</w:t>
      </w:r>
      <w:r w:rsidR="00CE32B7">
        <w:rPr>
          <w:rFonts w:ascii="Arial" w:hAnsi="Arial" w:cs="Arial"/>
          <w:sz w:val="24"/>
          <w:szCs w:val="24"/>
        </w:rPr>
        <w:t>. The mean age of cases was 56 years</w:t>
      </w:r>
      <w:r w:rsidR="00A125BB">
        <w:rPr>
          <w:rFonts w:ascii="Arial" w:hAnsi="Arial" w:cs="Arial"/>
          <w:sz w:val="24"/>
          <w:szCs w:val="24"/>
        </w:rPr>
        <w:t xml:space="preserve">, </w:t>
      </w:r>
      <w:r w:rsidR="00CE32B7">
        <w:rPr>
          <w:rFonts w:ascii="Arial" w:hAnsi="Arial" w:cs="Arial"/>
          <w:sz w:val="24"/>
          <w:szCs w:val="24"/>
        </w:rPr>
        <w:t xml:space="preserve">84% were white Caucasian </w:t>
      </w:r>
      <w:r w:rsidR="00A125BB">
        <w:rPr>
          <w:rFonts w:ascii="Arial" w:hAnsi="Arial" w:cs="Arial"/>
          <w:sz w:val="24"/>
          <w:szCs w:val="24"/>
        </w:rPr>
        <w:t>and 9% black African. The</w:t>
      </w:r>
      <w:r w:rsidR="00DB5452">
        <w:rPr>
          <w:rFonts w:ascii="Arial" w:hAnsi="Arial" w:cs="Arial"/>
          <w:sz w:val="24"/>
          <w:szCs w:val="24"/>
        </w:rPr>
        <w:t xml:space="preserve">ir overall </w:t>
      </w:r>
      <w:r w:rsidR="00A125BB">
        <w:rPr>
          <w:rFonts w:ascii="Arial" w:hAnsi="Arial" w:cs="Arial"/>
          <w:sz w:val="24"/>
          <w:szCs w:val="24"/>
        </w:rPr>
        <w:t>medi</w:t>
      </w:r>
      <w:r w:rsidR="00B753BA">
        <w:rPr>
          <w:rFonts w:ascii="Arial" w:hAnsi="Arial" w:cs="Arial"/>
          <w:sz w:val="24"/>
          <w:szCs w:val="24"/>
        </w:rPr>
        <w:t xml:space="preserve">an duration of HIV infection was </w:t>
      </w:r>
      <w:r w:rsidR="00A125BB">
        <w:rPr>
          <w:rFonts w:ascii="Arial" w:hAnsi="Arial" w:cs="Arial"/>
          <w:sz w:val="24"/>
          <w:szCs w:val="24"/>
        </w:rPr>
        <w:t xml:space="preserve">160 months and all had acquired HIV through sexual contact (mostly </w:t>
      </w:r>
      <w:r w:rsidR="004F5B37">
        <w:rPr>
          <w:rFonts w:ascii="Arial" w:hAnsi="Arial" w:cs="Arial"/>
          <w:sz w:val="24"/>
          <w:szCs w:val="24"/>
        </w:rPr>
        <w:t>men who have sex with men, ‘</w:t>
      </w:r>
      <w:r w:rsidR="00A125BB">
        <w:rPr>
          <w:rFonts w:ascii="Arial" w:hAnsi="Arial" w:cs="Arial"/>
          <w:sz w:val="24"/>
          <w:szCs w:val="24"/>
        </w:rPr>
        <w:t>MSMs</w:t>
      </w:r>
      <w:r w:rsidR="004F5B37">
        <w:rPr>
          <w:rFonts w:ascii="Arial" w:hAnsi="Arial" w:cs="Arial"/>
          <w:sz w:val="24"/>
          <w:szCs w:val="24"/>
        </w:rPr>
        <w:t>’</w:t>
      </w:r>
      <w:r w:rsidR="00A125BB">
        <w:rPr>
          <w:rFonts w:ascii="Arial" w:hAnsi="Arial" w:cs="Arial"/>
          <w:sz w:val="24"/>
          <w:szCs w:val="24"/>
        </w:rPr>
        <w:t>). The majority</w:t>
      </w:r>
      <w:r w:rsidR="00DB5452">
        <w:rPr>
          <w:rFonts w:ascii="Arial" w:hAnsi="Arial" w:cs="Arial"/>
          <w:sz w:val="24"/>
          <w:szCs w:val="24"/>
        </w:rPr>
        <w:t>,</w:t>
      </w:r>
      <w:r w:rsidR="00A125BB">
        <w:rPr>
          <w:rFonts w:ascii="Arial" w:hAnsi="Arial" w:cs="Arial"/>
          <w:sz w:val="24"/>
          <w:szCs w:val="24"/>
        </w:rPr>
        <w:t xml:space="preserve"> </w:t>
      </w:r>
      <w:r w:rsidR="00D5439C">
        <w:rPr>
          <w:rFonts w:ascii="Arial" w:hAnsi="Arial" w:cs="Arial"/>
          <w:sz w:val="24"/>
          <w:szCs w:val="24"/>
        </w:rPr>
        <w:t>41</w:t>
      </w:r>
      <w:r w:rsidR="00F1393F">
        <w:rPr>
          <w:rFonts w:ascii="Arial" w:hAnsi="Arial" w:cs="Arial"/>
          <w:sz w:val="24"/>
          <w:szCs w:val="24"/>
        </w:rPr>
        <w:t>/45</w:t>
      </w:r>
      <w:r w:rsidR="006B6522">
        <w:rPr>
          <w:rFonts w:ascii="Arial" w:hAnsi="Arial" w:cs="Arial"/>
          <w:sz w:val="24"/>
          <w:szCs w:val="24"/>
        </w:rPr>
        <w:t xml:space="preserve"> (</w:t>
      </w:r>
      <w:r w:rsidR="00D5439C">
        <w:rPr>
          <w:rFonts w:ascii="Arial" w:hAnsi="Arial" w:cs="Arial"/>
          <w:sz w:val="24"/>
          <w:szCs w:val="24"/>
        </w:rPr>
        <w:t>91</w:t>
      </w:r>
      <w:r w:rsidR="006B6522">
        <w:rPr>
          <w:rFonts w:ascii="Arial" w:hAnsi="Arial" w:cs="Arial"/>
          <w:sz w:val="24"/>
          <w:szCs w:val="24"/>
        </w:rPr>
        <w:t xml:space="preserve">%) </w:t>
      </w:r>
      <w:r w:rsidR="00D5439C">
        <w:rPr>
          <w:rFonts w:ascii="Arial" w:hAnsi="Arial" w:cs="Arial"/>
          <w:sz w:val="24"/>
          <w:szCs w:val="24"/>
        </w:rPr>
        <w:t>were currently taking</w:t>
      </w:r>
      <w:r w:rsidR="006B6522">
        <w:rPr>
          <w:rFonts w:ascii="Arial" w:hAnsi="Arial" w:cs="Arial"/>
          <w:sz w:val="24"/>
          <w:szCs w:val="24"/>
        </w:rPr>
        <w:t xml:space="preserve"> </w:t>
      </w:r>
      <w:r w:rsidR="00A125BB">
        <w:rPr>
          <w:rFonts w:ascii="Arial" w:hAnsi="Arial" w:cs="Arial"/>
          <w:sz w:val="24"/>
          <w:szCs w:val="24"/>
        </w:rPr>
        <w:t xml:space="preserve">ART. </w:t>
      </w:r>
      <w:r w:rsidR="00D76AC0" w:rsidRPr="00D76AC0">
        <w:rPr>
          <w:rFonts w:ascii="Arial" w:hAnsi="Arial" w:cs="Arial"/>
          <w:sz w:val="24"/>
          <w:szCs w:val="24"/>
        </w:rPr>
        <w:t xml:space="preserve">Serum urate levels had been measured within the past 12 months for 26/45 (58%) cases and </w:t>
      </w:r>
      <w:r w:rsidR="00D76AC0">
        <w:rPr>
          <w:rFonts w:ascii="Arial" w:hAnsi="Arial" w:cs="Arial"/>
          <w:sz w:val="24"/>
          <w:szCs w:val="24"/>
        </w:rPr>
        <w:t>t</w:t>
      </w:r>
      <w:r w:rsidR="00D76AC0" w:rsidRPr="00D76AC0">
        <w:rPr>
          <w:rFonts w:ascii="Arial" w:hAnsi="Arial" w:cs="Arial"/>
          <w:sz w:val="24"/>
          <w:szCs w:val="24"/>
        </w:rPr>
        <w:t xml:space="preserve">he </w:t>
      </w:r>
      <w:r w:rsidR="00D76AC0">
        <w:rPr>
          <w:rFonts w:ascii="Arial" w:hAnsi="Arial" w:cs="Arial"/>
          <w:sz w:val="24"/>
          <w:szCs w:val="24"/>
        </w:rPr>
        <w:t xml:space="preserve">average </w:t>
      </w:r>
      <w:r w:rsidR="00D76AC0" w:rsidRPr="00D76AC0">
        <w:rPr>
          <w:rFonts w:ascii="Arial" w:hAnsi="Arial" w:cs="Arial"/>
          <w:sz w:val="24"/>
          <w:szCs w:val="24"/>
        </w:rPr>
        <w:t>mean</w:t>
      </w:r>
      <w:r w:rsidR="00D76AC0">
        <w:rPr>
          <w:rFonts w:ascii="Arial" w:hAnsi="Arial" w:cs="Arial"/>
          <w:sz w:val="24"/>
          <w:szCs w:val="24"/>
        </w:rPr>
        <w:t xml:space="preserve"> </w:t>
      </w:r>
      <w:r w:rsidR="00CB5672">
        <w:rPr>
          <w:rFonts w:ascii="Arial" w:hAnsi="Arial" w:cs="Arial"/>
          <w:sz w:val="24"/>
          <w:szCs w:val="24"/>
        </w:rPr>
        <w:t>serum urate was 0.40</w:t>
      </w:r>
      <w:r w:rsidR="00331162">
        <w:rPr>
          <w:rFonts w:ascii="Arial" w:hAnsi="Arial" w:cs="Arial"/>
          <w:sz w:val="24"/>
          <w:szCs w:val="24"/>
        </w:rPr>
        <w:t>mM</w:t>
      </w:r>
      <w:r w:rsidR="00D76AC0" w:rsidRPr="00D76AC0">
        <w:rPr>
          <w:rFonts w:ascii="Arial" w:hAnsi="Arial" w:cs="Arial"/>
          <w:sz w:val="24"/>
          <w:szCs w:val="24"/>
        </w:rPr>
        <w:t>ol/L (reference range</w:t>
      </w:r>
      <w:r w:rsidR="00CB5672">
        <w:rPr>
          <w:rFonts w:ascii="Arial" w:hAnsi="Arial" w:cs="Arial"/>
          <w:sz w:val="24"/>
          <w:szCs w:val="24"/>
        </w:rPr>
        <w:t xml:space="preserve"> in our laboratory: 0.20-0.42</w:t>
      </w:r>
      <w:r w:rsidR="00331162">
        <w:rPr>
          <w:rFonts w:ascii="Arial" w:hAnsi="Arial" w:cs="Arial"/>
          <w:sz w:val="24"/>
          <w:szCs w:val="24"/>
        </w:rPr>
        <w:t>mM</w:t>
      </w:r>
      <w:r w:rsidR="00D76AC0" w:rsidRPr="00D76AC0">
        <w:rPr>
          <w:rFonts w:ascii="Arial" w:hAnsi="Arial" w:cs="Arial"/>
          <w:sz w:val="24"/>
          <w:szCs w:val="24"/>
        </w:rPr>
        <w:t>ol/L).</w:t>
      </w:r>
    </w:p>
    <w:p w:rsidR="00C66501" w:rsidRDefault="00C66501" w:rsidP="00CE32B7">
      <w:pPr>
        <w:spacing w:line="480" w:lineRule="auto"/>
        <w:jc w:val="both"/>
        <w:rPr>
          <w:rFonts w:ascii="Arial" w:hAnsi="Arial" w:cs="Arial"/>
          <w:sz w:val="24"/>
          <w:szCs w:val="24"/>
        </w:rPr>
      </w:pPr>
    </w:p>
    <w:p w:rsidR="00C66501" w:rsidRDefault="00D76AC0" w:rsidP="00CE32B7">
      <w:pPr>
        <w:spacing w:line="480" w:lineRule="auto"/>
        <w:jc w:val="both"/>
        <w:rPr>
          <w:rFonts w:ascii="Arial" w:hAnsi="Arial" w:cs="Arial"/>
          <w:sz w:val="24"/>
          <w:szCs w:val="24"/>
        </w:rPr>
      </w:pPr>
      <w:r w:rsidRPr="00D76AC0">
        <w:rPr>
          <w:rFonts w:ascii="Arial" w:hAnsi="Arial" w:cs="Arial"/>
          <w:sz w:val="24"/>
          <w:szCs w:val="24"/>
        </w:rPr>
        <w:t>For each case, two age-matched controls were identified</w:t>
      </w:r>
      <w:r>
        <w:rPr>
          <w:rFonts w:ascii="Arial" w:hAnsi="Arial" w:cs="Arial"/>
          <w:sz w:val="24"/>
          <w:szCs w:val="24"/>
        </w:rPr>
        <w:t xml:space="preserve"> (Table 1)</w:t>
      </w:r>
      <w:r w:rsidRPr="00D76AC0">
        <w:rPr>
          <w:rFonts w:ascii="Arial" w:hAnsi="Arial" w:cs="Arial"/>
          <w:sz w:val="24"/>
          <w:szCs w:val="24"/>
        </w:rPr>
        <w:t xml:space="preserve">. </w:t>
      </w:r>
      <w:r w:rsidR="006D079F">
        <w:rPr>
          <w:rFonts w:ascii="Arial" w:hAnsi="Arial" w:cs="Arial"/>
          <w:sz w:val="24"/>
          <w:szCs w:val="24"/>
        </w:rPr>
        <w:t xml:space="preserve">A comparison of the demographic and HIV factors of the selected controls with the main database population showed that they were a representative sample (data not shown). </w:t>
      </w:r>
      <w:r w:rsidR="00C66501">
        <w:rPr>
          <w:rFonts w:ascii="Arial" w:hAnsi="Arial" w:cs="Arial"/>
          <w:sz w:val="24"/>
          <w:szCs w:val="24"/>
        </w:rPr>
        <w:t>The face validity of our search strategy was e</w:t>
      </w:r>
      <w:r w:rsidR="00D5439C">
        <w:rPr>
          <w:rFonts w:ascii="Arial" w:hAnsi="Arial" w:cs="Arial"/>
          <w:sz w:val="24"/>
          <w:szCs w:val="24"/>
        </w:rPr>
        <w:t>xplored</w:t>
      </w:r>
      <w:r w:rsidR="00C66501">
        <w:rPr>
          <w:rFonts w:ascii="Arial" w:hAnsi="Arial" w:cs="Arial"/>
          <w:sz w:val="24"/>
          <w:szCs w:val="24"/>
        </w:rPr>
        <w:t xml:space="preserve"> by comparison of the 45 cases with the 90 controls for the following </w:t>
      </w:r>
      <w:r w:rsidR="00D5439C">
        <w:rPr>
          <w:rFonts w:ascii="Arial" w:hAnsi="Arial" w:cs="Arial"/>
          <w:sz w:val="24"/>
          <w:szCs w:val="24"/>
        </w:rPr>
        <w:t xml:space="preserve">gout </w:t>
      </w:r>
      <w:r w:rsidR="00C66501">
        <w:rPr>
          <w:rFonts w:ascii="Arial" w:hAnsi="Arial" w:cs="Arial"/>
          <w:sz w:val="24"/>
          <w:szCs w:val="24"/>
        </w:rPr>
        <w:t xml:space="preserve">treatments: naproxen, diclofenac, colchicine and allopurinol. </w:t>
      </w:r>
      <w:r>
        <w:rPr>
          <w:rFonts w:ascii="Arial" w:hAnsi="Arial" w:cs="Arial"/>
          <w:sz w:val="24"/>
          <w:szCs w:val="24"/>
        </w:rPr>
        <w:t xml:space="preserve">As expected, cases were </w:t>
      </w:r>
      <w:r w:rsidR="00CB10D6">
        <w:rPr>
          <w:rFonts w:ascii="Arial" w:hAnsi="Arial" w:cs="Arial"/>
          <w:sz w:val="24"/>
          <w:szCs w:val="24"/>
        </w:rPr>
        <w:t xml:space="preserve">highly </w:t>
      </w:r>
      <w:r>
        <w:rPr>
          <w:rFonts w:ascii="Arial" w:hAnsi="Arial" w:cs="Arial"/>
          <w:sz w:val="24"/>
          <w:szCs w:val="24"/>
        </w:rPr>
        <w:t xml:space="preserve">significantly more likely to report use of </w:t>
      </w:r>
      <w:r w:rsidR="00CB10D6">
        <w:rPr>
          <w:rFonts w:ascii="Arial" w:hAnsi="Arial" w:cs="Arial"/>
          <w:sz w:val="24"/>
          <w:szCs w:val="24"/>
        </w:rPr>
        <w:t xml:space="preserve">each of </w:t>
      </w:r>
      <w:r>
        <w:rPr>
          <w:rFonts w:ascii="Arial" w:hAnsi="Arial" w:cs="Arial"/>
          <w:sz w:val="24"/>
          <w:szCs w:val="24"/>
        </w:rPr>
        <w:t xml:space="preserve">these drugs </w:t>
      </w:r>
      <w:r w:rsidR="00CB10D6">
        <w:rPr>
          <w:rFonts w:ascii="Arial" w:hAnsi="Arial" w:cs="Arial"/>
          <w:sz w:val="24"/>
          <w:szCs w:val="24"/>
        </w:rPr>
        <w:t xml:space="preserve">when compared with </w:t>
      </w:r>
      <w:r>
        <w:rPr>
          <w:rFonts w:ascii="Arial" w:hAnsi="Arial" w:cs="Arial"/>
          <w:sz w:val="24"/>
          <w:szCs w:val="24"/>
        </w:rPr>
        <w:lastRenderedPageBreak/>
        <w:t>controls</w:t>
      </w:r>
      <w:r w:rsidR="00C66501">
        <w:rPr>
          <w:rFonts w:ascii="Arial" w:hAnsi="Arial" w:cs="Arial"/>
          <w:sz w:val="24"/>
          <w:szCs w:val="24"/>
        </w:rPr>
        <w:t xml:space="preserve"> and 18/45 (40%) of cases were currently taking allopurinol, as compared with no controls (p&lt;0.001).</w:t>
      </w:r>
      <w:r w:rsidR="00DD026E">
        <w:rPr>
          <w:rFonts w:ascii="Arial" w:hAnsi="Arial" w:cs="Arial"/>
          <w:sz w:val="24"/>
          <w:szCs w:val="24"/>
        </w:rPr>
        <w:t xml:space="preserve"> Moreover, cases were more likely to have ever </w:t>
      </w:r>
      <w:r>
        <w:rPr>
          <w:rFonts w:ascii="Arial" w:hAnsi="Arial" w:cs="Arial"/>
          <w:sz w:val="24"/>
          <w:szCs w:val="24"/>
        </w:rPr>
        <w:t>been exposed to</w:t>
      </w:r>
      <w:r w:rsidR="00DD026E">
        <w:rPr>
          <w:rFonts w:ascii="Arial" w:hAnsi="Arial" w:cs="Arial"/>
          <w:sz w:val="24"/>
          <w:szCs w:val="24"/>
        </w:rPr>
        <w:t xml:space="preserve"> loop diuretics (p=0.004</w:t>
      </w:r>
      <w:r>
        <w:rPr>
          <w:rFonts w:ascii="Arial" w:hAnsi="Arial" w:cs="Arial"/>
          <w:sz w:val="24"/>
          <w:szCs w:val="24"/>
        </w:rPr>
        <w:t>)</w:t>
      </w:r>
      <w:r w:rsidR="00DD026E">
        <w:rPr>
          <w:rFonts w:ascii="Arial" w:hAnsi="Arial" w:cs="Arial"/>
          <w:sz w:val="24"/>
          <w:szCs w:val="24"/>
        </w:rPr>
        <w:t xml:space="preserve"> and to be currently taking thiazide diuretics (p</w:t>
      </w:r>
      <w:r>
        <w:rPr>
          <w:rFonts w:ascii="Arial" w:hAnsi="Arial" w:cs="Arial"/>
          <w:sz w:val="24"/>
          <w:szCs w:val="24"/>
        </w:rPr>
        <w:t>=0.008</w:t>
      </w:r>
      <w:r w:rsidR="00DD026E">
        <w:rPr>
          <w:rFonts w:ascii="Arial" w:hAnsi="Arial" w:cs="Arial"/>
          <w:sz w:val="24"/>
          <w:szCs w:val="24"/>
        </w:rPr>
        <w:t>)</w:t>
      </w:r>
      <w:r>
        <w:rPr>
          <w:rFonts w:ascii="Arial" w:hAnsi="Arial" w:cs="Arial"/>
          <w:sz w:val="24"/>
          <w:szCs w:val="24"/>
        </w:rPr>
        <w:t xml:space="preserve"> than controls</w:t>
      </w:r>
      <w:r w:rsidR="00DD026E">
        <w:rPr>
          <w:rFonts w:ascii="Arial" w:hAnsi="Arial" w:cs="Arial"/>
          <w:sz w:val="24"/>
          <w:szCs w:val="24"/>
        </w:rPr>
        <w:t>.</w:t>
      </w:r>
      <w:r w:rsidR="00331162">
        <w:rPr>
          <w:rFonts w:ascii="Arial" w:hAnsi="Arial" w:cs="Arial"/>
          <w:sz w:val="24"/>
          <w:szCs w:val="24"/>
        </w:rPr>
        <w:t xml:space="preserve"> More of the cases had evidence of exposure to ethambutol and pyrazinamide but the numbers were small and did not attain statistical significance.</w:t>
      </w:r>
    </w:p>
    <w:p w:rsidR="00A125BB" w:rsidRDefault="00A125BB" w:rsidP="00CE32B7">
      <w:pPr>
        <w:spacing w:line="480" w:lineRule="auto"/>
        <w:jc w:val="both"/>
        <w:rPr>
          <w:rFonts w:ascii="Arial" w:hAnsi="Arial" w:cs="Arial"/>
          <w:sz w:val="24"/>
          <w:szCs w:val="24"/>
        </w:rPr>
      </w:pPr>
    </w:p>
    <w:p w:rsidR="00B753BA" w:rsidRDefault="00A125BB" w:rsidP="00CE32B7">
      <w:pPr>
        <w:spacing w:line="480" w:lineRule="auto"/>
        <w:jc w:val="both"/>
        <w:rPr>
          <w:rFonts w:ascii="Arial" w:hAnsi="Arial" w:cs="Arial"/>
          <w:sz w:val="24"/>
          <w:szCs w:val="24"/>
        </w:rPr>
      </w:pPr>
      <w:r>
        <w:rPr>
          <w:rFonts w:ascii="Arial" w:hAnsi="Arial" w:cs="Arial"/>
          <w:sz w:val="24"/>
          <w:szCs w:val="24"/>
        </w:rPr>
        <w:t xml:space="preserve">There were significantly </w:t>
      </w:r>
      <w:r w:rsidR="00425002">
        <w:rPr>
          <w:rFonts w:ascii="Arial" w:hAnsi="Arial" w:cs="Arial"/>
          <w:sz w:val="24"/>
          <w:szCs w:val="24"/>
        </w:rPr>
        <w:t>more</w:t>
      </w:r>
      <w:r>
        <w:rPr>
          <w:rFonts w:ascii="Arial" w:hAnsi="Arial" w:cs="Arial"/>
          <w:sz w:val="24"/>
          <w:szCs w:val="24"/>
        </w:rPr>
        <w:t xml:space="preserve"> </w:t>
      </w:r>
      <w:r w:rsidR="00C10F7D">
        <w:rPr>
          <w:rFonts w:ascii="Arial" w:hAnsi="Arial" w:cs="Arial"/>
          <w:sz w:val="24"/>
          <w:szCs w:val="24"/>
        </w:rPr>
        <w:t>non-Caucasian</w:t>
      </w:r>
      <w:r w:rsidR="00F2354C">
        <w:rPr>
          <w:rFonts w:ascii="Arial" w:hAnsi="Arial" w:cs="Arial"/>
          <w:sz w:val="24"/>
          <w:szCs w:val="24"/>
        </w:rPr>
        <w:t>s</w:t>
      </w:r>
      <w:r>
        <w:rPr>
          <w:rFonts w:ascii="Arial" w:hAnsi="Arial" w:cs="Arial"/>
          <w:sz w:val="24"/>
          <w:szCs w:val="24"/>
        </w:rPr>
        <w:t xml:space="preserve"> among </w:t>
      </w:r>
      <w:r w:rsidR="00C10F7D">
        <w:rPr>
          <w:rFonts w:ascii="Arial" w:hAnsi="Arial" w:cs="Arial"/>
          <w:sz w:val="24"/>
          <w:szCs w:val="24"/>
        </w:rPr>
        <w:t>cases (6.6</w:t>
      </w:r>
      <w:r w:rsidR="00425002">
        <w:rPr>
          <w:rFonts w:ascii="Arial" w:hAnsi="Arial" w:cs="Arial"/>
          <w:sz w:val="24"/>
          <w:szCs w:val="24"/>
        </w:rPr>
        <w:t xml:space="preserve">%) than among the controls (4.4%) </w:t>
      </w:r>
      <w:r w:rsidR="00C10F7D">
        <w:rPr>
          <w:rFonts w:ascii="Arial" w:hAnsi="Arial" w:cs="Arial"/>
          <w:sz w:val="24"/>
          <w:szCs w:val="24"/>
        </w:rPr>
        <w:t>(p=0.02</w:t>
      </w:r>
      <w:r w:rsidR="00425002">
        <w:rPr>
          <w:rFonts w:ascii="Arial" w:hAnsi="Arial" w:cs="Arial"/>
          <w:sz w:val="24"/>
          <w:szCs w:val="24"/>
        </w:rPr>
        <w:t>). Cases were</w:t>
      </w:r>
      <w:r w:rsidR="00B753BA">
        <w:rPr>
          <w:rFonts w:ascii="Arial" w:hAnsi="Arial" w:cs="Arial"/>
          <w:sz w:val="24"/>
          <w:szCs w:val="24"/>
        </w:rPr>
        <w:t xml:space="preserve">, </w:t>
      </w:r>
      <w:r w:rsidR="00425002">
        <w:rPr>
          <w:rFonts w:ascii="Arial" w:hAnsi="Arial" w:cs="Arial"/>
          <w:sz w:val="24"/>
          <w:szCs w:val="24"/>
        </w:rPr>
        <w:t>on average</w:t>
      </w:r>
      <w:r w:rsidR="00B753BA">
        <w:rPr>
          <w:rFonts w:ascii="Arial" w:hAnsi="Arial" w:cs="Arial"/>
          <w:sz w:val="24"/>
          <w:szCs w:val="24"/>
        </w:rPr>
        <w:t>,</w:t>
      </w:r>
      <w:r w:rsidR="00425002">
        <w:rPr>
          <w:rFonts w:ascii="Arial" w:hAnsi="Arial" w:cs="Arial"/>
          <w:sz w:val="24"/>
          <w:szCs w:val="24"/>
        </w:rPr>
        <w:t xml:space="preserve"> 10.5kg heavier than controls (88.0 vs 77.5kg, p&lt;0.001) </w:t>
      </w:r>
      <w:r w:rsidR="00DB5452">
        <w:rPr>
          <w:rFonts w:ascii="Arial" w:hAnsi="Arial" w:cs="Arial"/>
          <w:sz w:val="24"/>
          <w:szCs w:val="24"/>
        </w:rPr>
        <w:t xml:space="preserve">with </w:t>
      </w:r>
      <w:r w:rsidR="00425002">
        <w:rPr>
          <w:rFonts w:ascii="Arial" w:hAnsi="Arial" w:cs="Arial"/>
          <w:sz w:val="24"/>
          <w:szCs w:val="24"/>
        </w:rPr>
        <w:t>more adiposity as defined by body mass index</w:t>
      </w:r>
      <w:r w:rsidR="004C0037">
        <w:rPr>
          <w:rFonts w:ascii="Arial" w:hAnsi="Arial" w:cs="Arial"/>
          <w:sz w:val="24"/>
          <w:szCs w:val="24"/>
        </w:rPr>
        <w:t xml:space="preserve"> (p=0.006</w:t>
      </w:r>
      <w:r>
        <w:rPr>
          <w:rFonts w:ascii="Arial" w:hAnsi="Arial" w:cs="Arial"/>
          <w:sz w:val="24"/>
          <w:szCs w:val="24"/>
        </w:rPr>
        <w:t xml:space="preserve">). </w:t>
      </w:r>
      <w:r w:rsidR="00425002">
        <w:rPr>
          <w:rFonts w:ascii="Arial" w:hAnsi="Arial" w:cs="Arial"/>
          <w:sz w:val="24"/>
          <w:szCs w:val="24"/>
        </w:rPr>
        <w:t xml:space="preserve">The cases were more likely to have been diagnosed (p=0.002) and treated (p=0.002) for hypertension </w:t>
      </w:r>
      <w:r w:rsidR="00B753BA">
        <w:rPr>
          <w:rFonts w:ascii="Arial" w:hAnsi="Arial" w:cs="Arial"/>
          <w:sz w:val="24"/>
          <w:szCs w:val="24"/>
        </w:rPr>
        <w:t>and we found that the most recent average systolic and diastolic blood pressure readings were 4 mmHg higher in the cases than controls but these differences were not statistically significant. Cases were also</w:t>
      </w:r>
      <w:r w:rsidR="00425002">
        <w:rPr>
          <w:rFonts w:ascii="Arial" w:hAnsi="Arial" w:cs="Arial"/>
          <w:sz w:val="24"/>
          <w:szCs w:val="24"/>
        </w:rPr>
        <w:t xml:space="preserve"> more likely to have </w:t>
      </w:r>
      <w:r w:rsidR="00D76AC0">
        <w:rPr>
          <w:rFonts w:ascii="Arial" w:hAnsi="Arial" w:cs="Arial"/>
          <w:sz w:val="24"/>
          <w:szCs w:val="24"/>
        </w:rPr>
        <w:t xml:space="preserve">ever </w:t>
      </w:r>
      <w:r w:rsidR="00425002">
        <w:rPr>
          <w:rFonts w:ascii="Arial" w:hAnsi="Arial" w:cs="Arial"/>
          <w:sz w:val="24"/>
          <w:szCs w:val="24"/>
        </w:rPr>
        <w:t>been treated for hyper-triglyceridaemia (p=0.0</w:t>
      </w:r>
      <w:r w:rsidR="00C10F7D">
        <w:rPr>
          <w:rFonts w:ascii="Arial" w:hAnsi="Arial" w:cs="Arial"/>
          <w:sz w:val="24"/>
          <w:szCs w:val="24"/>
        </w:rPr>
        <w:t>2</w:t>
      </w:r>
      <w:r w:rsidR="00425002">
        <w:rPr>
          <w:rFonts w:ascii="Arial" w:hAnsi="Arial" w:cs="Arial"/>
          <w:sz w:val="24"/>
          <w:szCs w:val="24"/>
        </w:rPr>
        <w:t>) but there were no other differences in prevalence of diagnosis or treatment for dyslipidaemia, dia</w:t>
      </w:r>
      <w:r w:rsidR="00B753BA">
        <w:rPr>
          <w:rFonts w:ascii="Arial" w:hAnsi="Arial" w:cs="Arial"/>
          <w:sz w:val="24"/>
          <w:szCs w:val="24"/>
        </w:rPr>
        <w:t>betes mellitus or renal disease between groups.</w:t>
      </w:r>
    </w:p>
    <w:p w:rsidR="00D76AC0" w:rsidRDefault="00D76AC0" w:rsidP="00CE32B7">
      <w:pPr>
        <w:spacing w:line="480" w:lineRule="auto"/>
        <w:jc w:val="both"/>
        <w:rPr>
          <w:rFonts w:ascii="Arial" w:hAnsi="Arial" w:cs="Arial"/>
          <w:sz w:val="24"/>
          <w:szCs w:val="24"/>
        </w:rPr>
      </w:pPr>
    </w:p>
    <w:p w:rsidR="009A270D" w:rsidRPr="00F03A33" w:rsidRDefault="00D5439C" w:rsidP="00CE32B7">
      <w:pPr>
        <w:spacing w:line="480" w:lineRule="auto"/>
        <w:jc w:val="both"/>
        <w:rPr>
          <w:rFonts w:ascii="Arial" w:hAnsi="Arial" w:cs="Arial"/>
          <w:sz w:val="24"/>
          <w:szCs w:val="24"/>
        </w:rPr>
      </w:pPr>
      <w:r w:rsidRPr="00D750E5">
        <w:rPr>
          <w:rFonts w:ascii="Arial" w:hAnsi="Arial" w:cs="Arial"/>
          <w:sz w:val="24"/>
          <w:szCs w:val="24"/>
        </w:rPr>
        <w:lastRenderedPageBreak/>
        <w:t>A comparison of the HIV status of cases and controls</w:t>
      </w:r>
      <w:r w:rsidR="00D750E5" w:rsidRPr="00D750E5">
        <w:rPr>
          <w:rFonts w:ascii="Arial" w:hAnsi="Arial" w:cs="Arial"/>
          <w:sz w:val="24"/>
          <w:szCs w:val="24"/>
        </w:rPr>
        <w:t xml:space="preserve"> showed </w:t>
      </w:r>
      <w:r w:rsidR="00D750E5" w:rsidRPr="00D750E5">
        <w:rPr>
          <w:rFonts w:ascii="Arial" w:eastAsia="TTE2A53658t00" w:hAnsi="Arial" w:cs="Arial"/>
          <w:sz w:val="24"/>
          <w:szCs w:val="24"/>
        </w:rPr>
        <w:t>no significant differences between cases and controls for duration of HIV infection since diagnosis, latest viral load,</w:t>
      </w:r>
      <w:r w:rsidR="00F2354C">
        <w:rPr>
          <w:rFonts w:ascii="Arial" w:eastAsia="TTE2A53658t00" w:hAnsi="Arial" w:cs="Arial"/>
          <w:sz w:val="24"/>
          <w:szCs w:val="24"/>
        </w:rPr>
        <w:t xml:space="preserve"> detectable vs. not detectable viral activity, proportion of patients exposed or not exposed to ART,</w:t>
      </w:r>
      <w:r w:rsidR="00D750E5" w:rsidRPr="00D750E5">
        <w:rPr>
          <w:rFonts w:ascii="Arial" w:eastAsia="TTE2A53658t00" w:hAnsi="Arial" w:cs="Arial"/>
          <w:sz w:val="24"/>
          <w:szCs w:val="24"/>
        </w:rPr>
        <w:t xml:space="preserve"> latest CD4+ or nadir CD4+.</w:t>
      </w:r>
      <w:r>
        <w:rPr>
          <w:rFonts w:ascii="Arial" w:hAnsi="Arial" w:cs="Arial"/>
          <w:sz w:val="24"/>
          <w:szCs w:val="24"/>
        </w:rPr>
        <w:t xml:space="preserve"> </w:t>
      </w:r>
    </w:p>
    <w:p w:rsidR="00D76AC0" w:rsidRDefault="00D76AC0" w:rsidP="00A07BA5">
      <w:pPr>
        <w:spacing w:line="480" w:lineRule="auto"/>
        <w:jc w:val="both"/>
        <w:rPr>
          <w:rFonts w:ascii="Arial" w:hAnsi="Arial" w:cs="Arial"/>
          <w:sz w:val="24"/>
          <w:szCs w:val="24"/>
        </w:rPr>
      </w:pPr>
    </w:p>
    <w:p w:rsidR="00D5439C" w:rsidRDefault="00F2354C" w:rsidP="00A07BA5">
      <w:pPr>
        <w:spacing w:line="480" w:lineRule="auto"/>
        <w:jc w:val="both"/>
        <w:rPr>
          <w:rFonts w:ascii="Arial" w:hAnsi="Arial" w:cs="Arial"/>
          <w:sz w:val="24"/>
          <w:szCs w:val="24"/>
        </w:rPr>
      </w:pPr>
      <w:r>
        <w:rPr>
          <w:rFonts w:ascii="Arial" w:hAnsi="Arial" w:cs="Arial"/>
          <w:sz w:val="24"/>
          <w:szCs w:val="24"/>
        </w:rPr>
        <w:t xml:space="preserve">A comparison of the </w:t>
      </w:r>
      <w:r w:rsidR="009A270D">
        <w:rPr>
          <w:rFonts w:ascii="Arial" w:hAnsi="Arial" w:cs="Arial"/>
          <w:sz w:val="24"/>
          <w:szCs w:val="24"/>
        </w:rPr>
        <w:t xml:space="preserve">ART use among cases and controls </w:t>
      </w:r>
      <w:r w:rsidR="00D6061D">
        <w:rPr>
          <w:rFonts w:ascii="Arial" w:hAnsi="Arial" w:cs="Arial"/>
          <w:sz w:val="24"/>
          <w:szCs w:val="24"/>
        </w:rPr>
        <w:t>(</w:t>
      </w:r>
      <w:r w:rsidR="00DB5452">
        <w:rPr>
          <w:rFonts w:ascii="Arial" w:hAnsi="Arial" w:cs="Arial"/>
          <w:sz w:val="24"/>
          <w:szCs w:val="24"/>
        </w:rPr>
        <w:t>T</w:t>
      </w:r>
      <w:r w:rsidR="00D6061D">
        <w:rPr>
          <w:rFonts w:ascii="Arial" w:hAnsi="Arial" w:cs="Arial"/>
          <w:sz w:val="24"/>
          <w:szCs w:val="24"/>
        </w:rPr>
        <w:t xml:space="preserve">able 2) </w:t>
      </w:r>
      <w:r w:rsidR="00D5439C">
        <w:rPr>
          <w:rFonts w:ascii="Arial" w:hAnsi="Arial" w:cs="Arial"/>
          <w:sz w:val="24"/>
          <w:szCs w:val="24"/>
        </w:rPr>
        <w:t xml:space="preserve">by drug class and individual drug </w:t>
      </w:r>
      <w:r w:rsidR="00D6061D">
        <w:rPr>
          <w:rFonts w:ascii="Arial" w:hAnsi="Arial" w:cs="Arial"/>
          <w:sz w:val="24"/>
          <w:szCs w:val="24"/>
        </w:rPr>
        <w:t>suggested that, if anything, controls tended to be slightly more likely to have ever been exposed to NNRTIs</w:t>
      </w:r>
      <w:r w:rsidR="00D5439C">
        <w:rPr>
          <w:rFonts w:ascii="Arial" w:hAnsi="Arial" w:cs="Arial"/>
          <w:sz w:val="24"/>
          <w:szCs w:val="24"/>
        </w:rPr>
        <w:t xml:space="preserve"> </w:t>
      </w:r>
      <w:r w:rsidR="00D954E3">
        <w:rPr>
          <w:rFonts w:ascii="Arial" w:hAnsi="Arial" w:cs="Arial"/>
          <w:sz w:val="24"/>
          <w:szCs w:val="24"/>
        </w:rPr>
        <w:t>(Non-Nucleoside Reverse Transcriptase Inhibitors)</w:t>
      </w:r>
      <w:r w:rsidR="00BD20D3">
        <w:rPr>
          <w:rFonts w:ascii="Arial" w:hAnsi="Arial" w:cs="Arial"/>
          <w:sz w:val="24"/>
          <w:szCs w:val="24"/>
        </w:rPr>
        <w:t xml:space="preserve"> </w:t>
      </w:r>
      <w:r w:rsidR="00D5439C">
        <w:rPr>
          <w:rFonts w:ascii="Arial" w:hAnsi="Arial" w:cs="Arial"/>
          <w:sz w:val="24"/>
          <w:szCs w:val="24"/>
        </w:rPr>
        <w:t>(p=0.056). We found</w:t>
      </w:r>
      <w:r w:rsidR="00D6061D">
        <w:rPr>
          <w:rFonts w:ascii="Arial" w:hAnsi="Arial" w:cs="Arial"/>
          <w:sz w:val="24"/>
          <w:szCs w:val="24"/>
        </w:rPr>
        <w:t xml:space="preserve"> no association with median durati</w:t>
      </w:r>
      <w:r>
        <w:rPr>
          <w:rFonts w:ascii="Arial" w:hAnsi="Arial" w:cs="Arial"/>
          <w:sz w:val="24"/>
          <w:szCs w:val="24"/>
        </w:rPr>
        <w:t xml:space="preserve">on of exposure to any class of </w:t>
      </w:r>
      <w:r w:rsidR="00D6061D">
        <w:rPr>
          <w:rFonts w:ascii="Arial" w:hAnsi="Arial" w:cs="Arial"/>
          <w:sz w:val="24"/>
          <w:szCs w:val="24"/>
        </w:rPr>
        <w:t xml:space="preserve">ART and gout, nor was there any relationship between duration of exposure to each class and gout (data not shown). </w:t>
      </w:r>
      <w:r>
        <w:rPr>
          <w:rFonts w:ascii="Arial" w:hAnsi="Arial" w:cs="Arial"/>
          <w:sz w:val="24"/>
          <w:szCs w:val="24"/>
        </w:rPr>
        <w:t>Exploring current ART</w:t>
      </w:r>
      <w:r w:rsidR="005979E2">
        <w:rPr>
          <w:rFonts w:ascii="Arial" w:hAnsi="Arial" w:cs="Arial"/>
          <w:sz w:val="24"/>
          <w:szCs w:val="24"/>
        </w:rPr>
        <w:t xml:space="preserve">, </w:t>
      </w:r>
      <w:r w:rsidR="00DB5452">
        <w:rPr>
          <w:rFonts w:ascii="Arial" w:hAnsi="Arial" w:cs="Arial"/>
          <w:sz w:val="24"/>
          <w:szCs w:val="24"/>
        </w:rPr>
        <w:t xml:space="preserve">we demonstrated </w:t>
      </w:r>
      <w:r w:rsidR="005979E2">
        <w:rPr>
          <w:rFonts w:ascii="Arial" w:hAnsi="Arial" w:cs="Arial"/>
          <w:sz w:val="24"/>
          <w:szCs w:val="24"/>
        </w:rPr>
        <w:t xml:space="preserve">no associations between any individual drug and gout. </w:t>
      </w:r>
    </w:p>
    <w:p w:rsidR="00585DD0" w:rsidRDefault="00585DD0" w:rsidP="00A07BA5">
      <w:pPr>
        <w:spacing w:line="480" w:lineRule="auto"/>
        <w:jc w:val="both"/>
        <w:rPr>
          <w:rFonts w:ascii="Arial" w:hAnsi="Arial" w:cs="Arial"/>
          <w:sz w:val="24"/>
          <w:szCs w:val="24"/>
        </w:rPr>
      </w:pPr>
    </w:p>
    <w:p w:rsidR="00D5439C" w:rsidRDefault="008D2709" w:rsidP="00A07BA5">
      <w:pPr>
        <w:spacing w:line="480" w:lineRule="auto"/>
        <w:jc w:val="both"/>
        <w:rPr>
          <w:rFonts w:ascii="Arial" w:hAnsi="Arial" w:cs="Arial"/>
          <w:sz w:val="24"/>
          <w:szCs w:val="24"/>
        </w:rPr>
      </w:pPr>
      <w:r>
        <w:rPr>
          <w:rFonts w:ascii="Arial" w:hAnsi="Arial" w:cs="Arial"/>
          <w:sz w:val="24"/>
          <w:szCs w:val="24"/>
        </w:rPr>
        <w:t>V</w:t>
      </w:r>
      <w:r w:rsidR="00486A71">
        <w:rPr>
          <w:rFonts w:ascii="Arial" w:hAnsi="Arial" w:cs="Arial"/>
          <w:sz w:val="24"/>
          <w:szCs w:val="24"/>
        </w:rPr>
        <w:t xml:space="preserve">ariables associated </w:t>
      </w:r>
      <w:r>
        <w:rPr>
          <w:rFonts w:ascii="Arial" w:hAnsi="Arial" w:cs="Arial"/>
          <w:sz w:val="24"/>
          <w:szCs w:val="24"/>
        </w:rPr>
        <w:t xml:space="preserve">with the risk of being a case </w:t>
      </w:r>
      <w:r w:rsidR="00486A71">
        <w:rPr>
          <w:rFonts w:ascii="Arial" w:hAnsi="Arial" w:cs="Arial"/>
          <w:sz w:val="24"/>
          <w:szCs w:val="24"/>
        </w:rPr>
        <w:t>in the univariate analyses</w:t>
      </w:r>
      <w:r>
        <w:rPr>
          <w:rFonts w:ascii="Arial" w:hAnsi="Arial" w:cs="Arial"/>
          <w:sz w:val="24"/>
          <w:szCs w:val="24"/>
        </w:rPr>
        <w:t xml:space="preserve"> were</w:t>
      </w:r>
      <w:r w:rsidR="00486A71">
        <w:rPr>
          <w:rFonts w:ascii="Arial" w:hAnsi="Arial" w:cs="Arial"/>
          <w:sz w:val="24"/>
          <w:szCs w:val="24"/>
        </w:rPr>
        <w:t xml:space="preserve">: ethnicity; body mass index; diagnosis of and treatment for hypertension; treatment for hyper-triglyceridaemia; and ever exposure to NNRTIs. After forward selection, we identified two factors which remained independently significantly </w:t>
      </w:r>
      <w:r w:rsidR="00486A71">
        <w:rPr>
          <w:rFonts w:ascii="Arial" w:hAnsi="Arial" w:cs="Arial"/>
          <w:sz w:val="24"/>
          <w:szCs w:val="24"/>
        </w:rPr>
        <w:lastRenderedPageBreak/>
        <w:t>associated with being a case: diagnosis of hypertension (OR 4.8, 95% CI 1.8-12.4) and ever exposure to NNRTI (OR 0.3, 95% CI 0.12-0.88).</w:t>
      </w:r>
    </w:p>
    <w:p w:rsidR="00B72148" w:rsidRDefault="00B72148" w:rsidP="00A07BA5">
      <w:pPr>
        <w:spacing w:line="480" w:lineRule="auto"/>
        <w:jc w:val="both"/>
        <w:rPr>
          <w:rFonts w:ascii="Arial" w:hAnsi="Arial" w:cs="Arial"/>
          <w:sz w:val="24"/>
          <w:szCs w:val="24"/>
        </w:rPr>
      </w:pPr>
    </w:p>
    <w:p w:rsidR="00B72148" w:rsidRDefault="00B72148" w:rsidP="00A07BA5">
      <w:pPr>
        <w:spacing w:line="480" w:lineRule="auto"/>
        <w:jc w:val="both"/>
        <w:rPr>
          <w:rFonts w:ascii="Arial" w:hAnsi="Arial" w:cs="Arial"/>
          <w:sz w:val="24"/>
          <w:szCs w:val="24"/>
        </w:rPr>
      </w:pPr>
      <w:r>
        <w:rPr>
          <w:rFonts w:ascii="Arial" w:hAnsi="Arial" w:cs="Arial"/>
          <w:sz w:val="24"/>
          <w:szCs w:val="24"/>
        </w:rPr>
        <w:t>Ideally, a diagnosis of gout requires observation of the classical needle-shaped crystals from an aspirate of synovial fluid but, as with other database studies, we were unable to verify the diagnostic criteria applied in each case by the primary or secondary care clinician who had recorded their condition. We cannot therefore rule out that some of the ‘controls’ matched for age within this study did in fact have undiagnosed prevalent gout, nor could we verify the diagnosis for the ‘cases’. To examine the size of any ensuing risk of bias, we compared the availability of a serum urate within the past 12 months and explored the face validity of our search strategy by comparing the exposures of cases and controls to drugs used most commonly for the treatment of gout. Only 1/90 controls had a serum urate within the past 12 months and the result was normal whilst 26/45 of the gout cases had a serum urate result available to us and the mean values were at the very upper end of the normal range (0.40 mMol/L), consistent with patients diagnosed and treated for gout. Moreover, a high proportion (40%) of the identified cases were current users of allopurinol (the most common treatment for gout in the UK) as compared with no controls, which again lends face validity to the search strategy.</w:t>
      </w:r>
    </w:p>
    <w:p w:rsidR="00C10F7D" w:rsidRDefault="00C10F7D" w:rsidP="00A07BA5">
      <w:pPr>
        <w:spacing w:line="480" w:lineRule="auto"/>
        <w:jc w:val="both"/>
        <w:rPr>
          <w:rFonts w:ascii="Arial" w:hAnsi="Arial" w:cs="Arial"/>
          <w:sz w:val="24"/>
          <w:szCs w:val="24"/>
        </w:rPr>
      </w:pPr>
    </w:p>
    <w:p w:rsidR="00B142A4" w:rsidRDefault="00B142A4" w:rsidP="00B142A4">
      <w:pPr>
        <w:spacing w:line="480" w:lineRule="auto"/>
        <w:rPr>
          <w:rFonts w:ascii="Arial" w:hAnsi="Arial" w:cs="Arial"/>
          <w:b/>
          <w:sz w:val="24"/>
          <w:szCs w:val="24"/>
        </w:rPr>
      </w:pPr>
      <w:r>
        <w:rPr>
          <w:rFonts w:ascii="Arial" w:hAnsi="Arial" w:cs="Arial"/>
          <w:b/>
          <w:sz w:val="24"/>
          <w:szCs w:val="24"/>
        </w:rPr>
        <w:t>Discussion</w:t>
      </w:r>
    </w:p>
    <w:p w:rsidR="00DB5452" w:rsidRDefault="00DB5452" w:rsidP="007771DE">
      <w:pPr>
        <w:spacing w:line="480" w:lineRule="auto"/>
        <w:jc w:val="both"/>
        <w:rPr>
          <w:rFonts w:ascii="Arial" w:hAnsi="Arial" w:cs="Arial"/>
          <w:sz w:val="24"/>
          <w:szCs w:val="24"/>
        </w:rPr>
      </w:pPr>
      <w:r>
        <w:rPr>
          <w:rFonts w:ascii="Arial" w:hAnsi="Arial" w:cs="Arial"/>
          <w:sz w:val="24"/>
          <w:szCs w:val="24"/>
        </w:rPr>
        <w:t xml:space="preserve">In this homogeneous cohort of </w:t>
      </w:r>
      <w:r w:rsidR="00F2354C">
        <w:rPr>
          <w:rFonts w:ascii="Arial" w:hAnsi="Arial" w:cs="Arial"/>
          <w:sz w:val="24"/>
          <w:szCs w:val="24"/>
        </w:rPr>
        <w:t>&gt;2000 PLWHIV</w:t>
      </w:r>
      <w:r w:rsidR="00B72148">
        <w:rPr>
          <w:rFonts w:ascii="Arial" w:hAnsi="Arial" w:cs="Arial"/>
          <w:sz w:val="24"/>
          <w:szCs w:val="24"/>
        </w:rPr>
        <w:t xml:space="preserve"> (90% male, predominantly Caucasian MSMs)</w:t>
      </w:r>
      <w:r>
        <w:rPr>
          <w:rFonts w:ascii="Arial" w:hAnsi="Arial" w:cs="Arial"/>
          <w:sz w:val="24"/>
          <w:szCs w:val="24"/>
        </w:rPr>
        <w:t xml:space="preserve">, we estimated a point prevalence rate </w:t>
      </w:r>
      <w:r w:rsidR="00486A71">
        <w:rPr>
          <w:rFonts w:ascii="Arial" w:hAnsi="Arial" w:cs="Arial"/>
          <w:sz w:val="24"/>
          <w:szCs w:val="24"/>
        </w:rPr>
        <w:t>of 2.2%</w:t>
      </w:r>
      <w:r w:rsidR="0073621A">
        <w:rPr>
          <w:rFonts w:ascii="Arial" w:hAnsi="Arial" w:cs="Arial"/>
          <w:sz w:val="24"/>
          <w:szCs w:val="24"/>
        </w:rPr>
        <w:t xml:space="preserve"> (95% CI 1.6-2.9%)</w:t>
      </w:r>
      <w:r>
        <w:rPr>
          <w:rFonts w:ascii="Arial" w:hAnsi="Arial" w:cs="Arial"/>
          <w:sz w:val="24"/>
          <w:szCs w:val="24"/>
        </w:rPr>
        <w:t xml:space="preserve"> of gout. </w:t>
      </w:r>
      <w:r w:rsidR="007771DE">
        <w:rPr>
          <w:rFonts w:ascii="Arial" w:hAnsi="Arial" w:cs="Arial"/>
          <w:sz w:val="24"/>
          <w:szCs w:val="24"/>
        </w:rPr>
        <w:t>The c</w:t>
      </w:r>
      <w:r>
        <w:rPr>
          <w:rFonts w:ascii="Arial" w:hAnsi="Arial" w:cs="Arial"/>
          <w:sz w:val="24"/>
          <w:szCs w:val="24"/>
        </w:rPr>
        <w:t xml:space="preserve">ases </w:t>
      </w:r>
      <w:r w:rsidR="007771DE">
        <w:rPr>
          <w:rFonts w:ascii="Arial" w:hAnsi="Arial" w:cs="Arial"/>
          <w:sz w:val="24"/>
          <w:szCs w:val="24"/>
        </w:rPr>
        <w:t xml:space="preserve">identified </w:t>
      </w:r>
      <w:r>
        <w:rPr>
          <w:rFonts w:ascii="Arial" w:hAnsi="Arial" w:cs="Arial"/>
          <w:sz w:val="24"/>
          <w:szCs w:val="24"/>
        </w:rPr>
        <w:t xml:space="preserve">with gout were </w:t>
      </w:r>
      <w:r w:rsidR="007771DE">
        <w:rPr>
          <w:rFonts w:ascii="Arial" w:hAnsi="Arial" w:cs="Arial"/>
          <w:sz w:val="24"/>
          <w:szCs w:val="24"/>
        </w:rPr>
        <w:t xml:space="preserve">all male, were </w:t>
      </w:r>
      <w:r>
        <w:rPr>
          <w:rFonts w:ascii="Arial" w:hAnsi="Arial" w:cs="Arial"/>
          <w:sz w:val="24"/>
          <w:szCs w:val="24"/>
        </w:rPr>
        <w:t xml:space="preserve">more likely to be </w:t>
      </w:r>
      <w:r w:rsidR="002241AF">
        <w:rPr>
          <w:rFonts w:ascii="Arial" w:hAnsi="Arial" w:cs="Arial"/>
          <w:sz w:val="24"/>
          <w:szCs w:val="24"/>
        </w:rPr>
        <w:t>non-Caucasian</w:t>
      </w:r>
      <w:r>
        <w:rPr>
          <w:rFonts w:ascii="Arial" w:hAnsi="Arial" w:cs="Arial"/>
          <w:sz w:val="24"/>
          <w:szCs w:val="24"/>
        </w:rPr>
        <w:t xml:space="preserve">, </w:t>
      </w:r>
      <w:r w:rsidR="007771DE">
        <w:rPr>
          <w:rFonts w:ascii="Arial" w:hAnsi="Arial" w:cs="Arial"/>
          <w:sz w:val="24"/>
          <w:szCs w:val="24"/>
        </w:rPr>
        <w:t xml:space="preserve">were </w:t>
      </w:r>
      <w:r w:rsidR="00486A71">
        <w:rPr>
          <w:rFonts w:ascii="Arial" w:hAnsi="Arial" w:cs="Arial"/>
          <w:sz w:val="24"/>
          <w:szCs w:val="24"/>
        </w:rPr>
        <w:t>heavier with greater a</w:t>
      </w:r>
      <w:r>
        <w:rPr>
          <w:rFonts w:ascii="Arial" w:hAnsi="Arial" w:cs="Arial"/>
          <w:sz w:val="24"/>
          <w:szCs w:val="24"/>
        </w:rPr>
        <w:t xml:space="preserve">diposity, </w:t>
      </w:r>
      <w:r w:rsidR="007771DE">
        <w:rPr>
          <w:rFonts w:ascii="Arial" w:hAnsi="Arial" w:cs="Arial"/>
          <w:sz w:val="24"/>
          <w:szCs w:val="24"/>
        </w:rPr>
        <w:t xml:space="preserve">and were more likely </w:t>
      </w:r>
      <w:r w:rsidR="00486A71">
        <w:rPr>
          <w:rFonts w:ascii="Arial" w:hAnsi="Arial" w:cs="Arial"/>
          <w:sz w:val="24"/>
          <w:szCs w:val="24"/>
        </w:rPr>
        <w:t>to have been diagnosed and treated for hypertension</w:t>
      </w:r>
      <w:r w:rsidR="007771DE">
        <w:rPr>
          <w:rFonts w:ascii="Arial" w:hAnsi="Arial" w:cs="Arial"/>
          <w:sz w:val="24"/>
          <w:szCs w:val="24"/>
        </w:rPr>
        <w:t xml:space="preserve"> and hyper-triglyceridaemia. </w:t>
      </w:r>
      <w:r w:rsidR="00C10F7D">
        <w:rPr>
          <w:rFonts w:ascii="Arial" w:hAnsi="Arial" w:cs="Arial"/>
          <w:sz w:val="24"/>
          <w:szCs w:val="24"/>
        </w:rPr>
        <w:t>Indeed, a diagnosis of hypertension was independently associated with a more than four-fold increased risk of gout. Exposure to NNRTIs resulted in a 70% reduction in the risk of gout so that NNRTI</w:t>
      </w:r>
      <w:r w:rsidR="00C62F95">
        <w:rPr>
          <w:rFonts w:ascii="Arial" w:hAnsi="Arial" w:cs="Arial"/>
          <w:sz w:val="24"/>
          <w:szCs w:val="24"/>
        </w:rPr>
        <w:t>s</w:t>
      </w:r>
      <w:r w:rsidR="00C10F7D">
        <w:rPr>
          <w:rFonts w:ascii="Arial" w:hAnsi="Arial" w:cs="Arial"/>
          <w:sz w:val="24"/>
          <w:szCs w:val="24"/>
        </w:rPr>
        <w:t xml:space="preserve"> appeared to be protective </w:t>
      </w:r>
      <w:r w:rsidR="00984EB9">
        <w:rPr>
          <w:rFonts w:ascii="Arial" w:hAnsi="Arial" w:cs="Arial"/>
          <w:sz w:val="24"/>
          <w:szCs w:val="24"/>
        </w:rPr>
        <w:t>in relation to</w:t>
      </w:r>
      <w:r w:rsidR="00C10F7D">
        <w:rPr>
          <w:rFonts w:ascii="Arial" w:hAnsi="Arial" w:cs="Arial"/>
          <w:sz w:val="24"/>
          <w:szCs w:val="24"/>
        </w:rPr>
        <w:t xml:space="preserve"> gout. </w:t>
      </w:r>
    </w:p>
    <w:p w:rsidR="002241AF" w:rsidRDefault="002241AF" w:rsidP="007771DE">
      <w:pPr>
        <w:spacing w:line="480" w:lineRule="auto"/>
        <w:jc w:val="both"/>
        <w:rPr>
          <w:rFonts w:ascii="Arial" w:hAnsi="Arial" w:cs="Arial"/>
          <w:sz w:val="24"/>
          <w:szCs w:val="24"/>
        </w:rPr>
      </w:pPr>
    </w:p>
    <w:p w:rsidR="002241AF" w:rsidRDefault="00CB10D6" w:rsidP="007771DE">
      <w:pPr>
        <w:spacing w:line="480" w:lineRule="auto"/>
        <w:jc w:val="both"/>
        <w:rPr>
          <w:rFonts w:ascii="Arial" w:hAnsi="Arial" w:cs="Arial"/>
          <w:sz w:val="24"/>
          <w:szCs w:val="24"/>
        </w:rPr>
      </w:pPr>
      <w:r>
        <w:rPr>
          <w:rFonts w:ascii="Arial" w:hAnsi="Arial" w:cs="Arial"/>
          <w:sz w:val="24"/>
          <w:szCs w:val="24"/>
        </w:rPr>
        <w:t xml:space="preserve">The results of our study need to be considered alongside a number of limitations. </w:t>
      </w:r>
      <w:r w:rsidR="0015521C" w:rsidRPr="0015521C">
        <w:rPr>
          <w:rFonts w:ascii="Arial" w:hAnsi="Arial" w:cs="Arial"/>
          <w:sz w:val="24"/>
          <w:szCs w:val="24"/>
        </w:rPr>
        <w:t xml:space="preserve">Of </w:t>
      </w:r>
      <w:r>
        <w:rPr>
          <w:rFonts w:ascii="Arial" w:hAnsi="Arial" w:cs="Arial"/>
          <w:sz w:val="24"/>
          <w:szCs w:val="24"/>
        </w:rPr>
        <w:t>the cohort eligible for this study, we found onl</w:t>
      </w:r>
      <w:r w:rsidR="00313C8F">
        <w:rPr>
          <w:rFonts w:ascii="Arial" w:hAnsi="Arial" w:cs="Arial"/>
          <w:sz w:val="24"/>
          <w:szCs w:val="24"/>
        </w:rPr>
        <w:t>y 45 cases diagnosed with gout</w:t>
      </w:r>
      <w:r w:rsidR="00313C8F" w:rsidRPr="00313C8F">
        <w:rPr>
          <w:rFonts w:ascii="Arial" w:hAnsi="Arial" w:cs="Arial"/>
          <w:b/>
          <w:i/>
          <w:color w:val="548DD4" w:themeColor="text2" w:themeTint="99"/>
          <w:sz w:val="24"/>
          <w:szCs w:val="24"/>
        </w:rPr>
        <w:t>,</w:t>
      </w:r>
      <w:r w:rsidR="0015521C" w:rsidRPr="0015521C">
        <w:rPr>
          <w:rFonts w:ascii="Arial" w:hAnsi="Arial" w:cs="Arial"/>
          <w:sz w:val="24"/>
          <w:szCs w:val="24"/>
        </w:rPr>
        <w:t xml:space="preserve"> and given the multiple testing this relatively small cohort size does impact on the robustness of our findings</w:t>
      </w:r>
      <w:r w:rsidR="00313C8F" w:rsidRPr="00313C8F">
        <w:rPr>
          <w:rFonts w:ascii="Arial" w:hAnsi="Arial" w:cs="Arial"/>
          <w:b/>
          <w:i/>
          <w:color w:val="548DD4" w:themeColor="text2" w:themeTint="99"/>
          <w:sz w:val="24"/>
          <w:szCs w:val="24"/>
        </w:rPr>
        <w:t>.</w:t>
      </w:r>
      <w:r w:rsidR="00313C8F">
        <w:rPr>
          <w:rFonts w:ascii="Arial" w:hAnsi="Arial" w:cs="Arial"/>
          <w:sz w:val="24"/>
          <w:szCs w:val="24"/>
        </w:rPr>
        <w:t xml:space="preserve"> </w:t>
      </w:r>
      <w:r>
        <w:rPr>
          <w:rFonts w:ascii="Arial" w:hAnsi="Arial" w:cs="Arial"/>
          <w:sz w:val="24"/>
          <w:szCs w:val="24"/>
        </w:rPr>
        <w:t xml:space="preserve">It is possible that some patients diagnosed and treated for gout in primary care </w:t>
      </w:r>
      <w:r w:rsidR="001D3E8E">
        <w:rPr>
          <w:rFonts w:ascii="Arial" w:hAnsi="Arial" w:cs="Arial"/>
          <w:sz w:val="24"/>
          <w:szCs w:val="24"/>
        </w:rPr>
        <w:t>may not have been identifie</w:t>
      </w:r>
      <w:r>
        <w:rPr>
          <w:rFonts w:ascii="Arial" w:hAnsi="Arial" w:cs="Arial"/>
          <w:sz w:val="24"/>
          <w:szCs w:val="24"/>
        </w:rPr>
        <w:t xml:space="preserve">d by a search of the secondary care database and therefore we may be under-estimating the true point prevalence in this population. </w:t>
      </w:r>
    </w:p>
    <w:p w:rsidR="002241AF" w:rsidRDefault="002241AF" w:rsidP="007771DE">
      <w:pPr>
        <w:spacing w:line="480" w:lineRule="auto"/>
        <w:jc w:val="both"/>
        <w:rPr>
          <w:rFonts w:ascii="Arial" w:hAnsi="Arial" w:cs="Arial"/>
          <w:sz w:val="24"/>
          <w:szCs w:val="24"/>
        </w:rPr>
      </w:pPr>
    </w:p>
    <w:p w:rsidR="00B00E8B" w:rsidRDefault="000921EB" w:rsidP="007771DE">
      <w:pPr>
        <w:spacing w:line="480" w:lineRule="auto"/>
        <w:jc w:val="both"/>
        <w:rPr>
          <w:rFonts w:ascii="Arial" w:hAnsi="Arial" w:cs="Arial"/>
          <w:sz w:val="24"/>
          <w:szCs w:val="24"/>
        </w:rPr>
      </w:pPr>
      <w:r>
        <w:rPr>
          <w:rFonts w:ascii="Arial" w:hAnsi="Arial" w:cs="Arial"/>
          <w:sz w:val="24"/>
          <w:szCs w:val="24"/>
        </w:rPr>
        <w:t xml:space="preserve">To our knowledge, this is the first case control </w:t>
      </w:r>
      <w:r w:rsidR="00AF676D">
        <w:rPr>
          <w:rFonts w:ascii="Arial" w:hAnsi="Arial" w:cs="Arial"/>
          <w:sz w:val="24"/>
          <w:szCs w:val="24"/>
        </w:rPr>
        <w:t xml:space="preserve">study </w:t>
      </w:r>
      <w:r>
        <w:rPr>
          <w:rFonts w:ascii="Arial" w:hAnsi="Arial" w:cs="Arial"/>
          <w:sz w:val="24"/>
          <w:szCs w:val="24"/>
        </w:rPr>
        <w:t xml:space="preserve">to explore the prevalence of and risk factors for gout in an HIV cohort. To maximise our power, we chose two age-matched controls for each case. </w:t>
      </w:r>
      <w:r w:rsidR="002E63E2">
        <w:rPr>
          <w:rFonts w:ascii="Arial" w:hAnsi="Arial" w:cs="Arial"/>
          <w:sz w:val="24"/>
          <w:szCs w:val="24"/>
        </w:rPr>
        <w:t xml:space="preserve">Our power calculations showed that 45 cases and 90 controls matched 1:2 yielded 80% power to detect an odds ratio of 3.0 for an exposure occurring with 25% prevalence amongst controls. Therefore </w:t>
      </w:r>
      <w:r>
        <w:rPr>
          <w:rFonts w:ascii="Arial" w:hAnsi="Arial" w:cs="Arial"/>
          <w:sz w:val="24"/>
          <w:szCs w:val="24"/>
        </w:rPr>
        <w:t xml:space="preserve">we acknowledge that we may still have been relatively under-powered to demonstrate significant associations with some of the individual </w:t>
      </w:r>
      <w:r w:rsidR="00AF676D">
        <w:rPr>
          <w:rFonts w:ascii="Arial" w:hAnsi="Arial" w:cs="Arial"/>
          <w:sz w:val="24"/>
          <w:szCs w:val="24"/>
        </w:rPr>
        <w:t xml:space="preserve">ART </w:t>
      </w:r>
      <w:r>
        <w:rPr>
          <w:rFonts w:ascii="Arial" w:hAnsi="Arial" w:cs="Arial"/>
          <w:sz w:val="24"/>
          <w:szCs w:val="24"/>
        </w:rPr>
        <w:t>drugs and combinations</w:t>
      </w:r>
      <w:r w:rsidR="00AF676D">
        <w:rPr>
          <w:rFonts w:ascii="Arial" w:hAnsi="Arial" w:cs="Arial"/>
          <w:sz w:val="24"/>
          <w:szCs w:val="24"/>
        </w:rPr>
        <w:t xml:space="preserve"> and indeed with some of the more traditional risk factors for gout</w:t>
      </w:r>
      <w:r>
        <w:rPr>
          <w:rFonts w:ascii="Arial" w:hAnsi="Arial" w:cs="Arial"/>
          <w:sz w:val="24"/>
          <w:szCs w:val="24"/>
        </w:rPr>
        <w:t>.</w:t>
      </w:r>
      <w:r w:rsidR="00AF676D">
        <w:rPr>
          <w:rFonts w:ascii="Arial" w:hAnsi="Arial" w:cs="Arial"/>
          <w:sz w:val="24"/>
          <w:szCs w:val="24"/>
        </w:rPr>
        <w:t xml:space="preserve"> </w:t>
      </w:r>
      <w:r w:rsidR="00B00E8B">
        <w:rPr>
          <w:rFonts w:ascii="Arial" w:hAnsi="Arial" w:cs="Arial"/>
          <w:sz w:val="24"/>
          <w:szCs w:val="24"/>
        </w:rPr>
        <w:t>Among the general population, gout is associated with: male gender, age, obesity, hypertension, hyperlipidaemia, diabetes mellitus and cardiovascular disease. In this respect, our findings about diagnosis of hypertension and both weight and body mass index are con</w:t>
      </w:r>
      <w:r w:rsidR="00AF676D">
        <w:rPr>
          <w:rFonts w:ascii="Arial" w:hAnsi="Arial" w:cs="Arial"/>
          <w:sz w:val="24"/>
          <w:szCs w:val="24"/>
        </w:rPr>
        <w:t>sistent</w:t>
      </w:r>
      <w:r w:rsidR="00B00E8B">
        <w:rPr>
          <w:rFonts w:ascii="Arial" w:hAnsi="Arial" w:cs="Arial"/>
          <w:sz w:val="24"/>
          <w:szCs w:val="24"/>
        </w:rPr>
        <w:t xml:space="preserve"> with what is expected and with </w:t>
      </w:r>
      <w:r w:rsidR="00AF676D">
        <w:rPr>
          <w:rFonts w:ascii="Arial" w:hAnsi="Arial" w:cs="Arial"/>
          <w:sz w:val="24"/>
          <w:szCs w:val="24"/>
        </w:rPr>
        <w:t>the findings of Patel and colleagues in another HIV-</w:t>
      </w:r>
      <w:r w:rsidR="00984EB9">
        <w:rPr>
          <w:rFonts w:ascii="Arial" w:hAnsi="Arial" w:cs="Arial"/>
          <w:sz w:val="24"/>
          <w:szCs w:val="24"/>
        </w:rPr>
        <w:t>positive</w:t>
      </w:r>
      <w:r w:rsidR="00AF676D">
        <w:rPr>
          <w:rFonts w:ascii="Arial" w:hAnsi="Arial" w:cs="Arial"/>
          <w:sz w:val="24"/>
          <w:szCs w:val="24"/>
        </w:rPr>
        <w:t xml:space="preserve"> cohort</w:t>
      </w:r>
      <w:r w:rsidR="00775D40">
        <w:rPr>
          <w:rFonts w:ascii="Arial" w:hAnsi="Arial" w:cs="Arial"/>
          <w:sz w:val="24"/>
          <w:szCs w:val="24"/>
        </w:rPr>
        <w:t>.[</w:t>
      </w:r>
      <w:r w:rsidR="00585DD0">
        <w:rPr>
          <w:rFonts w:ascii="Arial" w:hAnsi="Arial" w:cs="Arial"/>
          <w:sz w:val="24"/>
          <w:szCs w:val="24"/>
        </w:rPr>
        <w:t>1</w:t>
      </w:r>
      <w:r w:rsidR="002241AF">
        <w:rPr>
          <w:rFonts w:ascii="Arial" w:hAnsi="Arial" w:cs="Arial"/>
          <w:sz w:val="24"/>
          <w:szCs w:val="24"/>
        </w:rPr>
        <w:t>9</w:t>
      </w:r>
      <w:r w:rsidR="00775D40">
        <w:rPr>
          <w:rFonts w:ascii="Arial" w:hAnsi="Arial" w:cs="Arial"/>
          <w:sz w:val="24"/>
          <w:szCs w:val="24"/>
        </w:rPr>
        <w:t>]</w:t>
      </w:r>
      <w:r w:rsidR="00AF676D">
        <w:rPr>
          <w:rFonts w:ascii="Arial" w:hAnsi="Arial" w:cs="Arial"/>
          <w:sz w:val="24"/>
          <w:szCs w:val="24"/>
        </w:rPr>
        <w:t xml:space="preserve"> </w:t>
      </w:r>
    </w:p>
    <w:p w:rsidR="00CB10D6" w:rsidRDefault="00CB10D6" w:rsidP="007771DE">
      <w:pPr>
        <w:spacing w:line="480" w:lineRule="auto"/>
        <w:jc w:val="both"/>
        <w:rPr>
          <w:rFonts w:ascii="Arial" w:hAnsi="Arial" w:cs="Arial"/>
          <w:sz w:val="24"/>
          <w:szCs w:val="24"/>
        </w:rPr>
      </w:pPr>
    </w:p>
    <w:p w:rsidR="0054381E" w:rsidRDefault="008E52FF" w:rsidP="0054381E">
      <w:pPr>
        <w:spacing w:line="480" w:lineRule="auto"/>
        <w:jc w:val="both"/>
        <w:rPr>
          <w:rFonts w:ascii="Arial" w:hAnsi="Arial" w:cs="Arial"/>
          <w:sz w:val="24"/>
          <w:szCs w:val="24"/>
        </w:rPr>
      </w:pPr>
      <w:r>
        <w:rPr>
          <w:rFonts w:ascii="Arial" w:hAnsi="Arial" w:cs="Arial"/>
          <w:sz w:val="24"/>
          <w:szCs w:val="24"/>
        </w:rPr>
        <w:t>Although it is difficult to compare our data with those of other population studies, it would appear that</w:t>
      </w:r>
      <w:r w:rsidR="00F66FD8">
        <w:rPr>
          <w:rFonts w:ascii="Arial" w:hAnsi="Arial" w:cs="Arial"/>
          <w:sz w:val="24"/>
          <w:szCs w:val="24"/>
        </w:rPr>
        <w:t xml:space="preserve"> a prevalence rate of 2.2% for gout </w:t>
      </w:r>
      <w:r w:rsidR="009D4C1B">
        <w:rPr>
          <w:rFonts w:ascii="Arial" w:hAnsi="Arial" w:cs="Arial"/>
          <w:sz w:val="24"/>
          <w:szCs w:val="24"/>
        </w:rPr>
        <w:t xml:space="preserve">is </w:t>
      </w:r>
      <w:r w:rsidR="002E63E2">
        <w:rPr>
          <w:rFonts w:ascii="Arial" w:hAnsi="Arial" w:cs="Arial"/>
          <w:sz w:val="24"/>
          <w:szCs w:val="24"/>
        </w:rPr>
        <w:t>in</w:t>
      </w:r>
      <w:r w:rsidR="00BF7971">
        <w:rPr>
          <w:rFonts w:ascii="Arial" w:hAnsi="Arial" w:cs="Arial"/>
          <w:sz w:val="24"/>
          <w:szCs w:val="24"/>
        </w:rPr>
        <w:t xml:space="preserve"> </w:t>
      </w:r>
      <w:r w:rsidR="002E63E2">
        <w:rPr>
          <w:rFonts w:ascii="Arial" w:hAnsi="Arial" w:cs="Arial"/>
          <w:sz w:val="24"/>
          <w:szCs w:val="24"/>
        </w:rPr>
        <w:t>keeping</w:t>
      </w:r>
      <w:r w:rsidR="00D87C4A">
        <w:rPr>
          <w:rFonts w:ascii="Arial" w:hAnsi="Arial" w:cs="Arial"/>
          <w:sz w:val="24"/>
          <w:szCs w:val="24"/>
        </w:rPr>
        <w:t xml:space="preserve"> with </w:t>
      </w:r>
      <w:r w:rsidR="009D4C1B" w:rsidRPr="00B95AB4">
        <w:rPr>
          <w:rFonts w:ascii="Arial" w:hAnsi="Arial" w:cs="Arial"/>
          <w:sz w:val="24"/>
          <w:szCs w:val="24"/>
        </w:rPr>
        <w:t xml:space="preserve">that </w:t>
      </w:r>
      <w:r w:rsidR="0054381E" w:rsidRPr="00B95AB4">
        <w:rPr>
          <w:rFonts w:ascii="Arial" w:hAnsi="Arial" w:cs="Arial"/>
          <w:sz w:val="24"/>
          <w:szCs w:val="24"/>
        </w:rPr>
        <w:t>found</w:t>
      </w:r>
      <w:r w:rsidR="009D4C1B" w:rsidRPr="00B95AB4">
        <w:rPr>
          <w:rFonts w:ascii="Arial" w:hAnsi="Arial" w:cs="Arial"/>
          <w:sz w:val="24"/>
          <w:szCs w:val="24"/>
        </w:rPr>
        <w:t xml:space="preserve"> in the general population</w:t>
      </w:r>
      <w:r w:rsidR="00201617">
        <w:rPr>
          <w:rFonts w:ascii="Arial" w:hAnsi="Arial" w:cs="Arial"/>
          <w:sz w:val="24"/>
          <w:szCs w:val="24"/>
        </w:rPr>
        <w:t>,</w:t>
      </w:r>
      <w:r w:rsidR="002E63E2" w:rsidRPr="002E63E2">
        <w:rPr>
          <w:rFonts w:ascii="Arial" w:hAnsi="Arial" w:cs="Arial"/>
          <w:sz w:val="24"/>
          <w:szCs w:val="24"/>
        </w:rPr>
        <w:t xml:space="preserve"> </w:t>
      </w:r>
      <w:r w:rsidR="002E63E2" w:rsidRPr="00D274DC">
        <w:rPr>
          <w:rFonts w:ascii="Arial" w:hAnsi="Arial" w:cs="Arial"/>
          <w:sz w:val="24"/>
          <w:szCs w:val="24"/>
        </w:rPr>
        <w:t>especially in the context of a relatively large confidence interval for</w:t>
      </w:r>
      <w:r w:rsidR="00802026">
        <w:rPr>
          <w:rFonts w:ascii="Arial" w:hAnsi="Arial" w:cs="Arial"/>
          <w:sz w:val="24"/>
          <w:szCs w:val="24"/>
        </w:rPr>
        <w:t xml:space="preserve"> the current study</w:t>
      </w:r>
      <w:r w:rsidR="009D4C1B" w:rsidRPr="00B95AB4">
        <w:rPr>
          <w:rFonts w:ascii="Arial" w:hAnsi="Arial" w:cs="Arial"/>
          <w:sz w:val="24"/>
          <w:szCs w:val="24"/>
        </w:rPr>
        <w:t>.</w:t>
      </w:r>
      <w:r>
        <w:rPr>
          <w:rFonts w:ascii="Arial" w:hAnsi="Arial" w:cs="Arial"/>
          <w:sz w:val="24"/>
          <w:szCs w:val="24"/>
        </w:rPr>
        <w:t xml:space="preserve"> F</w:t>
      </w:r>
      <w:r w:rsidR="0054381E">
        <w:rPr>
          <w:rFonts w:ascii="Arial" w:hAnsi="Arial" w:cs="Arial"/>
          <w:sz w:val="24"/>
          <w:szCs w:val="24"/>
        </w:rPr>
        <w:t xml:space="preserve">or example, a study from the USA on </w:t>
      </w:r>
      <w:r w:rsidR="0054381E">
        <w:rPr>
          <w:rFonts w:ascii="Arial" w:hAnsi="Arial" w:cs="Arial"/>
          <w:sz w:val="24"/>
          <w:szCs w:val="24"/>
        </w:rPr>
        <w:lastRenderedPageBreak/>
        <w:t>the prevalence of gout among people aged 50-64 years (i.e. older than th</w:t>
      </w:r>
      <w:r w:rsidR="007E0589">
        <w:rPr>
          <w:rFonts w:ascii="Arial" w:hAnsi="Arial" w:cs="Arial"/>
          <w:sz w:val="24"/>
          <w:szCs w:val="24"/>
        </w:rPr>
        <w:t>ose in the current study</w:t>
      </w:r>
      <w:r w:rsidR="0054381E">
        <w:rPr>
          <w:rFonts w:ascii="Arial" w:hAnsi="Arial" w:cs="Arial"/>
          <w:sz w:val="24"/>
          <w:szCs w:val="24"/>
        </w:rPr>
        <w:t xml:space="preserve">) between 1990-9 reported </w:t>
      </w:r>
      <w:r w:rsidR="00E07F63">
        <w:rPr>
          <w:rFonts w:ascii="Arial" w:hAnsi="Arial" w:cs="Arial"/>
          <w:sz w:val="24"/>
          <w:szCs w:val="24"/>
        </w:rPr>
        <w:t xml:space="preserve">an age-related prevalence </w:t>
      </w:r>
      <w:r w:rsidR="0054381E" w:rsidRPr="0054381E">
        <w:rPr>
          <w:rFonts w:ascii="Arial" w:hAnsi="Arial" w:cs="Arial"/>
          <w:sz w:val="24"/>
          <w:szCs w:val="24"/>
        </w:rPr>
        <w:t>under 2.0%</w:t>
      </w:r>
      <w:r w:rsidR="00775D40">
        <w:rPr>
          <w:rFonts w:ascii="Arial" w:hAnsi="Arial" w:cs="Arial"/>
          <w:sz w:val="24"/>
          <w:szCs w:val="24"/>
        </w:rPr>
        <w:t>.[</w:t>
      </w:r>
      <w:r w:rsidR="00585DD0">
        <w:rPr>
          <w:rFonts w:ascii="Arial" w:hAnsi="Arial" w:cs="Arial"/>
          <w:sz w:val="24"/>
          <w:szCs w:val="24"/>
        </w:rPr>
        <w:t>2</w:t>
      </w:r>
      <w:r w:rsidR="00775D40">
        <w:rPr>
          <w:rFonts w:ascii="Arial" w:hAnsi="Arial" w:cs="Arial"/>
          <w:sz w:val="24"/>
          <w:szCs w:val="24"/>
        </w:rPr>
        <w:t>]</w:t>
      </w:r>
      <w:r w:rsidR="007E0589">
        <w:rPr>
          <w:rFonts w:ascii="Arial" w:hAnsi="Arial" w:cs="Arial"/>
          <w:sz w:val="24"/>
          <w:szCs w:val="24"/>
        </w:rPr>
        <w:t xml:space="preserve"> A </w:t>
      </w:r>
      <w:r w:rsidR="00B3431E">
        <w:rPr>
          <w:rFonts w:ascii="Arial" w:hAnsi="Arial" w:cs="Arial"/>
          <w:sz w:val="24"/>
          <w:szCs w:val="24"/>
        </w:rPr>
        <w:t xml:space="preserve">study </w:t>
      </w:r>
      <w:r w:rsidR="007E0589">
        <w:rPr>
          <w:rFonts w:ascii="Arial" w:hAnsi="Arial" w:cs="Arial"/>
          <w:sz w:val="24"/>
          <w:szCs w:val="24"/>
        </w:rPr>
        <w:t xml:space="preserve">carried out </w:t>
      </w:r>
      <w:r w:rsidR="00B3431E">
        <w:rPr>
          <w:rFonts w:ascii="Arial" w:hAnsi="Arial" w:cs="Arial"/>
          <w:sz w:val="24"/>
          <w:szCs w:val="24"/>
        </w:rPr>
        <w:t>in Germany and the UK reported a prevalence of 1.9%</w:t>
      </w:r>
      <w:r w:rsidR="00775D40">
        <w:rPr>
          <w:rFonts w:ascii="Arial" w:hAnsi="Arial" w:cs="Arial"/>
          <w:sz w:val="24"/>
          <w:szCs w:val="24"/>
        </w:rPr>
        <w:t>.[</w:t>
      </w:r>
      <w:r w:rsidR="00585DD0">
        <w:rPr>
          <w:rFonts w:ascii="Arial" w:hAnsi="Arial" w:cs="Arial"/>
          <w:sz w:val="24"/>
          <w:szCs w:val="24"/>
        </w:rPr>
        <w:t>3</w:t>
      </w:r>
      <w:r w:rsidR="00775D40">
        <w:rPr>
          <w:rFonts w:ascii="Arial" w:hAnsi="Arial" w:cs="Arial"/>
          <w:sz w:val="24"/>
          <w:szCs w:val="24"/>
        </w:rPr>
        <w:t>]</w:t>
      </w:r>
      <w:r w:rsidR="00B3431E">
        <w:rPr>
          <w:rFonts w:ascii="Arial" w:hAnsi="Arial" w:cs="Arial"/>
          <w:sz w:val="24"/>
          <w:szCs w:val="24"/>
        </w:rPr>
        <w:t xml:space="preserve"> Where data are available, it appears that the prevalence of gout is increasing, particularly among older men aged &gt; 65 years</w:t>
      </w:r>
      <w:r w:rsidR="00775D40">
        <w:rPr>
          <w:rFonts w:ascii="Arial" w:hAnsi="Arial" w:cs="Arial"/>
          <w:sz w:val="24"/>
          <w:szCs w:val="24"/>
        </w:rPr>
        <w:t>.[</w:t>
      </w:r>
      <w:r w:rsidR="00585DD0">
        <w:rPr>
          <w:rFonts w:ascii="Arial" w:hAnsi="Arial" w:cs="Arial"/>
          <w:sz w:val="24"/>
          <w:szCs w:val="24"/>
        </w:rPr>
        <w:t>2</w:t>
      </w:r>
      <w:r w:rsidR="00775D40">
        <w:rPr>
          <w:rFonts w:ascii="Arial" w:hAnsi="Arial" w:cs="Arial"/>
          <w:sz w:val="24"/>
          <w:szCs w:val="24"/>
        </w:rPr>
        <w:t>]</w:t>
      </w:r>
      <w:r w:rsidR="00B3431E">
        <w:rPr>
          <w:rFonts w:ascii="Arial" w:hAnsi="Arial" w:cs="Arial"/>
          <w:sz w:val="24"/>
          <w:szCs w:val="24"/>
        </w:rPr>
        <w:t xml:space="preserve"> Gout is very painful and disabling and has marked negative impact on quality of life and </w:t>
      </w:r>
      <w:r w:rsidR="002241AF">
        <w:rPr>
          <w:rFonts w:ascii="Arial" w:hAnsi="Arial" w:cs="Arial"/>
          <w:sz w:val="24"/>
          <w:szCs w:val="24"/>
        </w:rPr>
        <w:t>has recently been associat</w:t>
      </w:r>
      <w:r w:rsidR="00D750E5">
        <w:rPr>
          <w:rFonts w:ascii="Arial" w:hAnsi="Arial" w:cs="Arial"/>
          <w:sz w:val="24"/>
          <w:szCs w:val="24"/>
        </w:rPr>
        <w:t>ed with increased mortality</w:t>
      </w:r>
      <w:r w:rsidR="00775D40">
        <w:rPr>
          <w:rFonts w:ascii="Arial" w:hAnsi="Arial" w:cs="Arial"/>
          <w:sz w:val="24"/>
          <w:szCs w:val="24"/>
        </w:rPr>
        <w:t>.[</w:t>
      </w:r>
      <w:r w:rsidR="00D750E5">
        <w:rPr>
          <w:rFonts w:ascii="Arial" w:hAnsi="Arial" w:cs="Arial"/>
          <w:sz w:val="24"/>
          <w:szCs w:val="24"/>
        </w:rPr>
        <w:t>20</w:t>
      </w:r>
      <w:r w:rsidR="00775D40">
        <w:rPr>
          <w:rFonts w:ascii="Arial" w:hAnsi="Arial" w:cs="Arial"/>
          <w:sz w:val="24"/>
          <w:szCs w:val="24"/>
        </w:rPr>
        <w:t>]</w:t>
      </w:r>
      <w:r w:rsidR="002241AF">
        <w:rPr>
          <w:rFonts w:ascii="Arial" w:hAnsi="Arial" w:cs="Arial"/>
          <w:sz w:val="24"/>
          <w:szCs w:val="24"/>
        </w:rPr>
        <w:t xml:space="preserve"> </w:t>
      </w:r>
      <w:r w:rsidR="00984EB9">
        <w:rPr>
          <w:rFonts w:ascii="Arial" w:hAnsi="Arial" w:cs="Arial"/>
          <w:sz w:val="24"/>
          <w:szCs w:val="24"/>
        </w:rPr>
        <w:t>F</w:t>
      </w:r>
      <w:r w:rsidR="00B3431E">
        <w:rPr>
          <w:rFonts w:ascii="Arial" w:hAnsi="Arial" w:cs="Arial"/>
          <w:sz w:val="24"/>
          <w:szCs w:val="24"/>
        </w:rPr>
        <w:t>or all these reasons, it is important to be proactive in its identification and treatment.</w:t>
      </w:r>
    </w:p>
    <w:p w:rsidR="00B3431E" w:rsidRPr="0054381E" w:rsidRDefault="00B3431E" w:rsidP="0054381E">
      <w:pPr>
        <w:spacing w:line="480" w:lineRule="auto"/>
        <w:jc w:val="both"/>
        <w:rPr>
          <w:rFonts w:ascii="Arial" w:hAnsi="Arial" w:cs="Arial"/>
          <w:sz w:val="24"/>
          <w:szCs w:val="24"/>
        </w:rPr>
      </w:pPr>
    </w:p>
    <w:p w:rsidR="00001821" w:rsidRDefault="00C62F95" w:rsidP="007771DE">
      <w:pPr>
        <w:spacing w:line="480" w:lineRule="auto"/>
        <w:jc w:val="both"/>
        <w:rPr>
          <w:rFonts w:ascii="Arial" w:hAnsi="Arial" w:cs="Arial"/>
          <w:sz w:val="24"/>
          <w:szCs w:val="24"/>
        </w:rPr>
      </w:pPr>
      <w:r>
        <w:rPr>
          <w:rFonts w:ascii="Arial" w:hAnsi="Arial" w:cs="Arial"/>
          <w:sz w:val="24"/>
          <w:szCs w:val="24"/>
        </w:rPr>
        <w:t>We found no convincing associations between gout and HIV-associated factors in the current study. A</w:t>
      </w:r>
      <w:r w:rsidR="00001821">
        <w:rPr>
          <w:rFonts w:ascii="Arial" w:hAnsi="Arial" w:cs="Arial"/>
          <w:sz w:val="24"/>
          <w:szCs w:val="24"/>
        </w:rPr>
        <w:t xml:space="preserve"> number of early HIV studies </w:t>
      </w:r>
      <w:r>
        <w:rPr>
          <w:rFonts w:ascii="Arial" w:hAnsi="Arial" w:cs="Arial"/>
          <w:sz w:val="24"/>
          <w:szCs w:val="24"/>
        </w:rPr>
        <w:t>reported</w:t>
      </w:r>
      <w:r w:rsidR="00001821">
        <w:rPr>
          <w:rFonts w:ascii="Arial" w:hAnsi="Arial" w:cs="Arial"/>
          <w:sz w:val="24"/>
          <w:szCs w:val="24"/>
        </w:rPr>
        <w:t xml:space="preserve"> hyperuricaemia </w:t>
      </w:r>
      <w:r>
        <w:rPr>
          <w:rFonts w:ascii="Arial" w:hAnsi="Arial" w:cs="Arial"/>
          <w:sz w:val="24"/>
          <w:szCs w:val="24"/>
        </w:rPr>
        <w:t>in association</w:t>
      </w:r>
      <w:r w:rsidR="00001821">
        <w:rPr>
          <w:rFonts w:ascii="Arial" w:hAnsi="Arial" w:cs="Arial"/>
          <w:sz w:val="24"/>
          <w:szCs w:val="24"/>
        </w:rPr>
        <w:t xml:space="preserve"> w</w:t>
      </w:r>
      <w:r w:rsidR="00FD3BA0">
        <w:rPr>
          <w:rFonts w:ascii="Arial" w:hAnsi="Arial" w:cs="Arial"/>
          <w:sz w:val="24"/>
          <w:szCs w:val="24"/>
        </w:rPr>
        <w:t>i</w:t>
      </w:r>
      <w:r w:rsidR="00001821">
        <w:rPr>
          <w:rFonts w:ascii="Arial" w:hAnsi="Arial" w:cs="Arial"/>
          <w:sz w:val="24"/>
          <w:szCs w:val="24"/>
        </w:rPr>
        <w:t>th advanced disease, AIDS and malignancies</w:t>
      </w:r>
      <w:r w:rsidR="00775D40">
        <w:rPr>
          <w:rFonts w:ascii="Arial" w:hAnsi="Arial" w:cs="Arial"/>
          <w:sz w:val="24"/>
          <w:szCs w:val="24"/>
        </w:rPr>
        <w:t>.[</w:t>
      </w:r>
      <w:r w:rsidR="002241AF">
        <w:rPr>
          <w:rFonts w:ascii="Arial" w:hAnsi="Arial" w:cs="Arial"/>
          <w:sz w:val="24"/>
          <w:szCs w:val="24"/>
        </w:rPr>
        <w:t>15</w:t>
      </w:r>
      <w:r w:rsidR="00585DD0">
        <w:rPr>
          <w:rFonts w:ascii="Arial" w:hAnsi="Arial" w:cs="Arial"/>
          <w:sz w:val="24"/>
          <w:szCs w:val="24"/>
        </w:rPr>
        <w:t>,1</w:t>
      </w:r>
      <w:r w:rsidR="002241AF">
        <w:rPr>
          <w:rFonts w:ascii="Arial" w:hAnsi="Arial" w:cs="Arial"/>
          <w:sz w:val="24"/>
          <w:szCs w:val="24"/>
        </w:rPr>
        <w:t>7</w:t>
      </w:r>
      <w:r w:rsidR="00775D40">
        <w:rPr>
          <w:rFonts w:ascii="Arial" w:hAnsi="Arial" w:cs="Arial"/>
          <w:sz w:val="24"/>
          <w:szCs w:val="24"/>
        </w:rPr>
        <w:t>]</w:t>
      </w:r>
      <w:r w:rsidR="00FD3BA0">
        <w:rPr>
          <w:rFonts w:ascii="Arial" w:hAnsi="Arial" w:cs="Arial"/>
          <w:sz w:val="24"/>
          <w:szCs w:val="24"/>
        </w:rPr>
        <w:t xml:space="preserve"> </w:t>
      </w:r>
      <w:r w:rsidR="009E712B">
        <w:rPr>
          <w:rFonts w:ascii="Arial" w:hAnsi="Arial" w:cs="Arial"/>
          <w:sz w:val="24"/>
          <w:szCs w:val="24"/>
        </w:rPr>
        <w:t xml:space="preserve">It has </w:t>
      </w:r>
      <w:r>
        <w:rPr>
          <w:rFonts w:ascii="Arial" w:hAnsi="Arial" w:cs="Arial"/>
          <w:sz w:val="24"/>
          <w:szCs w:val="24"/>
        </w:rPr>
        <w:t xml:space="preserve">also </w:t>
      </w:r>
      <w:r w:rsidR="009E712B">
        <w:rPr>
          <w:rFonts w:ascii="Arial" w:hAnsi="Arial" w:cs="Arial"/>
          <w:sz w:val="24"/>
          <w:szCs w:val="24"/>
        </w:rPr>
        <w:t xml:space="preserve">been suggested that untreated HIV infection </w:t>
      </w:r>
      <w:r w:rsidR="009E712B" w:rsidRPr="00F66FD8">
        <w:rPr>
          <w:rFonts w:ascii="Arial" w:hAnsi="Arial" w:cs="Arial"/>
          <w:i/>
          <w:sz w:val="24"/>
          <w:szCs w:val="24"/>
        </w:rPr>
        <w:t>per se</w:t>
      </w:r>
      <w:r w:rsidR="009E712B">
        <w:rPr>
          <w:rFonts w:ascii="Arial" w:hAnsi="Arial" w:cs="Arial"/>
          <w:sz w:val="24"/>
          <w:szCs w:val="24"/>
        </w:rPr>
        <w:t xml:space="preserve"> is a cause of hyperuricaemia but the data are conflicting and there are potentially a number of aetiological mechanisms</w:t>
      </w:r>
      <w:r w:rsidR="00F66FD8">
        <w:rPr>
          <w:rFonts w:ascii="Arial" w:hAnsi="Arial" w:cs="Arial"/>
          <w:sz w:val="24"/>
          <w:szCs w:val="24"/>
        </w:rPr>
        <w:t xml:space="preserve"> including</w:t>
      </w:r>
      <w:r w:rsidR="009E712B">
        <w:rPr>
          <w:rFonts w:ascii="Arial" w:hAnsi="Arial" w:cs="Arial"/>
          <w:sz w:val="24"/>
          <w:szCs w:val="24"/>
        </w:rPr>
        <w:t xml:space="preserve">: </w:t>
      </w:r>
      <w:r w:rsidR="0009523B">
        <w:rPr>
          <w:rFonts w:ascii="Arial" w:hAnsi="Arial" w:cs="Arial"/>
          <w:sz w:val="24"/>
          <w:szCs w:val="24"/>
        </w:rPr>
        <w:t xml:space="preserve">increased cell turnover; </w:t>
      </w:r>
      <w:r w:rsidR="009E712B">
        <w:rPr>
          <w:rFonts w:ascii="Arial" w:hAnsi="Arial" w:cs="Arial"/>
          <w:sz w:val="24"/>
          <w:szCs w:val="24"/>
        </w:rPr>
        <w:t xml:space="preserve">mitochondrial toxicity; treatment </w:t>
      </w:r>
      <w:r w:rsidR="00F66FD8">
        <w:rPr>
          <w:rFonts w:ascii="Arial" w:hAnsi="Arial" w:cs="Arial"/>
          <w:sz w:val="24"/>
          <w:szCs w:val="24"/>
        </w:rPr>
        <w:t>of tuberculosis with pyra</w:t>
      </w:r>
      <w:r w:rsidR="009E712B">
        <w:rPr>
          <w:rFonts w:ascii="Arial" w:hAnsi="Arial" w:cs="Arial"/>
          <w:sz w:val="24"/>
          <w:szCs w:val="24"/>
        </w:rPr>
        <w:t>zinamide and</w:t>
      </w:r>
      <w:r w:rsidR="0009523B">
        <w:rPr>
          <w:rFonts w:ascii="Arial" w:hAnsi="Arial" w:cs="Arial"/>
          <w:sz w:val="24"/>
          <w:szCs w:val="24"/>
        </w:rPr>
        <w:t>/or</w:t>
      </w:r>
      <w:r w:rsidR="009E712B">
        <w:rPr>
          <w:rFonts w:ascii="Arial" w:hAnsi="Arial" w:cs="Arial"/>
          <w:sz w:val="24"/>
          <w:szCs w:val="24"/>
        </w:rPr>
        <w:t xml:space="preserve"> ethambutol</w:t>
      </w:r>
      <w:r w:rsidR="0009523B">
        <w:rPr>
          <w:rFonts w:ascii="Arial" w:hAnsi="Arial" w:cs="Arial"/>
          <w:sz w:val="24"/>
          <w:szCs w:val="24"/>
        </w:rPr>
        <w:t xml:space="preserve">; and the increased risk of lymphoproliferative conditions. </w:t>
      </w:r>
      <w:r w:rsidR="00F66FD8">
        <w:rPr>
          <w:rFonts w:ascii="Arial" w:hAnsi="Arial" w:cs="Arial"/>
          <w:sz w:val="24"/>
          <w:szCs w:val="24"/>
        </w:rPr>
        <w:t xml:space="preserve">More data are needed but it is possible that the modern trend for earlier diagnosis and treatment </w:t>
      </w:r>
      <w:r w:rsidR="004D0BBA">
        <w:rPr>
          <w:rFonts w:ascii="Arial" w:hAnsi="Arial" w:cs="Arial"/>
          <w:sz w:val="24"/>
          <w:szCs w:val="24"/>
        </w:rPr>
        <w:t xml:space="preserve">of HIV </w:t>
      </w:r>
      <w:r w:rsidR="00F66FD8">
        <w:rPr>
          <w:rFonts w:ascii="Arial" w:hAnsi="Arial" w:cs="Arial"/>
          <w:sz w:val="24"/>
          <w:szCs w:val="24"/>
        </w:rPr>
        <w:t>may reduce the risk of gout</w:t>
      </w:r>
      <w:r w:rsidR="004D0BBA">
        <w:rPr>
          <w:rFonts w:ascii="Arial" w:hAnsi="Arial" w:cs="Arial"/>
          <w:sz w:val="24"/>
          <w:szCs w:val="24"/>
        </w:rPr>
        <w:t xml:space="preserve"> in HIV-positive patients</w:t>
      </w:r>
      <w:r w:rsidR="004E20B7">
        <w:rPr>
          <w:rFonts w:ascii="Arial" w:hAnsi="Arial" w:cs="Arial"/>
          <w:sz w:val="24"/>
          <w:szCs w:val="24"/>
        </w:rPr>
        <w:t>.</w:t>
      </w:r>
      <w:r w:rsidR="00F66FD8">
        <w:rPr>
          <w:rFonts w:ascii="Arial" w:hAnsi="Arial" w:cs="Arial"/>
          <w:sz w:val="24"/>
          <w:szCs w:val="24"/>
        </w:rPr>
        <w:t xml:space="preserve"> </w:t>
      </w:r>
    </w:p>
    <w:p w:rsidR="00FD3BA0" w:rsidRDefault="00FD3BA0" w:rsidP="007771DE">
      <w:pPr>
        <w:spacing w:line="480" w:lineRule="auto"/>
        <w:jc w:val="both"/>
        <w:rPr>
          <w:rFonts w:ascii="Arial" w:hAnsi="Arial" w:cs="Arial"/>
          <w:sz w:val="24"/>
          <w:szCs w:val="24"/>
        </w:rPr>
      </w:pPr>
    </w:p>
    <w:p w:rsidR="002241AF" w:rsidRDefault="00D05243" w:rsidP="007771DE">
      <w:pPr>
        <w:spacing w:line="480" w:lineRule="auto"/>
        <w:jc w:val="both"/>
        <w:rPr>
          <w:rFonts w:ascii="Arial" w:hAnsi="Arial" w:cs="Arial"/>
          <w:sz w:val="24"/>
          <w:szCs w:val="24"/>
        </w:rPr>
      </w:pPr>
      <w:r>
        <w:rPr>
          <w:rFonts w:ascii="Arial" w:hAnsi="Arial" w:cs="Arial"/>
          <w:sz w:val="24"/>
          <w:szCs w:val="24"/>
        </w:rPr>
        <w:t xml:space="preserve">ART has been implicated as a risk factor for hyperuricaemia over many years. </w:t>
      </w:r>
      <w:r w:rsidR="007E0589">
        <w:rPr>
          <w:rFonts w:ascii="Arial" w:hAnsi="Arial" w:cs="Arial"/>
          <w:sz w:val="24"/>
          <w:szCs w:val="24"/>
        </w:rPr>
        <w:t>The first drug implicated was t</w:t>
      </w:r>
      <w:r w:rsidR="001D3E8E">
        <w:rPr>
          <w:rFonts w:ascii="Arial" w:hAnsi="Arial" w:cs="Arial"/>
          <w:sz w:val="24"/>
          <w:szCs w:val="24"/>
        </w:rPr>
        <w:t xml:space="preserve">he purine analogue </w:t>
      </w:r>
      <w:r w:rsidR="004D0BBA">
        <w:rPr>
          <w:rFonts w:ascii="Arial" w:hAnsi="Arial" w:cs="Arial"/>
          <w:sz w:val="24"/>
          <w:szCs w:val="24"/>
        </w:rPr>
        <w:t>didanosine</w:t>
      </w:r>
      <w:r w:rsidR="00775D40">
        <w:rPr>
          <w:rFonts w:ascii="Arial" w:hAnsi="Arial" w:cs="Arial"/>
          <w:sz w:val="24"/>
          <w:szCs w:val="24"/>
        </w:rPr>
        <w:t>,[</w:t>
      </w:r>
      <w:r w:rsidR="002241AF">
        <w:rPr>
          <w:rFonts w:ascii="Arial" w:hAnsi="Arial" w:cs="Arial"/>
          <w:sz w:val="24"/>
          <w:szCs w:val="24"/>
        </w:rPr>
        <w:t>2</w:t>
      </w:r>
      <w:r w:rsidR="00D750E5">
        <w:rPr>
          <w:rFonts w:ascii="Arial" w:hAnsi="Arial" w:cs="Arial"/>
          <w:sz w:val="24"/>
          <w:szCs w:val="24"/>
        </w:rPr>
        <w:t>1</w:t>
      </w:r>
      <w:r w:rsidR="00775D40">
        <w:rPr>
          <w:rFonts w:ascii="Arial" w:hAnsi="Arial" w:cs="Arial"/>
          <w:sz w:val="24"/>
          <w:szCs w:val="24"/>
        </w:rPr>
        <w:t>]</w:t>
      </w:r>
      <w:r w:rsidR="00001821">
        <w:rPr>
          <w:rFonts w:ascii="Arial" w:hAnsi="Arial" w:cs="Arial"/>
          <w:sz w:val="24"/>
          <w:szCs w:val="24"/>
        </w:rPr>
        <w:t xml:space="preserve"> </w:t>
      </w:r>
      <w:r w:rsidR="007E0589">
        <w:rPr>
          <w:rFonts w:ascii="Arial" w:hAnsi="Arial" w:cs="Arial"/>
          <w:sz w:val="24"/>
          <w:szCs w:val="24"/>
        </w:rPr>
        <w:t xml:space="preserve">and </w:t>
      </w:r>
      <w:r w:rsidR="00C62F95">
        <w:rPr>
          <w:rFonts w:ascii="Arial" w:hAnsi="Arial" w:cs="Arial"/>
          <w:sz w:val="24"/>
          <w:szCs w:val="24"/>
        </w:rPr>
        <w:t>this led to the suggestion</w:t>
      </w:r>
      <w:r w:rsidR="00001821">
        <w:rPr>
          <w:rFonts w:ascii="Arial" w:hAnsi="Arial" w:cs="Arial"/>
          <w:sz w:val="24"/>
          <w:szCs w:val="24"/>
        </w:rPr>
        <w:t xml:space="preserve"> that serum urate could be used as a marker of compliance with </w:t>
      </w:r>
      <w:r w:rsidR="00A72978">
        <w:rPr>
          <w:rFonts w:ascii="Arial" w:hAnsi="Arial" w:cs="Arial"/>
          <w:sz w:val="24"/>
          <w:szCs w:val="24"/>
        </w:rPr>
        <w:t>the drug</w:t>
      </w:r>
      <w:r w:rsidR="00775D40">
        <w:rPr>
          <w:rFonts w:ascii="Arial" w:hAnsi="Arial" w:cs="Arial"/>
          <w:sz w:val="24"/>
          <w:szCs w:val="24"/>
        </w:rPr>
        <w:t>.[</w:t>
      </w:r>
      <w:r w:rsidR="00585DD0">
        <w:rPr>
          <w:rFonts w:ascii="Arial" w:hAnsi="Arial" w:cs="Arial"/>
          <w:sz w:val="24"/>
          <w:szCs w:val="24"/>
        </w:rPr>
        <w:t>2</w:t>
      </w:r>
      <w:r w:rsidR="00D750E5">
        <w:rPr>
          <w:rFonts w:ascii="Arial" w:hAnsi="Arial" w:cs="Arial"/>
          <w:sz w:val="24"/>
          <w:szCs w:val="24"/>
        </w:rPr>
        <w:t>2</w:t>
      </w:r>
      <w:r w:rsidR="00775D40">
        <w:rPr>
          <w:rFonts w:ascii="Arial" w:hAnsi="Arial" w:cs="Arial"/>
          <w:sz w:val="24"/>
          <w:szCs w:val="24"/>
        </w:rPr>
        <w:t>]</w:t>
      </w:r>
      <w:r w:rsidR="00001821">
        <w:rPr>
          <w:rFonts w:ascii="Arial" w:hAnsi="Arial" w:cs="Arial"/>
          <w:sz w:val="24"/>
          <w:szCs w:val="24"/>
        </w:rPr>
        <w:t xml:space="preserve"> </w:t>
      </w:r>
      <w:r w:rsidR="00FD3BA0">
        <w:rPr>
          <w:rFonts w:ascii="Arial" w:hAnsi="Arial" w:cs="Arial"/>
          <w:sz w:val="24"/>
          <w:szCs w:val="24"/>
        </w:rPr>
        <w:t xml:space="preserve">In 2006, Walker and colleagues </w:t>
      </w:r>
      <w:r w:rsidR="00C62F95">
        <w:rPr>
          <w:rFonts w:ascii="Arial" w:hAnsi="Arial" w:cs="Arial"/>
          <w:sz w:val="24"/>
          <w:szCs w:val="24"/>
        </w:rPr>
        <w:t>replicate</w:t>
      </w:r>
      <w:r w:rsidR="00CB5672">
        <w:rPr>
          <w:rFonts w:ascii="Arial" w:hAnsi="Arial" w:cs="Arial"/>
          <w:sz w:val="24"/>
          <w:szCs w:val="24"/>
        </w:rPr>
        <w:t xml:space="preserve">d the </w:t>
      </w:r>
      <w:r w:rsidR="00C62F95">
        <w:rPr>
          <w:rFonts w:ascii="Arial" w:hAnsi="Arial" w:cs="Arial"/>
          <w:sz w:val="24"/>
          <w:szCs w:val="24"/>
        </w:rPr>
        <w:t>association with</w:t>
      </w:r>
      <w:r w:rsidR="00CB5672">
        <w:rPr>
          <w:rFonts w:ascii="Arial" w:hAnsi="Arial" w:cs="Arial"/>
          <w:sz w:val="24"/>
          <w:szCs w:val="24"/>
        </w:rPr>
        <w:t xml:space="preserve"> didanosine</w:t>
      </w:r>
      <w:r w:rsidR="007163DF">
        <w:rPr>
          <w:rFonts w:ascii="Arial" w:hAnsi="Arial" w:cs="Arial"/>
          <w:sz w:val="24"/>
          <w:szCs w:val="24"/>
        </w:rPr>
        <w:t xml:space="preserve"> but also </w:t>
      </w:r>
      <w:r w:rsidR="00775D40">
        <w:rPr>
          <w:rFonts w:ascii="Arial" w:hAnsi="Arial" w:cs="Arial"/>
          <w:sz w:val="24"/>
          <w:szCs w:val="24"/>
        </w:rPr>
        <w:t xml:space="preserve">reported </w:t>
      </w:r>
      <w:r w:rsidR="00C62F95">
        <w:rPr>
          <w:rFonts w:ascii="Arial" w:hAnsi="Arial" w:cs="Arial"/>
          <w:sz w:val="24"/>
          <w:szCs w:val="24"/>
        </w:rPr>
        <w:t>hyperuricaemia</w:t>
      </w:r>
      <w:r w:rsidR="00775D40">
        <w:rPr>
          <w:rFonts w:ascii="Arial" w:hAnsi="Arial" w:cs="Arial"/>
          <w:sz w:val="24"/>
          <w:szCs w:val="24"/>
        </w:rPr>
        <w:t xml:space="preserve"> associated</w:t>
      </w:r>
      <w:r w:rsidR="007163DF">
        <w:rPr>
          <w:rFonts w:ascii="Arial" w:hAnsi="Arial" w:cs="Arial"/>
          <w:sz w:val="24"/>
          <w:szCs w:val="24"/>
        </w:rPr>
        <w:t xml:space="preserve"> with stavudine and </w:t>
      </w:r>
      <w:r w:rsidR="00775D40">
        <w:rPr>
          <w:rFonts w:ascii="Arial" w:hAnsi="Arial" w:cs="Arial"/>
          <w:sz w:val="24"/>
          <w:szCs w:val="24"/>
        </w:rPr>
        <w:t xml:space="preserve">found that </w:t>
      </w:r>
      <w:r w:rsidR="007163DF">
        <w:rPr>
          <w:rFonts w:ascii="Arial" w:hAnsi="Arial" w:cs="Arial"/>
          <w:sz w:val="24"/>
          <w:szCs w:val="24"/>
        </w:rPr>
        <w:t>use of both drugs in combination resulted in significantly higher levels of urate</w:t>
      </w:r>
      <w:r w:rsidR="00A72978">
        <w:rPr>
          <w:rFonts w:ascii="Arial" w:hAnsi="Arial" w:cs="Arial"/>
          <w:sz w:val="24"/>
          <w:szCs w:val="24"/>
        </w:rPr>
        <w:t xml:space="preserve"> when compared to either drug alone</w:t>
      </w:r>
      <w:r w:rsidR="00775D40">
        <w:rPr>
          <w:rFonts w:ascii="Arial" w:hAnsi="Arial" w:cs="Arial"/>
          <w:sz w:val="24"/>
          <w:szCs w:val="24"/>
        </w:rPr>
        <w:t>.[</w:t>
      </w:r>
      <w:r w:rsidR="002241AF">
        <w:rPr>
          <w:rFonts w:ascii="Arial" w:hAnsi="Arial" w:cs="Arial"/>
          <w:sz w:val="24"/>
          <w:szCs w:val="24"/>
        </w:rPr>
        <w:t>18</w:t>
      </w:r>
      <w:r w:rsidR="00775D40">
        <w:rPr>
          <w:rFonts w:ascii="Arial" w:hAnsi="Arial" w:cs="Arial"/>
          <w:sz w:val="24"/>
          <w:szCs w:val="24"/>
        </w:rPr>
        <w:t>]</w:t>
      </w:r>
      <w:r w:rsidR="007163DF">
        <w:rPr>
          <w:rFonts w:ascii="Arial" w:hAnsi="Arial" w:cs="Arial"/>
          <w:sz w:val="24"/>
          <w:szCs w:val="24"/>
        </w:rPr>
        <w:t xml:space="preserve"> The same study also found an increased risk from zalcitabine and protease inhibitors but suggested a beneficial effect of tenofovir disoproxil fumarate on urate an</w:t>
      </w:r>
      <w:r w:rsidR="007E0589">
        <w:rPr>
          <w:rFonts w:ascii="Arial" w:hAnsi="Arial" w:cs="Arial"/>
          <w:sz w:val="24"/>
          <w:szCs w:val="24"/>
        </w:rPr>
        <w:t>d no effect of abacavir</w:t>
      </w:r>
      <w:r w:rsidR="007163DF">
        <w:rPr>
          <w:rFonts w:ascii="Arial" w:hAnsi="Arial" w:cs="Arial"/>
          <w:sz w:val="24"/>
          <w:szCs w:val="24"/>
        </w:rPr>
        <w:t>. In this study, male gender and stavudine use were the strongest predictors of urate variability.</w:t>
      </w:r>
      <w:r w:rsidR="00A72978">
        <w:rPr>
          <w:rFonts w:ascii="Arial" w:hAnsi="Arial" w:cs="Arial"/>
          <w:sz w:val="24"/>
          <w:szCs w:val="24"/>
        </w:rPr>
        <w:t xml:space="preserve"> Boosted protease inhibitor use has also been associated with gout </w:t>
      </w:r>
      <w:r w:rsidR="0009523B">
        <w:rPr>
          <w:rFonts w:ascii="Arial" w:hAnsi="Arial" w:cs="Arial"/>
          <w:sz w:val="24"/>
          <w:szCs w:val="24"/>
        </w:rPr>
        <w:t>in some studies</w:t>
      </w:r>
      <w:r w:rsidR="00775D40">
        <w:rPr>
          <w:rFonts w:ascii="Arial" w:hAnsi="Arial" w:cs="Arial"/>
          <w:sz w:val="24"/>
          <w:szCs w:val="24"/>
        </w:rPr>
        <w:t>.[</w:t>
      </w:r>
      <w:r w:rsidR="002241AF">
        <w:rPr>
          <w:rFonts w:ascii="Arial" w:hAnsi="Arial" w:cs="Arial"/>
          <w:sz w:val="24"/>
          <w:szCs w:val="24"/>
        </w:rPr>
        <w:t>9,16</w:t>
      </w:r>
      <w:r w:rsidR="00775D40">
        <w:rPr>
          <w:rFonts w:ascii="Arial" w:hAnsi="Arial" w:cs="Arial"/>
          <w:sz w:val="24"/>
          <w:szCs w:val="24"/>
        </w:rPr>
        <w:t>]</w:t>
      </w:r>
      <w:r w:rsidR="0009523B">
        <w:rPr>
          <w:rFonts w:ascii="Arial" w:hAnsi="Arial" w:cs="Arial"/>
          <w:sz w:val="24"/>
          <w:szCs w:val="24"/>
        </w:rPr>
        <w:t xml:space="preserve"> However, these studies were somewhat confounded by having patients with other risk factors for gout, including patients taking pyrazinamide for TB and patients with lymphoproliferative </w:t>
      </w:r>
      <w:r w:rsidR="007E0589">
        <w:rPr>
          <w:rFonts w:ascii="Arial" w:hAnsi="Arial" w:cs="Arial"/>
          <w:sz w:val="24"/>
          <w:szCs w:val="24"/>
        </w:rPr>
        <w:t>disorder</w:t>
      </w:r>
      <w:r w:rsidR="001D3E8E">
        <w:rPr>
          <w:rFonts w:ascii="Arial" w:hAnsi="Arial" w:cs="Arial"/>
          <w:sz w:val="24"/>
          <w:szCs w:val="24"/>
        </w:rPr>
        <w:t>s. It is difficult to directly compare the results of the current study with those reported above since</w:t>
      </w:r>
      <w:r w:rsidR="00F633CA">
        <w:rPr>
          <w:rFonts w:ascii="Arial" w:hAnsi="Arial" w:cs="Arial"/>
          <w:sz w:val="24"/>
          <w:szCs w:val="24"/>
        </w:rPr>
        <w:t>:</w:t>
      </w:r>
      <w:r w:rsidR="001D3E8E">
        <w:rPr>
          <w:rFonts w:ascii="Arial" w:hAnsi="Arial" w:cs="Arial"/>
          <w:sz w:val="24"/>
          <w:szCs w:val="24"/>
        </w:rPr>
        <w:t xml:space="preserve"> nobody in this cohort </w:t>
      </w:r>
      <w:r w:rsidR="004D0BBA">
        <w:rPr>
          <w:rFonts w:ascii="Arial" w:hAnsi="Arial" w:cs="Arial"/>
          <w:sz w:val="24"/>
          <w:szCs w:val="24"/>
        </w:rPr>
        <w:t xml:space="preserve">was </w:t>
      </w:r>
      <w:r w:rsidR="001D3E8E">
        <w:rPr>
          <w:rFonts w:ascii="Arial" w:hAnsi="Arial" w:cs="Arial"/>
          <w:sz w:val="24"/>
          <w:szCs w:val="24"/>
        </w:rPr>
        <w:t xml:space="preserve">taking didanosine or </w:t>
      </w:r>
      <w:r w:rsidR="00F633CA">
        <w:rPr>
          <w:rFonts w:ascii="Arial" w:hAnsi="Arial" w:cs="Arial"/>
          <w:sz w:val="24"/>
          <w:szCs w:val="24"/>
        </w:rPr>
        <w:t xml:space="preserve">stavudine; most patients </w:t>
      </w:r>
      <w:r w:rsidR="004D0BBA">
        <w:rPr>
          <w:rFonts w:ascii="Arial" w:hAnsi="Arial" w:cs="Arial"/>
          <w:sz w:val="24"/>
          <w:szCs w:val="24"/>
        </w:rPr>
        <w:t xml:space="preserve">had </w:t>
      </w:r>
      <w:r w:rsidR="00F633CA">
        <w:rPr>
          <w:rFonts w:ascii="Arial" w:hAnsi="Arial" w:cs="Arial"/>
          <w:sz w:val="24"/>
          <w:szCs w:val="24"/>
        </w:rPr>
        <w:t xml:space="preserve">well-controlled, uncomplicated disease and, although we considered exposure to pyrazinamide and ethambutol, too few patients were exposed to distinguish significant effects. It is possible that we </w:t>
      </w:r>
      <w:r w:rsidR="004D0BBA">
        <w:rPr>
          <w:rFonts w:ascii="Arial" w:hAnsi="Arial" w:cs="Arial"/>
          <w:sz w:val="24"/>
          <w:szCs w:val="24"/>
        </w:rPr>
        <w:t xml:space="preserve">found </w:t>
      </w:r>
      <w:r w:rsidR="00F633CA">
        <w:rPr>
          <w:rFonts w:ascii="Arial" w:hAnsi="Arial" w:cs="Arial"/>
          <w:sz w:val="24"/>
          <w:szCs w:val="24"/>
        </w:rPr>
        <w:t xml:space="preserve">no effect of protease </w:t>
      </w:r>
      <w:r w:rsidR="00F633CA">
        <w:rPr>
          <w:rFonts w:ascii="Arial" w:hAnsi="Arial" w:cs="Arial"/>
          <w:sz w:val="24"/>
          <w:szCs w:val="24"/>
        </w:rPr>
        <w:lastRenderedPageBreak/>
        <w:t xml:space="preserve">inhibitors because the study </w:t>
      </w:r>
      <w:r w:rsidR="004D0BBA">
        <w:rPr>
          <w:rFonts w:ascii="Arial" w:hAnsi="Arial" w:cs="Arial"/>
          <w:sz w:val="24"/>
          <w:szCs w:val="24"/>
        </w:rPr>
        <w:t xml:space="preserve">was </w:t>
      </w:r>
      <w:r w:rsidR="00F633CA">
        <w:rPr>
          <w:rFonts w:ascii="Arial" w:hAnsi="Arial" w:cs="Arial"/>
          <w:sz w:val="24"/>
          <w:szCs w:val="24"/>
        </w:rPr>
        <w:t>under-powered or it may be that, if the cardio-metabolic side effects of these drugs are well-managed according to current guidance, the resultant benefits include a decrease in the risk of gout.</w:t>
      </w:r>
    </w:p>
    <w:p w:rsidR="00E07F63" w:rsidRDefault="00E07F63" w:rsidP="007771DE">
      <w:pPr>
        <w:spacing w:line="480" w:lineRule="auto"/>
        <w:jc w:val="both"/>
        <w:rPr>
          <w:rFonts w:ascii="Arial" w:hAnsi="Arial" w:cs="Arial"/>
          <w:sz w:val="24"/>
          <w:szCs w:val="24"/>
        </w:rPr>
      </w:pPr>
    </w:p>
    <w:p w:rsidR="00F633CA" w:rsidRDefault="00F633CA" w:rsidP="007771DE">
      <w:pPr>
        <w:spacing w:line="480" w:lineRule="auto"/>
        <w:jc w:val="both"/>
        <w:rPr>
          <w:rFonts w:ascii="Arial" w:hAnsi="Arial" w:cs="Arial"/>
          <w:sz w:val="24"/>
          <w:szCs w:val="24"/>
        </w:rPr>
      </w:pPr>
      <w:r>
        <w:rPr>
          <w:rFonts w:ascii="Arial" w:hAnsi="Arial" w:cs="Arial"/>
          <w:sz w:val="24"/>
          <w:szCs w:val="24"/>
        </w:rPr>
        <w:t xml:space="preserve">Our finding </w:t>
      </w:r>
      <w:r w:rsidR="00C62F95">
        <w:rPr>
          <w:rFonts w:ascii="Arial" w:hAnsi="Arial" w:cs="Arial"/>
          <w:sz w:val="24"/>
          <w:szCs w:val="24"/>
        </w:rPr>
        <w:t>suggesting</w:t>
      </w:r>
      <w:r>
        <w:rPr>
          <w:rFonts w:ascii="Arial" w:hAnsi="Arial" w:cs="Arial"/>
          <w:sz w:val="24"/>
          <w:szCs w:val="24"/>
        </w:rPr>
        <w:t xml:space="preserve"> a protective effect of NNRTIs probably reflects that the patients at highest risk of cardiovascular disease as defined by blood pressure, lipid profiles and obesity are </w:t>
      </w:r>
      <w:r w:rsidR="00986ED8">
        <w:rPr>
          <w:rFonts w:ascii="Arial" w:hAnsi="Arial" w:cs="Arial"/>
          <w:sz w:val="24"/>
          <w:szCs w:val="24"/>
        </w:rPr>
        <w:t xml:space="preserve">being </w:t>
      </w:r>
      <w:r>
        <w:rPr>
          <w:rFonts w:ascii="Arial" w:hAnsi="Arial" w:cs="Arial"/>
          <w:sz w:val="24"/>
          <w:szCs w:val="24"/>
        </w:rPr>
        <w:t xml:space="preserve">preferentially </w:t>
      </w:r>
      <w:r w:rsidR="004D0BBA">
        <w:rPr>
          <w:rFonts w:ascii="Arial" w:hAnsi="Arial" w:cs="Arial"/>
          <w:sz w:val="24"/>
          <w:szCs w:val="24"/>
        </w:rPr>
        <w:t>treated with</w:t>
      </w:r>
      <w:r>
        <w:rPr>
          <w:rFonts w:ascii="Arial" w:hAnsi="Arial" w:cs="Arial"/>
          <w:sz w:val="24"/>
          <w:szCs w:val="24"/>
        </w:rPr>
        <w:t xml:space="preserve"> NNRTIs to decrease their cardiovascular risk and, as expected, since serum urate is a marker of the metabolic syndrome, the effect is to reduce urate and accordingly decrease the risk of gout. Interestingly Bagnis and colleagues also reported this effect</w:t>
      </w:r>
      <w:r w:rsidR="00775D40">
        <w:rPr>
          <w:rFonts w:ascii="Arial" w:hAnsi="Arial" w:cs="Arial"/>
          <w:sz w:val="24"/>
          <w:szCs w:val="24"/>
        </w:rPr>
        <w:t>.[</w:t>
      </w:r>
      <w:r w:rsidR="00C62F95">
        <w:rPr>
          <w:rFonts w:ascii="Arial" w:hAnsi="Arial" w:cs="Arial"/>
          <w:sz w:val="24"/>
          <w:szCs w:val="24"/>
        </w:rPr>
        <w:t>16</w:t>
      </w:r>
      <w:r w:rsidR="00775D40">
        <w:rPr>
          <w:rFonts w:ascii="Arial" w:hAnsi="Arial" w:cs="Arial"/>
          <w:sz w:val="24"/>
          <w:szCs w:val="24"/>
        </w:rPr>
        <w:t>]</w:t>
      </w:r>
    </w:p>
    <w:p w:rsidR="007E0589" w:rsidRDefault="007E0589" w:rsidP="007771DE">
      <w:pPr>
        <w:spacing w:line="480" w:lineRule="auto"/>
        <w:jc w:val="both"/>
        <w:rPr>
          <w:rFonts w:ascii="Arial" w:hAnsi="Arial" w:cs="Arial"/>
          <w:sz w:val="24"/>
          <w:szCs w:val="24"/>
        </w:rPr>
      </w:pPr>
    </w:p>
    <w:p w:rsidR="00331162" w:rsidRPr="00331162" w:rsidRDefault="007E0589" w:rsidP="00331162">
      <w:pPr>
        <w:spacing w:line="480" w:lineRule="auto"/>
        <w:jc w:val="both"/>
        <w:rPr>
          <w:rFonts w:ascii="Arial" w:hAnsi="Arial" w:cs="Arial"/>
          <w:sz w:val="24"/>
          <w:szCs w:val="24"/>
        </w:rPr>
      </w:pPr>
      <w:r w:rsidRPr="007E0589">
        <w:rPr>
          <w:rFonts w:ascii="Arial" w:hAnsi="Arial" w:cs="Arial"/>
          <w:sz w:val="24"/>
          <w:szCs w:val="24"/>
        </w:rPr>
        <w:t>We note with interest that gout has been described as an immune reconstitution inflammatory syndrome</w:t>
      </w:r>
      <w:r w:rsidR="00CB5672">
        <w:rPr>
          <w:rFonts w:ascii="Arial" w:hAnsi="Arial" w:cs="Arial"/>
          <w:sz w:val="24"/>
          <w:szCs w:val="24"/>
        </w:rPr>
        <w:t xml:space="preserve"> (IRIS)</w:t>
      </w:r>
      <w:r w:rsidRPr="007E0589">
        <w:rPr>
          <w:rFonts w:ascii="Arial" w:hAnsi="Arial" w:cs="Arial"/>
          <w:sz w:val="24"/>
          <w:szCs w:val="24"/>
        </w:rPr>
        <w:t xml:space="preserve"> in two case reports, occurring within one month of the commencement of an ART regimen in two patients, one starting</w:t>
      </w:r>
      <w:r w:rsidR="00331162" w:rsidRPr="007E0589">
        <w:rPr>
          <w:rFonts w:ascii="Arial" w:hAnsi="Arial" w:cs="Arial"/>
          <w:sz w:val="24"/>
          <w:szCs w:val="24"/>
          <w:lang w:val="en-US"/>
        </w:rPr>
        <w:t xml:space="preserve">: </w:t>
      </w:r>
      <w:r w:rsidR="004D0BBA">
        <w:rPr>
          <w:rFonts w:ascii="Arial" w:hAnsi="Arial" w:cs="Arial"/>
          <w:sz w:val="24"/>
          <w:szCs w:val="24"/>
          <w:lang w:val="en-US"/>
        </w:rPr>
        <w:t>t</w:t>
      </w:r>
      <w:r w:rsidR="00331162" w:rsidRPr="007E0589">
        <w:rPr>
          <w:rFonts w:ascii="Arial" w:hAnsi="Arial" w:cs="Arial"/>
          <w:sz w:val="24"/>
          <w:szCs w:val="24"/>
          <w:lang w:val="en-US"/>
        </w:rPr>
        <w:t>enofovir</w:t>
      </w:r>
      <w:r w:rsidRPr="007E0589">
        <w:rPr>
          <w:rFonts w:ascii="Arial" w:hAnsi="Arial" w:cs="Arial"/>
          <w:sz w:val="24"/>
          <w:szCs w:val="24"/>
          <w:lang w:val="en-US"/>
        </w:rPr>
        <w:t xml:space="preserve"> disoproxil fumarate (TDF)</w:t>
      </w:r>
      <w:r w:rsidR="00331162" w:rsidRPr="007E0589">
        <w:rPr>
          <w:rFonts w:ascii="Arial" w:hAnsi="Arial" w:cs="Arial"/>
          <w:sz w:val="24"/>
          <w:szCs w:val="24"/>
          <w:lang w:val="en-US"/>
        </w:rPr>
        <w:t xml:space="preserve">, </w:t>
      </w:r>
      <w:r w:rsidR="004D0BBA">
        <w:rPr>
          <w:rFonts w:ascii="Arial" w:hAnsi="Arial" w:cs="Arial"/>
          <w:sz w:val="24"/>
          <w:szCs w:val="24"/>
          <w:lang w:val="en-US"/>
        </w:rPr>
        <w:t>e</w:t>
      </w:r>
      <w:r w:rsidR="004D0BBA" w:rsidRPr="007E0589">
        <w:rPr>
          <w:rFonts w:ascii="Arial" w:hAnsi="Arial" w:cs="Arial"/>
          <w:sz w:val="24"/>
          <w:szCs w:val="24"/>
          <w:lang w:val="en-US"/>
        </w:rPr>
        <w:t xml:space="preserve">mtricitabine </w:t>
      </w:r>
      <w:r w:rsidR="00331162" w:rsidRPr="007E0589">
        <w:rPr>
          <w:rFonts w:ascii="Arial" w:hAnsi="Arial" w:cs="Arial"/>
          <w:sz w:val="24"/>
          <w:szCs w:val="24"/>
          <w:lang w:val="en-US"/>
        </w:rPr>
        <w:t xml:space="preserve">and </w:t>
      </w:r>
      <w:r w:rsidR="004D0BBA">
        <w:rPr>
          <w:rFonts w:ascii="Arial" w:hAnsi="Arial" w:cs="Arial"/>
          <w:sz w:val="24"/>
          <w:szCs w:val="24"/>
          <w:lang w:val="en-US"/>
        </w:rPr>
        <w:t>e</w:t>
      </w:r>
      <w:r w:rsidR="004D0BBA" w:rsidRPr="007E0589">
        <w:rPr>
          <w:rFonts w:ascii="Arial" w:hAnsi="Arial" w:cs="Arial"/>
          <w:sz w:val="24"/>
          <w:szCs w:val="24"/>
          <w:lang w:val="en-US"/>
        </w:rPr>
        <w:t>favirenz</w:t>
      </w:r>
      <w:r w:rsidR="002241AF">
        <w:rPr>
          <w:rFonts w:ascii="Arial" w:hAnsi="Arial" w:cs="Arial"/>
          <w:sz w:val="24"/>
          <w:szCs w:val="24"/>
          <w:lang w:val="en-US"/>
        </w:rPr>
        <w:t xml:space="preserve"> </w:t>
      </w:r>
      <w:r w:rsidR="00775D40">
        <w:rPr>
          <w:rFonts w:ascii="Arial" w:hAnsi="Arial" w:cs="Arial"/>
          <w:sz w:val="24"/>
          <w:szCs w:val="24"/>
          <w:lang w:val="en-US"/>
        </w:rPr>
        <w:t>[</w:t>
      </w:r>
      <w:r w:rsidR="002241AF">
        <w:rPr>
          <w:rFonts w:ascii="Arial" w:hAnsi="Arial" w:cs="Arial"/>
          <w:sz w:val="24"/>
          <w:szCs w:val="24"/>
          <w:lang w:val="en-US"/>
        </w:rPr>
        <w:t>10</w:t>
      </w:r>
      <w:r w:rsidR="00775D40">
        <w:rPr>
          <w:rFonts w:ascii="Arial" w:hAnsi="Arial" w:cs="Arial"/>
          <w:sz w:val="24"/>
          <w:szCs w:val="24"/>
          <w:lang w:val="en-US"/>
        </w:rPr>
        <w:t>]</w:t>
      </w:r>
      <w:r w:rsidR="004D0BBA" w:rsidRPr="007E0589">
        <w:rPr>
          <w:rFonts w:ascii="Arial" w:hAnsi="Arial" w:cs="Arial"/>
          <w:sz w:val="24"/>
          <w:szCs w:val="24"/>
          <w:lang w:val="en-US"/>
        </w:rPr>
        <w:t xml:space="preserve"> </w:t>
      </w:r>
      <w:r w:rsidR="00331162" w:rsidRPr="007E0589">
        <w:rPr>
          <w:rFonts w:ascii="Arial" w:hAnsi="Arial" w:cs="Arial"/>
          <w:sz w:val="24"/>
          <w:szCs w:val="24"/>
          <w:lang w:val="en-US"/>
        </w:rPr>
        <w:t>and</w:t>
      </w:r>
      <w:r w:rsidRPr="007E0589">
        <w:rPr>
          <w:rFonts w:ascii="Arial" w:hAnsi="Arial" w:cs="Arial"/>
          <w:sz w:val="24"/>
          <w:szCs w:val="24"/>
          <w:lang w:val="en-US"/>
        </w:rPr>
        <w:t xml:space="preserve"> the other starting</w:t>
      </w:r>
      <w:r w:rsidR="00331162" w:rsidRPr="007E0589">
        <w:rPr>
          <w:rFonts w:ascii="Arial" w:hAnsi="Arial" w:cs="Arial"/>
          <w:sz w:val="24"/>
          <w:szCs w:val="24"/>
          <w:lang w:val="en-US"/>
        </w:rPr>
        <w:t xml:space="preserve"> </w:t>
      </w:r>
      <w:r w:rsidR="004D0BBA">
        <w:rPr>
          <w:rFonts w:ascii="Arial" w:hAnsi="Arial" w:cs="Arial"/>
          <w:sz w:val="24"/>
          <w:szCs w:val="24"/>
          <w:lang w:val="en-US"/>
        </w:rPr>
        <w:t>l</w:t>
      </w:r>
      <w:r w:rsidR="004D0BBA" w:rsidRPr="007E0589">
        <w:rPr>
          <w:rFonts w:ascii="Arial" w:hAnsi="Arial" w:cs="Arial"/>
          <w:sz w:val="24"/>
          <w:szCs w:val="24"/>
          <w:lang w:val="en-US"/>
        </w:rPr>
        <w:t>amivudine</w:t>
      </w:r>
      <w:r w:rsidR="00331162" w:rsidRPr="007E0589">
        <w:rPr>
          <w:rFonts w:ascii="Arial" w:hAnsi="Arial" w:cs="Arial"/>
          <w:sz w:val="24"/>
          <w:szCs w:val="24"/>
          <w:lang w:val="en-US"/>
        </w:rPr>
        <w:t xml:space="preserve">, </w:t>
      </w:r>
      <w:r w:rsidRPr="007E0589">
        <w:rPr>
          <w:rFonts w:ascii="Arial" w:hAnsi="Arial" w:cs="Arial"/>
          <w:sz w:val="24"/>
          <w:szCs w:val="24"/>
          <w:lang w:val="en-US"/>
        </w:rPr>
        <w:t>TDF</w:t>
      </w:r>
      <w:r w:rsidR="00331162" w:rsidRPr="007E0589">
        <w:rPr>
          <w:rFonts w:ascii="Arial" w:hAnsi="Arial" w:cs="Arial"/>
          <w:sz w:val="24"/>
          <w:szCs w:val="24"/>
          <w:lang w:val="en-US"/>
        </w:rPr>
        <w:t>, atazanavir and ritonavir respectively</w:t>
      </w:r>
      <w:r w:rsidR="00775D40">
        <w:rPr>
          <w:rFonts w:ascii="Arial" w:hAnsi="Arial" w:cs="Arial"/>
          <w:sz w:val="24"/>
          <w:szCs w:val="24"/>
          <w:lang w:val="en-US"/>
        </w:rPr>
        <w:t>.[</w:t>
      </w:r>
      <w:r w:rsidR="00585DD0">
        <w:rPr>
          <w:rFonts w:ascii="Arial" w:hAnsi="Arial" w:cs="Arial"/>
          <w:sz w:val="24"/>
          <w:szCs w:val="24"/>
          <w:lang w:val="en-US"/>
        </w:rPr>
        <w:t>1</w:t>
      </w:r>
      <w:r w:rsidR="002241AF">
        <w:rPr>
          <w:rFonts w:ascii="Arial" w:hAnsi="Arial" w:cs="Arial"/>
          <w:sz w:val="24"/>
          <w:szCs w:val="24"/>
          <w:lang w:val="en-US"/>
        </w:rPr>
        <w:t>1</w:t>
      </w:r>
      <w:r w:rsidR="00775D40">
        <w:rPr>
          <w:rFonts w:ascii="Arial" w:hAnsi="Arial" w:cs="Arial"/>
          <w:sz w:val="24"/>
          <w:szCs w:val="24"/>
          <w:lang w:val="en-US"/>
        </w:rPr>
        <w:t>]</w:t>
      </w:r>
      <w:r w:rsidR="00331162" w:rsidRPr="00331162">
        <w:rPr>
          <w:rFonts w:ascii="Arial" w:hAnsi="Arial" w:cs="Arial"/>
          <w:sz w:val="24"/>
          <w:szCs w:val="24"/>
          <w:lang w:val="en-US"/>
        </w:rPr>
        <w:t xml:space="preserve"> </w:t>
      </w:r>
      <w:r>
        <w:rPr>
          <w:rFonts w:ascii="Arial" w:hAnsi="Arial" w:cs="Arial"/>
          <w:sz w:val="24"/>
          <w:szCs w:val="24"/>
          <w:lang w:val="en-US"/>
        </w:rPr>
        <w:t xml:space="preserve">Our study cannot provide any evidence </w:t>
      </w:r>
      <w:r w:rsidR="00CB5672">
        <w:rPr>
          <w:rFonts w:ascii="Arial" w:hAnsi="Arial" w:cs="Arial"/>
          <w:sz w:val="24"/>
          <w:szCs w:val="24"/>
          <w:lang w:val="en-US"/>
        </w:rPr>
        <w:t>about IRIS</w:t>
      </w:r>
      <w:r>
        <w:rPr>
          <w:rFonts w:ascii="Arial" w:hAnsi="Arial" w:cs="Arial"/>
          <w:sz w:val="24"/>
          <w:szCs w:val="24"/>
          <w:lang w:val="en-US"/>
        </w:rPr>
        <w:t xml:space="preserve"> but, as far as is</w:t>
      </w:r>
      <w:r w:rsidR="005803F9">
        <w:rPr>
          <w:rFonts w:ascii="Arial" w:hAnsi="Arial" w:cs="Arial"/>
          <w:sz w:val="24"/>
          <w:szCs w:val="24"/>
          <w:lang w:val="en-US"/>
        </w:rPr>
        <w:t xml:space="preserve"> currently understood, </w:t>
      </w:r>
      <w:r>
        <w:rPr>
          <w:rFonts w:ascii="Arial" w:hAnsi="Arial" w:cs="Arial"/>
          <w:sz w:val="24"/>
          <w:szCs w:val="24"/>
          <w:lang w:val="en-US"/>
        </w:rPr>
        <w:t>gout is</w:t>
      </w:r>
      <w:r w:rsidRPr="00052899">
        <w:rPr>
          <w:rFonts w:ascii="Arial" w:hAnsi="Arial" w:cs="Arial"/>
          <w:sz w:val="24"/>
          <w:szCs w:val="24"/>
          <w:lang w:val="en-US"/>
        </w:rPr>
        <w:t xml:space="preserve"> </w:t>
      </w:r>
      <w:r w:rsidR="00A6737C">
        <w:rPr>
          <w:rFonts w:ascii="Arial" w:hAnsi="Arial" w:cs="Arial"/>
          <w:sz w:val="24"/>
          <w:szCs w:val="24"/>
          <w:lang w:val="en-US"/>
        </w:rPr>
        <w:t xml:space="preserve">not </w:t>
      </w:r>
      <w:r w:rsidRPr="00A6737C">
        <w:rPr>
          <w:rFonts w:ascii="Arial" w:hAnsi="Arial" w:cs="Arial"/>
          <w:sz w:val="24"/>
          <w:szCs w:val="24"/>
          <w:lang w:val="en-US"/>
        </w:rPr>
        <w:t>an autoimmune disease in the same way as rheumatoid arthritis or multiple sclerosi</w:t>
      </w:r>
      <w:r w:rsidR="007C4D96" w:rsidRPr="00A6737C">
        <w:rPr>
          <w:rFonts w:ascii="Arial" w:hAnsi="Arial" w:cs="Arial"/>
          <w:sz w:val="24"/>
          <w:szCs w:val="24"/>
          <w:lang w:val="en-US"/>
        </w:rPr>
        <w:t>s</w:t>
      </w:r>
      <w:r w:rsidR="00A6737C">
        <w:rPr>
          <w:rFonts w:ascii="Arial" w:hAnsi="Arial" w:cs="Arial"/>
          <w:sz w:val="24"/>
          <w:szCs w:val="24"/>
          <w:lang w:val="en-US"/>
        </w:rPr>
        <w:t xml:space="preserve">. </w:t>
      </w:r>
      <w:r w:rsidR="004D0BBA">
        <w:rPr>
          <w:rFonts w:ascii="Arial" w:hAnsi="Arial" w:cs="Arial"/>
          <w:sz w:val="24"/>
          <w:szCs w:val="24"/>
          <w:lang w:val="en-US"/>
        </w:rPr>
        <w:t xml:space="preserve">Furthermore, </w:t>
      </w:r>
      <w:r>
        <w:rPr>
          <w:rFonts w:ascii="Arial" w:hAnsi="Arial" w:cs="Arial"/>
          <w:sz w:val="24"/>
          <w:szCs w:val="24"/>
          <w:lang w:val="en-US"/>
        </w:rPr>
        <w:t xml:space="preserve">rapid cell turnover is a well-recognised risk factor for gout </w:t>
      </w:r>
      <w:r>
        <w:rPr>
          <w:rFonts w:ascii="Arial" w:hAnsi="Arial" w:cs="Arial"/>
          <w:sz w:val="24"/>
          <w:szCs w:val="24"/>
          <w:lang w:val="en-US"/>
        </w:rPr>
        <w:lastRenderedPageBreak/>
        <w:t>and hyperuricaemia, so much so that prophylactic treatment is administered to patients starting chemotherapy for a hae</w:t>
      </w:r>
      <w:r w:rsidR="004E20B7">
        <w:rPr>
          <w:rFonts w:ascii="Arial" w:hAnsi="Arial" w:cs="Arial"/>
          <w:sz w:val="24"/>
          <w:szCs w:val="24"/>
          <w:lang w:val="en-US"/>
        </w:rPr>
        <w:t>m</w:t>
      </w:r>
      <w:r>
        <w:rPr>
          <w:rFonts w:ascii="Arial" w:hAnsi="Arial" w:cs="Arial"/>
          <w:sz w:val="24"/>
          <w:szCs w:val="24"/>
          <w:lang w:val="en-US"/>
        </w:rPr>
        <w:t>atological malignancy or lymphoproliferative cond</w:t>
      </w:r>
      <w:r w:rsidR="00CB5672">
        <w:rPr>
          <w:rFonts w:ascii="Arial" w:hAnsi="Arial" w:cs="Arial"/>
          <w:sz w:val="24"/>
          <w:szCs w:val="24"/>
          <w:lang w:val="en-US"/>
        </w:rPr>
        <w:t>i</w:t>
      </w:r>
      <w:r>
        <w:rPr>
          <w:rFonts w:ascii="Arial" w:hAnsi="Arial" w:cs="Arial"/>
          <w:sz w:val="24"/>
          <w:szCs w:val="24"/>
          <w:lang w:val="en-US"/>
        </w:rPr>
        <w:t>tion.</w:t>
      </w:r>
    </w:p>
    <w:p w:rsidR="00986ED8" w:rsidRDefault="00986ED8" w:rsidP="007771DE">
      <w:pPr>
        <w:spacing w:line="480" w:lineRule="auto"/>
        <w:jc w:val="both"/>
        <w:rPr>
          <w:rFonts w:ascii="Arial" w:hAnsi="Arial" w:cs="Arial"/>
          <w:sz w:val="24"/>
          <w:szCs w:val="24"/>
        </w:rPr>
      </w:pPr>
    </w:p>
    <w:p w:rsidR="00A6737C" w:rsidRPr="00F03A33" w:rsidRDefault="00986ED8" w:rsidP="00A6737C">
      <w:pPr>
        <w:spacing w:line="480" w:lineRule="auto"/>
        <w:jc w:val="both"/>
        <w:rPr>
          <w:rFonts w:ascii="Arial" w:hAnsi="Arial" w:cs="Arial"/>
          <w:sz w:val="24"/>
          <w:szCs w:val="24"/>
        </w:rPr>
      </w:pPr>
      <w:r>
        <w:rPr>
          <w:rFonts w:ascii="Arial" w:hAnsi="Arial" w:cs="Arial"/>
          <w:sz w:val="24"/>
          <w:szCs w:val="24"/>
        </w:rPr>
        <w:t xml:space="preserve">In conclusion, </w:t>
      </w:r>
      <w:r w:rsidR="00D8574E">
        <w:rPr>
          <w:rFonts w:ascii="Arial" w:hAnsi="Arial" w:cs="Arial"/>
          <w:sz w:val="24"/>
          <w:szCs w:val="24"/>
        </w:rPr>
        <w:t>this</w:t>
      </w:r>
      <w:r>
        <w:rPr>
          <w:rFonts w:ascii="Arial" w:hAnsi="Arial" w:cs="Arial"/>
          <w:sz w:val="24"/>
          <w:szCs w:val="24"/>
        </w:rPr>
        <w:t xml:space="preserve"> case-control study explor</w:t>
      </w:r>
      <w:r w:rsidR="00D8574E">
        <w:rPr>
          <w:rFonts w:ascii="Arial" w:hAnsi="Arial" w:cs="Arial"/>
          <w:sz w:val="24"/>
          <w:szCs w:val="24"/>
        </w:rPr>
        <w:t>ed</w:t>
      </w:r>
      <w:r>
        <w:rPr>
          <w:rFonts w:ascii="Arial" w:hAnsi="Arial" w:cs="Arial"/>
          <w:sz w:val="24"/>
          <w:szCs w:val="24"/>
        </w:rPr>
        <w:t xml:space="preserve"> the prevalence of and risk factors for gout in </w:t>
      </w:r>
      <w:r w:rsidR="00C62F95">
        <w:rPr>
          <w:rFonts w:ascii="Arial" w:hAnsi="Arial" w:cs="Arial"/>
          <w:sz w:val="24"/>
          <w:szCs w:val="24"/>
        </w:rPr>
        <w:t>PLWHIV</w:t>
      </w:r>
      <w:r>
        <w:rPr>
          <w:rFonts w:ascii="Arial" w:hAnsi="Arial" w:cs="Arial"/>
          <w:sz w:val="24"/>
          <w:szCs w:val="24"/>
        </w:rPr>
        <w:t xml:space="preserve">. We </w:t>
      </w:r>
      <w:r w:rsidR="0013588B">
        <w:rPr>
          <w:rFonts w:ascii="Arial" w:hAnsi="Arial" w:cs="Arial"/>
          <w:sz w:val="24"/>
          <w:szCs w:val="24"/>
        </w:rPr>
        <w:t>found a 2.2% prevalence of gout</w:t>
      </w:r>
      <w:r>
        <w:rPr>
          <w:rFonts w:ascii="Arial" w:hAnsi="Arial" w:cs="Arial"/>
          <w:sz w:val="24"/>
          <w:szCs w:val="24"/>
        </w:rPr>
        <w:t>. As expected</w:t>
      </w:r>
      <w:r w:rsidR="00D8574E">
        <w:rPr>
          <w:rFonts w:ascii="Arial" w:hAnsi="Arial" w:cs="Arial"/>
          <w:sz w:val="24"/>
          <w:szCs w:val="24"/>
        </w:rPr>
        <w:t>,</w:t>
      </w:r>
      <w:r>
        <w:rPr>
          <w:rFonts w:ascii="Arial" w:hAnsi="Arial" w:cs="Arial"/>
          <w:sz w:val="24"/>
          <w:szCs w:val="24"/>
        </w:rPr>
        <w:t xml:space="preserve"> co-existent hypertension is a major risk factor </w:t>
      </w:r>
      <w:r w:rsidR="00D8574E">
        <w:rPr>
          <w:rFonts w:ascii="Arial" w:hAnsi="Arial" w:cs="Arial"/>
          <w:sz w:val="24"/>
          <w:szCs w:val="24"/>
        </w:rPr>
        <w:t xml:space="preserve">associated with a four-fold increased risk of </w:t>
      </w:r>
      <w:r>
        <w:rPr>
          <w:rFonts w:ascii="Arial" w:hAnsi="Arial" w:cs="Arial"/>
          <w:sz w:val="24"/>
          <w:szCs w:val="24"/>
        </w:rPr>
        <w:t xml:space="preserve">gout but we found that NNRTIs </w:t>
      </w:r>
      <w:r w:rsidR="00D8574E">
        <w:rPr>
          <w:rFonts w:ascii="Arial" w:hAnsi="Arial" w:cs="Arial"/>
          <w:sz w:val="24"/>
          <w:szCs w:val="24"/>
        </w:rPr>
        <w:t>were associated with a 70% reduction in the risk of gout.</w:t>
      </w:r>
      <w:r w:rsidR="0013588B">
        <w:rPr>
          <w:rFonts w:ascii="Arial" w:hAnsi="Arial" w:cs="Arial"/>
          <w:sz w:val="24"/>
          <w:szCs w:val="24"/>
        </w:rPr>
        <w:t xml:space="preserve"> </w:t>
      </w:r>
      <w:r w:rsidR="00017360" w:rsidRPr="00F03A33">
        <w:rPr>
          <w:rFonts w:ascii="Arial" w:hAnsi="Arial" w:cs="Arial"/>
          <w:sz w:val="24"/>
          <w:szCs w:val="24"/>
        </w:rPr>
        <w:t>The cross-sectional nature of this case-control study precludes the suggestion of a cause-effect relationship, but our observations may highlight an area of interest for future research.</w:t>
      </w:r>
    </w:p>
    <w:p w:rsidR="00E07F63" w:rsidRPr="00E07F63" w:rsidRDefault="00E07F63" w:rsidP="00CB5672">
      <w:pPr>
        <w:spacing w:line="480" w:lineRule="auto"/>
        <w:jc w:val="both"/>
        <w:rPr>
          <w:rFonts w:ascii="Arial" w:hAnsi="Arial" w:cs="Arial"/>
          <w:sz w:val="24"/>
          <w:szCs w:val="24"/>
        </w:rPr>
      </w:pPr>
    </w:p>
    <w:p w:rsidR="002D3C2B" w:rsidRDefault="008440CD" w:rsidP="00CB5672">
      <w:pPr>
        <w:spacing w:line="480" w:lineRule="auto"/>
        <w:jc w:val="both"/>
        <w:rPr>
          <w:rFonts w:ascii="Arial" w:hAnsi="Arial" w:cs="Arial"/>
          <w:b/>
          <w:color w:val="000000" w:themeColor="text1"/>
          <w:sz w:val="24"/>
          <w:szCs w:val="24"/>
          <w:lang w:val="en-US"/>
        </w:rPr>
      </w:pPr>
      <w:r>
        <w:rPr>
          <w:rFonts w:ascii="Arial" w:hAnsi="Arial" w:cs="Arial"/>
          <w:b/>
          <w:color w:val="000000" w:themeColor="text1"/>
          <w:sz w:val="24"/>
          <w:szCs w:val="24"/>
          <w:lang w:val="en-US"/>
        </w:rPr>
        <w:t>Declaration of Conflicting Interests</w:t>
      </w:r>
    </w:p>
    <w:p w:rsidR="00910BE5" w:rsidRDefault="00910BE5" w:rsidP="00910BE5">
      <w:pPr>
        <w:spacing w:line="480" w:lineRule="auto"/>
        <w:jc w:val="both"/>
        <w:rPr>
          <w:rFonts w:ascii="Arial" w:hAnsi="Arial" w:cs="Arial"/>
          <w:color w:val="000000" w:themeColor="text1"/>
          <w:sz w:val="24"/>
          <w:szCs w:val="24"/>
        </w:rPr>
      </w:pPr>
      <w:r>
        <w:rPr>
          <w:rFonts w:ascii="Arial" w:hAnsi="Arial" w:cs="Arial"/>
          <w:color w:val="000000" w:themeColor="text1"/>
          <w:sz w:val="24"/>
          <w:szCs w:val="24"/>
          <w:lang w:val="en-US"/>
        </w:rPr>
        <w:t xml:space="preserve">Professor </w:t>
      </w:r>
      <w:r w:rsidR="002D3C2B" w:rsidRPr="002D3C2B">
        <w:rPr>
          <w:rFonts w:ascii="Arial" w:hAnsi="Arial" w:cs="Arial"/>
          <w:color w:val="000000" w:themeColor="text1"/>
          <w:sz w:val="24"/>
          <w:szCs w:val="24"/>
          <w:lang w:val="en-US"/>
        </w:rPr>
        <w:t xml:space="preserve">Karen Walker-Bone has received honoraria for providing </w:t>
      </w:r>
      <w:r w:rsidR="0044593B">
        <w:rPr>
          <w:rFonts w:ascii="Arial" w:hAnsi="Arial" w:cs="Arial"/>
          <w:color w:val="000000" w:themeColor="text1"/>
          <w:sz w:val="24"/>
          <w:szCs w:val="24"/>
          <w:lang w:val="en-US"/>
        </w:rPr>
        <w:t xml:space="preserve">independent </w:t>
      </w:r>
      <w:r w:rsidR="002D3C2B" w:rsidRPr="002D3C2B">
        <w:rPr>
          <w:rFonts w:ascii="Arial" w:hAnsi="Arial" w:cs="Arial"/>
          <w:color w:val="000000" w:themeColor="text1"/>
          <w:sz w:val="24"/>
          <w:szCs w:val="24"/>
          <w:lang w:val="en-US"/>
        </w:rPr>
        <w:t>educational lectures and developing educational resources</w:t>
      </w:r>
      <w:r w:rsidR="002D3C2B">
        <w:rPr>
          <w:rFonts w:ascii="Arial" w:hAnsi="Arial" w:cs="Arial"/>
          <w:color w:val="000000" w:themeColor="text1"/>
          <w:sz w:val="24"/>
          <w:szCs w:val="24"/>
          <w:lang w:val="en-US"/>
        </w:rPr>
        <w:t xml:space="preserve"> for H</w:t>
      </w:r>
      <w:r w:rsidR="0044593B">
        <w:rPr>
          <w:rFonts w:ascii="Arial" w:hAnsi="Arial" w:cs="Arial"/>
          <w:color w:val="000000" w:themeColor="text1"/>
          <w:sz w:val="24"/>
          <w:szCs w:val="24"/>
          <w:lang w:val="en-US"/>
        </w:rPr>
        <w:t>IV</w:t>
      </w:r>
      <w:r w:rsidR="002D3C2B">
        <w:rPr>
          <w:rFonts w:ascii="Arial" w:hAnsi="Arial" w:cs="Arial"/>
          <w:color w:val="000000" w:themeColor="text1"/>
          <w:sz w:val="24"/>
          <w:szCs w:val="24"/>
          <w:lang w:val="en-US"/>
        </w:rPr>
        <w:t xml:space="preserve"> health professionals</w:t>
      </w:r>
      <w:r w:rsidR="002D3C2B" w:rsidRPr="002D3C2B">
        <w:rPr>
          <w:rFonts w:ascii="Arial" w:hAnsi="Arial" w:cs="Arial"/>
          <w:color w:val="000000" w:themeColor="text1"/>
          <w:sz w:val="24"/>
          <w:szCs w:val="24"/>
          <w:lang w:val="en-US"/>
        </w:rPr>
        <w:t xml:space="preserve"> from Gilead </w:t>
      </w:r>
      <w:r>
        <w:rPr>
          <w:rFonts w:ascii="Arial" w:hAnsi="Arial" w:cs="Arial"/>
          <w:color w:val="000000" w:themeColor="text1"/>
          <w:sz w:val="24"/>
          <w:szCs w:val="24"/>
          <w:lang w:val="en-US"/>
        </w:rPr>
        <w:t xml:space="preserve">Sciences </w:t>
      </w:r>
      <w:r w:rsidR="002D3C2B" w:rsidRPr="002D3C2B">
        <w:rPr>
          <w:rFonts w:ascii="Arial" w:hAnsi="Arial" w:cs="Arial"/>
          <w:color w:val="000000" w:themeColor="text1"/>
          <w:sz w:val="24"/>
          <w:szCs w:val="24"/>
          <w:lang w:val="en-US"/>
        </w:rPr>
        <w:t>and Janssen.</w:t>
      </w:r>
      <w:r w:rsidRPr="00910BE5">
        <w:rPr>
          <w:rFonts w:ascii="Calibri" w:hAnsi="Calibri" w:cs="Times New Roman"/>
          <w:color w:val="1F497D"/>
        </w:rPr>
        <w:t xml:space="preserve"> </w:t>
      </w:r>
      <w:r w:rsidRPr="00910BE5">
        <w:rPr>
          <w:rFonts w:ascii="Arial" w:hAnsi="Arial" w:cs="Arial"/>
          <w:color w:val="000000" w:themeColor="text1"/>
          <w:sz w:val="24"/>
          <w:szCs w:val="24"/>
        </w:rPr>
        <w:t>Dr Duncan Churchill</w:t>
      </w:r>
      <w:r w:rsidRPr="00910BE5">
        <w:rPr>
          <w:rFonts w:ascii="Arial" w:hAnsi="Arial" w:cs="Arial"/>
          <w:b/>
          <w:bCs/>
          <w:color w:val="000000" w:themeColor="text1"/>
          <w:sz w:val="24"/>
          <w:szCs w:val="24"/>
        </w:rPr>
        <w:t xml:space="preserve"> </w:t>
      </w:r>
      <w:r w:rsidRPr="00910BE5">
        <w:rPr>
          <w:rFonts w:ascii="Arial" w:hAnsi="Arial" w:cs="Arial"/>
          <w:color w:val="000000" w:themeColor="text1"/>
          <w:sz w:val="24"/>
          <w:szCs w:val="24"/>
        </w:rPr>
        <w:t>has received honoraria, educational grants, travel scholarships and research grants from Gilead Sciences, Merck Sharp &amp; Dohme, ViiV Healthcare, and Janssen.</w:t>
      </w:r>
    </w:p>
    <w:p w:rsidR="00040EC0" w:rsidRDefault="00040EC0" w:rsidP="00910BE5">
      <w:pPr>
        <w:spacing w:line="480" w:lineRule="auto"/>
        <w:jc w:val="both"/>
        <w:rPr>
          <w:rFonts w:ascii="Arial" w:hAnsi="Arial" w:cs="Arial"/>
          <w:b/>
          <w:color w:val="000000" w:themeColor="text1"/>
          <w:sz w:val="24"/>
          <w:szCs w:val="24"/>
        </w:rPr>
      </w:pPr>
      <w:r>
        <w:rPr>
          <w:rFonts w:ascii="Arial" w:hAnsi="Arial" w:cs="Arial"/>
          <w:b/>
          <w:color w:val="000000" w:themeColor="text1"/>
          <w:sz w:val="24"/>
          <w:szCs w:val="24"/>
        </w:rPr>
        <w:lastRenderedPageBreak/>
        <w:t>Funding</w:t>
      </w:r>
    </w:p>
    <w:p w:rsidR="00040EC0" w:rsidRPr="00040EC0" w:rsidRDefault="00040EC0" w:rsidP="00910BE5">
      <w:pPr>
        <w:spacing w:line="480" w:lineRule="auto"/>
        <w:jc w:val="both"/>
        <w:rPr>
          <w:rFonts w:ascii="Arial" w:hAnsi="Arial" w:cs="Arial"/>
          <w:color w:val="000000" w:themeColor="text1"/>
          <w:sz w:val="24"/>
          <w:szCs w:val="24"/>
        </w:rPr>
      </w:pPr>
      <w:r>
        <w:rPr>
          <w:rFonts w:ascii="Arial" w:hAnsi="Arial" w:cs="Arial"/>
          <w:color w:val="000000" w:themeColor="text1"/>
          <w:sz w:val="24"/>
          <w:szCs w:val="24"/>
        </w:rPr>
        <w:t>Nil</w:t>
      </w:r>
    </w:p>
    <w:p w:rsidR="002D3C2B" w:rsidRPr="002D3C2B" w:rsidRDefault="002D3C2B" w:rsidP="00CB5672">
      <w:pPr>
        <w:spacing w:line="480" w:lineRule="auto"/>
        <w:jc w:val="both"/>
        <w:rPr>
          <w:rFonts w:ascii="Arial" w:hAnsi="Arial" w:cs="Arial"/>
          <w:color w:val="000000" w:themeColor="text1"/>
          <w:sz w:val="24"/>
          <w:szCs w:val="24"/>
          <w:lang w:val="en-US"/>
        </w:rPr>
      </w:pPr>
    </w:p>
    <w:p w:rsidR="001A3E65" w:rsidRPr="00CB5672" w:rsidRDefault="00FC6495" w:rsidP="00CB5672">
      <w:pPr>
        <w:spacing w:line="480" w:lineRule="auto"/>
        <w:jc w:val="both"/>
        <w:rPr>
          <w:rFonts w:ascii="Arial" w:hAnsi="Arial" w:cs="Arial"/>
          <w:b/>
          <w:color w:val="000000" w:themeColor="text1"/>
          <w:sz w:val="24"/>
          <w:szCs w:val="24"/>
        </w:rPr>
      </w:pPr>
      <w:r>
        <w:rPr>
          <w:rFonts w:ascii="Calibri" w:hAnsi="Calibri" w:cs="Calibri"/>
          <w:color w:val="18376A"/>
          <w:sz w:val="30"/>
          <w:szCs w:val="30"/>
          <w:lang w:val="en-US"/>
        </w:rPr>
        <w:t xml:space="preserve">  </w:t>
      </w:r>
      <w:r w:rsidR="00B142A4" w:rsidRPr="00620884">
        <w:rPr>
          <w:rFonts w:ascii="Arial" w:hAnsi="Arial" w:cs="Arial"/>
          <w:sz w:val="24"/>
          <w:szCs w:val="24"/>
          <w:u w:val="single"/>
        </w:rPr>
        <w:br w:type="page"/>
      </w:r>
      <w:r w:rsidR="00A51960" w:rsidRPr="00CB5672">
        <w:rPr>
          <w:rFonts w:ascii="Arial" w:hAnsi="Arial" w:cs="Arial"/>
          <w:b/>
          <w:color w:val="000000" w:themeColor="text1"/>
          <w:sz w:val="24"/>
          <w:szCs w:val="24"/>
        </w:rPr>
        <w:lastRenderedPageBreak/>
        <w:t>References</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lang w:val="it-IT"/>
        </w:rPr>
        <w:t xml:space="preserve">Ances BM, Bhatt A, Vaida F, et al. </w:t>
      </w:r>
      <w:r w:rsidRPr="00E64FB6">
        <w:rPr>
          <w:rFonts w:ascii="Arial" w:hAnsi="Arial" w:cs="Arial"/>
          <w:color w:val="000000" w:themeColor="text1"/>
          <w:sz w:val="24"/>
          <w:szCs w:val="24"/>
          <w:lang w:val="en-US"/>
        </w:rPr>
        <w:t xml:space="preserve">Role of metabolic syndrome components in human immunodeficiency virus-associated stroke. </w:t>
      </w:r>
      <w:r w:rsidRPr="00E64FB6">
        <w:rPr>
          <w:rFonts w:ascii="Arial" w:hAnsi="Arial" w:cs="Arial"/>
          <w:i/>
          <w:color w:val="000000" w:themeColor="text1"/>
          <w:sz w:val="24"/>
          <w:szCs w:val="24"/>
          <w:lang w:val="en-US"/>
        </w:rPr>
        <w:t>J Neurovirol</w:t>
      </w:r>
      <w:r w:rsidRPr="00E64FB6">
        <w:rPr>
          <w:rFonts w:ascii="Arial" w:hAnsi="Arial" w:cs="Arial"/>
          <w:color w:val="000000" w:themeColor="text1"/>
          <w:sz w:val="24"/>
          <w:szCs w:val="24"/>
          <w:lang w:val="en-US"/>
        </w:rPr>
        <w:t xml:space="preserve"> 2009; 15: 249-56.</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rPr>
        <w:t xml:space="preserve">Roddy E, Zhang W, Doherty M. The changing epidemiology of gout.  </w:t>
      </w:r>
      <w:r w:rsidRPr="00E64FB6">
        <w:rPr>
          <w:rFonts w:ascii="Arial" w:hAnsi="Arial" w:cs="Arial"/>
          <w:i/>
          <w:iCs/>
          <w:color w:val="000000" w:themeColor="text1"/>
          <w:sz w:val="24"/>
          <w:szCs w:val="24"/>
        </w:rPr>
        <w:t xml:space="preserve">Nat Clin Pract Rheumatol </w:t>
      </w:r>
      <w:r w:rsidRPr="00E64FB6">
        <w:rPr>
          <w:rFonts w:ascii="Arial" w:hAnsi="Arial" w:cs="Arial"/>
          <w:color w:val="000000" w:themeColor="text1"/>
          <w:sz w:val="24"/>
          <w:szCs w:val="24"/>
        </w:rPr>
        <w:t xml:space="preserve">2007; 3: 443-9 </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rPr>
        <w:t xml:space="preserve">Annemans L, Spaepen E, Gaskin M, et al.  Gout in the UK and Germany: prevalence, comorbidities and management in general practice 2000–2005, </w:t>
      </w:r>
      <w:r w:rsidRPr="00E64FB6">
        <w:rPr>
          <w:rFonts w:ascii="Arial" w:hAnsi="Arial" w:cs="Arial"/>
          <w:i/>
          <w:color w:val="000000" w:themeColor="text1"/>
          <w:sz w:val="24"/>
          <w:szCs w:val="24"/>
        </w:rPr>
        <w:t>Ann Rheum Dis</w:t>
      </w:r>
      <w:r w:rsidRPr="00E64FB6">
        <w:rPr>
          <w:rFonts w:ascii="Arial" w:hAnsi="Arial" w:cs="Arial"/>
          <w:color w:val="000000" w:themeColor="text1"/>
          <w:sz w:val="24"/>
          <w:szCs w:val="24"/>
        </w:rPr>
        <w:t xml:space="preserve"> 2008; 67:960-6</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lang w:val="en-US"/>
        </w:rPr>
        <w:t xml:space="preserve">Wallace KL, Riedel AA, Joseph-Ridge N, Wortmann R. Increasing prevalence of gout and hyperuricemia over 10 years among older adults in a managed care population. </w:t>
      </w:r>
      <w:r w:rsidRPr="00E64FB6">
        <w:rPr>
          <w:rFonts w:ascii="Arial" w:hAnsi="Arial" w:cs="Arial"/>
          <w:i/>
          <w:color w:val="000000" w:themeColor="text1"/>
          <w:sz w:val="24"/>
          <w:szCs w:val="24"/>
          <w:lang w:val="en-US"/>
        </w:rPr>
        <w:t>J Rheumatol</w:t>
      </w:r>
      <w:r w:rsidRPr="00E64FB6">
        <w:rPr>
          <w:rFonts w:ascii="Arial" w:hAnsi="Arial" w:cs="Arial"/>
          <w:color w:val="000000" w:themeColor="text1"/>
          <w:sz w:val="24"/>
          <w:szCs w:val="24"/>
          <w:lang w:val="en-US"/>
        </w:rPr>
        <w:t xml:space="preserve"> 2004; 31: 1582-7</w:t>
      </w:r>
    </w:p>
    <w:p w:rsidR="00B34FBE" w:rsidRPr="00E64FB6" w:rsidRDefault="00B34FBE"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303030"/>
          <w:sz w:val="24"/>
          <w:szCs w:val="24"/>
          <w:shd w:val="clear" w:color="auto" w:fill="FFFFFF"/>
        </w:rPr>
        <w:t>Kim DJ, Westfall AO, Chamot E, et al. Multimorbidity Patterns in HIV-Infected Patients: The Role of Obesity in Chronic Disease Clustering. </w:t>
      </w:r>
      <w:r w:rsidRPr="00E64FB6">
        <w:rPr>
          <w:rFonts w:ascii="Arial" w:hAnsi="Arial" w:cs="Arial"/>
          <w:i/>
          <w:iCs/>
          <w:color w:val="303030"/>
          <w:sz w:val="24"/>
          <w:szCs w:val="24"/>
          <w:shd w:val="clear" w:color="auto" w:fill="FFFFFF"/>
        </w:rPr>
        <w:t>J</w:t>
      </w:r>
      <w:r w:rsidR="002077D1" w:rsidRPr="00E64FB6">
        <w:rPr>
          <w:rFonts w:ascii="Arial" w:hAnsi="Arial" w:cs="Arial"/>
          <w:i/>
          <w:iCs/>
          <w:color w:val="303030"/>
          <w:sz w:val="24"/>
          <w:szCs w:val="24"/>
          <w:shd w:val="clear" w:color="auto" w:fill="FFFFFF"/>
        </w:rPr>
        <w:t>AIDS</w:t>
      </w:r>
      <w:r w:rsidR="002077D1" w:rsidRPr="00E64FB6">
        <w:rPr>
          <w:rFonts w:ascii="Arial" w:hAnsi="Arial" w:cs="Arial"/>
          <w:iCs/>
          <w:color w:val="303030"/>
          <w:sz w:val="24"/>
          <w:szCs w:val="24"/>
          <w:shd w:val="clear" w:color="auto" w:fill="FFFFFF"/>
        </w:rPr>
        <w:t xml:space="preserve"> </w:t>
      </w:r>
      <w:r w:rsidRPr="00E64FB6">
        <w:rPr>
          <w:rFonts w:ascii="Arial" w:hAnsi="Arial" w:cs="Arial"/>
          <w:color w:val="303030"/>
          <w:sz w:val="24"/>
          <w:szCs w:val="24"/>
          <w:shd w:val="clear" w:color="auto" w:fill="FFFFFF"/>
        </w:rPr>
        <w:t>2012;</w:t>
      </w:r>
      <w:r w:rsidR="00E64FB6">
        <w:rPr>
          <w:rFonts w:ascii="Arial" w:hAnsi="Arial" w:cs="Arial"/>
          <w:color w:val="303030"/>
          <w:sz w:val="24"/>
          <w:szCs w:val="24"/>
          <w:shd w:val="clear" w:color="auto" w:fill="FFFFFF"/>
        </w:rPr>
        <w:t xml:space="preserve"> </w:t>
      </w:r>
      <w:r w:rsidRPr="00E64FB6">
        <w:rPr>
          <w:rFonts w:ascii="Arial" w:hAnsi="Arial" w:cs="Arial"/>
          <w:color w:val="303030"/>
          <w:sz w:val="24"/>
          <w:szCs w:val="24"/>
          <w:shd w:val="clear" w:color="auto" w:fill="FFFFFF"/>
        </w:rPr>
        <w:t>61</w:t>
      </w:r>
      <w:r w:rsidR="002077D1" w:rsidRPr="00E64FB6">
        <w:rPr>
          <w:rFonts w:ascii="Arial" w:hAnsi="Arial" w:cs="Arial"/>
          <w:color w:val="303030"/>
          <w:sz w:val="24"/>
          <w:szCs w:val="24"/>
          <w:shd w:val="clear" w:color="auto" w:fill="FFFFFF"/>
        </w:rPr>
        <w:t xml:space="preserve"> </w:t>
      </w:r>
      <w:r w:rsidRPr="00E64FB6">
        <w:rPr>
          <w:rFonts w:ascii="Arial" w:hAnsi="Arial" w:cs="Arial"/>
          <w:color w:val="303030"/>
          <w:sz w:val="24"/>
          <w:szCs w:val="24"/>
          <w:shd w:val="clear" w:color="auto" w:fill="FFFFFF"/>
        </w:rPr>
        <w:t xml:space="preserve">:600-605. </w:t>
      </w:r>
    </w:p>
    <w:p w:rsidR="00CB5672" w:rsidRPr="00E64FB6" w:rsidRDefault="007669E5" w:rsidP="00CB5672">
      <w:pPr>
        <w:numPr>
          <w:ilvl w:val="0"/>
          <w:numId w:val="3"/>
        </w:numPr>
        <w:spacing w:line="480" w:lineRule="auto"/>
        <w:jc w:val="both"/>
        <w:rPr>
          <w:rFonts w:ascii="Arial" w:hAnsi="Arial" w:cs="Arial"/>
          <w:color w:val="000000" w:themeColor="text1"/>
          <w:sz w:val="24"/>
          <w:szCs w:val="24"/>
          <w:lang w:val="en-US"/>
        </w:rPr>
      </w:pPr>
      <w:hyperlink r:id="rId8" w:history="1">
        <w:r w:rsidR="00CB5672" w:rsidRPr="00E64FB6">
          <w:rPr>
            <w:rStyle w:val="Hyperlink"/>
            <w:rFonts w:ascii="Arial" w:hAnsi="Arial" w:cs="Arial"/>
            <w:color w:val="000000" w:themeColor="text1"/>
            <w:sz w:val="24"/>
            <w:szCs w:val="24"/>
            <w:u w:val="none"/>
            <w:lang w:val="en-US"/>
          </w:rPr>
          <w:t>Rynes RI</w:t>
        </w:r>
      </w:hyperlink>
      <w:r w:rsidR="00CB5672" w:rsidRPr="00E64FB6">
        <w:rPr>
          <w:rFonts w:ascii="Arial" w:hAnsi="Arial" w:cs="Arial"/>
          <w:color w:val="000000" w:themeColor="text1"/>
          <w:sz w:val="24"/>
          <w:szCs w:val="24"/>
          <w:lang w:val="en-US"/>
        </w:rPr>
        <w:t xml:space="preserve">, </w:t>
      </w:r>
      <w:hyperlink r:id="rId9" w:history="1">
        <w:r w:rsidR="00CB5672" w:rsidRPr="00E64FB6">
          <w:rPr>
            <w:rStyle w:val="Hyperlink"/>
            <w:rFonts w:ascii="Arial" w:hAnsi="Arial" w:cs="Arial"/>
            <w:color w:val="000000" w:themeColor="text1"/>
            <w:sz w:val="24"/>
            <w:szCs w:val="24"/>
            <w:u w:val="none"/>
            <w:lang w:val="en-US"/>
          </w:rPr>
          <w:t>Goldenberg DL</w:t>
        </w:r>
      </w:hyperlink>
      <w:r w:rsidR="00CB5672" w:rsidRPr="00E64FB6">
        <w:rPr>
          <w:rFonts w:ascii="Arial" w:hAnsi="Arial" w:cs="Arial"/>
          <w:color w:val="000000" w:themeColor="text1"/>
          <w:sz w:val="24"/>
          <w:szCs w:val="24"/>
          <w:lang w:val="en-US"/>
        </w:rPr>
        <w:t xml:space="preserve">, </w:t>
      </w:r>
      <w:hyperlink r:id="rId10" w:history="1">
        <w:r w:rsidR="00CB5672" w:rsidRPr="00E64FB6">
          <w:rPr>
            <w:rStyle w:val="Hyperlink"/>
            <w:rFonts w:ascii="Arial" w:hAnsi="Arial" w:cs="Arial"/>
            <w:color w:val="000000" w:themeColor="text1"/>
            <w:sz w:val="24"/>
            <w:szCs w:val="24"/>
            <w:u w:val="none"/>
            <w:lang w:val="en-US"/>
          </w:rPr>
          <w:t>DiGiacomo R</w:t>
        </w:r>
      </w:hyperlink>
      <w:r w:rsidR="00CB5672" w:rsidRPr="00E64FB6">
        <w:rPr>
          <w:rFonts w:ascii="Arial" w:hAnsi="Arial" w:cs="Arial"/>
          <w:color w:val="000000" w:themeColor="text1"/>
          <w:sz w:val="24"/>
          <w:szCs w:val="24"/>
          <w:lang w:val="en-US"/>
        </w:rPr>
        <w:t xml:space="preserve">, </w:t>
      </w:r>
      <w:r w:rsidR="00305E0B" w:rsidRPr="00E64FB6">
        <w:rPr>
          <w:rFonts w:ascii="Arial" w:hAnsi="Arial" w:cs="Arial"/>
          <w:sz w:val="24"/>
          <w:szCs w:val="24"/>
        </w:rPr>
        <w:t>et al</w:t>
      </w:r>
      <w:r w:rsidR="00CB5672" w:rsidRPr="00E64FB6">
        <w:rPr>
          <w:rFonts w:ascii="Arial" w:hAnsi="Arial" w:cs="Arial"/>
          <w:color w:val="000000" w:themeColor="text1"/>
          <w:sz w:val="24"/>
          <w:szCs w:val="24"/>
          <w:lang w:val="en-US"/>
        </w:rPr>
        <w:t xml:space="preserve">. </w:t>
      </w:r>
      <w:r w:rsidR="00CB5672" w:rsidRPr="00E64FB6">
        <w:rPr>
          <w:rFonts w:ascii="Arial" w:hAnsi="Arial" w:cs="Arial"/>
          <w:bCs/>
          <w:color w:val="000000" w:themeColor="text1"/>
          <w:sz w:val="24"/>
          <w:szCs w:val="24"/>
          <w:lang w:val="en-US"/>
        </w:rPr>
        <w:t xml:space="preserve">Acquired immunodeficiency syndrome-associated arthritis. </w:t>
      </w:r>
      <w:r w:rsidR="00CB5672" w:rsidRPr="00E64FB6">
        <w:rPr>
          <w:rFonts w:ascii="Arial" w:hAnsi="Arial" w:cs="Arial"/>
          <w:i/>
          <w:color w:val="000000" w:themeColor="text1"/>
          <w:sz w:val="24"/>
          <w:szCs w:val="24"/>
          <w:lang w:val="en-US"/>
        </w:rPr>
        <w:t>Am J Med.</w:t>
      </w:r>
      <w:r w:rsidR="00CB5672" w:rsidRPr="00E64FB6">
        <w:rPr>
          <w:rFonts w:ascii="Arial" w:hAnsi="Arial" w:cs="Arial"/>
          <w:color w:val="000000" w:themeColor="text1"/>
          <w:sz w:val="24"/>
          <w:szCs w:val="24"/>
          <w:lang w:val="en-US"/>
        </w:rPr>
        <w:t xml:space="preserve"> 1988; 84: 810-6</w:t>
      </w:r>
    </w:p>
    <w:p w:rsidR="00CB5672" w:rsidRPr="00E64FB6" w:rsidRDefault="007669E5" w:rsidP="00CB5672">
      <w:pPr>
        <w:numPr>
          <w:ilvl w:val="0"/>
          <w:numId w:val="3"/>
        </w:numPr>
        <w:spacing w:line="480" w:lineRule="auto"/>
        <w:jc w:val="both"/>
        <w:rPr>
          <w:rFonts w:ascii="Arial" w:hAnsi="Arial" w:cs="Arial"/>
          <w:color w:val="000000" w:themeColor="text1"/>
          <w:sz w:val="24"/>
          <w:szCs w:val="24"/>
          <w:lang w:val="en-US"/>
        </w:rPr>
      </w:pPr>
      <w:hyperlink r:id="rId11" w:history="1">
        <w:r w:rsidR="00CB5672" w:rsidRPr="00E64FB6">
          <w:rPr>
            <w:rStyle w:val="Hyperlink"/>
            <w:rFonts w:ascii="Arial" w:hAnsi="Arial" w:cs="Arial"/>
            <w:color w:val="000000" w:themeColor="text1"/>
            <w:sz w:val="24"/>
            <w:szCs w:val="24"/>
            <w:u w:val="none"/>
            <w:lang w:val="it-IT"/>
          </w:rPr>
          <w:t>Disla E</w:t>
        </w:r>
      </w:hyperlink>
      <w:r w:rsidR="00CB5672" w:rsidRPr="00E64FB6">
        <w:rPr>
          <w:rFonts w:ascii="Arial" w:hAnsi="Arial" w:cs="Arial"/>
          <w:color w:val="000000" w:themeColor="text1"/>
          <w:sz w:val="24"/>
          <w:szCs w:val="24"/>
          <w:lang w:val="it-IT"/>
        </w:rPr>
        <w:t xml:space="preserve">, </w:t>
      </w:r>
      <w:hyperlink r:id="rId12" w:history="1">
        <w:r w:rsidR="00CB5672" w:rsidRPr="00E64FB6">
          <w:rPr>
            <w:rStyle w:val="Hyperlink"/>
            <w:rFonts w:ascii="Arial" w:hAnsi="Arial" w:cs="Arial"/>
            <w:color w:val="000000" w:themeColor="text1"/>
            <w:sz w:val="24"/>
            <w:szCs w:val="24"/>
            <w:u w:val="none"/>
            <w:lang w:val="it-IT"/>
          </w:rPr>
          <w:t>Stein S</w:t>
        </w:r>
      </w:hyperlink>
      <w:r w:rsidR="00CB5672" w:rsidRPr="00E64FB6">
        <w:rPr>
          <w:rFonts w:ascii="Arial" w:hAnsi="Arial" w:cs="Arial"/>
          <w:color w:val="000000" w:themeColor="text1"/>
          <w:sz w:val="24"/>
          <w:szCs w:val="24"/>
          <w:lang w:val="it-IT"/>
        </w:rPr>
        <w:t xml:space="preserve">, </w:t>
      </w:r>
      <w:hyperlink r:id="rId13" w:history="1">
        <w:r w:rsidR="00CB5672" w:rsidRPr="00E64FB6">
          <w:rPr>
            <w:rStyle w:val="Hyperlink"/>
            <w:rFonts w:ascii="Arial" w:hAnsi="Arial" w:cs="Arial"/>
            <w:color w:val="000000" w:themeColor="text1"/>
            <w:sz w:val="24"/>
            <w:szCs w:val="24"/>
            <w:u w:val="none"/>
            <w:lang w:val="it-IT"/>
          </w:rPr>
          <w:t>Acevedo M</w:t>
        </w:r>
      </w:hyperlink>
      <w:r w:rsidR="00CB5672" w:rsidRPr="00E64FB6">
        <w:rPr>
          <w:rFonts w:ascii="Arial" w:hAnsi="Arial" w:cs="Arial"/>
          <w:color w:val="000000" w:themeColor="text1"/>
          <w:sz w:val="24"/>
          <w:szCs w:val="24"/>
          <w:lang w:val="it-IT"/>
        </w:rPr>
        <w:t xml:space="preserve">, </w:t>
      </w:r>
      <w:hyperlink r:id="rId14" w:history="1">
        <w:r w:rsidR="00CB5672" w:rsidRPr="00E64FB6">
          <w:rPr>
            <w:rStyle w:val="Hyperlink"/>
            <w:rFonts w:ascii="Arial" w:hAnsi="Arial" w:cs="Arial"/>
            <w:color w:val="000000" w:themeColor="text1"/>
            <w:sz w:val="24"/>
            <w:szCs w:val="24"/>
            <w:u w:val="none"/>
            <w:lang w:val="it-IT"/>
          </w:rPr>
          <w:t>Cuppari G</w:t>
        </w:r>
      </w:hyperlink>
      <w:r w:rsidR="00CB5672" w:rsidRPr="00E64FB6">
        <w:rPr>
          <w:rFonts w:ascii="Arial" w:hAnsi="Arial" w:cs="Arial"/>
          <w:color w:val="000000" w:themeColor="text1"/>
          <w:sz w:val="24"/>
          <w:szCs w:val="24"/>
          <w:lang w:val="it-IT"/>
        </w:rPr>
        <w:t>.</w:t>
      </w:r>
      <w:r w:rsidR="00CB5672" w:rsidRPr="00E64FB6">
        <w:rPr>
          <w:rFonts w:ascii="Arial" w:hAnsi="Arial" w:cs="Arial"/>
          <w:bCs/>
          <w:color w:val="000000" w:themeColor="text1"/>
          <w:sz w:val="24"/>
          <w:szCs w:val="24"/>
          <w:lang w:val="it-IT"/>
        </w:rPr>
        <w:t xml:space="preserve"> </w:t>
      </w:r>
      <w:r w:rsidR="00CB5672" w:rsidRPr="00E64FB6">
        <w:rPr>
          <w:rFonts w:ascii="Arial" w:hAnsi="Arial" w:cs="Arial"/>
          <w:bCs/>
          <w:color w:val="000000" w:themeColor="text1"/>
          <w:sz w:val="24"/>
          <w:szCs w:val="24"/>
          <w:lang w:val="en-US"/>
        </w:rPr>
        <w:t xml:space="preserve">Gouty arthritis in the acquired immunodeficiency syndrome. An unusual but aggressive case. </w:t>
      </w:r>
      <w:r w:rsidR="00CB5672" w:rsidRPr="00E64FB6">
        <w:rPr>
          <w:rFonts w:ascii="Arial" w:hAnsi="Arial" w:cs="Arial"/>
          <w:i/>
          <w:color w:val="000000" w:themeColor="text1"/>
          <w:sz w:val="24"/>
          <w:szCs w:val="24"/>
          <w:lang w:val="en-US"/>
        </w:rPr>
        <w:t>Arthritis Rheum.</w:t>
      </w:r>
      <w:r w:rsidR="00CB5672" w:rsidRPr="00E64FB6">
        <w:rPr>
          <w:rFonts w:ascii="Arial" w:hAnsi="Arial" w:cs="Arial"/>
          <w:color w:val="000000" w:themeColor="text1"/>
          <w:sz w:val="24"/>
          <w:szCs w:val="24"/>
          <w:lang w:val="en-US"/>
        </w:rPr>
        <w:t xml:space="preserve"> 1995; 38: 570-2</w:t>
      </w:r>
    </w:p>
    <w:p w:rsidR="00CB5672" w:rsidRPr="00E64FB6" w:rsidRDefault="007669E5" w:rsidP="00CB5672">
      <w:pPr>
        <w:numPr>
          <w:ilvl w:val="0"/>
          <w:numId w:val="3"/>
        </w:numPr>
        <w:spacing w:line="480" w:lineRule="auto"/>
        <w:jc w:val="both"/>
        <w:rPr>
          <w:rFonts w:ascii="Arial" w:hAnsi="Arial" w:cs="Arial"/>
          <w:color w:val="000000" w:themeColor="text1"/>
          <w:sz w:val="24"/>
          <w:szCs w:val="24"/>
          <w:lang w:val="en-US"/>
        </w:rPr>
      </w:pPr>
      <w:hyperlink r:id="rId15" w:history="1">
        <w:r w:rsidR="00CB5672" w:rsidRPr="00E64FB6">
          <w:rPr>
            <w:rStyle w:val="Hyperlink"/>
            <w:rFonts w:ascii="Arial" w:hAnsi="Arial" w:cs="Arial"/>
            <w:color w:val="000000" w:themeColor="text1"/>
            <w:sz w:val="24"/>
            <w:szCs w:val="24"/>
            <w:u w:val="none"/>
            <w:lang w:val="en-US"/>
          </w:rPr>
          <w:t>Mehlhaff DL</w:t>
        </w:r>
      </w:hyperlink>
      <w:r w:rsidR="00CB5672" w:rsidRPr="00E64FB6">
        <w:rPr>
          <w:rFonts w:ascii="Arial" w:hAnsi="Arial" w:cs="Arial"/>
          <w:color w:val="000000" w:themeColor="text1"/>
          <w:sz w:val="24"/>
          <w:szCs w:val="24"/>
          <w:lang w:val="en-US"/>
        </w:rPr>
        <w:t xml:space="preserve">, </w:t>
      </w:r>
      <w:hyperlink r:id="rId16" w:history="1">
        <w:r w:rsidR="00CB5672" w:rsidRPr="00E64FB6">
          <w:rPr>
            <w:rStyle w:val="Hyperlink"/>
            <w:rFonts w:ascii="Arial" w:hAnsi="Arial" w:cs="Arial"/>
            <w:color w:val="000000" w:themeColor="text1"/>
            <w:sz w:val="24"/>
            <w:szCs w:val="24"/>
            <w:u w:val="none"/>
            <w:lang w:val="en-US"/>
          </w:rPr>
          <w:t>Stein DS</w:t>
        </w:r>
      </w:hyperlink>
      <w:r w:rsidR="00CB5672" w:rsidRPr="00E64FB6">
        <w:rPr>
          <w:rFonts w:ascii="Arial" w:hAnsi="Arial" w:cs="Arial"/>
          <w:color w:val="000000" w:themeColor="text1"/>
          <w:sz w:val="24"/>
          <w:szCs w:val="24"/>
          <w:lang w:val="en-US"/>
        </w:rPr>
        <w:t xml:space="preserve">. </w:t>
      </w:r>
      <w:r w:rsidR="00CB5672" w:rsidRPr="00E64FB6">
        <w:rPr>
          <w:rFonts w:ascii="Arial" w:hAnsi="Arial" w:cs="Arial"/>
          <w:bCs/>
          <w:color w:val="000000" w:themeColor="text1"/>
          <w:sz w:val="24"/>
          <w:szCs w:val="24"/>
          <w:lang w:val="en-US"/>
        </w:rPr>
        <w:t xml:space="preserve">Gout secondary to ritonavir and didanosine. </w:t>
      </w:r>
      <w:r w:rsidR="00CB5672" w:rsidRPr="00E64FB6">
        <w:rPr>
          <w:rFonts w:ascii="Arial" w:hAnsi="Arial" w:cs="Arial"/>
          <w:i/>
          <w:color w:val="000000" w:themeColor="text1"/>
          <w:sz w:val="24"/>
          <w:szCs w:val="24"/>
          <w:lang w:val="en-US"/>
        </w:rPr>
        <w:t>AIDS.</w:t>
      </w:r>
      <w:r w:rsidR="00CB5672" w:rsidRPr="00E64FB6">
        <w:rPr>
          <w:rFonts w:ascii="Arial" w:hAnsi="Arial" w:cs="Arial"/>
          <w:color w:val="000000" w:themeColor="text1"/>
          <w:sz w:val="24"/>
          <w:szCs w:val="24"/>
          <w:lang w:val="en-US"/>
        </w:rPr>
        <w:t xml:space="preserve"> 1996; 10: 1744</w:t>
      </w:r>
    </w:p>
    <w:p w:rsidR="00CB5672" w:rsidRPr="00E64FB6" w:rsidRDefault="007669E5" w:rsidP="00CB5672">
      <w:pPr>
        <w:numPr>
          <w:ilvl w:val="0"/>
          <w:numId w:val="3"/>
        </w:numPr>
        <w:spacing w:line="480" w:lineRule="auto"/>
        <w:jc w:val="both"/>
        <w:rPr>
          <w:rFonts w:ascii="Arial" w:hAnsi="Arial" w:cs="Arial"/>
          <w:color w:val="000000" w:themeColor="text1"/>
          <w:sz w:val="24"/>
          <w:szCs w:val="24"/>
          <w:lang w:val="en-US"/>
        </w:rPr>
      </w:pPr>
      <w:hyperlink r:id="rId17" w:history="1">
        <w:r w:rsidR="00CB5672" w:rsidRPr="00E64FB6">
          <w:rPr>
            <w:rStyle w:val="Hyperlink"/>
            <w:rFonts w:ascii="Arial" w:hAnsi="Arial" w:cs="Arial"/>
            <w:color w:val="000000" w:themeColor="text1"/>
            <w:sz w:val="24"/>
            <w:szCs w:val="24"/>
            <w:u w:val="none"/>
            <w:lang w:val="en-US"/>
          </w:rPr>
          <w:t>Creighton S</w:t>
        </w:r>
      </w:hyperlink>
      <w:r w:rsidR="00CB5672" w:rsidRPr="00E64FB6">
        <w:rPr>
          <w:rFonts w:ascii="Arial" w:hAnsi="Arial" w:cs="Arial"/>
          <w:color w:val="000000" w:themeColor="text1"/>
          <w:sz w:val="24"/>
          <w:szCs w:val="24"/>
          <w:lang w:val="en-US"/>
        </w:rPr>
        <w:t xml:space="preserve">, </w:t>
      </w:r>
      <w:hyperlink r:id="rId18" w:history="1">
        <w:r w:rsidR="00CB5672" w:rsidRPr="00E64FB6">
          <w:rPr>
            <w:rStyle w:val="Hyperlink"/>
            <w:rFonts w:ascii="Arial" w:hAnsi="Arial" w:cs="Arial"/>
            <w:color w:val="000000" w:themeColor="text1"/>
            <w:sz w:val="24"/>
            <w:szCs w:val="24"/>
            <w:u w:val="none"/>
            <w:lang w:val="en-US"/>
          </w:rPr>
          <w:t>Miller R</w:t>
        </w:r>
      </w:hyperlink>
      <w:r w:rsidR="00CB5672" w:rsidRPr="00E64FB6">
        <w:rPr>
          <w:rFonts w:ascii="Arial" w:hAnsi="Arial" w:cs="Arial"/>
          <w:color w:val="000000" w:themeColor="text1"/>
          <w:sz w:val="24"/>
          <w:szCs w:val="24"/>
          <w:lang w:val="en-US"/>
        </w:rPr>
        <w:t xml:space="preserve">, </w:t>
      </w:r>
      <w:hyperlink r:id="rId19" w:history="1">
        <w:r w:rsidR="00CB5672" w:rsidRPr="00E64FB6">
          <w:rPr>
            <w:rStyle w:val="Hyperlink"/>
            <w:rFonts w:ascii="Arial" w:hAnsi="Arial" w:cs="Arial"/>
            <w:color w:val="000000" w:themeColor="text1"/>
            <w:sz w:val="24"/>
            <w:szCs w:val="24"/>
            <w:u w:val="none"/>
            <w:lang w:val="en-US"/>
          </w:rPr>
          <w:t>Edwards S</w:t>
        </w:r>
      </w:hyperlink>
      <w:r w:rsidR="00CB5672" w:rsidRPr="00E64FB6">
        <w:rPr>
          <w:rFonts w:ascii="Arial" w:hAnsi="Arial" w:cs="Arial"/>
          <w:color w:val="000000" w:themeColor="text1"/>
          <w:sz w:val="24"/>
          <w:szCs w:val="24"/>
          <w:lang w:val="en-US"/>
        </w:rPr>
        <w:t xml:space="preserve">, </w:t>
      </w:r>
      <w:r w:rsidR="00305E0B" w:rsidRPr="00E64FB6">
        <w:rPr>
          <w:rFonts w:ascii="Arial" w:hAnsi="Arial" w:cs="Arial"/>
          <w:sz w:val="24"/>
          <w:szCs w:val="24"/>
        </w:rPr>
        <w:t>et al</w:t>
      </w:r>
      <w:r w:rsidR="00CB5672" w:rsidRPr="00E64FB6">
        <w:rPr>
          <w:rFonts w:ascii="Arial" w:hAnsi="Arial" w:cs="Arial"/>
          <w:color w:val="000000" w:themeColor="text1"/>
          <w:sz w:val="24"/>
          <w:szCs w:val="24"/>
          <w:lang w:val="en-US"/>
        </w:rPr>
        <w:t xml:space="preserve">. </w:t>
      </w:r>
      <w:r w:rsidR="00CB5672" w:rsidRPr="00E64FB6">
        <w:rPr>
          <w:rFonts w:ascii="Arial" w:hAnsi="Arial" w:cs="Arial"/>
          <w:bCs/>
          <w:color w:val="000000" w:themeColor="text1"/>
          <w:sz w:val="24"/>
          <w:szCs w:val="24"/>
          <w:lang w:val="en-US"/>
        </w:rPr>
        <w:t xml:space="preserve">Is ritonavir boosting associated with gout? </w:t>
      </w:r>
      <w:r w:rsidR="00CB5672" w:rsidRPr="00E64FB6">
        <w:rPr>
          <w:rFonts w:ascii="Arial" w:hAnsi="Arial" w:cs="Arial"/>
          <w:i/>
          <w:color w:val="000000" w:themeColor="text1"/>
          <w:sz w:val="24"/>
          <w:szCs w:val="24"/>
          <w:lang w:val="en-US"/>
        </w:rPr>
        <w:t>Int J STD AIDS.</w:t>
      </w:r>
      <w:r w:rsidR="00044EBF" w:rsidRPr="00E64FB6">
        <w:rPr>
          <w:rFonts w:ascii="Arial" w:hAnsi="Arial" w:cs="Arial"/>
          <w:color w:val="000000" w:themeColor="text1"/>
          <w:sz w:val="24"/>
          <w:szCs w:val="24"/>
          <w:lang w:val="en-US"/>
        </w:rPr>
        <w:t xml:space="preserve"> 2000; 16</w:t>
      </w:r>
      <w:r w:rsidR="00CB5672" w:rsidRPr="00E64FB6">
        <w:rPr>
          <w:rFonts w:ascii="Arial" w:hAnsi="Arial" w:cs="Arial"/>
          <w:color w:val="000000" w:themeColor="text1"/>
          <w:sz w:val="24"/>
          <w:szCs w:val="24"/>
          <w:lang w:val="en-US"/>
        </w:rPr>
        <w:t>: 362-4</w:t>
      </w:r>
    </w:p>
    <w:p w:rsidR="00CB5672" w:rsidRPr="00E64FB6" w:rsidRDefault="007669E5" w:rsidP="00CB5672">
      <w:pPr>
        <w:numPr>
          <w:ilvl w:val="0"/>
          <w:numId w:val="3"/>
        </w:numPr>
        <w:spacing w:line="480" w:lineRule="auto"/>
        <w:jc w:val="both"/>
        <w:rPr>
          <w:rFonts w:ascii="Arial" w:hAnsi="Arial" w:cs="Arial"/>
          <w:color w:val="000000" w:themeColor="text1"/>
          <w:sz w:val="24"/>
          <w:szCs w:val="24"/>
          <w:lang w:val="en-US"/>
        </w:rPr>
      </w:pPr>
      <w:hyperlink r:id="rId20" w:history="1">
        <w:r w:rsidR="00CB5672" w:rsidRPr="00E64FB6">
          <w:rPr>
            <w:rStyle w:val="Hyperlink"/>
            <w:rFonts w:ascii="Arial" w:hAnsi="Arial" w:cs="Arial"/>
            <w:color w:val="000000" w:themeColor="text1"/>
            <w:sz w:val="24"/>
            <w:szCs w:val="24"/>
            <w:u w:val="none"/>
            <w:lang w:val="en-US"/>
          </w:rPr>
          <w:t>Sebeny PJ</w:t>
        </w:r>
      </w:hyperlink>
      <w:r w:rsidR="00CB5672" w:rsidRPr="00E64FB6">
        <w:rPr>
          <w:rFonts w:ascii="Arial" w:hAnsi="Arial" w:cs="Arial"/>
          <w:color w:val="000000" w:themeColor="text1"/>
          <w:sz w:val="24"/>
          <w:szCs w:val="24"/>
          <w:lang w:val="en-US"/>
        </w:rPr>
        <w:t xml:space="preserve">, </w:t>
      </w:r>
      <w:hyperlink r:id="rId21" w:history="1">
        <w:r w:rsidR="00CB5672" w:rsidRPr="00E64FB6">
          <w:rPr>
            <w:rStyle w:val="Hyperlink"/>
            <w:rFonts w:ascii="Arial" w:hAnsi="Arial" w:cs="Arial"/>
            <w:color w:val="000000" w:themeColor="text1"/>
            <w:sz w:val="24"/>
            <w:szCs w:val="24"/>
            <w:u w:val="none"/>
            <w:lang w:val="en-US"/>
          </w:rPr>
          <w:t>Keith MP</w:t>
        </w:r>
      </w:hyperlink>
      <w:r w:rsidR="00CB5672" w:rsidRPr="00E64FB6">
        <w:rPr>
          <w:rFonts w:ascii="Arial" w:hAnsi="Arial" w:cs="Arial"/>
          <w:color w:val="000000" w:themeColor="text1"/>
          <w:sz w:val="24"/>
          <w:szCs w:val="24"/>
          <w:lang w:val="en-US"/>
        </w:rPr>
        <w:t xml:space="preserve">, </w:t>
      </w:r>
      <w:hyperlink r:id="rId22" w:history="1">
        <w:r w:rsidR="00CB5672" w:rsidRPr="00E64FB6">
          <w:rPr>
            <w:rStyle w:val="Hyperlink"/>
            <w:rFonts w:ascii="Arial" w:hAnsi="Arial" w:cs="Arial"/>
            <w:color w:val="000000" w:themeColor="text1"/>
            <w:sz w:val="24"/>
            <w:szCs w:val="24"/>
            <w:u w:val="none"/>
            <w:lang w:val="en-US"/>
          </w:rPr>
          <w:t>Love KM</w:t>
        </w:r>
      </w:hyperlink>
      <w:r w:rsidR="00305E0B" w:rsidRPr="00E64FB6">
        <w:rPr>
          <w:rStyle w:val="Hyperlink"/>
          <w:rFonts w:ascii="Arial" w:hAnsi="Arial" w:cs="Arial"/>
          <w:color w:val="000000" w:themeColor="text1"/>
          <w:sz w:val="24"/>
          <w:szCs w:val="24"/>
          <w:u w:val="none"/>
          <w:lang w:val="en-US"/>
        </w:rPr>
        <w:t>, et al.</w:t>
      </w:r>
      <w:r w:rsidR="00CB5672" w:rsidRPr="00E64FB6">
        <w:rPr>
          <w:rFonts w:ascii="Arial" w:hAnsi="Arial" w:cs="Arial"/>
          <w:color w:val="000000" w:themeColor="text1"/>
          <w:sz w:val="24"/>
          <w:szCs w:val="24"/>
          <w:lang w:val="en-US"/>
        </w:rPr>
        <w:t xml:space="preserve"> </w:t>
      </w:r>
      <w:r w:rsidR="00CB5672" w:rsidRPr="00E64FB6">
        <w:rPr>
          <w:rFonts w:ascii="Arial" w:hAnsi="Arial" w:cs="Arial"/>
          <w:bCs/>
          <w:color w:val="000000" w:themeColor="text1"/>
          <w:sz w:val="24"/>
          <w:szCs w:val="24"/>
          <w:lang w:val="en-US"/>
        </w:rPr>
        <w:t xml:space="preserve">Refractory polyarticular gouty arthritis as a manifestation of immune reconstitution inflammatory syndrome. </w:t>
      </w:r>
      <w:r w:rsidR="00044EBF" w:rsidRPr="00E64FB6">
        <w:rPr>
          <w:rFonts w:ascii="Arial" w:hAnsi="Arial" w:cs="Arial"/>
          <w:i/>
          <w:color w:val="000000" w:themeColor="text1"/>
          <w:sz w:val="24"/>
          <w:szCs w:val="24"/>
          <w:lang w:val="en-US"/>
        </w:rPr>
        <w:t>J Clin Rheumatol.</w:t>
      </w:r>
      <w:r w:rsidR="00044EBF" w:rsidRPr="00E64FB6">
        <w:rPr>
          <w:rFonts w:ascii="Arial" w:hAnsi="Arial" w:cs="Arial"/>
          <w:color w:val="000000" w:themeColor="text1"/>
          <w:sz w:val="24"/>
          <w:szCs w:val="24"/>
          <w:lang w:val="en-US"/>
        </w:rPr>
        <w:t xml:space="preserve"> 2010; 16</w:t>
      </w:r>
      <w:r w:rsidR="00CB5672" w:rsidRPr="00E64FB6">
        <w:rPr>
          <w:rFonts w:ascii="Arial" w:hAnsi="Arial" w:cs="Arial"/>
          <w:color w:val="000000" w:themeColor="text1"/>
          <w:sz w:val="24"/>
          <w:szCs w:val="24"/>
          <w:lang w:val="en-US"/>
        </w:rPr>
        <w:t xml:space="preserve">: 40-2. </w:t>
      </w:r>
    </w:p>
    <w:p w:rsidR="00CB5672" w:rsidRPr="00E64FB6" w:rsidRDefault="007669E5" w:rsidP="00CB5672">
      <w:pPr>
        <w:numPr>
          <w:ilvl w:val="0"/>
          <w:numId w:val="3"/>
        </w:numPr>
        <w:spacing w:line="480" w:lineRule="auto"/>
        <w:jc w:val="both"/>
        <w:rPr>
          <w:rFonts w:ascii="Arial" w:hAnsi="Arial" w:cs="Arial"/>
          <w:color w:val="000000" w:themeColor="text1"/>
          <w:sz w:val="24"/>
          <w:szCs w:val="24"/>
          <w:lang w:val="en-US"/>
        </w:rPr>
      </w:pPr>
      <w:hyperlink r:id="rId23" w:history="1">
        <w:r w:rsidR="00CB5672" w:rsidRPr="00E64FB6">
          <w:rPr>
            <w:rStyle w:val="Hyperlink"/>
            <w:rFonts w:ascii="Arial" w:hAnsi="Arial" w:cs="Arial"/>
            <w:color w:val="000000" w:themeColor="text1"/>
            <w:sz w:val="24"/>
            <w:szCs w:val="24"/>
            <w:u w:val="none"/>
            <w:lang w:val="en-US"/>
          </w:rPr>
          <w:t>Eyer-Silva WA</w:t>
        </w:r>
      </w:hyperlink>
      <w:r w:rsidR="00CB5672" w:rsidRPr="00E64FB6">
        <w:rPr>
          <w:rFonts w:ascii="Arial" w:hAnsi="Arial" w:cs="Arial"/>
          <w:color w:val="000000" w:themeColor="text1"/>
          <w:sz w:val="24"/>
          <w:szCs w:val="24"/>
          <w:lang w:val="en-US"/>
        </w:rPr>
        <w:t xml:space="preserve">, </w:t>
      </w:r>
      <w:hyperlink r:id="rId24" w:history="1">
        <w:r w:rsidR="00CB5672" w:rsidRPr="00E64FB6">
          <w:rPr>
            <w:rStyle w:val="Hyperlink"/>
            <w:rFonts w:ascii="Arial" w:hAnsi="Arial" w:cs="Arial"/>
            <w:color w:val="000000" w:themeColor="text1"/>
            <w:sz w:val="24"/>
            <w:szCs w:val="24"/>
            <w:u w:val="none"/>
            <w:lang w:val="en-US"/>
          </w:rPr>
          <w:t>Salgado MC</w:t>
        </w:r>
      </w:hyperlink>
      <w:r w:rsidR="00CB5672" w:rsidRPr="00E64FB6">
        <w:rPr>
          <w:rFonts w:ascii="Arial" w:hAnsi="Arial" w:cs="Arial"/>
          <w:color w:val="000000" w:themeColor="text1"/>
          <w:sz w:val="24"/>
          <w:szCs w:val="24"/>
          <w:lang w:val="en-US"/>
        </w:rPr>
        <w:t xml:space="preserve">, </w:t>
      </w:r>
      <w:hyperlink r:id="rId25" w:history="1">
        <w:r w:rsidR="00CB5672" w:rsidRPr="00E64FB6">
          <w:rPr>
            <w:rStyle w:val="Hyperlink"/>
            <w:rFonts w:ascii="Arial" w:hAnsi="Arial" w:cs="Arial"/>
            <w:color w:val="000000" w:themeColor="text1"/>
            <w:sz w:val="24"/>
            <w:szCs w:val="24"/>
            <w:u w:val="none"/>
            <w:lang w:val="en-US"/>
          </w:rPr>
          <w:t>Pinto JF</w:t>
        </w:r>
      </w:hyperlink>
      <w:r w:rsidR="00305E0B" w:rsidRPr="00E64FB6">
        <w:rPr>
          <w:rFonts w:ascii="Arial" w:hAnsi="Arial" w:cs="Arial"/>
          <w:color w:val="000000" w:themeColor="text1"/>
          <w:sz w:val="24"/>
          <w:szCs w:val="24"/>
          <w:lang w:val="en-US"/>
        </w:rPr>
        <w:t xml:space="preserve">, </w:t>
      </w:r>
      <w:r w:rsidR="00CB5672" w:rsidRPr="00E64FB6">
        <w:rPr>
          <w:rFonts w:ascii="Arial" w:hAnsi="Arial" w:cs="Arial"/>
          <w:color w:val="000000" w:themeColor="text1"/>
          <w:sz w:val="24"/>
          <w:szCs w:val="24"/>
        </w:rPr>
        <w:t>et al</w:t>
      </w:r>
      <w:r w:rsidR="00CB5672" w:rsidRPr="00E64FB6">
        <w:rPr>
          <w:rFonts w:ascii="Arial" w:hAnsi="Arial" w:cs="Arial"/>
          <w:color w:val="000000" w:themeColor="text1"/>
          <w:sz w:val="24"/>
          <w:szCs w:val="24"/>
          <w:lang w:val="en-US"/>
        </w:rPr>
        <w:t xml:space="preserve">. </w:t>
      </w:r>
      <w:r w:rsidR="00CB5672" w:rsidRPr="00E64FB6">
        <w:rPr>
          <w:rFonts w:ascii="Arial" w:hAnsi="Arial" w:cs="Arial"/>
          <w:bCs/>
          <w:color w:val="000000" w:themeColor="text1"/>
          <w:sz w:val="24"/>
          <w:szCs w:val="24"/>
          <w:lang w:val="en-US"/>
        </w:rPr>
        <w:t xml:space="preserve">Acute gouty arthritis as a manifestation of immune reconstitution inflammatory syndrome after initiation of antiretroviral therapy. </w:t>
      </w:r>
      <w:r w:rsidR="00CB5672" w:rsidRPr="00E64FB6">
        <w:rPr>
          <w:rFonts w:ascii="Arial" w:hAnsi="Arial" w:cs="Arial"/>
          <w:i/>
          <w:color w:val="000000" w:themeColor="text1"/>
          <w:sz w:val="24"/>
          <w:szCs w:val="24"/>
          <w:lang w:val="en-US"/>
        </w:rPr>
        <w:t>Rev Inst Med Trop Sao Paulo</w:t>
      </w:r>
      <w:r w:rsidR="00CB5672" w:rsidRPr="00E64FB6">
        <w:rPr>
          <w:rFonts w:ascii="Arial" w:hAnsi="Arial" w:cs="Arial"/>
          <w:color w:val="000000" w:themeColor="text1"/>
          <w:sz w:val="24"/>
          <w:szCs w:val="24"/>
          <w:lang w:val="en-US"/>
        </w:rPr>
        <w:t>. 2012; 54: 231-3.</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lang w:val="en-US"/>
        </w:rPr>
        <w:t xml:space="preserve">Okwara CC, Ozoh G, Nwatu BC. Clinical and laboratory predictors of articular disorders among HIV-infected patients seen at teaching hospital Southeast Nigerai. </w:t>
      </w:r>
      <w:r w:rsidRPr="00E64FB6">
        <w:rPr>
          <w:rFonts w:ascii="Arial" w:hAnsi="Arial" w:cs="Arial"/>
          <w:i/>
          <w:color w:val="000000" w:themeColor="text1"/>
          <w:sz w:val="24"/>
          <w:szCs w:val="24"/>
          <w:lang w:val="en-US"/>
        </w:rPr>
        <w:t>Ann Med Health Sci Res</w:t>
      </w:r>
      <w:r w:rsidRPr="00E64FB6">
        <w:rPr>
          <w:rFonts w:ascii="Arial" w:hAnsi="Arial" w:cs="Arial"/>
          <w:color w:val="000000" w:themeColor="text1"/>
          <w:sz w:val="24"/>
          <w:szCs w:val="24"/>
          <w:lang w:val="en-US"/>
        </w:rPr>
        <w:t xml:space="preserve"> 2015;</w:t>
      </w:r>
      <w:r w:rsidR="00044EBF" w:rsidRPr="00E64FB6">
        <w:rPr>
          <w:rFonts w:ascii="Arial" w:hAnsi="Arial" w:cs="Arial"/>
          <w:color w:val="000000" w:themeColor="text1"/>
          <w:sz w:val="24"/>
          <w:szCs w:val="24"/>
          <w:lang w:val="en-US"/>
        </w:rPr>
        <w:t xml:space="preserve"> </w:t>
      </w:r>
      <w:r w:rsidRPr="00E64FB6">
        <w:rPr>
          <w:rFonts w:ascii="Arial" w:hAnsi="Arial" w:cs="Arial"/>
          <w:color w:val="000000" w:themeColor="text1"/>
          <w:sz w:val="24"/>
          <w:szCs w:val="24"/>
          <w:lang w:val="en-US"/>
        </w:rPr>
        <w:t>5:447-53.</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lang w:val="en-US"/>
        </w:rPr>
        <w:lastRenderedPageBreak/>
        <w:t xml:space="preserve">Kole AK, Roy R, Kole DC. Musculoskeleltal and rheumatological disorders in HIV infection: experience in a tertiary referral center. Indian </w:t>
      </w:r>
      <w:r w:rsidRPr="00E64FB6">
        <w:rPr>
          <w:rFonts w:ascii="Arial" w:hAnsi="Arial" w:cs="Arial"/>
          <w:i/>
          <w:color w:val="000000" w:themeColor="text1"/>
          <w:sz w:val="24"/>
          <w:szCs w:val="24"/>
          <w:lang w:val="en-US"/>
        </w:rPr>
        <w:t xml:space="preserve">J Sex Transm Dis </w:t>
      </w:r>
      <w:r w:rsidRPr="00E64FB6">
        <w:rPr>
          <w:rFonts w:ascii="Arial" w:hAnsi="Arial" w:cs="Arial"/>
          <w:color w:val="000000" w:themeColor="text1"/>
          <w:sz w:val="24"/>
          <w:szCs w:val="24"/>
          <w:lang w:val="en-US"/>
        </w:rPr>
        <w:t>2013;</w:t>
      </w:r>
      <w:r w:rsidR="00044EBF" w:rsidRPr="00E64FB6">
        <w:rPr>
          <w:rFonts w:ascii="Arial" w:hAnsi="Arial" w:cs="Arial"/>
          <w:color w:val="000000" w:themeColor="text1"/>
          <w:sz w:val="24"/>
          <w:szCs w:val="24"/>
          <w:lang w:val="en-US"/>
        </w:rPr>
        <w:t xml:space="preserve"> </w:t>
      </w:r>
      <w:r w:rsidRPr="00E64FB6">
        <w:rPr>
          <w:rFonts w:ascii="Arial" w:hAnsi="Arial" w:cs="Arial"/>
          <w:color w:val="000000" w:themeColor="text1"/>
          <w:sz w:val="24"/>
          <w:szCs w:val="24"/>
          <w:lang w:val="en-US"/>
        </w:rPr>
        <w:t>34:107-12.</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lang w:val="en-US"/>
        </w:rPr>
        <w:t>Spaetgens F, de Vries</w:t>
      </w:r>
      <w:r w:rsidR="00305E0B" w:rsidRPr="00E64FB6">
        <w:rPr>
          <w:rFonts w:ascii="Arial" w:hAnsi="Arial" w:cs="Arial"/>
          <w:color w:val="000000" w:themeColor="text1"/>
          <w:sz w:val="24"/>
          <w:szCs w:val="24"/>
          <w:lang w:val="en-US"/>
        </w:rPr>
        <w:t xml:space="preserve"> JHM, Driessen HG, </w:t>
      </w:r>
      <w:r w:rsidRPr="00E64FB6">
        <w:rPr>
          <w:rFonts w:ascii="Arial" w:hAnsi="Arial" w:cs="Arial"/>
          <w:color w:val="000000" w:themeColor="text1"/>
          <w:sz w:val="24"/>
          <w:szCs w:val="24"/>
          <w:lang w:val="en-US"/>
        </w:rPr>
        <w:t xml:space="preserve">et al. Risk of infections in patients with gout: a population-based cohort study. </w:t>
      </w:r>
      <w:r w:rsidRPr="00E64FB6">
        <w:rPr>
          <w:rFonts w:ascii="Arial" w:hAnsi="Arial" w:cs="Arial"/>
          <w:i/>
          <w:color w:val="000000" w:themeColor="text1"/>
          <w:sz w:val="24"/>
          <w:szCs w:val="24"/>
          <w:lang w:val="en-US"/>
        </w:rPr>
        <w:t>Sci Rep</w:t>
      </w:r>
      <w:r w:rsidRPr="00E64FB6">
        <w:rPr>
          <w:rFonts w:ascii="Arial" w:hAnsi="Arial" w:cs="Arial"/>
          <w:color w:val="000000" w:themeColor="text1"/>
          <w:sz w:val="24"/>
          <w:szCs w:val="24"/>
          <w:lang w:val="en-US"/>
        </w:rPr>
        <w:t>. 2017; 7: 1429. Published online 2017 May 3. doi: 10.1038/s41598-017-01588-5</w:t>
      </w:r>
    </w:p>
    <w:p w:rsidR="00CB5672" w:rsidRPr="00E64FB6" w:rsidRDefault="007669E5" w:rsidP="00CB5672">
      <w:pPr>
        <w:numPr>
          <w:ilvl w:val="0"/>
          <w:numId w:val="3"/>
        </w:numPr>
        <w:spacing w:line="480" w:lineRule="auto"/>
        <w:jc w:val="both"/>
        <w:rPr>
          <w:rFonts w:ascii="Arial" w:hAnsi="Arial" w:cs="Arial"/>
          <w:color w:val="000000" w:themeColor="text1"/>
          <w:sz w:val="24"/>
          <w:szCs w:val="24"/>
          <w:lang w:val="en-US"/>
        </w:rPr>
      </w:pPr>
      <w:hyperlink r:id="rId26" w:history="1">
        <w:r w:rsidR="00CB5672" w:rsidRPr="00E64FB6">
          <w:rPr>
            <w:rStyle w:val="Hyperlink"/>
            <w:rFonts w:ascii="Arial" w:hAnsi="Arial" w:cs="Arial"/>
            <w:color w:val="000000" w:themeColor="text1"/>
            <w:sz w:val="24"/>
            <w:szCs w:val="24"/>
            <w:u w:val="none"/>
            <w:lang w:val="it-IT"/>
          </w:rPr>
          <w:t>Medina-Rodriguez F</w:t>
        </w:r>
      </w:hyperlink>
      <w:r w:rsidR="00CB5672" w:rsidRPr="00E64FB6">
        <w:rPr>
          <w:rFonts w:ascii="Arial" w:hAnsi="Arial" w:cs="Arial"/>
          <w:color w:val="000000" w:themeColor="text1"/>
          <w:sz w:val="24"/>
          <w:szCs w:val="24"/>
          <w:lang w:val="it-IT"/>
        </w:rPr>
        <w:t xml:space="preserve">, </w:t>
      </w:r>
      <w:hyperlink r:id="rId27" w:history="1">
        <w:r w:rsidR="00CB5672" w:rsidRPr="00E64FB6">
          <w:rPr>
            <w:rStyle w:val="Hyperlink"/>
            <w:rFonts w:ascii="Arial" w:hAnsi="Arial" w:cs="Arial"/>
            <w:color w:val="000000" w:themeColor="text1"/>
            <w:sz w:val="24"/>
            <w:szCs w:val="24"/>
            <w:u w:val="none"/>
            <w:lang w:val="it-IT"/>
          </w:rPr>
          <w:t>Guzman C</w:t>
        </w:r>
      </w:hyperlink>
      <w:r w:rsidR="00CB5672" w:rsidRPr="00E64FB6">
        <w:rPr>
          <w:rFonts w:ascii="Arial" w:hAnsi="Arial" w:cs="Arial"/>
          <w:color w:val="000000" w:themeColor="text1"/>
          <w:sz w:val="24"/>
          <w:szCs w:val="24"/>
          <w:lang w:val="it-IT"/>
        </w:rPr>
        <w:t xml:space="preserve">, </w:t>
      </w:r>
      <w:hyperlink r:id="rId28" w:history="1">
        <w:r w:rsidR="00CB5672" w:rsidRPr="00E64FB6">
          <w:rPr>
            <w:rStyle w:val="Hyperlink"/>
            <w:rFonts w:ascii="Arial" w:hAnsi="Arial" w:cs="Arial"/>
            <w:color w:val="000000" w:themeColor="text1"/>
            <w:sz w:val="24"/>
            <w:szCs w:val="24"/>
            <w:u w:val="none"/>
            <w:lang w:val="it-IT"/>
          </w:rPr>
          <w:t>Jara LJ</w:t>
        </w:r>
      </w:hyperlink>
      <w:r w:rsidR="00CB5672" w:rsidRPr="00E64FB6">
        <w:rPr>
          <w:rFonts w:ascii="Arial" w:hAnsi="Arial" w:cs="Arial"/>
          <w:color w:val="000000" w:themeColor="text1"/>
          <w:sz w:val="24"/>
          <w:szCs w:val="24"/>
          <w:lang w:val="it-IT"/>
        </w:rPr>
        <w:t xml:space="preserve">, </w:t>
      </w:r>
      <w:r w:rsidR="00305E0B" w:rsidRPr="00E64FB6">
        <w:rPr>
          <w:rFonts w:ascii="Arial" w:hAnsi="Arial" w:cs="Arial"/>
          <w:sz w:val="24"/>
          <w:szCs w:val="24"/>
        </w:rPr>
        <w:t>et al</w:t>
      </w:r>
      <w:r w:rsidR="00CB5672" w:rsidRPr="00E64FB6">
        <w:rPr>
          <w:rFonts w:ascii="Arial" w:hAnsi="Arial" w:cs="Arial"/>
          <w:color w:val="000000" w:themeColor="text1"/>
          <w:sz w:val="24"/>
          <w:szCs w:val="24"/>
          <w:lang w:val="it-IT"/>
        </w:rPr>
        <w:t xml:space="preserve">. </w:t>
      </w:r>
      <w:r w:rsidR="00CB5672" w:rsidRPr="00E64FB6">
        <w:rPr>
          <w:rFonts w:ascii="Arial" w:hAnsi="Arial" w:cs="Arial"/>
          <w:bCs/>
          <w:color w:val="000000" w:themeColor="text1"/>
          <w:sz w:val="24"/>
          <w:szCs w:val="24"/>
          <w:lang w:val="en-US"/>
        </w:rPr>
        <w:t>Rheumatic manifestations in human immunodeficiency virus positive and negative individuals: a study of 2 populations with similar risk factors.</w:t>
      </w:r>
      <w:r w:rsidR="00CB5672" w:rsidRPr="00E64FB6">
        <w:rPr>
          <w:rFonts w:ascii="Arial" w:hAnsi="Arial" w:cs="Arial"/>
          <w:color w:val="000000" w:themeColor="text1"/>
          <w:sz w:val="24"/>
          <w:szCs w:val="24"/>
          <w:lang w:val="en-US"/>
        </w:rPr>
        <w:t xml:space="preserve"> </w:t>
      </w:r>
      <w:r w:rsidR="00CB5672" w:rsidRPr="00E64FB6">
        <w:rPr>
          <w:rFonts w:ascii="Arial" w:hAnsi="Arial" w:cs="Arial"/>
          <w:i/>
          <w:color w:val="000000" w:themeColor="text1"/>
          <w:sz w:val="24"/>
          <w:szCs w:val="24"/>
          <w:lang w:val="en-US"/>
        </w:rPr>
        <w:t>J Rheumatol.</w:t>
      </w:r>
      <w:r w:rsidR="00CB5672" w:rsidRPr="00E64FB6">
        <w:rPr>
          <w:rFonts w:ascii="Arial" w:hAnsi="Arial" w:cs="Arial"/>
          <w:color w:val="000000" w:themeColor="text1"/>
          <w:sz w:val="24"/>
          <w:szCs w:val="24"/>
          <w:lang w:val="en-US"/>
        </w:rPr>
        <w:t xml:space="preserve"> 1993 ;</w:t>
      </w:r>
      <w:r w:rsidR="00044EBF" w:rsidRPr="00E64FB6">
        <w:rPr>
          <w:rFonts w:ascii="Arial" w:hAnsi="Arial" w:cs="Arial"/>
          <w:color w:val="000000" w:themeColor="text1"/>
          <w:sz w:val="24"/>
          <w:szCs w:val="24"/>
          <w:lang w:val="en-US"/>
        </w:rPr>
        <w:t xml:space="preserve"> </w:t>
      </w:r>
      <w:r w:rsidR="00CB5672" w:rsidRPr="00E64FB6">
        <w:rPr>
          <w:rFonts w:ascii="Arial" w:hAnsi="Arial" w:cs="Arial"/>
          <w:color w:val="000000" w:themeColor="text1"/>
          <w:sz w:val="24"/>
          <w:szCs w:val="24"/>
          <w:lang w:val="en-US"/>
        </w:rPr>
        <w:t>20:1880-4</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lang w:val="en-US"/>
        </w:rPr>
        <w:t>Bagnis CI, Du Mon</w:t>
      </w:r>
      <w:r w:rsidR="00305E0B" w:rsidRPr="00E64FB6">
        <w:rPr>
          <w:rFonts w:ascii="Arial" w:hAnsi="Arial" w:cs="Arial"/>
          <w:color w:val="000000" w:themeColor="text1"/>
          <w:sz w:val="24"/>
          <w:szCs w:val="24"/>
          <w:lang w:val="en-US"/>
        </w:rPr>
        <w:t xml:space="preserve">tcel ST, Fonfrede M, </w:t>
      </w:r>
      <w:r w:rsidRPr="00E64FB6">
        <w:rPr>
          <w:rFonts w:ascii="Arial" w:hAnsi="Arial" w:cs="Arial"/>
          <w:color w:val="000000" w:themeColor="text1"/>
          <w:sz w:val="24"/>
          <w:szCs w:val="24"/>
          <w:lang w:val="en-US"/>
        </w:rPr>
        <w:t xml:space="preserve">et al. Changing electrolyte and acido-basic profile in HIV-infected patients in the HAART era. </w:t>
      </w:r>
      <w:r w:rsidRPr="00E64FB6">
        <w:rPr>
          <w:rFonts w:ascii="Arial" w:hAnsi="Arial" w:cs="Arial"/>
          <w:i/>
          <w:color w:val="000000" w:themeColor="text1"/>
          <w:sz w:val="24"/>
          <w:szCs w:val="24"/>
          <w:lang w:val="en-US"/>
        </w:rPr>
        <w:t>Nephron Physiol</w:t>
      </w:r>
      <w:r w:rsidRPr="00E64FB6">
        <w:rPr>
          <w:rFonts w:ascii="Arial" w:hAnsi="Arial" w:cs="Arial"/>
          <w:color w:val="000000" w:themeColor="text1"/>
          <w:sz w:val="24"/>
          <w:szCs w:val="24"/>
          <w:lang w:val="en-US"/>
        </w:rPr>
        <w:t xml:space="preserve"> 2006;</w:t>
      </w:r>
      <w:r w:rsidR="00044EBF" w:rsidRPr="00E64FB6">
        <w:rPr>
          <w:rFonts w:ascii="Arial" w:hAnsi="Arial" w:cs="Arial"/>
          <w:color w:val="000000" w:themeColor="text1"/>
          <w:sz w:val="24"/>
          <w:szCs w:val="24"/>
          <w:lang w:val="en-US"/>
        </w:rPr>
        <w:t xml:space="preserve"> </w:t>
      </w:r>
      <w:r w:rsidRPr="00E64FB6">
        <w:rPr>
          <w:rFonts w:ascii="Arial" w:hAnsi="Arial" w:cs="Arial"/>
          <w:color w:val="000000" w:themeColor="text1"/>
          <w:sz w:val="24"/>
          <w:szCs w:val="24"/>
          <w:lang w:val="en-US"/>
        </w:rPr>
        <w:t>103:131-8.</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lang w:val="it-IT"/>
        </w:rPr>
        <w:t xml:space="preserve">Manfredi R, Mastroianni A, Coronado OV, Chido F.  </w:t>
      </w:r>
      <w:r w:rsidRPr="00E64FB6">
        <w:rPr>
          <w:rFonts w:ascii="Arial" w:hAnsi="Arial" w:cs="Arial"/>
          <w:color w:val="000000" w:themeColor="text1"/>
          <w:sz w:val="24"/>
          <w:szCs w:val="24"/>
          <w:lang w:val="en-US"/>
        </w:rPr>
        <w:t xml:space="preserve">Hyperuricaemia and Progression of HIV Disease. </w:t>
      </w:r>
      <w:r w:rsidRPr="00E64FB6">
        <w:rPr>
          <w:rFonts w:ascii="Arial" w:hAnsi="Arial" w:cs="Arial"/>
          <w:i/>
          <w:color w:val="000000" w:themeColor="text1"/>
          <w:sz w:val="24"/>
          <w:szCs w:val="24"/>
          <w:lang w:val="en-US"/>
        </w:rPr>
        <w:t>J Acquir Immune Defic Syndr Hum Retroviro</w:t>
      </w:r>
      <w:r w:rsidRPr="00E64FB6">
        <w:rPr>
          <w:rFonts w:ascii="Arial" w:hAnsi="Arial" w:cs="Arial"/>
          <w:color w:val="000000" w:themeColor="text1"/>
          <w:sz w:val="24"/>
          <w:szCs w:val="24"/>
          <w:lang w:val="en-US"/>
        </w:rPr>
        <w:t>l 1996; 12: 318-9</w:t>
      </w:r>
    </w:p>
    <w:p w:rsidR="00CB5672" w:rsidRPr="00E64FB6" w:rsidRDefault="007669E5" w:rsidP="00CB5672">
      <w:pPr>
        <w:numPr>
          <w:ilvl w:val="0"/>
          <w:numId w:val="3"/>
        </w:numPr>
        <w:spacing w:line="480" w:lineRule="auto"/>
        <w:jc w:val="both"/>
        <w:rPr>
          <w:rFonts w:ascii="Arial" w:hAnsi="Arial" w:cs="Arial"/>
          <w:color w:val="000000" w:themeColor="text1"/>
          <w:sz w:val="24"/>
          <w:szCs w:val="24"/>
          <w:lang w:val="en-US"/>
        </w:rPr>
      </w:pPr>
      <w:hyperlink r:id="rId29" w:history="1">
        <w:r w:rsidR="00CB5672" w:rsidRPr="00E64FB6">
          <w:rPr>
            <w:rStyle w:val="Hyperlink"/>
            <w:rFonts w:ascii="Arial" w:hAnsi="Arial" w:cs="Arial"/>
            <w:color w:val="000000" w:themeColor="text1"/>
            <w:sz w:val="24"/>
            <w:szCs w:val="24"/>
            <w:u w:val="none"/>
            <w:lang w:val="en-US"/>
          </w:rPr>
          <w:t>Walker UA</w:t>
        </w:r>
      </w:hyperlink>
      <w:r w:rsidR="00CB5672" w:rsidRPr="00E64FB6">
        <w:rPr>
          <w:rFonts w:ascii="Arial" w:hAnsi="Arial" w:cs="Arial"/>
          <w:color w:val="000000" w:themeColor="text1"/>
          <w:sz w:val="24"/>
          <w:szCs w:val="24"/>
          <w:lang w:val="en-US"/>
        </w:rPr>
        <w:t xml:space="preserve">, </w:t>
      </w:r>
      <w:hyperlink r:id="rId30" w:history="1">
        <w:r w:rsidR="00CB5672" w:rsidRPr="00E64FB6">
          <w:rPr>
            <w:rStyle w:val="Hyperlink"/>
            <w:rFonts w:ascii="Arial" w:hAnsi="Arial" w:cs="Arial"/>
            <w:color w:val="000000" w:themeColor="text1"/>
            <w:sz w:val="24"/>
            <w:szCs w:val="24"/>
            <w:u w:val="none"/>
            <w:lang w:val="en-US"/>
          </w:rPr>
          <w:t>Hoffmann C</w:t>
        </w:r>
      </w:hyperlink>
      <w:r w:rsidR="00CB5672" w:rsidRPr="00E64FB6">
        <w:rPr>
          <w:rFonts w:ascii="Arial" w:hAnsi="Arial" w:cs="Arial"/>
          <w:color w:val="000000" w:themeColor="text1"/>
          <w:sz w:val="24"/>
          <w:szCs w:val="24"/>
          <w:lang w:val="en-US"/>
        </w:rPr>
        <w:t xml:space="preserve">, </w:t>
      </w:r>
      <w:hyperlink r:id="rId31" w:history="1">
        <w:r w:rsidR="00CB5672" w:rsidRPr="00E64FB6">
          <w:rPr>
            <w:rStyle w:val="Hyperlink"/>
            <w:rFonts w:ascii="Arial" w:hAnsi="Arial" w:cs="Arial"/>
            <w:color w:val="000000" w:themeColor="text1"/>
            <w:sz w:val="24"/>
            <w:szCs w:val="24"/>
            <w:u w:val="none"/>
            <w:lang w:val="en-US"/>
          </w:rPr>
          <w:t>Enters M</w:t>
        </w:r>
      </w:hyperlink>
      <w:r w:rsidR="00CB5672" w:rsidRPr="00E64FB6">
        <w:rPr>
          <w:rFonts w:ascii="Arial" w:hAnsi="Arial" w:cs="Arial"/>
          <w:color w:val="000000" w:themeColor="text1"/>
          <w:sz w:val="24"/>
          <w:szCs w:val="24"/>
          <w:lang w:val="en-US"/>
        </w:rPr>
        <w:t>,</w:t>
      </w:r>
      <w:r w:rsidR="00305E0B" w:rsidRPr="00E64FB6">
        <w:rPr>
          <w:rFonts w:ascii="Arial" w:hAnsi="Arial" w:cs="Arial"/>
          <w:sz w:val="24"/>
          <w:szCs w:val="24"/>
        </w:rPr>
        <w:t xml:space="preserve"> et al</w:t>
      </w:r>
      <w:r w:rsidR="00CB5672" w:rsidRPr="00E64FB6">
        <w:rPr>
          <w:rFonts w:ascii="Arial" w:hAnsi="Arial" w:cs="Arial"/>
          <w:color w:val="000000" w:themeColor="text1"/>
          <w:sz w:val="24"/>
          <w:szCs w:val="24"/>
          <w:lang w:val="en-US"/>
        </w:rPr>
        <w:t xml:space="preserve">. </w:t>
      </w:r>
      <w:r w:rsidR="00CB5672" w:rsidRPr="00E64FB6">
        <w:rPr>
          <w:rFonts w:ascii="Arial" w:hAnsi="Arial" w:cs="Arial"/>
          <w:bCs/>
          <w:color w:val="000000" w:themeColor="text1"/>
          <w:sz w:val="24"/>
          <w:szCs w:val="24"/>
          <w:lang w:val="en-US"/>
        </w:rPr>
        <w:t xml:space="preserve">High serum urate in HIV-infected persons: the choice of the antiretroviral drug matters. </w:t>
      </w:r>
      <w:r w:rsidR="00CB5672" w:rsidRPr="00E64FB6">
        <w:rPr>
          <w:rFonts w:ascii="Arial" w:hAnsi="Arial" w:cs="Arial"/>
          <w:i/>
          <w:color w:val="000000" w:themeColor="text1"/>
          <w:sz w:val="24"/>
          <w:szCs w:val="24"/>
          <w:lang w:val="en-US"/>
        </w:rPr>
        <w:t>AIDS.</w:t>
      </w:r>
      <w:r w:rsidR="00CB5672" w:rsidRPr="00E64FB6">
        <w:rPr>
          <w:rFonts w:ascii="Arial" w:hAnsi="Arial" w:cs="Arial"/>
          <w:color w:val="000000" w:themeColor="text1"/>
          <w:sz w:val="24"/>
          <w:szCs w:val="24"/>
          <w:lang w:val="en-US"/>
        </w:rPr>
        <w:t xml:space="preserve"> 2006; 20: 1556-8</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lang w:val="en-US"/>
        </w:rPr>
        <w:t xml:space="preserve">Patel NJ, Sheth SH, Rajan R, Espinoza LR. Hyperuricemia, its Prevalence and Correlation with Metabolic Syndrome in Anti-Retroviral Naive HIV Cohort: Review of the Literature. </w:t>
      </w:r>
      <w:r w:rsidRPr="00E64FB6">
        <w:rPr>
          <w:rFonts w:ascii="Arial" w:hAnsi="Arial" w:cs="Arial"/>
          <w:i/>
          <w:color w:val="000000" w:themeColor="text1"/>
          <w:sz w:val="24"/>
          <w:szCs w:val="24"/>
          <w:lang w:val="en-US"/>
        </w:rPr>
        <w:t>J Immunol Tech Infect Dis</w:t>
      </w:r>
      <w:r w:rsidRPr="00E64FB6">
        <w:rPr>
          <w:rFonts w:ascii="Arial" w:hAnsi="Arial" w:cs="Arial"/>
          <w:color w:val="000000" w:themeColor="text1"/>
          <w:sz w:val="24"/>
          <w:szCs w:val="24"/>
          <w:lang w:val="en-US"/>
        </w:rPr>
        <w:t xml:space="preserve"> 2013; 2:2</w:t>
      </w:r>
    </w:p>
    <w:p w:rsidR="00D750E5" w:rsidRPr="00E64FB6" w:rsidRDefault="00D750E5" w:rsidP="00D750E5">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303030"/>
          <w:sz w:val="24"/>
          <w:szCs w:val="24"/>
          <w:shd w:val="clear" w:color="auto" w:fill="FFFFFF"/>
        </w:rPr>
        <w:t>Lottmann K, Chen X, Schädlich PK. Association Between Gout and All-Cause as well as Cardiovascular Mortality: A Systematic Review. </w:t>
      </w:r>
      <w:r w:rsidRPr="00E64FB6">
        <w:rPr>
          <w:rFonts w:ascii="Arial" w:hAnsi="Arial" w:cs="Arial"/>
          <w:i/>
          <w:iCs/>
          <w:color w:val="303030"/>
          <w:sz w:val="24"/>
          <w:szCs w:val="24"/>
          <w:shd w:val="clear" w:color="auto" w:fill="FFFFFF"/>
        </w:rPr>
        <w:t>Current Rheumatology Reports</w:t>
      </w:r>
      <w:r w:rsidRPr="00E64FB6">
        <w:rPr>
          <w:rFonts w:ascii="Arial" w:hAnsi="Arial" w:cs="Arial"/>
          <w:color w:val="303030"/>
          <w:sz w:val="24"/>
          <w:szCs w:val="24"/>
          <w:shd w:val="clear" w:color="auto" w:fill="FFFFFF"/>
        </w:rPr>
        <w:t>. 2012;</w:t>
      </w:r>
      <w:r w:rsidR="00E64FB6">
        <w:rPr>
          <w:rFonts w:ascii="Arial" w:hAnsi="Arial" w:cs="Arial"/>
          <w:color w:val="303030"/>
          <w:sz w:val="24"/>
          <w:szCs w:val="24"/>
          <w:shd w:val="clear" w:color="auto" w:fill="FFFFFF"/>
        </w:rPr>
        <w:t xml:space="preserve"> </w:t>
      </w:r>
      <w:r w:rsidRPr="00E64FB6">
        <w:rPr>
          <w:rFonts w:ascii="Arial" w:hAnsi="Arial" w:cs="Arial"/>
          <w:color w:val="303030"/>
          <w:sz w:val="24"/>
          <w:szCs w:val="24"/>
          <w:shd w:val="clear" w:color="auto" w:fill="FFFFFF"/>
        </w:rPr>
        <w:t>14 :</w:t>
      </w:r>
      <w:r w:rsidR="00E64FB6">
        <w:rPr>
          <w:rFonts w:ascii="Arial" w:hAnsi="Arial" w:cs="Arial"/>
          <w:color w:val="303030"/>
          <w:sz w:val="24"/>
          <w:szCs w:val="24"/>
          <w:shd w:val="clear" w:color="auto" w:fill="FFFFFF"/>
        </w:rPr>
        <w:t xml:space="preserve"> </w:t>
      </w:r>
      <w:r w:rsidRPr="00E64FB6">
        <w:rPr>
          <w:rFonts w:ascii="Arial" w:hAnsi="Arial" w:cs="Arial"/>
          <w:color w:val="303030"/>
          <w:sz w:val="24"/>
          <w:szCs w:val="24"/>
          <w:shd w:val="clear" w:color="auto" w:fill="FFFFFF"/>
        </w:rPr>
        <w:t xml:space="preserve">195-203. </w:t>
      </w:r>
    </w:p>
    <w:p w:rsidR="00CB5672" w:rsidRPr="00E64FB6" w:rsidRDefault="00CB5672" w:rsidP="00CB5672">
      <w:pPr>
        <w:numPr>
          <w:ilvl w:val="0"/>
          <w:numId w:val="3"/>
        </w:numPr>
        <w:spacing w:line="480" w:lineRule="auto"/>
        <w:jc w:val="both"/>
        <w:rPr>
          <w:rFonts w:ascii="Arial" w:hAnsi="Arial" w:cs="Arial"/>
          <w:color w:val="000000" w:themeColor="text1"/>
          <w:sz w:val="24"/>
          <w:szCs w:val="24"/>
          <w:lang w:val="en-US"/>
        </w:rPr>
      </w:pPr>
      <w:r w:rsidRPr="00E64FB6">
        <w:rPr>
          <w:rFonts w:ascii="Arial" w:hAnsi="Arial" w:cs="Arial"/>
          <w:color w:val="000000" w:themeColor="text1"/>
          <w:sz w:val="24"/>
          <w:szCs w:val="24"/>
          <w:lang w:val="en-US"/>
        </w:rPr>
        <w:t>Lambert JS, Se</w:t>
      </w:r>
      <w:r w:rsidR="00305E0B" w:rsidRPr="00E64FB6">
        <w:rPr>
          <w:rFonts w:ascii="Arial" w:hAnsi="Arial" w:cs="Arial"/>
          <w:color w:val="000000" w:themeColor="text1"/>
          <w:sz w:val="24"/>
          <w:szCs w:val="24"/>
          <w:lang w:val="en-US"/>
        </w:rPr>
        <w:t xml:space="preserve">idlin M, Reichman RC, </w:t>
      </w:r>
      <w:r w:rsidRPr="00E64FB6">
        <w:rPr>
          <w:rFonts w:ascii="Arial" w:hAnsi="Arial" w:cs="Arial"/>
          <w:color w:val="000000" w:themeColor="text1"/>
          <w:sz w:val="24"/>
          <w:szCs w:val="24"/>
          <w:lang w:val="en-US"/>
        </w:rPr>
        <w:t xml:space="preserve">et al. 2’,3’-dideoxyinosine (ddi) in patients with the acquired immunodeficiency syndrome or AIDS-related complex. A phase I trial, </w:t>
      </w:r>
      <w:r w:rsidRPr="00E64FB6">
        <w:rPr>
          <w:rFonts w:ascii="Arial" w:hAnsi="Arial" w:cs="Arial"/>
          <w:i/>
          <w:color w:val="000000" w:themeColor="text1"/>
          <w:sz w:val="24"/>
          <w:szCs w:val="24"/>
          <w:lang w:val="en-US"/>
        </w:rPr>
        <w:t>N Engl J Med</w:t>
      </w:r>
      <w:r w:rsidRPr="00E64FB6">
        <w:rPr>
          <w:rFonts w:ascii="Arial" w:hAnsi="Arial" w:cs="Arial"/>
          <w:color w:val="000000" w:themeColor="text1"/>
          <w:sz w:val="24"/>
          <w:szCs w:val="24"/>
          <w:lang w:val="en-US"/>
        </w:rPr>
        <w:t xml:space="preserve"> 1990;</w:t>
      </w:r>
      <w:r w:rsidR="00044EBF" w:rsidRPr="00E64FB6">
        <w:rPr>
          <w:rFonts w:ascii="Arial" w:hAnsi="Arial" w:cs="Arial"/>
          <w:color w:val="000000" w:themeColor="text1"/>
          <w:sz w:val="24"/>
          <w:szCs w:val="24"/>
          <w:lang w:val="en-US"/>
        </w:rPr>
        <w:t xml:space="preserve"> </w:t>
      </w:r>
      <w:r w:rsidRPr="00E64FB6">
        <w:rPr>
          <w:rFonts w:ascii="Arial" w:hAnsi="Arial" w:cs="Arial"/>
          <w:color w:val="000000" w:themeColor="text1"/>
          <w:sz w:val="24"/>
          <w:szCs w:val="24"/>
          <w:lang w:val="en-US"/>
        </w:rPr>
        <w:t>322:</w:t>
      </w:r>
      <w:r w:rsidR="00E64FB6">
        <w:rPr>
          <w:rFonts w:ascii="Arial" w:hAnsi="Arial" w:cs="Arial"/>
          <w:color w:val="000000" w:themeColor="text1"/>
          <w:sz w:val="24"/>
          <w:szCs w:val="24"/>
          <w:lang w:val="en-US"/>
        </w:rPr>
        <w:t xml:space="preserve"> </w:t>
      </w:r>
      <w:r w:rsidRPr="00E64FB6">
        <w:rPr>
          <w:rFonts w:ascii="Arial" w:hAnsi="Arial" w:cs="Arial"/>
          <w:color w:val="000000" w:themeColor="text1"/>
          <w:sz w:val="24"/>
          <w:szCs w:val="24"/>
          <w:lang w:val="en-US"/>
        </w:rPr>
        <w:t>1333-40.</w:t>
      </w:r>
    </w:p>
    <w:p w:rsidR="002450FF" w:rsidRPr="00F03A33" w:rsidRDefault="00305E0B" w:rsidP="002450FF">
      <w:pPr>
        <w:numPr>
          <w:ilvl w:val="0"/>
          <w:numId w:val="3"/>
        </w:numPr>
        <w:spacing w:line="480" w:lineRule="auto"/>
        <w:jc w:val="both"/>
        <w:rPr>
          <w:rFonts w:ascii="Arial" w:hAnsi="Arial" w:cs="Arial"/>
          <w:sz w:val="24"/>
          <w:szCs w:val="24"/>
          <w:u w:val="single"/>
        </w:rPr>
      </w:pPr>
      <w:r w:rsidRPr="00E64FB6">
        <w:rPr>
          <w:rFonts w:ascii="Arial" w:hAnsi="Arial" w:cs="Arial"/>
          <w:color w:val="000000" w:themeColor="text1"/>
          <w:sz w:val="24"/>
          <w:szCs w:val="24"/>
          <w:lang w:val="en-US"/>
        </w:rPr>
        <w:t>Richardson D</w:t>
      </w:r>
      <w:r w:rsidR="00CB5672" w:rsidRPr="00E64FB6">
        <w:rPr>
          <w:rFonts w:ascii="Arial" w:hAnsi="Arial" w:cs="Arial"/>
          <w:color w:val="000000" w:themeColor="text1"/>
          <w:sz w:val="24"/>
          <w:szCs w:val="24"/>
          <w:lang w:val="en-US"/>
        </w:rPr>
        <w:t>, Liou SH, Kahn JO. Uric acid and didanosine compliance in AIDS clinical trials: an analysis of AIDS Clinical Trials Group protocols 116A and 116B/117.</w:t>
      </w:r>
      <w:r w:rsidR="00CB5672" w:rsidRPr="00E64FB6">
        <w:rPr>
          <w:rFonts w:ascii="Arial" w:hAnsi="Arial" w:cs="Arial"/>
          <w:color w:val="000000" w:themeColor="text1"/>
          <w:sz w:val="24"/>
          <w:szCs w:val="24"/>
        </w:rPr>
        <w:t xml:space="preserve"> </w:t>
      </w:r>
      <w:r w:rsidR="00CB5672" w:rsidRPr="00E64FB6">
        <w:rPr>
          <w:rFonts w:ascii="Arial" w:hAnsi="Arial" w:cs="Arial"/>
          <w:i/>
          <w:color w:val="000000" w:themeColor="text1"/>
          <w:sz w:val="24"/>
          <w:szCs w:val="24"/>
          <w:lang w:val="en-US"/>
        </w:rPr>
        <w:t>J Acquir Immune Defic Syndr</w:t>
      </w:r>
      <w:r w:rsidR="00044EBF" w:rsidRPr="00E64FB6">
        <w:rPr>
          <w:rFonts w:ascii="Arial" w:hAnsi="Arial" w:cs="Arial"/>
          <w:color w:val="000000" w:themeColor="text1"/>
          <w:sz w:val="24"/>
          <w:szCs w:val="24"/>
          <w:lang w:val="en-US"/>
        </w:rPr>
        <w:t>. 1993</w:t>
      </w:r>
      <w:r w:rsidR="00CB5672" w:rsidRPr="00E64FB6">
        <w:rPr>
          <w:rFonts w:ascii="Arial" w:hAnsi="Arial" w:cs="Arial"/>
          <w:color w:val="000000" w:themeColor="text1"/>
          <w:sz w:val="24"/>
          <w:szCs w:val="24"/>
          <w:lang w:val="en-US"/>
        </w:rPr>
        <w:t>;</w:t>
      </w:r>
      <w:r w:rsidR="00044EBF" w:rsidRPr="00E64FB6">
        <w:rPr>
          <w:rFonts w:ascii="Arial" w:hAnsi="Arial" w:cs="Arial"/>
          <w:color w:val="000000" w:themeColor="text1"/>
          <w:sz w:val="24"/>
          <w:szCs w:val="24"/>
          <w:lang w:val="en-US"/>
        </w:rPr>
        <w:t xml:space="preserve"> </w:t>
      </w:r>
      <w:r w:rsidR="00CB5672" w:rsidRPr="00E64FB6">
        <w:rPr>
          <w:rFonts w:ascii="Arial" w:hAnsi="Arial" w:cs="Arial"/>
          <w:color w:val="000000" w:themeColor="text1"/>
          <w:sz w:val="24"/>
          <w:szCs w:val="24"/>
          <w:lang w:val="en-US"/>
        </w:rPr>
        <w:t>6:</w:t>
      </w:r>
      <w:r w:rsidR="00E64FB6">
        <w:rPr>
          <w:rFonts w:ascii="Arial" w:hAnsi="Arial" w:cs="Arial"/>
          <w:color w:val="000000" w:themeColor="text1"/>
          <w:sz w:val="24"/>
          <w:szCs w:val="24"/>
          <w:lang w:val="en-US"/>
        </w:rPr>
        <w:t xml:space="preserve"> </w:t>
      </w:r>
      <w:r w:rsidR="00CB5672" w:rsidRPr="00E64FB6">
        <w:rPr>
          <w:rFonts w:ascii="Arial" w:hAnsi="Arial" w:cs="Arial"/>
          <w:color w:val="000000" w:themeColor="text1"/>
          <w:sz w:val="24"/>
          <w:szCs w:val="24"/>
          <w:lang w:val="en-US"/>
        </w:rPr>
        <w:t>1212-23.</w:t>
      </w:r>
    </w:p>
    <w:p w:rsidR="00F03A33" w:rsidRDefault="00F03A33" w:rsidP="00F03A33">
      <w:pPr>
        <w:spacing w:line="480" w:lineRule="auto"/>
        <w:jc w:val="both"/>
        <w:rPr>
          <w:rFonts w:ascii="Arial" w:hAnsi="Arial" w:cs="Arial"/>
          <w:color w:val="000000" w:themeColor="text1"/>
          <w:sz w:val="24"/>
          <w:szCs w:val="24"/>
          <w:lang w:val="en-US"/>
        </w:rPr>
      </w:pPr>
    </w:p>
    <w:p w:rsidR="00F03A33" w:rsidRDefault="00F03A33" w:rsidP="00F03A33">
      <w:pPr>
        <w:spacing w:line="480" w:lineRule="auto"/>
        <w:jc w:val="both"/>
        <w:rPr>
          <w:rFonts w:ascii="Arial" w:hAnsi="Arial" w:cs="Arial"/>
          <w:color w:val="000000" w:themeColor="text1"/>
          <w:sz w:val="24"/>
          <w:szCs w:val="24"/>
          <w:lang w:val="en-US"/>
        </w:rPr>
      </w:pPr>
    </w:p>
    <w:p w:rsidR="00F03A33" w:rsidRPr="00F03A33" w:rsidRDefault="00F03A33" w:rsidP="00F03A33">
      <w:pPr>
        <w:rPr>
          <w:rFonts w:ascii="Arial" w:eastAsiaTheme="minorHAnsi" w:hAnsi="Arial" w:cs="Arial"/>
          <w:b/>
          <w:sz w:val="24"/>
          <w:szCs w:val="24"/>
          <w:lang w:eastAsia="en-US"/>
        </w:rPr>
      </w:pPr>
      <w:r w:rsidRPr="00F03A33">
        <w:rPr>
          <w:rFonts w:ascii="Arial" w:eastAsiaTheme="minorHAnsi" w:hAnsi="Arial" w:cs="Arial"/>
          <w:b/>
          <w:sz w:val="24"/>
          <w:szCs w:val="24"/>
          <w:lang w:eastAsia="en-US"/>
        </w:rPr>
        <w:lastRenderedPageBreak/>
        <w:t>Table 1: Comparison of demographic characteristics, HIV factors, comorbidities and relevant drug therapies among 45 HIV-positive cases with a diagnosis of gout as compared with 90 age-matched controls</w:t>
      </w:r>
    </w:p>
    <w:p w:rsidR="00F03A33" w:rsidRPr="00F03A33" w:rsidRDefault="00F03A33" w:rsidP="00F03A33">
      <w:pPr>
        <w:rPr>
          <w:rFonts w:ascii="Arial" w:eastAsiaTheme="minorHAnsi" w:hAnsi="Arial" w:cs="Arial"/>
          <w:b/>
          <w:sz w:val="24"/>
          <w:szCs w:val="24"/>
          <w:lang w:eastAsia="en-US"/>
        </w:rPr>
      </w:pPr>
    </w:p>
    <w:tbl>
      <w:tblPr>
        <w:tblW w:w="9795" w:type="dxa"/>
        <w:tblInd w:w="94" w:type="dxa"/>
        <w:tblLook w:val="04A0" w:firstRow="1" w:lastRow="0" w:firstColumn="1" w:lastColumn="0" w:noHBand="0" w:noVBand="1"/>
      </w:tblPr>
      <w:tblGrid>
        <w:gridCol w:w="2849"/>
        <w:gridCol w:w="1537"/>
        <w:gridCol w:w="1865"/>
        <w:gridCol w:w="1701"/>
        <w:gridCol w:w="1843"/>
      </w:tblGrid>
      <w:tr w:rsidR="00F03A33" w:rsidRPr="00F03A33" w:rsidTr="00B44544">
        <w:trPr>
          <w:trHeight w:val="301"/>
        </w:trPr>
        <w:tc>
          <w:tcPr>
            <w:tcW w:w="284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53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single" w:sz="8" w:space="0" w:color="auto"/>
              <w:left w:val="nil"/>
              <w:bottom w:val="nil"/>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bCs/>
                <w:color w:val="000000"/>
                <w:sz w:val="18"/>
                <w:szCs w:val="18"/>
              </w:rPr>
            </w:pPr>
            <w:r w:rsidRPr="00F03A33">
              <w:rPr>
                <w:rFonts w:ascii="Arial" w:eastAsia="Times New Roman" w:hAnsi="Arial" w:cs="Arial"/>
                <w:b/>
                <w:bCs/>
                <w:color w:val="000000"/>
                <w:sz w:val="18"/>
                <w:szCs w:val="18"/>
              </w:rPr>
              <w:t>Cases</w:t>
            </w:r>
          </w:p>
        </w:tc>
        <w:tc>
          <w:tcPr>
            <w:tcW w:w="1701" w:type="dxa"/>
            <w:tcBorders>
              <w:top w:val="single" w:sz="8" w:space="0" w:color="auto"/>
              <w:left w:val="nil"/>
              <w:bottom w:val="nil"/>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bCs/>
                <w:color w:val="000000"/>
                <w:sz w:val="18"/>
                <w:szCs w:val="18"/>
              </w:rPr>
            </w:pPr>
            <w:r w:rsidRPr="00F03A33">
              <w:rPr>
                <w:rFonts w:ascii="Arial" w:eastAsia="Times New Roman" w:hAnsi="Arial" w:cs="Arial"/>
                <w:b/>
                <w:bCs/>
                <w:color w:val="000000"/>
                <w:sz w:val="18"/>
                <w:szCs w:val="18"/>
              </w:rPr>
              <w:t xml:space="preserve">Controls </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bCs/>
                <w:color w:val="000000"/>
                <w:sz w:val="18"/>
                <w:szCs w:val="18"/>
              </w:rPr>
            </w:pPr>
            <w:r w:rsidRPr="00F03A33">
              <w:rPr>
                <w:rFonts w:ascii="Arial" w:eastAsia="Times New Roman" w:hAnsi="Arial" w:cs="Arial"/>
                <w:b/>
                <w:bCs/>
                <w:color w:val="000000"/>
                <w:sz w:val="18"/>
                <w:szCs w:val="18"/>
              </w:rPr>
              <w:t>p-value</w:t>
            </w:r>
          </w:p>
        </w:tc>
      </w:tr>
      <w:tr w:rsidR="00F03A33" w:rsidRPr="00F03A33" w:rsidTr="00B44544">
        <w:trPr>
          <w:trHeight w:val="316"/>
        </w:trPr>
        <w:tc>
          <w:tcPr>
            <w:tcW w:w="2849" w:type="dxa"/>
            <w:vMerge/>
            <w:tcBorders>
              <w:top w:val="single" w:sz="8" w:space="0" w:color="auto"/>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vMerge/>
            <w:tcBorders>
              <w:top w:val="single" w:sz="8" w:space="0" w:color="auto"/>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bCs/>
                <w:color w:val="000000"/>
                <w:sz w:val="18"/>
                <w:szCs w:val="18"/>
              </w:rPr>
            </w:pPr>
            <w:r w:rsidRPr="00F03A33">
              <w:rPr>
                <w:rFonts w:ascii="Arial" w:eastAsia="Times New Roman" w:hAnsi="Arial" w:cs="Arial"/>
                <w:b/>
                <w:bCs/>
                <w:color w:val="000000"/>
                <w:sz w:val="18"/>
                <w:szCs w:val="18"/>
              </w:rPr>
              <w:t>(n=45)</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bCs/>
                <w:color w:val="000000"/>
                <w:sz w:val="18"/>
                <w:szCs w:val="18"/>
              </w:rPr>
            </w:pPr>
            <w:r w:rsidRPr="00F03A33">
              <w:rPr>
                <w:rFonts w:ascii="Arial" w:eastAsia="Times New Roman" w:hAnsi="Arial" w:cs="Arial"/>
                <w:b/>
                <w:bCs/>
                <w:color w:val="000000"/>
                <w:sz w:val="18"/>
                <w:szCs w:val="18"/>
              </w:rPr>
              <w:t>(n=90)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b/>
                <w:bCs/>
                <w:color w:val="000000"/>
                <w:sz w:val="18"/>
                <w:szCs w:val="18"/>
              </w:rPr>
            </w:pP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Mean age (SD)(years)</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56.1 (8.7)</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55.9 (8.3)</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0.87</w:t>
            </w: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Ethnicity, No (%)</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Caucasian</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38 (84.4)</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86 (95.6)</w:t>
            </w: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0.02</w:t>
            </w: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Black African</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 (8.9)</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 (4.4)</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Other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 (6.7)</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Mean height (SD) (cm)</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173.2 (7.9)</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175.7 (6.3)</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0.121</w:t>
            </w: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Mean weight (SD) (kg)</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88.0 (20.8)</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77.5 (13.6)</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&lt;0.001</w:t>
            </w: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Mean BMI (SD) (kg/m</w:t>
            </w:r>
            <w:r w:rsidRPr="00F03A33">
              <w:rPr>
                <w:rFonts w:ascii="Arial" w:eastAsia="Times New Roman" w:hAnsi="Arial" w:cs="Arial"/>
                <w:color w:val="000000"/>
                <w:sz w:val="18"/>
                <w:szCs w:val="18"/>
                <w:vertAlign w:val="superscript"/>
              </w:rPr>
              <w:t>2</w:t>
            </w:r>
            <w:r w:rsidRPr="00F03A33">
              <w:rPr>
                <w:rFonts w:ascii="Arial" w:eastAsia="Times New Roman" w:hAnsi="Arial" w:cs="Arial"/>
                <w:color w:val="000000"/>
                <w:sz w:val="18"/>
                <w:szCs w:val="18"/>
              </w:rPr>
              <w:t>)</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28.5 (4.0)</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25.3 (4.4)</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0.003</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Mean systolic BP (mmHg)</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131.6 (19.1)</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127.3 (16.4)</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0.18</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Mean diastolic BP (mmHg)</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83.3 (12.9)</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79.8 (10.1)</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0.09</w:t>
            </w: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r>
      <w:tr w:rsidR="00F03A33" w:rsidRPr="00F03A33" w:rsidTr="00B44544">
        <w:trPr>
          <w:trHeight w:val="316"/>
        </w:trPr>
        <w:tc>
          <w:tcPr>
            <w:tcW w:w="2849" w:type="dxa"/>
            <w:vMerge w:val="restart"/>
            <w:tcBorders>
              <w:top w:val="nil"/>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Smoking status</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Never smoked</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17 (38.6)</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31 (34.8)</w:t>
            </w: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0.84</w:t>
            </w:r>
          </w:p>
        </w:tc>
      </w:tr>
      <w:tr w:rsidR="00F03A33" w:rsidRPr="00F03A33" w:rsidTr="00B44544">
        <w:trPr>
          <w:trHeight w:val="49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In the past and stopped</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12 (27.3)</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23 (25.8)</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Current</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15 (34.1)</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35 (39.3)</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vMerge w:val="restart"/>
            <w:tcBorders>
              <w:top w:val="nil"/>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Alcohol intake</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Never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 (15.4)</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16 (19.8)</w:t>
            </w: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0.78</w:t>
            </w:r>
          </w:p>
        </w:tc>
      </w:tr>
      <w:tr w:rsidR="00F03A33" w:rsidRPr="00F03A33" w:rsidTr="00B44544">
        <w:trPr>
          <w:trHeight w:val="31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&lt;15 units/week</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18 (46.2)</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33 (40.7)</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49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&gt;15 but &lt; 25 units/week</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7 (18.0)</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11 (13.6)</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&gt;25 units/week</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8 (20.5)</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21 (25.9)</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Past history of alcohol intake &gt;15 units/week</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8 (18.2)</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15 (16.7)</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0.83</w:t>
            </w:r>
          </w:p>
        </w:tc>
      </w:tr>
      <w:tr w:rsidR="00F03A33" w:rsidRPr="00F03A33" w:rsidTr="00B44544">
        <w:trPr>
          <w:trHeight w:val="316"/>
        </w:trPr>
        <w:tc>
          <w:tcPr>
            <w:tcW w:w="9795" w:type="dxa"/>
            <w:gridSpan w:val="5"/>
            <w:tcBorders>
              <w:top w:val="single" w:sz="8" w:space="0" w:color="auto"/>
              <w:left w:val="single" w:sz="8" w:space="0" w:color="auto"/>
              <w:bottom w:val="single" w:sz="8" w:space="0" w:color="auto"/>
              <w:right w:val="single" w:sz="8" w:space="0" w:color="000000"/>
            </w:tcBorders>
            <w:shd w:val="clear" w:color="auto" w:fill="auto"/>
            <w:hideMark/>
          </w:tcPr>
          <w:p w:rsidR="00F03A33" w:rsidRPr="00F03A33" w:rsidRDefault="00F03A33" w:rsidP="00F03A33">
            <w:pPr>
              <w:spacing w:line="240" w:lineRule="auto"/>
              <w:rPr>
                <w:rFonts w:ascii="Arial" w:eastAsia="Times New Roman" w:hAnsi="Arial" w:cs="Arial"/>
                <w:b/>
                <w:bCs/>
                <w:color w:val="000000"/>
                <w:sz w:val="18"/>
                <w:szCs w:val="18"/>
              </w:rPr>
            </w:pPr>
            <w:r w:rsidRPr="00F03A33">
              <w:rPr>
                <w:rFonts w:ascii="Arial" w:eastAsia="Times New Roman" w:hAnsi="Arial" w:cs="Arial"/>
                <w:b/>
                <w:bCs/>
                <w:color w:val="000000"/>
                <w:sz w:val="18"/>
                <w:szCs w:val="18"/>
              </w:rPr>
              <w:lastRenderedPageBreak/>
              <w:t>HIV Factors</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Median duration HIV infection (IQR) (months)</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160 (108-230)</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155.5 (126-233)</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0.79</w:t>
            </w:r>
          </w:p>
        </w:tc>
      </w:tr>
      <w:tr w:rsidR="00F03A33" w:rsidRPr="00F03A33" w:rsidTr="00B44544">
        <w:trPr>
          <w:trHeight w:val="496"/>
        </w:trPr>
        <w:tc>
          <w:tcPr>
            <w:tcW w:w="2849" w:type="dxa"/>
            <w:vMerge w:val="restart"/>
            <w:tcBorders>
              <w:top w:val="nil"/>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Mode of acquisition HIV infection</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MSM</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39 (87.7)</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79 (87.8)</w:t>
            </w: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0.85</w:t>
            </w:r>
          </w:p>
        </w:tc>
      </w:tr>
      <w:tr w:rsidR="00F03A33" w:rsidRPr="00F03A33" w:rsidTr="00B44544">
        <w:trPr>
          <w:trHeight w:val="31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Heterosexual</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 (13.3)</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10 (11.1)</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Unknown</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 (1.1)</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vMerge w:val="restart"/>
            <w:tcBorders>
              <w:top w:val="nil"/>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Stage of HIV Infection</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Stage 1</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8 (17.8)</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29 (32.2)</w:t>
            </w: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0.11</w:t>
            </w:r>
          </w:p>
        </w:tc>
      </w:tr>
      <w:tr w:rsidR="00F03A33" w:rsidRPr="00F03A33" w:rsidTr="00B44544">
        <w:trPr>
          <w:trHeight w:val="31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Stage II</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17 (37.8)</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27 (30.0)</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Stage III</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17 (37.8)</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33 (36.7)</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Stage IV</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 (4.4)</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16"/>
        </w:trPr>
        <w:tc>
          <w:tcPr>
            <w:tcW w:w="2849"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Stage V</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 (2.2)</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 (1.1)</w:t>
            </w:r>
          </w:p>
        </w:tc>
        <w:tc>
          <w:tcPr>
            <w:tcW w:w="1843" w:type="dxa"/>
            <w:vMerge/>
            <w:tcBorders>
              <w:top w:val="nil"/>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Most recent viral load detectable</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No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8 (17.8)</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9 (10.0)</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0.20</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Naïve to anti-retroviral therapy</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 (13.3)</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13 (14.4)</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0.86</w:t>
            </w:r>
          </w:p>
        </w:tc>
      </w:tr>
      <w:tr w:rsidR="00F03A33" w:rsidRPr="00F03A33" w:rsidTr="00B44544">
        <w:trPr>
          <w:trHeight w:val="316"/>
        </w:trPr>
        <w:tc>
          <w:tcPr>
            <w:tcW w:w="9795" w:type="dxa"/>
            <w:gridSpan w:val="5"/>
            <w:tcBorders>
              <w:top w:val="single" w:sz="8" w:space="0" w:color="auto"/>
              <w:left w:val="single" w:sz="8" w:space="0" w:color="auto"/>
              <w:bottom w:val="single" w:sz="8" w:space="0" w:color="auto"/>
              <w:right w:val="single" w:sz="8" w:space="0" w:color="000000"/>
            </w:tcBorders>
            <w:shd w:val="clear" w:color="auto" w:fill="auto"/>
            <w:hideMark/>
          </w:tcPr>
          <w:p w:rsidR="00F03A33" w:rsidRPr="00F03A33" w:rsidRDefault="00F03A33" w:rsidP="00F03A33">
            <w:pPr>
              <w:spacing w:line="240" w:lineRule="auto"/>
              <w:rPr>
                <w:rFonts w:ascii="Arial" w:eastAsia="Times New Roman" w:hAnsi="Arial" w:cs="Arial"/>
                <w:b/>
                <w:bCs/>
                <w:color w:val="000000"/>
                <w:sz w:val="18"/>
                <w:szCs w:val="18"/>
              </w:rPr>
            </w:pPr>
            <w:r w:rsidRPr="00F03A33">
              <w:rPr>
                <w:rFonts w:ascii="Arial" w:eastAsia="Times New Roman" w:hAnsi="Arial" w:cs="Arial"/>
                <w:b/>
                <w:bCs/>
                <w:color w:val="000000"/>
                <w:sz w:val="18"/>
                <w:szCs w:val="18"/>
              </w:rPr>
              <w:t>Comorbidities</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Diagnosed with hypertension</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24 (53.3)</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24 (26.7)</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0.002</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Prescribed therapy for hypertension</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23 (51.1)</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22 (24.4)</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0.002</w:t>
            </w: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Elevated triglycerides</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39 (86.7)</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70 (78.7)</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0.26</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Prescribed therapy for hypertriglyceridemia</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 (13.3)</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 (2.3)</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0.02</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Prescribed lipid lowering therapy</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18 (40.0)</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32 (36.4)</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0.68</w:t>
            </w: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Proteinuria (</w:t>
            </w:r>
            <w:r w:rsidRPr="00F03A33">
              <w:rPr>
                <w:rFonts w:ascii="Arial" w:eastAsiaTheme="minorHAnsi" w:hAnsi="Arial" w:cs="Arial"/>
                <w:sz w:val="18"/>
                <w:szCs w:val="18"/>
                <w:lang w:eastAsia="en-US"/>
              </w:rPr>
              <w:t>protein:creatinine ratio of &gt;30 mg/mmol)</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12 (28.6)</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26 (28.9)</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0.97</w:t>
            </w:r>
          </w:p>
        </w:tc>
      </w:tr>
      <w:tr w:rsidR="00F03A33" w:rsidRPr="00F03A33" w:rsidTr="00B44544">
        <w:trPr>
          <w:trHeight w:val="31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Constant proteinuria (</w:t>
            </w:r>
            <w:r w:rsidRPr="00F03A33">
              <w:rPr>
                <w:rFonts w:ascii="Arial" w:eastAsiaTheme="minorHAnsi" w:hAnsi="Arial" w:cs="Arial"/>
                <w:sz w:val="18"/>
                <w:szCs w:val="18"/>
                <w:lang w:eastAsia="en-US"/>
              </w:rPr>
              <w:t>protein:creatinine ratio of &gt;30 mg/mmol)</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 (9.3)</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 (4.4)</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0.27</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xml:space="preserve">Constantly elevated creatinine (&gt;106 </w:t>
            </w:r>
            <w:r w:rsidRPr="00F03A33">
              <w:rPr>
                <w:rFonts w:ascii="Arial" w:eastAsiaTheme="minorHAnsi" w:hAnsi="Arial" w:cs="Arial"/>
                <w:sz w:val="18"/>
                <w:szCs w:val="18"/>
                <w:lang w:eastAsia="en-US"/>
              </w:rPr>
              <w:t>micromol/L</w:t>
            </w:r>
            <w:r w:rsidRPr="00F03A33">
              <w:rPr>
                <w:rFonts w:ascii="Arial" w:eastAsia="Times New Roman" w:hAnsi="Arial" w:cs="Arial"/>
                <w:color w:val="000000"/>
                <w:sz w:val="18"/>
                <w:szCs w:val="18"/>
              </w:rPr>
              <w:t>)</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 (4.8)</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 (6.7)</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0.99</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lastRenderedPageBreak/>
              <w:t>Constantly impaired eGFR (&lt;60mL/min)</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5 (11.9)</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 (6.7)</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0.31</w:t>
            </w:r>
          </w:p>
        </w:tc>
      </w:tr>
      <w:tr w:rsidR="00F03A33" w:rsidRPr="00F03A33" w:rsidTr="00B44544">
        <w:trPr>
          <w:trHeight w:val="737"/>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Diagnosis of impaired glucose tolerance or type I or type II diabetes</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9 (20.0)</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11 (12.2)</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0.23</w:t>
            </w:r>
          </w:p>
        </w:tc>
      </w:tr>
      <w:tr w:rsidR="00F03A33" w:rsidRPr="00F03A33" w:rsidTr="00B44544">
        <w:trPr>
          <w:trHeight w:val="496"/>
        </w:trPr>
        <w:tc>
          <w:tcPr>
            <w:tcW w:w="2849"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Co-infected with hepatitis B or C</w:t>
            </w:r>
          </w:p>
        </w:tc>
        <w:tc>
          <w:tcPr>
            <w:tcW w:w="1537"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w:t>
            </w:r>
          </w:p>
        </w:tc>
        <w:tc>
          <w:tcPr>
            <w:tcW w:w="1865"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 (6.7)</w:t>
            </w:r>
          </w:p>
        </w:tc>
        <w:tc>
          <w:tcPr>
            <w:tcW w:w="1701"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9 (10.0)</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0.75</w:t>
            </w:r>
          </w:p>
        </w:tc>
      </w:tr>
    </w:tbl>
    <w:p w:rsidR="00F03A33" w:rsidRPr="00F03A33" w:rsidRDefault="00F03A33" w:rsidP="00F03A33">
      <w:pPr>
        <w:rPr>
          <w:rFonts w:ascii="Arial" w:eastAsiaTheme="minorHAnsi" w:hAnsi="Arial" w:cs="Arial"/>
          <w:sz w:val="24"/>
          <w:szCs w:val="24"/>
          <w:lang w:eastAsia="en-US"/>
        </w:rPr>
      </w:pPr>
      <w:r w:rsidRPr="00F03A33">
        <w:rPr>
          <w:rFonts w:ascii="Arial" w:eastAsiaTheme="minorHAnsi" w:hAnsi="Arial" w:cs="Arial"/>
          <w:sz w:val="24"/>
          <w:szCs w:val="24"/>
          <w:lang w:eastAsia="en-US"/>
        </w:rPr>
        <w:br w:type="page"/>
      </w:r>
    </w:p>
    <w:p w:rsidR="00F03A33" w:rsidRPr="00F03A33" w:rsidRDefault="00F03A33" w:rsidP="00F03A33">
      <w:pPr>
        <w:rPr>
          <w:rFonts w:ascii="Arial" w:eastAsiaTheme="minorHAnsi" w:hAnsi="Arial" w:cs="Arial"/>
          <w:b/>
          <w:sz w:val="24"/>
          <w:szCs w:val="24"/>
          <w:lang w:eastAsia="en-US"/>
        </w:rPr>
      </w:pPr>
      <w:r w:rsidRPr="00F03A33">
        <w:rPr>
          <w:rFonts w:ascii="Arial" w:eastAsiaTheme="minorHAnsi" w:hAnsi="Arial" w:cs="Arial"/>
          <w:b/>
          <w:sz w:val="24"/>
          <w:szCs w:val="24"/>
          <w:lang w:eastAsia="en-US"/>
        </w:rPr>
        <w:lastRenderedPageBreak/>
        <w:t>Table 2: Comparison of ever and current exposure to cART by class and drug among 45 cases diagnosed with gout and 90 age-matched controls</w:t>
      </w:r>
    </w:p>
    <w:p w:rsidR="00F03A33" w:rsidRPr="00F03A33" w:rsidRDefault="00F03A33" w:rsidP="00F03A33">
      <w:pPr>
        <w:rPr>
          <w:rFonts w:ascii="Arial" w:eastAsiaTheme="minorHAnsi" w:hAnsi="Arial" w:cs="Arial"/>
          <w:b/>
          <w:sz w:val="24"/>
          <w:szCs w:val="24"/>
          <w:lang w:eastAsia="en-US"/>
        </w:rPr>
      </w:pPr>
    </w:p>
    <w:tbl>
      <w:tblPr>
        <w:tblW w:w="8803" w:type="dxa"/>
        <w:tblInd w:w="94" w:type="dxa"/>
        <w:tblLook w:val="04A0" w:firstRow="1" w:lastRow="0" w:firstColumn="1" w:lastColumn="0" w:noHBand="0" w:noVBand="1"/>
      </w:tblPr>
      <w:tblGrid>
        <w:gridCol w:w="2840"/>
        <w:gridCol w:w="2056"/>
        <w:gridCol w:w="2064"/>
        <w:gridCol w:w="1843"/>
      </w:tblGrid>
      <w:tr w:rsidR="00F03A33" w:rsidRPr="00F03A33" w:rsidTr="00B44544">
        <w:trPr>
          <w:trHeight w:val="291"/>
        </w:trPr>
        <w:tc>
          <w:tcPr>
            <w:tcW w:w="28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b/>
                <w:bCs/>
                <w:color w:val="000000"/>
                <w:sz w:val="18"/>
                <w:szCs w:val="18"/>
              </w:rPr>
            </w:pPr>
            <w:r w:rsidRPr="00F03A33">
              <w:rPr>
                <w:rFonts w:ascii="Arial" w:eastAsia="Times New Roman" w:hAnsi="Arial" w:cs="Arial"/>
                <w:b/>
                <w:bCs/>
                <w:color w:val="000000"/>
                <w:sz w:val="18"/>
                <w:szCs w:val="18"/>
              </w:rPr>
              <w:t> </w:t>
            </w:r>
          </w:p>
        </w:tc>
        <w:tc>
          <w:tcPr>
            <w:tcW w:w="2056" w:type="dxa"/>
            <w:tcBorders>
              <w:top w:val="single" w:sz="8" w:space="0" w:color="auto"/>
              <w:left w:val="nil"/>
              <w:bottom w:val="nil"/>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color w:val="000000"/>
                <w:sz w:val="18"/>
                <w:szCs w:val="18"/>
              </w:rPr>
            </w:pPr>
            <w:r w:rsidRPr="00F03A33">
              <w:rPr>
                <w:rFonts w:ascii="Arial" w:eastAsia="Times New Roman" w:hAnsi="Arial" w:cs="Arial"/>
                <w:b/>
                <w:color w:val="000000"/>
                <w:sz w:val="18"/>
                <w:szCs w:val="18"/>
              </w:rPr>
              <w:t>Cases</w:t>
            </w:r>
          </w:p>
        </w:tc>
        <w:tc>
          <w:tcPr>
            <w:tcW w:w="2064" w:type="dxa"/>
            <w:tcBorders>
              <w:top w:val="single" w:sz="8" w:space="0" w:color="auto"/>
              <w:left w:val="nil"/>
              <w:bottom w:val="nil"/>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color w:val="000000"/>
                <w:sz w:val="18"/>
                <w:szCs w:val="18"/>
              </w:rPr>
            </w:pPr>
            <w:r w:rsidRPr="00F03A33">
              <w:rPr>
                <w:rFonts w:ascii="Arial" w:eastAsia="Times New Roman" w:hAnsi="Arial" w:cs="Arial"/>
                <w:b/>
                <w:color w:val="000000"/>
                <w:sz w:val="18"/>
                <w:szCs w:val="18"/>
              </w:rPr>
              <w:t xml:space="preserve">Controls </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color w:val="000000"/>
                <w:sz w:val="18"/>
                <w:szCs w:val="18"/>
              </w:rPr>
            </w:pPr>
            <w:r w:rsidRPr="00F03A33">
              <w:rPr>
                <w:rFonts w:ascii="Arial" w:eastAsia="Times New Roman" w:hAnsi="Arial" w:cs="Arial"/>
                <w:b/>
                <w:color w:val="000000"/>
                <w:sz w:val="18"/>
                <w:szCs w:val="18"/>
              </w:rPr>
              <w:t>p-value</w:t>
            </w:r>
          </w:p>
        </w:tc>
      </w:tr>
      <w:tr w:rsidR="00F03A33" w:rsidRPr="00F03A33" w:rsidTr="00B44544">
        <w:trPr>
          <w:trHeight w:val="306"/>
        </w:trPr>
        <w:tc>
          <w:tcPr>
            <w:tcW w:w="2840" w:type="dxa"/>
            <w:vMerge/>
            <w:tcBorders>
              <w:top w:val="single" w:sz="8" w:space="0" w:color="auto"/>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b/>
                <w:bCs/>
                <w:color w:val="000000"/>
                <w:sz w:val="18"/>
                <w:szCs w:val="18"/>
              </w:rPr>
            </w:pP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color w:val="000000"/>
                <w:sz w:val="18"/>
                <w:szCs w:val="18"/>
              </w:rPr>
            </w:pPr>
            <w:r w:rsidRPr="00F03A33">
              <w:rPr>
                <w:rFonts w:ascii="Arial" w:eastAsia="Times New Roman" w:hAnsi="Arial" w:cs="Arial"/>
                <w:b/>
                <w:color w:val="000000"/>
                <w:sz w:val="18"/>
                <w:szCs w:val="18"/>
              </w:rPr>
              <w:t>(n=45)</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b/>
                <w:color w:val="000000"/>
                <w:sz w:val="18"/>
                <w:szCs w:val="18"/>
              </w:rPr>
            </w:pPr>
            <w:r w:rsidRPr="00F03A33">
              <w:rPr>
                <w:rFonts w:ascii="Arial" w:eastAsia="Times New Roman" w:hAnsi="Arial" w:cs="Arial"/>
                <w:b/>
                <w:color w:val="000000"/>
                <w:sz w:val="18"/>
                <w:szCs w:val="18"/>
              </w:rPr>
              <w:t>(n=90)</w:t>
            </w: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F03A33" w:rsidRPr="00F03A33" w:rsidRDefault="00F03A33" w:rsidP="00F03A33">
            <w:pPr>
              <w:spacing w:line="240" w:lineRule="auto"/>
              <w:rPr>
                <w:rFonts w:ascii="Arial" w:eastAsia="Times New Roman" w:hAnsi="Arial" w:cs="Arial"/>
                <w:color w:val="000000"/>
                <w:sz w:val="18"/>
                <w:szCs w:val="18"/>
              </w:rPr>
            </w:pP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 exposed to a PI</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31 (68.9)</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58 (64.4)</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0.61</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 exposed to an NRTI</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42 (93.3)</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88 (97.8)</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0.20</w:t>
            </w:r>
          </w:p>
        </w:tc>
      </w:tr>
      <w:tr w:rsidR="00F03A33" w:rsidRPr="00F03A33" w:rsidTr="00B44544">
        <w:trPr>
          <w:trHeight w:val="482"/>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Ever exposed to an NNRTI</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33 (73.3)</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78 (86.7)</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0.056</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r>
      <w:tr w:rsidR="00F03A33" w:rsidRPr="00F03A33" w:rsidTr="00B44544">
        <w:trPr>
          <w:trHeight w:val="482"/>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themeColor="text1"/>
                <w:sz w:val="18"/>
                <w:szCs w:val="18"/>
              </w:rPr>
            </w:pPr>
            <w:r w:rsidRPr="00F03A33">
              <w:rPr>
                <w:rFonts w:ascii="Arial" w:eastAsia="Times New Roman" w:hAnsi="Arial" w:cs="Arial"/>
                <w:color w:val="000000" w:themeColor="text1"/>
                <w:sz w:val="18"/>
                <w:szCs w:val="18"/>
              </w:rPr>
              <w:t>Median total duration PI exposure (years) (IQR)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3370 (916-5967)</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3469 (1980-6403)</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0.43</w:t>
            </w:r>
          </w:p>
        </w:tc>
      </w:tr>
      <w:tr w:rsidR="00F03A33" w:rsidRPr="00F03A33" w:rsidTr="00B44544">
        <w:trPr>
          <w:trHeight w:val="714"/>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themeColor="text1"/>
                <w:sz w:val="18"/>
                <w:szCs w:val="18"/>
              </w:rPr>
            </w:pPr>
            <w:r w:rsidRPr="00F03A33">
              <w:rPr>
                <w:rFonts w:ascii="Arial" w:eastAsia="Times New Roman" w:hAnsi="Arial" w:cs="Arial"/>
                <w:color w:val="000000" w:themeColor="text1"/>
                <w:sz w:val="18"/>
                <w:szCs w:val="18"/>
              </w:rPr>
              <w:t>Median total duration NRTI exposure (years) (IQR)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4105 (1249-6967)</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3959 (2124-6954)</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0.57</w:t>
            </w:r>
          </w:p>
        </w:tc>
      </w:tr>
      <w:tr w:rsidR="00F03A33" w:rsidRPr="00F03A33" w:rsidTr="00B44544">
        <w:trPr>
          <w:trHeight w:val="714"/>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themeColor="text1"/>
                <w:sz w:val="18"/>
                <w:szCs w:val="18"/>
              </w:rPr>
            </w:pPr>
            <w:r w:rsidRPr="00F03A33">
              <w:rPr>
                <w:rFonts w:ascii="Arial" w:eastAsia="Times New Roman" w:hAnsi="Arial" w:cs="Arial"/>
                <w:color w:val="000000" w:themeColor="text1"/>
                <w:sz w:val="18"/>
                <w:szCs w:val="18"/>
              </w:rPr>
              <w:t>Median total duration NNRTI exposure (years)(IQR)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1815 (962-3108)</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2132 (646-3830)</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0.98</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r>
      <w:tr w:rsidR="00F03A33" w:rsidRPr="00F03A33" w:rsidTr="00B44544">
        <w:trPr>
          <w:trHeight w:val="947"/>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Longest duration of exposure to PIs (&gt;12.7 years) versus never exposed to PIs</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10 (32.3)</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20 (34.5)</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0.75</w:t>
            </w:r>
          </w:p>
        </w:tc>
      </w:tr>
      <w:tr w:rsidR="00F03A33" w:rsidRPr="00F03A33" w:rsidTr="00B44544">
        <w:trPr>
          <w:trHeight w:val="947"/>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Longest duration of exposure to NRTI (&gt; 15.4 years) versus never exposed to NRTIs</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14 (33.3)</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29 (33.0</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0.87</w:t>
            </w:r>
          </w:p>
        </w:tc>
      </w:tr>
      <w:tr w:rsidR="00F03A33" w:rsidRPr="00F03A33" w:rsidTr="00B44544">
        <w:trPr>
          <w:trHeight w:val="947"/>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Longest duration of exposure to NNRTIs (&gt; 8.3 years) versus never exposed to NNRTIs</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9 (27.3)</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28 (35.9)</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0.40</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r>
      <w:tr w:rsidR="00F03A33" w:rsidRPr="00F03A33" w:rsidTr="00B44544">
        <w:trPr>
          <w:trHeight w:val="482"/>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rPr>
                <w:rFonts w:ascii="Arial" w:eastAsia="Times New Roman" w:hAnsi="Arial" w:cs="Arial"/>
                <w:color w:val="000000"/>
                <w:sz w:val="18"/>
                <w:szCs w:val="18"/>
              </w:rPr>
            </w:pPr>
            <w:r w:rsidRPr="00F03A33">
              <w:rPr>
                <w:rFonts w:ascii="Arial" w:eastAsia="Times New Roman" w:hAnsi="Arial" w:cs="Arial"/>
                <w:color w:val="000000"/>
                <w:sz w:val="18"/>
                <w:szCs w:val="18"/>
              </w:rPr>
              <w:t>Current cART regimen includes:</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 </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lastRenderedPageBreak/>
              <w:t>Abacavir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 (8.9)</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 (4.5)</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0.44</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Atazanavir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 (4.4)</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 (2.3)</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0.60</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Darunavir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20 (44.4)</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38 (42.7)</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0.85</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Efavirenz</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7 (15.6)</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25 (28.1)</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0.11</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Emtricitabine</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23 (51.1)</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57 (64.0)</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0.15</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Etravirine</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5 (11.1)</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9 (10.1)</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0.86</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Lamivudine</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 (13.3)</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 (6.7)</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0.21</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Lopinavir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 (2.2)</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 (1.1)</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0.99</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Maraviroc</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 (2.3)</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0.55</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Nevirapine</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5 (11.1)</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10 (11.2)</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0.98</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Raltegravir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 (13.3)</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5 (5.6)</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0.12</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Ritonavir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24 (53.3)</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42 (47.2)</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0.50</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Tenofovir</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24 (53.3)</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59 (66.3)</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0.15</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Zidovudine</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 (4.4)</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 (3.4)</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0.99</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heme="minorHAnsi" w:hAnsi="Arial" w:cs="Arial"/>
                <w:sz w:val="18"/>
                <w:szCs w:val="18"/>
                <w:lang w:eastAsia="en-US"/>
              </w:rPr>
              <w:t>Stribild</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 (4.4)</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0.11</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PI</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25 (55.6)</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42 (46.7)</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0.33</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NRTI</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31 (68.9)</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68 (75.6)</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0.41</w:t>
            </w:r>
          </w:p>
        </w:tc>
      </w:tr>
      <w:tr w:rsidR="00F03A33" w:rsidRPr="00F03A33" w:rsidTr="00B44544">
        <w:trPr>
          <w:trHeight w:val="306"/>
        </w:trPr>
        <w:tc>
          <w:tcPr>
            <w:tcW w:w="2840" w:type="dxa"/>
            <w:tcBorders>
              <w:top w:val="nil"/>
              <w:left w:val="single" w:sz="8" w:space="0" w:color="auto"/>
              <w:bottom w:val="single" w:sz="8" w:space="0" w:color="auto"/>
              <w:right w:val="single" w:sz="8" w:space="0" w:color="auto"/>
            </w:tcBorders>
            <w:shd w:val="clear" w:color="auto" w:fill="auto"/>
            <w:hideMark/>
          </w:tcPr>
          <w:p w:rsidR="00F03A33" w:rsidRPr="00F03A33" w:rsidRDefault="00F03A33" w:rsidP="00F03A33">
            <w:pPr>
              <w:spacing w:line="240" w:lineRule="auto"/>
              <w:jc w:val="right"/>
              <w:rPr>
                <w:rFonts w:ascii="Arial" w:eastAsia="Times New Roman" w:hAnsi="Arial" w:cs="Arial"/>
                <w:color w:val="000000"/>
                <w:sz w:val="18"/>
                <w:szCs w:val="18"/>
              </w:rPr>
            </w:pPr>
            <w:r w:rsidRPr="00F03A33">
              <w:rPr>
                <w:rFonts w:ascii="Arial" w:eastAsia="Times New Roman" w:hAnsi="Arial" w:cs="Arial"/>
                <w:color w:val="000000"/>
                <w:sz w:val="18"/>
                <w:szCs w:val="18"/>
              </w:rPr>
              <w:t>NNRTI</w:t>
            </w:r>
          </w:p>
        </w:tc>
        <w:tc>
          <w:tcPr>
            <w:tcW w:w="2056"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17 (37.8)</w:t>
            </w:r>
          </w:p>
        </w:tc>
        <w:tc>
          <w:tcPr>
            <w:tcW w:w="2064"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r w:rsidRPr="00F03A33">
              <w:rPr>
                <w:rFonts w:ascii="Arial" w:eastAsia="Times New Roman" w:hAnsi="Arial" w:cs="Arial"/>
                <w:color w:val="000000"/>
                <w:sz w:val="18"/>
                <w:szCs w:val="18"/>
              </w:rPr>
              <w:t>44 (48.9)</w:t>
            </w:r>
          </w:p>
        </w:tc>
        <w:tc>
          <w:tcPr>
            <w:tcW w:w="1843" w:type="dxa"/>
            <w:tcBorders>
              <w:top w:val="nil"/>
              <w:left w:val="nil"/>
              <w:bottom w:val="single" w:sz="8" w:space="0" w:color="auto"/>
              <w:right w:val="single" w:sz="8" w:space="0" w:color="auto"/>
            </w:tcBorders>
            <w:shd w:val="clear" w:color="auto" w:fill="auto"/>
            <w:hideMark/>
          </w:tcPr>
          <w:p w:rsidR="00F03A33" w:rsidRPr="00F03A33" w:rsidRDefault="00F03A33" w:rsidP="00F03A33">
            <w:pPr>
              <w:spacing w:line="240" w:lineRule="auto"/>
              <w:jc w:val="center"/>
              <w:rPr>
                <w:rFonts w:ascii="Arial" w:eastAsia="Times New Roman" w:hAnsi="Arial" w:cs="Arial"/>
                <w:color w:val="000000"/>
                <w:sz w:val="18"/>
                <w:szCs w:val="18"/>
              </w:rPr>
            </w:pPr>
            <w:bookmarkStart w:id="1" w:name="RANGE!D100"/>
            <w:r w:rsidRPr="00F03A33">
              <w:rPr>
                <w:rFonts w:ascii="Arial" w:eastAsia="Times New Roman" w:hAnsi="Arial" w:cs="Arial"/>
                <w:color w:val="000000"/>
                <w:sz w:val="18"/>
                <w:szCs w:val="18"/>
              </w:rPr>
              <w:t>0.22</w:t>
            </w:r>
            <w:bookmarkEnd w:id="1"/>
          </w:p>
        </w:tc>
      </w:tr>
    </w:tbl>
    <w:p w:rsidR="00F03A33" w:rsidRPr="00F03A33" w:rsidRDefault="00F03A33" w:rsidP="00F03A33">
      <w:pPr>
        <w:rPr>
          <w:rFonts w:eastAsiaTheme="minorHAnsi"/>
          <w:lang w:eastAsia="en-US"/>
        </w:rPr>
      </w:pPr>
    </w:p>
    <w:p w:rsidR="00F03A33" w:rsidRDefault="00F03A33" w:rsidP="00F03A33">
      <w:pPr>
        <w:spacing w:line="480" w:lineRule="auto"/>
        <w:jc w:val="both"/>
        <w:rPr>
          <w:rFonts w:ascii="Arial" w:hAnsi="Arial" w:cs="Arial"/>
          <w:color w:val="000000" w:themeColor="text1"/>
          <w:sz w:val="24"/>
          <w:szCs w:val="24"/>
          <w:lang w:val="en-US"/>
        </w:rPr>
      </w:pPr>
    </w:p>
    <w:p w:rsidR="00F03A33" w:rsidRPr="00E64FB6" w:rsidRDefault="00F03A33" w:rsidP="00F03A33">
      <w:pPr>
        <w:spacing w:line="480" w:lineRule="auto"/>
        <w:jc w:val="both"/>
        <w:rPr>
          <w:rFonts w:ascii="Arial" w:hAnsi="Arial" w:cs="Arial"/>
          <w:sz w:val="24"/>
          <w:szCs w:val="24"/>
          <w:u w:val="single"/>
        </w:rPr>
      </w:pPr>
    </w:p>
    <w:p w:rsidR="00CB5672" w:rsidRPr="00E64FB6" w:rsidRDefault="00CB5672" w:rsidP="002450FF">
      <w:pPr>
        <w:spacing w:line="480" w:lineRule="auto"/>
        <w:ind w:left="720"/>
        <w:jc w:val="both"/>
        <w:rPr>
          <w:rFonts w:ascii="Arial" w:hAnsi="Arial" w:cs="Arial"/>
          <w:sz w:val="24"/>
          <w:szCs w:val="24"/>
          <w:u w:val="single"/>
        </w:rPr>
      </w:pPr>
    </w:p>
    <w:sectPr w:rsidR="00CB5672" w:rsidRPr="00E64FB6" w:rsidSect="00164671">
      <w:footerReference w:type="default" r:id="rId32"/>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4E3" w:rsidRDefault="000D64E3" w:rsidP="00CE32B7">
      <w:pPr>
        <w:spacing w:after="0" w:line="240" w:lineRule="auto"/>
      </w:pPr>
      <w:r>
        <w:separator/>
      </w:r>
    </w:p>
  </w:endnote>
  <w:endnote w:type="continuationSeparator" w:id="0">
    <w:p w:rsidR="000D64E3" w:rsidRDefault="000D64E3" w:rsidP="00CE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E2A53658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193804"/>
      <w:docPartObj>
        <w:docPartGallery w:val="Page Numbers (Bottom of Page)"/>
        <w:docPartUnique/>
      </w:docPartObj>
    </w:sdtPr>
    <w:sdtEndPr>
      <w:rPr>
        <w:noProof/>
      </w:rPr>
    </w:sdtEndPr>
    <w:sdtContent>
      <w:p w:rsidR="00294C16" w:rsidRDefault="00017360">
        <w:pPr>
          <w:pStyle w:val="Footer"/>
          <w:jc w:val="right"/>
        </w:pPr>
        <w:r>
          <w:fldChar w:fldCharType="begin"/>
        </w:r>
        <w:r w:rsidR="00294C16">
          <w:instrText xml:space="preserve"> PAGE   \* MERGEFORMAT </w:instrText>
        </w:r>
        <w:r>
          <w:fldChar w:fldCharType="separate"/>
        </w:r>
        <w:r w:rsidR="007669E5">
          <w:rPr>
            <w:noProof/>
          </w:rPr>
          <w:t>1</w:t>
        </w:r>
        <w:r>
          <w:rPr>
            <w:noProof/>
          </w:rPr>
          <w:fldChar w:fldCharType="end"/>
        </w:r>
      </w:p>
    </w:sdtContent>
  </w:sdt>
  <w:p w:rsidR="00294C16" w:rsidRDefault="00294C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4E3" w:rsidRDefault="000D64E3" w:rsidP="00CE32B7">
      <w:pPr>
        <w:spacing w:after="0" w:line="240" w:lineRule="auto"/>
      </w:pPr>
      <w:r>
        <w:separator/>
      </w:r>
    </w:p>
  </w:footnote>
  <w:footnote w:type="continuationSeparator" w:id="0">
    <w:p w:rsidR="000D64E3" w:rsidRDefault="000D64E3" w:rsidP="00CE3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B9A"/>
    <w:multiLevelType w:val="hybridMultilevel"/>
    <w:tmpl w:val="6B680516"/>
    <w:lvl w:ilvl="0" w:tplc="ED961B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806B8"/>
    <w:multiLevelType w:val="hybridMultilevel"/>
    <w:tmpl w:val="F550AB4E"/>
    <w:lvl w:ilvl="0" w:tplc="484C12E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D0C39"/>
    <w:multiLevelType w:val="hybridMultilevel"/>
    <w:tmpl w:val="0974F48A"/>
    <w:lvl w:ilvl="0" w:tplc="19FA066E">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E719A"/>
    <w:multiLevelType w:val="hybridMultilevel"/>
    <w:tmpl w:val="AC42E4B4"/>
    <w:lvl w:ilvl="0" w:tplc="27901E2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5D"/>
    <w:rsid w:val="00001821"/>
    <w:rsid w:val="00012781"/>
    <w:rsid w:val="00017360"/>
    <w:rsid w:val="00035C4E"/>
    <w:rsid w:val="00040EC0"/>
    <w:rsid w:val="000413FB"/>
    <w:rsid w:val="00044EBF"/>
    <w:rsid w:val="00045404"/>
    <w:rsid w:val="00050E55"/>
    <w:rsid w:val="00052899"/>
    <w:rsid w:val="00060F22"/>
    <w:rsid w:val="00064EC1"/>
    <w:rsid w:val="00081A71"/>
    <w:rsid w:val="00084141"/>
    <w:rsid w:val="000921EB"/>
    <w:rsid w:val="0009523B"/>
    <w:rsid w:val="000A148A"/>
    <w:rsid w:val="000C50EC"/>
    <w:rsid w:val="000D47FF"/>
    <w:rsid w:val="000D64E3"/>
    <w:rsid w:val="000E04FF"/>
    <w:rsid w:val="000E204C"/>
    <w:rsid w:val="000E22D3"/>
    <w:rsid w:val="000E27F9"/>
    <w:rsid w:val="000E6C0E"/>
    <w:rsid w:val="000F7790"/>
    <w:rsid w:val="00104679"/>
    <w:rsid w:val="00111DE7"/>
    <w:rsid w:val="00115AB2"/>
    <w:rsid w:val="001217C0"/>
    <w:rsid w:val="00122AEA"/>
    <w:rsid w:val="00127498"/>
    <w:rsid w:val="0013588B"/>
    <w:rsid w:val="00140F6B"/>
    <w:rsid w:val="001515CC"/>
    <w:rsid w:val="001535B1"/>
    <w:rsid w:val="0015521C"/>
    <w:rsid w:val="00162F4B"/>
    <w:rsid w:val="00164671"/>
    <w:rsid w:val="00165280"/>
    <w:rsid w:val="00173A74"/>
    <w:rsid w:val="00183461"/>
    <w:rsid w:val="0018681D"/>
    <w:rsid w:val="00194725"/>
    <w:rsid w:val="001A3E65"/>
    <w:rsid w:val="001B160A"/>
    <w:rsid w:val="001B2CCF"/>
    <w:rsid w:val="001B319A"/>
    <w:rsid w:val="001D3E8E"/>
    <w:rsid w:val="001E141C"/>
    <w:rsid w:val="001E60E9"/>
    <w:rsid w:val="001F3CE3"/>
    <w:rsid w:val="001F7F00"/>
    <w:rsid w:val="00201617"/>
    <w:rsid w:val="00202CDE"/>
    <w:rsid w:val="00203888"/>
    <w:rsid w:val="002077D1"/>
    <w:rsid w:val="0021281D"/>
    <w:rsid w:val="00216B34"/>
    <w:rsid w:val="002241AF"/>
    <w:rsid w:val="00227C71"/>
    <w:rsid w:val="002307EC"/>
    <w:rsid w:val="00236420"/>
    <w:rsid w:val="002448DB"/>
    <w:rsid w:val="002450FF"/>
    <w:rsid w:val="0025520F"/>
    <w:rsid w:val="00257F57"/>
    <w:rsid w:val="00266EDC"/>
    <w:rsid w:val="00272BAD"/>
    <w:rsid w:val="00277982"/>
    <w:rsid w:val="00286200"/>
    <w:rsid w:val="00294C16"/>
    <w:rsid w:val="00294D73"/>
    <w:rsid w:val="002A4C55"/>
    <w:rsid w:val="002B3BB8"/>
    <w:rsid w:val="002C1BE3"/>
    <w:rsid w:val="002D2B12"/>
    <w:rsid w:val="002D3C2B"/>
    <w:rsid w:val="002E54EE"/>
    <w:rsid w:val="002E63E2"/>
    <w:rsid w:val="002E6400"/>
    <w:rsid w:val="002F2712"/>
    <w:rsid w:val="002F3B54"/>
    <w:rsid w:val="002F5B63"/>
    <w:rsid w:val="00302430"/>
    <w:rsid w:val="00305A4B"/>
    <w:rsid w:val="00305E0B"/>
    <w:rsid w:val="003075F0"/>
    <w:rsid w:val="00307CA6"/>
    <w:rsid w:val="00310C51"/>
    <w:rsid w:val="003112C9"/>
    <w:rsid w:val="00313C8F"/>
    <w:rsid w:val="00331162"/>
    <w:rsid w:val="003334DC"/>
    <w:rsid w:val="003337C3"/>
    <w:rsid w:val="0033533D"/>
    <w:rsid w:val="00351C0A"/>
    <w:rsid w:val="00353BB3"/>
    <w:rsid w:val="00354E57"/>
    <w:rsid w:val="00356E88"/>
    <w:rsid w:val="003579F7"/>
    <w:rsid w:val="003803E2"/>
    <w:rsid w:val="00386598"/>
    <w:rsid w:val="00393634"/>
    <w:rsid w:val="00394296"/>
    <w:rsid w:val="003C204A"/>
    <w:rsid w:val="003C2DE5"/>
    <w:rsid w:val="003C5797"/>
    <w:rsid w:val="003D5BB4"/>
    <w:rsid w:val="003F10FB"/>
    <w:rsid w:val="003F2348"/>
    <w:rsid w:val="003F267B"/>
    <w:rsid w:val="003F2E36"/>
    <w:rsid w:val="003F3E72"/>
    <w:rsid w:val="003F6F70"/>
    <w:rsid w:val="00417682"/>
    <w:rsid w:val="004231DD"/>
    <w:rsid w:val="00425002"/>
    <w:rsid w:val="0043189A"/>
    <w:rsid w:val="0044593B"/>
    <w:rsid w:val="00452481"/>
    <w:rsid w:val="00456D0D"/>
    <w:rsid w:val="00471614"/>
    <w:rsid w:val="0048011C"/>
    <w:rsid w:val="00486A71"/>
    <w:rsid w:val="00492DCD"/>
    <w:rsid w:val="004A27EA"/>
    <w:rsid w:val="004B6372"/>
    <w:rsid w:val="004C0037"/>
    <w:rsid w:val="004C2533"/>
    <w:rsid w:val="004D0BBA"/>
    <w:rsid w:val="004D2A67"/>
    <w:rsid w:val="004E20B7"/>
    <w:rsid w:val="004E2489"/>
    <w:rsid w:val="004F5B37"/>
    <w:rsid w:val="0050166F"/>
    <w:rsid w:val="00505A2A"/>
    <w:rsid w:val="0054381E"/>
    <w:rsid w:val="00564E92"/>
    <w:rsid w:val="0057407D"/>
    <w:rsid w:val="00575F98"/>
    <w:rsid w:val="005776D5"/>
    <w:rsid w:val="005803F9"/>
    <w:rsid w:val="00585DD0"/>
    <w:rsid w:val="005979E2"/>
    <w:rsid w:val="005D0C36"/>
    <w:rsid w:val="005E58A5"/>
    <w:rsid w:val="00601483"/>
    <w:rsid w:val="00602DE8"/>
    <w:rsid w:val="00603931"/>
    <w:rsid w:val="00607085"/>
    <w:rsid w:val="0060733B"/>
    <w:rsid w:val="0061099A"/>
    <w:rsid w:val="00620884"/>
    <w:rsid w:val="006260DA"/>
    <w:rsid w:val="006337D0"/>
    <w:rsid w:val="00635FBE"/>
    <w:rsid w:val="0064366B"/>
    <w:rsid w:val="00645930"/>
    <w:rsid w:val="00661193"/>
    <w:rsid w:val="00671B02"/>
    <w:rsid w:val="00676ED4"/>
    <w:rsid w:val="0068075D"/>
    <w:rsid w:val="00682096"/>
    <w:rsid w:val="00685B6B"/>
    <w:rsid w:val="00693880"/>
    <w:rsid w:val="006977F7"/>
    <w:rsid w:val="006A34A8"/>
    <w:rsid w:val="006B6522"/>
    <w:rsid w:val="006C11B3"/>
    <w:rsid w:val="006C29ED"/>
    <w:rsid w:val="006C5A8E"/>
    <w:rsid w:val="006D079F"/>
    <w:rsid w:val="006D690F"/>
    <w:rsid w:val="006D74C3"/>
    <w:rsid w:val="006D7891"/>
    <w:rsid w:val="006E03AD"/>
    <w:rsid w:val="006E0A78"/>
    <w:rsid w:val="006F2533"/>
    <w:rsid w:val="006F328D"/>
    <w:rsid w:val="007136F9"/>
    <w:rsid w:val="007163DF"/>
    <w:rsid w:val="0072122B"/>
    <w:rsid w:val="00724985"/>
    <w:rsid w:val="00724EDE"/>
    <w:rsid w:val="0072578D"/>
    <w:rsid w:val="0073621A"/>
    <w:rsid w:val="00755276"/>
    <w:rsid w:val="0075615E"/>
    <w:rsid w:val="0076340D"/>
    <w:rsid w:val="007669E5"/>
    <w:rsid w:val="00766E3A"/>
    <w:rsid w:val="007706F6"/>
    <w:rsid w:val="00775CAB"/>
    <w:rsid w:val="00775D40"/>
    <w:rsid w:val="007771DE"/>
    <w:rsid w:val="0078251C"/>
    <w:rsid w:val="007B036D"/>
    <w:rsid w:val="007B4FF6"/>
    <w:rsid w:val="007C4D96"/>
    <w:rsid w:val="007C7D16"/>
    <w:rsid w:val="007D1313"/>
    <w:rsid w:val="007D6BA6"/>
    <w:rsid w:val="007E0589"/>
    <w:rsid w:val="007E1B68"/>
    <w:rsid w:val="007E2339"/>
    <w:rsid w:val="007E5F18"/>
    <w:rsid w:val="007F38DF"/>
    <w:rsid w:val="007F50DC"/>
    <w:rsid w:val="007F56ED"/>
    <w:rsid w:val="008010AA"/>
    <w:rsid w:val="00802026"/>
    <w:rsid w:val="008100F7"/>
    <w:rsid w:val="0082380F"/>
    <w:rsid w:val="00824341"/>
    <w:rsid w:val="00830FC9"/>
    <w:rsid w:val="00837E68"/>
    <w:rsid w:val="00841BAF"/>
    <w:rsid w:val="008440CD"/>
    <w:rsid w:val="008456F6"/>
    <w:rsid w:val="00871376"/>
    <w:rsid w:val="00874462"/>
    <w:rsid w:val="00881970"/>
    <w:rsid w:val="008A1A76"/>
    <w:rsid w:val="008A25E4"/>
    <w:rsid w:val="008A682F"/>
    <w:rsid w:val="008B2F30"/>
    <w:rsid w:val="008C4ABA"/>
    <w:rsid w:val="008C71F5"/>
    <w:rsid w:val="008D2709"/>
    <w:rsid w:val="008E22AB"/>
    <w:rsid w:val="008E52FF"/>
    <w:rsid w:val="00901DE7"/>
    <w:rsid w:val="00910BE5"/>
    <w:rsid w:val="00912158"/>
    <w:rsid w:val="0092596D"/>
    <w:rsid w:val="00932333"/>
    <w:rsid w:val="00942769"/>
    <w:rsid w:val="00952CC1"/>
    <w:rsid w:val="00953F7F"/>
    <w:rsid w:val="00965E53"/>
    <w:rsid w:val="00972CAE"/>
    <w:rsid w:val="00976500"/>
    <w:rsid w:val="00984EB9"/>
    <w:rsid w:val="00986ED8"/>
    <w:rsid w:val="009879AB"/>
    <w:rsid w:val="009A270D"/>
    <w:rsid w:val="009B7EE6"/>
    <w:rsid w:val="009D4C1B"/>
    <w:rsid w:val="009E19E0"/>
    <w:rsid w:val="009E712B"/>
    <w:rsid w:val="009F44F6"/>
    <w:rsid w:val="009F4602"/>
    <w:rsid w:val="00A0419C"/>
    <w:rsid w:val="00A05C22"/>
    <w:rsid w:val="00A07BA5"/>
    <w:rsid w:val="00A125BB"/>
    <w:rsid w:val="00A15D9F"/>
    <w:rsid w:val="00A34C6D"/>
    <w:rsid w:val="00A35BED"/>
    <w:rsid w:val="00A44931"/>
    <w:rsid w:val="00A450F5"/>
    <w:rsid w:val="00A5182F"/>
    <w:rsid w:val="00A51960"/>
    <w:rsid w:val="00A56022"/>
    <w:rsid w:val="00A57ED0"/>
    <w:rsid w:val="00A60731"/>
    <w:rsid w:val="00A6737C"/>
    <w:rsid w:val="00A72978"/>
    <w:rsid w:val="00A8311F"/>
    <w:rsid w:val="00A850AE"/>
    <w:rsid w:val="00A90966"/>
    <w:rsid w:val="00AB3352"/>
    <w:rsid w:val="00AB51E3"/>
    <w:rsid w:val="00AB683B"/>
    <w:rsid w:val="00AC1334"/>
    <w:rsid w:val="00AC32FC"/>
    <w:rsid w:val="00AC5CDE"/>
    <w:rsid w:val="00AD56E6"/>
    <w:rsid w:val="00AE6944"/>
    <w:rsid w:val="00AF676D"/>
    <w:rsid w:val="00B00E8B"/>
    <w:rsid w:val="00B05A4C"/>
    <w:rsid w:val="00B142A4"/>
    <w:rsid w:val="00B1451A"/>
    <w:rsid w:val="00B2190E"/>
    <w:rsid w:val="00B3431E"/>
    <w:rsid w:val="00B34FBE"/>
    <w:rsid w:val="00B4016D"/>
    <w:rsid w:val="00B44386"/>
    <w:rsid w:val="00B52F2A"/>
    <w:rsid w:val="00B570C1"/>
    <w:rsid w:val="00B72148"/>
    <w:rsid w:val="00B753BA"/>
    <w:rsid w:val="00B818B6"/>
    <w:rsid w:val="00B85CB1"/>
    <w:rsid w:val="00B92D6D"/>
    <w:rsid w:val="00B95AB4"/>
    <w:rsid w:val="00BA4416"/>
    <w:rsid w:val="00BB5318"/>
    <w:rsid w:val="00BC5283"/>
    <w:rsid w:val="00BD1FC5"/>
    <w:rsid w:val="00BD20D3"/>
    <w:rsid w:val="00BD2E23"/>
    <w:rsid w:val="00BD38E9"/>
    <w:rsid w:val="00BF1CB7"/>
    <w:rsid w:val="00BF5F54"/>
    <w:rsid w:val="00BF7971"/>
    <w:rsid w:val="00C027E3"/>
    <w:rsid w:val="00C04C22"/>
    <w:rsid w:val="00C056C0"/>
    <w:rsid w:val="00C05D1D"/>
    <w:rsid w:val="00C10F7D"/>
    <w:rsid w:val="00C370D5"/>
    <w:rsid w:val="00C457F2"/>
    <w:rsid w:val="00C46137"/>
    <w:rsid w:val="00C5508E"/>
    <w:rsid w:val="00C62F95"/>
    <w:rsid w:val="00C66501"/>
    <w:rsid w:val="00C72C81"/>
    <w:rsid w:val="00C94A38"/>
    <w:rsid w:val="00C97D9C"/>
    <w:rsid w:val="00CA784C"/>
    <w:rsid w:val="00CB10D6"/>
    <w:rsid w:val="00CB3399"/>
    <w:rsid w:val="00CB5672"/>
    <w:rsid w:val="00CE32B7"/>
    <w:rsid w:val="00CE6CEA"/>
    <w:rsid w:val="00CF0398"/>
    <w:rsid w:val="00CF6976"/>
    <w:rsid w:val="00D038D7"/>
    <w:rsid w:val="00D05243"/>
    <w:rsid w:val="00D06FA4"/>
    <w:rsid w:val="00D10C0A"/>
    <w:rsid w:val="00D2142B"/>
    <w:rsid w:val="00D24255"/>
    <w:rsid w:val="00D2631D"/>
    <w:rsid w:val="00D27B87"/>
    <w:rsid w:val="00D338AD"/>
    <w:rsid w:val="00D51EFD"/>
    <w:rsid w:val="00D5439C"/>
    <w:rsid w:val="00D57FB6"/>
    <w:rsid w:val="00D6061D"/>
    <w:rsid w:val="00D64053"/>
    <w:rsid w:val="00D73CFE"/>
    <w:rsid w:val="00D750E5"/>
    <w:rsid w:val="00D76AC0"/>
    <w:rsid w:val="00D77F84"/>
    <w:rsid w:val="00D8574E"/>
    <w:rsid w:val="00D87C4A"/>
    <w:rsid w:val="00D954E3"/>
    <w:rsid w:val="00D9631F"/>
    <w:rsid w:val="00DA1C96"/>
    <w:rsid w:val="00DA6AAA"/>
    <w:rsid w:val="00DB36AE"/>
    <w:rsid w:val="00DB5452"/>
    <w:rsid w:val="00DC115A"/>
    <w:rsid w:val="00DD026E"/>
    <w:rsid w:val="00DD0C02"/>
    <w:rsid w:val="00DE0D23"/>
    <w:rsid w:val="00DF1F92"/>
    <w:rsid w:val="00DF6D51"/>
    <w:rsid w:val="00E06068"/>
    <w:rsid w:val="00E07F63"/>
    <w:rsid w:val="00E13180"/>
    <w:rsid w:val="00E16BCC"/>
    <w:rsid w:val="00E322C6"/>
    <w:rsid w:val="00E3462D"/>
    <w:rsid w:val="00E64A58"/>
    <w:rsid w:val="00E64FB6"/>
    <w:rsid w:val="00E67465"/>
    <w:rsid w:val="00E679E8"/>
    <w:rsid w:val="00E83FD1"/>
    <w:rsid w:val="00E908EC"/>
    <w:rsid w:val="00EA0C23"/>
    <w:rsid w:val="00EA178E"/>
    <w:rsid w:val="00EA5279"/>
    <w:rsid w:val="00EB004B"/>
    <w:rsid w:val="00EC4A61"/>
    <w:rsid w:val="00EC5BDB"/>
    <w:rsid w:val="00EC62C5"/>
    <w:rsid w:val="00EE07B7"/>
    <w:rsid w:val="00EE0FAF"/>
    <w:rsid w:val="00EF0027"/>
    <w:rsid w:val="00EF6B1E"/>
    <w:rsid w:val="00F03A33"/>
    <w:rsid w:val="00F042F6"/>
    <w:rsid w:val="00F1173A"/>
    <w:rsid w:val="00F1393F"/>
    <w:rsid w:val="00F151F3"/>
    <w:rsid w:val="00F16D35"/>
    <w:rsid w:val="00F22C5B"/>
    <w:rsid w:val="00F2354C"/>
    <w:rsid w:val="00F25068"/>
    <w:rsid w:val="00F315C3"/>
    <w:rsid w:val="00F31BA6"/>
    <w:rsid w:val="00F34E6D"/>
    <w:rsid w:val="00F50CB6"/>
    <w:rsid w:val="00F54057"/>
    <w:rsid w:val="00F56386"/>
    <w:rsid w:val="00F633CA"/>
    <w:rsid w:val="00F66FD8"/>
    <w:rsid w:val="00F70AED"/>
    <w:rsid w:val="00F714C7"/>
    <w:rsid w:val="00F71596"/>
    <w:rsid w:val="00F81F41"/>
    <w:rsid w:val="00F92CF5"/>
    <w:rsid w:val="00F97515"/>
    <w:rsid w:val="00FA055A"/>
    <w:rsid w:val="00FA376B"/>
    <w:rsid w:val="00FA6196"/>
    <w:rsid w:val="00FB6351"/>
    <w:rsid w:val="00FB7F2B"/>
    <w:rsid w:val="00FC184D"/>
    <w:rsid w:val="00FC6495"/>
    <w:rsid w:val="00FC6801"/>
    <w:rsid w:val="00FD1071"/>
    <w:rsid w:val="00FD3703"/>
    <w:rsid w:val="00FD3BA0"/>
    <w:rsid w:val="00FD7B07"/>
    <w:rsid w:val="00FE52E4"/>
    <w:rsid w:val="00FE77B2"/>
    <w:rsid w:val="00FF4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A4FDC0F-E014-4D44-887C-33F1E02D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5C4E"/>
    <w:pPr>
      <w:spacing w:after="0" w:line="240" w:lineRule="auto"/>
    </w:pPr>
  </w:style>
  <w:style w:type="paragraph" w:styleId="ListParagraph">
    <w:name w:val="List Paragraph"/>
    <w:basedOn w:val="Normal"/>
    <w:uiPriority w:val="34"/>
    <w:qFormat/>
    <w:rsid w:val="000D47FF"/>
    <w:pPr>
      <w:ind w:left="720"/>
      <w:contextualSpacing/>
    </w:pPr>
  </w:style>
  <w:style w:type="paragraph" w:styleId="Header">
    <w:name w:val="header"/>
    <w:basedOn w:val="Normal"/>
    <w:link w:val="HeaderChar"/>
    <w:uiPriority w:val="99"/>
    <w:unhideWhenUsed/>
    <w:rsid w:val="00CE3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2B7"/>
  </w:style>
  <w:style w:type="paragraph" w:styleId="Footer">
    <w:name w:val="footer"/>
    <w:basedOn w:val="Normal"/>
    <w:link w:val="FooterChar"/>
    <w:uiPriority w:val="99"/>
    <w:unhideWhenUsed/>
    <w:rsid w:val="00CE3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2B7"/>
  </w:style>
  <w:style w:type="paragraph" w:styleId="BalloonText">
    <w:name w:val="Balloon Text"/>
    <w:basedOn w:val="Normal"/>
    <w:link w:val="BalloonTextChar"/>
    <w:uiPriority w:val="99"/>
    <w:semiHidden/>
    <w:unhideWhenUsed/>
    <w:rsid w:val="00127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498"/>
    <w:rPr>
      <w:rFonts w:ascii="Tahoma" w:hAnsi="Tahoma" w:cs="Tahoma"/>
      <w:sz w:val="16"/>
      <w:szCs w:val="16"/>
    </w:rPr>
  </w:style>
  <w:style w:type="character" w:styleId="CommentReference">
    <w:name w:val="annotation reference"/>
    <w:basedOn w:val="DefaultParagraphFont"/>
    <w:uiPriority w:val="99"/>
    <w:semiHidden/>
    <w:unhideWhenUsed/>
    <w:rsid w:val="009F4602"/>
    <w:rPr>
      <w:sz w:val="16"/>
      <w:szCs w:val="16"/>
    </w:rPr>
  </w:style>
  <w:style w:type="paragraph" w:styleId="CommentText">
    <w:name w:val="annotation text"/>
    <w:basedOn w:val="Normal"/>
    <w:link w:val="CommentTextChar"/>
    <w:uiPriority w:val="99"/>
    <w:semiHidden/>
    <w:unhideWhenUsed/>
    <w:rsid w:val="009F4602"/>
    <w:pPr>
      <w:spacing w:line="240" w:lineRule="auto"/>
    </w:pPr>
    <w:rPr>
      <w:sz w:val="20"/>
      <w:szCs w:val="20"/>
    </w:rPr>
  </w:style>
  <w:style w:type="character" w:customStyle="1" w:styleId="CommentTextChar">
    <w:name w:val="Comment Text Char"/>
    <w:basedOn w:val="DefaultParagraphFont"/>
    <w:link w:val="CommentText"/>
    <w:uiPriority w:val="99"/>
    <w:semiHidden/>
    <w:rsid w:val="009F4602"/>
    <w:rPr>
      <w:sz w:val="20"/>
      <w:szCs w:val="20"/>
    </w:rPr>
  </w:style>
  <w:style w:type="paragraph" w:styleId="CommentSubject">
    <w:name w:val="annotation subject"/>
    <w:basedOn w:val="CommentText"/>
    <w:next w:val="CommentText"/>
    <w:link w:val="CommentSubjectChar"/>
    <w:uiPriority w:val="99"/>
    <w:semiHidden/>
    <w:unhideWhenUsed/>
    <w:rsid w:val="009F4602"/>
    <w:rPr>
      <w:b/>
      <w:bCs/>
    </w:rPr>
  </w:style>
  <w:style w:type="character" w:customStyle="1" w:styleId="CommentSubjectChar">
    <w:name w:val="Comment Subject Char"/>
    <w:basedOn w:val="CommentTextChar"/>
    <w:link w:val="CommentSubject"/>
    <w:uiPriority w:val="99"/>
    <w:semiHidden/>
    <w:rsid w:val="009F4602"/>
    <w:rPr>
      <w:b/>
      <w:bCs/>
      <w:sz w:val="20"/>
      <w:szCs w:val="20"/>
    </w:rPr>
  </w:style>
  <w:style w:type="character" w:styleId="Hyperlink">
    <w:name w:val="Hyperlink"/>
    <w:basedOn w:val="DefaultParagraphFont"/>
    <w:uiPriority w:val="99"/>
    <w:unhideWhenUsed/>
    <w:rsid w:val="003337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22216">
      <w:bodyDiv w:val="1"/>
      <w:marLeft w:val="0"/>
      <w:marRight w:val="0"/>
      <w:marTop w:val="0"/>
      <w:marBottom w:val="0"/>
      <w:divBdr>
        <w:top w:val="none" w:sz="0" w:space="0" w:color="auto"/>
        <w:left w:val="none" w:sz="0" w:space="0" w:color="auto"/>
        <w:bottom w:val="none" w:sz="0" w:space="0" w:color="auto"/>
        <w:right w:val="none" w:sz="0" w:space="0" w:color="auto"/>
      </w:divBdr>
    </w:div>
    <w:div w:id="1391925951">
      <w:bodyDiv w:val="1"/>
      <w:marLeft w:val="0"/>
      <w:marRight w:val="0"/>
      <w:marTop w:val="0"/>
      <w:marBottom w:val="0"/>
      <w:divBdr>
        <w:top w:val="none" w:sz="0" w:space="0" w:color="auto"/>
        <w:left w:val="none" w:sz="0" w:space="0" w:color="auto"/>
        <w:bottom w:val="none" w:sz="0" w:space="0" w:color="auto"/>
        <w:right w:val="none" w:sz="0" w:space="0" w:color="auto"/>
      </w:divBdr>
    </w:div>
    <w:div w:id="1716150372">
      <w:bodyDiv w:val="1"/>
      <w:marLeft w:val="0"/>
      <w:marRight w:val="0"/>
      <w:marTop w:val="0"/>
      <w:marBottom w:val="0"/>
      <w:divBdr>
        <w:top w:val="none" w:sz="0" w:space="0" w:color="auto"/>
        <w:left w:val="none" w:sz="0" w:space="0" w:color="auto"/>
        <w:bottom w:val="none" w:sz="0" w:space="0" w:color="auto"/>
        <w:right w:val="none" w:sz="0" w:space="0" w:color="auto"/>
      </w:divBdr>
      <w:divsChild>
        <w:div w:id="387917716">
          <w:marLeft w:val="0"/>
          <w:marRight w:val="0"/>
          <w:marTop w:val="0"/>
          <w:marBottom w:val="0"/>
          <w:divBdr>
            <w:top w:val="none" w:sz="0" w:space="0" w:color="auto"/>
            <w:left w:val="none" w:sz="0" w:space="0" w:color="auto"/>
            <w:bottom w:val="none" w:sz="0" w:space="0" w:color="auto"/>
            <w:right w:val="none" w:sz="0" w:space="0" w:color="auto"/>
          </w:divBdr>
          <w:divsChild>
            <w:div w:id="1773553406">
              <w:marLeft w:val="0"/>
              <w:marRight w:val="0"/>
              <w:marTop w:val="0"/>
              <w:marBottom w:val="0"/>
              <w:divBdr>
                <w:top w:val="none" w:sz="0" w:space="0" w:color="auto"/>
                <w:left w:val="none" w:sz="0" w:space="0" w:color="auto"/>
                <w:bottom w:val="none" w:sz="0" w:space="0" w:color="auto"/>
                <w:right w:val="none" w:sz="0" w:space="0" w:color="auto"/>
              </w:divBdr>
              <w:divsChild>
                <w:div w:id="4556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Rynes%20RI%5BAuthor%5D&amp;cauthor=true&amp;cauthor_uid=3364441" TargetMode="External"/><Relationship Id="rId13" Type="http://schemas.openxmlformats.org/officeDocument/2006/relationships/hyperlink" Target="http://www.ncbi.nlm.nih.gov/pubmed?term=Acevedo%20M%5BAuthor%5D&amp;cauthor=true&amp;cauthor_uid=7718013" TargetMode="External"/><Relationship Id="rId18" Type="http://schemas.openxmlformats.org/officeDocument/2006/relationships/hyperlink" Target="http://www.ncbi.nlm.nih.gov/pubmed?term=Miller%20R%5BAuthor%5D&amp;cauthor=true&amp;cauthor_uid=15949066" TargetMode="External"/><Relationship Id="rId26" Type="http://schemas.openxmlformats.org/officeDocument/2006/relationships/hyperlink" Target="http://www.ncbi.nlm.nih.gov/pubmed?term=Medina-Rodriguez%20F%5BAuthor%5D&amp;cauthor=true&amp;cauthor_uid=8308773" TargetMode="External"/><Relationship Id="rId3" Type="http://schemas.openxmlformats.org/officeDocument/2006/relationships/styles" Target="styles.xml"/><Relationship Id="rId21" Type="http://schemas.openxmlformats.org/officeDocument/2006/relationships/hyperlink" Target="http://www.ncbi.nlm.nih.gov/pubmed?term=Keith%20MP%5BAuthor%5D&amp;cauthor=true&amp;cauthor_uid=2005175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term=Stein%20S%5BAuthor%5D&amp;cauthor=true&amp;cauthor_uid=7718013" TargetMode="External"/><Relationship Id="rId17" Type="http://schemas.openxmlformats.org/officeDocument/2006/relationships/hyperlink" Target="http://www.ncbi.nlm.nih.gov/pubmed?term=Creighton%20S%5BAuthor%5D&amp;cauthor=true&amp;cauthor_uid=15949066" TargetMode="External"/><Relationship Id="rId25" Type="http://schemas.openxmlformats.org/officeDocument/2006/relationships/hyperlink" Target="http://www.ncbi.nlm.nih.gov/pubmed?term=Pinto%20JF%5BAuthor%5D&amp;cauthor=true&amp;cauthor_uid=2285099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Stein%20DS%5BAuthor%5D&amp;cauthor=true&amp;cauthor_uid=8970701" TargetMode="External"/><Relationship Id="rId20" Type="http://schemas.openxmlformats.org/officeDocument/2006/relationships/hyperlink" Target="http://www.ncbi.nlm.nih.gov/pubmed?term=Sebeny%20PJ%5BAuthor%5D&amp;cauthor=true&amp;cauthor_uid=20051757" TargetMode="External"/><Relationship Id="rId29" Type="http://schemas.openxmlformats.org/officeDocument/2006/relationships/hyperlink" Target="http://www.ncbi.nlm.nih.gov/pubmed?term=Walker%20UA%5BAuthor%5D&amp;cauthor=true&amp;cauthor_uid=168474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Disla%20E%5BAuthor%5D&amp;cauthor=true&amp;cauthor_uid=7718013" TargetMode="External"/><Relationship Id="rId24" Type="http://schemas.openxmlformats.org/officeDocument/2006/relationships/hyperlink" Target="http://www.ncbi.nlm.nih.gov/pubmed?term=Salgado%20MC%5BAuthor%5D&amp;cauthor=true&amp;cauthor_uid=22850997"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Mehlhaff%20DL%5BAuthor%5D&amp;cauthor=true&amp;cauthor_uid=8970701" TargetMode="External"/><Relationship Id="rId23" Type="http://schemas.openxmlformats.org/officeDocument/2006/relationships/hyperlink" Target="http://www.ncbi.nlm.nih.gov/pubmed?term=Eyer-Silva%20Wde%20A%5BAuthor%5D&amp;cauthor=true&amp;cauthor_uid=22850997" TargetMode="External"/><Relationship Id="rId28" Type="http://schemas.openxmlformats.org/officeDocument/2006/relationships/hyperlink" Target="http://www.ncbi.nlm.nih.gov/pubmed?term=Jara%20LJ%5BAuthor%5D&amp;cauthor=true&amp;cauthor_uid=8308773" TargetMode="External"/><Relationship Id="rId10" Type="http://schemas.openxmlformats.org/officeDocument/2006/relationships/hyperlink" Target="http://www.ncbi.nlm.nih.gov/pubmed?term=DiGiacomo%20R%5BAuthor%5D&amp;cauthor=true&amp;cauthor_uid=3364441" TargetMode="External"/><Relationship Id="rId19" Type="http://schemas.openxmlformats.org/officeDocument/2006/relationships/hyperlink" Target="http://www.ncbi.nlm.nih.gov/pubmed?term=Edwards%20S%5BAuthor%5D&amp;cauthor=true&amp;cauthor_uid=15949066" TargetMode="External"/><Relationship Id="rId31" Type="http://schemas.openxmlformats.org/officeDocument/2006/relationships/hyperlink" Target="http://www.ncbi.nlm.nih.gov/pubmed?term=Enters%20M%5BAuthor%5D&amp;cauthor=true&amp;cauthor_uid=16847413" TargetMode="External"/><Relationship Id="rId4" Type="http://schemas.openxmlformats.org/officeDocument/2006/relationships/settings" Target="settings.xml"/><Relationship Id="rId9" Type="http://schemas.openxmlformats.org/officeDocument/2006/relationships/hyperlink" Target="http://www.ncbi.nlm.nih.gov/pubmed?term=Goldenberg%20DL%5BAuthor%5D&amp;cauthor=true&amp;cauthor_uid=3364441" TargetMode="External"/><Relationship Id="rId14" Type="http://schemas.openxmlformats.org/officeDocument/2006/relationships/hyperlink" Target="http://www.ncbi.nlm.nih.gov/pubmed?term=Cuppari%20G%5BAuthor%5D&amp;cauthor=true&amp;cauthor_uid=7718013" TargetMode="External"/><Relationship Id="rId22" Type="http://schemas.openxmlformats.org/officeDocument/2006/relationships/hyperlink" Target="http://www.ncbi.nlm.nih.gov/pubmed?term=Love%20KM%5BAuthor%5D&amp;cauthor=true&amp;cauthor_uid=20051757" TargetMode="External"/><Relationship Id="rId27" Type="http://schemas.openxmlformats.org/officeDocument/2006/relationships/hyperlink" Target="http://www.ncbi.nlm.nih.gov/pubmed?term=Guzman%20C%5BAuthor%5D&amp;cauthor=true&amp;cauthor_uid=8308773" TargetMode="External"/><Relationship Id="rId30" Type="http://schemas.openxmlformats.org/officeDocument/2006/relationships/hyperlink" Target="http://www.ncbi.nlm.nih.gov/pubmed?term=Hoffmann%20C%5BAuthor%5D&amp;cauthor=true&amp;cauthor_uid=16847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37D1-10E1-43E1-BFB5-E55E58B5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4616</Words>
  <Characters>26315</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Licenced User</dc:creator>
  <cp:lastModifiedBy>Karen Drake</cp:lastModifiedBy>
  <cp:revision>2</cp:revision>
  <cp:lastPrinted>2018-10-10T07:58:00Z</cp:lastPrinted>
  <dcterms:created xsi:type="dcterms:W3CDTF">2018-10-10T08:31:00Z</dcterms:created>
  <dcterms:modified xsi:type="dcterms:W3CDTF">2018-10-10T08:31:00Z</dcterms:modified>
</cp:coreProperties>
</file>